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0846B3" w14:textId="77777777" w:rsidR="00615CA2" w:rsidRPr="0034728B" w:rsidRDefault="00615CA2" w:rsidP="0034728B">
      <w:pPr>
        <w:spacing w:before="120" w:after="0" w:line="36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4728B">
        <w:rPr>
          <w:rFonts w:ascii="Times New Roman" w:hAnsi="Times New Roman" w:cs="Times New Roman"/>
          <w:sz w:val="24"/>
          <w:szCs w:val="24"/>
        </w:rPr>
        <w:t xml:space="preserve">UZASADNIENIE </w:t>
      </w:r>
    </w:p>
    <w:p w14:paraId="0F8CF99A" w14:textId="18D4C576" w:rsidR="00615CA2" w:rsidRDefault="00615CA2" w:rsidP="0034728B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109">
        <w:rPr>
          <w:rFonts w:ascii="Times New Roman" w:hAnsi="Times New Roman" w:cs="Times New Roman"/>
          <w:sz w:val="24"/>
          <w:szCs w:val="24"/>
        </w:rPr>
        <w:t>Celem proponowan</w:t>
      </w:r>
      <w:r w:rsidR="00CE5D2D">
        <w:rPr>
          <w:rFonts w:ascii="Times New Roman" w:hAnsi="Times New Roman" w:cs="Times New Roman"/>
          <w:sz w:val="24"/>
          <w:szCs w:val="24"/>
        </w:rPr>
        <w:t xml:space="preserve">ej ustawy o zmianie ustawy o obligacjach </w:t>
      </w:r>
      <w:r w:rsidRPr="004C1109">
        <w:rPr>
          <w:rFonts w:ascii="Times New Roman" w:hAnsi="Times New Roman" w:cs="Times New Roman"/>
          <w:sz w:val="24"/>
          <w:szCs w:val="24"/>
        </w:rPr>
        <w:t>jest umożliwienie zakładom ubezpieczeń i zakładom reasekuracji emisj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4C1109">
        <w:rPr>
          <w:rFonts w:ascii="Times New Roman" w:hAnsi="Times New Roman" w:cs="Times New Roman"/>
          <w:sz w:val="24"/>
          <w:szCs w:val="24"/>
        </w:rPr>
        <w:t xml:space="preserve"> obligacji podporządkowanych posiadających cechy </w:t>
      </w:r>
      <w:r>
        <w:rPr>
          <w:rFonts w:ascii="Times New Roman" w:hAnsi="Times New Roman" w:cs="Times New Roman"/>
          <w:sz w:val="24"/>
          <w:szCs w:val="24"/>
        </w:rPr>
        <w:t>jakościowe określone w</w:t>
      </w:r>
      <w:r w:rsidRPr="004C1109">
        <w:rPr>
          <w:rFonts w:ascii="Times New Roman" w:hAnsi="Times New Roman" w:cs="Times New Roman"/>
          <w:sz w:val="24"/>
          <w:szCs w:val="24"/>
        </w:rPr>
        <w:t xml:space="preserve"> rozporządzeni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4C1109">
        <w:rPr>
          <w:rFonts w:ascii="Times New Roman" w:hAnsi="Times New Roman" w:cs="Times New Roman"/>
          <w:sz w:val="24"/>
          <w:szCs w:val="24"/>
        </w:rPr>
        <w:t xml:space="preserve"> delegowan</w:t>
      </w:r>
      <w:r>
        <w:rPr>
          <w:rFonts w:ascii="Times New Roman" w:hAnsi="Times New Roman" w:cs="Times New Roman"/>
          <w:sz w:val="24"/>
          <w:szCs w:val="24"/>
        </w:rPr>
        <w:t>ym</w:t>
      </w:r>
      <w:r w:rsidRPr="004C1109">
        <w:rPr>
          <w:rFonts w:ascii="Times New Roman" w:hAnsi="Times New Roman" w:cs="Times New Roman"/>
          <w:sz w:val="24"/>
          <w:szCs w:val="24"/>
        </w:rPr>
        <w:t xml:space="preserve"> Komisji (UE) </w:t>
      </w:r>
      <w:r>
        <w:rPr>
          <w:rFonts w:ascii="Times New Roman" w:hAnsi="Times New Roman" w:cs="Times New Roman"/>
          <w:sz w:val="24"/>
          <w:szCs w:val="24"/>
        </w:rPr>
        <w:t>2015/35 z dnia 10</w:t>
      </w:r>
      <w:r w:rsidR="00FE26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października 2014 r. </w:t>
      </w:r>
      <w:r w:rsidR="00940DFF">
        <w:rPr>
          <w:rFonts w:ascii="Times New Roman" w:hAnsi="Times New Roman" w:cs="Times New Roman"/>
          <w:sz w:val="24"/>
          <w:szCs w:val="24"/>
        </w:rPr>
        <w:t xml:space="preserve">uzupełniającym </w:t>
      </w:r>
      <w:r>
        <w:rPr>
          <w:rFonts w:ascii="Times New Roman" w:hAnsi="Times New Roman" w:cs="Times New Roman"/>
          <w:sz w:val="24"/>
          <w:szCs w:val="24"/>
        </w:rPr>
        <w:t xml:space="preserve">dyrektywę </w:t>
      </w:r>
      <w:r w:rsidRPr="004C1109">
        <w:rPr>
          <w:rFonts w:ascii="Times New Roman" w:hAnsi="Times New Roman" w:cs="Times New Roman"/>
          <w:sz w:val="24"/>
          <w:szCs w:val="24"/>
        </w:rPr>
        <w:t>Parlamentu Europejskiego i Rady 2009/138/WE w sprawie podejmowania i prowadzenia działalności ubezpieczeniowej i reasekuracyjnej (Wypłacalność II) (Dz. Urz. UE L 12</w:t>
      </w:r>
      <w:r w:rsidR="00011CAD">
        <w:rPr>
          <w:rFonts w:ascii="Times New Roman" w:hAnsi="Times New Roman" w:cs="Times New Roman"/>
          <w:sz w:val="24"/>
          <w:szCs w:val="24"/>
        </w:rPr>
        <w:t xml:space="preserve"> z</w:t>
      </w:r>
      <w:r w:rsidR="00FE26E9">
        <w:rPr>
          <w:rFonts w:ascii="Times New Roman" w:hAnsi="Times New Roman" w:cs="Times New Roman"/>
          <w:sz w:val="24"/>
          <w:szCs w:val="24"/>
        </w:rPr>
        <w:t> </w:t>
      </w:r>
      <w:r w:rsidR="00011CAD">
        <w:rPr>
          <w:rFonts w:ascii="Times New Roman" w:hAnsi="Times New Roman" w:cs="Times New Roman"/>
          <w:sz w:val="24"/>
          <w:szCs w:val="24"/>
        </w:rPr>
        <w:t>17.01.2015, str</w:t>
      </w:r>
      <w:r w:rsidRPr="004C1109">
        <w:rPr>
          <w:rFonts w:ascii="Times New Roman" w:hAnsi="Times New Roman" w:cs="Times New Roman"/>
          <w:sz w:val="24"/>
          <w:szCs w:val="24"/>
        </w:rPr>
        <w:t>.</w:t>
      </w:r>
      <w:r w:rsidR="00567BA7">
        <w:rPr>
          <w:rFonts w:ascii="Times New Roman" w:hAnsi="Times New Roman" w:cs="Times New Roman"/>
          <w:sz w:val="24"/>
          <w:szCs w:val="24"/>
        </w:rPr>
        <w:t xml:space="preserve"> </w:t>
      </w:r>
      <w:r w:rsidRPr="004C1109">
        <w:rPr>
          <w:rFonts w:ascii="Times New Roman" w:hAnsi="Times New Roman" w:cs="Times New Roman"/>
          <w:sz w:val="24"/>
          <w:szCs w:val="24"/>
        </w:rPr>
        <w:t xml:space="preserve">1, z </w:t>
      </w:r>
      <w:proofErr w:type="spellStart"/>
      <w:r w:rsidRPr="004C1109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4C1109">
        <w:rPr>
          <w:rFonts w:ascii="Times New Roman" w:hAnsi="Times New Roman" w:cs="Times New Roman"/>
          <w:sz w:val="24"/>
          <w:szCs w:val="24"/>
        </w:rPr>
        <w:t>. zm.), zwan</w:t>
      </w:r>
      <w:r w:rsidR="00940DFF">
        <w:rPr>
          <w:rFonts w:ascii="Times New Roman" w:hAnsi="Times New Roman" w:cs="Times New Roman"/>
          <w:sz w:val="24"/>
          <w:szCs w:val="24"/>
        </w:rPr>
        <w:t>ym</w:t>
      </w:r>
      <w:r w:rsidRPr="004C1109">
        <w:rPr>
          <w:rFonts w:ascii="Times New Roman" w:hAnsi="Times New Roman" w:cs="Times New Roman"/>
          <w:sz w:val="24"/>
          <w:szCs w:val="24"/>
        </w:rPr>
        <w:t xml:space="preserve"> dalej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C1109">
        <w:rPr>
          <w:rFonts w:ascii="Times New Roman" w:hAnsi="Times New Roman" w:cs="Times New Roman"/>
          <w:sz w:val="24"/>
          <w:szCs w:val="24"/>
        </w:rPr>
        <w:t>rozporządzeniem delegowanym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4C1109">
        <w:rPr>
          <w:rFonts w:ascii="Times New Roman" w:hAnsi="Times New Roman" w:cs="Times New Roman"/>
          <w:sz w:val="24"/>
          <w:szCs w:val="24"/>
        </w:rPr>
        <w:t xml:space="preserve">. Zauważyć należy, że w ustawie o obligacjach zawarto już stosowne wyłączenia odnoszące się do przypadku emisji obligacji w celu ich zakwalifikowania jako składników funduszy własnych banków oraz firm inwestycyjnych (art. 74 ust. 7 oraz art. 75 ust. 4 ustawy o obligacjach). </w:t>
      </w:r>
      <w:r>
        <w:rPr>
          <w:rFonts w:ascii="Times New Roman" w:hAnsi="Times New Roman" w:cs="Times New Roman"/>
          <w:sz w:val="24"/>
          <w:szCs w:val="24"/>
        </w:rPr>
        <w:t xml:space="preserve">Przepisy ustawy o obligacjach powinny zostać uzupełnione </w:t>
      </w:r>
      <w:r w:rsidRPr="004C1109">
        <w:rPr>
          <w:rFonts w:ascii="Times New Roman" w:hAnsi="Times New Roman" w:cs="Times New Roman"/>
          <w:sz w:val="24"/>
          <w:szCs w:val="24"/>
        </w:rPr>
        <w:t xml:space="preserve">o analogiczne wyłączenia odnoszące się do zakładów ubezpieczeń </w:t>
      </w:r>
      <w:r>
        <w:rPr>
          <w:rFonts w:ascii="Times New Roman" w:hAnsi="Times New Roman" w:cs="Times New Roman"/>
          <w:sz w:val="24"/>
          <w:szCs w:val="24"/>
        </w:rPr>
        <w:t>i</w:t>
      </w:r>
      <w:r w:rsidR="00FE26E9">
        <w:rPr>
          <w:rFonts w:ascii="Times New Roman" w:hAnsi="Times New Roman" w:cs="Times New Roman"/>
          <w:sz w:val="24"/>
          <w:szCs w:val="24"/>
        </w:rPr>
        <w:t> </w:t>
      </w:r>
      <w:r w:rsidRPr="004C1109">
        <w:rPr>
          <w:rFonts w:ascii="Times New Roman" w:hAnsi="Times New Roman" w:cs="Times New Roman"/>
          <w:sz w:val="24"/>
          <w:szCs w:val="24"/>
        </w:rPr>
        <w:t>zakładów reasekuracji.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5041BE" w14:textId="72C2B5E7" w:rsidR="00615CA2" w:rsidRDefault="00615CA2" w:rsidP="0034728B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Dyrektywa Wypłacalność II została implementowana do krajowego porządku prawnego jako ustawa z dnia 11 września 2015 r. o działalności ubezpieczeniowej i</w:t>
      </w:r>
      <w:r w:rsidR="00FE26E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reasekuracyjnej (Dz. U. poz. 1844,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zm.). Zgodnie z art. 241 tej ustawy, zakłady ubezpieczeń i zakłady reasekuracji zaliczają do podstawowych środków własnych zobowiązania podporządkowane. Stwarza to podmiotom rynku ubezpieczeniowego możliwość zaliczania do środków własnych środków pozyskanych w ramach emisji długu podporządkowanego w formie obligacji. Równocześnie rozporządzenie delegowane, które obowiązuje bezpośrednio, określa </w:t>
      </w:r>
      <w:r w:rsidR="00567BA7">
        <w:rPr>
          <w:rFonts w:ascii="Times New Roman" w:hAnsi="Times New Roman" w:cs="Times New Roman"/>
          <w:sz w:val="24"/>
          <w:szCs w:val="24"/>
        </w:rPr>
        <w:t>wymogi, jakie</w:t>
      </w:r>
      <w:r>
        <w:rPr>
          <w:rFonts w:ascii="Times New Roman" w:hAnsi="Times New Roman" w:cs="Times New Roman"/>
          <w:sz w:val="24"/>
          <w:szCs w:val="24"/>
        </w:rPr>
        <w:t xml:space="preserve"> muszą spełniać pozycje podstawowych środków własnych przy klasyfikowaniu ich do określonej kategorii. Wymogi prawne związane z cechą podporządkowania pozycji podstawowych środków własnych obejmują konieczność, aby spłata lub wykup długu wynikającego z wyemitowanych obligacji podporządkowanych były dla zakładu ubezpieczeń lub zakładu reasekuracji opcjonalne (art. 71 ust. 1 lit. h oraz art. 73 ust. 1 lit. </w:t>
      </w:r>
      <w:r w:rsidR="00BC5261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rozporządzenia delegowanego). Z kolei art. 71 ust. 1 lit. f i g oraz art. 73 ust. 1 lit.</w:t>
      </w:r>
      <w:r w:rsidR="00FE26E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c rozporządzenia delegowanego określają obostrzenia co do momentu</w:t>
      </w:r>
      <w:r w:rsidR="00567BA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kiedy może najwcześniej powstać</w:t>
      </w:r>
      <w:r w:rsidR="00FE26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pierwsza dopuszczona umową sposobność do spłaty lub wykupu pozycji podstawowych środków własnych. </w:t>
      </w:r>
    </w:p>
    <w:p w14:paraId="57F6E3B9" w14:textId="23C6B849" w:rsidR="00615CA2" w:rsidRPr="003F79DA" w:rsidRDefault="00615CA2" w:rsidP="0034728B">
      <w:pPr>
        <w:spacing w:before="120" w:after="0" w:line="360" w:lineRule="auto"/>
        <w:jc w:val="both"/>
        <w:rPr>
          <w:rStyle w:val="Bodytext12ptItalic"/>
          <w:rFonts w:eastAsiaTheme="minorHAnsi"/>
        </w:rPr>
      </w:pPr>
      <w:r w:rsidRPr="003F79DA">
        <w:rPr>
          <w:rFonts w:ascii="Times New Roman" w:hAnsi="Times New Roman" w:cs="Times New Roman"/>
          <w:sz w:val="24"/>
          <w:szCs w:val="24"/>
        </w:rPr>
        <w:lastRenderedPageBreak/>
        <w:t>Obecnie obowiązując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F79DA">
        <w:rPr>
          <w:rFonts w:ascii="Times New Roman" w:hAnsi="Times New Roman" w:cs="Times New Roman"/>
          <w:sz w:val="24"/>
          <w:szCs w:val="24"/>
        </w:rPr>
        <w:t xml:space="preserve"> ustaw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F79DA">
        <w:rPr>
          <w:rFonts w:ascii="Times New Roman" w:hAnsi="Times New Roman" w:cs="Times New Roman"/>
          <w:sz w:val="24"/>
          <w:szCs w:val="24"/>
        </w:rPr>
        <w:t xml:space="preserve"> o obligacjach zawiera p</w:t>
      </w:r>
      <w:r>
        <w:rPr>
          <w:rFonts w:ascii="Times New Roman" w:hAnsi="Times New Roman" w:cs="Times New Roman"/>
          <w:sz w:val="24"/>
          <w:szCs w:val="24"/>
        </w:rPr>
        <w:t>rzepisy</w:t>
      </w:r>
      <w:r w:rsidRPr="003F79DA">
        <w:rPr>
          <w:rFonts w:ascii="Times New Roman" w:hAnsi="Times New Roman" w:cs="Times New Roman"/>
          <w:sz w:val="24"/>
          <w:szCs w:val="24"/>
        </w:rPr>
        <w:t xml:space="preserve">, których stosowanie nie zostało wyłączone w przypadku obligacji podporządkowanych emitowanych przez podmioty rynku ubezpieczeniowego. W związku z powyższym obligacje takie nie posiadają niektórych cech określonych w </w:t>
      </w:r>
      <w:r>
        <w:rPr>
          <w:rFonts w:ascii="Times New Roman" w:hAnsi="Times New Roman" w:cs="Times New Roman"/>
          <w:sz w:val="24"/>
          <w:szCs w:val="24"/>
        </w:rPr>
        <w:t xml:space="preserve">odpowiednich </w:t>
      </w:r>
      <w:r w:rsidRPr="003F79DA">
        <w:rPr>
          <w:rFonts w:ascii="Times New Roman" w:hAnsi="Times New Roman" w:cs="Times New Roman"/>
          <w:sz w:val="24"/>
          <w:szCs w:val="24"/>
        </w:rPr>
        <w:t xml:space="preserve">przepisach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3F79DA">
        <w:rPr>
          <w:rFonts w:ascii="Times New Roman" w:hAnsi="Times New Roman" w:cs="Times New Roman"/>
          <w:sz w:val="24"/>
          <w:szCs w:val="24"/>
        </w:rPr>
        <w:t xml:space="preserve">ozporządzenia delegowanego. Zgodnie z </w:t>
      </w:r>
      <w:r>
        <w:rPr>
          <w:rFonts w:ascii="Times New Roman" w:hAnsi="Times New Roman" w:cs="Times New Roman"/>
          <w:sz w:val="24"/>
          <w:szCs w:val="24"/>
        </w:rPr>
        <w:t xml:space="preserve">treścią </w:t>
      </w:r>
      <w:r w:rsidRPr="003F79DA">
        <w:rPr>
          <w:rFonts w:ascii="Times New Roman" w:hAnsi="Times New Roman" w:cs="Times New Roman"/>
          <w:sz w:val="24"/>
          <w:szCs w:val="24"/>
        </w:rPr>
        <w:t>art. 74 ust. 2 ustawy o obligacjach</w:t>
      </w:r>
      <w:r w:rsidR="009D4826">
        <w:rPr>
          <w:rFonts w:ascii="Times New Roman" w:hAnsi="Times New Roman" w:cs="Times New Roman"/>
          <w:sz w:val="24"/>
          <w:szCs w:val="24"/>
        </w:rPr>
        <w:t xml:space="preserve"> „</w:t>
      </w:r>
      <w:r w:rsidRPr="009D4826">
        <w:rPr>
          <w:rStyle w:val="Bodytext12ptItalic"/>
          <w:rFonts w:eastAsiaTheme="minorHAnsi"/>
          <w:i w:val="0"/>
        </w:rPr>
        <w:t>jeżeli emitent jest w</w:t>
      </w:r>
      <w:r w:rsidR="00FE26E9" w:rsidRPr="009D4826">
        <w:rPr>
          <w:rStyle w:val="Bodytext12ptItalic"/>
          <w:rFonts w:eastAsiaTheme="minorHAnsi"/>
          <w:i w:val="0"/>
        </w:rPr>
        <w:t> </w:t>
      </w:r>
      <w:r w:rsidRPr="009D4826">
        <w:rPr>
          <w:rStyle w:val="Bodytext12ptItalic"/>
          <w:rFonts w:eastAsiaTheme="minorHAnsi"/>
          <w:i w:val="0"/>
        </w:rPr>
        <w:t>zwłoce z wykonaniem w terminie, w całości lub części, zobowiązań wynikających z</w:t>
      </w:r>
      <w:r w:rsidR="00FE26E9" w:rsidRPr="009D4826">
        <w:rPr>
          <w:rStyle w:val="Bodytext12ptItalic"/>
          <w:rFonts w:eastAsiaTheme="minorHAnsi"/>
          <w:i w:val="0"/>
        </w:rPr>
        <w:t> </w:t>
      </w:r>
      <w:r w:rsidRPr="009D4826">
        <w:rPr>
          <w:rStyle w:val="Bodytext12ptItalic"/>
          <w:rFonts w:eastAsiaTheme="minorHAnsi"/>
          <w:i w:val="0"/>
        </w:rPr>
        <w:t>obligacji, obligacje podlegają, na żądanie obligatariusza, natychmiastowemu wykupowi w części, w jakiej przewidują świadczenie pieniężne. Obligatariusz może żądać wykupu obligacji również w przypadku niezawinionego przez emitenta opóźnienia nie krótszego niż 3 dni, chyba że warunki emisji wskażą krótszy okres</w:t>
      </w:r>
      <w:r w:rsidR="009D4826">
        <w:rPr>
          <w:rStyle w:val="Bodytext12ptItalic"/>
          <w:rFonts w:eastAsiaTheme="minorHAnsi"/>
          <w:i w:val="0"/>
        </w:rPr>
        <w:t>”</w:t>
      </w:r>
      <w:r w:rsidRPr="009D4826">
        <w:rPr>
          <w:rStyle w:val="Bodytext12ptItalic"/>
          <w:rFonts w:eastAsiaTheme="minorHAnsi"/>
          <w:i w:val="0"/>
        </w:rPr>
        <w:t>.</w:t>
      </w:r>
      <w:r w:rsidR="00FE26E9">
        <w:rPr>
          <w:rStyle w:val="Bodytext12ptItalic"/>
          <w:rFonts w:eastAsiaTheme="minorHAnsi"/>
        </w:rPr>
        <w:t xml:space="preserve"> </w:t>
      </w:r>
    </w:p>
    <w:p w14:paraId="3421081B" w14:textId="32C94E56" w:rsidR="00615CA2" w:rsidRPr="00FE26E9" w:rsidRDefault="00615CA2" w:rsidP="00FE26E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15CA2">
        <w:rPr>
          <w:rStyle w:val="Bodytext12ptItalic"/>
          <w:rFonts w:eastAsiaTheme="minorHAnsi"/>
          <w:i w:val="0"/>
        </w:rPr>
        <w:t>Z treści przepisu art. 74 ust. 2 wynika, że wykup nie ma cech opcjonalności dla emitenta oraz wykup może być dokonany w terminie krótszym niż okresy zastrzeżone w rozporządzeniu delegowanym.</w:t>
      </w:r>
      <w:r w:rsidR="00FE26E9">
        <w:rPr>
          <w:rStyle w:val="Bodytext12ptItalic"/>
          <w:rFonts w:eastAsiaTheme="minorHAnsi"/>
          <w:i w:val="0"/>
        </w:rPr>
        <w:t xml:space="preserve"> </w:t>
      </w:r>
      <w:r w:rsidRPr="00615CA2">
        <w:rPr>
          <w:rStyle w:val="Bodytext12ptItalic"/>
          <w:rFonts w:eastAsiaTheme="minorHAnsi"/>
          <w:i w:val="0"/>
        </w:rPr>
        <w:t>W związku z powyższym w</w:t>
      </w:r>
      <w:r w:rsidR="00FE26E9">
        <w:rPr>
          <w:rStyle w:val="Bodytext12ptItalic"/>
          <w:rFonts w:eastAsiaTheme="minorHAnsi"/>
          <w:i w:val="0"/>
        </w:rPr>
        <w:t xml:space="preserve"> </w:t>
      </w:r>
      <w:r w:rsidRPr="00615CA2">
        <w:rPr>
          <w:rStyle w:val="Bodytext12ptItalic"/>
          <w:rFonts w:eastAsiaTheme="minorHAnsi"/>
          <w:i w:val="0"/>
        </w:rPr>
        <w:t>praktyce zakłady ubezpieczeń i</w:t>
      </w:r>
      <w:r w:rsidR="00FE26E9">
        <w:rPr>
          <w:rStyle w:val="Bodytext12ptItalic"/>
          <w:rFonts w:eastAsiaTheme="minorHAnsi"/>
          <w:i w:val="0"/>
        </w:rPr>
        <w:t xml:space="preserve"> </w:t>
      </w:r>
      <w:r w:rsidRPr="00615CA2">
        <w:rPr>
          <w:rStyle w:val="Bodytext12ptItalic"/>
          <w:rFonts w:eastAsiaTheme="minorHAnsi"/>
          <w:i w:val="0"/>
        </w:rPr>
        <w:t>zakłady reasekuracji nie mają możliwości dokonania emisji długu podporządkowanego w formie obligacji w</w:t>
      </w:r>
      <w:r w:rsidR="00FE26E9">
        <w:rPr>
          <w:rStyle w:val="Bodytext12ptItalic"/>
          <w:rFonts w:eastAsiaTheme="minorHAnsi"/>
          <w:i w:val="0"/>
        </w:rPr>
        <w:t xml:space="preserve"> </w:t>
      </w:r>
      <w:r w:rsidRPr="00615CA2">
        <w:rPr>
          <w:rStyle w:val="Bodytext12ptItalic"/>
          <w:rFonts w:eastAsiaTheme="minorHAnsi"/>
          <w:i w:val="0"/>
        </w:rPr>
        <w:t>sposób spełniający równocześnie wymogi wynikające z ustawy o obligacjach oraz wymogi dla podstawowych środków własnych określone w rozporządzeniu delegowanym.</w:t>
      </w:r>
      <w:r w:rsidR="00FE26E9">
        <w:rPr>
          <w:rStyle w:val="Bodytext12ptItalic"/>
          <w:rFonts w:eastAsiaTheme="minorHAnsi"/>
          <w:i w:val="0"/>
        </w:rPr>
        <w:t xml:space="preserve"> </w:t>
      </w:r>
      <w:r w:rsidRPr="00615CA2">
        <w:rPr>
          <w:rStyle w:val="Bodytext12ptItalic"/>
          <w:rFonts w:eastAsiaTheme="minorHAnsi"/>
          <w:i w:val="0"/>
        </w:rPr>
        <w:t>Brzmienie art. 75 ust. 1 pkt 2 ustawy o</w:t>
      </w:r>
      <w:r w:rsidR="00FE26E9">
        <w:rPr>
          <w:rStyle w:val="Bodytext12ptItalic"/>
          <w:rFonts w:eastAsiaTheme="minorHAnsi"/>
          <w:i w:val="0"/>
        </w:rPr>
        <w:t> </w:t>
      </w:r>
      <w:r w:rsidRPr="00615CA2">
        <w:rPr>
          <w:rStyle w:val="Bodytext12ptItalic"/>
          <w:rFonts w:eastAsiaTheme="minorHAnsi"/>
          <w:i w:val="0"/>
        </w:rPr>
        <w:t>obligacjach, dotyczącego obligacji wieczystych</w:t>
      </w:r>
      <w:r>
        <w:rPr>
          <w:rStyle w:val="Bodytext12ptItalic"/>
          <w:rFonts w:eastAsiaTheme="minorHAnsi"/>
        </w:rPr>
        <w:t xml:space="preserve">, </w:t>
      </w:r>
      <w:r w:rsidRPr="00615CA2">
        <w:rPr>
          <w:rStyle w:val="Bodytext12ptItalic"/>
          <w:rFonts w:eastAsiaTheme="minorHAnsi"/>
          <w:i w:val="0"/>
        </w:rPr>
        <w:t xml:space="preserve">zgodnie z </w:t>
      </w:r>
      <w:r w:rsidRPr="009D4826">
        <w:rPr>
          <w:rStyle w:val="Bodytext12ptItalic"/>
          <w:rFonts w:eastAsiaTheme="minorHAnsi"/>
          <w:i w:val="0"/>
        </w:rPr>
        <w:t>którym</w:t>
      </w:r>
      <w:r w:rsidRPr="009D4826">
        <w:rPr>
          <w:rStyle w:val="Bodytext12ptItalic"/>
          <w:rFonts w:eastAsiaTheme="minorHAnsi"/>
        </w:rPr>
        <w:t xml:space="preserve"> </w:t>
      </w:r>
      <w:r w:rsidR="009D4826">
        <w:rPr>
          <w:rStyle w:val="Bodytext12ptItalic"/>
          <w:rFonts w:eastAsiaTheme="minorHAnsi"/>
          <w:i w:val="0"/>
        </w:rPr>
        <w:t>„</w:t>
      </w:r>
      <w:r w:rsidRPr="009D4826">
        <w:rPr>
          <w:rStyle w:val="Bodytext12ptItalic"/>
          <w:rFonts w:eastAsiaTheme="minorHAnsi"/>
          <w:i w:val="0"/>
        </w:rPr>
        <w:t>o</w:t>
      </w:r>
      <w:r w:rsidRPr="009D4826">
        <w:rPr>
          <w:rFonts w:ascii="Times New Roman" w:hAnsi="Times New Roman" w:cs="Times New Roman"/>
          <w:sz w:val="24"/>
          <w:szCs w:val="24"/>
        </w:rPr>
        <w:t>bligacje wieczyste stają się wymagalne w przypadku zwłoki emitenta w wypłacie wynikających z obligacji świadczeń pieniężnych przysługujących obligatariuszom</w:t>
      </w:r>
      <w:r w:rsidR="009D4826">
        <w:rPr>
          <w:rFonts w:ascii="Times New Roman" w:hAnsi="Times New Roman" w:cs="Times New Roman"/>
          <w:sz w:val="24"/>
          <w:szCs w:val="24"/>
        </w:rPr>
        <w:t>”,</w:t>
      </w:r>
      <w:r w:rsidRPr="009D4826">
        <w:rPr>
          <w:rStyle w:val="Bodytext12ptItalic"/>
          <w:rFonts w:eastAsiaTheme="minorHAnsi"/>
          <w:i w:val="0"/>
        </w:rPr>
        <w:t xml:space="preserve"> powoduje</w:t>
      </w:r>
      <w:r w:rsidRPr="00615CA2">
        <w:rPr>
          <w:rStyle w:val="Bodytext12ptItalic"/>
          <w:rFonts w:eastAsiaTheme="minorHAnsi"/>
          <w:i w:val="0"/>
        </w:rPr>
        <w:t xml:space="preserve"> analogiczne skutki dla podmiotów rynku ubezpieczeniowego.</w:t>
      </w:r>
      <w:r w:rsidR="00FE26E9">
        <w:rPr>
          <w:rStyle w:val="Bodytext12ptItalic"/>
          <w:rFonts w:eastAsiaTheme="minorHAnsi"/>
        </w:rPr>
        <w:t xml:space="preserve"> </w:t>
      </w:r>
    </w:p>
    <w:p w14:paraId="7240D211" w14:textId="0CAD421F" w:rsidR="00615CA2" w:rsidRDefault="00615CA2" w:rsidP="0034728B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Wprowadzenie proponowanych zmian pozwoliłoby zakładom ubezpieczeń i zakładom reasekuracji zainteresowanym emisją obligacji </w:t>
      </w:r>
      <w:r w:rsidR="00203B10">
        <w:rPr>
          <w:rFonts w:ascii="Times New Roman" w:hAnsi="Times New Roman" w:cs="Times New Roman"/>
          <w:sz w:val="24"/>
          <w:szCs w:val="24"/>
        </w:rPr>
        <w:t xml:space="preserve">podporządkowanych </w:t>
      </w:r>
      <w:r>
        <w:rPr>
          <w:rFonts w:ascii="Times New Roman" w:hAnsi="Times New Roman" w:cs="Times New Roman"/>
          <w:sz w:val="24"/>
          <w:szCs w:val="24"/>
        </w:rPr>
        <w:t>na zwiększenie wysokości posiadanych środków własnych stanowiących pokrycie wymogów kapitałowych i</w:t>
      </w:r>
      <w:r w:rsidR="00FE26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rozwój rynkowy tych podmiotów. </w:t>
      </w:r>
    </w:p>
    <w:p w14:paraId="466CC705" w14:textId="08EF282E" w:rsidR="0051365B" w:rsidRPr="004C1109" w:rsidRDefault="002B1DFD" w:rsidP="0034728B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emisji obligacji podporządkowanych lub obligacji wieczystych w celu zakwalifikowania ich jako pozycj</w:t>
      </w:r>
      <w:r w:rsidR="006C04A9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środków własnych, w</w:t>
      </w:r>
      <w:r w:rsidR="0051365B">
        <w:rPr>
          <w:rFonts w:ascii="Times New Roman" w:hAnsi="Times New Roman" w:cs="Times New Roman"/>
          <w:sz w:val="24"/>
          <w:szCs w:val="24"/>
        </w:rPr>
        <w:t xml:space="preserve"> zależności od spełnienia warunków zawartych </w:t>
      </w:r>
      <w:r w:rsidR="0084504B">
        <w:rPr>
          <w:rFonts w:ascii="Times New Roman" w:hAnsi="Times New Roman" w:cs="Times New Roman"/>
          <w:sz w:val="24"/>
          <w:szCs w:val="24"/>
        </w:rPr>
        <w:t xml:space="preserve">w </w:t>
      </w:r>
      <w:r w:rsidR="0051365B">
        <w:rPr>
          <w:rFonts w:ascii="Times New Roman" w:hAnsi="Times New Roman" w:cs="Times New Roman"/>
          <w:sz w:val="24"/>
          <w:szCs w:val="24"/>
        </w:rPr>
        <w:t xml:space="preserve">art. </w:t>
      </w:r>
      <w:r w:rsidR="00A1759D">
        <w:rPr>
          <w:rFonts w:ascii="Times New Roman" w:hAnsi="Times New Roman" w:cs="Times New Roman"/>
          <w:sz w:val="24"/>
          <w:szCs w:val="24"/>
        </w:rPr>
        <w:t>69</w:t>
      </w:r>
      <w:r w:rsidR="0051365B">
        <w:rPr>
          <w:rFonts w:ascii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hAnsi="Times New Roman" w:cs="Times New Roman"/>
          <w:sz w:val="24"/>
          <w:szCs w:val="24"/>
        </w:rPr>
        <w:t xml:space="preserve">art. </w:t>
      </w:r>
      <w:r w:rsidR="0051365B">
        <w:rPr>
          <w:rFonts w:ascii="Times New Roman" w:hAnsi="Times New Roman" w:cs="Times New Roman"/>
          <w:sz w:val="24"/>
          <w:szCs w:val="24"/>
        </w:rPr>
        <w:t>7</w:t>
      </w:r>
      <w:r w:rsidR="00A1759D">
        <w:rPr>
          <w:rFonts w:ascii="Times New Roman" w:hAnsi="Times New Roman" w:cs="Times New Roman"/>
          <w:sz w:val="24"/>
          <w:szCs w:val="24"/>
        </w:rPr>
        <w:t>1</w:t>
      </w:r>
      <w:r w:rsidR="0051365B">
        <w:rPr>
          <w:rFonts w:ascii="Times New Roman" w:hAnsi="Times New Roman" w:cs="Times New Roman"/>
          <w:sz w:val="24"/>
          <w:szCs w:val="24"/>
        </w:rPr>
        <w:t xml:space="preserve"> </w:t>
      </w:r>
      <w:r w:rsidR="00BB7AC0">
        <w:rPr>
          <w:rFonts w:ascii="Times New Roman" w:hAnsi="Times New Roman" w:cs="Times New Roman"/>
          <w:sz w:val="24"/>
          <w:szCs w:val="24"/>
        </w:rPr>
        <w:t>albo</w:t>
      </w:r>
      <w:r w:rsidR="0051365B">
        <w:rPr>
          <w:rFonts w:ascii="Times New Roman" w:hAnsi="Times New Roman" w:cs="Times New Roman"/>
          <w:sz w:val="24"/>
          <w:szCs w:val="24"/>
        </w:rPr>
        <w:t xml:space="preserve"> art. 7</w:t>
      </w:r>
      <w:r w:rsidR="00926AAA">
        <w:rPr>
          <w:rFonts w:ascii="Times New Roman" w:hAnsi="Times New Roman" w:cs="Times New Roman"/>
          <w:sz w:val="24"/>
          <w:szCs w:val="24"/>
        </w:rPr>
        <w:t>2</w:t>
      </w:r>
      <w:r w:rsidR="0051365B">
        <w:rPr>
          <w:rFonts w:ascii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hAnsi="Times New Roman" w:cs="Times New Roman"/>
          <w:sz w:val="24"/>
          <w:szCs w:val="24"/>
        </w:rPr>
        <w:t xml:space="preserve">art. </w:t>
      </w:r>
      <w:r w:rsidR="0051365B">
        <w:rPr>
          <w:rFonts w:ascii="Times New Roman" w:hAnsi="Times New Roman" w:cs="Times New Roman"/>
          <w:sz w:val="24"/>
          <w:szCs w:val="24"/>
        </w:rPr>
        <w:t>7</w:t>
      </w:r>
      <w:r w:rsidR="00926AAA">
        <w:rPr>
          <w:rFonts w:ascii="Times New Roman" w:hAnsi="Times New Roman" w:cs="Times New Roman"/>
          <w:sz w:val="24"/>
          <w:szCs w:val="24"/>
        </w:rPr>
        <w:t>3</w:t>
      </w:r>
      <w:r w:rsidR="0051365B">
        <w:rPr>
          <w:rFonts w:ascii="Times New Roman" w:hAnsi="Times New Roman" w:cs="Times New Roman"/>
          <w:sz w:val="24"/>
          <w:szCs w:val="24"/>
        </w:rPr>
        <w:t xml:space="preserve"> rozporządzenia delegowanego zakłady ubezpieczeń i zakłady reasekuracji będą klasyfikować emitowane obligacje do kategorii 1 podstawowych środków </w:t>
      </w:r>
      <w:r w:rsidR="00B233F6">
        <w:rPr>
          <w:rFonts w:ascii="Times New Roman" w:hAnsi="Times New Roman" w:cs="Times New Roman"/>
          <w:sz w:val="24"/>
          <w:szCs w:val="24"/>
        </w:rPr>
        <w:t xml:space="preserve">własnych </w:t>
      </w:r>
      <w:r w:rsidR="0051365B">
        <w:rPr>
          <w:rFonts w:ascii="Times New Roman" w:hAnsi="Times New Roman" w:cs="Times New Roman"/>
          <w:sz w:val="24"/>
          <w:szCs w:val="24"/>
        </w:rPr>
        <w:t>a</w:t>
      </w:r>
      <w:r w:rsidR="009B3819">
        <w:rPr>
          <w:rFonts w:ascii="Times New Roman" w:hAnsi="Times New Roman" w:cs="Times New Roman"/>
          <w:sz w:val="24"/>
          <w:szCs w:val="24"/>
        </w:rPr>
        <w:t>l</w:t>
      </w:r>
      <w:r w:rsidR="0051365B">
        <w:rPr>
          <w:rFonts w:ascii="Times New Roman" w:hAnsi="Times New Roman" w:cs="Times New Roman"/>
          <w:sz w:val="24"/>
          <w:szCs w:val="24"/>
        </w:rPr>
        <w:t>bo do kategorii</w:t>
      </w:r>
      <w:r w:rsidR="00FE26E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2</w:t>
      </w:r>
      <w:r w:rsidR="0051365B">
        <w:rPr>
          <w:rFonts w:ascii="Times New Roman" w:hAnsi="Times New Roman" w:cs="Times New Roman"/>
          <w:sz w:val="24"/>
          <w:szCs w:val="24"/>
        </w:rPr>
        <w:t xml:space="preserve"> podstawowych środków własnych. </w:t>
      </w:r>
    </w:p>
    <w:p w14:paraId="36E69107" w14:textId="77777777" w:rsidR="00ED690E" w:rsidRDefault="004B6DD6" w:rsidP="00ED690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D66">
        <w:rPr>
          <w:rFonts w:ascii="Times New Roman" w:hAnsi="Times New Roman" w:cs="Times New Roman"/>
          <w:sz w:val="24"/>
          <w:szCs w:val="24"/>
        </w:rPr>
        <w:lastRenderedPageBreak/>
        <w:t xml:space="preserve">Proponuje się, </w:t>
      </w:r>
      <w:r w:rsidR="00567BA7">
        <w:rPr>
          <w:rFonts w:ascii="Times New Roman" w:hAnsi="Times New Roman" w:cs="Times New Roman"/>
          <w:sz w:val="24"/>
          <w:szCs w:val="24"/>
        </w:rPr>
        <w:t>a</w:t>
      </w:r>
      <w:r w:rsidRPr="004F3D66">
        <w:rPr>
          <w:rFonts w:ascii="Times New Roman" w:hAnsi="Times New Roman" w:cs="Times New Roman"/>
          <w:sz w:val="24"/>
          <w:szCs w:val="24"/>
        </w:rPr>
        <w:t>by ustawa o zmianie ustawy o obligacjach weszła w życie z dniem następującym po dniu ogłoszenia. Wejście w życie ustawy z dniem następującym po dniu</w:t>
      </w:r>
      <w:r w:rsidR="00FE26E9">
        <w:rPr>
          <w:rFonts w:ascii="Times New Roman" w:hAnsi="Times New Roman" w:cs="Times New Roman"/>
          <w:sz w:val="24"/>
          <w:szCs w:val="24"/>
        </w:rPr>
        <w:t xml:space="preserve"> </w:t>
      </w:r>
      <w:r w:rsidRPr="004F3D66">
        <w:rPr>
          <w:rFonts w:ascii="Times New Roman" w:hAnsi="Times New Roman" w:cs="Times New Roman"/>
          <w:sz w:val="24"/>
          <w:szCs w:val="24"/>
        </w:rPr>
        <w:t>ogłoszenia nie spowoduje negatywnych skutków dla zakładów ubezpieczeń i</w:t>
      </w:r>
      <w:r w:rsidR="00FE26E9">
        <w:rPr>
          <w:rFonts w:ascii="Times New Roman" w:hAnsi="Times New Roman" w:cs="Times New Roman"/>
          <w:sz w:val="24"/>
          <w:szCs w:val="24"/>
        </w:rPr>
        <w:t> </w:t>
      </w:r>
      <w:r w:rsidRPr="004F3D66">
        <w:rPr>
          <w:rFonts w:ascii="Times New Roman" w:hAnsi="Times New Roman" w:cs="Times New Roman"/>
          <w:sz w:val="24"/>
          <w:szCs w:val="24"/>
        </w:rPr>
        <w:t xml:space="preserve">zakładów reasekuracji. Projekt zawiera korzystne rozwiązania dla zakładów ubezpieczeń i zakładów reasekuracji umożliwiające im emisję obligacji podporządkowanych posiadających cechy jakościowe określone w rozporządzeniu delegowanym. </w:t>
      </w:r>
      <w:r w:rsidR="0034554F" w:rsidRPr="004F3D66">
        <w:rPr>
          <w:rFonts w:ascii="Times New Roman" w:hAnsi="Times New Roman" w:cs="Times New Roman"/>
          <w:sz w:val="24"/>
          <w:szCs w:val="24"/>
        </w:rPr>
        <w:t xml:space="preserve">Jednocześnie w ten sposób zostanie zapewnione minimalne </w:t>
      </w:r>
      <w:r w:rsidR="0034554F" w:rsidRPr="00567BA7">
        <w:rPr>
          <w:rFonts w:ascii="Times New Roman" w:hAnsi="Times New Roman" w:cs="Times New Roman"/>
          <w:i/>
          <w:sz w:val="24"/>
          <w:szCs w:val="24"/>
        </w:rPr>
        <w:t>vacatio legis</w:t>
      </w:r>
      <w:r w:rsidR="0034554F" w:rsidRPr="004F3D66">
        <w:rPr>
          <w:rFonts w:ascii="Times New Roman" w:hAnsi="Times New Roman" w:cs="Times New Roman"/>
          <w:sz w:val="24"/>
          <w:szCs w:val="24"/>
        </w:rPr>
        <w:t xml:space="preserve"> dla nowej regulacji. Powyższe uzasadnia, zgodnie z § 1 ust. 2 uchwały nr 20 Rady Ministrów z dnia 18 lutego 2014 r. w sprawie zaleceń ujednolicenia terminów wejścia w życie niektórych aktów normatywnych (M.P. poz. 205), odstąpienie od zasady określonej w § 1 ust. 1 tej uchwały, w świetle której jeżeli akt normatywny zawiera przepisy określające warunki wykonywania działalności gospodarczej, termin wejścia w</w:t>
      </w:r>
      <w:r w:rsidR="00FE26E9">
        <w:rPr>
          <w:rFonts w:ascii="Times New Roman" w:hAnsi="Times New Roman" w:cs="Times New Roman"/>
          <w:sz w:val="24"/>
          <w:szCs w:val="24"/>
        </w:rPr>
        <w:t> </w:t>
      </w:r>
      <w:r w:rsidR="0034554F" w:rsidRPr="004F3D66">
        <w:rPr>
          <w:rFonts w:ascii="Times New Roman" w:hAnsi="Times New Roman" w:cs="Times New Roman"/>
          <w:sz w:val="24"/>
          <w:szCs w:val="24"/>
        </w:rPr>
        <w:t>życie tego aktu normatywnego powinien być wyznaczony na dzień 1 stycznia albo 1</w:t>
      </w:r>
      <w:r w:rsidR="00FE26E9">
        <w:rPr>
          <w:rFonts w:ascii="Times New Roman" w:hAnsi="Times New Roman" w:cs="Times New Roman"/>
          <w:sz w:val="24"/>
          <w:szCs w:val="24"/>
        </w:rPr>
        <w:t> </w:t>
      </w:r>
      <w:r w:rsidR="0034554F" w:rsidRPr="004F3D66">
        <w:rPr>
          <w:rFonts w:ascii="Times New Roman" w:hAnsi="Times New Roman" w:cs="Times New Roman"/>
          <w:sz w:val="24"/>
          <w:szCs w:val="24"/>
        </w:rPr>
        <w:t>czerwca.</w:t>
      </w:r>
      <w:r w:rsidR="001735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5682D8" w14:textId="46569D59" w:rsidR="00ED690E" w:rsidRPr="004F3D66" w:rsidRDefault="00ED690E" w:rsidP="00ED690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Wprowadzenie proponowanych zmian do </w:t>
      </w:r>
      <w:r w:rsidRPr="004F3D66">
        <w:rPr>
          <w:rFonts w:ascii="Times New Roman" w:hAnsi="Times New Roman" w:cs="Times New Roman"/>
          <w:sz w:val="24"/>
          <w:szCs w:val="24"/>
        </w:rPr>
        <w:t xml:space="preserve">ustawy o obligacjach </w:t>
      </w:r>
      <w:r>
        <w:rPr>
          <w:rFonts w:ascii="Times New Roman" w:hAnsi="Times New Roman" w:cs="Times New Roman"/>
          <w:sz w:val="24"/>
          <w:szCs w:val="24"/>
        </w:rPr>
        <w:t>nie będzie miało wpływu na sektor mikro-, małych i średnich przedsiębiorstw.</w:t>
      </w:r>
    </w:p>
    <w:p w14:paraId="171D425C" w14:textId="288AE2A5" w:rsidR="0034554F" w:rsidRPr="001E05E0" w:rsidRDefault="0034554F" w:rsidP="0034728B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5E0">
        <w:rPr>
          <w:rFonts w:ascii="Times New Roman" w:hAnsi="Times New Roman" w:cs="Times New Roman"/>
          <w:sz w:val="24"/>
          <w:szCs w:val="24"/>
        </w:rPr>
        <w:t>Projekt ustawy nie zawiera przepisów technicznych i nie podlega notyfikacji zgodnie z</w:t>
      </w:r>
      <w:r w:rsidR="00FE26E9">
        <w:rPr>
          <w:rFonts w:ascii="Times New Roman" w:hAnsi="Times New Roman" w:cs="Times New Roman"/>
          <w:sz w:val="24"/>
          <w:szCs w:val="24"/>
        </w:rPr>
        <w:t> </w:t>
      </w:r>
      <w:r w:rsidRPr="001E05E0">
        <w:rPr>
          <w:rFonts w:ascii="Times New Roman" w:hAnsi="Times New Roman" w:cs="Times New Roman"/>
          <w:sz w:val="24"/>
          <w:szCs w:val="24"/>
        </w:rPr>
        <w:t>trybem przewidzianym w przepisach dotyczących sposobu funkcjonowania krajowego systemu notyfikacji norm i aktów prawnych, tj. rozporządzeniu Rady Ministrów z dnia 23 grudnia 2002 r. w sprawie sposobu funkcjonowania krajowego systemu notyfikacji norm i aktów prawnych (Dz. U. poz. 2039 oraz z 2004 r. poz. 597).</w:t>
      </w:r>
    </w:p>
    <w:p w14:paraId="6039A39B" w14:textId="2550A247" w:rsidR="0034554F" w:rsidRPr="004F3D66" w:rsidRDefault="0034554F" w:rsidP="0034728B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D66">
        <w:rPr>
          <w:rFonts w:ascii="Times New Roman" w:hAnsi="Times New Roman" w:cs="Times New Roman"/>
          <w:sz w:val="24"/>
          <w:szCs w:val="24"/>
        </w:rPr>
        <w:t>Projekt nie wymaga przedstawiania go organom i instytucjom Unii Europejskiej w celu uzyskania opinii, dokonania powiadomienia, konsultacji albo uzgodnienia. W</w:t>
      </w:r>
      <w:r w:rsidR="00FE26E9">
        <w:rPr>
          <w:rFonts w:ascii="Times New Roman" w:hAnsi="Times New Roman" w:cs="Times New Roman"/>
          <w:sz w:val="24"/>
          <w:szCs w:val="24"/>
        </w:rPr>
        <w:t> </w:t>
      </w:r>
      <w:r w:rsidRPr="004F3D66">
        <w:rPr>
          <w:rFonts w:ascii="Times New Roman" w:hAnsi="Times New Roman" w:cs="Times New Roman"/>
          <w:sz w:val="24"/>
          <w:szCs w:val="24"/>
        </w:rPr>
        <w:t>szczególności, zgodnie z art. 2 ust. 1 decyzji Rady 98/415/WE z dnia 29 czerwca 1998 r. w sprawie konsultacji Europejskiego Banku Centralnego udzielanych władzom krajowym w sprawie projektów przepisów prawnych (Dz.</w:t>
      </w:r>
      <w:r w:rsidR="0034728B">
        <w:rPr>
          <w:rFonts w:ascii="Times New Roman" w:hAnsi="Times New Roman" w:cs="Times New Roman"/>
          <w:sz w:val="24"/>
          <w:szCs w:val="24"/>
        </w:rPr>
        <w:t xml:space="preserve"> </w:t>
      </w:r>
      <w:r w:rsidRPr="004F3D66">
        <w:rPr>
          <w:rFonts w:ascii="Times New Roman" w:hAnsi="Times New Roman" w:cs="Times New Roman"/>
          <w:sz w:val="24"/>
          <w:szCs w:val="24"/>
        </w:rPr>
        <w:t xml:space="preserve">Urz. </w:t>
      </w:r>
      <w:r w:rsidR="00ED690E">
        <w:rPr>
          <w:rFonts w:ascii="Times New Roman" w:hAnsi="Times New Roman" w:cs="Times New Roman"/>
          <w:sz w:val="24"/>
          <w:szCs w:val="24"/>
        </w:rPr>
        <w:t>U</w:t>
      </w:r>
      <w:r w:rsidRPr="004F3D66">
        <w:rPr>
          <w:rFonts w:ascii="Times New Roman" w:hAnsi="Times New Roman" w:cs="Times New Roman"/>
          <w:sz w:val="24"/>
          <w:szCs w:val="24"/>
        </w:rPr>
        <w:t>E L 189 z 03.07.1998, str. 42; Dz. Urz. UE Polskie Wydanie Specjalne rozdz. 1, t. 1, str. 446), projekt ustawy nie był przedmiotem konsultacji z Europejskim Bankiem Centralnym.</w:t>
      </w:r>
    </w:p>
    <w:p w14:paraId="043AA39F" w14:textId="1D6414B9" w:rsidR="0046222E" w:rsidRDefault="0046222E" w:rsidP="0034728B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D66">
        <w:rPr>
          <w:rFonts w:ascii="Times New Roman" w:hAnsi="Times New Roman" w:cs="Times New Roman"/>
          <w:sz w:val="24"/>
          <w:szCs w:val="24"/>
        </w:rPr>
        <w:t xml:space="preserve">Projekt ustawy jest zgodny z prawem Unii Europejskiej. </w:t>
      </w:r>
    </w:p>
    <w:sectPr w:rsidR="0046222E" w:rsidSect="00FE26E9">
      <w:footerReference w:type="default" r:id="rId12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EB9C8F" w14:textId="77777777" w:rsidR="007872C6" w:rsidRDefault="007872C6" w:rsidP="00337160">
      <w:pPr>
        <w:spacing w:after="0" w:line="240" w:lineRule="auto"/>
      </w:pPr>
      <w:r>
        <w:separator/>
      </w:r>
    </w:p>
  </w:endnote>
  <w:endnote w:type="continuationSeparator" w:id="0">
    <w:p w14:paraId="36E8DC64" w14:textId="77777777" w:rsidR="007872C6" w:rsidRDefault="007872C6" w:rsidP="00337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1562030"/>
      <w:docPartObj>
        <w:docPartGallery w:val="Page Numbers (Bottom of Page)"/>
        <w:docPartUnique/>
      </w:docPartObj>
    </w:sdtPr>
    <w:sdtEndPr/>
    <w:sdtContent>
      <w:p w14:paraId="05BA698C" w14:textId="59E9CEE4" w:rsidR="009F415D" w:rsidRDefault="00FE26E9" w:rsidP="00FE26E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06A5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161682" w14:textId="77777777" w:rsidR="007872C6" w:rsidRDefault="007872C6" w:rsidP="00337160">
      <w:pPr>
        <w:spacing w:after="0" w:line="240" w:lineRule="auto"/>
      </w:pPr>
      <w:r>
        <w:separator/>
      </w:r>
    </w:p>
  </w:footnote>
  <w:footnote w:type="continuationSeparator" w:id="0">
    <w:p w14:paraId="39F80BB0" w14:textId="77777777" w:rsidR="007872C6" w:rsidRDefault="007872C6" w:rsidP="003371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A180C"/>
    <w:multiLevelType w:val="hybridMultilevel"/>
    <w:tmpl w:val="5C048FE0"/>
    <w:lvl w:ilvl="0" w:tplc="80FCBA6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8ED2D98"/>
    <w:multiLevelType w:val="hybridMultilevel"/>
    <w:tmpl w:val="DDFED58A"/>
    <w:lvl w:ilvl="0" w:tplc="F020B4A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76E9C"/>
    <w:multiLevelType w:val="hybridMultilevel"/>
    <w:tmpl w:val="8946BDF4"/>
    <w:lvl w:ilvl="0" w:tplc="9A46E4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8F7F72"/>
    <w:multiLevelType w:val="hybridMultilevel"/>
    <w:tmpl w:val="2DCE9760"/>
    <w:lvl w:ilvl="0" w:tplc="D592FD7C">
      <w:start w:val="1"/>
      <w:numFmt w:val="decimal"/>
      <w:lvlText w:val="%1)"/>
      <w:lvlJc w:val="left"/>
      <w:pPr>
        <w:ind w:left="1428" w:hanging="360"/>
      </w:pPr>
      <w:rPr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49544CC"/>
    <w:multiLevelType w:val="hybridMultilevel"/>
    <w:tmpl w:val="84A2C53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7D85E02"/>
    <w:multiLevelType w:val="hybridMultilevel"/>
    <w:tmpl w:val="BD2231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5F754A"/>
    <w:multiLevelType w:val="hybridMultilevel"/>
    <w:tmpl w:val="C30A0C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906A8D"/>
    <w:multiLevelType w:val="hybridMultilevel"/>
    <w:tmpl w:val="CEF2BD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1F1A47"/>
    <w:multiLevelType w:val="hybridMultilevel"/>
    <w:tmpl w:val="9EFA5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B7A91"/>
    <w:multiLevelType w:val="hybridMultilevel"/>
    <w:tmpl w:val="AAB219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3239D8"/>
    <w:multiLevelType w:val="hybridMultilevel"/>
    <w:tmpl w:val="0826E8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2E66C5"/>
    <w:multiLevelType w:val="hybridMultilevel"/>
    <w:tmpl w:val="AD7052D6"/>
    <w:lvl w:ilvl="0" w:tplc="A99684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6876DB"/>
    <w:multiLevelType w:val="hybridMultilevel"/>
    <w:tmpl w:val="DF3C7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5E45B1"/>
    <w:multiLevelType w:val="hybridMultilevel"/>
    <w:tmpl w:val="8AC2D7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CF1A12"/>
    <w:multiLevelType w:val="hybridMultilevel"/>
    <w:tmpl w:val="7EE23D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66211C"/>
    <w:multiLevelType w:val="hybridMultilevel"/>
    <w:tmpl w:val="30E40A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323428"/>
    <w:multiLevelType w:val="hybridMultilevel"/>
    <w:tmpl w:val="4852EBD4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>
    <w:nsid w:val="30416B9C"/>
    <w:multiLevelType w:val="hybridMultilevel"/>
    <w:tmpl w:val="210E6D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6D660A"/>
    <w:multiLevelType w:val="hybridMultilevel"/>
    <w:tmpl w:val="A3DE05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8037D2"/>
    <w:multiLevelType w:val="hybridMultilevel"/>
    <w:tmpl w:val="747AF9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117474"/>
    <w:multiLevelType w:val="hybridMultilevel"/>
    <w:tmpl w:val="CBFAC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023F3D"/>
    <w:multiLevelType w:val="hybridMultilevel"/>
    <w:tmpl w:val="AF388806"/>
    <w:lvl w:ilvl="0" w:tplc="D6DAFA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BF26A6"/>
    <w:multiLevelType w:val="hybridMultilevel"/>
    <w:tmpl w:val="2DCE9760"/>
    <w:lvl w:ilvl="0" w:tplc="D592FD7C">
      <w:start w:val="1"/>
      <w:numFmt w:val="decimal"/>
      <w:lvlText w:val="%1)"/>
      <w:lvlJc w:val="left"/>
      <w:pPr>
        <w:ind w:left="1428" w:hanging="360"/>
      </w:pPr>
      <w:rPr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3F607F84"/>
    <w:multiLevelType w:val="hybridMultilevel"/>
    <w:tmpl w:val="393C3DF8"/>
    <w:lvl w:ilvl="0" w:tplc="F08028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287120"/>
    <w:multiLevelType w:val="hybridMultilevel"/>
    <w:tmpl w:val="671C2878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5">
    <w:nsid w:val="4A7228C6"/>
    <w:multiLevelType w:val="hybridMultilevel"/>
    <w:tmpl w:val="92D462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161A44"/>
    <w:multiLevelType w:val="hybridMultilevel"/>
    <w:tmpl w:val="92D462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355ACE"/>
    <w:multiLevelType w:val="hybridMultilevel"/>
    <w:tmpl w:val="7F92A9F4"/>
    <w:lvl w:ilvl="0" w:tplc="7A322C7C">
      <w:start w:val="1"/>
      <w:numFmt w:val="decimal"/>
      <w:lvlText w:val="%1.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51840636"/>
    <w:multiLevelType w:val="hybridMultilevel"/>
    <w:tmpl w:val="F8E050BE"/>
    <w:lvl w:ilvl="0" w:tplc="56321C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AF66DC"/>
    <w:multiLevelType w:val="hybridMultilevel"/>
    <w:tmpl w:val="9EFA48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AE1FD8"/>
    <w:multiLevelType w:val="hybridMultilevel"/>
    <w:tmpl w:val="55F622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AF6A90"/>
    <w:multiLevelType w:val="hybridMultilevel"/>
    <w:tmpl w:val="D9FACD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7A0552"/>
    <w:multiLevelType w:val="hybridMultilevel"/>
    <w:tmpl w:val="6FF8F0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0D06E0"/>
    <w:multiLevelType w:val="hybridMultilevel"/>
    <w:tmpl w:val="05A6F58A"/>
    <w:lvl w:ilvl="0" w:tplc="6492A3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8DB6C0F"/>
    <w:multiLevelType w:val="hybridMultilevel"/>
    <w:tmpl w:val="A7EEC1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1D2E56"/>
    <w:multiLevelType w:val="hybridMultilevel"/>
    <w:tmpl w:val="84A2C53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F0B446D"/>
    <w:multiLevelType w:val="hybridMultilevel"/>
    <w:tmpl w:val="9B103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217965"/>
    <w:multiLevelType w:val="hybridMultilevel"/>
    <w:tmpl w:val="D116CE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4418E1"/>
    <w:multiLevelType w:val="hybridMultilevel"/>
    <w:tmpl w:val="106EC6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7C0501"/>
    <w:multiLevelType w:val="hybridMultilevel"/>
    <w:tmpl w:val="3192F3D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2FD2338"/>
    <w:multiLevelType w:val="hybridMultilevel"/>
    <w:tmpl w:val="164CBF7E"/>
    <w:lvl w:ilvl="0" w:tplc="F020B4A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5B6401"/>
    <w:multiLevelType w:val="hybridMultilevel"/>
    <w:tmpl w:val="44DAD0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9C6F26"/>
    <w:multiLevelType w:val="hybridMultilevel"/>
    <w:tmpl w:val="106EC6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776ABD"/>
    <w:multiLevelType w:val="hybridMultilevel"/>
    <w:tmpl w:val="EA6A6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620CCD"/>
    <w:multiLevelType w:val="hybridMultilevel"/>
    <w:tmpl w:val="747AF9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0C5A2F"/>
    <w:multiLevelType w:val="hybridMultilevel"/>
    <w:tmpl w:val="EF5A08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7"/>
  </w:num>
  <w:num w:numId="4">
    <w:abstractNumId w:val="21"/>
  </w:num>
  <w:num w:numId="5">
    <w:abstractNumId w:val="13"/>
  </w:num>
  <w:num w:numId="6">
    <w:abstractNumId w:val="2"/>
  </w:num>
  <w:num w:numId="7">
    <w:abstractNumId w:val="40"/>
  </w:num>
  <w:num w:numId="8">
    <w:abstractNumId w:val="34"/>
  </w:num>
  <w:num w:numId="9">
    <w:abstractNumId w:val="12"/>
  </w:num>
  <w:num w:numId="10">
    <w:abstractNumId w:val="41"/>
  </w:num>
  <w:num w:numId="11">
    <w:abstractNumId w:val="23"/>
  </w:num>
  <w:num w:numId="12">
    <w:abstractNumId w:val="5"/>
  </w:num>
  <w:num w:numId="13">
    <w:abstractNumId w:val="24"/>
  </w:num>
  <w:num w:numId="14">
    <w:abstractNumId w:val="39"/>
  </w:num>
  <w:num w:numId="15">
    <w:abstractNumId w:val="1"/>
  </w:num>
  <w:num w:numId="16">
    <w:abstractNumId w:val="16"/>
  </w:num>
  <w:num w:numId="17">
    <w:abstractNumId w:val="28"/>
  </w:num>
  <w:num w:numId="18">
    <w:abstractNumId w:val="20"/>
  </w:num>
  <w:num w:numId="19">
    <w:abstractNumId w:val="44"/>
  </w:num>
  <w:num w:numId="20">
    <w:abstractNumId w:val="30"/>
  </w:num>
  <w:num w:numId="21">
    <w:abstractNumId w:val="19"/>
  </w:num>
  <w:num w:numId="22">
    <w:abstractNumId w:val="11"/>
  </w:num>
  <w:num w:numId="23">
    <w:abstractNumId w:val="10"/>
  </w:num>
  <w:num w:numId="24">
    <w:abstractNumId w:val="26"/>
  </w:num>
  <w:num w:numId="25">
    <w:abstractNumId w:val="25"/>
  </w:num>
  <w:num w:numId="26">
    <w:abstractNumId w:val="43"/>
  </w:num>
  <w:num w:numId="27">
    <w:abstractNumId w:val="14"/>
  </w:num>
  <w:num w:numId="28">
    <w:abstractNumId w:val="42"/>
  </w:num>
  <w:num w:numId="29">
    <w:abstractNumId w:val="38"/>
  </w:num>
  <w:num w:numId="30">
    <w:abstractNumId w:val="33"/>
  </w:num>
  <w:num w:numId="31">
    <w:abstractNumId w:val="36"/>
  </w:num>
  <w:num w:numId="32">
    <w:abstractNumId w:val="15"/>
  </w:num>
  <w:num w:numId="33">
    <w:abstractNumId w:val="17"/>
  </w:num>
  <w:num w:numId="34">
    <w:abstractNumId w:val="8"/>
  </w:num>
  <w:num w:numId="35">
    <w:abstractNumId w:val="32"/>
  </w:num>
  <w:num w:numId="36">
    <w:abstractNumId w:val="31"/>
  </w:num>
  <w:num w:numId="37">
    <w:abstractNumId w:val="29"/>
  </w:num>
  <w:num w:numId="38">
    <w:abstractNumId w:val="22"/>
  </w:num>
  <w:num w:numId="39">
    <w:abstractNumId w:val="0"/>
  </w:num>
  <w:num w:numId="40">
    <w:abstractNumId w:val="45"/>
  </w:num>
  <w:num w:numId="41">
    <w:abstractNumId w:val="6"/>
  </w:num>
  <w:num w:numId="42">
    <w:abstractNumId w:val="3"/>
  </w:num>
  <w:num w:numId="43">
    <w:abstractNumId w:val="18"/>
  </w:num>
  <w:num w:numId="44">
    <w:abstractNumId w:val="35"/>
  </w:num>
  <w:num w:numId="45">
    <w:abstractNumId w:val="37"/>
  </w:num>
  <w:num w:numId="46">
    <w:abstractNumId w:val="4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98B"/>
    <w:rsid w:val="00000B95"/>
    <w:rsid w:val="000013E9"/>
    <w:rsid w:val="000034E9"/>
    <w:rsid w:val="00006F00"/>
    <w:rsid w:val="00011CAD"/>
    <w:rsid w:val="00021650"/>
    <w:rsid w:val="00030846"/>
    <w:rsid w:val="00030BEA"/>
    <w:rsid w:val="000443BB"/>
    <w:rsid w:val="0005194D"/>
    <w:rsid w:val="00052D27"/>
    <w:rsid w:val="000548E8"/>
    <w:rsid w:val="00060257"/>
    <w:rsid w:val="00064512"/>
    <w:rsid w:val="0007054C"/>
    <w:rsid w:val="00073A6A"/>
    <w:rsid w:val="00075D67"/>
    <w:rsid w:val="0008153C"/>
    <w:rsid w:val="00081AEA"/>
    <w:rsid w:val="000862E0"/>
    <w:rsid w:val="0009169D"/>
    <w:rsid w:val="000944C5"/>
    <w:rsid w:val="000A053B"/>
    <w:rsid w:val="000A72A4"/>
    <w:rsid w:val="000C4311"/>
    <w:rsid w:val="000C5FC5"/>
    <w:rsid w:val="000C74DB"/>
    <w:rsid w:val="000C7590"/>
    <w:rsid w:val="000D0948"/>
    <w:rsid w:val="000E6E1E"/>
    <w:rsid w:val="00106056"/>
    <w:rsid w:val="00113BDB"/>
    <w:rsid w:val="001178B7"/>
    <w:rsid w:val="00120BD8"/>
    <w:rsid w:val="00121D09"/>
    <w:rsid w:val="00126699"/>
    <w:rsid w:val="0013483D"/>
    <w:rsid w:val="00135CE9"/>
    <w:rsid w:val="00136DA3"/>
    <w:rsid w:val="0013730F"/>
    <w:rsid w:val="00152DF2"/>
    <w:rsid w:val="00173509"/>
    <w:rsid w:val="001A0C71"/>
    <w:rsid w:val="001A3710"/>
    <w:rsid w:val="001B590D"/>
    <w:rsid w:val="001B5F15"/>
    <w:rsid w:val="001D3B66"/>
    <w:rsid w:val="001E06A5"/>
    <w:rsid w:val="001E142A"/>
    <w:rsid w:val="001E1B5C"/>
    <w:rsid w:val="001E40EF"/>
    <w:rsid w:val="001F4973"/>
    <w:rsid w:val="00203B10"/>
    <w:rsid w:val="00203B3E"/>
    <w:rsid w:val="002111F3"/>
    <w:rsid w:val="002153EE"/>
    <w:rsid w:val="00217060"/>
    <w:rsid w:val="00231BC5"/>
    <w:rsid w:val="00231D0D"/>
    <w:rsid w:val="002378CF"/>
    <w:rsid w:val="002437AB"/>
    <w:rsid w:val="002461F1"/>
    <w:rsid w:val="002463A6"/>
    <w:rsid w:val="00260654"/>
    <w:rsid w:val="00283045"/>
    <w:rsid w:val="002851F3"/>
    <w:rsid w:val="002874E5"/>
    <w:rsid w:val="00290C7D"/>
    <w:rsid w:val="002B1DFD"/>
    <w:rsid w:val="002B6F85"/>
    <w:rsid w:val="002C743B"/>
    <w:rsid w:val="002D5E3C"/>
    <w:rsid w:val="002F36E8"/>
    <w:rsid w:val="002F4885"/>
    <w:rsid w:val="00301F90"/>
    <w:rsid w:val="0030204A"/>
    <w:rsid w:val="00315799"/>
    <w:rsid w:val="00316DC5"/>
    <w:rsid w:val="00337160"/>
    <w:rsid w:val="0034554F"/>
    <w:rsid w:val="0034728B"/>
    <w:rsid w:val="00355747"/>
    <w:rsid w:val="00367400"/>
    <w:rsid w:val="0037045D"/>
    <w:rsid w:val="0038182A"/>
    <w:rsid w:val="003819A9"/>
    <w:rsid w:val="00391142"/>
    <w:rsid w:val="00397903"/>
    <w:rsid w:val="003B3FD9"/>
    <w:rsid w:val="003B5496"/>
    <w:rsid w:val="003B5D99"/>
    <w:rsid w:val="003B64EA"/>
    <w:rsid w:val="003B7A4B"/>
    <w:rsid w:val="003C3F83"/>
    <w:rsid w:val="003C674B"/>
    <w:rsid w:val="003D54D1"/>
    <w:rsid w:val="003D7233"/>
    <w:rsid w:val="003F2AA9"/>
    <w:rsid w:val="003F576A"/>
    <w:rsid w:val="003F6D8D"/>
    <w:rsid w:val="0040515B"/>
    <w:rsid w:val="00416AC2"/>
    <w:rsid w:val="00422863"/>
    <w:rsid w:val="00424030"/>
    <w:rsid w:val="00424ACD"/>
    <w:rsid w:val="004433C0"/>
    <w:rsid w:val="0044488B"/>
    <w:rsid w:val="00447AF2"/>
    <w:rsid w:val="0045498F"/>
    <w:rsid w:val="00460294"/>
    <w:rsid w:val="0046222E"/>
    <w:rsid w:val="00467BD1"/>
    <w:rsid w:val="004A5DCF"/>
    <w:rsid w:val="004B08BE"/>
    <w:rsid w:val="004B6DD6"/>
    <w:rsid w:val="004B7147"/>
    <w:rsid w:val="004C5CB2"/>
    <w:rsid w:val="004D026E"/>
    <w:rsid w:val="004D48D1"/>
    <w:rsid w:val="004E0E2E"/>
    <w:rsid w:val="004E333A"/>
    <w:rsid w:val="004E3CEF"/>
    <w:rsid w:val="004E6AA9"/>
    <w:rsid w:val="004E6C22"/>
    <w:rsid w:val="004F1654"/>
    <w:rsid w:val="004F3D66"/>
    <w:rsid w:val="00501225"/>
    <w:rsid w:val="0051365B"/>
    <w:rsid w:val="00516E97"/>
    <w:rsid w:val="00526CEE"/>
    <w:rsid w:val="00535DD3"/>
    <w:rsid w:val="005405EE"/>
    <w:rsid w:val="00545A43"/>
    <w:rsid w:val="0056340D"/>
    <w:rsid w:val="00567BA7"/>
    <w:rsid w:val="005801F9"/>
    <w:rsid w:val="00584857"/>
    <w:rsid w:val="005855DE"/>
    <w:rsid w:val="00587D2E"/>
    <w:rsid w:val="00594E46"/>
    <w:rsid w:val="005A6A99"/>
    <w:rsid w:val="005A7B65"/>
    <w:rsid w:val="005C5C79"/>
    <w:rsid w:val="005D5559"/>
    <w:rsid w:val="005E0138"/>
    <w:rsid w:val="005F6E76"/>
    <w:rsid w:val="00606047"/>
    <w:rsid w:val="006077BC"/>
    <w:rsid w:val="00615CA2"/>
    <w:rsid w:val="00631F78"/>
    <w:rsid w:val="00636E34"/>
    <w:rsid w:val="00637287"/>
    <w:rsid w:val="006379BF"/>
    <w:rsid w:val="006466A3"/>
    <w:rsid w:val="00647BF3"/>
    <w:rsid w:val="0065745C"/>
    <w:rsid w:val="00660903"/>
    <w:rsid w:val="0066390B"/>
    <w:rsid w:val="00664C98"/>
    <w:rsid w:val="006700FC"/>
    <w:rsid w:val="00672257"/>
    <w:rsid w:val="00673F8A"/>
    <w:rsid w:val="0068352A"/>
    <w:rsid w:val="00684065"/>
    <w:rsid w:val="0068507C"/>
    <w:rsid w:val="006A1AA7"/>
    <w:rsid w:val="006A7C68"/>
    <w:rsid w:val="006B72E4"/>
    <w:rsid w:val="006C04A9"/>
    <w:rsid w:val="006C47F4"/>
    <w:rsid w:val="006C4ADF"/>
    <w:rsid w:val="006D51CA"/>
    <w:rsid w:val="006E3CAD"/>
    <w:rsid w:val="006E5CA2"/>
    <w:rsid w:val="006F21F1"/>
    <w:rsid w:val="007115BB"/>
    <w:rsid w:val="007146D0"/>
    <w:rsid w:val="00732AF9"/>
    <w:rsid w:val="00733785"/>
    <w:rsid w:val="00736859"/>
    <w:rsid w:val="00743568"/>
    <w:rsid w:val="00743AB3"/>
    <w:rsid w:val="00745027"/>
    <w:rsid w:val="007466D1"/>
    <w:rsid w:val="0075345F"/>
    <w:rsid w:val="007735AE"/>
    <w:rsid w:val="00786E22"/>
    <w:rsid w:val="007872C6"/>
    <w:rsid w:val="00787540"/>
    <w:rsid w:val="00787F80"/>
    <w:rsid w:val="00793F09"/>
    <w:rsid w:val="007A392C"/>
    <w:rsid w:val="007B5436"/>
    <w:rsid w:val="007B7414"/>
    <w:rsid w:val="007C4331"/>
    <w:rsid w:val="007D3F44"/>
    <w:rsid w:val="007E3B7C"/>
    <w:rsid w:val="007E50E9"/>
    <w:rsid w:val="007E6E5A"/>
    <w:rsid w:val="008030F4"/>
    <w:rsid w:val="00806F93"/>
    <w:rsid w:val="0081402F"/>
    <w:rsid w:val="00824528"/>
    <w:rsid w:val="008332EA"/>
    <w:rsid w:val="0083474B"/>
    <w:rsid w:val="00834D7C"/>
    <w:rsid w:val="0084504B"/>
    <w:rsid w:val="00846BE7"/>
    <w:rsid w:val="008655FF"/>
    <w:rsid w:val="00866E47"/>
    <w:rsid w:val="00877605"/>
    <w:rsid w:val="00893E93"/>
    <w:rsid w:val="00895C69"/>
    <w:rsid w:val="008A10F8"/>
    <w:rsid w:val="008A17E5"/>
    <w:rsid w:val="008A1F03"/>
    <w:rsid w:val="008A598B"/>
    <w:rsid w:val="008A7F35"/>
    <w:rsid w:val="008B157B"/>
    <w:rsid w:val="008B3054"/>
    <w:rsid w:val="008B50EB"/>
    <w:rsid w:val="008C32E9"/>
    <w:rsid w:val="008C5283"/>
    <w:rsid w:val="008C7F0B"/>
    <w:rsid w:val="008D6729"/>
    <w:rsid w:val="008D6C33"/>
    <w:rsid w:val="008E0624"/>
    <w:rsid w:val="008F42A7"/>
    <w:rsid w:val="00903DDA"/>
    <w:rsid w:val="00912C8F"/>
    <w:rsid w:val="00922F81"/>
    <w:rsid w:val="00924D24"/>
    <w:rsid w:val="00926AAA"/>
    <w:rsid w:val="00933AB6"/>
    <w:rsid w:val="00940DFF"/>
    <w:rsid w:val="0095093B"/>
    <w:rsid w:val="009544C0"/>
    <w:rsid w:val="00990504"/>
    <w:rsid w:val="00993A65"/>
    <w:rsid w:val="0099743D"/>
    <w:rsid w:val="009A12EB"/>
    <w:rsid w:val="009A3298"/>
    <w:rsid w:val="009B214C"/>
    <w:rsid w:val="009B3819"/>
    <w:rsid w:val="009D4826"/>
    <w:rsid w:val="009E1D71"/>
    <w:rsid w:val="009E6597"/>
    <w:rsid w:val="009F415D"/>
    <w:rsid w:val="009F51DB"/>
    <w:rsid w:val="009F727D"/>
    <w:rsid w:val="009F7B20"/>
    <w:rsid w:val="00A05459"/>
    <w:rsid w:val="00A06014"/>
    <w:rsid w:val="00A0651D"/>
    <w:rsid w:val="00A1112E"/>
    <w:rsid w:val="00A1759D"/>
    <w:rsid w:val="00A25826"/>
    <w:rsid w:val="00A31061"/>
    <w:rsid w:val="00A31394"/>
    <w:rsid w:val="00A31C41"/>
    <w:rsid w:val="00A33DED"/>
    <w:rsid w:val="00A60268"/>
    <w:rsid w:val="00A61291"/>
    <w:rsid w:val="00A616A9"/>
    <w:rsid w:val="00A62C3A"/>
    <w:rsid w:val="00A8106C"/>
    <w:rsid w:val="00A81109"/>
    <w:rsid w:val="00A81DA3"/>
    <w:rsid w:val="00A86AAF"/>
    <w:rsid w:val="00A90004"/>
    <w:rsid w:val="00A934B7"/>
    <w:rsid w:val="00AA1ACA"/>
    <w:rsid w:val="00AA7F5C"/>
    <w:rsid w:val="00AB302A"/>
    <w:rsid w:val="00AC13DA"/>
    <w:rsid w:val="00AC1B65"/>
    <w:rsid w:val="00AC2668"/>
    <w:rsid w:val="00AC288B"/>
    <w:rsid w:val="00AD3FB4"/>
    <w:rsid w:val="00AD4BE2"/>
    <w:rsid w:val="00AD61F9"/>
    <w:rsid w:val="00AE1946"/>
    <w:rsid w:val="00AE1988"/>
    <w:rsid w:val="00AE53FC"/>
    <w:rsid w:val="00AE76A3"/>
    <w:rsid w:val="00B03F3B"/>
    <w:rsid w:val="00B173F1"/>
    <w:rsid w:val="00B233F6"/>
    <w:rsid w:val="00B35B16"/>
    <w:rsid w:val="00B41582"/>
    <w:rsid w:val="00B60E50"/>
    <w:rsid w:val="00B6309F"/>
    <w:rsid w:val="00B650BB"/>
    <w:rsid w:val="00B75EFD"/>
    <w:rsid w:val="00B8187E"/>
    <w:rsid w:val="00B82456"/>
    <w:rsid w:val="00B8276A"/>
    <w:rsid w:val="00B9276C"/>
    <w:rsid w:val="00B94481"/>
    <w:rsid w:val="00B969A9"/>
    <w:rsid w:val="00BB1CEB"/>
    <w:rsid w:val="00BB7AC0"/>
    <w:rsid w:val="00BC5261"/>
    <w:rsid w:val="00BD4657"/>
    <w:rsid w:val="00BE588A"/>
    <w:rsid w:val="00BF7437"/>
    <w:rsid w:val="00C03A61"/>
    <w:rsid w:val="00C10ED2"/>
    <w:rsid w:val="00C13561"/>
    <w:rsid w:val="00C225DD"/>
    <w:rsid w:val="00C23F00"/>
    <w:rsid w:val="00C37B82"/>
    <w:rsid w:val="00C45166"/>
    <w:rsid w:val="00C57778"/>
    <w:rsid w:val="00C7113C"/>
    <w:rsid w:val="00C76AFA"/>
    <w:rsid w:val="00C82C9E"/>
    <w:rsid w:val="00CB1BFD"/>
    <w:rsid w:val="00CB5D15"/>
    <w:rsid w:val="00CB6D97"/>
    <w:rsid w:val="00CB75A4"/>
    <w:rsid w:val="00CC396A"/>
    <w:rsid w:val="00CD7AA0"/>
    <w:rsid w:val="00CE155A"/>
    <w:rsid w:val="00CE2D12"/>
    <w:rsid w:val="00CE5D2D"/>
    <w:rsid w:val="00CE6CF3"/>
    <w:rsid w:val="00CF0502"/>
    <w:rsid w:val="00CF116F"/>
    <w:rsid w:val="00CF12E4"/>
    <w:rsid w:val="00CF44BE"/>
    <w:rsid w:val="00CF6724"/>
    <w:rsid w:val="00D30391"/>
    <w:rsid w:val="00D31CA9"/>
    <w:rsid w:val="00D45472"/>
    <w:rsid w:val="00D52A1E"/>
    <w:rsid w:val="00D71D83"/>
    <w:rsid w:val="00D72A52"/>
    <w:rsid w:val="00D7346D"/>
    <w:rsid w:val="00DC38D0"/>
    <w:rsid w:val="00DD1218"/>
    <w:rsid w:val="00DE253C"/>
    <w:rsid w:val="00DF1819"/>
    <w:rsid w:val="00DF3F4C"/>
    <w:rsid w:val="00DF7DDA"/>
    <w:rsid w:val="00E10DA3"/>
    <w:rsid w:val="00E11FBE"/>
    <w:rsid w:val="00E13518"/>
    <w:rsid w:val="00E228FF"/>
    <w:rsid w:val="00E31065"/>
    <w:rsid w:val="00E3709A"/>
    <w:rsid w:val="00E442FE"/>
    <w:rsid w:val="00E502D5"/>
    <w:rsid w:val="00E6283F"/>
    <w:rsid w:val="00E763EA"/>
    <w:rsid w:val="00E767B5"/>
    <w:rsid w:val="00E815E4"/>
    <w:rsid w:val="00E836C4"/>
    <w:rsid w:val="00E846B9"/>
    <w:rsid w:val="00E8778A"/>
    <w:rsid w:val="00EA76D7"/>
    <w:rsid w:val="00EB35A4"/>
    <w:rsid w:val="00ED690E"/>
    <w:rsid w:val="00EE468B"/>
    <w:rsid w:val="00F07391"/>
    <w:rsid w:val="00F209CD"/>
    <w:rsid w:val="00F40B45"/>
    <w:rsid w:val="00F47311"/>
    <w:rsid w:val="00F54500"/>
    <w:rsid w:val="00F602BF"/>
    <w:rsid w:val="00F6187E"/>
    <w:rsid w:val="00F61999"/>
    <w:rsid w:val="00F62CB5"/>
    <w:rsid w:val="00F636F6"/>
    <w:rsid w:val="00F6548D"/>
    <w:rsid w:val="00F65CA5"/>
    <w:rsid w:val="00F70394"/>
    <w:rsid w:val="00F80D54"/>
    <w:rsid w:val="00F876B0"/>
    <w:rsid w:val="00F94284"/>
    <w:rsid w:val="00FC6DE1"/>
    <w:rsid w:val="00FD539C"/>
    <w:rsid w:val="00FD6C99"/>
    <w:rsid w:val="00FE26E9"/>
    <w:rsid w:val="00FE2AED"/>
    <w:rsid w:val="00FE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FBE05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1225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0122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abulatory">
    <w:name w:val="tabulatory"/>
    <w:basedOn w:val="Domylnaczcionkaakapitu"/>
    <w:rsid w:val="008A598B"/>
  </w:style>
  <w:style w:type="character" w:styleId="Odwoaniedokomentarza">
    <w:name w:val="annotation reference"/>
    <w:basedOn w:val="Domylnaczcionkaakapitu"/>
    <w:uiPriority w:val="99"/>
    <w:semiHidden/>
    <w:unhideWhenUsed/>
    <w:rsid w:val="008332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332E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332E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32E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32E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3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32E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50122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5012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5012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501225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501225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501225"/>
    <w:rPr>
      <w:b w:val="0"/>
      <w:i w:val="0"/>
      <w:vanish w:val="0"/>
      <w:spacing w:val="0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0122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5012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0122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5012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punkt">
    <w:name w:val="PKT – punkt"/>
    <w:uiPriority w:val="16"/>
    <w:qFormat/>
    <w:rsid w:val="0050122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FRAGzmfragmentunpzdaniaartykuempunktem">
    <w:name w:val="Z/FRAG – zm. fragmentu (np. zdania) artykułem (punktem)"/>
    <w:basedOn w:val="Normalny"/>
    <w:next w:val="PKTpunkt"/>
    <w:uiPriority w:val="36"/>
    <w:qFormat/>
    <w:rsid w:val="00501225"/>
    <w:pPr>
      <w:suppressAutoHyphens/>
      <w:autoSpaceDE w:val="0"/>
      <w:autoSpaceDN w:val="0"/>
      <w:adjustRightInd w:val="0"/>
      <w:spacing w:after="0" w:line="360" w:lineRule="auto"/>
      <w:ind w:left="510"/>
      <w:jc w:val="both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LITlitera">
    <w:name w:val="LIT – litera"/>
    <w:basedOn w:val="Normalny"/>
    <w:uiPriority w:val="17"/>
    <w:qFormat/>
    <w:rsid w:val="00501225"/>
    <w:pPr>
      <w:spacing w:after="0" w:line="360" w:lineRule="auto"/>
      <w:ind w:left="986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LITFRAGzmlitfragmentunpzdanialiter">
    <w:name w:val="Z_LIT/FRAG – zm. lit. fragmentu (np. zdania) literą"/>
    <w:basedOn w:val="Normalny"/>
    <w:next w:val="LITlitera"/>
    <w:uiPriority w:val="52"/>
    <w:qFormat/>
    <w:rsid w:val="00501225"/>
    <w:pPr>
      <w:suppressAutoHyphens/>
      <w:autoSpaceDE w:val="0"/>
      <w:autoSpaceDN w:val="0"/>
      <w:adjustRightInd w:val="0"/>
      <w:spacing w:after="0" w:line="360" w:lineRule="auto"/>
      <w:ind w:left="987"/>
      <w:jc w:val="both"/>
    </w:pPr>
    <w:rPr>
      <w:rFonts w:ascii="Times New Roman" w:eastAsiaTheme="minorEastAsia" w:hAnsi="Times New Roman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122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1225"/>
    <w:rPr>
      <w:sz w:val="20"/>
      <w:szCs w:val="20"/>
    </w:rPr>
  </w:style>
  <w:style w:type="paragraph" w:customStyle="1" w:styleId="CM44">
    <w:name w:val="CM4+4"/>
    <w:basedOn w:val="Normalny"/>
    <w:next w:val="Normalny"/>
    <w:uiPriority w:val="99"/>
    <w:rsid w:val="00501225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Times New Roman"/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501225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501225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501225"/>
    <w:pPr>
      <w:ind w:left="1497"/>
    </w:pPr>
  </w:style>
  <w:style w:type="paragraph" w:customStyle="1" w:styleId="ZLITUSTzmustliter">
    <w:name w:val="Z_LIT/UST(§) – zm. ust. (§) literą"/>
    <w:basedOn w:val="Normalny"/>
    <w:uiPriority w:val="46"/>
    <w:qFormat/>
    <w:rsid w:val="00501225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Lista">
    <w:name w:val="List"/>
    <w:basedOn w:val="Normalny"/>
    <w:uiPriority w:val="99"/>
    <w:unhideWhenUsed/>
    <w:rsid w:val="00501225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uiPriority w:val="99"/>
    <w:unhideWhenUsed/>
    <w:rsid w:val="00501225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3">
    <w:name w:val="List 3"/>
    <w:basedOn w:val="Normalny"/>
    <w:uiPriority w:val="99"/>
    <w:unhideWhenUsed/>
    <w:rsid w:val="00501225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50122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012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501225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5012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0122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012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501225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5012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artustawynprozporzdzenia">
    <w:name w:val="ART(§) – art. ustawy (§ np. rozporządzenia)"/>
    <w:uiPriority w:val="14"/>
    <w:qFormat/>
    <w:rsid w:val="0050122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501225"/>
    <w:pPr>
      <w:spacing w:before="0"/>
    </w:pPr>
    <w:rPr>
      <w:bCs/>
    </w:rPr>
  </w:style>
  <w:style w:type="character" w:customStyle="1" w:styleId="Ppogrubienie">
    <w:name w:val="_P_ – pogrubienie"/>
    <w:basedOn w:val="Domylnaczcionkaakapitu"/>
    <w:uiPriority w:val="1"/>
    <w:qFormat/>
    <w:rsid w:val="00501225"/>
    <w:rPr>
      <w:b/>
    </w:rPr>
  </w:style>
  <w:style w:type="paragraph" w:styleId="Poprawka">
    <w:name w:val="Revision"/>
    <w:hidden/>
    <w:uiPriority w:val="99"/>
    <w:semiHidden/>
    <w:rsid w:val="00501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50122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371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371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A3710"/>
    <w:rPr>
      <w:vertAlign w:val="superscript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6390B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66390B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ROZDZODDZPRZEDMprzedmiotregulacjirozdziauluboddziau">
    <w:name w:val="ROZDZ(ODDZ)_PRZEDM – przedmiot regulacji rozdziału lub oddziału"/>
    <w:next w:val="Normalny"/>
    <w:uiPriority w:val="10"/>
    <w:qFormat/>
    <w:rsid w:val="0066390B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paragraph" w:customStyle="1" w:styleId="TYTDZPRZEDMprzedmiotregulacjitytuulubdziau">
    <w:name w:val="TYT(DZ)_PRZEDM – przedmiot regulacji tytułu lub działu"/>
    <w:next w:val="Normalny"/>
    <w:uiPriority w:val="9"/>
    <w:qFormat/>
    <w:rsid w:val="0066390B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OZNPROJEKTUwskazaniedatylubwersjiprojektu">
    <w:name w:val="OZN_PROJEKTU – wskazanie daty lub wersji projektu"/>
    <w:next w:val="Normalny"/>
    <w:uiPriority w:val="5"/>
    <w:qFormat/>
    <w:rsid w:val="0066390B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Bodytext12ptItalic">
    <w:name w:val="Body text + 12 pt;Italic"/>
    <w:basedOn w:val="Domylnaczcionkaakapitu"/>
    <w:rsid w:val="00615CA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Bodytext6">
    <w:name w:val="Body text (6)_"/>
    <w:basedOn w:val="Domylnaczcionkaakapitu"/>
    <w:link w:val="Bodytext60"/>
    <w:rsid w:val="00615CA2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Bodytext60">
    <w:name w:val="Body text (6)"/>
    <w:basedOn w:val="Normalny"/>
    <w:link w:val="Bodytext6"/>
    <w:rsid w:val="00615CA2"/>
    <w:pPr>
      <w:shd w:val="clear" w:color="auto" w:fill="FFFFFF"/>
      <w:spacing w:before="780" w:after="0" w:line="0" w:lineRule="atLeast"/>
    </w:pPr>
    <w:rPr>
      <w:rFonts w:ascii="Times New Roman" w:eastAsia="Times New Roman" w:hAnsi="Times New Roman" w:cs="Times New Roman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1225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0122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abulatory">
    <w:name w:val="tabulatory"/>
    <w:basedOn w:val="Domylnaczcionkaakapitu"/>
    <w:rsid w:val="008A598B"/>
  </w:style>
  <w:style w:type="character" w:styleId="Odwoaniedokomentarza">
    <w:name w:val="annotation reference"/>
    <w:basedOn w:val="Domylnaczcionkaakapitu"/>
    <w:uiPriority w:val="99"/>
    <w:semiHidden/>
    <w:unhideWhenUsed/>
    <w:rsid w:val="008332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332E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332E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32E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32E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3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32E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50122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5012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5012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501225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501225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501225"/>
    <w:rPr>
      <w:b w:val="0"/>
      <w:i w:val="0"/>
      <w:vanish w:val="0"/>
      <w:spacing w:val="0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0122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5012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0122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5012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punkt">
    <w:name w:val="PKT – punkt"/>
    <w:uiPriority w:val="16"/>
    <w:qFormat/>
    <w:rsid w:val="0050122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FRAGzmfragmentunpzdaniaartykuempunktem">
    <w:name w:val="Z/FRAG – zm. fragmentu (np. zdania) artykułem (punktem)"/>
    <w:basedOn w:val="Normalny"/>
    <w:next w:val="PKTpunkt"/>
    <w:uiPriority w:val="36"/>
    <w:qFormat/>
    <w:rsid w:val="00501225"/>
    <w:pPr>
      <w:suppressAutoHyphens/>
      <w:autoSpaceDE w:val="0"/>
      <w:autoSpaceDN w:val="0"/>
      <w:adjustRightInd w:val="0"/>
      <w:spacing w:after="0" w:line="360" w:lineRule="auto"/>
      <w:ind w:left="510"/>
      <w:jc w:val="both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LITlitera">
    <w:name w:val="LIT – litera"/>
    <w:basedOn w:val="Normalny"/>
    <w:uiPriority w:val="17"/>
    <w:qFormat/>
    <w:rsid w:val="00501225"/>
    <w:pPr>
      <w:spacing w:after="0" w:line="360" w:lineRule="auto"/>
      <w:ind w:left="986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LITFRAGzmlitfragmentunpzdanialiter">
    <w:name w:val="Z_LIT/FRAG – zm. lit. fragmentu (np. zdania) literą"/>
    <w:basedOn w:val="Normalny"/>
    <w:next w:val="LITlitera"/>
    <w:uiPriority w:val="52"/>
    <w:qFormat/>
    <w:rsid w:val="00501225"/>
    <w:pPr>
      <w:suppressAutoHyphens/>
      <w:autoSpaceDE w:val="0"/>
      <w:autoSpaceDN w:val="0"/>
      <w:adjustRightInd w:val="0"/>
      <w:spacing w:after="0" w:line="360" w:lineRule="auto"/>
      <w:ind w:left="987"/>
      <w:jc w:val="both"/>
    </w:pPr>
    <w:rPr>
      <w:rFonts w:ascii="Times New Roman" w:eastAsiaTheme="minorEastAsia" w:hAnsi="Times New Roman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122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1225"/>
    <w:rPr>
      <w:sz w:val="20"/>
      <w:szCs w:val="20"/>
    </w:rPr>
  </w:style>
  <w:style w:type="paragraph" w:customStyle="1" w:styleId="CM44">
    <w:name w:val="CM4+4"/>
    <w:basedOn w:val="Normalny"/>
    <w:next w:val="Normalny"/>
    <w:uiPriority w:val="99"/>
    <w:rsid w:val="00501225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Times New Roman"/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501225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501225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501225"/>
    <w:pPr>
      <w:ind w:left="1497"/>
    </w:pPr>
  </w:style>
  <w:style w:type="paragraph" w:customStyle="1" w:styleId="ZLITUSTzmustliter">
    <w:name w:val="Z_LIT/UST(§) – zm. ust. (§) literą"/>
    <w:basedOn w:val="Normalny"/>
    <w:uiPriority w:val="46"/>
    <w:qFormat/>
    <w:rsid w:val="00501225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Lista">
    <w:name w:val="List"/>
    <w:basedOn w:val="Normalny"/>
    <w:uiPriority w:val="99"/>
    <w:unhideWhenUsed/>
    <w:rsid w:val="00501225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uiPriority w:val="99"/>
    <w:unhideWhenUsed/>
    <w:rsid w:val="00501225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3">
    <w:name w:val="List 3"/>
    <w:basedOn w:val="Normalny"/>
    <w:uiPriority w:val="99"/>
    <w:unhideWhenUsed/>
    <w:rsid w:val="00501225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50122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012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501225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5012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0122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012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501225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5012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artustawynprozporzdzenia">
    <w:name w:val="ART(§) – art. ustawy (§ np. rozporządzenia)"/>
    <w:uiPriority w:val="14"/>
    <w:qFormat/>
    <w:rsid w:val="0050122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501225"/>
    <w:pPr>
      <w:spacing w:before="0"/>
    </w:pPr>
    <w:rPr>
      <w:bCs/>
    </w:rPr>
  </w:style>
  <w:style w:type="character" w:customStyle="1" w:styleId="Ppogrubienie">
    <w:name w:val="_P_ – pogrubienie"/>
    <w:basedOn w:val="Domylnaczcionkaakapitu"/>
    <w:uiPriority w:val="1"/>
    <w:qFormat/>
    <w:rsid w:val="00501225"/>
    <w:rPr>
      <w:b/>
    </w:rPr>
  </w:style>
  <w:style w:type="paragraph" w:styleId="Poprawka">
    <w:name w:val="Revision"/>
    <w:hidden/>
    <w:uiPriority w:val="99"/>
    <w:semiHidden/>
    <w:rsid w:val="00501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50122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371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371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A3710"/>
    <w:rPr>
      <w:vertAlign w:val="superscript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6390B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66390B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ROZDZODDZPRZEDMprzedmiotregulacjirozdziauluboddziau">
    <w:name w:val="ROZDZ(ODDZ)_PRZEDM – przedmiot regulacji rozdziału lub oddziału"/>
    <w:next w:val="Normalny"/>
    <w:uiPriority w:val="10"/>
    <w:qFormat/>
    <w:rsid w:val="0066390B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paragraph" w:customStyle="1" w:styleId="TYTDZPRZEDMprzedmiotregulacjitytuulubdziau">
    <w:name w:val="TYT(DZ)_PRZEDM – przedmiot regulacji tytułu lub działu"/>
    <w:next w:val="Normalny"/>
    <w:uiPriority w:val="9"/>
    <w:qFormat/>
    <w:rsid w:val="0066390B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OZNPROJEKTUwskazaniedatylubwersjiprojektu">
    <w:name w:val="OZN_PROJEKTU – wskazanie daty lub wersji projektu"/>
    <w:next w:val="Normalny"/>
    <w:uiPriority w:val="5"/>
    <w:qFormat/>
    <w:rsid w:val="0066390B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Bodytext12ptItalic">
    <w:name w:val="Body text + 12 pt;Italic"/>
    <w:basedOn w:val="Domylnaczcionkaakapitu"/>
    <w:rsid w:val="00615CA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Bodytext6">
    <w:name w:val="Body text (6)_"/>
    <w:basedOn w:val="Domylnaczcionkaakapitu"/>
    <w:link w:val="Bodytext60"/>
    <w:rsid w:val="00615CA2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Bodytext60">
    <w:name w:val="Body text (6)"/>
    <w:basedOn w:val="Normalny"/>
    <w:link w:val="Bodytext6"/>
    <w:rsid w:val="00615CA2"/>
    <w:pPr>
      <w:shd w:val="clear" w:color="auto" w:fill="FFFFFF"/>
      <w:spacing w:before="780" w:after="0" w:line="0" w:lineRule="atLeast"/>
    </w:pPr>
    <w:rPr>
      <w:rFonts w:ascii="Times New Roman" w:eastAsia="Times New Roman" w:hAnsi="Times New Roman" w:cs="Times New Roman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4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9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6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4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70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78550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87515">
                          <w:marLeft w:val="14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526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0285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1509236">
                          <w:marLeft w:val="15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60376">
                          <w:marLeft w:val="15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954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722698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518745">
                          <w:marLeft w:val="15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077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499622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96656">
                          <w:marLeft w:val="15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37786">
                          <w:marLeft w:val="15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803777">
                          <w:marLeft w:val="19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407151">
                          <w:marLeft w:val="19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868638">
                          <w:marLeft w:val="19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448547">
                          <w:marLeft w:val="19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314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507970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224805">
                          <w:marLeft w:val="14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023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95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228981">
                      <w:marLeft w:val="8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082828">
                      <w:marLeft w:val="8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1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9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6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8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5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6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4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0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46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8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B3133418FDC54BBE74349BB77E5E72" ma:contentTypeVersion="0" ma:contentTypeDescription="Utwórz nowy dokument." ma:contentTypeScope="" ma:versionID="956d9465b5e49166fa10ec05c180da4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48486-0762-46C2-BF00-C62536A29C79}">
  <ds:schemaRefs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D44EE3E-C9BC-4895-BF10-AA478F2841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1B6736-D3FF-496A-946B-109E2836A4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E4EF59-DBE0-46C4-A1EE-2819CEF76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974</Words>
  <Characters>5835</Characters>
  <Application>Microsoft Office Word</Application>
  <DocSecurity>0</DocSecurity>
  <Lines>112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UKNF</Company>
  <LinksUpToDate>false</LinksUpToDate>
  <CharactersWithSpaces>6753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Osial Rafał</dc:creator>
  <cp:lastModifiedBy>Ewa A. Genert</cp:lastModifiedBy>
  <cp:revision>2</cp:revision>
  <cp:lastPrinted>2017-05-26T11:19:00Z</cp:lastPrinted>
  <dcterms:created xsi:type="dcterms:W3CDTF">2017-05-31T11:42:00Z</dcterms:created>
  <dcterms:modified xsi:type="dcterms:W3CDTF">2017-05-31T11:42:00Z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0x01010048B3133418FDC54BBE74349BB77E5E72</vt:lpwstr>
  </property>
</Properties>
</file>