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F07AA9">
        <w:t>17 maja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10104E" w:rsidRPr="0010104E">
        <w:t>o zmianie ustawy o radiofonii i telewizji</w:t>
      </w:r>
    </w:p>
    <w:p w:rsidR="0010104E" w:rsidRDefault="00186E4C" w:rsidP="00186E4C">
      <w:pPr>
        <w:pStyle w:val="NIEARTTEKSTtekstnieartykuowanynppreambua"/>
        <w:rPr>
          <w:b/>
          <w:bCs w:val="0"/>
          <w:sz w:val="23"/>
          <w:szCs w:val="23"/>
        </w:rPr>
      </w:pPr>
      <w:r w:rsidRPr="005333D2">
        <w:t xml:space="preserve">Na podstawie art. 118 ust. 1 Konstytucji Rzeczypospolitej Polskiej z dnia 2 kwietnia 1997 r., Senat wnosi do Sejmu Rzeczypospolitej Polskiej projekt ustawy </w:t>
      </w:r>
      <w:r w:rsidR="0010104E" w:rsidRPr="0010104E">
        <w:rPr>
          <w:bCs w:val="0"/>
          <w:sz w:val="23"/>
          <w:szCs w:val="23"/>
        </w:rPr>
        <w:t xml:space="preserve">o zmianie ustawy </w:t>
      </w:r>
      <w:r w:rsidR="0010104E">
        <w:rPr>
          <w:bCs w:val="0"/>
          <w:sz w:val="23"/>
          <w:szCs w:val="23"/>
        </w:rPr>
        <w:br/>
      </w:r>
      <w:r w:rsidR="0010104E" w:rsidRPr="0010104E">
        <w:rPr>
          <w:bCs w:val="0"/>
          <w:sz w:val="23"/>
          <w:szCs w:val="23"/>
        </w:rPr>
        <w:t>o radiofonii i telewizji.</w:t>
      </w:r>
    </w:p>
    <w:p w:rsidR="00186E4C" w:rsidRPr="005333D2" w:rsidRDefault="00F07AA9" w:rsidP="00186E4C">
      <w:pPr>
        <w:pStyle w:val="NIEARTTEKSTtekstnieartykuowanynppreambua"/>
      </w:pPr>
      <w:r>
        <w:t>Jednocześnie upoważnia senator</w:t>
      </w:r>
      <w:r w:rsidR="0010104E">
        <w:rPr>
          <w:rFonts w:cs="Times New Roman"/>
          <w:szCs w:val="24"/>
        </w:rPr>
        <w:t xml:space="preserve">a </w:t>
      </w:r>
      <w:r w:rsidR="0010104E" w:rsidRPr="0010104E">
        <w:rPr>
          <w:rFonts w:cs="Times New Roman"/>
          <w:snapToGrid w:val="0"/>
          <w:szCs w:val="24"/>
        </w:rPr>
        <w:t>Jana Rulewskiego</w:t>
      </w:r>
      <w:r w:rsidR="0010104E">
        <w:rPr>
          <w:rFonts w:cs="Times New Roman"/>
          <w:snapToGrid w:val="0"/>
          <w:szCs w:val="24"/>
        </w:rPr>
        <w:t xml:space="preserve"> </w:t>
      </w:r>
      <w:r w:rsidR="00186E4C" w:rsidRPr="005333D2">
        <w:t xml:space="preserve">do reprezentowania Senatu </w:t>
      </w:r>
      <w:r w:rsidR="0010104E">
        <w:br/>
      </w:r>
      <w:r w:rsidR="00186E4C" w:rsidRPr="005333D2">
        <w:t>w pracach nad projektem.</w:t>
      </w:r>
    </w:p>
    <w:p w:rsidR="00C70646" w:rsidRPr="00621566" w:rsidRDefault="00C70646" w:rsidP="00C70646"/>
    <w:p w:rsidR="00C70646" w:rsidRDefault="00C70646" w:rsidP="00C70646"/>
    <w:p w:rsidR="000B2B1E" w:rsidRDefault="000B2B1E" w:rsidP="00C70646"/>
    <w:p w:rsidR="000B2B1E" w:rsidRDefault="000B2B1E" w:rsidP="000B2B1E"/>
    <w:p w:rsidR="000B2B1E" w:rsidRDefault="000B2B1E" w:rsidP="000B2B1E">
      <w:pPr>
        <w:pStyle w:val="Tekstpodstawowy"/>
        <w:tabs>
          <w:tab w:val="center" w:pos="6237"/>
        </w:tabs>
        <w:spacing w:line="240" w:lineRule="auto"/>
        <w:ind w:right="-2"/>
        <w:rPr>
          <w:b/>
        </w:rPr>
      </w:pPr>
      <w:r>
        <w:rPr>
          <w:b/>
        </w:rPr>
        <w:tab/>
        <w:t>MARSZAŁEK SENATU</w:t>
      </w:r>
    </w:p>
    <w:p w:rsidR="000B2B1E" w:rsidRDefault="000B2B1E" w:rsidP="000B2B1E">
      <w:pPr>
        <w:pStyle w:val="Tekstpodstawowy"/>
        <w:tabs>
          <w:tab w:val="center" w:pos="6237"/>
        </w:tabs>
        <w:spacing w:line="240" w:lineRule="auto"/>
        <w:rPr>
          <w:b/>
        </w:rPr>
      </w:pPr>
    </w:p>
    <w:p w:rsidR="000B2B1E" w:rsidRDefault="000B2B1E" w:rsidP="000B2B1E">
      <w:pPr>
        <w:pStyle w:val="Tekstpodstawowy"/>
        <w:tabs>
          <w:tab w:val="center" w:pos="6237"/>
        </w:tabs>
        <w:spacing w:line="240" w:lineRule="auto"/>
        <w:rPr>
          <w:b/>
        </w:rPr>
      </w:pPr>
    </w:p>
    <w:p w:rsidR="000B2B1E" w:rsidRDefault="000B2B1E" w:rsidP="000B2B1E">
      <w:pPr>
        <w:pStyle w:val="Tekstpodstawowy"/>
        <w:tabs>
          <w:tab w:val="center" w:pos="6237"/>
        </w:tabs>
        <w:spacing w:line="240" w:lineRule="auto"/>
        <w:rPr>
          <w:b/>
        </w:rPr>
      </w:pPr>
    </w:p>
    <w:p w:rsidR="000B2B1E" w:rsidRDefault="000B2B1E" w:rsidP="000B2B1E">
      <w:pPr>
        <w:pStyle w:val="Tekstpodstawowy"/>
        <w:tabs>
          <w:tab w:val="center" w:pos="6237"/>
        </w:tabs>
        <w:spacing w:line="240" w:lineRule="auto"/>
        <w:ind w:right="-2"/>
        <w:rPr>
          <w:b/>
        </w:rPr>
      </w:pPr>
      <w:r>
        <w:rPr>
          <w:b/>
        </w:rPr>
        <w:tab/>
        <w:t>Stanisław KARCZEWSKI</w:t>
      </w:r>
    </w:p>
    <w:p w:rsidR="005C7A66" w:rsidRDefault="005C7A66" w:rsidP="000B2B1E">
      <w:pPr>
        <w:pStyle w:val="Tekstpodstawowy"/>
        <w:tabs>
          <w:tab w:val="center" w:pos="6237"/>
        </w:tabs>
        <w:spacing w:line="240" w:lineRule="auto"/>
        <w:ind w:right="-2"/>
        <w:rPr>
          <w:b/>
        </w:rPr>
      </w:pPr>
    </w:p>
    <w:p w:rsidR="003B0061" w:rsidRDefault="003B0061" w:rsidP="00C70646">
      <w:pPr>
        <w:sectPr w:rsidR="003B0061" w:rsidSect="001A7F15">
          <w:headerReference w:type="even" r:id="rId8"/>
          <w:headerReference w:type="default" r:id="rId9"/>
          <w:footerReference w:type="even" r:id="rId10"/>
          <w:footerReference w:type="default" r:id="rId11"/>
          <w:headerReference w:type="first" r:id="rId12"/>
          <w:footerReference w:type="first" r:id="rId13"/>
          <w:pgSz w:w="11906" w:h="16838"/>
          <w:pgMar w:top="1560" w:right="1434" w:bottom="1560" w:left="1418" w:header="709" w:footer="709" w:gutter="0"/>
          <w:cols w:space="708"/>
          <w:titlePg/>
          <w:docGrid w:linePitch="254"/>
        </w:sectPr>
      </w:pPr>
    </w:p>
    <w:p w:rsidR="003B0061" w:rsidRPr="00005CAE" w:rsidRDefault="003B0061" w:rsidP="00005CAE">
      <w:pPr>
        <w:pStyle w:val="OZNPROJEKTUwskazaniedatylubwersjiprojektu"/>
      </w:pPr>
      <w:r w:rsidRPr="00005CAE">
        <w:lastRenderedPageBreak/>
        <w:t>projekt</w:t>
      </w:r>
    </w:p>
    <w:p w:rsidR="003B0061" w:rsidRPr="00005CAE" w:rsidRDefault="003B0061" w:rsidP="00005CAE">
      <w:pPr>
        <w:pStyle w:val="OZNRODZAKTUtznustawalubrozporzdzenieiorganwydajcy"/>
      </w:pPr>
      <w:r w:rsidRPr="00005CAE">
        <w:t>ustawa</w:t>
      </w:r>
    </w:p>
    <w:p w:rsidR="003B0061" w:rsidRPr="00005CAE" w:rsidRDefault="003B0061" w:rsidP="00005CAE">
      <w:pPr>
        <w:pStyle w:val="DATAAKTUdatauchwalenialubwydaniaaktu"/>
      </w:pPr>
      <w:r w:rsidRPr="00005CAE">
        <w:t>z dnia</w:t>
      </w:r>
    </w:p>
    <w:p w:rsidR="003B0061" w:rsidRPr="00005CAE" w:rsidRDefault="003B0061" w:rsidP="00005CAE">
      <w:pPr>
        <w:pStyle w:val="TYTUAKTUprzedmiotregulacjiustawylubrozporzdzenia"/>
      </w:pPr>
      <w:r w:rsidRPr="00005CAE">
        <w:t xml:space="preserve">o zmianie ustawy o </w:t>
      </w:r>
      <w:r>
        <w:t>radiofonii i telewizji</w:t>
      </w:r>
    </w:p>
    <w:p w:rsidR="003B0061" w:rsidRDefault="003B0061" w:rsidP="001431C4">
      <w:pPr>
        <w:pStyle w:val="ARTartustawynprozporzdzenia"/>
      </w:pPr>
      <w:r w:rsidRPr="00005CAE">
        <w:rPr>
          <w:rStyle w:val="Ppogrubienie"/>
        </w:rPr>
        <w:t>Art. 1.</w:t>
      </w:r>
      <w:r w:rsidRPr="00005CAE">
        <w:t xml:space="preserve"> W ustawie </w:t>
      </w:r>
      <w:r w:rsidRPr="003F5617">
        <w:t>z dnia 29</w:t>
      </w:r>
      <w:r>
        <w:t xml:space="preserve"> grudnia </w:t>
      </w:r>
      <w:r w:rsidRPr="00EF4937">
        <w:t>1992 r. o radiofonii i telewizji (Dz.</w:t>
      </w:r>
      <w:r>
        <w:t xml:space="preserve"> </w:t>
      </w:r>
      <w:r w:rsidRPr="00EF4937">
        <w:t>U. z 201</w:t>
      </w:r>
      <w:r>
        <w:t>6</w:t>
      </w:r>
      <w:r w:rsidRPr="00EF4937">
        <w:t xml:space="preserve"> r. poz.</w:t>
      </w:r>
      <w:r>
        <w:t xml:space="preserve"> 639, 929 i 2260</w:t>
      </w:r>
      <w:r w:rsidRPr="00EF4937">
        <w:t>)</w:t>
      </w:r>
      <w:r w:rsidRPr="00005CAE">
        <w:t xml:space="preserve"> </w:t>
      </w:r>
      <w:r>
        <w:t>wprowadza się następujące zmiany:</w:t>
      </w:r>
    </w:p>
    <w:p w:rsidR="003B0061" w:rsidRDefault="003B0061" w:rsidP="006119EE">
      <w:pPr>
        <w:pStyle w:val="PKTpunkt"/>
      </w:pPr>
      <w:r>
        <w:t>1)</w:t>
      </w:r>
      <w:r>
        <w:tab/>
        <w:t>w art. 4 pkt 28 otrzymuje brzmienie:</w:t>
      </w:r>
    </w:p>
    <w:p w:rsidR="003B0061" w:rsidRDefault="003B0061" w:rsidP="000C2AA4">
      <w:pPr>
        <w:pStyle w:val="ZPKTzmpktartykuempunktem"/>
      </w:pPr>
      <w:r>
        <w:t>„28)</w:t>
      </w:r>
      <w:r>
        <w:tab/>
        <w:t>udogodnieniem dla osób niepełnosprawnych jest element dźwiękowy lub graficzny zawarty w audycji lub rozpowszechniany równocześnie z nią, którego celem jest zapewnienie osobom niepełnosprawnym z powodu dysfunkcji narządu wzroku oraz osobom niepełnosprawnym z powodu dysfunkcji narządu słuchu możliwości zapoznania się z audycją w szczególności w formie napisów dla niesłyszących lub </w:t>
      </w:r>
      <w:proofErr w:type="spellStart"/>
      <w:r>
        <w:t>audiodeskrypcji</w:t>
      </w:r>
      <w:proofErr w:type="spellEnd"/>
      <w:r>
        <w:t>, a także tłumaczenia na język migowy;”;</w:t>
      </w:r>
    </w:p>
    <w:p w:rsidR="003B0061" w:rsidRDefault="003B0061" w:rsidP="009476AB">
      <w:pPr>
        <w:pStyle w:val="PKTpunkt"/>
      </w:pPr>
      <w:r>
        <w:t>2)</w:t>
      </w:r>
      <w:r>
        <w:tab/>
        <w:t>art. 18a otrzymuje brzmienie:</w:t>
      </w:r>
    </w:p>
    <w:p w:rsidR="003B0061" w:rsidRDefault="003B0061" w:rsidP="003B39C9">
      <w:pPr>
        <w:pStyle w:val="ZARTzmartartykuempunktem"/>
      </w:pPr>
      <w:r>
        <w:t xml:space="preserve">„Art. 18a. 1. </w:t>
      </w:r>
      <w:r w:rsidRPr="003B39C9">
        <w:t xml:space="preserve">Nadawcy programów telewizyjnych są obowiązani do zapewniania dostępności </w:t>
      </w:r>
      <w:r>
        <w:t xml:space="preserve">audycji </w:t>
      </w:r>
      <w:r w:rsidRPr="003B39C9">
        <w:t xml:space="preserve">dla osób niepełnosprawnych z powodu dysfunkcji </w:t>
      </w:r>
      <w:r>
        <w:t xml:space="preserve">narządu </w:t>
      </w:r>
      <w:r w:rsidRPr="003B39C9">
        <w:t xml:space="preserve">wzroku oraz osób niepełnosprawnych z powodu dysfunkcji </w:t>
      </w:r>
      <w:r>
        <w:t xml:space="preserve">narządu </w:t>
      </w:r>
      <w:r w:rsidRPr="003B39C9">
        <w:t>słuchu, przez wprowadzanie udogodnień</w:t>
      </w:r>
      <w:r>
        <w:t xml:space="preserve"> dla osób niepełnosprawnych, tak aby co najmniej 5</w:t>
      </w:r>
      <w:r w:rsidRPr="003B39C9">
        <w:t>0% kwartalnego czasu nadawania programu, z wyłączeniem reklam i telesprzedaży, posiadało takie udogodnienia.</w:t>
      </w:r>
    </w:p>
    <w:p w:rsidR="003B0061" w:rsidRPr="003B39C9" w:rsidRDefault="003B0061" w:rsidP="00420489">
      <w:pPr>
        <w:pStyle w:val="ZUSTzmustartykuempunktem"/>
      </w:pPr>
      <w:r>
        <w:t>2.</w:t>
      </w:r>
      <w:r w:rsidRPr="002553FD">
        <w:t xml:space="preserve"> Krajowa Rada</w:t>
      </w:r>
      <w:r>
        <w:t xml:space="preserve"> określi, </w:t>
      </w:r>
      <w:r w:rsidRPr="002553FD">
        <w:t>w drodze rozporządzenia,</w:t>
      </w:r>
      <w:r>
        <w:t xml:space="preserve"> rodzaje udogodnień dla osób niepełnosprawnych, jak również udział poszczególnych rodzajów tych udogodnień w łącznym czasie nadawania, w zależności od pory emisji, charakteru programu i rodzaju nadawanych audycji, uwzględniając przy tym potrzeby osób niepełnosprawnych</w:t>
      </w:r>
      <w:r w:rsidRPr="008268A5">
        <w:t xml:space="preserve"> </w:t>
      </w:r>
      <w:r>
        <w:t>z powodu dysfunkcji narządu wzroku oraz osób niepełnosprawnych z powodu dysfunkcji narządu słuchu i możliwości nadawców w tym zakresie, jak również rozwój technik przekazu i udogodnień dla osób niepełnosprawnych.</w:t>
      </w:r>
    </w:p>
    <w:p w:rsidR="003B0061" w:rsidRDefault="003B0061" w:rsidP="003B39C9">
      <w:pPr>
        <w:pStyle w:val="ZUSTzmustartykuempunktem"/>
      </w:pPr>
      <w:r>
        <w:t xml:space="preserve">3. </w:t>
      </w:r>
      <w:r w:rsidRPr="003B39C9">
        <w:t xml:space="preserve">Krajowa Rada może określić, w drodze rozporządzenia, </w:t>
      </w:r>
      <w:r>
        <w:t xml:space="preserve">podmioty zwolnione z obowiązku, o którym mowa w ust. 1, oraz </w:t>
      </w:r>
      <w:r w:rsidRPr="003B39C9">
        <w:t>niższy niż określony w ust. 1 udział w</w:t>
      </w:r>
      <w:r>
        <w:t> </w:t>
      </w:r>
      <w:r w:rsidRPr="003B39C9">
        <w:t xml:space="preserve">programie telewizyjnym audycji </w:t>
      </w:r>
      <w:r>
        <w:t>posiadających udogodnienia</w:t>
      </w:r>
      <w:r w:rsidRPr="003B39C9">
        <w:t xml:space="preserve"> dla osób niepełnosprawnych, uwzględniając </w:t>
      </w:r>
      <w:r>
        <w:t xml:space="preserve">zasięg programu, udział programu w widowni, rodzaje stosowanych udogodnień dla osób niepełnosprawnych, sposób </w:t>
      </w:r>
      <w:r>
        <w:lastRenderedPageBreak/>
        <w:t>rozpowszechniania i specjalizację programu z uwzględnieniem potrzeb odbiorców i możliwości nadawców.”;</w:t>
      </w:r>
    </w:p>
    <w:p w:rsidR="003B0061" w:rsidRDefault="003B0061" w:rsidP="0087489B">
      <w:pPr>
        <w:pStyle w:val="PKTpunkt"/>
      </w:pPr>
      <w:r>
        <w:t>3)</w:t>
      </w:r>
      <w:r>
        <w:tab/>
        <w:t>w art. 45:</w:t>
      </w:r>
    </w:p>
    <w:p w:rsidR="003B0061" w:rsidRDefault="003B0061" w:rsidP="001F58B5">
      <w:pPr>
        <w:pStyle w:val="LITlitera"/>
      </w:pPr>
      <w:r>
        <w:t>a)</w:t>
      </w:r>
      <w:r>
        <w:tab/>
        <w:t>w ust. 3 w pkt 2 kropkę zastępuje się średnikiem i dodaje się pkt 2a w brzmieniu:</w:t>
      </w:r>
    </w:p>
    <w:p w:rsidR="003B0061" w:rsidRDefault="003B0061" w:rsidP="000031CA">
      <w:pPr>
        <w:pStyle w:val="ZLITPKTzmpktliter"/>
      </w:pPr>
      <w:r>
        <w:t>„2a)</w:t>
      </w:r>
      <w:r>
        <w:tab/>
        <w:t>w programie tym operator nie dostarcza odbiorcom rozpowszechnianych w audycji udogodnień dla osób niepełnosprawnych;”,</w:t>
      </w:r>
    </w:p>
    <w:p w:rsidR="003B0061" w:rsidRDefault="003B0061" w:rsidP="002A2B1D">
      <w:pPr>
        <w:pStyle w:val="LITlitera"/>
      </w:pPr>
      <w:r>
        <w:t>b)</w:t>
      </w:r>
      <w:r>
        <w:tab/>
        <w:t>dodaje się ust. 5 w brzmieniu:</w:t>
      </w:r>
    </w:p>
    <w:p w:rsidR="003B0061" w:rsidRDefault="003B0061" w:rsidP="00D4768F">
      <w:pPr>
        <w:pStyle w:val="ZLITUSTzmustliter"/>
      </w:pPr>
      <w:r>
        <w:t>„5. Przepisu ust. 3 pkt 2a nie stosuje się do rozprowadzania programów w sposób analogowy.”;</w:t>
      </w:r>
    </w:p>
    <w:p w:rsidR="003B0061" w:rsidRDefault="003B0061" w:rsidP="00057418">
      <w:pPr>
        <w:pStyle w:val="PKTpunkt"/>
      </w:pPr>
      <w:r>
        <w:t>4)</w:t>
      </w:r>
      <w:r>
        <w:tab/>
        <w:t>art. 47g otrzymuje brzmienie:</w:t>
      </w:r>
    </w:p>
    <w:p w:rsidR="003B0061" w:rsidRDefault="003B0061" w:rsidP="00687F03">
      <w:pPr>
        <w:pStyle w:val="ZARTzmartartykuempunktem"/>
      </w:pPr>
      <w:r>
        <w:t xml:space="preserve">„Art. 47g. Podmioty dostarczające audiowizualne usługi medialne na żądanie dążą do stopniowego zapewniania dostępności dostarczanych audycji dla osób niepełnosprawnych </w:t>
      </w:r>
      <w:r w:rsidRPr="001F58B5">
        <w:t>z powodu dysfunkcji narządu wzroku oraz osób niepełnosprawnych z powodu dysfunkcji narządu słuchu</w:t>
      </w:r>
      <w:r>
        <w:t>, poprzez wprowadzanie odpowiednich udogodnień dla osób niepełnosprawnych.”.</w:t>
      </w:r>
    </w:p>
    <w:p w:rsidR="003B0061" w:rsidRDefault="003B0061" w:rsidP="00687F03">
      <w:pPr>
        <w:pStyle w:val="ARTartustawynprozporzdzenia"/>
      </w:pPr>
      <w:r w:rsidRPr="00005CAE">
        <w:rPr>
          <w:rStyle w:val="Ppogrubienie"/>
        </w:rPr>
        <w:t>Art. 2.</w:t>
      </w:r>
      <w:r w:rsidRPr="00005CAE">
        <w:t xml:space="preserve"> </w:t>
      </w:r>
      <w:r>
        <w:t xml:space="preserve">Nadawcy programów telewizyjnych są obowiązani </w:t>
      </w:r>
      <w:r w:rsidRPr="00812A5C">
        <w:t>do</w:t>
      </w:r>
      <w:r>
        <w:t xml:space="preserve"> zapewnienia dostępności audycji dla</w:t>
      </w:r>
      <w:r w:rsidRPr="003B39C9">
        <w:t xml:space="preserve"> osób niepełnosprawnych z powodu dysfunkcji narządu wzroku oraz osób niepełnosprawnych z powodu dysfunkcji narządu słuchu</w:t>
      </w:r>
      <w:r>
        <w:t>, poprzez wprowadzenie udogodnień dla osób niepełnosprawnych, o których mowa w art. 18a ustawy zmienianej w art. 1, tak aby:</w:t>
      </w:r>
    </w:p>
    <w:p w:rsidR="003B0061" w:rsidRDefault="003B0061" w:rsidP="007446E3">
      <w:pPr>
        <w:pStyle w:val="PKTpunkt"/>
      </w:pPr>
      <w:r>
        <w:t>1)</w:t>
      </w:r>
      <w:r>
        <w:tab/>
        <w:t>w 2018 r. co najmniej 15% kwartalnego czasu nadawania programu,</w:t>
      </w:r>
    </w:p>
    <w:p w:rsidR="003B0061" w:rsidRDefault="003B0061" w:rsidP="004A30C8">
      <w:pPr>
        <w:pStyle w:val="PKTpunkt"/>
      </w:pPr>
      <w:r>
        <w:t>2)</w:t>
      </w:r>
      <w:r>
        <w:tab/>
        <w:t>w 2019 r.</w:t>
      </w:r>
      <w:r w:rsidRPr="004A30C8">
        <w:t xml:space="preserve"> </w:t>
      </w:r>
      <w:r>
        <w:t>co najmniej 25% kwartalnego czasu nadawania programu,</w:t>
      </w:r>
    </w:p>
    <w:p w:rsidR="003B0061" w:rsidRDefault="003B0061" w:rsidP="004A30C8">
      <w:pPr>
        <w:pStyle w:val="PKTpunkt"/>
      </w:pPr>
      <w:r>
        <w:t>3)</w:t>
      </w:r>
      <w:r>
        <w:tab/>
        <w:t>w 2020 r. i 2021 r.</w:t>
      </w:r>
      <w:r w:rsidRPr="004A30C8">
        <w:t xml:space="preserve"> </w:t>
      </w:r>
      <w:r>
        <w:t>co najmniej 35% kwartalnego czasu nadawania programu,</w:t>
      </w:r>
    </w:p>
    <w:p w:rsidR="003B0061" w:rsidRDefault="003B0061" w:rsidP="004A30C8">
      <w:pPr>
        <w:pStyle w:val="PKTpunkt"/>
      </w:pPr>
      <w:r>
        <w:t>5)</w:t>
      </w:r>
      <w:r>
        <w:tab/>
        <w:t xml:space="preserve">od 2022 r. co najmniej 50% </w:t>
      </w:r>
      <w:r w:rsidRPr="00315097">
        <w:t>kwartalnego czasu nadawania programu</w:t>
      </w:r>
    </w:p>
    <w:p w:rsidR="003B0061" w:rsidRDefault="003B0061" w:rsidP="00C25ED7">
      <w:pPr>
        <w:pStyle w:val="CZWSPPKTczwsplnapunktw"/>
      </w:pPr>
      <w:r>
        <w:t>–</w:t>
      </w:r>
      <w:r>
        <w:tab/>
        <w:t>z wyłączeniem reklam i telesprzedaży, posiadało takie udogodnienia.</w:t>
      </w:r>
    </w:p>
    <w:p w:rsidR="003B0061" w:rsidRDefault="003B0061" w:rsidP="002B0B91">
      <w:pPr>
        <w:pStyle w:val="ARTartustawynprozporzdzenia"/>
      </w:pPr>
      <w:r w:rsidRPr="002B0B91">
        <w:rPr>
          <w:rStyle w:val="Ppogrubienie"/>
        </w:rPr>
        <w:t>Art. 3.</w:t>
      </w:r>
      <w:r w:rsidRPr="002B0B91">
        <w:t xml:space="preserve"> </w:t>
      </w:r>
      <w:r w:rsidRPr="0036447D">
        <w:t>Dotychczasowe przepisy wykonawcze wydane na podstawie art. 1</w:t>
      </w:r>
      <w:r>
        <w:t>8a ust. 2</w:t>
      </w:r>
      <w:r w:rsidRPr="0036447D">
        <w:t xml:space="preserve"> ustawy zmienianej w art. 1 zachowują moc do dnia wejścia w życie przepisów wykonawczych wydanych na podstawie art. </w:t>
      </w:r>
      <w:r>
        <w:t>18a ust. 3</w:t>
      </w:r>
      <w:r w:rsidRPr="0036447D">
        <w:t xml:space="preserve"> ustawy zmienianej w art. 1, w</w:t>
      </w:r>
      <w:r>
        <w:t> </w:t>
      </w:r>
      <w:r w:rsidRPr="0036447D">
        <w:t xml:space="preserve">brzmieniu nadanym niniejszą ustawą, nie dłużej jednak niż przez </w:t>
      </w:r>
      <w:r>
        <w:t>12</w:t>
      </w:r>
      <w:r w:rsidRPr="0036447D">
        <w:t xml:space="preserve"> miesięcy od dnia wejścia w życie niniejszej ustawy</w:t>
      </w:r>
      <w:r>
        <w:t>.</w:t>
      </w:r>
    </w:p>
    <w:p w:rsidR="003B0061" w:rsidRPr="00005CAE" w:rsidRDefault="003B0061" w:rsidP="00687F03">
      <w:pPr>
        <w:pStyle w:val="ARTartustawynprozporzdzenia"/>
      </w:pPr>
      <w:r>
        <w:rPr>
          <w:rStyle w:val="Ppogrubienie"/>
        </w:rPr>
        <w:t>Art. 4</w:t>
      </w:r>
      <w:r w:rsidRPr="00005CAE">
        <w:rPr>
          <w:rStyle w:val="Ppogrubienie"/>
        </w:rPr>
        <w:t>.</w:t>
      </w:r>
      <w:r w:rsidRPr="00005CAE">
        <w:t xml:space="preserve"> Ustawa wchodzi w życie</w:t>
      </w:r>
      <w:r>
        <w:t xml:space="preserve"> z dniem 1 stycznia 2018 r.</w:t>
      </w:r>
    </w:p>
    <w:p w:rsidR="005C7A66" w:rsidRDefault="005C7A66" w:rsidP="004810D7">
      <w:pPr>
        <w:pStyle w:val="ARTartustawynprozporzdzenia"/>
      </w:pPr>
    </w:p>
    <w:p w:rsidR="005C7A66" w:rsidRDefault="005C7A66" w:rsidP="004810D7">
      <w:pPr>
        <w:pStyle w:val="ARTartustawynprozporzdzenia"/>
        <w:sectPr w:rsidR="005C7A66" w:rsidSect="005C7A66">
          <w:headerReference w:type="default" r:id="rId14"/>
          <w:pgSz w:w="11906" w:h="16838"/>
          <w:pgMar w:top="1560" w:right="1434" w:bottom="1560" w:left="1418" w:header="709" w:footer="709" w:gutter="0"/>
          <w:pgNumType w:start="1"/>
          <w:cols w:space="708"/>
          <w:titlePg/>
          <w:docGrid w:linePitch="254"/>
        </w:sectPr>
      </w:pPr>
    </w:p>
    <w:p w:rsidR="003B0061" w:rsidRPr="004810D7" w:rsidRDefault="003B0061" w:rsidP="004810D7">
      <w:pPr>
        <w:pStyle w:val="ARTartustawynprozporzdzenia"/>
      </w:pPr>
    </w:p>
    <w:p w:rsidR="001E22D0" w:rsidRDefault="001E22D0" w:rsidP="00DB733A">
      <w:pPr>
        <w:pStyle w:val="OZNRODZAKTUtznustawalubrozporzdzenieiorganwydajcy"/>
      </w:pPr>
      <w:r>
        <w:t>Uzasadnienie</w:t>
      </w:r>
    </w:p>
    <w:p w:rsidR="001E22D0" w:rsidRPr="00DB733A" w:rsidRDefault="001E22D0" w:rsidP="006372A0">
      <w:pPr>
        <w:pStyle w:val="OZNRODZAKTUtznustawalubrozporzdzenieiorganwydajcy"/>
      </w:pPr>
    </w:p>
    <w:p w:rsidR="001E22D0" w:rsidRPr="0035574B" w:rsidRDefault="001E22D0" w:rsidP="00595DDC">
      <w:pPr>
        <w:pStyle w:val="PKTpunkt"/>
      </w:pPr>
      <w:r w:rsidRPr="00C0332A">
        <w:rPr>
          <w:b/>
        </w:rPr>
        <w:t>1.</w:t>
      </w:r>
      <w:r w:rsidRPr="00C0332A">
        <w:rPr>
          <w:b/>
        </w:rPr>
        <w:tab/>
      </w:r>
      <w:r>
        <w:rPr>
          <w:b/>
        </w:rPr>
        <w:t>Potrzeba i cel wydania ustawy oraz r</w:t>
      </w:r>
      <w:r w:rsidRPr="00C0332A">
        <w:rPr>
          <w:b/>
        </w:rPr>
        <w:t>zeczywisty stan w dzie</w:t>
      </w:r>
      <w:r>
        <w:rPr>
          <w:b/>
        </w:rPr>
        <w:t>dzinie, która ma być unormowana</w:t>
      </w:r>
    </w:p>
    <w:p w:rsidR="001E22D0" w:rsidRDefault="001E22D0" w:rsidP="00A86892">
      <w:pPr>
        <w:pStyle w:val="NIEARTTEKSTtekstnieartykuowanynppreambua"/>
      </w:pPr>
      <w:r w:rsidRPr="003F0617">
        <w:t xml:space="preserve">Projekt </w:t>
      </w:r>
      <w:r>
        <w:t xml:space="preserve">ustawy </w:t>
      </w:r>
      <w:r w:rsidRPr="003F0617">
        <w:t>stanowi realizację p</w:t>
      </w:r>
      <w:r>
        <w:t>ostulatu zawartego w petycji P-9</w:t>
      </w:r>
      <w:r w:rsidRPr="003F0617">
        <w:t>-</w:t>
      </w:r>
      <w:r>
        <w:t>18</w:t>
      </w:r>
      <w:r w:rsidRPr="003F0617">
        <w:t>/1</w:t>
      </w:r>
      <w:r>
        <w:t>6 skierowanej do</w:t>
      </w:r>
      <w:r w:rsidRPr="003F0617">
        <w:t xml:space="preserve"> Senatu</w:t>
      </w:r>
      <w:r>
        <w:t xml:space="preserve"> Rzeczypospolitej Polskiej</w:t>
      </w:r>
      <w:r w:rsidRPr="003F0617">
        <w:t xml:space="preserve"> </w:t>
      </w:r>
      <w:r>
        <w:t xml:space="preserve">przez </w:t>
      </w:r>
      <w:r w:rsidRPr="003F0617">
        <w:t>osobę prywatną.</w:t>
      </w:r>
      <w:r>
        <w:t xml:space="preserve"> Autor petycji </w:t>
      </w:r>
      <w:r w:rsidRPr="00E17934">
        <w:t>zwróci</w:t>
      </w:r>
      <w:r>
        <w:t>ł</w:t>
      </w:r>
      <w:r w:rsidRPr="00E17934">
        <w:t xml:space="preserve"> się o</w:t>
      </w:r>
      <w:r>
        <w:t xml:space="preserve"> dokonanie </w:t>
      </w:r>
      <w:r w:rsidRPr="00B74EDE">
        <w:rPr>
          <w:rFonts w:eastAsia="Times New Roman"/>
        </w:rPr>
        <w:t>zmian</w:t>
      </w:r>
      <w:r>
        <w:rPr>
          <w:rFonts w:eastAsia="Times New Roman"/>
        </w:rPr>
        <w:t xml:space="preserve">y art. 18a ust. 1 </w:t>
      </w:r>
      <w:r>
        <w:t>ustawy z dnia 29 grudnia 1992 r. o radiofonii i telewizji (Dz. U. z 2016 r. poz. 639, 929</w:t>
      </w:r>
      <w:r w:rsidRPr="00BC762F">
        <w:t xml:space="preserve"> </w:t>
      </w:r>
      <w:r>
        <w:t>i 2260), zwanej dalej „ustawą o radiofonii i telewizji”, który stanowi, że n</w:t>
      </w:r>
      <w:r w:rsidRPr="00306EF7">
        <w:t>adawcy programów telewizyjnych są obowiązani do zapewniania dostępności programów dla osób niepełnosprawnych z powodu dysfunkcji narządu wzroku oraz osób niepełnosprawnych z</w:t>
      </w:r>
      <w:r>
        <w:t xml:space="preserve"> </w:t>
      </w:r>
      <w:r w:rsidRPr="00306EF7">
        <w:t xml:space="preserve">powodu dysfunkcji narządu słuchu, przez wprowadzanie odpowiednich udogodnień: </w:t>
      </w:r>
      <w:proofErr w:type="spellStart"/>
      <w:r w:rsidRPr="00306EF7">
        <w:t>audiodeskrypcji</w:t>
      </w:r>
      <w:proofErr w:type="spellEnd"/>
      <w:r w:rsidRPr="00306EF7">
        <w:t>, napisów dla niesłyszących oraz tłumaczeń na</w:t>
      </w:r>
      <w:r>
        <w:t xml:space="preserve"> </w:t>
      </w:r>
      <w:r w:rsidRPr="00306EF7">
        <w:t>język migowy, tak aby co najmniej 10% kwartalnego czasu nadawania programu, z</w:t>
      </w:r>
      <w:r>
        <w:t xml:space="preserve"> </w:t>
      </w:r>
      <w:r w:rsidRPr="00306EF7">
        <w:t>wyłączeniem reklam i</w:t>
      </w:r>
      <w:r>
        <w:t> </w:t>
      </w:r>
      <w:r w:rsidRPr="00306EF7">
        <w:t>telesprzedaży, posiadało takie udogodnienia</w:t>
      </w:r>
      <w:r>
        <w:t>.</w:t>
      </w:r>
    </w:p>
    <w:p w:rsidR="001E22D0" w:rsidRDefault="001E22D0" w:rsidP="00B66E8A">
      <w:pPr>
        <w:pStyle w:val="NIEARTTEKSTtekstnieartykuowanynppreambua"/>
      </w:pPr>
      <w:r>
        <w:t xml:space="preserve">Autor petycji postulował zmianę art. 18a ust. 1 ustawy o radiofonii i telewizji poprzez nadanie temu artykułowi brzmienia: </w:t>
      </w:r>
      <w:r w:rsidRPr="00E401DE">
        <w:t>„nadawcy programów telewizyjnych są obowiązani do</w:t>
      </w:r>
      <w:r>
        <w:t> </w:t>
      </w:r>
      <w:r w:rsidRPr="00E401DE">
        <w:t>zapewnienia dostępności audycji dla osób niepełnosprawnych z powodu dysfunkcji wzroku oraz osób niepełnosprawnych z powodu dysfunkcji słuchu, poprzez wprowadzenie udogodnień dla osób niepełnosprawnych, tak aby co najmniej 100% kwartalnego czasu nadawania programu, z wyłączeniem reklam i telesprzedaży posiadało takie udogodnienia”</w:t>
      </w:r>
      <w:r>
        <w:t>.</w:t>
      </w:r>
    </w:p>
    <w:p w:rsidR="001E22D0" w:rsidRDefault="001E22D0" w:rsidP="00A135F2">
      <w:pPr>
        <w:pStyle w:val="NIEARTTEKSTtekstnieartykuowanynppreambua"/>
      </w:pPr>
      <w:r>
        <w:t>W opinii autora petycji nałożenie na nadawców programów telewizyjnych obowiązku zapewniania na poziomie co najmniej 10% kwoty udogodnień dla osób niepełnosprawnych jest czynnikiem szkodliwym i dyskryminującym osoby niepełnosprawne. Przyczynia się do wykluczenia społecznego i informacyjnego tych osób, a także ogranicza im dostęp do pełnej informacji oraz do pełnego uczestnictwa w życiu społeczno-politycznym.</w:t>
      </w:r>
    </w:p>
    <w:p w:rsidR="001E22D0" w:rsidRDefault="001E22D0" w:rsidP="00B66E8A">
      <w:pPr>
        <w:pStyle w:val="NIEARTTEKSTtekstnieartykuowanynppreambua"/>
      </w:pPr>
      <w:r>
        <w:t>Komisja Praw Człowieka, Praworządności i Petycji uznała, iż zagwarantowanie 100% udogodnień w odbiorze programów telewizyjnych dla osób niepełnosprawnych z powodu dysfunkcji narządu wzroku oraz dla osób niepełnosprawnych z powodu dysfunkcji narządu słuchu nie jest możliwe z przyczyn technicznych, a ponadto ewentualne zwiększanie tych udogodnień jest procesem, który powinien być rozłożony w czasie.</w:t>
      </w:r>
    </w:p>
    <w:p w:rsidR="001E22D0" w:rsidRDefault="001E22D0" w:rsidP="00690416">
      <w:pPr>
        <w:pStyle w:val="NIEARTTEKSTtekstnieartykuowanynppreambua"/>
      </w:pPr>
      <w:r>
        <w:lastRenderedPageBreak/>
        <w:t>Zgodnie z art. 7 dyrektywy 2010/13/UE o audiowizualnych usługach medialnych państwa członkowskie zachęcają dostawców usług medialnych podlegających ich jurysdykcji do zapewniania, by świadczone przez nich usługi stawały się stopniowo dostępne dla osób z upośledzeniami wzroku lub słuchu.</w:t>
      </w:r>
    </w:p>
    <w:p w:rsidR="001E22D0" w:rsidRDefault="001E22D0" w:rsidP="006C6A52">
      <w:pPr>
        <w:pStyle w:val="NIEARTTEKSTtekstnieartykuowanynppreambua"/>
      </w:pPr>
      <w:r>
        <w:t>W konsekwencji implementacji tej dyrektywy w art. 18a ust. 1 ustawy o radiofonii i telewizji</w:t>
      </w:r>
      <w:r w:rsidRPr="004D7B0C">
        <w:t xml:space="preserve"> </w:t>
      </w:r>
      <w:r>
        <w:t xml:space="preserve">określono, </w:t>
      </w:r>
      <w:r w:rsidRPr="00306EF7">
        <w:t xml:space="preserve">iż </w:t>
      </w:r>
      <w:r>
        <w:t>n</w:t>
      </w:r>
      <w:r w:rsidRPr="00306EF7">
        <w:t xml:space="preserve">adawcy programów telewizyjnych są obowiązani do zapewniania dostępności programów dla osób niepełnosprawnych z powodu dysfunkcji narządu wzroku oraz osób niepełnosprawnych z powodu dysfunkcji narządu słuchu, przez wprowadzanie odpowiednich udogodnień: </w:t>
      </w:r>
      <w:proofErr w:type="spellStart"/>
      <w:r w:rsidRPr="00306EF7">
        <w:t>audiodeskrypcji</w:t>
      </w:r>
      <w:proofErr w:type="spellEnd"/>
      <w:r w:rsidRPr="00306EF7">
        <w:t>, napisów dla niesłyszących oraz tłumaczeń na</w:t>
      </w:r>
      <w:r>
        <w:t> </w:t>
      </w:r>
      <w:r w:rsidRPr="00306EF7">
        <w:t>język migowy, tak aby co najmniej 10% kwartalnego czasu nadawania programu, z</w:t>
      </w:r>
      <w:r>
        <w:t> </w:t>
      </w:r>
      <w:r w:rsidRPr="00306EF7">
        <w:t>wyłączeniem reklam i</w:t>
      </w:r>
      <w:r>
        <w:t xml:space="preserve"> </w:t>
      </w:r>
      <w:r w:rsidRPr="00306EF7">
        <w:t>telesprzedaży, posiadało takie udogodnienia.</w:t>
      </w:r>
    </w:p>
    <w:p w:rsidR="001E22D0" w:rsidRPr="00C616B5" w:rsidRDefault="001E22D0" w:rsidP="00C616B5">
      <w:pPr>
        <w:pStyle w:val="ARTartustawynprozporzdzenia"/>
      </w:pPr>
    </w:p>
    <w:p w:rsidR="001E22D0" w:rsidRDefault="001E22D0" w:rsidP="00C0332A">
      <w:pPr>
        <w:pStyle w:val="PKTpunkt"/>
        <w:rPr>
          <w:b/>
        </w:rPr>
      </w:pPr>
      <w:r>
        <w:rPr>
          <w:b/>
        </w:rPr>
        <w:t>2.</w:t>
      </w:r>
      <w:r>
        <w:tab/>
      </w:r>
      <w:r w:rsidRPr="00C0332A">
        <w:rPr>
          <w:b/>
        </w:rPr>
        <w:t>Różnica pomiędzy dotychczasowym</w:t>
      </w:r>
      <w:r>
        <w:rPr>
          <w:b/>
        </w:rPr>
        <w:t xml:space="preserve"> a projektowanym stanem prawnym</w:t>
      </w:r>
    </w:p>
    <w:p w:rsidR="001E22D0" w:rsidRDefault="001E22D0" w:rsidP="00B66E8A">
      <w:pPr>
        <w:pStyle w:val="NIEARTTEKSTtekstnieartykuowanynppreambua"/>
      </w:pPr>
      <w:r>
        <w:t>W świetle obowiązującego art. 18a ust. 1 ustawy o radiofonii i telewizji</w:t>
      </w:r>
      <w:r w:rsidRPr="004D7B0C">
        <w:t xml:space="preserve"> </w:t>
      </w:r>
      <w:r>
        <w:t>n</w:t>
      </w:r>
      <w:r w:rsidRPr="00306EF7">
        <w:t>adawcy programów telewizyjnych są obowiązani do zapewniania dostępności programów dla osób niepełnosprawnych z powodu dysfunkcji narządu wzroku oraz osób niepełnosprawnych z</w:t>
      </w:r>
      <w:r>
        <w:t> </w:t>
      </w:r>
      <w:r w:rsidRPr="00306EF7">
        <w:t xml:space="preserve">powodu dysfunkcji narządu słuchu, przez wprowadzanie odpowiednich udogodnień: </w:t>
      </w:r>
      <w:proofErr w:type="spellStart"/>
      <w:r w:rsidRPr="00306EF7">
        <w:t>audiodeskrypcji</w:t>
      </w:r>
      <w:proofErr w:type="spellEnd"/>
      <w:r w:rsidRPr="00306EF7">
        <w:t>, napisów dla niesłyszących oraz tłumaczeń na język migowy, tak</w:t>
      </w:r>
      <w:r>
        <w:t> </w:t>
      </w:r>
      <w:r w:rsidRPr="00306EF7">
        <w:t>aby</w:t>
      </w:r>
      <w:r>
        <w:t> </w:t>
      </w:r>
      <w:r w:rsidRPr="00306EF7">
        <w:t>co</w:t>
      </w:r>
      <w:r>
        <w:t> </w:t>
      </w:r>
      <w:r w:rsidRPr="00306EF7">
        <w:t>najmniej 10% kwartalnego czasu nadawania programu, z wyłączeniem reklam i</w:t>
      </w:r>
      <w:r>
        <w:t> </w:t>
      </w:r>
      <w:r w:rsidRPr="00306EF7">
        <w:t>telesprzedaży, posiadało takie udogodnienia.</w:t>
      </w:r>
    </w:p>
    <w:p w:rsidR="001E22D0" w:rsidRDefault="001E22D0" w:rsidP="005D711D">
      <w:pPr>
        <w:pStyle w:val="NIEARTTEKSTtekstnieartykuowanynppreambua"/>
      </w:pPr>
      <w:r>
        <w:t>Projektowana zmiana tego przepisu przewiduje, że n</w:t>
      </w:r>
      <w:r w:rsidRPr="003B39C9">
        <w:t xml:space="preserve">adawcy programów telewizyjnych </w:t>
      </w:r>
      <w:r>
        <w:t>będą</w:t>
      </w:r>
      <w:r w:rsidRPr="003B39C9">
        <w:t xml:space="preserve"> obowiązani do zapewniania dostępności </w:t>
      </w:r>
      <w:r>
        <w:t xml:space="preserve">audycji </w:t>
      </w:r>
      <w:r w:rsidRPr="003B39C9">
        <w:t xml:space="preserve">dla osób niepełnosprawnych z powodu dysfunkcji </w:t>
      </w:r>
      <w:r>
        <w:t xml:space="preserve">narządu </w:t>
      </w:r>
      <w:r w:rsidRPr="003B39C9">
        <w:t xml:space="preserve">wzroku oraz osób niepełnosprawnych z powodu dysfunkcji </w:t>
      </w:r>
      <w:r>
        <w:t xml:space="preserve">narządu </w:t>
      </w:r>
      <w:r w:rsidRPr="003B39C9">
        <w:t>słuchu, przez wprowadzanie udogodnień</w:t>
      </w:r>
      <w:r>
        <w:t xml:space="preserve"> dla osób niepełnosprawnych, tak aby co najmniej 5</w:t>
      </w:r>
      <w:r w:rsidRPr="003B39C9">
        <w:t>0% kwartalnego czasu nadawania programu, z wyłączeniem reklam i telesprzedaży, posiadało takie udogodnienia.</w:t>
      </w:r>
    </w:p>
    <w:p w:rsidR="001E22D0" w:rsidRDefault="001E22D0" w:rsidP="005D711D">
      <w:pPr>
        <w:pStyle w:val="NIEARTTEKSTtekstnieartykuowanynppreambua"/>
      </w:pPr>
      <w:r>
        <w:t>Kwota ta powinna zostać osiągnięta w 2022 r. poprzez jej wcześniejsze stopniowe podnoszenie to jest:</w:t>
      </w:r>
    </w:p>
    <w:p w:rsidR="001E22D0" w:rsidRDefault="001E22D0" w:rsidP="005D711D">
      <w:pPr>
        <w:pStyle w:val="PKTpunkt"/>
      </w:pPr>
      <w:r>
        <w:t>–</w:t>
      </w:r>
      <w:r>
        <w:tab/>
        <w:t>w 2018 r. do co najmniej 15% kwartalnego czasu nadawania programu,</w:t>
      </w:r>
    </w:p>
    <w:p w:rsidR="001E22D0" w:rsidRDefault="001E22D0" w:rsidP="005D711D">
      <w:pPr>
        <w:pStyle w:val="PKTpunkt"/>
      </w:pPr>
      <w:r>
        <w:t>–</w:t>
      </w:r>
      <w:r>
        <w:tab/>
        <w:t>w 2019 r.</w:t>
      </w:r>
      <w:r w:rsidRPr="004A30C8">
        <w:t xml:space="preserve"> </w:t>
      </w:r>
      <w:r>
        <w:t>do co najmniej 25% kwartalnego czasu nadawania programu,</w:t>
      </w:r>
    </w:p>
    <w:p w:rsidR="001E22D0" w:rsidRDefault="001E22D0" w:rsidP="005D711D">
      <w:pPr>
        <w:pStyle w:val="PKTpunkt"/>
      </w:pPr>
      <w:r>
        <w:t>–</w:t>
      </w:r>
      <w:r>
        <w:tab/>
        <w:t>w 2020 r.</w:t>
      </w:r>
      <w:r w:rsidRPr="004A30C8">
        <w:t xml:space="preserve"> </w:t>
      </w:r>
      <w:r>
        <w:t>i 2021 r. do co najmniej 35% kwartalnego czasu nadawania programu.</w:t>
      </w:r>
    </w:p>
    <w:p w:rsidR="001E22D0" w:rsidRDefault="001E22D0" w:rsidP="005D711D">
      <w:pPr>
        <w:pStyle w:val="NIEARTTEKSTtekstnieartykuowanynppreambua"/>
      </w:pPr>
      <w:r>
        <w:lastRenderedPageBreak/>
        <w:t>Z uwagi na to, że art. 18a ust. 1 ustawy o radiofonii i telewizji</w:t>
      </w:r>
      <w:r w:rsidRPr="004D7B0C">
        <w:t xml:space="preserve"> </w:t>
      </w:r>
      <w:r>
        <w:t xml:space="preserve">zawiera jedynie ogólny obowiązek stosowania udogodnień dla osób niepełnosprawnych przez nadawców programów telewizyjnych, konieczne jest jego uszczegółowienie w akcie wykonawczym. W związku z tym projekt przewiduje upoważnienie </w:t>
      </w:r>
      <w:r w:rsidRPr="002553FD">
        <w:t>Krajow</w:t>
      </w:r>
      <w:r>
        <w:t>ej</w:t>
      </w:r>
      <w:r w:rsidRPr="002553FD">
        <w:t xml:space="preserve"> Rad</w:t>
      </w:r>
      <w:r>
        <w:t xml:space="preserve">y Radiofonii i Telewizji do określenia, </w:t>
      </w:r>
      <w:r w:rsidRPr="002553FD">
        <w:t>w drodze rozporządzenia,</w:t>
      </w:r>
      <w:r>
        <w:t xml:space="preserve"> rodzajów udogodnień dla osób niepełnosprawnych, jak również udziału poszczególnych rodzajów tych udogodnień w łącznym czasie nadawania, w zależności od pory emisji, charakteru programu i rodzaju nadawanych audycji.</w:t>
      </w:r>
    </w:p>
    <w:p w:rsidR="001E22D0" w:rsidRPr="00847C30" w:rsidRDefault="001E22D0" w:rsidP="00A135F2">
      <w:pPr>
        <w:pStyle w:val="NIEARTTEKSTtekstnieartykuowanynppreambua"/>
      </w:pPr>
      <w:r>
        <w:t>Ponadto pro</w:t>
      </w:r>
      <w:r w:rsidRPr="00A135F2">
        <w:t>j</w:t>
      </w:r>
      <w:r>
        <w:t>ekt przewiduje, iż</w:t>
      </w:r>
      <w:r w:rsidRPr="00004C08">
        <w:t xml:space="preserve"> </w:t>
      </w:r>
      <w:r w:rsidRPr="002553FD">
        <w:t>Krajow</w:t>
      </w:r>
      <w:r>
        <w:t>a</w:t>
      </w:r>
      <w:r w:rsidRPr="002553FD">
        <w:t xml:space="preserve"> Rad</w:t>
      </w:r>
      <w:r>
        <w:t xml:space="preserve">a Radiofonii i Telewizji będzie mogła określić, w drodze rozporządzenia, nie tylko niższy niż 50% udział w programie telewizyjnym audycji posiadających udogodnienia dla osób niepełnosprawnych lecz także zwolnić niektóre podmioty z obowiązku </w:t>
      </w:r>
      <w:r w:rsidRPr="003B39C9">
        <w:t xml:space="preserve">zapewniania dostępności </w:t>
      </w:r>
      <w:r>
        <w:t xml:space="preserve">audycji </w:t>
      </w:r>
      <w:r w:rsidRPr="003B39C9">
        <w:t>dla osób niepełnosprawnych z</w:t>
      </w:r>
      <w:r>
        <w:t xml:space="preserve"> </w:t>
      </w:r>
      <w:r w:rsidRPr="003B39C9">
        <w:t xml:space="preserve">powodu dysfunkcji </w:t>
      </w:r>
      <w:r>
        <w:t xml:space="preserve">narządu </w:t>
      </w:r>
      <w:r w:rsidRPr="003B39C9">
        <w:t>wzroku oraz osób niepełnosprawnych z</w:t>
      </w:r>
      <w:r>
        <w:t> </w:t>
      </w:r>
      <w:r w:rsidRPr="003B39C9">
        <w:t xml:space="preserve">powodu dysfunkcji </w:t>
      </w:r>
      <w:r>
        <w:t xml:space="preserve">narządu </w:t>
      </w:r>
      <w:r w:rsidRPr="003B39C9">
        <w:t>słuchu</w:t>
      </w:r>
      <w:r>
        <w:t>.</w:t>
      </w:r>
    </w:p>
    <w:p w:rsidR="001E22D0" w:rsidRDefault="001E22D0" w:rsidP="009F007A">
      <w:pPr>
        <w:pStyle w:val="NIEARTTEKSTtekstnieartykuowanynppreambua"/>
      </w:pPr>
      <w:r>
        <w:t>Niezależnie od powyższego uznano, iż zawarta w ustawie o radiofonii i telewizji definicja pojęcia „</w:t>
      </w:r>
      <w:proofErr w:type="spellStart"/>
      <w:r>
        <w:t>audiodeskrypcja</w:t>
      </w:r>
      <w:proofErr w:type="spellEnd"/>
      <w:r>
        <w:t>” ogranicza możliwość dostosowywania poszczególnych udogodnień dla osób niepełnosprawnych z powodu dysfunkcji narządu wzroku do zmieniających się technologii. Ponadto w sposób nieuzasadniony przyznaje się jednemu rodzajowi udogodnień dla osób niepełnosprawnych większe znaczenie niż pozostałym. W związku z powyższym projekt przewiduje usunięcie definicji pojęcia „</w:t>
      </w:r>
      <w:proofErr w:type="spellStart"/>
      <w:r>
        <w:t>audiodeskrypcja</w:t>
      </w:r>
      <w:proofErr w:type="spellEnd"/>
      <w:r>
        <w:t xml:space="preserve">” oraz wprowadzenie do ustawy definicji wyrażenia „udogodnienie dla osób niepełnosprawnych”. Pod pojęciem tym należy rozumieć element dźwiękowy lub graficzny zawarty w audycji lub rozpowszechniany równocześnie z nią, którego celem jest zapewnienie osobom niepełnosprawnym z powodu dysfunkcji narządu wzroku oraz osobom niepełnosprawnym z powodu dysfunkcji narządu słuchu możliwości zapoznania się z audycją w szczególności w formie napisów dla niesłyszących lub </w:t>
      </w:r>
      <w:proofErr w:type="spellStart"/>
      <w:r>
        <w:t>audiodeskrypcji</w:t>
      </w:r>
      <w:proofErr w:type="spellEnd"/>
      <w:r>
        <w:t>, a także tłumaczenia na język migowy.</w:t>
      </w:r>
    </w:p>
    <w:p w:rsidR="001E22D0" w:rsidRDefault="001E22D0" w:rsidP="00B66E8A">
      <w:pPr>
        <w:pStyle w:val="NIEARTTEKSTtekstnieartykuowanynppreambua"/>
      </w:pPr>
      <w:r>
        <w:t>W konsekwencji wprowadzenia pojęcia „udogodnienie dla osób niepełnosprawnych” niezbędna jest odpowiednia zmiana art. 47g ustawy o radiofonii i telewizji.</w:t>
      </w:r>
    </w:p>
    <w:p w:rsidR="001E22D0" w:rsidRDefault="001E22D0" w:rsidP="00B66E8A">
      <w:pPr>
        <w:pStyle w:val="NIEARTTEKSTtekstnieartykuowanynppreambua"/>
      </w:pPr>
      <w:r>
        <w:t xml:space="preserve">Ponadto w celu zapewnienia dostępu do udogodnień dla osób niepełnosprawnych widzom korzystającym z oferty operatorów sieci kablowych lub platform satelitarnych projekt przewiduje dodanie pkt 2a w art. 45 ust. 3, który pozwoli Krajowej Radzie Radiofonii i Telewizji wykreślić z rejestru rozprowadzany program, jeżeli operator nie będzie </w:t>
      </w:r>
      <w:r>
        <w:lastRenderedPageBreak/>
        <w:t>wywiązywać się z powyższych obowiązków. Regulacja ta nie będzie odnosić się do programów rozprowadzanych w sposób analogowy, gdyż z uwagi na ograniczenia techniczne operatorzy sieci analogowych nie mają możliwości udostępniania udogodnień dla osób niepełnosprawnych.</w:t>
      </w:r>
    </w:p>
    <w:p w:rsidR="001E22D0" w:rsidRPr="00DF72E0" w:rsidRDefault="001E22D0" w:rsidP="00B66E8A">
      <w:pPr>
        <w:pStyle w:val="NIEARTTEKSTtekstnieartykuowanynppreambua"/>
      </w:pPr>
      <w:r>
        <w:t>Projekt zawiera przepis przejściowy w odniesieniu do obowiązującego rozporządzenia Krajowej Rady Radiofonii i Telewizji</w:t>
      </w:r>
      <w:r w:rsidRPr="00BE468E">
        <w:t xml:space="preserve"> </w:t>
      </w:r>
      <w:r>
        <w:t xml:space="preserve">z dnia 28 maja 2013 r. </w:t>
      </w:r>
      <w:r w:rsidRPr="00BD2545">
        <w:t>w sprawie niższego udziału w</w:t>
      </w:r>
      <w:r>
        <w:t> </w:t>
      </w:r>
      <w:r w:rsidRPr="00BD2545">
        <w:t>programie telewizyjnym audycji z udogodnieniami odbioru dla osób niepełnosprawnych z</w:t>
      </w:r>
      <w:r>
        <w:t> </w:t>
      </w:r>
      <w:r w:rsidRPr="00BD2545">
        <w:t>powodu dysfunkcji narządu wzroku oraz osób niepełnosprawnych z powodu dysfunkcji narządu słuchu</w:t>
      </w:r>
      <w:r>
        <w:t xml:space="preserve"> w celu utrzymania w mocy przepisów tego rozporządzenia do czasu wydania nowego rozporządzenia, nie dłużej jednak niż przez 12 miesięcy od dnia wejścia w życie niniejszej ustawy.</w:t>
      </w:r>
    </w:p>
    <w:p w:rsidR="001E22D0" w:rsidRDefault="001E22D0" w:rsidP="00690416">
      <w:pPr>
        <w:pStyle w:val="NIEARTTEKSTtekstnieartykuowanynppreambua"/>
      </w:pPr>
      <w:r>
        <w:t>Projekt przewiduje, że ustawa wejdzie w życie z dniem 1 stycznia 2018 r.</w:t>
      </w:r>
    </w:p>
    <w:p w:rsidR="001E22D0" w:rsidRPr="00BC362D" w:rsidRDefault="001E22D0" w:rsidP="00BC362D">
      <w:pPr>
        <w:pStyle w:val="ARTartustawynprozporzdzenia"/>
      </w:pPr>
    </w:p>
    <w:p w:rsidR="001E22D0" w:rsidRPr="00C0332A" w:rsidRDefault="001E22D0" w:rsidP="00C0332A">
      <w:pPr>
        <w:pStyle w:val="PKTpunkt"/>
        <w:rPr>
          <w:b/>
        </w:rPr>
      </w:pPr>
      <w:r w:rsidRPr="00FD2882">
        <w:rPr>
          <w:b/>
        </w:rPr>
        <w:t>3.</w:t>
      </w:r>
      <w:r w:rsidRPr="00FD2882">
        <w:rPr>
          <w:b/>
        </w:rPr>
        <w:tab/>
        <w:t>Założenia aktów wykonawczych</w:t>
      </w:r>
    </w:p>
    <w:p w:rsidR="001E22D0" w:rsidRDefault="001E22D0" w:rsidP="00B66E8A">
      <w:pPr>
        <w:pStyle w:val="NIEARTTEKSTtekstnieartykuowanynppreambua"/>
      </w:pPr>
      <w:r w:rsidRPr="00A80805">
        <w:t xml:space="preserve">Projekt wymaga wydania </w:t>
      </w:r>
      <w:r>
        <w:t>przez Krajową Radę Radiofonii i Telewizji rozporządzenia, w którym zostaną określone rodzaje udogodnień dla osób niepełnosprawnych, jak również udział poszczególnych rodzajów tych udogodnień w łącznym czasie nadawania, w zależności od pory emisji, charakteru programu i rodzaju nadawanych audycji. Rozporządzenie to powinno uwzględniać potrzeby osób niepełnosprawnych</w:t>
      </w:r>
      <w:r w:rsidRPr="008268A5">
        <w:t xml:space="preserve"> </w:t>
      </w:r>
      <w:r>
        <w:t>z powodu dysfunkcji narządu wzroku oraz osób niepełnosprawnych z powodu dysfunkcji narządu słuchu i możliwości nadawców w tym zakresie, jak również rozwój technik przekazu i udogodnień dla osób niepełnosprawnych</w:t>
      </w:r>
      <w:r w:rsidRPr="00A80805">
        <w:t>.</w:t>
      </w:r>
    </w:p>
    <w:p w:rsidR="001E22D0" w:rsidRDefault="001E22D0" w:rsidP="00A135F2">
      <w:pPr>
        <w:pStyle w:val="NIEARTTEKSTtekstnieartykuowanynppreambua"/>
      </w:pPr>
      <w:r>
        <w:t xml:space="preserve">Projekt wymaga także wydania nowego rozporządzenia na podstawie art. 18a ust. 3 ustawy o radiofonii i telewizji. Rozporządzenie powinno uwzględniać przyznane Krajowej Radzie Radiofonii i Telewizji uprawnienie do zwolnienia podmiotów z obowiązku zapewniania dostępności audycji </w:t>
      </w:r>
      <w:r w:rsidRPr="003B39C9">
        <w:t>dla osób niepełnosprawnych</w:t>
      </w:r>
      <w:r>
        <w:t>, tak aby co najmniej 5</w:t>
      </w:r>
      <w:r w:rsidRPr="003B39C9">
        <w:t>0% kwartalnego czasu nadawania programu, z wyłączeniem reklam i</w:t>
      </w:r>
      <w:r>
        <w:t> </w:t>
      </w:r>
      <w:r w:rsidRPr="003B39C9">
        <w:t>telesprzedaży, posiadało takie udogodnienia</w:t>
      </w:r>
      <w:r>
        <w:t xml:space="preserve"> oraz określenia niższego niż co najmniej 50% udziału w programie telewizyjnym audycji posiadających udogodnienia dla osób niepełnosprawnych.</w:t>
      </w:r>
    </w:p>
    <w:p w:rsidR="001E22D0" w:rsidRPr="00F52EC4" w:rsidRDefault="001E22D0" w:rsidP="00F52EC4">
      <w:pPr>
        <w:pStyle w:val="ARTartustawynprozporzdzenia"/>
      </w:pPr>
    </w:p>
    <w:p w:rsidR="001E22D0" w:rsidRPr="00E431B4" w:rsidRDefault="001E22D0" w:rsidP="00E431B4">
      <w:pPr>
        <w:pStyle w:val="ARTartustawynprozporzdzenia"/>
      </w:pPr>
    </w:p>
    <w:p w:rsidR="001E22D0" w:rsidRDefault="001E22D0" w:rsidP="00596E05">
      <w:pPr>
        <w:pStyle w:val="PKTpunkt"/>
        <w:rPr>
          <w:b/>
        </w:rPr>
      </w:pPr>
      <w:r>
        <w:rPr>
          <w:b/>
        </w:rPr>
        <w:lastRenderedPageBreak/>
        <w:t>4.</w:t>
      </w:r>
      <w:r>
        <w:tab/>
      </w:r>
      <w:r w:rsidRPr="00FD2882">
        <w:rPr>
          <w:rFonts w:ascii="Times New Roman" w:hAnsi="Times New Roman"/>
          <w:b/>
        </w:rPr>
        <w:t>Oświadczenie o zgodności projektu ustawy z prawem Unii Europejskiej</w:t>
      </w:r>
    </w:p>
    <w:p w:rsidR="001E22D0" w:rsidRDefault="001E22D0" w:rsidP="00596E05">
      <w:pPr>
        <w:pStyle w:val="NIEARTTEKSTtekstnieartykuowanynppreambua"/>
      </w:pPr>
      <w:r w:rsidRPr="00A80805">
        <w:t xml:space="preserve">Przedmiot projektowanej regulacji </w:t>
      </w:r>
      <w:r>
        <w:t>jest zgodny z</w:t>
      </w:r>
      <w:r w:rsidRPr="00A80805">
        <w:t xml:space="preserve"> prawem </w:t>
      </w:r>
      <w:r w:rsidRPr="00596E05">
        <w:t>Unii</w:t>
      </w:r>
      <w:r w:rsidRPr="00A80805">
        <w:t xml:space="preserve"> Europejskiej.</w:t>
      </w:r>
    </w:p>
    <w:p w:rsidR="001E22D0" w:rsidRDefault="001E22D0" w:rsidP="00C0332A">
      <w:pPr>
        <w:pStyle w:val="PKTpunkt"/>
      </w:pPr>
    </w:p>
    <w:p w:rsidR="001E22D0" w:rsidRPr="00C0332A" w:rsidRDefault="001E22D0" w:rsidP="00C0332A">
      <w:pPr>
        <w:pStyle w:val="PKTpunkt"/>
        <w:rPr>
          <w:b/>
        </w:rPr>
      </w:pPr>
      <w:r>
        <w:rPr>
          <w:rFonts w:ascii="Times New Roman" w:hAnsi="Times New Roman"/>
          <w:b/>
        </w:rPr>
        <w:t>5.</w:t>
      </w:r>
      <w:r>
        <w:rPr>
          <w:rFonts w:ascii="Times New Roman" w:hAnsi="Times New Roman"/>
          <w:b/>
        </w:rPr>
        <w:tab/>
      </w:r>
      <w:r w:rsidRPr="00F70C29">
        <w:rPr>
          <w:rFonts w:ascii="Times New Roman" w:hAnsi="Times New Roman"/>
          <w:b/>
        </w:rPr>
        <w:t>Konsultacje</w:t>
      </w:r>
    </w:p>
    <w:p w:rsidR="001E22D0" w:rsidRPr="00857C08" w:rsidRDefault="001E22D0" w:rsidP="00B66E8A">
      <w:pPr>
        <w:pStyle w:val="NIEARTTEKSTtekstnieartykuowanynppreambua"/>
      </w:pPr>
      <w:r w:rsidRPr="008512AD">
        <w:t>Projek</w:t>
      </w:r>
      <w:r>
        <w:t>t w wersji objętej drukiem nr 366</w:t>
      </w:r>
      <w:r w:rsidRPr="008512AD">
        <w:t xml:space="preserve"> został przesłany do zaopiniowania następującym podmiotom: </w:t>
      </w:r>
      <w:r w:rsidRPr="00857C08">
        <w:t>Ministrowi Rozwoju i Finansów, Ministrowi Kultury i</w:t>
      </w:r>
      <w:r>
        <w:t> </w:t>
      </w:r>
      <w:r w:rsidRPr="00857C08">
        <w:t>Dziedzictwa Narodowego, Ministrowi Rodziny, Pracy i Polityki Społeczne</w:t>
      </w:r>
      <w:r>
        <w:t>j</w:t>
      </w:r>
      <w:r w:rsidRPr="00857C08">
        <w:t>, Krajowej Rad</w:t>
      </w:r>
      <w:r>
        <w:t>zie</w:t>
      </w:r>
      <w:r w:rsidRPr="00857C08">
        <w:t xml:space="preserve"> Radiofonii i Telewizji, Rzecznikowi Praw Obywatelskich, Rzecznikowi Finansowemu, </w:t>
      </w:r>
      <w:r>
        <w:t>Państwowemu Funduszowi Rehabilitacji Osób Niepełnosprawnych, Polskiemu Związkowi Głuchych, Polskiemu Związkowi Niewidomych oraz Helsińskiej Fundacji Praw Człowieka.</w:t>
      </w:r>
    </w:p>
    <w:p w:rsidR="001E22D0" w:rsidRDefault="001E22D0" w:rsidP="00075274">
      <w:pPr>
        <w:pStyle w:val="NIEARTTEKSTtekstnieartykuowanynppreambua"/>
      </w:pPr>
      <w:r>
        <w:t>Pozytywną opinię do projektu ustawy przedstawił</w:t>
      </w:r>
      <w:r w:rsidRPr="00A33A2E">
        <w:t xml:space="preserve"> Minister </w:t>
      </w:r>
      <w:r>
        <w:t>Kultury i Dziedzictwa Narodowego.</w:t>
      </w:r>
    </w:p>
    <w:p w:rsidR="001E22D0" w:rsidRDefault="001E22D0" w:rsidP="00075274">
      <w:pPr>
        <w:pStyle w:val="NIEARTTEKSTtekstnieartykuowanynppreambua"/>
      </w:pPr>
      <w:r>
        <w:t xml:space="preserve">Minister Rodziny, Pracy i Polityki Społecznej pozytywnie ocenił kierunek rozwiązań proponowanych w art. 18a ust. 1 i 2. Ponadto zwrócił uwagę na potrzebę dokonania pogłębionej analizy problemu pod kątem równoległego zapewnienia takich form udogodnień, które umożliwiłyby zarówno osobom niepełnosprawnym z dysfunkcją narządu wzroku jak i słuchu zapoznanie się z audycją tj. opatrzenie audycji napisami dla niesłyszących lub tłumaczeniem na język migowy z jednoczesnym zapewnieniem </w:t>
      </w:r>
      <w:proofErr w:type="spellStart"/>
      <w:r>
        <w:t>audiodeskrepcji</w:t>
      </w:r>
      <w:proofErr w:type="spellEnd"/>
      <w:r>
        <w:t>. Jednocześnie w opinii ministra proponowane w art. 18a ust. 3 rozwiązanie umożliwiające Krajowej Radzie Radiofonii i Telewizji wydanie rozporządzenia określającego m.in. podmioty zwolnione z obowiązku zapewnienia dostępności audycji dla osób niepełnosprawnych może doprowadzić do ograniczenia dostępności niektórych programów dla osób niepełnosprawnych.</w:t>
      </w:r>
    </w:p>
    <w:p w:rsidR="001E22D0" w:rsidRDefault="001E22D0" w:rsidP="00075274">
      <w:pPr>
        <w:pStyle w:val="NIEARTTEKSTtekstnieartykuowanynppreambua"/>
      </w:pPr>
      <w:r>
        <w:t xml:space="preserve">Rzecznik Praw Obywatelskich pozytywnie ocenił kierunek proponowanych zmian. Jednocześnie przedstawił wątpliwości związane z wykładnią przepisu zobowiązującego nadawców do zapewnienia dostępności programów dla osób z niepełnosprawnościami wzroku i słuchu, gdyż nie wynika z ustawy czy wymóg 10% odnosi się do wszystkich technik oddzielnie czy łącznie. W związku z tym wskazał rozważenie precyzyjnego określenia bezpośrednio w ustawie rodzajów i procentowego udziału poszczególnych typów dostosowań programów dla osób z niepełnosprawnościami w ogólnym czasie emisji. Zaproponował ustalenie obowiązku dostosowania co najmniej 50% programów do potrzeb osób </w:t>
      </w:r>
      <w:r>
        <w:lastRenderedPageBreak/>
        <w:t>niewidomych i niedowidzących (</w:t>
      </w:r>
      <w:proofErr w:type="spellStart"/>
      <w:r>
        <w:t>audiodeskrypcja</w:t>
      </w:r>
      <w:proofErr w:type="spellEnd"/>
      <w:r>
        <w:t>), co najmniej 50% programów do potrzeb osób niesłyszących i niedosłyszących (napisy) oraz co najmniej 50% programów do potrzeb osób głuchych, które nie posługują się biegle językiem polskim (tłumaczenie na język migowy).</w:t>
      </w:r>
    </w:p>
    <w:p w:rsidR="001E22D0" w:rsidRDefault="001E22D0" w:rsidP="00075274">
      <w:pPr>
        <w:pStyle w:val="NIEARTTEKSTtekstnieartykuowanynppreambua"/>
      </w:pPr>
      <w:r>
        <w:t>Rzecznik Praw Obywatelskich przedstawił także wątpliwość dotyczącą upoważnienia Krajowej Rady Radiofonii i Telewizji do określenia w drodze rozporządzenia niższego niż wymagany w ustawie udziału w programie telewizyjnym audycji z udogodnieniami odbioru dla osób z niepełnosprawnościami oraz proponowanej możliwości zwolnienia przez Krajową Radę Radiofonii i Telewizji niektórych podmiotów z obowiązku zapewnienia audycji dla osób głuchych lub niewidomych (projektowany art. 18a ust. 3). W opinii Rzecznika Praw Obywatelskich kwestia ta powinna być uregulowana w ustawie.</w:t>
      </w:r>
    </w:p>
    <w:p w:rsidR="001E22D0" w:rsidRDefault="001E22D0" w:rsidP="00066809">
      <w:pPr>
        <w:ind w:firstLine="708"/>
      </w:pPr>
      <w:r>
        <w:t>Ponadto zaproponował rozważenie zastosowania w ustawie sformułowania „dostępność audycji dla osób z niepełnosprawnością wzroku oraz osób z niepełnosprawnością słuchu” w celu odstąpienia od akcentowania „dysfunkcji” w kontekście niepełnosprawności.</w:t>
      </w:r>
    </w:p>
    <w:p w:rsidR="001E22D0" w:rsidRDefault="001E22D0" w:rsidP="00075274">
      <w:pPr>
        <w:pStyle w:val="NIEARTTEKSTtekstnieartykuowanynppreambua"/>
      </w:pPr>
      <w:r>
        <w:t>Rzecznik Praw Obywatelskich podniósł także kwestie praw autorskich twórców, które mogą stanowić barierę dla zapewnienia osobom z niepełnosprawnościami równego dostępu do programów telewizyjnych.</w:t>
      </w:r>
    </w:p>
    <w:p w:rsidR="001E22D0" w:rsidRDefault="001E22D0" w:rsidP="00075274">
      <w:pPr>
        <w:pStyle w:val="NIEARTTEKSTtekstnieartykuowanynppreambua"/>
      </w:pPr>
      <w:r>
        <w:t>Polski Związek Niewidomych pozytywnie ocenił propozycję nałożenia na nadawców programów telewizyjnych obowiązku zapewnienia dostępności audycji dla osób niepełnosprawnych z powodu dysfunkcji narządu wzroku oraz dysfunkcji narządu słuchu tak, aby co najmniej 50% kwartalnego czasu nadawania programu, z wyłączeniem reklam i telesprzedaży posiadało takie udogodnienia. Niezależnie od powyższego Polski Związek Niewidomych postulował, aby:</w:t>
      </w:r>
    </w:p>
    <w:p w:rsidR="001E22D0" w:rsidRPr="009611C7" w:rsidRDefault="001E22D0" w:rsidP="009611C7">
      <w:pPr>
        <w:pStyle w:val="PKTpunkt"/>
      </w:pPr>
      <w:r w:rsidRPr="009611C7">
        <w:t>–</w:t>
      </w:r>
      <w:r>
        <w:tab/>
      </w:r>
      <w:r w:rsidRPr="009611C7">
        <w:t>z 50% kwartalnego czasu nadawania programu z udogodnieniami dla osób niepełnosprawnych wyłączyć powtórki audycji audiowizualnych,</w:t>
      </w:r>
    </w:p>
    <w:p w:rsidR="001E22D0" w:rsidRDefault="001E22D0" w:rsidP="009611C7">
      <w:pPr>
        <w:pStyle w:val="PKTpunkt"/>
      </w:pPr>
      <w:r>
        <w:t>–</w:t>
      </w:r>
      <w:r>
        <w:tab/>
        <w:t xml:space="preserve">doprecyzować art. 18a ust. 1 przez jednoznaczne wskazanie, iż obowiązek emitowania 50% programów telewizyjnych dostępnych dla osób niepełnosprawnych dotyczy osobno każdego udogodnienia – </w:t>
      </w:r>
      <w:proofErr w:type="spellStart"/>
      <w:r>
        <w:t>audiodeskrypcji</w:t>
      </w:r>
      <w:proofErr w:type="spellEnd"/>
      <w:r>
        <w:t>, napisów dla osób niesłyszących oraz tłumaczeń na język migowy,</w:t>
      </w:r>
    </w:p>
    <w:p w:rsidR="001E22D0" w:rsidRDefault="001E22D0" w:rsidP="009611C7">
      <w:pPr>
        <w:pStyle w:val="PKTpunkt"/>
      </w:pPr>
      <w:r>
        <w:t>–</w:t>
      </w:r>
      <w:r>
        <w:tab/>
        <w:t>wprowadzić regulację, która zagwarantuje obecność dostępnych audycji w godzinach 5:00-23:00,</w:t>
      </w:r>
    </w:p>
    <w:p w:rsidR="001E22D0" w:rsidRDefault="001E22D0" w:rsidP="009611C7">
      <w:pPr>
        <w:pStyle w:val="PKTpunkt"/>
      </w:pPr>
      <w:r>
        <w:lastRenderedPageBreak/>
        <w:t>–</w:t>
      </w:r>
      <w:r>
        <w:tab/>
        <w:t xml:space="preserve">pozostawić definicję </w:t>
      </w:r>
      <w:proofErr w:type="spellStart"/>
      <w:r>
        <w:t>audiodeskrycpcji</w:t>
      </w:r>
      <w:proofErr w:type="spellEnd"/>
      <w:r>
        <w:t xml:space="preserve"> oraz zdefiniować wszystkie formy udogodnień dla osób niepełnosprawnych na gruncie ustawy,</w:t>
      </w:r>
    </w:p>
    <w:p w:rsidR="001E22D0" w:rsidRDefault="001E22D0" w:rsidP="009611C7">
      <w:pPr>
        <w:pStyle w:val="PKTpunkt"/>
      </w:pPr>
      <w:r>
        <w:t>–</w:t>
      </w:r>
      <w:r>
        <w:tab/>
        <w:t>nałożyć na nadawców obowiązek informowania odbiorców o programach posiadających udogodnienia,</w:t>
      </w:r>
    </w:p>
    <w:p w:rsidR="001E22D0" w:rsidRDefault="001E22D0" w:rsidP="009611C7">
      <w:pPr>
        <w:pStyle w:val="PKTpunkt"/>
      </w:pPr>
      <w:r>
        <w:t>–</w:t>
      </w:r>
      <w:r>
        <w:tab/>
        <w:t>zwiększenie z 10% do 50% programów dostępnych dla osób niepełnosprawnych nastąpiło do 2020 r.,</w:t>
      </w:r>
    </w:p>
    <w:p w:rsidR="001E22D0" w:rsidRDefault="001E22D0" w:rsidP="009611C7">
      <w:pPr>
        <w:pStyle w:val="PKTpunkt"/>
      </w:pPr>
      <w:r>
        <w:t>–</w:t>
      </w:r>
      <w:r>
        <w:tab/>
        <w:t>nałożyć na podmioty dostarczające audiowizualne usługi medialne na żądanie obowiązek zapewnienia dostępności dostarczanych audycji dla osób niepełnosprawnych do 2020 r. oraz możliwości uruchamiania treści dostępnych poprzez serwisy i aplikacje mobilne,</w:t>
      </w:r>
    </w:p>
    <w:p w:rsidR="001E22D0" w:rsidRPr="00E416FB" w:rsidRDefault="001E22D0" w:rsidP="009611C7">
      <w:pPr>
        <w:pStyle w:val="PKTpunkt"/>
      </w:pPr>
      <w:r>
        <w:t>–</w:t>
      </w:r>
      <w:r>
        <w:tab/>
        <w:t>wprowadzić sankcje finansowe w przypadku nieprzestrzegania przepisów dotyczących udostępniania treści audiowizualnych dla osób niewidomych i niesłyszących.</w:t>
      </w:r>
    </w:p>
    <w:p w:rsidR="001E22D0" w:rsidRDefault="001E22D0" w:rsidP="00075274">
      <w:pPr>
        <w:pStyle w:val="NIEARTTEKSTtekstnieartykuowanynppreambua"/>
      </w:pPr>
      <w:r>
        <w:t>Propozycje Polskiego Związku Niewidomych poparła przewodnicząca parlamentarnego zespołu ds. osób z niepełnosprawnością narządu wzroku.</w:t>
      </w:r>
    </w:p>
    <w:p w:rsidR="001E22D0" w:rsidRDefault="001E22D0" w:rsidP="00075274">
      <w:pPr>
        <w:pStyle w:val="NIEARTTEKSTtekstnieartykuowanynppreambua"/>
      </w:pPr>
      <w:r>
        <w:t>Prezes Zarządu Głównego Polskiego Związku Głuchych zaproponował doprecyzowanie wyrażenia „udogodnienie dla osób niepełnosprawnych” oraz modyfikację art. 18a ust. 1, tak aby co najmniej 50% kwartalnego czasu nadawania programu, z wyłączeniem reklam i telesprzedaży, posiadało takie udogodnienia dla każdej z wymienionych dysfunkcji. Jednocześnie postulował zmianę art. 18a ust. 1, tak aby 100% kwartalnego czasu nadawania programu posiadało wymienione w tym przepisie udogodnienia.</w:t>
      </w:r>
      <w:r w:rsidRPr="007D37B9">
        <w:t xml:space="preserve"> </w:t>
      </w:r>
      <w:r>
        <w:t>Ponadto postulował zmianę art. 2 w celu uwzględnienia w harmonogramie terminu wprowadzenia 100% udogodnień dla osób z dysfunkcją słuchu i wzroku.</w:t>
      </w:r>
    </w:p>
    <w:p w:rsidR="001E22D0" w:rsidRDefault="001E22D0" w:rsidP="00075274">
      <w:pPr>
        <w:pStyle w:val="NIEARTTEKSTtekstnieartykuowanynppreambua"/>
      </w:pPr>
      <w:r>
        <w:t>Przewodniczący Krajowej Rady Radiofonii i Telewizji wskazał, że użycie w art. 18 ust. 3 sformułowania „Krajowa Rada może określić w drodze rozporządzenia podmioty zwolnione z obowiązku” sugeruje, że Krajowa Rada Radiofonii i Telewizji w tym rozporządzeniu wskazywałaby konkretnych nadawców, co nie wydaje się uzasadnione. Ponadto poddał pod rozwagę czy dyspozycja pkt 2a dodawanego w art. 45 ust. 3 nie mieści się już w obowiązującym art. 45 ust. 3 pkt 2.</w:t>
      </w:r>
    </w:p>
    <w:p w:rsidR="001E22D0" w:rsidRPr="009B0876" w:rsidRDefault="001E22D0" w:rsidP="00075274">
      <w:pPr>
        <w:pStyle w:val="NIEARTTEKSTtekstnieartykuowanynppreambua"/>
      </w:pPr>
      <w:r>
        <w:t>Prezes Zarządu Państwowego Funduszu Rehabilitacji Osób Niepełnosprawnych zaproponował doprecyzowanie definicji wyrażenia „udogodnienie dla osób niepełnosprawnych”.</w:t>
      </w:r>
    </w:p>
    <w:p w:rsidR="001E22D0" w:rsidRDefault="001E22D0" w:rsidP="00075274">
      <w:pPr>
        <w:pStyle w:val="NIEARTTEKSTtekstnieartykuowanynppreambua"/>
      </w:pPr>
      <w:r>
        <w:lastRenderedPageBreak/>
        <w:t>Minister Rozwoju i Finansów oraz Rzecznik Finansowy poinformowali, że nie zgłaszają uwag.</w:t>
      </w:r>
    </w:p>
    <w:p w:rsidR="001E22D0" w:rsidRDefault="001E22D0" w:rsidP="00075274">
      <w:pPr>
        <w:pStyle w:val="NIEARTTEKSTtekstnieartykuowanynppreambua"/>
        <w:rPr>
          <w:color w:val="000000"/>
          <w:spacing w:val="-2"/>
        </w:rPr>
      </w:pPr>
      <w:r>
        <w:t>Ponadto w wyniku przeprowadzonych konsultacji 2 osoby prywatne postulowały o wprowadzenie zmiany, tak aby co najmniej 90% kwartalnego czasu nadawania programu, z wyłączeniem reklam i telesprzedaży posiadało takie udogodnienia. Ponadto wnosiły o stopniowe zwiększanie udogodnień dla osób niepełnosprawnych w następnych latach, aż do co najmniej 90% kwartalnego czasu nadawania programu. Jedna z nich proponowała, aby</w:t>
      </w:r>
      <w:r>
        <w:rPr>
          <w:rFonts w:ascii="Times New Roman" w:hAnsi="Times New Roman"/>
          <w:color w:val="000000"/>
          <w:spacing w:val="-2"/>
        </w:rPr>
        <w:t xml:space="preserve"> udział</w:t>
      </w:r>
      <w:r>
        <w:rPr>
          <w:color w:val="000000"/>
          <w:spacing w:val="-2"/>
        </w:rPr>
        <w:t xml:space="preserve"> udogodnień</w:t>
      </w:r>
      <w:r>
        <w:rPr>
          <w:rFonts w:ascii="Times New Roman" w:hAnsi="Times New Roman"/>
          <w:color w:val="000000"/>
          <w:spacing w:val="-2"/>
        </w:rPr>
        <w:t xml:space="preserve"> na poziomie </w:t>
      </w:r>
      <w:r>
        <w:rPr>
          <w:color w:val="000000"/>
          <w:spacing w:val="-2"/>
        </w:rPr>
        <w:t>90%</w:t>
      </w:r>
      <w:r>
        <w:rPr>
          <w:rFonts w:ascii="Times New Roman" w:hAnsi="Times New Roman"/>
          <w:color w:val="000000"/>
          <w:spacing w:val="-2"/>
        </w:rPr>
        <w:t xml:space="preserve"> kwartalnego czasu nadawania programu, z</w:t>
      </w:r>
      <w:r>
        <w:rPr>
          <w:color w:val="000000"/>
          <w:spacing w:val="-2"/>
        </w:rPr>
        <w:t> </w:t>
      </w:r>
      <w:r>
        <w:rPr>
          <w:rFonts w:ascii="Times New Roman" w:hAnsi="Times New Roman"/>
          <w:color w:val="000000"/>
          <w:spacing w:val="-2"/>
        </w:rPr>
        <w:t>wyłączeniem reklam i telesprzedaży</w:t>
      </w:r>
      <w:r>
        <w:rPr>
          <w:color w:val="000000"/>
          <w:spacing w:val="-2"/>
        </w:rPr>
        <w:t>,</w:t>
      </w:r>
      <w:r>
        <w:rPr>
          <w:rFonts w:ascii="Times New Roman" w:hAnsi="Times New Roman"/>
          <w:color w:val="000000"/>
          <w:spacing w:val="-2"/>
        </w:rPr>
        <w:t xml:space="preserve"> b</w:t>
      </w:r>
      <w:r>
        <w:rPr>
          <w:color w:val="000000"/>
          <w:spacing w:val="-2"/>
        </w:rPr>
        <w:t>ył</w:t>
      </w:r>
      <w:r>
        <w:rPr>
          <w:rFonts w:ascii="Times New Roman" w:hAnsi="Times New Roman"/>
          <w:color w:val="000000"/>
          <w:spacing w:val="-2"/>
        </w:rPr>
        <w:t xml:space="preserve"> wymagalny od 2026 r</w:t>
      </w:r>
      <w:r>
        <w:rPr>
          <w:color w:val="000000"/>
          <w:spacing w:val="-2"/>
        </w:rPr>
        <w:t>.</w:t>
      </w:r>
    </w:p>
    <w:p w:rsidR="001E22D0" w:rsidRDefault="001E22D0" w:rsidP="00CF0576">
      <w:pPr>
        <w:pStyle w:val="ARTartustawynprozporzdzenia"/>
      </w:pPr>
      <w:r>
        <w:t>Nadesłane w ramach konsultacji opinie i uwagi są zamieszczone na senackiej stronie internetowej.</w:t>
      </w:r>
    </w:p>
    <w:p w:rsidR="001E22D0" w:rsidRPr="004B58AE" w:rsidRDefault="001E22D0" w:rsidP="006B1E45">
      <w:pPr>
        <w:pStyle w:val="NIEARTTEKSTtekstnieartykuowanynppreambua"/>
      </w:pPr>
      <w:r>
        <w:t xml:space="preserve">Uwagi zgłoszone w trakcie konsultacji nie zostały uwzględnione. Projektowana propozycja zwiększenia </w:t>
      </w:r>
      <w:r w:rsidRPr="003B39C9">
        <w:t>udogodnień</w:t>
      </w:r>
      <w:r>
        <w:t xml:space="preserve"> dla osób niepełnosprawnych, tak aby co najmniej 5</w:t>
      </w:r>
      <w:r w:rsidRPr="003B39C9">
        <w:t xml:space="preserve">0% kwartalnego czasu nadawania programu, z wyłączeniem reklam i telesprzedaży, posiadało </w:t>
      </w:r>
      <w:r>
        <w:t xml:space="preserve">takie </w:t>
      </w:r>
      <w:r w:rsidRPr="003B39C9">
        <w:t>udogodnienia</w:t>
      </w:r>
      <w:r>
        <w:t xml:space="preserve">, oprócz dążenia do zapewnienia osobom niepełnosprawnym z powodu dysfunkcji narządu wzroku oraz osobom niepełnosprawnym z powodu dysfunkcji narządu słuchu możliwości zapoznania się w większym wymiarze z audycją w szczególności w formie napisów dla niesłyszących lub </w:t>
      </w:r>
      <w:proofErr w:type="spellStart"/>
      <w:r>
        <w:t>audiodeskrypcji</w:t>
      </w:r>
      <w:proofErr w:type="spellEnd"/>
      <w:r>
        <w:t>, a także tłumaczenia na język migowy, uwzględnia także możliwości nadawców programów telewizyjnych oraz nakłady finansowe związane z wprowadzaniem udogodnień w tym zakresie.</w:t>
      </w:r>
    </w:p>
    <w:p w:rsidR="005C7A66" w:rsidRDefault="005C7A66" w:rsidP="00C70646">
      <w:pPr>
        <w:sectPr w:rsidR="005C7A66" w:rsidSect="005C7A66">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569"/>
        <w:gridCol w:w="187"/>
        <w:gridCol w:w="383"/>
        <w:gridCol w:w="554"/>
        <w:gridCol w:w="16"/>
        <w:gridCol w:w="569"/>
        <w:gridCol w:w="353"/>
        <w:gridCol w:w="217"/>
        <w:gridCol w:w="115"/>
        <w:gridCol w:w="455"/>
        <w:gridCol w:w="80"/>
        <w:gridCol w:w="71"/>
        <w:gridCol w:w="419"/>
        <w:gridCol w:w="518"/>
        <w:gridCol w:w="51"/>
        <w:gridCol w:w="570"/>
        <w:gridCol w:w="246"/>
        <w:gridCol w:w="71"/>
        <w:gridCol w:w="253"/>
        <w:gridCol w:w="570"/>
        <w:gridCol w:w="115"/>
        <w:gridCol w:w="1422"/>
        <w:gridCol w:w="10"/>
      </w:tblGrid>
      <w:tr w:rsidR="005C7A66" w:rsidRPr="005C7A66" w:rsidTr="00424D0B">
        <w:trPr>
          <w:gridAfter w:val="1"/>
          <w:wAfter w:w="10" w:type="dxa"/>
          <w:trHeight w:val="1611"/>
        </w:trPr>
        <w:tc>
          <w:tcPr>
            <w:tcW w:w="6631" w:type="dxa"/>
            <w:gridSpan w:val="15"/>
          </w:tcPr>
          <w:p w:rsidR="005C7A66" w:rsidRPr="005C7A66" w:rsidRDefault="005C7A66" w:rsidP="005C7A66">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5C7A66">
              <w:rPr>
                <w:rFonts w:eastAsia="Calibri" w:cs="Times New Roman"/>
                <w:b/>
                <w:color w:val="000000"/>
                <w:sz w:val="22"/>
                <w:szCs w:val="22"/>
                <w:lang w:eastAsia="en-US"/>
              </w:rPr>
              <w:lastRenderedPageBreak/>
              <w:t>Tytuł projektu:</w:t>
            </w:r>
          </w:p>
          <w:p w:rsidR="005C7A66" w:rsidRPr="005C7A66" w:rsidRDefault="005C7A66" w:rsidP="005C7A66">
            <w:pPr>
              <w:widowControl/>
              <w:autoSpaceDE/>
              <w:autoSpaceDN/>
              <w:adjustRightInd/>
              <w:spacing w:line="240" w:lineRule="auto"/>
              <w:ind w:hanging="34"/>
              <w:jc w:val="left"/>
              <w:rPr>
                <w:rFonts w:eastAsia="Calibri" w:cs="Times New Roman"/>
                <w:color w:val="000000"/>
                <w:sz w:val="22"/>
                <w:szCs w:val="22"/>
                <w:lang w:eastAsia="en-US"/>
              </w:rPr>
            </w:pPr>
            <w:r w:rsidRPr="005C7A66">
              <w:rPr>
                <w:rFonts w:eastAsia="Calibri" w:cs="Times New Roman"/>
                <w:color w:val="000000"/>
                <w:sz w:val="22"/>
                <w:szCs w:val="22"/>
                <w:lang w:eastAsia="en-US"/>
              </w:rPr>
              <w:t>Ustawa o zmianie ustawy o radiofonii i telewizji.</w:t>
            </w:r>
          </w:p>
          <w:bookmarkEnd w:id="1"/>
          <w:p w:rsidR="005C7A66" w:rsidRPr="005C7A66" w:rsidRDefault="005C7A66" w:rsidP="005C7A66">
            <w:pPr>
              <w:widowControl/>
              <w:autoSpaceDE/>
              <w:autoSpaceDN/>
              <w:adjustRightInd/>
              <w:spacing w:line="240" w:lineRule="auto"/>
              <w:jc w:val="left"/>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b/>
                <w:sz w:val="21"/>
                <w:szCs w:val="24"/>
                <w:lang w:eastAsia="en-US"/>
              </w:rPr>
            </w:pPr>
            <w:r w:rsidRPr="005C7A66">
              <w:rPr>
                <w:rFonts w:eastAsia="Calibri" w:cs="Times New Roman"/>
                <w:b/>
                <w:sz w:val="21"/>
                <w:szCs w:val="24"/>
                <w:lang w:eastAsia="en-US"/>
              </w:rPr>
              <w:t>Przedstawiciel wnioskodawcy:</w:t>
            </w:r>
          </w:p>
          <w:p w:rsidR="005C7A66" w:rsidRPr="005C7A66" w:rsidRDefault="005C7A66" w:rsidP="005C7A66">
            <w:pPr>
              <w:widowControl/>
              <w:autoSpaceDE/>
              <w:autoSpaceDN/>
              <w:adjustRightInd/>
              <w:spacing w:line="240" w:lineRule="auto"/>
              <w:jc w:val="left"/>
              <w:rPr>
                <w:rFonts w:eastAsia="Calibri" w:cs="Times New Roman"/>
                <w:sz w:val="21"/>
                <w:szCs w:val="24"/>
                <w:lang w:eastAsia="en-US"/>
              </w:rPr>
            </w:pPr>
            <w:r w:rsidRPr="005C7A66">
              <w:rPr>
                <w:rFonts w:eastAsia="Calibri" w:cs="Times New Roman"/>
                <w:sz w:val="21"/>
                <w:szCs w:val="24"/>
                <w:lang w:eastAsia="en-US"/>
              </w:rPr>
              <w:t xml:space="preserve">senator Jan Rulewski </w:t>
            </w:r>
          </w:p>
          <w:p w:rsidR="005C7A66" w:rsidRPr="005C7A66" w:rsidRDefault="005C7A66" w:rsidP="005C7A66">
            <w:pPr>
              <w:widowControl/>
              <w:tabs>
                <w:tab w:val="center" w:pos="3207"/>
              </w:tabs>
              <w:autoSpaceDE/>
              <w:autoSpaceDN/>
              <w:adjustRightInd/>
              <w:spacing w:line="240" w:lineRule="auto"/>
              <w:jc w:val="left"/>
              <w:rPr>
                <w:rFonts w:eastAsia="Calibri" w:cs="Times New Roman"/>
                <w:sz w:val="21"/>
                <w:szCs w:val="21"/>
                <w:lang w:eastAsia="en-US"/>
              </w:rPr>
            </w:pPr>
            <w:r w:rsidRPr="005C7A66">
              <w:rPr>
                <w:rFonts w:eastAsia="Calibri" w:cs="Times New Roman"/>
                <w:sz w:val="21"/>
                <w:szCs w:val="21"/>
                <w:lang w:eastAsia="en-US"/>
              </w:rPr>
              <w:tab/>
            </w:r>
          </w:p>
          <w:p w:rsidR="005C7A66" w:rsidRPr="005C7A66" w:rsidRDefault="005C7A66" w:rsidP="005C7A66">
            <w:pPr>
              <w:widowControl/>
              <w:autoSpaceDE/>
              <w:autoSpaceDN/>
              <w:adjustRightInd/>
              <w:spacing w:line="240" w:lineRule="auto"/>
              <w:jc w:val="left"/>
              <w:rPr>
                <w:rFonts w:eastAsia="Calibri" w:cs="Times New Roman"/>
                <w:b/>
                <w:color w:val="000000"/>
                <w:sz w:val="22"/>
                <w:szCs w:val="22"/>
                <w:lang w:eastAsia="en-US"/>
              </w:rPr>
            </w:pPr>
          </w:p>
          <w:p w:rsidR="005C7A66" w:rsidRPr="005C7A66" w:rsidRDefault="005C7A66" w:rsidP="005C7A66">
            <w:pPr>
              <w:widowControl/>
              <w:autoSpaceDE/>
              <w:autoSpaceDN/>
              <w:adjustRightInd/>
              <w:spacing w:line="240" w:lineRule="auto"/>
              <w:ind w:hanging="45"/>
              <w:jc w:val="left"/>
              <w:rPr>
                <w:rFonts w:eastAsia="Calibri" w:cs="Times New Roman"/>
                <w:b/>
                <w:color w:val="000000"/>
                <w:sz w:val="22"/>
                <w:szCs w:val="22"/>
                <w:lang w:eastAsia="en-US"/>
              </w:rPr>
            </w:pPr>
            <w:r w:rsidRPr="005C7A66">
              <w:rPr>
                <w:rFonts w:eastAsia="Calibri" w:cs="Times New Roman"/>
                <w:b/>
                <w:color w:val="000000"/>
                <w:sz w:val="22"/>
                <w:szCs w:val="22"/>
                <w:lang w:eastAsia="en-US"/>
              </w:rPr>
              <w:t>Osoby odpowiedzialne za projekt w Biurze Legislacyjnym:</w:t>
            </w:r>
            <w:bookmarkStart w:id="2" w:name="t3"/>
          </w:p>
          <w:p w:rsidR="005C7A66" w:rsidRPr="005C7A66" w:rsidRDefault="005C7A66" w:rsidP="005C7A66">
            <w:pPr>
              <w:widowControl/>
              <w:autoSpaceDE/>
              <w:autoSpaceDN/>
              <w:adjustRightInd/>
              <w:spacing w:line="240" w:lineRule="auto"/>
              <w:ind w:hanging="45"/>
              <w:jc w:val="left"/>
              <w:rPr>
                <w:rFonts w:eastAsia="Calibri" w:cs="Times New Roman"/>
                <w:color w:val="000000"/>
                <w:sz w:val="22"/>
                <w:szCs w:val="22"/>
                <w:lang w:eastAsia="en-US"/>
              </w:rPr>
            </w:pPr>
            <w:r w:rsidRPr="005C7A66">
              <w:rPr>
                <w:rFonts w:eastAsia="Calibri" w:cs="Times New Roman"/>
                <w:color w:val="000000"/>
                <w:sz w:val="22"/>
                <w:szCs w:val="22"/>
                <w:lang w:eastAsia="en-US"/>
              </w:rPr>
              <w:t xml:space="preserve">Danuta </w:t>
            </w:r>
            <w:proofErr w:type="spellStart"/>
            <w:r w:rsidRPr="005C7A66">
              <w:rPr>
                <w:rFonts w:eastAsia="Calibri" w:cs="Times New Roman"/>
                <w:color w:val="000000"/>
                <w:sz w:val="22"/>
                <w:szCs w:val="22"/>
                <w:lang w:eastAsia="en-US"/>
              </w:rPr>
              <w:t>Drypa</w:t>
            </w:r>
            <w:proofErr w:type="spellEnd"/>
            <w:r w:rsidRPr="005C7A66">
              <w:rPr>
                <w:rFonts w:eastAsia="Calibri" w:cs="Times New Roman"/>
                <w:color w:val="000000"/>
                <w:sz w:val="22"/>
                <w:szCs w:val="22"/>
                <w:lang w:eastAsia="en-US"/>
              </w:rPr>
              <w:t xml:space="preserve">, legislator, tel. 22 694 9192    </w:t>
            </w:r>
          </w:p>
          <w:p w:rsidR="005C7A66" w:rsidRPr="005C7A66" w:rsidRDefault="005C7A66" w:rsidP="005C7A66">
            <w:pPr>
              <w:widowControl/>
              <w:autoSpaceDE/>
              <w:autoSpaceDN/>
              <w:adjustRightInd/>
              <w:spacing w:line="240" w:lineRule="auto"/>
              <w:ind w:hanging="45"/>
              <w:jc w:val="left"/>
              <w:rPr>
                <w:rFonts w:eastAsia="Calibri" w:cs="Times New Roman"/>
                <w:color w:val="000000"/>
                <w:sz w:val="22"/>
                <w:szCs w:val="22"/>
                <w:lang w:eastAsia="en-US"/>
              </w:rPr>
            </w:pPr>
            <w:r w:rsidRPr="005C7A66">
              <w:rPr>
                <w:rFonts w:eastAsia="Calibri" w:cs="Times New Roman"/>
                <w:color w:val="000000"/>
                <w:sz w:val="22"/>
                <w:szCs w:val="22"/>
                <w:lang w:eastAsia="en-US"/>
              </w:rPr>
              <w:t xml:space="preserve">Andrzej </w:t>
            </w:r>
            <w:proofErr w:type="spellStart"/>
            <w:r w:rsidRPr="005C7A66">
              <w:rPr>
                <w:rFonts w:eastAsia="Calibri" w:cs="Times New Roman"/>
                <w:color w:val="000000"/>
                <w:sz w:val="22"/>
                <w:szCs w:val="22"/>
                <w:lang w:eastAsia="en-US"/>
              </w:rPr>
              <w:t>Fałek</w:t>
            </w:r>
            <w:proofErr w:type="spellEnd"/>
            <w:r w:rsidRPr="005C7A66">
              <w:rPr>
                <w:rFonts w:eastAsia="Calibri" w:cs="Times New Roman"/>
                <w:color w:val="000000"/>
                <w:sz w:val="22"/>
                <w:szCs w:val="22"/>
                <w:lang w:eastAsia="en-US"/>
              </w:rPr>
              <w:t>, ekspert ds. OSR, tel. 22 694 9097</w:t>
            </w:r>
          </w:p>
          <w:bookmarkEnd w:id="2"/>
          <w:p w:rsidR="005C7A66" w:rsidRPr="005C7A66" w:rsidRDefault="005C7A66" w:rsidP="005C7A66">
            <w:pPr>
              <w:widowControl/>
              <w:autoSpaceDE/>
              <w:autoSpaceDN/>
              <w:adjustRightInd/>
              <w:spacing w:line="240" w:lineRule="auto"/>
              <w:jc w:val="left"/>
              <w:rPr>
                <w:rFonts w:eastAsia="Calibri" w:cs="Times New Roman"/>
                <w:color w:val="000000"/>
                <w:sz w:val="22"/>
                <w:szCs w:val="22"/>
                <w:lang w:eastAsia="en-US"/>
              </w:rPr>
            </w:pPr>
          </w:p>
        </w:tc>
        <w:tc>
          <w:tcPr>
            <w:tcW w:w="4306" w:type="dxa"/>
            <w:gridSpan w:val="11"/>
            <w:shd w:val="clear" w:color="auto" w:fill="FFFFFF"/>
          </w:tcPr>
          <w:p w:rsidR="005C7A66" w:rsidRPr="005C7A66" w:rsidRDefault="005C7A66" w:rsidP="005C7A66">
            <w:pPr>
              <w:widowControl/>
              <w:autoSpaceDE/>
              <w:autoSpaceDN/>
              <w:adjustRightInd/>
              <w:spacing w:before="120" w:line="240" w:lineRule="auto"/>
              <w:jc w:val="left"/>
              <w:rPr>
                <w:rFonts w:eastAsia="Calibri" w:cs="Times New Roman"/>
                <w:b/>
                <w:sz w:val="21"/>
                <w:szCs w:val="21"/>
                <w:lang w:eastAsia="en-US"/>
              </w:rPr>
            </w:pPr>
            <w:r w:rsidRPr="005C7A66">
              <w:rPr>
                <w:rFonts w:eastAsia="Calibri" w:cs="Times New Roman"/>
                <w:b/>
                <w:sz w:val="21"/>
                <w:szCs w:val="21"/>
                <w:lang w:eastAsia="en-US"/>
              </w:rPr>
              <w:t>Data sporządzenia:</w:t>
            </w:r>
            <w:r w:rsidRPr="005C7A66">
              <w:rPr>
                <w:rFonts w:eastAsia="Calibri" w:cs="Times New Roman"/>
                <w:b/>
                <w:sz w:val="21"/>
                <w:szCs w:val="21"/>
                <w:lang w:eastAsia="en-US"/>
              </w:rPr>
              <w:br/>
            </w:r>
            <w:r w:rsidRPr="005C7A66">
              <w:rPr>
                <w:rFonts w:eastAsia="Calibri" w:cs="Times New Roman"/>
                <w:sz w:val="21"/>
                <w:szCs w:val="21"/>
                <w:lang w:eastAsia="en-US"/>
              </w:rPr>
              <w:t xml:space="preserve">24 kwietnia 2017 r. </w:t>
            </w:r>
          </w:p>
          <w:p w:rsidR="005C7A66" w:rsidRPr="005C7A66" w:rsidRDefault="005C7A66" w:rsidP="005C7A66">
            <w:pPr>
              <w:widowControl/>
              <w:autoSpaceDE/>
              <w:autoSpaceDN/>
              <w:adjustRightInd/>
              <w:spacing w:line="240" w:lineRule="auto"/>
              <w:jc w:val="left"/>
              <w:rPr>
                <w:rFonts w:eastAsia="Calibri" w:cs="Times New Roman"/>
                <w:b/>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b/>
                <w:sz w:val="22"/>
                <w:szCs w:val="22"/>
                <w:lang w:eastAsia="en-US"/>
              </w:rPr>
            </w:pPr>
            <w:r w:rsidRPr="005C7A66">
              <w:rPr>
                <w:rFonts w:eastAsia="Calibri" w:cs="Times New Roman"/>
                <w:b/>
                <w:sz w:val="22"/>
                <w:szCs w:val="22"/>
                <w:lang w:eastAsia="en-US"/>
              </w:rPr>
              <w:t xml:space="preserve">Źródło: </w:t>
            </w:r>
            <w:bookmarkStart w:id="3" w:name="Lista1"/>
          </w:p>
          <w:bookmarkEnd w:id="3"/>
          <w:p w:rsidR="005C7A66" w:rsidRPr="005C7A66" w:rsidRDefault="005C7A66" w:rsidP="005C7A66">
            <w:pPr>
              <w:widowControl/>
              <w:autoSpaceDE/>
              <w:autoSpaceDN/>
              <w:adjustRightInd/>
              <w:spacing w:line="240" w:lineRule="auto"/>
              <w:jc w:val="left"/>
              <w:rPr>
                <w:rFonts w:eastAsia="Calibri" w:cs="Times New Roman"/>
                <w:color w:val="000000"/>
                <w:sz w:val="22"/>
                <w:szCs w:val="22"/>
                <w:lang w:eastAsia="en-US"/>
              </w:rPr>
            </w:pPr>
            <w:r w:rsidRPr="005C7A66">
              <w:rPr>
                <w:rFonts w:eastAsia="Calibri" w:cs="Times New Roman"/>
                <w:color w:val="000000"/>
                <w:sz w:val="22"/>
                <w:szCs w:val="22"/>
                <w:lang w:eastAsia="en-US"/>
              </w:rPr>
              <w:t xml:space="preserve">petycja </w:t>
            </w:r>
          </w:p>
          <w:p w:rsidR="005C7A66" w:rsidRPr="005C7A66" w:rsidRDefault="005C7A66" w:rsidP="005C7A66">
            <w:pPr>
              <w:widowControl/>
              <w:autoSpaceDE/>
              <w:autoSpaceDN/>
              <w:adjustRightInd/>
              <w:spacing w:line="240" w:lineRule="auto"/>
              <w:jc w:val="left"/>
              <w:rPr>
                <w:rFonts w:eastAsia="Calibri" w:cs="Times New Roman"/>
                <w:b/>
                <w:color w:val="000000"/>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z w:val="22"/>
                <w:szCs w:val="22"/>
                <w:lang w:eastAsia="en-US"/>
              </w:rPr>
            </w:pPr>
            <w:r w:rsidRPr="005C7A66">
              <w:rPr>
                <w:rFonts w:eastAsia="Calibri" w:cs="Times New Roman"/>
                <w:b/>
                <w:color w:val="000000"/>
                <w:sz w:val="22"/>
                <w:szCs w:val="22"/>
                <w:lang w:eastAsia="en-US"/>
              </w:rPr>
              <w:t xml:space="preserve">Nr druku: </w:t>
            </w:r>
            <w:r w:rsidRPr="005C7A66">
              <w:rPr>
                <w:rFonts w:eastAsia="Calibri" w:cs="Times New Roman"/>
                <w:color w:val="000000"/>
                <w:sz w:val="22"/>
                <w:szCs w:val="22"/>
                <w:lang w:eastAsia="en-US"/>
              </w:rPr>
              <w:t>366, 366S</w:t>
            </w:r>
          </w:p>
          <w:p w:rsidR="005C7A66" w:rsidRPr="005C7A66" w:rsidRDefault="005C7A66" w:rsidP="005C7A66">
            <w:pPr>
              <w:widowControl/>
              <w:autoSpaceDE/>
              <w:autoSpaceDN/>
              <w:adjustRightInd/>
              <w:spacing w:line="240" w:lineRule="auto"/>
              <w:jc w:val="left"/>
              <w:rPr>
                <w:rFonts w:eastAsia="Calibri" w:cs="Times New Roman"/>
                <w:color w:val="000000"/>
                <w:sz w:val="28"/>
                <w:szCs w:val="28"/>
                <w:lang w:eastAsia="en-US"/>
              </w:rPr>
            </w:pP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autoSpaceDE/>
              <w:autoSpaceDN/>
              <w:adjustRightInd/>
              <w:spacing w:line="240" w:lineRule="auto"/>
              <w:ind w:left="57"/>
              <w:jc w:val="center"/>
              <w:rPr>
                <w:rFonts w:eastAsia="Calibri" w:cs="Times New Roman"/>
                <w:b/>
                <w:color w:val="FFFFFF"/>
                <w:sz w:val="32"/>
                <w:szCs w:val="32"/>
                <w:lang w:eastAsia="en-US"/>
              </w:rPr>
            </w:pPr>
            <w:r w:rsidRPr="005C7A66">
              <w:rPr>
                <w:rFonts w:eastAsia="Calibri" w:cs="Times New Roman"/>
                <w:b/>
                <w:color w:val="FFFFFF"/>
                <w:sz w:val="32"/>
                <w:szCs w:val="32"/>
                <w:lang w:eastAsia="en-US"/>
              </w:rPr>
              <w:t>OCENA SKUTKÓW REGULACJI</w:t>
            </w:r>
          </w:p>
        </w:tc>
      </w:tr>
      <w:tr w:rsidR="005C7A66" w:rsidRPr="005C7A66" w:rsidTr="00424D0B">
        <w:trPr>
          <w:gridAfter w:val="1"/>
          <w:wAfter w:w="10" w:type="dxa"/>
          <w:trHeight w:val="333"/>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sz w:val="22"/>
                <w:szCs w:val="22"/>
                <w:lang w:eastAsia="en-US"/>
              </w:rPr>
              <w:t>Jaki problem jest rozwiązywany?</w:t>
            </w:r>
            <w:bookmarkStart w:id="4" w:name="Wybór1"/>
            <w:bookmarkEnd w:id="4"/>
          </w:p>
        </w:tc>
      </w:tr>
      <w:tr w:rsidR="005C7A66" w:rsidRPr="005C7A66" w:rsidTr="00424D0B">
        <w:trPr>
          <w:gridAfter w:val="1"/>
          <w:wAfter w:w="10" w:type="dxa"/>
          <w:trHeight w:val="142"/>
        </w:trPr>
        <w:tc>
          <w:tcPr>
            <w:tcW w:w="10937" w:type="dxa"/>
            <w:gridSpan w:val="26"/>
            <w:shd w:val="clear" w:color="auto" w:fill="FFFFFF"/>
          </w:tcPr>
          <w:p w:rsidR="005C7A66" w:rsidRPr="005C7A66" w:rsidRDefault="005C7A66" w:rsidP="005C7A66">
            <w:pPr>
              <w:widowControl/>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Według obecnie obowiązujących przepisów nadawcy programów telewizyjnych zobowiązani są do zapewnienia  dostępności programów dla osób niepełnosprawnych z powodu dysfunkcji narządu wzroku i dysfunkcji narządu słuchu, przez wprowadzenie odpowiednich udogodnień: </w:t>
            </w:r>
            <w:proofErr w:type="spellStart"/>
            <w:r w:rsidRPr="005C7A66">
              <w:rPr>
                <w:rFonts w:eastAsia="Calibri" w:cs="Times New Roman"/>
                <w:color w:val="000000"/>
                <w:sz w:val="22"/>
                <w:szCs w:val="22"/>
                <w:lang w:eastAsia="en-US"/>
              </w:rPr>
              <w:t>audiodeskrypcji</w:t>
            </w:r>
            <w:proofErr w:type="spellEnd"/>
            <w:r w:rsidRPr="005C7A66">
              <w:rPr>
                <w:rFonts w:eastAsia="Calibri" w:cs="Times New Roman"/>
                <w:color w:val="000000"/>
                <w:sz w:val="22"/>
                <w:szCs w:val="22"/>
                <w:lang w:eastAsia="en-US"/>
              </w:rPr>
              <w:t xml:space="preserve">, napisów oraz tłumaczeń na język migowy, tak aby co najmniej 10% kwartalnego czasu nadawania programu, z wyłączeniem reklam i telesprzedaży, posiadało takie udogodnienia. Celem przedmiotowej regulacji jest rozwiązanie problemu polegającego na niedostatecznej dostępności programów telewizyjnych dla osób niepełnosprawnych, minimalizowanie barier dostępu do mediów i przeciwdziałanie wykluczeniu cyfrowemu osób niepełnosprawnych. Z opublikowanego przez KRRiT sprawozdania z działalności za 2015 rok wynika, że czas nadawania audycji z udogodnieniami dla osób niepełnosprawnych został skontrolowany w 360 raportach kwartalnych nadawców telewizyjnych. W 84 programach nadawcy dostarczali audycji z udogodnieniami co najmniej w ustawowo wymaganym wymiarze 10% programu. Średni udział audycji z udogodnieniami dla osób niesłyszących wyniósł 15,2% rocznego czasu nadawania.  Dane KRRiT nt. nadawania programów z udogodnieniami </w:t>
            </w:r>
            <w:r w:rsidRPr="005C7A66">
              <w:rPr>
                <w:rFonts w:eastAsia="Calibri" w:cs="Times New Roman"/>
                <w:color w:val="000000"/>
                <w:sz w:val="22"/>
                <w:szCs w:val="22"/>
                <w:lang w:eastAsia="en-US"/>
              </w:rPr>
              <w:br/>
              <w:t>w IV kw. 2016 r. zaprezentowane są w pkt. 7, w tablicach nr 3-6.</w:t>
            </w:r>
          </w:p>
        </w:tc>
      </w:tr>
      <w:tr w:rsidR="005C7A66" w:rsidRPr="005C7A66" w:rsidTr="00424D0B">
        <w:trPr>
          <w:gridAfter w:val="1"/>
          <w:wAfter w:w="10" w:type="dxa"/>
          <w:trHeight w:val="142"/>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pacing w:val="-2"/>
                <w:sz w:val="22"/>
                <w:szCs w:val="22"/>
                <w:lang w:eastAsia="en-US"/>
              </w:rPr>
              <w:t>Rekomendowane rozwiązanie, w tym planowane narzędzia interwencji, i oczekiwany efekt</w:t>
            </w:r>
          </w:p>
        </w:tc>
      </w:tr>
      <w:tr w:rsidR="005C7A66" w:rsidRPr="005C7A66" w:rsidTr="00424D0B">
        <w:trPr>
          <w:gridAfter w:val="1"/>
          <w:wAfter w:w="10" w:type="dxa"/>
          <w:trHeight w:val="142"/>
        </w:trPr>
        <w:tc>
          <w:tcPr>
            <w:tcW w:w="10937" w:type="dxa"/>
            <w:gridSpan w:val="26"/>
            <w:shd w:val="clear" w:color="auto" w:fill="auto"/>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Rekomendowane rozwiązanie polegać będzie na zobowiązaniu nadawców programów telewizyjnych do zapewnienia dostępności </w:t>
            </w:r>
            <w:r w:rsidRPr="005C7A66">
              <w:rPr>
                <w:rFonts w:eastAsia="Calibri" w:cs="Times New Roman"/>
                <w:color w:val="000000"/>
                <w:sz w:val="22"/>
                <w:szCs w:val="22"/>
                <w:lang w:eastAsia="en-US"/>
              </w:rPr>
              <w:t>programów dla osób niepełnosprawnych z powodu dysfunkcji narządu wzroku i dysfunkcji narządu słuchu, przez wprowadzenie odpowiednich udogodnień, tak aby od 2022 r. co najmniej 50% kwartalnego czasu nadawania programu, z wyłączeniem reklam i telesprzedaży, posiadało takie udogodnienia.</w:t>
            </w:r>
            <w:r w:rsidRPr="005C7A66">
              <w:rPr>
                <w:rFonts w:eastAsia="Calibri" w:cs="Times New Roman"/>
                <w:color w:val="000000"/>
                <w:spacing w:val="-2"/>
                <w:sz w:val="22"/>
                <w:szCs w:val="22"/>
                <w:lang w:eastAsia="en-US"/>
              </w:rPr>
              <w:t xml:space="preserve"> Przedmiotowa regulacja ustanawia stopniowe dochodzenie do wymaganego progu udogodnień określonego na poziomie co najmniej 50% kwartalnego czasu programu. W projekcie regulacji postanowiono, że nadawcy programów telewizyjnych są obowiązani do zapewnienia dostępności audycji dla osób niepełnosprawnych, tak aby wskaźniki te kształtowały się w poszczególnych latach następująco: w 2018 r. co najmniej 15%, w 2019 r. co najmniej 25%, w 2020 r. i 2021 r. co najmniej 35%, od 2022 r. co najmniej 50% kwartalnego czasu nadawania programu, z wyłączeniem reklam i telesprzedaży.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Krajowa Rada określi rodzaje udogodnień dla osób niepełnosprawnych, jak również udział poszczególnych rodzajów tych udogodnień w łącznym czasie nadawania, w zależności od pory emisji, charakteru programu i rodzaju nadawanych audycji, uwzględniając przy tym potrzeby osób niepełnosprawnych i możliwości nadawców w tym zakresie, jak również rozwój technik przekazu i udogodnień dla osób niepełnosprawnych.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pacing w:val="-2"/>
                <w:sz w:val="22"/>
                <w:szCs w:val="22"/>
                <w:lang w:eastAsia="en-US"/>
              </w:rPr>
              <w:t xml:space="preserve">Oczekuje się, że efektem zmiany obowiązującej regulacji poprzez ustanowienie wyższych standardów będzie poprawa </w:t>
            </w:r>
            <w:r w:rsidRPr="005C7A66">
              <w:rPr>
                <w:rFonts w:eastAsia="Calibri" w:cs="Times New Roman"/>
                <w:color w:val="000000"/>
                <w:sz w:val="22"/>
                <w:szCs w:val="22"/>
                <w:lang w:eastAsia="en-US"/>
              </w:rPr>
              <w:t xml:space="preserve">udogodnień w odbiorze  programów telewizyjnych przez osoby niepełnosprawne, dzięki czemu społeczność ta będzie mogła pełnej uczestniczyć w życiu kulturalnym i </w:t>
            </w:r>
            <w:proofErr w:type="spellStart"/>
            <w:r w:rsidRPr="005C7A66">
              <w:rPr>
                <w:rFonts w:eastAsia="Calibri" w:cs="Times New Roman"/>
                <w:color w:val="000000"/>
                <w:sz w:val="22"/>
                <w:szCs w:val="22"/>
                <w:lang w:eastAsia="en-US"/>
              </w:rPr>
              <w:t>społeczno</w:t>
            </w:r>
            <w:proofErr w:type="spellEnd"/>
            <w:r w:rsidRPr="005C7A66">
              <w:rPr>
                <w:rFonts w:eastAsia="Calibri" w:cs="Times New Roman"/>
                <w:color w:val="000000"/>
                <w:sz w:val="22"/>
                <w:szCs w:val="22"/>
                <w:lang w:eastAsia="en-US"/>
              </w:rPr>
              <w:t xml:space="preserve">–politycznym kraju. </w:t>
            </w:r>
          </w:p>
        </w:tc>
      </w:tr>
      <w:tr w:rsidR="005C7A66" w:rsidRPr="005C7A66" w:rsidTr="00424D0B">
        <w:trPr>
          <w:gridAfter w:val="1"/>
          <w:wAfter w:w="10" w:type="dxa"/>
          <w:trHeight w:val="307"/>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spacing w:val="-2"/>
                <w:sz w:val="22"/>
                <w:szCs w:val="22"/>
                <w:lang w:eastAsia="en-US"/>
              </w:rPr>
              <w:t>Jak problem został rozwiązany w innych krajach, w szczególności krajach członkowskich OECD/UE</w:t>
            </w:r>
            <w:r w:rsidRPr="005C7A66">
              <w:rPr>
                <w:rFonts w:eastAsia="Calibri" w:cs="Times New Roman"/>
                <w:b/>
                <w:color w:val="000000"/>
                <w:sz w:val="22"/>
                <w:szCs w:val="22"/>
                <w:lang w:eastAsia="en-US"/>
              </w:rPr>
              <w:t>?</w:t>
            </w:r>
            <w:r w:rsidRPr="005C7A66">
              <w:rPr>
                <w:rFonts w:eastAsia="Calibri" w:cs="Times New Roman"/>
                <w:i/>
                <w:color w:val="000000"/>
                <w:sz w:val="22"/>
                <w:szCs w:val="22"/>
                <w:lang w:eastAsia="en-US"/>
              </w:rPr>
              <w:t xml:space="preserve"> </w:t>
            </w:r>
          </w:p>
        </w:tc>
      </w:tr>
      <w:tr w:rsidR="005C7A66" w:rsidRPr="005C7A66" w:rsidTr="00424D0B">
        <w:trPr>
          <w:gridAfter w:val="1"/>
          <w:wAfter w:w="10" w:type="dxa"/>
          <w:trHeight w:val="142"/>
        </w:trPr>
        <w:tc>
          <w:tcPr>
            <w:tcW w:w="10937" w:type="dxa"/>
            <w:gridSpan w:val="26"/>
            <w:shd w:val="clear" w:color="auto" w:fill="auto"/>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W celu poprawy sytuacji osób niepełnosprawnych UE przyjęła „Europejską strategię w sprawie niepełnosprawności”.    </w:t>
            </w:r>
          </w:p>
          <w:p w:rsidR="005C7A66" w:rsidRPr="005C7A66" w:rsidRDefault="005C7A66" w:rsidP="005C7A66">
            <w:pPr>
              <w:widowControl/>
              <w:autoSpaceDE/>
              <w:autoSpaceDN/>
              <w:adjustRightInd/>
              <w:spacing w:line="240" w:lineRule="auto"/>
              <w:rPr>
                <w:rFonts w:eastAsia="Calibri" w:cs="Times New Roman"/>
                <w:sz w:val="22"/>
                <w:szCs w:val="22"/>
                <w:lang w:eastAsia="en-US"/>
              </w:rPr>
            </w:pPr>
            <w:r w:rsidRPr="005C7A66">
              <w:rPr>
                <w:rFonts w:eastAsia="Calibri" w:cs="Times New Roman"/>
                <w:sz w:val="22"/>
                <w:szCs w:val="22"/>
                <w:lang w:eastAsia="en-US"/>
              </w:rPr>
              <w:t xml:space="preserve">Liderem wśród telewizji europejskich zapewniających udogodnienia dla osób niepełnosprawnych jest BBC, której ponad 95% programów zawiera napisy. Wysoki udział udogodnień zapewnia również telewizja publiczna w Holandii, gdzie 75% programów w kanałach publicznych posiada napisy. W Hiszpanii od 25-50% programów opatrzonych jest napisami. W Irlandii pomiędzy godz. 18.30 a 23.30 napisy ma aż 90% programów. W Norwegii udział programów z napisami wynosi 50%, w Danii 23%.  </w:t>
            </w:r>
          </w:p>
        </w:tc>
      </w:tr>
      <w:tr w:rsidR="005C7A66" w:rsidRPr="005C7A66" w:rsidTr="00424D0B">
        <w:trPr>
          <w:gridAfter w:val="1"/>
          <w:wAfter w:w="10" w:type="dxa"/>
          <w:trHeight w:val="359"/>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z w:val="22"/>
                <w:szCs w:val="22"/>
                <w:lang w:eastAsia="en-US"/>
              </w:rPr>
              <w:t>Podmioty, na które oddziałuje projekt</w:t>
            </w:r>
          </w:p>
        </w:tc>
      </w:tr>
      <w:tr w:rsidR="005C7A66" w:rsidRPr="005C7A66" w:rsidTr="00424D0B">
        <w:trPr>
          <w:gridAfter w:val="1"/>
          <w:wAfter w:w="10" w:type="dxa"/>
          <w:trHeight w:val="142"/>
        </w:trPr>
        <w:tc>
          <w:tcPr>
            <w:tcW w:w="2668" w:type="dxa"/>
            <w:gridSpan w:val="3"/>
            <w:shd w:val="clear" w:color="auto" w:fill="auto"/>
          </w:tcPr>
          <w:p w:rsidR="005C7A66" w:rsidRPr="005C7A66" w:rsidRDefault="005C7A66" w:rsidP="005C7A66">
            <w:pPr>
              <w:widowControl/>
              <w:autoSpaceDE/>
              <w:autoSpaceDN/>
              <w:adjustRightInd/>
              <w:spacing w:before="40"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Grupa</w:t>
            </w:r>
          </w:p>
        </w:tc>
        <w:tc>
          <w:tcPr>
            <w:tcW w:w="3428" w:type="dxa"/>
            <w:gridSpan w:val="10"/>
            <w:shd w:val="clear" w:color="auto" w:fill="auto"/>
          </w:tcPr>
          <w:p w:rsidR="005C7A66" w:rsidRPr="005C7A66" w:rsidRDefault="005C7A66" w:rsidP="005C7A66">
            <w:pPr>
              <w:widowControl/>
              <w:autoSpaceDE/>
              <w:autoSpaceDN/>
              <w:adjustRightInd/>
              <w:spacing w:before="40"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Wielkość</w:t>
            </w:r>
          </w:p>
        </w:tc>
        <w:tc>
          <w:tcPr>
            <w:tcW w:w="2410" w:type="dxa"/>
            <w:gridSpan w:val="8"/>
            <w:shd w:val="clear" w:color="auto" w:fill="auto"/>
          </w:tcPr>
          <w:p w:rsidR="005C7A66" w:rsidRPr="005C7A66" w:rsidRDefault="005C7A66" w:rsidP="005C7A66">
            <w:pPr>
              <w:widowControl/>
              <w:autoSpaceDE/>
              <w:autoSpaceDN/>
              <w:adjustRightInd/>
              <w:spacing w:before="40"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Źródło danych</w:t>
            </w:r>
            <w:r w:rsidRPr="005C7A66" w:rsidDel="00260F33">
              <w:rPr>
                <w:rFonts w:eastAsia="Calibri" w:cs="Times New Roman"/>
                <w:color w:val="000000"/>
                <w:spacing w:val="-2"/>
                <w:sz w:val="22"/>
                <w:szCs w:val="22"/>
                <w:lang w:eastAsia="en-US"/>
              </w:rPr>
              <w:t xml:space="preserve"> </w:t>
            </w:r>
          </w:p>
        </w:tc>
        <w:tc>
          <w:tcPr>
            <w:tcW w:w="2431" w:type="dxa"/>
            <w:gridSpan w:val="5"/>
            <w:shd w:val="clear" w:color="auto" w:fill="auto"/>
          </w:tcPr>
          <w:p w:rsidR="005C7A66" w:rsidRPr="005C7A66" w:rsidRDefault="005C7A66" w:rsidP="005C7A66">
            <w:pPr>
              <w:widowControl/>
              <w:autoSpaceDE/>
              <w:autoSpaceDN/>
              <w:adjustRightInd/>
              <w:spacing w:before="40"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Oddziaływanie</w:t>
            </w:r>
          </w:p>
        </w:tc>
      </w:tr>
      <w:tr w:rsidR="005C7A66" w:rsidRPr="005C7A66" w:rsidTr="00424D0B">
        <w:trPr>
          <w:gridAfter w:val="1"/>
          <w:wAfter w:w="10" w:type="dxa"/>
          <w:trHeight w:val="142"/>
        </w:trPr>
        <w:tc>
          <w:tcPr>
            <w:tcW w:w="2668" w:type="dxa"/>
            <w:gridSpan w:val="3"/>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z w:val="22"/>
                <w:szCs w:val="22"/>
                <w:lang w:eastAsia="en-US"/>
              </w:rPr>
              <w:t>osoby niepełnosprawne z powodu dysfunkcji wzroku i dysfunkcji słuchu</w:t>
            </w:r>
          </w:p>
        </w:tc>
        <w:tc>
          <w:tcPr>
            <w:tcW w:w="3428" w:type="dxa"/>
            <w:gridSpan w:val="10"/>
            <w:shd w:val="clear" w:color="auto" w:fill="auto"/>
          </w:tcPr>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319,3 tys. osób z dysfunkcją narządu wzroku,  co stanowi ok. 1,24% populacji w wieku 15-64 lat;</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112,8 tys. osób z dysfunkcją narządu słuchu, co stanowi ok. 0,44% populacji w wieku 15-64 lat</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wrodzony brak słuchu </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0,1%-0,2% urodzeń</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ogółem, 1%– 2% populacji  na skutek utraty słuchu wraz z wiekiem </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100 tys. osób posługuje się językiem migowym </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1,4 mln osób niedowidzących (zgodnie z szacunkami GUS), inne źródła podają około 350-500 tys. osób (rozbieżność może wynikać </w:t>
            </w:r>
            <w:r w:rsidRPr="005C7A66">
              <w:rPr>
                <w:rFonts w:eastAsia="Calibri" w:cs="Times New Roman"/>
                <w:color w:val="000000"/>
                <w:spacing w:val="-2"/>
                <w:sz w:val="22"/>
                <w:szCs w:val="22"/>
                <w:lang w:eastAsia="en-US"/>
              </w:rPr>
              <w:br/>
              <w:t>z przyjęcia różnych definicji osób niedowidzących)</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tc>
        <w:tc>
          <w:tcPr>
            <w:tcW w:w="2410" w:type="dxa"/>
            <w:gridSpan w:val="8"/>
            <w:shd w:val="clear" w:color="auto" w:fill="auto"/>
          </w:tcPr>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lastRenderedPageBreak/>
              <w:t xml:space="preserve">Komisja Europejska, Ocena Wpływu Dyrektywy  2010/13/UE;  </w:t>
            </w:r>
            <w:proofErr w:type="spellStart"/>
            <w:r w:rsidRPr="005C7A66">
              <w:rPr>
                <w:rFonts w:eastAsia="Calibri" w:cs="Times New Roman"/>
                <w:color w:val="000000"/>
                <w:spacing w:val="-2"/>
                <w:sz w:val="22"/>
                <w:szCs w:val="22"/>
                <w:lang w:eastAsia="en-US"/>
              </w:rPr>
              <w:t>Visionary</w:t>
            </w:r>
            <w:proofErr w:type="spellEnd"/>
            <w:r w:rsidRPr="005C7A66">
              <w:rPr>
                <w:rFonts w:eastAsia="Calibri" w:cs="Times New Roman"/>
                <w:color w:val="000000"/>
                <w:spacing w:val="-2"/>
                <w:sz w:val="22"/>
                <w:szCs w:val="22"/>
                <w:lang w:eastAsia="en-US"/>
              </w:rPr>
              <w:t xml:space="preserve"> Analytics</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ITU, G3 </w:t>
            </w:r>
            <w:proofErr w:type="spellStart"/>
            <w:r w:rsidRPr="005C7A66">
              <w:rPr>
                <w:rFonts w:eastAsia="Calibri" w:cs="Times New Roman"/>
                <w:color w:val="000000"/>
                <w:spacing w:val="-2"/>
                <w:sz w:val="22"/>
                <w:szCs w:val="22"/>
                <w:lang w:eastAsia="en-US"/>
              </w:rPr>
              <w:t>ict</w:t>
            </w:r>
            <w:proofErr w:type="spellEnd"/>
            <w:r w:rsidRPr="005C7A66">
              <w:rPr>
                <w:rFonts w:eastAsia="Calibri" w:cs="Times New Roman"/>
                <w:color w:val="000000"/>
                <w:spacing w:val="-2"/>
                <w:sz w:val="22"/>
                <w:szCs w:val="22"/>
                <w:lang w:eastAsia="en-US"/>
              </w:rPr>
              <w:t>, Raport  „Uczynić Telewizję Dostępną”</w:t>
            </w: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center"/>
              <w:rPr>
                <w:rFonts w:eastAsia="Calibri" w:cs="Times New Roman"/>
                <w:color w:val="000000"/>
                <w:sz w:val="22"/>
                <w:szCs w:val="22"/>
                <w:lang w:eastAsia="en-US"/>
              </w:rPr>
            </w:pPr>
            <w:r w:rsidRPr="005C7A66">
              <w:rPr>
                <w:rFonts w:eastAsia="Calibri" w:cs="Times New Roman"/>
                <w:color w:val="000000"/>
                <w:sz w:val="22"/>
                <w:szCs w:val="22"/>
                <w:lang w:eastAsia="en-US"/>
              </w:rPr>
              <w:t>Raport Zespołu ds. Głuchych przy Rzeczniku Praw Obywatelskich</w:t>
            </w:r>
          </w:p>
          <w:p w:rsidR="005C7A66" w:rsidRPr="005C7A66" w:rsidRDefault="00754CC4" w:rsidP="005C7A66">
            <w:pPr>
              <w:widowControl/>
              <w:autoSpaceDE/>
              <w:autoSpaceDN/>
              <w:adjustRightInd/>
              <w:spacing w:line="240" w:lineRule="auto"/>
              <w:jc w:val="left"/>
              <w:rPr>
                <w:rFonts w:eastAsia="Calibri" w:cs="Times New Roman"/>
                <w:color w:val="000000"/>
                <w:sz w:val="22"/>
                <w:szCs w:val="22"/>
                <w:lang w:eastAsia="en-US"/>
              </w:rPr>
            </w:pPr>
            <w:hyperlink r:id="rId15" w:history="1">
              <w:r w:rsidR="005C7A66" w:rsidRPr="005C7A66">
                <w:rPr>
                  <w:rFonts w:eastAsia="Calibri" w:cs="Times New Roman"/>
                  <w:color w:val="0000FF"/>
                  <w:sz w:val="22"/>
                  <w:szCs w:val="22"/>
                  <w:u w:val="single"/>
                  <w:lang w:eastAsia="en-US"/>
                </w:rPr>
                <w:t>http://www.stat.gov.pl/cps/rde/xbcr/gus/ZO_stan zdrowia_2009.pdf</w:t>
              </w:r>
            </w:hyperlink>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val="en-US" w:eastAsia="en-US"/>
              </w:rPr>
            </w:pPr>
            <w:r w:rsidRPr="005C7A66">
              <w:rPr>
                <w:rFonts w:eastAsia="Calibri" w:cs="Times New Roman"/>
                <w:i/>
                <w:iCs/>
                <w:color w:val="000000"/>
                <w:spacing w:val="-2"/>
                <w:sz w:val="22"/>
                <w:szCs w:val="22"/>
                <w:lang w:val="en-US" w:eastAsia="en-US"/>
              </w:rPr>
              <w:t>Report on user needs assessment</w:t>
            </w:r>
            <w:r w:rsidRPr="005C7A66">
              <w:rPr>
                <w:rFonts w:eastAsia="Calibri" w:cs="Times New Roman"/>
                <w:color w:val="000000"/>
                <w:spacing w:val="-2"/>
                <w:sz w:val="22"/>
                <w:szCs w:val="22"/>
                <w:lang w:val="en-US" w:eastAsia="en-US"/>
              </w:rPr>
              <w:t xml:space="preserve">. Report no. 1, ADLAB (Audio Description: Lifelong Access to the Blind) project, 2012 </w:t>
            </w:r>
            <w:hyperlink r:id="rId16" w:history="1">
              <w:r w:rsidRPr="005C7A66">
                <w:rPr>
                  <w:rFonts w:eastAsia="Calibri" w:cs="Times New Roman"/>
                  <w:color w:val="0000FF"/>
                  <w:spacing w:val="-2"/>
                  <w:sz w:val="22"/>
                  <w:szCs w:val="22"/>
                  <w:u w:val="single"/>
                  <w:lang w:val="en-US" w:eastAsia="en-US"/>
                </w:rPr>
                <w:t>www.adlabproject/eu</w:t>
              </w:r>
            </w:hyperlink>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val="en-US" w:eastAsia="en-US"/>
              </w:rPr>
            </w:pPr>
          </w:p>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val="en-US" w:eastAsia="en-US"/>
              </w:rPr>
            </w:pPr>
          </w:p>
        </w:tc>
        <w:tc>
          <w:tcPr>
            <w:tcW w:w="2431" w:type="dxa"/>
            <w:gridSpan w:val="5"/>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lastRenderedPageBreak/>
              <w:t xml:space="preserve">poprawa </w:t>
            </w:r>
            <w:r w:rsidRPr="005C7A66">
              <w:rPr>
                <w:rFonts w:eastAsia="Calibri" w:cs="Times New Roman"/>
                <w:color w:val="000000"/>
                <w:sz w:val="22"/>
                <w:szCs w:val="22"/>
                <w:lang w:eastAsia="en-US"/>
              </w:rPr>
              <w:t>udogodnień w odbiorze programów telewizyjnych</w:t>
            </w:r>
          </w:p>
        </w:tc>
      </w:tr>
      <w:tr w:rsidR="005C7A66" w:rsidRPr="005C7A66" w:rsidTr="00424D0B">
        <w:trPr>
          <w:gridAfter w:val="1"/>
          <w:wAfter w:w="10" w:type="dxa"/>
          <w:trHeight w:val="142"/>
        </w:trPr>
        <w:tc>
          <w:tcPr>
            <w:tcW w:w="2668" w:type="dxa"/>
            <w:gridSpan w:val="3"/>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z w:val="22"/>
                <w:szCs w:val="22"/>
                <w:lang w:eastAsia="en-US"/>
              </w:rPr>
              <w:lastRenderedPageBreak/>
              <w:t>nadawcy programów telewizyjnych</w:t>
            </w:r>
          </w:p>
        </w:tc>
        <w:tc>
          <w:tcPr>
            <w:tcW w:w="3428" w:type="dxa"/>
            <w:gridSpan w:val="10"/>
            <w:shd w:val="clear" w:color="auto" w:fill="auto"/>
          </w:tcPr>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kilkunastu nadawców</w:t>
            </w:r>
          </w:p>
        </w:tc>
        <w:tc>
          <w:tcPr>
            <w:tcW w:w="2410" w:type="dxa"/>
            <w:gridSpan w:val="8"/>
            <w:shd w:val="clear" w:color="auto" w:fill="auto"/>
          </w:tcPr>
          <w:p w:rsidR="005C7A66" w:rsidRPr="005C7A66" w:rsidRDefault="005C7A66" w:rsidP="005C7A66">
            <w:pPr>
              <w:widowControl/>
              <w:autoSpaceDE/>
              <w:autoSpaceDN/>
              <w:adjustRightInd/>
              <w:spacing w:line="240" w:lineRule="auto"/>
              <w:jc w:val="left"/>
              <w:rPr>
                <w:rFonts w:eastAsia="Calibri" w:cs="Times New Roman"/>
                <w:color w:val="000000"/>
                <w:spacing w:val="-2"/>
                <w:sz w:val="22"/>
                <w:szCs w:val="22"/>
                <w:lang w:eastAsia="en-US"/>
              </w:rPr>
            </w:pPr>
            <w:r w:rsidRPr="005C7A66">
              <w:rPr>
                <w:rFonts w:eastAsia="Calibri" w:cs="Times New Roman"/>
                <w:color w:val="000000"/>
                <w:sz w:val="22"/>
                <w:szCs w:val="22"/>
                <w:lang w:eastAsia="en-US"/>
              </w:rPr>
              <w:t>Krajowa Rada Radiofonii i Telewizji</w:t>
            </w:r>
            <w:r w:rsidRPr="005C7A66">
              <w:rPr>
                <w:rFonts w:eastAsia="Calibri" w:cs="Times New Roman"/>
                <w:color w:val="000000"/>
                <w:spacing w:val="-2"/>
                <w:sz w:val="22"/>
                <w:szCs w:val="22"/>
                <w:lang w:eastAsia="en-US"/>
              </w:rPr>
              <w:t xml:space="preserve"> </w:t>
            </w:r>
          </w:p>
        </w:tc>
        <w:tc>
          <w:tcPr>
            <w:tcW w:w="2431" w:type="dxa"/>
            <w:gridSpan w:val="5"/>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spełnienie nałożonych wymogów dot. dostępności audycji dla osób niepełnosprawnych </w:t>
            </w:r>
          </w:p>
        </w:tc>
      </w:tr>
      <w:tr w:rsidR="005C7A66" w:rsidRPr="005C7A66" w:rsidTr="00424D0B">
        <w:trPr>
          <w:gridAfter w:val="1"/>
          <w:wAfter w:w="10" w:type="dxa"/>
          <w:trHeight w:val="142"/>
        </w:trPr>
        <w:tc>
          <w:tcPr>
            <w:tcW w:w="2668" w:type="dxa"/>
            <w:gridSpan w:val="3"/>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z w:val="22"/>
                <w:szCs w:val="22"/>
                <w:lang w:eastAsia="en-US"/>
              </w:rPr>
              <w:t>Krajowa Rada Radiofonii i Telewizji</w:t>
            </w:r>
            <w:r w:rsidRPr="005C7A66">
              <w:rPr>
                <w:rFonts w:eastAsia="Calibri" w:cs="Times New Roman"/>
                <w:color w:val="000000"/>
                <w:spacing w:val="-2"/>
                <w:sz w:val="22"/>
                <w:szCs w:val="22"/>
                <w:lang w:eastAsia="en-US"/>
              </w:rPr>
              <w:t xml:space="preserve"> (KRRiT)</w:t>
            </w:r>
          </w:p>
        </w:tc>
        <w:tc>
          <w:tcPr>
            <w:tcW w:w="3428" w:type="dxa"/>
            <w:gridSpan w:val="10"/>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1</w:t>
            </w:r>
          </w:p>
        </w:tc>
        <w:tc>
          <w:tcPr>
            <w:tcW w:w="2410" w:type="dxa"/>
            <w:gridSpan w:val="8"/>
            <w:shd w:val="clear" w:color="auto" w:fill="auto"/>
          </w:tcPr>
          <w:p w:rsidR="005C7A66" w:rsidRPr="005C7A66" w:rsidRDefault="005C7A66" w:rsidP="005C7A66">
            <w:pPr>
              <w:widowControl/>
              <w:autoSpaceDE/>
              <w:autoSpaceDN/>
              <w:adjustRightInd/>
              <w:spacing w:line="240" w:lineRule="auto"/>
              <w:jc w:val="left"/>
              <w:rPr>
                <w:rFonts w:eastAsia="Calibri" w:cs="Times New Roman"/>
                <w:i/>
                <w:color w:val="000000"/>
                <w:spacing w:val="-2"/>
                <w:sz w:val="22"/>
                <w:szCs w:val="22"/>
                <w:lang w:eastAsia="en-US"/>
              </w:rPr>
            </w:pPr>
            <w:r w:rsidRPr="005C7A66">
              <w:rPr>
                <w:rFonts w:eastAsia="Calibri" w:cs="Times New Roman"/>
                <w:i/>
                <w:color w:val="000000"/>
                <w:spacing w:val="-2"/>
                <w:sz w:val="22"/>
                <w:szCs w:val="22"/>
                <w:lang w:eastAsia="en-US"/>
              </w:rPr>
              <w:t>ustawa o radiofonii i telewizji</w:t>
            </w:r>
          </w:p>
        </w:tc>
        <w:tc>
          <w:tcPr>
            <w:tcW w:w="2431" w:type="dxa"/>
            <w:gridSpan w:val="5"/>
            <w:shd w:val="clear" w:color="auto" w:fill="auto"/>
          </w:tcPr>
          <w:p w:rsidR="005C7A66" w:rsidRPr="005C7A66" w:rsidRDefault="005C7A66" w:rsidP="005C7A66">
            <w:pPr>
              <w:widowControl/>
              <w:autoSpaceDE/>
              <w:autoSpaceDN/>
              <w:adjustRightInd/>
              <w:spacing w:line="240" w:lineRule="auto"/>
              <w:jc w:val="center"/>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monitoring sposobu wypełniania wymogów ustawowych nałożonych na nadawców programów telewizyjnych</w:t>
            </w:r>
          </w:p>
        </w:tc>
      </w:tr>
      <w:tr w:rsidR="005C7A66" w:rsidRPr="005C7A66" w:rsidTr="00424D0B">
        <w:trPr>
          <w:gridAfter w:val="1"/>
          <w:wAfter w:w="10" w:type="dxa"/>
          <w:trHeight w:val="302"/>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z w:val="22"/>
                <w:szCs w:val="22"/>
                <w:lang w:eastAsia="en-US"/>
              </w:rPr>
              <w:t>Informacje na temat zakresu, czasu trwania i podsumowanie wyników konsultacji</w:t>
            </w:r>
          </w:p>
        </w:tc>
      </w:tr>
      <w:tr w:rsidR="005C7A66" w:rsidRPr="005C7A66" w:rsidTr="00424D0B">
        <w:trPr>
          <w:gridAfter w:val="1"/>
          <w:wAfter w:w="10" w:type="dxa"/>
          <w:trHeight w:val="342"/>
        </w:trPr>
        <w:tc>
          <w:tcPr>
            <w:tcW w:w="10937" w:type="dxa"/>
            <w:gridSpan w:val="26"/>
            <w:shd w:val="clear" w:color="auto" w:fill="FFFFFF"/>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Rzecznik Finansowy poinformował, że w zakresie wykonywanych przez siebie zadań nie zgłasza uwag.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Minister Kultury i Dziedzictwa Narodowego wyraził opinię, że w pełni popiera projekt w kształcie zaproponowanym </w:t>
            </w:r>
            <w:r w:rsidRPr="005C7A66">
              <w:rPr>
                <w:rFonts w:eastAsia="Calibri" w:cs="Times New Roman"/>
                <w:color w:val="000000"/>
                <w:spacing w:val="-2"/>
                <w:sz w:val="22"/>
                <w:szCs w:val="22"/>
                <w:lang w:eastAsia="en-US"/>
              </w:rPr>
              <w:br/>
              <w:t xml:space="preserve">w druku senackim nr 366.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Polski Związek Niewidomych przedstawiając stanowisko środowiska osób z problemami wzroku przedstawił szereg propozycji zmian w ustawie, w tym wyłączenia z 50% kwartalnego czasu powtórki programów audiowizualnych, wprowadzenia wymogu obowiązku emitowania 50% dla każdego udogodnienia, zagwarantowania obecności dostępnych audycji w godz. 5-23, nałożyć obowiązek informowania o programach wzbogaconych. Ponadto Polski Związek Niewidomych zaprotestował przeciwko usunięciu definicji </w:t>
            </w:r>
            <w:proofErr w:type="spellStart"/>
            <w:r w:rsidRPr="005C7A66">
              <w:rPr>
                <w:rFonts w:eastAsia="Calibri" w:cs="Times New Roman"/>
                <w:color w:val="000000"/>
                <w:spacing w:val="-2"/>
                <w:sz w:val="22"/>
                <w:szCs w:val="22"/>
                <w:lang w:eastAsia="en-US"/>
              </w:rPr>
              <w:t>audiodeskrypcji</w:t>
            </w:r>
            <w:proofErr w:type="spellEnd"/>
            <w:r w:rsidRPr="005C7A66">
              <w:rPr>
                <w:rFonts w:eastAsia="Calibri" w:cs="Times New Roman"/>
                <w:color w:val="000000"/>
                <w:spacing w:val="-2"/>
                <w:sz w:val="22"/>
                <w:szCs w:val="22"/>
                <w:lang w:eastAsia="en-US"/>
              </w:rPr>
              <w:t xml:space="preserve">, a także wyrażono pogląd, że okres pięciu lat zwiększenia udziału z 10% do 50% jest zbyt długi.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Minister Rodziny, Pracy i Polityki Społecznej pozytywnie ocenił kierunek proponowanych w art. 18a ust. 1 i 2 rozwiązań. Zaproponował dokonanie pogłębionej analizy problemu pod katem równoległego zapewnienia takich form udogodnień, które umożliwiałyby zarówno osobom niepełnosprawnym z dysfunkcją narządu wzroku jak i słuchu zapoznanie się </w:t>
            </w:r>
            <w:r w:rsidRPr="005C7A66">
              <w:rPr>
                <w:rFonts w:eastAsia="Calibri" w:cs="Times New Roman"/>
                <w:color w:val="000000"/>
                <w:spacing w:val="-2"/>
                <w:sz w:val="22"/>
                <w:szCs w:val="22"/>
                <w:lang w:eastAsia="en-US"/>
              </w:rPr>
              <w:br/>
              <w:t xml:space="preserve">z audycją. W tym celu zasadnym wg Ministra rozwiązaniem wydaje się polegające na opatrzeniu audycji napisami dla niesłyszących lub tłumaczeniem na język migowy z jednoczesnym zapewnieniem </w:t>
            </w:r>
            <w:proofErr w:type="spellStart"/>
            <w:r w:rsidRPr="005C7A66">
              <w:rPr>
                <w:rFonts w:eastAsia="Calibri" w:cs="Times New Roman"/>
                <w:color w:val="000000"/>
                <w:spacing w:val="-2"/>
                <w:sz w:val="22"/>
                <w:szCs w:val="22"/>
                <w:lang w:eastAsia="en-US"/>
              </w:rPr>
              <w:t>audiodeskrypcji</w:t>
            </w:r>
            <w:proofErr w:type="spellEnd"/>
            <w:r w:rsidRPr="005C7A66">
              <w:rPr>
                <w:rFonts w:eastAsia="Calibri" w:cs="Times New Roman"/>
                <w:color w:val="000000"/>
                <w:spacing w:val="-2"/>
                <w:sz w:val="22"/>
                <w:szCs w:val="22"/>
                <w:lang w:eastAsia="en-US"/>
              </w:rPr>
              <w:t xml:space="preserve">.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Poseł na Sejm Rzeczypospolitej Polskiej Pani Małgorzata Wypych stwierdziła, że jako przewodnicząca parlamentarnego zespołu ds. osób z niepełnosprawnością narządu wzroku pragnie poprzeć propozycje zmian zaproponowane przez Polski Związek Niewidomych (pismo z dnia 24.02.2017 r.).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Minister Rozwoju i Finansów poinformował, że nie zgłasza uwag do projektu ustawy.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Prezes Zarządu Państwowego Funduszu Rehabilitacji Osób Niepełnosprawnych zgłosił uwagi natury legislacyjnej mające na celu doprecyzowanie przepisu.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Przewodniczący Krajowej Rady Radiofonii i Telewizji zgłosił uwagi natury legislacyjnej.</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W uwagach zgłoszonych przez obywateli postuluje się wprowadzenie wyższych udziałów programów nadawanych </w:t>
            </w:r>
            <w:r w:rsidRPr="005C7A66">
              <w:rPr>
                <w:rFonts w:eastAsia="Calibri" w:cs="Times New Roman"/>
                <w:color w:val="000000"/>
                <w:spacing w:val="-2"/>
                <w:sz w:val="22"/>
                <w:szCs w:val="22"/>
                <w:lang w:eastAsia="en-US"/>
              </w:rPr>
              <w:br/>
              <w:t xml:space="preserve">z udogodnieniami dla osób niepełnosprawnych. Zaproponowano ścieżkę dojścia w której udział na poziomie 90%, kwartalnego czasu nadawania programu, z wyłączeniem reklam i telesprzedaży będzie wymagalny od 2026 roku.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Rzecznik Praw Obywatelskich pozytywnie ocenił kierunek proponowanych zmian </w:t>
            </w:r>
            <w:r w:rsidRPr="005C7A66">
              <w:rPr>
                <w:rFonts w:eastAsia="Calibri" w:cs="Times New Roman"/>
                <w:i/>
                <w:color w:val="000000"/>
                <w:spacing w:val="-2"/>
                <w:sz w:val="22"/>
                <w:szCs w:val="22"/>
                <w:lang w:eastAsia="en-US"/>
              </w:rPr>
              <w:t>ustawy o radiofonii i telewizji</w:t>
            </w:r>
            <w:r w:rsidRPr="005C7A66">
              <w:rPr>
                <w:rFonts w:eastAsia="Calibri" w:cs="Times New Roman"/>
                <w:color w:val="000000"/>
                <w:spacing w:val="-2"/>
                <w:sz w:val="22"/>
                <w:szCs w:val="22"/>
                <w:lang w:eastAsia="en-US"/>
              </w:rPr>
              <w:t xml:space="preserve">. </w:t>
            </w:r>
            <w:r w:rsidRPr="005C7A66">
              <w:rPr>
                <w:rFonts w:eastAsia="Calibri" w:cs="Times New Roman"/>
                <w:color w:val="000000"/>
                <w:spacing w:val="-2"/>
                <w:sz w:val="22"/>
                <w:szCs w:val="22"/>
                <w:lang w:eastAsia="en-US"/>
              </w:rPr>
              <w:lastRenderedPageBreak/>
              <w:t xml:space="preserve">Jednocześnie zwrócił się z prośbą o rozważenie wątpliwości związanych z wykładnią przepisu zobowiązującego nadawców do zapewnienia dostępności programów dla osób niepełnosprawnościami wzroku i słuchu, gdyż nie wynika bowiem </w:t>
            </w:r>
            <w:r w:rsidRPr="005C7A66">
              <w:rPr>
                <w:rFonts w:eastAsia="Calibri" w:cs="Times New Roman"/>
                <w:color w:val="000000"/>
                <w:spacing w:val="-2"/>
                <w:sz w:val="22"/>
                <w:szCs w:val="22"/>
                <w:lang w:eastAsia="en-US"/>
              </w:rPr>
              <w:br/>
              <w:t xml:space="preserve">z ustawy czy wymóg 10% odnosi się do wszystkich technik oddzielnie czy łącznie. Rzecznik Praw Obywatelskich wyraził pogląd, że niezbędne jest rozważenie nowelizacji ustawy tak, aby precyzyjnie określić obowiązki nadawców telewizyjnych odnośnie do rodzaju i procentowego udziału poszczególnych typów dostosowań bezpośrednio w ustawie. Rzecznik Praw Obywatelskich wyraził także wątpliwości dotyczące upoważnienia KRRiT do określenia w drodze rozporządzenia niższego niż wymagany w ustawie udziału w programie telewizyjnym audycji z udogodnieniami odbioru dla osób </w:t>
            </w:r>
            <w:r w:rsidRPr="005C7A66">
              <w:rPr>
                <w:rFonts w:eastAsia="Calibri" w:cs="Times New Roman"/>
                <w:color w:val="000000"/>
                <w:spacing w:val="-2"/>
                <w:sz w:val="22"/>
                <w:szCs w:val="22"/>
                <w:lang w:eastAsia="en-US"/>
              </w:rPr>
              <w:br/>
              <w:t xml:space="preserve">z niepełnosprawnościami oraz zaproponowanej możliwości całkowitego zwolnienia przez KRRiT niektórych podmiotów. Ponadto Rzecznik Praw Obywatelskich zwrócił uwagę na potencjalną barierę dla zapewnienia osobom </w:t>
            </w:r>
            <w:r w:rsidRPr="005C7A66">
              <w:rPr>
                <w:rFonts w:eastAsia="Calibri" w:cs="Times New Roman"/>
                <w:color w:val="000000"/>
                <w:spacing w:val="-2"/>
                <w:sz w:val="22"/>
                <w:szCs w:val="22"/>
                <w:lang w:eastAsia="en-US"/>
              </w:rPr>
              <w:br/>
              <w:t>z niepełnosprawnościami równego dostępu do programów telewizyjnych związaną z prawami autorskimi twórców.</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Polski Związek Głuchych proponuje, aby doprecyzować czy projektowane limity udogodnień dotyczą wszystkich rodzajów udogodnień dla osób niepełnosprawnych łącznie czy poszczególnych rodzajów udogodnień oddzielnie. Ponadto PZG postuluje podniesienie limitu udogodnień do 100% kwartalnego czasu nadawania programu.</w:t>
            </w:r>
          </w:p>
        </w:tc>
      </w:tr>
      <w:tr w:rsidR="005C7A66" w:rsidRPr="005C7A66" w:rsidTr="00424D0B">
        <w:trPr>
          <w:gridAfter w:val="1"/>
          <w:wAfter w:w="10" w:type="dxa"/>
          <w:trHeight w:val="363"/>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z w:val="22"/>
                <w:szCs w:val="22"/>
                <w:lang w:eastAsia="en-US"/>
              </w:rPr>
              <w:lastRenderedPageBreak/>
              <w:t xml:space="preserve"> Wpływ na sektor finansów publicznych</w:t>
            </w:r>
          </w:p>
        </w:tc>
      </w:tr>
      <w:tr w:rsidR="005C7A66" w:rsidRPr="005C7A66" w:rsidTr="00424D0B">
        <w:trPr>
          <w:gridAfter w:val="1"/>
          <w:wAfter w:w="10" w:type="dxa"/>
          <w:trHeight w:val="142"/>
        </w:trPr>
        <w:tc>
          <w:tcPr>
            <w:tcW w:w="3133" w:type="dxa"/>
            <w:gridSpan w:val="4"/>
            <w:vMerge w:val="restart"/>
            <w:shd w:val="clear" w:color="auto" w:fill="FFFFFF"/>
          </w:tcPr>
          <w:p w:rsidR="005C7A66" w:rsidRPr="005C7A66" w:rsidRDefault="005C7A66" w:rsidP="005C7A66">
            <w:pPr>
              <w:widowControl/>
              <w:autoSpaceDE/>
              <w:autoSpaceDN/>
              <w:adjustRightInd/>
              <w:spacing w:before="40" w:after="40" w:line="276" w:lineRule="auto"/>
              <w:jc w:val="left"/>
              <w:rPr>
                <w:rFonts w:eastAsia="Calibri" w:cs="Times New Roman"/>
                <w:i/>
                <w:color w:val="000000"/>
                <w:sz w:val="21"/>
                <w:szCs w:val="21"/>
                <w:lang w:eastAsia="en-US"/>
              </w:rPr>
            </w:pPr>
            <w:r w:rsidRPr="005C7A66">
              <w:rPr>
                <w:rFonts w:eastAsia="Calibri" w:cs="Times New Roman"/>
                <w:color w:val="000000"/>
                <w:sz w:val="21"/>
                <w:szCs w:val="21"/>
                <w:lang w:eastAsia="en-US"/>
              </w:rPr>
              <w:t>(ceny stałe z …… r.)</w:t>
            </w:r>
          </w:p>
        </w:tc>
        <w:tc>
          <w:tcPr>
            <w:tcW w:w="7804" w:type="dxa"/>
            <w:gridSpan w:val="22"/>
            <w:shd w:val="clear" w:color="auto" w:fill="FFFFFF"/>
          </w:tcPr>
          <w:p w:rsidR="005C7A66" w:rsidRPr="005C7A66" w:rsidRDefault="005C7A66" w:rsidP="005C7A6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5C7A66">
              <w:rPr>
                <w:rFonts w:eastAsia="Calibri" w:cs="Times New Roman"/>
                <w:color w:val="000000"/>
                <w:sz w:val="21"/>
                <w:szCs w:val="21"/>
                <w:lang w:eastAsia="en-US"/>
              </w:rPr>
              <w:t>Skutki w okresie 10 lat od wejścia w życie zmian [mln zł]</w:t>
            </w:r>
          </w:p>
        </w:tc>
      </w:tr>
      <w:tr w:rsidR="005C7A66" w:rsidRPr="005C7A66" w:rsidTr="00424D0B">
        <w:trPr>
          <w:gridAfter w:val="1"/>
          <w:wAfter w:w="10" w:type="dxa"/>
          <w:trHeight w:val="142"/>
        </w:trPr>
        <w:tc>
          <w:tcPr>
            <w:tcW w:w="3133" w:type="dxa"/>
            <w:gridSpan w:val="4"/>
            <w:vMerge/>
            <w:shd w:val="clear" w:color="auto" w:fill="FFFFFF"/>
          </w:tcPr>
          <w:p w:rsidR="005C7A66" w:rsidRPr="005C7A66" w:rsidRDefault="005C7A66" w:rsidP="005C7A66">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0</w:t>
            </w:r>
          </w:p>
        </w:tc>
        <w:tc>
          <w:tcPr>
            <w:tcW w:w="570"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1</w:t>
            </w:r>
          </w:p>
        </w:tc>
        <w:tc>
          <w:tcPr>
            <w:tcW w:w="570"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2</w:t>
            </w:r>
          </w:p>
        </w:tc>
        <w:tc>
          <w:tcPr>
            <w:tcW w:w="569" w:type="dxa"/>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3</w:t>
            </w:r>
          </w:p>
        </w:tc>
        <w:tc>
          <w:tcPr>
            <w:tcW w:w="570"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4</w:t>
            </w:r>
          </w:p>
        </w:tc>
        <w:tc>
          <w:tcPr>
            <w:tcW w:w="570"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5</w:t>
            </w:r>
          </w:p>
        </w:tc>
        <w:tc>
          <w:tcPr>
            <w:tcW w:w="570" w:type="dxa"/>
            <w:gridSpan w:val="3"/>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6</w:t>
            </w:r>
          </w:p>
        </w:tc>
        <w:tc>
          <w:tcPr>
            <w:tcW w:w="569"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7</w:t>
            </w:r>
          </w:p>
        </w:tc>
        <w:tc>
          <w:tcPr>
            <w:tcW w:w="570" w:type="dxa"/>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8</w:t>
            </w:r>
          </w:p>
        </w:tc>
        <w:tc>
          <w:tcPr>
            <w:tcW w:w="570" w:type="dxa"/>
            <w:gridSpan w:val="3"/>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9</w:t>
            </w:r>
          </w:p>
        </w:tc>
        <w:tc>
          <w:tcPr>
            <w:tcW w:w="570" w:type="dxa"/>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10</w:t>
            </w:r>
          </w:p>
        </w:tc>
        <w:tc>
          <w:tcPr>
            <w:tcW w:w="1537" w:type="dxa"/>
            <w:gridSpan w:val="2"/>
            <w:shd w:val="clear" w:color="auto" w:fill="FFFFFF"/>
          </w:tcPr>
          <w:p w:rsidR="005C7A66" w:rsidRPr="005C7A66" w:rsidRDefault="005C7A66" w:rsidP="005C7A6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5C7A66">
              <w:rPr>
                <w:rFonts w:eastAsia="Calibri" w:cs="Times New Roman"/>
                <w:i/>
                <w:color w:val="000000"/>
                <w:spacing w:val="-2"/>
                <w:sz w:val="21"/>
                <w:szCs w:val="21"/>
                <w:lang w:eastAsia="en-US"/>
              </w:rPr>
              <w:t>Łącznie (0-10)</w:t>
            </w:r>
          </w:p>
        </w:tc>
      </w:tr>
      <w:tr w:rsidR="005C7A66" w:rsidRPr="005C7A66" w:rsidTr="00424D0B">
        <w:trPr>
          <w:trHeight w:val="321"/>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b/>
                <w:color w:val="000000"/>
                <w:sz w:val="21"/>
                <w:szCs w:val="21"/>
                <w:lang w:eastAsia="en-US"/>
              </w:rPr>
              <w:t>Dochody ogółem</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pacing w:val="-2"/>
                <w:sz w:val="21"/>
                <w:szCs w:val="21"/>
                <w:lang w:eastAsia="en-US"/>
              </w:rPr>
            </w:pPr>
          </w:p>
        </w:tc>
      </w:tr>
      <w:tr w:rsidR="005C7A66" w:rsidRPr="005C7A66" w:rsidTr="00424D0B">
        <w:trPr>
          <w:trHeight w:val="321"/>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budżet państwa</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pacing w:val="-2"/>
                <w:sz w:val="21"/>
                <w:szCs w:val="21"/>
                <w:lang w:eastAsia="en-US"/>
              </w:rPr>
            </w:pPr>
          </w:p>
        </w:tc>
      </w:tr>
      <w:tr w:rsidR="005C7A66" w:rsidRPr="005C7A66" w:rsidTr="00424D0B">
        <w:trPr>
          <w:trHeight w:val="344"/>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JST</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44"/>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pozostałe jednostki (oddzielnie)</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30"/>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b/>
                <w:color w:val="000000"/>
                <w:sz w:val="21"/>
                <w:szCs w:val="21"/>
                <w:lang w:eastAsia="en-US"/>
              </w:rPr>
              <w:t>Wydatki ogółem</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30"/>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budżet państwa</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51"/>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JST</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51"/>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pozostałe jednostki (oddzielnie)</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60"/>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b/>
                <w:color w:val="000000"/>
                <w:sz w:val="21"/>
                <w:szCs w:val="21"/>
                <w:lang w:eastAsia="en-US"/>
              </w:rPr>
              <w:t>Saldo ogółem</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60"/>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budżet państwa</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57"/>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JST</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trHeight w:val="357"/>
        </w:trPr>
        <w:tc>
          <w:tcPr>
            <w:tcW w:w="3133" w:type="dxa"/>
            <w:gridSpan w:val="4"/>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pozostałe jednostki (oddzielnie)</w:t>
            </w: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r>
      <w:tr w:rsidR="005C7A66" w:rsidRPr="005C7A66" w:rsidTr="00424D0B">
        <w:trPr>
          <w:gridAfter w:val="1"/>
          <w:wAfter w:w="10" w:type="dxa"/>
          <w:trHeight w:val="348"/>
        </w:trPr>
        <w:tc>
          <w:tcPr>
            <w:tcW w:w="2243" w:type="dxa"/>
            <w:gridSpan w:val="2"/>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 xml:space="preserve">Źródła finansowania </w:t>
            </w:r>
          </w:p>
        </w:tc>
        <w:tc>
          <w:tcPr>
            <w:tcW w:w="8694" w:type="dxa"/>
            <w:gridSpan w:val="24"/>
            <w:shd w:val="clear" w:color="auto" w:fill="FFFFFF"/>
            <w:vAlign w:val="center"/>
          </w:tcPr>
          <w:p w:rsidR="005C7A66" w:rsidRPr="005C7A66" w:rsidRDefault="005C7A66" w:rsidP="005C7A66">
            <w:pPr>
              <w:widowControl/>
              <w:autoSpaceDE/>
              <w:autoSpaceDN/>
              <w:adjustRightInd/>
              <w:spacing w:line="240" w:lineRule="auto"/>
              <w:rPr>
                <w:rFonts w:eastAsia="Calibri" w:cs="Times New Roman"/>
                <w:color w:val="000000"/>
                <w:sz w:val="21"/>
                <w:szCs w:val="21"/>
                <w:lang w:eastAsia="en-US"/>
              </w:rPr>
            </w:pPr>
          </w:p>
          <w:p w:rsidR="005C7A66" w:rsidRPr="005C7A66" w:rsidRDefault="005C7A66" w:rsidP="005C7A66">
            <w:pPr>
              <w:widowControl/>
              <w:autoSpaceDE/>
              <w:autoSpaceDN/>
              <w:adjustRightInd/>
              <w:spacing w:line="240" w:lineRule="auto"/>
              <w:rPr>
                <w:rFonts w:eastAsia="Calibri" w:cs="Times New Roman"/>
                <w:color w:val="000000"/>
                <w:sz w:val="21"/>
                <w:szCs w:val="21"/>
                <w:lang w:eastAsia="en-US"/>
              </w:rPr>
            </w:pPr>
          </w:p>
        </w:tc>
      </w:tr>
      <w:tr w:rsidR="005C7A66" w:rsidRPr="005C7A66" w:rsidTr="00424D0B">
        <w:trPr>
          <w:gridAfter w:val="1"/>
          <w:wAfter w:w="10" w:type="dxa"/>
          <w:trHeight w:val="1258"/>
        </w:trPr>
        <w:tc>
          <w:tcPr>
            <w:tcW w:w="2243"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Dodatkowe informacje, w tym wskazanie źródeł danych i przyjętych do obliczeń założeń</w:t>
            </w:r>
          </w:p>
        </w:tc>
        <w:tc>
          <w:tcPr>
            <w:tcW w:w="8694" w:type="dxa"/>
            <w:gridSpan w:val="24"/>
            <w:shd w:val="clear" w:color="auto" w:fill="FFFFFF"/>
          </w:tcPr>
          <w:p w:rsidR="005C7A66" w:rsidRPr="005C7A66" w:rsidRDefault="005C7A66" w:rsidP="005C7A66">
            <w:pPr>
              <w:widowControl/>
              <w:autoSpaceDE/>
              <w:autoSpaceDN/>
              <w:adjustRightInd/>
              <w:spacing w:line="240" w:lineRule="auto"/>
              <w:rPr>
                <w:rFonts w:eastAsia="Calibri" w:cs="Times New Roman"/>
                <w:color w:val="000000"/>
                <w:sz w:val="21"/>
                <w:szCs w:val="21"/>
                <w:lang w:eastAsia="en-US"/>
              </w:rPr>
            </w:pPr>
            <w:r w:rsidRPr="005C7A66">
              <w:rPr>
                <w:rFonts w:eastAsia="Calibri" w:cs="Times New Roman"/>
                <w:color w:val="000000"/>
                <w:sz w:val="21"/>
                <w:szCs w:val="21"/>
                <w:lang w:eastAsia="en-US"/>
              </w:rPr>
              <w:t xml:space="preserve">Przedmiotowa regulacja nie wpłynie na wydatki sektora finansów publicznych.  Jednakże regulacja może spowodować zmniejszenie dochodów do budżetu państwa z tytułu podatku dochodowego płaconego przez nadawców programów telewizyjnych. Spełnienie przez nadawców programów telewizyjnych dodatkowych wymogów dotyczących zapewnienia dostępności </w:t>
            </w:r>
            <w:r w:rsidRPr="005C7A66">
              <w:rPr>
                <w:rFonts w:eastAsia="Calibri" w:cs="Times New Roman"/>
                <w:color w:val="000000"/>
                <w:sz w:val="22"/>
                <w:szCs w:val="22"/>
                <w:lang w:eastAsia="en-US"/>
              </w:rPr>
              <w:t xml:space="preserve">programów dla osób niepełnosprawnych </w:t>
            </w:r>
            <w:r w:rsidRPr="005C7A66">
              <w:rPr>
                <w:rFonts w:eastAsia="Calibri" w:cs="Times New Roman"/>
                <w:color w:val="000000"/>
                <w:sz w:val="21"/>
                <w:szCs w:val="21"/>
                <w:lang w:eastAsia="en-US"/>
              </w:rPr>
              <w:t xml:space="preserve">wiązać będzie się z koniecznością poniesienia dodatkowych kosztów. Przyjmując założenie, że przychody nadawców nie ulegną zmianie, wzrost kosztów uzyskania przychodów powinien spowodować obniżenie podstawy opodatkowania, w konsekwencji zmniejszeniu powinna ulec też kwota podatku dochodowego płaconego przez nadawców programów telewizyjnych do budżetu państwa. </w:t>
            </w:r>
          </w:p>
          <w:p w:rsidR="005C7A66" w:rsidRPr="005C7A66" w:rsidRDefault="005C7A66" w:rsidP="005C7A66">
            <w:pPr>
              <w:widowControl/>
              <w:autoSpaceDE/>
              <w:autoSpaceDN/>
              <w:adjustRightInd/>
              <w:spacing w:line="240" w:lineRule="auto"/>
              <w:rPr>
                <w:rFonts w:eastAsia="Calibri" w:cs="Times New Roman"/>
                <w:color w:val="000000"/>
                <w:spacing w:val="-2"/>
                <w:sz w:val="21"/>
                <w:szCs w:val="21"/>
                <w:lang w:eastAsia="en-US"/>
              </w:rPr>
            </w:pPr>
          </w:p>
          <w:p w:rsidR="005C7A66" w:rsidRPr="005C7A66" w:rsidRDefault="005C7A66" w:rsidP="005C7A66">
            <w:pPr>
              <w:widowControl/>
              <w:autoSpaceDE/>
              <w:autoSpaceDN/>
              <w:adjustRightInd/>
              <w:spacing w:line="240" w:lineRule="auto"/>
              <w:rPr>
                <w:rFonts w:eastAsia="Calibri" w:cs="Times New Roman"/>
                <w:color w:val="000000"/>
                <w:spacing w:val="-2"/>
                <w:sz w:val="21"/>
                <w:szCs w:val="21"/>
                <w:lang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pacing w:val="-2"/>
                <w:sz w:val="21"/>
                <w:szCs w:val="21"/>
                <w:lang w:eastAsia="en-US"/>
              </w:rPr>
              <w:t xml:space="preserve">Monitoring przez KRRiT </w:t>
            </w:r>
            <w:r w:rsidRPr="005C7A66">
              <w:rPr>
                <w:rFonts w:eastAsia="Calibri" w:cs="Times New Roman"/>
                <w:color w:val="000000"/>
                <w:spacing w:val="-2"/>
                <w:sz w:val="22"/>
                <w:szCs w:val="22"/>
                <w:lang w:eastAsia="en-US"/>
              </w:rPr>
              <w:t xml:space="preserve">sposobu wypełniania wymogów ustawowych nałożonych na nadawców programów telewizyjnych nie powinien wiązać się z istotnymi dodatkowymi kosztami. KRRiT już wykonuje działania polegające na nadzorze wypełniania przez podmioty wymogu </w:t>
            </w:r>
            <w:r w:rsidRPr="005C7A66">
              <w:rPr>
                <w:rFonts w:eastAsia="Calibri" w:cs="Times New Roman"/>
                <w:color w:val="000000"/>
                <w:sz w:val="22"/>
                <w:szCs w:val="22"/>
                <w:lang w:eastAsia="en-US"/>
              </w:rPr>
              <w:t xml:space="preserve">zapewnienia dostępności programów dla osób niepełnosprawnych. </w:t>
            </w:r>
          </w:p>
        </w:tc>
      </w:tr>
      <w:tr w:rsidR="005C7A66" w:rsidRPr="005C7A66" w:rsidTr="00424D0B">
        <w:trPr>
          <w:gridAfter w:val="1"/>
          <w:wAfter w:w="10" w:type="dxa"/>
          <w:trHeight w:val="345"/>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5C7A66">
              <w:rPr>
                <w:rFonts w:eastAsia="Calibri" w:cs="Times New Roman"/>
                <w:b/>
                <w:color w:val="000000"/>
                <w:spacing w:val="-2"/>
                <w:sz w:val="22"/>
                <w:szCs w:val="22"/>
                <w:lang w:eastAsia="en-US"/>
              </w:rPr>
              <w:t xml:space="preserve">Wpływ na </w:t>
            </w:r>
            <w:r w:rsidRPr="005C7A66">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5C7A66" w:rsidRPr="005C7A66" w:rsidTr="00424D0B">
        <w:trPr>
          <w:gridAfter w:val="1"/>
          <w:wAfter w:w="10" w:type="dxa"/>
          <w:trHeight w:val="142"/>
        </w:trPr>
        <w:tc>
          <w:tcPr>
            <w:tcW w:w="10937" w:type="dxa"/>
            <w:gridSpan w:val="26"/>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pacing w:val="-2"/>
                <w:sz w:val="21"/>
                <w:szCs w:val="21"/>
                <w:lang w:eastAsia="en-US"/>
              </w:rPr>
            </w:pPr>
            <w:r w:rsidRPr="005C7A66">
              <w:rPr>
                <w:rFonts w:eastAsia="Calibri" w:cs="Times New Roman"/>
                <w:color w:val="000000"/>
                <w:spacing w:val="-2"/>
                <w:sz w:val="21"/>
                <w:szCs w:val="21"/>
                <w:lang w:eastAsia="en-US"/>
              </w:rPr>
              <w:t>Skutki</w:t>
            </w:r>
          </w:p>
        </w:tc>
      </w:tr>
      <w:tr w:rsidR="005C7A66" w:rsidRPr="005C7A66" w:rsidTr="00424D0B">
        <w:trPr>
          <w:gridAfter w:val="1"/>
          <w:wAfter w:w="10" w:type="dxa"/>
          <w:trHeight w:val="142"/>
        </w:trPr>
        <w:tc>
          <w:tcPr>
            <w:tcW w:w="3889" w:type="dxa"/>
            <w:gridSpan w:val="6"/>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Czas w latach od wejścia w życie zmian</w:t>
            </w:r>
          </w:p>
        </w:tc>
        <w:tc>
          <w:tcPr>
            <w:tcW w:w="937"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0</w:t>
            </w:r>
          </w:p>
        </w:tc>
        <w:tc>
          <w:tcPr>
            <w:tcW w:w="938" w:type="dxa"/>
            <w:gridSpan w:val="3"/>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1</w:t>
            </w:r>
          </w:p>
        </w:tc>
        <w:tc>
          <w:tcPr>
            <w:tcW w:w="938" w:type="dxa"/>
            <w:gridSpan w:val="5"/>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2</w:t>
            </w:r>
          </w:p>
        </w:tc>
        <w:tc>
          <w:tcPr>
            <w:tcW w:w="937" w:type="dxa"/>
            <w:gridSpan w:val="2"/>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3</w:t>
            </w:r>
          </w:p>
        </w:tc>
        <w:tc>
          <w:tcPr>
            <w:tcW w:w="938" w:type="dxa"/>
            <w:gridSpan w:val="4"/>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5</w:t>
            </w:r>
          </w:p>
        </w:tc>
        <w:tc>
          <w:tcPr>
            <w:tcW w:w="938" w:type="dxa"/>
            <w:gridSpan w:val="3"/>
            <w:shd w:val="clear" w:color="auto" w:fill="FFFFFF"/>
          </w:tcPr>
          <w:p w:rsidR="005C7A66" w:rsidRPr="005C7A66" w:rsidRDefault="005C7A66" w:rsidP="005C7A66">
            <w:pPr>
              <w:widowControl/>
              <w:autoSpaceDE/>
              <w:autoSpaceDN/>
              <w:adjustRightInd/>
              <w:spacing w:line="240" w:lineRule="auto"/>
              <w:jc w:val="center"/>
              <w:rPr>
                <w:rFonts w:eastAsia="Calibri" w:cs="Times New Roman"/>
                <w:color w:val="000000"/>
                <w:sz w:val="21"/>
                <w:szCs w:val="21"/>
                <w:lang w:eastAsia="en-US"/>
              </w:rPr>
            </w:pPr>
            <w:r w:rsidRPr="005C7A66">
              <w:rPr>
                <w:rFonts w:eastAsia="Calibri" w:cs="Times New Roman"/>
                <w:color w:val="000000"/>
                <w:sz w:val="21"/>
                <w:szCs w:val="21"/>
                <w:lang w:eastAsia="en-US"/>
              </w:rPr>
              <w:t>10</w:t>
            </w:r>
          </w:p>
        </w:tc>
        <w:tc>
          <w:tcPr>
            <w:tcW w:w="1422" w:type="dxa"/>
            <w:shd w:val="clear" w:color="auto" w:fill="FFFFFF"/>
          </w:tcPr>
          <w:p w:rsidR="005C7A66" w:rsidRPr="005C7A66" w:rsidRDefault="005C7A66" w:rsidP="005C7A66">
            <w:pPr>
              <w:widowControl/>
              <w:autoSpaceDE/>
              <w:autoSpaceDN/>
              <w:adjustRightInd/>
              <w:spacing w:line="240" w:lineRule="auto"/>
              <w:jc w:val="center"/>
              <w:rPr>
                <w:rFonts w:eastAsia="Calibri" w:cs="Times New Roman"/>
                <w:i/>
                <w:color w:val="000000"/>
                <w:spacing w:val="-2"/>
                <w:sz w:val="21"/>
                <w:szCs w:val="21"/>
                <w:lang w:eastAsia="en-US"/>
              </w:rPr>
            </w:pPr>
            <w:r w:rsidRPr="005C7A66">
              <w:rPr>
                <w:rFonts w:eastAsia="Calibri" w:cs="Times New Roman"/>
                <w:i/>
                <w:color w:val="000000"/>
                <w:spacing w:val="-2"/>
                <w:sz w:val="21"/>
                <w:szCs w:val="21"/>
                <w:lang w:eastAsia="en-US"/>
              </w:rPr>
              <w:t>Łącznie</w:t>
            </w:r>
            <w:r w:rsidRPr="005C7A66" w:rsidDel="0073273A">
              <w:rPr>
                <w:rFonts w:eastAsia="Calibri" w:cs="Times New Roman"/>
                <w:i/>
                <w:color w:val="000000"/>
                <w:spacing w:val="-2"/>
                <w:sz w:val="21"/>
                <w:szCs w:val="21"/>
                <w:lang w:eastAsia="en-US"/>
              </w:rPr>
              <w:t xml:space="preserve"> </w:t>
            </w:r>
            <w:r w:rsidRPr="005C7A66">
              <w:rPr>
                <w:rFonts w:eastAsia="Calibri" w:cs="Times New Roman"/>
                <w:i/>
                <w:color w:val="000000"/>
                <w:spacing w:val="-2"/>
                <w:sz w:val="21"/>
                <w:szCs w:val="21"/>
                <w:lang w:eastAsia="en-US"/>
              </w:rPr>
              <w:t>(0-10)</w:t>
            </w:r>
          </w:p>
        </w:tc>
      </w:tr>
      <w:tr w:rsidR="005C7A66" w:rsidRPr="005C7A66" w:rsidTr="00424D0B">
        <w:trPr>
          <w:gridAfter w:val="1"/>
          <w:wAfter w:w="10" w:type="dxa"/>
          <w:trHeight w:val="913"/>
        </w:trPr>
        <w:tc>
          <w:tcPr>
            <w:tcW w:w="1596" w:type="dxa"/>
            <w:shd w:val="clear" w:color="auto" w:fill="FFFFFF"/>
          </w:tcPr>
          <w:p w:rsidR="005C7A66" w:rsidRPr="005C7A66" w:rsidRDefault="005C7A66" w:rsidP="005C7A66">
            <w:pPr>
              <w:widowControl/>
              <w:autoSpaceDE/>
              <w:autoSpaceDN/>
              <w:adjustRightInd/>
              <w:spacing w:line="276"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W ujęciu pieniężnym</w:t>
            </w:r>
          </w:p>
          <w:p w:rsidR="005C7A66" w:rsidRPr="005C7A66" w:rsidRDefault="005C7A66" w:rsidP="005C7A66">
            <w:pPr>
              <w:widowControl/>
              <w:autoSpaceDE/>
              <w:autoSpaceDN/>
              <w:adjustRightInd/>
              <w:spacing w:line="276" w:lineRule="auto"/>
              <w:jc w:val="left"/>
              <w:rPr>
                <w:rFonts w:eastAsia="Calibri" w:cs="Times New Roman"/>
                <w:spacing w:val="-2"/>
                <w:sz w:val="21"/>
                <w:szCs w:val="21"/>
                <w:lang w:eastAsia="en-US"/>
              </w:rPr>
            </w:pPr>
            <w:r w:rsidRPr="005C7A66">
              <w:rPr>
                <w:rFonts w:eastAsia="Calibri" w:cs="Times New Roman"/>
                <w:spacing w:val="-2"/>
                <w:sz w:val="21"/>
                <w:szCs w:val="21"/>
                <w:lang w:eastAsia="en-US"/>
              </w:rPr>
              <w:t xml:space="preserve">(w mln zł, </w:t>
            </w:r>
          </w:p>
          <w:p w:rsidR="005C7A66" w:rsidRPr="005C7A66" w:rsidRDefault="005C7A66" w:rsidP="005C7A66">
            <w:pPr>
              <w:widowControl/>
              <w:autoSpaceDE/>
              <w:autoSpaceDN/>
              <w:adjustRightInd/>
              <w:spacing w:line="240" w:lineRule="auto"/>
              <w:jc w:val="left"/>
              <w:rPr>
                <w:rFonts w:eastAsia="Calibri" w:cs="Times New Roman"/>
                <w:spacing w:val="-2"/>
                <w:sz w:val="21"/>
                <w:szCs w:val="21"/>
                <w:lang w:eastAsia="en-US"/>
              </w:rPr>
            </w:pPr>
            <w:r w:rsidRPr="005C7A66">
              <w:rPr>
                <w:rFonts w:eastAsia="Calibri" w:cs="Times New Roman"/>
                <w:spacing w:val="-2"/>
                <w:sz w:val="21"/>
                <w:szCs w:val="21"/>
                <w:lang w:eastAsia="en-US"/>
              </w:rPr>
              <w:t>ceny stałe z …… r.)</w:t>
            </w:r>
          </w:p>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nadawcy programów telewizyjnych</w:t>
            </w:r>
          </w:p>
        </w:tc>
        <w:tc>
          <w:tcPr>
            <w:tcW w:w="937" w:type="dxa"/>
            <w:gridSpan w:val="2"/>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938" w:type="dxa"/>
            <w:gridSpan w:val="5"/>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937" w:type="dxa"/>
            <w:gridSpan w:val="2"/>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938" w:type="dxa"/>
            <w:gridSpan w:val="4"/>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1422" w:type="dxa"/>
            <w:tcBorders>
              <w:bottom w:val="single" w:sz="4" w:space="0" w:color="auto"/>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pacing w:val="-2"/>
                <w:sz w:val="21"/>
                <w:szCs w:val="21"/>
                <w:lang w:eastAsia="en-US"/>
              </w:rPr>
            </w:pPr>
          </w:p>
        </w:tc>
      </w:tr>
      <w:tr w:rsidR="005C7A66" w:rsidRPr="005C7A66" w:rsidTr="00424D0B">
        <w:trPr>
          <w:gridAfter w:val="1"/>
          <w:wAfter w:w="10" w:type="dxa"/>
          <w:trHeight w:val="132"/>
        </w:trPr>
        <w:tc>
          <w:tcPr>
            <w:tcW w:w="1596" w:type="dxa"/>
            <w:vMerge w:val="restart"/>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W ujęciu niepieniężnym</w:t>
            </w:r>
          </w:p>
        </w:tc>
        <w:tc>
          <w:tcPr>
            <w:tcW w:w="2293" w:type="dxa"/>
            <w:gridSpan w:val="5"/>
            <w:tcBorders>
              <w:bottom w:val="nil"/>
            </w:tcBorders>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7048" w:type="dxa"/>
            <w:gridSpan w:val="20"/>
            <w:tcBorders>
              <w:bottom w:val="nil"/>
            </w:tcBorders>
            <w:shd w:val="clear" w:color="auto" w:fill="FFFFFF"/>
          </w:tcPr>
          <w:p w:rsidR="005C7A66" w:rsidRPr="005C7A66" w:rsidRDefault="005C7A66" w:rsidP="005C7A66">
            <w:pPr>
              <w:widowControl/>
              <w:autoSpaceDE/>
              <w:autoSpaceDN/>
              <w:adjustRightInd/>
              <w:spacing w:line="240" w:lineRule="auto"/>
              <w:rPr>
                <w:rFonts w:eastAsia="Calibri" w:cs="Times New Roman"/>
                <w:color w:val="000000"/>
                <w:spacing w:val="-2"/>
                <w:sz w:val="21"/>
                <w:szCs w:val="21"/>
                <w:lang w:eastAsia="en-US"/>
              </w:rPr>
            </w:pPr>
          </w:p>
        </w:tc>
      </w:tr>
      <w:tr w:rsidR="005C7A66" w:rsidRPr="005C7A66" w:rsidTr="00424D0B">
        <w:trPr>
          <w:gridAfter w:val="1"/>
          <w:wAfter w:w="10" w:type="dxa"/>
          <w:trHeight w:val="596"/>
        </w:trPr>
        <w:tc>
          <w:tcPr>
            <w:tcW w:w="1596" w:type="dxa"/>
            <w:vMerge/>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tcBorders>
              <w:top w:val="nil"/>
            </w:tcBorders>
            <w:shd w:val="clear" w:color="auto" w:fill="FFFFFF"/>
          </w:tcPr>
          <w:p w:rsidR="005C7A66" w:rsidRPr="005C7A66" w:rsidRDefault="005C7A66" w:rsidP="005C7A66">
            <w:pPr>
              <w:widowControl/>
              <w:tabs>
                <w:tab w:val="right" w:pos="1936"/>
              </w:tabs>
              <w:autoSpaceDE/>
              <w:autoSpaceDN/>
              <w:adjustRightInd/>
              <w:spacing w:line="240" w:lineRule="auto"/>
              <w:jc w:val="left"/>
              <w:rPr>
                <w:rFonts w:eastAsia="Calibri" w:cs="Times New Roman"/>
                <w:color w:val="000000"/>
                <w:sz w:val="21"/>
                <w:szCs w:val="21"/>
                <w:lang w:eastAsia="en-US"/>
              </w:rPr>
            </w:pPr>
            <w:r w:rsidRPr="005C7A66">
              <w:rPr>
                <w:rFonts w:eastAsia="Calibri" w:cs="Times New Roman"/>
                <w:sz w:val="21"/>
                <w:szCs w:val="21"/>
                <w:lang w:eastAsia="en-US"/>
              </w:rPr>
              <w:t>rodzina, obywatele oraz gospodarstwa domowe</w:t>
            </w:r>
            <w:r w:rsidRPr="005C7A66">
              <w:rPr>
                <w:rFonts w:eastAsia="Calibri" w:cs="Times New Roman"/>
                <w:color w:val="000000"/>
                <w:sz w:val="21"/>
                <w:szCs w:val="21"/>
                <w:lang w:eastAsia="en-US"/>
              </w:rPr>
              <w:t xml:space="preserve"> </w:t>
            </w:r>
          </w:p>
        </w:tc>
        <w:tc>
          <w:tcPr>
            <w:tcW w:w="7048" w:type="dxa"/>
            <w:gridSpan w:val="20"/>
            <w:tcBorders>
              <w:top w:val="nil"/>
            </w:tcBorders>
            <w:shd w:val="clear" w:color="auto" w:fill="FFFFFF"/>
          </w:tcPr>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pacing w:val="-2"/>
                <w:sz w:val="22"/>
                <w:szCs w:val="22"/>
                <w:lang w:eastAsia="en-US"/>
              </w:rPr>
              <w:t xml:space="preserve">Poprawa </w:t>
            </w:r>
            <w:r w:rsidRPr="005C7A66">
              <w:rPr>
                <w:rFonts w:eastAsia="Calibri" w:cs="Times New Roman"/>
                <w:color w:val="000000"/>
                <w:sz w:val="22"/>
                <w:szCs w:val="22"/>
                <w:lang w:eastAsia="en-US"/>
              </w:rPr>
              <w:t>udogodnień w odbiorze  programów telewizyjnych przez osoby niepełnosprawne z powodu dysfunkcji narządu wzroku i dysfunkcji narządu słuchu.</w:t>
            </w:r>
          </w:p>
          <w:p w:rsidR="005C7A66" w:rsidRPr="005C7A66" w:rsidRDefault="005C7A66" w:rsidP="005C7A66">
            <w:pPr>
              <w:widowControl/>
              <w:autoSpaceDE/>
              <w:autoSpaceDN/>
              <w:adjustRightInd/>
              <w:spacing w:line="240" w:lineRule="auto"/>
              <w:rPr>
                <w:rFonts w:eastAsia="Calibri" w:cs="Times New Roman"/>
                <w:color w:val="000000"/>
                <w:spacing w:val="-2"/>
                <w:sz w:val="21"/>
                <w:szCs w:val="21"/>
                <w:lang w:eastAsia="en-US"/>
              </w:rPr>
            </w:pPr>
          </w:p>
        </w:tc>
      </w:tr>
      <w:tr w:rsidR="005C7A66" w:rsidRPr="005C7A66" w:rsidTr="00424D0B">
        <w:tblPrEx>
          <w:tblCellMar>
            <w:left w:w="70" w:type="dxa"/>
            <w:right w:w="70" w:type="dxa"/>
          </w:tblCellMar>
        </w:tblPrEx>
        <w:trPr>
          <w:gridAfter w:val="1"/>
          <w:wAfter w:w="10" w:type="dxa"/>
          <w:trHeight w:val="1268"/>
        </w:trPr>
        <w:tc>
          <w:tcPr>
            <w:tcW w:w="2243" w:type="dxa"/>
            <w:gridSpan w:val="2"/>
            <w:shd w:val="clear" w:color="auto" w:fill="FFFFFF"/>
          </w:tcPr>
          <w:p w:rsidR="005C7A66" w:rsidRPr="005C7A66" w:rsidRDefault="005C7A66" w:rsidP="005C7A66">
            <w:pPr>
              <w:widowControl/>
              <w:autoSpaceDE/>
              <w:autoSpaceDN/>
              <w:adjustRightInd/>
              <w:spacing w:line="240" w:lineRule="auto"/>
              <w:jc w:val="left"/>
              <w:rPr>
                <w:rFonts w:eastAsia="Calibri" w:cs="Times New Roman"/>
                <w:color w:val="000000"/>
                <w:sz w:val="21"/>
                <w:szCs w:val="21"/>
                <w:lang w:eastAsia="en-US"/>
              </w:rPr>
            </w:pPr>
            <w:r w:rsidRPr="005C7A66">
              <w:rPr>
                <w:rFonts w:eastAsia="Calibri" w:cs="Times New Roman"/>
                <w:color w:val="000000"/>
                <w:sz w:val="21"/>
                <w:szCs w:val="21"/>
                <w:lang w:eastAsia="en-US"/>
              </w:rPr>
              <w:t xml:space="preserve">Dodatkowe informacje, w tym wskazanie źródeł danych i przyjętych do obliczeń założeń </w:t>
            </w:r>
          </w:p>
        </w:tc>
        <w:tc>
          <w:tcPr>
            <w:tcW w:w="8694" w:type="dxa"/>
            <w:gridSpan w:val="24"/>
            <w:shd w:val="clear" w:color="auto" w:fill="FFFFFF"/>
            <w:vAlign w:val="center"/>
          </w:tcPr>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Przedmiotowa regulacja na skutek wystąpienia konieczności poniesienia przez nadawców programów telewizyjnych (dużych podmiotów) dodatkowych kosztów, aby spełnić nałożone ustawowo wymogi udogodnień audycji dla osób niepełnosprawnych, spowoduje wzrost ich kosztów uzyskania przychodów. </w:t>
            </w:r>
          </w:p>
          <w:p w:rsidR="005C7A66" w:rsidRPr="005C7A66" w:rsidRDefault="005C7A66" w:rsidP="005C7A66">
            <w:pPr>
              <w:widowControl/>
              <w:autoSpaceDE/>
              <w:autoSpaceDN/>
              <w:adjustRightInd/>
              <w:spacing w:line="240" w:lineRule="auto"/>
              <w:rPr>
                <w:rFonts w:eastAsia="Calibri" w:cs="Times New Roman"/>
                <w:sz w:val="22"/>
                <w:szCs w:val="22"/>
                <w:u w:val="single"/>
              </w:rPr>
            </w:pPr>
          </w:p>
          <w:p w:rsidR="005C7A66" w:rsidRPr="005C7A66" w:rsidRDefault="005C7A66" w:rsidP="005C7A66">
            <w:pPr>
              <w:widowControl/>
              <w:autoSpaceDE/>
              <w:autoSpaceDN/>
              <w:adjustRightInd/>
              <w:spacing w:line="240" w:lineRule="auto"/>
              <w:rPr>
                <w:rFonts w:eastAsia="Calibri" w:cs="Times New Roman"/>
                <w:sz w:val="22"/>
                <w:szCs w:val="22"/>
              </w:rPr>
            </w:pPr>
            <w:r w:rsidRPr="005C7A66">
              <w:rPr>
                <w:rFonts w:eastAsia="Calibri" w:cs="Times New Roman"/>
                <w:b/>
                <w:sz w:val="22"/>
                <w:szCs w:val="22"/>
              </w:rPr>
              <w:t>Opis metodologii sporządzenia Oceny Skutków Regulacji</w:t>
            </w:r>
            <w:r w:rsidRPr="005C7A66">
              <w:rPr>
                <w:rFonts w:eastAsia="Calibri" w:cs="Times New Roman"/>
                <w:sz w:val="22"/>
                <w:szCs w:val="22"/>
              </w:rPr>
              <w:t xml:space="preserve">. </w:t>
            </w:r>
          </w:p>
          <w:p w:rsidR="005C7A66" w:rsidRPr="005C7A66" w:rsidRDefault="005C7A66" w:rsidP="005C7A66">
            <w:pPr>
              <w:widowControl/>
              <w:autoSpaceDE/>
              <w:autoSpaceDN/>
              <w:adjustRightInd/>
              <w:spacing w:line="240" w:lineRule="auto"/>
              <w:rPr>
                <w:rFonts w:eastAsia="Calibri" w:cs="Times New Roman"/>
                <w:sz w:val="22"/>
                <w:szCs w:val="22"/>
                <w:u w:val="single"/>
              </w:rPr>
            </w:pPr>
            <w:r w:rsidRPr="005C7A66">
              <w:rPr>
                <w:rFonts w:eastAsia="Calibri" w:cs="Times New Roman"/>
                <w:color w:val="000000"/>
                <w:sz w:val="22"/>
                <w:szCs w:val="22"/>
                <w:lang w:eastAsia="en-US"/>
              </w:rPr>
              <w:t xml:space="preserve">Metodologia oceny skutków regulacji polega na policzeniu zmiany sytuacji finansowej podmiotu na skutek wprowadzenia zmienionych przepisów. W związku z regulacją zaproponowaną w przedmiotowym projekcie należało policzyć przyrost kosztów nadawców telewizyjnych na skutek wprowadzenia wyższego wymogu nadawania programów z udogodnieniami dla osób niepełnosprawnych. Dlatego w tym przypadku jako scenariusz bazowy, w stosunku do którego liczone są skutki, przyjęto stan polegający na utrzymaniu obecnych przepisów. Przy takim podejściu można zakładać, że podmioty komercyjne, które kierują się zasadą minimalizacji kosztów (maksymalizacji zysków) utrzymaliby w kolejnych latach udział programów nadawanych z udogodnieniami dla osób niepełnosprawnych na poziomie zbliżonym do stanu osiągniętego na koniec IV. 2016 r. Dysponując danymi KRRiT nt. udziału programów z udogodnieniami dla poszczególnych programów oraz szacunkami odnośnie do czasu nadawania poszczególnych programów w kwartale, po odliczeniu czasu na reklamę, obliczono dla każdego programu liczbę dodatkowych godzin emisji programów z udogodnieniami jakie nadawca musiałby emitować, gdyby zachodziła konieczność spełnienia warunków z projektowanej regulacji. Następnie dysponując danymi nt. kosztów udogodnień oszacowano dla każdego programu koszty jakie musieliby ponieść nadawcy telewizyjni, aby spełnić wymogi projektowanej ustawy.     </w:t>
            </w:r>
          </w:p>
          <w:p w:rsidR="005C7A66" w:rsidRPr="005C7A66" w:rsidRDefault="005C7A66" w:rsidP="005C7A66">
            <w:pPr>
              <w:widowControl/>
              <w:autoSpaceDE/>
              <w:autoSpaceDN/>
              <w:adjustRightInd/>
              <w:spacing w:line="240" w:lineRule="auto"/>
              <w:rPr>
                <w:rFonts w:eastAsia="Calibri" w:cs="Times New Roman"/>
                <w:b/>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b/>
                <w:color w:val="000000"/>
                <w:sz w:val="22"/>
                <w:szCs w:val="22"/>
                <w:lang w:eastAsia="en-US"/>
              </w:rPr>
            </w:pPr>
            <w:r w:rsidRPr="005C7A66">
              <w:rPr>
                <w:rFonts w:eastAsia="Calibri" w:cs="Times New Roman"/>
                <w:b/>
                <w:color w:val="000000"/>
                <w:sz w:val="22"/>
                <w:szCs w:val="22"/>
                <w:lang w:eastAsia="en-US"/>
              </w:rPr>
              <w:t xml:space="preserve">Koszty sporządzania programów z udogodnieniami dla osób niepełnosprawnych. </w:t>
            </w:r>
          </w:p>
          <w:p w:rsidR="005C7A66" w:rsidRPr="005C7A66" w:rsidRDefault="005C7A66" w:rsidP="005C7A66">
            <w:pPr>
              <w:widowControl/>
              <w:autoSpaceDE/>
              <w:autoSpaceDN/>
              <w:adjustRightInd/>
              <w:spacing w:line="240" w:lineRule="auto"/>
              <w:rPr>
                <w:rFonts w:eastAsia="Times New Roman" w:cs="Times New Roman"/>
                <w:color w:val="000000"/>
                <w:sz w:val="22"/>
                <w:szCs w:val="22"/>
              </w:rPr>
            </w:pPr>
            <w:r w:rsidRPr="005C7A66">
              <w:rPr>
                <w:rFonts w:eastAsia="Calibri" w:cs="Times New Roman"/>
                <w:color w:val="000000"/>
                <w:sz w:val="22"/>
                <w:szCs w:val="22"/>
                <w:lang w:eastAsia="en-US"/>
              </w:rPr>
              <w:t>Informacje nt. kosztów sporządzenia programów telewizyjnych z udogodnieniami dla osób niepełnosprawnych zaczerpnięto z kilku źródeł. Przede wszystkim zapoznano się z danymi nt. kosztów zamieszczonymi w dokumencie Komisji Europejskiej (</w:t>
            </w:r>
            <w:proofErr w:type="spellStart"/>
            <w:r w:rsidRPr="005C7A66">
              <w:rPr>
                <w:rFonts w:eastAsia="Times New Roman" w:cs="Times New Roman"/>
                <w:color w:val="000000"/>
                <w:sz w:val="22"/>
                <w:szCs w:val="22"/>
              </w:rPr>
              <w:t>Impact</w:t>
            </w:r>
            <w:proofErr w:type="spellEnd"/>
            <w:r w:rsidRPr="005C7A66">
              <w:rPr>
                <w:rFonts w:eastAsia="Times New Roman" w:cs="Times New Roman"/>
                <w:color w:val="000000"/>
                <w:sz w:val="22"/>
                <w:szCs w:val="22"/>
              </w:rPr>
              <w:t xml:space="preserve"> </w:t>
            </w:r>
            <w:proofErr w:type="spellStart"/>
            <w:r w:rsidRPr="005C7A66">
              <w:rPr>
                <w:rFonts w:eastAsia="Times New Roman" w:cs="Times New Roman"/>
                <w:color w:val="000000"/>
                <w:sz w:val="22"/>
                <w:szCs w:val="22"/>
              </w:rPr>
              <w:t>Assessment</w:t>
            </w:r>
            <w:proofErr w:type="spellEnd"/>
            <w:r w:rsidRPr="005C7A66">
              <w:rPr>
                <w:rFonts w:eastAsia="Times New Roman" w:cs="Times New Roman"/>
                <w:color w:val="000000"/>
                <w:sz w:val="22"/>
                <w:szCs w:val="22"/>
              </w:rPr>
              <w:t xml:space="preserve"> sporządzonym do Dyrektywy 2010/13/EU) oraz z danymi podanymi przez KRRiT (pismo znak: DS. 071.8.5.2017 z dnia 27 lutego 2017 r.).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5C7A66">
              <w:rPr>
                <w:rFonts w:eastAsia="Calibri" w:cs="Times New Roman"/>
                <w:color w:val="000000"/>
                <w:sz w:val="22"/>
                <w:szCs w:val="22"/>
                <w:u w:val="single"/>
                <w:lang w:eastAsia="en-US"/>
              </w:rPr>
              <w:t>Dane Komisji Europejskiej</w:t>
            </w:r>
            <w:r w:rsidRPr="005C7A66">
              <w:rPr>
                <w:rFonts w:eastAsia="Calibri" w:cs="Times New Roman"/>
                <w:color w:val="000000"/>
                <w:sz w:val="22"/>
                <w:szCs w:val="22"/>
                <w:lang w:eastAsia="en-US"/>
              </w:rPr>
              <w:t xml:space="preserve">. Z publikacji Komisji Europejskiej wynika, że koszt wykonania napisów zawiera się w przedziale 80-360 </w:t>
            </w:r>
            <w:r w:rsidRPr="005C7A66">
              <w:rPr>
                <w:rFonts w:eastAsia="Times New Roman" w:cs="Times New Roman"/>
                <w:color w:val="000000"/>
                <w:sz w:val="22"/>
                <w:szCs w:val="22"/>
              </w:rPr>
              <w:t>[euro/1h]</w:t>
            </w:r>
            <w:r w:rsidRPr="005C7A66">
              <w:rPr>
                <w:rFonts w:eastAsia="Calibri" w:cs="Times New Roman"/>
                <w:color w:val="000000"/>
                <w:sz w:val="22"/>
                <w:szCs w:val="22"/>
                <w:lang w:eastAsia="en-US"/>
              </w:rPr>
              <w:t xml:space="preserve">, języka migowego 150-860 </w:t>
            </w:r>
            <w:r w:rsidRPr="005C7A66">
              <w:rPr>
                <w:rFonts w:eastAsia="Times New Roman" w:cs="Times New Roman"/>
                <w:color w:val="000000"/>
                <w:sz w:val="22"/>
                <w:szCs w:val="22"/>
              </w:rPr>
              <w:t>[euro/1h]</w:t>
            </w:r>
            <w:r w:rsidRPr="005C7A66">
              <w:rPr>
                <w:rFonts w:eastAsia="Calibri" w:cs="Times New Roman"/>
                <w:color w:val="000000"/>
                <w:sz w:val="22"/>
                <w:szCs w:val="22"/>
                <w:lang w:eastAsia="en-US"/>
              </w:rPr>
              <w:t xml:space="preserve">, </w:t>
            </w:r>
            <w:proofErr w:type="spellStart"/>
            <w:r w:rsidRPr="005C7A66">
              <w:rPr>
                <w:rFonts w:eastAsia="Calibri" w:cs="Times New Roman"/>
                <w:color w:val="000000"/>
                <w:sz w:val="22"/>
                <w:szCs w:val="22"/>
                <w:lang w:eastAsia="en-US"/>
              </w:rPr>
              <w:t>audiodeskrypcji</w:t>
            </w:r>
            <w:proofErr w:type="spellEnd"/>
            <w:r w:rsidRPr="005C7A66">
              <w:rPr>
                <w:rFonts w:eastAsia="Calibri" w:cs="Times New Roman"/>
                <w:color w:val="000000"/>
                <w:sz w:val="22"/>
                <w:szCs w:val="22"/>
                <w:lang w:eastAsia="en-US"/>
              </w:rPr>
              <w:t xml:space="preserve"> 220-660 </w:t>
            </w:r>
            <w:r w:rsidRPr="005C7A66">
              <w:rPr>
                <w:rFonts w:eastAsia="Times New Roman" w:cs="Times New Roman"/>
                <w:color w:val="000000"/>
                <w:sz w:val="22"/>
                <w:szCs w:val="22"/>
              </w:rPr>
              <w:t>[euro/1h]</w:t>
            </w:r>
            <w:r w:rsidRPr="005C7A66">
              <w:rPr>
                <w:rFonts w:eastAsia="Calibri" w:cs="Times New Roman"/>
                <w:color w:val="000000"/>
                <w:sz w:val="22"/>
                <w:szCs w:val="22"/>
                <w:lang w:eastAsia="en-US"/>
              </w:rPr>
              <w:t xml:space="preserve">.  </w:t>
            </w:r>
          </w:p>
          <w:tbl>
            <w:tblPr>
              <w:tblW w:w="7655" w:type="dxa"/>
              <w:tblInd w:w="768" w:type="dxa"/>
              <w:tblLayout w:type="fixed"/>
              <w:tblCellMar>
                <w:left w:w="70" w:type="dxa"/>
                <w:right w:w="70" w:type="dxa"/>
              </w:tblCellMar>
              <w:tblLook w:val="04A0" w:firstRow="1" w:lastRow="0" w:firstColumn="1" w:lastColumn="0" w:noHBand="0" w:noVBand="1"/>
            </w:tblPr>
            <w:tblGrid>
              <w:gridCol w:w="1843"/>
              <w:gridCol w:w="1985"/>
              <w:gridCol w:w="1984"/>
              <w:gridCol w:w="1843"/>
            </w:tblGrid>
            <w:tr w:rsidR="005C7A66" w:rsidRPr="005C7A66" w:rsidTr="00424D0B">
              <w:trPr>
                <w:trHeight w:val="300"/>
              </w:trPr>
              <w:tc>
                <w:tcPr>
                  <w:tcW w:w="7655" w:type="dxa"/>
                  <w:gridSpan w:val="4"/>
                  <w:tcBorders>
                    <w:top w:val="nil"/>
                    <w:left w:val="nil"/>
                    <w:bottom w:val="nil"/>
                    <w:right w:val="nil"/>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1: Koszty sporządzenia napisów, języka migowego, </w:t>
                  </w:r>
                  <w:proofErr w:type="spellStart"/>
                  <w:r w:rsidRPr="005C7A66">
                    <w:rPr>
                      <w:rFonts w:eastAsia="Times New Roman" w:cs="Times New Roman"/>
                      <w:color w:val="000000"/>
                      <w:sz w:val="22"/>
                      <w:szCs w:val="22"/>
                    </w:rPr>
                    <w:t>audiodeskrypcji</w:t>
                  </w:r>
                  <w:proofErr w:type="spellEnd"/>
                  <w:r w:rsidRPr="005C7A66">
                    <w:rPr>
                      <w:rFonts w:eastAsia="Times New Roman" w:cs="Times New Roman"/>
                      <w:color w:val="000000"/>
                      <w:sz w:val="22"/>
                      <w:szCs w:val="22"/>
                    </w:rPr>
                    <w:t xml:space="preserve"> [euro/1h]</w:t>
                  </w:r>
                </w:p>
              </w:tc>
            </w:tr>
            <w:tr w:rsidR="005C7A66" w:rsidRPr="005C7A66" w:rsidTr="00424D0B">
              <w:trPr>
                <w:trHeight w:val="330"/>
              </w:trPr>
              <w:tc>
                <w:tcPr>
                  <w:tcW w:w="184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center"/>
                    <w:rPr>
                      <w:rFonts w:eastAsia="Times New Roman" w:cs="Times New Roman"/>
                      <w:color w:val="000000"/>
                      <w:sz w:val="22"/>
                      <w:szCs w:val="22"/>
                    </w:rPr>
                  </w:pPr>
                  <w:r w:rsidRPr="005C7A66">
                    <w:rPr>
                      <w:rFonts w:eastAsia="Times New Roman" w:cs="Times New Roman"/>
                      <w:color w:val="000000"/>
                      <w:sz w:val="22"/>
                      <w:szCs w:val="22"/>
                    </w:rPr>
                    <w:t>kraj UE</w:t>
                  </w:r>
                </w:p>
              </w:tc>
              <w:tc>
                <w:tcPr>
                  <w:tcW w:w="1985" w:type="dxa"/>
                  <w:tcBorders>
                    <w:top w:val="single" w:sz="4" w:space="0" w:color="auto"/>
                    <w:left w:val="nil"/>
                    <w:bottom w:val="double" w:sz="6"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center"/>
                    <w:rPr>
                      <w:rFonts w:eastAsia="Times New Roman" w:cs="Times New Roman"/>
                      <w:color w:val="000000"/>
                      <w:sz w:val="22"/>
                      <w:szCs w:val="22"/>
                    </w:rPr>
                  </w:pPr>
                  <w:r w:rsidRPr="005C7A66">
                    <w:rPr>
                      <w:rFonts w:eastAsia="Times New Roman" w:cs="Times New Roman"/>
                      <w:color w:val="000000"/>
                      <w:sz w:val="22"/>
                      <w:szCs w:val="22"/>
                    </w:rPr>
                    <w:t xml:space="preserve">napisów </w:t>
                  </w:r>
                </w:p>
              </w:tc>
              <w:tc>
                <w:tcPr>
                  <w:tcW w:w="1984" w:type="dxa"/>
                  <w:tcBorders>
                    <w:top w:val="single" w:sz="4" w:space="0" w:color="auto"/>
                    <w:left w:val="nil"/>
                    <w:bottom w:val="double" w:sz="6"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center"/>
                    <w:rPr>
                      <w:rFonts w:eastAsia="Times New Roman" w:cs="Times New Roman"/>
                      <w:color w:val="000000"/>
                      <w:sz w:val="22"/>
                      <w:szCs w:val="22"/>
                    </w:rPr>
                  </w:pPr>
                  <w:r w:rsidRPr="005C7A66">
                    <w:rPr>
                      <w:rFonts w:eastAsia="Times New Roman" w:cs="Times New Roman"/>
                      <w:color w:val="000000"/>
                      <w:sz w:val="22"/>
                      <w:szCs w:val="22"/>
                    </w:rPr>
                    <w:t xml:space="preserve"> tłumaczenia na język migowy</w:t>
                  </w:r>
                </w:p>
              </w:tc>
              <w:tc>
                <w:tcPr>
                  <w:tcW w:w="1843" w:type="dxa"/>
                  <w:tcBorders>
                    <w:top w:val="single" w:sz="4" w:space="0" w:color="auto"/>
                    <w:left w:val="nil"/>
                    <w:bottom w:val="double" w:sz="6"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center"/>
                    <w:rPr>
                      <w:rFonts w:eastAsia="Times New Roman" w:cs="Times New Roman"/>
                      <w:color w:val="000000"/>
                      <w:sz w:val="22"/>
                      <w:szCs w:val="22"/>
                    </w:rPr>
                  </w:pPr>
                  <w:proofErr w:type="spellStart"/>
                  <w:r w:rsidRPr="005C7A66">
                    <w:rPr>
                      <w:rFonts w:eastAsia="Times New Roman" w:cs="Times New Roman"/>
                      <w:color w:val="000000"/>
                      <w:sz w:val="22"/>
                      <w:szCs w:val="22"/>
                    </w:rPr>
                    <w:t>audiodeskrypcji</w:t>
                  </w:r>
                  <w:proofErr w:type="spellEnd"/>
                </w:p>
              </w:tc>
            </w:tr>
            <w:tr w:rsidR="005C7A66" w:rsidRPr="005C7A66" w:rsidTr="00424D0B">
              <w:trPr>
                <w:trHeight w:val="330"/>
              </w:trPr>
              <w:tc>
                <w:tcPr>
                  <w:tcW w:w="1843" w:type="dxa"/>
                  <w:tcBorders>
                    <w:top w:val="nil"/>
                    <w:left w:val="single" w:sz="4" w:space="0" w:color="auto"/>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Bułgaria</w:t>
                  </w:r>
                </w:p>
              </w:tc>
              <w:tc>
                <w:tcPr>
                  <w:tcW w:w="1985"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50-114</w:t>
                  </w:r>
                </w:p>
              </w:tc>
              <w:tc>
                <w:tcPr>
                  <w:tcW w:w="1984"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tc>
              <w:tc>
                <w:tcPr>
                  <w:tcW w:w="1843"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tc>
            </w:tr>
            <w:tr w:rsidR="005C7A66" w:rsidRPr="005C7A66" w:rsidTr="00424D0B">
              <w:trPr>
                <w:trHeight w:val="300"/>
              </w:trPr>
              <w:tc>
                <w:tcPr>
                  <w:tcW w:w="1843" w:type="dxa"/>
                  <w:vMerge w:val="restart"/>
                  <w:tcBorders>
                    <w:top w:val="nil"/>
                    <w:left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Irlandia</w:t>
                  </w:r>
                </w:p>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 </w:t>
                  </w:r>
                </w:p>
              </w:tc>
              <w:tc>
                <w:tcPr>
                  <w:tcW w:w="1985" w:type="dxa"/>
                  <w:tcBorders>
                    <w:top w:val="nil"/>
                    <w:left w:val="nil"/>
                    <w:bottom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100-200 nagrania</w:t>
                  </w:r>
                </w:p>
              </w:tc>
              <w:tc>
                <w:tcPr>
                  <w:tcW w:w="1984" w:type="dxa"/>
                  <w:vMerge w:val="restart"/>
                  <w:tcBorders>
                    <w:top w:val="nil"/>
                    <w:left w:val="nil"/>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 </w:t>
                  </w:r>
                </w:p>
              </w:tc>
              <w:tc>
                <w:tcPr>
                  <w:tcW w:w="1843" w:type="dxa"/>
                  <w:vMerge w:val="restart"/>
                  <w:tcBorders>
                    <w:top w:val="nil"/>
                    <w:left w:val="nil"/>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b/>
                      <w:color w:val="000000"/>
                      <w:sz w:val="20"/>
                    </w:rPr>
                    <w:t> </w:t>
                  </w:r>
                </w:p>
              </w:tc>
            </w:tr>
            <w:tr w:rsidR="005C7A66" w:rsidRPr="005C7A66" w:rsidTr="00424D0B">
              <w:trPr>
                <w:trHeight w:val="315"/>
              </w:trPr>
              <w:tc>
                <w:tcPr>
                  <w:tcW w:w="1843" w:type="dxa"/>
                  <w:vMerge/>
                  <w:tcBorders>
                    <w:left w:val="single" w:sz="4" w:space="0" w:color="auto"/>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p>
              </w:tc>
              <w:tc>
                <w:tcPr>
                  <w:tcW w:w="1985"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300-500 na żywo</w:t>
                  </w:r>
                </w:p>
              </w:tc>
              <w:tc>
                <w:tcPr>
                  <w:tcW w:w="1984" w:type="dxa"/>
                  <w:vMerge/>
                  <w:tcBorders>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p>
              </w:tc>
              <w:tc>
                <w:tcPr>
                  <w:tcW w:w="1843" w:type="dxa"/>
                  <w:vMerge/>
                  <w:tcBorders>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b/>
                      <w:color w:val="000000"/>
                      <w:sz w:val="20"/>
                    </w:rPr>
                  </w:pPr>
                </w:p>
              </w:tc>
            </w:tr>
            <w:tr w:rsidR="005C7A66" w:rsidRPr="005C7A66" w:rsidTr="00424D0B">
              <w:trPr>
                <w:trHeight w:val="300"/>
              </w:trPr>
              <w:tc>
                <w:tcPr>
                  <w:tcW w:w="1843" w:type="dxa"/>
                  <w:vMerge w:val="restart"/>
                  <w:tcBorders>
                    <w:top w:val="nil"/>
                    <w:left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Hiszpania</w:t>
                  </w:r>
                </w:p>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 </w:t>
                  </w:r>
                </w:p>
              </w:tc>
              <w:tc>
                <w:tcPr>
                  <w:tcW w:w="1985" w:type="dxa"/>
                  <w:tcBorders>
                    <w:top w:val="nil"/>
                    <w:left w:val="nil"/>
                    <w:bottom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60 dla napisów na żywo</w:t>
                  </w:r>
                </w:p>
              </w:tc>
              <w:tc>
                <w:tcPr>
                  <w:tcW w:w="1984" w:type="dxa"/>
                  <w:tcBorders>
                    <w:top w:val="nil"/>
                    <w:left w:val="nil"/>
                    <w:bottom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right"/>
                    <w:rPr>
                      <w:rFonts w:eastAsia="Times New Roman" w:cs="Times New Roman"/>
                      <w:color w:val="000000"/>
                      <w:sz w:val="20"/>
                    </w:rPr>
                  </w:pPr>
                  <w:r w:rsidRPr="005C7A66">
                    <w:rPr>
                      <w:rFonts w:eastAsia="Times New Roman" w:cs="Times New Roman"/>
                      <w:color w:val="000000"/>
                      <w:sz w:val="20"/>
                    </w:rPr>
                    <w:t>300</w:t>
                  </w:r>
                </w:p>
              </w:tc>
              <w:tc>
                <w:tcPr>
                  <w:tcW w:w="1843" w:type="dxa"/>
                  <w:tcBorders>
                    <w:top w:val="nil"/>
                    <w:left w:val="nil"/>
                    <w:bottom w:val="single" w:sz="4"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right"/>
                    <w:rPr>
                      <w:rFonts w:eastAsia="Times New Roman" w:cs="Times New Roman"/>
                      <w:color w:val="000000"/>
                      <w:sz w:val="20"/>
                    </w:rPr>
                  </w:pPr>
                  <w:r w:rsidRPr="005C7A66">
                    <w:rPr>
                      <w:rFonts w:eastAsia="Times New Roman" w:cs="Times New Roman"/>
                      <w:color w:val="000000"/>
                      <w:sz w:val="20"/>
                    </w:rPr>
                    <w:t>220</w:t>
                  </w:r>
                </w:p>
              </w:tc>
            </w:tr>
            <w:tr w:rsidR="005C7A66" w:rsidRPr="005C7A66" w:rsidTr="00424D0B">
              <w:trPr>
                <w:trHeight w:val="315"/>
              </w:trPr>
              <w:tc>
                <w:tcPr>
                  <w:tcW w:w="1843" w:type="dxa"/>
                  <w:vMerge/>
                  <w:tcBorders>
                    <w:left w:val="single" w:sz="4" w:space="0" w:color="auto"/>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p>
              </w:tc>
              <w:tc>
                <w:tcPr>
                  <w:tcW w:w="1985"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80-100 nagranie</w:t>
                  </w:r>
                </w:p>
              </w:tc>
              <w:tc>
                <w:tcPr>
                  <w:tcW w:w="1984"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 </w:t>
                  </w:r>
                </w:p>
              </w:tc>
              <w:tc>
                <w:tcPr>
                  <w:tcW w:w="1843"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 </w:t>
                  </w:r>
                </w:p>
              </w:tc>
            </w:tr>
            <w:tr w:rsidR="005C7A66" w:rsidRPr="005C7A66" w:rsidTr="00424D0B">
              <w:trPr>
                <w:trHeight w:val="315"/>
              </w:trPr>
              <w:tc>
                <w:tcPr>
                  <w:tcW w:w="1843" w:type="dxa"/>
                  <w:tcBorders>
                    <w:top w:val="nil"/>
                    <w:left w:val="single" w:sz="4" w:space="0" w:color="auto"/>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Litwa</w:t>
                  </w:r>
                </w:p>
              </w:tc>
              <w:tc>
                <w:tcPr>
                  <w:tcW w:w="1985"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80-120</w:t>
                  </w:r>
                </w:p>
              </w:tc>
              <w:tc>
                <w:tcPr>
                  <w:tcW w:w="1984"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tc>
              <w:tc>
                <w:tcPr>
                  <w:tcW w:w="1843"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brak danych</w:t>
                  </w:r>
                </w:p>
              </w:tc>
            </w:tr>
            <w:tr w:rsidR="005C7A66" w:rsidRPr="005C7A66" w:rsidTr="00424D0B">
              <w:trPr>
                <w:trHeight w:val="315"/>
              </w:trPr>
              <w:tc>
                <w:tcPr>
                  <w:tcW w:w="1843" w:type="dxa"/>
                  <w:tcBorders>
                    <w:top w:val="nil"/>
                    <w:left w:val="single" w:sz="4" w:space="0" w:color="auto"/>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Wielka Brytania</w:t>
                  </w:r>
                </w:p>
              </w:tc>
              <w:tc>
                <w:tcPr>
                  <w:tcW w:w="1985"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70-360</w:t>
                  </w:r>
                </w:p>
              </w:tc>
              <w:tc>
                <w:tcPr>
                  <w:tcW w:w="1984"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color w:val="000000"/>
                      <w:sz w:val="20"/>
                    </w:rPr>
                    <w:t>150-860</w:t>
                  </w:r>
                </w:p>
              </w:tc>
              <w:tc>
                <w:tcPr>
                  <w:tcW w:w="1843" w:type="dxa"/>
                  <w:tcBorders>
                    <w:top w:val="nil"/>
                    <w:left w:val="nil"/>
                    <w:bottom w:val="single" w:sz="8" w:space="0" w:color="auto"/>
                    <w:right w:val="single" w:sz="4" w:space="0" w:color="auto"/>
                  </w:tcBorders>
                  <w:shd w:val="clear" w:color="auto" w:fill="auto"/>
                  <w:noWrap/>
                  <w:vAlign w:val="bottom"/>
                  <w:hideMark/>
                </w:tcPr>
                <w:p w:rsidR="005C7A66" w:rsidRPr="005C7A66" w:rsidRDefault="005C7A66" w:rsidP="005C7A66">
                  <w:pPr>
                    <w:widowControl/>
                    <w:autoSpaceDE/>
                    <w:autoSpaceDN/>
                    <w:adjustRightInd/>
                    <w:spacing w:line="240" w:lineRule="auto"/>
                    <w:jc w:val="right"/>
                    <w:rPr>
                      <w:rFonts w:eastAsia="Times New Roman" w:cs="Times New Roman"/>
                      <w:color w:val="000000"/>
                      <w:sz w:val="20"/>
                    </w:rPr>
                  </w:pPr>
                  <w:r w:rsidRPr="005C7A66">
                    <w:rPr>
                      <w:rFonts w:eastAsia="Times New Roman" w:cs="Times New Roman"/>
                      <w:color w:val="000000"/>
                      <w:sz w:val="20"/>
                    </w:rPr>
                    <w:t>660</w:t>
                  </w:r>
                </w:p>
              </w:tc>
            </w:tr>
          </w:tbl>
          <w:p w:rsidR="005C7A66" w:rsidRPr="005C7A66" w:rsidRDefault="005C7A66" w:rsidP="005C7A66">
            <w:pPr>
              <w:widowControl/>
              <w:autoSpaceDE/>
              <w:autoSpaceDN/>
              <w:adjustRightInd/>
              <w:spacing w:line="240" w:lineRule="auto"/>
              <w:jc w:val="left"/>
              <w:rPr>
                <w:rFonts w:eastAsia="Times New Roman" w:cs="Times New Roman"/>
                <w:color w:val="000000"/>
                <w:sz w:val="18"/>
                <w:szCs w:val="18"/>
              </w:rPr>
            </w:pPr>
            <w:r w:rsidRPr="005C7A66">
              <w:rPr>
                <w:rFonts w:eastAsia="Times New Roman" w:cs="Times New Roman"/>
                <w:color w:val="000000"/>
                <w:sz w:val="18"/>
                <w:szCs w:val="18"/>
              </w:rPr>
              <w:t xml:space="preserve">                 Źródło: Komisja Europejska, </w:t>
            </w:r>
            <w:proofErr w:type="spellStart"/>
            <w:r w:rsidRPr="005C7A66">
              <w:rPr>
                <w:rFonts w:eastAsia="Times New Roman" w:cs="Times New Roman"/>
                <w:color w:val="000000"/>
                <w:sz w:val="18"/>
                <w:szCs w:val="18"/>
              </w:rPr>
              <w:t>Impact</w:t>
            </w:r>
            <w:proofErr w:type="spellEnd"/>
            <w:r w:rsidRPr="005C7A66">
              <w:rPr>
                <w:rFonts w:eastAsia="Times New Roman" w:cs="Times New Roman"/>
                <w:color w:val="000000"/>
                <w:sz w:val="18"/>
                <w:szCs w:val="18"/>
              </w:rPr>
              <w:t xml:space="preserve"> </w:t>
            </w:r>
            <w:proofErr w:type="spellStart"/>
            <w:r w:rsidRPr="005C7A66">
              <w:rPr>
                <w:rFonts w:eastAsia="Times New Roman" w:cs="Times New Roman"/>
                <w:color w:val="000000"/>
                <w:sz w:val="18"/>
                <w:szCs w:val="18"/>
              </w:rPr>
              <w:t>Assessment</w:t>
            </w:r>
            <w:proofErr w:type="spellEnd"/>
            <w:r w:rsidRPr="005C7A66">
              <w:rPr>
                <w:rFonts w:eastAsia="Times New Roman" w:cs="Times New Roman"/>
                <w:color w:val="000000"/>
                <w:sz w:val="18"/>
                <w:szCs w:val="18"/>
              </w:rPr>
              <w:t xml:space="preserve"> do Dyrektywy 2010/13/EU; </w:t>
            </w:r>
            <w:proofErr w:type="spellStart"/>
            <w:r w:rsidRPr="005C7A66">
              <w:rPr>
                <w:rFonts w:eastAsia="Times New Roman" w:cs="Times New Roman"/>
                <w:color w:val="000000"/>
                <w:sz w:val="18"/>
                <w:szCs w:val="18"/>
              </w:rPr>
              <w:t>Visionary</w:t>
            </w:r>
            <w:proofErr w:type="spellEnd"/>
            <w:r w:rsidRPr="005C7A66">
              <w:rPr>
                <w:rFonts w:eastAsia="Times New Roman" w:cs="Times New Roman"/>
                <w:color w:val="000000"/>
                <w:sz w:val="18"/>
                <w:szCs w:val="18"/>
              </w:rPr>
              <w:t xml:space="preserve"> Analytics </w:t>
            </w:r>
          </w:p>
          <w:p w:rsidR="005C7A66" w:rsidRPr="005C7A66" w:rsidRDefault="005C7A66" w:rsidP="005C7A66">
            <w:pPr>
              <w:widowControl/>
              <w:autoSpaceDE/>
              <w:autoSpaceDN/>
              <w:adjustRightInd/>
              <w:spacing w:line="276" w:lineRule="auto"/>
              <w:jc w:val="left"/>
              <w:rPr>
                <w:rFonts w:eastAsia="Calibri" w:cs="Times New Roman"/>
                <w:color w:val="000000"/>
                <w:sz w:val="22"/>
                <w:szCs w:val="22"/>
                <w:lang w:eastAsia="en-US"/>
              </w:rPr>
            </w:pPr>
          </w:p>
          <w:p w:rsidR="005C7A66" w:rsidRPr="005C7A66" w:rsidRDefault="005C7A66" w:rsidP="005C7A66">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5C7A66">
              <w:rPr>
                <w:rFonts w:eastAsia="Calibri" w:cs="Times New Roman"/>
                <w:color w:val="000000"/>
                <w:sz w:val="22"/>
                <w:szCs w:val="22"/>
                <w:u w:val="single"/>
                <w:lang w:eastAsia="en-US"/>
              </w:rPr>
              <w:t>Dane KRRiT</w:t>
            </w:r>
            <w:r w:rsidRPr="005C7A66">
              <w:rPr>
                <w:rFonts w:eastAsia="Calibri" w:cs="Times New Roman"/>
                <w:color w:val="000000"/>
                <w:sz w:val="22"/>
                <w:szCs w:val="22"/>
                <w:lang w:eastAsia="en-US"/>
              </w:rPr>
              <w:t xml:space="preserve"> nt. kosztów sporządzania udogodnień w Polsce.  </w:t>
            </w:r>
          </w:p>
          <w:tbl>
            <w:tblPr>
              <w:tblW w:w="7655" w:type="dxa"/>
              <w:tblInd w:w="768" w:type="dxa"/>
              <w:tblLayout w:type="fixed"/>
              <w:tblCellMar>
                <w:left w:w="70" w:type="dxa"/>
                <w:right w:w="70" w:type="dxa"/>
              </w:tblCellMar>
              <w:tblLook w:val="04A0" w:firstRow="1" w:lastRow="0" w:firstColumn="1" w:lastColumn="0" w:noHBand="0" w:noVBand="1"/>
            </w:tblPr>
            <w:tblGrid>
              <w:gridCol w:w="7655"/>
            </w:tblGrid>
            <w:tr w:rsidR="005C7A66" w:rsidRPr="005C7A66" w:rsidTr="00424D0B">
              <w:trPr>
                <w:trHeight w:val="146"/>
              </w:trPr>
              <w:tc>
                <w:tcPr>
                  <w:tcW w:w="7655" w:type="dxa"/>
                  <w:tcBorders>
                    <w:top w:val="nil"/>
                    <w:left w:val="nil"/>
                    <w:bottom w:val="nil"/>
                    <w:right w:val="nil"/>
                  </w:tcBorders>
                  <w:shd w:val="clear" w:color="auto" w:fill="auto"/>
                  <w:noWrap/>
                  <w:vAlign w:val="bottom"/>
                  <w:hideMark/>
                </w:tcPr>
                <w:p w:rsidR="005C7A66" w:rsidRPr="005C7A66" w:rsidRDefault="005C7A66" w:rsidP="005C7A66">
                  <w:pPr>
                    <w:widowControl/>
                    <w:autoSpaceDE/>
                    <w:autoSpaceDN/>
                    <w:adjustRightInd/>
                    <w:spacing w:line="240" w:lineRule="auto"/>
                    <w:jc w:val="left"/>
                    <w:rPr>
                      <w:rFonts w:eastAsia="Times New Roman" w:cs="Times New Roman"/>
                      <w:color w:val="000000"/>
                      <w:sz w:val="18"/>
                      <w:szCs w:val="18"/>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nr 2: Koszty sporządzenia napisów, języka migowego, </w:t>
                  </w:r>
                  <w:proofErr w:type="spellStart"/>
                  <w:r w:rsidRPr="005C7A66">
                    <w:rPr>
                      <w:rFonts w:eastAsia="Times New Roman" w:cs="Times New Roman"/>
                      <w:color w:val="000000"/>
                      <w:sz w:val="22"/>
                      <w:szCs w:val="22"/>
                    </w:rPr>
                    <w:t>audiodeskrypcji</w:t>
                  </w:r>
                  <w:proofErr w:type="spellEnd"/>
                  <w:r w:rsidRPr="005C7A66">
                    <w:rPr>
                      <w:rFonts w:eastAsia="Times New Roman" w:cs="Times New Roman"/>
                      <w:color w:val="000000"/>
                      <w:sz w:val="22"/>
                      <w:szCs w:val="22"/>
                    </w:rPr>
                    <w:t xml:space="preserve"> w Polsce.</w:t>
                  </w:r>
                </w:p>
                <w:p w:rsidR="005C7A66" w:rsidRPr="005C7A66" w:rsidRDefault="005C7A66" w:rsidP="005C7A66">
                  <w:pPr>
                    <w:widowControl/>
                    <w:autoSpaceDE/>
                    <w:autoSpaceDN/>
                    <w:adjustRightInd/>
                    <w:spacing w:line="240" w:lineRule="auto"/>
                    <w:jc w:val="left"/>
                    <w:rPr>
                      <w:rFonts w:eastAsia="Times New Roman" w:cs="Times New Roman"/>
                      <w:color w:val="000000"/>
                      <w:sz w:val="20"/>
                    </w:rPr>
                  </w:pPr>
                  <w:r w:rsidRPr="005C7A66">
                    <w:rPr>
                      <w:rFonts w:eastAsia="Times New Roman" w:cs="Times New Roman"/>
                      <w:noProof/>
                      <w:color w:val="000000"/>
                      <w:sz w:val="20"/>
                    </w:rPr>
                    <w:lastRenderedPageBreak/>
                    <w:drawing>
                      <wp:inline distT="0" distB="0" distL="0" distR="0" wp14:anchorId="589FF6AF" wp14:editId="0BC789D8">
                        <wp:extent cx="4019550" cy="958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19550" cy="958850"/>
                                </a:xfrm>
                                <a:prstGeom prst="rect">
                                  <a:avLst/>
                                </a:prstGeom>
                                <a:noFill/>
                                <a:ln>
                                  <a:noFill/>
                                </a:ln>
                              </pic:spPr>
                            </pic:pic>
                          </a:graphicData>
                        </a:graphic>
                      </wp:inline>
                    </w:drawing>
                  </w:r>
                </w:p>
              </w:tc>
            </w:tr>
          </w:tbl>
          <w:p w:rsidR="005C7A66" w:rsidRPr="005C7A66" w:rsidRDefault="005C7A66" w:rsidP="005C7A66">
            <w:pPr>
              <w:widowControl/>
              <w:autoSpaceDE/>
              <w:autoSpaceDN/>
              <w:adjustRightInd/>
              <w:spacing w:line="240" w:lineRule="auto"/>
              <w:jc w:val="left"/>
              <w:rPr>
                <w:rFonts w:eastAsia="Calibri" w:cs="Times New Roman"/>
                <w:b/>
                <w:sz w:val="22"/>
                <w:szCs w:val="22"/>
              </w:rPr>
            </w:pPr>
            <w:r w:rsidRPr="005C7A66">
              <w:rPr>
                <w:rFonts w:eastAsia="Calibri" w:cs="Times New Roman"/>
                <w:color w:val="000000"/>
                <w:sz w:val="18"/>
                <w:szCs w:val="18"/>
                <w:lang w:eastAsia="en-US"/>
              </w:rPr>
              <w:lastRenderedPageBreak/>
              <w:t xml:space="preserve">                   Źródło: Dane KRRiT.</w:t>
            </w:r>
          </w:p>
          <w:p w:rsidR="005C7A66" w:rsidRPr="005C7A66" w:rsidRDefault="005C7A66" w:rsidP="005C7A66">
            <w:pPr>
              <w:widowControl/>
              <w:autoSpaceDE/>
              <w:autoSpaceDN/>
              <w:adjustRightInd/>
              <w:spacing w:line="240" w:lineRule="auto"/>
              <w:jc w:val="left"/>
              <w:rPr>
                <w:rFonts w:eastAsia="Calibri" w:cs="Times New Roman"/>
                <w:b/>
                <w:sz w:val="22"/>
                <w:szCs w:val="22"/>
                <w:lang w:val="en-US"/>
              </w:rPr>
            </w:pPr>
          </w:p>
          <w:p w:rsidR="005C7A66" w:rsidRPr="005C7A66" w:rsidRDefault="005C7A66" w:rsidP="005C7A66">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5C7A66">
              <w:rPr>
                <w:rFonts w:eastAsia="Calibri" w:cs="Times New Roman"/>
                <w:color w:val="000000"/>
                <w:sz w:val="22"/>
                <w:szCs w:val="22"/>
                <w:lang w:eastAsia="en-US"/>
              </w:rPr>
              <w:t>Zespół ds. Głuchych przy Rzeczniku Praw Obywatelskich w raporcie „</w:t>
            </w:r>
            <w:r w:rsidRPr="005C7A66">
              <w:rPr>
                <w:rFonts w:eastAsia="Calibri" w:cs="Times New Roman"/>
                <w:i/>
                <w:color w:val="000000"/>
                <w:sz w:val="22"/>
                <w:szCs w:val="22"/>
                <w:lang w:eastAsia="en-US"/>
              </w:rPr>
              <w:t>Sytuacja osób głuchych w Polsce</w:t>
            </w:r>
            <w:r w:rsidRPr="005C7A66">
              <w:rPr>
                <w:rFonts w:eastAsia="Calibri" w:cs="Times New Roman"/>
                <w:color w:val="000000"/>
                <w:sz w:val="22"/>
                <w:szCs w:val="22"/>
                <w:lang w:eastAsia="en-US"/>
              </w:rPr>
              <w:t xml:space="preserve">” stwierdził, że koszt produkcji napisów w stosunku do całości produkcji nie przekracza 1%. </w:t>
            </w:r>
          </w:p>
          <w:p w:rsidR="005C7A66" w:rsidRPr="005C7A66" w:rsidRDefault="005C7A66" w:rsidP="005C7A66">
            <w:pPr>
              <w:widowControl/>
              <w:autoSpaceDE/>
              <w:autoSpaceDN/>
              <w:adjustRightInd/>
              <w:spacing w:line="240" w:lineRule="auto"/>
              <w:rPr>
                <w:rFonts w:eastAsia="Calibri" w:cs="Times New Roman"/>
                <w:b/>
                <w:sz w:val="22"/>
                <w:szCs w:val="22"/>
              </w:rPr>
            </w:pPr>
          </w:p>
          <w:p w:rsidR="005C7A66" w:rsidRPr="005C7A66" w:rsidRDefault="005C7A66" w:rsidP="005C7A66">
            <w:pPr>
              <w:widowControl/>
              <w:autoSpaceDE/>
              <w:autoSpaceDN/>
              <w:adjustRightInd/>
              <w:spacing w:line="276" w:lineRule="auto"/>
              <w:jc w:val="left"/>
              <w:rPr>
                <w:rFonts w:eastAsia="Calibri" w:cs="Times New Roman"/>
                <w:color w:val="000000"/>
                <w:sz w:val="22"/>
                <w:szCs w:val="22"/>
                <w:lang w:eastAsia="en-US"/>
              </w:rPr>
            </w:pPr>
            <w:r w:rsidRPr="005C7A66">
              <w:rPr>
                <w:rFonts w:eastAsia="Calibri" w:cs="Times New Roman"/>
                <w:color w:val="000000"/>
                <w:sz w:val="22"/>
                <w:szCs w:val="22"/>
                <w:lang w:eastAsia="en-US"/>
              </w:rPr>
              <w:t xml:space="preserve">Wykres nr 1: Porównanie danych nt. kosztów udogodnień dla osób niepełnosprawnych [zł/h]. </w:t>
            </w:r>
          </w:p>
          <w:p w:rsidR="005C7A66" w:rsidRPr="005C7A66" w:rsidRDefault="005C7A66" w:rsidP="005C7A66">
            <w:pPr>
              <w:widowControl/>
              <w:autoSpaceDE/>
              <w:autoSpaceDN/>
              <w:adjustRightInd/>
              <w:spacing w:line="240" w:lineRule="auto"/>
              <w:jc w:val="center"/>
              <w:rPr>
                <w:rFonts w:eastAsia="Calibri" w:cs="Times New Roman"/>
                <w:b/>
                <w:sz w:val="22"/>
                <w:szCs w:val="22"/>
              </w:rPr>
            </w:pPr>
            <w:r w:rsidRPr="005C7A66">
              <w:rPr>
                <w:rFonts w:ascii="Calibri" w:eastAsia="Calibri" w:hAnsi="Calibri" w:cs="Times New Roman"/>
                <w:noProof/>
                <w:sz w:val="22"/>
                <w:szCs w:val="22"/>
              </w:rPr>
              <w:drawing>
                <wp:inline distT="0" distB="0" distL="0" distR="0" wp14:anchorId="14A74C47" wp14:editId="7125F750">
                  <wp:extent cx="5283200" cy="2184400"/>
                  <wp:effectExtent l="0" t="0" r="12700" b="2540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lang w:val="en-US"/>
              </w:rPr>
            </w:pPr>
            <w:r w:rsidRPr="005C7A66">
              <w:rPr>
                <w:rFonts w:eastAsia="Calibri" w:cs="Times New Roman"/>
                <w:color w:val="000000"/>
                <w:sz w:val="18"/>
                <w:szCs w:val="18"/>
                <w:lang w:val="en-US" w:eastAsia="en-US"/>
              </w:rPr>
              <w:t xml:space="preserve">  </w:t>
            </w:r>
            <w:proofErr w:type="spellStart"/>
            <w:r w:rsidRPr="005C7A66">
              <w:rPr>
                <w:rFonts w:eastAsia="Calibri" w:cs="Times New Roman"/>
                <w:color w:val="000000"/>
                <w:sz w:val="18"/>
                <w:szCs w:val="18"/>
                <w:lang w:val="en-US" w:eastAsia="en-US"/>
              </w:rPr>
              <w:t>Źródło</w:t>
            </w:r>
            <w:proofErr w:type="spellEnd"/>
            <w:r w:rsidRPr="005C7A66">
              <w:rPr>
                <w:rFonts w:eastAsia="Calibri" w:cs="Times New Roman"/>
                <w:color w:val="000000"/>
                <w:sz w:val="18"/>
                <w:szCs w:val="18"/>
                <w:lang w:val="en-US" w:eastAsia="en-US"/>
              </w:rPr>
              <w:t xml:space="preserve">: Dane </w:t>
            </w:r>
            <w:proofErr w:type="spellStart"/>
            <w:r w:rsidRPr="005C7A66">
              <w:rPr>
                <w:rFonts w:eastAsia="Calibri" w:cs="Times New Roman"/>
                <w:color w:val="000000"/>
                <w:sz w:val="18"/>
                <w:szCs w:val="18"/>
                <w:lang w:val="en-US" w:eastAsia="en-US"/>
              </w:rPr>
              <w:t>KRRiT</w:t>
            </w:r>
            <w:proofErr w:type="spellEnd"/>
            <w:r w:rsidRPr="005C7A66">
              <w:rPr>
                <w:rFonts w:eastAsia="Calibri" w:cs="Times New Roman"/>
                <w:color w:val="000000"/>
                <w:sz w:val="18"/>
                <w:szCs w:val="18"/>
                <w:lang w:val="en-US" w:eastAsia="en-US"/>
              </w:rPr>
              <w:t xml:space="preserve">, </w:t>
            </w:r>
            <w:r w:rsidRPr="005C7A66">
              <w:rPr>
                <w:rFonts w:eastAsia="Times New Roman" w:cs="Times New Roman"/>
                <w:color w:val="000000"/>
                <w:sz w:val="18"/>
                <w:szCs w:val="18"/>
                <w:lang w:val="en-US"/>
              </w:rPr>
              <w:t xml:space="preserve">Impact Assessment do </w:t>
            </w:r>
            <w:proofErr w:type="spellStart"/>
            <w:r w:rsidRPr="005C7A66">
              <w:rPr>
                <w:rFonts w:eastAsia="Times New Roman" w:cs="Times New Roman"/>
                <w:color w:val="000000"/>
                <w:sz w:val="18"/>
                <w:szCs w:val="18"/>
                <w:lang w:val="en-US"/>
              </w:rPr>
              <w:t>Dyrektywy</w:t>
            </w:r>
            <w:proofErr w:type="spellEnd"/>
            <w:r w:rsidRPr="005C7A66">
              <w:rPr>
                <w:rFonts w:eastAsia="Times New Roman" w:cs="Times New Roman"/>
                <w:color w:val="000000"/>
                <w:sz w:val="18"/>
                <w:szCs w:val="18"/>
                <w:lang w:val="en-US"/>
              </w:rPr>
              <w:t xml:space="preserve"> 2010/13/EU; Visionary Analytics.</w:t>
            </w:r>
          </w:p>
          <w:p w:rsidR="005C7A66" w:rsidRPr="005C7A66" w:rsidRDefault="005C7A66" w:rsidP="005C7A66">
            <w:pPr>
              <w:widowControl/>
              <w:autoSpaceDE/>
              <w:autoSpaceDN/>
              <w:adjustRightInd/>
              <w:spacing w:line="240" w:lineRule="auto"/>
              <w:rPr>
                <w:rFonts w:eastAsia="Calibri" w:cs="Times New Roman"/>
                <w:color w:val="000000"/>
                <w:sz w:val="22"/>
                <w:szCs w:val="22"/>
                <w:lang w:val="en-US"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Na podstawie przedstawionych danych można stwierdzić, że koszty udogodnień prezentowane przez Komisję Europejską oraz KRRiT charakteryzują się dużą rozpiętością. Z uwagi na to, że czynnik ten, obok liczby godzin audycji jakie musi wyemitować nadawca telewizyjny, aby spełnić wymóg projektowanej regulacji, ma kluczowy wpływ na dokładność rachunków.     </w:t>
            </w:r>
          </w:p>
          <w:p w:rsidR="005C7A66" w:rsidRPr="005C7A66" w:rsidRDefault="005C7A66" w:rsidP="005C7A66">
            <w:pPr>
              <w:widowControl/>
              <w:autoSpaceDE/>
              <w:autoSpaceDN/>
              <w:adjustRightInd/>
              <w:spacing w:line="240" w:lineRule="auto"/>
              <w:rPr>
                <w:rFonts w:eastAsia="Calibri" w:cs="Times New Roman"/>
                <w:b/>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b/>
                <w:color w:val="000000"/>
                <w:sz w:val="22"/>
                <w:szCs w:val="22"/>
                <w:lang w:eastAsia="en-US"/>
              </w:rPr>
            </w:pPr>
            <w:r w:rsidRPr="005C7A66">
              <w:rPr>
                <w:rFonts w:eastAsia="Calibri" w:cs="Times New Roman"/>
                <w:b/>
                <w:color w:val="000000"/>
                <w:sz w:val="22"/>
                <w:szCs w:val="22"/>
                <w:lang w:eastAsia="en-US"/>
              </w:rPr>
              <w:t xml:space="preserve">Wyniki symulacji kosztów dodatkowych nadawania programów z udogodnieniami.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W poniższych tabelach o nr 3-6 zostały przedstawione wyniki symulacji kosztów dodatkowych jakie będą musieli ponieść nadawcy telewizyjni do 2022 r., aby spełnić wymogi projektowanej ustawy. Dane te prezentują sumę kosztów dodatkowych tj. kosztów, które oprócz już obecnie ponoszonych (w związku z koniecznością wypełniania warunku emitowania co najmniej 10%  kwartalnego czasu nadawania programów z udogodnieniami dla osób niepełnosprawnych), poniosą nadawcy w celu wypełnienia wyższego wymogu nałożonego w projektowanej regulacji.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Obliczenia zostały sporządzone na podstawie danych przedstawionych przez KRRiT dla poszczególnych kosztów udogodnień przyjętych na poziomie minimalnym: koszty napisów 260 zł/h, języka migowego 280 zł/h oraz </w:t>
            </w:r>
            <w:proofErr w:type="spellStart"/>
            <w:r w:rsidRPr="005C7A66">
              <w:rPr>
                <w:rFonts w:eastAsia="Calibri" w:cs="Times New Roman"/>
                <w:color w:val="000000"/>
                <w:sz w:val="22"/>
                <w:szCs w:val="22"/>
                <w:lang w:eastAsia="en-US"/>
              </w:rPr>
              <w:t>audiodeskrypcji</w:t>
            </w:r>
            <w:proofErr w:type="spellEnd"/>
            <w:r w:rsidRPr="005C7A66">
              <w:rPr>
                <w:rFonts w:eastAsia="Calibri" w:cs="Times New Roman"/>
                <w:color w:val="000000"/>
                <w:sz w:val="22"/>
                <w:szCs w:val="22"/>
                <w:lang w:eastAsia="en-US"/>
              </w:rPr>
              <w:t xml:space="preserve"> 2000zł/h. Ponadto przyjęto założenie, że z uwagi na wysoki koszt </w:t>
            </w:r>
            <w:proofErr w:type="spellStart"/>
            <w:r w:rsidRPr="005C7A66">
              <w:rPr>
                <w:rFonts w:eastAsia="Calibri" w:cs="Times New Roman"/>
                <w:color w:val="000000"/>
                <w:sz w:val="22"/>
                <w:szCs w:val="22"/>
                <w:lang w:eastAsia="en-US"/>
              </w:rPr>
              <w:t>audiodeskrypcji</w:t>
            </w:r>
            <w:proofErr w:type="spellEnd"/>
            <w:r w:rsidRPr="005C7A66">
              <w:rPr>
                <w:rFonts w:eastAsia="Calibri" w:cs="Times New Roman"/>
                <w:color w:val="000000"/>
                <w:sz w:val="22"/>
                <w:szCs w:val="22"/>
                <w:lang w:eastAsia="en-US"/>
              </w:rPr>
              <w:t xml:space="preserve"> nadawcy będą stosowali przede wszystkim napisy lub język migowy. W celu policzenia średniego ważonego kosztu sporządzania udogodnień przyjęto następujące udziały poszczególnych rodzajów udogodnień: napisy 47,5%, język migowy 47,5%, </w:t>
            </w:r>
            <w:proofErr w:type="spellStart"/>
            <w:r w:rsidRPr="005C7A66">
              <w:rPr>
                <w:rFonts w:eastAsia="Calibri" w:cs="Times New Roman"/>
                <w:color w:val="000000"/>
                <w:sz w:val="22"/>
                <w:szCs w:val="22"/>
                <w:lang w:eastAsia="en-US"/>
              </w:rPr>
              <w:t>audiodeskrypcja</w:t>
            </w:r>
            <w:proofErr w:type="spellEnd"/>
            <w:r w:rsidRPr="005C7A66">
              <w:rPr>
                <w:rFonts w:eastAsia="Calibri" w:cs="Times New Roman"/>
                <w:color w:val="000000"/>
                <w:sz w:val="22"/>
                <w:szCs w:val="22"/>
                <w:lang w:eastAsia="en-US"/>
              </w:rPr>
              <w:t xml:space="preserve"> 5%.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Z uwagi na duże różnice kosztów udogodnień, rodzaje programów telewizyjnych, przedstawione wyniki zostały powinny być traktowane jako symulacja prezentująca orientacyjne dodatkowe koszty nadawców telewizyjnych niż dokładne rachunki potencjalnych zwiększonych kosztów nadawania poszczególnych programów.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rPr>
                <w:rFonts w:eastAsia="Times New Roman" w:cs="Times New Roman"/>
                <w:color w:val="000000"/>
                <w:sz w:val="18"/>
                <w:szCs w:val="18"/>
              </w:rPr>
            </w:pPr>
            <w:r w:rsidRPr="005C7A66">
              <w:rPr>
                <w:rFonts w:eastAsia="Calibri" w:cs="Times New Roman"/>
                <w:color w:val="000000"/>
                <w:sz w:val="22"/>
                <w:szCs w:val="22"/>
                <w:lang w:eastAsia="en-US"/>
              </w:rPr>
              <w:t xml:space="preserve">   </w:t>
            </w:r>
            <w:r w:rsidRPr="005C7A66">
              <w:rPr>
                <w:rFonts w:eastAsia="Times New Roman" w:cs="Times New Roman"/>
                <w:color w:val="000000"/>
                <w:sz w:val="18"/>
                <w:szCs w:val="18"/>
              </w:rPr>
              <w:t xml:space="preserve"> </w:t>
            </w: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nr 3: Symulacja dodatkowych kosztów wynikających z konieczności spełnienia wymogu ustawy nadawania programów z udogodnieniami dla osób niepełnosprawnych dla programów nadawanych przez Polsat.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lang w:val="en-US"/>
              </w:rPr>
            </w:pPr>
            <w:r w:rsidRPr="005C7A66">
              <w:rPr>
                <w:rFonts w:eastAsia="Times New Roman" w:cs="Times New Roman"/>
                <w:noProof/>
                <w:color w:val="000000"/>
                <w:sz w:val="18"/>
                <w:szCs w:val="18"/>
              </w:rPr>
              <w:lastRenderedPageBreak/>
              <w:drawing>
                <wp:inline distT="0" distB="0" distL="0" distR="0" wp14:anchorId="588DA8C1" wp14:editId="4D8FD525">
                  <wp:extent cx="5375275" cy="1844675"/>
                  <wp:effectExtent l="0" t="0" r="0" b="317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5275" cy="1844675"/>
                          </a:xfrm>
                          <a:prstGeom prst="rect">
                            <a:avLst/>
                          </a:prstGeom>
                          <a:noFill/>
                          <a:ln>
                            <a:noFill/>
                          </a:ln>
                        </pic:spPr>
                      </pic:pic>
                    </a:graphicData>
                  </a:graphic>
                </wp:inline>
              </w:drawing>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r w:rsidRPr="005C7A66">
              <w:rPr>
                <w:rFonts w:eastAsia="Times New Roman" w:cs="Times New Roman"/>
                <w:color w:val="000000"/>
                <w:sz w:val="18"/>
                <w:szCs w:val="18"/>
                <w:u w:val="single"/>
              </w:rPr>
              <w:t>Źródło</w:t>
            </w:r>
            <w:r w:rsidRPr="005C7A66">
              <w:rPr>
                <w:rFonts w:eastAsia="Times New Roman" w:cs="Times New Roman"/>
                <w:color w:val="000000"/>
                <w:sz w:val="18"/>
                <w:szCs w:val="18"/>
              </w:rPr>
              <w:t xml:space="preserve">: Dane KRRiT nt. udziału programów z udogodnieniami w IV. kw. 2016 r., obliczenia własne. </w:t>
            </w: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nr 4: Symulacja dodatkowych kosztów wynikających z konieczności spełnienia wymogu ustawy nadawania programów z udogodnieniami dla osób niepełnosprawnych dla programów nadawanych przez TVN, TV4, TV6 i Nickelodeon Polska.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lang w:val="en-US"/>
              </w:rPr>
            </w:pPr>
            <w:r w:rsidRPr="005C7A66">
              <w:rPr>
                <w:rFonts w:eastAsia="Times New Roman" w:cs="Times New Roman"/>
                <w:noProof/>
                <w:color w:val="000000"/>
                <w:sz w:val="18"/>
                <w:szCs w:val="18"/>
              </w:rPr>
              <w:drawing>
                <wp:inline distT="0" distB="0" distL="0" distR="0" wp14:anchorId="21F0CEE6" wp14:editId="2E3E1AF5">
                  <wp:extent cx="5375275" cy="1654175"/>
                  <wp:effectExtent l="0" t="0" r="0" b="317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5275" cy="1654175"/>
                          </a:xfrm>
                          <a:prstGeom prst="rect">
                            <a:avLst/>
                          </a:prstGeom>
                          <a:noFill/>
                          <a:ln>
                            <a:noFill/>
                          </a:ln>
                        </pic:spPr>
                      </pic:pic>
                    </a:graphicData>
                  </a:graphic>
                </wp:inline>
              </w:drawing>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r w:rsidRPr="005C7A66">
              <w:rPr>
                <w:rFonts w:eastAsia="Times New Roman" w:cs="Times New Roman"/>
                <w:color w:val="000000"/>
                <w:sz w:val="18"/>
                <w:szCs w:val="18"/>
                <w:u w:val="single"/>
              </w:rPr>
              <w:t>Źródło</w:t>
            </w:r>
            <w:r w:rsidRPr="005C7A66">
              <w:rPr>
                <w:rFonts w:eastAsia="Times New Roman" w:cs="Times New Roman"/>
                <w:color w:val="000000"/>
                <w:sz w:val="18"/>
                <w:szCs w:val="18"/>
              </w:rPr>
              <w:t xml:space="preserve">: Dane KRRiT nt. udziału programów z udogodnieniami w IV. kw. 2016 r., obliczenia własne. </w:t>
            </w: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nr 5: Symulacja dodatkowych kosztów wynikających z konieczności spełnienia wymogu ustawy nadawania programów z udogodnieniami dla osób niepełnosprawnych dla programów nadawanych przez. TVP, Puls, Fokus.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lang w:val="en-US"/>
              </w:rPr>
            </w:pPr>
            <w:r w:rsidRPr="005C7A66">
              <w:rPr>
                <w:rFonts w:eastAsia="Times New Roman" w:cs="Times New Roman"/>
                <w:noProof/>
                <w:color w:val="000000"/>
                <w:sz w:val="18"/>
                <w:szCs w:val="18"/>
              </w:rPr>
              <w:drawing>
                <wp:inline distT="0" distB="0" distL="0" distR="0" wp14:anchorId="1F9CF4D5" wp14:editId="63696253">
                  <wp:extent cx="5375275" cy="244094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75275" cy="2440940"/>
                          </a:xfrm>
                          <a:prstGeom prst="rect">
                            <a:avLst/>
                          </a:prstGeom>
                          <a:noFill/>
                          <a:ln>
                            <a:noFill/>
                          </a:ln>
                        </pic:spPr>
                      </pic:pic>
                    </a:graphicData>
                  </a:graphic>
                </wp:inline>
              </w:drawing>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r w:rsidRPr="005C7A66">
              <w:rPr>
                <w:rFonts w:eastAsia="Times New Roman" w:cs="Times New Roman"/>
                <w:color w:val="000000"/>
                <w:sz w:val="18"/>
                <w:szCs w:val="18"/>
                <w:u w:val="single"/>
              </w:rPr>
              <w:t>Źródło</w:t>
            </w:r>
            <w:r w:rsidRPr="005C7A66">
              <w:rPr>
                <w:rFonts w:eastAsia="Times New Roman" w:cs="Times New Roman"/>
                <w:color w:val="000000"/>
                <w:sz w:val="18"/>
                <w:szCs w:val="18"/>
              </w:rPr>
              <w:t xml:space="preserve">: Dane KRRiT nt. udziału programów z udogodnieniami w IV. kw. 2016 r., obliczenia własne.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p>
          <w:p w:rsidR="005C7A66" w:rsidRPr="005C7A66" w:rsidRDefault="005C7A66" w:rsidP="005C7A66">
            <w:pPr>
              <w:widowControl/>
              <w:autoSpaceDE/>
              <w:autoSpaceDN/>
              <w:adjustRightInd/>
              <w:spacing w:line="240" w:lineRule="auto"/>
              <w:jc w:val="left"/>
              <w:rPr>
                <w:rFonts w:eastAsia="Times New Roman" w:cs="Times New Roman"/>
                <w:color w:val="000000"/>
                <w:sz w:val="22"/>
                <w:szCs w:val="22"/>
              </w:rPr>
            </w:pPr>
            <w:r w:rsidRPr="005C7A66">
              <w:rPr>
                <w:rFonts w:eastAsia="Times New Roman" w:cs="Times New Roman"/>
                <w:color w:val="000000"/>
                <w:sz w:val="22"/>
                <w:szCs w:val="22"/>
              </w:rPr>
              <w:t xml:space="preserve">Tabela nr 6: Symulacja dodatkowych kosztów wynikających z konieczności spełnienia wymogu ustawy nadawania programów z udogodnieniami dla osób niepełnosprawnych dla programów nadawanych przez pozostałych nadawców.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r w:rsidRPr="005C7A66">
              <w:rPr>
                <w:rFonts w:eastAsia="Times New Roman" w:cs="Times New Roman"/>
                <w:noProof/>
                <w:color w:val="000000"/>
                <w:sz w:val="18"/>
                <w:szCs w:val="18"/>
              </w:rPr>
              <w:lastRenderedPageBreak/>
              <w:drawing>
                <wp:inline distT="0" distB="0" distL="0" distR="0" wp14:anchorId="5CEDE6EA" wp14:editId="2DC073E7">
                  <wp:extent cx="5384800" cy="2895600"/>
                  <wp:effectExtent l="0" t="0" r="635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4800" cy="2895600"/>
                          </a:xfrm>
                          <a:prstGeom prst="rect">
                            <a:avLst/>
                          </a:prstGeom>
                          <a:noFill/>
                          <a:ln>
                            <a:noFill/>
                          </a:ln>
                        </pic:spPr>
                      </pic:pic>
                    </a:graphicData>
                  </a:graphic>
                </wp:inline>
              </w:drawing>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r w:rsidRPr="005C7A66">
              <w:rPr>
                <w:rFonts w:eastAsia="Times New Roman" w:cs="Times New Roman"/>
                <w:color w:val="000000"/>
                <w:sz w:val="18"/>
                <w:szCs w:val="18"/>
                <w:u w:val="single"/>
              </w:rPr>
              <w:t>Źródło</w:t>
            </w:r>
            <w:r w:rsidRPr="005C7A66">
              <w:rPr>
                <w:rFonts w:eastAsia="Times New Roman" w:cs="Times New Roman"/>
                <w:color w:val="000000"/>
                <w:sz w:val="18"/>
                <w:szCs w:val="18"/>
              </w:rPr>
              <w:t xml:space="preserve">: Dane KRRiT nt. udziału programów z udogodnieniami w IV. kw. 2016 r., obliczenia własne. </w:t>
            </w:r>
          </w:p>
          <w:p w:rsidR="005C7A66" w:rsidRPr="005C7A66" w:rsidRDefault="005C7A66" w:rsidP="005C7A66">
            <w:pPr>
              <w:widowControl/>
              <w:autoSpaceDE/>
              <w:autoSpaceDN/>
              <w:adjustRightInd/>
              <w:spacing w:line="276" w:lineRule="auto"/>
              <w:jc w:val="left"/>
              <w:rPr>
                <w:rFonts w:eastAsia="Times New Roman" w:cs="Times New Roman"/>
                <w:color w:val="000000"/>
                <w:sz w:val="18"/>
                <w:szCs w:val="18"/>
              </w:rPr>
            </w:pPr>
          </w:p>
          <w:p w:rsidR="005C7A66" w:rsidRPr="005C7A66" w:rsidRDefault="005C7A66" w:rsidP="005C7A66">
            <w:pPr>
              <w:widowControl/>
              <w:autoSpaceDE/>
              <w:autoSpaceDN/>
              <w:adjustRightInd/>
              <w:spacing w:line="240" w:lineRule="auto"/>
              <w:rPr>
                <w:rFonts w:eastAsia="Calibri" w:cs="Times New Roman"/>
                <w:color w:val="000000"/>
                <w:sz w:val="21"/>
                <w:szCs w:val="21"/>
                <w:lang w:eastAsia="en-US"/>
              </w:rPr>
            </w:pPr>
          </w:p>
        </w:tc>
      </w:tr>
      <w:tr w:rsidR="005C7A66" w:rsidRPr="005C7A66" w:rsidTr="00424D0B">
        <w:trPr>
          <w:gridAfter w:val="1"/>
          <w:wAfter w:w="10" w:type="dxa"/>
          <w:trHeight w:val="342"/>
        </w:trPr>
        <w:tc>
          <w:tcPr>
            <w:tcW w:w="10937" w:type="dxa"/>
            <w:gridSpan w:val="26"/>
            <w:shd w:val="clear" w:color="auto" w:fill="99CCFF"/>
            <w:vAlign w:val="center"/>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z w:val="22"/>
                <w:szCs w:val="22"/>
                <w:lang w:eastAsia="en-US"/>
              </w:rPr>
              <w:lastRenderedPageBreak/>
              <w:t xml:space="preserve"> Zmiana obciążeń regulacyjnych (w tym obowiązków informacyjnych) wynikających z projektu</w:t>
            </w:r>
          </w:p>
        </w:tc>
      </w:tr>
      <w:tr w:rsidR="005C7A66" w:rsidRPr="005C7A66" w:rsidTr="00424D0B">
        <w:trPr>
          <w:gridAfter w:val="1"/>
          <w:wAfter w:w="10" w:type="dxa"/>
          <w:trHeight w:val="630"/>
        </w:trPr>
        <w:tc>
          <w:tcPr>
            <w:tcW w:w="10937" w:type="dxa"/>
            <w:gridSpan w:val="26"/>
            <w:shd w:val="clear" w:color="auto" w:fill="FFFFFF"/>
          </w:tcPr>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Przedmiotowa regulacja nie wpłynie na zmianę obciążeń regulacyjnych.</w:t>
            </w: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5C7A66">
              <w:rPr>
                <w:rFonts w:eastAsia="Calibri" w:cs="Times New Roman"/>
                <w:b/>
                <w:color w:val="000000"/>
                <w:sz w:val="22"/>
                <w:szCs w:val="22"/>
                <w:lang w:eastAsia="en-US"/>
              </w:rPr>
              <w:t xml:space="preserve">Wpływ na rynek pracy </w:t>
            </w:r>
          </w:p>
        </w:tc>
      </w:tr>
      <w:tr w:rsidR="005C7A66" w:rsidRPr="005C7A66" w:rsidTr="00424D0B">
        <w:trPr>
          <w:gridAfter w:val="1"/>
          <w:wAfter w:w="10" w:type="dxa"/>
          <w:trHeight w:val="142"/>
        </w:trPr>
        <w:tc>
          <w:tcPr>
            <w:tcW w:w="10937" w:type="dxa"/>
            <w:gridSpan w:val="26"/>
            <w:shd w:val="clear" w:color="auto" w:fill="auto"/>
          </w:tcPr>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r w:rsidRPr="005C7A66">
              <w:rPr>
                <w:rFonts w:eastAsia="Calibri" w:cs="Times New Roman"/>
                <w:color w:val="000000"/>
                <w:sz w:val="22"/>
                <w:szCs w:val="22"/>
                <w:lang w:eastAsia="en-US"/>
              </w:rPr>
              <w:t xml:space="preserve">Projektowana regulacja nie wpłynie generalnie na rynek pracy może natomiast oddziaływać na wąski segment rynku generując popyt na specjalistów posiadających kwalifikacje umożliwiające świadczenie pracy polegającej na realizacji programów z udogodnieniami dla osób niepełnosprawnych. </w:t>
            </w:r>
          </w:p>
          <w:p w:rsidR="005C7A66" w:rsidRPr="005C7A66" w:rsidRDefault="005C7A66" w:rsidP="005C7A66">
            <w:pPr>
              <w:widowControl/>
              <w:autoSpaceDE/>
              <w:autoSpaceDN/>
              <w:adjustRightInd/>
              <w:spacing w:line="240" w:lineRule="auto"/>
              <w:rPr>
                <w:rFonts w:eastAsia="Calibri" w:cs="Times New Roman"/>
                <w:color w:val="000000"/>
                <w:sz w:val="22"/>
                <w:szCs w:val="22"/>
                <w:lang w:eastAsia="en-US"/>
              </w:rPr>
            </w:pP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5C7A66">
              <w:rPr>
                <w:rFonts w:eastAsia="Calibri" w:cs="Times New Roman"/>
                <w:b/>
                <w:color w:val="000000"/>
                <w:sz w:val="22"/>
                <w:szCs w:val="22"/>
                <w:lang w:eastAsia="en-US"/>
              </w:rPr>
              <w:t>Wpływ na pozostałe obszary</w:t>
            </w:r>
          </w:p>
        </w:tc>
      </w:tr>
      <w:tr w:rsidR="005C7A66" w:rsidRPr="005C7A66" w:rsidTr="00424D0B">
        <w:trPr>
          <w:gridAfter w:val="1"/>
          <w:wAfter w:w="10" w:type="dxa"/>
          <w:trHeight w:val="712"/>
        </w:trPr>
        <w:tc>
          <w:tcPr>
            <w:tcW w:w="2243" w:type="dxa"/>
            <w:gridSpan w:val="2"/>
            <w:shd w:val="clear" w:color="auto" w:fill="FFFFFF"/>
            <w:vAlign w:val="center"/>
          </w:tcPr>
          <w:p w:rsidR="005C7A66" w:rsidRPr="005C7A66" w:rsidRDefault="005C7A66" w:rsidP="005C7A66">
            <w:pPr>
              <w:widowControl/>
              <w:autoSpaceDE/>
              <w:autoSpaceDN/>
              <w:adjustRightInd/>
              <w:spacing w:line="240" w:lineRule="auto"/>
              <w:jc w:val="left"/>
              <w:rPr>
                <w:rFonts w:eastAsia="Calibri" w:cs="Times New Roman"/>
                <w:color w:val="000000"/>
                <w:sz w:val="22"/>
                <w:szCs w:val="22"/>
                <w:lang w:eastAsia="en-US"/>
              </w:rPr>
            </w:pPr>
            <w:r w:rsidRPr="005C7A66">
              <w:rPr>
                <w:rFonts w:eastAsia="Calibri" w:cs="Times New Roman"/>
                <w:color w:val="000000"/>
                <w:sz w:val="22"/>
                <w:szCs w:val="22"/>
                <w:lang w:eastAsia="en-US"/>
              </w:rPr>
              <w:t>Omówienie wpływu</w:t>
            </w:r>
          </w:p>
        </w:tc>
        <w:tc>
          <w:tcPr>
            <w:tcW w:w="8694" w:type="dxa"/>
            <w:gridSpan w:val="24"/>
            <w:shd w:val="clear" w:color="auto" w:fill="FFFFFF"/>
            <w:vAlign w:val="center"/>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Brak wpływu.</w:t>
            </w: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5C7A66">
              <w:rPr>
                <w:rFonts w:eastAsia="Calibri" w:cs="Times New Roman"/>
                <w:b/>
                <w:spacing w:val="-2"/>
                <w:sz w:val="21"/>
                <w:szCs w:val="21"/>
                <w:lang w:eastAsia="en-US"/>
              </w:rPr>
              <w:t>Planowane wykonanie przepisów aktu prawnego</w:t>
            </w:r>
          </w:p>
        </w:tc>
      </w:tr>
      <w:tr w:rsidR="005C7A66" w:rsidRPr="005C7A66" w:rsidTr="00424D0B">
        <w:trPr>
          <w:gridAfter w:val="1"/>
          <w:wAfter w:w="10" w:type="dxa"/>
          <w:trHeight w:val="142"/>
        </w:trPr>
        <w:tc>
          <w:tcPr>
            <w:tcW w:w="10937" w:type="dxa"/>
            <w:gridSpan w:val="26"/>
            <w:shd w:val="clear" w:color="auto" w:fill="FFFFFF"/>
          </w:tcPr>
          <w:p w:rsidR="005C7A66" w:rsidRPr="005C7A66" w:rsidRDefault="005C7A66" w:rsidP="005C7A66">
            <w:pPr>
              <w:widowControl/>
              <w:autoSpaceDE/>
              <w:autoSpaceDN/>
              <w:adjustRightInd/>
              <w:spacing w:line="240" w:lineRule="auto"/>
              <w:rPr>
                <w:rFonts w:eastAsia="Calibri" w:cs="Times New Roman"/>
                <w:spacing w:val="-2"/>
                <w:sz w:val="22"/>
                <w:szCs w:val="22"/>
                <w:lang w:eastAsia="en-US"/>
              </w:rPr>
            </w:pPr>
          </w:p>
          <w:p w:rsidR="005C7A66" w:rsidRPr="005C7A66" w:rsidRDefault="005C7A66" w:rsidP="005C7A66">
            <w:pPr>
              <w:widowControl/>
              <w:autoSpaceDE/>
              <w:autoSpaceDN/>
              <w:adjustRightInd/>
              <w:spacing w:line="240" w:lineRule="auto"/>
              <w:rPr>
                <w:rFonts w:eastAsia="Calibri" w:cs="Times New Roman"/>
                <w:spacing w:val="-2"/>
                <w:sz w:val="22"/>
                <w:szCs w:val="22"/>
                <w:lang w:eastAsia="en-US"/>
              </w:rPr>
            </w:pPr>
            <w:r w:rsidRPr="005C7A66">
              <w:rPr>
                <w:rFonts w:eastAsia="Calibri" w:cs="Times New Roman"/>
                <w:spacing w:val="-2"/>
                <w:sz w:val="22"/>
                <w:szCs w:val="22"/>
                <w:lang w:eastAsia="en-US"/>
              </w:rPr>
              <w:t>Przepisy projektu będą miały zastosowanie od dnia 1 stycznia 2018 r.</w:t>
            </w:r>
          </w:p>
          <w:p w:rsidR="005C7A66" w:rsidRPr="005C7A66" w:rsidRDefault="005C7A66" w:rsidP="005C7A66">
            <w:pPr>
              <w:widowControl/>
              <w:autoSpaceDE/>
              <w:autoSpaceDN/>
              <w:adjustRightInd/>
              <w:spacing w:line="240" w:lineRule="auto"/>
              <w:rPr>
                <w:rFonts w:eastAsia="Calibri" w:cs="Times New Roman"/>
                <w:spacing w:val="-2"/>
                <w:sz w:val="22"/>
                <w:szCs w:val="22"/>
                <w:lang w:eastAsia="en-US"/>
              </w:rPr>
            </w:pPr>
          </w:p>
          <w:p w:rsidR="005C7A66" w:rsidRPr="005C7A66" w:rsidRDefault="005C7A66" w:rsidP="005C7A66">
            <w:pPr>
              <w:widowControl/>
              <w:autoSpaceDE/>
              <w:autoSpaceDN/>
              <w:adjustRightInd/>
              <w:spacing w:line="240" w:lineRule="auto"/>
              <w:rPr>
                <w:rFonts w:eastAsia="Calibri" w:cs="Times New Roman"/>
                <w:spacing w:val="-2"/>
                <w:sz w:val="22"/>
                <w:szCs w:val="22"/>
                <w:lang w:eastAsia="en-US"/>
              </w:rPr>
            </w:pP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C7A66">
              <w:rPr>
                <w:rFonts w:eastAsia="Calibri" w:cs="Times New Roman"/>
                <w:b/>
                <w:color w:val="000000"/>
                <w:sz w:val="22"/>
                <w:szCs w:val="22"/>
                <w:lang w:eastAsia="en-US"/>
              </w:rPr>
              <w:t xml:space="preserve"> </w:t>
            </w:r>
            <w:r w:rsidRPr="005C7A66">
              <w:rPr>
                <w:rFonts w:eastAsia="Calibri" w:cs="Times New Roman"/>
                <w:b/>
                <w:spacing w:val="-2"/>
                <w:sz w:val="21"/>
                <w:szCs w:val="21"/>
                <w:lang w:eastAsia="en-US"/>
              </w:rPr>
              <w:t>W jaki sposób i kiedy nastąpi ewaluacja efektów projektu oraz jakie mierniki zostaną zastosowane?</w:t>
            </w:r>
          </w:p>
        </w:tc>
      </w:tr>
      <w:tr w:rsidR="005C7A66" w:rsidRPr="005C7A66" w:rsidTr="00424D0B">
        <w:trPr>
          <w:gridAfter w:val="1"/>
          <w:wAfter w:w="10" w:type="dxa"/>
          <w:trHeight w:val="142"/>
        </w:trPr>
        <w:tc>
          <w:tcPr>
            <w:tcW w:w="10937" w:type="dxa"/>
            <w:gridSpan w:val="26"/>
            <w:shd w:val="clear" w:color="auto" w:fill="FFFFFF"/>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 xml:space="preserve">Ewaluacja efektów projektu powinna polegać na analizie stopnia </w:t>
            </w:r>
            <w:r w:rsidRPr="005C7A66">
              <w:rPr>
                <w:rFonts w:eastAsia="Calibri" w:cs="Times New Roman"/>
                <w:color w:val="000000"/>
                <w:sz w:val="22"/>
                <w:szCs w:val="22"/>
                <w:lang w:eastAsia="en-US"/>
              </w:rPr>
              <w:t>dostępności programów telewizyjnych dla osób niepełnosprawnych</w:t>
            </w:r>
            <w:r w:rsidRPr="005C7A66">
              <w:rPr>
                <w:rFonts w:eastAsia="Calibri" w:cs="Times New Roman"/>
                <w:color w:val="000000"/>
                <w:spacing w:val="-2"/>
                <w:sz w:val="22"/>
                <w:szCs w:val="22"/>
                <w:lang w:eastAsia="en-US"/>
              </w:rPr>
              <w:t xml:space="preserve"> w zestawieniu z kosztem poniesionym w celu spełnienia wymogów ustawowych. Z uwagi na stopniowe zwiększanie wymogu udziału programów telewizyjnych z udogodnieniami dla osób niepełnosprawnych  ewaluacja powinna być dokonywana w okresach rocznych do 2022 roku.  </w:t>
            </w:r>
          </w:p>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p>
        </w:tc>
      </w:tr>
      <w:tr w:rsidR="005C7A66" w:rsidRPr="005C7A66" w:rsidTr="00424D0B">
        <w:trPr>
          <w:gridAfter w:val="1"/>
          <w:wAfter w:w="10" w:type="dxa"/>
          <w:trHeight w:val="142"/>
        </w:trPr>
        <w:tc>
          <w:tcPr>
            <w:tcW w:w="10937" w:type="dxa"/>
            <w:gridSpan w:val="26"/>
            <w:shd w:val="clear" w:color="auto" w:fill="99CCFF"/>
          </w:tcPr>
          <w:p w:rsidR="005C7A66" w:rsidRPr="005C7A66" w:rsidRDefault="005C7A66" w:rsidP="005C7A66">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5C7A66">
              <w:rPr>
                <w:rFonts w:eastAsia="Calibri" w:cs="Times New Roman"/>
                <w:b/>
                <w:color w:val="000000"/>
                <w:spacing w:val="-2"/>
                <w:sz w:val="22"/>
                <w:szCs w:val="22"/>
                <w:lang w:eastAsia="en-US"/>
              </w:rPr>
              <w:t xml:space="preserve">Załączniki </w:t>
            </w:r>
            <w:r w:rsidRPr="005C7A66">
              <w:rPr>
                <w:rFonts w:eastAsia="Calibri" w:cs="Times New Roman"/>
                <w:b/>
                <w:spacing w:val="-2"/>
                <w:sz w:val="21"/>
                <w:szCs w:val="21"/>
                <w:lang w:eastAsia="en-US"/>
              </w:rPr>
              <w:t>(istotne dokumenty źródłowe, badania, analizy itp.</w:t>
            </w:r>
            <w:r w:rsidRPr="005C7A66">
              <w:rPr>
                <w:rFonts w:eastAsia="Calibri" w:cs="Times New Roman"/>
                <w:b/>
                <w:color w:val="000000"/>
                <w:spacing w:val="-2"/>
                <w:sz w:val="22"/>
                <w:szCs w:val="22"/>
                <w:lang w:eastAsia="en-US"/>
              </w:rPr>
              <w:t xml:space="preserve">) </w:t>
            </w:r>
          </w:p>
        </w:tc>
      </w:tr>
      <w:tr w:rsidR="005C7A66" w:rsidRPr="005C7A66" w:rsidTr="00424D0B">
        <w:trPr>
          <w:gridAfter w:val="1"/>
          <w:wAfter w:w="10" w:type="dxa"/>
          <w:trHeight w:val="142"/>
        </w:trPr>
        <w:tc>
          <w:tcPr>
            <w:tcW w:w="10937" w:type="dxa"/>
            <w:gridSpan w:val="26"/>
            <w:shd w:val="clear" w:color="auto" w:fill="FFFFFF"/>
          </w:tcPr>
          <w:p w:rsidR="005C7A66" w:rsidRPr="005C7A66" w:rsidRDefault="005C7A66" w:rsidP="005C7A66">
            <w:pPr>
              <w:widowControl/>
              <w:autoSpaceDE/>
              <w:autoSpaceDN/>
              <w:adjustRightInd/>
              <w:spacing w:line="240" w:lineRule="auto"/>
              <w:rPr>
                <w:rFonts w:eastAsia="Calibri" w:cs="Times New Roman"/>
                <w:color w:val="000000"/>
                <w:spacing w:val="-2"/>
                <w:sz w:val="22"/>
                <w:szCs w:val="22"/>
                <w:lang w:eastAsia="en-US"/>
              </w:rPr>
            </w:pPr>
            <w:r w:rsidRPr="005C7A66">
              <w:rPr>
                <w:rFonts w:eastAsia="Calibri" w:cs="Times New Roman"/>
                <w:color w:val="000000"/>
                <w:spacing w:val="-2"/>
                <w:sz w:val="22"/>
                <w:szCs w:val="22"/>
                <w:lang w:eastAsia="en-US"/>
              </w:rPr>
              <w:t>Brak załączników.</w:t>
            </w:r>
          </w:p>
        </w:tc>
      </w:tr>
    </w:tbl>
    <w:p w:rsidR="005C7A66" w:rsidRPr="005C7A66" w:rsidRDefault="005C7A66" w:rsidP="001031B0">
      <w:pPr>
        <w:keepNext/>
        <w:widowControl/>
        <w:autoSpaceDE/>
        <w:autoSpaceDN/>
        <w:adjustRightInd/>
        <w:spacing w:before="240" w:after="60" w:line="240" w:lineRule="auto"/>
        <w:outlineLvl w:val="0"/>
        <w:rPr>
          <w:rFonts w:eastAsia="Times New Roman"/>
          <w:b/>
          <w:bCs/>
          <w:kern w:val="32"/>
          <w:sz w:val="20"/>
        </w:rPr>
      </w:pPr>
      <w:r w:rsidRPr="005C7A66">
        <w:rPr>
          <w:rFonts w:eastAsia="Times New Roman"/>
          <w:b/>
          <w:bCs/>
          <w:kern w:val="32"/>
          <w:sz w:val="20"/>
        </w:rPr>
        <w:t xml:space="preserve"> </w:t>
      </w:r>
    </w:p>
    <w:p w:rsidR="000B2B1E" w:rsidRPr="001B342E" w:rsidRDefault="000B2B1E" w:rsidP="00C70646"/>
    <w:sectPr w:rsidR="000B2B1E" w:rsidRPr="001B342E" w:rsidSect="0069599F">
      <w:headerReference w:type="default" r:id="rId23"/>
      <w:pgSz w:w="11906" w:h="16838"/>
      <w:pgMar w:top="124" w:right="707" w:bottom="568" w:left="720" w:header="132" w:footer="1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9C7" w:rsidRDefault="00DB79C7">
      <w:r>
        <w:separator/>
      </w:r>
    </w:p>
  </w:endnote>
  <w:endnote w:type="continuationSeparator" w:id="0">
    <w:p w:rsidR="00DB79C7" w:rsidRDefault="00DB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9C7" w:rsidRDefault="00DB79C7">
      <w:r>
        <w:separator/>
      </w:r>
    </w:p>
  </w:footnote>
  <w:footnote w:type="continuationSeparator" w:id="0">
    <w:p w:rsidR="00DB79C7" w:rsidRDefault="00DB79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688" w:rsidRDefault="00776688">
    <w:pPr>
      <w:pStyle w:val="Nagwek"/>
      <w:jc w:val="center"/>
    </w:pPr>
    <w:r>
      <w:t xml:space="preserve">- </w:t>
    </w:r>
    <w:sdt>
      <w:sdtPr>
        <w:id w:val="-2021845269"/>
        <w:docPartObj>
          <w:docPartGallery w:val="Page Numbers (Top of Page)"/>
          <w:docPartUnique/>
        </w:docPartObj>
      </w:sdtPr>
      <w:sdtEndPr/>
      <w:sdtContent>
        <w:r>
          <w:fldChar w:fldCharType="begin"/>
        </w:r>
        <w:r>
          <w:instrText>PAGE   \* MERGEFORMAT</w:instrText>
        </w:r>
        <w:r>
          <w:fldChar w:fldCharType="separate"/>
        </w:r>
        <w:r w:rsidR="00754CC4">
          <w:rPr>
            <w:noProof/>
          </w:rPr>
          <w:t>8</w:t>
        </w:r>
        <w:r>
          <w:fldChar w:fldCharType="end"/>
        </w:r>
        <w:r>
          <w:t xml:space="preserve"> -</w:t>
        </w:r>
      </w:sdtContent>
    </w:sdt>
  </w:p>
  <w:p w:rsidR="00CC3E3D" w:rsidRPr="005C7A66" w:rsidRDefault="00754CC4" w:rsidP="005C7A66">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30" w:rsidRPr="005C7A66" w:rsidRDefault="00507930" w:rsidP="005C7A6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83F3305"/>
    <w:multiLevelType w:val="hybridMultilevel"/>
    <w:tmpl w:val="F222B6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5"/>
  </w:num>
  <w:num w:numId="7">
    <w:abstractNumId w:val="39"/>
  </w:num>
  <w:num w:numId="8">
    <w:abstractNumId w:val="35"/>
  </w:num>
  <w:num w:numId="9">
    <w:abstractNumId w:val="39"/>
  </w:num>
  <w:num w:numId="10">
    <w:abstractNumId w:val="35"/>
  </w:num>
  <w:num w:numId="11">
    <w:abstractNumId w:val="15"/>
  </w:num>
  <w:num w:numId="12">
    <w:abstractNumId w:val="11"/>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7"/>
  </w:num>
  <w:num w:numId="29">
    <w:abstractNumId w:val="40"/>
  </w:num>
  <w:num w:numId="30">
    <w:abstractNumId w:val="36"/>
  </w:num>
  <w:num w:numId="31">
    <w:abstractNumId w:val="20"/>
  </w:num>
  <w:num w:numId="32">
    <w:abstractNumId w:val="12"/>
  </w:num>
  <w:num w:numId="33">
    <w:abstractNumId w:val="34"/>
  </w:num>
  <w:num w:numId="34">
    <w:abstractNumId w:val="21"/>
  </w:num>
  <w:num w:numId="35">
    <w:abstractNumId w:val="18"/>
  </w:num>
  <w:num w:numId="36">
    <w:abstractNumId w:val="23"/>
  </w:num>
  <w:num w:numId="37">
    <w:abstractNumId w:val="29"/>
  </w:num>
  <w:num w:numId="38">
    <w:abstractNumId w:val="26"/>
  </w:num>
  <w:num w:numId="39">
    <w:abstractNumId w:val="14"/>
  </w:num>
  <w:num w:numId="40">
    <w:abstractNumId w:val="32"/>
  </w:num>
  <w:num w:numId="41">
    <w:abstractNumId w:val="30"/>
  </w:num>
  <w:num w:numId="42">
    <w:abstractNumId w:val="22"/>
  </w:num>
  <w:num w:numId="43">
    <w:abstractNumId w:val="38"/>
  </w:num>
  <w:num w:numId="44">
    <w:abstractNumId w:val="13"/>
  </w:num>
  <w:num w:numId="45">
    <w:abstractNumId w:val="31"/>
  </w:num>
  <w:num w:numId="46">
    <w:abstractNumId w:val="10"/>
  </w:num>
  <w:num w:numId="47">
    <w:abstractNumId w:val="25"/>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C7"/>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2B1E"/>
    <w:rsid w:val="000B5B2D"/>
    <w:rsid w:val="000B5DCE"/>
    <w:rsid w:val="000C05BA"/>
    <w:rsid w:val="000C0E8F"/>
    <w:rsid w:val="000D318A"/>
    <w:rsid w:val="000D6173"/>
    <w:rsid w:val="000E25CC"/>
    <w:rsid w:val="000E72BC"/>
    <w:rsid w:val="000F3D0D"/>
    <w:rsid w:val="000F6ED4"/>
    <w:rsid w:val="000F7A6E"/>
    <w:rsid w:val="0010104E"/>
    <w:rsid w:val="00101307"/>
    <w:rsid w:val="001031B0"/>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22D0"/>
    <w:rsid w:val="001E4E0C"/>
    <w:rsid w:val="001E526D"/>
    <w:rsid w:val="001F220F"/>
    <w:rsid w:val="001F6616"/>
    <w:rsid w:val="00202BD4"/>
    <w:rsid w:val="00204A97"/>
    <w:rsid w:val="002114EF"/>
    <w:rsid w:val="002166AD"/>
    <w:rsid w:val="00217871"/>
    <w:rsid w:val="00221ED8"/>
    <w:rsid w:val="00223FDF"/>
    <w:rsid w:val="002279C0"/>
    <w:rsid w:val="00242081"/>
    <w:rsid w:val="00245919"/>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061"/>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07930"/>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C7A6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599F"/>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4CC4"/>
    <w:rsid w:val="00757B4F"/>
    <w:rsid w:val="0076260A"/>
    <w:rsid w:val="00764A67"/>
    <w:rsid w:val="00770F6B"/>
    <w:rsid w:val="00771883"/>
    <w:rsid w:val="00776688"/>
    <w:rsid w:val="00776DC2"/>
    <w:rsid w:val="00780122"/>
    <w:rsid w:val="0078214B"/>
    <w:rsid w:val="00792207"/>
    <w:rsid w:val="00792B64"/>
    <w:rsid w:val="00792E29"/>
    <w:rsid w:val="007A351F"/>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1A36"/>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605EB"/>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B79C7"/>
    <w:rsid w:val="00DC1C6B"/>
    <w:rsid w:val="00DC2C2E"/>
    <w:rsid w:val="00DC4AF0"/>
    <w:rsid w:val="00DC7886"/>
    <w:rsid w:val="00DD0CF2"/>
    <w:rsid w:val="00DE1554"/>
    <w:rsid w:val="00DE590F"/>
    <w:rsid w:val="00DE7DC1"/>
    <w:rsid w:val="00DF5A29"/>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07AA9"/>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B2B1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semiHidden/>
    <w:unhideWhenUsed/>
    <w:rsid w:val="000B2B1E"/>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0B2B1E"/>
    <w:rPr>
      <w:rFonts w:ascii="Times New Roman" w:hAnsi="Times New Roman"/>
      <w:szCs w:val="20"/>
    </w:rPr>
  </w:style>
  <w:style w:type="character" w:customStyle="1" w:styleId="Ppogrubienie">
    <w:name w:val="_P_ – pogrubienie"/>
    <w:basedOn w:val="Domylnaczcionkaakapitu"/>
    <w:uiPriority w:val="1"/>
    <w:qFormat/>
    <w:rsid w:val="003B0061"/>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B2B1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semiHidden/>
    <w:unhideWhenUsed/>
    <w:rsid w:val="000B2B1E"/>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0B2B1E"/>
    <w:rPr>
      <w:rFonts w:ascii="Times New Roman" w:hAnsi="Times New Roman"/>
      <w:szCs w:val="20"/>
    </w:rPr>
  </w:style>
  <w:style w:type="character" w:customStyle="1" w:styleId="Ppogrubienie">
    <w:name w:val="_P_ – pogrubienie"/>
    <w:basedOn w:val="Domylnaczcionkaakapitu"/>
    <w:uiPriority w:val="1"/>
    <w:qFormat/>
    <w:rsid w:val="003B006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1.xml"/><Relationship Id="rId3" Type="http://schemas.microsoft.com/office/2007/relationships/stylesWithEffects" Target="stylesWithEffect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dlabproject/eu" TargetMode="External"/><Relationship Id="rId20"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gov.pl/cps/rde/xbcr/gus/ZO_stan%20zdrowia_2009.pdf" TargetMode="Externa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SEN1A\U1\UG\BL\BIURO\OSR\OSR%20-%20formularze\366%20-%20t&#322;umaczenie%20program&#243;w%20na%20j&#281;z%20migowy\Obliczenia.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0351302241066"/>
          <c:y val="0.12209302325581395"/>
          <c:w val="0.83152256208358566"/>
          <c:h val="0.64020646401757919"/>
        </c:manualLayout>
      </c:layout>
      <c:barChart>
        <c:barDir val="col"/>
        <c:grouping val="clustered"/>
        <c:varyColors val="0"/>
        <c:ser>
          <c:idx val="0"/>
          <c:order val="0"/>
          <c:tx>
            <c:strRef>
              <c:f>'dane KE'!$D$77</c:f>
              <c:strCache>
                <c:ptCount val="1"/>
                <c:pt idx="0">
                  <c:v>Komisja Europejska min </c:v>
                </c:pt>
              </c:strCache>
            </c:strRef>
          </c:tx>
          <c:invertIfNegative val="0"/>
          <c:dLbls>
            <c:showLegendKey val="0"/>
            <c:showVal val="1"/>
            <c:showCatName val="0"/>
            <c:showSerName val="0"/>
            <c:showPercent val="0"/>
            <c:showBubbleSize val="0"/>
            <c:showLeaderLines val="0"/>
          </c:dLbls>
          <c:cat>
            <c:strRef>
              <c:f>'dane KE'!$E$76:$G$76</c:f>
              <c:strCache>
                <c:ptCount val="3"/>
                <c:pt idx="0">
                  <c:v>napisów </c:v>
                </c:pt>
                <c:pt idx="1">
                  <c:v>języka migowego</c:v>
                </c:pt>
                <c:pt idx="2">
                  <c:v>audiodeskrypcja</c:v>
                </c:pt>
              </c:strCache>
            </c:strRef>
          </c:cat>
          <c:val>
            <c:numRef>
              <c:f>'dane KE'!$E$77:$G$77</c:f>
              <c:numCache>
                <c:formatCode>General</c:formatCode>
                <c:ptCount val="3"/>
                <c:pt idx="0">
                  <c:v>212</c:v>
                </c:pt>
                <c:pt idx="1">
                  <c:v>635</c:v>
                </c:pt>
                <c:pt idx="2">
                  <c:v>932</c:v>
                </c:pt>
              </c:numCache>
            </c:numRef>
          </c:val>
        </c:ser>
        <c:ser>
          <c:idx val="1"/>
          <c:order val="1"/>
          <c:tx>
            <c:strRef>
              <c:f>'dane KE'!$D$78</c:f>
              <c:strCache>
                <c:ptCount val="1"/>
                <c:pt idx="0">
                  <c:v>Komisja Europejska max</c:v>
                </c:pt>
              </c:strCache>
            </c:strRef>
          </c:tx>
          <c:spPr>
            <a:solidFill>
              <a:schemeClr val="tx2">
                <a:lumMod val="60000"/>
                <a:lumOff val="40000"/>
              </a:schemeClr>
            </a:solidFill>
          </c:spPr>
          <c:invertIfNegative val="0"/>
          <c:dLbls>
            <c:showLegendKey val="0"/>
            <c:showVal val="1"/>
            <c:showCatName val="0"/>
            <c:showSerName val="0"/>
            <c:showPercent val="0"/>
            <c:showBubbleSize val="0"/>
            <c:showLeaderLines val="0"/>
          </c:dLbls>
          <c:cat>
            <c:strRef>
              <c:f>'dane KE'!$E$76:$G$76</c:f>
              <c:strCache>
                <c:ptCount val="3"/>
                <c:pt idx="0">
                  <c:v>napisów </c:v>
                </c:pt>
                <c:pt idx="1">
                  <c:v>języka migowego</c:v>
                </c:pt>
                <c:pt idx="2">
                  <c:v>audiodeskrypcja</c:v>
                </c:pt>
              </c:strCache>
            </c:strRef>
          </c:cat>
          <c:val>
            <c:numRef>
              <c:f>'dane KE'!$E$78:$G$78</c:f>
              <c:numCache>
                <c:formatCode>General</c:formatCode>
                <c:ptCount val="3"/>
                <c:pt idx="0">
                  <c:v>2117</c:v>
                </c:pt>
                <c:pt idx="1">
                  <c:v>3642</c:v>
                </c:pt>
                <c:pt idx="2">
                  <c:v>2795</c:v>
                </c:pt>
              </c:numCache>
            </c:numRef>
          </c:val>
        </c:ser>
        <c:ser>
          <c:idx val="2"/>
          <c:order val="2"/>
          <c:tx>
            <c:strRef>
              <c:f>'dane KE'!$D$79</c:f>
              <c:strCache>
                <c:ptCount val="1"/>
                <c:pt idx="0">
                  <c:v>KRRiT min </c:v>
                </c:pt>
              </c:strCache>
            </c:strRef>
          </c:tx>
          <c:spPr>
            <a:solidFill>
              <a:schemeClr val="accent6">
                <a:lumMod val="20000"/>
                <a:lumOff val="80000"/>
              </a:schemeClr>
            </a:solidFill>
          </c:spPr>
          <c:invertIfNegative val="0"/>
          <c:dLbls>
            <c:showLegendKey val="0"/>
            <c:showVal val="1"/>
            <c:showCatName val="0"/>
            <c:showSerName val="0"/>
            <c:showPercent val="0"/>
            <c:showBubbleSize val="0"/>
            <c:showLeaderLines val="0"/>
          </c:dLbls>
          <c:cat>
            <c:strRef>
              <c:f>'dane KE'!$E$76:$G$76</c:f>
              <c:strCache>
                <c:ptCount val="3"/>
                <c:pt idx="0">
                  <c:v>napisów </c:v>
                </c:pt>
                <c:pt idx="1">
                  <c:v>języka migowego</c:v>
                </c:pt>
                <c:pt idx="2">
                  <c:v>audiodeskrypcja</c:v>
                </c:pt>
              </c:strCache>
            </c:strRef>
          </c:cat>
          <c:val>
            <c:numRef>
              <c:f>'dane KE'!$E$79:$G$79</c:f>
              <c:numCache>
                <c:formatCode>General</c:formatCode>
                <c:ptCount val="3"/>
                <c:pt idx="0">
                  <c:v>260</c:v>
                </c:pt>
                <c:pt idx="1">
                  <c:v>280</c:v>
                </c:pt>
                <c:pt idx="2">
                  <c:v>2000</c:v>
                </c:pt>
              </c:numCache>
            </c:numRef>
          </c:val>
        </c:ser>
        <c:ser>
          <c:idx val="3"/>
          <c:order val="3"/>
          <c:tx>
            <c:strRef>
              <c:f>'dane KE'!$D$80</c:f>
              <c:strCache>
                <c:ptCount val="1"/>
                <c:pt idx="0">
                  <c:v>KRRiT max</c:v>
                </c:pt>
              </c:strCache>
            </c:strRef>
          </c:tx>
          <c:spPr>
            <a:solidFill>
              <a:schemeClr val="accent6">
                <a:lumMod val="40000"/>
                <a:lumOff val="60000"/>
              </a:schemeClr>
            </a:solidFill>
          </c:spPr>
          <c:invertIfNegative val="0"/>
          <c:dLbls>
            <c:showLegendKey val="0"/>
            <c:showVal val="1"/>
            <c:showCatName val="0"/>
            <c:showSerName val="0"/>
            <c:showPercent val="0"/>
            <c:showBubbleSize val="0"/>
            <c:showLeaderLines val="0"/>
          </c:dLbls>
          <c:cat>
            <c:strRef>
              <c:f>'dane KE'!$E$76:$G$76</c:f>
              <c:strCache>
                <c:ptCount val="3"/>
                <c:pt idx="0">
                  <c:v>napisów </c:v>
                </c:pt>
                <c:pt idx="1">
                  <c:v>języka migowego</c:v>
                </c:pt>
                <c:pt idx="2">
                  <c:v>audiodeskrypcja</c:v>
                </c:pt>
              </c:strCache>
            </c:strRef>
          </c:cat>
          <c:val>
            <c:numRef>
              <c:f>'dane KE'!$E$80:$G$80</c:f>
              <c:numCache>
                <c:formatCode>General</c:formatCode>
                <c:ptCount val="3"/>
                <c:pt idx="0">
                  <c:v>400</c:v>
                </c:pt>
                <c:pt idx="1">
                  <c:v>1200</c:v>
                </c:pt>
                <c:pt idx="2">
                  <c:v>2500</c:v>
                </c:pt>
              </c:numCache>
            </c:numRef>
          </c:val>
        </c:ser>
        <c:dLbls>
          <c:showLegendKey val="0"/>
          <c:showVal val="0"/>
          <c:showCatName val="0"/>
          <c:showSerName val="0"/>
          <c:showPercent val="0"/>
          <c:showBubbleSize val="0"/>
        </c:dLbls>
        <c:gapWidth val="150"/>
        <c:axId val="47278720"/>
        <c:axId val="47284608"/>
      </c:barChart>
      <c:catAx>
        <c:axId val="47278720"/>
        <c:scaling>
          <c:orientation val="minMax"/>
        </c:scaling>
        <c:delete val="0"/>
        <c:axPos val="b"/>
        <c:majorTickMark val="out"/>
        <c:minorTickMark val="none"/>
        <c:tickLblPos val="nextTo"/>
        <c:crossAx val="47284608"/>
        <c:crosses val="autoZero"/>
        <c:auto val="1"/>
        <c:lblAlgn val="ctr"/>
        <c:lblOffset val="100"/>
        <c:noMultiLvlLbl val="0"/>
      </c:catAx>
      <c:valAx>
        <c:axId val="47284608"/>
        <c:scaling>
          <c:orientation val="minMax"/>
        </c:scaling>
        <c:delete val="0"/>
        <c:axPos val="l"/>
        <c:majorGridlines/>
        <c:title>
          <c:tx>
            <c:rich>
              <a:bodyPr rot="0" vert="horz"/>
              <a:lstStyle/>
              <a:p>
                <a:pPr>
                  <a:defRPr/>
                </a:pPr>
                <a:r>
                  <a:rPr lang="pl-PL"/>
                  <a:t>[zł/h]</a:t>
                </a:r>
              </a:p>
            </c:rich>
          </c:tx>
          <c:overlay val="0"/>
        </c:title>
        <c:numFmt formatCode="General" sourceLinked="1"/>
        <c:majorTickMark val="out"/>
        <c:minorTickMark val="none"/>
        <c:tickLblPos val="nextTo"/>
        <c:crossAx val="47278720"/>
        <c:crosses val="autoZero"/>
        <c:crossBetween val="between"/>
      </c:valAx>
    </c:plotArea>
    <c:legend>
      <c:legendPos val="b"/>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wniesienie</Template>
  <TotalTime>0</TotalTime>
  <Pages>18</Pages>
  <Words>5272</Words>
  <Characters>36076</Characters>
  <Application>Microsoft Office Word</Application>
  <DocSecurity>0</DocSecurity>
  <Lines>300</Lines>
  <Paragraphs>82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2017-05-17T10:07:00Z</cp:lastPrinted>
  <dcterms:created xsi:type="dcterms:W3CDTF">2017-06-07T10:31:00Z</dcterms:created>
  <dcterms:modified xsi:type="dcterms:W3CDTF">2017-06-07T10:31:00Z</dcterms:modified>
</cp:coreProperties>
</file>