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646" w:rsidRDefault="00C70646" w:rsidP="0090354A">
      <w:pPr>
        <w:pStyle w:val="OZNPROJEKTUwskazaniedatylubwersjiprojektu"/>
        <w:spacing w:after="600" w:line="720" w:lineRule="auto"/>
      </w:pPr>
      <w:bookmarkStart w:id="0" w:name="_GoBack"/>
      <w:bookmarkEnd w:id="0"/>
    </w:p>
    <w:p w:rsidR="00C70646" w:rsidRPr="00621566" w:rsidRDefault="00C70646" w:rsidP="007D32C4">
      <w:pPr>
        <w:pStyle w:val="OZNRODZAKTUtznustawalubrozporzdzenieiorganwydajcy"/>
      </w:pPr>
      <w:r w:rsidRPr="00621566">
        <w:t>UCHWAŁA</w:t>
      </w:r>
    </w:p>
    <w:p w:rsidR="00C70646" w:rsidRPr="00621566" w:rsidRDefault="00C70646" w:rsidP="00C70646">
      <w:pPr>
        <w:pStyle w:val="OZNRODZAKTUtznustawalubrozporzdzenieiorganwydajcy"/>
      </w:pPr>
      <w:r w:rsidRPr="00621566">
        <w:t>SENATU RZECZYPOSPOLITEJ POLSKIEJ</w:t>
      </w:r>
    </w:p>
    <w:p w:rsidR="00C70646" w:rsidRPr="00621566" w:rsidRDefault="00C70646" w:rsidP="00C70646">
      <w:pPr>
        <w:pStyle w:val="DATAAKTUdatauchwalenialubwydaniaaktu"/>
      </w:pPr>
      <w:r w:rsidRPr="00621566">
        <w:t xml:space="preserve">z dnia </w:t>
      </w:r>
      <w:r w:rsidR="00F07AA9">
        <w:t>17 maja 2017 r.</w:t>
      </w:r>
    </w:p>
    <w:p w:rsidR="00C70646" w:rsidRPr="00621566" w:rsidRDefault="005067C5" w:rsidP="00C70646">
      <w:pPr>
        <w:pStyle w:val="TYTUAKTUprzedmiotregulacjiustawylubrozporzdzenia"/>
      </w:pPr>
      <w:r>
        <w:t xml:space="preserve">w sprawie </w:t>
      </w:r>
      <w:r w:rsidR="00101307">
        <w:t xml:space="preserve">wniesienia do Sejmu projektu </w:t>
      </w:r>
      <w:r>
        <w:t xml:space="preserve">ustawy </w:t>
      </w:r>
      <w:r w:rsidR="00F07AA9" w:rsidRPr="00F07AA9">
        <w:rPr>
          <w:bCs w:val="0"/>
          <w:sz w:val="23"/>
          <w:szCs w:val="23"/>
        </w:rPr>
        <w:t>o zmianie ustawy o ubezpieczeniach obowiązkowych, Ubezpieczeniowym Funduszu Gwarancyjnym i Polskim Biurze Ubezpieczycieli Komunikacyjnych</w:t>
      </w:r>
    </w:p>
    <w:p w:rsidR="00186E4C" w:rsidRPr="00F07AA9" w:rsidRDefault="00186E4C" w:rsidP="00186E4C">
      <w:pPr>
        <w:pStyle w:val="NIEARTTEKSTtekstnieartykuowanynppreambua"/>
      </w:pPr>
      <w:r w:rsidRPr="005333D2">
        <w:t xml:space="preserve">Na podstawie art. 118 ust. 1 Konstytucji Rzeczypospolitej Polskiej z dnia 2 kwietnia 1997 r., Senat wnosi do Sejmu Rzeczypospolitej Polskiej projekt ustawy </w:t>
      </w:r>
      <w:r w:rsidR="00F07AA9" w:rsidRPr="00F07AA9">
        <w:rPr>
          <w:bCs w:val="0"/>
          <w:sz w:val="23"/>
          <w:szCs w:val="23"/>
        </w:rPr>
        <w:t xml:space="preserve">o zmianie ustawy </w:t>
      </w:r>
      <w:r w:rsidR="00F07AA9">
        <w:rPr>
          <w:bCs w:val="0"/>
          <w:sz w:val="23"/>
          <w:szCs w:val="23"/>
        </w:rPr>
        <w:br/>
      </w:r>
      <w:r w:rsidR="00F07AA9" w:rsidRPr="00F07AA9">
        <w:rPr>
          <w:bCs w:val="0"/>
          <w:sz w:val="23"/>
          <w:szCs w:val="23"/>
        </w:rPr>
        <w:t>o ubezpieczeniach obowiązkowych, Ubezpieczeniowym Funduszu Gwarancyjnym i Polskim Biurze Ubezpieczycieli Komunikacyjnych</w:t>
      </w:r>
      <w:r w:rsidRPr="00F07AA9">
        <w:t>.</w:t>
      </w:r>
    </w:p>
    <w:p w:rsidR="00186E4C" w:rsidRPr="005333D2" w:rsidRDefault="00F07AA9" w:rsidP="00186E4C">
      <w:pPr>
        <w:pStyle w:val="NIEARTTEKSTtekstnieartykuowanynppreambua"/>
      </w:pPr>
      <w:r>
        <w:t>Jednocześnie upoważnia senator</w:t>
      </w:r>
      <w:r w:rsidR="00186E4C" w:rsidRPr="005333D2">
        <w:t xml:space="preserve"> </w:t>
      </w:r>
      <w:r w:rsidRPr="00B275C7">
        <w:rPr>
          <w:rFonts w:cs="Times New Roman"/>
          <w:szCs w:val="24"/>
        </w:rPr>
        <w:t>Lidi</w:t>
      </w:r>
      <w:r>
        <w:rPr>
          <w:rFonts w:cs="Times New Roman"/>
          <w:szCs w:val="24"/>
        </w:rPr>
        <w:t>ę</w:t>
      </w:r>
      <w:r w:rsidRPr="00B275C7">
        <w:t xml:space="preserve"> </w:t>
      </w:r>
      <w:hyperlink r:id="rId9" w:history="1">
        <w:r w:rsidRPr="00B275C7">
          <w:rPr>
            <w:rFonts w:cs="Times New Roman"/>
            <w:szCs w:val="24"/>
          </w:rPr>
          <w:t>Staroń</w:t>
        </w:r>
      </w:hyperlink>
      <w:r w:rsidRPr="00B275C7">
        <w:t xml:space="preserve"> </w:t>
      </w:r>
      <w:r w:rsidR="00186E4C" w:rsidRPr="005333D2">
        <w:t xml:space="preserve"> do reprezentowania Senatu w pracach nad projektem.</w:t>
      </w:r>
    </w:p>
    <w:p w:rsidR="00C70646" w:rsidRPr="00621566" w:rsidRDefault="00C70646" w:rsidP="00C70646"/>
    <w:p w:rsidR="00C70646" w:rsidRDefault="00C70646" w:rsidP="00C70646"/>
    <w:p w:rsidR="000B2B1E" w:rsidRDefault="000B2B1E" w:rsidP="00C70646"/>
    <w:p w:rsidR="000B2B1E" w:rsidRDefault="000B2B1E" w:rsidP="000B2B1E"/>
    <w:p w:rsidR="000B2B1E" w:rsidRDefault="000B2B1E" w:rsidP="000B2B1E">
      <w:pPr>
        <w:pStyle w:val="Tekstpodstawowy"/>
        <w:tabs>
          <w:tab w:val="center" w:pos="6237"/>
        </w:tabs>
        <w:spacing w:line="240" w:lineRule="auto"/>
        <w:ind w:right="-2"/>
        <w:rPr>
          <w:b/>
        </w:rPr>
      </w:pPr>
      <w:r>
        <w:rPr>
          <w:b/>
        </w:rPr>
        <w:tab/>
        <w:t>MARSZAŁEK SENATU</w:t>
      </w:r>
    </w:p>
    <w:p w:rsidR="000B2B1E" w:rsidRDefault="000B2B1E" w:rsidP="000B2B1E">
      <w:pPr>
        <w:pStyle w:val="Tekstpodstawowy"/>
        <w:tabs>
          <w:tab w:val="center" w:pos="6237"/>
        </w:tabs>
        <w:spacing w:line="240" w:lineRule="auto"/>
        <w:rPr>
          <w:b/>
        </w:rPr>
      </w:pPr>
    </w:p>
    <w:p w:rsidR="000B2B1E" w:rsidRDefault="000B2B1E" w:rsidP="000B2B1E">
      <w:pPr>
        <w:pStyle w:val="Tekstpodstawowy"/>
        <w:tabs>
          <w:tab w:val="center" w:pos="6237"/>
        </w:tabs>
        <w:spacing w:line="240" w:lineRule="auto"/>
        <w:rPr>
          <w:b/>
        </w:rPr>
      </w:pPr>
    </w:p>
    <w:p w:rsidR="000B2B1E" w:rsidRDefault="000B2B1E" w:rsidP="000B2B1E">
      <w:pPr>
        <w:pStyle w:val="Tekstpodstawowy"/>
        <w:tabs>
          <w:tab w:val="center" w:pos="6237"/>
        </w:tabs>
        <w:spacing w:line="240" w:lineRule="auto"/>
        <w:rPr>
          <w:b/>
        </w:rPr>
      </w:pPr>
    </w:p>
    <w:p w:rsidR="000B2B1E" w:rsidRDefault="000B2B1E" w:rsidP="000B2B1E">
      <w:pPr>
        <w:pStyle w:val="Tekstpodstawowy"/>
        <w:tabs>
          <w:tab w:val="center" w:pos="6237"/>
        </w:tabs>
        <w:spacing w:line="240" w:lineRule="auto"/>
        <w:ind w:right="-2"/>
        <w:rPr>
          <w:b/>
        </w:rPr>
      </w:pPr>
      <w:r>
        <w:rPr>
          <w:b/>
        </w:rPr>
        <w:tab/>
        <w:t>Stanisław KARCZEWSKI</w:t>
      </w:r>
    </w:p>
    <w:p w:rsidR="000C1037" w:rsidRDefault="000C1037" w:rsidP="00C70646">
      <w:pPr>
        <w:sectPr w:rsidR="000C1037" w:rsidSect="001A7F15">
          <w:headerReference w:type="default" r:id="rId10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:rsidR="000C1037" w:rsidRDefault="000C1037" w:rsidP="00D42A0D">
      <w:pPr>
        <w:pStyle w:val="OZNPROJEKTUwskazaniedatylubwersjiprojektu"/>
      </w:pPr>
      <w:r>
        <w:lastRenderedPageBreak/>
        <w:t>projekt</w:t>
      </w:r>
    </w:p>
    <w:p w:rsidR="000C1037" w:rsidRPr="00E000DC" w:rsidRDefault="000C1037" w:rsidP="004810D7">
      <w:pPr>
        <w:pStyle w:val="OZNRODZAKTUtznustawalubrozporzdzenieiorganwydajcy"/>
      </w:pPr>
      <w:r w:rsidRPr="004810D7">
        <w:t>ustawa</w:t>
      </w:r>
    </w:p>
    <w:p w:rsidR="000C1037" w:rsidRDefault="000C1037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0C1037" w:rsidRDefault="000C1037" w:rsidP="004810D7">
      <w:pPr>
        <w:pStyle w:val="TYTUAKTUprzedmiotregulacjiustawylubrozporzdzenia"/>
      </w:pPr>
      <w:r>
        <w:t xml:space="preserve">o zmianie ustawy </w:t>
      </w:r>
      <w:r w:rsidRPr="005D06AF">
        <w:t>o ubezpieczeniach obowiązkowych, Ubezpieczeniowym Funduszu Gwarancyjnym i Polskim Biurze Ubezpieczycieli Komunikacyjnych</w:t>
      </w:r>
    </w:p>
    <w:p w:rsidR="000C1037" w:rsidRDefault="000C1037" w:rsidP="00F85C03">
      <w:pPr>
        <w:pStyle w:val="ARTartustawynprozporzdzenia"/>
      </w:pPr>
      <w:r w:rsidRPr="00716716">
        <w:rPr>
          <w:rStyle w:val="Ppogrubienie"/>
        </w:rPr>
        <w:t>Art. 1.</w:t>
      </w:r>
      <w:r>
        <w:t xml:space="preserve"> W ustawie z dnia 22</w:t>
      </w:r>
      <w:r w:rsidRPr="005D06AF">
        <w:t xml:space="preserve"> maja 2003 r. o ubezpieczeniach obowiązkowych, Ubezpieczeniowym Funduszu Gwarancyjnym i Polskim Biurze Ubezpieczycieli Komunikacyjnych </w:t>
      </w:r>
      <w:r>
        <w:t>(Dz. U. z 2016 r. poz. 2060</w:t>
      </w:r>
      <w:r w:rsidRPr="001A07F5">
        <w:t xml:space="preserve">) </w:t>
      </w:r>
      <w:r>
        <w:t>wprowadza się następujące zmiany:</w:t>
      </w:r>
    </w:p>
    <w:p w:rsidR="000C1037" w:rsidRDefault="000C1037" w:rsidP="00DB1D05">
      <w:pPr>
        <w:pStyle w:val="PKTpunkt"/>
      </w:pPr>
      <w:r>
        <w:t>1)</w:t>
      </w:r>
      <w:r>
        <w:tab/>
        <w:t>w art. 19 ust. 2 otrzymuje brzmienie:</w:t>
      </w:r>
    </w:p>
    <w:p w:rsidR="000C1037" w:rsidRPr="008D65C3" w:rsidRDefault="000C1037" w:rsidP="008D65C3">
      <w:pPr>
        <w:pStyle w:val="ZUSTzmustartykuempunktem"/>
      </w:pPr>
      <w:r>
        <w:t>„</w:t>
      </w:r>
      <w:r w:rsidRPr="008D65C3">
        <w:t>2. Poszkodowany może dochodzić roszczeń bezpośrednio od Ubezpieczeniowego Funduszu Gwarancyjnego w przypadkach, o których mowa w art. 98 ust. 1, 1a i 2</w:t>
      </w:r>
      <w:r>
        <w:t xml:space="preserve"> oraz w art. 98b ust. 1</w:t>
      </w:r>
      <w:r w:rsidRPr="008D65C3">
        <w:t>.</w:t>
      </w:r>
      <w:r>
        <w:t>”;</w:t>
      </w:r>
    </w:p>
    <w:p w:rsidR="000C1037" w:rsidRPr="001A07F5" w:rsidRDefault="000C1037" w:rsidP="00FC3F60">
      <w:pPr>
        <w:pStyle w:val="PKTpunkt"/>
      </w:pPr>
      <w:r>
        <w:t>2)</w:t>
      </w:r>
      <w:r>
        <w:tab/>
        <w:t>po art. 98a dodaje się art. 98b w brzmieniu</w:t>
      </w:r>
      <w:r w:rsidRPr="001A07F5">
        <w:t>:</w:t>
      </w:r>
    </w:p>
    <w:p w:rsidR="000C1037" w:rsidRDefault="000C1037" w:rsidP="008D65C3">
      <w:pPr>
        <w:pStyle w:val="ZARTzmartartykuempunktem"/>
      </w:pPr>
      <w:r>
        <w:t>„Art. 98b. 1. Do zadań Funduszu należy także zaspokajanie roszczeń o naprawienie szkody na osobie z tytułu umów, o których mowa w art. 4 pkt 1 i 2, w przypadku wyczerpania ustalonej w umowie ubezpieczenia sumy gwarancyjnej, określonej na podstawie przepisów obowiązujących przed dniem wejścia w życie niniejszej ustawy, do wysokości sumy gwarancyjnej, o której mowa w art. 36 ust. 1 albo w art. 52.</w:t>
      </w:r>
    </w:p>
    <w:p w:rsidR="000C1037" w:rsidRDefault="000C1037" w:rsidP="00DD5522">
      <w:pPr>
        <w:pStyle w:val="ZUSTzmustartykuempunktem"/>
      </w:pPr>
      <w:r>
        <w:t>2. Roszczenie, o którym mowa w ust. 1, przysługuje poszkodowanemu oraz obejmuje okres od dnia wyczerpania sumy gwarancyjnej, o której mowa w tym przepisie, jednak nie wcześniej, niż od dnia wejścia w życie niniejszej ustawy.</w:t>
      </w:r>
    </w:p>
    <w:p w:rsidR="000C1037" w:rsidRDefault="000C1037" w:rsidP="00DD5522">
      <w:pPr>
        <w:pStyle w:val="ZUSTzmustartykuempunktem"/>
      </w:pPr>
      <w:r>
        <w:t>3. W przypadku zaspokojenia przez Fundusz roszczenia, o którym mowa w ust. 1, Funduszowi przysługuje do sprawcy szkody roszczenie zwrotne o wypłacone świadczenie.</w:t>
      </w:r>
    </w:p>
    <w:p w:rsidR="000C1037" w:rsidRDefault="000C1037" w:rsidP="00DD5522">
      <w:pPr>
        <w:pStyle w:val="ZUSTzmustartykuempunktem"/>
      </w:pPr>
      <w:r>
        <w:t>4. Roszczenie:</w:t>
      </w:r>
    </w:p>
    <w:p w:rsidR="000C1037" w:rsidRDefault="000C1037" w:rsidP="008A506F">
      <w:pPr>
        <w:pStyle w:val="ZPKTzmpktartykuempunktem"/>
      </w:pPr>
      <w:r>
        <w:t>1)</w:t>
      </w:r>
      <w:r>
        <w:tab/>
        <w:t>o którym mowa w ust. 1, ulega przedawnieniu z</w:t>
      </w:r>
      <w:r w:rsidRPr="00494EBD">
        <w:t xml:space="preserve"> upływem 3 lat od dnia </w:t>
      </w:r>
      <w:r>
        <w:t>wejścia w życie niniejszego przepisu;</w:t>
      </w:r>
    </w:p>
    <w:p w:rsidR="000C1037" w:rsidRDefault="000C1037" w:rsidP="008A506F">
      <w:pPr>
        <w:pStyle w:val="ZPKTzmpktartykuempunktem"/>
      </w:pPr>
      <w:r>
        <w:t>2)</w:t>
      </w:r>
      <w:r>
        <w:tab/>
        <w:t xml:space="preserve">o którym mowa w ust. 3, ulega przedawnieniu </w:t>
      </w:r>
      <w:r w:rsidRPr="008A506F">
        <w:t>na zasadach określonych w</w:t>
      </w:r>
      <w:r>
        <w:t> </w:t>
      </w:r>
      <w:r w:rsidRPr="008A506F">
        <w:t xml:space="preserve">Kodeksie cywilnym, nie wcześniej jednak niż </w:t>
      </w:r>
      <w:r w:rsidRPr="00494EBD">
        <w:t>z upływem 3 lat od dnia spełnienia przez Fundusz świadczenia</w:t>
      </w:r>
      <w:r>
        <w:t>.</w:t>
      </w:r>
    </w:p>
    <w:p w:rsidR="000C1037" w:rsidRDefault="000C1037" w:rsidP="00781260">
      <w:pPr>
        <w:pStyle w:val="ZUSTzmustartykuempunktem"/>
      </w:pPr>
      <w:r>
        <w:lastRenderedPageBreak/>
        <w:t xml:space="preserve">5. </w:t>
      </w:r>
      <w:r w:rsidRPr="00781260">
        <w:t>Bieg przedawnienia ro</w:t>
      </w:r>
      <w:r>
        <w:t>szczenia, o którym mowa w ust. 4 pkt 1</w:t>
      </w:r>
      <w:r w:rsidRPr="00781260">
        <w:t>, przerywa się także przez zgłoszenie Funduszowi tego roszczenia. Bieg przedawnienia rozpoczyna się na nowo od dnia, w którym zgłaszający roszczenie otrzymał na piśmie oświadczenie Funduszu o przyznaniu lub odmowie przyznania świadczenia.</w:t>
      </w:r>
      <w:r>
        <w:t>”;</w:t>
      </w:r>
    </w:p>
    <w:p w:rsidR="000C1037" w:rsidRDefault="000C1037" w:rsidP="000B4679">
      <w:pPr>
        <w:pStyle w:val="PKTpunkt"/>
      </w:pPr>
      <w:r>
        <w:t>3)</w:t>
      </w:r>
      <w:r>
        <w:tab/>
        <w:t>art. 107 otrzymuje brzmienie:</w:t>
      </w:r>
    </w:p>
    <w:p w:rsidR="000C1037" w:rsidRDefault="000C1037" w:rsidP="000B4679">
      <w:pPr>
        <w:pStyle w:val="ZARTzmartartykuempunktem"/>
      </w:pPr>
      <w:r>
        <w:t>„</w:t>
      </w:r>
      <w:r w:rsidRPr="000B4679">
        <w:t>Art. 107.</w:t>
      </w:r>
      <w:r>
        <w:t xml:space="preserve"> </w:t>
      </w:r>
      <w:r w:rsidRPr="000B4679">
        <w:t>Wypłaty z Funduszu, o których mowa w art. 98 ust. 1, 1a i ust. 2 pkt 1</w:t>
      </w:r>
      <w:r>
        <w:t xml:space="preserve"> oraz w art. 98b ust. 1</w:t>
      </w:r>
      <w:r w:rsidRPr="000B4679">
        <w:t>, na rzecz poszkodowanych niebędących podmiotami polskimi i</w:t>
      </w:r>
      <w:r>
        <w:t> </w:t>
      </w:r>
      <w:r w:rsidRPr="000B4679">
        <w:t>podmiotami państw, których biura narodowe są sygnatariuszami Porozumienia Wielostronnego, są dokonywane na zasadzie wzajemności.</w:t>
      </w:r>
      <w:r>
        <w:t>”;</w:t>
      </w:r>
    </w:p>
    <w:p w:rsidR="000C1037" w:rsidRPr="000B4679" w:rsidRDefault="000C1037" w:rsidP="000B4679">
      <w:pPr>
        <w:pStyle w:val="PKTpunkt"/>
      </w:pPr>
      <w:r>
        <w:t>4)</w:t>
      </w:r>
      <w:r>
        <w:tab/>
        <w:t>w art. 109 ust. 1 otrzymuje brzmienie:</w:t>
      </w:r>
    </w:p>
    <w:p w:rsidR="000C1037" w:rsidRPr="00D6727B" w:rsidRDefault="000C1037" w:rsidP="00D6727B">
      <w:pPr>
        <w:pStyle w:val="ZUSTzmustartykuempunktem"/>
      </w:pPr>
      <w:r>
        <w:t>„</w:t>
      </w:r>
      <w:r w:rsidRPr="00D6727B">
        <w:t>1. Fundusz jest obowiązany zaspokoić roszczenie, o którym mowa w art. 98 ust. 1 i 1a oraz w art. 98b ust. 1, w terminie 30 dni, licząc od dnia otrzymania akt szkody od zakładu ubezpieczeń lub syndyka upadłości.</w:t>
      </w:r>
      <w:r>
        <w:t>”;</w:t>
      </w:r>
    </w:p>
    <w:p w:rsidR="000C1037" w:rsidRDefault="000C1037" w:rsidP="00FC3F60">
      <w:pPr>
        <w:pStyle w:val="PKTpunkt"/>
      </w:pPr>
      <w:r>
        <w:t>5)</w:t>
      </w:r>
      <w:r>
        <w:tab/>
        <w:t>w art. 117 ust. 1 otrzymuje brzmienie:</w:t>
      </w:r>
    </w:p>
    <w:p w:rsidR="000C1037" w:rsidRDefault="000C1037" w:rsidP="00220E10">
      <w:pPr>
        <w:pStyle w:val="ZUSTzmustartykuempunktem"/>
      </w:pPr>
      <w:r>
        <w:t>„</w:t>
      </w:r>
      <w:r w:rsidRPr="00220E10">
        <w:t>1. Koszty działalności Funduszu wynikające z realizacji za</w:t>
      </w:r>
      <w:r>
        <w:t xml:space="preserve">dań, o których mowa w art. 98, art. 98b i </w:t>
      </w:r>
      <w:r w:rsidRPr="00220E10">
        <w:t>art. 99, są pokrywane z dochodów Funduszu.</w:t>
      </w:r>
      <w:r>
        <w:t>”.</w:t>
      </w:r>
    </w:p>
    <w:p w:rsidR="000C1037" w:rsidRPr="004810D7" w:rsidRDefault="000C1037" w:rsidP="004810D7">
      <w:pPr>
        <w:pStyle w:val="ARTartustawynprozporzdzenia"/>
      </w:pPr>
      <w:r>
        <w:rPr>
          <w:rStyle w:val="Ppogrubienie"/>
        </w:rPr>
        <w:t>Art. 2</w:t>
      </w:r>
      <w:r w:rsidRPr="00716716">
        <w:rPr>
          <w:rStyle w:val="Ppogrubienie"/>
        </w:rPr>
        <w:t>.</w:t>
      </w:r>
      <w:r>
        <w:t xml:space="preserve"> Ustawa wchodzi w życie po upływie 30 dni od dnia ogłoszenia.</w:t>
      </w:r>
    </w:p>
    <w:p w:rsidR="000C1037" w:rsidRDefault="000C1037" w:rsidP="00C70646">
      <w:pPr>
        <w:sectPr w:rsidR="000C1037" w:rsidSect="000C1037">
          <w:headerReference w:type="default" r:id="rId11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</w:p>
    <w:p w:rsidR="000C1037" w:rsidRPr="0035574B" w:rsidRDefault="000C1037" w:rsidP="0035574B">
      <w:pPr>
        <w:pStyle w:val="OZNRODZAKTUtznustawalubrozporzdzenieiorganwydajcy"/>
      </w:pPr>
      <w:r w:rsidRPr="0035574B">
        <w:lastRenderedPageBreak/>
        <w:t>UZASADNIENIE</w:t>
      </w:r>
    </w:p>
    <w:p w:rsidR="000C1037" w:rsidRPr="0035574B" w:rsidRDefault="000C1037" w:rsidP="0035574B"/>
    <w:p w:rsidR="000C1037" w:rsidRPr="0035574B" w:rsidRDefault="000C1037" w:rsidP="0035574B">
      <w:pPr>
        <w:rPr>
          <w:b/>
        </w:rPr>
      </w:pPr>
      <w:r w:rsidRPr="0035574B">
        <w:rPr>
          <w:b/>
        </w:rPr>
        <w:t>1. Cel projektowanej ustawy</w:t>
      </w:r>
    </w:p>
    <w:p w:rsidR="000C1037" w:rsidRPr="009D15B3" w:rsidRDefault="000C1037" w:rsidP="00804559">
      <w:pPr>
        <w:ind w:firstLine="708"/>
        <w:rPr>
          <w:bCs/>
        </w:rPr>
      </w:pPr>
      <w:r w:rsidRPr="00E17934">
        <w:t xml:space="preserve">Projekt </w:t>
      </w:r>
      <w:r>
        <w:t xml:space="preserve">ustawy </w:t>
      </w:r>
      <w:r w:rsidRPr="00E17934">
        <w:t xml:space="preserve">stanowi realizację </w:t>
      </w:r>
      <w:r>
        <w:t xml:space="preserve">wystąpienia </w:t>
      </w:r>
      <w:r w:rsidRPr="00804559">
        <w:rPr>
          <w:bCs/>
        </w:rPr>
        <w:t>Rzecznika Praw Obywatelskich</w:t>
      </w:r>
      <w:r w:rsidRPr="00804559">
        <w:t xml:space="preserve"> </w:t>
      </w:r>
      <w:r>
        <w:t xml:space="preserve">do Marszałka Senatu z dnia 20 kwietnia 2016 r., dotyczącego </w:t>
      </w:r>
      <w:r w:rsidRPr="007E2ED6">
        <w:rPr>
          <w:bCs/>
          <w:szCs w:val="24"/>
        </w:rPr>
        <w:t>problemu wyczerpywania się sum</w:t>
      </w:r>
      <w:r w:rsidRPr="00804559">
        <w:rPr>
          <w:bCs/>
          <w:sz w:val="22"/>
        </w:rPr>
        <w:t xml:space="preserve"> </w:t>
      </w:r>
      <w:r w:rsidRPr="009D15B3">
        <w:rPr>
          <w:bCs/>
        </w:rPr>
        <w:t>gwarancyjnych w przypadku obowiązkowych ubezpieczeń odpowiedzialności cywilnej posiadaczy pojazdów mechanicznych.</w:t>
      </w:r>
    </w:p>
    <w:p w:rsidR="000C1037" w:rsidRPr="009D15B3" w:rsidRDefault="000C1037" w:rsidP="00804559">
      <w:pPr>
        <w:ind w:firstLine="708"/>
      </w:pPr>
      <w:r w:rsidRPr="009D15B3">
        <w:t>Rzecznik Praw Obywatelskich podjął swoje wystąpienie w związku z napływającymi do jego biura skargami dotyczącymi skutków wyczerpywania sum gwarancyjnych z umów odpowiedzialności cywilnej posiadaczy pojazdów mechanicznych zawartych w latach dziewięćdziesiątych.</w:t>
      </w:r>
    </w:p>
    <w:p w:rsidR="000C1037" w:rsidRPr="009D15B3" w:rsidRDefault="000C1037" w:rsidP="00804559">
      <w:pPr>
        <w:ind w:firstLine="708"/>
        <w:rPr>
          <w:bCs/>
        </w:rPr>
      </w:pPr>
      <w:r w:rsidRPr="009D15B3">
        <w:rPr>
          <w:bCs/>
        </w:rPr>
        <w:t>Pierwotnie, na podstawie § 14 ust. 1 rozporządzenia Ministra Finansów z dnia 18 grudnia 1990 r. w sprawie ogólnych warunków ubezpieczenia odpowiedzialności cywilnej posiadaczy pojazdów mechanicznych</w:t>
      </w:r>
      <w:r w:rsidRPr="009D15B3">
        <w:t xml:space="preserve"> </w:t>
      </w:r>
      <w:r w:rsidRPr="009D15B3">
        <w:rPr>
          <w:bCs/>
        </w:rPr>
        <w:t xml:space="preserve">za szkody powstałe w związku z ruchem tych pojazdów, limit odpowiedzialności cywilnej posiadaczy pojazdów mechanicznych wynosił 7,2 mld złotych (przed denominacją złotego) w odniesieniu do jednego zdarzenia. </w:t>
      </w:r>
    </w:p>
    <w:p w:rsidR="000C1037" w:rsidRPr="009D15B3" w:rsidRDefault="000C1037" w:rsidP="00804559">
      <w:pPr>
        <w:ind w:firstLine="708"/>
        <w:rPr>
          <w:bCs/>
        </w:rPr>
      </w:pPr>
      <w:r w:rsidRPr="009D15B3">
        <w:rPr>
          <w:bCs/>
        </w:rPr>
        <w:t>Kwota ta była w kolejnych latach podwyższana: od dnia 1 stycznia 1993 r. wynosiła 11,5 mld zł (przed denominacją) w odniesieniu do jednego zdarzenia, a od 1 stycznia 1995 r. – równowartość 600 tys. euro w odniesieniu do jednego zdarzenia.</w:t>
      </w:r>
    </w:p>
    <w:p w:rsidR="000C1037" w:rsidRPr="009D15B3" w:rsidRDefault="000C1037" w:rsidP="00804559">
      <w:pPr>
        <w:ind w:firstLine="708"/>
      </w:pPr>
      <w:r w:rsidRPr="009D15B3">
        <w:t xml:space="preserve">Po </w:t>
      </w:r>
      <w:r>
        <w:t>wejściu w życie ustawy z dnia 22</w:t>
      </w:r>
      <w:r w:rsidRPr="009D15B3">
        <w:t xml:space="preserve"> maja 2003 r. o ubezpieczeniach obowiązkowych, Ubezpieczeniowym Funduszu Gwarancyjnym i Polskim Biurze Ubezpieczycieli Komunikacyjnych, suma gwarancyjna w odniesieniu do szkód na osobie wynosiła 350 tys. euro na każdego poszkodowanego, natomiast dla szkód w mieniu – 200 tys. euro na jedno zdarzenie bez względu na liczbę poszkodowanych.</w:t>
      </w:r>
    </w:p>
    <w:p w:rsidR="000C1037" w:rsidRPr="009D15B3" w:rsidRDefault="000C1037" w:rsidP="00804559">
      <w:pPr>
        <w:ind w:firstLine="708"/>
      </w:pPr>
      <w:r w:rsidRPr="009D15B3">
        <w:t>W aktualnym stanie prawnym, zgodnie z art. 36 ust. 1 ustawy o ubezpieczeniach obowiązkowych, Ubezpieczeniowym Funduszu Gwarancyjnym i Polskim Biurze Ubezpieczycieli Komunikacyjnych suma gwarancyjna nie może być niższa niż równowartość w złotych:</w:t>
      </w:r>
    </w:p>
    <w:p w:rsidR="000C1037" w:rsidRPr="009D15B3" w:rsidRDefault="000C1037" w:rsidP="005D3ABF">
      <w:pPr>
        <w:pStyle w:val="PKTpunkt"/>
      </w:pPr>
      <w:r w:rsidRPr="009D15B3">
        <w:t>1)</w:t>
      </w:r>
      <w:r w:rsidRPr="009D15B3">
        <w:tab/>
        <w:t>w przypadku szkód na osobie – 5 mln euro w odniesieniu do jednego zdarzenia, którego skutki są objęte ubezpieczeniem bez względu na liczbę poszkodowanych,</w:t>
      </w:r>
    </w:p>
    <w:p w:rsidR="000C1037" w:rsidRPr="009D15B3" w:rsidRDefault="000C1037" w:rsidP="005D3ABF">
      <w:pPr>
        <w:pStyle w:val="PKTpunkt"/>
      </w:pPr>
      <w:r w:rsidRPr="009D15B3">
        <w:t>2)</w:t>
      </w:r>
      <w:r w:rsidRPr="009D15B3">
        <w:tab/>
        <w:t>w przypadku szkód w mieniu – 1 mln euro w odniesieniu do jednego zdarzenia, którego skutki są objęte ubezpieczeniem bez względu na liczbę poszkodowanych</w:t>
      </w:r>
    </w:p>
    <w:p w:rsidR="000C1037" w:rsidRPr="009D15B3" w:rsidRDefault="000C1037" w:rsidP="009D15B3">
      <w:r w:rsidRPr="009D15B3">
        <w:t xml:space="preserve">- ustalana przy zastosowaniu kursu średniego ogłaszanego przez Narodowy Bank Polski </w:t>
      </w:r>
      <w:r w:rsidRPr="009D15B3">
        <w:lastRenderedPageBreak/>
        <w:t>obowiązującego w dniu wyrządzenia szkody.</w:t>
      </w:r>
    </w:p>
    <w:p w:rsidR="000C1037" w:rsidRPr="009D15B3" w:rsidRDefault="000C1037" w:rsidP="00804559">
      <w:pPr>
        <w:ind w:firstLine="708"/>
      </w:pPr>
      <w:r w:rsidRPr="009D15B3">
        <w:t xml:space="preserve">W ocenie Rzecznika Praw Obywatelskich, mimo systematycznego podwyższania sum gwarancyjnych, wciąż nierozwiązanym pozostaje problem poszkodowanych (przede wszystkim w wypadkach komunikacyjnych), którzy w wyniku długotrwałej choroby lub rehabilitacji wyczerpali środki finansowe pochodzące z odszkodowania ograniczonego do sumy gwarancyjnej. </w:t>
      </w:r>
    </w:p>
    <w:p w:rsidR="000C1037" w:rsidRPr="009D15B3" w:rsidRDefault="000C1037" w:rsidP="00804559">
      <w:pPr>
        <w:ind w:firstLine="708"/>
      </w:pPr>
      <w:r w:rsidRPr="009D15B3">
        <w:t>Dotyczy to w szczególności osób, które uległy wypadkowi w latach dziewięćdziesiątych, ponieważ przyjęte wówczas sumy gwarancyjne były znacznie niższe od obowiązujących obecnie, tak więc ryzyko ich wyczerpania jest znacznie większe</w:t>
      </w:r>
      <w:r>
        <w:t>.</w:t>
      </w:r>
    </w:p>
    <w:p w:rsidR="000C1037" w:rsidRPr="009D15B3" w:rsidRDefault="000C1037" w:rsidP="00804559">
      <w:pPr>
        <w:ind w:firstLine="708"/>
      </w:pPr>
      <w:r w:rsidRPr="009D15B3">
        <w:t xml:space="preserve">Zdaniem Rzecznika należałoby zmierzać do wprowadzenia komplementarnej odpowiedzialności Ubezpieczeniowego Funduszu Gwarancyjnego za szkody na osobie w sytuacjach, gdy wyznaczona suma gwarancyjna uniemożliwia pełne zaspokojenie roszczeń poszkodowanego. </w:t>
      </w:r>
    </w:p>
    <w:p w:rsidR="000C1037" w:rsidRPr="009D15B3" w:rsidRDefault="000C1037" w:rsidP="00804559">
      <w:pPr>
        <w:ind w:firstLine="708"/>
      </w:pPr>
      <w:r w:rsidRPr="009D15B3">
        <w:t>Rzecznik wyraził przy tym opinię, że obciążenie ubezpieczycieli, jako podmiotów finansujących swoimi składkami działalność Ubezpieczeniowego Funduszu Gwarancyjnego, byłoby, mimo nałożenia na Fundusz nowego obowiązku, niewielkie.</w:t>
      </w:r>
    </w:p>
    <w:p w:rsidR="000C1037" w:rsidRPr="00650383" w:rsidRDefault="000C1037" w:rsidP="00650383"/>
    <w:p w:rsidR="000C1037" w:rsidRDefault="000C1037" w:rsidP="004451AD">
      <w:pPr>
        <w:rPr>
          <w:b/>
        </w:rPr>
      </w:pPr>
      <w:r w:rsidRPr="004451AD">
        <w:rPr>
          <w:b/>
        </w:rPr>
        <w:t>2. Różnice między obowiązującym a projektowanym stanem prawnym</w:t>
      </w:r>
    </w:p>
    <w:p w:rsidR="000C1037" w:rsidRPr="00BA7A07" w:rsidRDefault="000C1037" w:rsidP="00CD183C">
      <w:pPr>
        <w:ind w:firstLine="708"/>
      </w:pPr>
      <w:r>
        <w:t>Podniesiony przez Rzecznika Praw Obywatelskich problem wyczerpywania się sum gwarancyjnych dotyczy przede wszystkim ubezpieczonych, którzy doznali szkody na osobie przed dniem wejścia w życie ustawy z dnia 22</w:t>
      </w:r>
      <w:r w:rsidRPr="004501EA">
        <w:t xml:space="preserve"> maja 2003 r. o ubezpieczeniach obowiązkowych, Ubezpieczeniowym Funduszu Gwarancyjnym i Polskim Biurze Ubezpieczycieli Komunikacyjnych</w:t>
      </w:r>
      <w:r>
        <w:t xml:space="preserve">. </w:t>
      </w:r>
    </w:p>
    <w:p w:rsidR="000C1037" w:rsidRDefault="000C1037" w:rsidP="00BA7A07">
      <w:pPr>
        <w:ind w:firstLine="708"/>
      </w:pPr>
      <w:r>
        <w:t xml:space="preserve">Projekt ustawy zmierza do rozszerzenia tej ustawy o nowy art. 98b. </w:t>
      </w:r>
    </w:p>
    <w:p w:rsidR="000C1037" w:rsidRDefault="000C1037" w:rsidP="00BA7A07">
      <w:pPr>
        <w:ind w:firstLine="708"/>
      </w:pPr>
      <w:r>
        <w:t>Przepis ten nałoży na Ubezpieczeniowy Fundusz Gwarancyjny obowiązek zaspokajania</w:t>
      </w:r>
      <w:r w:rsidRPr="00BA7A07">
        <w:t xml:space="preserve"> roszczeń o naprawienie szkody na osobie z tytułu umów</w:t>
      </w:r>
      <w:r>
        <w:t xml:space="preserve"> obowiązkowego ubezpieczenia</w:t>
      </w:r>
      <w:r w:rsidRPr="003C6379">
        <w:rPr>
          <w:rFonts w:ascii="Verdana" w:hAnsi="Verdana" w:cs="Verdana"/>
          <w:sz w:val="20"/>
        </w:rPr>
        <w:t xml:space="preserve"> </w:t>
      </w:r>
      <w:r w:rsidRPr="003C6379">
        <w:rPr>
          <w:rFonts w:cs="Times New Roman"/>
          <w:szCs w:val="24"/>
        </w:rPr>
        <w:t xml:space="preserve">od </w:t>
      </w:r>
      <w:r w:rsidRPr="003C6379">
        <w:t>odpowiedzialności cywilnej posiadaczy pojazdów mechanicznych za szkody powstałe w związku z ruchem tych pojazdów</w:t>
      </w:r>
      <w:r>
        <w:t xml:space="preserve"> oraz od </w:t>
      </w:r>
      <w:r w:rsidRPr="003C6379">
        <w:t>odpowiedzialności cywilnej rolników z tytułu posiadania gospodarstwa rolnego</w:t>
      </w:r>
      <w:r w:rsidRPr="00BA7A07">
        <w:t>, w przypadku wyczerpania ustalonej w umowie ubezpieczenia sumy gwarancyjnej, określonej na podstawie przepisów obowiązujących przed dniem wejścia w życie ustawy</w:t>
      </w:r>
      <w:r>
        <w:t xml:space="preserve"> </w:t>
      </w:r>
      <w:r w:rsidRPr="003C6379">
        <w:t>o ubezpieczeniach obowiązkowych, Ubezpieczeniowym Funduszu Gwarancyjnym i Polskim Biurze Ubezpieczycieli Komunikacyjnych</w:t>
      </w:r>
      <w:r w:rsidRPr="00BA7A07">
        <w:t>, do wysokości sumy gwarancyjnej</w:t>
      </w:r>
      <w:r>
        <w:t xml:space="preserve"> określonej w tej właśnie ustawie</w:t>
      </w:r>
      <w:r w:rsidRPr="00BA7A07">
        <w:t>.</w:t>
      </w:r>
    </w:p>
    <w:p w:rsidR="000C1037" w:rsidRDefault="000C1037" w:rsidP="00BA7A07">
      <w:pPr>
        <w:ind w:firstLine="708"/>
      </w:pPr>
      <w:r>
        <w:lastRenderedPageBreak/>
        <w:t>Projektowany art. 98b ma więc zapobiec skutkom wyczerpania się sumy gwarancyjnej z umów ubezpieczenia zawartych w latach dziewięćdziesiątych, kiedy to minimalna suma gwarancyjna była wielokrotnie niższa od przyjętej aktualnie.</w:t>
      </w:r>
    </w:p>
    <w:p w:rsidR="000C1037" w:rsidRPr="00BA7A07" w:rsidRDefault="000C1037" w:rsidP="00BA7A07">
      <w:pPr>
        <w:ind w:firstLine="708"/>
      </w:pPr>
      <w:r w:rsidRPr="00BA7A07">
        <w:t>Roszczenie</w:t>
      </w:r>
      <w:r>
        <w:t xml:space="preserve"> do Ubezpieczeniowego Funduszu Gwarancyjnego przysługiwałoby </w:t>
      </w:r>
      <w:r w:rsidRPr="00BA7A07">
        <w:t>po</w:t>
      </w:r>
      <w:r>
        <w:t>szkodowanemu oraz obejmowało</w:t>
      </w:r>
      <w:r w:rsidRPr="00BA7A07">
        <w:t xml:space="preserve"> okres od dnia wyczerpania sumy gwarancyjnej, jednak nie wcześniej, niż od dnia wejścia w życie ustawy</w:t>
      </w:r>
      <w:r w:rsidRPr="008266EE">
        <w:t xml:space="preserve"> o ubezpieczeniach obowiązkowych, Ubezpieczeniowym Funduszu Gwarancyjnym i Polskim Biurze Ubezpieczycieli Komunikacyjnych</w:t>
      </w:r>
      <w:r w:rsidRPr="00BA7A07">
        <w:t>.</w:t>
      </w:r>
    </w:p>
    <w:p w:rsidR="000C1037" w:rsidRPr="00BA7A07" w:rsidRDefault="000C1037" w:rsidP="00BA7A07">
      <w:pPr>
        <w:ind w:firstLine="708"/>
      </w:pPr>
      <w:r w:rsidRPr="00BA7A07">
        <w:t xml:space="preserve">W przypadku zaspokojenia przez </w:t>
      </w:r>
      <w:r>
        <w:t xml:space="preserve">Ubezpieczeniowy </w:t>
      </w:r>
      <w:r w:rsidRPr="00BA7A07">
        <w:t xml:space="preserve">Fundusz </w:t>
      </w:r>
      <w:r>
        <w:t xml:space="preserve">Gwarancyjny </w:t>
      </w:r>
      <w:r w:rsidRPr="00BA7A07">
        <w:t>roszczenia</w:t>
      </w:r>
      <w:r>
        <w:t xml:space="preserve"> o naprawienie szkody na osobie</w:t>
      </w:r>
      <w:r w:rsidRPr="00BA7A07">
        <w:t xml:space="preserve">, </w:t>
      </w:r>
      <w:r>
        <w:t xml:space="preserve">miałby on wobec </w:t>
      </w:r>
      <w:r w:rsidRPr="00BA7A07">
        <w:t>sprawcy szkody roszczenie zwrotne o</w:t>
      </w:r>
      <w:r>
        <w:t> </w:t>
      </w:r>
      <w:r w:rsidRPr="00BA7A07">
        <w:t>wypłacone świadczenie.</w:t>
      </w:r>
    </w:p>
    <w:p w:rsidR="000C1037" w:rsidRPr="00BA7A07" w:rsidRDefault="000C1037" w:rsidP="00BA7A07">
      <w:pPr>
        <w:ind w:firstLine="708"/>
        <w:rPr>
          <w:bCs/>
        </w:rPr>
      </w:pPr>
      <w:r>
        <w:t xml:space="preserve">Roszczenie poszkodowanego </w:t>
      </w:r>
      <w:r w:rsidRPr="00EF6CD0">
        <w:t>do Ubezpieczeniowego Funduszu Gwarancyjnego</w:t>
      </w:r>
      <w:r>
        <w:t xml:space="preserve"> </w:t>
      </w:r>
      <w:r w:rsidRPr="00BA7A07">
        <w:rPr>
          <w:bCs/>
        </w:rPr>
        <w:t>ulega</w:t>
      </w:r>
      <w:r>
        <w:rPr>
          <w:bCs/>
        </w:rPr>
        <w:t>łoby</w:t>
      </w:r>
      <w:r w:rsidRPr="00BA7A07">
        <w:rPr>
          <w:bCs/>
        </w:rPr>
        <w:t xml:space="preserve"> przedawnieniu z upływem 3 lat od dnia wejśc</w:t>
      </w:r>
      <w:r>
        <w:rPr>
          <w:bCs/>
        </w:rPr>
        <w:t xml:space="preserve">ia w życie projektowanego art. 98b, natomiast roszczenie zwrotne Funduszu do sprawcy szkody przedawniałoby się </w:t>
      </w:r>
      <w:r w:rsidRPr="00BA7A07">
        <w:rPr>
          <w:bCs/>
        </w:rPr>
        <w:t>na zasadach określonych w Kodeksie cywilnym, nie wcześniej jednak niż z upływem 3 lat od dnia spełnienia przez Fundusz świadczenia.</w:t>
      </w:r>
    </w:p>
    <w:p w:rsidR="000C1037" w:rsidRPr="00BA7A07" w:rsidRDefault="000C1037" w:rsidP="00BA7A07">
      <w:pPr>
        <w:ind w:firstLine="708"/>
      </w:pPr>
      <w:r w:rsidRPr="00BA7A07">
        <w:t>Bieg przedawnienia roszczenia</w:t>
      </w:r>
      <w:r>
        <w:t xml:space="preserve"> poszkodowanego przeciwko </w:t>
      </w:r>
      <w:r w:rsidRPr="00B27F38">
        <w:t>Ubezpieczeniow</w:t>
      </w:r>
      <w:r>
        <w:t>emu Funduszowi</w:t>
      </w:r>
      <w:r w:rsidRPr="00B27F38">
        <w:t xml:space="preserve"> Gwarancyjn</w:t>
      </w:r>
      <w:r>
        <w:t>emu</w:t>
      </w:r>
      <w:r w:rsidRPr="00BA7A07">
        <w:t xml:space="preserve">, </w:t>
      </w:r>
      <w:r>
        <w:t>przerywałoby</w:t>
      </w:r>
      <w:r w:rsidRPr="00BA7A07">
        <w:t xml:space="preserve"> zgłoszenie Funduszowi tego roszczenia. Bieg przedawnienia rozpoczyna</w:t>
      </w:r>
      <w:r>
        <w:t>łby</w:t>
      </w:r>
      <w:r w:rsidRPr="00BA7A07">
        <w:t xml:space="preserve"> się na nowo od dnia, w którym zgłaszający roszczenie otrzymał na piśmie oświadczenie Funduszu o przyznaniu lub o</w:t>
      </w:r>
      <w:r>
        <w:t>dmowie przyznania świadczenia.</w:t>
      </w:r>
    </w:p>
    <w:p w:rsidR="000C1037" w:rsidRDefault="000C1037" w:rsidP="00BA7A07">
      <w:pPr>
        <w:ind w:firstLine="708"/>
      </w:pPr>
      <w:r>
        <w:t>Koszty nowego zadania Funduszu byłyby pokrywane z jego dochodów.</w:t>
      </w:r>
    </w:p>
    <w:p w:rsidR="000C1037" w:rsidRDefault="000C1037" w:rsidP="00BA7A07">
      <w:pPr>
        <w:ind w:firstLine="708"/>
      </w:pPr>
      <w:r>
        <w:t>Modyfikacje art. 19 ust. 2, art. 107, art. 109 ust. 1 oraz art. 117 ust. 1 stanowią konsekwencję rozszerzenia ustawy o art. 98b.</w:t>
      </w:r>
    </w:p>
    <w:p w:rsidR="000C1037" w:rsidRDefault="000C1037" w:rsidP="00BA7A07">
      <w:pPr>
        <w:ind w:firstLine="708"/>
      </w:pPr>
    </w:p>
    <w:p w:rsidR="000C1037" w:rsidRPr="00F93D51" w:rsidRDefault="000C1037" w:rsidP="00F93D51">
      <w:pPr>
        <w:ind w:firstLine="708"/>
        <w:rPr>
          <w:b/>
        </w:rPr>
      </w:pPr>
      <w:r>
        <w:rPr>
          <w:b/>
        </w:rPr>
        <w:t>3. Konsultacje</w:t>
      </w:r>
    </w:p>
    <w:p w:rsidR="000C1037" w:rsidRPr="00F93D51" w:rsidRDefault="000C1037" w:rsidP="00327B04">
      <w:pPr>
        <w:ind w:firstLine="708"/>
      </w:pPr>
      <w:r w:rsidRPr="00F93D51">
        <w:t xml:space="preserve">Projekt ustawy został przesłany do konsultacji: Ministrowi </w:t>
      </w:r>
      <w:r>
        <w:t xml:space="preserve">Rozwoju i </w:t>
      </w:r>
      <w:r w:rsidRPr="00F93D51">
        <w:t>Finansów, Polskiej Izbie Ubezpieczeń, Ubezpieczeniowemu Funduszowi Gwarancyjnemu, Rzecznikowi Finansowemu, Komisji Nadzoru Finansowego, Urzędowi Ochrony Konkurencji i Konsumentów, Powszechnemu Zakładowi Ubezpieczeń S.A. oraz Kancelarii Prezydenta RP.</w:t>
      </w:r>
    </w:p>
    <w:p w:rsidR="000C1037" w:rsidRPr="00F93D51" w:rsidRDefault="000C1037" w:rsidP="00F93D51">
      <w:pPr>
        <w:ind w:firstLine="708"/>
      </w:pPr>
      <w:r w:rsidRPr="00F93D51">
        <w:t xml:space="preserve">Minister </w:t>
      </w:r>
      <w:r>
        <w:t xml:space="preserve">Rozwoju i </w:t>
      </w:r>
      <w:r w:rsidRPr="00F93D51">
        <w:t xml:space="preserve">Finansów oraz Komisja Nadzoru Finansowego uznały, że inicjatywa zasługuje na poparcie, przy czym powinna być przedmiotem dalszych prac (wskazano m.in. na zbyt krótkie </w:t>
      </w:r>
      <w:r w:rsidRPr="00F93D51">
        <w:rPr>
          <w:i/>
        </w:rPr>
        <w:t>vacatio legis</w:t>
      </w:r>
      <w:r w:rsidRPr="00F93D51">
        <w:t>).</w:t>
      </w:r>
    </w:p>
    <w:p w:rsidR="000C1037" w:rsidRPr="00F93D51" w:rsidRDefault="000C1037" w:rsidP="00F93D51">
      <w:pPr>
        <w:ind w:firstLine="708"/>
      </w:pPr>
      <w:r w:rsidRPr="00F93D51">
        <w:t xml:space="preserve">Swoją opinię skierowała do Marszałka Senatu Polska Izba Ubezpieczeń – organ </w:t>
      </w:r>
      <w:r w:rsidRPr="00F93D51">
        <w:lastRenderedPageBreak/>
        <w:t xml:space="preserve">samorządu zakładów ubezpieczeń. Izba wskazała, że na podstawie art. 22 ustawy o ubezpieczeniach obowiązkowych, Ubezpieczeniowym Funduszu Gwarancyjnym i Polskim Biurze Ubezpieczycieli Komunikacyjnych, zakład ubezpieczeń ma obowiązek informowania poszkodowanego lub uprawnionego z umowy ubezpieczenia, o możliwości wyczerpania się określonej w umowie ubezpieczenia sumy gwarancyjnej, w przypadku gdy łączna kwota wypłaconych odszkodowań lub innych świadczeń przekroczy 80% określonej w umowie ubezpieczenia sumy gwarancyjnej. </w:t>
      </w:r>
    </w:p>
    <w:p w:rsidR="000C1037" w:rsidRPr="00F93D51" w:rsidRDefault="000C1037" w:rsidP="00F93D51">
      <w:pPr>
        <w:ind w:firstLine="708"/>
      </w:pPr>
      <w:r w:rsidRPr="00F93D51">
        <w:t>Przekazując informację zakład ubezpieczeń musi jednocześnie poinformować poszkodowanego lub uprawnionego z umowy ubezpieczenia o możliwości wytoczenia powództwa do właściwego sądu o ukształtowanie, na podstawie art. 357</w:t>
      </w:r>
      <w:r w:rsidRPr="00F93D51">
        <w:rPr>
          <w:vertAlign w:val="superscript"/>
        </w:rPr>
        <w:t>1</w:t>
      </w:r>
      <w:r w:rsidRPr="00F93D51">
        <w:t xml:space="preserve"> Kodeksu cywilnego, stosunku prawnego wynikającego z umowy ubezpieczenia.</w:t>
      </w:r>
    </w:p>
    <w:p w:rsidR="000C1037" w:rsidRPr="00F93D51" w:rsidRDefault="000C1037" w:rsidP="00F93D51">
      <w:pPr>
        <w:ind w:firstLine="708"/>
      </w:pPr>
      <w:r w:rsidRPr="00F93D51">
        <w:t>Na podstawie art. 357</w:t>
      </w:r>
      <w:r w:rsidRPr="00F93D51">
        <w:rPr>
          <w:vertAlign w:val="superscript"/>
        </w:rPr>
        <w:t>1</w:t>
      </w:r>
      <w:r w:rsidRPr="00F93D51">
        <w:t xml:space="preserve"> Kodeksu cywilnego, jeżeli z powodu nadzwyczajnej zmiany stosunków spełnienie świadczenia byłoby połączone z nadmiernymi trudnościami albo groziłoby jednej ze stron rażącą stratą, czego strony nie przewidywały przy zawarciu umowy, sąd może po rozważeniu interesów stron, zgodnie z zasadami współżycia społecznego, oznaczyć sposób wykonania zobowiązania, wysokość świadczenia lub nawet orzec o rozwiązaniu umowy. Rozwiązując umowę sąd może w miarę potrzeby orzec o rozliczeniach stron, kierując się zasadami określonymi w zdaniu poprzedzającym.</w:t>
      </w:r>
    </w:p>
    <w:p w:rsidR="000C1037" w:rsidRPr="00F93D51" w:rsidRDefault="000C1037" w:rsidP="00F93D51">
      <w:pPr>
        <w:ind w:firstLine="708"/>
      </w:pPr>
      <w:r w:rsidRPr="00F93D51">
        <w:t>Przepis ten w opinii Izby, gwarantuje ubezpieczonym dochodzenie odszkodowania od sprawcy szkody, na wypadek gdy wyczerpie się suma gwarancyjna wynikająca z zawartej przez niego umowy odpowiedzialności cywilnej.</w:t>
      </w:r>
    </w:p>
    <w:p w:rsidR="000C1037" w:rsidRPr="00F93D51" w:rsidRDefault="000C1037" w:rsidP="00F93D51">
      <w:pPr>
        <w:ind w:firstLine="708"/>
      </w:pPr>
      <w:r w:rsidRPr="00F93D51">
        <w:t>Według Polskiej Izby Ubezpieczeń, zmiana aktualnie obowiązującego w Polsce modelu gwarancji ubezpieczeniowych, może wpłynąć na deregulację całego systemu ubezpieczeń obowiązkowych (zasadnicza zmiana modeli aktuarialnych stosowanych przy wyliczeniu składki ubezpieczeniowej, zmiana zasad reasekuracji portfeli ubezpieczeń OC).</w:t>
      </w:r>
    </w:p>
    <w:p w:rsidR="000C1037" w:rsidRPr="00F93D51" w:rsidRDefault="000C1037" w:rsidP="00F93D51">
      <w:pPr>
        <w:ind w:firstLine="708"/>
      </w:pPr>
      <w:r w:rsidRPr="00F93D51">
        <w:t>Ubezpieczeniowy Fundusz Gwarancyjny podkreślił, że:</w:t>
      </w:r>
    </w:p>
    <w:p w:rsidR="000C1037" w:rsidRPr="00F93D51" w:rsidRDefault="000C1037" w:rsidP="006C4EAE">
      <w:pPr>
        <w:pStyle w:val="PKTpunkt"/>
      </w:pPr>
      <w:r w:rsidRPr="00F93D51">
        <w:t>1)</w:t>
      </w:r>
      <w:r w:rsidRPr="00F93D51">
        <w:tab/>
        <w:t>rozszerzenie odpowiedzialności ubezpieczycieli z umów OC posiadaczy pojazdów mechanicznych z lat 90, spowoduje nałożenie na obecnych posiadaczy pojazdów dodatkowych obciążeń w postaci zwiększonej składki na obowiązkowe ubezpieczenie OC,</w:t>
      </w:r>
    </w:p>
    <w:p w:rsidR="000C1037" w:rsidRPr="00F93D51" w:rsidRDefault="000C1037" w:rsidP="006C4EAE">
      <w:pPr>
        <w:pStyle w:val="PKTpunkt"/>
      </w:pPr>
      <w:r w:rsidRPr="00F93D51">
        <w:t>2)</w:t>
      </w:r>
      <w:r w:rsidRPr="00F93D51">
        <w:tab/>
        <w:t>projekt zagrozi stabilności finansowej sektora ubezpieczeniowego, zmuszonego w ten sposób do utworzenia dodatkowych rezerw wymaganych przepisami odrębnymi,</w:t>
      </w:r>
    </w:p>
    <w:p w:rsidR="000C1037" w:rsidRPr="00F93D51" w:rsidRDefault="000C1037" w:rsidP="006C4EAE">
      <w:pPr>
        <w:pStyle w:val="PKTpunkt"/>
      </w:pPr>
      <w:r w:rsidRPr="00F93D51">
        <w:lastRenderedPageBreak/>
        <w:t>3)</w:t>
      </w:r>
      <w:r w:rsidRPr="00F93D51">
        <w:tab/>
        <w:t>kontynuowanie świadczeń po wyczerpaniu sumy gwarancyjnej powinno być ograniczone wyłącznie do renty, o której mowa w art. 444 Kodeksu cywilnego.</w:t>
      </w:r>
    </w:p>
    <w:p w:rsidR="000C1037" w:rsidRPr="00F93D51" w:rsidRDefault="000C1037" w:rsidP="00F93D51">
      <w:pPr>
        <w:ind w:firstLine="708"/>
      </w:pPr>
      <w:r w:rsidRPr="00F93D51">
        <w:t>Konieczność rozwiązania problemu wyczerpujących się sum gwarancyjnyc</w:t>
      </w:r>
      <w:r>
        <w:t>h poparli natomiast Kancelaria Prezydenta RP</w:t>
      </w:r>
      <w:r w:rsidRPr="00F93D51">
        <w:t xml:space="preserve"> oraz Rzecznik Finansowy. Rzecznik Finansowy postulował, aby projekt ustawy objął także poszkodowanych, którzy stracą prawo do świadczeń z umowy ubezpieczenia już po wejściu noweli w życie.</w:t>
      </w:r>
    </w:p>
    <w:p w:rsidR="000C1037" w:rsidRDefault="000C1037" w:rsidP="00F93D51">
      <w:pPr>
        <w:ind w:firstLine="708"/>
      </w:pPr>
      <w:r w:rsidRPr="00F93D51">
        <w:t>Urząd Ochrony Konkurencji i Konsumentów uznał za konieczne, aby w ustawie przesądzić o skali podwyżek składek na ubezpieczenie OC</w:t>
      </w:r>
      <w:r>
        <w:t>, które będą konsekwencją rozszerzenia zakresu odpowiedzialności Ubezpieczeniowego Funduszu Gwarancyjnego</w:t>
      </w:r>
      <w:r w:rsidRPr="00F93D51">
        <w:t xml:space="preserve">. </w:t>
      </w:r>
    </w:p>
    <w:p w:rsidR="000C1037" w:rsidRPr="00F93D51" w:rsidRDefault="000C1037" w:rsidP="00F93D51">
      <w:pPr>
        <w:ind w:firstLine="708"/>
      </w:pPr>
      <w:r w:rsidRPr="00F93D51">
        <w:t>Z kolei w opinii PZU S.A.</w:t>
      </w:r>
      <w:r>
        <w:t xml:space="preserve"> wskazano, iż</w:t>
      </w:r>
      <w:r w:rsidRPr="00F93D51">
        <w:t xml:space="preserve"> przyjęcie noweli wpłynąć może na podjęcie przez zakłady ubezpieczeń decyzji o kolejnych podwyżkach składek ubezpieczeniowych.</w:t>
      </w:r>
    </w:p>
    <w:p w:rsidR="000C1037" w:rsidRDefault="000C1037" w:rsidP="00F93D51">
      <w:pPr>
        <w:ind w:firstLine="708"/>
        <w:rPr>
          <w:bCs/>
        </w:rPr>
      </w:pPr>
    </w:p>
    <w:p w:rsidR="000C1037" w:rsidRPr="00F93D51" w:rsidRDefault="000C1037" w:rsidP="00F93D51">
      <w:pPr>
        <w:ind w:firstLine="708"/>
        <w:rPr>
          <w:bCs/>
        </w:rPr>
      </w:pPr>
      <w:r w:rsidRPr="00F93D51">
        <w:rPr>
          <w:bCs/>
        </w:rPr>
        <w:t>Nadesłane w ramach konsultacji opinie i uwagi są zamieszczone na senackiej stronie internetowej.</w:t>
      </w:r>
    </w:p>
    <w:p w:rsidR="000C1037" w:rsidRDefault="000C1037" w:rsidP="00BA7A07">
      <w:pPr>
        <w:ind w:firstLine="708"/>
      </w:pPr>
    </w:p>
    <w:p w:rsidR="000C1037" w:rsidRPr="00F93D51" w:rsidRDefault="000C1037" w:rsidP="00F93D51">
      <w:pPr>
        <w:ind w:firstLine="708"/>
        <w:rPr>
          <w:rFonts w:eastAsia="Times New Roman"/>
          <w:b/>
          <w:bCs/>
        </w:rPr>
      </w:pPr>
      <w:r w:rsidRPr="00F93D51">
        <w:rPr>
          <w:rFonts w:eastAsia="Times New Roman"/>
          <w:b/>
          <w:bCs/>
        </w:rPr>
        <w:t>4. Oświadczenie o zgodności z prawem Unii Europejskiej</w:t>
      </w:r>
    </w:p>
    <w:p w:rsidR="000C1037" w:rsidRPr="00847ED4" w:rsidRDefault="000C1037" w:rsidP="00847ED4">
      <w:pPr>
        <w:ind w:firstLine="708"/>
        <w:rPr>
          <w:rFonts w:eastAsia="Times New Roman"/>
        </w:rPr>
      </w:pPr>
      <w:r w:rsidRPr="00847ED4">
        <w:rPr>
          <w:rFonts w:eastAsia="Times New Roman"/>
        </w:rPr>
        <w:t>Przedmiot projektowanej ustawy nie jest objęty prawem Unii Europejskiej.</w:t>
      </w:r>
    </w:p>
    <w:p w:rsidR="000C1037" w:rsidRPr="00BA7A07" w:rsidRDefault="000C1037" w:rsidP="00BA7A07">
      <w:pPr>
        <w:ind w:firstLine="708"/>
      </w:pPr>
    </w:p>
    <w:p w:rsidR="00E73B8C" w:rsidRDefault="00E73B8C" w:rsidP="00C70646">
      <w:pPr>
        <w:sectPr w:rsidR="00E73B8C" w:rsidSect="000C1037">
          <w:headerReference w:type="default" r:id="rId12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683"/>
        <w:gridCol w:w="237"/>
        <w:gridCol w:w="653"/>
        <w:gridCol w:w="630"/>
        <w:gridCol w:w="630"/>
        <w:gridCol w:w="427"/>
        <w:gridCol w:w="203"/>
        <w:gridCol w:w="505"/>
        <w:gridCol w:w="125"/>
        <w:gridCol w:w="585"/>
        <w:gridCol w:w="45"/>
        <w:gridCol w:w="348"/>
        <w:gridCol w:w="283"/>
        <w:gridCol w:w="174"/>
        <w:gridCol w:w="426"/>
        <w:gridCol w:w="30"/>
        <w:gridCol w:w="395"/>
        <w:gridCol w:w="235"/>
        <w:gridCol w:w="615"/>
        <w:gridCol w:w="15"/>
        <w:gridCol w:w="630"/>
        <w:gridCol w:w="81"/>
        <w:gridCol w:w="550"/>
        <w:gridCol w:w="1134"/>
      </w:tblGrid>
      <w:tr w:rsidR="00E73B8C" w:rsidRPr="00E73B8C" w:rsidTr="00A52BE4">
        <w:trPr>
          <w:trHeight w:val="1611"/>
        </w:trPr>
        <w:tc>
          <w:tcPr>
            <w:tcW w:w="6631" w:type="dxa"/>
            <w:gridSpan w:val="13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ind w:hanging="45"/>
              <w:jc w:val="left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bookmarkStart w:id="1" w:name="t1"/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lastRenderedPageBreak/>
              <w:t>Tytuł projektu: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>ustawa o zmianie ustawy o ubezpieczeniach obowiązkowych, Ubezpieczeniowym Funduszu Gwarancyjnym i Polskim Biurze Ubezpieczycieli Komunikacyjnych</w:t>
            </w:r>
          </w:p>
          <w:bookmarkEnd w:id="1"/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ind w:hanging="34"/>
              <w:jc w:val="left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b/>
                <w:sz w:val="21"/>
                <w:szCs w:val="24"/>
                <w:lang w:eastAsia="en-US"/>
              </w:rPr>
            </w:pPr>
            <w:r w:rsidRPr="00E73B8C">
              <w:rPr>
                <w:rFonts w:eastAsia="Calibri" w:cs="Times New Roman"/>
                <w:b/>
                <w:sz w:val="22"/>
                <w:szCs w:val="24"/>
                <w:lang w:eastAsia="en-US"/>
              </w:rPr>
              <w:t>Przedstawiciel wnioskodawcy</w:t>
            </w:r>
            <w:r w:rsidRPr="00E73B8C">
              <w:rPr>
                <w:rFonts w:eastAsia="Calibri" w:cs="Times New Roman"/>
                <w:b/>
                <w:sz w:val="21"/>
                <w:szCs w:val="24"/>
                <w:lang w:eastAsia="en-US"/>
              </w:rPr>
              <w:t xml:space="preserve">: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>senator Lidia Staroń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ind w:hanging="45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ind w:hanging="45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bookmarkStart w:id="2" w:name="t3"/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Osoby odpowiedzialne za projekt w Biurze Legislacyjnym: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 xml:space="preserve">Maciej </w:t>
            </w:r>
            <w:proofErr w:type="spellStart"/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>Telec</w:t>
            </w:r>
            <w:proofErr w:type="spellEnd"/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>, legislator, tel. 22 694 9302</w:t>
            </w:r>
          </w:p>
          <w:bookmarkEnd w:id="2"/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ind w:hanging="45"/>
              <w:jc w:val="left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ab/>
              <w:t>Katarzyna Majewska, ekspert ds. OSR, tel. 22 694 9259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ind w:hanging="45"/>
              <w:jc w:val="left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68" w:type="dxa"/>
            <w:gridSpan w:val="12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jc w:val="left"/>
              <w:rPr>
                <w:rFonts w:eastAsia="Calibri" w:cs="Times New Roman"/>
                <w:b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sz w:val="21"/>
                <w:szCs w:val="21"/>
                <w:lang w:eastAsia="en-US"/>
              </w:rPr>
              <w:t>Data sporządzenia:</w:t>
            </w:r>
            <w:r w:rsidRPr="00E73B8C">
              <w:rPr>
                <w:rFonts w:eastAsia="Calibri" w:cs="Times New Roman"/>
                <w:b/>
                <w:sz w:val="21"/>
                <w:szCs w:val="21"/>
                <w:lang w:eastAsia="en-US"/>
              </w:rPr>
              <w:br/>
            </w:r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>20 kwietnia 2017 r.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b/>
                <w:sz w:val="22"/>
                <w:szCs w:val="22"/>
                <w:lang w:eastAsia="en-US"/>
              </w:rPr>
            </w:pP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sz w:val="22"/>
                <w:szCs w:val="22"/>
                <w:lang w:eastAsia="en-US"/>
              </w:rPr>
              <w:t xml:space="preserve">Źródło: </w:t>
            </w:r>
            <w:r w:rsidRPr="00E73B8C">
              <w:rPr>
                <w:rFonts w:eastAsia="Calibri" w:cs="Times New Roman"/>
                <w:sz w:val="22"/>
                <w:szCs w:val="22"/>
                <w:lang w:eastAsia="en-US"/>
              </w:rPr>
              <w:t>RPO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Nr druku: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 351, 351S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99CC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ind w:left="57"/>
              <w:jc w:val="center"/>
              <w:rPr>
                <w:rFonts w:eastAsia="Calibri" w:cs="Times New Roman"/>
                <w:b/>
                <w:color w:val="FFFFFF"/>
                <w:sz w:val="32"/>
                <w:szCs w:val="3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FFFFFF"/>
                <w:sz w:val="32"/>
                <w:szCs w:val="32"/>
                <w:lang w:eastAsia="en-US"/>
              </w:rPr>
              <w:t>OCENA SKUTKÓW REGULACJI</w:t>
            </w:r>
          </w:p>
        </w:tc>
      </w:tr>
      <w:tr w:rsidR="00E73B8C" w:rsidRPr="00E73B8C" w:rsidTr="00A52BE4">
        <w:trPr>
          <w:trHeight w:val="333"/>
        </w:trPr>
        <w:tc>
          <w:tcPr>
            <w:tcW w:w="11199" w:type="dxa"/>
            <w:gridSpan w:val="25"/>
            <w:shd w:val="clear" w:color="auto" w:fill="99CCFF"/>
            <w:vAlign w:val="center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sz w:val="22"/>
                <w:szCs w:val="22"/>
                <w:lang w:eastAsia="en-US"/>
              </w:rPr>
              <w:t>Jaki problem jest rozwiązywany?</w:t>
            </w:r>
            <w:bookmarkStart w:id="3" w:name="Wybór1"/>
            <w:bookmarkEnd w:id="3"/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240" w:lineRule="auto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>Rzecznik Praw Obywatelskich zwrócił się z prośbą do Senatu RP o podjęcie inicjatywy legislacyjnej w sprawie wyczerpywania się sum gwarancyjnych w obowiązkowych ubezpieczeniach odpowiedzialności cywilnej.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240" w:lineRule="auto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W związku z tym, że w wypadkach komunikacyjnych często dochodziło do trwałej utraty zdrowia, poszkodowani otrzymywali świadczenia o charakterze ciągłym (np. renty), co przy niskich wysokościach sum gwarancyjnych 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br/>
              <w:t>w przeszłości powodowało ich wyczerpanie się.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240" w:lineRule="auto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Problem ten dotyczy głównie poszkodowanych, którzy ulegli wypadkom w latach 90-tych, kiedy suma gwarancyjna wynosiła przed denominacją 7,2 mld zł (do 1995 r.), a następnie 600 tys. ecu (w okresie od 1995 r. do 2003 r.). 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br/>
              <w:t xml:space="preserve">W kolejnych latach suma gwarancyjna była systematycznie podwyższana. Obecnie wynosi 5 mln euro w odniesieniu do jednego zdarzenia bez względu na liczbę poszkodowanych.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240" w:lineRule="auto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Według danych pozyskanych przez Komisję Nadzoru Finansowego (KNF) z zakładów ubezpieczeniowych oraz Ubezpieczeniowego Funduszu Gwarancyjnego (dotyczących ubezpieczeń OC posiadaczy pojazdów mechanicznych) 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br/>
            </w: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do 30 września 2016 r. ze względu na wyczerpanie sum gwarancyjnych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zaprzestano wypłat 66 rent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>. Około 70% tych rent zostało przyznanych za szkody poniesione w okresie obowiązywania niskich sum gwarancyjnych, czyli w latach 1991–2005, 4% w okresie, kiedy suma gwarancyjna wynosiła 1,5 mln euro (od 2006 r. do połowy 2007 r.), natomiast pozostałe 26% rent dotyczy szkód powstałych w okresie obowiązywania aktualnej sumy gwarancyjnej, czyli 5 mln euro (od połowy 2007 r.).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240" w:lineRule="auto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Ponadto przewiduje się, że </w:t>
            </w: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w ciągu 10 najbliższych lat nastąpi wyczerpanie sum gwarancyjnych w przypadku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220 aktywnych rent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 – 34% rent dotyczy szkód poniesionych w okresie do 1994 r., 63% od 1995 do 2005 r. oraz 3% od 2006 r. do 30 września 2016 r. 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99CCFF"/>
            <w:vAlign w:val="center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  <w:t>Rekomendowane rozwiązanie, w tym planowane narzędzia interwencji, i oczekiwany efekt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240" w:lineRule="auto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Zaspokajanie przez </w:t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>Ubezpieczeniowy Fundusz Gwarancyjny roszczeń za szkody osobowe z tytułu umów ubezpieczenia OC posiadaczy pojazdów mechanicznych oraz ubezpieczenia OC rolników – w przypadku wyczerpania się sumy gwarancyjnej – do wysokości obecnie obowiązującej sumy gwarancyjnej.</w:t>
            </w:r>
          </w:p>
        </w:tc>
      </w:tr>
      <w:tr w:rsidR="00E73B8C" w:rsidRPr="00E73B8C" w:rsidTr="00A52BE4">
        <w:trPr>
          <w:trHeight w:val="307"/>
        </w:trPr>
        <w:tc>
          <w:tcPr>
            <w:tcW w:w="11199" w:type="dxa"/>
            <w:gridSpan w:val="25"/>
            <w:shd w:val="clear" w:color="auto" w:fill="99CCFF"/>
            <w:vAlign w:val="center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spacing w:val="-2"/>
                <w:sz w:val="22"/>
                <w:szCs w:val="22"/>
                <w:lang w:eastAsia="en-US"/>
              </w:rPr>
              <w:t>Jak problem został rozwiązany w innych krajach, w szczególności krajach członkowskich OECD/UE</w:t>
            </w: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?</w:t>
            </w:r>
            <w:r w:rsidRPr="00E73B8C">
              <w:rPr>
                <w:rFonts w:eastAsia="Calibri" w:cs="Times New Roman"/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240" w:lineRule="auto"/>
              <w:rPr>
                <w:rFonts w:eastAsia="Calibri" w:cs="Times New Roman"/>
                <w:color w:val="000000"/>
                <w:spacing w:val="-2"/>
                <w:sz w:val="22"/>
                <w:szCs w:val="22"/>
                <w:highlight w:val="yellow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Brak informacji.</w:t>
            </w:r>
          </w:p>
        </w:tc>
      </w:tr>
      <w:tr w:rsidR="00E73B8C" w:rsidRPr="00E73B8C" w:rsidTr="00A52BE4">
        <w:trPr>
          <w:trHeight w:val="359"/>
        </w:trPr>
        <w:tc>
          <w:tcPr>
            <w:tcW w:w="11199" w:type="dxa"/>
            <w:gridSpan w:val="25"/>
            <w:shd w:val="clear" w:color="auto" w:fill="99CCFF"/>
            <w:vAlign w:val="center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Podmioty, na które oddziałuje projekt</w:t>
            </w:r>
          </w:p>
        </w:tc>
      </w:tr>
      <w:tr w:rsidR="00E73B8C" w:rsidRPr="00E73B8C" w:rsidTr="00A52BE4">
        <w:trPr>
          <w:trHeight w:val="142"/>
        </w:trPr>
        <w:tc>
          <w:tcPr>
            <w:tcW w:w="2480" w:type="dxa"/>
            <w:gridSpan w:val="3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40"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Grupa</w:t>
            </w:r>
          </w:p>
        </w:tc>
        <w:tc>
          <w:tcPr>
            <w:tcW w:w="3758" w:type="dxa"/>
            <w:gridSpan w:val="8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40"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Wielkość</w:t>
            </w:r>
          </w:p>
        </w:tc>
        <w:tc>
          <w:tcPr>
            <w:tcW w:w="1276" w:type="dxa"/>
            <w:gridSpan w:val="5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40"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Źródło danych</w:t>
            </w:r>
            <w:r w:rsidRPr="00E73B8C" w:rsidDel="00260F33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685" w:type="dxa"/>
            <w:gridSpan w:val="9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40"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Oddziaływanie</w:t>
            </w:r>
          </w:p>
        </w:tc>
      </w:tr>
      <w:tr w:rsidR="00E73B8C" w:rsidRPr="00E73B8C" w:rsidTr="00A52BE4">
        <w:trPr>
          <w:trHeight w:val="142"/>
        </w:trPr>
        <w:tc>
          <w:tcPr>
            <w:tcW w:w="2480" w:type="dxa"/>
            <w:gridSpan w:val="3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Poszkodowani, 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br/>
              <w:t xml:space="preserve">w przypadku których nastąpiło wyczerpanie sumy gwarancyjnej 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br/>
              <w:t xml:space="preserve">w ubezpieczeniach OC posiadaczy pojazdów mechanicznych 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br/>
              <w:t xml:space="preserve">i ubezpieczeniach 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br/>
              <w:t xml:space="preserve">OC rolników </w:t>
            </w:r>
          </w:p>
        </w:tc>
        <w:tc>
          <w:tcPr>
            <w:tcW w:w="3758" w:type="dxa"/>
            <w:gridSpan w:val="8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Wg danych KNF 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br/>
              <w:t xml:space="preserve">do 30 września 2016 r. 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br/>
              <w:t xml:space="preserve">w przypadku </w:t>
            </w:r>
            <w:r w:rsidRPr="00E73B8C"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  <w:t>66 rent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 zaprzestano wypłat ze względu na wyczerpanie się sum gwarancyjnych w ubezpieczeniach OC posiadaczy pojazdów mechanicznych.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Ponadto przewiduje się, że do końca 2026 r. wyczerpanie sumy gwarancyjnej nastąpi w przypadku </w:t>
            </w:r>
            <w:r w:rsidRPr="00E73B8C"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  <w:t>220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E73B8C"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  <w:t>obecnie aktywnych rent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276" w:type="dxa"/>
            <w:gridSpan w:val="5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spacing w:val="-2"/>
                <w:sz w:val="22"/>
                <w:szCs w:val="22"/>
                <w:lang w:eastAsia="en-US"/>
              </w:rPr>
              <w:t>KNF</w:t>
            </w:r>
          </w:p>
        </w:tc>
        <w:tc>
          <w:tcPr>
            <w:tcW w:w="3685" w:type="dxa"/>
            <w:gridSpan w:val="9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Możliwość dalszego zaspokajania roszczeń poszkodowanego po wyczerpaniu się sumy gwarancyjnej</w:t>
            </w:r>
          </w:p>
        </w:tc>
      </w:tr>
      <w:tr w:rsidR="00E73B8C" w:rsidRPr="00E73B8C" w:rsidTr="00A52BE4">
        <w:trPr>
          <w:trHeight w:val="142"/>
        </w:trPr>
        <w:tc>
          <w:tcPr>
            <w:tcW w:w="2480" w:type="dxa"/>
            <w:gridSpan w:val="3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lastRenderedPageBreak/>
              <w:t>Ubezpieczeniowy Fundusz Gwarancyjny (UFG)</w:t>
            </w:r>
          </w:p>
        </w:tc>
        <w:tc>
          <w:tcPr>
            <w:tcW w:w="3758" w:type="dxa"/>
            <w:gridSpan w:val="8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  <w:gridSpan w:val="5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spacing w:val="-2"/>
                <w:sz w:val="22"/>
                <w:szCs w:val="22"/>
                <w:lang w:eastAsia="en-US"/>
              </w:rPr>
              <w:t>ustawa</w:t>
            </w:r>
          </w:p>
        </w:tc>
        <w:tc>
          <w:tcPr>
            <w:tcW w:w="3685" w:type="dxa"/>
            <w:gridSpan w:val="9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Obowiązek zaspokajania roszczeń poszkodowanych, w przypadku których nastąpiło wyczerpanie sumy gwarancyjnej w ubezpieczeniach OC posiadaczy pojazdów mechanicznych 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br/>
              <w:t>i ubezpieczeniach OC rolników</w:t>
            </w:r>
          </w:p>
        </w:tc>
      </w:tr>
      <w:tr w:rsidR="00E73B8C" w:rsidRPr="00E73B8C" w:rsidTr="00A52BE4">
        <w:trPr>
          <w:trHeight w:val="302"/>
        </w:trPr>
        <w:tc>
          <w:tcPr>
            <w:tcW w:w="11199" w:type="dxa"/>
            <w:gridSpan w:val="25"/>
            <w:shd w:val="clear" w:color="auto" w:fill="99CCFF"/>
            <w:vAlign w:val="center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Informacje na temat zakresu, czasu trwania i podsumowanie wyników konsultacji</w:t>
            </w:r>
          </w:p>
        </w:tc>
      </w:tr>
      <w:tr w:rsidR="00E73B8C" w:rsidRPr="00E73B8C" w:rsidTr="00A52BE4">
        <w:trPr>
          <w:trHeight w:val="342"/>
        </w:trPr>
        <w:tc>
          <w:tcPr>
            <w:tcW w:w="11199" w:type="dxa"/>
            <w:gridSpan w:val="25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300" w:lineRule="exact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Opinię do projektu przedstawiły następujące podmioty: Komisja Nadzoru Finansowego, Minister Rozwoju i Finansów, Polska Izba Ubezpieczeń, Powszechny Zakład Ubezpieczeń, Rzecznik Finansowy, Ubezpieczeniowy Fundusz Gwarancyjny, Urząd Ochrony Konkurencji i Konsumentów oraz trzy osoby fizyczne.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300" w:lineRule="exact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Większość ww. podmiotów zwróciła uwagę na konieczność jednoznacznego doprecyzowania rodzaju świadczeń, grupy osób uprawnionych oraz okoliczności, w których świadczenie mogłoby przysługiwać. W przeciwnym wypadku wystąpi ryzyko znacznego zwiększenia skali potencjalnych zobowiązań UFG, co finalnie przełoży się na sytuację finansową zakładów ubezpieczeń.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300" w:lineRule="exact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Z uwagi skalę potencjalnych zobowiązań w przedstawionych opiniach </w:t>
            </w:r>
            <w:r w:rsidRPr="00E73B8C">
              <w:rPr>
                <w:rFonts w:ascii="Courier New" w:eastAsia="Calibri" w:hAnsi="Courier New" w:cs="Courier New"/>
                <w:color w:val="000000"/>
                <w:spacing w:val="-2"/>
                <w:sz w:val="22"/>
                <w:szCs w:val="22"/>
                <w:lang w:eastAsia="en-US"/>
              </w:rPr>
              <w:t>­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 sugerowano ograniczenie gwarancji wypłat przez UFG w przypadku wyczerpania się sumy gwarancyjnej wyłącznie do roszczeń rentowych lub ewentualnie do roszczeń wynikających z art. 444 </w:t>
            </w:r>
            <w:r w:rsidRPr="00E73B8C">
              <w:rPr>
                <w:rFonts w:eastAsia="Calibri" w:cs="Times New Roman"/>
                <w:i/>
                <w:color w:val="000000"/>
                <w:spacing w:val="-2"/>
                <w:sz w:val="22"/>
                <w:szCs w:val="22"/>
                <w:lang w:eastAsia="en-US"/>
              </w:rPr>
              <w:t>Kodeksu cywilnego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 xml:space="preserve"> (tj. wypłaty renty, pokrycia kosztów leczenia, a także kosztów przygotowania do innego zawodu).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300" w:lineRule="exact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UFG proponuje ponadto rozważenie wprowadzenia limitu określającego maksymalną wysokość poziomu świadczeń rentowych. Wprowadzeniu takiego rozwiązania sprzeciwia się przedstawiciel osób poszkodowanych w wypadkach komunikacyjnych, wobec których nastąpiło wyczerpanie się sumy gwarancyjnej.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300" w:lineRule="exact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Ponadto zwrócono uwagę na zbyt krótki – zdaniem opiniodawców – termin wejścia w życie projektowanej ustawy.</w:t>
            </w:r>
          </w:p>
        </w:tc>
      </w:tr>
      <w:tr w:rsidR="00E73B8C" w:rsidRPr="00E73B8C" w:rsidTr="00A52BE4">
        <w:trPr>
          <w:trHeight w:val="363"/>
        </w:trPr>
        <w:tc>
          <w:tcPr>
            <w:tcW w:w="11199" w:type="dxa"/>
            <w:gridSpan w:val="25"/>
            <w:shd w:val="clear" w:color="auto" w:fill="99CCFF"/>
            <w:vAlign w:val="center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 xml:space="preserve"> Wpływ na sektor finansów publicznych</w:t>
            </w:r>
          </w:p>
        </w:tc>
      </w:tr>
      <w:tr w:rsidR="00E73B8C" w:rsidRPr="00E73B8C" w:rsidTr="00A52BE4">
        <w:trPr>
          <w:trHeight w:val="142"/>
        </w:trPr>
        <w:tc>
          <w:tcPr>
            <w:tcW w:w="3133" w:type="dxa"/>
            <w:gridSpan w:val="4"/>
            <w:vMerge w:val="restart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40" w:after="40" w:line="276" w:lineRule="auto"/>
              <w:jc w:val="left"/>
              <w:rPr>
                <w:rFonts w:eastAsia="Calibri" w:cs="Times New Roman"/>
                <w:i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(ceny stałe z 2016 r.)</w:t>
            </w:r>
          </w:p>
        </w:tc>
        <w:tc>
          <w:tcPr>
            <w:tcW w:w="8066" w:type="dxa"/>
            <w:gridSpan w:val="21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40" w:after="40" w:line="240" w:lineRule="auto"/>
              <w:jc w:val="center"/>
              <w:rPr>
                <w:rFonts w:eastAsia="Calibri" w:cs="Times New Roman"/>
                <w:i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Skutki w okresie 10 lat od wejścia w życie zmian [mln zł]</w:t>
            </w:r>
          </w:p>
        </w:tc>
      </w:tr>
      <w:tr w:rsidR="00E73B8C" w:rsidRPr="00E73B8C" w:rsidTr="00A52BE4">
        <w:trPr>
          <w:trHeight w:val="142"/>
        </w:trPr>
        <w:tc>
          <w:tcPr>
            <w:tcW w:w="3133" w:type="dxa"/>
            <w:gridSpan w:val="4"/>
            <w:vMerge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40" w:after="40" w:line="240" w:lineRule="auto"/>
              <w:jc w:val="left"/>
              <w:rPr>
                <w:rFonts w:eastAsia="Calibri" w:cs="Times New Roman"/>
                <w:i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0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631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630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8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9</w:t>
            </w:r>
          </w:p>
        </w:tc>
        <w:tc>
          <w:tcPr>
            <w:tcW w:w="631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40" w:after="40" w:line="240" w:lineRule="auto"/>
              <w:jc w:val="center"/>
              <w:rPr>
                <w:rFonts w:eastAsia="Calibri" w:cs="Times New Roman"/>
                <w:i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i/>
                <w:color w:val="000000"/>
                <w:spacing w:val="-2"/>
                <w:sz w:val="21"/>
                <w:szCs w:val="21"/>
                <w:lang w:eastAsia="en-US"/>
              </w:rPr>
              <w:t>Łącznie (0-10)</w:t>
            </w:r>
          </w:p>
        </w:tc>
      </w:tr>
      <w:tr w:rsidR="00E73B8C" w:rsidRPr="00E73B8C" w:rsidTr="00A52BE4">
        <w:trPr>
          <w:trHeight w:val="321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Dochody ogółem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1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1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pacing w:val="-2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pacing w:val="-2"/>
                <w:sz w:val="18"/>
                <w:szCs w:val="21"/>
                <w:lang w:eastAsia="en-US"/>
              </w:rPr>
              <w:t>0,0</w:t>
            </w:r>
          </w:p>
        </w:tc>
      </w:tr>
      <w:tr w:rsidR="00E73B8C" w:rsidRPr="00E73B8C" w:rsidTr="00A52BE4">
        <w:trPr>
          <w:trHeight w:val="33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Wydatki ogółem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1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1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pacing w:val="-2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pacing w:val="-2"/>
                <w:sz w:val="18"/>
                <w:szCs w:val="21"/>
                <w:lang w:eastAsia="en-US"/>
              </w:rPr>
              <w:t>0,0</w:t>
            </w:r>
          </w:p>
        </w:tc>
      </w:tr>
      <w:tr w:rsidR="00E73B8C" w:rsidRPr="00E73B8C" w:rsidTr="00A52BE4">
        <w:trPr>
          <w:trHeight w:val="360"/>
        </w:trPr>
        <w:tc>
          <w:tcPr>
            <w:tcW w:w="3133" w:type="dxa"/>
            <w:gridSpan w:val="4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Saldo ogółem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1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0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631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18"/>
                <w:szCs w:val="21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b/>
                <w:color w:val="000000"/>
                <w:spacing w:val="-2"/>
                <w:sz w:val="18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pacing w:val="-2"/>
                <w:sz w:val="18"/>
                <w:szCs w:val="21"/>
                <w:lang w:eastAsia="en-US"/>
              </w:rPr>
              <w:t>0,0</w:t>
            </w:r>
          </w:p>
        </w:tc>
      </w:tr>
      <w:tr w:rsidR="00E73B8C" w:rsidRPr="00E73B8C" w:rsidTr="00A52BE4">
        <w:trPr>
          <w:trHeight w:val="348"/>
        </w:trPr>
        <w:tc>
          <w:tcPr>
            <w:tcW w:w="2243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Źródła finansowania: </w:t>
            </w:r>
          </w:p>
        </w:tc>
        <w:tc>
          <w:tcPr>
            <w:tcW w:w="8956" w:type="dxa"/>
            <w:gridSpan w:val="2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</w:p>
        </w:tc>
      </w:tr>
      <w:tr w:rsidR="00E73B8C" w:rsidRPr="00E73B8C" w:rsidTr="00A52BE4">
        <w:trPr>
          <w:trHeight w:val="1258"/>
        </w:trPr>
        <w:tc>
          <w:tcPr>
            <w:tcW w:w="2243" w:type="dxa"/>
            <w:gridSpan w:val="2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Dodatkowe informacje, w tym wskazanie źródeł danych i przyjętych do obliczeń założeń</w:t>
            </w:r>
          </w:p>
        </w:tc>
        <w:tc>
          <w:tcPr>
            <w:tcW w:w="8956" w:type="dxa"/>
            <w:gridSpan w:val="23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Projektowana regulacja nie będzie miała wpływu na sektor finansów publicznych, w tym budżet państwa i budżety jednostek samorządu terytorialnego.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</w:p>
        </w:tc>
      </w:tr>
      <w:tr w:rsidR="00E73B8C" w:rsidRPr="00E73B8C" w:rsidTr="00A52BE4">
        <w:trPr>
          <w:trHeight w:val="345"/>
        </w:trPr>
        <w:tc>
          <w:tcPr>
            <w:tcW w:w="11199" w:type="dxa"/>
            <w:gridSpan w:val="25"/>
            <w:shd w:val="clear" w:color="auto" w:fill="99CCFF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120" w:after="120" w:line="240" w:lineRule="auto"/>
              <w:jc w:val="left"/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  <w:t xml:space="preserve">Wpływ na </w:t>
            </w: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 xml:space="preserve">konkurencyjność gospodarki i przedsiębiorczość, w tym funkcjonowanie przedsiębiorców oraz na rodzinę, obywateli i gospodarstwa domowe 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  <w:t>Skutki – wariant maksymalny</w:t>
            </w:r>
          </w:p>
        </w:tc>
      </w:tr>
      <w:tr w:rsidR="00E73B8C" w:rsidRPr="00E73B8C" w:rsidTr="00A52BE4">
        <w:trPr>
          <w:trHeight w:val="142"/>
        </w:trPr>
        <w:tc>
          <w:tcPr>
            <w:tcW w:w="4820" w:type="dxa"/>
            <w:gridSpan w:val="7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Czas w latach od wejścia w życie zmian</w:t>
            </w:r>
          </w:p>
        </w:tc>
        <w:tc>
          <w:tcPr>
            <w:tcW w:w="708" w:type="dxa"/>
            <w:gridSpan w:val="2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0</w:t>
            </w:r>
          </w:p>
        </w:tc>
        <w:tc>
          <w:tcPr>
            <w:tcW w:w="710" w:type="dxa"/>
            <w:gridSpan w:val="2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850" w:type="dxa"/>
            <w:gridSpan w:val="4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726" w:type="dxa"/>
            <w:gridSpan w:val="3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10</w:t>
            </w:r>
          </w:p>
        </w:tc>
        <w:tc>
          <w:tcPr>
            <w:tcW w:w="1684" w:type="dxa"/>
            <w:gridSpan w:val="2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i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i/>
                <w:color w:val="000000"/>
                <w:spacing w:val="-2"/>
                <w:sz w:val="21"/>
                <w:szCs w:val="21"/>
                <w:lang w:eastAsia="en-US"/>
              </w:rPr>
              <w:t>Łącznie</w:t>
            </w:r>
            <w:r w:rsidRPr="00E73B8C" w:rsidDel="0073273A">
              <w:rPr>
                <w:rFonts w:eastAsia="Calibri" w:cs="Times New Roman"/>
                <w:i/>
                <w:color w:val="000000"/>
                <w:spacing w:val="-2"/>
                <w:sz w:val="21"/>
                <w:szCs w:val="21"/>
                <w:lang w:eastAsia="en-US"/>
              </w:rPr>
              <w:t xml:space="preserve"> </w:t>
            </w:r>
            <w:r w:rsidRPr="00E73B8C">
              <w:rPr>
                <w:rFonts w:eastAsia="Calibri" w:cs="Times New Roman"/>
                <w:i/>
                <w:color w:val="000000"/>
                <w:spacing w:val="-2"/>
                <w:sz w:val="21"/>
                <w:szCs w:val="21"/>
                <w:lang w:eastAsia="en-US"/>
              </w:rPr>
              <w:t>(0-10)</w:t>
            </w:r>
          </w:p>
        </w:tc>
      </w:tr>
      <w:tr w:rsidR="00E73B8C" w:rsidRPr="00E73B8C" w:rsidTr="00A52BE4">
        <w:trPr>
          <w:trHeight w:val="416"/>
        </w:trPr>
        <w:tc>
          <w:tcPr>
            <w:tcW w:w="1560" w:type="dxa"/>
            <w:vMerge w:val="restart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W ujęciu pieniężnym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eastAsia="Calibri" w:cs="Times New Roman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spacing w:val="-2"/>
                <w:sz w:val="21"/>
                <w:szCs w:val="21"/>
                <w:lang w:eastAsia="en-US"/>
              </w:rPr>
              <w:t xml:space="preserve">(w mln zł,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spacing w:val="-2"/>
                <w:sz w:val="21"/>
                <w:szCs w:val="21"/>
                <w:lang w:eastAsia="en-US"/>
              </w:rPr>
              <w:t>ceny stałe z 2016 r.)</w:t>
            </w:r>
          </w:p>
        </w:tc>
        <w:tc>
          <w:tcPr>
            <w:tcW w:w="3260" w:type="dxa"/>
            <w:gridSpan w:val="6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>poszkodowani w wypadkach: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osoby objęte ubezpieczeniem OC:</w:t>
            </w:r>
          </w:p>
        </w:tc>
        <w:tc>
          <w:tcPr>
            <w:tcW w:w="708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3,6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-3,6</w:t>
            </w:r>
          </w:p>
        </w:tc>
        <w:tc>
          <w:tcPr>
            <w:tcW w:w="71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4,6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-4,6</w:t>
            </w:r>
          </w:p>
        </w:tc>
        <w:tc>
          <w:tcPr>
            <w:tcW w:w="850" w:type="dxa"/>
            <w:gridSpan w:val="4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6,0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-6,0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7,4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-7,4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9,0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-9,0</w:t>
            </w:r>
          </w:p>
        </w:tc>
        <w:tc>
          <w:tcPr>
            <w:tcW w:w="726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14,4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-14,4</w:t>
            </w:r>
          </w:p>
        </w:tc>
        <w:tc>
          <w:tcPr>
            <w:tcW w:w="1684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  <w:t>86,7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  <w:t>-86,7</w:t>
            </w:r>
          </w:p>
        </w:tc>
      </w:tr>
      <w:tr w:rsidR="00E73B8C" w:rsidRPr="00E73B8C" w:rsidTr="00A52BE4">
        <w:trPr>
          <w:trHeight w:val="410"/>
        </w:trPr>
        <w:tc>
          <w:tcPr>
            <w:tcW w:w="1560" w:type="dxa"/>
            <w:vMerge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3260" w:type="dxa"/>
            <w:gridSpan w:val="6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>Ubezpieczeniowy Fundusz Gwarancyjny</w:t>
            </w:r>
          </w:p>
        </w:tc>
        <w:tc>
          <w:tcPr>
            <w:tcW w:w="708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3,6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-3,6</w:t>
            </w:r>
          </w:p>
        </w:tc>
        <w:tc>
          <w:tcPr>
            <w:tcW w:w="71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4,6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-4,6</w:t>
            </w:r>
          </w:p>
        </w:tc>
        <w:tc>
          <w:tcPr>
            <w:tcW w:w="850" w:type="dxa"/>
            <w:gridSpan w:val="4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6,0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-6,0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7,4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-7,4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9,0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-9,0</w:t>
            </w:r>
          </w:p>
        </w:tc>
        <w:tc>
          <w:tcPr>
            <w:tcW w:w="726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14,4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-14,4</w:t>
            </w:r>
          </w:p>
        </w:tc>
        <w:tc>
          <w:tcPr>
            <w:tcW w:w="1684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  <w:t>86,7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  <w:t>-86,7</w:t>
            </w:r>
          </w:p>
        </w:tc>
      </w:tr>
      <w:tr w:rsidR="00E73B8C" w:rsidRPr="00E73B8C" w:rsidTr="00A52BE4">
        <w:trPr>
          <w:trHeight w:val="397"/>
        </w:trPr>
        <w:tc>
          <w:tcPr>
            <w:tcW w:w="1560" w:type="dxa"/>
            <w:vMerge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76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3260" w:type="dxa"/>
            <w:gridSpan w:val="6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>zakłady ubezpieczeniowe</w:t>
            </w:r>
          </w:p>
        </w:tc>
        <w:tc>
          <w:tcPr>
            <w:tcW w:w="708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3,6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-3,6</w:t>
            </w:r>
          </w:p>
        </w:tc>
        <w:tc>
          <w:tcPr>
            <w:tcW w:w="71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4,6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-4,6</w:t>
            </w:r>
          </w:p>
        </w:tc>
        <w:tc>
          <w:tcPr>
            <w:tcW w:w="850" w:type="dxa"/>
            <w:gridSpan w:val="4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6,0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-6,0</w:t>
            </w:r>
          </w:p>
        </w:tc>
        <w:tc>
          <w:tcPr>
            <w:tcW w:w="851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7,4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-7,4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9,0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-9,0</w:t>
            </w:r>
          </w:p>
        </w:tc>
        <w:tc>
          <w:tcPr>
            <w:tcW w:w="726" w:type="dxa"/>
            <w:gridSpan w:val="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14,4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-14,4</w:t>
            </w:r>
          </w:p>
        </w:tc>
        <w:tc>
          <w:tcPr>
            <w:tcW w:w="1684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  <w:t>86,7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right"/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1"/>
                <w:szCs w:val="21"/>
                <w:lang w:eastAsia="en-US"/>
              </w:rPr>
              <w:t>-86,7</w:t>
            </w:r>
          </w:p>
        </w:tc>
      </w:tr>
      <w:tr w:rsidR="00E73B8C" w:rsidRPr="00E73B8C" w:rsidTr="00A52BE4">
        <w:trPr>
          <w:trHeight w:val="846"/>
        </w:trPr>
        <w:tc>
          <w:tcPr>
            <w:tcW w:w="2243" w:type="dxa"/>
            <w:gridSpan w:val="2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Dodatkowe informacje, w tym wskazanie źródeł danych i przyjętych do obliczeń założeń </w:t>
            </w:r>
          </w:p>
        </w:tc>
        <w:tc>
          <w:tcPr>
            <w:tcW w:w="8956" w:type="dxa"/>
            <w:gridSpan w:val="2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after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Projektowana regulacja wpłynie na Ubezpieczeniowy Fundusz Gwarancyjny, </w:t>
            </w:r>
            <w:r w:rsidRPr="00E73B8C">
              <w:rPr>
                <w:rFonts w:eastAsia="Calibri" w:cs="Times New Roman"/>
                <w:sz w:val="21"/>
                <w:szCs w:val="21"/>
                <w:lang w:eastAsia="en-US"/>
              </w:rPr>
              <w:t>zakłady ubezpieczeniowe oraz obywateli i gospodarstwa domowe – w szczególności poszkodowanych w wypadkach zagrożonych wyczerpaniem sumy gwarancyjnej, a także posiadaczy pojazdów mechanicznych objętych obowiązkowym ubezpieczeniem OC. Poniższy rysunek prezentuje zależności pomiędzy poszczególnymi grupami podmiotów: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ascii="Calibri" w:eastAsia="Calibri" w:hAnsi="Calibri" w:cs="Times New Roman"/>
                <w:noProof/>
                <w:sz w:val="22"/>
                <w:szCs w:val="22"/>
              </w:rPr>
              <w:lastRenderedPageBreak/>
              <mc:AlternateContent>
                <mc:Choice Requires="wpc">
                  <w:drawing>
                    <wp:inline distT="0" distB="0" distL="0" distR="0" wp14:anchorId="4046E3E0" wp14:editId="7AA0D33A">
                      <wp:extent cx="4874149" cy="2369489"/>
                      <wp:effectExtent l="0" t="0" r="0" b="0"/>
                      <wp:docPr id="1" name="Kanw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wpg:wgp>
                              <wpg:cNvPr id="9" name="Grupa 9"/>
                              <wpg:cNvGrpSpPr/>
                              <wpg:grpSpPr>
                                <a:xfrm>
                                  <a:off x="244521" y="22"/>
                                  <a:ext cx="4383138" cy="2216518"/>
                                  <a:chOff x="1452074" y="903540"/>
                                  <a:chExt cx="4383138" cy="2216518"/>
                                </a:xfrm>
                              </wpg:grpSpPr>
                              <wps:wsp>
                                <wps:cNvPr id="11" name="Elipsa 11"/>
                                <wps:cNvSpPr/>
                                <wps:spPr>
                                  <a:xfrm>
                                    <a:off x="1452074" y="2167068"/>
                                    <a:ext cx="1637966" cy="58467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25400" cap="flat" cmpd="sng" algn="ctr">
                                    <a:solidFill>
                                      <a:srgbClr val="4F81BD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E73B8C" w:rsidRPr="005245B3" w:rsidRDefault="00E73B8C" w:rsidP="00E73B8C">
                                      <w:pPr>
                                        <w:pStyle w:val="Normalny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eastAsia="Times New Roman"/>
                                          <w:b/>
                                          <w:bCs/>
                                          <w:color w:val="000000"/>
                                          <w:sz w:val="20"/>
                                          <w:szCs w:val="28"/>
                                        </w:rPr>
                                        <w:t>Z</w:t>
                                      </w:r>
                                      <w:r w:rsidRPr="005245B3">
                                        <w:rPr>
                                          <w:rFonts w:eastAsia="Times New Roman"/>
                                          <w:b/>
                                          <w:bCs/>
                                          <w:color w:val="000000"/>
                                          <w:sz w:val="20"/>
                                          <w:szCs w:val="28"/>
                                        </w:rPr>
                                        <w:t>akłady ubezpieczeniowe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g:grpSp>
                                <wpg:cNvPr id="7" name="Grupa 7"/>
                                <wpg:cNvGrpSpPr/>
                                <wpg:grpSpPr>
                                  <a:xfrm>
                                    <a:off x="1509939" y="903540"/>
                                    <a:ext cx="4325273" cy="2216518"/>
                                    <a:chOff x="608112" y="309935"/>
                                    <a:chExt cx="5434514" cy="2843524"/>
                                  </a:xfrm>
                                </wpg:grpSpPr>
                                <wps:wsp>
                                  <wps:cNvPr id="17" name="Prostokąt 17"/>
                                  <wps:cNvSpPr/>
                                  <wps:spPr>
                                    <a:xfrm>
                                      <a:off x="2486464" y="2601009"/>
                                      <a:ext cx="1451909" cy="5524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25400" cap="flat" cmpd="sng" algn="ctr">
                                      <a:solidFill>
                                        <a:srgbClr val="C0504D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73B8C" w:rsidRPr="005245B3" w:rsidRDefault="00E73B8C" w:rsidP="00E73B8C">
                                        <w:pPr>
                                          <w:pStyle w:val="Normalny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20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/>
                                            <w:color w:val="000000"/>
                                            <w:sz w:val="20"/>
                                            <w:szCs w:val="21"/>
                                          </w:rPr>
                                          <w:t>W</w:t>
                                        </w:r>
                                        <w:r w:rsidRPr="005245B3">
                                          <w:rPr>
                                            <w:rFonts w:eastAsia="Times New Roman"/>
                                            <w:color w:val="000000"/>
                                            <w:sz w:val="20"/>
                                            <w:szCs w:val="21"/>
                                          </w:rPr>
                                          <w:t>yższe ceny ubezpieczeń OC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18" name="Elipsa 18"/>
                                  <wps:cNvSpPr/>
                                  <wps:spPr>
                                    <a:xfrm>
                                      <a:off x="3737035" y="1910923"/>
                                      <a:ext cx="1905974" cy="770039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25400" cap="flat" cmpd="sng" algn="ctr">
                                      <a:solidFill>
                                        <a:srgbClr val="4F81BD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73B8C" w:rsidRPr="005245B3" w:rsidRDefault="00E73B8C" w:rsidP="00E73B8C">
                                        <w:pPr>
                                          <w:pStyle w:val="Normalny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O</w:t>
                                        </w:r>
                                        <w:r w:rsidRPr="005245B3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bywatele</w:t>
                                        </w:r>
                                        <w:r w:rsidRPr="005245B3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br/>
                                          <w:t>/konsumenci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19" name="Elipsa 19"/>
                                  <wps:cNvSpPr/>
                                  <wps:spPr>
                                    <a:xfrm>
                                      <a:off x="2218986" y="558030"/>
                                      <a:ext cx="1826397" cy="728587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25400" cap="flat" cmpd="sng" algn="ctr">
                                      <a:solidFill>
                                        <a:srgbClr val="4F81BD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73B8C" w:rsidRPr="005245B3" w:rsidRDefault="00E73B8C" w:rsidP="00E73B8C">
                                        <w:pPr>
                                          <w:pStyle w:val="Normalny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16"/>
                                          </w:rPr>
                                        </w:pPr>
                                        <w:r w:rsidRPr="005245B3">
                                          <w:rPr>
                                            <w:rFonts w:eastAsia="Times New Roman"/>
                                            <w:b/>
                                            <w:bCs/>
                                            <w:color w:val="000000"/>
                                            <w:sz w:val="20"/>
                                            <w:szCs w:val="28"/>
                                          </w:rPr>
                                          <w:t>UFG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20" name="Prostokąt 20"/>
                                  <wps:cNvSpPr/>
                                  <wps:spPr>
                                    <a:xfrm>
                                      <a:off x="608112" y="791619"/>
                                      <a:ext cx="1308452" cy="7239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25400" cap="flat" cmpd="sng" algn="ctr">
                                      <a:solidFill>
                                        <a:srgbClr val="C0504D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73B8C" w:rsidRPr="005245B3" w:rsidRDefault="00E73B8C" w:rsidP="00E73B8C">
                                        <w:pPr>
                                          <w:pStyle w:val="Normalny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color w:val="000000" w:themeColor="dark1"/>
                                            <w:sz w:val="20"/>
                                            <w:szCs w:val="20"/>
                                          </w:rPr>
                                          <w:t>W</w:t>
                                        </w:r>
                                        <w:r w:rsidRPr="005245B3">
                                          <w:rPr>
                                            <w:color w:val="000000" w:themeColor="dark1"/>
                                            <w:sz w:val="20"/>
                                            <w:szCs w:val="20"/>
                                          </w:rPr>
                                          <w:t>yższe składki wpłacane do UFG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21" name="Prostokąt 21"/>
                                  <wps:cNvSpPr/>
                                  <wps:spPr>
                                    <a:xfrm>
                                      <a:off x="4357847" y="309935"/>
                                      <a:ext cx="1684779" cy="119548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504D">
                                        <a:lumMod val="20000"/>
                                        <a:lumOff val="80000"/>
                                      </a:srgbClr>
                                    </a:solidFill>
                                    <a:ln w="25400" cap="flat" cmpd="sng" algn="ctr">
                                      <a:solidFill>
                                        <a:srgbClr val="C0504D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73B8C" w:rsidRPr="005245B3" w:rsidRDefault="00E73B8C" w:rsidP="00E73B8C">
                                        <w:pPr>
                                          <w:pStyle w:val="Normalny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20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/>
                                            <w:b/>
                                            <w:color w:val="000000"/>
                                            <w:sz w:val="20"/>
                                            <w:szCs w:val="21"/>
                                          </w:rPr>
                                          <w:t>Kontynuacja w</w:t>
                                        </w:r>
                                        <w:r w:rsidRPr="002666F1">
                                          <w:rPr>
                                            <w:rFonts w:eastAsia="Times New Roman"/>
                                            <w:b/>
                                            <w:color w:val="000000"/>
                                            <w:sz w:val="20"/>
                                            <w:szCs w:val="21"/>
                                          </w:rPr>
                                          <w:t>ypłat rent</w:t>
                                        </w:r>
                                        <w:r w:rsidRPr="005245B3">
                                          <w:rPr>
                                            <w:rFonts w:eastAsia="Times New Roman"/>
                                            <w:color w:val="000000"/>
                                            <w:sz w:val="20"/>
                                            <w:szCs w:val="21"/>
                                          </w:rPr>
                                          <w:t xml:space="preserve">, w przypadku których nastąpiło(by) wyczerpanie </w:t>
                                        </w:r>
                                        <w:r>
                                          <w:rPr>
                                            <w:rFonts w:eastAsia="Times New Roman"/>
                                            <w:color w:val="000000"/>
                                            <w:sz w:val="20"/>
                                            <w:szCs w:val="21"/>
                                          </w:rPr>
                                          <w:t xml:space="preserve">się </w:t>
                                        </w:r>
                                        <w:r w:rsidRPr="005245B3">
                                          <w:rPr>
                                            <w:rFonts w:eastAsia="Times New Roman"/>
                                            <w:color w:val="000000"/>
                                            <w:sz w:val="20"/>
                                            <w:szCs w:val="21"/>
                                          </w:rPr>
                                          <w:t>sumy gwarancyjnej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22" name="Łącznik prosty ze strzałką 22"/>
                                  <wps:cNvCnPr>
                                    <a:stCxn id="18" idx="2"/>
                                    <a:endCxn id="11" idx="6"/>
                                  </wps:cNvCnPr>
                                  <wps:spPr>
                                    <a:xfrm flipH="1">
                                      <a:off x="2593439" y="2295943"/>
                                      <a:ext cx="1143596" cy="998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0" cap="flat" cmpd="sng" algn="ctr">
                                      <a:solidFill>
                                        <a:srgbClr val="C0504D"/>
                                      </a:solidFill>
                                      <a:prstDash val="solid"/>
                                      <a:tailEnd type="triangle" w="lg" len="lg"/>
                                    </a:ln>
                                    <a:effectLst>
                                      <a:outerShdw blurRad="40000" dist="20000" dir="5400000" rotWithShape="0">
                                        <a:srgbClr val="000000">
                                          <a:alpha val="38000"/>
                                        </a:srgbClr>
                                      </a:outerShdw>
                                    </a:effectLst>
                                  </wps:spPr>
                                  <wps:bodyPr/>
                                </wps:wsp>
                                <wps:wsp>
                                  <wps:cNvPr id="23" name="Łącznik prosty ze strzałką 23"/>
                                  <wps:cNvCnPr>
                                    <a:stCxn id="11" idx="0"/>
                                    <a:endCxn id="19" idx="3"/>
                                  </wps:cNvCnPr>
                                  <wps:spPr>
                                    <a:xfrm flipV="1">
                                      <a:off x="1564423" y="1179917"/>
                                      <a:ext cx="922032" cy="750972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0" cap="flat" cmpd="sng" algn="ctr">
                                      <a:solidFill>
                                        <a:srgbClr val="C0504D"/>
                                      </a:solidFill>
                                      <a:prstDash val="solid"/>
                                      <a:tailEnd type="triangle" w="lg" len="lg"/>
                                    </a:ln>
                                    <a:effectLst>
                                      <a:outerShdw blurRad="40000" dist="20000" dir="5400000" rotWithShape="0">
                                        <a:srgbClr val="000000">
                                          <a:alpha val="38000"/>
                                        </a:srgbClr>
                                      </a:outerShdw>
                                    </a:effectLst>
                                  </wps:spPr>
                                  <wps:bodyPr/>
                                </wps:wsp>
                                <wps:wsp>
                                  <wps:cNvPr id="24" name="Łącznik prosty ze strzałką 24"/>
                                  <wps:cNvCnPr>
                                    <a:stCxn id="19" idx="5"/>
                                    <a:endCxn id="18" idx="0"/>
                                  </wps:cNvCnPr>
                                  <wps:spPr>
                                    <a:xfrm>
                                      <a:off x="3777914" y="1179917"/>
                                      <a:ext cx="912109" cy="73100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0" cap="flat" cmpd="sng" algn="ctr">
                                      <a:solidFill>
                                        <a:srgbClr val="C0504D"/>
                                      </a:solidFill>
                                      <a:prstDash val="solid"/>
                                      <a:tailEnd type="triangle" w="lg" len="lg"/>
                                    </a:ln>
                                    <a:effectLst>
                                      <a:outerShdw blurRad="40000" dist="20000" dir="5400000" rotWithShape="0">
                                        <a:srgbClr val="000000">
                                          <a:alpha val="38000"/>
                                        </a:srgbClr>
                                      </a:outerShdw>
                                    </a:effectLst>
                                  </wps:spPr>
                                  <wps:bodyPr/>
                                </wps:wsp>
                              </wpg:grp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Kanwa 1" o:spid="_x0000_s1026" editas="canvas" style="width:383.8pt;height:186.55pt;mso-position-horizontal-relative:char;mso-position-vertical-relative:line" coordsize="48736,23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48736;height:23691;visibility:visible;mso-wrap-style:square">
                        <v:fill o:detectmouseclick="t"/>
                        <v:path o:connecttype="none"/>
                      </v:shape>
                      <v:group id="Grupa 9" o:spid="_x0000_s1028" style="position:absolute;left:2445;width:43831;height:22165" coordorigin="14520,9035" coordsize="43831,22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oval id="Elipsa 11" o:spid="_x0000_s1029" style="position:absolute;left:14520;top:21670;width:16380;height:58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jqJcIA&#10;AADbAAAADwAAAGRycy9kb3ducmV2LnhtbERPO2vDMBDeC/kP4gLZGtkdTHGihBCSNoM7OMnQ8bCu&#10;tlvrJCzVj39fFQrd7uN73nY/mU4M1PvWsoJ0nYAgrqxuuVZwv50fn0H4gKyxs0wKZvKw3y0etphr&#10;O3JJwzXUIoawz1FBE4LLpfRVQwb92jriyH3Y3mCIsK+l7nGM4aaTT0mSSYMtx4YGHR0bqr6u30aB&#10;a8tioHJ+c/7zdHp9KdL37NAptVpOhw2IQFP4F/+5LzrOT+H3l3iA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COolwgAAANsAAAAPAAAAAAAAAAAAAAAAAJgCAABkcnMvZG93&#10;bnJldi54bWxQSwUGAAAAAAQABAD1AAAAhwMAAAAA&#10;" fillcolor="window" strokecolor="#4f81bd" strokeweight="2pt">
                          <v:textbox>
                            <w:txbxContent>
                              <w:p w:rsidR="00E73B8C" w:rsidRPr="005245B3" w:rsidRDefault="00E73B8C" w:rsidP="00E73B8C">
                                <w:pPr>
                                  <w:pStyle w:val="NormalnyWeb"/>
                                  <w:spacing w:before="0" w:beforeAutospacing="0" w:after="0" w:afterAutospacing="0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eastAsia="Times New Roman"/>
                                    <w:b/>
                                    <w:bCs/>
                                    <w:color w:val="000000"/>
                                    <w:sz w:val="20"/>
                                    <w:szCs w:val="28"/>
                                  </w:rPr>
                                  <w:t>Z</w:t>
                                </w:r>
                                <w:r w:rsidRPr="005245B3">
                                  <w:rPr>
                                    <w:rFonts w:eastAsia="Times New Roman"/>
                                    <w:b/>
                                    <w:bCs/>
                                    <w:color w:val="000000"/>
                                    <w:sz w:val="20"/>
                                    <w:szCs w:val="28"/>
                                  </w:rPr>
                                  <w:t>akłady ubezpieczeniowe</w:t>
                                </w:r>
                              </w:p>
                            </w:txbxContent>
                          </v:textbox>
                        </v:oval>
                        <v:group id="Grupa 7" o:spid="_x0000_s1030" style="position:absolute;left:15099;top:9035;width:43253;height:22165" coordorigin="6081,3099" coordsize="54345,28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  <v:rect id="Prostokąt 17" o:spid="_x0000_s1031" style="position:absolute;left:24864;top:26010;width:14519;height:5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G4OMEA&#10;AADbAAAADwAAAGRycy9kb3ducmV2LnhtbERPTYvCMBC9L/gfwgje1lTBXalGEUHwIrhdDx6HZmyD&#10;zaQm0VZ//WZhYW/zeJ+zXPe2EQ/ywThWMBlnIIhLpw1XCk7fu/c5iBCRNTaOScGTAqxXg7cl5tp1&#10;/EWPIlYihXDIUUEdY5tLGcqaLIaxa4kTd3HeYkzQV1J77FK4beQ0yz6kRcOpocaWtjWV1+JuFcya&#10;7j49nq6Xwh9eRze7mbM5bJUaDfvNAkSkPv6L/9x7neZ/wu8v6QC5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BuDjBAAAA2wAAAA8AAAAAAAAAAAAAAAAAmAIAAGRycy9kb3du&#10;cmV2LnhtbFBLBQYAAAAABAAEAPUAAACGAwAAAAA=&#10;" fillcolor="window" strokecolor="#c0504d" strokeweight="2pt">
                            <v:textbox>
                              <w:txbxContent>
                                <w:p w:rsidR="00E73B8C" w:rsidRPr="005245B3" w:rsidRDefault="00E73B8C" w:rsidP="00E73B8C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000000"/>
                                      <w:sz w:val="20"/>
                                      <w:szCs w:val="21"/>
                                    </w:rPr>
                                    <w:t>W</w:t>
                                  </w:r>
                                  <w:r w:rsidRPr="005245B3">
                                    <w:rPr>
                                      <w:rFonts w:eastAsia="Times New Roman"/>
                                      <w:color w:val="000000"/>
                                      <w:sz w:val="20"/>
                                      <w:szCs w:val="21"/>
                                    </w:rPr>
                                    <w:t>yższe ceny ubezpieczeń OC</w:t>
                                  </w:r>
                                </w:p>
                              </w:txbxContent>
                            </v:textbox>
                          </v:rect>
                          <v:oval id="Elipsa 18" o:spid="_x0000_s1032" style="position:absolute;left:37370;top:19109;width:19060;height:77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JDuMQA&#10;AADbAAAADwAAAGRycy9kb3ducmV2LnhtbESPT2/CMAzF75P4DpGRdhspO6CpEBBC/DuwQ9kOHK3G&#10;tIXGiZqslG8/HybtZus9v/fzYjW4VvXUxcazgekkA0VcettwZeD7a/f2ASomZIutZzLwpAir5ehl&#10;gbn1Dy6oP6dKSQjHHA3UKYVc61jW5DBOfCAW7eo7h0nWrtK2w4eEu1a/Z9lMO2xYGmoMtKmpvJ9/&#10;nIHQFKeeiudniLft9rA/TS+zdWvM63hYz0ElGtK/+e/6aAVfYOUXGU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yQ7jEAAAA2wAAAA8AAAAAAAAAAAAAAAAAmAIAAGRycy9k&#10;b3ducmV2LnhtbFBLBQYAAAAABAAEAPUAAACJAwAAAAA=&#10;" fillcolor="window" strokecolor="#4f81bd" strokeweight="2pt">
                            <v:textbox>
                              <w:txbxContent>
                                <w:p w:rsidR="00E73B8C" w:rsidRPr="005245B3" w:rsidRDefault="00E73B8C" w:rsidP="00E73B8C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5245B3">
                                    <w:rPr>
                                      <w:rFonts w:eastAsia="Times New Rom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bywatele</w:t>
                                  </w:r>
                                  <w:r w:rsidRPr="005245B3">
                                    <w:rPr>
                                      <w:rFonts w:eastAsia="Times New Roman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br/>
                                    <w:t>/konsumenci</w:t>
                                  </w:r>
                                </w:p>
                              </w:txbxContent>
                            </v:textbox>
                          </v:oval>
                          <v:oval id="Elipsa 19" o:spid="_x0000_s1033" style="position:absolute;left:22189;top:5580;width:18264;height:7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7mI8EA&#10;AADbAAAADwAAAGRycy9kb3ducmV2LnhtbERPPW/CMBDdK/EfrENiKw4MiAYMQggKAx0CDIyn+EgC&#10;8dmK3RD+PUaq1O2e3ufNl52pRUuNrywrGA0TEMS51RUXCs6n7ecUhA/IGmvLpOBJHpaL3sccU20f&#10;nFF7DIWIIexTVFCG4FIpfV6SQT+0jjhyV9sYDBE2hdQNPmK4qeU4SSbSYMWxoURH65Ly+/HXKHBV&#10;dmgpe/44f9tsdt+H0WWyqpUa9LvVDESgLvyL/9x7Hed/wfuXeI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9+5iPBAAAA2wAAAA8AAAAAAAAAAAAAAAAAmAIAAGRycy9kb3du&#10;cmV2LnhtbFBLBQYAAAAABAAEAPUAAACGAwAAAAA=&#10;" fillcolor="window" strokecolor="#4f81bd" strokeweight="2pt">
                            <v:textbox>
                              <w:txbxContent>
                                <w:p w:rsidR="00E73B8C" w:rsidRPr="005245B3" w:rsidRDefault="00E73B8C" w:rsidP="00E73B8C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5245B3">
                                    <w:rPr>
                                      <w:rFonts w:eastAsia="Times New Roman"/>
                                      <w:b/>
                                      <w:bCs/>
                                      <w:color w:val="000000"/>
                                      <w:sz w:val="20"/>
                                      <w:szCs w:val="28"/>
                                    </w:rPr>
                                    <w:t>UFG</w:t>
                                  </w:r>
                                </w:p>
                              </w:txbxContent>
                            </v:textbox>
                          </v:oval>
                          <v:rect id="Prostokąt 20" o:spid="_x0000_s1034" style="position:absolute;left:6081;top:7916;width:13084;height:7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Tq8cAA&#10;AADbAAAADwAAAGRycy9kb3ducmV2LnhtbERPTYvCMBC9L/gfwgje1nQLilSjiLCwF8GtHjwOzdgG&#10;m0k3ibb6681hwePjfa82g23FnXwwjhV8TTMQxJXThmsFp+P35wJEiMgaW8ek4EEBNuvRxwoL7Xr+&#10;pXsZa5FCOBSooImxK6QMVUMWw9R1xIm7OG8xJuhrqT32Kdy2Ms+yubRoODU02NGuoepa3qyCWdvf&#10;8sPpein9/nlwsz9zNvudUpPxsF2CiDTEt/jf/aMV5Gl9+pJ+gF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Tq8cAAAADbAAAADwAAAAAAAAAAAAAAAACYAgAAZHJzL2Rvd25y&#10;ZXYueG1sUEsFBgAAAAAEAAQA9QAAAIUDAAAAAA==&#10;" fillcolor="window" strokecolor="#c0504d" strokeweight="2pt">
                            <v:textbox>
                              <w:txbxContent>
                                <w:p w:rsidR="00E73B8C" w:rsidRPr="005245B3" w:rsidRDefault="00E73B8C" w:rsidP="00E73B8C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 w:rsidRPr="005245B3">
                                    <w:rPr>
                                      <w:color w:val="000000" w:themeColor="dark1"/>
                                      <w:sz w:val="20"/>
                                      <w:szCs w:val="20"/>
                                    </w:rPr>
                                    <w:t>yższe składki wpłacane do UFG</w:t>
                                  </w:r>
                                </w:p>
                              </w:txbxContent>
                            </v:textbox>
                          </v:rect>
                          <v:rect id="Prostokąt 21" o:spid="_x0000_s1035" style="position:absolute;left:43578;top:3099;width:16848;height:119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Cu6L8A&#10;AADbAAAADwAAAGRycy9kb3ducmV2LnhtbESPQYvCMBSE74L/ITxhb5rWBZFqFBFET4ru7v3RPNtq&#10;81KTVOu/N4Kwx2FmvmHmy87U4k7OV5YVpKMEBHFudcWFgt+fzXAKwgdkjbVlUvAkD8tFvzfHTNsH&#10;H+l+CoWIEPYZKihDaDIpfV6SQT+yDXH0ztYZDFG6QmqHjwg3tRwnyUQarDgulNjQuqT8empNpFD7&#10;d5OXiflOye3TQ7u9TTUr9TXoVjMQgbrwH/60d1rBOIX3l/gD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MK7ovwAAANsAAAAPAAAAAAAAAAAAAAAAAJgCAABkcnMvZG93bnJl&#10;di54bWxQSwUGAAAAAAQABAD1AAAAhAMAAAAA&#10;" fillcolor="#f2dcdb" strokecolor="#c0504d" strokeweight="2pt">
                            <v:textbox>
                              <w:txbxContent>
                                <w:p w:rsidR="00E73B8C" w:rsidRPr="005245B3" w:rsidRDefault="00E73B8C" w:rsidP="00E73B8C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1"/>
                                    </w:rPr>
                                    <w:t>Kontynuacja w</w:t>
                                  </w:r>
                                  <w:r w:rsidRPr="002666F1"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0"/>
                                      <w:szCs w:val="21"/>
                                    </w:rPr>
                                    <w:t>ypłat rent</w:t>
                                  </w:r>
                                  <w:r w:rsidRPr="005245B3">
                                    <w:rPr>
                                      <w:rFonts w:eastAsia="Times New Roman"/>
                                      <w:color w:val="000000"/>
                                      <w:sz w:val="20"/>
                                      <w:szCs w:val="21"/>
                                    </w:rPr>
                                    <w:t xml:space="preserve">, w przypadku których nastąpiło(by) wyczerpanie </w:t>
                                  </w:r>
                                  <w:r>
                                    <w:rPr>
                                      <w:rFonts w:eastAsia="Times New Roman"/>
                                      <w:color w:val="000000"/>
                                      <w:sz w:val="20"/>
                                      <w:szCs w:val="21"/>
                                    </w:rPr>
                                    <w:t xml:space="preserve">się </w:t>
                                  </w:r>
                                  <w:r w:rsidRPr="005245B3">
                                    <w:rPr>
                                      <w:rFonts w:eastAsia="Times New Roman"/>
                                      <w:color w:val="000000"/>
                                      <w:sz w:val="20"/>
                                      <w:szCs w:val="21"/>
                                    </w:rPr>
                                    <w:t>sumy gwarancyjnej</w:t>
                                  </w:r>
                                </w:p>
                              </w:txbxContent>
                            </v:textbox>
                          </v:re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Łącznik prosty ze strzałką 22" o:spid="_x0000_s1036" type="#_x0000_t32" style="position:absolute;left:25934;top:22959;width:11436;height:10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Qla8MAAADbAAAADwAAAGRycy9kb3ducmV2LnhtbESPUWvCMBSF3wf+h3AF32a6ikM6owxR&#10;kMEepv6AS3Pb1DU3NYna7tcvwmCPh3POdzjLdW9bcSMfGscKXqYZCOLS6YZrBafj7nkBIkRkja1j&#10;UjBQgPVq9LTEQrs7f9HtEGuRIBwKVGBi7AopQ2nIYpi6jjh5lfMWY5K+ltrjPcFtK/Mse5UWG04L&#10;BjvaGCq/D1erYPdJ1dxsL/2HP8+qYah/ZsRnpSbj/v0NRKQ+/of/2nutIM/h8SX9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0kJWvDAAAA2wAAAA8AAAAAAAAAAAAA&#10;AAAAoQIAAGRycy9kb3ducmV2LnhtbFBLBQYAAAAABAAEAPkAAACRAwAAAAA=&#10;" strokecolor="#c0504d" strokeweight="2pt">
                            <v:stroke endarrow="block" endarrowwidth="wide" endarrowlength="long"/>
                            <v:shadow on="t" color="black" opacity="24903f" origin=",.5" offset="0,.55556mm"/>
                          </v:shape>
                          <v:shape id="Łącznik prosty ze strzałką 23" o:spid="_x0000_s1037" type="#_x0000_t32" style="position:absolute;left:15644;top:11799;width:9220;height:750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iA8MQAAADbAAAADwAAAGRycy9kb3ducmV2LnhtbESPzWrDMBCE74W8g9hAb7XcmJTgRgml&#10;NFAKOeTnARZrbTm1Vq6kJnafPgoEehxm5htmuR5sJ87kQ+tYwXOWgyCunG65UXA8bJ4WIEJE1tg5&#10;JgUjBVivJg9LLLW78I7O+9iIBOFQogITY19KGSpDFkPmeuLk1c5bjEn6RmqPlwS3nZzl+Yu02HJa&#10;MNjTu6Hqe/9rFWy2VM/Nx8/w5U9FPY7NX0F8UupxOry9gog0xP/wvf2pFcwKuH1JP0Cu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aIDwxAAAANsAAAAPAAAAAAAAAAAA&#10;AAAAAKECAABkcnMvZG93bnJldi54bWxQSwUGAAAAAAQABAD5AAAAkgMAAAAA&#10;" strokecolor="#c0504d" strokeweight="2pt">
                            <v:stroke endarrow="block" endarrowwidth="wide" endarrowlength="long"/>
                            <v:shadow on="t" color="black" opacity="24903f" origin=",.5" offset="0,.55556mm"/>
                          </v:shape>
                          <v:shape id="Łącznik prosty ze strzałką 24" o:spid="_x0000_s1038" type="#_x0000_t32" style="position:absolute;left:37779;top:11799;width:9121;height:73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wWEMMAAADbAAAADwAAAGRycy9kb3ducmV2LnhtbESPQWvCQBSE74L/YXmCF6mbiraSukoR&#10;A4IgNC14fWSfSWj2bdhdY/z3riB4HGbmG2a16U0jOnK+tqzgfZqAIC6srrlU8PebvS1B+ICssbFM&#10;Cm7kYbMeDlaYanvlH+ryUIoIYZ+igiqENpXSFxUZ9FPbEkfvbJ3BEKUrpXZ4jXDTyFmSfEiDNceF&#10;ClvaVlT85xej4HDIs93ldMomVHcLc+4/j8vEKTUe9d9fIAL14RV+tvdawWwOjy/xB8j1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sFhDDAAAA2wAAAA8AAAAAAAAAAAAA&#10;AAAAoQIAAGRycy9kb3ducmV2LnhtbFBLBQYAAAAABAAEAPkAAACRAwAAAAA=&#10;" strokecolor="#c0504d" strokeweight="2pt">
                            <v:stroke endarrow="block" endarrowwidth="wide" endarrowlength="long"/>
                            <v:shadow on="t" color="black" opacity="24903f" origin=",.5" offset="0,.55556mm"/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Ubezpieczeniowy Fundusz Gwarancyjny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Projektowana regulacja spowoduje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u w:val="single"/>
                <w:lang w:eastAsia="en-US"/>
              </w:rPr>
              <w:t>wzrost zobowiązań UFG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 z tytułu kontynuacji wypłat rent,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br/>
              <w:t>w przypadku których nastąpiło wyczerpanie się sumy gwarancyjnej.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Według informacji pozyskanych z KNF łączna wartość skapitalizowanych 66 rent, których wypłat zaprzestano z powodu wyczerpania sumy gwarancyjnej w okresie od 1996 r. do 30 września 2016 r., wynosi około </w:t>
            </w: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73,7 mln zł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W przypadku 220 rent, dla których przewidywane jest wyczerpanie sumy gwarancyjnej do końca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br/>
              <w:t>2026 r., pozostałą łączną skapitalizowaną wartość tych rent oszacowano na 321,3 mln zł.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Razem łączna skapitalizowana wartość rent, w przypadku których nastąpiło wyczerpanie sumy gwarancyjnej lub przewiduje się, że nastąpi do 2026 r., wynosi około 395 mln zł.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Wydatki te będą rozłożone w czasie i ponoszone średnio przez 24 lata – w przypadku rent już wygasłych oraz 29 lat – w przypadku rent, które wygasną w ciągu 10 najbliższych lat.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after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W latach 2017–2027 szacowane wydatki UFG w związku z projektowaną regulacją przedstawiają się następująco (w mln zł):</w:t>
            </w:r>
          </w:p>
          <w:tbl>
            <w:tblPr>
              <w:tblW w:w="8846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588"/>
              <w:gridCol w:w="588"/>
              <w:gridCol w:w="588"/>
              <w:gridCol w:w="589"/>
              <w:gridCol w:w="588"/>
              <w:gridCol w:w="588"/>
              <w:gridCol w:w="588"/>
              <w:gridCol w:w="589"/>
              <w:gridCol w:w="588"/>
              <w:gridCol w:w="588"/>
              <w:gridCol w:w="670"/>
              <w:gridCol w:w="820"/>
            </w:tblGrid>
            <w:tr w:rsidR="00E73B8C" w:rsidRPr="00E73B8C" w:rsidTr="00A52BE4">
              <w:trPr>
                <w:trHeight w:val="555"/>
                <w:jc w:val="center"/>
              </w:trPr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Czas od wejścia w życie regulacji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0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</w:t>
                  </w:r>
                </w:p>
              </w:tc>
              <w:tc>
                <w:tcPr>
                  <w:tcW w:w="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4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5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6</w:t>
                  </w:r>
                </w:p>
              </w:tc>
              <w:tc>
                <w:tcPr>
                  <w:tcW w:w="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7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8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9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10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b/>
                      <w:color w:val="000000"/>
                      <w:sz w:val="20"/>
                      <w:szCs w:val="22"/>
                    </w:rPr>
                    <w:t xml:space="preserve">Łącznie </w:t>
                  </w:r>
                  <w:r w:rsidRPr="00E73B8C">
                    <w:rPr>
                      <w:rFonts w:eastAsia="Times New Roman" w:cs="Times New Roman"/>
                      <w:b/>
                      <w:color w:val="000000"/>
                      <w:sz w:val="20"/>
                      <w:szCs w:val="22"/>
                    </w:rPr>
                    <w:br/>
                    <w:t>0-10</w:t>
                  </w:r>
                </w:p>
              </w:tc>
            </w:tr>
            <w:tr w:rsidR="00E73B8C" w:rsidRPr="00E73B8C" w:rsidTr="00A52BE4">
              <w:trPr>
                <w:trHeight w:val="555"/>
                <w:jc w:val="center"/>
              </w:trPr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Rok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2017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2018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2019</w:t>
                  </w:r>
                </w:p>
              </w:tc>
              <w:tc>
                <w:tcPr>
                  <w:tcW w:w="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2020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2021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2022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2023</w:t>
                  </w:r>
                </w:p>
              </w:tc>
              <w:tc>
                <w:tcPr>
                  <w:tcW w:w="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2024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2025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2026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color w:val="000000"/>
                      <w:sz w:val="20"/>
                      <w:szCs w:val="22"/>
                    </w:rPr>
                    <w:t>2027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40" w:lineRule="auto"/>
                    <w:jc w:val="center"/>
                    <w:rPr>
                      <w:rFonts w:eastAsia="Times New Roman" w:cs="Times New Roman"/>
                      <w:b/>
                      <w:color w:val="000000"/>
                      <w:sz w:val="20"/>
                      <w:szCs w:val="22"/>
                    </w:rPr>
                  </w:pPr>
                  <w:r w:rsidRPr="00E73B8C">
                    <w:rPr>
                      <w:rFonts w:eastAsia="Times New Roman" w:cs="Times New Roman"/>
                      <w:b/>
                      <w:color w:val="000000"/>
                      <w:sz w:val="20"/>
                      <w:szCs w:val="22"/>
                    </w:rPr>
                    <w:t xml:space="preserve">   2017-</w:t>
                  </w:r>
                  <w:r w:rsidRPr="00E73B8C">
                    <w:rPr>
                      <w:rFonts w:eastAsia="Times New Roman" w:cs="Times New Roman"/>
                      <w:b/>
                      <w:color w:val="000000"/>
                      <w:sz w:val="20"/>
                      <w:szCs w:val="22"/>
                    </w:rPr>
                    <w:br/>
                    <w:t>-2027</w:t>
                  </w:r>
                </w:p>
              </w:tc>
            </w:tr>
            <w:tr w:rsidR="00E73B8C" w:rsidRPr="00E73B8C" w:rsidTr="00A52BE4">
              <w:trPr>
                <w:trHeight w:val="555"/>
                <w:jc w:val="center"/>
              </w:trPr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center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 xml:space="preserve">Zobowiązania UFG – </w:t>
                  </w:r>
                  <w:r w:rsidRPr="00E73B8C">
                    <w:rPr>
                      <w:rFonts w:eastAsia="Calibri" w:cs="Times New Roman"/>
                      <w:b/>
                      <w:color w:val="000000"/>
                      <w:sz w:val="20"/>
                      <w:szCs w:val="22"/>
                      <w:lang w:eastAsia="en-US"/>
                    </w:rPr>
                    <w:t>wariant maksymalny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3,6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4,6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6,0</w:t>
                  </w:r>
                </w:p>
              </w:tc>
              <w:tc>
                <w:tcPr>
                  <w:tcW w:w="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7,4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8,2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9,0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10,3</w:t>
                  </w:r>
                </w:p>
              </w:tc>
              <w:tc>
                <w:tcPr>
                  <w:tcW w:w="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11,5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12,5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13,6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color w:val="000000"/>
                      <w:sz w:val="20"/>
                      <w:szCs w:val="22"/>
                      <w:lang w:eastAsia="en-US"/>
                    </w:rPr>
                    <w:t>14,4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</w:tcPr>
                <w:p w:rsidR="00E73B8C" w:rsidRPr="00E73B8C" w:rsidRDefault="00E73B8C" w:rsidP="00E73B8C">
                  <w:pPr>
                    <w:widowControl/>
                    <w:autoSpaceDE/>
                    <w:autoSpaceDN/>
                    <w:adjustRightInd/>
                    <w:spacing w:line="276" w:lineRule="auto"/>
                    <w:jc w:val="right"/>
                    <w:rPr>
                      <w:rFonts w:eastAsia="Calibri" w:cs="Times New Roman"/>
                      <w:b/>
                      <w:color w:val="000000"/>
                      <w:sz w:val="20"/>
                      <w:szCs w:val="22"/>
                      <w:lang w:eastAsia="en-US"/>
                    </w:rPr>
                  </w:pPr>
                  <w:r w:rsidRPr="00E73B8C">
                    <w:rPr>
                      <w:rFonts w:eastAsia="Calibri" w:cs="Times New Roman"/>
                      <w:b/>
                      <w:color w:val="000000"/>
                      <w:sz w:val="20"/>
                      <w:szCs w:val="22"/>
                      <w:lang w:eastAsia="en-US"/>
                    </w:rPr>
                    <w:t>86,7</w:t>
                  </w:r>
                </w:p>
              </w:tc>
            </w:tr>
          </w:tbl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Powyższe szacunki oparto na danych KNF </w:t>
            </w: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przy założeniu, że projektowana regulacja będzie dotyczyć wypłaty wyłącznie świadczeń rentowych (</w:t>
            </w: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u w:val="single"/>
                <w:lang w:eastAsia="en-US"/>
              </w:rPr>
              <w:t>nie uwzględniono pozostałych roszczeń za szkody osobowe z tytułu umów ubezpieczenia</w:t>
            </w: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)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, że obowiązywać będzie od początku 2017 r.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br/>
              <w:t xml:space="preserve">oraz, że koszt wypłat rent wygasłych w danym roku ponoszony będzie dopiero od roku następnego – np. w przypadku rent wygasłych do końca roku 2016 koszt ich wypłat przez UFG został uwzględniony od roku 2017.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W szacunkach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u w:val="single"/>
                <w:lang w:eastAsia="en-US"/>
              </w:rPr>
              <w:t>nie uwzględniono ograniczenia wynikającego z projektowanej regulacji, że wypłata świadczeń przez UFG będzie kontynuowana do momentu wyczerpania się aktualnie obowiązującej wysokości sumy gwarancyjnej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. </w:t>
            </w: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Zaprezentowane skutki są więc skutkami maksymalnymi.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Należy zauważyć, że zgodnie z art. 117 ust. 1 ustawy </w:t>
            </w:r>
            <w:r w:rsidRPr="00E73B8C">
              <w:rPr>
                <w:rFonts w:eastAsia="Calibri" w:cs="Times New Roman"/>
                <w:i/>
                <w:color w:val="000000"/>
                <w:sz w:val="21"/>
                <w:szCs w:val="21"/>
                <w:lang w:eastAsia="en-US"/>
              </w:rPr>
              <w:t>o ubezpieczeniach obowiązkowych, Ubezpieczeniowym Funduszu Gwarancyjnym i Polskim Biurze Ubezpieczycieli Komunikacyjnych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 koszty działalności Funduszu pokrywane są z jego dochodów, których podstawowym źródłem są wpłaty wnoszone przez zakłady ubezpieczeń prowadzące działalność w zakresie ubezpieczeń OC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br/>
              <w:t>(w 2015 r. stanowiły 37,6% przychodów UFG).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Wysokość wnoszonej przez zakłady ubezpieczeń wpłaty jest uzależniona od stanu finansów Funduszu (uwzględniającej konieczność zagwarantowania płynności finansowej Funduszu oraz możliwość udzielenia przez Fundusz zwrotnej pomocy finansowej) i wynika z rozporządzenia Ministra Finansów. – obecnie wynosi 1,3% przypisanej składki brutto w danym roku kalendarzowym z ubezpieczeń OC posiadaczy pojazdów mechanicznych i OC rolników.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lastRenderedPageBreak/>
              <w:t xml:space="preserve">Biorąc pod uwagę sytuację finansową UFG, wzrost zobowiązań Funduszu może oznaczać, że zobowiązania te zostaną pokryte przez wszystkie zakłady ubezpieczeń poprzez wzrost wnoszonych przez nie opłat.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</w:pP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Zakłady ubezpieczeniowe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u w:val="single"/>
                <w:lang w:eastAsia="en-US"/>
              </w:rPr>
              <w:t>Konieczność przekazania dodatkowych środków do UFG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 może z kolei oznaczać konieczność podniesienia przez zakłady ubezpieczeń składek ubezpieczeniowych w obowiązkowych ubezpieczeniach OC. Zgodnie bowiem z art. 33 ust. 2 ustawy </w:t>
            </w:r>
            <w:r w:rsidRPr="00E73B8C">
              <w:rPr>
                <w:rFonts w:eastAsia="Calibri" w:cs="Times New Roman"/>
                <w:i/>
                <w:color w:val="000000"/>
                <w:sz w:val="21"/>
                <w:szCs w:val="21"/>
                <w:lang w:eastAsia="en-US"/>
              </w:rPr>
              <w:t xml:space="preserve">o działalności ubezpieczeniowej </w:t>
            </w:r>
            <w:r w:rsidRPr="00E73B8C">
              <w:rPr>
                <w:rFonts w:eastAsia="Calibri" w:cs="Times New Roman"/>
                <w:i/>
                <w:color w:val="000000"/>
                <w:sz w:val="21"/>
                <w:szCs w:val="21"/>
                <w:lang w:eastAsia="en-US"/>
              </w:rPr>
              <w:br/>
              <w:t>i reasekuracyjnej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 składkę ubezpieczeniową ustala się w wysokości, która zapewnia co najmniej wykonanie wszystkich zobowiązań z umów ubezpieczenia i pokrycie kosztów wykonywania działalności ubezpieczeniowej zakładu ubezpieczeń.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Należy zauważyć, że sektor ubezpieczeń w zakresie ubezpieczeń komunikacyjnych OC w latach 2011–2015 oraz po I połowie 2016 r. wykazuje coroczne straty, co oznacza, że składki pobierane przez zakłady przy zawieraniu umów ubezpieczeniowych już obecnie nie wystarczają na pokrycie odszkodowań, świadczeń i kosztów, które zakłady ponoszą w ramach realizacji zawartych umów.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Projektowana regulacja może pogłębić zjawisko wzrostu cen ubezpieczeń OC, będące efektem dostosowywania składek ubezpieczeniowych do kosztów świadczonej ochrony ubezpieczeniowej,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br/>
              <w:t xml:space="preserve">z którym mamy do czynienia w ostatnich czasie. Uwzględniając jednak wartość powyższych zobowiązań oraz liczbę czynnych polis OC, można przypuszczać, że </w:t>
            </w: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wzrost ceny pojedynczego ubezpieczenia będzie nieznaczny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. Szacuje się, że wyniesie on od 15 do 60 gr (przy założeniu, że liczba czynnych umów obowiązkowego OC posiadaczy pojazdów mechanicznych pozostanie na poziomie z 2016 r.).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Wg szacunków PZU wzrost składek wnoszonych przez zakłady ubezpieczeń w skali całego rynku może sięgać dodatkowych 15-20% obecnych składek (tj. około 20-25 mln zł rocznie).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u w:val="single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u w:val="single"/>
                <w:lang w:eastAsia="en-US"/>
              </w:rPr>
              <w:t xml:space="preserve">Ostateczny koszt projektowanego rozwiązania zostanie poniesiony przez konsumentów (osoby wykupujące polisy ubezpieczeniowe).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Obywatele, gospodarstwa domowe:</w:t>
            </w:r>
          </w:p>
          <w:p w:rsidR="00E73B8C" w:rsidRPr="00E73B8C" w:rsidRDefault="00E73B8C" w:rsidP="00E73B8C">
            <w:pPr>
              <w:widowControl/>
              <w:numPr>
                <w:ilvl w:val="0"/>
                <w:numId w:val="48"/>
              </w:numPr>
              <w:autoSpaceDE/>
              <w:autoSpaceDN/>
              <w:adjustRightInd/>
              <w:spacing w:before="120" w:line="240" w:lineRule="auto"/>
              <w:ind w:left="343" w:hanging="343"/>
              <w:contextualSpacing/>
              <w:jc w:val="left"/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poszkodowani w wypadkach, którym zaprzestano wypłaty świadczeń ze względu na wyczerpanie się sumy gwarancyjnej oraz zagrożeni wyczerpaniem sumy gwarancyjnej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ind w:left="343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Osoby poszkodowane, w przypadku których nastąpiło wyczerpanie się sumy gwarancyjnej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br/>
              <w:t xml:space="preserve">w ubezpieczeniach OC posiadaczy pojazdów mechanicznych i ubezpieczeniach OC rolników, będą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br/>
              <w:t>w dalszym ciągu otrzymywać przyznane im świadczenia o charakterze ciągłym (tj. renty).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ind w:left="343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Przeciętna miesięczna wysokość renty, której wypłat zaprzestano do 30 września 2016 r. wynosi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highlight w:val="yellow"/>
                <w:lang w:eastAsia="en-US"/>
              </w:rPr>
              <w:t xml:space="preserve">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3 911 zł, natomiast przeciętna miesięczna wysokość rent, dla których przewiduje się wyczerpanie w latach 2016–2026, wynosi 4 253 zł.</w:t>
            </w:r>
          </w:p>
          <w:p w:rsidR="00E73B8C" w:rsidRPr="00E73B8C" w:rsidRDefault="00E73B8C" w:rsidP="00E73B8C">
            <w:pPr>
              <w:widowControl/>
              <w:numPr>
                <w:ilvl w:val="0"/>
                <w:numId w:val="48"/>
              </w:numPr>
              <w:autoSpaceDE/>
              <w:autoSpaceDN/>
              <w:adjustRightInd/>
              <w:spacing w:before="120" w:line="240" w:lineRule="auto"/>
              <w:ind w:left="343" w:hanging="343"/>
              <w:contextualSpacing/>
              <w:jc w:val="left"/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1"/>
                <w:szCs w:val="21"/>
                <w:lang w:eastAsia="en-US"/>
              </w:rPr>
              <w:t>posiadacze pojazdów mechanicznych oraz rolnicy objęci obowiązkowym ubezpieczeniem OC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ind w:left="343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Projektowana regulacja pośrednio wpłynie na sytuację posiadaczy pojazdów mechanicznych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br/>
              <w:t xml:space="preserve">i rolników, gdyż te grupy obywateli pokryją zakładany 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u w:val="single"/>
                <w:lang w:eastAsia="en-US"/>
              </w:rPr>
              <w:t>wzrost cen obowiązkowych ubezpieczeń OC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. 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ind w:left="343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Wg danych publikowanych przez KNF w </w:t>
            </w:r>
            <w:r w:rsidRPr="00E73B8C">
              <w:rPr>
                <w:rFonts w:eastAsia="Calibri" w:cs="Times New Roman"/>
                <w:i/>
                <w:color w:val="000000"/>
                <w:sz w:val="21"/>
                <w:szCs w:val="21"/>
                <w:lang w:eastAsia="en-US"/>
              </w:rPr>
              <w:t>Biuletynie Kwartalnym. Rynek ubezpieczeń 4/2016</w:t>
            </w: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 xml:space="preserve"> liczba aktywnych umów ubezpieczenia OC posiadaczy pojazdów mechanicznych na koniec 2016 r. wynosiła około 23,8 mln. Zatem prognozowane skutki omawianego projektu w przeliczeniu na jedną umowę wyniosą od 15 gr w pierwszym roku funkcjonowania ustawy do 60 gr w dziesiątym roku funkcjonowania ustawy.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before="120" w:line="240" w:lineRule="auto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  <w:t>Projektowane zmiany per saldo będą neutralne dla obywateli – jedna grupa zyska, druga straci w tej samej wysokości.</w:t>
            </w:r>
          </w:p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ind w:left="60"/>
              <w:rPr>
                <w:rFonts w:eastAsia="Calibri" w:cs="Times New Roman"/>
                <w:color w:val="000000"/>
                <w:sz w:val="21"/>
                <w:szCs w:val="21"/>
                <w:lang w:eastAsia="en-US"/>
              </w:rPr>
            </w:pPr>
          </w:p>
        </w:tc>
      </w:tr>
      <w:tr w:rsidR="00E73B8C" w:rsidRPr="00E73B8C" w:rsidTr="00A52BE4">
        <w:trPr>
          <w:trHeight w:val="342"/>
        </w:trPr>
        <w:tc>
          <w:tcPr>
            <w:tcW w:w="11199" w:type="dxa"/>
            <w:gridSpan w:val="25"/>
            <w:shd w:val="clear" w:color="auto" w:fill="99CCFF"/>
            <w:vAlign w:val="center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lastRenderedPageBreak/>
              <w:t xml:space="preserve"> Zmiana obciążeń regulacyjnych (w tym obowiązków informacyjnych) wynikających z projektu</w:t>
            </w:r>
          </w:p>
        </w:tc>
      </w:tr>
      <w:tr w:rsidR="00E73B8C" w:rsidRPr="00E73B8C" w:rsidTr="00A52BE4">
        <w:trPr>
          <w:trHeight w:val="458"/>
        </w:trPr>
        <w:tc>
          <w:tcPr>
            <w:tcW w:w="11199" w:type="dxa"/>
            <w:gridSpan w:val="25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instrText xml:space="preserve"> FORMCHECKBOX </w:instrText>
            </w:r>
            <w:r w:rsidR="00CA1AE3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r>
            <w:r w:rsidR="00CA1AE3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fldChar w:fldCharType="separate"/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fldChar w:fldCharType="end"/>
            </w: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nie dotyczy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99CCFF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 xml:space="preserve">Wpływ na rynek pracy </w:t>
            </w:r>
          </w:p>
        </w:tc>
      </w:tr>
      <w:tr w:rsidR="00E73B8C" w:rsidRPr="00E73B8C" w:rsidTr="00A52BE4">
        <w:trPr>
          <w:trHeight w:val="314"/>
        </w:trPr>
        <w:tc>
          <w:tcPr>
            <w:tcW w:w="11199" w:type="dxa"/>
            <w:gridSpan w:val="25"/>
            <w:shd w:val="clear" w:color="auto" w:fill="auto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>Nie dotyczy.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99CCFF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>Wpływ na pozostałe obszary</w:t>
            </w:r>
          </w:p>
        </w:tc>
      </w:tr>
      <w:tr w:rsidR="00E73B8C" w:rsidRPr="00E73B8C" w:rsidTr="00A52BE4">
        <w:trPr>
          <w:trHeight w:val="454"/>
        </w:trPr>
        <w:tc>
          <w:tcPr>
            <w:tcW w:w="2243" w:type="dxa"/>
            <w:gridSpan w:val="2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jc w:val="left"/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z w:val="22"/>
                <w:szCs w:val="22"/>
                <w:lang w:eastAsia="en-US"/>
              </w:rPr>
              <w:t>Omówienie wpływu</w:t>
            </w:r>
          </w:p>
        </w:tc>
        <w:tc>
          <w:tcPr>
            <w:tcW w:w="8956" w:type="dxa"/>
            <w:gridSpan w:val="23"/>
            <w:shd w:val="clear" w:color="auto" w:fill="FFFFFF"/>
            <w:vAlign w:val="center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  <w:t>Nie dotyczy.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99CCFF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spacing w:val="-2"/>
                <w:sz w:val="21"/>
                <w:szCs w:val="21"/>
                <w:lang w:eastAsia="en-US"/>
              </w:rPr>
              <w:lastRenderedPageBreak/>
              <w:t>Planowane wykonanie przepisów aktu prawnego</w:t>
            </w:r>
          </w:p>
        </w:tc>
      </w:tr>
      <w:tr w:rsidR="00E73B8C" w:rsidRPr="00E73B8C" w:rsidTr="00A52BE4">
        <w:trPr>
          <w:trHeight w:val="313"/>
        </w:trPr>
        <w:tc>
          <w:tcPr>
            <w:tcW w:w="11199" w:type="dxa"/>
            <w:gridSpan w:val="25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spacing w:val="-2"/>
                <w:sz w:val="22"/>
                <w:szCs w:val="22"/>
                <w:lang w:eastAsia="en-US"/>
              </w:rPr>
              <w:t>Przepisy projektu będą miały zastosowanie od dnia jego wejścia w życie.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99CCFF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E73B8C">
              <w:rPr>
                <w:rFonts w:eastAsia="Calibri" w:cs="Times New Roman"/>
                <w:b/>
                <w:spacing w:val="-2"/>
                <w:sz w:val="21"/>
                <w:szCs w:val="21"/>
                <w:lang w:eastAsia="en-US"/>
              </w:rPr>
              <w:t>W jaki sposób i kiedy nastąpi ewaluacja efektów projektu oraz jakie mierniki zostaną zastosowane?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spacing w:val="-2"/>
                <w:sz w:val="22"/>
                <w:szCs w:val="22"/>
                <w:lang w:eastAsia="en-US"/>
              </w:rPr>
              <w:t>Ewaluacja efektów powinna zostać przeprowadzona po upływie 5 lat od momentu przyjęcia projektu. Powinna ona uwzględniać w szczególności informacje czy obowiązująca suma gwarancyjna w ubezpieczeniach OC pozwala na zaspakajanie potrzeb poszkodowanych w wypadkach.</w:t>
            </w:r>
          </w:p>
        </w:tc>
      </w:tr>
      <w:tr w:rsidR="00E73B8C" w:rsidRPr="00E73B8C" w:rsidTr="00A52BE4">
        <w:trPr>
          <w:trHeight w:val="142"/>
        </w:trPr>
        <w:tc>
          <w:tcPr>
            <w:tcW w:w="11199" w:type="dxa"/>
            <w:gridSpan w:val="25"/>
            <w:shd w:val="clear" w:color="auto" w:fill="99CCFF"/>
          </w:tcPr>
          <w:p w:rsidR="00E73B8C" w:rsidRPr="00E73B8C" w:rsidRDefault="00E73B8C" w:rsidP="00E73B8C">
            <w:pPr>
              <w:widowControl/>
              <w:numPr>
                <w:ilvl w:val="0"/>
                <w:numId w:val="47"/>
              </w:numPr>
              <w:autoSpaceDE/>
              <w:autoSpaceDN/>
              <w:adjustRightInd/>
              <w:spacing w:before="60" w:after="60" w:line="240" w:lineRule="auto"/>
              <w:ind w:left="318" w:hanging="284"/>
              <w:jc w:val="left"/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  <w:t xml:space="preserve">Załączniki </w:t>
            </w:r>
            <w:r w:rsidRPr="00E73B8C">
              <w:rPr>
                <w:rFonts w:eastAsia="Calibri" w:cs="Times New Roman"/>
                <w:b/>
                <w:spacing w:val="-2"/>
                <w:sz w:val="21"/>
                <w:szCs w:val="21"/>
                <w:lang w:eastAsia="en-US"/>
              </w:rPr>
              <w:t>(istotne dokumenty źródłowe, badania, analizy itp.</w:t>
            </w:r>
            <w:r w:rsidRPr="00E73B8C">
              <w:rPr>
                <w:rFonts w:eastAsia="Calibri" w:cs="Times New Roman"/>
                <w:b/>
                <w:color w:val="000000"/>
                <w:spacing w:val="-2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E73B8C" w:rsidRPr="00E73B8C" w:rsidTr="00A52BE4">
        <w:trPr>
          <w:trHeight w:val="310"/>
        </w:trPr>
        <w:tc>
          <w:tcPr>
            <w:tcW w:w="11199" w:type="dxa"/>
            <w:gridSpan w:val="25"/>
            <w:shd w:val="clear" w:color="auto" w:fill="FFFFFF"/>
          </w:tcPr>
          <w:p w:rsidR="00E73B8C" w:rsidRPr="00E73B8C" w:rsidRDefault="00E73B8C" w:rsidP="00E73B8C">
            <w:pPr>
              <w:widowControl/>
              <w:autoSpaceDE/>
              <w:autoSpaceDN/>
              <w:adjustRightInd/>
              <w:spacing w:line="240" w:lineRule="auto"/>
              <w:rPr>
                <w:rFonts w:eastAsia="Calibri" w:cs="Times New Roman"/>
                <w:color w:val="000000"/>
                <w:spacing w:val="-2"/>
                <w:sz w:val="22"/>
                <w:szCs w:val="22"/>
                <w:lang w:eastAsia="en-US"/>
              </w:rPr>
            </w:pPr>
            <w:r w:rsidRPr="00E73B8C">
              <w:rPr>
                <w:rFonts w:eastAsia="Calibri" w:cs="Times New Roman"/>
                <w:color w:val="000000"/>
                <w:spacing w:val="-2"/>
                <w:sz w:val="22"/>
                <w:szCs w:val="18"/>
                <w:lang w:eastAsia="en-US"/>
              </w:rPr>
              <w:t>Brak.</w:t>
            </w:r>
          </w:p>
        </w:tc>
      </w:tr>
    </w:tbl>
    <w:p w:rsidR="00E73B8C" w:rsidRPr="00E73B8C" w:rsidRDefault="00E73B8C" w:rsidP="00A72F55">
      <w:pPr>
        <w:keepNext/>
        <w:widowControl/>
        <w:autoSpaceDE/>
        <w:autoSpaceDN/>
        <w:adjustRightInd/>
        <w:spacing w:before="240" w:after="60" w:line="240" w:lineRule="auto"/>
        <w:jc w:val="left"/>
        <w:outlineLvl w:val="0"/>
        <w:rPr>
          <w:rFonts w:eastAsia="Times New Roman"/>
          <w:b/>
          <w:bCs/>
          <w:kern w:val="32"/>
          <w:sz w:val="20"/>
        </w:rPr>
      </w:pPr>
    </w:p>
    <w:p w:rsidR="000B2B1E" w:rsidRPr="001B342E" w:rsidRDefault="000B2B1E" w:rsidP="00C70646"/>
    <w:sectPr w:rsidR="000B2B1E" w:rsidRPr="001B342E" w:rsidSect="00B47617">
      <w:headerReference w:type="default" r:id="rId13"/>
      <w:pgSz w:w="11906" w:h="16838"/>
      <w:pgMar w:top="256" w:right="707" w:bottom="568" w:left="720" w:header="27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9C7" w:rsidRDefault="00DB79C7">
      <w:r>
        <w:separator/>
      </w:r>
    </w:p>
  </w:endnote>
  <w:endnote w:type="continuationSeparator" w:id="0">
    <w:p w:rsidR="00DB79C7" w:rsidRDefault="00DB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9C7" w:rsidRDefault="00DB79C7">
      <w:r>
        <w:separator/>
      </w:r>
    </w:p>
  </w:footnote>
  <w:footnote w:type="continuationSeparator" w:id="0">
    <w:p w:rsidR="00DB79C7" w:rsidRDefault="00DB7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4FA" w:rsidRPr="00B371CC" w:rsidRDefault="007204F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A72F5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A1AE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E59" w:rsidRPr="00B371CC" w:rsidRDefault="00A72F5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A1AE3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B8C" w:rsidRPr="00E73B8C" w:rsidRDefault="00E73B8C" w:rsidP="00E73B8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3073A96"/>
    <w:multiLevelType w:val="hybridMultilevel"/>
    <w:tmpl w:val="997EE8B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6"/>
  </w:num>
  <w:num w:numId="12">
    <w:abstractNumId w:val="11"/>
  </w:num>
  <w:num w:numId="13">
    <w:abstractNumId w:val="17"/>
  </w:num>
  <w:num w:numId="14">
    <w:abstractNumId w:val="29"/>
  </w:num>
  <w:num w:numId="15">
    <w:abstractNumId w:val="16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1"/>
  </w:num>
  <w:num w:numId="32">
    <w:abstractNumId w:val="12"/>
  </w:num>
  <w:num w:numId="33">
    <w:abstractNumId w:val="34"/>
  </w:num>
  <w:num w:numId="34">
    <w:abstractNumId w:val="22"/>
  </w:num>
  <w:num w:numId="35">
    <w:abstractNumId w:val="19"/>
  </w:num>
  <w:num w:numId="36">
    <w:abstractNumId w:val="24"/>
  </w:num>
  <w:num w:numId="37">
    <w:abstractNumId w:val="30"/>
  </w:num>
  <w:num w:numId="38">
    <w:abstractNumId w:val="27"/>
  </w:num>
  <w:num w:numId="39">
    <w:abstractNumId w:val="15"/>
  </w:num>
  <w:num w:numId="40">
    <w:abstractNumId w:val="33"/>
  </w:num>
  <w:num w:numId="41">
    <w:abstractNumId w:val="31"/>
  </w:num>
  <w:num w:numId="42">
    <w:abstractNumId w:val="23"/>
  </w:num>
  <w:num w:numId="43">
    <w:abstractNumId w:val="38"/>
  </w:num>
  <w:num w:numId="44">
    <w:abstractNumId w:val="14"/>
  </w:num>
  <w:num w:numId="45">
    <w:abstractNumId w:val="32"/>
  </w:num>
  <w:num w:numId="46">
    <w:abstractNumId w:val="10"/>
  </w:num>
  <w:num w:numId="47">
    <w:abstractNumId w:val="26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9C7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2B1E"/>
    <w:rsid w:val="000B5B2D"/>
    <w:rsid w:val="000B5DCE"/>
    <w:rsid w:val="000C05BA"/>
    <w:rsid w:val="000C0E8F"/>
    <w:rsid w:val="000C1037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E7AA8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0F79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F55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47617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A1AE3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B79C7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3B8C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C7222"/>
    <w:rsid w:val="00ED2072"/>
    <w:rsid w:val="00ED5553"/>
    <w:rsid w:val="00ED5E36"/>
    <w:rsid w:val="00ED6961"/>
    <w:rsid w:val="00EF0B96"/>
    <w:rsid w:val="00EF47AF"/>
    <w:rsid w:val="00F00B73"/>
    <w:rsid w:val="00F07AA9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 w:uiPriority="0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B2B1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0B2B1E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B2B1E"/>
    <w:rPr>
      <w:rFonts w:ascii="Times New Roman" w:hAnsi="Times New Roman"/>
      <w:szCs w:val="20"/>
    </w:rPr>
  </w:style>
  <w:style w:type="character" w:customStyle="1" w:styleId="Ppogrubienie">
    <w:name w:val="_P_ – pogrubienie"/>
    <w:basedOn w:val="Domylnaczcionkaakapitu"/>
    <w:uiPriority w:val="1"/>
    <w:qFormat/>
    <w:rsid w:val="000C1037"/>
    <w:rPr>
      <w:b/>
    </w:rPr>
  </w:style>
  <w:style w:type="paragraph" w:styleId="NormalnyWeb">
    <w:name w:val="Normal (Web)"/>
    <w:basedOn w:val="Normalny"/>
    <w:uiPriority w:val="99"/>
    <w:semiHidden/>
    <w:unhideWhenUsed/>
    <w:rsid w:val="00E73B8C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 w:uiPriority="0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B2B1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0B2B1E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B2B1E"/>
    <w:rPr>
      <w:rFonts w:ascii="Times New Roman" w:hAnsi="Times New Roman"/>
      <w:szCs w:val="20"/>
    </w:rPr>
  </w:style>
  <w:style w:type="character" w:customStyle="1" w:styleId="Ppogrubienie">
    <w:name w:val="_P_ – pogrubienie"/>
    <w:basedOn w:val="Domylnaczcionkaakapitu"/>
    <w:uiPriority w:val="1"/>
    <w:qFormat/>
    <w:rsid w:val="000C1037"/>
    <w:rPr>
      <w:b/>
    </w:rPr>
  </w:style>
  <w:style w:type="paragraph" w:styleId="NormalnyWeb">
    <w:name w:val="Normal (Web)"/>
    <w:basedOn w:val="Normalny"/>
    <w:uiPriority w:val="99"/>
    <w:semiHidden/>
    <w:unhideWhenUsed/>
    <w:rsid w:val="00E73B8C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arlament2015.pkw.gov.pl/351_Wyniki_Senat/0/0/86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377D8-5398-4947-A271-E3AD7FCF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0</TotalTime>
  <Pages>13</Pages>
  <Words>3696</Words>
  <Characters>24051</Characters>
  <Application>Microsoft Office Word</Application>
  <DocSecurity>0</DocSecurity>
  <Lines>200</Lines>
  <Paragraphs>55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27692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Ewa A. Genert</cp:lastModifiedBy>
  <cp:revision>2</cp:revision>
  <cp:lastPrinted>2017-05-18T08:08:00Z</cp:lastPrinted>
  <dcterms:created xsi:type="dcterms:W3CDTF">2017-06-07T10:40:00Z</dcterms:created>
  <dcterms:modified xsi:type="dcterms:W3CDTF">2017-06-07T10:40:00Z</dcterms:modified>
</cp:coreProperties>
</file>