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867" w:rsidRPr="00046867" w:rsidRDefault="00046867" w:rsidP="00046867">
      <w:pPr>
        <w:suppressAutoHyphens/>
        <w:spacing w:after="0" w:line="360" w:lineRule="auto"/>
        <w:jc w:val="center"/>
        <w:rPr>
          <w:rFonts w:ascii="Times New Roman" w:eastAsia="Times New Roman" w:hAnsi="Times New Roman" w:cs="Times New Roman"/>
          <w:sz w:val="24"/>
          <w:szCs w:val="24"/>
          <w:lang w:eastAsia="ar-SA"/>
        </w:rPr>
      </w:pPr>
      <w:bookmarkStart w:id="0" w:name="_GoBack"/>
      <w:bookmarkEnd w:id="0"/>
      <w:r w:rsidRPr="00046867">
        <w:rPr>
          <w:rFonts w:ascii="Times New Roman" w:eastAsia="Times New Roman" w:hAnsi="Times New Roman" w:cs="Times New Roman"/>
          <w:sz w:val="24"/>
          <w:szCs w:val="24"/>
          <w:lang w:eastAsia="ar-SA"/>
        </w:rPr>
        <w:t xml:space="preserve">UZASADNIENIE </w:t>
      </w:r>
    </w:p>
    <w:p w:rsidR="00046867" w:rsidRPr="00046867" w:rsidRDefault="00046867" w:rsidP="00046867">
      <w:pPr>
        <w:suppressAutoHyphens/>
        <w:spacing w:before="120" w:after="0" w:line="360" w:lineRule="auto"/>
        <w:jc w:val="both"/>
        <w:rPr>
          <w:rFonts w:ascii="Times New Roman" w:eastAsia="Times New Roman" w:hAnsi="Times New Roman" w:cs="Times New Roman"/>
          <w:b/>
          <w:sz w:val="24"/>
          <w:szCs w:val="24"/>
          <w:lang w:eastAsia="ar-SA"/>
        </w:rPr>
      </w:pPr>
      <w:r w:rsidRPr="00046867">
        <w:rPr>
          <w:rFonts w:ascii="Times New Roman" w:eastAsia="Times New Roman" w:hAnsi="Times New Roman" w:cs="Times New Roman"/>
          <w:sz w:val="24"/>
          <w:szCs w:val="24"/>
          <w:lang w:eastAsia="ar-SA"/>
        </w:rPr>
        <w:t>Projektowana nowelizacja ustawy o zasadach realizacji programów w zakresie polityki spójności finansowanych w perspektywie finansowej 2014–2020 jest wynikiem dwuletnich doświadczeń we wdrażaniu programów operacyjnych polityki spójności w perspektywie finansowej 2014–2020. Celem projektu jest wprowadzenie usprawnień, uproszczeń i zapewnienie efektywnego wykorzystania środków funduszy Unii Europejskiej. Proponowane przepisy są odpowiedzią na wnioski i postulaty zgłaszane przez instytucje oraz podmioty zaangażowane we wdrażanie i wydatkowanie środków perspektywy finansowej 2014–2020.</w:t>
      </w:r>
    </w:p>
    <w:p w:rsidR="00046867" w:rsidRPr="00046867" w:rsidRDefault="00046867" w:rsidP="00046867">
      <w:pPr>
        <w:suppressAutoHyphens/>
        <w:spacing w:before="120" w:after="0" w:line="360" w:lineRule="auto"/>
        <w:jc w:val="both"/>
        <w:rPr>
          <w:rFonts w:ascii="Times New Roman" w:eastAsia="Times New Roman" w:hAnsi="Times New Roman" w:cs="Times New Roman"/>
          <w:b/>
          <w:sz w:val="24"/>
          <w:szCs w:val="24"/>
          <w:lang w:eastAsia="ar-SA"/>
        </w:rPr>
      </w:pPr>
      <w:r w:rsidRPr="00046867">
        <w:rPr>
          <w:rFonts w:ascii="Times New Roman" w:eastAsia="Times New Roman" w:hAnsi="Times New Roman" w:cs="Times New Roman"/>
          <w:b/>
          <w:sz w:val="24"/>
          <w:szCs w:val="24"/>
          <w:lang w:eastAsia="ar-SA"/>
        </w:rPr>
        <w:t>Uzasadnienie szczegółowe</w:t>
      </w:r>
    </w:p>
    <w:p w:rsidR="00046867" w:rsidRPr="00046867" w:rsidRDefault="00046867" w:rsidP="00046867">
      <w:pPr>
        <w:suppressAutoHyphens/>
        <w:spacing w:before="120" w:after="0" w:line="360" w:lineRule="auto"/>
        <w:jc w:val="both"/>
        <w:rPr>
          <w:rFonts w:ascii="Times New Roman" w:eastAsia="Times New Roman" w:hAnsi="Times New Roman" w:cs="Times New Roman"/>
          <w:b/>
          <w:bCs/>
          <w:sz w:val="24"/>
          <w:szCs w:val="24"/>
          <w:lang w:eastAsia="ar-SA"/>
        </w:rPr>
      </w:pPr>
      <w:r w:rsidRPr="00046867">
        <w:rPr>
          <w:rFonts w:ascii="Times New Roman" w:eastAsia="Times New Roman" w:hAnsi="Times New Roman" w:cs="Times New Roman"/>
          <w:b/>
          <w:sz w:val="24"/>
          <w:szCs w:val="24"/>
          <w:lang w:eastAsia="ar-SA"/>
        </w:rPr>
        <w:t>W art. 1 wprowadza się zmiany do ustawy z dnia 11 lipca 2014 r. o zasadach realizacji programów w zakresie polityki spójności finansowanych w perspektywie finansowej 2014–2020</w:t>
      </w:r>
      <w:r w:rsidRPr="00046867">
        <w:rPr>
          <w:rFonts w:ascii="Times New Roman" w:eastAsia="Times New Roman" w:hAnsi="Times New Roman" w:cs="Times New Roman"/>
          <w:sz w:val="24"/>
          <w:szCs w:val="24"/>
          <w:lang w:eastAsia="ar-SA"/>
        </w:rPr>
        <w:t>, które obejmują:</w:t>
      </w:r>
    </w:p>
    <w:p w:rsidR="00046867" w:rsidRPr="00966E19" w:rsidRDefault="00046867" w:rsidP="00046867">
      <w:pPr>
        <w:numPr>
          <w:ilvl w:val="0"/>
          <w:numId w:val="1"/>
        </w:numPr>
        <w:tabs>
          <w:tab w:val="num" w:pos="284"/>
        </w:tabs>
        <w:suppressAutoHyphens/>
        <w:spacing w:before="120" w:after="0" w:line="360" w:lineRule="auto"/>
        <w:ind w:left="284" w:hanging="284"/>
        <w:jc w:val="both"/>
        <w:rPr>
          <w:rFonts w:ascii="Times New Roman" w:eastAsia="Times New Roman" w:hAnsi="Times New Roman" w:cs="Times New Roman"/>
          <w:bCs/>
          <w:sz w:val="24"/>
          <w:szCs w:val="24"/>
          <w:lang w:eastAsia="ar-SA"/>
        </w:rPr>
      </w:pPr>
      <w:r w:rsidRPr="00966E19">
        <w:rPr>
          <w:rFonts w:ascii="Times New Roman" w:eastAsia="Times New Roman" w:hAnsi="Times New Roman" w:cs="Times New Roman"/>
          <w:bCs/>
          <w:sz w:val="24"/>
          <w:szCs w:val="24"/>
          <w:lang w:eastAsia="ar-SA"/>
        </w:rPr>
        <w:t>ZDEFINIOWANIE POJĘĆ: DOFINANSOWANIE, KRYTERIA WYBORU PROJEKTÓW ORAZ WARUNKI FORMALNE</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bCs/>
          <w:sz w:val="24"/>
          <w:szCs w:val="24"/>
          <w:lang w:eastAsia="ar-SA"/>
        </w:rPr>
        <w:t>W art. 2 pkt 4 dokonano zmiany definicji dofinansowania poprzez literalne ograniczenie zakresu dofinansowania do środków przyznawanych i przekazywanych na podstawie umowy/decyzji o dofinansowanie, o których mowa w</w:t>
      </w:r>
      <w:r w:rsidR="00C57D3E">
        <w:rPr>
          <w:rFonts w:ascii="Times New Roman" w:eastAsia="Times New Roman" w:hAnsi="Times New Roman" w:cs="Times New Roman"/>
          <w:bCs/>
          <w:sz w:val="24"/>
          <w:szCs w:val="24"/>
          <w:lang w:eastAsia="ar-SA"/>
        </w:rPr>
        <w:t xml:space="preserve"> ustawie, z uwagi na fakt, iż w </w:t>
      </w:r>
      <w:r w:rsidRPr="00046867">
        <w:rPr>
          <w:rFonts w:ascii="Times New Roman" w:eastAsia="Times New Roman" w:hAnsi="Times New Roman" w:cs="Times New Roman"/>
          <w:bCs/>
          <w:sz w:val="24"/>
          <w:szCs w:val="24"/>
          <w:lang w:eastAsia="ar-SA"/>
        </w:rPr>
        <w:t>niektórych przypadkach środki zaliczane na pocze</w:t>
      </w:r>
      <w:r w:rsidR="00C57D3E">
        <w:rPr>
          <w:rFonts w:ascii="Times New Roman" w:eastAsia="Times New Roman" w:hAnsi="Times New Roman" w:cs="Times New Roman"/>
          <w:bCs/>
          <w:sz w:val="24"/>
          <w:szCs w:val="24"/>
          <w:lang w:eastAsia="ar-SA"/>
        </w:rPr>
        <w:t>t współfinansowania krajowego z </w:t>
      </w:r>
      <w:r w:rsidRPr="00046867">
        <w:rPr>
          <w:rFonts w:ascii="Times New Roman" w:eastAsia="Times New Roman" w:hAnsi="Times New Roman" w:cs="Times New Roman"/>
          <w:bCs/>
          <w:sz w:val="24"/>
          <w:szCs w:val="24"/>
          <w:lang w:eastAsia="ar-SA"/>
        </w:rPr>
        <w:t>budżetu państwa są przyznawane na podstawie innych przepisów i nie są objęte umową/decyzją o dofinansowaniu (przykładowo na podstawie umowy dotacji celowej). Środki te podlegają wydatkowaniu i rozliczaniu na zasadach innych niż dofinansowanie przekazywane przez instytucję zarządzającą/pośredniczącą/wdrażającą, a zasady te określa właściwy dysponent – projektowana zmiana definicji ma na celu odzwierciedlenie stanu rzeczywistego i wprowadzenie takiego doprecyzowania pojęcia dofinansowania, aby jego zakres nie budził wątpliwości.</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sz w:val="24"/>
          <w:szCs w:val="24"/>
          <w:lang w:eastAsia="ar-SA"/>
        </w:rPr>
        <w:t>W</w:t>
      </w:r>
      <w:r w:rsidRPr="00046867">
        <w:rPr>
          <w:rFonts w:ascii="Times New Roman" w:eastAsia="Times New Roman" w:hAnsi="Times New Roman" w:cs="Times New Roman"/>
          <w:b/>
          <w:sz w:val="24"/>
          <w:szCs w:val="24"/>
          <w:lang w:eastAsia="ar-SA"/>
        </w:rPr>
        <w:t xml:space="preserve"> </w:t>
      </w:r>
      <w:r w:rsidRPr="00046867">
        <w:rPr>
          <w:rFonts w:ascii="Times New Roman" w:eastAsia="Times New Roman" w:hAnsi="Times New Roman" w:cs="Times New Roman"/>
          <w:bCs/>
          <w:sz w:val="24"/>
          <w:szCs w:val="24"/>
          <w:lang w:eastAsia="ar-SA"/>
        </w:rPr>
        <w:t>art. 2 pkt 13a wprowadzono definicję kryteriów wyboru projektów. Przez kryteria wyboru projektów należy rozumieć wyłącznie kryteria umożliwiające ocenę projektu opisanego we wniosku o dofinansowanie, jego wybór do dofinansowania i zawarcie umowy lub podjęcie decyzji o dofinansowaniu zgodne z warunkami, o których mowa w</w:t>
      </w:r>
      <w:r w:rsidR="00C57D3E">
        <w:rPr>
          <w:rFonts w:ascii="Times New Roman" w:eastAsia="Times New Roman" w:hAnsi="Times New Roman" w:cs="Times New Roman"/>
          <w:bCs/>
          <w:sz w:val="24"/>
          <w:szCs w:val="24"/>
          <w:lang w:eastAsia="ar-SA"/>
        </w:rPr>
        <w:t> </w:t>
      </w:r>
      <w:r w:rsidRPr="00046867">
        <w:rPr>
          <w:rFonts w:ascii="Times New Roman" w:eastAsia="Times New Roman" w:hAnsi="Times New Roman" w:cs="Times New Roman"/>
          <w:bCs/>
          <w:sz w:val="24"/>
          <w:szCs w:val="24"/>
          <w:lang w:eastAsia="ar-SA"/>
        </w:rPr>
        <w:t xml:space="preserve">art. 125 ust. 3 lit. a </w:t>
      </w:r>
      <w:r w:rsidRPr="00046867">
        <w:rPr>
          <w:rFonts w:ascii="Times New Roman" w:eastAsia="Times New Roman" w:hAnsi="Times New Roman" w:cs="Times New Roman"/>
          <w:sz w:val="24"/>
          <w:szCs w:val="24"/>
          <w:lang w:eastAsia="ar-SA"/>
        </w:rPr>
        <w:t>Parlamentu Europejskiego i R</w:t>
      </w:r>
      <w:r w:rsidR="00C57D3E">
        <w:rPr>
          <w:rFonts w:ascii="Times New Roman" w:eastAsia="Times New Roman" w:hAnsi="Times New Roman" w:cs="Times New Roman"/>
          <w:sz w:val="24"/>
          <w:szCs w:val="24"/>
          <w:lang w:eastAsia="ar-SA"/>
        </w:rPr>
        <w:t>ady (UE) nr 1303/2013 z dnia 17 </w:t>
      </w:r>
      <w:r w:rsidRPr="00046867">
        <w:rPr>
          <w:rFonts w:ascii="Times New Roman" w:eastAsia="Times New Roman" w:hAnsi="Times New Roman" w:cs="Times New Roman"/>
          <w:sz w:val="24"/>
          <w:szCs w:val="24"/>
          <w:lang w:eastAsia="ar-SA"/>
        </w:rPr>
        <w:t xml:space="preserve">grudnia 2013 r. ustanawiającego wspólne przepisy dotyczące Europejskiego </w:t>
      </w:r>
      <w:r w:rsidRPr="00046867">
        <w:rPr>
          <w:rFonts w:ascii="Times New Roman" w:eastAsia="Times New Roman" w:hAnsi="Times New Roman" w:cs="Times New Roman"/>
          <w:sz w:val="24"/>
          <w:szCs w:val="24"/>
          <w:lang w:eastAsia="ar-SA"/>
        </w:rPr>
        <w:lastRenderedPageBreak/>
        <w:t>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w:t>
      </w:r>
      <w:r w:rsidR="00C57D3E">
        <w:rPr>
          <w:rFonts w:ascii="Times New Roman" w:eastAsia="Times New Roman" w:hAnsi="Times New Roman" w:cs="Times New Roman"/>
          <w:sz w:val="24"/>
          <w:szCs w:val="24"/>
          <w:lang w:eastAsia="ar-SA"/>
        </w:rPr>
        <w:t>opejskiego Funduszu Morskiego i </w:t>
      </w:r>
      <w:r w:rsidRPr="00046867">
        <w:rPr>
          <w:rFonts w:ascii="Times New Roman" w:eastAsia="Times New Roman" w:hAnsi="Times New Roman" w:cs="Times New Roman"/>
          <w:sz w:val="24"/>
          <w:szCs w:val="24"/>
          <w:lang w:eastAsia="ar-SA"/>
        </w:rPr>
        <w:t xml:space="preserve">Rybackiego oraz uchylającego rozporządzenie Rady (WE) nr 1083/2006 (Dz. Urz. UE L 347 z 20.12.2013, str. 320, z późn. zm.), zwanego dalej „rozporządzeniem ogólnym”, </w:t>
      </w:r>
      <w:r w:rsidRPr="00046867">
        <w:rPr>
          <w:rFonts w:ascii="Times New Roman" w:eastAsia="Times New Roman" w:hAnsi="Times New Roman" w:cs="Times New Roman"/>
          <w:bCs/>
          <w:sz w:val="24"/>
          <w:szCs w:val="24"/>
          <w:lang w:eastAsia="ar-SA"/>
        </w:rPr>
        <w:t>i zatwierdzane przez Komitet Monitorujący. Kryteria wyboru projektów obejmują zarówno dotychczasowe kryteria merytoryczne, jak i mogą obejmować kryteria formalne wyboru projektów. Spełnienie kryteriów wyboru projektów warunkuje wybranie projektu do dofinansowania i podpisanie umowy o dofinansowanie albo wydanie decyzji o dofinansowaniu projektu.</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W art. 2 pkt 27a wprowadzono definicję warunków formalnych, które oznaczają warunki formalne</w:t>
      </w:r>
      <w:r w:rsidRPr="00046867">
        <w:rPr>
          <w:rFonts w:ascii="Times New Roman" w:eastAsia="Times New Roman" w:hAnsi="Times New Roman" w:cs="Times New Roman"/>
          <w:sz w:val="24"/>
          <w:szCs w:val="24"/>
          <w:lang w:eastAsia="ar-SA"/>
        </w:rPr>
        <w:t xml:space="preserve"> </w:t>
      </w:r>
      <w:r w:rsidRPr="00046867">
        <w:rPr>
          <w:rFonts w:ascii="Times New Roman" w:eastAsia="Times New Roman" w:hAnsi="Times New Roman" w:cs="Times New Roman"/>
          <w:bCs/>
          <w:sz w:val="24"/>
          <w:szCs w:val="24"/>
          <w:lang w:eastAsia="ar-SA"/>
        </w:rPr>
        <w:t>odnoszące się do kompletności, for</w:t>
      </w:r>
      <w:r w:rsidR="00C57D3E">
        <w:rPr>
          <w:rFonts w:ascii="Times New Roman" w:eastAsia="Times New Roman" w:hAnsi="Times New Roman" w:cs="Times New Roman"/>
          <w:bCs/>
          <w:sz w:val="24"/>
          <w:szCs w:val="24"/>
          <w:lang w:eastAsia="ar-SA"/>
        </w:rPr>
        <w:t>my i terminu złożenia wniosku o </w:t>
      </w:r>
      <w:r w:rsidRPr="00046867">
        <w:rPr>
          <w:rFonts w:ascii="Times New Roman" w:eastAsia="Times New Roman" w:hAnsi="Times New Roman" w:cs="Times New Roman"/>
          <w:bCs/>
          <w:sz w:val="24"/>
          <w:szCs w:val="24"/>
          <w:lang w:eastAsia="ar-SA"/>
        </w:rPr>
        <w:t>dofinansowanie projektu, których weryfikacja odbywa się poprzez stwierdzenie spełniania albo niespełniania danego warunku.</w:t>
      </w:r>
    </w:p>
    <w:p w:rsidR="00046867" w:rsidRPr="00046867" w:rsidRDefault="00046867" w:rsidP="00046867">
      <w:pPr>
        <w:suppressAutoHyphens/>
        <w:spacing w:before="120" w:after="0" w:line="360" w:lineRule="auto"/>
        <w:jc w:val="both"/>
        <w:rPr>
          <w:rFonts w:ascii="Times New Roman" w:eastAsia="Times New Roman" w:hAnsi="Times New Roman" w:cs="Times New Roman"/>
          <w:b/>
          <w:bCs/>
          <w:sz w:val="24"/>
          <w:szCs w:val="24"/>
          <w:lang w:eastAsia="ar-SA"/>
        </w:rPr>
      </w:pPr>
      <w:r w:rsidRPr="00046867">
        <w:rPr>
          <w:rFonts w:ascii="Times New Roman" w:eastAsia="Times New Roman" w:hAnsi="Times New Roman" w:cs="Times New Roman"/>
          <w:bCs/>
          <w:sz w:val="24"/>
          <w:szCs w:val="24"/>
          <w:lang w:eastAsia="ar-SA"/>
        </w:rPr>
        <w:t>Dokonanie jednoznacznego podziału na kryteria wyboru projektów oraz warunki formalne ma na celu uniknięcie wątpliwości interpretacyjnych w zakresie sposobu uzupełniania wniosku o dofinansowanie oraz projektu na etapie wyboru projektów do dofinansowania. Sposób definiowania oraz weryfikacji, a także zakres warunków formalnych pozostaną w gestii instytucji zarządzających, niemniej stworzenie precyzyjnych definicji ww. pojęć ma na celu zapewnienie w miarę jednolitego sposobu klasyfikowania poszczególnych elementów wniosku o dofinansowanie projektu tak, aby uniknąć zróżnicowanego traktowania wnioskodawców w ramach poszczególnych programów operacyjnych, a nawet postępowań prowadzonych w ramach jednego programu. Dodatkowo proponowane zmiany będą p</w:t>
      </w:r>
      <w:r w:rsidR="00C57D3E">
        <w:rPr>
          <w:rFonts w:ascii="Times New Roman" w:eastAsia="Times New Roman" w:hAnsi="Times New Roman" w:cs="Times New Roman"/>
          <w:bCs/>
          <w:sz w:val="24"/>
          <w:szCs w:val="24"/>
          <w:lang w:eastAsia="ar-SA"/>
        </w:rPr>
        <w:t>rowadziły do uporządkowania i w </w:t>
      </w:r>
      <w:r w:rsidRPr="00046867">
        <w:rPr>
          <w:rFonts w:ascii="Times New Roman" w:eastAsia="Times New Roman" w:hAnsi="Times New Roman" w:cs="Times New Roman"/>
          <w:bCs/>
          <w:sz w:val="24"/>
          <w:szCs w:val="24"/>
          <w:lang w:eastAsia="ar-SA"/>
        </w:rPr>
        <w:t xml:space="preserve">konsekwencji przyspieszenia oraz ułatwienia dokonywania oceny projektu. </w:t>
      </w:r>
    </w:p>
    <w:p w:rsidR="00046867" w:rsidRPr="00966E19" w:rsidRDefault="00046867" w:rsidP="005D1102">
      <w:pPr>
        <w:numPr>
          <w:ilvl w:val="0"/>
          <w:numId w:val="1"/>
        </w:numPr>
        <w:tabs>
          <w:tab w:val="num" w:pos="284"/>
        </w:tabs>
        <w:suppressAutoHyphens/>
        <w:spacing w:before="240" w:after="0" w:line="360" w:lineRule="auto"/>
        <w:ind w:left="284" w:hanging="284"/>
        <w:jc w:val="both"/>
        <w:rPr>
          <w:rFonts w:ascii="Times New Roman" w:eastAsia="Times New Roman" w:hAnsi="Times New Roman" w:cs="Times New Roman"/>
          <w:bCs/>
          <w:sz w:val="24"/>
          <w:szCs w:val="24"/>
          <w:lang w:eastAsia="ar-SA"/>
        </w:rPr>
      </w:pPr>
      <w:r w:rsidRPr="00966E19">
        <w:rPr>
          <w:rFonts w:ascii="Times New Roman" w:eastAsia="Times New Roman" w:hAnsi="Times New Roman" w:cs="Times New Roman"/>
          <w:bCs/>
          <w:sz w:val="24"/>
          <w:szCs w:val="24"/>
          <w:lang w:eastAsia="ar-SA"/>
        </w:rPr>
        <w:t xml:space="preserve">REZYGNACJA Z INSTYTUCJI WYTYCZNYCH PROGRAMOWYCH </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 xml:space="preserve">W art. 6 ust. 2, art. 7 i art. 8 proponuje się uchylenie regulacji w zakresie wytycznych programowych (dla poszczególnych programów operacyjnych). W systemie realizacji programu operacyjnego pozostaną wyłącznie wytyczne wydawane przez ministra właściwego do spraw rozwoju regionalnego wykonującego zadania państwa </w:t>
      </w:r>
      <w:r w:rsidRPr="00046867">
        <w:rPr>
          <w:rFonts w:ascii="Times New Roman" w:eastAsia="Times New Roman" w:hAnsi="Times New Roman" w:cs="Times New Roman"/>
          <w:bCs/>
          <w:sz w:val="24"/>
          <w:szCs w:val="24"/>
          <w:lang w:eastAsia="ar-SA"/>
        </w:rPr>
        <w:lastRenderedPageBreak/>
        <w:t>członkowskiego. Celem projektowanej zmiany jest ograniczenie dokumentów stosowanych przez instytucje systemu realizacji programu operacyjnego oraz uniknięcie ryzyka nakładania tego typu dokumentami obowiązkó</w:t>
      </w:r>
      <w:r w:rsidR="00C57D3E">
        <w:rPr>
          <w:rFonts w:ascii="Times New Roman" w:eastAsia="Times New Roman" w:hAnsi="Times New Roman" w:cs="Times New Roman"/>
          <w:bCs/>
          <w:sz w:val="24"/>
          <w:szCs w:val="24"/>
          <w:lang w:eastAsia="ar-SA"/>
        </w:rPr>
        <w:t>w na beneficjentów. W związku z </w:t>
      </w:r>
      <w:r w:rsidRPr="00046867">
        <w:rPr>
          <w:rFonts w:ascii="Times New Roman" w:eastAsia="Times New Roman" w:hAnsi="Times New Roman" w:cs="Times New Roman"/>
          <w:bCs/>
          <w:sz w:val="24"/>
          <w:szCs w:val="24"/>
          <w:lang w:eastAsia="ar-SA"/>
        </w:rPr>
        <w:t>proponowaną zmianą w zakresie uchylenia regulacji dotyczącej wytycznych programowych zmianie ulegają również przepisy dotyczące wytycznych horyzontalnych, które będą po prostu wytycznymi – art. 4 ust. 2 pkt 3, art. 5 ust. 1–3 i 5.</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Proponowana zmiana ma na celu ograniczenie liczby dokumentów, które beneficjenci będą zobowiązani stosować przy realizacji projektu. Z analizy poszczególnych dokumentów systemu realizacji wynika, że w sta</w:t>
      </w:r>
      <w:r w:rsidR="00C57D3E">
        <w:rPr>
          <w:rFonts w:ascii="Times New Roman" w:eastAsia="Times New Roman" w:hAnsi="Times New Roman" w:cs="Times New Roman"/>
          <w:bCs/>
          <w:sz w:val="24"/>
          <w:szCs w:val="24"/>
          <w:lang w:eastAsia="ar-SA"/>
        </w:rPr>
        <w:t>nie obecnym jest stosowanych 58 </w:t>
      </w:r>
      <w:r w:rsidRPr="00046867">
        <w:rPr>
          <w:rFonts w:ascii="Times New Roman" w:eastAsia="Times New Roman" w:hAnsi="Times New Roman" w:cs="Times New Roman"/>
          <w:bCs/>
          <w:sz w:val="24"/>
          <w:szCs w:val="24"/>
          <w:lang w:eastAsia="ar-SA"/>
        </w:rPr>
        <w:t xml:space="preserve">wytycznych (zarówno horyzontalnych oraz programowych), 20 zaleceń i instrukcji oraz 27 Szczegółowych Opisów Osi Priorytetowych Programów Operacyjnych. Beneficjenci w zawieranych umowach o dofinansowanie są zobowiązywani do stosowania wytycznych bez jakiegokolwiek doprecyzowania zakresu związania tymi dokumentami. Praktyka taka stanowi obciążenie dla beneficjentów oraz utrudnia realizację projektów. Projektowane rozwiązanie jest zgodne z polityką nienakładania na beneficjentów obowiązków niewynikających bezpośrednio z przepisów prawa powszechnie obowiązującego lub umów (decyzji) o dofinasowanie projektu, przyjętą przez ministra właściwego do spraw rozwoju regionalnego działającego jako państwo członkowskie. </w:t>
      </w:r>
    </w:p>
    <w:p w:rsidR="00046867" w:rsidRPr="00046867" w:rsidRDefault="00046867" w:rsidP="00046867">
      <w:pPr>
        <w:suppressAutoHyphens/>
        <w:spacing w:before="120" w:after="0" w:line="360" w:lineRule="auto"/>
        <w:jc w:val="both"/>
        <w:rPr>
          <w:rFonts w:ascii="Times New Roman" w:eastAsia="Times New Roman" w:hAnsi="Times New Roman" w:cs="Times New Roman"/>
          <w:b/>
          <w:sz w:val="24"/>
          <w:szCs w:val="24"/>
          <w:lang w:eastAsia="ar-SA"/>
        </w:rPr>
      </w:pPr>
      <w:r w:rsidRPr="00046867">
        <w:rPr>
          <w:rFonts w:ascii="Times New Roman" w:eastAsia="Times New Roman" w:hAnsi="Times New Roman" w:cs="Times New Roman"/>
          <w:bCs/>
          <w:sz w:val="24"/>
          <w:szCs w:val="24"/>
          <w:lang w:eastAsia="ar-SA"/>
        </w:rPr>
        <w:t>Z uwagi na powyższe</w:t>
      </w:r>
      <w:r w:rsidR="00DF1590">
        <w:rPr>
          <w:rFonts w:ascii="Times New Roman" w:eastAsia="Times New Roman" w:hAnsi="Times New Roman" w:cs="Times New Roman"/>
          <w:bCs/>
          <w:sz w:val="24"/>
          <w:szCs w:val="24"/>
          <w:lang w:eastAsia="ar-SA"/>
        </w:rPr>
        <w:t>,</w:t>
      </w:r>
      <w:r w:rsidRPr="00046867">
        <w:rPr>
          <w:rFonts w:ascii="Times New Roman" w:eastAsia="Times New Roman" w:hAnsi="Times New Roman" w:cs="Times New Roman"/>
          <w:bCs/>
          <w:sz w:val="24"/>
          <w:szCs w:val="24"/>
          <w:lang w:eastAsia="ar-SA"/>
        </w:rPr>
        <w:t xml:space="preserve"> a także w celu uproszczenia systemu wdrażania programów operacyjnych, a tym samym przyspieszenia wydatkowania środków z Polityki Spójności 2014–2020, proponuje się, aby w systemie realizacji, poza przepisami powszechnie obowiązującymi, dokumentami, których postanowienia będą jedynie uzupełniające względem przepisów prawa powszechnie obowiązującego, i postanowień umów (a więc jedynie w zakresie doprecyzowującym obowiązki wynikające bezpośrednio z ww. źródeł), wiązać ben</w:t>
      </w:r>
      <w:r w:rsidR="00C57D3E">
        <w:rPr>
          <w:rFonts w:ascii="Times New Roman" w:eastAsia="Times New Roman" w:hAnsi="Times New Roman" w:cs="Times New Roman"/>
          <w:bCs/>
          <w:sz w:val="24"/>
          <w:szCs w:val="24"/>
          <w:lang w:eastAsia="ar-SA"/>
        </w:rPr>
        <w:t>eficjentów na podstawie umowy o </w:t>
      </w:r>
      <w:r w:rsidRPr="00046867">
        <w:rPr>
          <w:rFonts w:ascii="Times New Roman" w:eastAsia="Times New Roman" w:hAnsi="Times New Roman" w:cs="Times New Roman"/>
          <w:bCs/>
          <w:sz w:val="24"/>
          <w:szCs w:val="24"/>
          <w:lang w:eastAsia="ar-SA"/>
        </w:rPr>
        <w:t>dofinansowanie będą wytyczne wydawane przez ministra właściwego do spraw rozwoju regionalnego.</w:t>
      </w:r>
    </w:p>
    <w:p w:rsidR="00046867" w:rsidRPr="00966E19" w:rsidRDefault="00046867" w:rsidP="00C57D3E">
      <w:pPr>
        <w:keepNext/>
        <w:numPr>
          <w:ilvl w:val="0"/>
          <w:numId w:val="1"/>
        </w:numPr>
        <w:tabs>
          <w:tab w:val="num" w:pos="284"/>
        </w:tabs>
        <w:suppressAutoHyphens/>
        <w:spacing w:before="120" w:after="0" w:line="360" w:lineRule="auto"/>
        <w:ind w:left="284" w:hanging="284"/>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bCs/>
          <w:sz w:val="24"/>
          <w:szCs w:val="24"/>
          <w:lang w:eastAsia="ar-SA"/>
        </w:rPr>
        <w:t>RZECZNIK</w:t>
      </w:r>
      <w:r w:rsidRPr="00966E19">
        <w:rPr>
          <w:rFonts w:ascii="Times New Roman" w:eastAsia="Times New Roman" w:hAnsi="Times New Roman" w:cs="Times New Roman"/>
          <w:sz w:val="24"/>
          <w:szCs w:val="24"/>
          <w:lang w:eastAsia="ar-SA"/>
        </w:rPr>
        <w:t xml:space="preserve"> FUNDUSZY EUROPEJSKICH</w:t>
      </w:r>
    </w:p>
    <w:p w:rsidR="00046867" w:rsidRPr="00046867" w:rsidRDefault="00046867" w:rsidP="00C57D3E">
      <w:pPr>
        <w:keepNext/>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Times New Roman" w:hAnsi="Times New Roman" w:cs="Times New Roman"/>
          <w:sz w:val="24"/>
          <w:szCs w:val="24"/>
          <w:lang w:eastAsia="ar-SA"/>
        </w:rPr>
        <w:t xml:space="preserve">Art. 14a ustanawia nową instytucję – </w:t>
      </w:r>
      <w:r w:rsidRPr="00046867">
        <w:rPr>
          <w:rFonts w:ascii="Times New Roman" w:eastAsia="Calibri" w:hAnsi="Times New Roman" w:cs="Times New Roman"/>
          <w:sz w:val="24"/>
          <w:szCs w:val="24"/>
          <w:lang w:eastAsia="ar-SA"/>
        </w:rPr>
        <w:t xml:space="preserve">Rzecznika Funduszy Europejskich. Rzecznik jest obowiązkowo powoływany na poziomie każdej instytucji zarządzającej – ust. 1 pkt 1, natomiast jego powołanie na poziomie instytucji uczestniczących w realizacji </w:t>
      </w:r>
      <w:r w:rsidRPr="00046867">
        <w:rPr>
          <w:rFonts w:ascii="Times New Roman" w:eastAsia="Calibri" w:hAnsi="Times New Roman" w:cs="Times New Roman"/>
          <w:sz w:val="24"/>
          <w:szCs w:val="24"/>
          <w:lang w:eastAsia="ar-SA"/>
        </w:rPr>
        <w:lastRenderedPageBreak/>
        <w:t xml:space="preserve">programów operacyjnych, tj. instytucji pośredniczącej i instytucji wdrażającej, jest dobrowolne – ust. 1 pkt 2. Celem powołania Rzecznika Funduszy Europejskich jest utworzenie instytucji, która poprzez kontakt zarówno z wnioskodawcami, beneficjentami oraz innymi podmiotami zainteresowanymi wdrażaniem funduszy unijnych będzie odpowiedzialna za monitowanie i sygnalizowanie poszczególnym instytucjom systemu wdrażania propozycji usprawnień i ulepszeń w procesie realizacji zadań związanych z wydatkowaniem środków unijnych. </w:t>
      </w:r>
    </w:p>
    <w:p w:rsidR="00046867" w:rsidRPr="00046867" w:rsidRDefault="00046867" w:rsidP="00046867">
      <w:pPr>
        <w:suppressAutoHyphens/>
        <w:autoSpaceDE w:val="0"/>
        <w:spacing w:before="120" w:after="0" w:line="360" w:lineRule="auto"/>
        <w:jc w:val="both"/>
        <w:rPr>
          <w:rFonts w:ascii="Times New Roman" w:eastAsia="Times New Roman" w:hAnsi="Times New Roman" w:cs="Times New Roman"/>
          <w:sz w:val="24"/>
          <w:szCs w:val="24"/>
          <w:lang w:eastAsia="pl-PL"/>
        </w:rPr>
      </w:pPr>
      <w:r w:rsidRPr="00046867">
        <w:rPr>
          <w:rFonts w:ascii="Times New Roman" w:eastAsia="Calibri" w:hAnsi="Times New Roman" w:cs="Times New Roman"/>
          <w:sz w:val="24"/>
          <w:szCs w:val="24"/>
          <w:lang w:eastAsia="ar-SA"/>
        </w:rPr>
        <w:t xml:space="preserve">Ustawa nie przesądza, czy Rzecznik może w ramach danej instytucji realizować inne zadania jej przypisane. Nie może natomiast dochodzić do konfliktu interesów polegającego na tym, że Rzecznik rozpatruje sprawy dotyczące czynności wykonywanych przez niego samego w ramach innych obowiązków służbowych. Przepis ust. 2 wskazuje otwarty katalog zadań Rzecznika, który obejmuje zarówno rozpatrywanie zgłoszeń przyjmujących charakter skarg, rozpatrywanie postulatów odnoszących się do działalności danej instytucji/realizacji programu, jak i udzielanie stosownych wyjaśnień w tym zakresie. Rzecznik podejmuje również działania zmierzające do usprawnienia realizacji danego programu operacyjnego. Dodatkowo, zgodnie z ust. 3, </w:t>
      </w:r>
      <w:r w:rsidRPr="00046867">
        <w:rPr>
          <w:rFonts w:ascii="Times New Roman" w:eastAsia="Times New Roman" w:hAnsi="Times New Roman" w:cs="Times New Roman"/>
          <w:sz w:val="24"/>
          <w:szCs w:val="24"/>
          <w:lang w:eastAsia="pl-PL"/>
        </w:rPr>
        <w:t>właściwa instytucja zapewnia, że Rzecznik nie będzie realizował innych zadań, które mogłyby bezpośrednio lub pośrednio wpływać na sposób realizacji jego zadań wynikających z pełnionej funkcji. Obowiązek ten w praktyce będzie oznaczał konieczność ustalenia takiego opisu stanowiska i wyznaczenia zakresu obowiązków Rzecznika, które zapewnią mu niezależną pozycję w zakresie wykonywanych przez niego zadań.</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Rzecznik powołany przez instytucję zarządzając</w:t>
      </w:r>
      <w:r w:rsidR="00D60217">
        <w:rPr>
          <w:rFonts w:ascii="Times New Roman" w:eastAsia="Calibri" w:hAnsi="Times New Roman" w:cs="Times New Roman"/>
          <w:sz w:val="24"/>
          <w:szCs w:val="24"/>
          <w:lang w:eastAsia="ar-SA"/>
        </w:rPr>
        <w:t>ą</w:t>
      </w:r>
      <w:r w:rsidRPr="00046867">
        <w:rPr>
          <w:rFonts w:ascii="Times New Roman" w:eastAsia="Calibri" w:hAnsi="Times New Roman" w:cs="Times New Roman"/>
          <w:sz w:val="24"/>
          <w:szCs w:val="24"/>
          <w:lang w:eastAsia="ar-SA"/>
        </w:rPr>
        <w:t>, będzie mógł żądać od Rzecznika powołanego przez inn</w:t>
      </w:r>
      <w:r w:rsidR="007F1769">
        <w:rPr>
          <w:rFonts w:ascii="Times New Roman" w:eastAsia="Calibri" w:hAnsi="Times New Roman" w:cs="Times New Roman"/>
          <w:sz w:val="24"/>
          <w:szCs w:val="24"/>
          <w:lang w:eastAsia="ar-SA"/>
        </w:rPr>
        <w:t>ą</w:t>
      </w:r>
      <w:r w:rsidRPr="00046867">
        <w:rPr>
          <w:rFonts w:ascii="Times New Roman" w:eastAsia="Calibri" w:hAnsi="Times New Roman" w:cs="Times New Roman"/>
          <w:sz w:val="24"/>
          <w:szCs w:val="24"/>
          <w:lang w:eastAsia="ar-SA"/>
        </w:rPr>
        <w:t xml:space="preserve"> instytucję uczestniczącą w realizacji programu operacyjnego informacji w zakresie realizowanych zadań. Jest to uzasadnione ogólną odpowiedzialnością instytucji zarządzającej za program operacyjny. Rzecznik będzie sporządzał każdego roku raport ze swojej działalności i przedkładał go właściwej instytucji, która zamieści zbiorczy raport na swojej stronie. </w:t>
      </w:r>
      <w:r w:rsidRPr="00046867">
        <w:rPr>
          <w:rFonts w:ascii="Times New Roman" w:eastAsia="Times New Roman" w:hAnsi="Times New Roman" w:cs="Times New Roman"/>
          <w:bCs/>
          <w:sz w:val="24"/>
          <w:szCs w:val="24"/>
          <w:lang w:eastAsia="ar-SA"/>
        </w:rPr>
        <w:t xml:space="preserve">Do zadań realizowanych przez Rzecznika oraz czynności podejmowanych przed nim przez zainteresowane podmioty nie będą stosowane przepisy ustawy </w:t>
      </w:r>
      <w:r w:rsidRPr="00046867">
        <w:rPr>
          <w:rFonts w:ascii="Times New Roman" w:eastAsia="Times New Roman" w:hAnsi="Times New Roman" w:cs="Times New Roman"/>
          <w:sz w:val="24"/>
          <w:szCs w:val="24"/>
          <w:lang w:eastAsia="ar-SA"/>
        </w:rPr>
        <w:t xml:space="preserve">z dnia 14 czerwca 1960 r. – Kodeks postępowania administracyjnego, z wyjątkiem działu VIII – skargi i wnioski, który znajdzie odpowiednio zastosowanie. </w:t>
      </w:r>
      <w:r w:rsidRPr="00046867">
        <w:rPr>
          <w:rFonts w:ascii="Times New Roman" w:eastAsia="Calibri" w:hAnsi="Times New Roman" w:cs="Times New Roman"/>
          <w:sz w:val="24"/>
          <w:szCs w:val="24"/>
          <w:lang w:eastAsia="ar-SA"/>
        </w:rPr>
        <w:t>Do postępowania przed Rzecznikiem nie stosuje się przepisów w zakresie procedury odwoławczej uregu</w:t>
      </w:r>
      <w:r w:rsidR="00C57D3E">
        <w:rPr>
          <w:rFonts w:ascii="Times New Roman" w:eastAsia="Calibri" w:hAnsi="Times New Roman" w:cs="Times New Roman"/>
          <w:sz w:val="24"/>
          <w:szCs w:val="24"/>
          <w:lang w:eastAsia="ar-SA"/>
        </w:rPr>
        <w:t>lowanej w rozdziale 15 ustawy z </w:t>
      </w:r>
      <w:r w:rsidRPr="00046867">
        <w:rPr>
          <w:rFonts w:ascii="Times New Roman" w:eastAsia="Calibri" w:hAnsi="Times New Roman" w:cs="Times New Roman"/>
          <w:sz w:val="24"/>
          <w:szCs w:val="24"/>
          <w:lang w:eastAsia="ar-SA"/>
        </w:rPr>
        <w:t>dnia 11 lipca 2014 r. o zasadach realizacji programów w zakresie polityki spójności finansowanych w perspektywie finansowej 2014–2020 ponieważ w przepisach tych określono szczegółowo postępowanie wobec wnioskodawców, którzy otrzymali negatywną ocenę projektu wybieranego w trybie konkursowym.</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Rzecznik nie będzie powoływany dla programów Europejskiej Współpracy Terytorialnej</w:t>
      </w:r>
      <w:r w:rsidR="00D60217">
        <w:rPr>
          <w:rFonts w:ascii="Times New Roman" w:eastAsia="Calibri" w:hAnsi="Times New Roman" w:cs="Times New Roman"/>
          <w:sz w:val="24"/>
          <w:szCs w:val="24"/>
          <w:lang w:eastAsia="ar-SA"/>
        </w:rPr>
        <w:t xml:space="preserve"> </w:t>
      </w:r>
      <w:r w:rsidRPr="00046867">
        <w:rPr>
          <w:rFonts w:ascii="Times New Roman" w:eastAsia="Calibri" w:hAnsi="Times New Roman" w:cs="Times New Roman"/>
          <w:sz w:val="24"/>
          <w:szCs w:val="24"/>
          <w:lang w:eastAsia="ar-SA"/>
        </w:rPr>
        <w:t>w związku z ich międzynarodowym charakterem.</w:t>
      </w:r>
    </w:p>
    <w:p w:rsidR="00046867" w:rsidRPr="00966E19" w:rsidRDefault="00046867" w:rsidP="00C57D3E">
      <w:pPr>
        <w:numPr>
          <w:ilvl w:val="0"/>
          <w:numId w:val="1"/>
        </w:numPr>
        <w:tabs>
          <w:tab w:val="num" w:pos="284"/>
        </w:tabs>
        <w:suppressAutoHyphens/>
        <w:spacing w:before="240" w:after="0" w:line="360" w:lineRule="auto"/>
        <w:ind w:left="284" w:hanging="284"/>
        <w:jc w:val="both"/>
        <w:rPr>
          <w:rFonts w:ascii="Times New Roman" w:eastAsia="Calibri" w:hAnsi="Times New Roman" w:cs="Times New Roman"/>
          <w:sz w:val="24"/>
          <w:szCs w:val="24"/>
          <w:lang w:eastAsia="ar-SA"/>
        </w:rPr>
      </w:pPr>
      <w:r w:rsidRPr="00966E19">
        <w:rPr>
          <w:rFonts w:ascii="Times New Roman" w:eastAsia="Times New Roman" w:hAnsi="Times New Roman" w:cs="Times New Roman"/>
          <w:bCs/>
          <w:sz w:val="24"/>
          <w:szCs w:val="24"/>
          <w:lang w:eastAsia="ar-SA"/>
        </w:rPr>
        <w:t>WOJEWODA</w:t>
      </w:r>
      <w:r w:rsidRPr="00966E19">
        <w:rPr>
          <w:rFonts w:ascii="Times New Roman" w:eastAsia="Calibri" w:hAnsi="Times New Roman" w:cs="Times New Roman"/>
          <w:sz w:val="24"/>
          <w:szCs w:val="24"/>
          <w:lang w:eastAsia="ar-SA"/>
        </w:rPr>
        <w:t xml:space="preserve"> W PROCESIE WDRAŻANIA REGIONALNYCH PROGRAMÓW OPERACYJNYCH</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Wojewoda został włączony w system realizacji zadań związanych z wdrażaniem funduszy europejskich w perspektywie finansowej 2014–2020 w ramach regionalnych programów operacyjnych poprzez możliwość wykonywania zadań w ramach desygnacji w zakresie prowadzenia kontroli służących potwierdzeniu spełniania kryteriów desygnacji oraz prowadzenie doraźnych kont</w:t>
      </w:r>
      <w:r w:rsidR="00C57D3E">
        <w:rPr>
          <w:rFonts w:ascii="Times New Roman" w:eastAsia="Calibri" w:hAnsi="Times New Roman" w:cs="Times New Roman"/>
          <w:sz w:val="24"/>
          <w:szCs w:val="24"/>
          <w:lang w:eastAsia="ar-SA"/>
        </w:rPr>
        <w:t>roli na warunkach określonych w </w:t>
      </w:r>
      <w:r w:rsidRPr="00046867">
        <w:rPr>
          <w:rFonts w:ascii="Times New Roman" w:eastAsia="Calibri" w:hAnsi="Times New Roman" w:cs="Times New Roman"/>
          <w:sz w:val="24"/>
          <w:szCs w:val="24"/>
          <w:lang w:eastAsia="ar-SA"/>
        </w:rPr>
        <w:t>porozumieniu zawartym z ministrem właściwym do spraw rozwoju regionalnego – art. 16 ust. 1a. Ponadto wojewoda albo jego przedstawiciel będzie również mógł być włączany jako obserwator w prace komitetu monitorującego RPO oraz w skład komisji oceny projektów w ramach RPO – art. 14 ust. 9a i 9b oraz art. 44 ust. 5 i 6.</w:t>
      </w:r>
      <w:r w:rsidRPr="00046867">
        <w:rPr>
          <w:rFonts w:ascii="Times New Roman" w:eastAsia="Times New Roman" w:hAnsi="Times New Roman" w:cs="Times New Roman"/>
          <w:sz w:val="24"/>
          <w:szCs w:val="24"/>
          <w:lang w:eastAsia="ar-SA"/>
        </w:rPr>
        <w:t xml:space="preserve"> </w:t>
      </w:r>
      <w:r w:rsidRPr="00046867">
        <w:rPr>
          <w:rFonts w:ascii="Times New Roman" w:eastAsia="Calibri" w:hAnsi="Times New Roman" w:cs="Times New Roman"/>
          <w:sz w:val="24"/>
          <w:szCs w:val="24"/>
          <w:lang w:eastAsia="ar-SA"/>
        </w:rPr>
        <w:t>Celem projektowanej regulacji jest umożliwienie wyk</w:t>
      </w:r>
      <w:r w:rsidR="00C57D3E">
        <w:rPr>
          <w:rFonts w:ascii="Times New Roman" w:eastAsia="Calibri" w:hAnsi="Times New Roman" w:cs="Times New Roman"/>
          <w:sz w:val="24"/>
          <w:szCs w:val="24"/>
          <w:lang w:eastAsia="ar-SA"/>
        </w:rPr>
        <w:t>onywania przez wojewodę zadań w </w:t>
      </w:r>
      <w:r w:rsidRPr="00046867">
        <w:rPr>
          <w:rFonts w:ascii="Times New Roman" w:eastAsia="Calibri" w:hAnsi="Times New Roman" w:cs="Times New Roman"/>
          <w:sz w:val="24"/>
          <w:szCs w:val="24"/>
          <w:lang w:eastAsia="ar-SA"/>
        </w:rPr>
        <w:t>zakresie desygnacji związanych z wdrażaniem funduszy europejskich w perspektywie finansowej 2014–2020 w ramach regionalnych programów operacyjnych oraz wykorzystanie jego doświadczeń związanych z certyfikacją w ramach perspektywy finansowej 2007–2013.</w:t>
      </w:r>
    </w:p>
    <w:p w:rsidR="00046867" w:rsidRPr="00966E19" w:rsidRDefault="00046867" w:rsidP="00C57D3E">
      <w:pPr>
        <w:numPr>
          <w:ilvl w:val="0"/>
          <w:numId w:val="1"/>
        </w:numPr>
        <w:tabs>
          <w:tab w:val="num" w:pos="284"/>
        </w:tabs>
        <w:suppressAutoHyphens/>
        <w:spacing w:before="240" w:after="0" w:line="360" w:lineRule="auto"/>
        <w:ind w:left="284" w:hanging="284"/>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bCs/>
          <w:sz w:val="24"/>
          <w:szCs w:val="24"/>
          <w:lang w:eastAsia="ar-SA"/>
        </w:rPr>
        <w:t>KONTROLA</w:t>
      </w:r>
      <w:r w:rsidRPr="00966E19">
        <w:rPr>
          <w:rFonts w:ascii="Times New Roman" w:eastAsia="Calibri" w:hAnsi="Times New Roman" w:cs="Times New Roman"/>
          <w:sz w:val="24"/>
          <w:szCs w:val="24"/>
          <w:lang w:eastAsia="ar-SA"/>
        </w:rPr>
        <w:t xml:space="preserve"> KRZYŻOWA</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W art. 22 w ust. 2 w pkt 2 lit. c doprecyzowano tiret pierwsze w taki sposób, aby wynikało z niego wprost, że kontrola krzyżowa programu jest realizowana w ramach konkretnego programu operacyjnego, niezależnie od tego w ramach ilu funduszy program udziela dofinansowania. W ten sposób faktury beneficjenta, który rozlicza projekty w ramach programu regionalnego – jeden w</w:t>
      </w:r>
      <w:r w:rsidR="00C57D3E">
        <w:rPr>
          <w:rFonts w:ascii="Times New Roman" w:eastAsia="Times New Roman" w:hAnsi="Times New Roman" w:cs="Times New Roman"/>
          <w:bCs/>
          <w:sz w:val="24"/>
          <w:szCs w:val="24"/>
          <w:lang w:eastAsia="ar-SA"/>
        </w:rPr>
        <w:t>spółfinansowany z EFRR</w:t>
      </w:r>
      <w:r w:rsidR="00D60217">
        <w:rPr>
          <w:rFonts w:ascii="Times New Roman" w:eastAsia="Times New Roman" w:hAnsi="Times New Roman" w:cs="Times New Roman"/>
          <w:bCs/>
          <w:sz w:val="24"/>
          <w:szCs w:val="24"/>
          <w:lang w:eastAsia="ar-SA"/>
        </w:rPr>
        <w:t>,</w:t>
      </w:r>
      <w:r w:rsidR="00C57D3E">
        <w:rPr>
          <w:rFonts w:ascii="Times New Roman" w:eastAsia="Times New Roman" w:hAnsi="Times New Roman" w:cs="Times New Roman"/>
          <w:bCs/>
          <w:sz w:val="24"/>
          <w:szCs w:val="24"/>
          <w:lang w:eastAsia="ar-SA"/>
        </w:rPr>
        <w:t xml:space="preserve"> a inny z </w:t>
      </w:r>
      <w:r w:rsidRPr="00046867">
        <w:rPr>
          <w:rFonts w:ascii="Times New Roman" w:eastAsia="Times New Roman" w:hAnsi="Times New Roman" w:cs="Times New Roman"/>
          <w:bCs/>
          <w:sz w:val="24"/>
          <w:szCs w:val="24"/>
          <w:lang w:eastAsia="ar-SA"/>
        </w:rPr>
        <w:t>EFS</w:t>
      </w:r>
      <w:r w:rsidR="00D60217">
        <w:rPr>
          <w:rFonts w:ascii="Times New Roman" w:eastAsia="Times New Roman" w:hAnsi="Times New Roman" w:cs="Times New Roman"/>
          <w:bCs/>
          <w:sz w:val="24"/>
          <w:szCs w:val="24"/>
          <w:lang w:eastAsia="ar-SA"/>
        </w:rPr>
        <w:t>,</w:t>
      </w:r>
      <w:r w:rsidRPr="00046867">
        <w:rPr>
          <w:rFonts w:ascii="Times New Roman" w:eastAsia="Times New Roman" w:hAnsi="Times New Roman" w:cs="Times New Roman"/>
          <w:bCs/>
          <w:sz w:val="24"/>
          <w:szCs w:val="24"/>
          <w:lang w:eastAsia="ar-SA"/>
        </w:rPr>
        <w:t xml:space="preserve"> będą skontrolowane łącznie w jednym procesie weryfikacyjnym. W tiret drugim łącznik „albo” zastąpiono łącznikiem „lub”, aby podkreślić, że procesy weryfikacji krzyżowej rozdzielone łącznikami współwystępują, nie stanowiąc procesów alternatywnych. </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Tiret trzecie dodano, aby dokonać jasnego wskazania, że</w:t>
      </w:r>
      <w:r w:rsidR="00C57D3E">
        <w:rPr>
          <w:rFonts w:ascii="Times New Roman" w:eastAsia="Times New Roman" w:hAnsi="Times New Roman" w:cs="Times New Roman"/>
          <w:bCs/>
          <w:sz w:val="24"/>
          <w:szCs w:val="24"/>
          <w:lang w:eastAsia="ar-SA"/>
        </w:rPr>
        <w:t xml:space="preserve"> prowadzenie części kontroli, o </w:t>
      </w:r>
      <w:r w:rsidRPr="00046867">
        <w:rPr>
          <w:rFonts w:ascii="Times New Roman" w:eastAsia="Times New Roman" w:hAnsi="Times New Roman" w:cs="Times New Roman"/>
          <w:bCs/>
          <w:sz w:val="24"/>
          <w:szCs w:val="24"/>
          <w:lang w:eastAsia="ar-SA"/>
        </w:rPr>
        <w:t>których mowa w tiret drugim (kontroli wydatków współfinansowanych z funduszy strukturalnych i funduszy rolnych lub Eur</w:t>
      </w:r>
      <w:r w:rsidR="00C57D3E">
        <w:rPr>
          <w:rFonts w:ascii="Times New Roman" w:eastAsia="Times New Roman" w:hAnsi="Times New Roman" w:cs="Times New Roman"/>
          <w:bCs/>
          <w:sz w:val="24"/>
          <w:szCs w:val="24"/>
          <w:lang w:eastAsia="ar-SA"/>
        </w:rPr>
        <w:t>opejskiego Funduszu Morskiego i </w:t>
      </w:r>
      <w:r w:rsidRPr="00046867">
        <w:rPr>
          <w:rFonts w:ascii="Times New Roman" w:eastAsia="Times New Roman" w:hAnsi="Times New Roman" w:cs="Times New Roman"/>
          <w:bCs/>
          <w:sz w:val="24"/>
          <w:szCs w:val="24"/>
          <w:lang w:eastAsia="ar-SA"/>
        </w:rPr>
        <w:t>Rybackiego) należy do kompetencji instytucji zarządzających. Realizacja tej intencji uwidacznia się przy uwzględnieniu brzmienia art. 22 ust. 7.</w:t>
      </w:r>
    </w:p>
    <w:p w:rsidR="00046867" w:rsidRPr="00046867" w:rsidRDefault="00046867" w:rsidP="00046867">
      <w:pPr>
        <w:suppressAutoHyphens/>
        <w:spacing w:before="120" w:after="0" w:line="360" w:lineRule="auto"/>
        <w:jc w:val="both"/>
        <w:rPr>
          <w:rFonts w:ascii="Times New Roman" w:eastAsia="Times New Roman" w:hAnsi="Times New Roman" w:cs="Times New Roman"/>
          <w:bCs/>
          <w:color w:val="000000"/>
          <w:sz w:val="24"/>
          <w:szCs w:val="24"/>
          <w:lang w:eastAsia="ar-SA"/>
        </w:rPr>
      </w:pPr>
      <w:r w:rsidRPr="00046867">
        <w:rPr>
          <w:rFonts w:ascii="Times New Roman" w:eastAsia="Times New Roman" w:hAnsi="Times New Roman" w:cs="Times New Roman"/>
          <w:bCs/>
          <w:sz w:val="24"/>
          <w:szCs w:val="24"/>
          <w:lang w:eastAsia="ar-SA"/>
        </w:rPr>
        <w:t xml:space="preserve">Z art. 22 ust. 4 usunięto kontrole realizacji programu operacyjnego polegające na weryfikacji dokumentów w zakresie prawidłowości oceny oddziaływania na środowisko. </w:t>
      </w:r>
      <w:r w:rsidRPr="00046867">
        <w:rPr>
          <w:rFonts w:ascii="Times New Roman" w:eastAsia="Times New Roman" w:hAnsi="Times New Roman" w:cs="Times New Roman"/>
          <w:bCs/>
          <w:color w:val="000000"/>
          <w:sz w:val="24"/>
          <w:szCs w:val="24"/>
          <w:lang w:eastAsia="ar-SA"/>
        </w:rPr>
        <w:t>Instytucje systemu wdrażania umowy partnerstwa nie powinny weryfikować prawidłowości przeprowadzania procedur dotyczących ocen oddziaływania na środowisko, gdyż oceny te wydają posiadające kompetencje w tym zakresie instytucje krajowe. Weryfikując prawidłowość realizacji projektu, instytucje zarządzające (lub właściwe IP) kontrolują jedynie, czy została wydana decyzja środowiskowa w sytuacji, gdy istniał taki obowiązek.</w:t>
      </w:r>
    </w:p>
    <w:p w:rsidR="00046867" w:rsidRPr="00046867" w:rsidRDefault="00046867" w:rsidP="00046867">
      <w:pPr>
        <w:suppressAutoHyphens/>
        <w:spacing w:before="120" w:after="0" w:line="360" w:lineRule="auto"/>
        <w:jc w:val="both"/>
        <w:rPr>
          <w:rFonts w:ascii="Times New Roman" w:eastAsia="Times New Roman" w:hAnsi="Times New Roman" w:cs="Times New Roman"/>
          <w:b/>
          <w:bCs/>
          <w:sz w:val="24"/>
          <w:szCs w:val="24"/>
          <w:lang w:eastAsia="ar-SA"/>
        </w:rPr>
      </w:pPr>
      <w:r w:rsidRPr="00046867">
        <w:rPr>
          <w:rFonts w:ascii="Times New Roman" w:eastAsia="Times New Roman" w:hAnsi="Times New Roman" w:cs="Times New Roman"/>
          <w:bCs/>
          <w:color w:val="000000"/>
          <w:sz w:val="24"/>
          <w:szCs w:val="24"/>
          <w:lang w:eastAsia="ar-SA"/>
        </w:rPr>
        <w:t>W art. 22 ust. 9 doprecyzowano, że w przypadku stwierdzenia nieprawidłowości indywidualnej stwierdzonej przed zatwierdzeniem wniosku o płatność znajdzie odpowiednie zastosowanie kontradyktoryjna pro</w:t>
      </w:r>
      <w:r w:rsidR="00C57D3E">
        <w:rPr>
          <w:rFonts w:ascii="Times New Roman" w:eastAsia="Times New Roman" w:hAnsi="Times New Roman" w:cs="Times New Roman"/>
          <w:bCs/>
          <w:color w:val="000000"/>
          <w:sz w:val="24"/>
          <w:szCs w:val="24"/>
          <w:lang w:eastAsia="ar-SA"/>
        </w:rPr>
        <w:t>cedura uregulowana w art. 25, z </w:t>
      </w:r>
      <w:r w:rsidRPr="00046867">
        <w:rPr>
          <w:rFonts w:ascii="Times New Roman" w:eastAsia="Times New Roman" w:hAnsi="Times New Roman" w:cs="Times New Roman"/>
          <w:bCs/>
          <w:color w:val="000000"/>
          <w:sz w:val="24"/>
          <w:szCs w:val="24"/>
          <w:lang w:eastAsia="ar-SA"/>
        </w:rPr>
        <w:t xml:space="preserve">wyłączeniem jednak art. 25 ust. 1, który nakazuje sporządzenie informacji pokontrolnej po zakończeniu kontroli. </w:t>
      </w:r>
    </w:p>
    <w:p w:rsidR="00046867" w:rsidRPr="00966E19" w:rsidRDefault="00046867" w:rsidP="00046867">
      <w:pPr>
        <w:numPr>
          <w:ilvl w:val="0"/>
          <w:numId w:val="1"/>
        </w:numPr>
        <w:tabs>
          <w:tab w:val="num" w:pos="284"/>
        </w:tabs>
        <w:suppressAutoHyphens/>
        <w:spacing w:before="120" w:after="0" w:line="360" w:lineRule="auto"/>
        <w:ind w:left="284" w:hanging="284"/>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bCs/>
          <w:sz w:val="24"/>
          <w:szCs w:val="24"/>
          <w:lang w:eastAsia="ar-SA"/>
        </w:rPr>
        <w:t>OGLĘDZINY</w:t>
      </w:r>
      <w:r w:rsidRPr="00966E19">
        <w:rPr>
          <w:rFonts w:ascii="Times New Roman" w:eastAsia="Times New Roman" w:hAnsi="Times New Roman" w:cs="Times New Roman"/>
          <w:sz w:val="24"/>
          <w:szCs w:val="24"/>
          <w:lang w:eastAsia="ar-SA"/>
        </w:rPr>
        <w:t xml:space="preserve"> W TOKU KONTROLI</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Zmieniono art. 23 ust. 1 poprzez dodanie przepisu zobowiązującego wnioskodawcę do poddania się kontroli polegających na weryfikacji jego zdolności do realizacji projektu wybieranego w trybie pozakonkursowym, w szczególności w zakresie procedur obowiązujących w zakresie realizacji projektów oraz procedur dotyczących udzielania zamówień publicznych lub oceny oddziaływania na środowisko, lub udzielania pomocy publicznej. Przepis ma na celu zapewni</w:t>
      </w:r>
      <w:r w:rsidR="00C57D3E">
        <w:rPr>
          <w:rFonts w:ascii="Times New Roman" w:eastAsia="Times New Roman" w:hAnsi="Times New Roman" w:cs="Times New Roman"/>
          <w:bCs/>
          <w:sz w:val="24"/>
          <w:szCs w:val="24"/>
          <w:lang w:eastAsia="ar-SA"/>
        </w:rPr>
        <w:t>enie możliwości weryfikacji ww. </w:t>
      </w:r>
      <w:r w:rsidRPr="00046867">
        <w:rPr>
          <w:rFonts w:ascii="Times New Roman" w:eastAsia="Times New Roman" w:hAnsi="Times New Roman" w:cs="Times New Roman"/>
          <w:bCs/>
          <w:sz w:val="24"/>
          <w:szCs w:val="24"/>
          <w:lang w:eastAsia="ar-SA"/>
        </w:rPr>
        <w:t>wnioskodawców na jak najwcześniejszym etapie i jest logiczną konsekwencją treści art. 22 ust. 3 ustawy, który daje właściwej instytucji uprawnienie do przeprowadzenia wskazanych kontroli.</w:t>
      </w:r>
    </w:p>
    <w:p w:rsidR="00046867" w:rsidRPr="00046867" w:rsidRDefault="00046867" w:rsidP="00046867">
      <w:pPr>
        <w:suppressAutoHyphens/>
        <w:spacing w:before="120" w:after="0" w:line="360" w:lineRule="auto"/>
        <w:jc w:val="both"/>
        <w:rPr>
          <w:rFonts w:ascii="Times New Roman" w:eastAsia="Times New Roman" w:hAnsi="Times New Roman" w:cs="Times New Roman"/>
          <w:b/>
          <w:bCs/>
          <w:sz w:val="24"/>
          <w:szCs w:val="24"/>
          <w:lang w:eastAsia="ar-SA"/>
        </w:rPr>
      </w:pPr>
      <w:r w:rsidRPr="00046867">
        <w:rPr>
          <w:rFonts w:ascii="Times New Roman" w:eastAsia="Times New Roman" w:hAnsi="Times New Roman" w:cs="Times New Roman"/>
          <w:bCs/>
          <w:sz w:val="24"/>
          <w:szCs w:val="24"/>
          <w:lang w:eastAsia="ar-SA"/>
        </w:rPr>
        <w:t>Art. 23 ust. 8 umożliwi przeprowadzenie oględzin w</w:t>
      </w:r>
      <w:r w:rsidR="00C57D3E">
        <w:rPr>
          <w:rFonts w:ascii="Times New Roman" w:eastAsia="Times New Roman" w:hAnsi="Times New Roman" w:cs="Times New Roman"/>
          <w:bCs/>
          <w:sz w:val="24"/>
          <w:szCs w:val="24"/>
          <w:lang w:eastAsia="ar-SA"/>
        </w:rPr>
        <w:t xml:space="preserve"> ramach czynności kontrolnych w </w:t>
      </w:r>
      <w:r w:rsidRPr="00046867">
        <w:rPr>
          <w:rFonts w:ascii="Times New Roman" w:eastAsia="Times New Roman" w:hAnsi="Times New Roman" w:cs="Times New Roman"/>
          <w:bCs/>
          <w:sz w:val="24"/>
          <w:szCs w:val="24"/>
          <w:lang w:eastAsia="ar-SA"/>
        </w:rPr>
        <w:t>miejscu realizacji projektu nie tylko w obecności beneficjenta, ale również osoby reprezentującej beneficjenta. Proponowany przepis uwzględnia praktykę wykonywania kontroli, gdzie protokół oględzin potwierdza często osoba wyznaczona przez beneficjenta, aby towarzyszyć kontrolerom w miejscu prowadzenia czynności oględzin.</w:t>
      </w:r>
    </w:p>
    <w:p w:rsidR="00046867" w:rsidRPr="00966E19" w:rsidRDefault="00046867" w:rsidP="00C57D3E">
      <w:pPr>
        <w:numPr>
          <w:ilvl w:val="0"/>
          <w:numId w:val="1"/>
        </w:numPr>
        <w:tabs>
          <w:tab w:val="num" w:pos="284"/>
        </w:tabs>
        <w:suppressAutoHyphens/>
        <w:spacing w:before="240" w:after="0" w:line="360" w:lineRule="auto"/>
        <w:ind w:left="284" w:hanging="284"/>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 xml:space="preserve">KONTROLA PROWADZONA PRZEZ IZ W ODNIESIENIU DO </w:t>
      </w:r>
      <w:r w:rsidRPr="00966E19">
        <w:rPr>
          <w:rFonts w:ascii="Times New Roman" w:eastAsia="Times New Roman" w:hAnsi="Times New Roman" w:cs="Times New Roman"/>
          <w:bCs/>
          <w:sz w:val="24"/>
          <w:szCs w:val="24"/>
          <w:lang w:eastAsia="ar-SA"/>
        </w:rPr>
        <w:t>INSTYTUCJI</w:t>
      </w:r>
      <w:r w:rsidRPr="00966E19">
        <w:rPr>
          <w:rFonts w:ascii="Times New Roman" w:eastAsia="Times New Roman" w:hAnsi="Times New Roman" w:cs="Times New Roman"/>
          <w:sz w:val="24"/>
          <w:szCs w:val="24"/>
          <w:lang w:eastAsia="ar-SA"/>
        </w:rPr>
        <w:t>, W WYNIKU DZIAŁANIA LUB ZANIECHANIA KTÓREJ POWSTAŁA NIEPRAWIDŁOWOŚĆ INDYWIDUALNA</w:t>
      </w:r>
    </w:p>
    <w:p w:rsidR="00046867" w:rsidRPr="00046867" w:rsidRDefault="00046867" w:rsidP="00046867">
      <w:pPr>
        <w:suppressAutoHyphens/>
        <w:spacing w:before="120" w:after="0" w:line="360" w:lineRule="auto"/>
        <w:jc w:val="both"/>
        <w:rPr>
          <w:rFonts w:ascii="Times New Roman" w:eastAsia="Times New Roman" w:hAnsi="Times New Roman" w:cs="Times New Roman"/>
          <w:b/>
          <w:bCs/>
          <w:sz w:val="24"/>
          <w:szCs w:val="24"/>
          <w:lang w:eastAsia="ar-SA"/>
        </w:rPr>
      </w:pPr>
      <w:r w:rsidRPr="00046867">
        <w:rPr>
          <w:rFonts w:ascii="Times New Roman" w:eastAsia="Times New Roman" w:hAnsi="Times New Roman" w:cs="Times New Roman"/>
          <w:bCs/>
          <w:sz w:val="24"/>
          <w:szCs w:val="24"/>
          <w:lang w:eastAsia="ar-SA"/>
        </w:rPr>
        <w:t>W art. 24 wprowadzono ust. 12a, zgodnie z którym, w sytuacji, gdy minister właściwy do spraw rozwoju regionalnego wykonujący zadania</w:t>
      </w:r>
      <w:r w:rsidR="007F1769">
        <w:rPr>
          <w:rFonts w:ascii="Times New Roman" w:eastAsia="Times New Roman" w:hAnsi="Times New Roman" w:cs="Times New Roman"/>
          <w:bCs/>
          <w:sz w:val="24"/>
          <w:szCs w:val="24"/>
          <w:lang w:eastAsia="ar-SA"/>
        </w:rPr>
        <w:t xml:space="preserve"> państwa członkowskiego albo IZ</w:t>
      </w:r>
      <w:r w:rsidR="002A355B">
        <w:rPr>
          <w:rFonts w:ascii="Times New Roman" w:eastAsia="Times New Roman" w:hAnsi="Times New Roman" w:cs="Times New Roman"/>
          <w:bCs/>
          <w:sz w:val="24"/>
          <w:szCs w:val="24"/>
          <w:lang w:eastAsia="ar-SA"/>
        </w:rPr>
        <w:t> </w:t>
      </w:r>
      <w:r w:rsidRPr="00046867">
        <w:rPr>
          <w:rFonts w:ascii="Times New Roman" w:eastAsia="Times New Roman" w:hAnsi="Times New Roman" w:cs="Times New Roman"/>
          <w:bCs/>
          <w:sz w:val="24"/>
          <w:szCs w:val="24"/>
          <w:lang w:eastAsia="ar-SA"/>
        </w:rPr>
        <w:t>stwierdzi, że nieprawidłowość indywidualna wyniknęła bezpośrednio z działania lub zaniechania właściwej instytucji, automatycznie powstaje obowiązek wszczęcia kontroli systemowej w danej instytucji. Rozwiązanie takie oznacza zastosowanie procedury kontradyktoryjnej wskazanej w art. 25 ustawy, w tok</w:t>
      </w:r>
      <w:r w:rsidR="002A355B">
        <w:rPr>
          <w:rFonts w:ascii="Times New Roman" w:eastAsia="Times New Roman" w:hAnsi="Times New Roman" w:cs="Times New Roman"/>
          <w:bCs/>
          <w:sz w:val="24"/>
          <w:szCs w:val="24"/>
          <w:lang w:eastAsia="ar-SA"/>
        </w:rPr>
        <w:t>u której podmiot kontrolowany i </w:t>
      </w:r>
      <w:r w:rsidRPr="00046867">
        <w:rPr>
          <w:rFonts w:ascii="Times New Roman" w:eastAsia="Times New Roman" w:hAnsi="Times New Roman" w:cs="Times New Roman"/>
          <w:bCs/>
          <w:sz w:val="24"/>
          <w:szCs w:val="24"/>
          <w:lang w:eastAsia="ar-SA"/>
        </w:rPr>
        <w:t xml:space="preserve">kontrolujący mogą przedstawiać swoje stanowiska odnoszące się do jakości funkcjonowania podmiotu kontrolowanego. Takie rozwiązanie daje </w:t>
      </w:r>
      <w:r w:rsidR="002A355B">
        <w:rPr>
          <w:rFonts w:ascii="Times New Roman" w:eastAsia="Times New Roman" w:hAnsi="Times New Roman" w:cs="Times New Roman"/>
          <w:bCs/>
          <w:sz w:val="24"/>
          <w:szCs w:val="24"/>
          <w:lang w:eastAsia="ar-SA"/>
        </w:rPr>
        <w:t>instytucji, która w </w:t>
      </w:r>
      <w:r w:rsidRPr="00046867">
        <w:rPr>
          <w:rFonts w:ascii="Times New Roman" w:eastAsia="Times New Roman" w:hAnsi="Times New Roman" w:cs="Times New Roman"/>
          <w:bCs/>
          <w:sz w:val="24"/>
          <w:szCs w:val="24"/>
          <w:lang w:eastAsia="ar-SA"/>
        </w:rPr>
        <w:t>opinii podmiotu, o którym mowa w art. 24 ust. 12, doprowadziła do powstania nieprawidłowości indywidualnej, możliwość obrony przed zarzutami ministra właściwego do spraw rozwoju regionalnego wykonującego zadania państwa członkowskiego albo IZ.</w:t>
      </w:r>
    </w:p>
    <w:p w:rsidR="00046867" w:rsidRPr="00966E19" w:rsidRDefault="00046867" w:rsidP="002A355B">
      <w:pPr>
        <w:numPr>
          <w:ilvl w:val="0"/>
          <w:numId w:val="1"/>
        </w:numPr>
        <w:tabs>
          <w:tab w:val="num" w:pos="284"/>
        </w:tabs>
        <w:suppressAutoHyphens/>
        <w:spacing w:before="240" w:after="0" w:line="360" w:lineRule="auto"/>
        <w:ind w:left="284" w:hanging="284"/>
        <w:jc w:val="both"/>
        <w:rPr>
          <w:rFonts w:ascii="Times New Roman" w:eastAsia="Times New Roman" w:hAnsi="Times New Roman" w:cs="Times New Roman"/>
          <w:bCs/>
          <w:sz w:val="24"/>
          <w:szCs w:val="24"/>
          <w:lang w:eastAsia="ar-SA"/>
        </w:rPr>
      </w:pPr>
      <w:r w:rsidRPr="00966E19">
        <w:rPr>
          <w:rFonts w:ascii="Times New Roman" w:eastAsia="Times New Roman" w:hAnsi="Times New Roman" w:cs="Times New Roman"/>
          <w:bCs/>
          <w:sz w:val="24"/>
          <w:szCs w:val="24"/>
          <w:lang w:eastAsia="ar-SA"/>
        </w:rPr>
        <w:t>INSTRUMENTY FINANSOWE</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W art. 29 ust. 1 wprowadzono przepis regulujący kwestię wykorzystania środków przeznaczonych w perspektywie 2014–2020 na realizację instrumentów finansowych, przy czym, jako uzupełnienie dotychczas obowiązującej regulacji w art. 29 doprecyzowano sposób wydatkowania środków po okresie realizacji zadań na podstawie rozporządzenia 1303/2013 – środki będą musiały być wydatkowane w formie wsparcia zwrotnego na realizację celów wynikających z programów rozwoju, o których mowa w ustawie o zasadach prowadzenia polityki rozwoju. Wprowadzona regulacja ma zapewnić trwałość realizacji wsparcia w formie zwrotnej i uniemożliwić rozproszenie środków po wykonaniu zobowiązań wynikających z prawodawstwa unijnego. Jednocześnie w art. 29 ust. 1 wskazano za</w:t>
      </w:r>
      <w:r w:rsidR="002A355B">
        <w:rPr>
          <w:rFonts w:ascii="Times New Roman" w:eastAsia="Times New Roman" w:hAnsi="Times New Roman" w:cs="Times New Roman"/>
          <w:bCs/>
          <w:sz w:val="24"/>
          <w:szCs w:val="24"/>
          <w:lang w:eastAsia="ar-SA"/>
        </w:rPr>
        <w:t>sady wydatkowania ww. środków w </w:t>
      </w:r>
      <w:r w:rsidRPr="00046867">
        <w:rPr>
          <w:rFonts w:ascii="Times New Roman" w:eastAsia="Times New Roman" w:hAnsi="Times New Roman" w:cs="Times New Roman"/>
          <w:bCs/>
          <w:sz w:val="24"/>
          <w:szCs w:val="24"/>
          <w:lang w:eastAsia="ar-SA"/>
        </w:rPr>
        <w:t>odniesieniu do trzech przedziałów czasowych: okresu kwalifikowalności wydatków perspektywy finansowej 2014–2020 (art. 29 ust. 1 pkt 1) – warunki wydatkowania środków w tym okresie wynikają z art. 44 ust. 1 rozporządzenia ogólnego; w okresie co najmniej 8 lat po okresie kwalifikowalności wydatków, n</w:t>
      </w:r>
      <w:r w:rsidR="002A355B">
        <w:rPr>
          <w:rFonts w:ascii="Times New Roman" w:eastAsia="Times New Roman" w:hAnsi="Times New Roman" w:cs="Times New Roman"/>
          <w:bCs/>
          <w:sz w:val="24"/>
          <w:szCs w:val="24"/>
          <w:lang w:eastAsia="ar-SA"/>
        </w:rPr>
        <w:t>a cele określone zgodnie z art. </w:t>
      </w:r>
      <w:r w:rsidRPr="00046867">
        <w:rPr>
          <w:rFonts w:ascii="Times New Roman" w:eastAsia="Times New Roman" w:hAnsi="Times New Roman" w:cs="Times New Roman"/>
          <w:bCs/>
          <w:sz w:val="24"/>
          <w:szCs w:val="24"/>
          <w:lang w:eastAsia="ar-SA"/>
        </w:rPr>
        <w:t>45 rozporządzenia ogólnego (art. 29 ust. 1 pkt 2) – warunki wydatkowania środków wynikają m.in. z ogólnych zasad dysponowania środkami publicznymi oraz np. z umów/porozumień zawieranych przez dysponenta środków z podmiotami, którym mogą być przekazane w celu ponownego wykorzystania; w okresie następującym po okresie wskazanym w pkt 2 (przy czym regulacja nie zakłada automatyzmu jej stosowania po okresie 8 lat, tylko co najmniej po upływie tego okresu – w zależności od postanowień aktu stanowiącego podstawę do powierzenia zarządzania środkami na podstawie art. 29 ust. 1 pkt 2) w formie wsparcia zwrotnego na realizację celów wynikających z programów rozwoju określonych w ust</w:t>
      </w:r>
      <w:r w:rsidR="002A355B">
        <w:rPr>
          <w:rFonts w:ascii="Times New Roman" w:eastAsia="Times New Roman" w:hAnsi="Times New Roman" w:cs="Times New Roman"/>
          <w:bCs/>
          <w:sz w:val="24"/>
          <w:szCs w:val="24"/>
          <w:lang w:eastAsia="ar-SA"/>
        </w:rPr>
        <w:t>awie z dnia 6 grudnia 2006 r. o </w:t>
      </w:r>
      <w:r w:rsidRPr="00046867">
        <w:rPr>
          <w:rFonts w:ascii="Times New Roman" w:eastAsia="Times New Roman" w:hAnsi="Times New Roman" w:cs="Times New Roman"/>
          <w:bCs/>
          <w:sz w:val="24"/>
          <w:szCs w:val="24"/>
          <w:lang w:eastAsia="ar-SA"/>
        </w:rPr>
        <w:t xml:space="preserve">zasadach prowadzenia polityki rozwoju (art. 29 ust. 1 pkt 3) – zasady wydatkowania tych środków wynikają m.in. z ogólnych zasad dysponowania środkami publicznymi, postanowień konkretnego programu rozwoju oraz z umów/porozumień zawieranych przez dysponenta środków z podmiotami, którym mogą być przekazane w celu ponownego wykorzystania na podstawie przedmiotowej regulacji. </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 xml:space="preserve">W ust. 2 zawarto regulację wskazującą podmioty będące dysponentem środków, </w:t>
      </w:r>
      <w:r w:rsidR="002A355B">
        <w:rPr>
          <w:rFonts w:ascii="Times New Roman" w:eastAsia="Times New Roman" w:hAnsi="Times New Roman" w:cs="Times New Roman"/>
          <w:bCs/>
          <w:sz w:val="24"/>
          <w:szCs w:val="24"/>
          <w:lang w:eastAsia="ar-SA"/>
        </w:rPr>
        <w:t>o </w:t>
      </w:r>
      <w:r w:rsidRPr="00046867">
        <w:rPr>
          <w:rFonts w:ascii="Times New Roman" w:eastAsia="Times New Roman" w:hAnsi="Times New Roman" w:cs="Times New Roman"/>
          <w:bCs/>
          <w:sz w:val="24"/>
          <w:szCs w:val="24"/>
          <w:lang w:eastAsia="ar-SA"/>
        </w:rPr>
        <w:t>których mowa w ust. 1 – ministra właściwego ds. rozwoju regionalnego w odniesieniu do środków krajowych programów operacyjnych i zarząd województwa w odniesieniu do środków regionalnych programów operacyjnych. Regulacja stanowi powtórzenie regulacji obecnie obowiązującej.</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W celu uniknięcia wątpliwości w zakresie statusu środków przeznaczonych na realizację instrumentów finansowych zwracanych przez</w:t>
      </w:r>
      <w:r w:rsidR="002A355B">
        <w:rPr>
          <w:rFonts w:ascii="Times New Roman" w:eastAsia="Times New Roman" w:hAnsi="Times New Roman" w:cs="Times New Roman"/>
          <w:bCs/>
          <w:sz w:val="24"/>
          <w:szCs w:val="24"/>
          <w:lang w:eastAsia="ar-SA"/>
        </w:rPr>
        <w:t xml:space="preserve"> ostatecznych odbiorców, w ust. </w:t>
      </w:r>
      <w:r w:rsidRPr="00046867">
        <w:rPr>
          <w:rFonts w:ascii="Times New Roman" w:eastAsia="Times New Roman" w:hAnsi="Times New Roman" w:cs="Times New Roman"/>
          <w:bCs/>
          <w:sz w:val="24"/>
          <w:szCs w:val="24"/>
          <w:lang w:eastAsia="ar-SA"/>
        </w:rPr>
        <w:t>3 jednoznacznie przesądzono, że środki, o których mowa w ust. 1</w:t>
      </w:r>
      <w:r w:rsidR="00D60217">
        <w:rPr>
          <w:rFonts w:ascii="Times New Roman" w:eastAsia="Times New Roman" w:hAnsi="Times New Roman" w:cs="Times New Roman"/>
          <w:bCs/>
          <w:sz w:val="24"/>
          <w:szCs w:val="24"/>
          <w:lang w:eastAsia="ar-SA"/>
        </w:rPr>
        <w:t>,</w:t>
      </w:r>
      <w:r w:rsidRPr="00046867">
        <w:rPr>
          <w:rFonts w:ascii="Times New Roman" w:eastAsia="Times New Roman" w:hAnsi="Times New Roman" w:cs="Times New Roman"/>
          <w:bCs/>
          <w:sz w:val="24"/>
          <w:szCs w:val="24"/>
          <w:lang w:eastAsia="ar-SA"/>
        </w:rPr>
        <w:t xml:space="preserve"> nie stanowią dochodu dysponenta ani jakiegokolwiek podmiotu, któr</w:t>
      </w:r>
      <w:r w:rsidR="00D60217">
        <w:rPr>
          <w:rFonts w:ascii="Times New Roman" w:eastAsia="Times New Roman" w:hAnsi="Times New Roman" w:cs="Times New Roman"/>
          <w:bCs/>
          <w:sz w:val="24"/>
          <w:szCs w:val="24"/>
          <w:lang w:eastAsia="ar-SA"/>
        </w:rPr>
        <w:t>emu dysponent mógłby powierzyć/</w:t>
      </w:r>
      <w:r w:rsidRPr="00046867">
        <w:rPr>
          <w:rFonts w:ascii="Times New Roman" w:eastAsia="Times New Roman" w:hAnsi="Times New Roman" w:cs="Times New Roman"/>
          <w:bCs/>
          <w:sz w:val="24"/>
          <w:szCs w:val="24"/>
          <w:lang w:eastAsia="ar-SA"/>
        </w:rPr>
        <w:t>zlecić wdrażanie instrumentów finansowych/wsparcia zwrotnego. Jednocześnie w ust. 4 zawarto regulację wskazującą, że warunki wydatkowania środków, o których mowa w ust. 1, są wskazane w umowie/porozumieniu podpisywanym przez dysponenta.</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W ust. 5 wskazano, że w umowie lub porozumieniu zawieranych przez dysponenta środków powinny znaleźć się odpowiednie postanowienia gwarantujące efektywne wydatkowanie środków, o których mowa w ust 1. Konsekwencją zastosowania regulacji będzie obowiązek zawarcia stosownych postanowień również w umowach zawieranych przez podmioty, którym dysponent może powierzyć wdrażanie środków z innymi podmiotami (np. pośrednicy finansowi, fundusze funduszy), jeśli podmioty takie miałyby realizować zadania związane z wdrażaniem wsparcia zwrotnego.</w:t>
      </w:r>
    </w:p>
    <w:p w:rsidR="00046867" w:rsidRPr="00046867" w:rsidRDefault="00BD1150" w:rsidP="00046867">
      <w:pPr>
        <w:suppressAutoHyphens/>
        <w:spacing w:before="120" w:after="0" w:line="360" w:lineRule="auto"/>
        <w:jc w:val="both"/>
        <w:rPr>
          <w:rFonts w:ascii="Times New Roman" w:eastAsia="Times New Roman" w:hAnsi="Times New Roman" w:cs="Times New Roman"/>
          <w:b/>
          <w:bCs/>
          <w:sz w:val="24"/>
          <w:szCs w:val="24"/>
          <w:lang w:eastAsia="ar-SA"/>
        </w:rPr>
      </w:pPr>
      <w:r>
        <w:rPr>
          <w:rFonts w:ascii="Times New Roman" w:eastAsia="Times New Roman" w:hAnsi="Times New Roman" w:cs="Times New Roman"/>
          <w:bCs/>
          <w:sz w:val="24"/>
          <w:szCs w:val="24"/>
          <w:lang w:eastAsia="ar-SA"/>
        </w:rPr>
        <w:t>Ust. 6–8 zawieraj</w:t>
      </w:r>
      <w:r w:rsidR="00CB7449">
        <w:rPr>
          <w:rFonts w:ascii="Times New Roman" w:eastAsia="Times New Roman" w:hAnsi="Times New Roman" w:cs="Times New Roman"/>
          <w:bCs/>
          <w:sz w:val="24"/>
          <w:szCs w:val="24"/>
          <w:lang w:eastAsia="ar-SA"/>
        </w:rPr>
        <w:t>ą</w:t>
      </w:r>
      <w:r w:rsidR="00046867" w:rsidRPr="00046867">
        <w:rPr>
          <w:rFonts w:ascii="Times New Roman" w:eastAsia="Times New Roman" w:hAnsi="Times New Roman" w:cs="Times New Roman"/>
          <w:bCs/>
          <w:sz w:val="24"/>
          <w:szCs w:val="24"/>
          <w:lang w:eastAsia="ar-SA"/>
        </w:rPr>
        <w:t xml:space="preserve"> analogiczne do obecnie obowiązujących regulacje dotyczące obsługi przez BGK rachunków, na które są zwracane środki, o których mowa w ust. 1.</w:t>
      </w:r>
    </w:p>
    <w:p w:rsidR="00046867" w:rsidRPr="00966E19" w:rsidRDefault="00046867" w:rsidP="002A355B">
      <w:pPr>
        <w:numPr>
          <w:ilvl w:val="0"/>
          <w:numId w:val="1"/>
        </w:numPr>
        <w:tabs>
          <w:tab w:val="num" w:pos="284"/>
        </w:tabs>
        <w:suppressAutoHyphens/>
        <w:spacing w:before="240" w:after="0" w:line="360" w:lineRule="auto"/>
        <w:ind w:left="284" w:hanging="284"/>
        <w:jc w:val="both"/>
        <w:rPr>
          <w:rFonts w:ascii="Times New Roman" w:eastAsia="Calibri" w:hAnsi="Times New Roman" w:cs="Times New Roman"/>
          <w:sz w:val="24"/>
          <w:szCs w:val="24"/>
          <w:lang w:eastAsia="ar-SA"/>
        </w:rPr>
      </w:pPr>
      <w:r w:rsidRPr="00966E19">
        <w:rPr>
          <w:rFonts w:ascii="Times New Roman" w:eastAsia="Times New Roman" w:hAnsi="Times New Roman" w:cs="Times New Roman"/>
          <w:bCs/>
          <w:sz w:val="24"/>
          <w:szCs w:val="24"/>
          <w:lang w:eastAsia="ar-SA"/>
        </w:rPr>
        <w:t>POMOC ZWROTNA</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W rozdziale 10a w art. 29a – uregulowano zagadnienia związane z udzielaniem pomocy zwrotnej. Pomoc zwrotna stanowi kolejną, obok dotacji i instrumentów finansowych, formę wsparcia dopuszczoną do stosowania w ramach polityki spójności na mocy rozporządzenia ogólnego. Pomoc zwrotna nie jest kwalifikowana ani jako dotacja ani jako instrument finansowy, ponieważ kwestia zwrotu przez beneficjenta określonej części dofinansowania jest uzależniona od s</w:t>
      </w:r>
      <w:r w:rsidR="002A355B">
        <w:rPr>
          <w:rFonts w:ascii="Times New Roman" w:eastAsia="Calibri" w:hAnsi="Times New Roman" w:cs="Times New Roman"/>
          <w:sz w:val="24"/>
          <w:szCs w:val="24"/>
          <w:lang w:eastAsia="ar-SA"/>
        </w:rPr>
        <w:t>pełnienia warunków związanych z </w:t>
      </w:r>
      <w:r w:rsidRPr="00046867">
        <w:rPr>
          <w:rFonts w:ascii="Times New Roman" w:eastAsia="Calibri" w:hAnsi="Times New Roman" w:cs="Times New Roman"/>
          <w:sz w:val="24"/>
          <w:szCs w:val="24"/>
          <w:lang w:eastAsia="ar-SA"/>
        </w:rPr>
        <w:t>osiągnięciem efektów projektu określonych w umo</w:t>
      </w:r>
      <w:r w:rsidR="002A355B">
        <w:rPr>
          <w:rFonts w:ascii="Times New Roman" w:eastAsia="Calibri" w:hAnsi="Times New Roman" w:cs="Times New Roman"/>
          <w:sz w:val="24"/>
          <w:szCs w:val="24"/>
          <w:lang w:eastAsia="ar-SA"/>
        </w:rPr>
        <w:t>wie/decyzji o dofinansowaniu. W </w:t>
      </w:r>
      <w:r w:rsidRPr="00046867">
        <w:rPr>
          <w:rFonts w:ascii="Times New Roman" w:eastAsia="Calibri" w:hAnsi="Times New Roman" w:cs="Times New Roman"/>
          <w:sz w:val="24"/>
          <w:szCs w:val="24"/>
          <w:lang w:eastAsia="ar-SA"/>
        </w:rPr>
        <w:t>przypadku pomocy zwrotnej przewidziano zatem możliwość zwrotu środków, jednak to, czy i jaka część wsparcia zostanie faktycznie zwrócona przez beneficjenta nie jest możliwe do określenia zanim projekt nie zostanie ostatecznie zrealizowany/zakończony. Jednocześnie zwrot środków w przypadku spełnieni</w:t>
      </w:r>
      <w:r w:rsidR="002A355B">
        <w:rPr>
          <w:rFonts w:ascii="Times New Roman" w:eastAsia="Calibri" w:hAnsi="Times New Roman" w:cs="Times New Roman"/>
          <w:sz w:val="24"/>
          <w:szCs w:val="24"/>
          <w:lang w:eastAsia="ar-SA"/>
        </w:rPr>
        <w:t>a warunków zwrotu określonych w </w:t>
      </w:r>
      <w:r w:rsidRPr="00046867">
        <w:rPr>
          <w:rFonts w:ascii="Times New Roman" w:eastAsia="Calibri" w:hAnsi="Times New Roman" w:cs="Times New Roman"/>
          <w:sz w:val="24"/>
          <w:szCs w:val="24"/>
          <w:lang w:eastAsia="ar-SA"/>
        </w:rPr>
        <w:t>umowie/decyzji o dofinansowaniu nie stanowi nieprawidłowości w rozumieniu przepisów rozporządzenia ogólnego. Mając na względzie, że w przypadku udzielania dofinansowania w formie zwrotnej stosuje się zasady analogiczne jak w przypadku udzielania dotacji (z uwzględnieniem różnic, jakie muszą wynikać z postanowień umowy o dofinansowanie/decyzji o dofinansowaniu), ustawa reguluje zagadnienia związane z pomocą zwrotną dopiero od momentu zwrotu środków do właściwej instytucji. Kwestie związane z wykorzystaniem środków po ich zwróceniu właściwej instytucji uregulowano w sposób zbliżony, jak w przypadku instrumentów finansowych z pewnymi różnicami wynikającymi z odmiennego char</w:t>
      </w:r>
      <w:r w:rsidR="002A355B">
        <w:rPr>
          <w:rFonts w:ascii="Times New Roman" w:eastAsia="Calibri" w:hAnsi="Times New Roman" w:cs="Times New Roman"/>
          <w:sz w:val="24"/>
          <w:szCs w:val="24"/>
          <w:lang w:eastAsia="ar-SA"/>
        </w:rPr>
        <w:t>akteru wsparcia. Zgodnie z ust. </w:t>
      </w:r>
      <w:r w:rsidRPr="00046867">
        <w:rPr>
          <w:rFonts w:ascii="Times New Roman" w:eastAsia="Calibri" w:hAnsi="Times New Roman" w:cs="Times New Roman"/>
          <w:sz w:val="24"/>
          <w:szCs w:val="24"/>
          <w:lang w:eastAsia="ar-SA"/>
        </w:rPr>
        <w:t>1, po wykonaniu zobowiązań wynikających z umowy o dofinansowanie</w:t>
      </w:r>
      <w:r w:rsidR="002A355B">
        <w:rPr>
          <w:rFonts w:ascii="Times New Roman" w:eastAsia="Calibri" w:hAnsi="Times New Roman" w:cs="Times New Roman"/>
          <w:sz w:val="24"/>
          <w:szCs w:val="24"/>
          <w:lang w:eastAsia="ar-SA"/>
        </w:rPr>
        <w:t xml:space="preserve"> </w:t>
      </w:r>
      <w:r w:rsidRPr="00046867">
        <w:rPr>
          <w:rFonts w:ascii="Times New Roman" w:eastAsia="Calibri" w:hAnsi="Times New Roman" w:cs="Times New Roman"/>
          <w:sz w:val="24"/>
          <w:szCs w:val="24"/>
          <w:lang w:eastAsia="ar-SA"/>
        </w:rPr>
        <w:t xml:space="preserve">projektu/decyzji o dofinansowaniu projektu środki są przekazywane na rachunek instytucji, która podpisywała umowę </w:t>
      </w:r>
      <w:r w:rsidR="002A355B">
        <w:rPr>
          <w:rFonts w:ascii="Times New Roman" w:eastAsia="Calibri" w:hAnsi="Times New Roman" w:cs="Times New Roman"/>
          <w:sz w:val="24"/>
          <w:szCs w:val="24"/>
          <w:lang w:eastAsia="ar-SA"/>
        </w:rPr>
        <w:t>z beneficjentem (chyba że w </w:t>
      </w:r>
      <w:r w:rsidRPr="00046867">
        <w:rPr>
          <w:rFonts w:ascii="Times New Roman" w:eastAsia="Calibri" w:hAnsi="Times New Roman" w:cs="Times New Roman"/>
          <w:sz w:val="24"/>
          <w:szCs w:val="24"/>
          <w:lang w:eastAsia="ar-SA"/>
        </w:rPr>
        <w:t>porozumieniach/umowach zawieranych między instytucjami systemu wdrażania PO zawarte byłyby inne postanowienia). W ust. 3 wskazano, jakie podmioty mogą dalej wykorzystywać środki zwrócone z projektów realizowanych w formule pomocy zwrotnej. Może to być dysponent środków (minister właściwy ds. rozwoju regionalnego albo zarząd województwa), podmiot, który pełnił</w:t>
      </w:r>
      <w:r w:rsidR="002A355B">
        <w:rPr>
          <w:rFonts w:ascii="Times New Roman" w:eastAsia="Calibri" w:hAnsi="Times New Roman" w:cs="Times New Roman"/>
          <w:sz w:val="24"/>
          <w:szCs w:val="24"/>
          <w:lang w:eastAsia="ar-SA"/>
        </w:rPr>
        <w:t xml:space="preserve"> funkcję właściwej instytucji w </w:t>
      </w:r>
      <w:r w:rsidRPr="00046867">
        <w:rPr>
          <w:rFonts w:ascii="Times New Roman" w:eastAsia="Calibri" w:hAnsi="Times New Roman" w:cs="Times New Roman"/>
          <w:sz w:val="24"/>
          <w:szCs w:val="24"/>
          <w:lang w:eastAsia="ar-SA"/>
        </w:rPr>
        <w:t>systemie wdrażania funduszy UE (jest to ten sam co do tożsamości podmiot, niemniej mając na względzie, że środki powracające z projektów nie są już środkami programu operacyjnego, nie można było posłużyć się wprost pojęciem „właściwej instytucji”, jako tej, która realizuje określone zadania w ramach PO) albo inny podmiot. Jeżeli środki są wydatkowane przez podmiot, który pełnił funkcję właściwej instytucji albo przez inny podmiot (niebędący dysponentem ś</w:t>
      </w:r>
      <w:r w:rsidR="002A355B">
        <w:rPr>
          <w:rFonts w:ascii="Times New Roman" w:eastAsia="Calibri" w:hAnsi="Times New Roman" w:cs="Times New Roman"/>
          <w:sz w:val="24"/>
          <w:szCs w:val="24"/>
          <w:lang w:eastAsia="ar-SA"/>
        </w:rPr>
        <w:t>rodków), warunki wydatkowania i </w:t>
      </w:r>
      <w:r w:rsidRPr="00046867">
        <w:rPr>
          <w:rFonts w:ascii="Times New Roman" w:eastAsia="Calibri" w:hAnsi="Times New Roman" w:cs="Times New Roman"/>
          <w:sz w:val="24"/>
          <w:szCs w:val="24"/>
          <w:lang w:eastAsia="ar-SA"/>
        </w:rPr>
        <w:t>rozliczania środków są określane w umowach/porozumieniach zawieranych przez nie z dysponentem środków. Zgodnie z regulacją zawartą w ust. 7, w sytuacji, w której zwrócone środki będą wykorzystywane przez dysponenta albo przez inny podmiot, który nie pełnił funkcji właściwej instytucji, dysponent otwiera w BGK rachunek do obsługi tych środków. Natomiast w sytuacji, w której dalszy obrót środkami zostanie powierzony podmiotowi, który pełnił funkcję właściwej instytucji, środki przechowywane są na rachunku tego podmiotu (oddzielnym rachunku albo wydzielone kodami księgowymi) i nie ma potrzeby ich przekazywania na rachunek BGK (ust.</w:t>
      </w:r>
      <w:r w:rsidR="00746826">
        <w:rPr>
          <w:rFonts w:ascii="Times New Roman" w:eastAsia="Calibri" w:hAnsi="Times New Roman" w:cs="Times New Roman"/>
          <w:sz w:val="24"/>
          <w:szCs w:val="24"/>
          <w:lang w:eastAsia="ar-SA"/>
        </w:rPr>
        <w:t xml:space="preserve"> </w:t>
      </w:r>
      <w:r w:rsidRPr="00046867">
        <w:rPr>
          <w:rFonts w:ascii="Times New Roman" w:eastAsia="Calibri" w:hAnsi="Times New Roman" w:cs="Times New Roman"/>
          <w:sz w:val="24"/>
          <w:szCs w:val="24"/>
          <w:lang w:eastAsia="ar-SA"/>
        </w:rPr>
        <w:t xml:space="preserve">8). </w:t>
      </w:r>
    </w:p>
    <w:p w:rsidR="00046867" w:rsidRPr="00966E19" w:rsidRDefault="00046867" w:rsidP="002A355B">
      <w:pPr>
        <w:numPr>
          <w:ilvl w:val="0"/>
          <w:numId w:val="1"/>
        </w:numPr>
        <w:tabs>
          <w:tab w:val="left" w:pos="426"/>
        </w:tabs>
        <w:suppressAutoHyphens/>
        <w:spacing w:before="240" w:after="0" w:line="360" w:lineRule="auto"/>
        <w:ind w:left="284" w:hanging="284"/>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bCs/>
          <w:sz w:val="24"/>
          <w:szCs w:val="24"/>
          <w:lang w:eastAsia="ar-SA"/>
        </w:rPr>
        <w:t>REALIZACJA</w:t>
      </w:r>
      <w:r w:rsidRPr="00966E19">
        <w:rPr>
          <w:rFonts w:ascii="Times New Roman" w:eastAsia="Times New Roman" w:hAnsi="Times New Roman" w:cs="Times New Roman"/>
          <w:sz w:val="24"/>
          <w:szCs w:val="24"/>
          <w:lang w:eastAsia="ar-SA"/>
        </w:rPr>
        <w:t xml:space="preserve"> PROJEKTÓW PARTNERSKICH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Proponowana zmiana art. 33 w ust. 2 doprecyzowuje, że to podmiot inicjujący projekt partnerski dokonuje wyboru partnerów spoza</w:t>
      </w:r>
      <w:r w:rsidR="002A355B">
        <w:rPr>
          <w:rFonts w:ascii="Times New Roman" w:eastAsia="Times New Roman" w:hAnsi="Times New Roman" w:cs="Times New Roman"/>
          <w:sz w:val="24"/>
          <w:szCs w:val="24"/>
          <w:lang w:eastAsia="ar-SA"/>
        </w:rPr>
        <w:t xml:space="preserve"> tzw. „podmiotów publicznych” w </w:t>
      </w:r>
      <w:r w:rsidRPr="00046867">
        <w:rPr>
          <w:rFonts w:ascii="Times New Roman" w:eastAsia="Times New Roman" w:hAnsi="Times New Roman" w:cs="Times New Roman"/>
          <w:sz w:val="24"/>
          <w:szCs w:val="24"/>
          <w:lang w:eastAsia="ar-SA"/>
        </w:rPr>
        <w:t>rozumieniu przepisów o zamówieniach publicznych, natomiast zmiana proponowana w ust. 3 ma na celu określenie, iż każde partnerstwo powinno być utworzone przed złożeniem wniosku o dofinansowanie projektu partnerskiego. Wprowadzono również możliwość zmiany partnera. Zmiana part</w:t>
      </w:r>
      <w:r w:rsidR="002A355B">
        <w:rPr>
          <w:rFonts w:ascii="Times New Roman" w:eastAsia="Times New Roman" w:hAnsi="Times New Roman" w:cs="Times New Roman"/>
          <w:sz w:val="24"/>
          <w:szCs w:val="24"/>
          <w:lang w:eastAsia="ar-SA"/>
        </w:rPr>
        <w:t>nera będzie możliwa wyłącznie w </w:t>
      </w:r>
      <w:r w:rsidRPr="00046867">
        <w:rPr>
          <w:rFonts w:ascii="Times New Roman" w:eastAsia="Times New Roman" w:hAnsi="Times New Roman" w:cs="Times New Roman"/>
          <w:sz w:val="24"/>
          <w:szCs w:val="24"/>
          <w:lang w:eastAsia="ar-SA"/>
        </w:rPr>
        <w:t>uzasadnionych przypadkach, po uzyskaniu zgody właściwej instytucji, która zawarła z partnerem wiodącym umowę o dofinansowa</w:t>
      </w:r>
      <w:r w:rsidR="002A355B">
        <w:rPr>
          <w:rFonts w:ascii="Times New Roman" w:eastAsia="Times New Roman" w:hAnsi="Times New Roman" w:cs="Times New Roman"/>
          <w:sz w:val="24"/>
          <w:szCs w:val="24"/>
          <w:lang w:eastAsia="ar-SA"/>
        </w:rPr>
        <w:t>nie projektu (podjęła decyzję o </w:t>
      </w:r>
      <w:r w:rsidRPr="00046867">
        <w:rPr>
          <w:rFonts w:ascii="Times New Roman" w:eastAsia="Times New Roman" w:hAnsi="Times New Roman" w:cs="Times New Roman"/>
          <w:sz w:val="24"/>
          <w:szCs w:val="24"/>
          <w:lang w:eastAsia="ar-SA"/>
        </w:rPr>
        <w:t>dofinansowaniu projektu), oraz jeżeli zmiana ta jest niezbędna dla zapewnienia prawidłowej i terminowej realizacji projektu – ust. 3a. Przy czym zgoda właściwej instytucji nie oznacza władczego rozstrzygnięcia tej instytucji, a jest to oświadczenie woli podmiotu stosunku prawnego łączącego instytucję z partnerem. Dodany ust. 4a stwarza obowiązek dla podmiotu, o którym mowa w art. 3 ust. 1 ustawy z dni</w:t>
      </w:r>
      <w:r w:rsidR="002A355B">
        <w:rPr>
          <w:rFonts w:ascii="Times New Roman" w:eastAsia="Times New Roman" w:hAnsi="Times New Roman" w:cs="Times New Roman"/>
          <w:sz w:val="24"/>
          <w:szCs w:val="24"/>
          <w:lang w:eastAsia="ar-SA"/>
        </w:rPr>
        <w:t>a 29 </w:t>
      </w:r>
      <w:r w:rsidRPr="00046867">
        <w:rPr>
          <w:rFonts w:ascii="Times New Roman" w:eastAsia="Times New Roman" w:hAnsi="Times New Roman" w:cs="Times New Roman"/>
          <w:sz w:val="24"/>
          <w:szCs w:val="24"/>
          <w:lang w:eastAsia="ar-SA"/>
        </w:rPr>
        <w:t>stycznia 2004 r. – Prawo zamówień publicznych, który nie będzie podmiotem inicjującym projekt partnerski, podania do publicznej wiadomości w Biuletynie Informacji Publicznej informacji o rozpoczęciu realizacj</w:t>
      </w:r>
      <w:r w:rsidR="002A355B">
        <w:rPr>
          <w:rFonts w:ascii="Times New Roman" w:eastAsia="Times New Roman" w:hAnsi="Times New Roman" w:cs="Times New Roman"/>
          <w:sz w:val="24"/>
          <w:szCs w:val="24"/>
          <w:lang w:eastAsia="ar-SA"/>
        </w:rPr>
        <w:t>i projektu partnerskiego wraz z </w:t>
      </w:r>
      <w:r w:rsidRPr="00046867">
        <w:rPr>
          <w:rFonts w:ascii="Times New Roman" w:eastAsia="Times New Roman" w:hAnsi="Times New Roman" w:cs="Times New Roman"/>
          <w:sz w:val="24"/>
          <w:szCs w:val="24"/>
          <w:lang w:eastAsia="ar-SA"/>
        </w:rPr>
        <w:t xml:space="preserve">uzasadnieniem przyczyn przystąpienia do realizacji tego projektu oraz wskazania partnera wiodącego w projekcie. </w:t>
      </w:r>
    </w:p>
    <w:p w:rsidR="00046867" w:rsidRPr="00046867" w:rsidRDefault="00046867" w:rsidP="00046867">
      <w:pPr>
        <w:suppressAutoHyphens/>
        <w:spacing w:before="120" w:after="0" w:line="360" w:lineRule="auto"/>
        <w:jc w:val="both"/>
        <w:rPr>
          <w:rFonts w:ascii="Times New Roman" w:eastAsia="Times New Roman" w:hAnsi="Times New Roman" w:cs="Times New Roman"/>
          <w:b/>
          <w:bCs/>
          <w:sz w:val="24"/>
          <w:szCs w:val="24"/>
          <w:lang w:eastAsia="ar-SA"/>
        </w:rPr>
      </w:pPr>
      <w:r w:rsidRPr="00046867">
        <w:rPr>
          <w:rFonts w:ascii="Times New Roman" w:eastAsia="Times New Roman" w:hAnsi="Times New Roman" w:cs="Times New Roman"/>
          <w:sz w:val="24"/>
          <w:szCs w:val="24"/>
          <w:lang w:eastAsia="ar-SA"/>
        </w:rPr>
        <w:t xml:space="preserve">Ponadto w art. 33 zrezygnowano z regulacji zawartej w ust. 6 </w:t>
      </w:r>
      <w:r w:rsidRPr="00046867">
        <w:rPr>
          <w:rFonts w:ascii="Times New Roman" w:eastAsia="Times New Roman" w:hAnsi="Times New Roman" w:cs="Times New Roman"/>
          <w:bCs/>
          <w:sz w:val="24"/>
          <w:szCs w:val="24"/>
          <w:lang w:eastAsia="ar-SA"/>
        </w:rPr>
        <w:t xml:space="preserve">określającej zakaz zawiązywania partnerstw przez podmioty powiązane. Proponowana zmiana ma na celu likwidację ograniczeń umożliwiających tworzenie partnerstw przez wszystkie podmioty, z uwzględnieniem jednak regulacji dotyczących pomocy publicznej wynikających z obwiązujących bezpośrednio regulacji unijnych. </w:t>
      </w:r>
    </w:p>
    <w:p w:rsidR="00046867" w:rsidRPr="00966E19" w:rsidRDefault="00046867" w:rsidP="002A355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bCs/>
          <w:sz w:val="24"/>
          <w:szCs w:val="24"/>
          <w:lang w:eastAsia="ar-SA"/>
        </w:rPr>
      </w:pPr>
      <w:r w:rsidRPr="00966E19">
        <w:rPr>
          <w:rFonts w:ascii="Times New Roman" w:eastAsia="Times New Roman" w:hAnsi="Times New Roman" w:cs="Times New Roman"/>
          <w:bCs/>
          <w:sz w:val="24"/>
          <w:szCs w:val="24"/>
          <w:lang w:eastAsia="ar-SA"/>
        </w:rPr>
        <w:t xml:space="preserve">SKŁADANIE OŚWIADCZEŃ PRZEZ WNIOSKODAWCÓW ORAZ UDOSTĘPNIANIE DOKUMENTÓW </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Doprecyzowano art. 37 ust. 4 oraz dodano ust. 4a. Zmiany mają na celu jednoznaczne przesądzenie, że oświadczenia zawarte we wniosku o dofinansowanie, które są składane pod rygorem odpowiedzialności karnej, nie są obowiązko</w:t>
      </w:r>
      <w:r w:rsidR="002A355B">
        <w:rPr>
          <w:rFonts w:ascii="Times New Roman" w:eastAsia="Times New Roman" w:hAnsi="Times New Roman" w:cs="Times New Roman"/>
          <w:bCs/>
          <w:sz w:val="24"/>
          <w:szCs w:val="24"/>
          <w:lang w:eastAsia="ar-SA"/>
        </w:rPr>
        <w:t>wym elementem wniosku o </w:t>
      </w:r>
      <w:r w:rsidRPr="00046867">
        <w:rPr>
          <w:rFonts w:ascii="Times New Roman" w:eastAsia="Times New Roman" w:hAnsi="Times New Roman" w:cs="Times New Roman"/>
          <w:bCs/>
          <w:sz w:val="24"/>
          <w:szCs w:val="24"/>
          <w:lang w:eastAsia="ar-SA"/>
        </w:rPr>
        <w:t>dofinansowanie. Do decyzji instytucji zarządzających będzie należało, czy dane oświadczenie znajdzie się we wniosku o dofinansowanie czy nie. W konsekwencji będą one miały możliwość elastycznego podejścia w tym zakresie i decydowania o tym, jakie oświadczenia będą obligatoryjne i składane pod rygorem odpowiedzialności karnej.</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Zmodyfikowano art. 37 ust. 6 poprzez wskazanie, że dokumenty i informacje przedstawiane przez wnioskodawców nie podlegają udostępnieniu przez właściwą instytucję w trybie przepisów ustawy z dnia 6 września 2001 r. o dostępie do informacji publicznej (Dz. U. z 2015 r. poz. 2058</w:t>
      </w:r>
      <w:r w:rsidR="00DA5598">
        <w:rPr>
          <w:rFonts w:ascii="Times New Roman" w:eastAsia="Times New Roman" w:hAnsi="Times New Roman" w:cs="Times New Roman"/>
          <w:bCs/>
          <w:sz w:val="24"/>
          <w:szCs w:val="24"/>
          <w:lang w:eastAsia="ar-SA"/>
        </w:rPr>
        <w:t>, z późn. zm.</w:t>
      </w:r>
      <w:r w:rsidRPr="00046867">
        <w:rPr>
          <w:rFonts w:ascii="Times New Roman" w:eastAsia="Times New Roman" w:hAnsi="Times New Roman" w:cs="Times New Roman"/>
          <w:bCs/>
          <w:sz w:val="24"/>
          <w:szCs w:val="24"/>
          <w:lang w:eastAsia="ar-SA"/>
        </w:rPr>
        <w:t>). Dodano również ust. 7 stanowiący, że dokumenty i informacj</w:t>
      </w:r>
      <w:r w:rsidR="002A355B">
        <w:rPr>
          <w:rFonts w:ascii="Times New Roman" w:eastAsia="Times New Roman" w:hAnsi="Times New Roman" w:cs="Times New Roman"/>
          <w:bCs/>
          <w:sz w:val="24"/>
          <w:szCs w:val="24"/>
          <w:lang w:eastAsia="ar-SA"/>
        </w:rPr>
        <w:t>e wytworzone lub przygotowane w </w:t>
      </w:r>
      <w:r w:rsidRPr="00046867">
        <w:rPr>
          <w:rFonts w:ascii="Times New Roman" w:eastAsia="Times New Roman" w:hAnsi="Times New Roman" w:cs="Times New Roman"/>
          <w:bCs/>
          <w:sz w:val="24"/>
          <w:szCs w:val="24"/>
          <w:lang w:eastAsia="ar-SA"/>
        </w:rPr>
        <w:t>związku z oceną dokumentów i informacji przedstawianych przez wnioskodawców, do czasu rozstrzygnięcia konkursu albo zamieszczenia informacji o wybranym do dofinansowania projekcie w trybie pozakonkursowym</w:t>
      </w:r>
      <w:r w:rsidR="002A355B">
        <w:rPr>
          <w:rFonts w:ascii="Times New Roman" w:eastAsia="Times New Roman" w:hAnsi="Times New Roman" w:cs="Times New Roman"/>
          <w:bCs/>
          <w:sz w:val="24"/>
          <w:szCs w:val="24"/>
          <w:lang w:eastAsia="ar-SA"/>
        </w:rPr>
        <w:t>, nie podlegają udostępnieniu w </w:t>
      </w:r>
      <w:r w:rsidRPr="00046867">
        <w:rPr>
          <w:rFonts w:ascii="Times New Roman" w:eastAsia="Times New Roman" w:hAnsi="Times New Roman" w:cs="Times New Roman"/>
          <w:bCs/>
          <w:sz w:val="24"/>
          <w:szCs w:val="24"/>
          <w:lang w:eastAsia="ar-SA"/>
        </w:rPr>
        <w:t xml:space="preserve">trybie przepisów ustawy z dnia 6 września 2001 r. o dostępie do informacji publicznej. </w:t>
      </w:r>
    </w:p>
    <w:p w:rsidR="00046867" w:rsidRPr="00046867" w:rsidRDefault="00046867" w:rsidP="00046867">
      <w:pPr>
        <w:suppressAutoHyphens/>
        <w:spacing w:before="120" w:after="0" w:line="360" w:lineRule="auto"/>
        <w:jc w:val="both"/>
        <w:rPr>
          <w:rFonts w:ascii="Times New Roman" w:eastAsia="Times New Roman" w:hAnsi="Times New Roman" w:cs="Times New Roman"/>
          <w:b/>
          <w:sz w:val="24"/>
          <w:szCs w:val="24"/>
          <w:lang w:eastAsia="ar-SA"/>
        </w:rPr>
      </w:pPr>
      <w:r w:rsidRPr="00046867">
        <w:rPr>
          <w:rFonts w:ascii="Times New Roman" w:eastAsia="Times New Roman" w:hAnsi="Times New Roman" w:cs="Times New Roman"/>
          <w:bCs/>
          <w:sz w:val="24"/>
          <w:szCs w:val="24"/>
          <w:lang w:eastAsia="ar-SA"/>
        </w:rPr>
        <w:t>Powyższe zmiany mają na celu przede wszystkim uporządkowanie dotychczasowych regulacji w celu uniknięcia wątpliwości interpretacyjnych w tym zakresie. Ponadto celem regulacji jest zabezpieczenie sprawnego przeprowadzenia wyboru projektów do dofinansowania, który mógłby być dezorganizowany przez znaczną liczbę wniosków dotyczących udostępnienia informacji publicznej. Regulacja ma także na celu wyeliminowanie praktyk polegających na powielaniu rozwiązań opracowanych przez innych wnioskodawców.</w:t>
      </w:r>
    </w:p>
    <w:p w:rsidR="00046867" w:rsidRPr="00966E19" w:rsidRDefault="00046867" w:rsidP="002A355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 xml:space="preserve">TRYB WYBORU PROJEKTÓW Z ZAKRESU INSTRUMENTÓW FINANSOWYCH </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sz w:val="24"/>
          <w:szCs w:val="24"/>
          <w:lang w:eastAsia="ar-SA"/>
        </w:rPr>
        <w:t>W art. 38 dodano przepisy w zakresie trybu wyboru projektów</w:t>
      </w:r>
      <w:r w:rsidRPr="00046867">
        <w:rPr>
          <w:rFonts w:ascii="Times New Roman" w:eastAsia="Times New Roman" w:hAnsi="Times New Roman" w:cs="Times New Roman"/>
          <w:bCs/>
          <w:sz w:val="24"/>
          <w:szCs w:val="24"/>
          <w:lang w:eastAsia="ar-SA"/>
        </w:rPr>
        <w:t xml:space="preserve"> zgodnego z przepisami art. 39 (przetarg nieograniczony), </w:t>
      </w:r>
      <w:r w:rsidR="00FD7EC3">
        <w:rPr>
          <w:rFonts w:ascii="Times New Roman" w:eastAsia="Times New Roman" w:hAnsi="Times New Roman" w:cs="Times New Roman"/>
          <w:bCs/>
          <w:sz w:val="24"/>
          <w:szCs w:val="24"/>
          <w:lang w:eastAsia="ar-SA"/>
        </w:rPr>
        <w:t xml:space="preserve">art. </w:t>
      </w:r>
      <w:r w:rsidRPr="00046867">
        <w:rPr>
          <w:rFonts w:ascii="Times New Roman" w:eastAsia="Times New Roman" w:hAnsi="Times New Roman" w:cs="Times New Roman"/>
          <w:bCs/>
          <w:sz w:val="24"/>
          <w:szCs w:val="24"/>
          <w:lang w:eastAsia="ar-SA"/>
        </w:rPr>
        <w:t xml:space="preserve">47 (przetarg ograniczony), </w:t>
      </w:r>
      <w:r w:rsidR="00FD7EC3">
        <w:rPr>
          <w:rFonts w:ascii="Times New Roman" w:eastAsia="Times New Roman" w:hAnsi="Times New Roman" w:cs="Times New Roman"/>
          <w:bCs/>
          <w:sz w:val="24"/>
          <w:szCs w:val="24"/>
          <w:lang w:eastAsia="ar-SA"/>
        </w:rPr>
        <w:t xml:space="preserve">art. </w:t>
      </w:r>
      <w:r w:rsidRPr="00046867">
        <w:rPr>
          <w:rFonts w:ascii="Times New Roman" w:eastAsia="Times New Roman" w:hAnsi="Times New Roman" w:cs="Times New Roman"/>
          <w:bCs/>
          <w:sz w:val="24"/>
          <w:szCs w:val="24"/>
          <w:lang w:eastAsia="ar-SA"/>
        </w:rPr>
        <w:t>54 (negocjacj</w:t>
      </w:r>
      <w:r w:rsidR="002A355B">
        <w:rPr>
          <w:rFonts w:ascii="Times New Roman" w:eastAsia="Times New Roman" w:hAnsi="Times New Roman" w:cs="Times New Roman"/>
          <w:bCs/>
          <w:sz w:val="24"/>
          <w:szCs w:val="24"/>
          <w:lang w:eastAsia="ar-SA"/>
        </w:rPr>
        <w:t>e z </w:t>
      </w:r>
      <w:r w:rsidRPr="00046867">
        <w:rPr>
          <w:rFonts w:ascii="Times New Roman" w:eastAsia="Times New Roman" w:hAnsi="Times New Roman" w:cs="Times New Roman"/>
          <w:bCs/>
          <w:sz w:val="24"/>
          <w:szCs w:val="24"/>
          <w:lang w:eastAsia="ar-SA"/>
        </w:rPr>
        <w:t xml:space="preserve">ogłoszeniem), </w:t>
      </w:r>
      <w:r w:rsidR="00FD7EC3">
        <w:rPr>
          <w:rFonts w:ascii="Times New Roman" w:eastAsia="Times New Roman" w:hAnsi="Times New Roman" w:cs="Times New Roman"/>
          <w:bCs/>
          <w:sz w:val="24"/>
          <w:szCs w:val="24"/>
          <w:lang w:eastAsia="ar-SA"/>
        </w:rPr>
        <w:t xml:space="preserve">art. </w:t>
      </w:r>
      <w:r w:rsidRPr="00046867">
        <w:rPr>
          <w:rFonts w:ascii="Times New Roman" w:eastAsia="Times New Roman" w:hAnsi="Times New Roman" w:cs="Times New Roman"/>
          <w:bCs/>
          <w:sz w:val="24"/>
          <w:szCs w:val="24"/>
          <w:lang w:eastAsia="ar-SA"/>
        </w:rPr>
        <w:t>60a (dialog konkurencyjny) oraz art. 61 (negocjacje bez ogłoszenia) ustawy z dnia 29 stycznia 2004 r. – Prawo zamówień publicznych. Tryb ten będzie mógł mieć zastosowanie wyłącznie do projektów objętych regulacją w zakresie instrumentów finansowych i wyłącznie w sytuacji, gdy instytucja nie zamierza wybrać podmiotu wdrażającego IF w trybie pozakonkursowym – oznacza to, że wskazany tryb zastępuje tryb konkursowy stosowany w odniesieniu do innych typów projektów. Wprowadzenie zmiany jest spowodowane fa</w:t>
      </w:r>
      <w:r w:rsidR="002A355B">
        <w:rPr>
          <w:rFonts w:ascii="Times New Roman" w:eastAsia="Times New Roman" w:hAnsi="Times New Roman" w:cs="Times New Roman"/>
          <w:bCs/>
          <w:sz w:val="24"/>
          <w:szCs w:val="24"/>
          <w:lang w:eastAsia="ar-SA"/>
        </w:rPr>
        <w:t>ktem, że działalność związana z </w:t>
      </w:r>
      <w:r w:rsidRPr="00046867">
        <w:rPr>
          <w:rFonts w:ascii="Times New Roman" w:eastAsia="Times New Roman" w:hAnsi="Times New Roman" w:cs="Times New Roman"/>
          <w:bCs/>
          <w:sz w:val="24"/>
          <w:szCs w:val="24"/>
          <w:lang w:eastAsia="ar-SA"/>
        </w:rPr>
        <w:t xml:space="preserve">wdrażaniem instrumentów finansowych jest </w:t>
      </w:r>
      <w:r w:rsidR="002A355B">
        <w:rPr>
          <w:rFonts w:ascii="Times New Roman" w:eastAsia="Times New Roman" w:hAnsi="Times New Roman" w:cs="Times New Roman"/>
          <w:bCs/>
          <w:sz w:val="24"/>
          <w:szCs w:val="24"/>
          <w:lang w:eastAsia="ar-SA"/>
        </w:rPr>
        <w:t>uznawana na gruncie prawa UE za </w:t>
      </w:r>
      <w:r w:rsidRPr="00046867">
        <w:rPr>
          <w:rFonts w:ascii="Times New Roman" w:eastAsia="Times New Roman" w:hAnsi="Times New Roman" w:cs="Times New Roman"/>
          <w:bCs/>
          <w:sz w:val="24"/>
          <w:szCs w:val="24"/>
          <w:lang w:eastAsia="ar-SA"/>
        </w:rPr>
        <w:t>świadczenie usług finansowych, które podlega regulacjom z zakresu zamówień publicznych.</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Jednocześnie w art. 38 ust. 4 ograniczono możliwość zastosowania trybów określonych w PZP wyłącznie do projektów realizowanych w ramach instrumentów finansowych, co oznacza, że wszystkie pozostałe projekty mogą być wybierane wyłącznie w trybie konkursowym lub pozakonkursowym.</w:t>
      </w:r>
    </w:p>
    <w:p w:rsidR="00046867" w:rsidRPr="00966E19" w:rsidRDefault="00046867" w:rsidP="002A355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RUNDY</w:t>
      </w:r>
      <w:r w:rsidRPr="00966E19">
        <w:rPr>
          <w:rFonts w:ascii="Times New Roman" w:eastAsia="Times New Roman" w:hAnsi="Times New Roman" w:cs="Times New Roman"/>
          <w:bCs/>
          <w:sz w:val="24"/>
          <w:szCs w:val="24"/>
          <w:lang w:eastAsia="ar-SA"/>
        </w:rPr>
        <w:t xml:space="preserve"> KONKURSU</w:t>
      </w:r>
    </w:p>
    <w:p w:rsid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art. 39 został dodany ust. 3 wprowadzający możliwość podzielenia konkursu na rundy. Runda konkursu będzie obejmowała nabór projektów, ocenę spełnienia kryteriów wyboru projektów oraz rozstrzygniecie właściwej instytucji w zakresie wyboru projektów do dofinansowania. Wprowadzony przepis umożliwi właściwym instytucjom bardziej elastyczne zarządzanie naborami i alokacją, co przełoży się na sprawniejszy wybór projektów do dofinansowania. Regulacja jest korzystna również dla wnioskodawców, którzy nie będą musieli czekać na decyzję w zakresie wyboru do dofinansowania do rozstrzygnięcia ostatniej rundy w ramach danego konkursu.</w:t>
      </w:r>
    </w:p>
    <w:p w:rsidR="00EC2B84" w:rsidRPr="00046867" w:rsidRDefault="00EC2B84" w:rsidP="00046867">
      <w:pPr>
        <w:suppressAutoHyphens/>
        <w:spacing w:before="120" w:after="0" w:line="360" w:lineRule="auto"/>
        <w:jc w:val="both"/>
        <w:rPr>
          <w:rFonts w:ascii="Times New Roman" w:eastAsia="Times New Roman" w:hAnsi="Times New Roman" w:cs="Times New Roman"/>
          <w:b/>
          <w:bCs/>
          <w:sz w:val="24"/>
          <w:szCs w:val="24"/>
          <w:lang w:eastAsia="ar-SA"/>
        </w:rPr>
      </w:pP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OGŁOSZENIE</w:t>
      </w:r>
      <w:r w:rsidRPr="00966E19">
        <w:rPr>
          <w:rFonts w:ascii="Times New Roman" w:eastAsia="Times New Roman" w:hAnsi="Times New Roman" w:cs="Times New Roman"/>
          <w:bCs/>
          <w:sz w:val="24"/>
          <w:szCs w:val="24"/>
          <w:lang w:eastAsia="ar-SA"/>
        </w:rPr>
        <w:t xml:space="preserve"> O KONKURSIE</w:t>
      </w:r>
      <w:r w:rsidRPr="00966E19">
        <w:rPr>
          <w:rFonts w:ascii="Times New Roman" w:eastAsia="Times New Roman" w:hAnsi="Times New Roman" w:cs="Times New Roman"/>
          <w:sz w:val="24"/>
          <w:szCs w:val="24"/>
          <w:lang w:eastAsia="ar-SA"/>
        </w:rPr>
        <w:t xml:space="preserve"> </w:t>
      </w:r>
    </w:p>
    <w:p w:rsidR="00046867" w:rsidRPr="00046867" w:rsidRDefault="00046867" w:rsidP="00046867">
      <w:pPr>
        <w:suppressAutoHyphens/>
        <w:spacing w:before="120" w:after="0" w:line="360" w:lineRule="auto"/>
        <w:jc w:val="both"/>
        <w:rPr>
          <w:rFonts w:ascii="Times New Roman" w:eastAsia="Times New Roman" w:hAnsi="Times New Roman" w:cs="Times New Roman"/>
          <w:b/>
          <w:sz w:val="24"/>
          <w:szCs w:val="24"/>
          <w:lang w:eastAsia="ar-SA"/>
        </w:rPr>
      </w:pPr>
      <w:r w:rsidRPr="00046867">
        <w:rPr>
          <w:rFonts w:ascii="Times New Roman" w:eastAsia="Times New Roman" w:hAnsi="Times New Roman" w:cs="Times New Roman"/>
          <w:sz w:val="24"/>
          <w:szCs w:val="24"/>
          <w:lang w:eastAsia="ar-SA"/>
        </w:rPr>
        <w:t>W art. 40 w ust. 2 dodano pkt 7, co stanowi konsekwen</w:t>
      </w:r>
      <w:r w:rsidR="00437BFB">
        <w:rPr>
          <w:rFonts w:ascii="Times New Roman" w:eastAsia="Times New Roman" w:hAnsi="Times New Roman" w:cs="Times New Roman"/>
          <w:sz w:val="24"/>
          <w:szCs w:val="24"/>
          <w:lang w:eastAsia="ar-SA"/>
        </w:rPr>
        <w:t>cję wprowadzenia w art. 39 ust. </w:t>
      </w:r>
      <w:r w:rsidRPr="00046867">
        <w:rPr>
          <w:rFonts w:ascii="Times New Roman" w:eastAsia="Times New Roman" w:hAnsi="Times New Roman" w:cs="Times New Roman"/>
          <w:sz w:val="24"/>
          <w:szCs w:val="24"/>
          <w:lang w:eastAsia="ar-SA"/>
        </w:rPr>
        <w:t>3 regulacji w zakresie rund konkursu. Obligatoryjnym elementem każdego ogłoszenia o konkursie będzie informacja o tym, czy konkurs jest podzielony na rundy.</w:t>
      </w:r>
      <w:r w:rsidRPr="00046867">
        <w:rPr>
          <w:rFonts w:ascii="Times New Roman" w:eastAsia="Times New Roman" w:hAnsi="Times New Roman" w:cs="Times New Roman"/>
          <w:b/>
          <w:sz w:val="24"/>
          <w:szCs w:val="24"/>
          <w:lang w:eastAsia="ar-SA"/>
        </w:rPr>
        <w:t xml:space="preserve"> </w:t>
      </w: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REGULAMIN KONKURSU</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art. 41 w ust. 2 zostały wprowadzone dodatkowe elementy, które powinny być określone w regulaminie konkursu. Obecnie o</w:t>
      </w:r>
      <w:r w:rsidR="00437BFB">
        <w:rPr>
          <w:rFonts w:ascii="Times New Roman" w:eastAsia="Times New Roman" w:hAnsi="Times New Roman" w:cs="Times New Roman"/>
          <w:sz w:val="24"/>
          <w:szCs w:val="24"/>
          <w:lang w:eastAsia="ar-SA"/>
        </w:rPr>
        <w:t>bowiązujący pkt 3 uzupełniono o </w:t>
      </w:r>
      <w:r w:rsidRPr="00046867">
        <w:rPr>
          <w:rFonts w:ascii="Times New Roman" w:eastAsia="Times New Roman" w:hAnsi="Times New Roman" w:cs="Times New Roman"/>
          <w:sz w:val="24"/>
          <w:szCs w:val="24"/>
          <w:lang w:eastAsia="ar-SA"/>
        </w:rPr>
        <w:t>obowiązek podania informacji, czy konkurs jest pod</w:t>
      </w:r>
      <w:r w:rsidR="00437BFB">
        <w:rPr>
          <w:rFonts w:ascii="Times New Roman" w:eastAsia="Times New Roman" w:hAnsi="Times New Roman" w:cs="Times New Roman"/>
          <w:sz w:val="24"/>
          <w:szCs w:val="24"/>
          <w:lang w:eastAsia="ar-SA"/>
        </w:rPr>
        <w:t>zielony na rundy. Zmieniono pkt </w:t>
      </w:r>
      <w:r w:rsidRPr="00046867">
        <w:rPr>
          <w:rFonts w:ascii="Times New Roman" w:eastAsia="Times New Roman" w:hAnsi="Times New Roman" w:cs="Times New Roman"/>
          <w:sz w:val="24"/>
          <w:szCs w:val="24"/>
          <w:lang w:eastAsia="ar-SA"/>
        </w:rPr>
        <w:t xml:space="preserve">4 poprzez zastąpienie uzupełniania we wniosku o dofinansowanie „braków formalnych” </w:t>
      </w:r>
      <w:r w:rsidRPr="00046867">
        <w:rPr>
          <w:rFonts w:ascii="Times New Roman" w:eastAsia="Times New Roman" w:hAnsi="Times New Roman" w:cs="Times New Roman"/>
          <w:bCs/>
          <w:sz w:val="24"/>
          <w:szCs w:val="24"/>
          <w:lang w:eastAsia="ar-SA"/>
        </w:rPr>
        <w:t>„brakami w zakresie warunków formalnych”. Zmiana ta wyni</w:t>
      </w:r>
      <w:r w:rsidR="00437BFB">
        <w:rPr>
          <w:rFonts w:ascii="Times New Roman" w:eastAsia="Times New Roman" w:hAnsi="Times New Roman" w:cs="Times New Roman"/>
          <w:bCs/>
          <w:sz w:val="24"/>
          <w:szCs w:val="24"/>
          <w:lang w:eastAsia="ar-SA"/>
        </w:rPr>
        <w:t>ka z </w:t>
      </w:r>
      <w:r w:rsidRPr="00046867">
        <w:rPr>
          <w:rFonts w:ascii="Times New Roman" w:eastAsia="Times New Roman" w:hAnsi="Times New Roman" w:cs="Times New Roman"/>
          <w:bCs/>
          <w:sz w:val="24"/>
          <w:szCs w:val="24"/>
          <w:lang w:eastAsia="ar-SA"/>
        </w:rPr>
        <w:t xml:space="preserve">wprowadzenia definicji warunków formalnych oraz zmiany art. 43, który umożliwi poprawianie oczywistych omyłek we wniosku o dofinansowanie oraz uzupełnienie braków w zakresie warunków formalnych. </w:t>
      </w:r>
      <w:r w:rsidRPr="00046867">
        <w:rPr>
          <w:rFonts w:ascii="Times New Roman" w:eastAsia="Times New Roman" w:hAnsi="Times New Roman" w:cs="Times New Roman"/>
          <w:sz w:val="24"/>
          <w:szCs w:val="24"/>
          <w:lang w:eastAsia="ar-SA"/>
        </w:rPr>
        <w:t>Pkt 6a zobowiązuje instytucję do określenia dokonania jakich czynności może ona wy</w:t>
      </w:r>
      <w:r w:rsidR="00437BFB">
        <w:rPr>
          <w:rFonts w:ascii="Times New Roman" w:eastAsia="Times New Roman" w:hAnsi="Times New Roman" w:cs="Times New Roman"/>
          <w:sz w:val="24"/>
          <w:szCs w:val="24"/>
          <w:lang w:eastAsia="ar-SA"/>
        </w:rPr>
        <w:t>magać przed podpisaniem umowy o </w:t>
      </w:r>
      <w:r w:rsidRPr="00046867">
        <w:rPr>
          <w:rFonts w:ascii="Times New Roman" w:eastAsia="Times New Roman" w:hAnsi="Times New Roman" w:cs="Times New Roman"/>
          <w:sz w:val="24"/>
          <w:szCs w:val="24"/>
          <w:lang w:eastAsia="ar-SA"/>
        </w:rPr>
        <w:t xml:space="preserve">dofinansowanie projektu oraz złożenia jakich dokumentów i w jakim terminie może żądać (np. stosownych oświadczeń, zaświadczeń). </w:t>
      </w:r>
    </w:p>
    <w:p w:rsidR="00046867" w:rsidRPr="00046867" w:rsidRDefault="00046867" w:rsidP="00046867">
      <w:pPr>
        <w:suppressAutoHyphens/>
        <w:spacing w:before="120" w:after="0" w:line="360" w:lineRule="auto"/>
        <w:jc w:val="both"/>
        <w:rPr>
          <w:rFonts w:ascii="Times New Roman" w:eastAsia="Times New Roman" w:hAnsi="Times New Roman" w:cs="Times New Roman"/>
          <w:b/>
          <w:bCs/>
          <w:sz w:val="24"/>
          <w:szCs w:val="24"/>
          <w:lang w:eastAsia="ar-SA"/>
        </w:rPr>
      </w:pPr>
      <w:r w:rsidRPr="00046867">
        <w:rPr>
          <w:rFonts w:ascii="Times New Roman" w:eastAsia="Times New Roman" w:hAnsi="Times New Roman" w:cs="Times New Roman"/>
          <w:sz w:val="24"/>
          <w:szCs w:val="24"/>
          <w:lang w:eastAsia="ar-SA"/>
        </w:rPr>
        <w:t xml:space="preserve">Pkt 7a i 7b stanowią o zakresie, w jakim jest możliwe uzupełnianie lub poprawianie projektu w trakcie jego oceny w części dotyczącej spełniania przez projekt kryteriów wyboru projektów oraz o </w:t>
      </w:r>
      <w:r w:rsidRPr="00046867">
        <w:rPr>
          <w:rFonts w:ascii="Times New Roman" w:eastAsia="Times New Roman" w:hAnsi="Times New Roman" w:cs="Times New Roman"/>
          <w:bCs/>
          <w:sz w:val="24"/>
          <w:szCs w:val="24"/>
          <w:lang w:eastAsia="ar-SA"/>
        </w:rPr>
        <w:t>formie i sposobie wzywania wnioskodawcy do uzupełniania lub poprawiania projektu w trakcie jego oceny, w części dotyczącej spełniania przez projekt kryteriów wyboru projektów</w:t>
      </w:r>
      <w:r w:rsidRPr="00046867">
        <w:rPr>
          <w:rFonts w:ascii="Times New Roman" w:eastAsia="Times New Roman" w:hAnsi="Times New Roman" w:cs="Times New Roman"/>
          <w:sz w:val="24"/>
          <w:szCs w:val="24"/>
          <w:lang w:eastAsia="ar-SA"/>
        </w:rPr>
        <w:t>. Zmiana ta jest powiązana z proponowanym brzmieniem art. 45 ust. 3, który wprowadza możliwość dokonywania zmian w projekcie w części dotyczącej spełniania kryteriów wyboru projektów w trakcie oceny tego projektu. Pkt 7c nakazuje instytucji określenie w regulaminie formy złożenia przez wnioskodawcę oświadczenia o świadomości konsekwencji niezachowania wskazanej formy komunikacji. Pkt 10 uzupełniono o wskazanie instytucji właściwych do rozpatrzenia środków odwoławczych przysługujących wnioskodawcy. Na mocy pkt 10 instytucja będzie zobowiązana do określenia w regulaminie środków odwoławczych przysługujących wnioskodawcy w razie otrzymania przez jego projekt negatywnej oceny oraz instytucji właściwych do ich rozpatrzenia</w:t>
      </w:r>
      <w:r w:rsidR="00437BFB">
        <w:rPr>
          <w:rFonts w:ascii="Times New Roman" w:eastAsia="Times New Roman" w:hAnsi="Times New Roman" w:cs="Times New Roman"/>
          <w:sz w:val="24"/>
          <w:szCs w:val="24"/>
          <w:lang w:eastAsia="ar-SA"/>
        </w:rPr>
        <w:t>. Zgodnie z regulacją zawartą w </w:t>
      </w:r>
      <w:r w:rsidRPr="00046867">
        <w:rPr>
          <w:rFonts w:ascii="Times New Roman" w:eastAsia="Times New Roman" w:hAnsi="Times New Roman" w:cs="Times New Roman"/>
          <w:sz w:val="24"/>
          <w:szCs w:val="24"/>
          <w:lang w:eastAsia="ar-SA"/>
        </w:rPr>
        <w:t xml:space="preserve">pkt 13 instytucja będzie zobowiązania do podania w regulaminie informacji, czy przewiduje się możliwość skrócenia terminu składania wniosków o dofinansowanie. </w:t>
      </w: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bCs/>
          <w:sz w:val="24"/>
          <w:szCs w:val="24"/>
          <w:lang w:eastAsia="ar-SA"/>
        </w:rPr>
        <w:t xml:space="preserve">UZUPEŁNIANIE WNIOSKU O DOFINANSOWANIE W ZAKRESIE WARUNKÓW FORMALNYCH I POPRAWIANIE OCZYWISTYCH OMYŁEK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 xml:space="preserve">Art. 43 zmieniono poprzez wskazanie, że w </w:t>
      </w:r>
      <w:r w:rsidR="00437BFB">
        <w:rPr>
          <w:rFonts w:ascii="Times New Roman" w:eastAsia="Times New Roman" w:hAnsi="Times New Roman" w:cs="Times New Roman"/>
          <w:sz w:val="24"/>
          <w:szCs w:val="24"/>
          <w:lang w:eastAsia="ar-SA"/>
        </w:rPr>
        <w:t>razie stwierdzenia we wniosku o </w:t>
      </w:r>
      <w:r w:rsidRPr="00046867">
        <w:rPr>
          <w:rFonts w:ascii="Times New Roman" w:eastAsia="Times New Roman" w:hAnsi="Times New Roman" w:cs="Times New Roman"/>
          <w:sz w:val="24"/>
          <w:szCs w:val="24"/>
          <w:lang w:eastAsia="ar-SA"/>
        </w:rPr>
        <w:t>dofinansowanie projektu braków w zakresie warunków formalnych właściwa instytucja wzywa wnioskodawcę do uzupełnienia wniosku w terminie nie krótszym niż 7 dni i nie dłuższym niż 21 dni, pod rygorem pozostawienia wniosku bez rozpatrzenia (ust. 1). Zgodnie z ust. 2, w przypadku stwierdzenia we wniosku oczywistych omyłek instytucja będzie mogła albo sama poprawić omyłkę, informując o tym wnioskodawcę, albo wezwać go do poprawienia omyłki na zasadach takich samych, jak w przypadku uzupełnienia wniosku. Rozwiązanie umożliwiające instytucji samodzielne dokonanie poprawy oczywistej omyłki pozwoli na przyspieszenie procedury weryfikacji spełnienia warunków formalnych przez wniosek o dofinansowanie projektów. W ust. 3 określono moment, od którego należy liczyć terminy wskazane w ust. 1 i 2 – w przypadku przekazania wezwania drogą elektroniczną termin liczy się od dnia następującego po dniu wysłania wezwania (ust. 3 pkt 1), przy czym do wezwania nie stosuję się regulacji KPA, natomiast w przypadku wezwania przekazanego na piśmie termin liczy się od dnia doręczenia wezwania (ust. 3 pkt 2) i w przypadku tym zastosowanie znajdą odpowiednie regulacje KPA (ust. 4). W nowo dodawanym ust. 5 wyłączono możliwość „sanowania” uchybienia polegającego na złożeniu wniosku o dofinansowanie projektu po terminie wskazanym w ogłoszeniu o konkursie.</w:t>
      </w: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KOMISJA OCENY PROJEKTÓW</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art. 44 ust. 3 dokonano zmiany mającej na celu wsk</w:t>
      </w:r>
      <w:r w:rsidR="00437BFB">
        <w:rPr>
          <w:rFonts w:ascii="Times New Roman" w:eastAsia="Times New Roman" w:hAnsi="Times New Roman" w:cs="Times New Roman"/>
          <w:sz w:val="24"/>
          <w:szCs w:val="24"/>
          <w:lang w:eastAsia="ar-SA"/>
        </w:rPr>
        <w:t>azanie, w miejsce zdania w ust. </w:t>
      </w:r>
      <w:r w:rsidRPr="00046867">
        <w:rPr>
          <w:rFonts w:ascii="Times New Roman" w:eastAsia="Times New Roman" w:hAnsi="Times New Roman" w:cs="Times New Roman"/>
          <w:sz w:val="24"/>
          <w:szCs w:val="24"/>
          <w:lang w:eastAsia="ar-SA"/>
        </w:rPr>
        <w:t>2, składu komisji oceny projektów (KOP). Nowe brzmienie przepisu jedn</w:t>
      </w:r>
      <w:r w:rsidR="00FD7EC3">
        <w:rPr>
          <w:rFonts w:ascii="Times New Roman" w:eastAsia="Times New Roman" w:hAnsi="Times New Roman" w:cs="Times New Roman"/>
          <w:sz w:val="24"/>
          <w:szCs w:val="24"/>
          <w:lang w:eastAsia="ar-SA"/>
        </w:rPr>
        <w:t xml:space="preserve">oznacznie przesądza, że w skład </w:t>
      </w:r>
      <w:r w:rsidRPr="00046867">
        <w:rPr>
          <w:rFonts w:ascii="Times New Roman" w:eastAsia="Times New Roman" w:hAnsi="Times New Roman" w:cs="Times New Roman"/>
          <w:sz w:val="24"/>
          <w:szCs w:val="24"/>
          <w:lang w:eastAsia="ar-SA"/>
        </w:rPr>
        <w:t>KOP obowiązkowo wchodzą pracownicy właściwej instytucji. Udział ekspertów w pracach KOP jest fakultatywny. Ponadto dodano możliwość powołania w skład KOP pracowników tymczasowych (ust. 3 pkt 2 lit b). Dotychczas obowiązujące przepisy tego art</w:t>
      </w:r>
      <w:r w:rsidR="00746826">
        <w:rPr>
          <w:rFonts w:ascii="Times New Roman" w:eastAsia="Times New Roman" w:hAnsi="Times New Roman" w:cs="Times New Roman"/>
          <w:sz w:val="24"/>
          <w:szCs w:val="24"/>
          <w:lang w:eastAsia="ar-SA"/>
        </w:rPr>
        <w:t xml:space="preserve">ykułu </w:t>
      </w:r>
      <w:r w:rsidRPr="00046867">
        <w:rPr>
          <w:rFonts w:ascii="Times New Roman" w:eastAsia="Times New Roman" w:hAnsi="Times New Roman" w:cs="Times New Roman"/>
          <w:sz w:val="24"/>
          <w:szCs w:val="24"/>
          <w:lang w:eastAsia="ar-SA"/>
        </w:rPr>
        <w:t xml:space="preserve"> zostały przeniesione do dalszych jednostek redakcyjnych.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 xml:space="preserve">W ust. 4 </w:t>
      </w:r>
      <w:r w:rsidRPr="00046867">
        <w:rPr>
          <w:rFonts w:ascii="Times New Roman" w:eastAsia="Times New Roman" w:hAnsi="Times New Roman" w:cs="Times New Roman"/>
          <w:bCs/>
          <w:sz w:val="24"/>
          <w:szCs w:val="24"/>
          <w:lang w:eastAsia="ar-SA"/>
        </w:rPr>
        <w:t xml:space="preserve">wprowadzono wymagania dla pracowników oraz pracowników tymczasowych, którzy będą wchodzić w skład KOP. Będą musieli oni posiadać wiedzę, umiejętności, doświadczenie lub wymagane uprawnienia w dziedzinie objętej programem operacyjnym, </w:t>
      </w:r>
      <w:r w:rsidR="00746826" w:rsidRPr="00046867">
        <w:rPr>
          <w:rFonts w:ascii="Times New Roman" w:eastAsia="Times New Roman" w:hAnsi="Times New Roman" w:cs="Times New Roman"/>
          <w:bCs/>
          <w:sz w:val="24"/>
          <w:szCs w:val="24"/>
          <w:lang w:eastAsia="ar-SA"/>
        </w:rPr>
        <w:t xml:space="preserve">w </w:t>
      </w:r>
      <w:r w:rsidRPr="00046867">
        <w:rPr>
          <w:rFonts w:ascii="Times New Roman" w:eastAsia="Times New Roman" w:hAnsi="Times New Roman" w:cs="Times New Roman"/>
          <w:bCs/>
          <w:sz w:val="24"/>
          <w:szCs w:val="24"/>
          <w:lang w:eastAsia="ar-SA"/>
        </w:rPr>
        <w:t>której ramach jest dokonywany wybór projektu. Regulacja ma na celu podniesienie jakości oceny projektów. Skutkiem tego powinno być ograniczenie liczby skutecznie składanych protestów, a co za tym idzie odc</w:t>
      </w:r>
      <w:r w:rsidR="00437BFB">
        <w:rPr>
          <w:rFonts w:ascii="Times New Roman" w:eastAsia="Times New Roman" w:hAnsi="Times New Roman" w:cs="Times New Roman"/>
          <w:bCs/>
          <w:sz w:val="24"/>
          <w:szCs w:val="24"/>
          <w:lang w:eastAsia="ar-SA"/>
        </w:rPr>
        <w:t>iążenie właściwych instytucji z </w:t>
      </w:r>
      <w:r w:rsidRPr="00046867">
        <w:rPr>
          <w:rFonts w:ascii="Times New Roman" w:eastAsia="Times New Roman" w:hAnsi="Times New Roman" w:cs="Times New Roman"/>
          <w:bCs/>
          <w:sz w:val="24"/>
          <w:szCs w:val="24"/>
          <w:lang w:eastAsia="ar-SA"/>
        </w:rPr>
        <w:t xml:space="preserve">obowiązków związanych z procedurą odwoławczą.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ust. 5 i 6 uregulowano kwestie związane z możliwością uczestniczenia wojewodów albo ich przedstawicieli w pracach komisji oceny projektów. Ww. podmioty mogą uczestniczyć w pracach KOP w charakterze obserwatorów i nie są członkami komisji oceny projektów. Wprowadzone rozwiązanie ma na celu włączenie wojewody, jako przedstawiciela administracji rządowej w terenie, w proces wdrażania regionalnych programów operacyjnych i ma stanowić narzędz</w:t>
      </w:r>
      <w:r w:rsidR="00437BFB">
        <w:rPr>
          <w:rFonts w:ascii="Times New Roman" w:eastAsia="Times New Roman" w:hAnsi="Times New Roman" w:cs="Times New Roman"/>
          <w:sz w:val="24"/>
          <w:szCs w:val="24"/>
          <w:lang w:eastAsia="ar-SA"/>
        </w:rPr>
        <w:t>ie pomocne Ministrowi Rozwoju i </w:t>
      </w:r>
      <w:r w:rsidRPr="00046867">
        <w:rPr>
          <w:rFonts w:ascii="Times New Roman" w:eastAsia="Times New Roman" w:hAnsi="Times New Roman" w:cs="Times New Roman"/>
          <w:sz w:val="24"/>
          <w:szCs w:val="24"/>
          <w:lang w:eastAsia="ar-SA"/>
        </w:rPr>
        <w:t xml:space="preserve">Finansów, pełniącemu rolę państwa członkowskiego, w realizacji zadań polegających na koordynacji i monitorowaniu krajowych i regionalnych programów operacyjnych. </w:t>
      </w: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 xml:space="preserve">ETAPY OCENY SPEŁNIANIA KRYTERIÓW WYBORU PROJEKTÓW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 xml:space="preserve">W art. 45 ust. 1 wprowadzono możliwość podzielenia na etapy oceny spełnienia kryteriów wyboru projektów. Regulacja umożliwi właściwym instytucjom dzielenie procesu oceny na osobne części, co będzie prowadziło do zwiększenia przejrzystości całego procesu wyboru projektów do dofinansowania, pozostawiając jednocześnie właściwym instytucjom elastyczność w optymalnym planowaniu procesu oceny projektów.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Art. 45 ust. 3 wprowadza możliwość dokonyw</w:t>
      </w:r>
      <w:r w:rsidR="00437BFB">
        <w:rPr>
          <w:rFonts w:ascii="Times New Roman" w:eastAsia="Times New Roman" w:hAnsi="Times New Roman" w:cs="Times New Roman"/>
          <w:sz w:val="24"/>
          <w:szCs w:val="24"/>
          <w:lang w:eastAsia="ar-SA"/>
        </w:rPr>
        <w:t>ania przez wnioskodawcę zmian w </w:t>
      </w:r>
      <w:r w:rsidRPr="00046867">
        <w:rPr>
          <w:rFonts w:ascii="Times New Roman" w:eastAsia="Times New Roman" w:hAnsi="Times New Roman" w:cs="Times New Roman"/>
          <w:sz w:val="24"/>
          <w:szCs w:val="24"/>
          <w:lang w:eastAsia="ar-SA"/>
        </w:rPr>
        <w:t>projekcie w trakcie procesu jego oceny. Rozw</w:t>
      </w:r>
      <w:r w:rsidR="00437BFB">
        <w:rPr>
          <w:rFonts w:ascii="Times New Roman" w:eastAsia="Times New Roman" w:hAnsi="Times New Roman" w:cs="Times New Roman"/>
          <w:sz w:val="24"/>
          <w:szCs w:val="24"/>
          <w:lang w:eastAsia="ar-SA"/>
        </w:rPr>
        <w:t>iązanie to może być stosowane w </w:t>
      </w:r>
      <w:r w:rsidRPr="00046867">
        <w:rPr>
          <w:rFonts w:ascii="Times New Roman" w:eastAsia="Times New Roman" w:hAnsi="Times New Roman" w:cs="Times New Roman"/>
          <w:sz w:val="24"/>
          <w:szCs w:val="24"/>
          <w:lang w:eastAsia="ar-SA"/>
        </w:rPr>
        <w:t>zakresie określonym w regulaminie konkursu, o ile zostaną przyjęte przez komitet monitorujący danego programu stosowne kryteria wyboru projektu dające podstawę do wdrożenia tego rodzaju mechanizmów. Wspomniany przepi</w:t>
      </w:r>
      <w:r w:rsidR="00437BFB">
        <w:rPr>
          <w:rFonts w:ascii="Times New Roman" w:eastAsia="Times New Roman" w:hAnsi="Times New Roman" w:cs="Times New Roman"/>
          <w:sz w:val="24"/>
          <w:szCs w:val="24"/>
          <w:lang w:eastAsia="ar-SA"/>
        </w:rPr>
        <w:t>s znajduje swe opacie w art. </w:t>
      </w:r>
      <w:r w:rsidRPr="00046867">
        <w:rPr>
          <w:rFonts w:ascii="Times New Roman" w:eastAsia="Times New Roman" w:hAnsi="Times New Roman" w:cs="Times New Roman"/>
          <w:sz w:val="24"/>
          <w:szCs w:val="24"/>
          <w:lang w:eastAsia="ar-SA"/>
        </w:rPr>
        <w:t>110 ust. 2 w powiązaniu z art. 125 ust. 3 rozporządzenia ogólnego. Wynika z tych przepisów to, że komitet monitorujący może ustanowić dowolne kryteria i metodykę ich oceny, o ile będą one zgodne z prawem, przejrzyste i niedyskryminacyjne. W porządku krajowym zasady te znalazły rozwinięcie w art. 37 ust. 1 oraz w zasadzie równego traktowania wnioskodawców, która rozumiana jest m.in. jako jednolita procedura dla wszystkich uczestników danego postępowania. Z tego powodu art. 45 ust. 3 będzie stosowany</w:t>
      </w:r>
      <w:r w:rsidR="00746826">
        <w:rPr>
          <w:rFonts w:ascii="Times New Roman" w:eastAsia="Times New Roman" w:hAnsi="Times New Roman" w:cs="Times New Roman"/>
          <w:sz w:val="24"/>
          <w:szCs w:val="24"/>
          <w:lang w:eastAsia="ar-SA"/>
        </w:rPr>
        <w:t>,</w:t>
      </w:r>
      <w:r w:rsidRPr="00046867">
        <w:rPr>
          <w:rFonts w:ascii="Times New Roman" w:eastAsia="Times New Roman" w:hAnsi="Times New Roman" w:cs="Times New Roman"/>
          <w:sz w:val="24"/>
          <w:szCs w:val="24"/>
          <w:lang w:eastAsia="ar-SA"/>
        </w:rPr>
        <w:t xml:space="preserve"> jeśli:</w:t>
      </w:r>
    </w:p>
    <w:p w:rsidR="00046867" w:rsidRPr="00046867" w:rsidRDefault="00046867" w:rsidP="00437BFB">
      <w:pPr>
        <w:tabs>
          <w:tab w:val="left" w:pos="284"/>
        </w:tabs>
        <w:suppressAutoHyphens/>
        <w:spacing w:after="0" w:line="360" w:lineRule="auto"/>
        <w:ind w:left="284" w:hanging="284"/>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t>
      </w:r>
      <w:r w:rsidRPr="00046867">
        <w:rPr>
          <w:rFonts w:ascii="Times New Roman" w:eastAsia="Times New Roman" w:hAnsi="Times New Roman" w:cs="Times New Roman"/>
          <w:sz w:val="24"/>
          <w:szCs w:val="24"/>
          <w:lang w:eastAsia="ar-SA"/>
        </w:rPr>
        <w:tab/>
        <w:t>komitet monitorujący w transpa</w:t>
      </w:r>
      <w:r w:rsidR="00EC4271">
        <w:rPr>
          <w:rFonts w:ascii="Times New Roman" w:eastAsia="Times New Roman" w:hAnsi="Times New Roman" w:cs="Times New Roman"/>
          <w:sz w:val="24"/>
          <w:szCs w:val="24"/>
          <w:lang w:eastAsia="ar-SA"/>
        </w:rPr>
        <w:t>rentny sposób przyjmie kryteria</w:t>
      </w:r>
      <w:r w:rsidRPr="00046867">
        <w:rPr>
          <w:rFonts w:ascii="Times New Roman" w:eastAsia="Times New Roman" w:hAnsi="Times New Roman" w:cs="Times New Roman"/>
          <w:sz w:val="24"/>
          <w:szCs w:val="24"/>
          <w:lang w:eastAsia="ar-SA"/>
        </w:rPr>
        <w:t xml:space="preserve"> wskazujące</w:t>
      </w:r>
      <w:r w:rsidR="00EC4271">
        <w:rPr>
          <w:rFonts w:ascii="Times New Roman" w:eastAsia="Times New Roman" w:hAnsi="Times New Roman" w:cs="Times New Roman"/>
          <w:sz w:val="24"/>
          <w:szCs w:val="24"/>
          <w:lang w:eastAsia="ar-SA"/>
        </w:rPr>
        <w:t>,</w:t>
      </w:r>
      <w:r w:rsidRPr="00046867">
        <w:rPr>
          <w:rFonts w:ascii="Times New Roman" w:eastAsia="Times New Roman" w:hAnsi="Times New Roman" w:cs="Times New Roman"/>
          <w:sz w:val="24"/>
          <w:szCs w:val="24"/>
          <w:lang w:eastAsia="ar-SA"/>
        </w:rPr>
        <w:t xml:space="preserve"> w jakim zakresie albo w jakich ramach na podstawie regulaminu konkursu wnioskodawcy będą mogli wprowadzać zmiany w swoich projektach</w:t>
      </w:r>
      <w:r w:rsidR="00746826">
        <w:rPr>
          <w:rFonts w:ascii="Times New Roman" w:eastAsia="Times New Roman" w:hAnsi="Times New Roman" w:cs="Times New Roman"/>
          <w:sz w:val="24"/>
          <w:szCs w:val="24"/>
          <w:lang w:eastAsia="ar-SA"/>
        </w:rPr>
        <w:t>,</w:t>
      </w:r>
    </w:p>
    <w:p w:rsidR="00046867" w:rsidRPr="00046867" w:rsidRDefault="00046867" w:rsidP="00437BFB">
      <w:pPr>
        <w:tabs>
          <w:tab w:val="left" w:pos="284"/>
        </w:tabs>
        <w:suppressAutoHyphens/>
        <w:spacing w:after="0" w:line="360" w:lineRule="auto"/>
        <w:ind w:left="284" w:hanging="284"/>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t>
      </w:r>
      <w:r w:rsidRPr="00046867">
        <w:rPr>
          <w:rFonts w:ascii="Times New Roman" w:eastAsia="Times New Roman" w:hAnsi="Times New Roman" w:cs="Times New Roman"/>
          <w:sz w:val="24"/>
          <w:szCs w:val="24"/>
          <w:lang w:eastAsia="ar-SA"/>
        </w:rPr>
        <w:tab/>
        <w:t>informacje te z wyprzedzeniem, m.in. dzięki ogłoszeniu konkursu co najmniej 30 dni przed rozpoczęciem naboru wniosków, będą znane wszystkim potencjalnym wnioskodawcom</w:t>
      </w:r>
      <w:r w:rsidR="00746826">
        <w:rPr>
          <w:rFonts w:ascii="Times New Roman" w:eastAsia="Times New Roman" w:hAnsi="Times New Roman" w:cs="Times New Roman"/>
          <w:sz w:val="24"/>
          <w:szCs w:val="24"/>
          <w:lang w:eastAsia="ar-SA"/>
        </w:rPr>
        <w:t>,</w:t>
      </w:r>
    </w:p>
    <w:p w:rsidR="00046867" w:rsidRPr="00046867" w:rsidRDefault="00046867" w:rsidP="00437BFB">
      <w:pPr>
        <w:tabs>
          <w:tab w:val="left" w:pos="284"/>
        </w:tabs>
        <w:suppressAutoHyphens/>
        <w:spacing w:after="0" w:line="360" w:lineRule="auto"/>
        <w:ind w:left="284" w:hanging="284"/>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t>
      </w:r>
      <w:r w:rsidRPr="00046867">
        <w:rPr>
          <w:rFonts w:ascii="Times New Roman" w:eastAsia="Times New Roman" w:hAnsi="Times New Roman" w:cs="Times New Roman"/>
          <w:sz w:val="24"/>
          <w:szCs w:val="24"/>
          <w:lang w:eastAsia="ar-SA"/>
        </w:rPr>
        <w:tab/>
        <w:t>procedura będzie zakładała obligatoryjność jej stosowania we wskazanych, jednoznacznie zdefiniowanych przypadkach, co pozwoli zapewnić równe traktowanie wnioskodawców.</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Potrzeba przyjęcia tego rozwiązania wynika z konieczności umożliwienia instytucjom zwiększenia skuteczności i efektywności procedur wyboru projektów. Przepis pozwoli w szczególności na efektywniejsze wykorzystywanie środków finansowych, umożliwiając przyznanie dofinansowania projektom, które niepoprawione musiałyby zostać odrzucone, skutkując koniecznością przeprowa</w:t>
      </w:r>
      <w:r w:rsidR="00437BFB">
        <w:rPr>
          <w:rFonts w:ascii="Times New Roman" w:eastAsia="Times New Roman" w:hAnsi="Times New Roman" w:cs="Times New Roman"/>
          <w:sz w:val="24"/>
          <w:szCs w:val="24"/>
          <w:lang w:eastAsia="ar-SA"/>
        </w:rPr>
        <w:t>dzenia kolejnego postępowania i </w:t>
      </w:r>
      <w:r w:rsidRPr="00046867">
        <w:rPr>
          <w:rFonts w:ascii="Times New Roman" w:eastAsia="Times New Roman" w:hAnsi="Times New Roman" w:cs="Times New Roman"/>
          <w:sz w:val="24"/>
          <w:szCs w:val="24"/>
          <w:lang w:eastAsia="ar-SA"/>
        </w:rPr>
        <w:t>opóźnieniem w kontraktowaniu środków. Na jego podstawie będzie można korygować dobrej lub bardzo dobrej jakości projekty, które musiałyby zostać odrzucone ze względu na błędy w zakresie niekoniecznie kluczowych kryteriów. Sformułowanie przepisu z zastosowaniem kierunkowych zasad dla ewentualnych mechanizmów korygowania projektów jest uzasadnione mnogo</w:t>
      </w:r>
      <w:r w:rsidR="00437BFB">
        <w:rPr>
          <w:rFonts w:ascii="Times New Roman" w:eastAsia="Times New Roman" w:hAnsi="Times New Roman" w:cs="Times New Roman"/>
          <w:sz w:val="24"/>
          <w:szCs w:val="24"/>
          <w:lang w:eastAsia="ar-SA"/>
        </w:rPr>
        <w:t>ścią rozwiązań proceduralnych w </w:t>
      </w:r>
      <w:r w:rsidRPr="00046867">
        <w:rPr>
          <w:rFonts w:ascii="Times New Roman" w:eastAsia="Times New Roman" w:hAnsi="Times New Roman" w:cs="Times New Roman"/>
          <w:sz w:val="24"/>
          <w:szCs w:val="24"/>
          <w:lang w:eastAsia="ar-SA"/>
        </w:rPr>
        <w:t>poszczególnych programach. Ponadto tylko takie podejście pozwoli zachować autonomię komitetu monitorującego, który, biorąc pod uwagę zarówno uwarunkowania wynikające z charakteru interwencji, potencjału wnioskodawców, skali potencjalnego zainteresowania danym rodzajem wsparcia, a w konsekwencji</w:t>
      </w:r>
      <w:r w:rsidR="00746826">
        <w:rPr>
          <w:rFonts w:ascii="Times New Roman" w:eastAsia="Times New Roman" w:hAnsi="Times New Roman" w:cs="Times New Roman"/>
          <w:sz w:val="24"/>
          <w:szCs w:val="24"/>
          <w:lang w:eastAsia="ar-SA"/>
        </w:rPr>
        <w:t>,</w:t>
      </w:r>
      <w:r w:rsidRPr="00046867">
        <w:rPr>
          <w:rFonts w:ascii="Times New Roman" w:eastAsia="Times New Roman" w:hAnsi="Times New Roman" w:cs="Times New Roman"/>
          <w:sz w:val="24"/>
          <w:szCs w:val="24"/>
          <w:lang w:eastAsia="ar-SA"/>
        </w:rPr>
        <w:t xml:space="preserve"> decydując o zakresie możliwych korekt w projektach, będzie mógł kształtować i przyjmować swoiste rozwiązania modyfikowania projektów w trakcie ich oceny.</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 xml:space="preserve">Zapewnienie równego traktowania wnioskodawców w toku procesu oceny kryteriów wyboru projektów gwarantuje wskazanie wprost w art. 45 ust. 3 dyrektywy postępowania, zgodnie z którą właściwa instytucja w trakcie uzupełniania lub poprawiania projektu zapewnia równe traktowanie wnioskodawców. </w:t>
      </w:r>
    </w:p>
    <w:p w:rsidR="00046867" w:rsidRPr="00046867" w:rsidRDefault="00046867" w:rsidP="00046867">
      <w:pPr>
        <w:suppressAutoHyphens/>
        <w:spacing w:before="120" w:after="0" w:line="360" w:lineRule="auto"/>
        <w:jc w:val="both"/>
        <w:rPr>
          <w:rFonts w:ascii="Times New Roman" w:eastAsia="Times New Roman" w:hAnsi="Times New Roman" w:cs="Times New Roman"/>
          <w:b/>
          <w:sz w:val="24"/>
          <w:szCs w:val="24"/>
          <w:lang w:eastAsia="ar-SA"/>
        </w:rPr>
      </w:pPr>
      <w:r w:rsidRPr="00046867">
        <w:rPr>
          <w:rFonts w:ascii="Times New Roman" w:eastAsia="Times New Roman" w:hAnsi="Times New Roman" w:cs="Times New Roman"/>
          <w:sz w:val="24"/>
          <w:szCs w:val="24"/>
          <w:lang w:eastAsia="ar-SA"/>
        </w:rPr>
        <w:t>Pozostałe przepisy art. 45 regulują kwestie związane z oceną projektu – są to ob</w:t>
      </w:r>
      <w:r w:rsidR="00746826">
        <w:rPr>
          <w:rFonts w:ascii="Times New Roman" w:eastAsia="Times New Roman" w:hAnsi="Times New Roman" w:cs="Times New Roman"/>
          <w:sz w:val="24"/>
          <w:szCs w:val="24"/>
          <w:lang w:eastAsia="ar-SA"/>
        </w:rPr>
        <w:t>o</w:t>
      </w:r>
      <w:r w:rsidRPr="00046867">
        <w:rPr>
          <w:rFonts w:ascii="Times New Roman" w:eastAsia="Times New Roman" w:hAnsi="Times New Roman" w:cs="Times New Roman"/>
          <w:sz w:val="24"/>
          <w:szCs w:val="24"/>
          <w:lang w:eastAsia="ar-SA"/>
        </w:rPr>
        <w:t>wiązujące regulacje, które zostały doprecyzowane i przeniesione z art. 44 do nowej jednostki redakcyjnej.</w:t>
      </w: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ROZSTRZYGNIĘCIE KONKURSU ALBO RUNDY KONKURSU</w:t>
      </w:r>
    </w:p>
    <w:p w:rsidR="00046867" w:rsidRPr="00966E19"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Art. 46 nadano nowe brzmienie poprzez wprowadzenie do przepisów rund konkursu. Zmiana jest konsekwencją dodania ust. 3 w art. 39.</w:t>
      </w: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WYŁĄCZENIE PROJEKTÓW POMOCY TECHNICZNEJ Z PROCESU IDENTYFIKACJI ORAZ WSK</w:t>
      </w:r>
      <w:r w:rsidR="00746826" w:rsidRPr="00966E19">
        <w:rPr>
          <w:rFonts w:ascii="Times New Roman" w:eastAsia="Times New Roman" w:hAnsi="Times New Roman" w:cs="Times New Roman"/>
          <w:sz w:val="24"/>
          <w:szCs w:val="24"/>
          <w:lang w:eastAsia="ar-SA"/>
        </w:rPr>
        <w:t>A</w:t>
      </w:r>
      <w:r w:rsidRPr="00966E19">
        <w:rPr>
          <w:rFonts w:ascii="Times New Roman" w:eastAsia="Times New Roman" w:hAnsi="Times New Roman" w:cs="Times New Roman"/>
          <w:sz w:val="24"/>
          <w:szCs w:val="24"/>
          <w:lang w:eastAsia="ar-SA"/>
        </w:rPr>
        <w:t>ZANIE ELEMENTÓW WEZWANIA</w:t>
      </w:r>
      <w:r w:rsidR="00437BFB" w:rsidRPr="00966E19">
        <w:rPr>
          <w:rFonts w:ascii="Times New Roman" w:eastAsia="Times New Roman" w:hAnsi="Times New Roman" w:cs="Times New Roman"/>
          <w:sz w:val="24"/>
          <w:szCs w:val="24"/>
          <w:lang w:eastAsia="ar-SA"/>
        </w:rPr>
        <w:t xml:space="preserve"> W </w:t>
      </w:r>
      <w:r w:rsidRPr="00966E19">
        <w:rPr>
          <w:rFonts w:ascii="Times New Roman" w:eastAsia="Times New Roman" w:hAnsi="Times New Roman" w:cs="Times New Roman"/>
          <w:sz w:val="24"/>
          <w:szCs w:val="24"/>
          <w:lang w:eastAsia="ar-SA"/>
        </w:rPr>
        <w:t>TRYBIE POZAKONKURSOWYM</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art. 48 ust. 2 otrzymał nowe brzmienie, zgodnie z którym wezwanie do złożenia wniosku o dofinansowanie może dotyczyć wyłącznie projektów wcześniej zidentyfikowanych oraz projektów pomocy technicznej. Zmiana umożliwi uelastycznienie i uproszczenie procedur w zakresie wdrażania pomocy technicznej.</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 xml:space="preserve">Konsekwencją powyższej zmiany jest również zmiana </w:t>
      </w:r>
      <w:r w:rsidR="00437BFB">
        <w:rPr>
          <w:rFonts w:ascii="Times New Roman" w:eastAsia="Times New Roman" w:hAnsi="Times New Roman" w:cs="Times New Roman"/>
          <w:sz w:val="24"/>
          <w:szCs w:val="24"/>
          <w:lang w:eastAsia="ar-SA"/>
        </w:rPr>
        <w:t>ust. 4, w którym wskazano, że w </w:t>
      </w:r>
      <w:r w:rsidRPr="00046867">
        <w:rPr>
          <w:rFonts w:ascii="Times New Roman" w:eastAsia="Times New Roman" w:hAnsi="Times New Roman" w:cs="Times New Roman"/>
          <w:sz w:val="24"/>
          <w:szCs w:val="24"/>
          <w:lang w:eastAsia="ar-SA"/>
        </w:rPr>
        <w:t xml:space="preserve">szczegółowym opisie osi priorytetowych programu operacyjnego (SZOOP) zamieszcza się wyłącznie informację o projekcie zidentyfikowanym oraz podmiocie, który będzie jego wnioskodawcą. Dokonana zmiana wynika z konieczności odstąpienia od obowiązku zamieszczania w SZOOP informacji o projektach pomocy technicznej, co znacznie uprości i usprawni wdrażanie pomocy technicznej. W art. 48 został dodany ust. 4a, który ureguluje niezbędne elementy wezwania właściwej instytucji w przypadku wniosków o dofinasowaniem składanych w trybie pozakonkursowym. </w:t>
      </w: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bCs/>
          <w:sz w:val="24"/>
          <w:szCs w:val="24"/>
          <w:lang w:eastAsia="ar-SA"/>
        </w:rPr>
      </w:pPr>
      <w:r w:rsidRPr="00966E19">
        <w:rPr>
          <w:rFonts w:ascii="Times New Roman" w:eastAsia="Times New Roman" w:hAnsi="Times New Roman" w:cs="Times New Roman"/>
          <w:bCs/>
          <w:sz w:val="24"/>
          <w:szCs w:val="24"/>
          <w:lang w:eastAsia="ar-SA"/>
        </w:rPr>
        <w:t xml:space="preserve">STOSOWANIE PRZEPISÓW KODEKSU POSTĘPOWANIA ADMINISTRACYJNEGO </w:t>
      </w:r>
    </w:p>
    <w:p w:rsid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bCs/>
          <w:sz w:val="24"/>
          <w:szCs w:val="24"/>
          <w:lang w:eastAsia="ar-SA"/>
        </w:rPr>
        <w:t>Zmieniono art. 50 ustawy poprzez wskazanie</w:t>
      </w:r>
      <w:r w:rsidRPr="00046867">
        <w:rPr>
          <w:rFonts w:ascii="Times New Roman" w:eastAsia="Times New Roman" w:hAnsi="Times New Roman" w:cs="Times New Roman"/>
          <w:bCs/>
          <w:sz w:val="24"/>
          <w:szCs w:val="24"/>
          <w:lang w:eastAsia="ar-SA"/>
        </w:rPr>
        <w:t xml:space="preserve">, że do procedury wyboru projektów nie stosuje się przepisów </w:t>
      </w:r>
      <w:r w:rsidRPr="00046867">
        <w:rPr>
          <w:rFonts w:ascii="Times New Roman" w:eastAsia="Times New Roman" w:hAnsi="Times New Roman" w:cs="Times New Roman"/>
          <w:sz w:val="24"/>
          <w:szCs w:val="24"/>
          <w:lang w:eastAsia="ar-SA"/>
        </w:rPr>
        <w:t>ustawy z dnia 14 czerwca 1960 r. – Kodeks postępowania administracyjnego</w:t>
      </w:r>
      <w:r w:rsidRPr="00046867">
        <w:rPr>
          <w:rFonts w:ascii="Times New Roman" w:eastAsia="Times New Roman" w:hAnsi="Times New Roman" w:cs="Times New Roman"/>
          <w:bCs/>
          <w:sz w:val="24"/>
          <w:szCs w:val="24"/>
          <w:lang w:eastAsia="ar-SA"/>
        </w:rPr>
        <w:t>,</w:t>
      </w:r>
      <w:r w:rsidRPr="00046867">
        <w:rPr>
          <w:rFonts w:ascii="Times New Roman" w:eastAsia="Times New Roman" w:hAnsi="Times New Roman" w:cs="Times New Roman"/>
          <w:sz w:val="24"/>
          <w:szCs w:val="24"/>
          <w:lang w:eastAsia="ar-SA"/>
        </w:rPr>
        <w:t xml:space="preserve"> z wyjątkiem przepisów dotyczących wyłączenia pracowników organu i sposobu obliczania terminów, chyba że ustawa stanowi inaczej. Zmiana przepisu jest związana z art. 45 ust. 4, który </w:t>
      </w:r>
      <w:r w:rsidRPr="00046867">
        <w:rPr>
          <w:rFonts w:ascii="Times New Roman" w:eastAsia="Times New Roman" w:hAnsi="Times New Roman" w:cs="Times New Roman"/>
          <w:bCs/>
          <w:sz w:val="24"/>
          <w:szCs w:val="24"/>
          <w:lang w:eastAsia="ar-SA"/>
        </w:rPr>
        <w:t>do doręczenia informacji o zakończeniu oceny projektu i jej wyniku oraz doręczenia wezwania wskazuje na stosowanie przepisów działu I rozdziału 8</w:t>
      </w:r>
      <w:r w:rsidRPr="00046867">
        <w:rPr>
          <w:rFonts w:ascii="Times New Roman" w:eastAsia="Times New Roman" w:hAnsi="Times New Roman" w:cs="Times New Roman"/>
          <w:sz w:val="24"/>
          <w:szCs w:val="24"/>
          <w:lang w:eastAsia="ar-SA"/>
        </w:rPr>
        <w:t xml:space="preserve"> ustawy z dnia 14 czerwca 1960 r. – Kodeks postępowania administracyjnego. </w:t>
      </w:r>
    </w:p>
    <w:p w:rsidR="00EC2B84" w:rsidRDefault="00EC2B84" w:rsidP="00046867">
      <w:pPr>
        <w:suppressAutoHyphens/>
        <w:spacing w:before="120" w:after="0" w:line="360" w:lineRule="auto"/>
        <w:jc w:val="both"/>
        <w:rPr>
          <w:rFonts w:ascii="Times New Roman" w:eastAsia="Times New Roman" w:hAnsi="Times New Roman" w:cs="Times New Roman"/>
          <w:sz w:val="24"/>
          <w:szCs w:val="24"/>
          <w:lang w:eastAsia="ar-SA"/>
        </w:rPr>
      </w:pPr>
    </w:p>
    <w:p w:rsidR="00EC2B84" w:rsidRPr="00046867" w:rsidRDefault="00EC2B84" w:rsidP="00046867">
      <w:pPr>
        <w:suppressAutoHyphens/>
        <w:spacing w:before="120" w:after="0" w:line="360" w:lineRule="auto"/>
        <w:jc w:val="both"/>
        <w:rPr>
          <w:rFonts w:ascii="Times New Roman" w:eastAsia="Times New Roman" w:hAnsi="Times New Roman" w:cs="Times New Roman"/>
          <w:b/>
          <w:bCs/>
          <w:sz w:val="24"/>
          <w:szCs w:val="24"/>
          <w:lang w:eastAsia="ar-SA"/>
        </w:rPr>
      </w:pP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bCs/>
          <w:sz w:val="24"/>
          <w:szCs w:val="24"/>
          <w:lang w:eastAsia="ar-SA"/>
        </w:rPr>
      </w:pPr>
      <w:r w:rsidRPr="00966E19">
        <w:rPr>
          <w:rFonts w:ascii="Times New Roman" w:eastAsia="Times New Roman" w:hAnsi="Times New Roman" w:cs="Times New Roman"/>
          <w:bCs/>
          <w:sz w:val="24"/>
          <w:szCs w:val="24"/>
          <w:lang w:eastAsia="ar-SA"/>
        </w:rPr>
        <w:t xml:space="preserve">DOKUMENTY </w:t>
      </w:r>
    </w:p>
    <w:p w:rsidR="00046867" w:rsidRPr="00046867" w:rsidRDefault="00046867" w:rsidP="00046867">
      <w:pPr>
        <w:suppressAutoHyphens/>
        <w:spacing w:before="120" w:after="0" w:line="360" w:lineRule="auto"/>
        <w:jc w:val="both"/>
        <w:rPr>
          <w:rFonts w:ascii="Times New Roman" w:eastAsia="Times New Roman" w:hAnsi="Times New Roman" w:cs="Times New Roman"/>
          <w:b/>
          <w:sz w:val="24"/>
          <w:szCs w:val="24"/>
          <w:lang w:eastAsia="ar-SA"/>
        </w:rPr>
      </w:pPr>
      <w:r w:rsidRPr="00046867">
        <w:rPr>
          <w:rFonts w:ascii="Times New Roman" w:eastAsia="Times New Roman" w:hAnsi="Times New Roman" w:cs="Times New Roman"/>
          <w:bCs/>
          <w:sz w:val="24"/>
          <w:szCs w:val="24"/>
          <w:lang w:eastAsia="ar-SA"/>
        </w:rPr>
        <w:t>Art. 50a wprowadza przepis, który ogranicza możliwość żądania od wnioskodawców zaświadczeń i dokumentów, do których instytucja będzie miała dostęp z urzędu poprzez własne rejestry lub rejestry prowadzone przez inne podmioty. Celem tego przepisu jest ograniczenie barier administracyjnych dla wniosko</w:t>
      </w:r>
      <w:r w:rsidR="00437BFB">
        <w:rPr>
          <w:rFonts w:ascii="Times New Roman" w:eastAsia="Times New Roman" w:hAnsi="Times New Roman" w:cs="Times New Roman"/>
          <w:bCs/>
          <w:sz w:val="24"/>
          <w:szCs w:val="24"/>
          <w:lang w:eastAsia="ar-SA"/>
        </w:rPr>
        <w:t>dawców i przerzucenie ciężaru w </w:t>
      </w:r>
      <w:r w:rsidRPr="00046867">
        <w:rPr>
          <w:rFonts w:ascii="Times New Roman" w:eastAsia="Times New Roman" w:hAnsi="Times New Roman" w:cs="Times New Roman"/>
          <w:bCs/>
          <w:sz w:val="24"/>
          <w:szCs w:val="24"/>
          <w:lang w:eastAsia="ar-SA"/>
        </w:rPr>
        <w:t>uzyskaniu zaświadczeń i dokumentów na właściwe instytucje. Jednocześnie pozostaje w mocy art. 37 ust. 5, zgodnie z którym właściwa instytucja może wymagać od wnioskodawcy wyłącznie informacji i dokumentów niezbędnych do oceny spełnienia kryteriów wyboru projektów, na podstawie którego właściwa instytucja jest upraw</w:t>
      </w:r>
      <w:r w:rsidR="00746826">
        <w:rPr>
          <w:rFonts w:ascii="Times New Roman" w:eastAsia="Times New Roman" w:hAnsi="Times New Roman" w:cs="Times New Roman"/>
          <w:bCs/>
          <w:sz w:val="24"/>
          <w:szCs w:val="24"/>
          <w:lang w:eastAsia="ar-SA"/>
        </w:rPr>
        <w:t>n</w:t>
      </w:r>
      <w:r w:rsidRPr="00046867">
        <w:rPr>
          <w:rFonts w:ascii="Times New Roman" w:eastAsia="Times New Roman" w:hAnsi="Times New Roman" w:cs="Times New Roman"/>
          <w:bCs/>
          <w:sz w:val="24"/>
          <w:szCs w:val="24"/>
          <w:lang w:eastAsia="ar-SA"/>
        </w:rPr>
        <w:t>iona do uzyskania od wnioskodawcy niezbę</w:t>
      </w:r>
      <w:r w:rsidR="00437BFB">
        <w:rPr>
          <w:rFonts w:ascii="Times New Roman" w:eastAsia="Times New Roman" w:hAnsi="Times New Roman" w:cs="Times New Roman"/>
          <w:bCs/>
          <w:sz w:val="24"/>
          <w:szCs w:val="24"/>
          <w:lang w:eastAsia="ar-SA"/>
        </w:rPr>
        <w:t>dnych dokumentów i informacji w </w:t>
      </w:r>
      <w:r w:rsidRPr="00046867">
        <w:rPr>
          <w:rFonts w:ascii="Times New Roman" w:eastAsia="Times New Roman" w:hAnsi="Times New Roman" w:cs="Times New Roman"/>
          <w:bCs/>
          <w:sz w:val="24"/>
          <w:szCs w:val="24"/>
          <w:lang w:eastAsia="ar-SA"/>
        </w:rPr>
        <w:t>celu dokonania oceny spełnienia kryteriów wyboru projektów przez dany projekt zgłoszony do dofinansowania.</w:t>
      </w: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EUROPEJSKA WSPÓŁPRACA TERYTORIALNA</w:t>
      </w:r>
    </w:p>
    <w:p w:rsidR="00046867" w:rsidRPr="00046867" w:rsidRDefault="00046867" w:rsidP="00046867">
      <w:pPr>
        <w:suppressAutoHyphens/>
        <w:spacing w:before="120" w:after="0" w:line="360" w:lineRule="auto"/>
        <w:jc w:val="both"/>
        <w:rPr>
          <w:rFonts w:ascii="Times New Roman" w:eastAsia="Times New Roman" w:hAnsi="Times New Roman" w:cs="Times New Roman"/>
          <w:b/>
          <w:sz w:val="24"/>
          <w:szCs w:val="24"/>
          <w:lang w:eastAsia="ar-SA"/>
        </w:rPr>
      </w:pPr>
      <w:r w:rsidRPr="00046867">
        <w:rPr>
          <w:rFonts w:ascii="Times New Roman" w:eastAsia="Times New Roman" w:hAnsi="Times New Roman" w:cs="Times New Roman"/>
          <w:sz w:val="24"/>
          <w:szCs w:val="24"/>
          <w:lang w:eastAsia="ar-SA"/>
        </w:rPr>
        <w:t>W art. 51 dokonano zmiany, zgodnie z którą przepisów rozdziału „Wybór projektów” nie stosuje się do programów EWT, z wyłączeniem art. 37 ust. 6 i 7. Zastosowanie regulacji art. 37 ust. 6 i 7 wynika z objęcia programów EWT zasadami dotyczącymi dostępu do informacji publicznej w zakresie związanym z udzielaniem wsparcia na realizację Polityki Spójności.</w:t>
      </w: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PODPISANIE I ZMIANY W UMOWACH O DOFINANSOWANIE</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związku z wprowadzeniem definicji warunków formalnych, a także szerszego usankcjonowania tej instytucji w ustawie, w art. 52 ust</w:t>
      </w:r>
      <w:r w:rsidR="00437BFB">
        <w:rPr>
          <w:rFonts w:ascii="Times New Roman" w:eastAsia="Times New Roman" w:hAnsi="Times New Roman" w:cs="Times New Roman"/>
          <w:sz w:val="24"/>
          <w:szCs w:val="24"/>
          <w:lang w:eastAsia="ar-SA"/>
        </w:rPr>
        <w:t>. 2 dodano regulację, zgodnie z </w:t>
      </w:r>
      <w:r w:rsidRPr="00046867">
        <w:rPr>
          <w:rFonts w:ascii="Times New Roman" w:eastAsia="Times New Roman" w:hAnsi="Times New Roman" w:cs="Times New Roman"/>
          <w:sz w:val="24"/>
          <w:szCs w:val="24"/>
          <w:lang w:eastAsia="ar-SA"/>
        </w:rPr>
        <w:t xml:space="preserve">którą umowa o dofinansowanie projektu nie </w:t>
      </w:r>
      <w:r w:rsidR="00437BFB">
        <w:rPr>
          <w:rFonts w:ascii="Times New Roman" w:eastAsia="Times New Roman" w:hAnsi="Times New Roman" w:cs="Times New Roman"/>
          <w:sz w:val="24"/>
          <w:szCs w:val="24"/>
          <w:lang w:eastAsia="ar-SA"/>
        </w:rPr>
        <w:t>może być podpisana</w:t>
      </w:r>
      <w:r w:rsidR="00746826">
        <w:rPr>
          <w:rFonts w:ascii="Times New Roman" w:eastAsia="Times New Roman" w:hAnsi="Times New Roman" w:cs="Times New Roman"/>
          <w:sz w:val="24"/>
          <w:szCs w:val="24"/>
          <w:lang w:eastAsia="ar-SA"/>
        </w:rPr>
        <w:t>,</w:t>
      </w:r>
      <w:r w:rsidR="00437BFB">
        <w:rPr>
          <w:rFonts w:ascii="Times New Roman" w:eastAsia="Times New Roman" w:hAnsi="Times New Roman" w:cs="Times New Roman"/>
          <w:sz w:val="24"/>
          <w:szCs w:val="24"/>
          <w:lang w:eastAsia="ar-SA"/>
        </w:rPr>
        <w:t xml:space="preserve"> a decyzja o </w:t>
      </w:r>
      <w:r w:rsidRPr="00046867">
        <w:rPr>
          <w:rFonts w:ascii="Times New Roman" w:eastAsia="Times New Roman" w:hAnsi="Times New Roman" w:cs="Times New Roman"/>
          <w:sz w:val="24"/>
          <w:szCs w:val="24"/>
          <w:lang w:eastAsia="ar-SA"/>
        </w:rPr>
        <w:t xml:space="preserve">dofinansowaniu projektu nie może być podjęta w sytuacji, gdy wnioskodawca lub jego wniosek na dzień podpisania umowy nie spełniają warunków formalnych lub kryteriów wyboru projektów. </w:t>
      </w:r>
    </w:p>
    <w:p w:rsidR="00046867" w:rsidRPr="00046867" w:rsidRDefault="00046867" w:rsidP="00046867">
      <w:pPr>
        <w:suppressAutoHyphens/>
        <w:spacing w:before="120" w:after="0" w:line="360" w:lineRule="auto"/>
        <w:jc w:val="both"/>
        <w:rPr>
          <w:rFonts w:ascii="Times New Roman" w:eastAsia="Times New Roman" w:hAnsi="Times New Roman" w:cs="Times New Roman"/>
          <w:b/>
          <w:sz w:val="24"/>
          <w:szCs w:val="24"/>
          <w:lang w:eastAsia="ar-SA"/>
        </w:rPr>
      </w:pPr>
      <w:r w:rsidRPr="00046867">
        <w:rPr>
          <w:rFonts w:ascii="Times New Roman" w:eastAsia="Times New Roman" w:hAnsi="Times New Roman" w:cs="Times New Roman"/>
          <w:sz w:val="24"/>
          <w:szCs w:val="24"/>
          <w:lang w:eastAsia="ar-SA"/>
        </w:rPr>
        <w:t xml:space="preserve">W nowo wprowadzanym art. 52a </w:t>
      </w:r>
      <w:r w:rsidRPr="00046867">
        <w:rPr>
          <w:rFonts w:ascii="Times New Roman" w:eastAsia="Times New Roman" w:hAnsi="Times New Roman" w:cs="Times New Roman"/>
          <w:bCs/>
          <w:sz w:val="24"/>
          <w:szCs w:val="24"/>
          <w:lang w:eastAsia="ar-SA"/>
        </w:rPr>
        <w:t>ograniczon</w:t>
      </w:r>
      <w:r w:rsidR="00437BFB">
        <w:rPr>
          <w:rFonts w:ascii="Times New Roman" w:eastAsia="Times New Roman" w:hAnsi="Times New Roman" w:cs="Times New Roman"/>
          <w:bCs/>
          <w:sz w:val="24"/>
          <w:szCs w:val="24"/>
          <w:lang w:eastAsia="ar-SA"/>
        </w:rPr>
        <w:t>o możliwość dokonywania zmian w </w:t>
      </w:r>
      <w:r w:rsidRPr="00046867">
        <w:rPr>
          <w:rFonts w:ascii="Times New Roman" w:eastAsia="Times New Roman" w:hAnsi="Times New Roman" w:cs="Times New Roman"/>
          <w:bCs/>
          <w:sz w:val="24"/>
          <w:szCs w:val="24"/>
          <w:lang w:eastAsia="ar-SA"/>
        </w:rPr>
        <w:t>umowie o dofinansowanie poprzez wskazanie, że zmiany te nie wpłyną na spełn</w:t>
      </w:r>
      <w:r w:rsidR="00EC4271">
        <w:rPr>
          <w:rFonts w:ascii="Times New Roman" w:eastAsia="Times New Roman" w:hAnsi="Times New Roman" w:cs="Times New Roman"/>
          <w:bCs/>
          <w:sz w:val="24"/>
          <w:szCs w:val="24"/>
          <w:lang w:eastAsia="ar-SA"/>
        </w:rPr>
        <w:t>ianie kryteriów wyboru projektu</w:t>
      </w:r>
      <w:r w:rsidRPr="00046867">
        <w:rPr>
          <w:rFonts w:ascii="Times New Roman" w:eastAsia="Times New Roman" w:hAnsi="Times New Roman" w:cs="Times New Roman"/>
          <w:bCs/>
          <w:sz w:val="24"/>
          <w:szCs w:val="24"/>
          <w:lang w:eastAsia="ar-SA"/>
        </w:rPr>
        <w:t xml:space="preserve"> w sposób, który skutkowałby negatywną oceną tego projektu. Celem wprowadzenia regulacji jest uniknięcie sytuacji, w których dochodzi do drastycznych zmian w postanowieniach umowy o dofinansowanie już po jej zawarciu. </w:t>
      </w: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 xml:space="preserve">ZMIANY WYNIKOWE </w:t>
      </w:r>
    </w:p>
    <w:p w:rsidR="00046867" w:rsidRPr="00046867" w:rsidRDefault="00046867" w:rsidP="00046867">
      <w:pPr>
        <w:suppressAutoHyphens/>
        <w:spacing w:before="120" w:after="0" w:line="360" w:lineRule="auto"/>
        <w:jc w:val="both"/>
        <w:rPr>
          <w:rFonts w:ascii="Times New Roman" w:eastAsia="Times New Roman" w:hAnsi="Times New Roman" w:cs="Times New Roman"/>
          <w:b/>
          <w:sz w:val="24"/>
          <w:szCs w:val="24"/>
          <w:lang w:eastAsia="ar-SA"/>
        </w:rPr>
      </w:pPr>
      <w:r w:rsidRPr="00046867">
        <w:rPr>
          <w:rFonts w:ascii="Times New Roman" w:eastAsia="Times New Roman" w:hAnsi="Times New Roman" w:cs="Times New Roman"/>
          <w:sz w:val="24"/>
          <w:szCs w:val="24"/>
          <w:lang w:eastAsia="ar-SA"/>
        </w:rPr>
        <w:t>Art. 54 ust. 1, art. 56 ust. 1 i 3 oraz art. 59 ust. 1 – zmiany tych przepisów mają charakter techniczny i polegają na wprowadzeniu odw</w:t>
      </w:r>
      <w:r w:rsidR="00437BFB">
        <w:rPr>
          <w:rFonts w:ascii="Times New Roman" w:eastAsia="Times New Roman" w:hAnsi="Times New Roman" w:cs="Times New Roman"/>
          <w:sz w:val="24"/>
          <w:szCs w:val="24"/>
          <w:lang w:eastAsia="ar-SA"/>
        </w:rPr>
        <w:t>ołania do nowego brzmienia art. </w:t>
      </w:r>
      <w:r w:rsidRPr="00046867">
        <w:rPr>
          <w:rFonts w:ascii="Times New Roman" w:eastAsia="Times New Roman" w:hAnsi="Times New Roman" w:cs="Times New Roman"/>
          <w:sz w:val="24"/>
          <w:szCs w:val="24"/>
          <w:lang w:eastAsia="ar-SA"/>
        </w:rPr>
        <w:t xml:space="preserve">45 ust. 4. W art. 54 ust. 3 </w:t>
      </w:r>
      <w:r w:rsidRPr="00046867">
        <w:rPr>
          <w:rFonts w:ascii="Times New Roman" w:eastAsia="Times New Roman" w:hAnsi="Times New Roman" w:cs="Times New Roman"/>
          <w:bCs/>
          <w:sz w:val="24"/>
          <w:szCs w:val="24"/>
          <w:lang w:eastAsia="ar-SA"/>
        </w:rPr>
        <w:t>dodaje się zdanie drugie, zgodnie z którym do doręczenia wezwania stosuje się przepisy działu I rozdziału 8</w:t>
      </w:r>
      <w:r w:rsidRPr="00046867">
        <w:rPr>
          <w:rFonts w:ascii="Times New Roman" w:eastAsia="Times New Roman" w:hAnsi="Times New Roman" w:cs="Times New Roman"/>
          <w:sz w:val="24"/>
          <w:szCs w:val="24"/>
          <w:lang w:eastAsia="ar-SA"/>
        </w:rPr>
        <w:t xml:space="preserve"> ustawy z dnia 14 czerwca 1960 r. – Kodeks postępowania administracyjnego. </w:t>
      </w: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WYCOFANIE PROTESTU</w:t>
      </w:r>
    </w:p>
    <w:p w:rsidR="00046867" w:rsidRPr="00046867" w:rsidRDefault="00046867" w:rsidP="00046867">
      <w:pPr>
        <w:suppressAutoHyphens/>
        <w:spacing w:before="120" w:after="0" w:line="360" w:lineRule="auto"/>
        <w:jc w:val="both"/>
        <w:rPr>
          <w:rFonts w:ascii="Times New Roman" w:eastAsia="Calibri" w:hAnsi="Times New Roman" w:cs="Times New Roman"/>
          <w:b/>
          <w:sz w:val="24"/>
          <w:szCs w:val="24"/>
          <w:lang w:eastAsia="ar-SA"/>
        </w:rPr>
      </w:pPr>
      <w:r w:rsidRPr="00046867">
        <w:rPr>
          <w:rFonts w:ascii="Times New Roman" w:eastAsia="Times New Roman" w:hAnsi="Times New Roman" w:cs="Times New Roman"/>
          <w:sz w:val="24"/>
          <w:szCs w:val="24"/>
          <w:lang w:eastAsia="ar-SA"/>
        </w:rPr>
        <w:t>Art. 54a wprowadza do ustawy nową instytucję – wycofanie protestu.</w:t>
      </w:r>
      <w:r w:rsidRPr="00046867">
        <w:rPr>
          <w:rFonts w:ascii="Times New Roman" w:eastAsia="Calibri" w:hAnsi="Times New Roman" w:cs="Times New Roman"/>
          <w:sz w:val="24"/>
          <w:szCs w:val="24"/>
          <w:lang w:eastAsia="ar-SA"/>
        </w:rPr>
        <w:t xml:space="preserve"> Proponowane rozwiązanie umożliwi wnioskodawcy skuteczne wycofanie protestu, a tym samym zakończenie wobec niego procedury odwoławczej oraz pozwoli mu na ewentualne aplikowanie w innym konkursie.</w:t>
      </w:r>
      <w:r w:rsidRPr="00046867">
        <w:rPr>
          <w:rFonts w:ascii="Times New Roman" w:eastAsia="Times New Roman" w:hAnsi="Times New Roman" w:cs="Times New Roman"/>
          <w:sz w:val="24"/>
          <w:szCs w:val="24"/>
          <w:lang w:eastAsia="ar-SA"/>
        </w:rPr>
        <w:t xml:space="preserve"> </w:t>
      </w:r>
      <w:r w:rsidRPr="00046867">
        <w:rPr>
          <w:rFonts w:ascii="Times New Roman" w:eastAsia="Calibri" w:hAnsi="Times New Roman" w:cs="Times New Roman"/>
          <w:sz w:val="24"/>
          <w:szCs w:val="24"/>
          <w:lang w:eastAsia="ar-SA"/>
        </w:rPr>
        <w:t>Proponowane rozwiązanie usprawni również przebieg procedury odwoławczej i pozwoli na szybsze wyłonienie projektów do dofinansowania, a tym samym usprawni proces zawierania umów o dofinansowane z beneficjentami.</w:t>
      </w:r>
    </w:p>
    <w:p w:rsidR="00046867" w:rsidRPr="00966E19" w:rsidRDefault="00046867" w:rsidP="00437BFB">
      <w:pPr>
        <w:numPr>
          <w:ilvl w:val="0"/>
          <w:numId w:val="1"/>
        </w:numPr>
        <w:tabs>
          <w:tab w:val="left" w:pos="426"/>
        </w:tabs>
        <w:suppressAutoHyphens/>
        <w:spacing w:before="240" w:after="0" w:line="360" w:lineRule="auto"/>
        <w:ind w:left="426" w:hanging="426"/>
        <w:jc w:val="both"/>
        <w:rPr>
          <w:rFonts w:ascii="Times New Roman" w:eastAsia="Calibri" w:hAnsi="Times New Roman" w:cs="Times New Roman"/>
          <w:sz w:val="24"/>
          <w:szCs w:val="24"/>
          <w:lang w:eastAsia="ar-SA"/>
        </w:rPr>
      </w:pPr>
      <w:r w:rsidRPr="00966E19">
        <w:rPr>
          <w:rFonts w:ascii="Times New Roman" w:eastAsia="Calibri" w:hAnsi="Times New Roman" w:cs="Times New Roman"/>
          <w:sz w:val="24"/>
          <w:szCs w:val="24"/>
          <w:lang w:eastAsia="ar-SA"/>
        </w:rPr>
        <w:t>SKRÓCENIE TERMINÓW W RAMACH PROCEDURY ODWOŁAWCZEJ</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Calibri" w:hAnsi="Times New Roman" w:cs="Times New Roman"/>
          <w:sz w:val="24"/>
          <w:szCs w:val="24"/>
          <w:lang w:eastAsia="ar-SA"/>
        </w:rPr>
        <w:t xml:space="preserve">Zmiany art. 56 ust. 2 i art. 57 polegają na skróceniu terminów </w:t>
      </w:r>
      <w:r w:rsidRPr="00046867">
        <w:rPr>
          <w:rFonts w:ascii="Times New Roman" w:eastAsia="Times New Roman" w:hAnsi="Times New Roman" w:cs="Times New Roman"/>
          <w:bCs/>
          <w:sz w:val="24"/>
          <w:szCs w:val="24"/>
          <w:lang w:eastAsia="ar-SA"/>
        </w:rPr>
        <w:t>autokontroli z 21 dni na 14, terminów na rozpatrzenie protestu z 30 dni na 21, terminów łącznego rozpatrzenia protestu z 60 dni na 45. Proponowane zmiany mają zapewnić sprawne i szybsze procedowanie w postępowaniu odwoławczym.</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Ponadto w art. 54 w ust. 5 wprowadzono zdanie drugie, zgodnie z którym terminy wyznaczone na autokontrolę oraz rozpatrzeni</w:t>
      </w:r>
      <w:r w:rsidR="002128FF">
        <w:rPr>
          <w:rFonts w:ascii="Times New Roman" w:eastAsia="Times New Roman" w:hAnsi="Times New Roman" w:cs="Times New Roman"/>
          <w:sz w:val="24"/>
          <w:szCs w:val="24"/>
          <w:lang w:eastAsia="ar-SA"/>
        </w:rPr>
        <w:t>e protestu ulegną zawieszeniu w </w:t>
      </w:r>
      <w:r w:rsidRPr="00046867">
        <w:rPr>
          <w:rFonts w:ascii="Times New Roman" w:eastAsia="Times New Roman" w:hAnsi="Times New Roman" w:cs="Times New Roman"/>
          <w:sz w:val="24"/>
          <w:szCs w:val="24"/>
          <w:lang w:eastAsia="ar-SA"/>
        </w:rPr>
        <w:t>przypadku konieczności uzupełnienia protestu</w:t>
      </w:r>
      <w:r w:rsidRPr="00046867">
        <w:rPr>
          <w:rFonts w:ascii="Times New Roman" w:eastAsia="Times New Roman" w:hAnsi="Times New Roman" w:cs="Times New Roman"/>
          <w:bCs/>
          <w:sz w:val="24"/>
          <w:szCs w:val="24"/>
          <w:lang w:eastAsia="ar-SA"/>
        </w:rPr>
        <w:t>. Zmieniono także art. 56 ust. 2 pkt 1, art. 58 ust. 2 pkt 1 oraz ust. 4 pkt 1 poprzez wskazanie, że instytucja</w:t>
      </w:r>
      <w:r w:rsidR="00746826">
        <w:rPr>
          <w:rFonts w:ascii="Times New Roman" w:eastAsia="Times New Roman" w:hAnsi="Times New Roman" w:cs="Times New Roman"/>
          <w:bCs/>
          <w:sz w:val="24"/>
          <w:szCs w:val="24"/>
          <w:lang w:eastAsia="ar-SA"/>
        </w:rPr>
        <w:t>,</w:t>
      </w:r>
      <w:r w:rsidRPr="00046867">
        <w:rPr>
          <w:rFonts w:ascii="Times New Roman" w:eastAsia="Times New Roman" w:hAnsi="Times New Roman" w:cs="Times New Roman"/>
          <w:bCs/>
          <w:sz w:val="24"/>
          <w:szCs w:val="24"/>
          <w:lang w:eastAsia="ar-SA"/>
        </w:rPr>
        <w:t xml:space="preserve"> dokonując autokontroli lub ponownie oceniając projekt</w:t>
      </w:r>
      <w:r w:rsidR="00746826">
        <w:rPr>
          <w:rFonts w:ascii="Times New Roman" w:eastAsia="Times New Roman" w:hAnsi="Times New Roman" w:cs="Times New Roman"/>
          <w:bCs/>
          <w:sz w:val="24"/>
          <w:szCs w:val="24"/>
          <w:lang w:eastAsia="ar-SA"/>
        </w:rPr>
        <w:t>,</w:t>
      </w:r>
      <w:r w:rsidRPr="00046867">
        <w:rPr>
          <w:rFonts w:ascii="Times New Roman" w:eastAsia="Times New Roman" w:hAnsi="Times New Roman" w:cs="Times New Roman"/>
          <w:bCs/>
          <w:sz w:val="24"/>
          <w:szCs w:val="24"/>
          <w:lang w:eastAsia="ar-SA"/>
        </w:rPr>
        <w:t xml:space="preserve"> zamieści projekt, dokonując aktualizacji listy, o której mowa w art. 46 ust. 3.</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sz w:val="24"/>
          <w:szCs w:val="24"/>
          <w:lang w:eastAsia="ar-SA"/>
        </w:rPr>
        <w:t>Zmiany w art. 61 i art. 63 mają charakter techniczny i polegają na skorygowaniu odwołań do zmienionych przepisów.</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Times New Roman" w:hAnsi="Times New Roman" w:cs="Times New Roman"/>
          <w:bCs/>
          <w:sz w:val="24"/>
          <w:szCs w:val="24"/>
          <w:lang w:eastAsia="ar-SA"/>
        </w:rPr>
        <w:t xml:space="preserve">W art. 66 w ust. 2 zostało zmienione wprowadzenie do wyliczenia przez uzupełnienie przesłanek do pozostawienia protestu bez rozpatrzenia również w sytuacji, gdy kwota na dofinansowanie projektów zostanie wyczerpana również w ramach poddziałania.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 xml:space="preserve">Poprzez wyczerpanie kwoty przeznaczonej na dofinansowanie projektów w ramach działania należy rozumieć taką sytuację, w której wszystkie środki w ramach danego działania zostały rozdysponowane na projekty wybrane do dofinansowania, natomiast jednostkami systematyzacyjnymi programów operacyjnych w ramach poszczególnych osi priorytetowych są działania oraz wyodrębnione ewentualnie w ramach działań poddziałania.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Poddziałania są wydzielane w szczególności, gdy do działania przypisano więcej niż jeden priorytet inwestycyjny, a także w celu terytorialnego ukierunkowania interwencji, wyodrębnienia różnych typów interwencji ze względu np. na specyfikę beneficjenta lub typy przedsięwzięć, lub różnych ścieżek wyboru projektów czy wyodrębnienia różnych form finansowania.</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Calibri" w:hAnsi="Times New Roman" w:cs="Times New Roman"/>
          <w:sz w:val="24"/>
          <w:szCs w:val="24"/>
          <w:lang w:eastAsia="ar-SA"/>
        </w:rPr>
        <w:t xml:space="preserve">Projektowana zmiana ma na celu doprecyzowanie przepisów i wzajemne uspójnienie regulacji.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art. 69 dodano pkt 4, który umożliwi wspieranie pr</w:t>
      </w:r>
      <w:r w:rsidR="002128FF">
        <w:rPr>
          <w:rFonts w:ascii="Times New Roman" w:eastAsia="Times New Roman" w:hAnsi="Times New Roman" w:cs="Times New Roman"/>
          <w:sz w:val="24"/>
          <w:szCs w:val="24"/>
          <w:lang w:eastAsia="ar-SA"/>
        </w:rPr>
        <w:t>ocesów związanych z ewaluacją w </w:t>
      </w:r>
      <w:r w:rsidRPr="00046867">
        <w:rPr>
          <w:rFonts w:ascii="Times New Roman" w:eastAsia="Times New Roman" w:hAnsi="Times New Roman" w:cs="Times New Roman"/>
          <w:sz w:val="24"/>
          <w:szCs w:val="24"/>
          <w:lang w:eastAsia="ar-SA"/>
        </w:rPr>
        <w:t xml:space="preserve">centralnym systemie teleinformatycznym. </w:t>
      </w:r>
    </w:p>
    <w:p w:rsidR="00046867" w:rsidRPr="00966E19" w:rsidRDefault="00046867" w:rsidP="002128FF">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EKSPERCI</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Wprowadzono nowy rozdział 15a „Eksperci”. W stosunku do obowiązującej regulacji będzie możliwe wyznaczanie ekspertów nie tylko do udziału w wyborze projektów, ale również do wykonywania zadań związanych z realizacją praw i obowiązków właściwej instytucji wynikających z umowy o dofinan</w:t>
      </w:r>
      <w:r w:rsidR="002128FF">
        <w:rPr>
          <w:rFonts w:ascii="Times New Roman" w:eastAsia="Times New Roman" w:hAnsi="Times New Roman" w:cs="Times New Roman"/>
          <w:sz w:val="24"/>
          <w:szCs w:val="24"/>
          <w:lang w:eastAsia="ar-SA"/>
        </w:rPr>
        <w:t>sowanie projektu albo decyzji o </w:t>
      </w:r>
      <w:r w:rsidRPr="00046867">
        <w:rPr>
          <w:rFonts w:ascii="Times New Roman" w:eastAsia="Times New Roman" w:hAnsi="Times New Roman" w:cs="Times New Roman"/>
          <w:sz w:val="24"/>
          <w:szCs w:val="24"/>
          <w:lang w:eastAsia="ar-SA"/>
        </w:rPr>
        <w:t>dofinansowaniu projektu. Celem projektowanej regulacji jest rozszerzenie zakresu udziału ekspertów w realizacji umowy o d</w:t>
      </w:r>
      <w:r w:rsidR="002128FF">
        <w:rPr>
          <w:rFonts w:ascii="Times New Roman" w:eastAsia="Times New Roman" w:hAnsi="Times New Roman" w:cs="Times New Roman"/>
          <w:sz w:val="24"/>
          <w:szCs w:val="24"/>
          <w:lang w:eastAsia="ar-SA"/>
        </w:rPr>
        <w:t>ofinasowanie projektu/decyzji o </w:t>
      </w:r>
      <w:r w:rsidRPr="00046867">
        <w:rPr>
          <w:rFonts w:ascii="Times New Roman" w:eastAsia="Times New Roman" w:hAnsi="Times New Roman" w:cs="Times New Roman"/>
          <w:sz w:val="24"/>
          <w:szCs w:val="24"/>
          <w:lang w:eastAsia="ar-SA"/>
        </w:rPr>
        <w:t>dofinansowaniu projektu. Przewidziano ponadto ocenę pracy ekspertów. Zasady oceny będą wskazywane w umowie zawieranej z ekspertem. Wprowadzono katalog sytuacji, których zaistnienie powoduje wykreślenie kandydata na eksperta z wykazu kandydatów</w:t>
      </w:r>
      <w:r w:rsidR="005D03B4">
        <w:rPr>
          <w:rFonts w:ascii="Times New Roman" w:eastAsia="Times New Roman" w:hAnsi="Times New Roman" w:cs="Times New Roman"/>
          <w:sz w:val="24"/>
          <w:szCs w:val="24"/>
          <w:lang w:eastAsia="ar-SA"/>
        </w:rPr>
        <w:t>;</w:t>
      </w:r>
      <w:r w:rsidRPr="00046867">
        <w:rPr>
          <w:rFonts w:ascii="Times New Roman" w:eastAsia="Times New Roman" w:hAnsi="Times New Roman" w:cs="Times New Roman"/>
          <w:sz w:val="24"/>
          <w:szCs w:val="24"/>
          <w:lang w:eastAsia="ar-SA"/>
        </w:rPr>
        <w:t xml:space="preserve"> ponowny wpis do tego wykazu będzie możliwy po upływie roku od dnia wykreślenia. Do kandydata na eksperta ubiegającego się o ponowny wpis będą miały zastosowanie przepisy dotyczące wymagań dla kandydatów na ekspertów. Ekspert, na podstawie przepisów powszechnie obowiązującego prawa, będzie ponosił odpowiedzialność karną w każdej sytuacji, w której swoim zachowaniem wypełni znamiona czynu zabronionego.</w:t>
      </w:r>
    </w:p>
    <w:p w:rsidR="00046867" w:rsidRPr="00966E19" w:rsidRDefault="00046867" w:rsidP="002128FF">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 xml:space="preserve">WSPÓŁPRACA Z PREZESEM ZUS W ZAKRESIE UDOSTĘPNIANIA DANYCH OSOBOWYCH </w:t>
      </w:r>
    </w:p>
    <w:p w:rsidR="00046867" w:rsidRPr="00046867" w:rsidRDefault="00046867" w:rsidP="00046867">
      <w:pPr>
        <w:suppressAutoHyphens/>
        <w:spacing w:before="120" w:after="0" w:line="360" w:lineRule="auto"/>
        <w:jc w:val="both"/>
        <w:rPr>
          <w:rFonts w:ascii="Times New Roman" w:eastAsia="Times New Roman" w:hAnsi="Times New Roman" w:cs="Times New Roman"/>
          <w:b/>
          <w:sz w:val="24"/>
          <w:szCs w:val="24"/>
          <w:lang w:eastAsia="ar-SA"/>
        </w:rPr>
      </w:pPr>
      <w:r w:rsidRPr="00046867">
        <w:rPr>
          <w:rFonts w:ascii="Times New Roman" w:eastAsia="Times New Roman" w:hAnsi="Times New Roman" w:cs="Times New Roman"/>
          <w:sz w:val="24"/>
          <w:szCs w:val="24"/>
          <w:lang w:eastAsia="ar-SA"/>
        </w:rPr>
        <w:t>Art. 71 w dodanym ust. 2 umożliwi współpracę z Prezesem Zakładu Ubezpieczeń Społecznych w zakresie udostępniania danych uczestników projektów Europejskiego Funduszu Społecznego (EFS). Polska jest zobowiązana do badania wskaźników długoterminowych i sprawozdawania do Komisji Europ</w:t>
      </w:r>
      <w:r w:rsidR="002128FF">
        <w:rPr>
          <w:rFonts w:ascii="Times New Roman" w:eastAsia="Times New Roman" w:hAnsi="Times New Roman" w:cs="Times New Roman"/>
          <w:sz w:val="24"/>
          <w:szCs w:val="24"/>
          <w:lang w:eastAsia="ar-SA"/>
        </w:rPr>
        <w:t>ejskiej w zakresie informacji o </w:t>
      </w:r>
      <w:r w:rsidRPr="00046867">
        <w:rPr>
          <w:rFonts w:ascii="Times New Roman" w:eastAsia="Times New Roman" w:hAnsi="Times New Roman" w:cs="Times New Roman"/>
          <w:sz w:val="24"/>
          <w:szCs w:val="24"/>
          <w:lang w:eastAsia="ar-SA"/>
        </w:rPr>
        <w:t xml:space="preserve">statusie osoby uczestniczącej w projekcie EFS w 6 miesięcy po zakończeniu w nim udziału. Dane do badania można pozyskać z danych o ubezpieczonych i ustawa z dnia 13 października 1998 r. o systemie ubezpieczeń społecznych umożliwia taką współpracę na podstawie art. 50 ust. 3a. Z uwagi na to, że udostepnienie opiera się na danych porównawczych analogiczna regulacja ustawowa powinna zostać zawarta również w ustawie z dnia 11 lipca 2014 r. o zasadach realizacji programów w zakresie polityki spójności finansowanych w perspektywie finansowej 2014–2020. </w:t>
      </w:r>
    </w:p>
    <w:p w:rsidR="00046867" w:rsidRPr="00966E19" w:rsidRDefault="00046867" w:rsidP="002128FF">
      <w:pPr>
        <w:numPr>
          <w:ilvl w:val="0"/>
          <w:numId w:val="1"/>
        </w:numPr>
        <w:tabs>
          <w:tab w:val="left" w:pos="426"/>
        </w:tabs>
        <w:suppressAutoHyphens/>
        <w:spacing w:before="240" w:after="0" w:line="360" w:lineRule="auto"/>
        <w:ind w:left="426" w:hanging="426"/>
        <w:jc w:val="both"/>
        <w:rPr>
          <w:rFonts w:ascii="Times New Roman" w:eastAsia="Times New Roman" w:hAnsi="Times New Roman" w:cs="Times New Roman"/>
          <w:sz w:val="24"/>
          <w:szCs w:val="24"/>
          <w:lang w:eastAsia="ar-SA"/>
        </w:rPr>
      </w:pPr>
      <w:r w:rsidRPr="00966E19">
        <w:rPr>
          <w:rFonts w:ascii="Times New Roman" w:eastAsia="Times New Roman" w:hAnsi="Times New Roman" w:cs="Times New Roman"/>
          <w:sz w:val="24"/>
          <w:szCs w:val="24"/>
          <w:lang w:eastAsia="ar-SA"/>
        </w:rPr>
        <w:t>INNE ZMIANY</w:t>
      </w:r>
    </w:p>
    <w:p w:rsidR="00046867" w:rsidRPr="00046867" w:rsidRDefault="00046867" w:rsidP="00046867">
      <w:pPr>
        <w:suppressAutoHyphens/>
        <w:autoSpaceDE w:val="0"/>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art. 30 w ust. 8 pkt 4 zastąpiono wyraz „identyfikacji” wyrazem „wskazania”, aby nie posługiwać się pojęciem przypisanym pozakonkursowemu trybowi wyboru projektów do dofinasowania.</w:t>
      </w:r>
    </w:p>
    <w:p w:rsidR="00046867" w:rsidRPr="00046867" w:rsidRDefault="00046867" w:rsidP="00046867">
      <w:pPr>
        <w:suppressAutoHyphens/>
        <w:autoSpaceDE w:val="0"/>
        <w:spacing w:before="120" w:after="0" w:line="360" w:lineRule="auto"/>
        <w:jc w:val="both"/>
        <w:rPr>
          <w:rFonts w:ascii="Times New Roman" w:eastAsia="Calibri" w:hAnsi="Times New Roman" w:cs="Times New Roman"/>
          <w:sz w:val="24"/>
          <w:szCs w:val="24"/>
          <w:lang w:eastAsia="ar-SA"/>
        </w:rPr>
      </w:pPr>
      <w:r w:rsidRPr="00046867">
        <w:rPr>
          <w:rFonts w:ascii="Times New Roman" w:eastAsia="Times New Roman" w:hAnsi="Times New Roman" w:cs="Times New Roman"/>
          <w:b/>
          <w:sz w:val="24"/>
          <w:szCs w:val="24"/>
          <w:lang w:eastAsia="ar-SA"/>
        </w:rPr>
        <w:t>W art. 2 wprowadza się zmiany do ustawy z dnia 17 listopada 1964 r. – Kodeks postępowania cywilnego</w:t>
      </w:r>
    </w:p>
    <w:p w:rsidR="00046867" w:rsidRPr="00046867" w:rsidRDefault="00046867" w:rsidP="005D1102">
      <w:pPr>
        <w:suppressAutoHyphens/>
        <w:autoSpaceDE w:val="0"/>
        <w:spacing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Projektowane przepisy mają na celu ułatwienie dostępu wnioskodawców do kredytowania wkładów własnych na realizację projektu i są wynikiem uzgodnień ze Związkiem Banków Polskich. Proponowane brzmienie art. 831 § 1 oraz § 2 Kodeksu postępowania cywilnego ma na celu wskazanie, że egzekucji nie będą podlegały:</w:t>
      </w:r>
    </w:p>
    <w:p w:rsidR="00046867" w:rsidRPr="00046867" w:rsidRDefault="00046867" w:rsidP="002128FF">
      <w:pPr>
        <w:numPr>
          <w:ilvl w:val="0"/>
          <w:numId w:val="3"/>
        </w:numPr>
        <w:suppressAutoHyphens/>
        <w:autoSpaceDE w:val="0"/>
        <w:spacing w:after="0" w:line="360" w:lineRule="auto"/>
        <w:ind w:left="426" w:hanging="426"/>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środki wypłacone beneficjentom w formie zaliczki;</w:t>
      </w:r>
    </w:p>
    <w:p w:rsidR="00046867" w:rsidRPr="00046867" w:rsidRDefault="00046867" w:rsidP="002128FF">
      <w:pPr>
        <w:numPr>
          <w:ilvl w:val="0"/>
          <w:numId w:val="3"/>
        </w:numPr>
        <w:suppressAutoHyphens/>
        <w:autoSpaceDE w:val="0"/>
        <w:spacing w:after="0" w:line="360" w:lineRule="auto"/>
        <w:ind w:left="448" w:hanging="448"/>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sumy i świadczenia w naturze już wypłacone lub wydane oraz środki trwałe oraz wartości niematerialne i prawne powstałe w ramach realizacji projektu, na który były przeznaczone środki pochodzące z programów finansowanych z udziałem środków, o których mowa w art. 5 ust. 1 pkt 2 i 3 ustawy z dnia 27 sierpnia 2009 r. o finansach publicznych, przez okres jego rea</w:t>
      </w:r>
      <w:r w:rsidR="002128FF">
        <w:rPr>
          <w:rFonts w:ascii="Times New Roman" w:eastAsia="Calibri" w:hAnsi="Times New Roman" w:cs="Times New Roman"/>
          <w:sz w:val="24"/>
          <w:szCs w:val="24"/>
          <w:lang w:eastAsia="ar-SA"/>
        </w:rPr>
        <w:t>lizacji wskazany w umowie o </w:t>
      </w:r>
      <w:r w:rsidRPr="00046867">
        <w:rPr>
          <w:rFonts w:ascii="Times New Roman" w:eastAsia="Calibri" w:hAnsi="Times New Roman" w:cs="Times New Roman"/>
          <w:sz w:val="24"/>
          <w:szCs w:val="24"/>
          <w:lang w:eastAsia="ar-SA"/>
        </w:rPr>
        <w:t>dofinansowanie projektu.</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 xml:space="preserve">Wyłączenie spod egzekucji, zgodnie z art. 831 § 1 pkt 2a kpc, nie będzie skuteczne tylko wtedy, gdy wobec dłużnika prowadzona jest egzekucja z tytułu wierzytelności powstałej w związku z realizacją projektu, na który przeznaczone były środki, o których mowa w art. 5 ust. 1 pkt 2 i 3 ustawy z dnia 27 sierpnia 2009 r. o finansach publicznych. </w:t>
      </w:r>
    </w:p>
    <w:p w:rsidR="00046867" w:rsidRPr="00046867" w:rsidRDefault="00046867" w:rsidP="00046867">
      <w:pPr>
        <w:spacing w:before="120" w:after="0" w:line="360" w:lineRule="auto"/>
        <w:jc w:val="both"/>
        <w:outlineLvl w:val="0"/>
        <w:rPr>
          <w:rFonts w:ascii="Times New Roman" w:eastAsia="Times New Roman" w:hAnsi="Times New Roman" w:cs="Times New Roman"/>
          <w:spacing w:val="4"/>
          <w:sz w:val="24"/>
          <w:szCs w:val="24"/>
          <w:lang w:eastAsia="pl-PL"/>
        </w:rPr>
      </w:pPr>
      <w:r w:rsidRPr="00046867">
        <w:rPr>
          <w:rFonts w:ascii="Times New Roman" w:eastAsia="Times New Roman" w:hAnsi="Times New Roman" w:cs="Times New Roman"/>
          <w:spacing w:val="4"/>
          <w:sz w:val="24"/>
          <w:szCs w:val="24"/>
          <w:lang w:eastAsia="pl-PL"/>
        </w:rPr>
        <w:t>W związku z realizacją projektu powstaną wierzytelności, których egzekucja spowoduje, że zrealizowany zostanie cel projektu albo, że wrócą one do budżetu UE. Takie rozwiązanie ma chronić realizację projektów. Jako przykład wierzytelności powstałej w związku z realizacją projektu można wskazać wierzytelność wykonawcy projektu w stosunku do beneficjenta powstałą w wyniku wykonania określonego rodzaju robót lub świadczenia określonych usług w ramach projektu, za które beneficjent ma obowiązek zapłacić danemu wykonawcy, gdyż na ten cel zostały przyznane mu środki z budżetu UE. Jeżeli beneficjent nie płaci wykonawcy za realizację zadań przewidzianych w ramach projektu, to ten ostatni, jako, że jego wierzytelność pozostaje w bezpośrednim związku z realizacją projektu, może zgodnie z art. 831 § 1 pkt 2a kpc prowadzić egzekucję z ww</w:t>
      </w:r>
      <w:r w:rsidR="005D03B4">
        <w:rPr>
          <w:rFonts w:ascii="Times New Roman" w:eastAsia="Times New Roman" w:hAnsi="Times New Roman" w:cs="Times New Roman"/>
          <w:spacing w:val="4"/>
          <w:sz w:val="24"/>
          <w:szCs w:val="24"/>
          <w:lang w:eastAsia="pl-PL"/>
        </w:rPr>
        <w:t>.</w:t>
      </w:r>
      <w:r w:rsidRPr="00046867">
        <w:rPr>
          <w:rFonts w:ascii="Times New Roman" w:eastAsia="Times New Roman" w:hAnsi="Times New Roman" w:cs="Times New Roman"/>
          <w:spacing w:val="4"/>
          <w:sz w:val="24"/>
          <w:szCs w:val="24"/>
          <w:lang w:eastAsia="pl-PL"/>
        </w:rPr>
        <w:t xml:space="preserve"> środków. Takie rozwiązanie przyczyni się do osiągnięcia celu projektu. Wykonawca projektu, mając na uwadze cel, dla jakiego zostały przekazane środki UE, powinien mieć możliwość kierowania egzekucji do tych środków. Podobnie w przypadku prowadzenia egzekucji przez odpowiednią instytucję w następstwie wystąpienia nieprawidłowości w projekcie, o których mowa w art. 207 ustawy o finansach publicznych, niepodważalnie powstanie wierzytelność, która ma bezpośredni związek z realizacją projektu. </w:t>
      </w:r>
    </w:p>
    <w:p w:rsidR="00046867" w:rsidRPr="00046867" w:rsidRDefault="00046867" w:rsidP="00046867">
      <w:pPr>
        <w:spacing w:before="120" w:after="0" w:line="360" w:lineRule="auto"/>
        <w:jc w:val="both"/>
        <w:outlineLvl w:val="0"/>
        <w:rPr>
          <w:rFonts w:ascii="Times New Roman" w:eastAsia="Times New Roman" w:hAnsi="Times New Roman" w:cs="Times New Roman"/>
          <w:spacing w:val="4"/>
          <w:sz w:val="24"/>
          <w:szCs w:val="24"/>
          <w:lang w:eastAsia="pl-PL"/>
        </w:rPr>
      </w:pPr>
      <w:r w:rsidRPr="00046867">
        <w:rPr>
          <w:rFonts w:ascii="Times New Roman" w:eastAsia="Times New Roman" w:hAnsi="Times New Roman" w:cs="Times New Roman"/>
          <w:spacing w:val="4"/>
          <w:sz w:val="24"/>
          <w:szCs w:val="24"/>
          <w:lang w:eastAsia="pl-PL"/>
        </w:rPr>
        <w:t xml:space="preserve">Przedstawione powyżej rozumienie </w:t>
      </w:r>
      <w:r w:rsidRPr="004B2685">
        <w:rPr>
          <w:rFonts w:ascii="Times New Roman" w:eastAsia="Times New Roman" w:hAnsi="Times New Roman" w:cs="Times New Roman"/>
          <w:spacing w:val="4"/>
          <w:sz w:val="24"/>
          <w:szCs w:val="24"/>
          <w:lang w:eastAsia="pl-PL"/>
        </w:rPr>
        <w:t>„wierz</w:t>
      </w:r>
      <w:r w:rsidR="004B2685">
        <w:rPr>
          <w:rFonts w:ascii="Times New Roman" w:eastAsia="Times New Roman" w:hAnsi="Times New Roman" w:cs="Times New Roman"/>
          <w:spacing w:val="4"/>
          <w:sz w:val="24"/>
          <w:szCs w:val="24"/>
          <w:lang w:eastAsia="pl-PL"/>
        </w:rPr>
        <w:t>ytelności powstałej w związku z </w:t>
      </w:r>
      <w:r w:rsidRPr="004B2685">
        <w:rPr>
          <w:rFonts w:ascii="Times New Roman" w:eastAsia="Times New Roman" w:hAnsi="Times New Roman" w:cs="Times New Roman"/>
          <w:spacing w:val="4"/>
          <w:sz w:val="24"/>
          <w:szCs w:val="24"/>
          <w:lang w:eastAsia="pl-PL"/>
        </w:rPr>
        <w:t xml:space="preserve">realizacją projektu” </w:t>
      </w:r>
      <w:r w:rsidRPr="00046867">
        <w:rPr>
          <w:rFonts w:ascii="Times New Roman" w:eastAsia="Times New Roman" w:hAnsi="Times New Roman" w:cs="Times New Roman"/>
          <w:spacing w:val="4"/>
          <w:sz w:val="24"/>
          <w:szCs w:val="24"/>
          <w:lang w:eastAsia="pl-PL"/>
        </w:rPr>
        <w:t>powoduje, że cele określone w art. 57 i art. 80 rozporządzenia Rady (WE) nr 1083/2006 zostają osiągnięte. Środki, które wydatkował budżet UE na realizację projektu, przyczynią się ostatecznie do jego realizacji albo zostaną budżetowi UE zwrócone, czy też przyczynią się do realizacji innego projektu.</w:t>
      </w:r>
    </w:p>
    <w:p w:rsidR="00046867" w:rsidRPr="00046867" w:rsidRDefault="00046867" w:rsidP="00046867">
      <w:pPr>
        <w:suppressAutoHyphens/>
        <w:autoSpaceDE w:val="0"/>
        <w:spacing w:before="120" w:after="0" w:line="360" w:lineRule="auto"/>
        <w:jc w:val="both"/>
        <w:rPr>
          <w:rFonts w:ascii="Times New Roman" w:eastAsia="Times New Roman" w:hAnsi="Times New Roman" w:cs="Times New Roman"/>
          <w:spacing w:val="4"/>
          <w:sz w:val="24"/>
          <w:szCs w:val="24"/>
          <w:lang w:eastAsia="ar-SA"/>
        </w:rPr>
      </w:pPr>
      <w:r w:rsidRPr="00046867">
        <w:rPr>
          <w:rFonts w:ascii="Times New Roman" w:eastAsia="Calibri" w:hAnsi="Times New Roman" w:cs="Times New Roman"/>
          <w:sz w:val="24"/>
          <w:szCs w:val="24"/>
          <w:lang w:eastAsia="ar-SA"/>
        </w:rPr>
        <w:t xml:space="preserve">Pojęcie </w:t>
      </w:r>
      <w:r w:rsidRPr="00EC2B84">
        <w:rPr>
          <w:rFonts w:ascii="Times New Roman" w:eastAsia="Calibri" w:hAnsi="Times New Roman" w:cs="Times New Roman"/>
          <w:sz w:val="24"/>
          <w:szCs w:val="24"/>
          <w:lang w:eastAsia="ar-SA"/>
        </w:rPr>
        <w:t>„wierzytelności powstałej w związku z realizacją projektu”</w:t>
      </w:r>
      <w:r w:rsidRPr="00046867">
        <w:rPr>
          <w:rFonts w:ascii="Times New Roman" w:eastAsia="Calibri" w:hAnsi="Times New Roman" w:cs="Times New Roman"/>
          <w:sz w:val="24"/>
          <w:szCs w:val="24"/>
          <w:lang w:eastAsia="ar-SA"/>
        </w:rPr>
        <w:t xml:space="preserve"> nie obejmuje wierzytelności </w:t>
      </w:r>
      <w:r w:rsidRPr="00046867">
        <w:rPr>
          <w:rFonts w:ascii="Times New Roman" w:eastAsia="Times New Roman" w:hAnsi="Times New Roman" w:cs="Times New Roman"/>
          <w:spacing w:val="4"/>
          <w:sz w:val="24"/>
          <w:szCs w:val="24"/>
          <w:lang w:eastAsia="ar-SA"/>
        </w:rPr>
        <w:t>banku powstałej w wyniku udzielenia beneficjentowi kredytu, niezależnie od realizacji projektu.</w:t>
      </w:r>
    </w:p>
    <w:p w:rsidR="00046867" w:rsidRPr="00046867" w:rsidRDefault="00046867" w:rsidP="00046867">
      <w:pPr>
        <w:suppressAutoHyphens/>
        <w:autoSpaceDE w:val="0"/>
        <w:spacing w:before="120" w:after="0" w:line="360" w:lineRule="auto"/>
        <w:jc w:val="both"/>
        <w:rPr>
          <w:rFonts w:ascii="Times New Roman" w:eastAsia="Times New Roman" w:hAnsi="Times New Roman" w:cs="Times New Roman"/>
          <w:spacing w:val="4"/>
          <w:sz w:val="24"/>
          <w:szCs w:val="24"/>
          <w:lang w:eastAsia="ar-SA"/>
        </w:rPr>
      </w:pPr>
      <w:r w:rsidRPr="00046867">
        <w:rPr>
          <w:rFonts w:ascii="Times New Roman" w:eastAsia="Times New Roman" w:hAnsi="Times New Roman" w:cs="Times New Roman"/>
          <w:spacing w:val="4"/>
          <w:sz w:val="24"/>
          <w:szCs w:val="24"/>
          <w:lang w:eastAsia="ar-SA"/>
        </w:rPr>
        <w:t xml:space="preserve">Dla powstania wierzytelności banku nie jest konieczne zaistnienie faktu realizacji projektu bądź zaprzestania realizacji projektu. Wymagalność wierzytelności banku następuje w związku z opóźnieniem beneficjenta w spłacaniu rat lub zaprzestaniem spłacania rat, a nie w związku z realizacją lub zaprzestaniem realizacji projektu. Przykładowo, jeżeli beneficjent przestaje realizować projekt lub ma problem z jego realizacją, ale spłacił zaciągnięty kredyt, wierzytelność banku wygasa. Wierzytelność banku powstaje zatem zawsze w bezpośrednim związku z udzielonym kredytem i jej istnienie zależy od terminowości spłat, a nie w związku z realizacją projektu. </w:t>
      </w:r>
    </w:p>
    <w:p w:rsidR="00046867" w:rsidRPr="00046867" w:rsidRDefault="00046867" w:rsidP="00046867">
      <w:pPr>
        <w:suppressAutoHyphens/>
        <w:autoSpaceDE w:val="0"/>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Egzekucja będzie mogła być prowadzona ze środków pieniężnych, które zostaną przekazane beneficjentowi w formie refundacji, jak również po zakończeniu realizacji projektu, ze środków trwałych i wartości niematerialnych i prawnych.</w:t>
      </w:r>
    </w:p>
    <w:p w:rsidR="00046867" w:rsidRPr="00046867" w:rsidRDefault="00046867" w:rsidP="00046867">
      <w:pPr>
        <w:suppressAutoHyphens/>
        <w:autoSpaceDE w:val="0"/>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Proponowany przepis umożliwia prowadzenie egzekucji ze środków refundacji, jak również skrócenie terminu, w którym nie będzie możliwa egzekucja ze środków trwałych oraz wartości niematerialnych i prawnych, d</w:t>
      </w:r>
      <w:r w:rsidR="002128FF">
        <w:rPr>
          <w:rFonts w:ascii="Times New Roman" w:eastAsia="Calibri" w:hAnsi="Times New Roman" w:cs="Times New Roman"/>
          <w:sz w:val="24"/>
          <w:szCs w:val="24"/>
          <w:lang w:eastAsia="ar-SA"/>
        </w:rPr>
        <w:t>o okresu realizacji projektu (w </w:t>
      </w:r>
      <w:r w:rsidRPr="00046867">
        <w:rPr>
          <w:rFonts w:ascii="Times New Roman" w:eastAsia="Calibri" w:hAnsi="Times New Roman" w:cs="Times New Roman"/>
          <w:sz w:val="24"/>
          <w:szCs w:val="24"/>
          <w:lang w:eastAsia="ar-SA"/>
        </w:rPr>
        <w:t xml:space="preserve">miejsce obecnego okresu trwałości projektu, który – w zależności od projektu – wynosi od 3 do 10 lat). </w:t>
      </w:r>
    </w:p>
    <w:p w:rsidR="00046867" w:rsidRPr="00046867" w:rsidRDefault="00046867" w:rsidP="00046867">
      <w:pPr>
        <w:suppressAutoHyphens/>
        <w:autoSpaceDE w:val="0"/>
        <w:spacing w:before="120" w:after="0" w:line="360" w:lineRule="auto"/>
        <w:jc w:val="both"/>
        <w:rPr>
          <w:rFonts w:ascii="Times New Roman" w:eastAsia="Times New Roman" w:hAnsi="Times New Roman" w:cs="Times New Roman"/>
          <w:b/>
          <w:sz w:val="24"/>
          <w:szCs w:val="24"/>
          <w:lang w:eastAsia="ar-SA"/>
        </w:rPr>
      </w:pPr>
      <w:r w:rsidRPr="00046867">
        <w:rPr>
          <w:rFonts w:ascii="Times New Roman" w:eastAsia="Calibri" w:hAnsi="Times New Roman" w:cs="Times New Roman"/>
          <w:sz w:val="24"/>
          <w:szCs w:val="24"/>
          <w:lang w:eastAsia="ar-SA"/>
        </w:rPr>
        <w:t>Dokonanie przedmiotowych zmian umożliwi podejmowanie bankom udzielającym kredytów na finansowanie projektów decyzji w sprawie udzielenia takiego finansowania, ponieważ będzie oznaczało możliwość prowadzenia przez banki egzekucji z ww. środków finansowych oraz środków trwałych w przypadku braku spłaty przez beneficjentów zobowiązań wobec banków. Proponowane rozwiązanie ułatwi wnioskodawcom pozyskanie od banku środkó</w:t>
      </w:r>
      <w:r w:rsidR="002128FF">
        <w:rPr>
          <w:rFonts w:ascii="Times New Roman" w:eastAsia="Calibri" w:hAnsi="Times New Roman" w:cs="Times New Roman"/>
          <w:sz w:val="24"/>
          <w:szCs w:val="24"/>
          <w:lang w:eastAsia="ar-SA"/>
        </w:rPr>
        <w:t>w finansowych na wkład własny w </w:t>
      </w:r>
      <w:r w:rsidRPr="00046867">
        <w:rPr>
          <w:rFonts w:ascii="Times New Roman" w:eastAsia="Calibri" w:hAnsi="Times New Roman" w:cs="Times New Roman"/>
          <w:sz w:val="24"/>
          <w:szCs w:val="24"/>
          <w:lang w:eastAsia="ar-SA"/>
        </w:rPr>
        <w:t xml:space="preserve">celu realizacji projektów unijnych. </w:t>
      </w:r>
    </w:p>
    <w:p w:rsidR="00046867" w:rsidRPr="00046867" w:rsidRDefault="00046867" w:rsidP="00046867">
      <w:pPr>
        <w:suppressAutoHyphens/>
        <w:autoSpaceDE w:val="0"/>
        <w:spacing w:before="120" w:after="0" w:line="360" w:lineRule="auto"/>
        <w:jc w:val="both"/>
        <w:rPr>
          <w:rFonts w:ascii="Times New Roman" w:eastAsia="Calibri" w:hAnsi="Times New Roman" w:cs="Times New Roman"/>
          <w:sz w:val="24"/>
          <w:szCs w:val="24"/>
          <w:lang w:eastAsia="ar-SA"/>
        </w:rPr>
      </w:pPr>
      <w:r w:rsidRPr="00046867">
        <w:rPr>
          <w:rFonts w:ascii="Times New Roman" w:eastAsia="Times New Roman" w:hAnsi="Times New Roman" w:cs="Times New Roman"/>
          <w:b/>
          <w:sz w:val="24"/>
          <w:szCs w:val="24"/>
          <w:lang w:eastAsia="ar-SA"/>
        </w:rPr>
        <w:t xml:space="preserve">W art. 3 wprowadza się zmiany </w:t>
      </w:r>
      <w:r w:rsidRPr="00046867">
        <w:rPr>
          <w:rFonts w:ascii="Times New Roman" w:eastAsia="Calibri" w:hAnsi="Times New Roman" w:cs="Times New Roman"/>
          <w:b/>
          <w:sz w:val="24"/>
          <w:szCs w:val="24"/>
          <w:lang w:eastAsia="ar-SA"/>
        </w:rPr>
        <w:t>do ust</w:t>
      </w:r>
      <w:r w:rsidR="002128FF">
        <w:rPr>
          <w:rFonts w:ascii="Times New Roman" w:eastAsia="Calibri" w:hAnsi="Times New Roman" w:cs="Times New Roman"/>
          <w:b/>
          <w:sz w:val="24"/>
          <w:szCs w:val="24"/>
          <w:lang w:eastAsia="ar-SA"/>
        </w:rPr>
        <w:t>awy z dnia 17 czerwca 1966 r. o </w:t>
      </w:r>
      <w:r w:rsidRPr="00046867">
        <w:rPr>
          <w:rFonts w:ascii="Times New Roman" w:eastAsia="Calibri" w:hAnsi="Times New Roman" w:cs="Times New Roman"/>
          <w:b/>
          <w:sz w:val="24"/>
          <w:szCs w:val="24"/>
          <w:lang w:eastAsia="ar-SA"/>
        </w:rPr>
        <w:t>postępowaniu egzekucyjnym w administracji</w:t>
      </w:r>
    </w:p>
    <w:p w:rsidR="00046867" w:rsidRPr="00046867" w:rsidRDefault="00046867" w:rsidP="005D1102">
      <w:pPr>
        <w:suppressAutoHyphens/>
        <w:autoSpaceDE w:val="0"/>
        <w:spacing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Proponowane brzmienie art. 8 § 1 pkt 15 oraz § 1a ustawy o postępowaniu egzekucyjnym w administracji ma na celu wskazanie, że egzekucji nie będą podlegały:</w:t>
      </w:r>
    </w:p>
    <w:p w:rsidR="00046867" w:rsidRPr="00046867" w:rsidRDefault="00046867" w:rsidP="005D1102">
      <w:pPr>
        <w:numPr>
          <w:ilvl w:val="0"/>
          <w:numId w:val="4"/>
        </w:numPr>
        <w:suppressAutoHyphens/>
        <w:autoSpaceDE w:val="0"/>
        <w:spacing w:after="0" w:line="360" w:lineRule="auto"/>
        <w:ind w:left="406" w:hanging="420"/>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środki wypłacone beneficjentom w formie zaliczki;</w:t>
      </w:r>
    </w:p>
    <w:p w:rsidR="00046867" w:rsidRPr="00046867" w:rsidRDefault="00046867" w:rsidP="002128FF">
      <w:pPr>
        <w:numPr>
          <w:ilvl w:val="0"/>
          <w:numId w:val="4"/>
        </w:numPr>
        <w:suppressAutoHyphens/>
        <w:autoSpaceDE w:val="0"/>
        <w:spacing w:after="0" w:line="360" w:lineRule="auto"/>
        <w:ind w:left="434" w:hanging="420"/>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sumy i świadczenia w naturze już wypłacone lub wydane oraz środki trwałe oraz wartości niematerialne i prawne powstałe w ramach realizacji projektu, na który były przeznaczone środki pochodzące z programów finansowanych z udziałem środków, o których mowa w art. 5 ust. 1 pkt 2 i 3 ustawy z dnia 27 sierpnia 2009 r. o finansach publicznych, przez okres jego</w:t>
      </w:r>
      <w:r w:rsidR="002128FF">
        <w:rPr>
          <w:rFonts w:ascii="Times New Roman" w:eastAsia="Calibri" w:hAnsi="Times New Roman" w:cs="Times New Roman"/>
          <w:sz w:val="24"/>
          <w:szCs w:val="24"/>
          <w:lang w:eastAsia="ar-SA"/>
        </w:rPr>
        <w:t xml:space="preserve"> realizacji wskazany w umowie o </w:t>
      </w:r>
      <w:r w:rsidRPr="00046867">
        <w:rPr>
          <w:rFonts w:ascii="Times New Roman" w:eastAsia="Calibri" w:hAnsi="Times New Roman" w:cs="Times New Roman"/>
          <w:sz w:val="24"/>
          <w:szCs w:val="24"/>
          <w:lang w:eastAsia="ar-SA"/>
        </w:rPr>
        <w:t>dofinansowanie projektu.</w:t>
      </w:r>
    </w:p>
    <w:p w:rsidR="00046867" w:rsidRPr="00046867" w:rsidRDefault="00046867" w:rsidP="00046867">
      <w:pPr>
        <w:suppressAutoHyphens/>
        <w:autoSpaceDE w:val="0"/>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Egzekucja będzie mogła być prowadzona ze środków pieniężnych, które zostaną przekazane beneficjentowi w formie refundacji, jak również po zakończeniu realizacji projektu, ze środków trwałych i wartości niematerialnych i prawnych.</w:t>
      </w:r>
    </w:p>
    <w:p w:rsidR="00046867" w:rsidRPr="00046867" w:rsidRDefault="00046867" w:rsidP="00046867">
      <w:pPr>
        <w:suppressAutoHyphens/>
        <w:autoSpaceDE w:val="0"/>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Proponowany przepis umożliwia prowadzenie egzekucji ze środków refundacji, jak również skrócenie terminu, w którym nie będzie możliwa egzekucja ze środków trwałych oraz wartości niematerialnych i prawnych, d</w:t>
      </w:r>
      <w:r w:rsidR="002128FF">
        <w:rPr>
          <w:rFonts w:ascii="Times New Roman" w:eastAsia="Calibri" w:hAnsi="Times New Roman" w:cs="Times New Roman"/>
          <w:sz w:val="24"/>
          <w:szCs w:val="24"/>
          <w:lang w:eastAsia="ar-SA"/>
        </w:rPr>
        <w:t>o okresu realizacji projektu (w </w:t>
      </w:r>
      <w:r w:rsidRPr="00046867">
        <w:rPr>
          <w:rFonts w:ascii="Times New Roman" w:eastAsia="Calibri" w:hAnsi="Times New Roman" w:cs="Times New Roman"/>
          <w:sz w:val="24"/>
          <w:szCs w:val="24"/>
          <w:lang w:eastAsia="ar-SA"/>
        </w:rPr>
        <w:t xml:space="preserve">miejsce obecnego okresu trwałości projektu, który – w zależności od projektu – wynosi od 3 do 10 lat). </w:t>
      </w:r>
    </w:p>
    <w:p w:rsidR="00046867" w:rsidRPr="00046867" w:rsidRDefault="00046867" w:rsidP="00046867">
      <w:pPr>
        <w:suppressAutoHyphens/>
        <w:autoSpaceDE w:val="0"/>
        <w:spacing w:before="120" w:after="0" w:line="360" w:lineRule="auto"/>
        <w:jc w:val="both"/>
        <w:rPr>
          <w:rFonts w:ascii="Times New Roman" w:eastAsia="Calibri" w:hAnsi="Times New Roman" w:cs="Times New Roman"/>
          <w:b/>
          <w:sz w:val="24"/>
          <w:szCs w:val="24"/>
          <w:lang w:eastAsia="ar-SA"/>
        </w:rPr>
      </w:pPr>
      <w:r w:rsidRPr="00046867">
        <w:rPr>
          <w:rFonts w:ascii="Times New Roman" w:eastAsia="Calibri" w:hAnsi="Times New Roman" w:cs="Times New Roman"/>
          <w:b/>
          <w:sz w:val="24"/>
          <w:szCs w:val="24"/>
          <w:lang w:eastAsia="ar-SA"/>
        </w:rPr>
        <w:t>W art</w:t>
      </w:r>
      <w:r w:rsidR="00986929">
        <w:rPr>
          <w:rFonts w:ascii="Times New Roman" w:eastAsia="Calibri" w:hAnsi="Times New Roman" w:cs="Times New Roman"/>
          <w:b/>
          <w:sz w:val="24"/>
          <w:szCs w:val="24"/>
          <w:lang w:eastAsia="ar-SA"/>
        </w:rPr>
        <w:t>. 4 wprowadza się zmiany</w:t>
      </w:r>
      <w:r w:rsidRPr="00046867">
        <w:rPr>
          <w:rFonts w:ascii="Times New Roman" w:eastAsia="Calibri" w:hAnsi="Times New Roman" w:cs="Times New Roman"/>
          <w:b/>
          <w:sz w:val="24"/>
          <w:szCs w:val="24"/>
          <w:lang w:eastAsia="ar-SA"/>
        </w:rPr>
        <w:t xml:space="preserve"> do ustawy z dnia 5 czerwca 1998 r. o samorządzie województwa</w:t>
      </w:r>
    </w:p>
    <w:p w:rsidR="00046867" w:rsidRPr="00046867" w:rsidRDefault="00046867" w:rsidP="005D1102">
      <w:pPr>
        <w:suppressAutoHyphens/>
        <w:autoSpaceDE w:val="0"/>
        <w:spacing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 xml:space="preserve">Wprowadzone zmiany porządkują kwestie możliwości i zakresu działań związanych ze wsparciem zwrotnym, w tym pochodzącym z ponownego użycia (reużycia) ze środków europejskich, prowadzonych przez samorząd województwa. Projektowana zmiana stanowi również – w odniesieniu do zadań samorządu województwa w kontekście zadań z zakresu polityki rozwoju – realizację zalecenia Najwyższej Izby Kontroli wskazanego w informacji o wynikach kontroli pt. </w:t>
      </w:r>
      <w:r w:rsidR="001D1040">
        <w:rPr>
          <w:rFonts w:ascii="Times New Roman" w:eastAsia="Calibri" w:hAnsi="Times New Roman" w:cs="Times New Roman"/>
          <w:sz w:val="24"/>
          <w:szCs w:val="24"/>
          <w:lang w:eastAsia="ar-SA"/>
        </w:rPr>
        <w:t>„</w:t>
      </w:r>
      <w:r w:rsidRPr="00046867">
        <w:rPr>
          <w:rFonts w:ascii="Times New Roman" w:eastAsia="Calibri" w:hAnsi="Times New Roman" w:cs="Times New Roman"/>
          <w:sz w:val="24"/>
          <w:szCs w:val="24"/>
          <w:lang w:eastAsia="ar-SA"/>
        </w:rPr>
        <w:t>Realizacja zadań publicznych przez spółki tworzone przez jednostki samorządu terytorialnego”, gdzie czytamy:</w:t>
      </w:r>
    </w:p>
    <w:p w:rsidR="00046867" w:rsidRPr="005D03B4" w:rsidRDefault="00046867" w:rsidP="00046867">
      <w:pPr>
        <w:suppressAutoHyphens/>
        <w:autoSpaceDE w:val="0"/>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 xml:space="preserve">Ustalenia dokonane w toku kontroli wskazują także na potrzebę realizacji następujących wniosków </w:t>
      </w:r>
      <w:r w:rsidRPr="005D03B4">
        <w:rPr>
          <w:rFonts w:ascii="Times New Roman" w:eastAsia="Calibri" w:hAnsi="Times New Roman" w:cs="Times New Roman"/>
          <w:i/>
          <w:sz w:val="24"/>
          <w:szCs w:val="24"/>
          <w:lang w:eastAsia="ar-SA"/>
        </w:rPr>
        <w:t>de lege ferenda</w:t>
      </w:r>
      <w:r w:rsidRPr="00046867">
        <w:rPr>
          <w:rFonts w:ascii="Times New Roman" w:eastAsia="Calibri" w:hAnsi="Times New Roman" w:cs="Times New Roman"/>
          <w:sz w:val="24"/>
          <w:szCs w:val="24"/>
          <w:lang w:eastAsia="ar-SA"/>
        </w:rPr>
        <w:t xml:space="preserve">: </w:t>
      </w:r>
      <w:r w:rsidRPr="005D03B4">
        <w:rPr>
          <w:rFonts w:ascii="Times New Roman" w:eastAsia="Calibri" w:hAnsi="Times New Roman" w:cs="Times New Roman"/>
          <w:sz w:val="24"/>
          <w:szCs w:val="24"/>
          <w:lang w:eastAsia="ar-SA"/>
        </w:rPr>
        <w:t>„Znowelizowanie ust</w:t>
      </w:r>
      <w:r w:rsidR="0012492B" w:rsidRPr="005D03B4">
        <w:rPr>
          <w:rFonts w:ascii="Times New Roman" w:eastAsia="Calibri" w:hAnsi="Times New Roman" w:cs="Times New Roman"/>
          <w:sz w:val="24"/>
          <w:szCs w:val="24"/>
          <w:lang w:eastAsia="ar-SA"/>
        </w:rPr>
        <w:t>awy z dnia 20 grudnia 1996 r. o </w:t>
      </w:r>
      <w:r w:rsidRPr="005D03B4">
        <w:rPr>
          <w:rFonts w:ascii="Times New Roman" w:eastAsia="Calibri" w:hAnsi="Times New Roman" w:cs="Times New Roman"/>
          <w:sz w:val="24"/>
          <w:szCs w:val="24"/>
          <w:lang w:eastAsia="ar-SA"/>
        </w:rPr>
        <w:t>gospodarce komunalnej w zakresie zmiany art. 1 ust. 2 oraz art. 10 ust. 1 i 3 tej ustawy określających pojęcie użyteczności publicznej w odniesieniu do wszystkich szczebli jednostek samorządu terytorialnego, a takż</w:t>
      </w:r>
      <w:r w:rsidR="0012492B" w:rsidRPr="005D03B4">
        <w:rPr>
          <w:rFonts w:ascii="Times New Roman" w:eastAsia="Calibri" w:hAnsi="Times New Roman" w:cs="Times New Roman"/>
          <w:sz w:val="24"/>
          <w:szCs w:val="24"/>
          <w:lang w:eastAsia="ar-SA"/>
        </w:rPr>
        <w:t>e przesłanki tworzenia i </w:t>
      </w:r>
      <w:r w:rsidRPr="005D03B4">
        <w:rPr>
          <w:rFonts w:ascii="Times New Roman" w:eastAsia="Calibri" w:hAnsi="Times New Roman" w:cs="Times New Roman"/>
          <w:sz w:val="24"/>
          <w:szCs w:val="24"/>
          <w:lang w:eastAsia="ar-SA"/>
        </w:rPr>
        <w:t>przystępowania przez gminy do spółek prawa handlowego poza sferą użyteczności publicznej poprzez ich doprecyzowanie, aby nie budziły wątpliwości, jaka działalność może być prowadzona przez jednostki samorządu terytorialnego w sferze użyteczności publicznej oraz poza tą sferą”.</w:t>
      </w:r>
    </w:p>
    <w:p w:rsidR="00046867" w:rsidRPr="00046867" w:rsidRDefault="00046867" w:rsidP="00046867">
      <w:pPr>
        <w:suppressAutoHyphens/>
        <w:autoSpaceDE w:val="0"/>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Ponadto projektowane rozwiązania dotyczące możliwości tworzenia regionalnych funduszy rozwoju wynikają z kompetencji samorządów województw w zakresie prowadzenia polityki rozwoju, jak również konieczności zapewnienia efektywnego ponownego użycia (reużycia) środków wydatkowanych w formie wsparcia zwrotnego w ramach programów operacyjnych. Obecnie w każdym z województw obserwujemy duże rozproszenie wsparcia w obszarze instrumentów finansowych – wsparcie zwrotne zostało rozproszone na dużą liczbę instrumentów wdrażanych przez wiele podmiotów, co znacznie podnosiło koszty administracyjne obsługi procesów i nie sprzyjało optymalizacji kosztów. Przez to dochodzi do nakładania się wsparcia oferowanego przez różne podmioty. Utworzenie RFR ma na celu zapewnienie koordynacji wsparcia zwrotnego w województwie na poziomie samorządu województw oraz konsolidacji wsparcia oraz eliminacji (lub przynajmniej – ogranicz</w:t>
      </w:r>
      <w:r w:rsidR="0012492B">
        <w:rPr>
          <w:rFonts w:ascii="Times New Roman" w:eastAsia="Calibri" w:hAnsi="Times New Roman" w:cs="Times New Roman"/>
          <w:sz w:val="24"/>
          <w:szCs w:val="24"/>
          <w:lang w:eastAsia="ar-SA"/>
        </w:rPr>
        <w:t>enia) nakładania się wsparcia w </w:t>
      </w:r>
      <w:r w:rsidRPr="00046867">
        <w:rPr>
          <w:rFonts w:ascii="Times New Roman" w:eastAsia="Calibri" w:hAnsi="Times New Roman" w:cs="Times New Roman"/>
          <w:sz w:val="24"/>
          <w:szCs w:val="24"/>
          <w:lang w:eastAsia="ar-SA"/>
        </w:rPr>
        <w:t>ujęciu przedmiotowym, podmiotowym i terytorialnym</w:t>
      </w:r>
      <w:r w:rsidR="005D03B4">
        <w:rPr>
          <w:rFonts w:ascii="Times New Roman" w:eastAsia="Calibri" w:hAnsi="Times New Roman" w:cs="Times New Roman"/>
          <w:sz w:val="24"/>
          <w:szCs w:val="24"/>
          <w:lang w:eastAsia="ar-SA"/>
        </w:rPr>
        <w:t>.</w:t>
      </w:r>
      <w:r w:rsidRPr="00046867">
        <w:rPr>
          <w:rFonts w:ascii="Times New Roman" w:eastAsia="Calibri" w:hAnsi="Times New Roman" w:cs="Times New Roman"/>
          <w:sz w:val="24"/>
          <w:szCs w:val="24"/>
          <w:lang w:eastAsia="ar-SA"/>
        </w:rPr>
        <w:t xml:space="preserve"> Co więcej, samorząd województwa zyska dzięki temu możliwość finansowania działań z zakresu polityki rozwoju niezależnie od środków dostępnych w ramach polityki spójności.</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Calibri" w:hAnsi="Times New Roman" w:cs="Times New Roman"/>
          <w:b/>
          <w:sz w:val="24"/>
          <w:szCs w:val="24"/>
          <w:lang w:eastAsia="ar-SA"/>
        </w:rPr>
        <w:t xml:space="preserve">W art. 5 wprowadza się zmianę do ustawy </w:t>
      </w:r>
      <w:r w:rsidRPr="00046867">
        <w:rPr>
          <w:rFonts w:ascii="Times New Roman" w:eastAsia="Times New Roman" w:hAnsi="Times New Roman" w:cs="Times New Roman"/>
          <w:b/>
          <w:sz w:val="24"/>
          <w:szCs w:val="24"/>
          <w:lang w:eastAsia="ar-SA"/>
        </w:rPr>
        <w:t>z dnia 13 października 199</w:t>
      </w:r>
      <w:r w:rsidR="0012492B">
        <w:rPr>
          <w:rFonts w:ascii="Times New Roman" w:eastAsia="Times New Roman" w:hAnsi="Times New Roman" w:cs="Times New Roman"/>
          <w:b/>
          <w:sz w:val="24"/>
          <w:szCs w:val="24"/>
          <w:lang w:eastAsia="ar-SA"/>
        </w:rPr>
        <w:t>8 r. o </w:t>
      </w:r>
      <w:r w:rsidRPr="00046867">
        <w:rPr>
          <w:rFonts w:ascii="Times New Roman" w:eastAsia="Times New Roman" w:hAnsi="Times New Roman" w:cs="Times New Roman"/>
          <w:b/>
          <w:sz w:val="24"/>
          <w:szCs w:val="24"/>
          <w:lang w:eastAsia="ar-SA"/>
        </w:rPr>
        <w:t>systemie ubezpieczeń społecznych</w:t>
      </w:r>
      <w:r w:rsidRPr="00046867">
        <w:rPr>
          <w:rFonts w:ascii="Times New Roman" w:eastAsia="Times New Roman" w:hAnsi="Times New Roman" w:cs="Times New Roman"/>
          <w:sz w:val="24"/>
          <w:szCs w:val="24"/>
          <w:lang w:eastAsia="ar-SA"/>
        </w:rPr>
        <w:t xml:space="preserve"> </w:t>
      </w:r>
    </w:p>
    <w:p w:rsidR="00046867" w:rsidRPr="00046867" w:rsidRDefault="00046867" w:rsidP="005D1102">
      <w:pPr>
        <w:suppressAutoHyphens/>
        <w:spacing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Zgodnie z art. 50 ust. 3 rozporządzenia ubezpieczo</w:t>
      </w:r>
      <w:r w:rsidR="0012492B">
        <w:rPr>
          <w:rFonts w:ascii="Times New Roman" w:eastAsia="Times New Roman" w:hAnsi="Times New Roman" w:cs="Times New Roman"/>
          <w:sz w:val="24"/>
          <w:szCs w:val="24"/>
          <w:lang w:eastAsia="ar-SA"/>
        </w:rPr>
        <w:t>nego niebędącego uczestnikiem w </w:t>
      </w:r>
      <w:r w:rsidRPr="00046867">
        <w:rPr>
          <w:rFonts w:ascii="Times New Roman" w:eastAsia="Times New Roman" w:hAnsi="Times New Roman" w:cs="Times New Roman"/>
          <w:sz w:val="24"/>
          <w:szCs w:val="24"/>
          <w:lang w:eastAsia="ar-SA"/>
        </w:rPr>
        <w:t>rozumieniu załącznika I lub załącznika II do rozporządzenia Parlamentu Europejskiego i Rady (UE) nr 1304/2013 z dnia 17 grudnia 2013 r. w sprawie Europejskiego Funduszu Społecznego i uchylając</w:t>
      </w:r>
      <w:r w:rsidR="0012492B">
        <w:rPr>
          <w:rFonts w:ascii="Times New Roman" w:eastAsia="Times New Roman" w:hAnsi="Times New Roman" w:cs="Times New Roman"/>
          <w:sz w:val="24"/>
          <w:szCs w:val="24"/>
          <w:lang w:eastAsia="ar-SA"/>
        </w:rPr>
        <w:t>ego rozporządzenie Rady (WE) nr </w:t>
      </w:r>
      <w:r w:rsidRPr="00046867">
        <w:rPr>
          <w:rFonts w:ascii="Times New Roman" w:eastAsia="Times New Roman" w:hAnsi="Times New Roman" w:cs="Times New Roman"/>
          <w:sz w:val="24"/>
          <w:szCs w:val="24"/>
          <w:lang w:eastAsia="ar-SA"/>
        </w:rPr>
        <w:t xml:space="preserve">1081/2006 </w:t>
      </w:r>
      <w:r w:rsidR="00854B43">
        <w:rPr>
          <w:rFonts w:ascii="Times New Roman" w:eastAsia="Times New Roman" w:hAnsi="Times New Roman" w:cs="Times New Roman"/>
          <w:sz w:val="24"/>
          <w:szCs w:val="24"/>
          <w:lang w:eastAsia="ar-SA"/>
        </w:rPr>
        <w:t>(Dz. Urz. UE L 347 z 20.12.2013</w:t>
      </w:r>
      <w:r w:rsidR="007D0039">
        <w:rPr>
          <w:rFonts w:ascii="Times New Roman" w:eastAsia="Times New Roman" w:hAnsi="Times New Roman" w:cs="Times New Roman"/>
          <w:sz w:val="24"/>
          <w:szCs w:val="24"/>
          <w:lang w:eastAsia="ar-SA"/>
        </w:rPr>
        <w:t>,</w:t>
      </w:r>
      <w:r w:rsidRPr="00046867">
        <w:rPr>
          <w:rFonts w:ascii="Times New Roman" w:eastAsia="Times New Roman" w:hAnsi="Times New Roman" w:cs="Times New Roman"/>
          <w:sz w:val="24"/>
          <w:szCs w:val="24"/>
          <w:lang w:eastAsia="ar-SA"/>
        </w:rPr>
        <w:t xml:space="preserve"> str. 470, z późn. zm.), każde państwo członkowskie zapewnia, aby co najmniej raz w trakcie okresu programowania została zrealizowana ewaluacja, która obejmie swoim zakresem analizę sposobu, w jaki wsparcie z funduszy unijnych przyczyniło się do osiągnięcia celów każdego priorytetu określonego w programie. Przepis ten stanowi odzwierciedlenie faktu, iż w obecnym okresie programowania Komisja Europejska kładzie znacznie większy nacisk na potrzebę realizacji badań uwzględniających efekt oddziaływania interwencji (</w:t>
      </w:r>
      <w:r w:rsidRPr="005D03B4">
        <w:rPr>
          <w:rFonts w:ascii="Times New Roman" w:eastAsia="Times New Roman" w:hAnsi="Times New Roman" w:cs="Times New Roman"/>
          <w:i/>
          <w:sz w:val="24"/>
          <w:szCs w:val="24"/>
          <w:lang w:eastAsia="ar-SA"/>
        </w:rPr>
        <w:t>impact evaluation</w:t>
      </w:r>
      <w:r w:rsidRPr="00046867">
        <w:rPr>
          <w:rFonts w:ascii="Times New Roman" w:eastAsia="Times New Roman" w:hAnsi="Times New Roman" w:cs="Times New Roman"/>
          <w:sz w:val="24"/>
          <w:szCs w:val="24"/>
          <w:lang w:eastAsia="ar-SA"/>
        </w:rPr>
        <w:t>). Podejście takie ma na celu os</w:t>
      </w:r>
      <w:r w:rsidR="0012492B">
        <w:rPr>
          <w:rFonts w:ascii="Times New Roman" w:eastAsia="Times New Roman" w:hAnsi="Times New Roman" w:cs="Times New Roman"/>
          <w:sz w:val="24"/>
          <w:szCs w:val="24"/>
          <w:lang w:eastAsia="ar-SA"/>
        </w:rPr>
        <w:t>zacowanie efektów rozumianych w </w:t>
      </w:r>
      <w:r w:rsidRPr="00046867">
        <w:rPr>
          <w:rFonts w:ascii="Times New Roman" w:eastAsia="Times New Roman" w:hAnsi="Times New Roman" w:cs="Times New Roman"/>
          <w:sz w:val="24"/>
          <w:szCs w:val="24"/>
          <w:lang w:eastAsia="ar-SA"/>
        </w:rPr>
        <w:t>kategoriach przyczynowych – tj. zmian będących bezpośrednią konsekwencją zrealizowanych programów, projektów czy interwencji, a nie wpływem innych czynników (np. makroekonomicznych). W tym celu niezbędne jest prowadzenie ewaluacji z wykorzystaniem tzw. sytuacji kontrfaktycznych, czyli oszacowaniem zmian zachodzących nie tylko w stosunku do uczestników interwencji</w:t>
      </w:r>
      <w:r w:rsidR="005D03B4">
        <w:rPr>
          <w:rFonts w:ascii="Times New Roman" w:eastAsia="Times New Roman" w:hAnsi="Times New Roman" w:cs="Times New Roman"/>
          <w:sz w:val="24"/>
          <w:szCs w:val="24"/>
          <w:lang w:eastAsia="ar-SA"/>
        </w:rPr>
        <w:t>,</w:t>
      </w:r>
      <w:r w:rsidRPr="00046867">
        <w:rPr>
          <w:rFonts w:ascii="Times New Roman" w:eastAsia="Times New Roman" w:hAnsi="Times New Roman" w:cs="Times New Roman"/>
          <w:sz w:val="24"/>
          <w:szCs w:val="24"/>
          <w:lang w:eastAsia="ar-SA"/>
        </w:rPr>
        <w:t xml:space="preserve"> ale również do analogicznych grup czy podmiotów, które nie zostały taką interwencją objęte. Aby było to możliwe, konieczne jest pozyskiwanie – wyłącznie dla celów statystycznych – informacji o osobach lub podmiotach nieobjętych interwencją funduszy unijnych. Zakład Ubezpieczeń Społecznych w ramach ustawowej działalności gromadzi dane na kontach osób ubezpieczonych, o których mowa w art. 40 ustawy z dnia 13 października 1998 r. o systemie ubezpieczeń społecznych, oraz </w:t>
      </w:r>
      <w:r w:rsidR="0012492B">
        <w:rPr>
          <w:rFonts w:ascii="Times New Roman" w:eastAsia="Times New Roman" w:hAnsi="Times New Roman" w:cs="Times New Roman"/>
          <w:sz w:val="24"/>
          <w:szCs w:val="24"/>
          <w:lang w:eastAsia="ar-SA"/>
        </w:rPr>
        <w:t>na kontach płatników składek, o </w:t>
      </w:r>
      <w:r w:rsidRPr="00046867">
        <w:rPr>
          <w:rFonts w:ascii="Times New Roman" w:eastAsia="Times New Roman" w:hAnsi="Times New Roman" w:cs="Times New Roman"/>
          <w:sz w:val="24"/>
          <w:szCs w:val="24"/>
          <w:lang w:eastAsia="ar-SA"/>
        </w:rPr>
        <w:t>których mowa w art. 45 ustawy z dnia 13 października 1998 r. o systemie ubezpieczeń społecznych, które mogą być wykorzystywane dla celu wypełnienia zobowiązań nałożonych na państwa członkowskie na podstawie art. 56 ust. 3 rozporządzenia ogólnego. Jednakże dane te nie mogą być przekazywane innym podmiotom bez podstawy prawnej zawartej w ustawie. Powyższe uzasadnia konieczność wprowadzenia przepisu umożliwiającego pozyskiwanie tego typu danych wyłącznie dla celów ewaluacji, poprzez dodanie w art. 50 ust. 3b oraz uzupełnienie o dodanie tego przepisu w ust. 9.</w:t>
      </w:r>
    </w:p>
    <w:p w:rsidR="00046867" w:rsidRPr="00046867" w:rsidRDefault="00046867" w:rsidP="00046867">
      <w:pPr>
        <w:suppressAutoHyphens/>
        <w:spacing w:before="120" w:after="0" w:line="360" w:lineRule="auto"/>
        <w:jc w:val="both"/>
        <w:rPr>
          <w:rFonts w:ascii="Times New Roman" w:eastAsia="Times New Roman" w:hAnsi="Times New Roman" w:cs="Times New Roman"/>
          <w:color w:val="000000"/>
          <w:sz w:val="24"/>
          <w:szCs w:val="24"/>
          <w:lang w:eastAsia="ar-SA"/>
        </w:rPr>
      </w:pPr>
      <w:r w:rsidRPr="00046867">
        <w:rPr>
          <w:rFonts w:ascii="Times New Roman" w:eastAsia="Times New Roman" w:hAnsi="Times New Roman" w:cs="Times New Roman"/>
          <w:sz w:val="24"/>
          <w:szCs w:val="24"/>
          <w:lang w:eastAsia="ar-SA"/>
        </w:rPr>
        <w:t xml:space="preserve">Ponadto w art. 50 ust. 3a zostało wskazane, że </w:t>
      </w:r>
      <w:r w:rsidRPr="00046867">
        <w:rPr>
          <w:rFonts w:ascii="Times New Roman" w:eastAsia="Times New Roman" w:hAnsi="Times New Roman" w:cs="Times New Roman"/>
          <w:color w:val="000000"/>
          <w:sz w:val="24"/>
          <w:szCs w:val="24"/>
          <w:lang w:eastAsia="ar-SA"/>
        </w:rPr>
        <w:t>możliw</w:t>
      </w:r>
      <w:r w:rsidR="0012492B">
        <w:rPr>
          <w:rFonts w:ascii="Times New Roman" w:eastAsia="Times New Roman" w:hAnsi="Times New Roman" w:cs="Times New Roman"/>
          <w:color w:val="000000"/>
          <w:sz w:val="24"/>
          <w:szCs w:val="24"/>
          <w:lang w:eastAsia="ar-SA"/>
        </w:rPr>
        <w:t>e będzie udostępnianie danych z </w:t>
      </w:r>
      <w:r w:rsidRPr="00046867">
        <w:rPr>
          <w:rFonts w:ascii="Times New Roman" w:eastAsia="Times New Roman" w:hAnsi="Times New Roman" w:cs="Times New Roman"/>
          <w:color w:val="000000"/>
          <w:sz w:val="24"/>
          <w:szCs w:val="24"/>
          <w:lang w:eastAsia="ar-SA"/>
        </w:rPr>
        <w:t xml:space="preserve">ZUS ministrowi właściwemu ds. pracy oraz ministrowi </w:t>
      </w:r>
      <w:r w:rsidR="0012492B">
        <w:rPr>
          <w:rFonts w:ascii="Times New Roman" w:eastAsia="Times New Roman" w:hAnsi="Times New Roman" w:cs="Times New Roman"/>
          <w:color w:val="000000"/>
          <w:sz w:val="24"/>
          <w:szCs w:val="24"/>
          <w:lang w:eastAsia="ar-SA"/>
        </w:rPr>
        <w:t>właściwemu ds. </w:t>
      </w:r>
      <w:r w:rsidRPr="00046867">
        <w:rPr>
          <w:rFonts w:ascii="Times New Roman" w:eastAsia="Times New Roman" w:hAnsi="Times New Roman" w:cs="Times New Roman"/>
          <w:color w:val="000000"/>
          <w:sz w:val="24"/>
          <w:szCs w:val="24"/>
          <w:lang w:eastAsia="ar-SA"/>
        </w:rPr>
        <w:t>zabezpieczenia społecznego.</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b/>
          <w:sz w:val="24"/>
          <w:szCs w:val="24"/>
          <w:lang w:eastAsia="ar-SA"/>
        </w:rPr>
        <w:t>W art. 6 wprowadza się zmianę do ustawy z dnia 24 maja 2000 r. o Krajowym Rejestrze Karnym</w:t>
      </w:r>
    </w:p>
    <w:p w:rsidR="00046867" w:rsidRPr="00046867" w:rsidRDefault="00046867" w:rsidP="005D1102">
      <w:pPr>
        <w:suppressAutoHyphens/>
        <w:spacing w:after="0" w:line="360" w:lineRule="auto"/>
        <w:jc w:val="both"/>
        <w:rPr>
          <w:rFonts w:ascii="Times New Roman" w:eastAsia="Times New Roman" w:hAnsi="Times New Roman" w:cs="Times New Roman"/>
          <w:b/>
          <w:sz w:val="24"/>
          <w:szCs w:val="24"/>
          <w:lang w:eastAsia="ar-SA"/>
        </w:rPr>
      </w:pPr>
      <w:r w:rsidRPr="00046867">
        <w:rPr>
          <w:rFonts w:ascii="Times New Roman" w:eastAsia="Times New Roman" w:hAnsi="Times New Roman" w:cs="Times New Roman"/>
          <w:sz w:val="24"/>
          <w:szCs w:val="24"/>
          <w:lang w:eastAsia="ar-SA"/>
        </w:rPr>
        <w:t>Zmiana</w:t>
      </w:r>
      <w:r w:rsidRPr="00046867">
        <w:rPr>
          <w:rFonts w:ascii="Times New Roman" w:eastAsia="Times New Roman" w:hAnsi="Times New Roman" w:cs="Times New Roman"/>
          <w:b/>
          <w:sz w:val="24"/>
          <w:szCs w:val="24"/>
          <w:lang w:eastAsia="ar-SA"/>
        </w:rPr>
        <w:t xml:space="preserve"> </w:t>
      </w:r>
      <w:r w:rsidRPr="00046867">
        <w:rPr>
          <w:rFonts w:ascii="Times New Roman" w:eastAsia="Times New Roman" w:hAnsi="Times New Roman" w:cs="Times New Roman"/>
          <w:sz w:val="24"/>
          <w:szCs w:val="24"/>
          <w:lang w:eastAsia="ar-SA"/>
        </w:rPr>
        <w:t>wprowadzona w art. 4 w ust. 1 w pkt 6 ustawy o Krajowym Rejestrze Karnym polega na wykreśleniu z przedmiotowego przepisu ministra właściwego do spraw finansów publicznych, ministra właściwego do spraw rolnictwa oraz ministra właściwego do spraw rozwoju wsi ze względu na fakt, że niecelowe pozostaje przekazywanie informacji na temat wyroków skazujących, zapadłych wobec osób wymienionych w tym przepisie temu organowi. Wyroki będą przekazywane natomiast ministrowi właściwemu do spraw rybołówstwa oraz Prezesowi Agencji Restrukturyzacji i Modernizacji Rolnictwa, który będzie je mógł udostępniać kierownikom powiatowych biur tej Agencji.</w:t>
      </w:r>
    </w:p>
    <w:p w:rsidR="00046867" w:rsidRPr="00046867" w:rsidRDefault="00046867" w:rsidP="005D1102">
      <w:pPr>
        <w:keepNext/>
        <w:suppressAutoHyphens/>
        <w:spacing w:before="24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b/>
          <w:sz w:val="24"/>
          <w:szCs w:val="24"/>
          <w:lang w:eastAsia="ar-SA"/>
        </w:rPr>
        <w:t xml:space="preserve">W art. 7 </w:t>
      </w:r>
      <w:r w:rsidRPr="00046867">
        <w:rPr>
          <w:rFonts w:ascii="Times New Roman" w:eastAsia="Calibri" w:hAnsi="Times New Roman" w:cs="Times New Roman"/>
          <w:b/>
          <w:sz w:val="24"/>
          <w:szCs w:val="24"/>
          <w:lang w:eastAsia="ar-SA"/>
        </w:rPr>
        <w:t>wprowadza się zmiany do ustawy</w:t>
      </w:r>
      <w:r w:rsidRPr="00046867">
        <w:rPr>
          <w:rFonts w:ascii="Times New Roman" w:eastAsia="Times New Roman" w:hAnsi="Times New Roman" w:cs="Times New Roman"/>
          <w:b/>
          <w:sz w:val="24"/>
          <w:szCs w:val="24"/>
          <w:lang w:eastAsia="ar-SA"/>
        </w:rPr>
        <w:t xml:space="preserve"> z dnia 9 listopada 2000 r. o utworzeniu Polskiej Agencji Rozwoju Przedsiębiorczości </w:t>
      </w:r>
    </w:p>
    <w:p w:rsidR="00046867" w:rsidRPr="00046867" w:rsidRDefault="00046867" w:rsidP="005D1102">
      <w:pPr>
        <w:keepNext/>
        <w:suppressAutoHyphens/>
        <w:spacing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przepisach ustawy o utworzeniu Polskiej Agencji Rozwoju Przedsiębiorczości proponuje się dodanie w art. 4 ust. 5, który wskazuje, że Agencja może prowadzić działania maj</w:t>
      </w:r>
      <w:r w:rsidR="005D03B4">
        <w:rPr>
          <w:rFonts w:ascii="Times New Roman" w:eastAsia="Times New Roman" w:hAnsi="Times New Roman" w:cs="Times New Roman"/>
          <w:sz w:val="24"/>
          <w:szCs w:val="24"/>
          <w:lang w:eastAsia="ar-SA"/>
        </w:rPr>
        <w:t>ą</w:t>
      </w:r>
      <w:r w:rsidRPr="00046867">
        <w:rPr>
          <w:rFonts w:ascii="Times New Roman" w:eastAsia="Times New Roman" w:hAnsi="Times New Roman" w:cs="Times New Roman"/>
          <w:sz w:val="24"/>
          <w:szCs w:val="24"/>
          <w:lang w:eastAsia="ar-SA"/>
        </w:rPr>
        <w:t>ce na celu dostosowanie kształcenia d</w:t>
      </w:r>
      <w:r w:rsidR="0012492B">
        <w:rPr>
          <w:rFonts w:ascii="Times New Roman" w:eastAsia="Times New Roman" w:hAnsi="Times New Roman" w:cs="Times New Roman"/>
          <w:sz w:val="24"/>
          <w:szCs w:val="24"/>
          <w:lang w:eastAsia="ar-SA"/>
        </w:rPr>
        <w:t>o zapotrzebowania gospodarki, w </w:t>
      </w:r>
      <w:r w:rsidRPr="00046867">
        <w:rPr>
          <w:rFonts w:ascii="Times New Roman" w:eastAsia="Times New Roman" w:hAnsi="Times New Roman" w:cs="Times New Roman"/>
          <w:sz w:val="24"/>
          <w:szCs w:val="24"/>
          <w:lang w:eastAsia="ar-SA"/>
        </w:rPr>
        <w:t>szczególności przez włączanie przedsiębiorców będących pracodawcami w system identyfikacji i prognozowania potrzeb kwalifikacyjno-zawodowych na rynku pracy, oraz stwarzanie warunków do aktywnej współpracy przedsiębiorców z poszczególnych sektorów gospodarki z uczelniami oraz podmiotami</w:t>
      </w:r>
      <w:r w:rsidR="0012492B">
        <w:rPr>
          <w:rFonts w:ascii="Times New Roman" w:eastAsia="Times New Roman" w:hAnsi="Times New Roman" w:cs="Times New Roman"/>
          <w:sz w:val="24"/>
          <w:szCs w:val="24"/>
          <w:lang w:eastAsia="ar-SA"/>
        </w:rPr>
        <w:t>, o których mowa w przepisach o </w:t>
      </w:r>
      <w:r w:rsidRPr="00046867">
        <w:rPr>
          <w:rFonts w:ascii="Times New Roman" w:eastAsia="Times New Roman" w:hAnsi="Times New Roman" w:cs="Times New Roman"/>
          <w:sz w:val="24"/>
          <w:szCs w:val="24"/>
          <w:lang w:eastAsia="ar-SA"/>
        </w:rPr>
        <w:t xml:space="preserve">systemie oświaty. Zadanie, zgodnie z dodawanym art. 4c, Agencja będzie mogła realizować przy pomocy Rady Programowej do spraw Kompetencji oraz </w:t>
      </w:r>
      <w:r w:rsidR="007D0039">
        <w:rPr>
          <w:rFonts w:ascii="Times New Roman" w:eastAsia="Times New Roman" w:hAnsi="Times New Roman" w:cs="Times New Roman"/>
          <w:sz w:val="24"/>
          <w:szCs w:val="24"/>
          <w:lang w:eastAsia="ar-SA"/>
        </w:rPr>
        <w:t>r</w:t>
      </w:r>
      <w:r w:rsidRPr="00046867">
        <w:rPr>
          <w:rFonts w:ascii="Times New Roman" w:eastAsia="Times New Roman" w:hAnsi="Times New Roman" w:cs="Times New Roman"/>
          <w:sz w:val="24"/>
          <w:szCs w:val="24"/>
          <w:lang w:eastAsia="ar-SA"/>
        </w:rPr>
        <w:t xml:space="preserve">ad </w:t>
      </w:r>
      <w:r w:rsidR="007D0039">
        <w:rPr>
          <w:rFonts w:ascii="Times New Roman" w:eastAsia="Times New Roman" w:hAnsi="Times New Roman" w:cs="Times New Roman"/>
          <w:sz w:val="24"/>
          <w:szCs w:val="24"/>
          <w:lang w:eastAsia="ar-SA"/>
        </w:rPr>
        <w:t>s</w:t>
      </w:r>
      <w:r w:rsidRPr="00046867">
        <w:rPr>
          <w:rFonts w:ascii="Times New Roman" w:eastAsia="Times New Roman" w:hAnsi="Times New Roman" w:cs="Times New Roman"/>
          <w:sz w:val="24"/>
          <w:szCs w:val="24"/>
          <w:lang w:eastAsia="ar-SA"/>
        </w:rPr>
        <w:t>ektorowych</w:t>
      </w:r>
      <w:r w:rsidR="00FA0A58">
        <w:rPr>
          <w:rFonts w:ascii="Times New Roman" w:eastAsia="Times New Roman" w:hAnsi="Times New Roman" w:cs="Times New Roman"/>
          <w:sz w:val="24"/>
          <w:szCs w:val="24"/>
          <w:lang w:eastAsia="ar-SA"/>
        </w:rPr>
        <w:t xml:space="preserve"> do spraw k</w:t>
      </w:r>
      <w:r w:rsidR="007D0039">
        <w:rPr>
          <w:rFonts w:ascii="Times New Roman" w:eastAsia="Times New Roman" w:hAnsi="Times New Roman" w:cs="Times New Roman"/>
          <w:sz w:val="24"/>
          <w:szCs w:val="24"/>
          <w:lang w:eastAsia="ar-SA"/>
        </w:rPr>
        <w:t>ompetencji</w:t>
      </w:r>
      <w:r w:rsidRPr="00046867">
        <w:rPr>
          <w:rFonts w:ascii="Times New Roman" w:eastAsia="Times New Roman" w:hAnsi="Times New Roman" w:cs="Times New Roman"/>
          <w:sz w:val="24"/>
          <w:szCs w:val="24"/>
          <w:lang w:eastAsia="ar-SA"/>
        </w:rPr>
        <w:t>.</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 xml:space="preserve">W art. 4c przedstawiono sposób współpracy w trybie organizowania prac </w:t>
      </w:r>
      <w:r w:rsidR="007D0039">
        <w:rPr>
          <w:rFonts w:ascii="Times New Roman" w:eastAsia="Times New Roman" w:hAnsi="Times New Roman" w:cs="Times New Roman"/>
          <w:sz w:val="24"/>
          <w:szCs w:val="24"/>
          <w:lang w:eastAsia="ar-SA"/>
        </w:rPr>
        <w:t xml:space="preserve">rad </w:t>
      </w:r>
      <w:r w:rsidRPr="00046867">
        <w:rPr>
          <w:rFonts w:ascii="Times New Roman" w:eastAsia="Times New Roman" w:hAnsi="Times New Roman" w:cs="Times New Roman"/>
          <w:sz w:val="24"/>
          <w:szCs w:val="24"/>
          <w:lang w:eastAsia="ar-SA"/>
        </w:rPr>
        <w:t>sektorowych do spraw kompetencji oraz Rady Programowej d</w:t>
      </w:r>
      <w:r w:rsidR="007D0039">
        <w:rPr>
          <w:rFonts w:ascii="Times New Roman" w:eastAsia="Times New Roman" w:hAnsi="Times New Roman" w:cs="Times New Roman"/>
          <w:sz w:val="24"/>
          <w:szCs w:val="24"/>
          <w:lang w:eastAsia="ar-SA"/>
        </w:rPr>
        <w:t>o spraw</w:t>
      </w:r>
      <w:r w:rsidRPr="00046867">
        <w:rPr>
          <w:rFonts w:ascii="Times New Roman" w:eastAsia="Times New Roman" w:hAnsi="Times New Roman" w:cs="Times New Roman"/>
          <w:sz w:val="24"/>
          <w:szCs w:val="24"/>
          <w:lang w:eastAsia="ar-SA"/>
        </w:rPr>
        <w:t xml:space="preserve"> </w:t>
      </w:r>
      <w:r w:rsidR="007D0039">
        <w:rPr>
          <w:rFonts w:ascii="Times New Roman" w:eastAsia="Times New Roman" w:hAnsi="Times New Roman" w:cs="Times New Roman"/>
          <w:sz w:val="24"/>
          <w:szCs w:val="24"/>
          <w:lang w:eastAsia="ar-SA"/>
        </w:rPr>
        <w:t>K</w:t>
      </w:r>
      <w:r w:rsidRPr="00046867">
        <w:rPr>
          <w:rFonts w:ascii="Times New Roman" w:eastAsia="Times New Roman" w:hAnsi="Times New Roman" w:cs="Times New Roman"/>
          <w:sz w:val="24"/>
          <w:szCs w:val="24"/>
          <w:lang w:eastAsia="ar-SA"/>
        </w:rPr>
        <w:t>ompetencji powoływanej na wniosek Prezesa Agencji przez ministra właści</w:t>
      </w:r>
      <w:r w:rsidR="007D0039">
        <w:rPr>
          <w:rFonts w:ascii="Times New Roman" w:eastAsia="Times New Roman" w:hAnsi="Times New Roman" w:cs="Times New Roman"/>
          <w:sz w:val="24"/>
          <w:szCs w:val="24"/>
          <w:lang w:eastAsia="ar-SA"/>
        </w:rPr>
        <w:t>wego do spraw gospodarki. Rada P</w:t>
      </w:r>
      <w:r w:rsidRPr="00046867">
        <w:rPr>
          <w:rFonts w:ascii="Times New Roman" w:eastAsia="Times New Roman" w:hAnsi="Times New Roman" w:cs="Times New Roman"/>
          <w:sz w:val="24"/>
          <w:szCs w:val="24"/>
          <w:lang w:eastAsia="ar-SA"/>
        </w:rPr>
        <w:t>rogramowa działa na podstawie uchwalonego przez siebie regulaminu, który zatwierdza Prezes Agencji. System rad ds. kompetencji stanowi realizację programów rządowych, strategii i umowy międzynarodowej. Zadania</w:t>
      </w:r>
      <w:r w:rsidR="005D1102">
        <w:rPr>
          <w:rFonts w:ascii="Times New Roman" w:eastAsia="Times New Roman" w:hAnsi="Times New Roman" w:cs="Times New Roman"/>
          <w:sz w:val="24"/>
          <w:szCs w:val="24"/>
          <w:lang w:eastAsia="ar-SA"/>
        </w:rPr>
        <w:t xml:space="preserve"> z tego zakresu zostały ujęte w </w:t>
      </w:r>
      <w:r w:rsidRPr="00046867">
        <w:rPr>
          <w:rFonts w:ascii="Times New Roman" w:eastAsia="Times New Roman" w:hAnsi="Times New Roman" w:cs="Times New Roman"/>
          <w:sz w:val="24"/>
          <w:szCs w:val="24"/>
          <w:lang w:eastAsia="ar-SA"/>
        </w:rPr>
        <w:t>Umowie Partnerstwa zawartej pomiędzy Komisją Europejską a Polską z dnia 21 maja 2014 r.</w:t>
      </w:r>
      <w:r w:rsidR="005D03B4">
        <w:rPr>
          <w:rFonts w:ascii="Times New Roman" w:eastAsia="Times New Roman" w:hAnsi="Times New Roman" w:cs="Times New Roman"/>
          <w:sz w:val="24"/>
          <w:szCs w:val="24"/>
          <w:lang w:eastAsia="ar-SA"/>
        </w:rPr>
        <w:t xml:space="preserve"> </w:t>
      </w:r>
      <w:r w:rsidRPr="00046867">
        <w:rPr>
          <w:rFonts w:ascii="Times New Roman" w:eastAsia="Times New Roman" w:hAnsi="Times New Roman" w:cs="Times New Roman"/>
          <w:sz w:val="24"/>
          <w:szCs w:val="24"/>
          <w:lang w:eastAsia="ar-SA"/>
        </w:rPr>
        <w:t xml:space="preserve">(str. 38–39); w Programie Rozwoju Przedsiębiorstw, w działaniu 2.1.5. Aktywizacja przedsiębiorców na rzecz współpracy z systemem edukacji formalnej stanowiącym załącznik do uchwały Rady Ministrów z dnia 8 kwietnia 2014; w Strategii Rozwoju Kapitału Ludzkiego (str. 44, 52), w Strategii Innowacyjności i Efektywności Gospodarki (str. 109–110) przyjętej przez Radę Ministrów w dniu 15 stycznia 2013 r. oraz w dokumencie „Perspektywa uczenia się przez całe życie” (str. 38–39) przyjętym przez Radę Ministrów w dniu 10 września 2013 r.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Projektowane zmiany w art. 6–6aa mają na celu zapewnienie podstawy prawnej dla stworzenia i funkcjonowania bazy usług rozwojowych, m.in. na potrzeby projektów dofinansowanych ze środków funduszy unijnych. Ponadto projektowana zmiana ma na celu zapewnienie możliwości gromadzenia oraz przetwarzania danych osobowych użytkowników bazy przez Polską Agencję Rozwoju Przedsiębiorczości w ramach utworzonego systemu teleinformatycznego w celu kontroli, monitoringu, ewaluacji oraz oceny tych usług.</w:t>
      </w:r>
    </w:p>
    <w:p w:rsidR="00046867" w:rsidRPr="00046867" w:rsidRDefault="00046867" w:rsidP="00046867">
      <w:pPr>
        <w:suppressAutoHyphens/>
        <w:spacing w:before="120" w:after="0" w:line="360" w:lineRule="auto"/>
        <w:jc w:val="both"/>
        <w:rPr>
          <w:rFonts w:ascii="Times New Roman" w:eastAsia="Times New Roman" w:hAnsi="Times New Roman" w:cs="Times New Roman"/>
          <w:b/>
          <w:sz w:val="24"/>
          <w:szCs w:val="24"/>
          <w:lang w:eastAsia="ar-SA"/>
        </w:rPr>
      </w:pPr>
      <w:r w:rsidRPr="00046867">
        <w:rPr>
          <w:rFonts w:ascii="Times New Roman" w:eastAsia="Times New Roman" w:hAnsi="Times New Roman" w:cs="Times New Roman"/>
          <w:b/>
          <w:sz w:val="24"/>
          <w:szCs w:val="24"/>
          <w:lang w:eastAsia="ar-SA"/>
        </w:rPr>
        <w:t>W art. 8 wprowadza się zmiany do ustawy z dnia 12 marca 2004 r. o pomocy społecznej</w:t>
      </w:r>
    </w:p>
    <w:p w:rsidR="00046867" w:rsidRPr="00046867" w:rsidRDefault="00046867" w:rsidP="005D1102">
      <w:pPr>
        <w:suppressAutoHyphens/>
        <w:spacing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Zmiana art. 134a wynika z doświadczeń we wdrażaniu Programu Operacyjnego Pomoc Żywnościowa 2014–2020, które uwidoczniły konieczność doprecyzowania uprawnień kontrolnych instytucji zarządzającej w ramach operacji finansowanych z Europejskiego Funduszu Pomocy Najbardziej Potrzebującym, zgodnie z systemem realizacji Programu Operacyjnego. W związku z tym w art. 134a dodaje się pkt 8 dotyczący możliwości przeprowadzania kontroli systemowych i kontroli prawidłowej realizacji zadań przez beneficjentów oraz dotychczasową treść oznacza się ja</w:t>
      </w:r>
      <w:r w:rsidR="0012492B">
        <w:rPr>
          <w:rFonts w:ascii="Times New Roman" w:eastAsia="Times New Roman" w:hAnsi="Times New Roman" w:cs="Times New Roman"/>
          <w:sz w:val="24"/>
          <w:szCs w:val="24"/>
          <w:lang w:eastAsia="ar-SA"/>
        </w:rPr>
        <w:t>ko ust. 1 i dodaje się ust. 2 w </w:t>
      </w:r>
      <w:r w:rsidRPr="00046867">
        <w:rPr>
          <w:rFonts w:ascii="Times New Roman" w:eastAsia="Times New Roman" w:hAnsi="Times New Roman" w:cs="Times New Roman"/>
          <w:sz w:val="24"/>
          <w:szCs w:val="24"/>
          <w:lang w:eastAsia="ar-SA"/>
        </w:rPr>
        <w:t>celu umożliwienia odpowiedniego stosowania art. 23 ust. 1, 2 i 4–10 oraz art. 25 ustawy z dnia 11 lipca 2014 r. o zasadach realizacji programów polityki spójności finansowanych w perspektywie finansowej 2014–2020.</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Zmiany w art. 134k są konsekwencją przeniesienia części regulacji ustawy o zmianie ustawy o zasadach realizacji programów w zakresie pol</w:t>
      </w:r>
      <w:r w:rsidR="005D1102">
        <w:rPr>
          <w:rFonts w:ascii="Times New Roman" w:eastAsia="Times New Roman" w:hAnsi="Times New Roman" w:cs="Times New Roman"/>
          <w:sz w:val="24"/>
          <w:szCs w:val="24"/>
          <w:lang w:eastAsia="ar-SA"/>
        </w:rPr>
        <w:t>ityki spójności finansowanych w </w:t>
      </w:r>
      <w:r w:rsidRPr="00046867">
        <w:rPr>
          <w:rFonts w:ascii="Times New Roman" w:eastAsia="Times New Roman" w:hAnsi="Times New Roman" w:cs="Times New Roman"/>
          <w:sz w:val="24"/>
          <w:szCs w:val="24"/>
          <w:lang w:eastAsia="ar-SA"/>
        </w:rPr>
        <w:t>perspektywie finansowej 2014–2020 z art. 44 i art. 46 do art. 45 i polegają na dodaniu przywołania art. 45 ust. 4–7,</w:t>
      </w:r>
      <w:r w:rsidR="005D03B4">
        <w:rPr>
          <w:rFonts w:ascii="Times New Roman" w:eastAsia="Times New Roman" w:hAnsi="Times New Roman" w:cs="Times New Roman"/>
          <w:sz w:val="24"/>
          <w:szCs w:val="24"/>
          <w:lang w:eastAsia="ar-SA"/>
        </w:rPr>
        <w:t xml:space="preserve"> </w:t>
      </w:r>
      <w:r w:rsidRPr="00046867">
        <w:rPr>
          <w:rFonts w:ascii="Times New Roman" w:eastAsia="Times New Roman" w:hAnsi="Times New Roman" w:cs="Times New Roman"/>
          <w:sz w:val="24"/>
          <w:szCs w:val="24"/>
          <w:lang w:eastAsia="ar-SA"/>
        </w:rPr>
        <w:t>tak aby zapobiec powstaniu luki prawnej w procedurze wyboru organizacji partnerskich. Ponadto praktyka realizacji Programu Operacyjnego Pomoc Żywnościowa 2014–2020 pokazała, że zawarty w art. 40 ust. 1 30-dniowy okres poprzedzający rozpoczęcie naboru wniosków okazał się zbyt długi. Biorąc pod uwagę małą liczbę organizacji składających wnioski w konkursie na wybór organizacji partnerskich oraz powtarzalność kolejnych podprogra</w:t>
      </w:r>
      <w:r w:rsidR="0012492B">
        <w:rPr>
          <w:rFonts w:ascii="Times New Roman" w:eastAsia="Times New Roman" w:hAnsi="Times New Roman" w:cs="Times New Roman"/>
          <w:sz w:val="24"/>
          <w:szCs w:val="24"/>
          <w:lang w:eastAsia="ar-SA"/>
        </w:rPr>
        <w:t>mów, usuwa się przywołanie art. </w:t>
      </w:r>
      <w:r w:rsidRPr="00046867">
        <w:rPr>
          <w:rFonts w:ascii="Times New Roman" w:eastAsia="Times New Roman" w:hAnsi="Times New Roman" w:cs="Times New Roman"/>
          <w:sz w:val="24"/>
          <w:szCs w:val="24"/>
          <w:lang w:eastAsia="ar-SA"/>
        </w:rPr>
        <w:t>40 ust. 1 w ustawie o pomocy społecznej.</w:t>
      </w:r>
    </w:p>
    <w:p w:rsidR="00046867" w:rsidRPr="00046867" w:rsidRDefault="00046867" w:rsidP="00046867">
      <w:pPr>
        <w:suppressAutoHyphens/>
        <w:autoSpaceDE w:val="0"/>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b/>
          <w:sz w:val="24"/>
          <w:szCs w:val="24"/>
          <w:lang w:eastAsia="ar-SA"/>
        </w:rPr>
        <w:t>W art. 9 wprowadza się zmiany do ustawy z dnia 6 grudnia 2006 r. o zasadach prowadzenia polityki rozwoju</w:t>
      </w:r>
    </w:p>
    <w:p w:rsidR="00046867" w:rsidRPr="00046867" w:rsidRDefault="00046867" w:rsidP="005D1102">
      <w:pPr>
        <w:suppressAutoHyphens/>
        <w:spacing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art. 3a ust. 2 projektowana zmiana ma na celu doprecyzowanie, iż minister właściwy do spraw rozwoju regionalnego koordynuje wykorzystanie podlegających ponownemu wykorzystaniu środków z instrumentów inżynier</w:t>
      </w:r>
      <w:r w:rsidR="0012492B">
        <w:rPr>
          <w:rFonts w:ascii="Times New Roman" w:eastAsia="Times New Roman" w:hAnsi="Times New Roman" w:cs="Times New Roman"/>
          <w:sz w:val="24"/>
          <w:szCs w:val="24"/>
          <w:lang w:eastAsia="ar-SA"/>
        </w:rPr>
        <w:t>ii finansowej, o których mowa w </w:t>
      </w:r>
      <w:r w:rsidRPr="00046867">
        <w:rPr>
          <w:rFonts w:ascii="Times New Roman" w:eastAsia="Times New Roman" w:hAnsi="Times New Roman" w:cs="Times New Roman"/>
          <w:sz w:val="24"/>
          <w:szCs w:val="24"/>
          <w:lang w:eastAsia="ar-SA"/>
        </w:rPr>
        <w:t>rozporządzeniu Rady (WE) nr 1083/2006 z dnia 11 lipca 2006 r. ustanawiającym przepisy ogólne dotyczące Europejskiego Funduszu Rozwoju Regionalnego, Europejskiego Funduszu Społecznego oraz Funduszu Spójności i uchylającego rozporządzenie (WE) nr 1260/1999, środków z instrumentów finansowych oraz środków pomocy zwrotnej, o których mowa w rozporządzeniu Parlamentu Europejskiego i Rady (UE) nr 1303/2013 z dnia 17 grudnia 2013 r. ustanawiającym wspólne przepisy dotyczące Europejskiego Funduszu Rozwoju Regionalnego, Europejskiego Funduszu Społecznego, Funduszu Spójności, Europejskiego Funduszu Rolnego na rzecz Rozwoju Obszarów Wiejskich oraz Europejskiego Funduszu Morskiego i Rybackiego oraz ustanawiającym przepisy ogólne dotyczące Europejskiego Funduszu Rozwoju Regionalnego, Europejskiego Funduszu Społecznego, Funduszu Spójności i Europejskiego Funduszu Morskiego i Rybackiego oraz uchylającym rozporządzenie Rady (WE) nr 1083/2006.</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Koordynacja będzie polegała w szczególności na podejmowaniu inicjatyw w zakresie efektywnego gospodarowania tymi środkami, monitorowaniu ich wykorzystania oraz ocenie stopnia ich wykorzystania w skali kraju.</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Projektowany przepis przyznaje ministrowi właściwemu do spraw rozwoju regionalnego zadania z zakresu koordynac</w:t>
      </w:r>
      <w:r w:rsidR="0012492B">
        <w:rPr>
          <w:rFonts w:ascii="Times New Roman" w:eastAsia="Times New Roman" w:hAnsi="Times New Roman" w:cs="Times New Roman"/>
          <w:sz w:val="24"/>
          <w:szCs w:val="24"/>
          <w:lang w:eastAsia="ar-SA"/>
        </w:rPr>
        <w:t>ji wykorzystania, rozliczania i </w:t>
      </w:r>
      <w:r w:rsidRPr="00046867">
        <w:rPr>
          <w:rFonts w:ascii="Times New Roman" w:eastAsia="Times New Roman" w:hAnsi="Times New Roman" w:cs="Times New Roman"/>
          <w:sz w:val="24"/>
          <w:szCs w:val="24"/>
          <w:lang w:eastAsia="ar-SA"/>
        </w:rPr>
        <w:t>sprawozdawczości tych środków.</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art. 5 pkt 4c zmieniono definicję kontraktu terytorialnego przez wskazanie, że jest to umowa określająca cele i przedsięwzięcia priorytetowe, które mają istotne znaczenie dla rozwoju kraju oraz wskazanego w niej województwa, oraz sposób ich koordynacji i</w:t>
      </w:r>
      <w:r w:rsidR="0012492B">
        <w:rPr>
          <w:rFonts w:ascii="Times New Roman" w:eastAsia="Times New Roman" w:hAnsi="Times New Roman" w:cs="Times New Roman"/>
          <w:sz w:val="24"/>
          <w:szCs w:val="24"/>
          <w:lang w:eastAsia="ar-SA"/>
        </w:rPr>
        <w:t> </w:t>
      </w:r>
      <w:r w:rsidRPr="00046867">
        <w:rPr>
          <w:rFonts w:ascii="Times New Roman" w:eastAsia="Times New Roman" w:hAnsi="Times New Roman" w:cs="Times New Roman"/>
          <w:sz w:val="24"/>
          <w:szCs w:val="24"/>
          <w:lang w:eastAsia="ar-SA"/>
        </w:rPr>
        <w:t xml:space="preserve">warunki realizacji, a także dofinansowanie opracowywanych przez zarząd województwa programów służących realizacji umowy partnerstwa w zakresie polityki spójności. Tym samym zrezygnowano ze wskazywania w kontrakcie terytorialnym sposobu finansowania i realizacji przedsięwzięć priorytetowych, ponieważ są to kwestie, które powinny zostać uregulowane w poszczególnych umowach/porozumieniach dotyczących realizacji każdego z tych przedsięwzięć.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 xml:space="preserve">W art. 5 dodano także pkt 12 definiujący wsparcie zwrotne, przez które należy </w:t>
      </w:r>
      <w:r w:rsidR="00CA2D01">
        <w:rPr>
          <w:rFonts w:ascii="Times New Roman" w:eastAsia="Times New Roman" w:hAnsi="Times New Roman" w:cs="Times New Roman"/>
          <w:sz w:val="24"/>
          <w:szCs w:val="24"/>
          <w:lang w:eastAsia="ar-SA"/>
        </w:rPr>
        <w:t xml:space="preserve">rozumieć </w:t>
      </w:r>
      <w:r w:rsidRPr="00046867">
        <w:rPr>
          <w:rFonts w:ascii="Times New Roman" w:eastAsia="Times New Roman" w:hAnsi="Times New Roman" w:cs="Times New Roman"/>
          <w:sz w:val="24"/>
          <w:szCs w:val="24"/>
          <w:lang w:eastAsia="ar-SA"/>
        </w:rPr>
        <w:t>wsparcie finansowe niestanowiące dotacji, podlegające całkowitemu albo częściowemu zwrotowi, przyznawane w szczególności w formie pożyczek, poręczeń lub gwarancji. Definicja została wprowadzon</w:t>
      </w:r>
      <w:r w:rsidR="004B2685">
        <w:rPr>
          <w:rFonts w:ascii="Times New Roman" w:eastAsia="Times New Roman" w:hAnsi="Times New Roman" w:cs="Times New Roman"/>
          <w:sz w:val="24"/>
          <w:szCs w:val="24"/>
          <w:lang w:eastAsia="ar-SA"/>
        </w:rPr>
        <w:t>a</w:t>
      </w:r>
      <w:r w:rsidRPr="00046867">
        <w:rPr>
          <w:rFonts w:ascii="Times New Roman" w:eastAsia="Times New Roman" w:hAnsi="Times New Roman" w:cs="Times New Roman"/>
          <w:sz w:val="24"/>
          <w:szCs w:val="24"/>
          <w:lang w:eastAsia="ar-SA"/>
        </w:rPr>
        <w:t xml:space="preserve"> ze względu na dodany rozdział 5a.</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 xml:space="preserve">W art. 14p w ust. 1 pkt 3, 4 i 6 oraz w ust. 4 dostosowano zmiany zakresu kontraktu terytorialnego do zmienianej definicji. </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W art. 14q w ust. 2 wprowadzono możliwość (w miejsce obowiązku) w zakresie zawierania porozumień z jednostkami samorządu terytorialnego, które są zaangażowane w realizację kontraktu.</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Zmiana w projektowanym zakresie wynika z faktu, iż za realizację kontraktów po stronie samorządowej odpowiadają zarządy województw, do których wyłącznej kompetencji należy decyzja, czy do realizacji nałożonych kontraktem zobowiązań konieczne jest zawieranie porozumień z jednostkami samorządów terytorialnych (JST) zaangażowanymi w realizację kontraktów. Ogólny ch</w:t>
      </w:r>
      <w:r w:rsidR="0012492B">
        <w:rPr>
          <w:rFonts w:ascii="Times New Roman" w:eastAsia="Times New Roman" w:hAnsi="Times New Roman" w:cs="Times New Roman"/>
          <w:bCs/>
          <w:sz w:val="24"/>
          <w:szCs w:val="24"/>
          <w:lang w:eastAsia="ar-SA"/>
        </w:rPr>
        <w:t>arakter przedsięwzięć ujętych w </w:t>
      </w:r>
      <w:r w:rsidRPr="00046867">
        <w:rPr>
          <w:rFonts w:ascii="Times New Roman" w:eastAsia="Times New Roman" w:hAnsi="Times New Roman" w:cs="Times New Roman"/>
          <w:bCs/>
          <w:sz w:val="24"/>
          <w:szCs w:val="24"/>
          <w:lang w:eastAsia="ar-SA"/>
        </w:rPr>
        <w:t xml:space="preserve">kontrakcie nie pozwala jednoznacznie określić, z którymi JST takie porozumienie powinno zostać podpisane. Z uwagi na powyższe przepis zobowiązujący do zawierania porozumień ze wszystkimi JST z terenu danego województwa pozostaje niemożliwy do realizacji. </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 xml:space="preserve">W art. 14r w ust. 1 i 3 wprowadzono zmiany wynikające ze zmian wprowadzonych do art. 14p. </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W art. 14r w ust. 5 dokonano zmiany polegającej na wskazaniu, że minister właściwy do spraw rozwoju regionalnego przekazuje zar</w:t>
      </w:r>
      <w:r w:rsidR="0012492B">
        <w:rPr>
          <w:rFonts w:ascii="Times New Roman" w:eastAsia="Times New Roman" w:hAnsi="Times New Roman" w:cs="Times New Roman"/>
          <w:bCs/>
          <w:sz w:val="24"/>
          <w:szCs w:val="24"/>
          <w:lang w:eastAsia="ar-SA"/>
        </w:rPr>
        <w:t>ządowi województwa informację o </w:t>
      </w:r>
      <w:r w:rsidRPr="00046867">
        <w:rPr>
          <w:rFonts w:ascii="Times New Roman" w:eastAsia="Times New Roman" w:hAnsi="Times New Roman" w:cs="Times New Roman"/>
          <w:bCs/>
          <w:sz w:val="24"/>
          <w:szCs w:val="24"/>
          <w:lang w:eastAsia="ar-SA"/>
        </w:rPr>
        <w:t>realizacji kontraktu w roku poprzednim. Zmiana ma charakter doprecyzowujący.</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Po rozdziale 5 dodano rozdział 5a „Wsparcie zwrotne” (art. 37a) regulujący kwestię monitorowania i sprawozdawczości z wykorzystywani</w:t>
      </w:r>
      <w:r w:rsidR="0012492B">
        <w:rPr>
          <w:rFonts w:ascii="Times New Roman" w:eastAsia="Times New Roman" w:hAnsi="Times New Roman" w:cs="Times New Roman"/>
          <w:bCs/>
          <w:sz w:val="24"/>
          <w:szCs w:val="24"/>
          <w:lang w:eastAsia="ar-SA"/>
        </w:rPr>
        <w:t>a środków wsparcia zwrotnego, o </w:t>
      </w:r>
      <w:r w:rsidRPr="00046867">
        <w:rPr>
          <w:rFonts w:ascii="Times New Roman" w:eastAsia="Times New Roman" w:hAnsi="Times New Roman" w:cs="Times New Roman"/>
          <w:bCs/>
          <w:sz w:val="24"/>
          <w:szCs w:val="24"/>
          <w:lang w:eastAsia="ar-SA"/>
        </w:rPr>
        <w:t xml:space="preserve">którym mowa w art. 3a ust. 2 ustawy. Uzasadnieniem dla wprowadzenia przedmiotowych przepisów pozostaje konieczność stworzenia podstawy prawnej na gruncie prawa polskiego do wydatkowania środków finansowych w formie wsparcia zwrotnego, co przyczyni się do efektywnego ich wykorzystania. </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 xml:space="preserve">Przepis art. 37a reguluje obowiązki monitoringowe i sprawozdawcze w odniesieniu do wszystkich środków przypisanych do wkładów z PO 2007–2013 i PO 2014–2020, po ich pierwszym obrocie (po „odunijnieniu”). </w:t>
      </w:r>
    </w:p>
    <w:p w:rsidR="00046867" w:rsidRPr="00046867" w:rsidRDefault="00046867" w:rsidP="00046867">
      <w:pPr>
        <w:suppressAutoHyphens/>
        <w:spacing w:before="120"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Zgodnie z treścią art. 37a ust. 1 dysponent środków, o których mowa w art. 3a ust. 2, monitoruje ich wykorzystanie w odniesieniu do elementów wskazanych w pkt 1–4. Zgodnie z treścią ust. 2 dysponent środków zobowiązany będzie do corocznego przedstawiania ministrowi właściwemu do spraw rozw</w:t>
      </w:r>
      <w:r w:rsidR="0012492B">
        <w:rPr>
          <w:rFonts w:ascii="Times New Roman" w:eastAsia="Times New Roman" w:hAnsi="Times New Roman" w:cs="Times New Roman"/>
          <w:bCs/>
          <w:sz w:val="24"/>
          <w:szCs w:val="24"/>
          <w:lang w:eastAsia="ar-SA"/>
        </w:rPr>
        <w:t>oju regionalnego sprawozdania z </w:t>
      </w:r>
      <w:r w:rsidRPr="00046867">
        <w:rPr>
          <w:rFonts w:ascii="Times New Roman" w:eastAsia="Times New Roman" w:hAnsi="Times New Roman" w:cs="Times New Roman"/>
          <w:bCs/>
          <w:sz w:val="24"/>
          <w:szCs w:val="24"/>
          <w:lang w:eastAsia="ar-SA"/>
        </w:rPr>
        <w:t xml:space="preserve">wykorzystania wsparcia zwrotnego w poprzednim roku. </w:t>
      </w:r>
    </w:p>
    <w:p w:rsidR="00046867" w:rsidRPr="00046867" w:rsidRDefault="00046867" w:rsidP="0012492B">
      <w:pPr>
        <w:suppressAutoHyphens/>
        <w:spacing w:before="120" w:after="0" w:line="360" w:lineRule="auto"/>
        <w:jc w:val="both"/>
        <w:rPr>
          <w:rFonts w:ascii="Times New Roman" w:eastAsia="Times New Roman" w:hAnsi="Times New Roman" w:cs="Times New Roman"/>
          <w:b/>
          <w:bCs/>
          <w:sz w:val="24"/>
          <w:szCs w:val="24"/>
          <w:lang w:eastAsia="ar-SA"/>
        </w:rPr>
      </w:pPr>
      <w:r w:rsidRPr="00046867">
        <w:rPr>
          <w:rFonts w:ascii="Times New Roman" w:eastAsia="Times New Roman" w:hAnsi="Times New Roman" w:cs="Times New Roman"/>
          <w:bCs/>
          <w:sz w:val="24"/>
          <w:szCs w:val="24"/>
          <w:lang w:eastAsia="ar-SA"/>
        </w:rPr>
        <w:t>W ust. 3 przewidziano możliwość wydania przez ministra właściwego do spraw rozwoju regionalnego rozporządzenia r</w:t>
      </w:r>
      <w:r w:rsidR="0012492B">
        <w:rPr>
          <w:rFonts w:ascii="Times New Roman" w:eastAsia="Times New Roman" w:hAnsi="Times New Roman" w:cs="Times New Roman"/>
          <w:bCs/>
          <w:sz w:val="24"/>
          <w:szCs w:val="24"/>
          <w:lang w:eastAsia="ar-SA"/>
        </w:rPr>
        <w:t>egulującego kwestie związane ze </w:t>
      </w:r>
      <w:r w:rsidRPr="00046867">
        <w:rPr>
          <w:rFonts w:ascii="Times New Roman" w:eastAsia="Times New Roman" w:hAnsi="Times New Roman" w:cs="Times New Roman"/>
          <w:bCs/>
          <w:sz w:val="24"/>
          <w:szCs w:val="24"/>
          <w:lang w:eastAsia="ar-SA"/>
        </w:rPr>
        <w:t>sprawozdawczością, o której mowa w ust. 2.</w:t>
      </w:r>
    </w:p>
    <w:p w:rsidR="00046867" w:rsidRPr="00046867" w:rsidRDefault="00046867" w:rsidP="00046867">
      <w:pPr>
        <w:suppressAutoHyphens/>
        <w:spacing w:before="120" w:after="0" w:line="360" w:lineRule="auto"/>
        <w:jc w:val="both"/>
        <w:rPr>
          <w:rFonts w:ascii="Times New Roman" w:eastAsia="Times New Roman" w:hAnsi="Times New Roman" w:cs="Times New Roman"/>
          <w:b/>
          <w:bCs/>
          <w:sz w:val="24"/>
          <w:szCs w:val="24"/>
          <w:lang w:eastAsia="ar-SA"/>
        </w:rPr>
      </w:pPr>
      <w:r w:rsidRPr="00046867">
        <w:rPr>
          <w:rFonts w:ascii="Times New Roman" w:eastAsia="Times New Roman" w:hAnsi="Times New Roman" w:cs="Times New Roman"/>
          <w:b/>
          <w:bCs/>
          <w:sz w:val="24"/>
          <w:szCs w:val="24"/>
          <w:lang w:eastAsia="ar-SA"/>
        </w:rPr>
        <w:t>W art. 10 wprowadza się zmian</w:t>
      </w:r>
      <w:r w:rsidR="00287C93">
        <w:rPr>
          <w:rFonts w:ascii="Times New Roman" w:eastAsia="Times New Roman" w:hAnsi="Times New Roman" w:cs="Times New Roman"/>
          <w:b/>
          <w:bCs/>
          <w:sz w:val="24"/>
          <w:szCs w:val="24"/>
          <w:lang w:eastAsia="ar-SA"/>
        </w:rPr>
        <w:t>ę</w:t>
      </w:r>
      <w:r w:rsidRPr="00046867">
        <w:rPr>
          <w:rFonts w:ascii="Times New Roman" w:eastAsia="Times New Roman" w:hAnsi="Times New Roman" w:cs="Times New Roman"/>
          <w:b/>
          <w:bCs/>
          <w:sz w:val="24"/>
          <w:szCs w:val="24"/>
          <w:lang w:eastAsia="ar-SA"/>
        </w:rPr>
        <w:t xml:space="preserve"> do ustawy z dnia 23 stycznia 2009 r. o wojewodzie i administracji rządowej w województwie </w:t>
      </w:r>
    </w:p>
    <w:p w:rsidR="00046867" w:rsidRPr="00046867" w:rsidRDefault="00046867" w:rsidP="005D1102">
      <w:pPr>
        <w:suppressAutoHyphens/>
        <w:spacing w:after="0" w:line="360" w:lineRule="auto"/>
        <w:jc w:val="both"/>
        <w:rPr>
          <w:rFonts w:ascii="Times New Roman" w:eastAsia="Times New Roman" w:hAnsi="Times New Roman" w:cs="Times New Roman"/>
          <w:bCs/>
          <w:sz w:val="24"/>
          <w:szCs w:val="24"/>
          <w:lang w:eastAsia="ar-SA"/>
        </w:rPr>
      </w:pPr>
      <w:r w:rsidRPr="00046867">
        <w:rPr>
          <w:rFonts w:ascii="Times New Roman" w:eastAsia="Times New Roman" w:hAnsi="Times New Roman" w:cs="Times New Roman"/>
          <w:bCs/>
          <w:sz w:val="24"/>
          <w:szCs w:val="24"/>
          <w:lang w:eastAsia="ar-SA"/>
        </w:rPr>
        <w:t>W art. 3 wprowadzono ust. 2b, który przewiduje możliwość uczestniczenia wojewody w wykonywaniu zadań w zakresie desygnacji, o których mowa w art. 16 ust. 1 pkt 2 i 3 ustawy z dnia 11 lipca 2014 r. o zasadach realizacji programów w zakresie polityki spójności finansowych w perspektywie finansowej 2014–2020 na zasadach określonych w tej ustawie. Wprowadzone rozwiązanie ma na celu włączenie wojewody, jako przedstawiciela administracji rządowej w terenie, w proces wdrażania regionalnych programów operacyjnych i ma stanowić narzędz</w:t>
      </w:r>
      <w:r w:rsidR="0012492B">
        <w:rPr>
          <w:rFonts w:ascii="Times New Roman" w:eastAsia="Times New Roman" w:hAnsi="Times New Roman" w:cs="Times New Roman"/>
          <w:bCs/>
          <w:sz w:val="24"/>
          <w:szCs w:val="24"/>
          <w:lang w:eastAsia="ar-SA"/>
        </w:rPr>
        <w:t>ie pomocne Ministrowi Rozwoju i </w:t>
      </w:r>
      <w:r w:rsidRPr="00046867">
        <w:rPr>
          <w:rFonts w:ascii="Times New Roman" w:eastAsia="Times New Roman" w:hAnsi="Times New Roman" w:cs="Times New Roman"/>
          <w:bCs/>
          <w:sz w:val="24"/>
          <w:szCs w:val="24"/>
          <w:lang w:eastAsia="ar-SA"/>
        </w:rPr>
        <w:t xml:space="preserve">Finansów, pełniącemu rolę państwa członkowskiego, w realizacji zadań polegających na koordynacji i monitorowaniu krajowych i regionalnych programów operacyjnych.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b/>
          <w:sz w:val="24"/>
          <w:szCs w:val="24"/>
          <w:lang w:eastAsia="ar-SA"/>
        </w:rPr>
        <w:t>W art. 11 wprowadza się zmian</w:t>
      </w:r>
      <w:r w:rsidR="00287C93">
        <w:rPr>
          <w:rFonts w:ascii="Times New Roman" w:eastAsia="Times New Roman" w:hAnsi="Times New Roman" w:cs="Times New Roman"/>
          <w:b/>
          <w:sz w:val="24"/>
          <w:szCs w:val="24"/>
          <w:lang w:eastAsia="ar-SA"/>
        </w:rPr>
        <w:t>y</w:t>
      </w:r>
      <w:r w:rsidRPr="00046867">
        <w:rPr>
          <w:rFonts w:ascii="Times New Roman" w:eastAsia="Times New Roman" w:hAnsi="Times New Roman" w:cs="Times New Roman"/>
          <w:b/>
          <w:sz w:val="24"/>
          <w:szCs w:val="24"/>
          <w:lang w:eastAsia="ar-SA"/>
        </w:rPr>
        <w:t xml:space="preserve"> do ustawy z dnia 27 sierpnia 2009 r. o finansach publicznych (ufp)</w:t>
      </w:r>
      <w:r w:rsidRPr="00046867">
        <w:rPr>
          <w:rFonts w:ascii="Times New Roman" w:eastAsia="Times New Roman" w:hAnsi="Times New Roman" w:cs="Times New Roman"/>
          <w:sz w:val="24"/>
          <w:szCs w:val="24"/>
          <w:lang w:eastAsia="ar-SA"/>
        </w:rPr>
        <w:t xml:space="preserve"> </w:t>
      </w:r>
    </w:p>
    <w:p w:rsidR="00046867" w:rsidRPr="00046867" w:rsidRDefault="00046867" w:rsidP="005D1102">
      <w:pPr>
        <w:suppressAutoHyphens/>
        <w:spacing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art. 5 w ust. 1 dodaje się pkt 2a. Projektowana zmiana polegająca na dodaniu w art. 5 w ust. 1 pkt 2a ma na celu rozszerzenie katalogu środków publicznych o podlegające ponownemu wykorzystaniu środki z instrumentów inżynierii finansowej, o których mowa w rozporządzeniu Rady (WE) nr 1083/2006 z dnia 11 lipca 2006 r. ustanawiającym przepisy ogólne dotyczące Europejskiego Funduszu Rozwoju Regionalnego, Europejskiego Funduszu Społec</w:t>
      </w:r>
      <w:r w:rsidR="0012492B">
        <w:rPr>
          <w:rFonts w:ascii="Times New Roman" w:eastAsia="Times New Roman" w:hAnsi="Times New Roman" w:cs="Times New Roman"/>
          <w:sz w:val="24"/>
          <w:szCs w:val="24"/>
          <w:lang w:eastAsia="ar-SA"/>
        </w:rPr>
        <w:t>znego oraz Funduszu Spójności i </w:t>
      </w:r>
      <w:r w:rsidRPr="00046867">
        <w:rPr>
          <w:rFonts w:ascii="Times New Roman" w:eastAsia="Times New Roman" w:hAnsi="Times New Roman" w:cs="Times New Roman"/>
          <w:sz w:val="24"/>
          <w:szCs w:val="24"/>
          <w:lang w:eastAsia="ar-SA"/>
        </w:rPr>
        <w:t>uchylającego rozporządzenie (WE) nr 1260/1999 (Dz. Urz. UE L 210 z 31.07.2006, str. 25), środki z instrumentów finansowych oraz środki pomocy zwrotnej, o których mowa w rozporządzeniu Parlamentu Europejskiego i R</w:t>
      </w:r>
      <w:r w:rsidR="005D1102">
        <w:rPr>
          <w:rFonts w:ascii="Times New Roman" w:eastAsia="Times New Roman" w:hAnsi="Times New Roman" w:cs="Times New Roman"/>
          <w:sz w:val="24"/>
          <w:szCs w:val="24"/>
          <w:lang w:eastAsia="ar-SA"/>
        </w:rPr>
        <w:t>ady (UE) nr 1303/2013 z dnia 17 </w:t>
      </w:r>
      <w:r w:rsidRPr="00046867">
        <w:rPr>
          <w:rFonts w:ascii="Times New Roman" w:eastAsia="Times New Roman" w:hAnsi="Times New Roman" w:cs="Times New Roman"/>
          <w:sz w:val="24"/>
          <w:szCs w:val="24"/>
          <w:lang w:eastAsia="ar-SA"/>
        </w:rPr>
        <w:t>grudnia 2013 r. ustanawiającym wspólne przepisy dotyczące Europejskiego Funduszu Rozwoju Regionalnego, Europejskiego Funduszu Społecznego, Funduszu Spójności, Europejskiego Funduszu Rolnego na rzecz Rozwoju Obszarów Wiejskich oraz Europejskiego Funduszu Morskiego i Rybackiego oraz ustanawiającym przepisy ogólne dotyczące Europejskiego Funduszu Rozwoju Regionalnego, Europejskiego Funduszu Społecznego, Funduszu Spójności i Europejskiego Fun</w:t>
      </w:r>
      <w:r w:rsidR="005D1102">
        <w:rPr>
          <w:rFonts w:ascii="Times New Roman" w:eastAsia="Times New Roman" w:hAnsi="Times New Roman" w:cs="Times New Roman"/>
          <w:sz w:val="24"/>
          <w:szCs w:val="24"/>
          <w:lang w:eastAsia="ar-SA"/>
        </w:rPr>
        <w:t>duszu Morskiego i </w:t>
      </w:r>
      <w:r w:rsidRPr="00046867">
        <w:rPr>
          <w:rFonts w:ascii="Times New Roman" w:eastAsia="Times New Roman" w:hAnsi="Times New Roman" w:cs="Times New Roman"/>
          <w:sz w:val="24"/>
          <w:szCs w:val="24"/>
          <w:lang w:eastAsia="ar-SA"/>
        </w:rPr>
        <w:t>Rybackiego oraz uchylającego rozporządzenie Rady (WE) nr 1083/2006 (Dz. Urz. UE L 347 z</w:t>
      </w:r>
      <w:r w:rsidR="00CA2D01">
        <w:rPr>
          <w:rFonts w:ascii="Times New Roman" w:eastAsia="Times New Roman" w:hAnsi="Times New Roman" w:cs="Times New Roman"/>
          <w:sz w:val="24"/>
          <w:szCs w:val="24"/>
          <w:lang w:eastAsia="ar-SA"/>
        </w:rPr>
        <w:t xml:space="preserve"> 20.12.</w:t>
      </w:r>
      <w:r w:rsidRPr="00046867">
        <w:rPr>
          <w:rFonts w:ascii="Times New Roman" w:eastAsia="Times New Roman" w:hAnsi="Times New Roman" w:cs="Times New Roman"/>
          <w:sz w:val="24"/>
          <w:szCs w:val="24"/>
          <w:lang w:eastAsia="ar-SA"/>
        </w:rPr>
        <w:t>2013, str. 374, z późn. zm.), jak również odsetki oraz inne korzyści wygenerowane przez te środki, z uwagi na fakt, iż wykorzystanie tych środków podlega szczególnym zasadom wynikającym z przepisów wskazanych w rozporządzeniach UE, jak również środki będą stanowić dodatkowe źródło finansowania zadań z zakresu polityki rozwoju, co przewiduje projektowana zmiana w ustawie o zasadach prowadzenia polityki rozwoju. Środki te nie będą stanowiły środków budżetu państwa, aczkolwiek będą podlegały zasadom wydatkowania i rozliczania analogicznym jak obowiązujące dla dotacji celowych z budżetu państwa z wyłączeniem przepisów dotyczących roczności i wygasania środków z końcem roku budżetowego.</w:t>
      </w:r>
    </w:p>
    <w:p w:rsidR="00046867" w:rsidRPr="00046867" w:rsidRDefault="00046867" w:rsidP="00046867">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046867">
        <w:rPr>
          <w:rFonts w:ascii="Times New Roman" w:eastAsia="Times New Roman" w:hAnsi="Times New Roman" w:cs="Times New Roman"/>
          <w:sz w:val="24"/>
          <w:szCs w:val="24"/>
          <w:lang w:eastAsia="pl-PL"/>
        </w:rPr>
        <w:t xml:space="preserve">Zmiany w art. 39 ust. 2 oraz w art. 41 ust. 2 pkt 1 lit. </w:t>
      </w:r>
      <w:r w:rsidR="0012492B">
        <w:rPr>
          <w:rFonts w:ascii="Times New Roman" w:eastAsia="Times New Roman" w:hAnsi="Times New Roman" w:cs="Times New Roman"/>
          <w:sz w:val="24"/>
          <w:szCs w:val="24"/>
          <w:lang w:eastAsia="pl-PL"/>
        </w:rPr>
        <w:t>j dotyczą uchylenia przepisów w </w:t>
      </w:r>
      <w:r w:rsidRPr="00046867">
        <w:rPr>
          <w:rFonts w:ascii="Times New Roman" w:eastAsia="Times New Roman" w:hAnsi="Times New Roman" w:cs="Times New Roman"/>
          <w:sz w:val="24"/>
          <w:szCs w:val="24"/>
          <w:lang w:eastAsia="pl-PL"/>
        </w:rPr>
        <w:t xml:space="preserve">zakresie obowiązku klasyfikacji wydatków publicznych według dodatkowej klasyfikacji wydatków strukturalnych. Skutkiem uchylenia tego obowiązku jest również zniesienie obowiązku sporządzania sprawozdań z poniesionych przez jednostki sektora finansów publicznych wydatków strukturalnych.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Funkcjonujące obecnie przepisy ustawy z dnia 27 sierpnia 2009 r. o finansach publicznych dotyczące stosowania przez jednostki sektora finansów publicznych klasyfikacji wydatków strukturalnych zostały ustanowione na podstawie rozporządzenia Rady (WE) nr 1083/2006 z dnia 11 lipca 2006 r. ustanawiającego przepisy ogólne dotyczące Europejskiego Funduszu Rozwoju Regionalnego, Europejskiego Funduszu Społecznego oraz Funduszu Spójności i uchy</w:t>
      </w:r>
      <w:r w:rsidR="0012492B">
        <w:rPr>
          <w:rFonts w:ascii="Times New Roman" w:eastAsia="Calibri" w:hAnsi="Times New Roman" w:cs="Times New Roman"/>
          <w:sz w:val="24"/>
          <w:szCs w:val="24"/>
          <w:lang w:eastAsia="ar-SA"/>
        </w:rPr>
        <w:t>lającego rozporządzenie (WE) nr </w:t>
      </w:r>
      <w:r w:rsidRPr="00046867">
        <w:rPr>
          <w:rFonts w:ascii="Times New Roman" w:eastAsia="Calibri" w:hAnsi="Times New Roman" w:cs="Times New Roman"/>
          <w:sz w:val="24"/>
          <w:szCs w:val="24"/>
          <w:lang w:eastAsia="ar-SA"/>
        </w:rPr>
        <w:t>1260/1999). Zgodnie z założeniem stosowanie klasyfikacji wydatków strukturalnych przez jednostki zaliczane do sektora finansów publicznych miało służyć weryfikacji przez Polskę tzw. zasady dodatkowości. Zadanie to, dla okresu programowania</w:t>
      </w:r>
      <w:r w:rsidR="0012492B">
        <w:rPr>
          <w:rFonts w:ascii="Times New Roman" w:eastAsia="Calibri" w:hAnsi="Times New Roman" w:cs="Times New Roman"/>
          <w:sz w:val="24"/>
          <w:szCs w:val="24"/>
          <w:lang w:eastAsia="ar-SA"/>
        </w:rPr>
        <w:br/>
      </w:r>
      <w:r w:rsidRPr="00046867">
        <w:rPr>
          <w:rFonts w:ascii="Times New Roman" w:eastAsia="Calibri" w:hAnsi="Times New Roman" w:cs="Times New Roman"/>
          <w:sz w:val="24"/>
          <w:szCs w:val="24"/>
          <w:lang w:eastAsia="ar-SA"/>
        </w:rPr>
        <w:t>2007–2013, zostało wykonane i Polska, jako kraj członkowski, otrzymała potwierdzenie prawidłowej weryfikacji zasady dodatkowości. Dla okresu programowania 2014–2020 weryfikacja zasady dodatkowości podlegać będzie zasadom określonym w art. 95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w:t>
      </w:r>
      <w:r w:rsidR="0012492B">
        <w:rPr>
          <w:rFonts w:ascii="Times New Roman" w:eastAsia="Calibri" w:hAnsi="Times New Roman" w:cs="Times New Roman"/>
          <w:sz w:val="24"/>
          <w:szCs w:val="24"/>
          <w:lang w:eastAsia="ar-SA"/>
        </w:rPr>
        <w:t>opejskiego Funduszu Morskiego i </w:t>
      </w:r>
      <w:r w:rsidRPr="00046867">
        <w:rPr>
          <w:rFonts w:ascii="Times New Roman" w:eastAsia="Calibri" w:hAnsi="Times New Roman" w:cs="Times New Roman"/>
          <w:sz w:val="24"/>
          <w:szCs w:val="24"/>
          <w:lang w:eastAsia="ar-SA"/>
        </w:rPr>
        <w:t>Rybackiego oraz uchylającego rozporządzenie Rady (WE) nr 1083/2006, które określają, że weryfikacja zasady dodatkowości będzie polegała na wykazaniu nakładów brutto na środki trwałe instytucji rządowych i samorządowych, przy czym państwo członkowskie nie ma obowiązku wykazywania ty</w:t>
      </w:r>
      <w:r w:rsidR="0012492B">
        <w:rPr>
          <w:rFonts w:ascii="Times New Roman" w:eastAsia="Calibri" w:hAnsi="Times New Roman" w:cs="Times New Roman"/>
          <w:sz w:val="24"/>
          <w:szCs w:val="24"/>
          <w:lang w:eastAsia="ar-SA"/>
        </w:rPr>
        <w:t>ch kwot oddzielnie dla każdej z </w:t>
      </w:r>
      <w:r w:rsidRPr="00046867">
        <w:rPr>
          <w:rFonts w:ascii="Times New Roman" w:eastAsia="Calibri" w:hAnsi="Times New Roman" w:cs="Times New Roman"/>
          <w:sz w:val="24"/>
          <w:szCs w:val="24"/>
          <w:lang w:eastAsia="ar-SA"/>
        </w:rPr>
        <w:t>kategorii interwencji. Biorąc powyższe pod uwagę, nie zachodzi już potrzeba identyfikacji wydatków strukturalnych ponoszonych przez jednostki sektora finansów publicznych według dodatkowej klasyfikacji określającej kody wydatków strukturalnych oraz sporządzania przez te jednostki sprawozdań o poniesionych wydatkach strukturalnych.</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 xml:space="preserve">Proponowana w art. 66a regulacja stanowi uwzględnienie uwag zgłaszanych przez instytucje systemu wdrażania programów operacyjnych w zakresie konieczności jednoznacznego ustalenia okresu przedawnienia oraz terminu rozpoczęcia biegu przedawnienia w stosunku do niepodatkowych należności budżetowych z tytułu zwrotu środków przeznaczonych na realizację programów finansowanych z udziałem środków europejskich oraz innych należności związanych z realizacją projektów finansowanych z udziałem tych środków, a także odsetek od tych </w:t>
      </w:r>
      <w:r w:rsidR="0012492B">
        <w:rPr>
          <w:rFonts w:ascii="Times New Roman" w:eastAsia="Calibri" w:hAnsi="Times New Roman" w:cs="Times New Roman"/>
          <w:sz w:val="24"/>
          <w:szCs w:val="24"/>
          <w:lang w:eastAsia="ar-SA"/>
        </w:rPr>
        <w:t>środków i od tych należności, o </w:t>
      </w:r>
      <w:r w:rsidRPr="00046867">
        <w:rPr>
          <w:rFonts w:ascii="Times New Roman" w:eastAsia="Calibri" w:hAnsi="Times New Roman" w:cs="Times New Roman"/>
          <w:sz w:val="24"/>
          <w:szCs w:val="24"/>
          <w:lang w:eastAsia="ar-SA"/>
        </w:rPr>
        <w:t>których mowa w art. 60 pkt 6 ufp.</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W obowiązującym stanie prawnym art. 67 ufp w</w:t>
      </w:r>
      <w:r w:rsidR="0012492B">
        <w:rPr>
          <w:rFonts w:ascii="Times New Roman" w:eastAsia="Calibri" w:hAnsi="Times New Roman" w:cs="Times New Roman"/>
          <w:sz w:val="24"/>
          <w:szCs w:val="24"/>
          <w:lang w:eastAsia="ar-SA"/>
        </w:rPr>
        <w:t xml:space="preserve"> zakresie spraw dotyczących ww. </w:t>
      </w:r>
      <w:r w:rsidRPr="00046867">
        <w:rPr>
          <w:rFonts w:ascii="Times New Roman" w:eastAsia="Calibri" w:hAnsi="Times New Roman" w:cs="Times New Roman"/>
          <w:sz w:val="24"/>
          <w:szCs w:val="24"/>
          <w:lang w:eastAsia="ar-SA"/>
        </w:rPr>
        <w:t>należności, w sprawach nieuregulowanych ustawą odsyła do stosowania przepisów ustawy z dnia 14 czerwca 1960 r.</w:t>
      </w:r>
      <w:r w:rsidRPr="00046867">
        <w:rPr>
          <w:rFonts w:ascii="Times New Roman" w:eastAsia="Times New Roman" w:hAnsi="Times New Roman" w:cs="Times New Roman"/>
          <w:sz w:val="24"/>
          <w:szCs w:val="24"/>
          <w:lang w:eastAsia="ar-SA"/>
        </w:rPr>
        <w:t xml:space="preserve"> </w:t>
      </w:r>
      <w:r w:rsidRPr="00046867">
        <w:rPr>
          <w:rFonts w:ascii="Times New Roman" w:eastAsia="Calibri" w:hAnsi="Times New Roman" w:cs="Times New Roman"/>
          <w:sz w:val="24"/>
          <w:szCs w:val="24"/>
          <w:lang w:eastAsia="ar-SA"/>
        </w:rPr>
        <w:t>– Kodeks postępowania administracyj</w:t>
      </w:r>
      <w:r w:rsidR="0012492B">
        <w:rPr>
          <w:rFonts w:ascii="Times New Roman" w:eastAsia="Calibri" w:hAnsi="Times New Roman" w:cs="Times New Roman"/>
          <w:sz w:val="24"/>
          <w:szCs w:val="24"/>
          <w:lang w:eastAsia="ar-SA"/>
        </w:rPr>
        <w:t>nego (Dz. U. z </w:t>
      </w:r>
      <w:r w:rsidRPr="00046867">
        <w:rPr>
          <w:rFonts w:ascii="Times New Roman" w:eastAsia="Calibri" w:hAnsi="Times New Roman" w:cs="Times New Roman"/>
          <w:sz w:val="24"/>
          <w:szCs w:val="24"/>
          <w:lang w:eastAsia="ar-SA"/>
        </w:rPr>
        <w:t>201</w:t>
      </w:r>
      <w:r w:rsidR="00DA5598">
        <w:rPr>
          <w:rFonts w:ascii="Times New Roman" w:eastAsia="Calibri" w:hAnsi="Times New Roman" w:cs="Times New Roman"/>
          <w:sz w:val="24"/>
          <w:szCs w:val="24"/>
          <w:lang w:eastAsia="ar-SA"/>
        </w:rPr>
        <w:t>6</w:t>
      </w:r>
      <w:r w:rsidRPr="00046867">
        <w:rPr>
          <w:rFonts w:ascii="Times New Roman" w:eastAsia="Calibri" w:hAnsi="Times New Roman" w:cs="Times New Roman"/>
          <w:sz w:val="24"/>
          <w:szCs w:val="24"/>
          <w:lang w:eastAsia="ar-SA"/>
        </w:rPr>
        <w:t xml:space="preserve"> r. poz. </w:t>
      </w:r>
      <w:r w:rsidR="00DA5598">
        <w:rPr>
          <w:rFonts w:ascii="Times New Roman" w:eastAsia="Calibri" w:hAnsi="Times New Roman" w:cs="Times New Roman"/>
          <w:sz w:val="24"/>
          <w:szCs w:val="24"/>
          <w:lang w:eastAsia="ar-SA"/>
        </w:rPr>
        <w:t>23, z późn. zm.</w:t>
      </w:r>
      <w:r w:rsidRPr="00046867">
        <w:rPr>
          <w:rFonts w:ascii="Times New Roman" w:eastAsia="Calibri" w:hAnsi="Times New Roman" w:cs="Times New Roman"/>
          <w:sz w:val="24"/>
          <w:szCs w:val="24"/>
          <w:lang w:eastAsia="ar-SA"/>
        </w:rPr>
        <w:t>) i odpowiedniego stosowania przepi</w:t>
      </w:r>
      <w:r w:rsidR="0012492B">
        <w:rPr>
          <w:rFonts w:ascii="Times New Roman" w:eastAsia="Calibri" w:hAnsi="Times New Roman" w:cs="Times New Roman"/>
          <w:sz w:val="24"/>
          <w:szCs w:val="24"/>
          <w:lang w:eastAsia="ar-SA"/>
        </w:rPr>
        <w:t>sów działu III ustawy z dnia 29 </w:t>
      </w:r>
      <w:r w:rsidRPr="00046867">
        <w:rPr>
          <w:rFonts w:ascii="Times New Roman" w:eastAsia="Calibri" w:hAnsi="Times New Roman" w:cs="Times New Roman"/>
          <w:sz w:val="24"/>
          <w:szCs w:val="24"/>
          <w:lang w:eastAsia="ar-SA"/>
        </w:rPr>
        <w:t>sierpnia 1997 r. – Ordynacja podatkowa (Dz. U. z 201</w:t>
      </w:r>
      <w:r w:rsidR="00854B43">
        <w:rPr>
          <w:rFonts w:ascii="Times New Roman" w:eastAsia="Calibri" w:hAnsi="Times New Roman" w:cs="Times New Roman"/>
          <w:sz w:val="24"/>
          <w:szCs w:val="24"/>
          <w:lang w:eastAsia="ar-SA"/>
        </w:rPr>
        <w:t>7</w:t>
      </w:r>
      <w:r w:rsidR="001F250A">
        <w:rPr>
          <w:rFonts w:ascii="Times New Roman" w:eastAsia="Calibri" w:hAnsi="Times New Roman" w:cs="Times New Roman"/>
          <w:sz w:val="24"/>
          <w:szCs w:val="24"/>
          <w:lang w:eastAsia="ar-SA"/>
        </w:rPr>
        <w:t xml:space="preserve"> r. poz. </w:t>
      </w:r>
      <w:r w:rsidR="00854B43">
        <w:rPr>
          <w:rFonts w:ascii="Times New Roman" w:eastAsia="Calibri" w:hAnsi="Times New Roman" w:cs="Times New Roman"/>
          <w:sz w:val="24"/>
          <w:szCs w:val="24"/>
          <w:lang w:eastAsia="ar-SA"/>
        </w:rPr>
        <w:t>201</w:t>
      </w:r>
      <w:r w:rsidR="001F250A">
        <w:rPr>
          <w:rFonts w:ascii="Times New Roman" w:eastAsia="Calibri" w:hAnsi="Times New Roman" w:cs="Times New Roman"/>
          <w:sz w:val="24"/>
          <w:szCs w:val="24"/>
          <w:lang w:eastAsia="ar-SA"/>
        </w:rPr>
        <w:t>, z późn. </w:t>
      </w:r>
      <w:r w:rsidRPr="00046867">
        <w:rPr>
          <w:rFonts w:ascii="Times New Roman" w:eastAsia="Calibri" w:hAnsi="Times New Roman" w:cs="Times New Roman"/>
          <w:sz w:val="24"/>
          <w:szCs w:val="24"/>
          <w:lang w:eastAsia="ar-SA"/>
        </w:rPr>
        <w:t xml:space="preserve">zm.).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 xml:space="preserve">Biorąc pod uwagę specyfikę stwierdzania nieprawidłowości w projektach oraz konieczność stosowania w tym zakresie art. 189 ust. 3 i art. 207 ufp, precyzyjne określenie rozpoczęcia biegu okresu przedawnienia jest niezbędne. </w:t>
      </w:r>
    </w:p>
    <w:p w:rsidR="00046867" w:rsidRPr="00046867" w:rsidRDefault="00046867" w:rsidP="00046867">
      <w:pPr>
        <w:suppressAutoHyphens/>
        <w:autoSpaceDE w:val="0"/>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Należy zauważyć, że zgodnie z art. 3 ust. 3 rozporząd</w:t>
      </w:r>
      <w:r w:rsidR="0012492B">
        <w:rPr>
          <w:rFonts w:ascii="Times New Roman" w:eastAsia="Calibri" w:hAnsi="Times New Roman" w:cs="Times New Roman"/>
          <w:sz w:val="24"/>
          <w:szCs w:val="24"/>
          <w:lang w:eastAsia="ar-SA"/>
        </w:rPr>
        <w:t>zenia Rady nr 2988/95 z dnia 18 </w:t>
      </w:r>
      <w:r w:rsidRPr="00046867">
        <w:rPr>
          <w:rFonts w:ascii="Times New Roman" w:eastAsia="Calibri" w:hAnsi="Times New Roman" w:cs="Times New Roman"/>
          <w:sz w:val="24"/>
          <w:szCs w:val="24"/>
          <w:lang w:eastAsia="ar-SA"/>
        </w:rPr>
        <w:t>grudnia 1995 r. w sprawie ochrony interesów finansowych Wspólnot Europejskich okres przedawnienia wynosi 4 lata od czasu dopuszczenia się nieprawidłowości zdefiniowanej w art. 1 ust. 2 tego rozporządzenia. O</w:t>
      </w:r>
      <w:r w:rsidR="0012492B">
        <w:rPr>
          <w:rFonts w:ascii="Times New Roman" w:eastAsia="Calibri" w:hAnsi="Times New Roman" w:cs="Times New Roman"/>
          <w:sz w:val="24"/>
          <w:szCs w:val="24"/>
          <w:lang w:eastAsia="ar-SA"/>
        </w:rPr>
        <w:t>kres ten może być przedłużony o </w:t>
      </w:r>
      <w:r w:rsidRPr="00046867">
        <w:rPr>
          <w:rFonts w:ascii="Times New Roman" w:eastAsia="Calibri" w:hAnsi="Times New Roman" w:cs="Times New Roman"/>
          <w:sz w:val="24"/>
          <w:szCs w:val="24"/>
          <w:lang w:eastAsia="ar-SA"/>
        </w:rPr>
        <w:t>maksymalnie kolejne 4 lata w przypadku przerwania</w:t>
      </w:r>
      <w:r w:rsidR="0012492B">
        <w:rPr>
          <w:rFonts w:ascii="Times New Roman" w:eastAsia="Calibri" w:hAnsi="Times New Roman" w:cs="Times New Roman"/>
          <w:sz w:val="24"/>
          <w:szCs w:val="24"/>
          <w:lang w:eastAsia="ar-SA"/>
        </w:rPr>
        <w:t xml:space="preserve"> biegu terminu przedawnienia. W </w:t>
      </w:r>
      <w:r w:rsidRPr="00046867">
        <w:rPr>
          <w:rFonts w:ascii="Times New Roman" w:eastAsia="Calibri" w:hAnsi="Times New Roman" w:cs="Times New Roman"/>
          <w:sz w:val="24"/>
          <w:szCs w:val="24"/>
          <w:lang w:eastAsia="ar-SA"/>
        </w:rPr>
        <w:t xml:space="preserve">art. 3 ust. 3 rozporządzenia nr 2988/95 zapewniono państwom członkowskim możliwość stosowania dłuższego okresu niż okres przewidziany w ust. 1 i 2.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Mając na uwadze powyższe, proponuje się wskazanie, że termin przedawnienia zobowiązania do zwrotu środków, o których mowa w art.</w:t>
      </w:r>
      <w:r w:rsidR="0012492B">
        <w:rPr>
          <w:rFonts w:ascii="Times New Roman" w:eastAsia="Calibri" w:hAnsi="Times New Roman" w:cs="Times New Roman"/>
          <w:sz w:val="24"/>
          <w:szCs w:val="24"/>
          <w:lang w:eastAsia="ar-SA"/>
        </w:rPr>
        <w:t xml:space="preserve"> 60 pkt 6 ufp, będzie wynosił 5 </w:t>
      </w:r>
      <w:r w:rsidRPr="00046867">
        <w:rPr>
          <w:rFonts w:ascii="Times New Roman" w:eastAsia="Calibri" w:hAnsi="Times New Roman" w:cs="Times New Roman"/>
          <w:sz w:val="24"/>
          <w:szCs w:val="24"/>
          <w:lang w:eastAsia="ar-SA"/>
        </w:rPr>
        <w:t>lat, licząc od dnia, w którym decyzja o zapłacie odsetek albo decyzja określająca kwotę do zwrotu środków stała się ostateczna albo od dnia wypłaty salda końcowego</w:t>
      </w:r>
      <w:r w:rsidR="0012492B">
        <w:rPr>
          <w:rFonts w:ascii="Times New Roman" w:eastAsia="Calibri" w:hAnsi="Times New Roman" w:cs="Times New Roman"/>
          <w:sz w:val="24"/>
          <w:szCs w:val="24"/>
          <w:lang w:eastAsia="ar-SA"/>
        </w:rPr>
        <w:t>, o </w:t>
      </w:r>
      <w:r w:rsidRPr="00046867">
        <w:rPr>
          <w:rFonts w:ascii="Times New Roman" w:eastAsia="Calibri" w:hAnsi="Times New Roman" w:cs="Times New Roman"/>
          <w:sz w:val="24"/>
          <w:szCs w:val="24"/>
          <w:lang w:eastAsia="ar-SA"/>
        </w:rPr>
        <w:t>którym mowa odpowiednio w art. 89 ust. 1 rozporządzenia Rady (WE) nr 1083/2006 z dnia 11 lipca 2006 r. ustanawiającego przepisy ogólne dotyczące Europejskiego Funduszu Rozwoju Regionalnego, Europejskiego Funduszu Społecznego oraz Funduszu Spójności i uchylającego rozporządzenie (WE) nr 1260/1999) albo w art. 141 ust. 2 rozporządzenia Parlamentu Europejskiego i R</w:t>
      </w:r>
      <w:r w:rsidR="0012492B">
        <w:rPr>
          <w:rFonts w:ascii="Times New Roman" w:eastAsia="Calibri" w:hAnsi="Times New Roman" w:cs="Times New Roman"/>
          <w:sz w:val="24"/>
          <w:szCs w:val="24"/>
          <w:lang w:eastAsia="ar-SA"/>
        </w:rPr>
        <w:t>ady (UE) nr 1303/2013 z dnia 17 </w:t>
      </w:r>
      <w:r w:rsidRPr="00046867">
        <w:rPr>
          <w:rFonts w:ascii="Times New Roman" w:eastAsia="Calibri" w:hAnsi="Times New Roman" w:cs="Times New Roman"/>
          <w:sz w:val="24"/>
          <w:szCs w:val="24"/>
          <w:lang w:eastAsia="ar-SA"/>
        </w:rPr>
        <w:t>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w:t>
      </w:r>
      <w:r w:rsidR="0012492B">
        <w:rPr>
          <w:rFonts w:ascii="Times New Roman" w:eastAsia="Calibri" w:hAnsi="Times New Roman" w:cs="Times New Roman"/>
          <w:sz w:val="24"/>
          <w:szCs w:val="24"/>
          <w:lang w:eastAsia="ar-SA"/>
        </w:rPr>
        <w:t>opejskiego Funduszu Morskiego i </w:t>
      </w:r>
      <w:r w:rsidRPr="00046867">
        <w:rPr>
          <w:rFonts w:ascii="Times New Roman" w:eastAsia="Calibri" w:hAnsi="Times New Roman" w:cs="Times New Roman"/>
          <w:sz w:val="24"/>
          <w:szCs w:val="24"/>
          <w:lang w:eastAsia="ar-SA"/>
        </w:rPr>
        <w:t>Rybackiego oraz uchylającego rozporządzenie Rady (WE) nr 1083/2</w:t>
      </w:r>
      <w:r w:rsidR="00CA2D01">
        <w:rPr>
          <w:rFonts w:ascii="Times New Roman" w:eastAsia="Calibri" w:hAnsi="Times New Roman" w:cs="Times New Roman"/>
          <w:sz w:val="24"/>
          <w:szCs w:val="24"/>
          <w:lang w:eastAsia="ar-SA"/>
        </w:rPr>
        <w:t>006 (Dz. Urz. UE L 347 z 20.12.</w:t>
      </w:r>
      <w:r w:rsidRPr="00046867">
        <w:rPr>
          <w:rFonts w:ascii="Times New Roman" w:eastAsia="Calibri" w:hAnsi="Times New Roman" w:cs="Times New Roman"/>
          <w:sz w:val="24"/>
          <w:szCs w:val="24"/>
          <w:lang w:eastAsia="ar-SA"/>
        </w:rPr>
        <w:t>2013, str. 374, z późn. zm.) albo w art. 86 ust. 1 rozporządzenia Rady (WE) nr 1198/2006 z dnia 27 lipca 2006 r. w sprawie Europejskiego Funduszu Rybacki</w:t>
      </w:r>
      <w:r w:rsidR="00CA2D01">
        <w:rPr>
          <w:rFonts w:ascii="Times New Roman" w:eastAsia="Calibri" w:hAnsi="Times New Roman" w:cs="Times New Roman"/>
          <w:sz w:val="24"/>
          <w:szCs w:val="24"/>
          <w:lang w:eastAsia="ar-SA"/>
        </w:rPr>
        <w:t>ego (Dz. Urz. UE L 223 z 15.08.</w:t>
      </w:r>
      <w:r w:rsidR="004B2685">
        <w:rPr>
          <w:rFonts w:ascii="Times New Roman" w:eastAsia="Calibri" w:hAnsi="Times New Roman" w:cs="Times New Roman"/>
          <w:sz w:val="24"/>
          <w:szCs w:val="24"/>
          <w:lang w:eastAsia="ar-SA"/>
        </w:rPr>
        <w:t>2006</w:t>
      </w:r>
      <w:r w:rsidR="008148BA">
        <w:rPr>
          <w:rFonts w:ascii="Times New Roman" w:eastAsia="Calibri" w:hAnsi="Times New Roman" w:cs="Times New Roman"/>
          <w:sz w:val="24"/>
          <w:szCs w:val="24"/>
          <w:lang w:eastAsia="ar-SA"/>
        </w:rPr>
        <w:t>, str. 1, z późn. zm.), w zależności który z </w:t>
      </w:r>
      <w:r w:rsidRPr="00046867">
        <w:rPr>
          <w:rFonts w:ascii="Times New Roman" w:eastAsia="Calibri" w:hAnsi="Times New Roman" w:cs="Times New Roman"/>
          <w:sz w:val="24"/>
          <w:szCs w:val="24"/>
          <w:lang w:eastAsia="ar-SA"/>
        </w:rPr>
        <w:t xml:space="preserve">tych terminów nastąpi później.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 xml:space="preserve">Ww. terminy przedawnienia będą miały również zastosowanie w przypadku odpowiedzialności osób trzecich.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 xml:space="preserve">W pozostałym zakresie nadal zastosowanie znajdzie obowiązujący art. 67 ufp, który nakazuje stosowanie przepisów Kodeksu postępowania administracyjnego oraz odpowiednie stosowanie działu III Ordynacji podatkowej.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Powyższe oznacza, że za zobowiązania z tytułu zwrotu</w:t>
      </w:r>
      <w:r w:rsidR="0012492B">
        <w:rPr>
          <w:rFonts w:ascii="Times New Roman" w:eastAsia="Calibri" w:hAnsi="Times New Roman" w:cs="Times New Roman"/>
          <w:sz w:val="24"/>
          <w:szCs w:val="24"/>
          <w:lang w:eastAsia="ar-SA"/>
        </w:rPr>
        <w:t xml:space="preserve"> środków, o których mowa w art. </w:t>
      </w:r>
      <w:r w:rsidRPr="00046867">
        <w:rPr>
          <w:rFonts w:ascii="Times New Roman" w:eastAsia="Calibri" w:hAnsi="Times New Roman" w:cs="Times New Roman"/>
          <w:sz w:val="24"/>
          <w:szCs w:val="24"/>
          <w:lang w:eastAsia="ar-SA"/>
        </w:rPr>
        <w:t>60 pkt 6 ufp, będą odpowiadały wszys</w:t>
      </w:r>
      <w:r w:rsidR="0012492B">
        <w:rPr>
          <w:rFonts w:ascii="Times New Roman" w:eastAsia="Calibri" w:hAnsi="Times New Roman" w:cs="Times New Roman"/>
          <w:sz w:val="24"/>
          <w:szCs w:val="24"/>
          <w:lang w:eastAsia="ar-SA"/>
        </w:rPr>
        <w:t>tkie osoby trzecie wymienione w </w:t>
      </w:r>
      <w:r w:rsidRPr="00046867">
        <w:rPr>
          <w:rFonts w:ascii="Times New Roman" w:eastAsia="Calibri" w:hAnsi="Times New Roman" w:cs="Times New Roman"/>
          <w:sz w:val="24"/>
          <w:szCs w:val="24"/>
          <w:lang w:eastAsia="ar-SA"/>
        </w:rPr>
        <w:t xml:space="preserve">przepisach działu III (art. 107–119).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 xml:space="preserve">Osoby trzecie będą odpowiadały solidarnie ze zobowiązanym (art. 107 § 1a) od momentu, kiedy decyzja o zwrocie środków stanie się ostateczna.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 xml:space="preserve">Wobec osób trzecich będzie wydawana decyzja, o której mowa w art. 108 § 1, z tym, że będzie ona dotyczyła zobowiązania do zwrotu środków, o których mowa w art. 60 pkt 6 ufp.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Zgodnie z art. 108 § 4 egzekucja zobowiązania d</w:t>
      </w:r>
      <w:r w:rsidR="007A2F0E">
        <w:rPr>
          <w:rFonts w:ascii="Times New Roman" w:eastAsia="Calibri" w:hAnsi="Times New Roman" w:cs="Times New Roman"/>
          <w:sz w:val="24"/>
          <w:szCs w:val="24"/>
          <w:lang w:eastAsia="ar-SA"/>
        </w:rPr>
        <w:t>o zwrotu środków wynikającego z </w:t>
      </w:r>
      <w:r w:rsidRPr="00046867">
        <w:rPr>
          <w:rFonts w:ascii="Times New Roman" w:eastAsia="Calibri" w:hAnsi="Times New Roman" w:cs="Times New Roman"/>
          <w:sz w:val="24"/>
          <w:szCs w:val="24"/>
          <w:lang w:eastAsia="ar-SA"/>
        </w:rPr>
        <w:t>decyzji o odpowiedzialności podatkowej osoby trzeciej będzie mogła zostać wszczęta dopiero wówczas, gdy egzekucja z majątku podatn</w:t>
      </w:r>
      <w:r w:rsidR="007A2F0E">
        <w:rPr>
          <w:rFonts w:ascii="Times New Roman" w:eastAsia="Calibri" w:hAnsi="Times New Roman" w:cs="Times New Roman"/>
          <w:sz w:val="24"/>
          <w:szCs w:val="24"/>
          <w:lang w:eastAsia="ar-SA"/>
        </w:rPr>
        <w:t>ika okazała się w całości lub w </w:t>
      </w:r>
      <w:r w:rsidRPr="00046867">
        <w:rPr>
          <w:rFonts w:ascii="Times New Roman" w:eastAsia="Calibri" w:hAnsi="Times New Roman" w:cs="Times New Roman"/>
          <w:sz w:val="24"/>
          <w:szCs w:val="24"/>
          <w:lang w:eastAsia="ar-SA"/>
        </w:rPr>
        <w:t xml:space="preserve">części bezskuteczna, odstąpiono od czynności zmierzających do zastosowania środków egzekucyjnych albo nie przystąpiono do egzekucji administracyjnej w wyniku uprawdopodobnienia przez organ egzekucyjny braku możliwości uzyskania w toku egzekucji administracyjnej kwoty przewyższającej wydatki egzekucyjne.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Zmiany wprowadzone w art.</w:t>
      </w:r>
      <w:r w:rsidR="00CA2D01">
        <w:rPr>
          <w:rFonts w:ascii="Times New Roman" w:eastAsia="Calibri" w:hAnsi="Times New Roman" w:cs="Times New Roman"/>
          <w:sz w:val="24"/>
          <w:szCs w:val="24"/>
          <w:lang w:eastAsia="ar-SA"/>
        </w:rPr>
        <w:t xml:space="preserve"> </w:t>
      </w:r>
      <w:r w:rsidRPr="00046867">
        <w:rPr>
          <w:rFonts w:ascii="Times New Roman" w:eastAsia="Calibri" w:hAnsi="Times New Roman" w:cs="Times New Roman"/>
          <w:sz w:val="24"/>
          <w:szCs w:val="24"/>
          <w:lang w:eastAsia="ar-SA"/>
        </w:rPr>
        <w:t>168 ust. 1, art. 189 ust. 4 i 4</w:t>
      </w:r>
      <w:r w:rsidR="007A2F0E">
        <w:rPr>
          <w:rFonts w:ascii="Times New Roman" w:eastAsia="Calibri" w:hAnsi="Times New Roman" w:cs="Times New Roman"/>
          <w:sz w:val="24"/>
          <w:szCs w:val="24"/>
          <w:lang w:eastAsia="ar-SA"/>
        </w:rPr>
        <w:t>a oraz art. 251 ust. 1 ustawy o </w:t>
      </w:r>
      <w:r w:rsidRPr="00046867">
        <w:rPr>
          <w:rFonts w:ascii="Times New Roman" w:eastAsia="Calibri" w:hAnsi="Times New Roman" w:cs="Times New Roman"/>
          <w:sz w:val="24"/>
          <w:szCs w:val="24"/>
          <w:lang w:eastAsia="ar-SA"/>
        </w:rPr>
        <w:t>finansach publicznych mają na celu umożliwianie rozliczania dotacji celowych udzielanych beneficjentom z budżetu państwa oraz budżetów jednostek samorządu terytorialnego na współfinansowanie projektów na zasadach analogicznych jak dla płatności z budżetu środków europejskich, tj. w t</w:t>
      </w:r>
      <w:r w:rsidR="007A2F0E">
        <w:rPr>
          <w:rFonts w:ascii="Times New Roman" w:eastAsia="Calibri" w:hAnsi="Times New Roman" w:cs="Times New Roman"/>
          <w:sz w:val="24"/>
          <w:szCs w:val="24"/>
          <w:lang w:eastAsia="ar-SA"/>
        </w:rPr>
        <w:t>erminach wynikających z umowy o </w:t>
      </w:r>
      <w:r w:rsidRPr="00046867">
        <w:rPr>
          <w:rFonts w:ascii="Times New Roman" w:eastAsia="Calibri" w:hAnsi="Times New Roman" w:cs="Times New Roman"/>
          <w:sz w:val="24"/>
          <w:szCs w:val="24"/>
          <w:lang w:eastAsia="ar-SA"/>
        </w:rPr>
        <w:t>dofinansowanie, bez konieczności zwracania niewykorzystanych środków na koniec roku budżetowego; warunki i tryb zwrotu środków zostaną określone w rozporządzeniu wydawanym na podstawie art. 189 ust. 4 i 4a ustawy o finansach publicznych. Powyższe zmiany są neutralne dla budżetu, bowiem obecnie niewykorzystane do końca danego roku budżetowego dotacje są zwracane, a następnie, dla zachowania płynności finansowania projektu, są ponownie wypłacane beneficjentom z budżetu roku następnego. Ponadto instytucje wypłacające dotacje zostaną odciążone z obowiązku rozliczania zwrotów na przełomie roku i ponownego wypłacania tych środków.</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Calibri" w:hAnsi="Times New Roman" w:cs="Times New Roman"/>
          <w:sz w:val="24"/>
          <w:szCs w:val="24"/>
          <w:lang w:eastAsia="ar-SA"/>
        </w:rPr>
        <w:t>W art. 188 proponuje się nadanie nowego brzmieni</w:t>
      </w:r>
      <w:r w:rsidR="007A2F0E">
        <w:rPr>
          <w:rFonts w:ascii="Times New Roman" w:eastAsia="Calibri" w:hAnsi="Times New Roman" w:cs="Times New Roman"/>
          <w:sz w:val="24"/>
          <w:szCs w:val="24"/>
          <w:lang w:eastAsia="ar-SA"/>
        </w:rPr>
        <w:t>a ust. 1a przez uwzględnienie w </w:t>
      </w:r>
      <w:r w:rsidRPr="00046867">
        <w:rPr>
          <w:rFonts w:ascii="Times New Roman" w:eastAsia="Calibri" w:hAnsi="Times New Roman" w:cs="Times New Roman"/>
          <w:sz w:val="24"/>
          <w:szCs w:val="24"/>
          <w:lang w:eastAsia="ar-SA"/>
        </w:rPr>
        <w:t>treści przepisu agencji wykonawczych. W obowiązującym stanie prawnym przepis art. 188 ust. 1a umożliwia składanie zleceń płatności beneficjentom będącym państwowymi jednostkami budżetowymi. Proponowana zmiana umożliwi składanie zleceń płatności również agencji wykonawczej, jeżeli jest ona beneficjentem realizującym projekt finansowany z udziałem środków europejskich. Proponowana zmiana uprości schemat zlecania płatności w przyp</w:t>
      </w:r>
      <w:r w:rsidR="007A2F0E">
        <w:rPr>
          <w:rFonts w:ascii="Times New Roman" w:eastAsia="Calibri" w:hAnsi="Times New Roman" w:cs="Times New Roman"/>
          <w:sz w:val="24"/>
          <w:szCs w:val="24"/>
          <w:lang w:eastAsia="ar-SA"/>
        </w:rPr>
        <w:t>adku tego rodzaju projektów – w </w:t>
      </w:r>
      <w:r w:rsidRPr="00046867">
        <w:rPr>
          <w:rFonts w:ascii="Times New Roman" w:eastAsia="Calibri" w:hAnsi="Times New Roman" w:cs="Times New Roman"/>
          <w:sz w:val="24"/>
          <w:szCs w:val="24"/>
          <w:lang w:eastAsia="ar-SA"/>
        </w:rPr>
        <w:t>wyniku jej wprowadzenia agencje wykonawcze będą mogły składać zlecenia płatności</w:t>
      </w:r>
      <w:r w:rsidR="00CA2D01">
        <w:rPr>
          <w:rFonts w:ascii="Times New Roman" w:eastAsia="Calibri" w:hAnsi="Times New Roman" w:cs="Times New Roman"/>
          <w:sz w:val="24"/>
          <w:szCs w:val="24"/>
          <w:lang w:eastAsia="ar-SA"/>
        </w:rPr>
        <w:t>,</w:t>
      </w:r>
      <w:r w:rsidRPr="00046867">
        <w:rPr>
          <w:rFonts w:ascii="Times New Roman" w:eastAsia="Calibri" w:hAnsi="Times New Roman" w:cs="Times New Roman"/>
          <w:sz w:val="24"/>
          <w:szCs w:val="24"/>
          <w:lang w:eastAsia="ar-SA"/>
        </w:rPr>
        <w:t xml:space="preserve"> działając nie tylko jako instytucje zawierające umowy o dofinasowanie, ale także jako beneficjenci.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art. 189 ust. 3 wprowadza się zmianę w zakresie wskazania dodatkowego</w:t>
      </w:r>
      <w:r w:rsidR="007A2F0E">
        <w:rPr>
          <w:rFonts w:ascii="Times New Roman" w:eastAsia="Times New Roman" w:hAnsi="Times New Roman" w:cs="Times New Roman"/>
          <w:sz w:val="24"/>
          <w:szCs w:val="24"/>
          <w:lang w:eastAsia="ar-SA"/>
        </w:rPr>
        <w:br/>
      </w:r>
      <w:r w:rsidRPr="00046867">
        <w:rPr>
          <w:rFonts w:ascii="Times New Roman" w:eastAsia="Times New Roman" w:hAnsi="Times New Roman" w:cs="Times New Roman"/>
          <w:sz w:val="24"/>
          <w:szCs w:val="24"/>
          <w:lang w:eastAsia="ar-SA"/>
        </w:rPr>
        <w:t>14-dniowego terminu na założenie wniosku o płatność</w:t>
      </w:r>
      <w:r w:rsidR="00CA2D01">
        <w:rPr>
          <w:rFonts w:ascii="Times New Roman" w:eastAsia="Times New Roman" w:hAnsi="Times New Roman" w:cs="Times New Roman"/>
          <w:sz w:val="24"/>
          <w:szCs w:val="24"/>
          <w:lang w:eastAsia="ar-SA"/>
        </w:rPr>
        <w:t>,</w:t>
      </w:r>
      <w:r w:rsidRPr="00046867">
        <w:rPr>
          <w:rFonts w:ascii="Times New Roman" w:eastAsia="Times New Roman" w:hAnsi="Times New Roman" w:cs="Times New Roman"/>
          <w:sz w:val="24"/>
          <w:szCs w:val="24"/>
          <w:lang w:eastAsia="ar-SA"/>
        </w:rPr>
        <w:t xml:space="preserve"> a tym samym rozliczenie otrzymanej zaliczki, w którym beneficjentowi nie grożą konsekwencje w postaci naliczania odsetek. Projektowany przepis ma na celu przede wszystkim nieobciążanie sankcjami beneficjentów, którzy z przyczyn niezależnych uchybili terminowi na złożenie wniosku wskazanemu w umowie o dofinansowanie. Zmiana przepisu odnosi się wyłącznie do terminu złożenia wniosku o płatność. Nie dotyczy zatem kwestii terminów wydatkowania środków lub innych terminów dotyczących sposobu realizacji projektu, określonych, co do zasady, w umowach o dofinansowanie. Ze względu na fakt, iż wydłużenie terminu powinno dotyczyć jedynie wyjątkowych sytuacji, w których beneficjent nie zdążył przekazać wniosku o płatność do właściwej instytucji, rozwiązanie to nie obejmuje sytuacji, w której, zgodnie z odrębnymi przepisami, beneficjent rozlicza zaliczkę przez jej zwrot. Zaproponowane zmiany uwzględniają ponadto objęcie zakresem art. 189 ust. 3 i 3c środków finansowych w ramach programu finansowanego z udziałem Europejskiego Funduszu Morskiego i Rybackiego.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art. 206 w ust. 2 zmieniono pkt 8 przez wskazanie, że w umowie o dofinansowanie projektu powinny być określone warunki i termin zwrotu środków, w tym również środków nieprawidłowo wykorzystanych lub pobranych w nadmiernej wysokości. Konieczność zwrotu środków może nastąpić nie tylko w przypadku wystąpienia przesłanek, o których mowa w art. 207 ust. 1, ale również w sytuacjach wynikających wprost z umowy o dofinansowanie.</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 xml:space="preserve">W art. 209 uchyla się ust. 1a i w konsekwencji zmienia się brzmienie ust. 2 zawierającego wprowadzenie do wyliczenia w przepisie upoważniającym do wydania rozporządzenia.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 xml:space="preserve">Zaproponowana zmiana jest związana z procedurą </w:t>
      </w:r>
      <w:r w:rsidR="007A2F0E">
        <w:rPr>
          <w:rFonts w:ascii="Times New Roman" w:eastAsia="Calibri" w:hAnsi="Times New Roman" w:cs="Times New Roman"/>
          <w:sz w:val="24"/>
          <w:szCs w:val="24"/>
          <w:lang w:eastAsia="ar-SA"/>
        </w:rPr>
        <w:t>pozwalającą na udzielanie ulg w </w:t>
      </w:r>
      <w:r w:rsidRPr="00046867">
        <w:rPr>
          <w:rFonts w:ascii="Times New Roman" w:eastAsia="Calibri" w:hAnsi="Times New Roman" w:cs="Times New Roman"/>
          <w:sz w:val="24"/>
          <w:szCs w:val="24"/>
          <w:lang w:eastAsia="ar-SA"/>
        </w:rPr>
        <w:t>spłacie należności przypadających właściwym instytucjom w ramach wdrażania programu finansowanego z udziałem Europejskiego Funduszu Morskiego i Rybackiego. Obecnie procedura ta jest już uregulowana w ustawie o fi</w:t>
      </w:r>
      <w:r w:rsidR="007A2F0E">
        <w:rPr>
          <w:rFonts w:ascii="Times New Roman" w:eastAsia="Calibri" w:hAnsi="Times New Roman" w:cs="Times New Roman"/>
          <w:sz w:val="24"/>
          <w:szCs w:val="24"/>
          <w:lang w:eastAsia="ar-SA"/>
        </w:rPr>
        <w:t>nansach publicznych, tj. w art. </w:t>
      </w:r>
      <w:r w:rsidRPr="00046867">
        <w:rPr>
          <w:rFonts w:ascii="Times New Roman" w:eastAsia="Calibri" w:hAnsi="Times New Roman" w:cs="Times New Roman"/>
          <w:sz w:val="24"/>
          <w:szCs w:val="24"/>
          <w:lang w:eastAsia="ar-SA"/>
        </w:rPr>
        <w:t>60 pkt 6 w związku z art. 64 tej ustawy. Dlat</w:t>
      </w:r>
      <w:r w:rsidR="007A2F0E">
        <w:rPr>
          <w:rFonts w:ascii="Times New Roman" w:eastAsia="Calibri" w:hAnsi="Times New Roman" w:cs="Times New Roman"/>
          <w:sz w:val="24"/>
          <w:szCs w:val="24"/>
          <w:lang w:eastAsia="ar-SA"/>
        </w:rPr>
        <w:t>ego też proponowana zmiana art. </w:t>
      </w:r>
      <w:r w:rsidRPr="00046867">
        <w:rPr>
          <w:rFonts w:ascii="Times New Roman" w:eastAsia="Calibri" w:hAnsi="Times New Roman" w:cs="Times New Roman"/>
          <w:sz w:val="24"/>
          <w:szCs w:val="24"/>
          <w:lang w:eastAsia="ar-SA"/>
        </w:rPr>
        <w:t>209 ust. 1a ustawy o finansach publicznych polegająca na uchyleniu ww. przepisu wykluczy rozbieżność dotyczącą stosowania przepi</w:t>
      </w:r>
      <w:r w:rsidR="007A2F0E">
        <w:rPr>
          <w:rFonts w:ascii="Times New Roman" w:eastAsia="Calibri" w:hAnsi="Times New Roman" w:cs="Times New Roman"/>
          <w:sz w:val="24"/>
          <w:szCs w:val="24"/>
          <w:lang w:eastAsia="ar-SA"/>
        </w:rPr>
        <w:t>sów w zakresie udzielania ulg w </w:t>
      </w:r>
      <w:r w:rsidRPr="00046867">
        <w:rPr>
          <w:rFonts w:ascii="Times New Roman" w:eastAsia="Calibri" w:hAnsi="Times New Roman" w:cs="Times New Roman"/>
          <w:sz w:val="24"/>
          <w:szCs w:val="24"/>
          <w:lang w:eastAsia="ar-SA"/>
        </w:rPr>
        <w:t xml:space="preserve">spłacie należności i włączy system finansowania programu i operacji z Europejskiego Funduszu Morskiego i Rybackiego do systemu płatnościowego funkcjonującego na podstawie ustawy o finansach publicznych. Za przyjęciem proponowanej zmiany przemawia również to, iż od dnia 16 listopada 2015 r. w systemie realizacji Programu Operacyjnego „Rybactwo i Morze” zaszły zmiany organizacyjne będące konsekwencją utworzenia Ministerstwa Gospodarki Morskiej i Żeglugi Śródlądowej. W wyniku zmian dział administracji rządowej – rybołówstwo jest kierowany przez </w:t>
      </w:r>
      <w:r w:rsidR="00CA2D01">
        <w:rPr>
          <w:rFonts w:ascii="Times New Roman" w:eastAsia="Calibri" w:hAnsi="Times New Roman" w:cs="Times New Roman"/>
          <w:sz w:val="24"/>
          <w:szCs w:val="24"/>
          <w:lang w:eastAsia="ar-SA"/>
        </w:rPr>
        <w:t>m</w:t>
      </w:r>
      <w:r w:rsidRPr="00046867">
        <w:rPr>
          <w:rFonts w:ascii="Times New Roman" w:eastAsia="Calibri" w:hAnsi="Times New Roman" w:cs="Times New Roman"/>
          <w:sz w:val="24"/>
          <w:szCs w:val="24"/>
          <w:lang w:eastAsia="ar-SA"/>
        </w:rPr>
        <w:t>inistra obsługiwanego przez Ministerstwo Gospodarki Mo</w:t>
      </w:r>
      <w:r w:rsidR="007A2F0E">
        <w:rPr>
          <w:rFonts w:ascii="Times New Roman" w:eastAsia="Calibri" w:hAnsi="Times New Roman" w:cs="Times New Roman"/>
          <w:sz w:val="24"/>
          <w:szCs w:val="24"/>
          <w:lang w:eastAsia="ar-SA"/>
        </w:rPr>
        <w:t>rskiej i Żeglugi Śródlądowej. W </w:t>
      </w:r>
      <w:r w:rsidRPr="00046867">
        <w:rPr>
          <w:rFonts w:ascii="Times New Roman" w:eastAsia="Calibri" w:hAnsi="Times New Roman" w:cs="Times New Roman"/>
          <w:sz w:val="24"/>
          <w:szCs w:val="24"/>
          <w:lang w:eastAsia="ar-SA"/>
        </w:rPr>
        <w:t>związku z powyższą zmianą dotyczącą organu zarządzającego programem finansowanym ze środków Europejskiego Funduszu Morskiego i Rybackiego oraz ze względu na odmienną specyfikę tego Funduszu od funduszu zarządzanego przez Ministra Rolnictwa i Rozwoju Wsi w ramach programu finansowanego ze środków Europejskiego Funduszu Rolnego na rzecz Rozwoju Obszarów Wiejskich, proponowana zmiana jest uzasadniona.</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b/>
          <w:sz w:val="24"/>
          <w:szCs w:val="24"/>
          <w:lang w:eastAsia="ar-SA"/>
        </w:rPr>
        <w:t>W art. 12 wprowadza się zmianę do ustawy z dnia 30 kwietnia 2010 r. o zasadach finansowania nauki</w:t>
      </w:r>
    </w:p>
    <w:p w:rsidR="00046867" w:rsidRPr="00046867" w:rsidRDefault="00046867" w:rsidP="005D1102">
      <w:pPr>
        <w:suppressAutoHyphens/>
        <w:spacing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Zmiana art. 24 ust. 2 ma na celu przywrócenie możliwości ujawniania danych ekspertów oceniających wnioski o dofinansowanie projektów w ramach programów operacyjnych polityki spójności na zasadach określonych w przepisach regulujących wdrażanie funduszy – tj. przez publikowanie informacji o składzie komisji oceny projektów.</w:t>
      </w:r>
    </w:p>
    <w:p w:rsidR="00046867" w:rsidRPr="00046867" w:rsidRDefault="00046867" w:rsidP="00046867">
      <w:pPr>
        <w:suppressAutoHyphens/>
        <w:spacing w:before="120" w:after="0" w:line="360" w:lineRule="auto"/>
        <w:jc w:val="both"/>
        <w:rPr>
          <w:rFonts w:ascii="Times New Roman" w:eastAsia="Calibri" w:hAnsi="Times New Roman" w:cs="Times New Roman"/>
          <w:b/>
          <w:sz w:val="24"/>
          <w:szCs w:val="24"/>
          <w:lang w:eastAsia="ar-SA"/>
        </w:rPr>
      </w:pPr>
      <w:r w:rsidRPr="00046867">
        <w:rPr>
          <w:rFonts w:ascii="Times New Roman" w:eastAsia="Calibri" w:hAnsi="Times New Roman" w:cs="Times New Roman"/>
          <w:b/>
          <w:sz w:val="24"/>
          <w:szCs w:val="24"/>
          <w:lang w:eastAsia="ar-SA"/>
        </w:rPr>
        <w:t xml:space="preserve">W art. 13 wprowadza się zmianę do ustawy z dnia 20 lutego 2015 r. o wspieraniu rozwoju obszarów wiejskich z udziałem środków Europejskiego Funduszu Rolnego na rzecz Rozwoju Obszarów Wiejskich w ramach Programu Rozwoju Obszarów Wiejskich na lata 2014–2020 (ustawa ROW) </w:t>
      </w:r>
    </w:p>
    <w:p w:rsidR="00046867" w:rsidRPr="00046867" w:rsidRDefault="00046867" w:rsidP="005D1102">
      <w:pPr>
        <w:suppressAutoHyphens/>
        <w:spacing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Zmiana polega na doprecyzowaniu, iż przez dany cel lokalnej strategii rozwoju (LSR), o którym mowa w art. 19a ustawy ROW, n</w:t>
      </w:r>
      <w:r w:rsidR="007A2F0E">
        <w:rPr>
          <w:rFonts w:ascii="Times New Roman" w:eastAsia="Calibri" w:hAnsi="Times New Roman" w:cs="Times New Roman"/>
          <w:sz w:val="24"/>
          <w:szCs w:val="24"/>
          <w:lang w:eastAsia="ar-SA"/>
        </w:rPr>
        <w:t>ależy rozumieć cel główny LSR i </w:t>
      </w:r>
      <w:r w:rsidRPr="00046867">
        <w:rPr>
          <w:rFonts w:ascii="Times New Roman" w:eastAsia="Calibri" w:hAnsi="Times New Roman" w:cs="Times New Roman"/>
          <w:sz w:val="24"/>
          <w:szCs w:val="24"/>
          <w:lang w:eastAsia="ar-SA"/>
        </w:rPr>
        <w:t>podyktowana jest wątpliwościami interpretacyjnymi w tym zakresie. Zarządy województw, stosując przepisy ww. ustawy, miały wątpliwości, czy przepis ten nie odnosi się do celu szczegółowego LSR.</w:t>
      </w:r>
      <w:r w:rsidRPr="00046867">
        <w:rPr>
          <w:rFonts w:ascii="Times New Roman" w:eastAsia="Times New Roman" w:hAnsi="Times New Roman" w:cs="Times New Roman"/>
          <w:sz w:val="24"/>
          <w:szCs w:val="24"/>
          <w:lang w:eastAsia="ar-SA"/>
        </w:rPr>
        <w:t xml:space="preserve"> </w:t>
      </w:r>
      <w:r w:rsidRPr="00046867">
        <w:rPr>
          <w:rFonts w:ascii="Times New Roman" w:eastAsia="Calibri" w:hAnsi="Times New Roman" w:cs="Times New Roman"/>
          <w:sz w:val="24"/>
          <w:szCs w:val="24"/>
          <w:lang w:eastAsia="ar-SA"/>
        </w:rPr>
        <w:t>W ocenie projektodawcy nie ma podstaw do uznania, iż przepis ten należy interpretować zawężająco odnosząc się do celu szczegółowego LSR, a nie głównego, jednak aby uniknąć dalszych wątpliwości interpretacyjnych w tym zakresie</w:t>
      </w:r>
      <w:r w:rsidR="008148BA">
        <w:rPr>
          <w:rFonts w:ascii="Times New Roman" w:eastAsia="Calibri" w:hAnsi="Times New Roman" w:cs="Times New Roman"/>
          <w:sz w:val="24"/>
          <w:szCs w:val="24"/>
          <w:lang w:eastAsia="ar-SA"/>
        </w:rPr>
        <w:t>,</w:t>
      </w:r>
      <w:r w:rsidRPr="00046867">
        <w:rPr>
          <w:rFonts w:ascii="Times New Roman" w:eastAsia="Calibri" w:hAnsi="Times New Roman" w:cs="Times New Roman"/>
          <w:sz w:val="24"/>
          <w:szCs w:val="24"/>
          <w:lang w:eastAsia="ar-SA"/>
        </w:rPr>
        <w:t xml:space="preserve"> proponuje się doprecyzowanie przepisu.</w:t>
      </w:r>
    </w:p>
    <w:p w:rsidR="00046867" w:rsidRPr="00046867" w:rsidRDefault="00046867" w:rsidP="00046867">
      <w:pPr>
        <w:suppressAutoHyphens/>
        <w:spacing w:before="120" w:after="0" w:line="360" w:lineRule="auto"/>
        <w:jc w:val="both"/>
        <w:rPr>
          <w:rFonts w:ascii="Times New Roman" w:eastAsia="Calibri" w:hAnsi="Times New Roman" w:cs="Times New Roman"/>
          <w:b/>
          <w:sz w:val="24"/>
          <w:szCs w:val="24"/>
          <w:lang w:eastAsia="ar-SA"/>
        </w:rPr>
      </w:pPr>
      <w:r w:rsidRPr="00046867">
        <w:rPr>
          <w:rFonts w:ascii="Times New Roman" w:eastAsia="Calibri" w:hAnsi="Times New Roman" w:cs="Times New Roman"/>
          <w:b/>
          <w:sz w:val="24"/>
          <w:szCs w:val="24"/>
          <w:lang w:eastAsia="ar-SA"/>
        </w:rPr>
        <w:t>W art. 14 wprowadza się zmiany do ustawy z dnia 20 lutego 2015 r. o rozwoju lokalnym z udziałem lokalnej społeczności (ustawa o RLKS)</w:t>
      </w:r>
    </w:p>
    <w:p w:rsidR="00046867" w:rsidRDefault="00046867" w:rsidP="005D1102">
      <w:pPr>
        <w:suppressAutoHyphens/>
        <w:spacing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Proponowane zmiany są wynikiem zmian wprowadzonych do ustawy o zasadach realizacji programów w zakresie polityki spójności finansowanych w perspektywie finansowej 2014–2020. Ponadto w odniesieniu do prop</w:t>
      </w:r>
      <w:r w:rsidR="007A2F0E">
        <w:rPr>
          <w:rFonts w:ascii="Times New Roman" w:eastAsia="Calibri" w:hAnsi="Times New Roman" w:cs="Times New Roman"/>
          <w:sz w:val="24"/>
          <w:szCs w:val="24"/>
          <w:lang w:eastAsia="ar-SA"/>
        </w:rPr>
        <w:t>ozycji dodania nowego ust. 4a w </w:t>
      </w:r>
      <w:r w:rsidRPr="00046867">
        <w:rPr>
          <w:rFonts w:ascii="Times New Roman" w:eastAsia="Calibri" w:hAnsi="Times New Roman" w:cs="Times New Roman"/>
          <w:sz w:val="24"/>
          <w:szCs w:val="24"/>
          <w:lang w:eastAsia="ar-SA"/>
        </w:rPr>
        <w:t xml:space="preserve">art. 23 ustawy o RLKS, propozycja taka wynika z konieczności zapewnienia możliwości sfinansowania operacji, które w wyniku zastosowania procedury protestu, jaką przewidują przepisy ustawy o RLKS, spełniły warunki predystynujące je do udzielenia wsparcia w ramach poszczególnych EFSI, pomimo wyczerpania środków </w:t>
      </w:r>
      <w:r w:rsidR="007A2F0E">
        <w:rPr>
          <w:rFonts w:ascii="Times New Roman" w:eastAsia="Calibri" w:hAnsi="Times New Roman" w:cs="Times New Roman"/>
          <w:sz w:val="24"/>
          <w:szCs w:val="24"/>
          <w:lang w:eastAsia="ar-SA"/>
        </w:rPr>
        <w:t>w </w:t>
      </w:r>
      <w:r w:rsidRPr="00046867">
        <w:rPr>
          <w:rFonts w:ascii="Times New Roman" w:eastAsia="Calibri" w:hAnsi="Times New Roman" w:cs="Times New Roman"/>
          <w:sz w:val="24"/>
          <w:szCs w:val="24"/>
          <w:lang w:eastAsia="ar-SA"/>
        </w:rPr>
        <w:t>ramach limitu środków wskazanego w ogłoszeniu o naborze wniosków o udzielenie wsparcia. Brak projektowanego przepisu powodował wątpliwości interpretacyjne przez brak jasnego wskazania przepisu stanowiącego podstawę udzielenia wsparcia wnioskodawcy, którego operacja w wyniku wniesienia protestu została wybrana przez LGD i spełniła pozostałe warunki udzielenia ws</w:t>
      </w:r>
      <w:r w:rsidR="007A2F0E">
        <w:rPr>
          <w:rFonts w:ascii="Times New Roman" w:eastAsia="Calibri" w:hAnsi="Times New Roman" w:cs="Times New Roman"/>
          <w:sz w:val="24"/>
          <w:szCs w:val="24"/>
          <w:lang w:eastAsia="ar-SA"/>
        </w:rPr>
        <w:t>parcia. Biorąc pod uwagę czas i </w:t>
      </w:r>
      <w:r w:rsidRPr="00046867">
        <w:rPr>
          <w:rFonts w:ascii="Times New Roman" w:eastAsia="Calibri" w:hAnsi="Times New Roman" w:cs="Times New Roman"/>
          <w:sz w:val="24"/>
          <w:szCs w:val="24"/>
          <w:lang w:eastAsia="ar-SA"/>
        </w:rPr>
        <w:t>moment wdrażania RLKS</w:t>
      </w:r>
      <w:r w:rsidR="00CA2D01">
        <w:rPr>
          <w:rFonts w:ascii="Times New Roman" w:eastAsia="Calibri" w:hAnsi="Times New Roman" w:cs="Times New Roman"/>
          <w:sz w:val="24"/>
          <w:szCs w:val="24"/>
          <w:lang w:eastAsia="ar-SA"/>
        </w:rPr>
        <w:t>,</w:t>
      </w:r>
      <w:r w:rsidRPr="00046867">
        <w:rPr>
          <w:rFonts w:ascii="Times New Roman" w:eastAsia="Calibri" w:hAnsi="Times New Roman" w:cs="Times New Roman"/>
          <w:sz w:val="24"/>
          <w:szCs w:val="24"/>
          <w:lang w:eastAsia="ar-SA"/>
        </w:rPr>
        <w:t xml:space="preserve"> nie jest wymagane wprowadzanie do ustawy dodatkowego przepisu przejściowego dotyczącego stosowania projektowanych przepisów. Zmiana brzmienia ust. 8 w art. 23 ustawy RLKS ma charakter techniczny. Nowo</w:t>
      </w:r>
      <w:r w:rsidR="00CA2D01">
        <w:rPr>
          <w:rFonts w:ascii="Times New Roman" w:eastAsia="Calibri" w:hAnsi="Times New Roman" w:cs="Times New Roman"/>
          <w:sz w:val="24"/>
          <w:szCs w:val="24"/>
          <w:lang w:eastAsia="ar-SA"/>
        </w:rPr>
        <w:t xml:space="preserve"> </w:t>
      </w:r>
      <w:r w:rsidRPr="00046867">
        <w:rPr>
          <w:rFonts w:ascii="Times New Roman" w:eastAsia="Calibri" w:hAnsi="Times New Roman" w:cs="Times New Roman"/>
          <w:sz w:val="24"/>
          <w:szCs w:val="24"/>
          <w:lang w:eastAsia="ar-SA"/>
        </w:rPr>
        <w:t>projektowany ust. 4a nie będzie miał zastosowania do projektów grantowych i operacji własnych LGD, gdyż procedura protestu nie ma zastosowania w przypadku tych operacji.</w:t>
      </w:r>
    </w:p>
    <w:p w:rsidR="00287C93" w:rsidRPr="00287C93" w:rsidRDefault="00DA5598" w:rsidP="00EC2B84">
      <w:pPr>
        <w:widowControl w:val="0"/>
        <w:shd w:val="clear" w:color="auto" w:fill="FFFFFF"/>
        <w:autoSpaceDE w:val="0"/>
        <w:autoSpaceDN w:val="0"/>
        <w:adjustRightInd w:val="0"/>
        <w:spacing w:before="120" w:after="0" w:line="360" w:lineRule="auto"/>
        <w:jc w:val="both"/>
        <w:rPr>
          <w:rFonts w:ascii="Times New Roman" w:hAnsi="Times New Roman" w:cs="Times New Roman"/>
          <w:b/>
          <w:sz w:val="24"/>
          <w:szCs w:val="24"/>
        </w:rPr>
      </w:pPr>
      <w:r w:rsidRPr="00287C93">
        <w:rPr>
          <w:rFonts w:ascii="Times New Roman" w:eastAsia="Calibri" w:hAnsi="Times New Roman" w:cs="Times New Roman"/>
          <w:b/>
          <w:sz w:val="24"/>
          <w:szCs w:val="24"/>
          <w:lang w:eastAsia="ar-SA"/>
        </w:rPr>
        <w:t>W art. 15</w:t>
      </w:r>
      <w:r w:rsidR="00287C93" w:rsidRPr="00287C93">
        <w:rPr>
          <w:rStyle w:val="BEZWERSALIKW"/>
          <w:rFonts w:ascii="Times New Roman" w:hAnsi="Times New Roman" w:cs="Times New Roman"/>
          <w:b/>
          <w:sz w:val="24"/>
          <w:szCs w:val="24"/>
        </w:rPr>
        <w:t xml:space="preserve"> </w:t>
      </w:r>
      <w:r w:rsidR="00287C93" w:rsidRPr="00287C93">
        <w:rPr>
          <w:rFonts w:ascii="Times New Roman" w:eastAsia="Calibri" w:hAnsi="Times New Roman" w:cs="Times New Roman"/>
          <w:b/>
          <w:sz w:val="24"/>
          <w:szCs w:val="24"/>
          <w:lang w:eastAsia="ar-SA"/>
        </w:rPr>
        <w:t xml:space="preserve">wprowadza się zmiany do </w:t>
      </w:r>
      <w:r w:rsidR="00287C93" w:rsidRPr="00287C93">
        <w:rPr>
          <w:rFonts w:ascii="Times New Roman" w:hAnsi="Times New Roman" w:cs="Times New Roman"/>
          <w:b/>
          <w:sz w:val="24"/>
          <w:szCs w:val="24"/>
        </w:rPr>
        <w:t xml:space="preserve">ustawy z dnia 22 grudnia 2015 r. </w:t>
      </w:r>
      <w:r w:rsidR="00287C93">
        <w:rPr>
          <w:rFonts w:ascii="Times New Roman" w:hAnsi="Times New Roman" w:cs="Times New Roman"/>
          <w:b/>
          <w:sz w:val="24"/>
          <w:szCs w:val="24"/>
        </w:rPr>
        <w:t>o </w:t>
      </w:r>
      <w:r w:rsidR="00287C93" w:rsidRPr="00287C93">
        <w:rPr>
          <w:rFonts w:ascii="Times New Roman" w:hAnsi="Times New Roman" w:cs="Times New Roman"/>
          <w:b/>
          <w:sz w:val="24"/>
          <w:szCs w:val="24"/>
        </w:rPr>
        <w:t xml:space="preserve">Zintegrowanym Systemie Kwalifikacji </w:t>
      </w:r>
    </w:p>
    <w:p w:rsidR="00F73E7B" w:rsidRDefault="00F73E7B" w:rsidP="00EC2B84">
      <w:pPr>
        <w:widowControl w:val="0"/>
        <w:shd w:val="clear" w:color="auto" w:fill="FFFFFF"/>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F73E7B">
        <w:rPr>
          <w:rFonts w:ascii="Times New Roman" w:eastAsiaTheme="minorEastAsia" w:hAnsi="Times New Roman" w:cs="Times New Roman"/>
          <w:color w:val="000000"/>
          <w:spacing w:val="-2"/>
          <w:sz w:val="24"/>
          <w:szCs w:val="24"/>
          <w:lang w:eastAsia="pl-PL"/>
        </w:rPr>
        <w:t>Zmiany polegaj</w:t>
      </w:r>
      <w:r w:rsidRPr="00F73E7B">
        <w:rPr>
          <w:rFonts w:ascii="Times New Roman" w:eastAsia="Times New Roman" w:hAnsi="Times New Roman" w:cs="Times New Roman"/>
          <w:color w:val="000000"/>
          <w:spacing w:val="-2"/>
          <w:sz w:val="24"/>
          <w:szCs w:val="24"/>
          <w:lang w:eastAsia="pl-PL"/>
        </w:rPr>
        <w:t>ące na uchyleniu w art. 2 pkt 15 ustawy z dnia 22 grudnia 2015 r. o </w:t>
      </w:r>
      <w:r w:rsidRPr="00F73E7B">
        <w:rPr>
          <w:rFonts w:ascii="Times New Roman" w:eastAsiaTheme="minorEastAsia" w:hAnsi="Times New Roman" w:cs="Times New Roman"/>
          <w:color w:val="000000"/>
          <w:sz w:val="24"/>
          <w:szCs w:val="24"/>
          <w:lang w:eastAsia="pl-PL"/>
        </w:rPr>
        <w:t>Zintegrowanym Syst</w:t>
      </w:r>
      <w:r w:rsidR="00182471">
        <w:rPr>
          <w:rFonts w:ascii="Times New Roman" w:eastAsiaTheme="minorEastAsia" w:hAnsi="Times New Roman" w:cs="Times New Roman"/>
          <w:color w:val="000000"/>
          <w:sz w:val="24"/>
          <w:szCs w:val="24"/>
          <w:lang w:eastAsia="pl-PL"/>
        </w:rPr>
        <w:t>emie Kwalifikacji (Dz. U. z 2017</w:t>
      </w:r>
      <w:r w:rsidRPr="00F73E7B">
        <w:rPr>
          <w:rFonts w:ascii="Times New Roman" w:eastAsiaTheme="minorEastAsia" w:hAnsi="Times New Roman" w:cs="Times New Roman"/>
          <w:color w:val="000000"/>
          <w:sz w:val="24"/>
          <w:szCs w:val="24"/>
          <w:lang w:eastAsia="pl-PL"/>
        </w:rPr>
        <w:t xml:space="preserve"> r. p</w:t>
      </w:r>
      <w:r w:rsidR="00452666">
        <w:rPr>
          <w:rFonts w:ascii="Times New Roman" w:eastAsiaTheme="minorEastAsia" w:hAnsi="Times New Roman" w:cs="Times New Roman"/>
          <w:color w:val="000000"/>
          <w:sz w:val="24"/>
          <w:szCs w:val="24"/>
          <w:lang w:eastAsia="pl-PL"/>
        </w:rPr>
        <w:t>o</w:t>
      </w:r>
      <w:r w:rsidRPr="00F73E7B">
        <w:rPr>
          <w:rFonts w:ascii="Times New Roman" w:eastAsia="Times New Roman" w:hAnsi="Times New Roman" w:cs="Times New Roman"/>
          <w:color w:val="000000"/>
          <w:sz w:val="24"/>
          <w:szCs w:val="24"/>
          <w:lang w:eastAsia="pl-PL"/>
        </w:rPr>
        <w:t xml:space="preserve">z. </w:t>
      </w:r>
      <w:r w:rsidR="00182471">
        <w:rPr>
          <w:rFonts w:ascii="Times New Roman" w:eastAsia="Times New Roman" w:hAnsi="Times New Roman" w:cs="Times New Roman"/>
          <w:color w:val="000000"/>
          <w:sz w:val="24"/>
          <w:szCs w:val="24"/>
          <w:lang w:eastAsia="pl-PL"/>
        </w:rPr>
        <w:t xml:space="preserve">986) i </w:t>
      </w:r>
      <w:r w:rsidRPr="00F73E7B">
        <w:rPr>
          <w:rFonts w:ascii="Times New Roman" w:eastAsia="Times New Roman" w:hAnsi="Times New Roman" w:cs="Times New Roman"/>
          <w:color w:val="000000"/>
          <w:sz w:val="24"/>
          <w:szCs w:val="24"/>
          <w:lang w:eastAsia="pl-PL"/>
        </w:rPr>
        <w:t xml:space="preserve">dodaniu art. </w:t>
      </w:r>
      <w:r w:rsidRPr="00F73E7B">
        <w:rPr>
          <w:rFonts w:ascii="Times New Roman" w:eastAsiaTheme="minorEastAsia" w:hAnsi="Times New Roman" w:cs="Times New Roman"/>
          <w:color w:val="000000"/>
          <w:sz w:val="24"/>
          <w:szCs w:val="24"/>
          <w:lang w:eastAsia="pl-PL"/>
        </w:rPr>
        <w:t>82a w tej ustawie oraz uchyleniu ust</w:t>
      </w:r>
      <w:r w:rsidR="00452666">
        <w:rPr>
          <w:rFonts w:ascii="Times New Roman" w:eastAsiaTheme="minorEastAsia" w:hAnsi="Times New Roman" w:cs="Times New Roman"/>
          <w:color w:val="000000"/>
          <w:sz w:val="24"/>
          <w:szCs w:val="24"/>
          <w:lang w:eastAsia="pl-PL"/>
        </w:rPr>
        <w:t xml:space="preserve">. </w:t>
      </w:r>
      <w:r w:rsidRPr="00F73E7B">
        <w:rPr>
          <w:rFonts w:ascii="Times New Roman" w:eastAsiaTheme="minorEastAsia" w:hAnsi="Times New Roman" w:cs="Times New Roman"/>
          <w:color w:val="000000"/>
          <w:sz w:val="24"/>
          <w:szCs w:val="24"/>
          <w:lang w:eastAsia="pl-PL"/>
        </w:rPr>
        <w:t xml:space="preserve">1c w </w:t>
      </w:r>
      <w:r w:rsidR="00452666">
        <w:rPr>
          <w:rFonts w:ascii="Times New Roman" w:eastAsiaTheme="minorEastAsia" w:hAnsi="Times New Roman" w:cs="Times New Roman"/>
          <w:color w:val="000000"/>
          <w:sz w:val="24"/>
          <w:szCs w:val="24"/>
          <w:lang w:eastAsia="pl-PL"/>
        </w:rPr>
        <w:t xml:space="preserve">art. </w:t>
      </w:r>
      <w:r w:rsidRPr="00F73E7B">
        <w:rPr>
          <w:rFonts w:ascii="Times New Roman" w:eastAsiaTheme="minorEastAsia" w:hAnsi="Times New Roman" w:cs="Times New Roman"/>
          <w:color w:val="000000"/>
          <w:sz w:val="24"/>
          <w:szCs w:val="24"/>
          <w:lang w:eastAsia="pl-PL"/>
        </w:rPr>
        <w:t>4 ustawy z dnia 9 listopada 2000 r</w:t>
      </w:r>
      <w:r w:rsidR="00182471">
        <w:rPr>
          <w:rFonts w:ascii="Times New Roman" w:eastAsiaTheme="minorEastAsia" w:hAnsi="Times New Roman" w:cs="Times New Roman"/>
          <w:color w:val="000000"/>
          <w:sz w:val="24"/>
          <w:szCs w:val="24"/>
          <w:lang w:eastAsia="pl-PL"/>
        </w:rPr>
        <w:t>. o </w:t>
      </w:r>
      <w:r w:rsidRPr="00F73E7B">
        <w:rPr>
          <w:rFonts w:ascii="Times New Roman" w:eastAsiaTheme="minorEastAsia" w:hAnsi="Times New Roman" w:cs="Times New Roman"/>
          <w:color w:val="000000"/>
          <w:sz w:val="24"/>
          <w:szCs w:val="24"/>
          <w:lang w:eastAsia="pl-PL"/>
        </w:rPr>
        <w:t>utworzeniu Polskiej Agencji Rozwoju Przedsi</w:t>
      </w:r>
      <w:r w:rsidR="00452666">
        <w:rPr>
          <w:rFonts w:ascii="Times New Roman" w:eastAsia="Times New Roman" w:hAnsi="Times New Roman" w:cs="Times New Roman"/>
          <w:color w:val="000000"/>
          <w:sz w:val="24"/>
          <w:szCs w:val="24"/>
          <w:lang w:eastAsia="pl-PL"/>
        </w:rPr>
        <w:t>ębiorczości (Dz. U. z 201</w:t>
      </w:r>
      <w:r w:rsidR="00182471">
        <w:rPr>
          <w:rFonts w:ascii="Times New Roman" w:eastAsia="Times New Roman" w:hAnsi="Times New Roman" w:cs="Times New Roman"/>
          <w:color w:val="000000"/>
          <w:sz w:val="24"/>
          <w:szCs w:val="24"/>
          <w:lang w:eastAsia="pl-PL"/>
        </w:rPr>
        <w:t>6</w:t>
      </w:r>
      <w:r w:rsidR="00452666">
        <w:rPr>
          <w:rFonts w:ascii="Times New Roman" w:eastAsia="Times New Roman" w:hAnsi="Times New Roman" w:cs="Times New Roman"/>
          <w:color w:val="000000"/>
          <w:sz w:val="24"/>
          <w:szCs w:val="24"/>
          <w:lang w:eastAsia="pl-PL"/>
        </w:rPr>
        <w:t xml:space="preserve"> r. po</w:t>
      </w:r>
      <w:r w:rsidRPr="00F73E7B">
        <w:rPr>
          <w:rFonts w:ascii="Times New Roman" w:eastAsia="Times New Roman" w:hAnsi="Times New Roman" w:cs="Times New Roman"/>
          <w:color w:val="000000"/>
          <w:sz w:val="24"/>
          <w:szCs w:val="24"/>
          <w:lang w:eastAsia="pl-PL"/>
        </w:rPr>
        <w:t xml:space="preserve">z. </w:t>
      </w:r>
      <w:r w:rsidR="00182471">
        <w:rPr>
          <w:rFonts w:ascii="Times New Roman" w:eastAsia="Times New Roman" w:hAnsi="Times New Roman" w:cs="Times New Roman"/>
          <w:color w:val="000000"/>
          <w:sz w:val="24"/>
          <w:szCs w:val="24"/>
          <w:lang w:eastAsia="pl-PL"/>
        </w:rPr>
        <w:t>359, z </w:t>
      </w:r>
      <w:r w:rsidRPr="00F73E7B">
        <w:rPr>
          <w:rFonts w:ascii="Times New Roman" w:eastAsiaTheme="minorEastAsia" w:hAnsi="Times New Roman" w:cs="Times New Roman"/>
          <w:color w:val="000000"/>
          <w:sz w:val="24"/>
          <w:szCs w:val="24"/>
          <w:lang w:eastAsia="pl-PL"/>
        </w:rPr>
        <w:t>p</w:t>
      </w:r>
      <w:r w:rsidRPr="00F73E7B">
        <w:rPr>
          <w:rFonts w:ascii="Times New Roman" w:eastAsia="Times New Roman" w:hAnsi="Times New Roman" w:cs="Times New Roman"/>
          <w:color w:val="000000"/>
          <w:sz w:val="24"/>
          <w:szCs w:val="24"/>
          <w:lang w:eastAsia="pl-PL"/>
        </w:rPr>
        <w:t>óźn. zm.) mają na celu powierzenie prowadzenia Zintegrowanego Rejestru Kwalifikacji (ZRK) – rejestr</w:t>
      </w:r>
      <w:r w:rsidR="00452666">
        <w:rPr>
          <w:rFonts w:ascii="Times New Roman" w:eastAsia="Times New Roman" w:hAnsi="Times New Roman" w:cs="Times New Roman"/>
          <w:color w:val="000000"/>
          <w:sz w:val="24"/>
          <w:szCs w:val="24"/>
          <w:lang w:eastAsia="pl-PL"/>
        </w:rPr>
        <w:t>u</w:t>
      </w:r>
      <w:r w:rsidRPr="00F73E7B">
        <w:rPr>
          <w:rFonts w:ascii="Times New Roman" w:eastAsia="Times New Roman" w:hAnsi="Times New Roman" w:cs="Times New Roman"/>
          <w:color w:val="000000"/>
          <w:sz w:val="24"/>
          <w:szCs w:val="24"/>
          <w:lang w:eastAsia="pl-PL"/>
        </w:rPr>
        <w:t xml:space="preserve"> </w:t>
      </w:r>
      <w:r w:rsidRPr="00F73E7B">
        <w:rPr>
          <w:rFonts w:ascii="Times New Roman" w:eastAsia="Times New Roman" w:hAnsi="Times New Roman" w:cs="Times New Roman"/>
          <w:bCs/>
          <w:color w:val="000000"/>
          <w:sz w:val="24"/>
          <w:szCs w:val="24"/>
          <w:lang w:eastAsia="pl-PL"/>
        </w:rPr>
        <w:t xml:space="preserve">publicznego </w:t>
      </w:r>
      <w:r w:rsidRPr="00F73E7B">
        <w:rPr>
          <w:rFonts w:ascii="Times New Roman" w:eastAsia="Times New Roman" w:hAnsi="Times New Roman" w:cs="Times New Roman"/>
          <w:color w:val="000000"/>
          <w:sz w:val="24"/>
          <w:szCs w:val="24"/>
          <w:lang w:eastAsia="pl-PL"/>
        </w:rPr>
        <w:t xml:space="preserve">prowadzonego w systemie teleinformatycznym, </w:t>
      </w:r>
      <w:r w:rsidRPr="00F73E7B">
        <w:rPr>
          <w:rFonts w:ascii="Times New Roman" w:eastAsiaTheme="minorEastAsia" w:hAnsi="Times New Roman" w:cs="Times New Roman"/>
          <w:color w:val="000000"/>
          <w:sz w:val="24"/>
          <w:szCs w:val="24"/>
          <w:lang w:eastAsia="pl-PL"/>
        </w:rPr>
        <w:t>ewidencjonuj</w:t>
      </w:r>
      <w:r w:rsidRPr="00F73E7B">
        <w:rPr>
          <w:rFonts w:ascii="Times New Roman" w:eastAsia="Times New Roman" w:hAnsi="Times New Roman" w:cs="Times New Roman"/>
          <w:color w:val="000000"/>
          <w:sz w:val="24"/>
          <w:szCs w:val="24"/>
          <w:lang w:eastAsia="pl-PL"/>
        </w:rPr>
        <w:t>ącego kwalifikacje włączone do Zintegrowanego System</w:t>
      </w:r>
      <w:r w:rsidR="00452666">
        <w:rPr>
          <w:rFonts w:ascii="Times New Roman" w:eastAsia="Times New Roman" w:hAnsi="Times New Roman" w:cs="Times New Roman"/>
          <w:color w:val="000000"/>
          <w:sz w:val="24"/>
          <w:szCs w:val="24"/>
          <w:lang w:eastAsia="pl-PL"/>
        </w:rPr>
        <w:t>u</w:t>
      </w:r>
      <w:r w:rsidRPr="00F73E7B">
        <w:rPr>
          <w:rFonts w:ascii="Times New Roman" w:eastAsia="Times New Roman" w:hAnsi="Times New Roman" w:cs="Times New Roman"/>
          <w:color w:val="000000"/>
          <w:sz w:val="24"/>
          <w:szCs w:val="24"/>
          <w:lang w:eastAsia="pl-PL"/>
        </w:rPr>
        <w:t xml:space="preserve"> </w:t>
      </w:r>
      <w:r w:rsidR="00287C93">
        <w:rPr>
          <w:rFonts w:ascii="Times New Roman" w:eastAsia="Times New Roman" w:hAnsi="Times New Roman" w:cs="Times New Roman"/>
          <w:color w:val="000000"/>
          <w:sz w:val="24"/>
          <w:szCs w:val="24"/>
          <w:lang w:eastAsia="pl-PL"/>
        </w:rPr>
        <w:t xml:space="preserve">Kwalifikacji </w:t>
      </w:r>
      <w:r w:rsidR="00287C93">
        <w:rPr>
          <w:rFonts w:ascii="Times New Roman" w:eastAsia="Times New Roman" w:hAnsi="Times New Roman" w:cs="Times New Roman"/>
          <w:color w:val="000000"/>
          <w:sz w:val="24"/>
          <w:szCs w:val="24"/>
          <w:lang w:eastAsia="pl-PL"/>
        </w:rPr>
        <w:softHyphen/>
        <w:t xml:space="preserve"> </w:t>
      </w:r>
      <w:r w:rsidRPr="00F73E7B">
        <w:rPr>
          <w:rFonts w:ascii="Times New Roman" w:eastAsia="Times New Roman" w:hAnsi="Times New Roman" w:cs="Times New Roman"/>
          <w:bCs/>
          <w:color w:val="000000"/>
          <w:sz w:val="24"/>
          <w:szCs w:val="24"/>
          <w:lang w:eastAsia="pl-PL"/>
        </w:rPr>
        <w:t xml:space="preserve">Instytutowi </w:t>
      </w:r>
      <w:r w:rsidRPr="00F73E7B">
        <w:rPr>
          <w:rFonts w:ascii="Times New Roman" w:eastAsia="Times New Roman" w:hAnsi="Times New Roman" w:cs="Times New Roman"/>
          <w:color w:val="000000"/>
          <w:sz w:val="24"/>
          <w:szCs w:val="24"/>
          <w:lang w:eastAsia="pl-PL"/>
        </w:rPr>
        <w:t>Badań Edukacyjnych w Warszawie w miejsce Polskiej Agencji Rozwoju Przedsiębiorczości (PARP)</w:t>
      </w:r>
      <w:r w:rsidR="00452666">
        <w:rPr>
          <w:rFonts w:ascii="Times New Roman" w:eastAsia="Times New Roman" w:hAnsi="Times New Roman" w:cs="Times New Roman"/>
          <w:color w:val="000000"/>
          <w:sz w:val="24"/>
          <w:szCs w:val="24"/>
          <w:lang w:eastAsia="pl-PL"/>
        </w:rPr>
        <w:t xml:space="preserve">. </w:t>
      </w:r>
      <w:r w:rsidRPr="00F73E7B">
        <w:rPr>
          <w:rFonts w:ascii="Times New Roman" w:eastAsia="Times New Roman" w:hAnsi="Times New Roman" w:cs="Times New Roman"/>
          <w:color w:val="000000"/>
          <w:sz w:val="24"/>
          <w:szCs w:val="24"/>
          <w:lang w:eastAsia="pl-PL"/>
        </w:rPr>
        <w:t xml:space="preserve">Przepisy te wejdą w życie </w:t>
      </w:r>
      <w:r w:rsidR="00182471">
        <w:rPr>
          <w:rFonts w:ascii="Times New Roman" w:eastAsia="Times New Roman" w:hAnsi="Times New Roman" w:cs="Times New Roman"/>
          <w:iCs/>
          <w:color w:val="000000"/>
          <w:sz w:val="24"/>
          <w:szCs w:val="24"/>
          <w:lang w:eastAsia="pl-PL"/>
        </w:rPr>
        <w:t>z </w:t>
      </w:r>
      <w:r w:rsidRPr="00F73E7B">
        <w:rPr>
          <w:rFonts w:ascii="Times New Roman" w:eastAsia="Times New Roman" w:hAnsi="Times New Roman" w:cs="Times New Roman"/>
          <w:color w:val="000000"/>
          <w:sz w:val="24"/>
          <w:szCs w:val="24"/>
          <w:lang w:eastAsia="pl-PL"/>
        </w:rPr>
        <w:t xml:space="preserve">dniem l stycznia 2018 r. </w:t>
      </w:r>
      <w:r w:rsidRPr="00F73E7B">
        <w:rPr>
          <w:rFonts w:ascii="Times New Roman" w:eastAsia="Times New Roman" w:hAnsi="Times New Roman" w:cs="Times New Roman"/>
          <w:iCs/>
          <w:color w:val="000000"/>
          <w:sz w:val="24"/>
          <w:szCs w:val="24"/>
          <w:lang w:eastAsia="pl-PL"/>
        </w:rPr>
        <w:t xml:space="preserve">z </w:t>
      </w:r>
      <w:r w:rsidRPr="00F73E7B">
        <w:rPr>
          <w:rFonts w:ascii="Times New Roman" w:eastAsia="Times New Roman" w:hAnsi="Times New Roman" w:cs="Times New Roman"/>
          <w:color w:val="000000"/>
          <w:sz w:val="24"/>
          <w:szCs w:val="24"/>
          <w:lang w:eastAsia="pl-PL"/>
        </w:rPr>
        <w:t>uwagi na konieczność zakończenia przez PARP realizowanego projekt</w:t>
      </w:r>
      <w:r w:rsidR="00452666">
        <w:rPr>
          <w:rFonts w:ascii="Times New Roman" w:eastAsia="Times New Roman" w:hAnsi="Times New Roman" w:cs="Times New Roman"/>
          <w:color w:val="000000"/>
          <w:sz w:val="24"/>
          <w:szCs w:val="24"/>
          <w:lang w:eastAsia="pl-PL"/>
        </w:rPr>
        <w:t>u</w:t>
      </w:r>
      <w:r w:rsidRPr="00F73E7B">
        <w:rPr>
          <w:rFonts w:ascii="Times New Roman" w:eastAsia="Times New Roman" w:hAnsi="Times New Roman" w:cs="Times New Roman"/>
          <w:color w:val="000000"/>
          <w:sz w:val="24"/>
          <w:szCs w:val="24"/>
          <w:lang w:eastAsia="pl-PL"/>
        </w:rPr>
        <w:t xml:space="preserve"> polegającego na prowadzeniu rejestru, jak również umożliwieniu Instytutowi przejścia procesu przyznania możliwości realizacji tego projektu w trybie pozakonkursowym. Instytut Badań Edukacyjnych w Warszawie posiada warunki organizacyjno-techniczne </w:t>
      </w:r>
      <w:r w:rsidR="00182471">
        <w:rPr>
          <w:rFonts w:ascii="Times New Roman" w:eastAsia="Times New Roman" w:hAnsi="Times New Roman" w:cs="Times New Roman"/>
          <w:color w:val="000000"/>
          <w:sz w:val="24"/>
          <w:szCs w:val="24"/>
          <w:lang w:eastAsia="pl-PL"/>
        </w:rPr>
        <w:t>do prowadzenia ZRK. W związku z </w:t>
      </w:r>
      <w:r w:rsidRPr="00F73E7B">
        <w:rPr>
          <w:rFonts w:ascii="Times New Roman" w:eastAsia="Times New Roman" w:hAnsi="Times New Roman" w:cs="Times New Roman"/>
          <w:color w:val="000000"/>
          <w:sz w:val="24"/>
          <w:szCs w:val="24"/>
          <w:lang w:eastAsia="pl-PL"/>
        </w:rPr>
        <w:t>powierzeniem Instytutowi Badań Edukacyjnych w Warszawie zadania polegającego na prowadzeniu ZRK, w art. 89 ust. 2 ustawy o Zintegrowanym Systemie Kwalifikacji wprowadzono przepis zapewniający, że nie dojdzie do nakładania się kompetencji w zakresie monitorowania prowadzenia ZRK w przypadku, gdy Instytut Badań Edukacyjnych zostanie upoważniony do wykonywania określonych zadań ministra koordynatora ZSK.</w:t>
      </w:r>
    </w:p>
    <w:p w:rsidR="00287C93" w:rsidRPr="00F73E7B" w:rsidRDefault="00287C93" w:rsidP="00EC2B84">
      <w:pPr>
        <w:widowControl w:val="0"/>
        <w:shd w:val="clear" w:color="auto" w:fill="FFFFFF"/>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rsidR="00046867" w:rsidRPr="00046867" w:rsidRDefault="00046867" w:rsidP="00046867">
      <w:pPr>
        <w:suppressAutoHyphens/>
        <w:autoSpaceDE w:val="0"/>
        <w:spacing w:before="120" w:after="0" w:line="360" w:lineRule="auto"/>
        <w:jc w:val="both"/>
        <w:rPr>
          <w:rFonts w:ascii="Times New Roman" w:eastAsia="Times New Roman" w:hAnsi="Times New Roman" w:cs="Times New Roman"/>
          <w:color w:val="000000"/>
          <w:sz w:val="24"/>
          <w:szCs w:val="24"/>
          <w:lang w:eastAsia="ar-SA"/>
        </w:rPr>
      </w:pPr>
      <w:r w:rsidRPr="00046867">
        <w:rPr>
          <w:rFonts w:ascii="Times New Roman" w:eastAsia="Times New Roman" w:hAnsi="Times New Roman" w:cs="Times New Roman"/>
          <w:b/>
          <w:sz w:val="24"/>
          <w:szCs w:val="24"/>
          <w:lang w:eastAsia="ar-SA"/>
        </w:rPr>
        <w:t>W art. 16 –28 zostały zawarte przepisy przejściowe</w:t>
      </w:r>
    </w:p>
    <w:p w:rsidR="00046867" w:rsidRPr="00046867" w:rsidRDefault="00046867" w:rsidP="005D1102">
      <w:pPr>
        <w:suppressAutoHyphens/>
        <w:autoSpaceDE w:val="0"/>
        <w:spacing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color w:val="000000"/>
          <w:sz w:val="24"/>
          <w:szCs w:val="24"/>
          <w:lang w:eastAsia="ar-SA"/>
        </w:rPr>
        <w:t>W art. 16</w:t>
      </w:r>
      <w:r w:rsidRPr="00046867">
        <w:rPr>
          <w:rFonts w:ascii="Times New Roman" w:eastAsia="Times New Roman" w:hAnsi="Times New Roman" w:cs="Times New Roman"/>
          <w:sz w:val="24"/>
          <w:szCs w:val="24"/>
          <w:lang w:eastAsia="ar-SA"/>
        </w:rPr>
        <w:t xml:space="preserve"> w ust. 1 i 2 wskazano, że do postępowań w zakresie wyboru projektów do dofinansowania, prowadzonych na podstawie ustawy z dnia 11 lipca 2014 r. o zasadach realizacji programów w zakresie polityki spójności finansowanych w perspektywie finansowej 2014–2020 oraz operacji realizowanyc</w:t>
      </w:r>
      <w:r w:rsidR="007A2F0E">
        <w:rPr>
          <w:rFonts w:ascii="Times New Roman" w:eastAsia="Times New Roman" w:hAnsi="Times New Roman" w:cs="Times New Roman"/>
          <w:sz w:val="24"/>
          <w:szCs w:val="24"/>
          <w:lang w:eastAsia="ar-SA"/>
        </w:rPr>
        <w:t>h na podstawie ustawy z dnia 20 </w:t>
      </w:r>
      <w:r w:rsidRPr="00046867">
        <w:rPr>
          <w:rFonts w:ascii="Times New Roman" w:eastAsia="Times New Roman" w:hAnsi="Times New Roman" w:cs="Times New Roman"/>
          <w:sz w:val="24"/>
          <w:szCs w:val="24"/>
          <w:lang w:eastAsia="ar-SA"/>
        </w:rPr>
        <w:t>lutego 2015 r. o rozwoju lokalnym z udziałem lokaln</w:t>
      </w:r>
      <w:r w:rsidR="007A2F0E">
        <w:rPr>
          <w:rFonts w:ascii="Times New Roman" w:eastAsia="Times New Roman" w:hAnsi="Times New Roman" w:cs="Times New Roman"/>
          <w:sz w:val="24"/>
          <w:szCs w:val="24"/>
          <w:lang w:eastAsia="ar-SA"/>
        </w:rPr>
        <w:t>ej społeczności, rozpoczętych i </w:t>
      </w:r>
      <w:r w:rsidRPr="00046867">
        <w:rPr>
          <w:rFonts w:ascii="Times New Roman" w:eastAsia="Times New Roman" w:hAnsi="Times New Roman" w:cs="Times New Roman"/>
          <w:sz w:val="24"/>
          <w:szCs w:val="24"/>
          <w:lang w:eastAsia="ar-SA"/>
        </w:rPr>
        <w:t xml:space="preserve">niezakończonych przed dniem wejścia w życie niniejszej ustawy, stosuje się przepisy dotychczasowe.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art. 17 w ust. 1 zawarto regulację, zgodnie z którą wytyczne horyzontalne wydane na podstawie art. 5 ustawy z dnia 11 lipca 2014 r. o zasadach realizacji programów w</w:t>
      </w:r>
      <w:r w:rsidR="007A2F0E">
        <w:rPr>
          <w:rFonts w:ascii="Times New Roman" w:eastAsia="Times New Roman" w:hAnsi="Times New Roman" w:cs="Times New Roman"/>
          <w:sz w:val="24"/>
          <w:szCs w:val="24"/>
          <w:lang w:eastAsia="ar-SA"/>
        </w:rPr>
        <w:t> </w:t>
      </w:r>
      <w:r w:rsidRPr="00046867">
        <w:rPr>
          <w:rFonts w:ascii="Times New Roman" w:eastAsia="Times New Roman" w:hAnsi="Times New Roman" w:cs="Times New Roman"/>
          <w:sz w:val="24"/>
          <w:szCs w:val="24"/>
          <w:lang w:eastAsia="ar-SA"/>
        </w:rPr>
        <w:t>zakresie polityki spójności finansowanych w perspektywie finansowej 2014–2020 stają się wytycznymi w rozumieniu projektu ustawy.</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Zgodnie z ust. 2 w terminie 3 miesięcy od dnia wejścia w życie projektowanej ustawy wytyczne programowe wydane na podstawie art. 7 u</w:t>
      </w:r>
      <w:r w:rsidR="007A2F0E">
        <w:rPr>
          <w:rFonts w:ascii="Times New Roman" w:eastAsia="Times New Roman" w:hAnsi="Times New Roman" w:cs="Times New Roman"/>
          <w:sz w:val="24"/>
          <w:szCs w:val="24"/>
          <w:lang w:eastAsia="ar-SA"/>
        </w:rPr>
        <w:t>stawy z dnia 11 lipca 2014 r. o </w:t>
      </w:r>
      <w:r w:rsidRPr="00046867">
        <w:rPr>
          <w:rFonts w:ascii="Times New Roman" w:eastAsia="Times New Roman" w:hAnsi="Times New Roman" w:cs="Times New Roman"/>
          <w:sz w:val="24"/>
          <w:szCs w:val="24"/>
          <w:lang w:eastAsia="ar-SA"/>
        </w:rPr>
        <w:t>zasadach realizacji programów w zakresie polityki spójności finan</w:t>
      </w:r>
      <w:r w:rsidR="007A2F0E">
        <w:rPr>
          <w:rFonts w:ascii="Times New Roman" w:eastAsia="Times New Roman" w:hAnsi="Times New Roman" w:cs="Times New Roman"/>
          <w:sz w:val="24"/>
          <w:szCs w:val="24"/>
          <w:lang w:eastAsia="ar-SA"/>
        </w:rPr>
        <w:t>sowanych w </w:t>
      </w:r>
      <w:r w:rsidRPr="00046867">
        <w:rPr>
          <w:rFonts w:ascii="Times New Roman" w:eastAsia="Times New Roman" w:hAnsi="Times New Roman" w:cs="Times New Roman"/>
          <w:sz w:val="24"/>
          <w:szCs w:val="24"/>
          <w:lang w:eastAsia="ar-SA"/>
        </w:rPr>
        <w:t>perspektywie finansowej 2014–2020 przestają być stosowane z zastrzeżeniem regulacji zawartej w art. 18 ust. 1. Oznacza to w szczególności, że po upływie tego terminu instytucja zawierająca umowę o dofin</w:t>
      </w:r>
      <w:r w:rsidR="007A2F0E">
        <w:rPr>
          <w:rFonts w:ascii="Times New Roman" w:eastAsia="Times New Roman" w:hAnsi="Times New Roman" w:cs="Times New Roman"/>
          <w:sz w:val="24"/>
          <w:szCs w:val="24"/>
          <w:lang w:eastAsia="ar-SA"/>
        </w:rPr>
        <w:t>ansowanie/podejmująca decyzję o </w:t>
      </w:r>
      <w:r w:rsidRPr="00046867">
        <w:rPr>
          <w:rFonts w:ascii="Times New Roman" w:eastAsia="Times New Roman" w:hAnsi="Times New Roman" w:cs="Times New Roman"/>
          <w:sz w:val="24"/>
          <w:szCs w:val="24"/>
          <w:lang w:eastAsia="ar-SA"/>
        </w:rPr>
        <w:t xml:space="preserve">dofinansowaniu projektu nie będzie mogła zobowiązać beneficjenta do stosowania wytycznych programowych. Nie będzie również możliwości wiązania wytycznymi programowymi instytucji zaangażowanych w realizację programów operacyjnych.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Mając na względzie, że umowy o dofinansowanie/decyzje o dofinansowaniu zawarte/podjęte przed dniem wejścia w życie ustawy odwołują się do wytycznych programowych, a jednocześnie nie ma prawnej możliwości zobligowania beneficjenta do podpisania aneksu do umowy, na mocy którego zobowiązałby się do stosowania wytycznych horyzontalnych, jeżeli takie zobow</w:t>
      </w:r>
      <w:r w:rsidR="007A2F0E">
        <w:rPr>
          <w:rFonts w:ascii="Times New Roman" w:eastAsia="Times New Roman" w:hAnsi="Times New Roman" w:cs="Times New Roman"/>
          <w:sz w:val="24"/>
          <w:szCs w:val="24"/>
          <w:lang w:eastAsia="ar-SA"/>
        </w:rPr>
        <w:t>iązanie nie było przewidziane w </w:t>
      </w:r>
      <w:r w:rsidRPr="00046867">
        <w:rPr>
          <w:rFonts w:ascii="Times New Roman" w:eastAsia="Times New Roman" w:hAnsi="Times New Roman" w:cs="Times New Roman"/>
          <w:sz w:val="24"/>
          <w:szCs w:val="24"/>
          <w:lang w:eastAsia="ar-SA"/>
        </w:rPr>
        <w:t xml:space="preserve">umowie, w art. 18 zawarto regulację, zgodnie z którą do umów o dofinansowanie projektu oraz decyzji o dofinansowaniu projektu </w:t>
      </w:r>
      <w:r w:rsidR="007A2F0E">
        <w:rPr>
          <w:rFonts w:ascii="Times New Roman" w:eastAsia="Times New Roman" w:hAnsi="Times New Roman" w:cs="Times New Roman"/>
          <w:sz w:val="24"/>
          <w:szCs w:val="24"/>
          <w:lang w:eastAsia="ar-SA"/>
        </w:rPr>
        <w:t>zawartych przed dniem wejścia w </w:t>
      </w:r>
      <w:r w:rsidRPr="00046867">
        <w:rPr>
          <w:rFonts w:ascii="Times New Roman" w:eastAsia="Times New Roman" w:hAnsi="Times New Roman" w:cs="Times New Roman"/>
          <w:sz w:val="24"/>
          <w:szCs w:val="24"/>
          <w:lang w:eastAsia="ar-SA"/>
        </w:rPr>
        <w:t>życie niniejszej ustawy, w których beneficjenci zobowiązali się do stosowania wyłącznie wytycznych programowych, stosuje się przepisy dotychczasowe, chyba że beneficjent wyrazi zgodę na zmianę umowy o dofinan</w:t>
      </w:r>
      <w:r w:rsidR="007A2F0E">
        <w:rPr>
          <w:rFonts w:ascii="Times New Roman" w:eastAsia="Times New Roman" w:hAnsi="Times New Roman" w:cs="Times New Roman"/>
          <w:sz w:val="24"/>
          <w:szCs w:val="24"/>
          <w:lang w:eastAsia="ar-SA"/>
        </w:rPr>
        <w:t>sowanie projektu albo decyzji o </w:t>
      </w:r>
      <w:r w:rsidRPr="00046867">
        <w:rPr>
          <w:rFonts w:ascii="Times New Roman" w:eastAsia="Times New Roman" w:hAnsi="Times New Roman" w:cs="Times New Roman"/>
          <w:sz w:val="24"/>
          <w:szCs w:val="24"/>
          <w:lang w:eastAsia="ar-SA"/>
        </w:rPr>
        <w:t>dofinansowaniu projektu w zakresie związania wy</w:t>
      </w:r>
      <w:r w:rsidR="007A2F0E">
        <w:rPr>
          <w:rFonts w:ascii="Times New Roman" w:eastAsia="Times New Roman" w:hAnsi="Times New Roman" w:cs="Times New Roman"/>
          <w:sz w:val="24"/>
          <w:szCs w:val="24"/>
          <w:lang w:eastAsia="ar-SA"/>
        </w:rPr>
        <w:t>tycznymi, o których mowa w art. </w:t>
      </w:r>
      <w:r w:rsidRPr="00046867">
        <w:rPr>
          <w:rFonts w:ascii="Times New Roman" w:eastAsia="Times New Roman" w:hAnsi="Times New Roman" w:cs="Times New Roman"/>
          <w:sz w:val="24"/>
          <w:szCs w:val="24"/>
          <w:lang w:eastAsia="ar-SA"/>
        </w:rPr>
        <w:t xml:space="preserve">17 ust. 1.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Jednocześnie zgodnie z art. 18 ust. 2 po upływie 3 miesięcy od dnia wejścia w życie projektowanej ustawy do umów o dofinan</w:t>
      </w:r>
      <w:r w:rsidR="007A2F0E">
        <w:rPr>
          <w:rFonts w:ascii="Times New Roman" w:eastAsia="Times New Roman" w:hAnsi="Times New Roman" w:cs="Times New Roman"/>
          <w:sz w:val="24"/>
          <w:szCs w:val="24"/>
          <w:lang w:eastAsia="ar-SA"/>
        </w:rPr>
        <w:t>sowanie projektu oraz decyzji o </w:t>
      </w:r>
      <w:r w:rsidRPr="00046867">
        <w:rPr>
          <w:rFonts w:ascii="Times New Roman" w:eastAsia="Times New Roman" w:hAnsi="Times New Roman" w:cs="Times New Roman"/>
          <w:sz w:val="24"/>
          <w:szCs w:val="24"/>
          <w:lang w:eastAsia="ar-SA"/>
        </w:rPr>
        <w:t xml:space="preserve">dofinansowaniu projektu zawartych przed dniem wejścia w życie projektowanej ustawy, w których beneficjenci zobowiązali się do stosowania wytycznych horyzontalnych oraz wytycznych programowych albo wyłącznie wytycznych horyzontalnych, stosuje się przepisy nowej ustawy.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Zgodnie z art. 19 porozumienia lub umowy o partnerstwie, o których mowa w art. 33 ustawy zmienianej w art. 1 projektu ustawy, zawarte przed dniem wejścia w życie projektowanej ustawy, zachowują moc. Przepis ten pozostaje niezbędny z uwagi na rezygnację z przesłanek warunkujących za</w:t>
      </w:r>
      <w:r w:rsidR="007A2F0E">
        <w:rPr>
          <w:rFonts w:ascii="Times New Roman" w:eastAsia="Times New Roman" w:hAnsi="Times New Roman" w:cs="Times New Roman"/>
          <w:sz w:val="24"/>
          <w:szCs w:val="24"/>
          <w:lang w:eastAsia="ar-SA"/>
        </w:rPr>
        <w:t>warcie porozumienia lub umowy o </w:t>
      </w:r>
      <w:r w:rsidRPr="00046867">
        <w:rPr>
          <w:rFonts w:ascii="Times New Roman" w:eastAsia="Times New Roman" w:hAnsi="Times New Roman" w:cs="Times New Roman"/>
          <w:sz w:val="24"/>
          <w:szCs w:val="24"/>
          <w:lang w:eastAsia="ar-SA"/>
        </w:rPr>
        <w:t>partnerstwie i ma na celu wskazanie, że ze względu na projektowaną zmianę nie będzie konieczne dokonywanie zmian w już zawarty</w:t>
      </w:r>
      <w:r w:rsidR="007A2F0E">
        <w:rPr>
          <w:rFonts w:ascii="Times New Roman" w:eastAsia="Times New Roman" w:hAnsi="Times New Roman" w:cs="Times New Roman"/>
          <w:sz w:val="24"/>
          <w:szCs w:val="24"/>
          <w:lang w:eastAsia="ar-SA"/>
        </w:rPr>
        <w:t>ch umowach lub porozumieniach o </w:t>
      </w:r>
      <w:r w:rsidRPr="00046867">
        <w:rPr>
          <w:rFonts w:ascii="Times New Roman" w:eastAsia="Times New Roman" w:hAnsi="Times New Roman" w:cs="Times New Roman"/>
          <w:sz w:val="24"/>
          <w:szCs w:val="24"/>
          <w:lang w:eastAsia="ar-SA"/>
        </w:rPr>
        <w:t>partnerstwie.</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Zgodnie z art. 20</w:t>
      </w:r>
      <w:r w:rsidRPr="00046867">
        <w:rPr>
          <w:rFonts w:ascii="Times New Roman" w:eastAsia="Times New Roman" w:hAnsi="Times New Roman" w:cs="Times New Roman"/>
          <w:b/>
          <w:sz w:val="24"/>
          <w:szCs w:val="24"/>
          <w:lang w:eastAsia="ar-SA"/>
        </w:rPr>
        <w:t xml:space="preserve"> </w:t>
      </w:r>
      <w:r w:rsidRPr="00046867">
        <w:rPr>
          <w:rFonts w:ascii="Times New Roman" w:eastAsia="Times New Roman" w:hAnsi="Times New Roman" w:cs="Times New Roman"/>
          <w:sz w:val="24"/>
          <w:szCs w:val="24"/>
          <w:lang w:eastAsia="ar-SA"/>
        </w:rPr>
        <w:t>do procedury odwoławczej, o któr</w:t>
      </w:r>
      <w:r w:rsidR="007A2F0E">
        <w:rPr>
          <w:rFonts w:ascii="Times New Roman" w:eastAsia="Times New Roman" w:hAnsi="Times New Roman" w:cs="Times New Roman"/>
          <w:sz w:val="24"/>
          <w:szCs w:val="24"/>
          <w:lang w:eastAsia="ar-SA"/>
        </w:rPr>
        <w:t>ej mowa w rozdziale 15 ustawy z </w:t>
      </w:r>
      <w:r w:rsidRPr="00046867">
        <w:rPr>
          <w:rFonts w:ascii="Times New Roman" w:eastAsia="Times New Roman" w:hAnsi="Times New Roman" w:cs="Times New Roman"/>
          <w:sz w:val="24"/>
          <w:szCs w:val="24"/>
          <w:lang w:eastAsia="ar-SA"/>
        </w:rPr>
        <w:t xml:space="preserve">dnia 11 lipca 2014 r. o zasadach realizacji programów w zakresie polityki spójności finansowanych w perspektywie finansowej 2014–2020 wszczętej i niezakończonej do dnia wejścia w życie ustawy stosuje się przepisy dotychczasowe.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Zgodnie z art. 21</w:t>
      </w:r>
      <w:r w:rsidRPr="00046867">
        <w:rPr>
          <w:rFonts w:ascii="Times New Roman" w:eastAsia="Times New Roman" w:hAnsi="Times New Roman" w:cs="Times New Roman"/>
          <w:b/>
          <w:sz w:val="24"/>
          <w:szCs w:val="24"/>
          <w:lang w:eastAsia="ar-SA"/>
        </w:rPr>
        <w:t xml:space="preserve"> </w:t>
      </w:r>
      <w:r w:rsidRPr="00046867">
        <w:rPr>
          <w:rFonts w:ascii="Times New Roman" w:eastAsia="Times New Roman" w:hAnsi="Times New Roman" w:cs="Times New Roman"/>
          <w:sz w:val="24"/>
          <w:szCs w:val="24"/>
          <w:lang w:eastAsia="ar-SA"/>
        </w:rPr>
        <w:t>instytucja zarządzająca powoła Rz</w:t>
      </w:r>
      <w:r w:rsidR="007A2F0E">
        <w:rPr>
          <w:rFonts w:ascii="Times New Roman" w:eastAsia="Times New Roman" w:hAnsi="Times New Roman" w:cs="Times New Roman"/>
          <w:sz w:val="24"/>
          <w:szCs w:val="24"/>
          <w:lang w:eastAsia="ar-SA"/>
        </w:rPr>
        <w:t>ecznika Funduszy Europejskich w </w:t>
      </w:r>
      <w:r w:rsidR="008148BA">
        <w:rPr>
          <w:rFonts w:ascii="Times New Roman" w:eastAsia="Times New Roman" w:hAnsi="Times New Roman" w:cs="Times New Roman"/>
          <w:sz w:val="24"/>
          <w:szCs w:val="24"/>
          <w:lang w:eastAsia="ar-SA"/>
        </w:rPr>
        <w:t>terminie 3</w:t>
      </w:r>
      <w:r w:rsidRPr="00046867">
        <w:rPr>
          <w:rFonts w:ascii="Times New Roman" w:eastAsia="Times New Roman" w:hAnsi="Times New Roman" w:cs="Times New Roman"/>
          <w:sz w:val="24"/>
          <w:szCs w:val="24"/>
          <w:lang w:eastAsia="ar-SA"/>
        </w:rPr>
        <w:t xml:space="preserve"> miesięcy od dnia wejścia w życ</w:t>
      </w:r>
      <w:r w:rsidR="008148BA">
        <w:rPr>
          <w:rFonts w:ascii="Times New Roman" w:eastAsia="Times New Roman" w:hAnsi="Times New Roman" w:cs="Times New Roman"/>
          <w:sz w:val="24"/>
          <w:szCs w:val="24"/>
          <w:lang w:eastAsia="ar-SA"/>
        </w:rPr>
        <w:t>ie ustawy. Wskazany okres 3</w:t>
      </w:r>
      <w:r w:rsidRPr="00046867">
        <w:rPr>
          <w:rFonts w:ascii="Times New Roman" w:eastAsia="Times New Roman" w:hAnsi="Times New Roman" w:cs="Times New Roman"/>
          <w:sz w:val="24"/>
          <w:szCs w:val="24"/>
          <w:lang w:eastAsia="ar-SA"/>
        </w:rPr>
        <w:t xml:space="preserve"> miesięcy ma na celu umożliwienie dostosowania się do wprowadzonej zmiany. </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Art. 22 w ust. 1 stanowi, że eksperci wyznaczeni do udziału w wyborze projektów do dofinasowania na podstawie art. 49 ust. 1 ustawy z dnia 11 lipca 2014 r. o zasadach realizacji programów w zakresie polityki spójności finansowanych w perspektywie finansowej 2014–2020 stają się ekspertami wyznaczonymi do udziału w wyborze projektów do dofinasowania, o których mowa w art. 68a ust. 1 pkt 1 projektowanej ustawy. Przepis ten nie obejmuje ekspertów, którzy będą wyznaczeni do oceny realizacji umowy o dofinansowanie projektu – będzie to nowa kategoria ekspertów, do których będą stosowane przepisy projektowanej ustawy.</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Zgodnie z ust. 2 umowy zawarte z ekspertami dotyczące ich udziału w wyborze projektów zawarte na podstawie ustawy z dnia 11 lipca 2014 r. o zasadach realizacji programów w zakresie polityki spójności finansowanych w perspektywie finansowej 2014–2020 zostaną dostosowane do wymagań określonych dla umów, o których mowa w art. 68a ust. 6 projektowanej ustawy, w terminie 6 miesięcy od dnia wejścia w życie projektowanej ustawy.</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Zgodnie z ust. 3 wykaz kandydatów na ekspertów, o którym mowa w art. 49 ust. 11 ustawy z dnia 11 lipca 2014 r. o zasadach realizacji programów w zakresie polityki spójności finansowanych w perspektywie finansowej 2014–2020 stanie się wykazem kandydatów na ekspertów, o którym mowa w art. 68a ust. 11 projektowanej ustawy.</w:t>
      </w:r>
    </w:p>
    <w:p w:rsidR="00046867" w:rsidRPr="00046867" w:rsidRDefault="00046867" w:rsidP="00046867">
      <w:pPr>
        <w:suppressAutoHyphens/>
        <w:spacing w:before="120" w:after="0" w:line="360" w:lineRule="auto"/>
        <w:jc w:val="both"/>
        <w:rPr>
          <w:rFonts w:ascii="Times New Roman" w:eastAsia="Times New Roman" w:hAnsi="Times New Roman" w:cs="Times New Roman"/>
          <w:iCs/>
          <w:color w:val="000000"/>
          <w:sz w:val="24"/>
          <w:szCs w:val="24"/>
          <w:lang w:eastAsia="ar-SA"/>
        </w:rPr>
      </w:pPr>
      <w:r w:rsidRPr="00046867">
        <w:rPr>
          <w:rFonts w:ascii="Times New Roman" w:eastAsia="Times New Roman" w:hAnsi="Times New Roman" w:cs="Times New Roman"/>
          <w:sz w:val="24"/>
          <w:szCs w:val="24"/>
          <w:lang w:eastAsia="ar-SA"/>
        </w:rPr>
        <w:t>Zgodnie z art. 23</w:t>
      </w:r>
      <w:r w:rsidRPr="00046867">
        <w:rPr>
          <w:rFonts w:ascii="Times New Roman" w:eastAsia="Times New Roman" w:hAnsi="Times New Roman" w:cs="Times New Roman"/>
          <w:b/>
          <w:sz w:val="24"/>
          <w:szCs w:val="24"/>
          <w:lang w:eastAsia="ar-SA"/>
        </w:rPr>
        <w:t xml:space="preserve"> </w:t>
      </w:r>
      <w:r w:rsidRPr="00046867">
        <w:rPr>
          <w:rFonts w:ascii="Times New Roman" w:eastAsia="SimSun" w:hAnsi="Times New Roman" w:cs="Times New Roman"/>
          <w:sz w:val="24"/>
          <w:szCs w:val="24"/>
          <w:lang w:eastAsia="ar-SA"/>
        </w:rPr>
        <w:t xml:space="preserve">do egzekucji środków, o których mowa w art. 2 i art. 3 projektowanej ustawy, wszczętych i niezakończonych przed dniem wejścia w życie projektowanej ustawy, stosuje się przepisy dotychczasowe. Niemniej, w przypadku umorzenia postępowania egzekucyjnego prowadzonego na zasadach dotychczasowych, po wejściu w życie projektowanej ustawy będzie możliwe prowadzenie egzekucji wyłącznie na zasadach wynikających ze zmian dokonanych projektem ustawy. </w:t>
      </w:r>
    </w:p>
    <w:p w:rsidR="00046867" w:rsidRPr="00046867" w:rsidRDefault="00046867" w:rsidP="00046867">
      <w:pPr>
        <w:suppressAutoHyphens/>
        <w:autoSpaceDE w:val="0"/>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iCs/>
          <w:color w:val="000000"/>
          <w:sz w:val="24"/>
          <w:szCs w:val="24"/>
          <w:lang w:eastAsia="ar-SA"/>
        </w:rPr>
        <w:t>Art. 24, który dotyczy zmian w ustawie o utworzeniu Polskiej Agencji Rozwoju Przedsiębiorczości, przewiduje, że z dniem wejścia w życie ustawy Krajowy System Usług dla Małych i Średnich Przedsiębiorstw stanie się rejestrem podmiotów usług rozwojowych. Podmioty wpisane przed dniem wejścia w życie ustawy do Krajowego Systemu Usług dla Małych i Średnich Przedsiębiorst</w:t>
      </w:r>
      <w:r w:rsidR="007A2F0E">
        <w:rPr>
          <w:rFonts w:ascii="Times New Roman" w:eastAsia="Times New Roman" w:hAnsi="Times New Roman" w:cs="Times New Roman"/>
          <w:iCs/>
          <w:color w:val="000000"/>
          <w:sz w:val="24"/>
          <w:szCs w:val="24"/>
          <w:lang w:eastAsia="ar-SA"/>
        </w:rPr>
        <w:t>w w zakresie usług doradczych i </w:t>
      </w:r>
      <w:r w:rsidRPr="00046867">
        <w:rPr>
          <w:rFonts w:ascii="Times New Roman" w:eastAsia="Times New Roman" w:hAnsi="Times New Roman" w:cs="Times New Roman"/>
          <w:iCs/>
          <w:color w:val="000000"/>
          <w:sz w:val="24"/>
          <w:szCs w:val="24"/>
          <w:lang w:eastAsia="ar-SA"/>
        </w:rPr>
        <w:t>szkoleniowych zostaną uznane za wpisane do rejestru</w:t>
      </w:r>
      <w:r w:rsidRPr="00046867">
        <w:rPr>
          <w:rFonts w:ascii="Times New Roman" w:eastAsia="Times New Roman" w:hAnsi="Times New Roman" w:cs="Times New Roman"/>
          <w:sz w:val="24"/>
          <w:szCs w:val="24"/>
          <w:lang w:eastAsia="ar-SA"/>
        </w:rPr>
        <w:t xml:space="preserve"> </w:t>
      </w:r>
      <w:r w:rsidRPr="00046867">
        <w:rPr>
          <w:rFonts w:ascii="Times New Roman" w:eastAsia="Times New Roman" w:hAnsi="Times New Roman" w:cs="Times New Roman"/>
          <w:iCs/>
          <w:color w:val="000000"/>
          <w:sz w:val="24"/>
          <w:szCs w:val="24"/>
          <w:lang w:eastAsia="ar-SA"/>
        </w:rPr>
        <w:t>podmiotów usług rozwojowych. Wnioski o wpis do Krajowego Systemu Usług dla Mały</w:t>
      </w:r>
      <w:r w:rsidR="007A2F0E">
        <w:rPr>
          <w:rFonts w:ascii="Times New Roman" w:eastAsia="Times New Roman" w:hAnsi="Times New Roman" w:cs="Times New Roman"/>
          <w:iCs/>
          <w:color w:val="000000"/>
          <w:sz w:val="24"/>
          <w:szCs w:val="24"/>
          <w:lang w:eastAsia="ar-SA"/>
        </w:rPr>
        <w:t>ch i Średnich Przedsiębiorstw w </w:t>
      </w:r>
      <w:r w:rsidRPr="00046867">
        <w:rPr>
          <w:rFonts w:ascii="Times New Roman" w:eastAsia="Times New Roman" w:hAnsi="Times New Roman" w:cs="Times New Roman"/>
          <w:iCs/>
          <w:color w:val="000000"/>
          <w:sz w:val="24"/>
          <w:szCs w:val="24"/>
          <w:lang w:eastAsia="ar-SA"/>
        </w:rPr>
        <w:t>zakresie usług doradczych i szkoleniowych z dniem wejścia w życie ustawy staną się wnioskami o wpis do rejestru podmiotów usług rozwojowych</w:t>
      </w:r>
      <w:r w:rsidR="00F73E7B">
        <w:rPr>
          <w:rFonts w:ascii="Times New Roman" w:eastAsia="Times New Roman" w:hAnsi="Times New Roman" w:cs="Times New Roman"/>
          <w:iCs/>
          <w:color w:val="000000"/>
          <w:sz w:val="24"/>
          <w:szCs w:val="24"/>
          <w:lang w:eastAsia="ar-SA"/>
        </w:rPr>
        <w:t>.</w:t>
      </w:r>
      <w:r w:rsidRPr="00046867">
        <w:rPr>
          <w:rFonts w:ascii="Times New Roman" w:eastAsia="Times New Roman" w:hAnsi="Times New Roman" w:cs="Times New Roman"/>
          <w:iCs/>
          <w:color w:val="000000"/>
          <w:sz w:val="24"/>
          <w:szCs w:val="24"/>
          <w:lang w:eastAsia="ar-SA"/>
        </w:rPr>
        <w:t xml:space="preserve"> Z dniem wejścia w życie ustawy wykreślone zostaną z rejestru</w:t>
      </w:r>
      <w:r w:rsidRPr="00046867">
        <w:rPr>
          <w:rFonts w:ascii="Times New Roman" w:eastAsia="Times New Roman" w:hAnsi="Times New Roman" w:cs="Times New Roman"/>
          <w:sz w:val="24"/>
          <w:szCs w:val="24"/>
          <w:lang w:eastAsia="ar-SA"/>
        </w:rPr>
        <w:t xml:space="preserve"> </w:t>
      </w:r>
      <w:r w:rsidRPr="00046867">
        <w:rPr>
          <w:rFonts w:ascii="Times New Roman" w:eastAsia="Times New Roman" w:hAnsi="Times New Roman" w:cs="Times New Roman"/>
          <w:iCs/>
          <w:color w:val="000000"/>
          <w:sz w:val="24"/>
          <w:szCs w:val="24"/>
          <w:lang w:eastAsia="ar-SA"/>
        </w:rPr>
        <w:t>podmiotów usług rozwojowych podmioty zarejestrowane w Krajowym Systemie Usług dla Mały</w:t>
      </w:r>
      <w:r w:rsidR="007A2F0E">
        <w:rPr>
          <w:rFonts w:ascii="Times New Roman" w:eastAsia="Times New Roman" w:hAnsi="Times New Roman" w:cs="Times New Roman"/>
          <w:iCs/>
          <w:color w:val="000000"/>
          <w:sz w:val="24"/>
          <w:szCs w:val="24"/>
          <w:lang w:eastAsia="ar-SA"/>
        </w:rPr>
        <w:t>ch i Średnich Przedsiębiorstw w </w:t>
      </w:r>
      <w:r w:rsidRPr="00046867">
        <w:rPr>
          <w:rFonts w:ascii="Times New Roman" w:eastAsia="Times New Roman" w:hAnsi="Times New Roman" w:cs="Times New Roman"/>
          <w:iCs/>
          <w:color w:val="000000"/>
          <w:sz w:val="24"/>
          <w:szCs w:val="24"/>
          <w:lang w:eastAsia="ar-SA"/>
        </w:rPr>
        <w:t xml:space="preserve">zakresie usług informacyjnych i finansowych. Postępowania w sprawach o wpis do Krajowego Systemu Usług dla Małych i Średnich Przedsiębiorstw w zakresie usług informacyjnych i finansowych wszczęte i niezakończone do dnia wejścia w życie projektowanej ustawy zostaną umorzone. </w:t>
      </w:r>
    </w:p>
    <w:p w:rsidR="00046867" w:rsidRPr="00046867" w:rsidRDefault="00046867" w:rsidP="00046867">
      <w:pPr>
        <w:suppressAutoHyphens/>
        <w:autoSpaceDE w:val="0"/>
        <w:spacing w:before="120" w:after="0" w:line="360" w:lineRule="auto"/>
        <w:jc w:val="both"/>
        <w:rPr>
          <w:rFonts w:ascii="Times New Roman" w:eastAsia="Times New Roman" w:hAnsi="Times New Roman" w:cs="Times New Roman"/>
          <w:iCs/>
          <w:color w:val="000000"/>
          <w:sz w:val="24"/>
          <w:szCs w:val="24"/>
          <w:lang w:eastAsia="ar-SA"/>
        </w:rPr>
      </w:pPr>
      <w:r w:rsidRPr="00046867">
        <w:rPr>
          <w:rFonts w:ascii="Times New Roman" w:eastAsia="Times New Roman" w:hAnsi="Times New Roman" w:cs="Times New Roman"/>
          <w:iCs/>
          <w:color w:val="000000"/>
          <w:sz w:val="24"/>
          <w:szCs w:val="24"/>
          <w:lang w:eastAsia="ar-SA"/>
        </w:rPr>
        <w:t>Art. 25 odnoszący się do postępowań w zakresie wyboru organizacji partnerskich jest przepisem przejściowym dotyczącym trybu konkursowego uregulowanego w art. 134k ustawy z dnia 12 marca 2004 r. o pomocy społecznej. Przepis ten umożliwia stosowanie dotychczasowych przepisów do postępowań w zakresie wyboru organizacji partnerskich oraz do procedury odwoławczej, jeśli zostały wszczęte i niezakończone przed dniem wejścia w życie art. 134k ustawy z dnia 12 marca 2004 r. o pomocy społecznej w nowym brzmieniu.</w:t>
      </w:r>
    </w:p>
    <w:p w:rsidR="00046867" w:rsidRPr="00046867" w:rsidRDefault="00046867" w:rsidP="00EF2263">
      <w:pPr>
        <w:suppressAutoHyphens/>
        <w:autoSpaceDE w:val="0"/>
        <w:spacing w:before="8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iCs/>
          <w:color w:val="000000"/>
          <w:sz w:val="24"/>
          <w:szCs w:val="24"/>
          <w:lang w:eastAsia="ar-SA"/>
        </w:rPr>
        <w:t>Zgodni</w:t>
      </w:r>
      <w:r w:rsidR="00FA0A58">
        <w:rPr>
          <w:rFonts w:ascii="Times New Roman" w:eastAsia="Times New Roman" w:hAnsi="Times New Roman" w:cs="Times New Roman"/>
          <w:iCs/>
          <w:color w:val="000000"/>
          <w:sz w:val="24"/>
          <w:szCs w:val="24"/>
          <w:lang w:eastAsia="ar-SA"/>
        </w:rPr>
        <w:t>e z art. 26 w terminie 6</w:t>
      </w:r>
      <w:r w:rsidRPr="00046867">
        <w:rPr>
          <w:rFonts w:ascii="Times New Roman" w:eastAsia="Times New Roman" w:hAnsi="Times New Roman" w:cs="Times New Roman"/>
          <w:iCs/>
          <w:color w:val="000000"/>
          <w:sz w:val="24"/>
          <w:szCs w:val="24"/>
          <w:lang w:eastAsia="ar-SA"/>
        </w:rPr>
        <w:t xml:space="preserve"> miesięcy od dnia wejścia w życie ustawy kontrakty terytorialne zostaną dostosowane do przepisów projektowanej ustawy.</w:t>
      </w:r>
      <w:r w:rsidRPr="00046867">
        <w:rPr>
          <w:rFonts w:ascii="Times New Roman" w:eastAsia="Times New Roman" w:hAnsi="Times New Roman" w:cs="Times New Roman"/>
          <w:sz w:val="24"/>
          <w:szCs w:val="24"/>
          <w:lang w:eastAsia="ar-SA"/>
        </w:rPr>
        <w:t xml:space="preserve"> </w:t>
      </w:r>
      <w:r w:rsidR="00FA0A58">
        <w:rPr>
          <w:rFonts w:ascii="Times New Roman" w:eastAsia="Times New Roman" w:hAnsi="Times New Roman" w:cs="Times New Roman"/>
          <w:iCs/>
          <w:color w:val="000000"/>
          <w:sz w:val="24"/>
          <w:szCs w:val="24"/>
          <w:lang w:eastAsia="ar-SA"/>
        </w:rPr>
        <w:t>Wskazany okres 6</w:t>
      </w:r>
      <w:r w:rsidRPr="00046867">
        <w:rPr>
          <w:rFonts w:ascii="Times New Roman" w:eastAsia="Times New Roman" w:hAnsi="Times New Roman" w:cs="Times New Roman"/>
          <w:iCs/>
          <w:color w:val="000000"/>
          <w:sz w:val="24"/>
          <w:szCs w:val="24"/>
          <w:lang w:eastAsia="ar-SA"/>
        </w:rPr>
        <w:t xml:space="preserve"> miesięcy ma na celu umożliwienie dostosowania się do wprowadzonej zmiany.</w:t>
      </w:r>
    </w:p>
    <w:p w:rsidR="00046867" w:rsidRPr="00046867" w:rsidRDefault="00046867" w:rsidP="00EF2263">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Zgodnie z regulacją zawartą w art. 27 do wniosk</w:t>
      </w:r>
      <w:r w:rsidR="007A2F0E">
        <w:rPr>
          <w:rFonts w:ascii="Times New Roman" w:eastAsia="Times New Roman" w:hAnsi="Times New Roman" w:cs="Times New Roman"/>
          <w:sz w:val="24"/>
          <w:szCs w:val="24"/>
          <w:lang w:eastAsia="ar-SA"/>
        </w:rPr>
        <w:t>ów o płatność, o których mowa w </w:t>
      </w:r>
      <w:r w:rsidRPr="00046867">
        <w:rPr>
          <w:rFonts w:ascii="Times New Roman" w:eastAsia="Times New Roman" w:hAnsi="Times New Roman" w:cs="Times New Roman"/>
          <w:sz w:val="24"/>
          <w:szCs w:val="24"/>
          <w:lang w:eastAsia="ar-SA"/>
        </w:rPr>
        <w:t xml:space="preserve">przepisach o finansach publicznych, na których złożenie termin upłynął przed dniem wejścia w życie projektowanej ustawy, stosuje się przepisy dotychczasowe. Przepis ten ma na celu dokonanie rozliczenia tych wniosków na dotychczasowych zasadach. </w:t>
      </w:r>
    </w:p>
    <w:p w:rsidR="00046867" w:rsidRPr="00046867" w:rsidRDefault="00046867" w:rsidP="00EF2263">
      <w:pPr>
        <w:suppressAutoHyphens/>
        <w:spacing w:before="8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Zgodnie z art. 27 ust. 2 do postępowań w sprawie z</w:t>
      </w:r>
      <w:r w:rsidR="007A2F0E">
        <w:rPr>
          <w:rFonts w:ascii="Times New Roman" w:eastAsia="Times New Roman" w:hAnsi="Times New Roman" w:cs="Times New Roman"/>
          <w:sz w:val="24"/>
          <w:szCs w:val="24"/>
          <w:lang w:eastAsia="ar-SA"/>
        </w:rPr>
        <w:t>wrotu środków, o których mowa w </w:t>
      </w:r>
      <w:r w:rsidRPr="00046867">
        <w:rPr>
          <w:rFonts w:ascii="Times New Roman" w:eastAsia="Times New Roman" w:hAnsi="Times New Roman" w:cs="Times New Roman"/>
          <w:sz w:val="24"/>
          <w:szCs w:val="24"/>
          <w:lang w:eastAsia="ar-SA"/>
        </w:rPr>
        <w:t xml:space="preserve">przepisach o finansach publicznych, wszczętych i niezakończonych przed dniem wejścia w życie projektowanej ustawy, stosuje się przepisy dotychczasowe. Przepis ten ma na celu zakończenie tych postępowań na dotychczasowych zasadach. </w:t>
      </w:r>
    </w:p>
    <w:p w:rsidR="00046867" w:rsidRPr="00046867" w:rsidRDefault="00046867" w:rsidP="00EF2263">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Zgodnie z art. 29 akty</w:t>
      </w:r>
      <w:r w:rsidRPr="00046867">
        <w:rPr>
          <w:rFonts w:ascii="Times New Roman" w:eastAsia="Times New Roman" w:hAnsi="Times New Roman" w:cs="Times New Roman"/>
          <w:b/>
          <w:sz w:val="24"/>
          <w:szCs w:val="24"/>
          <w:lang w:eastAsia="ar-SA"/>
        </w:rPr>
        <w:t xml:space="preserve"> </w:t>
      </w:r>
      <w:r w:rsidRPr="00046867">
        <w:rPr>
          <w:rFonts w:ascii="Times New Roman" w:eastAsia="Times New Roman" w:hAnsi="Times New Roman" w:cs="Times New Roman"/>
          <w:sz w:val="24"/>
          <w:szCs w:val="24"/>
          <w:lang w:eastAsia="ar-SA"/>
        </w:rPr>
        <w:t>wykonawcze wydane na podstawie</w:t>
      </w:r>
      <w:r w:rsidR="007A2F0E">
        <w:rPr>
          <w:rFonts w:ascii="Times New Roman" w:eastAsia="Times New Roman" w:hAnsi="Times New Roman" w:cs="Times New Roman"/>
          <w:sz w:val="24"/>
          <w:szCs w:val="24"/>
          <w:lang w:eastAsia="ar-SA"/>
        </w:rPr>
        <w:t xml:space="preserve"> art. 189 ust. 4 i 4a oraz art. </w:t>
      </w:r>
      <w:r w:rsidRPr="00046867">
        <w:rPr>
          <w:rFonts w:ascii="Times New Roman" w:eastAsia="Times New Roman" w:hAnsi="Times New Roman" w:cs="Times New Roman"/>
          <w:sz w:val="24"/>
          <w:szCs w:val="24"/>
          <w:lang w:eastAsia="ar-SA"/>
        </w:rPr>
        <w:t xml:space="preserve">210 ust. 2 ustawy zmienianej w art. 11 zachowują moc do dnia wejścia w życie aktów wykonawczych </w:t>
      </w:r>
      <w:r w:rsidR="008148BA">
        <w:rPr>
          <w:rFonts w:ascii="Times New Roman" w:eastAsia="Times New Roman" w:hAnsi="Times New Roman" w:cs="Times New Roman"/>
          <w:sz w:val="24"/>
          <w:szCs w:val="24"/>
          <w:lang w:eastAsia="ar-SA"/>
        </w:rPr>
        <w:t xml:space="preserve">wydanych </w:t>
      </w:r>
      <w:r w:rsidRPr="00046867">
        <w:rPr>
          <w:rFonts w:ascii="Times New Roman" w:eastAsia="Times New Roman" w:hAnsi="Times New Roman" w:cs="Times New Roman"/>
          <w:sz w:val="24"/>
          <w:szCs w:val="24"/>
          <w:lang w:eastAsia="ar-SA"/>
        </w:rPr>
        <w:t>na podstawie art. 189 ust. 4 i 4a</w:t>
      </w:r>
      <w:r w:rsidR="007A2F0E">
        <w:rPr>
          <w:rFonts w:ascii="Times New Roman" w:eastAsia="Times New Roman" w:hAnsi="Times New Roman" w:cs="Times New Roman"/>
          <w:sz w:val="24"/>
          <w:szCs w:val="24"/>
          <w:lang w:eastAsia="ar-SA"/>
        </w:rPr>
        <w:t xml:space="preserve"> oraz art. 210 ust. 2 ustawy, o </w:t>
      </w:r>
      <w:r w:rsidRPr="00046867">
        <w:rPr>
          <w:rFonts w:ascii="Times New Roman" w:eastAsia="Times New Roman" w:hAnsi="Times New Roman" w:cs="Times New Roman"/>
          <w:sz w:val="24"/>
          <w:szCs w:val="24"/>
          <w:lang w:eastAsia="ar-SA"/>
        </w:rPr>
        <w:t>której mowa w art. 11, jednak nie dłużej niż przez s</w:t>
      </w:r>
      <w:r w:rsidR="007A2F0E">
        <w:rPr>
          <w:rFonts w:ascii="Times New Roman" w:eastAsia="Times New Roman" w:hAnsi="Times New Roman" w:cs="Times New Roman"/>
          <w:sz w:val="24"/>
          <w:szCs w:val="24"/>
          <w:lang w:eastAsia="ar-SA"/>
        </w:rPr>
        <w:t>ześć miesięcy od dnia wejścia w </w:t>
      </w:r>
      <w:r w:rsidRPr="00046867">
        <w:rPr>
          <w:rFonts w:ascii="Times New Roman" w:eastAsia="Times New Roman" w:hAnsi="Times New Roman" w:cs="Times New Roman"/>
          <w:sz w:val="24"/>
          <w:szCs w:val="24"/>
          <w:lang w:eastAsia="ar-SA"/>
        </w:rPr>
        <w:t>życie niniejszej ustawy.</w:t>
      </w:r>
    </w:p>
    <w:p w:rsidR="00F73E7B" w:rsidRDefault="00046867" w:rsidP="00EF2263">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W art. 30 został wskazany termin wejścia w życie ustawy. Ustawa wchodzi w życie po upływie 14 dni od dnia ogłoszenia, z wyjątkiem art. 7 pkt 1 lit</w:t>
      </w:r>
      <w:r w:rsidR="00BD50D7">
        <w:rPr>
          <w:rFonts w:ascii="Times New Roman" w:eastAsia="Times New Roman" w:hAnsi="Times New Roman" w:cs="Times New Roman"/>
          <w:sz w:val="24"/>
          <w:szCs w:val="24"/>
          <w:lang w:eastAsia="ar-SA"/>
        </w:rPr>
        <w:t>. a i art. 15, które wchodzą w ż</w:t>
      </w:r>
      <w:r w:rsidRPr="00046867">
        <w:rPr>
          <w:rFonts w:ascii="Times New Roman" w:eastAsia="Times New Roman" w:hAnsi="Times New Roman" w:cs="Times New Roman"/>
          <w:sz w:val="24"/>
          <w:szCs w:val="24"/>
          <w:lang w:eastAsia="ar-SA"/>
        </w:rPr>
        <w:t>ycie z dniem 1 stycznia 2018 r. oraz a</w:t>
      </w:r>
      <w:r w:rsidR="00BD50D7">
        <w:rPr>
          <w:rFonts w:ascii="Times New Roman" w:eastAsia="Times New Roman" w:hAnsi="Times New Roman" w:cs="Times New Roman"/>
          <w:sz w:val="24"/>
          <w:szCs w:val="24"/>
          <w:lang w:eastAsia="ar-SA"/>
        </w:rPr>
        <w:t>rt. 28, który wchodzi w życie z </w:t>
      </w:r>
      <w:r w:rsidRPr="00046867">
        <w:rPr>
          <w:rFonts w:ascii="Times New Roman" w:eastAsia="Times New Roman" w:hAnsi="Times New Roman" w:cs="Times New Roman"/>
          <w:sz w:val="24"/>
          <w:szCs w:val="24"/>
          <w:lang w:eastAsia="ar-SA"/>
        </w:rPr>
        <w:t>dniem następującym po dniu ogłoszenia</w:t>
      </w:r>
      <w:r w:rsidR="00F73E7B">
        <w:rPr>
          <w:rFonts w:ascii="Times New Roman" w:eastAsia="Times New Roman" w:hAnsi="Times New Roman" w:cs="Times New Roman"/>
          <w:sz w:val="24"/>
          <w:szCs w:val="24"/>
          <w:lang w:eastAsia="ar-SA"/>
        </w:rPr>
        <w:t>.</w:t>
      </w:r>
    </w:p>
    <w:p w:rsidR="00F73E7B" w:rsidRPr="00F73E7B" w:rsidRDefault="00F73E7B" w:rsidP="00EF2263">
      <w:pPr>
        <w:widowControl w:val="0"/>
        <w:shd w:val="clear" w:color="auto" w:fill="FFFFFF"/>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F73E7B">
        <w:rPr>
          <w:rFonts w:ascii="Times New Roman" w:eastAsiaTheme="minorEastAsia" w:hAnsi="Times New Roman" w:cs="Times New Roman"/>
          <w:color w:val="000000"/>
          <w:sz w:val="24"/>
          <w:szCs w:val="24"/>
          <w:lang w:eastAsia="pl-PL"/>
        </w:rPr>
        <w:t>Natomiast proponuje si</w:t>
      </w:r>
      <w:r w:rsidRPr="00F73E7B">
        <w:rPr>
          <w:rFonts w:ascii="Times New Roman" w:eastAsia="Times New Roman" w:hAnsi="Times New Roman" w:cs="Times New Roman"/>
          <w:color w:val="000000"/>
          <w:sz w:val="24"/>
          <w:szCs w:val="24"/>
          <w:lang w:eastAsia="pl-PL"/>
        </w:rPr>
        <w:t>ę, aby projektowane przepisy ustawy umożliwiające Instytutowi Badań Edukacyjnych w Warszawie podejmowanie we współpracy z Polską Agencją Rozwoju Przedsiębiorczości działań organizacyjno-technicznych mających na celu zapewnienie nieprzerwanego funkcjonowania Zintegrowanego Rejestr</w:t>
      </w:r>
      <w:r w:rsidR="006F1201">
        <w:rPr>
          <w:rFonts w:ascii="Times New Roman" w:eastAsia="Times New Roman" w:hAnsi="Times New Roman" w:cs="Times New Roman"/>
          <w:color w:val="000000"/>
          <w:sz w:val="24"/>
          <w:szCs w:val="24"/>
          <w:lang w:eastAsia="pl-PL"/>
        </w:rPr>
        <w:t>u</w:t>
      </w:r>
      <w:r w:rsidRPr="00F73E7B">
        <w:rPr>
          <w:rFonts w:ascii="Times New Roman" w:eastAsia="Times New Roman" w:hAnsi="Times New Roman" w:cs="Times New Roman"/>
          <w:color w:val="000000"/>
          <w:sz w:val="24"/>
          <w:szCs w:val="24"/>
          <w:lang w:eastAsia="pl-PL"/>
        </w:rPr>
        <w:t xml:space="preserve"> Kwalifikacji weszły w życie z dniem następującym po dniu ogłoszenia projektowanej ustawy. Od tego dnia będzie także możliwe przekazanie Instytutowi Badań Edukacyjnych w Warszawie przez ministra koordynatora Zintegrowanego Systemu Kwalifikacji (ministra właściwego do spraw oświaty i wychowania) środków finansowych w zakresie niezbędnym do realizacji zadań mających na celu zapewnienie nieprzerwanego funkcjonowania Zinte</w:t>
      </w:r>
      <w:r w:rsidR="006F1201">
        <w:rPr>
          <w:rFonts w:ascii="Times New Roman" w:eastAsia="Times New Roman" w:hAnsi="Times New Roman" w:cs="Times New Roman"/>
          <w:color w:val="000000"/>
          <w:sz w:val="24"/>
          <w:szCs w:val="24"/>
          <w:lang w:eastAsia="pl-PL"/>
        </w:rPr>
        <w:t>growanego Rejestru Kwalifikacji.</w:t>
      </w:r>
      <w:r w:rsidRPr="00F73E7B">
        <w:rPr>
          <w:rFonts w:ascii="Times New Roman" w:eastAsia="Times New Roman" w:hAnsi="Times New Roman" w:cs="Times New Roman"/>
          <w:color w:val="000000"/>
          <w:sz w:val="24"/>
          <w:szCs w:val="24"/>
          <w:lang w:eastAsia="pl-PL"/>
        </w:rPr>
        <w:t xml:space="preserve"> Zaproponowane wejście w życie powyższych regulacji zapewni sprawne przejęcie zadań przez nowy podmiot prowadzący ZRK. Zasady demokratycznego państwa prawa nie stoją na przeszkodzie, aby projektowane przepisy ustawy weszły w życie w ww. terminie.</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 xml:space="preserve">Przewiduje się, że projektowane zmiany ustawy wpłyną pozytywnie na działalność mikroprzedsiębiorców oraz małych i średnich przedsiębiorców, ponieważ wprowadzają one ułatwienia i uproszczenia w aplikowaniu o środki Unii Europejskiej oraz w ich wdrażaniu. </w:t>
      </w:r>
      <w:r w:rsidRPr="00046867">
        <w:rPr>
          <w:rFonts w:ascii="Times New Roman" w:eastAsia="Times New Roman" w:hAnsi="Times New Roman" w:cs="Times New Roman"/>
          <w:sz w:val="24"/>
          <w:szCs w:val="24"/>
          <w:lang w:eastAsia="ar-SA"/>
        </w:rPr>
        <w:t xml:space="preserve">Proponowane </w:t>
      </w:r>
      <w:r w:rsidRPr="00046867">
        <w:rPr>
          <w:rFonts w:ascii="Times New Roman" w:eastAsia="Calibri" w:hAnsi="Times New Roman" w:cs="Times New Roman"/>
          <w:sz w:val="24"/>
          <w:szCs w:val="24"/>
          <w:lang w:eastAsia="ar-SA"/>
        </w:rPr>
        <w:t>uproszczenia i likwidacja barier w realizacji funduszy Unii Europejskiej przyczynią się do zwiększonego zainteresowania tych podmiotów ogłaszanymi konkursami. Łatwiejszy dostęp i realizacja projektów dofinansowanych ze środków Unii Europejskiej przez mikroprzedsiębiorców oraz małych i średnich przedsiębiorców podniesie poziom rozwoju tych podmiotów i zwiększy ich konkurencyjność na rynku.</w:t>
      </w:r>
    </w:p>
    <w:p w:rsidR="00046867" w:rsidRPr="00046867" w:rsidRDefault="00046867" w:rsidP="00046867">
      <w:pPr>
        <w:suppressAutoHyphens/>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Calibri" w:hAnsi="Times New Roman" w:cs="Times New Roman"/>
          <w:sz w:val="24"/>
          <w:szCs w:val="24"/>
          <w:lang w:eastAsia="ar-SA"/>
        </w:rPr>
        <w:t xml:space="preserve">Projekt ustawy jest zgodny z prawem Unii Europejskiej. </w:t>
      </w:r>
    </w:p>
    <w:p w:rsidR="00046867" w:rsidRPr="00046867" w:rsidRDefault="00046867" w:rsidP="00046867">
      <w:pPr>
        <w:widowControl w:val="0"/>
        <w:suppressAutoHyphens/>
        <w:autoSpaceDE w:val="0"/>
        <w:spacing w:before="120" w:after="0" w:line="360" w:lineRule="auto"/>
        <w:jc w:val="both"/>
        <w:rPr>
          <w:rFonts w:ascii="Times New Roman" w:eastAsia="Times New Roman" w:hAnsi="Times New Roman" w:cs="Times New Roman"/>
          <w:sz w:val="24"/>
          <w:szCs w:val="24"/>
          <w:lang w:eastAsia="ar-SA"/>
        </w:rPr>
      </w:pPr>
      <w:r w:rsidRPr="00046867">
        <w:rPr>
          <w:rFonts w:ascii="Times New Roman" w:eastAsia="Times New Roman" w:hAnsi="Times New Roman" w:cs="Times New Roman"/>
          <w:sz w:val="24"/>
          <w:szCs w:val="24"/>
          <w:lang w:eastAsia="ar-SA"/>
        </w:rPr>
        <w:t xml:space="preserve">Projekt ustawy, zgodnie z art. 5 ustawy z dnia 7 lipca 2005 r. o działalności lobbingowej w procesie stanowienia prawa (Dz. U. </w:t>
      </w:r>
      <w:r w:rsidR="00EC2B84">
        <w:rPr>
          <w:rFonts w:ascii="Times New Roman" w:eastAsia="Times New Roman" w:hAnsi="Times New Roman" w:cs="Times New Roman"/>
          <w:sz w:val="24"/>
          <w:szCs w:val="24"/>
          <w:lang w:eastAsia="ar-SA"/>
        </w:rPr>
        <w:t>z 2017 r. poz. 248</w:t>
      </w:r>
      <w:r w:rsidRPr="00046867">
        <w:rPr>
          <w:rFonts w:ascii="Times New Roman" w:eastAsia="Times New Roman" w:hAnsi="Times New Roman" w:cs="Times New Roman"/>
          <w:sz w:val="24"/>
          <w:szCs w:val="24"/>
          <w:lang w:eastAsia="ar-SA"/>
        </w:rPr>
        <w:t>), został udostępniony w Biuletynie Informacji Publicz</w:t>
      </w:r>
      <w:r w:rsidR="00BD50D7">
        <w:rPr>
          <w:rFonts w:ascii="Times New Roman" w:eastAsia="Times New Roman" w:hAnsi="Times New Roman" w:cs="Times New Roman"/>
          <w:sz w:val="24"/>
          <w:szCs w:val="24"/>
          <w:lang w:eastAsia="ar-SA"/>
        </w:rPr>
        <w:t>nej Ministerstwa Rozwoju oraz w </w:t>
      </w:r>
      <w:r w:rsidRPr="00046867">
        <w:rPr>
          <w:rFonts w:ascii="Times New Roman" w:eastAsia="Times New Roman" w:hAnsi="Times New Roman" w:cs="Times New Roman"/>
          <w:sz w:val="24"/>
          <w:szCs w:val="24"/>
          <w:lang w:eastAsia="ar-SA"/>
        </w:rPr>
        <w:t xml:space="preserve">zakładce Rządowy Proces Legislacyjny na stronie RCL. W trybie ww. ustawy uwagę, po terminie zgłaszania uwag, pismem z dnia 13 lutego 2017 r., znak CW-80-8/17 zgłosił Instytut Nafty i Gazu – Państwowy Instytut Badawczy. </w:t>
      </w:r>
    </w:p>
    <w:p w:rsidR="00046867" w:rsidRPr="00046867" w:rsidRDefault="00046867" w:rsidP="00046867">
      <w:pPr>
        <w:suppressAutoHyphens/>
        <w:spacing w:before="120" w:after="0" w:line="360" w:lineRule="auto"/>
        <w:jc w:val="both"/>
        <w:rPr>
          <w:rFonts w:ascii="Times New Roman" w:eastAsia="Calibri" w:hAnsi="Times New Roman" w:cs="Times New Roman"/>
          <w:sz w:val="24"/>
          <w:szCs w:val="24"/>
          <w:lang w:eastAsia="ar-SA"/>
        </w:rPr>
      </w:pPr>
      <w:r w:rsidRPr="00046867">
        <w:rPr>
          <w:rFonts w:ascii="Times New Roman" w:eastAsia="Calibri" w:hAnsi="Times New Roman" w:cs="Times New Roman"/>
          <w:sz w:val="24"/>
          <w:szCs w:val="24"/>
          <w:lang w:eastAsia="ar-SA"/>
        </w:rPr>
        <w:t>Projekt nie podlega procedurze notyfikacji z</w:t>
      </w:r>
      <w:r w:rsidR="00BD50D7">
        <w:rPr>
          <w:rFonts w:ascii="Times New Roman" w:eastAsia="Calibri" w:hAnsi="Times New Roman" w:cs="Times New Roman"/>
          <w:sz w:val="24"/>
          <w:szCs w:val="24"/>
          <w:lang w:eastAsia="ar-SA"/>
        </w:rPr>
        <w:t>godnie z trybem przewidzianym w </w:t>
      </w:r>
      <w:r w:rsidRPr="00046867">
        <w:rPr>
          <w:rFonts w:ascii="Times New Roman" w:eastAsia="Calibri" w:hAnsi="Times New Roman" w:cs="Times New Roman"/>
          <w:sz w:val="24"/>
          <w:szCs w:val="24"/>
          <w:lang w:eastAsia="ar-SA"/>
        </w:rPr>
        <w:t>rozporządzeniu Rady Ministrów z dnia 23 grudnia 2002 r. w sprawie sposobu funkcjonowania krajowego systemu notyfikacji nor</w:t>
      </w:r>
      <w:r w:rsidR="00BD50D7">
        <w:rPr>
          <w:rFonts w:ascii="Times New Roman" w:eastAsia="Calibri" w:hAnsi="Times New Roman" w:cs="Times New Roman"/>
          <w:sz w:val="24"/>
          <w:szCs w:val="24"/>
          <w:lang w:eastAsia="ar-SA"/>
        </w:rPr>
        <w:t>m i aktów prawnych (Dz. U. poz. </w:t>
      </w:r>
      <w:r w:rsidRPr="00046867">
        <w:rPr>
          <w:rFonts w:ascii="Times New Roman" w:eastAsia="Calibri" w:hAnsi="Times New Roman" w:cs="Times New Roman"/>
          <w:sz w:val="24"/>
          <w:szCs w:val="24"/>
          <w:lang w:eastAsia="ar-SA"/>
        </w:rPr>
        <w:t>2039 oraz z 2004 r. poz. 597).</w:t>
      </w:r>
    </w:p>
    <w:p w:rsidR="00B10A8C" w:rsidRPr="00BD50D7" w:rsidRDefault="00046867" w:rsidP="00EC2B84">
      <w:pPr>
        <w:suppressAutoHyphens/>
        <w:spacing w:before="120" w:after="0" w:line="360" w:lineRule="auto"/>
        <w:jc w:val="both"/>
        <w:rPr>
          <w:rFonts w:ascii="Times New Roman" w:hAnsi="Times New Roman" w:cs="Times New Roman"/>
          <w:sz w:val="24"/>
          <w:szCs w:val="24"/>
        </w:rPr>
      </w:pPr>
      <w:r w:rsidRPr="00046867">
        <w:rPr>
          <w:rFonts w:ascii="Times New Roman" w:eastAsia="Calibri" w:hAnsi="Times New Roman" w:cs="Times New Roman"/>
          <w:sz w:val="24"/>
          <w:szCs w:val="24"/>
          <w:lang w:eastAsia="ar-SA"/>
        </w:rPr>
        <w:t xml:space="preserve">Projekt nie podlega obowiązkowi uzyskania opinii organów i instytucji Unii Europejskiej, w tym Europejskiego Banku Centralnego, o którym mowa w § 39 uchwały </w:t>
      </w:r>
      <w:r w:rsidR="00EC2B84">
        <w:rPr>
          <w:rFonts w:ascii="Times New Roman" w:eastAsia="Calibri" w:hAnsi="Times New Roman" w:cs="Times New Roman"/>
          <w:sz w:val="24"/>
          <w:szCs w:val="24"/>
          <w:lang w:eastAsia="ar-SA"/>
        </w:rPr>
        <w:t>n</w:t>
      </w:r>
      <w:r w:rsidRPr="00046867">
        <w:rPr>
          <w:rFonts w:ascii="Times New Roman" w:eastAsia="Calibri" w:hAnsi="Times New Roman" w:cs="Times New Roman"/>
          <w:sz w:val="24"/>
          <w:szCs w:val="24"/>
          <w:lang w:eastAsia="ar-SA"/>
        </w:rPr>
        <w:t>r 190 Rady Ministrów z dnia 29 października 2013 r. – Regulamin pracy Rady Ministrów</w:t>
      </w:r>
      <w:r w:rsidR="00EC2B84">
        <w:rPr>
          <w:rFonts w:ascii="Times New Roman" w:eastAsia="Calibri" w:hAnsi="Times New Roman" w:cs="Times New Roman"/>
          <w:sz w:val="24"/>
          <w:szCs w:val="24"/>
          <w:lang w:eastAsia="ar-SA"/>
        </w:rPr>
        <w:t xml:space="preserve"> </w:t>
      </w:r>
      <w:r w:rsidR="00EC2B84" w:rsidRPr="00224337">
        <w:rPr>
          <w:rFonts w:ascii="Times New Roman" w:hAnsi="Times New Roman" w:cs="Times New Roman"/>
          <w:sz w:val="24"/>
          <w:szCs w:val="24"/>
        </w:rPr>
        <w:t>(M.P. z</w:t>
      </w:r>
      <w:r w:rsidR="00EC2B84">
        <w:rPr>
          <w:rFonts w:ascii="Times New Roman" w:hAnsi="Times New Roman" w:cs="Times New Roman"/>
          <w:sz w:val="24"/>
          <w:szCs w:val="24"/>
        </w:rPr>
        <w:t xml:space="preserve"> </w:t>
      </w:r>
      <w:r w:rsidR="00EC2B84" w:rsidRPr="00224337">
        <w:rPr>
          <w:rFonts w:ascii="Times New Roman" w:hAnsi="Times New Roman" w:cs="Times New Roman"/>
          <w:sz w:val="24"/>
          <w:szCs w:val="24"/>
        </w:rPr>
        <w:t>2016 r. poz. 1006 i 1204)</w:t>
      </w:r>
      <w:r w:rsidRPr="00046867">
        <w:rPr>
          <w:rFonts w:ascii="Times New Roman" w:eastAsia="Calibri" w:hAnsi="Times New Roman" w:cs="Times New Roman"/>
          <w:sz w:val="24"/>
          <w:szCs w:val="24"/>
          <w:lang w:eastAsia="ar-SA"/>
        </w:rPr>
        <w:t xml:space="preserve">. </w:t>
      </w:r>
    </w:p>
    <w:sectPr w:rsidR="00B10A8C" w:rsidRPr="00BD50D7" w:rsidSect="00A17B02">
      <w:headerReference w:type="default" r:id="rId7"/>
      <w:footerReference w:type="default" r:id="rId8"/>
      <w:pgSz w:w="11906" w:h="16838"/>
      <w:pgMar w:top="1588" w:right="1418" w:bottom="1418" w:left="1985" w:header="708" w:footer="708" w:gutter="0"/>
      <w:cols w:space="708"/>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995" w:rsidRDefault="00BD50D7">
      <w:pPr>
        <w:spacing w:after="0" w:line="240" w:lineRule="auto"/>
      </w:pPr>
      <w:r>
        <w:separator/>
      </w:r>
    </w:p>
  </w:endnote>
  <w:endnote w:type="continuationSeparator" w:id="0">
    <w:p w:rsidR="00714995" w:rsidRDefault="00BD5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EE"/>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A21" w:rsidRPr="00A17B02" w:rsidRDefault="00046867">
    <w:pPr>
      <w:pStyle w:val="Stopka"/>
      <w:jc w:val="center"/>
    </w:pPr>
    <w:r w:rsidRPr="00A17B02">
      <w:rPr>
        <w:rFonts w:cs="Arial"/>
      </w:rPr>
      <w:fldChar w:fldCharType="begin"/>
    </w:r>
    <w:r w:rsidRPr="00A17B02">
      <w:rPr>
        <w:rFonts w:cs="Arial"/>
      </w:rPr>
      <w:instrText xml:space="preserve"> PAGE </w:instrText>
    </w:r>
    <w:r w:rsidRPr="00A17B02">
      <w:rPr>
        <w:rFonts w:cs="Arial"/>
      </w:rPr>
      <w:fldChar w:fldCharType="separate"/>
    </w:r>
    <w:r w:rsidR="00B9215D">
      <w:rPr>
        <w:rFonts w:cs="Arial"/>
        <w:noProof/>
      </w:rPr>
      <w:t>21</w:t>
    </w:r>
    <w:r w:rsidRPr="00A17B02">
      <w:rPr>
        <w:rFonts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995" w:rsidRDefault="00BD50D7">
      <w:pPr>
        <w:spacing w:after="0" w:line="240" w:lineRule="auto"/>
      </w:pPr>
      <w:r>
        <w:separator/>
      </w:r>
    </w:p>
  </w:footnote>
  <w:footnote w:type="continuationSeparator" w:id="0">
    <w:p w:rsidR="00714995" w:rsidRDefault="00BD50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A21" w:rsidRDefault="00B9215D">
    <w:pPr>
      <w:pStyle w:val="Nagwek"/>
      <w:jc w:val="right"/>
      <w:rPr>
        <w:rFonts w:ascii="Arial" w:hAnsi="Arial" w:cs="Arial"/>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C149520"/>
    <w:name w:val="WW8Num6"/>
    <w:lvl w:ilvl="0">
      <w:start w:val="1"/>
      <w:numFmt w:val="decimal"/>
      <w:lvlText w:val="%1."/>
      <w:lvlJc w:val="left"/>
      <w:pPr>
        <w:tabs>
          <w:tab w:val="num" w:pos="633"/>
        </w:tabs>
        <w:ind w:left="1353" w:hanging="360"/>
      </w:pPr>
      <w:rPr>
        <w:rFonts w:ascii="Times New Roman" w:hAnsi="Times New Roman" w:cs="Arial" w:hint="default"/>
        <w:b w:val="0"/>
        <w:bCs/>
        <w:sz w:val="24"/>
        <w:szCs w:val="20"/>
      </w:rPr>
    </w:lvl>
  </w:abstractNum>
  <w:abstractNum w:abstractNumId="1" w15:restartNumberingAfterBreak="0">
    <w:nsid w:val="00000002"/>
    <w:multiLevelType w:val="singleLevel"/>
    <w:tmpl w:val="00000002"/>
    <w:name w:val="WW8Num9"/>
    <w:lvl w:ilvl="0">
      <w:start w:val="1"/>
      <w:numFmt w:val="bullet"/>
      <w:pStyle w:val="buletyo"/>
      <w:lvlText w:val="o"/>
      <w:lvlJc w:val="left"/>
      <w:pPr>
        <w:tabs>
          <w:tab w:val="num" w:pos="360"/>
        </w:tabs>
        <w:ind w:left="360" w:hanging="360"/>
      </w:pPr>
      <w:rPr>
        <w:rFonts w:ascii="Courier New" w:hAnsi="Courier New" w:cs="Courier New" w:hint="default"/>
        <w:color w:val="333399"/>
      </w:rPr>
    </w:lvl>
  </w:abstractNum>
  <w:abstractNum w:abstractNumId="2" w15:restartNumberingAfterBreak="0">
    <w:nsid w:val="00000003"/>
    <w:multiLevelType w:val="singleLevel"/>
    <w:tmpl w:val="00000003"/>
    <w:name w:val="WW8Num10"/>
    <w:lvl w:ilvl="0">
      <w:start w:val="1"/>
      <w:numFmt w:val="decimal"/>
      <w:lvlText w:val="%1)"/>
      <w:lvlJc w:val="left"/>
      <w:pPr>
        <w:tabs>
          <w:tab w:val="num" w:pos="0"/>
        </w:tabs>
        <w:ind w:left="720" w:hanging="360"/>
      </w:pPr>
      <w:rPr>
        <w:rFonts w:hint="default"/>
      </w:rPr>
    </w:lvl>
  </w:abstractNum>
  <w:abstractNum w:abstractNumId="3" w15:restartNumberingAfterBreak="0">
    <w:nsid w:val="00000004"/>
    <w:multiLevelType w:val="singleLevel"/>
    <w:tmpl w:val="00000004"/>
    <w:name w:val="WW8Num12"/>
    <w:lvl w:ilvl="0">
      <w:start w:val="1"/>
      <w:numFmt w:val="decimal"/>
      <w:lvlText w:val="%1)"/>
      <w:lvlJc w:val="left"/>
      <w:pPr>
        <w:tabs>
          <w:tab w:val="num" w:pos="0"/>
        </w:tabs>
        <w:ind w:left="720" w:hanging="360"/>
      </w:pPr>
      <w:rPr>
        <w:rFonts w:hint="default"/>
      </w:rPr>
    </w:lvl>
  </w:abstractNum>
  <w:abstractNum w:abstractNumId="4" w15:restartNumberingAfterBreak="0">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867"/>
    <w:rsid w:val="00046867"/>
    <w:rsid w:val="000F5E14"/>
    <w:rsid w:val="0012492B"/>
    <w:rsid w:val="00182471"/>
    <w:rsid w:val="001D1040"/>
    <w:rsid w:val="001F250A"/>
    <w:rsid w:val="002049EF"/>
    <w:rsid w:val="002128FF"/>
    <w:rsid w:val="00287C93"/>
    <w:rsid w:val="00294916"/>
    <w:rsid w:val="002A355B"/>
    <w:rsid w:val="00360037"/>
    <w:rsid w:val="00397FB0"/>
    <w:rsid w:val="00437BFB"/>
    <w:rsid w:val="00452666"/>
    <w:rsid w:val="00464538"/>
    <w:rsid w:val="004B2685"/>
    <w:rsid w:val="005D03B4"/>
    <w:rsid w:val="005D1102"/>
    <w:rsid w:val="006F1201"/>
    <w:rsid w:val="00714995"/>
    <w:rsid w:val="00734FE0"/>
    <w:rsid w:val="00746826"/>
    <w:rsid w:val="007A2F0E"/>
    <w:rsid w:val="007D0039"/>
    <w:rsid w:val="007F1769"/>
    <w:rsid w:val="008148BA"/>
    <w:rsid w:val="00854B43"/>
    <w:rsid w:val="00863E95"/>
    <w:rsid w:val="00966E19"/>
    <w:rsid w:val="00986929"/>
    <w:rsid w:val="00B10A8C"/>
    <w:rsid w:val="00B9215D"/>
    <w:rsid w:val="00BD1150"/>
    <w:rsid w:val="00BD50D7"/>
    <w:rsid w:val="00C57D3E"/>
    <w:rsid w:val="00C94831"/>
    <w:rsid w:val="00CA2D01"/>
    <w:rsid w:val="00CB5ACF"/>
    <w:rsid w:val="00CB7449"/>
    <w:rsid w:val="00D13FDF"/>
    <w:rsid w:val="00D45FBB"/>
    <w:rsid w:val="00D60217"/>
    <w:rsid w:val="00DA5598"/>
    <w:rsid w:val="00DF1590"/>
    <w:rsid w:val="00EC05FB"/>
    <w:rsid w:val="00EC2B84"/>
    <w:rsid w:val="00EC4271"/>
    <w:rsid w:val="00EF2263"/>
    <w:rsid w:val="00F73E7B"/>
    <w:rsid w:val="00FA0A58"/>
    <w:rsid w:val="00FD361A"/>
    <w:rsid w:val="00FD7E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99FFEE-7A94-4E68-8B74-66F0861DA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numbering" w:customStyle="1" w:styleId="Bezlisty1">
    <w:name w:val="Bez listy1"/>
    <w:next w:val="Bezlisty"/>
    <w:uiPriority w:val="99"/>
    <w:semiHidden/>
    <w:unhideWhenUsed/>
    <w:rsid w:val="00046867"/>
  </w:style>
  <w:style w:type="character" w:customStyle="1" w:styleId="WW8Num1z0">
    <w:name w:val="WW8Num1z0"/>
    <w:rsid w:val="00046867"/>
    <w:rPr>
      <w:rFonts w:ascii="Wingdings" w:hAnsi="Wingdings" w:cs="Wingdings"/>
    </w:rPr>
  </w:style>
  <w:style w:type="character" w:customStyle="1" w:styleId="WW8Num2z0">
    <w:name w:val="WW8Num2z0"/>
    <w:rsid w:val="00046867"/>
    <w:rPr>
      <w:b w:val="0"/>
    </w:rPr>
  </w:style>
  <w:style w:type="character" w:customStyle="1" w:styleId="WW8Num2z1">
    <w:name w:val="WW8Num2z1"/>
    <w:rsid w:val="00046867"/>
  </w:style>
  <w:style w:type="character" w:customStyle="1" w:styleId="WW8Num2z2">
    <w:name w:val="WW8Num2z2"/>
    <w:rsid w:val="00046867"/>
  </w:style>
  <w:style w:type="character" w:customStyle="1" w:styleId="WW8Num2z3">
    <w:name w:val="WW8Num2z3"/>
    <w:rsid w:val="00046867"/>
  </w:style>
  <w:style w:type="character" w:customStyle="1" w:styleId="WW8Num2z4">
    <w:name w:val="WW8Num2z4"/>
    <w:rsid w:val="00046867"/>
  </w:style>
  <w:style w:type="character" w:customStyle="1" w:styleId="WW8Num2z5">
    <w:name w:val="WW8Num2z5"/>
    <w:rsid w:val="00046867"/>
  </w:style>
  <w:style w:type="character" w:customStyle="1" w:styleId="WW8Num2z6">
    <w:name w:val="WW8Num2z6"/>
    <w:rsid w:val="00046867"/>
  </w:style>
  <w:style w:type="character" w:customStyle="1" w:styleId="WW8Num2z7">
    <w:name w:val="WW8Num2z7"/>
    <w:rsid w:val="00046867"/>
  </w:style>
  <w:style w:type="character" w:customStyle="1" w:styleId="WW8Num2z8">
    <w:name w:val="WW8Num2z8"/>
    <w:rsid w:val="00046867"/>
  </w:style>
  <w:style w:type="character" w:customStyle="1" w:styleId="WW8Num3z0">
    <w:name w:val="WW8Num3z0"/>
    <w:rsid w:val="00046867"/>
    <w:rPr>
      <w:b w:val="0"/>
    </w:rPr>
  </w:style>
  <w:style w:type="character" w:customStyle="1" w:styleId="WW8Num4z0">
    <w:name w:val="WW8Num4z0"/>
    <w:rsid w:val="00046867"/>
    <w:rPr>
      <w:rFonts w:hint="default"/>
    </w:rPr>
  </w:style>
  <w:style w:type="character" w:customStyle="1" w:styleId="WW8Num4z1">
    <w:name w:val="WW8Num4z1"/>
    <w:rsid w:val="00046867"/>
  </w:style>
  <w:style w:type="character" w:customStyle="1" w:styleId="WW8Num4z2">
    <w:name w:val="WW8Num4z2"/>
    <w:rsid w:val="00046867"/>
  </w:style>
  <w:style w:type="character" w:customStyle="1" w:styleId="WW8Num4z3">
    <w:name w:val="WW8Num4z3"/>
    <w:rsid w:val="00046867"/>
  </w:style>
  <w:style w:type="character" w:customStyle="1" w:styleId="WW8Num4z4">
    <w:name w:val="WW8Num4z4"/>
    <w:rsid w:val="00046867"/>
  </w:style>
  <w:style w:type="character" w:customStyle="1" w:styleId="WW8Num4z5">
    <w:name w:val="WW8Num4z5"/>
    <w:rsid w:val="00046867"/>
  </w:style>
  <w:style w:type="character" w:customStyle="1" w:styleId="WW8Num4z6">
    <w:name w:val="WW8Num4z6"/>
    <w:rsid w:val="00046867"/>
  </w:style>
  <w:style w:type="character" w:customStyle="1" w:styleId="WW8Num4z7">
    <w:name w:val="WW8Num4z7"/>
    <w:rsid w:val="00046867"/>
  </w:style>
  <w:style w:type="character" w:customStyle="1" w:styleId="WW8Num4z8">
    <w:name w:val="WW8Num4z8"/>
    <w:rsid w:val="00046867"/>
  </w:style>
  <w:style w:type="character" w:customStyle="1" w:styleId="WW8Num5z0">
    <w:name w:val="WW8Num5z0"/>
    <w:rsid w:val="00046867"/>
  </w:style>
  <w:style w:type="character" w:customStyle="1" w:styleId="WW8Num5z1">
    <w:name w:val="WW8Num5z1"/>
    <w:rsid w:val="00046867"/>
  </w:style>
  <w:style w:type="character" w:customStyle="1" w:styleId="WW8Num5z2">
    <w:name w:val="WW8Num5z2"/>
    <w:rsid w:val="00046867"/>
  </w:style>
  <w:style w:type="character" w:customStyle="1" w:styleId="WW8Num5z3">
    <w:name w:val="WW8Num5z3"/>
    <w:rsid w:val="00046867"/>
  </w:style>
  <w:style w:type="character" w:customStyle="1" w:styleId="WW8Num5z4">
    <w:name w:val="WW8Num5z4"/>
    <w:rsid w:val="00046867"/>
  </w:style>
  <w:style w:type="character" w:customStyle="1" w:styleId="WW8Num5z5">
    <w:name w:val="WW8Num5z5"/>
    <w:rsid w:val="00046867"/>
  </w:style>
  <w:style w:type="character" w:customStyle="1" w:styleId="WW8Num5z6">
    <w:name w:val="WW8Num5z6"/>
    <w:rsid w:val="00046867"/>
  </w:style>
  <w:style w:type="character" w:customStyle="1" w:styleId="WW8Num5z7">
    <w:name w:val="WW8Num5z7"/>
    <w:rsid w:val="00046867"/>
  </w:style>
  <w:style w:type="character" w:customStyle="1" w:styleId="WW8Num5z8">
    <w:name w:val="WW8Num5z8"/>
    <w:rsid w:val="00046867"/>
  </w:style>
  <w:style w:type="character" w:customStyle="1" w:styleId="WW8Num6z0">
    <w:name w:val="WW8Num6z0"/>
    <w:rsid w:val="00046867"/>
    <w:rPr>
      <w:rFonts w:ascii="Arial" w:hAnsi="Arial" w:cs="Arial" w:hint="default"/>
      <w:b/>
      <w:bCs/>
      <w:sz w:val="20"/>
      <w:szCs w:val="20"/>
    </w:rPr>
  </w:style>
  <w:style w:type="character" w:customStyle="1" w:styleId="WW8Num6z1">
    <w:name w:val="WW8Num6z1"/>
    <w:rsid w:val="00046867"/>
  </w:style>
  <w:style w:type="character" w:customStyle="1" w:styleId="WW8Num6z2">
    <w:name w:val="WW8Num6z2"/>
    <w:rsid w:val="00046867"/>
  </w:style>
  <w:style w:type="character" w:customStyle="1" w:styleId="WW8Num6z3">
    <w:name w:val="WW8Num6z3"/>
    <w:rsid w:val="00046867"/>
  </w:style>
  <w:style w:type="character" w:customStyle="1" w:styleId="WW8Num6z4">
    <w:name w:val="WW8Num6z4"/>
    <w:rsid w:val="00046867"/>
  </w:style>
  <w:style w:type="character" w:customStyle="1" w:styleId="WW8Num6z5">
    <w:name w:val="WW8Num6z5"/>
    <w:rsid w:val="00046867"/>
  </w:style>
  <w:style w:type="character" w:customStyle="1" w:styleId="WW8Num6z6">
    <w:name w:val="WW8Num6z6"/>
    <w:rsid w:val="00046867"/>
  </w:style>
  <w:style w:type="character" w:customStyle="1" w:styleId="WW8Num6z7">
    <w:name w:val="WW8Num6z7"/>
    <w:rsid w:val="00046867"/>
  </w:style>
  <w:style w:type="character" w:customStyle="1" w:styleId="WW8Num6z8">
    <w:name w:val="WW8Num6z8"/>
    <w:rsid w:val="00046867"/>
  </w:style>
  <w:style w:type="character" w:customStyle="1" w:styleId="WW8Num7z0">
    <w:name w:val="WW8Num7z0"/>
    <w:rsid w:val="00046867"/>
    <w:rPr>
      <w:rFonts w:hint="default"/>
    </w:rPr>
  </w:style>
  <w:style w:type="character" w:customStyle="1" w:styleId="WW8Num7z1">
    <w:name w:val="WW8Num7z1"/>
    <w:rsid w:val="00046867"/>
  </w:style>
  <w:style w:type="character" w:customStyle="1" w:styleId="WW8Num7z2">
    <w:name w:val="WW8Num7z2"/>
    <w:rsid w:val="00046867"/>
  </w:style>
  <w:style w:type="character" w:customStyle="1" w:styleId="WW8Num7z3">
    <w:name w:val="WW8Num7z3"/>
    <w:rsid w:val="00046867"/>
  </w:style>
  <w:style w:type="character" w:customStyle="1" w:styleId="WW8Num7z4">
    <w:name w:val="WW8Num7z4"/>
    <w:rsid w:val="00046867"/>
  </w:style>
  <w:style w:type="character" w:customStyle="1" w:styleId="WW8Num7z5">
    <w:name w:val="WW8Num7z5"/>
    <w:rsid w:val="00046867"/>
  </w:style>
  <w:style w:type="character" w:customStyle="1" w:styleId="WW8Num7z6">
    <w:name w:val="WW8Num7z6"/>
    <w:rsid w:val="00046867"/>
  </w:style>
  <w:style w:type="character" w:customStyle="1" w:styleId="WW8Num7z7">
    <w:name w:val="WW8Num7z7"/>
    <w:rsid w:val="00046867"/>
  </w:style>
  <w:style w:type="character" w:customStyle="1" w:styleId="WW8Num7z8">
    <w:name w:val="WW8Num7z8"/>
    <w:rsid w:val="00046867"/>
  </w:style>
  <w:style w:type="character" w:customStyle="1" w:styleId="WW8Num8z0">
    <w:name w:val="WW8Num8z0"/>
    <w:rsid w:val="00046867"/>
    <w:rPr>
      <w:rFonts w:hint="default"/>
    </w:rPr>
  </w:style>
  <w:style w:type="character" w:customStyle="1" w:styleId="WW8Num8z1">
    <w:name w:val="WW8Num8z1"/>
    <w:rsid w:val="00046867"/>
  </w:style>
  <w:style w:type="character" w:customStyle="1" w:styleId="WW8Num8z2">
    <w:name w:val="WW8Num8z2"/>
    <w:rsid w:val="00046867"/>
  </w:style>
  <w:style w:type="character" w:customStyle="1" w:styleId="WW8Num8z3">
    <w:name w:val="WW8Num8z3"/>
    <w:rsid w:val="00046867"/>
  </w:style>
  <w:style w:type="character" w:customStyle="1" w:styleId="WW8Num8z4">
    <w:name w:val="WW8Num8z4"/>
    <w:rsid w:val="00046867"/>
  </w:style>
  <w:style w:type="character" w:customStyle="1" w:styleId="WW8Num8z5">
    <w:name w:val="WW8Num8z5"/>
    <w:rsid w:val="00046867"/>
  </w:style>
  <w:style w:type="character" w:customStyle="1" w:styleId="WW8Num8z6">
    <w:name w:val="WW8Num8z6"/>
    <w:rsid w:val="00046867"/>
  </w:style>
  <w:style w:type="character" w:customStyle="1" w:styleId="WW8Num8z7">
    <w:name w:val="WW8Num8z7"/>
    <w:rsid w:val="00046867"/>
  </w:style>
  <w:style w:type="character" w:customStyle="1" w:styleId="WW8Num8z8">
    <w:name w:val="WW8Num8z8"/>
    <w:rsid w:val="00046867"/>
  </w:style>
  <w:style w:type="character" w:customStyle="1" w:styleId="WW8Num9z0">
    <w:name w:val="WW8Num9z0"/>
    <w:rsid w:val="00046867"/>
    <w:rPr>
      <w:rFonts w:ascii="Courier New" w:hAnsi="Courier New" w:cs="Courier New" w:hint="default"/>
      <w:color w:val="333399"/>
    </w:rPr>
  </w:style>
  <w:style w:type="character" w:customStyle="1" w:styleId="WW8Num10z0">
    <w:name w:val="WW8Num10z0"/>
    <w:rsid w:val="00046867"/>
    <w:rPr>
      <w:rFonts w:hint="default"/>
    </w:rPr>
  </w:style>
  <w:style w:type="character" w:customStyle="1" w:styleId="WW8Num10z1">
    <w:name w:val="WW8Num10z1"/>
    <w:rsid w:val="00046867"/>
  </w:style>
  <w:style w:type="character" w:customStyle="1" w:styleId="WW8Num10z2">
    <w:name w:val="WW8Num10z2"/>
    <w:rsid w:val="00046867"/>
  </w:style>
  <w:style w:type="character" w:customStyle="1" w:styleId="WW8Num10z3">
    <w:name w:val="WW8Num10z3"/>
    <w:rsid w:val="00046867"/>
  </w:style>
  <w:style w:type="character" w:customStyle="1" w:styleId="WW8Num10z4">
    <w:name w:val="WW8Num10z4"/>
    <w:rsid w:val="00046867"/>
  </w:style>
  <w:style w:type="character" w:customStyle="1" w:styleId="WW8Num10z5">
    <w:name w:val="WW8Num10z5"/>
    <w:rsid w:val="00046867"/>
  </w:style>
  <w:style w:type="character" w:customStyle="1" w:styleId="WW8Num10z6">
    <w:name w:val="WW8Num10z6"/>
    <w:rsid w:val="00046867"/>
  </w:style>
  <w:style w:type="character" w:customStyle="1" w:styleId="WW8Num10z7">
    <w:name w:val="WW8Num10z7"/>
    <w:rsid w:val="00046867"/>
  </w:style>
  <w:style w:type="character" w:customStyle="1" w:styleId="WW8Num10z8">
    <w:name w:val="WW8Num10z8"/>
    <w:rsid w:val="00046867"/>
  </w:style>
  <w:style w:type="character" w:customStyle="1" w:styleId="WW8Num11z0">
    <w:name w:val="WW8Num11z0"/>
    <w:rsid w:val="00046867"/>
    <w:rPr>
      <w:rFonts w:hint="default"/>
    </w:rPr>
  </w:style>
  <w:style w:type="character" w:customStyle="1" w:styleId="WW8Num11z1">
    <w:name w:val="WW8Num11z1"/>
    <w:rsid w:val="00046867"/>
  </w:style>
  <w:style w:type="character" w:customStyle="1" w:styleId="WW8Num11z2">
    <w:name w:val="WW8Num11z2"/>
    <w:rsid w:val="00046867"/>
  </w:style>
  <w:style w:type="character" w:customStyle="1" w:styleId="WW8Num11z3">
    <w:name w:val="WW8Num11z3"/>
    <w:rsid w:val="00046867"/>
  </w:style>
  <w:style w:type="character" w:customStyle="1" w:styleId="WW8Num11z4">
    <w:name w:val="WW8Num11z4"/>
    <w:rsid w:val="00046867"/>
  </w:style>
  <w:style w:type="character" w:customStyle="1" w:styleId="WW8Num11z5">
    <w:name w:val="WW8Num11z5"/>
    <w:rsid w:val="00046867"/>
  </w:style>
  <w:style w:type="character" w:customStyle="1" w:styleId="WW8Num11z6">
    <w:name w:val="WW8Num11z6"/>
    <w:rsid w:val="00046867"/>
  </w:style>
  <w:style w:type="character" w:customStyle="1" w:styleId="WW8Num11z7">
    <w:name w:val="WW8Num11z7"/>
    <w:rsid w:val="00046867"/>
  </w:style>
  <w:style w:type="character" w:customStyle="1" w:styleId="WW8Num11z8">
    <w:name w:val="WW8Num11z8"/>
    <w:rsid w:val="00046867"/>
  </w:style>
  <w:style w:type="character" w:customStyle="1" w:styleId="WW8Num12z0">
    <w:name w:val="WW8Num12z0"/>
    <w:rsid w:val="00046867"/>
    <w:rPr>
      <w:rFonts w:hint="default"/>
    </w:rPr>
  </w:style>
  <w:style w:type="character" w:customStyle="1" w:styleId="WW8Num12z1">
    <w:name w:val="WW8Num12z1"/>
    <w:rsid w:val="00046867"/>
  </w:style>
  <w:style w:type="character" w:customStyle="1" w:styleId="WW8Num12z2">
    <w:name w:val="WW8Num12z2"/>
    <w:rsid w:val="00046867"/>
  </w:style>
  <w:style w:type="character" w:customStyle="1" w:styleId="WW8Num12z3">
    <w:name w:val="WW8Num12z3"/>
    <w:rsid w:val="00046867"/>
  </w:style>
  <w:style w:type="character" w:customStyle="1" w:styleId="WW8Num12z4">
    <w:name w:val="WW8Num12z4"/>
    <w:rsid w:val="00046867"/>
  </w:style>
  <w:style w:type="character" w:customStyle="1" w:styleId="WW8Num12z5">
    <w:name w:val="WW8Num12z5"/>
    <w:rsid w:val="00046867"/>
  </w:style>
  <w:style w:type="character" w:customStyle="1" w:styleId="WW8Num12z6">
    <w:name w:val="WW8Num12z6"/>
    <w:rsid w:val="00046867"/>
  </w:style>
  <w:style w:type="character" w:customStyle="1" w:styleId="WW8Num12z7">
    <w:name w:val="WW8Num12z7"/>
    <w:rsid w:val="00046867"/>
  </w:style>
  <w:style w:type="character" w:customStyle="1" w:styleId="WW8Num12z8">
    <w:name w:val="WW8Num12z8"/>
    <w:rsid w:val="00046867"/>
  </w:style>
  <w:style w:type="character" w:customStyle="1" w:styleId="Domylnaczcionkaakapitu1">
    <w:name w:val="Domyślna czcionka akapitu1"/>
    <w:rsid w:val="00046867"/>
  </w:style>
  <w:style w:type="character" w:styleId="Numerstrony">
    <w:name w:val="page number"/>
    <w:basedOn w:val="Domylnaczcionkaakapitu1"/>
    <w:rsid w:val="00046867"/>
  </w:style>
  <w:style w:type="character" w:customStyle="1" w:styleId="Odwoaniedokomentarza1">
    <w:name w:val="Odwołanie do komentarza1"/>
    <w:rsid w:val="00046867"/>
    <w:rPr>
      <w:sz w:val="16"/>
      <w:szCs w:val="16"/>
    </w:rPr>
  </w:style>
  <w:style w:type="character" w:customStyle="1" w:styleId="FootnoteCharacters">
    <w:name w:val="Footnote Characters"/>
    <w:rsid w:val="00046867"/>
    <w:rPr>
      <w:rFonts w:ascii="Calibri" w:hAnsi="Calibri" w:cs="Times New Roman"/>
      <w:sz w:val="19"/>
      <w:shd w:val="clear" w:color="auto" w:fill="auto"/>
      <w:vertAlign w:val="superscript"/>
    </w:rPr>
  </w:style>
  <w:style w:type="character" w:customStyle="1" w:styleId="TekstprzypisudolnegoZnak">
    <w:name w:val="Tekst przypisu dolnego Znak"/>
    <w:rsid w:val="00046867"/>
    <w:rPr>
      <w:rFonts w:ascii="Tahoma" w:hAnsi="Tahoma" w:cs="Tahoma"/>
      <w:sz w:val="16"/>
      <w:lang w:val="pl-PL" w:eastAsia="ar-SA" w:bidi="ar-SA"/>
    </w:rPr>
  </w:style>
  <w:style w:type="character" w:customStyle="1" w:styleId="TekstkomentarzaZnak">
    <w:name w:val="Tekst komentarza Znak"/>
    <w:rsid w:val="00046867"/>
    <w:rPr>
      <w:lang w:val="pl-PL" w:eastAsia="ar-SA" w:bidi="ar-SA"/>
    </w:rPr>
  </w:style>
  <w:style w:type="character" w:customStyle="1" w:styleId="EndnoteCharacters">
    <w:name w:val="Endnote Characters"/>
    <w:rsid w:val="00046867"/>
    <w:rPr>
      <w:vertAlign w:val="superscript"/>
    </w:rPr>
  </w:style>
  <w:style w:type="character" w:customStyle="1" w:styleId="hps">
    <w:name w:val="hps"/>
    <w:basedOn w:val="Domylnaczcionkaakapitu1"/>
    <w:rsid w:val="00046867"/>
  </w:style>
  <w:style w:type="character" w:customStyle="1" w:styleId="hpsatn">
    <w:name w:val="hps atn"/>
    <w:basedOn w:val="Domylnaczcionkaakapitu1"/>
    <w:rsid w:val="00046867"/>
  </w:style>
  <w:style w:type="character" w:customStyle="1" w:styleId="NagwekZnak">
    <w:name w:val="Nagłówek Znak"/>
    <w:rsid w:val="00046867"/>
    <w:rPr>
      <w:sz w:val="24"/>
      <w:szCs w:val="24"/>
    </w:rPr>
  </w:style>
  <w:style w:type="character" w:customStyle="1" w:styleId="PKTpunktZnak">
    <w:name w:val="PKT – punkt Znak"/>
    <w:rsid w:val="00046867"/>
    <w:rPr>
      <w:rFonts w:ascii="Times" w:hAnsi="Times" w:cs="Arial"/>
      <w:bCs/>
      <w:sz w:val="24"/>
    </w:rPr>
  </w:style>
  <w:style w:type="character" w:customStyle="1" w:styleId="LITliteraZnak">
    <w:name w:val="LIT – litera Znak"/>
    <w:rsid w:val="00046867"/>
    <w:rPr>
      <w:rFonts w:ascii="Times" w:hAnsi="Times" w:cs="Arial"/>
      <w:bCs/>
      <w:sz w:val="24"/>
    </w:rPr>
  </w:style>
  <w:style w:type="character" w:customStyle="1" w:styleId="USTustnpkodeksuZnak">
    <w:name w:val="UST(§) – ust. (§ np. kodeksu) Znak"/>
    <w:rsid w:val="00046867"/>
    <w:rPr>
      <w:rFonts w:ascii="Times" w:hAnsi="Times" w:cs="Times"/>
      <w:bCs/>
    </w:rPr>
  </w:style>
  <w:style w:type="character" w:customStyle="1" w:styleId="StopkaZnak">
    <w:name w:val="Stopka Znak"/>
    <w:rsid w:val="00046867"/>
    <w:rPr>
      <w:sz w:val="24"/>
      <w:szCs w:val="24"/>
    </w:rPr>
  </w:style>
  <w:style w:type="character" w:customStyle="1" w:styleId="TekstprzypisukocowegoZnak">
    <w:name w:val="Tekst przypisu końcowego Znak"/>
    <w:rsid w:val="00046867"/>
  </w:style>
  <w:style w:type="paragraph" w:customStyle="1" w:styleId="Heading">
    <w:name w:val="Heading"/>
    <w:basedOn w:val="Normalny"/>
    <w:next w:val="Tekstpodstawowy"/>
    <w:rsid w:val="00046867"/>
    <w:pPr>
      <w:keepNext/>
      <w:suppressAutoHyphens/>
      <w:spacing w:before="240" w:after="120" w:line="240" w:lineRule="auto"/>
    </w:pPr>
    <w:rPr>
      <w:rFonts w:ascii="Arial" w:eastAsia="Microsoft YaHei" w:hAnsi="Arial" w:cs="Mangal"/>
      <w:sz w:val="28"/>
      <w:szCs w:val="28"/>
      <w:lang w:eastAsia="ar-SA"/>
    </w:rPr>
  </w:style>
  <w:style w:type="paragraph" w:styleId="Tekstpodstawowy">
    <w:name w:val="Body Text"/>
    <w:basedOn w:val="Normalny"/>
    <w:link w:val="TekstpodstawowyZnak"/>
    <w:rsid w:val="00046867"/>
    <w:pPr>
      <w:suppressAutoHyphens/>
      <w:spacing w:after="120" w:line="240" w:lineRule="auto"/>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rsid w:val="00046867"/>
    <w:rPr>
      <w:rFonts w:ascii="Times New Roman" w:eastAsia="Times New Roman" w:hAnsi="Times New Roman" w:cs="Times New Roman"/>
      <w:sz w:val="24"/>
      <w:szCs w:val="24"/>
      <w:lang w:eastAsia="ar-SA"/>
    </w:rPr>
  </w:style>
  <w:style w:type="paragraph" w:styleId="Lista">
    <w:name w:val="List"/>
    <w:basedOn w:val="Tekstpodstawowy"/>
    <w:rsid w:val="00046867"/>
    <w:rPr>
      <w:rFonts w:cs="Mangal"/>
    </w:rPr>
  </w:style>
  <w:style w:type="paragraph" w:customStyle="1" w:styleId="Legenda1">
    <w:name w:val="Legenda1"/>
    <w:basedOn w:val="Normalny"/>
    <w:rsid w:val="00046867"/>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Index">
    <w:name w:val="Index"/>
    <w:basedOn w:val="Normalny"/>
    <w:rsid w:val="00046867"/>
    <w:pPr>
      <w:suppressLineNumbers/>
      <w:suppressAutoHyphens/>
      <w:spacing w:after="0" w:line="240" w:lineRule="auto"/>
    </w:pPr>
    <w:rPr>
      <w:rFonts w:ascii="Times New Roman" w:eastAsia="Times New Roman" w:hAnsi="Times New Roman" w:cs="Mangal"/>
      <w:sz w:val="24"/>
      <w:szCs w:val="24"/>
      <w:lang w:eastAsia="ar-SA"/>
    </w:rPr>
  </w:style>
  <w:style w:type="paragraph" w:styleId="Stopka">
    <w:name w:val="footer"/>
    <w:basedOn w:val="Normalny"/>
    <w:link w:val="StopkaZnak1"/>
    <w:rsid w:val="00046867"/>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StopkaZnak1">
    <w:name w:val="Stopka Znak1"/>
    <w:basedOn w:val="Domylnaczcionkaakapitu"/>
    <w:link w:val="Stopka"/>
    <w:rsid w:val="00046867"/>
    <w:rPr>
      <w:rFonts w:ascii="Times New Roman" w:eastAsia="Times New Roman" w:hAnsi="Times New Roman" w:cs="Times New Roman"/>
      <w:sz w:val="24"/>
      <w:szCs w:val="24"/>
      <w:lang w:eastAsia="ar-SA"/>
    </w:rPr>
  </w:style>
  <w:style w:type="paragraph" w:styleId="Nagwek">
    <w:name w:val="header"/>
    <w:basedOn w:val="Normalny"/>
    <w:link w:val="NagwekZnak1"/>
    <w:rsid w:val="00046867"/>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NagwekZnak1">
    <w:name w:val="Nagłówek Znak1"/>
    <w:basedOn w:val="Domylnaczcionkaakapitu"/>
    <w:link w:val="Nagwek"/>
    <w:rsid w:val="00046867"/>
    <w:rPr>
      <w:rFonts w:ascii="Times New Roman" w:eastAsia="Times New Roman" w:hAnsi="Times New Roman" w:cs="Times New Roman"/>
      <w:sz w:val="24"/>
      <w:szCs w:val="24"/>
      <w:lang w:eastAsia="ar-SA"/>
    </w:rPr>
  </w:style>
  <w:style w:type="paragraph" w:styleId="Tekstdymka">
    <w:name w:val="Balloon Text"/>
    <w:basedOn w:val="Normalny"/>
    <w:link w:val="TekstdymkaZnak"/>
    <w:rsid w:val="00046867"/>
    <w:pPr>
      <w:suppressAutoHyphens/>
      <w:spacing w:after="0" w:line="240" w:lineRule="auto"/>
    </w:pPr>
    <w:rPr>
      <w:rFonts w:ascii="Tahoma" w:eastAsia="Times New Roman" w:hAnsi="Tahoma" w:cs="Tahoma"/>
      <w:sz w:val="16"/>
      <w:szCs w:val="16"/>
      <w:lang w:eastAsia="ar-SA"/>
    </w:rPr>
  </w:style>
  <w:style w:type="character" w:customStyle="1" w:styleId="TekstdymkaZnak">
    <w:name w:val="Tekst dymka Znak"/>
    <w:basedOn w:val="Domylnaczcionkaakapitu"/>
    <w:link w:val="Tekstdymka"/>
    <w:rsid w:val="00046867"/>
    <w:rPr>
      <w:rFonts w:ascii="Tahoma" w:eastAsia="Times New Roman" w:hAnsi="Tahoma" w:cs="Tahoma"/>
      <w:sz w:val="16"/>
      <w:szCs w:val="16"/>
      <w:lang w:eastAsia="ar-SA"/>
    </w:rPr>
  </w:style>
  <w:style w:type="paragraph" w:customStyle="1" w:styleId="Tekstkomentarza1">
    <w:name w:val="Tekst komentarza1"/>
    <w:basedOn w:val="Normalny"/>
    <w:rsid w:val="00046867"/>
    <w:pPr>
      <w:suppressAutoHyphens/>
      <w:spacing w:after="0" w:line="240" w:lineRule="auto"/>
    </w:pPr>
    <w:rPr>
      <w:rFonts w:ascii="Times New Roman" w:eastAsia="Times New Roman" w:hAnsi="Times New Roman" w:cs="Times New Roman"/>
      <w:sz w:val="20"/>
      <w:szCs w:val="20"/>
      <w:lang w:eastAsia="ar-SA"/>
    </w:rPr>
  </w:style>
  <w:style w:type="paragraph" w:styleId="Tekstkomentarza">
    <w:name w:val="annotation text"/>
    <w:basedOn w:val="Normalny"/>
    <w:link w:val="TekstkomentarzaZnak1"/>
    <w:uiPriority w:val="99"/>
    <w:semiHidden/>
    <w:unhideWhenUsed/>
    <w:rsid w:val="00046867"/>
    <w:pPr>
      <w:spacing w:line="240" w:lineRule="auto"/>
    </w:pPr>
    <w:rPr>
      <w:sz w:val="20"/>
      <w:szCs w:val="20"/>
    </w:rPr>
  </w:style>
  <w:style w:type="character" w:customStyle="1" w:styleId="TekstkomentarzaZnak1">
    <w:name w:val="Tekst komentarza Znak1"/>
    <w:basedOn w:val="Domylnaczcionkaakapitu"/>
    <w:link w:val="Tekstkomentarza"/>
    <w:uiPriority w:val="99"/>
    <w:semiHidden/>
    <w:rsid w:val="00046867"/>
    <w:rPr>
      <w:sz w:val="20"/>
      <w:szCs w:val="20"/>
    </w:rPr>
  </w:style>
  <w:style w:type="paragraph" w:styleId="Tematkomentarza">
    <w:name w:val="annotation subject"/>
    <w:basedOn w:val="Tekstkomentarza1"/>
    <w:next w:val="Tekstkomentarza1"/>
    <w:link w:val="TematkomentarzaZnak"/>
    <w:rsid w:val="00046867"/>
    <w:rPr>
      <w:b/>
      <w:bCs/>
    </w:rPr>
  </w:style>
  <w:style w:type="character" w:customStyle="1" w:styleId="TematkomentarzaZnak">
    <w:name w:val="Temat komentarza Znak"/>
    <w:basedOn w:val="TekstkomentarzaZnak1"/>
    <w:link w:val="Tematkomentarza"/>
    <w:rsid w:val="00046867"/>
    <w:rPr>
      <w:rFonts w:ascii="Times New Roman" w:eastAsia="Times New Roman" w:hAnsi="Times New Roman" w:cs="Times New Roman"/>
      <w:b/>
      <w:bCs/>
      <w:sz w:val="20"/>
      <w:szCs w:val="20"/>
      <w:lang w:eastAsia="ar-SA"/>
    </w:rPr>
  </w:style>
  <w:style w:type="paragraph" w:styleId="Tekstprzypisudolnego">
    <w:name w:val="footnote text"/>
    <w:basedOn w:val="Normalny"/>
    <w:link w:val="TekstprzypisudolnegoZnak1"/>
    <w:rsid w:val="00046867"/>
    <w:pPr>
      <w:suppressAutoHyphens/>
      <w:spacing w:after="0" w:line="240" w:lineRule="auto"/>
    </w:pPr>
    <w:rPr>
      <w:rFonts w:ascii="Tahoma" w:eastAsia="Times New Roman" w:hAnsi="Tahoma" w:cs="Tahoma"/>
      <w:sz w:val="16"/>
      <w:szCs w:val="20"/>
      <w:lang w:eastAsia="ar-SA"/>
    </w:rPr>
  </w:style>
  <w:style w:type="character" w:customStyle="1" w:styleId="TekstprzypisudolnegoZnak1">
    <w:name w:val="Tekst przypisu dolnego Znak1"/>
    <w:basedOn w:val="Domylnaczcionkaakapitu"/>
    <w:link w:val="Tekstprzypisudolnego"/>
    <w:rsid w:val="00046867"/>
    <w:rPr>
      <w:rFonts w:ascii="Tahoma" w:eastAsia="Times New Roman" w:hAnsi="Tahoma" w:cs="Tahoma"/>
      <w:sz w:val="16"/>
      <w:szCs w:val="20"/>
      <w:lang w:eastAsia="ar-SA"/>
    </w:rPr>
  </w:style>
  <w:style w:type="paragraph" w:customStyle="1" w:styleId="Number">
    <w:name w:val="Number"/>
    <w:basedOn w:val="Normalny"/>
    <w:rsid w:val="00046867"/>
    <w:pPr>
      <w:suppressAutoHyphens/>
      <w:spacing w:before="40" w:after="0" w:line="288" w:lineRule="auto"/>
      <w:jc w:val="both"/>
    </w:pPr>
    <w:rPr>
      <w:rFonts w:ascii="Tahoma" w:eastAsia="Times New Roman" w:hAnsi="Tahoma" w:cs="Tahoma"/>
      <w:sz w:val="19"/>
      <w:szCs w:val="20"/>
      <w:lang w:eastAsia="ar-SA"/>
    </w:rPr>
  </w:style>
  <w:style w:type="paragraph" w:customStyle="1" w:styleId="buletyo">
    <w:name w:val="bulety o"/>
    <w:basedOn w:val="Normalny"/>
    <w:rsid w:val="00046867"/>
    <w:pPr>
      <w:numPr>
        <w:numId w:val="2"/>
      </w:numPr>
      <w:suppressAutoHyphens/>
      <w:spacing w:after="0" w:line="288" w:lineRule="auto"/>
      <w:jc w:val="both"/>
    </w:pPr>
    <w:rPr>
      <w:rFonts w:ascii="Tahoma" w:eastAsia="Times New Roman" w:hAnsi="Tahoma" w:cs="Tahoma"/>
      <w:sz w:val="19"/>
      <w:szCs w:val="18"/>
      <w:lang w:eastAsia="ar-SA"/>
    </w:rPr>
  </w:style>
  <w:style w:type="paragraph" w:styleId="Tekstprzypisukocowego">
    <w:name w:val="endnote text"/>
    <w:basedOn w:val="Normalny"/>
    <w:link w:val="TekstprzypisukocowegoZnak1"/>
    <w:rsid w:val="00046867"/>
    <w:pPr>
      <w:suppressAutoHyphens/>
      <w:spacing w:after="0" w:line="240" w:lineRule="auto"/>
    </w:pPr>
    <w:rPr>
      <w:rFonts w:ascii="Times New Roman" w:eastAsia="Times New Roman" w:hAnsi="Times New Roman" w:cs="Times New Roman"/>
      <w:sz w:val="20"/>
      <w:szCs w:val="20"/>
      <w:lang w:eastAsia="ar-SA"/>
    </w:rPr>
  </w:style>
  <w:style w:type="character" w:customStyle="1" w:styleId="TekstprzypisukocowegoZnak1">
    <w:name w:val="Tekst przypisu końcowego Znak1"/>
    <w:basedOn w:val="Domylnaczcionkaakapitu"/>
    <w:link w:val="Tekstprzypisukocowego"/>
    <w:rsid w:val="00046867"/>
    <w:rPr>
      <w:rFonts w:ascii="Times New Roman" w:eastAsia="Times New Roman" w:hAnsi="Times New Roman" w:cs="Times New Roman"/>
      <w:sz w:val="20"/>
      <w:szCs w:val="20"/>
      <w:lang w:eastAsia="ar-SA"/>
    </w:rPr>
  </w:style>
  <w:style w:type="paragraph" w:customStyle="1" w:styleId="ZnakZnak">
    <w:name w:val="Znak Znak"/>
    <w:basedOn w:val="Normalny"/>
    <w:rsid w:val="00046867"/>
    <w:pPr>
      <w:suppressAutoHyphens/>
      <w:spacing w:after="0" w:line="360" w:lineRule="auto"/>
      <w:jc w:val="both"/>
    </w:pPr>
    <w:rPr>
      <w:rFonts w:ascii="Verdana" w:eastAsia="Times New Roman" w:hAnsi="Verdana" w:cs="Verdana"/>
      <w:sz w:val="20"/>
      <w:szCs w:val="20"/>
      <w:lang w:eastAsia="ar-SA"/>
    </w:rPr>
  </w:style>
  <w:style w:type="paragraph" w:customStyle="1" w:styleId="Point0">
    <w:name w:val="Point 0"/>
    <w:basedOn w:val="Normalny"/>
    <w:rsid w:val="00046867"/>
    <w:pPr>
      <w:suppressAutoHyphens/>
      <w:spacing w:before="120" w:after="120" w:line="360" w:lineRule="auto"/>
      <w:ind w:left="850" w:hanging="850"/>
    </w:pPr>
    <w:rPr>
      <w:rFonts w:ascii="Times New Roman" w:eastAsia="Times New Roman" w:hAnsi="Times New Roman" w:cs="Times New Roman"/>
      <w:sz w:val="24"/>
      <w:szCs w:val="24"/>
      <w:lang w:eastAsia="ar-SA"/>
    </w:rPr>
  </w:style>
  <w:style w:type="paragraph" w:customStyle="1" w:styleId="Point1">
    <w:name w:val="Point 1"/>
    <w:basedOn w:val="Normalny"/>
    <w:rsid w:val="00046867"/>
    <w:pPr>
      <w:suppressAutoHyphens/>
      <w:spacing w:before="120" w:after="120" w:line="360" w:lineRule="auto"/>
      <w:ind w:left="1417" w:hanging="567"/>
    </w:pPr>
    <w:rPr>
      <w:rFonts w:ascii="Times New Roman" w:eastAsia="Times New Roman" w:hAnsi="Times New Roman" w:cs="Times New Roman"/>
      <w:sz w:val="24"/>
      <w:szCs w:val="24"/>
      <w:lang w:eastAsia="ar-SA"/>
    </w:rPr>
  </w:style>
  <w:style w:type="paragraph" w:customStyle="1" w:styleId="PKTpunkt">
    <w:name w:val="PKT – punkt"/>
    <w:rsid w:val="00046867"/>
    <w:pPr>
      <w:suppressAutoHyphens/>
      <w:spacing w:after="0" w:line="360" w:lineRule="auto"/>
      <w:ind w:left="510" w:hanging="510"/>
      <w:jc w:val="both"/>
    </w:pPr>
    <w:rPr>
      <w:rFonts w:ascii="Times" w:eastAsia="Times New Roman" w:hAnsi="Times" w:cs="Arial"/>
      <w:bCs/>
      <w:sz w:val="24"/>
      <w:szCs w:val="20"/>
      <w:lang w:eastAsia="ar-SA"/>
    </w:rPr>
  </w:style>
  <w:style w:type="paragraph" w:customStyle="1" w:styleId="LITlitera">
    <w:name w:val="LIT – litera"/>
    <w:basedOn w:val="PKTpunkt"/>
    <w:rsid w:val="00046867"/>
    <w:pPr>
      <w:ind w:left="986" w:hanging="476"/>
    </w:pPr>
  </w:style>
  <w:style w:type="paragraph" w:customStyle="1" w:styleId="USTustnpkodeksu">
    <w:name w:val="UST(§) – ust. (§ np. kodeksu)"/>
    <w:basedOn w:val="Normalny"/>
    <w:rsid w:val="00046867"/>
    <w:pPr>
      <w:suppressAutoHyphens/>
      <w:autoSpaceDE w:val="0"/>
      <w:spacing w:after="0" w:line="360" w:lineRule="auto"/>
      <w:ind w:firstLine="510"/>
      <w:jc w:val="both"/>
    </w:pPr>
    <w:rPr>
      <w:rFonts w:ascii="Times" w:eastAsia="Times New Roman" w:hAnsi="Times" w:cs="Times"/>
      <w:bCs/>
      <w:sz w:val="20"/>
      <w:szCs w:val="20"/>
      <w:lang w:eastAsia="ar-SA"/>
    </w:rPr>
  </w:style>
  <w:style w:type="paragraph" w:styleId="Akapitzlist">
    <w:name w:val="List Paragraph"/>
    <w:basedOn w:val="Normalny"/>
    <w:qFormat/>
    <w:rsid w:val="00046867"/>
    <w:pPr>
      <w:suppressAutoHyphens/>
      <w:ind w:left="720"/>
    </w:pPr>
    <w:rPr>
      <w:rFonts w:ascii="Calibri" w:eastAsia="Calibri" w:hAnsi="Calibri" w:cs="Times New Roman"/>
      <w:lang w:eastAsia="ar-SA"/>
    </w:rPr>
  </w:style>
  <w:style w:type="paragraph" w:customStyle="1" w:styleId="ARTartustawynprozporzdzenia">
    <w:name w:val="ART(§) – art. ustawy (§ np. rozporządzenia)"/>
    <w:rsid w:val="00046867"/>
    <w:pPr>
      <w:suppressAutoHyphens/>
      <w:autoSpaceDE w:val="0"/>
      <w:spacing w:before="120" w:after="0" w:line="360" w:lineRule="auto"/>
      <w:ind w:firstLine="510"/>
      <w:jc w:val="both"/>
    </w:pPr>
    <w:rPr>
      <w:rFonts w:ascii="Times" w:eastAsia="Times New Roman" w:hAnsi="Times" w:cs="Arial"/>
      <w:sz w:val="24"/>
      <w:szCs w:val="20"/>
      <w:lang w:eastAsia="ar-SA"/>
    </w:rPr>
  </w:style>
  <w:style w:type="paragraph" w:customStyle="1" w:styleId="ZUSTzmustartykuempunktem">
    <w:name w:val="Z/UST(§) – zm. ust. (§) artykułem (punktem)"/>
    <w:basedOn w:val="Normalny"/>
    <w:qFormat/>
    <w:rsid w:val="00046867"/>
    <w:pPr>
      <w:suppressAutoHyphens/>
      <w:autoSpaceDE w:val="0"/>
      <w:spacing w:after="0" w:line="360" w:lineRule="auto"/>
      <w:ind w:left="510" w:firstLine="510"/>
      <w:jc w:val="both"/>
    </w:pPr>
    <w:rPr>
      <w:rFonts w:ascii="Times" w:eastAsia="Times New Roman" w:hAnsi="Times" w:cs="Arial"/>
      <w:sz w:val="24"/>
      <w:szCs w:val="20"/>
      <w:lang w:eastAsia="ar-SA"/>
    </w:rPr>
  </w:style>
  <w:style w:type="paragraph" w:customStyle="1" w:styleId="ODNONIKtreodnonika">
    <w:name w:val="ODNOŚNIK – treść odnośnika"/>
    <w:rsid w:val="00046867"/>
    <w:pPr>
      <w:suppressAutoHyphens/>
      <w:spacing w:after="0" w:line="240" w:lineRule="auto"/>
      <w:ind w:left="284" w:hanging="284"/>
      <w:jc w:val="both"/>
    </w:pPr>
    <w:rPr>
      <w:rFonts w:ascii="Times New Roman" w:eastAsia="Times New Roman" w:hAnsi="Times New Roman" w:cs="Arial"/>
      <w:sz w:val="20"/>
      <w:szCs w:val="20"/>
      <w:lang w:eastAsia="ar-SA"/>
    </w:rPr>
  </w:style>
  <w:style w:type="paragraph" w:styleId="NormalnyWeb">
    <w:name w:val="Normal (Web)"/>
    <w:basedOn w:val="Normalny"/>
    <w:rsid w:val="00046867"/>
    <w:pPr>
      <w:suppressAutoHyphens/>
      <w:spacing w:before="280" w:after="280" w:line="240" w:lineRule="auto"/>
    </w:pPr>
    <w:rPr>
      <w:rFonts w:ascii="Times New Roman" w:eastAsia="Times New Roman" w:hAnsi="Times New Roman" w:cs="Times New Roman"/>
      <w:sz w:val="24"/>
      <w:szCs w:val="24"/>
      <w:lang w:eastAsia="ar-SA"/>
    </w:rPr>
  </w:style>
  <w:style w:type="paragraph" w:styleId="Poprawka">
    <w:name w:val="Revision"/>
    <w:rsid w:val="00046867"/>
    <w:pPr>
      <w:suppressAutoHyphens/>
      <w:spacing w:after="0" w:line="240" w:lineRule="auto"/>
    </w:pPr>
    <w:rPr>
      <w:rFonts w:ascii="Times New Roman" w:eastAsia="Times New Roman" w:hAnsi="Times New Roman" w:cs="Times New Roman"/>
      <w:sz w:val="24"/>
      <w:szCs w:val="24"/>
      <w:lang w:eastAsia="ar-SA"/>
    </w:rPr>
  </w:style>
  <w:style w:type="character" w:styleId="Odwoaniedokomentarza">
    <w:name w:val="annotation reference"/>
    <w:uiPriority w:val="99"/>
    <w:semiHidden/>
    <w:unhideWhenUsed/>
    <w:rsid w:val="00046867"/>
    <w:rPr>
      <w:sz w:val="16"/>
      <w:szCs w:val="16"/>
    </w:rPr>
  </w:style>
  <w:style w:type="character" w:styleId="Odwoanieprzypisukocowego">
    <w:name w:val="endnote reference"/>
    <w:uiPriority w:val="99"/>
    <w:semiHidden/>
    <w:unhideWhenUsed/>
    <w:rsid w:val="00046867"/>
    <w:rPr>
      <w:vertAlign w:val="superscript"/>
    </w:rPr>
  </w:style>
  <w:style w:type="character" w:customStyle="1" w:styleId="Ppogrubienie">
    <w:name w:val="_P_ – pogrubienie"/>
    <w:basedOn w:val="Domylnaczcionkaakapitu"/>
    <w:uiPriority w:val="1"/>
    <w:qFormat/>
    <w:rsid w:val="00287C93"/>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14123</Words>
  <Characters>84742</Characters>
  <Application>Microsoft Office Word</Application>
  <DocSecurity>0</DocSecurity>
  <Lines>706</Lines>
  <Paragraphs>197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Cwiek</dc:creator>
  <cp:lastModifiedBy>Grażyna D. Grabowska</cp:lastModifiedBy>
  <cp:revision>2</cp:revision>
  <cp:lastPrinted>2017-06-09T11:23:00Z</cp:lastPrinted>
  <dcterms:created xsi:type="dcterms:W3CDTF">2017-06-14T14:41:00Z</dcterms:created>
  <dcterms:modified xsi:type="dcterms:W3CDTF">2017-06-14T14:41:00Z</dcterms:modified>
</cp:coreProperties>
</file>