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194" w:rsidRPr="004C501F" w:rsidRDefault="00BB3194" w:rsidP="00BB3194">
      <w:pPr>
        <w:spacing w:before="120" w:line="360" w:lineRule="auto"/>
        <w:jc w:val="center"/>
        <w:rPr>
          <w:rFonts w:eastAsia="Calibri"/>
          <w:lang w:eastAsia="en-US"/>
        </w:rPr>
      </w:pPr>
      <w:bookmarkStart w:id="0" w:name="_GoBack"/>
      <w:bookmarkEnd w:id="0"/>
      <w:r w:rsidRPr="004C501F">
        <w:rPr>
          <w:rFonts w:eastAsia="Calibri"/>
          <w:lang w:eastAsia="en-US"/>
        </w:rPr>
        <w:t>UZASADNIENIE</w:t>
      </w:r>
    </w:p>
    <w:p w:rsidR="00BB3194" w:rsidRPr="00BB3194" w:rsidRDefault="00BB3194" w:rsidP="00BB3194">
      <w:pPr>
        <w:numPr>
          <w:ilvl w:val="0"/>
          <w:numId w:val="1"/>
        </w:numPr>
        <w:tabs>
          <w:tab w:val="left" w:pos="284"/>
        </w:tabs>
        <w:spacing w:before="120" w:line="360" w:lineRule="auto"/>
        <w:ind w:left="0" w:firstLine="0"/>
        <w:jc w:val="both"/>
        <w:rPr>
          <w:rFonts w:eastAsia="Calibri"/>
          <w:b/>
          <w:lang w:eastAsia="en-US"/>
        </w:rPr>
      </w:pPr>
      <w:r w:rsidRPr="00BB3194">
        <w:rPr>
          <w:rFonts w:eastAsia="Calibri"/>
          <w:b/>
          <w:lang w:eastAsia="en-US"/>
        </w:rPr>
        <w:t xml:space="preserve">Potrzeba i cel ratyfikacji Umowy </w:t>
      </w:r>
    </w:p>
    <w:p w:rsidR="00BB3194" w:rsidRPr="00BB3194" w:rsidRDefault="00BB3194" w:rsidP="00BB3194">
      <w:pPr>
        <w:numPr>
          <w:ilvl w:val="0"/>
          <w:numId w:val="5"/>
        </w:numPr>
        <w:spacing w:before="120" w:line="360" w:lineRule="auto"/>
        <w:ind w:left="360" w:hanging="76"/>
        <w:jc w:val="both"/>
        <w:rPr>
          <w:rFonts w:eastAsia="Calibri"/>
          <w:b/>
          <w:lang w:eastAsia="en-US"/>
        </w:rPr>
      </w:pPr>
      <w:r w:rsidRPr="00BB3194">
        <w:rPr>
          <w:rFonts w:eastAsia="Calibri"/>
          <w:b/>
          <w:lang w:eastAsia="en-US"/>
        </w:rPr>
        <w:t>Kontekst unijny</w:t>
      </w:r>
    </w:p>
    <w:p w:rsidR="00BB3194" w:rsidRPr="00BB3194" w:rsidRDefault="00BB3194" w:rsidP="00BB3194">
      <w:pPr>
        <w:spacing w:before="120" w:line="360" w:lineRule="auto"/>
        <w:ind w:firstLine="709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Partnerstwo strategiczne pomiędzy Unią Europejską (UE) a państwami Ameryki Łacińskiej i Karaibów (AŁiK) zostało nawiązane na pierwszym międzyregionalnym szczycie szefów państw i rządów w Rio de Janeiro w 1999 r. Wola pogłębiania współpracy między regionami była potwierdzana na szczytach w Madrycie (2002), Guadalajarze (2004), Wiedniu (2006), Limie (2008), Madrycie (2010), Santiago de Chile (2013) i</w:t>
      </w:r>
      <w:r w:rsidR="00D0301C">
        <w:rPr>
          <w:rFonts w:eastAsia="Calibri"/>
          <w:lang w:eastAsia="en-US"/>
        </w:rPr>
        <w:t xml:space="preserve"> Brukseli (2015). W latach 1999–</w:t>
      </w:r>
      <w:r w:rsidRPr="00BB3194">
        <w:rPr>
          <w:rFonts w:eastAsia="Calibri"/>
          <w:lang w:eastAsia="en-US"/>
        </w:rPr>
        <w:t>2012 głównym partnerem dla UE po stronie AŁiK była Grupa z Rio, która została zastąpiona przez Wspólnotę Państw Ameryki Łacińskiej i Karaibów (CELAC).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Wyrazem intensyfikacji dialogu politycznego i współpracy na rzecz promowania wspólnych interesów UE i AŁiK była propozycja powołania międzyregionalnej fundacji, której celem byłoby wzmocnienie partnerstwa i zainicjowanie debaty na temat wspólnych strategii w rozwiązywa</w:t>
      </w:r>
      <w:r w:rsidR="00D0301C">
        <w:rPr>
          <w:rFonts w:eastAsia="Calibri"/>
          <w:lang w:eastAsia="en-US"/>
        </w:rPr>
        <w:t>niu problemów związanych m.in.</w:t>
      </w:r>
      <w:r w:rsidRPr="00BB3194">
        <w:rPr>
          <w:rFonts w:eastAsia="Calibri"/>
          <w:lang w:eastAsia="en-US"/>
        </w:rPr>
        <w:t xml:space="preserve"> ze zmianą klimatu, migracją</w:t>
      </w:r>
      <w:r w:rsidR="00D0301C">
        <w:rPr>
          <w:rFonts w:eastAsia="Calibri"/>
          <w:lang w:eastAsia="en-US"/>
        </w:rPr>
        <w:t>,</w:t>
      </w:r>
      <w:r w:rsidRPr="00BB3194">
        <w:rPr>
          <w:rFonts w:eastAsia="Calibri"/>
          <w:lang w:eastAsia="en-US"/>
        </w:rPr>
        <w:t xml:space="preserve"> czy walką z narkobiznesem.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Podczas szóstego szczytu, który odbył się w Madrycie w 2010 r., szefowie państw i rządów podjęli decyzję o ustanowieniu Fundacji UE-LAC, która stawia sobie jako cel:</w:t>
      </w:r>
    </w:p>
    <w:p w:rsidR="00BB3194" w:rsidRPr="00BB3194" w:rsidRDefault="00BB3194" w:rsidP="00BB3194">
      <w:pPr>
        <w:numPr>
          <w:ilvl w:val="0"/>
          <w:numId w:val="2"/>
        </w:numPr>
        <w:tabs>
          <w:tab w:val="clear" w:pos="850"/>
        </w:tabs>
        <w:spacing w:before="120" w:line="360" w:lineRule="auto"/>
        <w:ind w:left="567" w:hanging="567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przyczynianie się do umocnienia procesu partnerstwa UE-CELAC przewidującego uczestnictwo i wkład społeczeństwa obywatelskiego</w:t>
      </w:r>
      <w:r w:rsidR="00532A6C">
        <w:rPr>
          <w:rFonts w:eastAsia="Calibri"/>
          <w:lang w:eastAsia="en-US"/>
        </w:rPr>
        <w:t xml:space="preserve"> i innych podmiotów społecznych;</w:t>
      </w:r>
    </w:p>
    <w:p w:rsidR="00BB3194" w:rsidRPr="00BB3194" w:rsidRDefault="00BB3194" w:rsidP="00BB3194">
      <w:pPr>
        <w:numPr>
          <w:ilvl w:val="0"/>
          <w:numId w:val="2"/>
        </w:numPr>
        <w:tabs>
          <w:tab w:val="clear" w:pos="850"/>
        </w:tabs>
        <w:spacing w:before="120" w:line="360" w:lineRule="auto"/>
        <w:ind w:left="567" w:hanging="567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zachęcanie do dalszego wzajemnego poznawania się</w:t>
      </w:r>
      <w:r w:rsidR="00532A6C">
        <w:rPr>
          <w:rFonts w:eastAsia="Calibri"/>
          <w:lang w:eastAsia="en-US"/>
        </w:rPr>
        <w:t xml:space="preserve"> i zrozumienia między regionami;</w:t>
      </w:r>
    </w:p>
    <w:p w:rsidR="00BB3194" w:rsidRPr="00BB3194" w:rsidRDefault="00BB3194" w:rsidP="00BB3194">
      <w:pPr>
        <w:numPr>
          <w:ilvl w:val="0"/>
          <w:numId w:val="3"/>
        </w:numPr>
        <w:tabs>
          <w:tab w:val="clear" w:pos="850"/>
        </w:tabs>
        <w:spacing w:before="120" w:line="360" w:lineRule="auto"/>
        <w:ind w:left="567" w:hanging="567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prowadzenie działania na rzecz zwiększenia wzajemnej widoczności regionów, a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także samego partnerstwa.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Formalnie Fundację UE-LAC ustanowiono w 2011 r. w Hamburgu jako podmiot niemieckiego prawa cywilnego, do czasu zawarcia międzynarodowej umowy założycielskiej, która przekształciłaby fundację w organizację międzynarodową. Fundacja:</w:t>
      </w:r>
    </w:p>
    <w:p w:rsidR="00BB3194" w:rsidRPr="00BB3194" w:rsidRDefault="00BB3194" w:rsidP="00BB3194">
      <w:pPr>
        <w:numPr>
          <w:ilvl w:val="0"/>
          <w:numId w:val="2"/>
        </w:numPr>
        <w:tabs>
          <w:tab w:val="clear" w:pos="850"/>
        </w:tabs>
        <w:spacing w:before="120" w:line="360" w:lineRule="auto"/>
        <w:ind w:left="567" w:hanging="567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lastRenderedPageBreak/>
        <w:t>promuje i koordynuje działania wspierające stosunki między obydwoma regionami zorientowane na osiągnięcie wyników i skoncentrowane na realizacji priorytetów us</w:t>
      </w:r>
      <w:r w:rsidR="00532A6C">
        <w:rPr>
          <w:rFonts w:eastAsia="Calibri"/>
          <w:lang w:eastAsia="en-US"/>
        </w:rPr>
        <w:t>talanych na szczytach UE-CELAC;</w:t>
      </w:r>
    </w:p>
    <w:p w:rsidR="00BB3194" w:rsidRPr="00BB3194" w:rsidRDefault="00BB3194" w:rsidP="00BB3194">
      <w:pPr>
        <w:numPr>
          <w:ilvl w:val="0"/>
          <w:numId w:val="2"/>
        </w:numPr>
        <w:tabs>
          <w:tab w:val="clear" w:pos="850"/>
        </w:tabs>
        <w:spacing w:before="120" w:line="360" w:lineRule="auto"/>
        <w:ind w:left="567" w:hanging="567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propaguje dyskusję na temat wspólnych strategii mających na celu realizację wyżej wymienionych priorytetów popr</w:t>
      </w:r>
      <w:r w:rsidR="00532A6C">
        <w:rPr>
          <w:rFonts w:eastAsia="Calibri"/>
          <w:lang w:eastAsia="en-US"/>
        </w:rPr>
        <w:t>zez stymulowanie badań i analiz;</w:t>
      </w:r>
    </w:p>
    <w:p w:rsidR="00BB3194" w:rsidRPr="00BB3194" w:rsidRDefault="00BB3194" w:rsidP="00BB3194">
      <w:pPr>
        <w:numPr>
          <w:ilvl w:val="0"/>
          <w:numId w:val="2"/>
        </w:numPr>
        <w:tabs>
          <w:tab w:val="clear" w:pos="850"/>
        </w:tabs>
        <w:spacing w:before="120" w:line="360" w:lineRule="auto"/>
        <w:ind w:left="567" w:hanging="567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wspiera owocną wymianę doświadczeń i nowych możliwości nawiązywania kontaktów między społeczeństwem obywatelskim a innymi zainteresowanymi stronami zajmującymi się lub potencjalnie zainteresowanymi stosun</w:t>
      </w:r>
      <w:r w:rsidR="00D0301C">
        <w:rPr>
          <w:rFonts w:eastAsia="Calibri"/>
          <w:lang w:eastAsia="en-US"/>
        </w:rPr>
        <w:t>kami między obydwoma regionami.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Fundacja może podejmować inicjatywy we współpracy z instytucjami publicznymi i prywatnymi, rządami państw UE i AŁiK, Komisją Europejską oraz innymi instytucjami i agencjami UE oraz instytucjami międzynarodowymi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regionalnymi. W ciągu pierwszych czterech lat Fundacja podjęła szereg działań w tym zakresie.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Decyzja Rady 2012/493/UE upoważniła Komisję do rozpoczęcia negocjacji dotyczących umowy międzynarodowej w sprawie utworzenia Fundacji UE-LAC o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statusie organizacji międzynarodowej, której członkami byłyby UE i jej państwa członkowskie oraz państwa Wspólnoty Państw Ameryki Łacińskiej i Karaibów. Negocjacje rozpoczęły się w grudniu 2012 r. Z państwami członkowskimi konsultowano się w trakcie całego procesu negocjacyjnego podczas posiedzeń Grupy Roboczej ds. Ameryki Łacińskiej i Karaibów (COLAC). Parlament Europejski był regularnie informowany przez cały czas trwania negocjacji, które zakończyły się w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styczniu 2015 r.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Podczas drugiego szczytu UE-CELAC, który odbył się w Brukseli w czerwcu 2015 r.</w:t>
      </w:r>
      <w:r w:rsidR="00532A6C">
        <w:rPr>
          <w:rFonts w:eastAsia="Calibri"/>
          <w:lang w:eastAsia="en-US"/>
        </w:rPr>
        <w:t>,</w:t>
      </w:r>
      <w:r w:rsidRPr="00BB3194">
        <w:rPr>
          <w:rFonts w:eastAsia="Calibri"/>
          <w:lang w:eastAsia="en-US"/>
        </w:rPr>
        <w:t xml:space="preserve"> szefowie państw i rządów z zadowoleniem przyjęli parafowanie umowy o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 xml:space="preserve">ustanowieniu Międzynarodowej Fundacji UE-LAC w oczekiwaniu na „jej szybkie podpisanie i wejście w życie”. </w:t>
      </w:r>
    </w:p>
    <w:p w:rsidR="00BB3194" w:rsidRPr="00BB3194" w:rsidRDefault="00BB3194" w:rsidP="00BB3194">
      <w:pPr>
        <w:tabs>
          <w:tab w:val="left" w:pos="7047"/>
        </w:tabs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Podczas spotkania mi</w:t>
      </w:r>
      <w:r w:rsidR="001378DB">
        <w:rPr>
          <w:rFonts w:eastAsia="Calibri"/>
          <w:lang w:eastAsia="en-US"/>
        </w:rPr>
        <w:t>nistrów SZ w Santo Domingo w dniu</w:t>
      </w:r>
      <w:r w:rsidRPr="00BB3194">
        <w:rPr>
          <w:rFonts w:eastAsia="Calibri"/>
          <w:lang w:eastAsia="en-US"/>
        </w:rPr>
        <w:t xml:space="preserve"> 25 października 2016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 xml:space="preserve">r. umowę o ustanowieniu Międzynarodowej Fundacji UE-LAC podpisały 22 państwa członkowskie UE (również Polska), Unia Europejska i 24 państwa CELAC. </w:t>
      </w:r>
      <w:r w:rsidRPr="00BB3194">
        <w:rPr>
          <w:rFonts w:eastAsia="Calibri"/>
          <w:lang w:eastAsia="en-US"/>
        </w:rPr>
        <w:lastRenderedPageBreak/>
        <w:t>W</w:t>
      </w:r>
      <w:r w:rsidR="00766F3E">
        <w:rPr>
          <w:rFonts w:eastAsia="Calibri"/>
          <w:lang w:eastAsia="en-US"/>
        </w:rPr>
        <w:t> </w:t>
      </w:r>
      <w:r w:rsidR="001378DB">
        <w:rPr>
          <w:rFonts w:eastAsia="Calibri"/>
          <w:lang w:eastAsia="en-US"/>
        </w:rPr>
        <w:t>dniu</w:t>
      </w:r>
      <w:r w:rsidRPr="00BB3194">
        <w:rPr>
          <w:rFonts w:eastAsia="Calibri"/>
          <w:lang w:eastAsia="en-US"/>
        </w:rPr>
        <w:t xml:space="preserve"> 15 lutego 2017 r. umowę podpisała Austria. Do tej pory </w:t>
      </w:r>
      <w:r w:rsidR="001378DB">
        <w:rPr>
          <w:rFonts w:eastAsia="Calibri"/>
          <w:lang w:eastAsia="en-US"/>
        </w:rPr>
        <w:t>umowę ratyfikowała Szwecja w dniu</w:t>
      </w:r>
      <w:r w:rsidRPr="00BB3194">
        <w:rPr>
          <w:rFonts w:eastAsia="Calibri"/>
          <w:lang w:eastAsia="en-US"/>
        </w:rPr>
        <w:t xml:space="preserve"> 30 stycznia 2017 r. 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Ustanowienie Fundacji jako organizacji międzynarodowej zwiększy jej zdolności pozyskiwania finansowania od państw uczestniczących, z których wiele nie jest w stanie wnosić do niej wkładów finansowych, dopóki pozostaje ona podmiotem niemieckiego prawa cywilnego. Nabywając status organizacji międzynarodowej, Fundacja będzie mogła zmniejszyć niektóre koszty, korzystać z immunitetów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przywilejów dyplomatycznych na mocy prawa międzynarodowego i lepiej wykorzystywać swoje zasoby finansowe i ludzkie. To z kolei umożliwi jej utrzymanie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dalsze rozwijanie działań wspierających partnerstwo.</w:t>
      </w:r>
    </w:p>
    <w:p w:rsidR="00BB3194" w:rsidRPr="00766F3E" w:rsidRDefault="00BB3194" w:rsidP="00766F3E">
      <w:pPr>
        <w:numPr>
          <w:ilvl w:val="0"/>
          <w:numId w:val="5"/>
        </w:numPr>
        <w:spacing w:before="120" w:line="360" w:lineRule="auto"/>
        <w:ind w:left="360" w:hanging="76"/>
        <w:jc w:val="both"/>
        <w:rPr>
          <w:rFonts w:eastAsia="Calibri"/>
          <w:b/>
          <w:lang w:eastAsia="en-US"/>
        </w:rPr>
      </w:pPr>
      <w:r w:rsidRPr="00BB3194">
        <w:rPr>
          <w:rFonts w:eastAsia="Calibri"/>
          <w:b/>
          <w:lang w:eastAsia="en-US"/>
        </w:rPr>
        <w:t>Kontekst polski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Polska tradycyjnie utrzymuje dobre stosunki polityczne z państwami regionu Ameryki Łacińskiej i Karaibów. Mimo że Polska nie traktuje krajów AŁiK jako pierwszoplanowych partnerów, to aktywnie uczestniczy w wypracowywaniu i realizacji polityki UE wobec całego regionu. Dalszy rozwój relacji UE-AŁiK ma szczególne znaczenie w kontekście polskich interesów politycznych w skali regionalnej i globalnej (dialog nt. praw człowieka, problem zmian klimatycznych, migracji, bezpieczeństwa obywateli, bezpieczeństwa energetycznego) i gospodarczych (potrzeba dywersyfikacji kierunków eksportowych, ustanawianie polskich inwestycji w krajach AŁiK).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 xml:space="preserve">Dla państw UE, w tym Polski, Międzynarodowa Fundacja UE–LAC, to instrument eksponowania roli partnerstwa UE-AŁiK i zwiększania jego znaczenia. Działalność Fundacji będzie impulsem do ożywienia wzajemnych relacji, które osłabiły się, szczególnie z uwagi na silne zaangażowanie i nadmierną ekspansję handlową Chin w regionie. 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val="en-US" w:eastAsia="en-US"/>
        </w:rPr>
      </w:pPr>
      <w:r w:rsidRPr="00BB3194">
        <w:rPr>
          <w:rFonts w:eastAsia="Calibri"/>
          <w:lang w:eastAsia="en-US"/>
        </w:rPr>
        <w:t xml:space="preserve">W latach ubiegłych Fundacja UE-LAC sfinansowała publikacje dotyczące partnerstwa UE-AŁiK, w których powstanie zaangażowani byli także eksperci Polskiego Instytutu Spraw Międzynarodowych (np. </w:t>
      </w:r>
      <w:r w:rsidRPr="00BB3194">
        <w:rPr>
          <w:rFonts w:eastAsia="Calibri"/>
          <w:lang w:val="en-US" w:eastAsia="en-US"/>
        </w:rPr>
        <w:t xml:space="preserve">„Study on Latin America, the Caribbean and Central and Eastern Europe: Potential For Economic Exchange”, „Latin America, the Caribbean and Central and Eastern Europe: Potential For Economic Cooperation: Polish Case Study”). </w:t>
      </w:r>
    </w:p>
    <w:p w:rsidR="00BB3194" w:rsidRPr="00BB3194" w:rsidRDefault="00BB3194" w:rsidP="00766F3E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 xml:space="preserve">Nadanie Fundacji UE-LAC statusu organizacji międzynarodowej posiadającej osobowość prawną na mocy prawa międzynarodowego publicznego przyczyni się do </w:t>
      </w:r>
      <w:r w:rsidRPr="00BB3194">
        <w:rPr>
          <w:rFonts w:eastAsia="Calibri"/>
          <w:lang w:eastAsia="en-US"/>
        </w:rPr>
        <w:lastRenderedPageBreak/>
        <w:t>wzmocnienia partnerstwa UE-CELAC i wspierania dialogu politycznego w najważniejszych obszarach będących przedmiotem wspólnego zainteresowania, również strony polskiej.</w:t>
      </w:r>
    </w:p>
    <w:p w:rsidR="00BB3194" w:rsidRPr="00766F3E" w:rsidRDefault="00D0301C" w:rsidP="00BB3194">
      <w:pPr>
        <w:numPr>
          <w:ilvl w:val="0"/>
          <w:numId w:val="1"/>
        </w:numPr>
        <w:spacing w:before="120" w:line="360" w:lineRule="auto"/>
        <w:ind w:left="360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Treść U</w:t>
      </w:r>
      <w:r w:rsidR="00BB3194" w:rsidRPr="00BB3194">
        <w:rPr>
          <w:rFonts w:eastAsia="Calibri"/>
          <w:b/>
          <w:lang w:eastAsia="en-US"/>
        </w:rPr>
        <w:t>mowy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Krótka charakterystyka po</w:t>
      </w:r>
      <w:r w:rsidR="00766F3E">
        <w:rPr>
          <w:rFonts w:eastAsia="Calibri"/>
          <w:lang w:eastAsia="en-US"/>
        </w:rPr>
        <w:t>szczególnych postanowień Umowy: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1 pt. „Przedmiot”</w:t>
      </w:r>
      <w:r w:rsidRPr="00BB3194">
        <w:rPr>
          <w:rFonts w:eastAsia="Calibri"/>
          <w:lang w:eastAsia="en-US"/>
        </w:rPr>
        <w:t>: Umowa określa cele Fundacji oraz ustanawia ogólne zasady i wytyczne regulujące jej działalność, struktury i funkcjonowanie.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2 pt. „Charakter i siedziba”</w:t>
      </w:r>
      <w:r w:rsidRPr="00BB3194">
        <w:rPr>
          <w:rFonts w:eastAsia="Calibri"/>
          <w:lang w:eastAsia="en-US"/>
        </w:rPr>
        <w:t>: Umowa ustanawia Fundację UE-LAC międzynarodową organizacją o charakterze międzyrządowym na mocy prawa międzynarodowego publicznego; siedzibą Fundacji EU-LAC jest Wolne Hanzeatyckie Miasto Hamburg w Republice Federalnej Niemiec.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3 pt. „Członkowie Fundacji”</w:t>
      </w:r>
      <w:r w:rsidRPr="00BB3194">
        <w:rPr>
          <w:rFonts w:eastAsia="Calibri"/>
          <w:lang w:eastAsia="en-US"/>
        </w:rPr>
        <w:t>: Umowa określa członków Fundacji, którymi staną się, po przeprowadzeniu swoich wewnętrznych procedur prawnych, państwa Ameryki Łacińskiej i Karaibów, państwa członkowskie UE oraz Unia Europejska; członkiem Fundacji UE-LAC może być także Wspólnota Państw Ameryki Łacińskiej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Karaibów.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4 pt. „Osobowość prawna”</w:t>
      </w:r>
      <w:r w:rsidRPr="00BB3194">
        <w:rPr>
          <w:rFonts w:eastAsia="Calibri"/>
          <w:lang w:eastAsia="en-US"/>
        </w:rPr>
        <w:t>: na mocy Umowy Fundacja UE-LAC posiada osobowość prawną i zdolność prawną; Fundacja może zawierać umowy, nabywać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zbywać mienie ruchome i nieruchome oraz wszczynać postępowania sądowe.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5 pt. „Cele Fundacji”</w:t>
      </w:r>
      <w:r w:rsidRPr="00BB3194">
        <w:rPr>
          <w:rFonts w:eastAsia="Calibri"/>
          <w:lang w:eastAsia="en-US"/>
        </w:rPr>
        <w:t xml:space="preserve">: strony Umowy określają cele Fundacji UE-LAC, która ma przyczyniać się do umocnienia partnerstwa UE-CELAC, zachęcać do dalszego poznawania się i zrozumienia między regionami, zwiększać wzajemną widoczność obu regionów i samego partnerstwa, promować i koordynować działania wspierające stosunki między regionami skoncentrowane na realizacji priorytetów ustalanych na szczytach UE-CELAC, propagować dyskusję na temat wspólnych strategii mających na celu realizację priorytetów poprzez stymulowanie badań i analiz, wspierać owocną wymianę oraz nowe możliwości nawiązywania kontaktów wśród społeczeństwa obywatelskiego i między innymi podmiotami społecznymi. 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6 pt. „Kryteria działalności”</w:t>
      </w:r>
      <w:r w:rsidRPr="00BB3194">
        <w:rPr>
          <w:rFonts w:eastAsia="Calibri"/>
          <w:lang w:eastAsia="en-US"/>
        </w:rPr>
        <w:t xml:space="preserve">: Umowa określa zasady, na których opiera się działalność Fundacji UE-LAC; podstawą jej funkcjonowania są priorytety i tematy omawiane na szczeblu szefów państw i rządów podczas szczytów; obejmuje ona </w:t>
      </w:r>
      <w:r w:rsidRPr="00BB3194">
        <w:rPr>
          <w:rFonts w:eastAsia="Calibri"/>
          <w:lang w:eastAsia="en-US"/>
        </w:rPr>
        <w:lastRenderedPageBreak/>
        <w:t>w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ramach swoich działań społeczeństwo obywatelskie i inne podmioty społeczne, w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 xml:space="preserve">związku z czym każdy członek może wskazać odpowiednie instytucje i organizacje, które działają na rzecz wzmocnienia dialogu między regionami na szczeblu krajowym; ma wartość dodaną do istniejących inicjatyw i nadaje partnerstwu UE-LAC widoczny charakter. 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7 pt. „Działalność Fundacji”</w:t>
      </w:r>
      <w:r w:rsidRPr="00BB3194">
        <w:rPr>
          <w:rFonts w:eastAsia="Calibri"/>
          <w:lang w:eastAsia="en-US"/>
        </w:rPr>
        <w:t xml:space="preserve">: Umowa określa, że Fundacja podejmuje </w:t>
      </w:r>
      <w:r w:rsidR="00D0301C">
        <w:rPr>
          <w:rFonts w:eastAsia="Calibri"/>
          <w:lang w:eastAsia="en-US"/>
        </w:rPr>
        <w:t>działania mające na celu m.in.</w:t>
      </w:r>
      <w:r w:rsidRPr="00BB3194">
        <w:rPr>
          <w:rFonts w:eastAsia="Calibri"/>
          <w:lang w:eastAsia="en-US"/>
        </w:rPr>
        <w:t xml:space="preserve"> zachęcanie do dyskusji poprzez seminaria, konferencje, warsztaty, publikacje, szkolenia zawodowe itp., promowanie wydarzeń dotyczących tematów poruszanych na szczytach CELAC-UE, a także badań nad zagadnieniami, które oba regiony uznały za istotne, tworzenie platformy internetowej lub wydawanie publikacji w wersji elektronicznej; Fundacja UE-LAC może również podejmować inicjatywy we współpracy z instytucjami publicznymi i prywatnymi, instytucjami UE, instytucjami międzynarodowymi i regionalnymi, państwami Ameryki Łacińskiej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Karaibów oraz państwami członkowskimi UE.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8 pt. „Struktura Fundacji”</w:t>
      </w:r>
      <w:r w:rsidRPr="00BB3194">
        <w:rPr>
          <w:rFonts w:eastAsia="Calibri"/>
          <w:lang w:eastAsia="en-US"/>
        </w:rPr>
        <w:t>: Umowa określa organy Fundacji UE-LAC, którymi są Rada Zarządzająca, Przewodniczący i Dyrektor Wykonawczy.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9 pt. „Rada Zarządzająca”</w:t>
      </w:r>
      <w:r w:rsidRPr="00BB3194">
        <w:rPr>
          <w:rFonts w:eastAsia="Calibri"/>
          <w:lang w:eastAsia="en-US"/>
        </w:rPr>
        <w:t>: Umowa określa skład Rady Zarządzającej, który stanowią przedstawiciele członków Fundacji UE-LAC; Rada Zarządzająca zbiera się na szczeblu wyższych urzędników i, w stosownych wypadkach, na szczeblu ministrów spraw zagranicznych przy okazji szczytów UE-CELAC; CELAC jest reprezentowana przez prezydencję tymczasową.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10 pt. „Przewodnictwo w Radzie Zarządzającej”</w:t>
      </w:r>
      <w:r w:rsidRPr="00BB3194">
        <w:rPr>
          <w:rFonts w:eastAsia="Calibri"/>
          <w:lang w:eastAsia="en-US"/>
        </w:rPr>
        <w:t>: Umowa określa, że Rada Zarządzająca ma dwóch przewodniczących, z których jeden jest przedstawicielem z UE, a drugi z państw Ameryki Łacińskiej i Karaibów.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11 pt. „Uprawnienia Rady Zarządzającej”</w:t>
      </w:r>
      <w:r w:rsidRPr="00BB3194">
        <w:rPr>
          <w:rFonts w:eastAsia="Calibri"/>
          <w:lang w:eastAsia="en-US"/>
        </w:rPr>
        <w:t>: Umowa określa kompetenc</w:t>
      </w:r>
      <w:r w:rsidR="00D0301C">
        <w:rPr>
          <w:rFonts w:eastAsia="Calibri"/>
          <w:lang w:eastAsia="en-US"/>
        </w:rPr>
        <w:t>je Rady Zarządzającej, do których należy m.in.</w:t>
      </w:r>
      <w:r w:rsidRPr="00BB3194">
        <w:rPr>
          <w:rFonts w:eastAsia="Calibri"/>
          <w:lang w:eastAsia="en-US"/>
        </w:rPr>
        <w:t xml:space="preserve"> mianowanie i odwołanie Przewodniczącego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Dyrektora Wykonawczego Fundacji, przyjmowanie ogólnych wytycznych dotyczących prac Fundacji, ustalanie jej priorytetów, przyjmowanie budżetu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regulaminu pracowniczego, przyjmowanie wieloletniego i rocznego programu prac, przyjmowanie sprawozdania rocznego i sprawozdania finansowego Fundacji za rok poprzedni, zatwierdzanie ustanawiania partnerstw strategicznych.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lastRenderedPageBreak/>
        <w:t>Artykuł 12 pt. „Posiedzenia Rady Zarządzającej”</w:t>
      </w:r>
      <w:r w:rsidRPr="00BB3194">
        <w:rPr>
          <w:rFonts w:eastAsia="Calibri"/>
          <w:lang w:eastAsia="en-US"/>
        </w:rPr>
        <w:t>: Umowa określa, że Rada Zarządzająca odbywa dwa zwyczajne posiedzenia w roku, które zbiegają się w czasie z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posiedzeniami urzędników wysokiego szczebla UE-CELAC.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13 pt. „Proces podejmowania decyzji w Radzie Zarządzającej”</w:t>
      </w:r>
      <w:r w:rsidRPr="00BB3194">
        <w:rPr>
          <w:rFonts w:eastAsia="Calibri"/>
          <w:lang w:eastAsia="en-US"/>
        </w:rPr>
        <w:t>: Umowa określa, że Rada Zarządzająca stanowi w obecności ponad połowy jej członków z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każdego regionu; decyzje są</w:t>
      </w:r>
      <w:r w:rsidR="00766F3E">
        <w:rPr>
          <w:rFonts w:eastAsia="Calibri"/>
          <w:lang w:eastAsia="en-US"/>
        </w:rPr>
        <w:t xml:space="preserve"> </w:t>
      </w:r>
      <w:r w:rsidRPr="00BB3194">
        <w:rPr>
          <w:rFonts w:eastAsia="Calibri"/>
          <w:lang w:eastAsia="en-US"/>
        </w:rPr>
        <w:t>podejmowane w drodze konsensusu przez członków obecnych na posiedzeniu.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14 pt. „Przewodniczący Fundacji”</w:t>
      </w:r>
      <w:r w:rsidR="00D0301C">
        <w:rPr>
          <w:rFonts w:eastAsia="Calibri"/>
          <w:u w:val="single"/>
          <w:lang w:eastAsia="en-US"/>
        </w:rPr>
        <w:t>:</w:t>
      </w:r>
      <w:r w:rsidRPr="00BB3194">
        <w:rPr>
          <w:rFonts w:eastAsia="Calibri"/>
          <w:lang w:eastAsia="en-US"/>
        </w:rPr>
        <w:t xml:space="preserve"> Umowa określa, że Przewodniczący Fundacji jest wybierany spośród kandydatów przedstawionych przez członków Fundacji UE-LAC na</w:t>
      </w:r>
      <w:r w:rsidR="00766F3E">
        <w:rPr>
          <w:rFonts w:eastAsia="Calibri"/>
          <w:lang w:eastAsia="en-US"/>
        </w:rPr>
        <w:t xml:space="preserve"> </w:t>
      </w:r>
      <w:r w:rsidRPr="00BB3194">
        <w:rPr>
          <w:rFonts w:eastAsia="Calibri"/>
          <w:lang w:eastAsia="en-US"/>
        </w:rPr>
        <w:t>czteroletnią kadencję, z możliwością jej jednorazowego przedłużenia; stanowisko Przewodniczącego jest obsadzane na zmianę przez obywatela państwa członkowskiego UE i obywatela państwa Ameryki Łacińskiej lub Karaibów; do obowiązków</w:t>
      </w:r>
      <w:r w:rsidR="00D0301C">
        <w:rPr>
          <w:rFonts w:eastAsia="Calibri"/>
          <w:lang w:eastAsia="en-US"/>
        </w:rPr>
        <w:t xml:space="preserve"> Przewodniczącego należy</w:t>
      </w:r>
      <w:r w:rsidR="001378DB">
        <w:rPr>
          <w:rFonts w:eastAsia="Calibri"/>
          <w:lang w:eastAsia="en-US"/>
        </w:rPr>
        <w:t xml:space="preserve"> m.in.</w:t>
      </w:r>
      <w:r w:rsidRPr="00BB3194">
        <w:rPr>
          <w:rFonts w:eastAsia="Calibri"/>
          <w:lang w:eastAsia="en-US"/>
        </w:rPr>
        <w:t xml:space="preserve"> reprezentowanie Fundacji w jej stosunkach zewnętrznych, składanie sprawozdań na posiedzeniach ministrów spraw zagranicznych, innych posiedzeniach ministerialnych, posiedzeniach Rady Zarządzającej i innych ważnych posiedzeniach.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15 pt. „Dyrektor Wykonawczy Fundacji”</w:t>
      </w:r>
      <w:r w:rsidRPr="00BB3194">
        <w:rPr>
          <w:rFonts w:eastAsia="Calibri"/>
          <w:lang w:eastAsia="en-US"/>
        </w:rPr>
        <w:t>: Umowa określa, że Dyrektor Wykonawczy jest mianowany przez Radę Zarządzającą na czteroletnią kadencję, z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możliwością jej jednorazowego przedłużenia, spośród kandydatur przedstawionych przez członków Fundacji UE-LAC; stanowisko Dyrektora Wykonawczego jest obsadzane na zmianę przez obywatela państwa członkowskiego UE i obywatela państwa Ameryki Łacińskiej i Karaibów; do obowiązkó</w:t>
      </w:r>
      <w:r w:rsidR="00D0301C">
        <w:rPr>
          <w:rFonts w:eastAsia="Calibri"/>
          <w:lang w:eastAsia="en-US"/>
        </w:rPr>
        <w:t>w Dyrektora Wykonawczego należy</w:t>
      </w:r>
      <w:r w:rsidR="00532A6C">
        <w:rPr>
          <w:rFonts w:eastAsia="Calibri"/>
          <w:lang w:eastAsia="en-US"/>
        </w:rPr>
        <w:t xml:space="preserve"> m.in.</w:t>
      </w:r>
      <w:r w:rsidRPr="00BB3194">
        <w:rPr>
          <w:rFonts w:eastAsia="Calibri"/>
          <w:lang w:eastAsia="en-US"/>
        </w:rPr>
        <w:t xml:space="preserve"> przygotowywanie wieloletniego i rocznego programu Fundacji oraz jej budżetu w porozumieniu z Przewodniczącym, mianowanie personelu Fundacji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kierowanie nim, wykonanie budżetu, prowadzenie negocjacji w sprawie umów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instrumentów prawnych o skutkach międzynarodowych z organizacjami międzynarodowymi, państwami i instytucjami publicznymi lub prywatnymi w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kwestiach wykraczających poza codzienne funkcjonowanie administracyjne Fundacji.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16 pt. „Finansowanie Fundacji”</w:t>
      </w:r>
      <w:r w:rsidRPr="00BB3194">
        <w:rPr>
          <w:rFonts w:eastAsia="Calibri"/>
          <w:lang w:eastAsia="en-US"/>
        </w:rPr>
        <w:t>: Umowa stanowi, iż wkładów dokonuje się na zasadzie dobrowolności, bez uszczerbku dla udziału w Radzie Zarządzającej; Fundacja UE-LAC jest finansowana głównie przez jej członków.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lastRenderedPageBreak/>
        <w:t>Artykuł 17 pt. „Audyt i publikacja sprawozdań rachunkowych”</w:t>
      </w:r>
      <w:r w:rsidRPr="00BB3194">
        <w:rPr>
          <w:rFonts w:eastAsia="Calibri"/>
          <w:lang w:eastAsia="en-US"/>
        </w:rPr>
        <w:t>: Umowa określa, że Rada Zarządzająca powołuje niezależnych audytorów w celu przeprowadzenia audytu rachunków Fundacji.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18 pt. „Ocena Fundacji”</w:t>
      </w:r>
      <w:r w:rsidRPr="00BB3194">
        <w:rPr>
          <w:rFonts w:eastAsia="Calibri"/>
          <w:lang w:eastAsia="en-US"/>
        </w:rPr>
        <w:t>: Umowa stanowi, że Dyrektor Wykonawczy przedstawia co cztery lata Radzie Zarządzającej sprawozdanie z działalności Fundacji UE-LAC.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19 pt. „Partnerstwa strategiczne”</w:t>
      </w:r>
      <w:r w:rsidRPr="00BB3194">
        <w:rPr>
          <w:rFonts w:eastAsia="Calibri"/>
          <w:lang w:eastAsia="en-US"/>
        </w:rPr>
        <w:t>: Umowa stanowi, że Fundacja UE-LAC posiada czterech początkowych partnerów strategicznych („L’Institut des Amériques” we Francji i „Regione Lombardia” we Włoszech po stronie UE oraz Globalną Fundację na rzecz Demokracji i Rozwoju (FUNGLODE) w Republice Dominikańskiej i Komisję Gospodarczą ONZ ds. Ameryki Łacińskiej i Karaibów (ECLAC) po stronie Ameryki Łacińskiej i Karaibów.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20 pt. „Przywileje i immunitety”</w:t>
      </w:r>
      <w:r w:rsidRPr="00BB3194">
        <w:rPr>
          <w:rFonts w:eastAsia="Calibri"/>
          <w:lang w:eastAsia="en-US"/>
        </w:rPr>
        <w:t>: Umowa stanowi, że w ramach swojej oficjalnej działalności Fundacja UE-LAC, jej aktywa, przychody i inne mienie są zwolnione ze wszelkich podatków bezpośrednich.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21 pt. „Języki Fundacji”</w:t>
      </w:r>
      <w:r w:rsidRPr="00BB3194">
        <w:rPr>
          <w:rFonts w:eastAsia="Calibri"/>
          <w:lang w:eastAsia="en-US"/>
        </w:rPr>
        <w:t>: Umowa określa, że językami roboczymi Fundacji są języki używane przez partnerstwo strategiczne między Ameryką Łacińską i Karaibami a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 xml:space="preserve">Unią Europejską od chwili jego ustanowienia w czerwcu 1999 r. 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22 pt. „Rozstrzyganie sporów”</w:t>
      </w:r>
      <w:r w:rsidRPr="00BB3194">
        <w:rPr>
          <w:rFonts w:eastAsia="Calibri"/>
          <w:lang w:eastAsia="en-US"/>
        </w:rPr>
        <w:t>: Umowa stanowi, że wszelkie spory między Stronami odnośnie do wykonania lub wykładni Umowy i jej zmian przedkładane są do bezpośrednich negocjacji między nimi.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23 pt. „Zmiany”</w:t>
      </w:r>
      <w:r w:rsidRPr="00BB3194">
        <w:rPr>
          <w:rFonts w:eastAsia="Calibri"/>
          <w:lang w:eastAsia="en-US"/>
        </w:rPr>
        <w:t>: Umowa stanowi, że jej zmiany mogą być dokonane z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inicjatywy Rady Zarządzającej Fundacji UE-LAC lub na wniosek jednej ze Stron; poprawki przyjmowane są</w:t>
      </w:r>
      <w:r w:rsidR="00766F3E">
        <w:rPr>
          <w:rFonts w:eastAsia="Calibri"/>
          <w:lang w:eastAsia="en-US"/>
        </w:rPr>
        <w:t xml:space="preserve"> </w:t>
      </w:r>
      <w:r w:rsidRPr="00BB3194">
        <w:rPr>
          <w:rFonts w:eastAsia="Calibri"/>
          <w:lang w:eastAsia="en-US"/>
        </w:rPr>
        <w:t>w drodze konsensusu.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24 pt. „Ratyfikacja i przystąpienie”</w:t>
      </w:r>
      <w:r w:rsidRPr="00BB3194">
        <w:rPr>
          <w:rFonts w:eastAsia="Calibri"/>
          <w:lang w:eastAsia="en-US"/>
        </w:rPr>
        <w:t>: Umowa określa, że jest otwarta do podpisu dla wszystkich państw Ameryki Łacińskiej i Karaibów, dla państw członkowskich UE i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dla UE.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25 pt. „Wejście w życie”</w:t>
      </w:r>
      <w:r w:rsidRPr="00BB3194">
        <w:rPr>
          <w:rFonts w:eastAsia="Calibri"/>
          <w:lang w:eastAsia="en-US"/>
        </w:rPr>
        <w:t xml:space="preserve">: Umowa stanowi, że wchodzi w życie trzydzieści dni po złożeniu u depozytariusza dokumentów ratyfikacyjnych lub akcesyjnych przez osiem Stron z każdego regionu, w tym przez Republikę Federalną Niemiec. 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lastRenderedPageBreak/>
        <w:t>Artykuł 26 pt. „Czas trwania Umowy i wypowiedzenie”</w:t>
      </w:r>
      <w:r w:rsidRPr="00BB3194">
        <w:rPr>
          <w:rFonts w:eastAsia="Calibri"/>
          <w:lang w:eastAsia="en-US"/>
        </w:rPr>
        <w:t>: Umowa określa, że jest zawarta na czas nieokreślony; jej wypowiedzenia może dokonać każda ze Stron w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drodze pisemnego powiadomienia skierowanego do depozytariusza.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27 pt. „Rozwiązanie i likwidacja”</w:t>
      </w:r>
      <w:r w:rsidRPr="00BB3194">
        <w:rPr>
          <w:rFonts w:eastAsia="Calibri"/>
          <w:lang w:eastAsia="en-US"/>
        </w:rPr>
        <w:t>: Umowa stanowi, że Fundacja ulega rozwiązaniu</w:t>
      </w:r>
      <w:r w:rsidR="00B40236">
        <w:rPr>
          <w:rFonts w:eastAsia="Calibri"/>
          <w:lang w:eastAsia="en-US"/>
        </w:rPr>
        <w:t>,</w:t>
      </w:r>
      <w:r w:rsidRPr="00BB3194">
        <w:rPr>
          <w:rFonts w:eastAsia="Calibri"/>
          <w:lang w:eastAsia="en-US"/>
        </w:rPr>
        <w:t xml:space="preserve"> w przypadku gdy wszyscy członkowie Fundacji lub wszyscy członkowie Fundacji z</w:t>
      </w:r>
      <w:r w:rsidR="00766F3E">
        <w:rPr>
          <w:rFonts w:eastAsia="Calibri"/>
          <w:lang w:eastAsia="en-US"/>
        </w:rPr>
        <w:t xml:space="preserve"> </w:t>
      </w:r>
      <w:r w:rsidRPr="00BB3194">
        <w:rPr>
          <w:rFonts w:eastAsia="Calibri"/>
          <w:lang w:eastAsia="en-US"/>
        </w:rPr>
        <w:t>wyjątkiem jednego wypowiedzieli Umowę, a także w przypadku gdy członkowie Fundacji podjęli decyzję o jej rozwiązaniu.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28 pt. „Depozytariusz”</w:t>
      </w:r>
      <w:r w:rsidRPr="00BB3194">
        <w:rPr>
          <w:rFonts w:eastAsia="Calibri"/>
          <w:lang w:eastAsia="en-US"/>
        </w:rPr>
        <w:t>: Umowa określa, że jej depozytariuszem jest Rada Unii Europejskiej.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29 pt. „Zastrzeżenia”</w:t>
      </w:r>
      <w:r w:rsidRPr="00BB3194">
        <w:rPr>
          <w:rFonts w:eastAsia="Calibri"/>
          <w:lang w:eastAsia="en-US"/>
        </w:rPr>
        <w:t>: Umowa stanowi, że w chwili jej podpisywania, ratyfikowania lub przystępowania do niej Strony mogą wyrazić zastrzeżenia lub deklaracje dotyczące jej treści.</w:t>
      </w:r>
    </w:p>
    <w:p w:rsidR="00BB3194" w:rsidRPr="00BB3194" w:rsidRDefault="00BB3194" w:rsidP="00BB3194">
      <w:pPr>
        <w:spacing w:before="120" w:line="360" w:lineRule="auto"/>
        <w:jc w:val="both"/>
        <w:rPr>
          <w:rFonts w:eastAsia="Calibri"/>
          <w:lang w:eastAsia="en-US"/>
        </w:rPr>
      </w:pPr>
      <w:r w:rsidRPr="00BB3194">
        <w:rPr>
          <w:rFonts w:eastAsia="Calibri"/>
          <w:u w:val="single"/>
          <w:lang w:eastAsia="en-US"/>
        </w:rPr>
        <w:t>Artykuł 30 pt. „Postanowienia przejściowe”</w:t>
      </w:r>
      <w:r w:rsidRPr="00BB3194">
        <w:rPr>
          <w:rFonts w:eastAsia="Calibri"/>
          <w:lang w:eastAsia="en-US"/>
        </w:rPr>
        <w:t>: Umowa stanowi, że z dniem jej wejścia w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życie Fundacja przejściowa utworzona w 2011 r. na podstawie prawa Republiki Federalnej Niemiec kończy dz</w:t>
      </w:r>
      <w:r w:rsidR="00766F3E">
        <w:rPr>
          <w:rFonts w:eastAsia="Calibri"/>
          <w:lang w:eastAsia="en-US"/>
        </w:rPr>
        <w:t>iałalność i zostaje rozwiązana.</w:t>
      </w:r>
    </w:p>
    <w:p w:rsidR="00BB3194" w:rsidRPr="00766F3E" w:rsidRDefault="00BB3194" w:rsidP="00BB3194">
      <w:pPr>
        <w:numPr>
          <w:ilvl w:val="0"/>
          <w:numId w:val="1"/>
        </w:numPr>
        <w:spacing w:before="120" w:line="360" w:lineRule="auto"/>
        <w:ind w:left="360"/>
        <w:jc w:val="both"/>
        <w:rPr>
          <w:rFonts w:eastAsia="Calibri"/>
          <w:b/>
          <w:lang w:eastAsia="en-US"/>
        </w:rPr>
      </w:pPr>
      <w:r w:rsidRPr="00BB3194">
        <w:rPr>
          <w:rFonts w:eastAsia="Calibri"/>
          <w:b/>
          <w:lang w:eastAsia="en-US"/>
        </w:rPr>
        <w:t xml:space="preserve">Skutki ratyfikacji Umowy </w:t>
      </w:r>
    </w:p>
    <w:p w:rsidR="00BB3194" w:rsidRPr="00766F3E" w:rsidRDefault="00BB3194" w:rsidP="00766F3E">
      <w:pPr>
        <w:numPr>
          <w:ilvl w:val="0"/>
          <w:numId w:val="4"/>
        </w:numPr>
        <w:spacing w:before="120" w:line="360" w:lineRule="auto"/>
        <w:jc w:val="both"/>
        <w:rPr>
          <w:rFonts w:eastAsia="Calibri"/>
          <w:b/>
          <w:lang w:eastAsia="en-US"/>
        </w:rPr>
      </w:pPr>
      <w:r w:rsidRPr="00BB3194">
        <w:rPr>
          <w:rFonts w:eastAsia="Calibri"/>
          <w:b/>
          <w:lang w:eastAsia="en-US"/>
        </w:rPr>
        <w:t xml:space="preserve">Skutki prawne 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Postanowienia Umowy, ze względu na jej zamierzony cel i treść, są objęte zakresem art. 37 Traktatu o Unii Europejskiej oraz art. 209 ust. 2 i art. 212 ust. 1 w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 xml:space="preserve">związku z art. 218 ust. 5 i art. 218 ust. 8 akapit drugi Traktatu o funkcjonowaniu Unii Europejskiej. </w:t>
      </w:r>
    </w:p>
    <w:p w:rsidR="00BB3194" w:rsidRPr="00BB3194" w:rsidRDefault="00BB3194" w:rsidP="00766F3E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Zgodnie z art. 25 ust. 1 Umowy, wejdzie ona w życie trzydzieści dni po złożeniu u depozytariusza dokumentów ratyfikacyjnych lub przystąpienia przez osiem Stron z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każdego regionu, w tym przez Republikę Federalną Niemiec oraz Unię Europejską. Wejście w życie Umowy nie spowoduje koniec</w:t>
      </w:r>
      <w:r w:rsidR="00766F3E">
        <w:rPr>
          <w:rFonts w:eastAsia="Calibri"/>
          <w:lang w:eastAsia="en-US"/>
        </w:rPr>
        <w:t xml:space="preserve">zności zmiany polskiego prawa. </w:t>
      </w:r>
    </w:p>
    <w:p w:rsidR="00BB3194" w:rsidRPr="00766F3E" w:rsidRDefault="00BB3194" w:rsidP="00766F3E">
      <w:pPr>
        <w:numPr>
          <w:ilvl w:val="0"/>
          <w:numId w:val="4"/>
        </w:numPr>
        <w:spacing w:before="120" w:line="360" w:lineRule="auto"/>
        <w:jc w:val="both"/>
        <w:rPr>
          <w:rFonts w:eastAsia="Calibri"/>
          <w:b/>
          <w:lang w:eastAsia="en-US"/>
        </w:rPr>
      </w:pPr>
      <w:r w:rsidRPr="00BB3194">
        <w:rPr>
          <w:rFonts w:eastAsia="Calibri"/>
          <w:b/>
          <w:lang w:eastAsia="en-US"/>
        </w:rPr>
        <w:t>Skutki polityczne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Ratyfikacja Umowy, a następnie jej wejście w życie, wpisuje się w założenia polityki Rzeczypospolitej Polskiej wobec regionu Ameryki Łacińskiej i Karaibów mającej na celu wspieranie dialogu politycznego i rozszerzanie obszarów współpracy.</w:t>
      </w:r>
      <w:r w:rsidR="00766F3E">
        <w:rPr>
          <w:rFonts w:eastAsia="Calibri"/>
          <w:lang w:eastAsia="en-US"/>
        </w:rPr>
        <w:t xml:space="preserve"> 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lastRenderedPageBreak/>
        <w:t>Fundacja UE-LAC, o statusie organizacji międzynarodowej, jest postrzegana jako narzęd</w:t>
      </w:r>
      <w:r w:rsidR="001378DB">
        <w:rPr>
          <w:rFonts w:eastAsia="Calibri"/>
          <w:lang w:eastAsia="en-US"/>
        </w:rPr>
        <w:t>zie polityki zagranicznej UE i państw c</w:t>
      </w:r>
      <w:r w:rsidRPr="00BB3194">
        <w:rPr>
          <w:rFonts w:eastAsia="Calibri"/>
          <w:lang w:eastAsia="en-US"/>
        </w:rPr>
        <w:t>z</w:t>
      </w:r>
      <w:r w:rsidR="001378DB">
        <w:rPr>
          <w:rFonts w:eastAsia="Calibri"/>
          <w:lang w:eastAsia="en-US"/>
        </w:rPr>
        <w:t>łonkowskich</w:t>
      </w:r>
      <w:r w:rsidR="00DF246E">
        <w:rPr>
          <w:rFonts w:eastAsia="Calibri"/>
          <w:lang w:eastAsia="en-US"/>
        </w:rPr>
        <w:t xml:space="preserve"> UE wobec regionu AŁiK. p</w:t>
      </w:r>
      <w:r w:rsidRPr="00BB3194">
        <w:rPr>
          <w:rFonts w:eastAsia="Calibri"/>
          <w:lang w:eastAsia="en-US"/>
        </w:rPr>
        <w:t>aństwa członkowskie zyskają instrument, dzięki któremu będą mogły efektywniej koordynować swoje działania względem AŁiK.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 xml:space="preserve">W związku z uzyskaniem statusu organizacji międzynarodowej przez Fundację UE-LAC Polska będzie mogła rozważyć możliwość wyasygnowania dobrowolnego wkładu na rozwój Fundacji. Środki finansowe przekazane Fundacji będą mogły być powiązane z konkretnymi projektami zgłoszonymi przez stronę polską. 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Z uwagi na fakt, iż dział</w:t>
      </w:r>
      <w:r w:rsidR="000A7E2B">
        <w:rPr>
          <w:rFonts w:eastAsia="Calibri"/>
          <w:lang w:eastAsia="en-US"/>
        </w:rPr>
        <w:t>alność Fundacji UE-LAC obejmuje</w:t>
      </w:r>
      <w:r w:rsidRPr="00BB3194">
        <w:rPr>
          <w:rFonts w:eastAsia="Calibri"/>
          <w:lang w:eastAsia="en-US"/>
        </w:rPr>
        <w:t xml:space="preserve"> m.in. organizację seminariów</w:t>
      </w:r>
      <w:r w:rsidR="00532A6C">
        <w:rPr>
          <w:rFonts w:eastAsia="Calibri"/>
          <w:lang w:eastAsia="en-US"/>
        </w:rPr>
        <w:t xml:space="preserve"> warsztatów, wystaw, publikacji</w:t>
      </w:r>
      <w:r w:rsidR="00766F3E">
        <w:rPr>
          <w:rFonts w:eastAsia="Calibri"/>
          <w:lang w:eastAsia="en-US"/>
        </w:rPr>
        <w:t xml:space="preserve"> </w:t>
      </w:r>
      <w:r w:rsidRPr="00BB3194">
        <w:rPr>
          <w:rFonts w:eastAsia="Calibri"/>
          <w:lang w:eastAsia="en-US"/>
        </w:rPr>
        <w:t>itp.</w:t>
      </w:r>
      <w:r w:rsidR="00532A6C">
        <w:rPr>
          <w:rFonts w:eastAsia="Calibri"/>
          <w:lang w:eastAsia="en-US"/>
        </w:rPr>
        <w:t>,</w:t>
      </w:r>
      <w:r w:rsidRPr="00BB3194">
        <w:rPr>
          <w:rFonts w:eastAsia="Calibri"/>
          <w:lang w:eastAsia="en-US"/>
        </w:rPr>
        <w:t xml:space="preserve"> strona polska będzie mogła skorzystać z </w:t>
      </w:r>
      <w:r w:rsidRPr="00BB3194">
        <w:rPr>
          <w:rFonts w:eastAsia="Calibri"/>
          <w:i/>
          <w:lang w:eastAsia="en-US"/>
        </w:rPr>
        <w:t>know-how</w:t>
      </w:r>
      <w:r w:rsidRPr="00BB3194">
        <w:rPr>
          <w:rFonts w:eastAsia="Calibri"/>
          <w:lang w:eastAsia="en-US"/>
        </w:rPr>
        <w:t xml:space="preserve"> Fundacji. Ponadto, w związku z tym, że Fundacja mo</w:t>
      </w:r>
      <w:r w:rsidR="000A7E2B">
        <w:rPr>
          <w:rFonts w:eastAsia="Calibri"/>
          <w:lang w:eastAsia="en-US"/>
        </w:rPr>
        <w:t>że podejmować inicjatywy</w:t>
      </w:r>
      <w:r w:rsidR="001378DB">
        <w:rPr>
          <w:rFonts w:eastAsia="Calibri"/>
          <w:lang w:eastAsia="en-US"/>
        </w:rPr>
        <w:t xml:space="preserve"> m.in.</w:t>
      </w:r>
      <w:r w:rsidRPr="00BB3194">
        <w:rPr>
          <w:rFonts w:eastAsia="Calibri"/>
          <w:lang w:eastAsia="en-US"/>
        </w:rPr>
        <w:t xml:space="preserve"> we współpracy z międzynarodowymi i regionalnymi instytucjami publicznymi i prywatnymi, strona polska może rozważyć par</w:t>
      </w:r>
      <w:r w:rsidR="000A7E2B">
        <w:rPr>
          <w:rFonts w:eastAsia="Calibri"/>
          <w:lang w:eastAsia="en-US"/>
        </w:rPr>
        <w:t>tycypację publicznych podmiotów</w:t>
      </w:r>
      <w:r w:rsidRPr="00BB3194">
        <w:rPr>
          <w:rFonts w:eastAsia="Calibri"/>
          <w:lang w:eastAsia="en-US"/>
        </w:rPr>
        <w:t xml:space="preserve"> np. Polskiego Instytutu Spraw Międzynarodowych, w projektach Fundacji.</w:t>
      </w:r>
    </w:p>
    <w:p w:rsidR="00BB3194" w:rsidRPr="00BB3194" w:rsidRDefault="001378DB" w:rsidP="00BB3194">
      <w:pPr>
        <w:spacing w:before="12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Ponadto</w:t>
      </w:r>
      <w:r w:rsidR="00BB3194" w:rsidRPr="00BB3194">
        <w:rPr>
          <w:rFonts w:eastAsia="Calibri"/>
          <w:lang w:eastAsia="en-US"/>
        </w:rPr>
        <w:t xml:space="preserve"> Fundacja może być wykorzystywana jako platforma współpracy z</w:t>
      </w:r>
      <w:r w:rsidR="00766F3E">
        <w:rPr>
          <w:rFonts w:eastAsia="Calibri"/>
          <w:lang w:eastAsia="en-US"/>
        </w:rPr>
        <w:t> </w:t>
      </w:r>
      <w:r w:rsidR="00BB3194" w:rsidRPr="00BB3194">
        <w:rPr>
          <w:rFonts w:eastAsia="Calibri"/>
          <w:lang w:eastAsia="en-US"/>
        </w:rPr>
        <w:t>państwami AŁiK, szczególnie z tymi, z którymi do tej pory Polska nie ma rozwi</w:t>
      </w:r>
      <w:r w:rsidR="00532A6C">
        <w:rPr>
          <w:rFonts w:eastAsia="Calibri"/>
          <w:lang w:eastAsia="en-US"/>
        </w:rPr>
        <w:t>niętych stosunków bilateralnych</w:t>
      </w:r>
      <w:r w:rsidR="00BB3194" w:rsidRPr="00BB3194">
        <w:rPr>
          <w:rFonts w:eastAsia="Calibri"/>
          <w:lang w:eastAsia="en-US"/>
        </w:rPr>
        <w:t xml:space="preserve"> np. państwa karaibskie, Paragwaj, Urugwaj, Gwatemala, Honduras. Fundacja UE-LAC zakłada zaangażowanie społeczeństwa obywatelskiego i innych podmiotów społecznych w realizowanie zadań zmierzających do umocnienia procesu partnerstwa dwóch regionów CELAC-UE. Stwarza to możliwość partycypowania polskich podmiotów pozarządowych w ini</w:t>
      </w:r>
      <w:r w:rsidR="00766F3E">
        <w:rPr>
          <w:rFonts w:eastAsia="Calibri"/>
          <w:lang w:eastAsia="en-US"/>
        </w:rPr>
        <w:t>cjatywach Fundacji.</w:t>
      </w:r>
    </w:p>
    <w:p w:rsidR="00BB3194" w:rsidRPr="00766F3E" w:rsidRDefault="00BB3194" w:rsidP="00766F3E">
      <w:pPr>
        <w:numPr>
          <w:ilvl w:val="0"/>
          <w:numId w:val="4"/>
        </w:numPr>
        <w:spacing w:before="120" w:line="360" w:lineRule="auto"/>
        <w:jc w:val="both"/>
        <w:rPr>
          <w:rFonts w:eastAsia="Calibri"/>
          <w:b/>
          <w:lang w:eastAsia="en-US"/>
        </w:rPr>
      </w:pPr>
      <w:r w:rsidRPr="00BB3194">
        <w:rPr>
          <w:rFonts w:eastAsia="Calibri"/>
          <w:b/>
          <w:lang w:eastAsia="en-US"/>
        </w:rPr>
        <w:t>Skutki gospodarcze</w:t>
      </w:r>
    </w:p>
    <w:p w:rsidR="00BB3194" w:rsidRDefault="00BB3194" w:rsidP="00766F3E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 xml:space="preserve">Wspieranie dialogu politycznego i współpracy UE-CELAC, które umożliwi UE i jej państwom członkowskim dochodzenie swoich interesów w ramach partnerstwa biregionalnego przyczyni się do wzmocnienia stosunków UE z AŁiK pod względem ekonomicznym. Fundacja UE-LAC jako platforma współpracy pomiędzy regionami będzie prowadzić oraz wspierać badania naukowe i analizy w zakresie zagadnień będących przedmiotem zainteresowania partnerstwa, którego agenda obejmuje </w:t>
      </w:r>
      <w:r w:rsidR="00766F3E">
        <w:rPr>
          <w:rFonts w:eastAsia="Calibri"/>
          <w:lang w:eastAsia="en-US"/>
        </w:rPr>
        <w:t>również współpracę gospodarczą.</w:t>
      </w:r>
    </w:p>
    <w:p w:rsidR="00766F3E" w:rsidRPr="00BB3194" w:rsidRDefault="00766F3E" w:rsidP="00766F3E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</w:p>
    <w:p w:rsidR="00BB3194" w:rsidRPr="00766F3E" w:rsidRDefault="00BB3194" w:rsidP="00766F3E">
      <w:pPr>
        <w:numPr>
          <w:ilvl w:val="0"/>
          <w:numId w:val="4"/>
        </w:numPr>
        <w:spacing w:before="120" w:line="360" w:lineRule="auto"/>
        <w:jc w:val="both"/>
        <w:rPr>
          <w:rFonts w:eastAsia="Calibri"/>
          <w:b/>
          <w:lang w:eastAsia="en-US"/>
        </w:rPr>
      </w:pPr>
      <w:r w:rsidRPr="00BB3194">
        <w:rPr>
          <w:rFonts w:eastAsia="Calibri"/>
          <w:b/>
          <w:lang w:eastAsia="en-US"/>
        </w:rPr>
        <w:lastRenderedPageBreak/>
        <w:t>Skutki finansowe</w:t>
      </w:r>
    </w:p>
    <w:p w:rsidR="00BB3194" w:rsidRPr="00BB3194" w:rsidRDefault="00BB3194" w:rsidP="00766F3E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Wejście w życie Umowy nie spowoduje bezpośrednich obciążeń finansowych dla Rzeczypospolitej Polskiej. W przypadku podjęcia decyzji o dokonaniu przez Polskę dobrowolnej wpłaty na rzecz Fundacji, środki finansowe na ten cel zostaną wyasygnowane w ramach dotychczasowego limitu wydatków, bez występowania o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dodatkowe środki budżetu państwa.</w:t>
      </w:r>
    </w:p>
    <w:p w:rsidR="00BB3194" w:rsidRPr="00766F3E" w:rsidRDefault="00BB3194" w:rsidP="00766F3E">
      <w:pPr>
        <w:numPr>
          <w:ilvl w:val="0"/>
          <w:numId w:val="4"/>
        </w:numPr>
        <w:spacing w:before="120" w:line="360" w:lineRule="auto"/>
        <w:jc w:val="both"/>
        <w:rPr>
          <w:rFonts w:eastAsia="Calibri"/>
          <w:b/>
          <w:lang w:eastAsia="en-US"/>
        </w:rPr>
      </w:pPr>
      <w:r w:rsidRPr="00BB3194">
        <w:rPr>
          <w:rFonts w:eastAsia="Calibri"/>
          <w:b/>
          <w:lang w:eastAsia="en-US"/>
        </w:rPr>
        <w:t>Skutki społeczne</w:t>
      </w:r>
    </w:p>
    <w:p w:rsidR="00BB3194" w:rsidRPr="00BB3194" w:rsidRDefault="00BB3194" w:rsidP="00BB3194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 xml:space="preserve">Ustanowienie Fundacji UE-LAC jako organizacji międzynarodowej pozwoli jej lepiej wykorzystać zasoby finansowe i ludzkie, co przełoży się na efektywność realizacji jej </w:t>
      </w:r>
      <w:r w:rsidR="00EC4DA0">
        <w:rPr>
          <w:rFonts w:eastAsia="Calibri"/>
          <w:lang w:eastAsia="en-US"/>
        </w:rPr>
        <w:t>celów, do których należy</w:t>
      </w:r>
      <w:r w:rsidR="001378DB">
        <w:rPr>
          <w:rFonts w:eastAsia="Calibri"/>
          <w:lang w:eastAsia="en-US"/>
        </w:rPr>
        <w:t xml:space="preserve"> m.in.</w:t>
      </w:r>
      <w:r w:rsidRPr="00BB3194">
        <w:rPr>
          <w:rFonts w:eastAsia="Calibri"/>
          <w:lang w:eastAsia="en-US"/>
        </w:rPr>
        <w:t xml:space="preserve"> pozyskiwanie i oferow</w:t>
      </w:r>
      <w:r w:rsidR="001378DB">
        <w:rPr>
          <w:rFonts w:eastAsia="Calibri"/>
          <w:lang w:eastAsia="en-US"/>
        </w:rPr>
        <w:t>anie nowych możliwości kontaktu</w:t>
      </w:r>
      <w:r w:rsidRPr="00BB3194">
        <w:rPr>
          <w:rFonts w:eastAsia="Calibri"/>
          <w:lang w:eastAsia="en-US"/>
        </w:rPr>
        <w:t xml:space="preserve"> zwłaszcza dla tych osób i instytucji, które nie są zaznajomione z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 xml:space="preserve">partnerstwem regionów UE-CELAC. </w:t>
      </w:r>
    </w:p>
    <w:p w:rsidR="00BB3194" w:rsidRPr="00BB3194" w:rsidRDefault="00BB3194" w:rsidP="00766F3E">
      <w:pPr>
        <w:spacing w:before="120" w:line="360" w:lineRule="auto"/>
        <w:ind w:firstLine="708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Projekty realizowane przez Fundację UE-LAC będą sprzyjały intensyfikacji kontaktów między społeczeństwami państw członkowskich i państw regionu Ameryki Łacińskiej i Karaibów. W tym kontekście należy zaznaczyć, że region AŁiK zamieszkuje liczna Polonia (ok. 2 mln osób polskiego pochodzenia), która może odegrać istotną rolę w rozwijaniu ko</w:t>
      </w:r>
      <w:r w:rsidR="00766F3E">
        <w:rPr>
          <w:rFonts w:eastAsia="Calibri"/>
          <w:lang w:eastAsia="en-US"/>
        </w:rPr>
        <w:t>ntaktów między społeczeństwami.</w:t>
      </w:r>
    </w:p>
    <w:p w:rsidR="00BB3194" w:rsidRPr="00766F3E" w:rsidRDefault="00BB3194" w:rsidP="00BB3194">
      <w:pPr>
        <w:numPr>
          <w:ilvl w:val="0"/>
          <w:numId w:val="1"/>
        </w:numPr>
        <w:spacing w:before="120" w:line="360" w:lineRule="auto"/>
        <w:ind w:left="360"/>
        <w:jc w:val="both"/>
        <w:rPr>
          <w:rFonts w:eastAsia="Calibri"/>
          <w:b/>
          <w:lang w:eastAsia="en-US"/>
        </w:rPr>
      </w:pPr>
      <w:r w:rsidRPr="00BB3194">
        <w:rPr>
          <w:rFonts w:eastAsia="Calibri"/>
          <w:b/>
          <w:lang w:eastAsia="en-US"/>
        </w:rPr>
        <w:t>Tryb związania się Umową przez Polskę</w:t>
      </w:r>
    </w:p>
    <w:p w:rsidR="00BB3194" w:rsidRPr="00BB3194" w:rsidRDefault="00BB3194" w:rsidP="00BB3194">
      <w:pPr>
        <w:spacing w:before="120" w:line="360" w:lineRule="auto"/>
        <w:ind w:firstLine="709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Ze wzgl</w:t>
      </w:r>
      <w:r w:rsidR="001378DB">
        <w:rPr>
          <w:rFonts w:eastAsia="Calibri"/>
          <w:lang w:eastAsia="en-US"/>
        </w:rPr>
        <w:t>ędu na mieszany charakter Umowy</w:t>
      </w:r>
      <w:r w:rsidRPr="00BB3194">
        <w:rPr>
          <w:rFonts w:eastAsia="Calibri"/>
          <w:lang w:eastAsia="en-US"/>
        </w:rPr>
        <w:t xml:space="preserve"> wynikający z zakresu kompetencji Unii Europejskiej oraz jej państw członkowskich określonych w Traktacie o Unii Europejskiej oraz Traktacie o funkcjonowaniu Unii Europejskiej, wejście w życie Umowy wymaga przeprowadzenia odpowiedniej procedury wyrażenia zgody na związanie się nią w państwach członkowskich Unii Europejskiej, w tym w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 xml:space="preserve">Rzeczypospolitej Polskiej. </w:t>
      </w:r>
    </w:p>
    <w:p w:rsidR="00766F3E" w:rsidRPr="001378DB" w:rsidRDefault="00BB3194" w:rsidP="001378DB">
      <w:pPr>
        <w:spacing w:before="120" w:line="360" w:lineRule="auto"/>
        <w:ind w:firstLine="709"/>
        <w:jc w:val="both"/>
        <w:rPr>
          <w:rFonts w:eastAsia="Calibri"/>
          <w:lang w:eastAsia="en-US"/>
        </w:rPr>
      </w:pPr>
      <w:r w:rsidRPr="00BB3194">
        <w:rPr>
          <w:rFonts w:eastAsia="Calibri"/>
          <w:lang w:eastAsia="en-US"/>
        </w:rPr>
        <w:t>Ponieważ Umowa tworzy Fundację będącą międzynarodową organizacją o</w:t>
      </w:r>
      <w:r w:rsidR="00766F3E">
        <w:rPr>
          <w:rFonts w:eastAsia="Calibri"/>
          <w:lang w:eastAsia="en-US"/>
        </w:rPr>
        <w:t> </w:t>
      </w:r>
      <w:r w:rsidRPr="00BB3194">
        <w:rPr>
          <w:rFonts w:eastAsia="Calibri"/>
          <w:lang w:eastAsia="en-US"/>
        </w:rPr>
        <w:t>charakterze międzyrządowym, posiadającą osobowość prawną i zdolność do dokonywania czynności prawnych, w związku z czym podlega ona ratyfikacji za uprzednią zgodą wyrażoną w ustawie, zgodnie z art. 89 ust. 1 pkt 3 i pkt 5 Konstyt</w:t>
      </w:r>
      <w:r w:rsidR="001378DB">
        <w:rPr>
          <w:rFonts w:eastAsia="Calibri"/>
          <w:lang w:eastAsia="en-US"/>
        </w:rPr>
        <w:t>ucji Rzeczypospolitej Polskiej.</w:t>
      </w:r>
    </w:p>
    <w:sectPr w:rsidR="00766F3E" w:rsidRPr="001378DB" w:rsidSect="00BB3194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6D5" w:rsidRDefault="003026D5" w:rsidP="00BB3194">
      <w:r>
        <w:separator/>
      </w:r>
    </w:p>
  </w:endnote>
  <w:endnote w:type="continuationSeparator" w:id="0">
    <w:p w:rsidR="003026D5" w:rsidRDefault="003026D5" w:rsidP="00BB3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AA1" w:rsidRDefault="00766F3E" w:rsidP="00766F3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1468BD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6D5" w:rsidRDefault="003026D5" w:rsidP="00BB3194">
      <w:r>
        <w:separator/>
      </w:r>
    </w:p>
  </w:footnote>
  <w:footnote w:type="continuationSeparator" w:id="0">
    <w:p w:rsidR="003026D5" w:rsidRDefault="003026D5" w:rsidP="00BB3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14730"/>
    <w:multiLevelType w:val="hybridMultilevel"/>
    <w:tmpl w:val="426A45A4"/>
    <w:lvl w:ilvl="0" w:tplc="468CB5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">
    <w:nsid w:val="6A34100F"/>
    <w:multiLevelType w:val="hybridMultilevel"/>
    <w:tmpl w:val="D592D45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EC062C"/>
    <w:multiLevelType w:val="hybridMultilevel"/>
    <w:tmpl w:val="43FA2B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D9C"/>
    <w:rsid w:val="000A7E2B"/>
    <w:rsid w:val="001378DB"/>
    <w:rsid w:val="001468BD"/>
    <w:rsid w:val="00175A27"/>
    <w:rsid w:val="00250305"/>
    <w:rsid w:val="00282157"/>
    <w:rsid w:val="003026D5"/>
    <w:rsid w:val="004C501F"/>
    <w:rsid w:val="00532A6C"/>
    <w:rsid w:val="005A477D"/>
    <w:rsid w:val="0069354A"/>
    <w:rsid w:val="006C755C"/>
    <w:rsid w:val="00766F3E"/>
    <w:rsid w:val="00777034"/>
    <w:rsid w:val="008768FE"/>
    <w:rsid w:val="00882EF9"/>
    <w:rsid w:val="009A480B"/>
    <w:rsid w:val="00A17D9C"/>
    <w:rsid w:val="00A61B74"/>
    <w:rsid w:val="00AA4052"/>
    <w:rsid w:val="00AD6A67"/>
    <w:rsid w:val="00B40236"/>
    <w:rsid w:val="00B92A4D"/>
    <w:rsid w:val="00B95372"/>
    <w:rsid w:val="00BB3194"/>
    <w:rsid w:val="00BE4B65"/>
    <w:rsid w:val="00C64C3C"/>
    <w:rsid w:val="00C70323"/>
    <w:rsid w:val="00CC5016"/>
    <w:rsid w:val="00D0301C"/>
    <w:rsid w:val="00DF246E"/>
    <w:rsid w:val="00EC4DA0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3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17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17D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17D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7D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ullet0">
    <w:name w:val="Bullet 0"/>
    <w:basedOn w:val="Normalny"/>
    <w:rsid w:val="00A17D9C"/>
    <w:pPr>
      <w:numPr>
        <w:numId w:val="2"/>
      </w:numPr>
      <w:spacing w:before="120" w:after="120"/>
      <w:jc w:val="both"/>
    </w:pPr>
    <w:rPr>
      <w:rFonts w:eastAsia="Calibri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3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17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17D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17D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7D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ullet0">
    <w:name w:val="Bullet 0"/>
    <w:basedOn w:val="Normalny"/>
    <w:rsid w:val="00A17D9C"/>
    <w:pPr>
      <w:numPr>
        <w:numId w:val="2"/>
      </w:numPr>
      <w:spacing w:before="120" w:after="120"/>
      <w:jc w:val="both"/>
    </w:pPr>
    <w:rPr>
      <w:rFonts w:eastAsia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2EA11-0437-4136-A683-59AD79D6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2915</Words>
  <Characters>17495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 Chmielewska</dc:creator>
  <cp:lastModifiedBy>Ewa A. Genert</cp:lastModifiedBy>
  <cp:revision>2</cp:revision>
  <dcterms:created xsi:type="dcterms:W3CDTF">2017-06-20T10:03:00Z</dcterms:created>
  <dcterms:modified xsi:type="dcterms:W3CDTF">2017-06-20T10:03:00Z</dcterms:modified>
</cp:coreProperties>
</file>