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BF0" w:rsidRDefault="00800BF0" w:rsidP="00800BF0">
      <w:pPr>
        <w:jc w:val="right"/>
        <w:rPr>
          <w:i/>
        </w:rPr>
      </w:pPr>
      <w:bookmarkStart w:id="0" w:name="_GoBack"/>
      <w:bookmarkEnd w:id="0"/>
      <w:r>
        <w:rPr>
          <w:i/>
        </w:rPr>
        <w:t>Projekt</w:t>
      </w:r>
    </w:p>
    <w:p w:rsidR="00800BF0" w:rsidRPr="0036120F" w:rsidRDefault="00800BF0" w:rsidP="00800BF0">
      <w:pPr>
        <w:jc w:val="center"/>
        <w:rPr>
          <w:rFonts w:cstheme="minorHAnsi"/>
          <w:b/>
        </w:rPr>
      </w:pPr>
      <w:r w:rsidRPr="0036120F">
        <w:rPr>
          <w:rFonts w:cstheme="minorHAnsi"/>
          <w:b/>
        </w:rPr>
        <w:t>Ustawa z dnia ………</w:t>
      </w:r>
      <w:r w:rsidRPr="0036120F">
        <w:rPr>
          <w:rFonts w:cstheme="minorHAnsi"/>
          <w:b/>
        </w:rPr>
        <w:br/>
        <w:t>o zmianie Konstytucji RP</w:t>
      </w:r>
    </w:p>
    <w:p w:rsidR="00800BF0" w:rsidRPr="0036120F" w:rsidRDefault="00800BF0" w:rsidP="00800BF0">
      <w:pPr>
        <w:rPr>
          <w:rFonts w:cstheme="minorHAnsi"/>
          <w:b/>
        </w:rPr>
      </w:pPr>
      <w:r w:rsidRPr="0036120F">
        <w:rPr>
          <w:rFonts w:cstheme="minorHAnsi"/>
          <w:b/>
        </w:rPr>
        <w:t>Art. 1</w:t>
      </w:r>
    </w:p>
    <w:p w:rsidR="00800BF0" w:rsidRPr="0036120F" w:rsidRDefault="00800BF0" w:rsidP="00800BF0">
      <w:pPr>
        <w:rPr>
          <w:rFonts w:cstheme="minorHAnsi"/>
        </w:rPr>
      </w:pPr>
      <w:r w:rsidRPr="0036120F">
        <w:rPr>
          <w:rFonts w:cstheme="minorHAnsi"/>
        </w:rPr>
        <w:t xml:space="preserve">W ustawie z dnia </w:t>
      </w:r>
      <w:r w:rsidR="00804E4F" w:rsidRPr="0036120F">
        <w:rPr>
          <w:rFonts w:cstheme="minorHAnsi"/>
        </w:rPr>
        <w:t>02 kwietnia 1997 r. – Konstytucja RP wprowadza się następujące zmiany:</w:t>
      </w:r>
    </w:p>
    <w:p w:rsidR="00804E4F" w:rsidRPr="0036120F" w:rsidRDefault="0074701A" w:rsidP="00804E4F">
      <w:pPr>
        <w:pStyle w:val="Akapitzlist"/>
        <w:numPr>
          <w:ilvl w:val="0"/>
          <w:numId w:val="1"/>
        </w:numPr>
        <w:rPr>
          <w:rFonts w:cstheme="minorHAnsi"/>
        </w:rPr>
      </w:pPr>
      <w:r w:rsidRPr="0036120F">
        <w:rPr>
          <w:rFonts w:cstheme="minorHAnsi"/>
        </w:rPr>
        <w:t>W art. 183 po ust. 1 dodaje się ust. 1a w następującym brzmieniu:</w:t>
      </w:r>
    </w:p>
    <w:p w:rsidR="0074701A" w:rsidRPr="0036120F" w:rsidRDefault="0074701A" w:rsidP="00F746FB">
      <w:pPr>
        <w:pStyle w:val="NormalnyWeb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36120F">
        <w:rPr>
          <w:rFonts w:asciiTheme="minorHAnsi" w:hAnsiTheme="minorHAnsi" w:cstheme="minorHAnsi"/>
          <w:sz w:val="22"/>
          <w:szCs w:val="22"/>
        </w:rPr>
        <w:t>„1a. Sąd Najwyższy orzeka o zgodności ustawy, o któ</w:t>
      </w:r>
      <w:r w:rsidR="0036120F">
        <w:rPr>
          <w:rFonts w:asciiTheme="minorHAnsi" w:hAnsiTheme="minorHAnsi" w:cstheme="minorHAnsi"/>
          <w:sz w:val="22"/>
          <w:szCs w:val="22"/>
        </w:rPr>
        <w:t>rej mowa w art. 197 Konstytucji,</w:t>
      </w:r>
      <w:r w:rsidRPr="0036120F">
        <w:rPr>
          <w:rFonts w:asciiTheme="minorHAnsi" w:hAnsiTheme="minorHAnsi" w:cstheme="minorHAnsi"/>
          <w:sz w:val="22"/>
          <w:szCs w:val="22"/>
        </w:rPr>
        <w:t xml:space="preserve"> z Konstytucją oraz z ratyfikowanymi umowami międzynarodowymi, których ratyfikacja wymagała uprzedniej zgody wyrażonej w ustawie.”</w:t>
      </w:r>
    </w:p>
    <w:p w:rsidR="0074701A" w:rsidRPr="0036120F" w:rsidRDefault="0074701A" w:rsidP="0074701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74701A" w:rsidRPr="0036120F" w:rsidRDefault="0074701A" w:rsidP="0074701A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36120F">
        <w:rPr>
          <w:rFonts w:asciiTheme="minorHAnsi" w:hAnsiTheme="minorHAnsi" w:cstheme="minorHAnsi"/>
          <w:sz w:val="22"/>
          <w:szCs w:val="22"/>
        </w:rPr>
        <w:t>W art. 188 pkt 1) i 2) otrzymują następujące brzmienie:</w:t>
      </w:r>
    </w:p>
    <w:p w:rsidR="0074701A" w:rsidRPr="0036120F" w:rsidRDefault="0074701A" w:rsidP="00F746FB">
      <w:pPr>
        <w:pStyle w:val="NormalnyWeb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36120F">
        <w:rPr>
          <w:rFonts w:asciiTheme="minorHAnsi" w:hAnsiTheme="minorHAnsi" w:cstheme="minorHAnsi"/>
          <w:sz w:val="22"/>
          <w:szCs w:val="22"/>
        </w:rPr>
        <w:t>„1) zgodności ustaw i umów międzynarodowych z Konstytucją, z zastrzeżeniem art. 183 ust. 1a Konstytucji,</w:t>
      </w:r>
    </w:p>
    <w:p w:rsidR="0074701A" w:rsidRPr="0036120F" w:rsidRDefault="0074701A" w:rsidP="0074701A">
      <w:pPr>
        <w:pStyle w:val="Normalny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36120F">
        <w:rPr>
          <w:rFonts w:asciiTheme="minorHAnsi" w:hAnsiTheme="minorHAnsi" w:cstheme="minorHAnsi"/>
          <w:sz w:val="22"/>
          <w:szCs w:val="22"/>
        </w:rPr>
        <w:t>2) zgodności ustaw z ratyfikowanymi umowami międzynarodowymi, których ratyfikacja wymagała uprzedniej zgody wyrażonej w ustawie, z zastrzeżeniem art. 183 ust. 1a Konstytucji,”</w:t>
      </w:r>
    </w:p>
    <w:p w:rsidR="0074701A" w:rsidRPr="0036120F" w:rsidRDefault="0074701A" w:rsidP="0074701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74701A" w:rsidRPr="0036120F" w:rsidRDefault="0036120F" w:rsidP="0074701A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</w:t>
      </w:r>
      <w:r w:rsidR="0074701A" w:rsidRPr="0036120F">
        <w:rPr>
          <w:rFonts w:asciiTheme="minorHAnsi" w:hAnsiTheme="minorHAnsi" w:cstheme="minorHAnsi"/>
          <w:sz w:val="22"/>
          <w:szCs w:val="22"/>
        </w:rPr>
        <w:t>Art. 194 ust. 1</w:t>
      </w:r>
      <w:r w:rsidR="000564DE" w:rsidRPr="0036120F">
        <w:rPr>
          <w:rFonts w:asciiTheme="minorHAnsi" w:hAnsiTheme="minorHAnsi" w:cstheme="minorHAnsi"/>
          <w:sz w:val="22"/>
          <w:szCs w:val="22"/>
        </w:rPr>
        <w:t xml:space="preserve"> i 2</w:t>
      </w:r>
      <w:r w:rsidR="0074701A" w:rsidRPr="0036120F">
        <w:rPr>
          <w:rFonts w:asciiTheme="minorHAnsi" w:hAnsiTheme="minorHAnsi" w:cstheme="minorHAnsi"/>
          <w:sz w:val="22"/>
          <w:szCs w:val="22"/>
        </w:rPr>
        <w:t xml:space="preserve"> otrzymuj</w:t>
      </w:r>
      <w:r w:rsidR="000564DE" w:rsidRPr="0036120F">
        <w:rPr>
          <w:rFonts w:asciiTheme="minorHAnsi" w:hAnsiTheme="minorHAnsi" w:cstheme="minorHAnsi"/>
          <w:sz w:val="22"/>
          <w:szCs w:val="22"/>
        </w:rPr>
        <w:t>ą</w:t>
      </w:r>
      <w:r w:rsidR="0074701A" w:rsidRPr="0036120F">
        <w:rPr>
          <w:rFonts w:asciiTheme="minorHAnsi" w:hAnsiTheme="minorHAnsi" w:cstheme="minorHAnsi"/>
          <w:sz w:val="22"/>
          <w:szCs w:val="22"/>
        </w:rPr>
        <w:t xml:space="preserve"> następujące brzmienie:</w:t>
      </w:r>
    </w:p>
    <w:p w:rsidR="0036120F" w:rsidRDefault="0074701A" w:rsidP="0077278F">
      <w:pPr>
        <w:pStyle w:val="Normalny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36120F">
        <w:rPr>
          <w:rFonts w:asciiTheme="minorHAnsi" w:hAnsiTheme="minorHAnsi" w:cstheme="minorHAnsi"/>
          <w:sz w:val="22"/>
          <w:szCs w:val="22"/>
        </w:rPr>
        <w:t xml:space="preserve">„Art. 194 </w:t>
      </w:r>
      <w:r w:rsidR="000564DE" w:rsidRPr="0036120F">
        <w:rPr>
          <w:rFonts w:asciiTheme="minorHAnsi" w:hAnsiTheme="minorHAnsi" w:cstheme="minorHAnsi"/>
          <w:sz w:val="22"/>
          <w:szCs w:val="22"/>
        </w:rPr>
        <w:t xml:space="preserve">1. </w:t>
      </w:r>
      <w:r w:rsidRPr="0036120F">
        <w:rPr>
          <w:rFonts w:asciiTheme="minorHAnsi" w:hAnsiTheme="minorHAnsi" w:cstheme="minorHAnsi"/>
          <w:sz w:val="22"/>
          <w:szCs w:val="22"/>
        </w:rPr>
        <w:t>Trybunał Konstytucyjny składa się z 18 sędziów, wybieranych indywidualnie przez Sejm większością co najmniej 2/3 głosów w obecności co najmniej połowy ustawowej liczby posłów, na 9 lat spośród osób wyróżniających się wiedzą prawniczą. Ponowny wybór do składu Trybunału jest niedopuszczalny</w:t>
      </w:r>
      <w:r w:rsidR="000564DE" w:rsidRPr="0036120F">
        <w:rPr>
          <w:rFonts w:asciiTheme="minorHAnsi" w:hAnsiTheme="minorHAnsi" w:cstheme="minorHAnsi"/>
          <w:sz w:val="22"/>
          <w:szCs w:val="22"/>
        </w:rPr>
        <w:t>;</w:t>
      </w:r>
    </w:p>
    <w:p w:rsidR="000564DE" w:rsidRPr="0036120F" w:rsidRDefault="000564DE" w:rsidP="0077278F">
      <w:pPr>
        <w:pStyle w:val="Normalny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36120F">
        <w:rPr>
          <w:rFonts w:asciiTheme="minorHAnsi" w:hAnsiTheme="minorHAnsi" w:cstheme="minorHAnsi"/>
          <w:sz w:val="22"/>
          <w:szCs w:val="22"/>
        </w:rPr>
        <w:t>2. Prezesa i Wiceprezesa Trybunału Konstytucyjnego powołuje Prezydent Rzeczypospolitej spośród co najmniej trzech kandydatów przedstawionych przez Zgromadzenie Ogólne Sędziów Trybunału Konstytucyjnego.”</w:t>
      </w:r>
    </w:p>
    <w:p w:rsidR="000564DE" w:rsidRPr="0036120F" w:rsidRDefault="000564DE" w:rsidP="000564DE">
      <w:pPr>
        <w:pStyle w:val="NormalnyWeb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120F">
        <w:rPr>
          <w:rFonts w:asciiTheme="minorHAnsi" w:hAnsiTheme="minorHAnsi" w:cstheme="minorHAnsi"/>
          <w:b/>
          <w:sz w:val="22"/>
          <w:szCs w:val="22"/>
        </w:rPr>
        <w:t>Art.</w:t>
      </w:r>
      <w:r w:rsidR="0036120F" w:rsidRPr="0036120F">
        <w:rPr>
          <w:rFonts w:asciiTheme="minorHAnsi" w:hAnsiTheme="minorHAnsi" w:cstheme="minorHAnsi"/>
          <w:b/>
          <w:sz w:val="22"/>
          <w:szCs w:val="22"/>
        </w:rPr>
        <w:t xml:space="preserve"> 2</w:t>
      </w:r>
    </w:p>
    <w:p w:rsidR="000564DE" w:rsidRPr="0036120F" w:rsidRDefault="000564DE" w:rsidP="000564DE">
      <w:pPr>
        <w:pStyle w:val="NormalnyWeb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36120F">
        <w:rPr>
          <w:rFonts w:asciiTheme="minorHAnsi" w:hAnsiTheme="minorHAnsi" w:cstheme="minorHAnsi"/>
          <w:sz w:val="22"/>
          <w:szCs w:val="22"/>
        </w:rPr>
        <w:t>Kadencja Sędziów Trybunału Konstytucyjnego, wybranych przed dniem wejścia w życie niniejszej ustawy, wygasa w 60 dniu</w:t>
      </w:r>
      <w:r w:rsidR="0036120F" w:rsidRPr="0036120F">
        <w:rPr>
          <w:rFonts w:asciiTheme="minorHAnsi" w:hAnsiTheme="minorHAnsi" w:cstheme="minorHAnsi"/>
          <w:sz w:val="22"/>
          <w:szCs w:val="22"/>
        </w:rPr>
        <w:t xml:space="preserve"> od dnia jej</w:t>
      </w:r>
      <w:r w:rsidRPr="0036120F">
        <w:rPr>
          <w:rFonts w:asciiTheme="minorHAnsi" w:hAnsiTheme="minorHAnsi" w:cstheme="minorHAnsi"/>
          <w:sz w:val="22"/>
          <w:szCs w:val="22"/>
        </w:rPr>
        <w:t xml:space="preserve"> wej</w:t>
      </w:r>
      <w:r w:rsidR="0036120F" w:rsidRPr="0036120F">
        <w:rPr>
          <w:rFonts w:asciiTheme="minorHAnsi" w:hAnsiTheme="minorHAnsi" w:cstheme="minorHAnsi"/>
          <w:sz w:val="22"/>
          <w:szCs w:val="22"/>
        </w:rPr>
        <w:t>ścia w życie</w:t>
      </w:r>
      <w:r w:rsidRPr="0036120F">
        <w:rPr>
          <w:rFonts w:asciiTheme="minorHAnsi" w:hAnsiTheme="minorHAnsi" w:cstheme="minorHAnsi"/>
          <w:sz w:val="22"/>
          <w:szCs w:val="22"/>
        </w:rPr>
        <w:t xml:space="preserve">. Na ich miejsce zostaną powołani nowi sędziowie, wybrani na zasadach określonych w Konstytucji według jej brzmienia po przyjęciu niniejszej ustawy i </w:t>
      </w:r>
      <w:r w:rsidR="0036120F" w:rsidRPr="0036120F">
        <w:rPr>
          <w:rFonts w:asciiTheme="minorHAnsi" w:hAnsiTheme="minorHAnsi" w:cstheme="minorHAnsi"/>
          <w:sz w:val="22"/>
          <w:szCs w:val="22"/>
        </w:rPr>
        <w:t xml:space="preserve">w </w:t>
      </w:r>
      <w:r w:rsidRPr="0036120F">
        <w:rPr>
          <w:rFonts w:asciiTheme="minorHAnsi" w:hAnsiTheme="minorHAnsi" w:cstheme="minorHAnsi"/>
          <w:sz w:val="22"/>
          <w:szCs w:val="22"/>
        </w:rPr>
        <w:t>innych właściwych przepisach.</w:t>
      </w:r>
    </w:p>
    <w:p w:rsidR="00F746FB" w:rsidRPr="0036120F" w:rsidRDefault="00F746FB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F746FB" w:rsidRPr="0036120F" w:rsidRDefault="0036120F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120F">
        <w:rPr>
          <w:rFonts w:asciiTheme="minorHAnsi" w:hAnsiTheme="minorHAnsi" w:cstheme="minorHAnsi"/>
          <w:b/>
          <w:sz w:val="22"/>
          <w:szCs w:val="22"/>
        </w:rPr>
        <w:t>Art. 3</w:t>
      </w:r>
    </w:p>
    <w:p w:rsidR="00F746FB" w:rsidRPr="0036120F" w:rsidRDefault="00F746FB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746FB" w:rsidRPr="0036120F" w:rsidRDefault="00F746FB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6120F">
        <w:rPr>
          <w:rFonts w:asciiTheme="minorHAnsi" w:hAnsiTheme="minorHAnsi" w:cstheme="minorHAnsi"/>
          <w:sz w:val="22"/>
          <w:szCs w:val="22"/>
        </w:rPr>
        <w:t>Ustawa wchodzi w życie z dniem ogłoszenia.</w:t>
      </w:r>
    </w:p>
    <w:p w:rsidR="00F746FB" w:rsidRPr="0036120F" w:rsidRDefault="00F746FB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</w:pPr>
    </w:p>
    <w:p w:rsidR="00F746FB" w:rsidRDefault="00F746FB" w:rsidP="00F746FB">
      <w:pPr>
        <w:pStyle w:val="NormalnyWeb"/>
        <w:spacing w:before="0" w:beforeAutospacing="0" w:after="0" w:afterAutospacing="0"/>
        <w:jc w:val="center"/>
        <w:rPr>
          <w:b/>
        </w:rPr>
      </w:pPr>
      <w:r>
        <w:rPr>
          <w:b/>
        </w:rPr>
        <w:lastRenderedPageBreak/>
        <w:t>UZASADNIENIE</w:t>
      </w:r>
    </w:p>
    <w:p w:rsidR="00F746FB" w:rsidRDefault="00F746FB" w:rsidP="00F746FB">
      <w:pPr>
        <w:pStyle w:val="NormalnyWeb"/>
        <w:spacing w:before="0" w:beforeAutospacing="0" w:after="0" w:afterAutospacing="0"/>
        <w:jc w:val="center"/>
        <w:rPr>
          <w:b/>
        </w:rPr>
      </w:pPr>
    </w:p>
    <w:p w:rsidR="00F746FB" w:rsidRDefault="00F746FB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</w:rPr>
        <w:t>Obecnie toczący się spór o Trybunał Konstytucyjny obnaża wadliwość</w:t>
      </w:r>
      <w:r w:rsidR="00563079">
        <w:rPr>
          <w:rFonts w:asciiTheme="minorHAnsi" w:hAnsiTheme="minorHAnsi"/>
        </w:rPr>
        <w:t xml:space="preserve"> przepisów dotyczących tej instytucji</w:t>
      </w:r>
      <w:r>
        <w:rPr>
          <w:rFonts w:asciiTheme="minorHAnsi" w:hAnsiTheme="minorHAnsi"/>
        </w:rPr>
        <w:t xml:space="preserve">, a </w:t>
      </w:r>
      <w:r w:rsidR="00AE336A">
        <w:rPr>
          <w:rFonts w:asciiTheme="minorHAnsi" w:hAnsiTheme="minorHAnsi"/>
        </w:rPr>
        <w:t xml:space="preserve">zwłaszcza </w:t>
      </w:r>
      <w:r>
        <w:rPr>
          <w:rFonts w:asciiTheme="minorHAnsi" w:hAnsiTheme="minorHAnsi"/>
        </w:rPr>
        <w:t>norm konstytucyjnych. Całkowicie niedopuszczalnym jest</w:t>
      </w:r>
      <w:r w:rsidR="00A9564D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aby w przypadku orzekania o zgodności z Ustawą Zasadniczą ustawy o Trybunale Konstytucyjnym orzekał sam Trybunał. Jest to zaprzeczenie jednej z podstawowych zasad demokratycznego państwa prawa - </w:t>
      </w:r>
      <w:proofErr w:type="spellStart"/>
      <w:r>
        <w:rPr>
          <w:rFonts w:asciiTheme="minorHAnsi" w:hAnsiTheme="minorHAnsi"/>
          <w:bCs/>
        </w:rPr>
        <w:t>n</w:t>
      </w:r>
      <w:r w:rsidRPr="00F746FB">
        <w:rPr>
          <w:rFonts w:asciiTheme="minorHAnsi" w:hAnsiTheme="minorHAnsi"/>
          <w:bCs/>
        </w:rPr>
        <w:t>emo</w:t>
      </w:r>
      <w:proofErr w:type="spellEnd"/>
      <w:r w:rsidRPr="00F746FB">
        <w:rPr>
          <w:rFonts w:asciiTheme="minorHAnsi" w:hAnsiTheme="minorHAnsi"/>
          <w:bCs/>
        </w:rPr>
        <w:t xml:space="preserve"> </w:t>
      </w:r>
      <w:proofErr w:type="spellStart"/>
      <w:r w:rsidRPr="00F746FB">
        <w:rPr>
          <w:rFonts w:asciiTheme="minorHAnsi" w:hAnsiTheme="minorHAnsi"/>
          <w:bCs/>
        </w:rPr>
        <w:t>iudex</w:t>
      </w:r>
      <w:proofErr w:type="spellEnd"/>
      <w:r w:rsidRPr="00F746FB">
        <w:rPr>
          <w:rFonts w:asciiTheme="minorHAnsi" w:hAnsiTheme="minorHAnsi"/>
          <w:bCs/>
        </w:rPr>
        <w:t xml:space="preserve"> in causa </w:t>
      </w:r>
      <w:proofErr w:type="spellStart"/>
      <w:r w:rsidRPr="00F746FB">
        <w:rPr>
          <w:rFonts w:asciiTheme="minorHAnsi" w:hAnsiTheme="minorHAnsi"/>
          <w:bCs/>
        </w:rPr>
        <w:t>sua</w:t>
      </w:r>
      <w:proofErr w:type="spellEnd"/>
      <w:r>
        <w:rPr>
          <w:rFonts w:asciiTheme="minorHAnsi" w:hAnsiTheme="minorHAnsi"/>
          <w:bCs/>
        </w:rPr>
        <w:t xml:space="preserve"> (nikt nie może być sędzią we własnej sprawie</w:t>
      </w:r>
      <w:r w:rsidR="00563079">
        <w:rPr>
          <w:rFonts w:asciiTheme="minorHAnsi" w:hAnsiTheme="minorHAnsi"/>
          <w:bCs/>
        </w:rPr>
        <w:t>)</w:t>
      </w:r>
      <w:r>
        <w:rPr>
          <w:rFonts w:asciiTheme="minorHAnsi" w:hAnsiTheme="minorHAnsi"/>
          <w:bCs/>
        </w:rPr>
        <w:t xml:space="preserve">. </w:t>
      </w:r>
      <w:r w:rsidR="001D178E">
        <w:rPr>
          <w:rFonts w:asciiTheme="minorHAnsi" w:hAnsiTheme="minorHAnsi"/>
          <w:bCs/>
        </w:rPr>
        <w:t xml:space="preserve">Ponadto obecnie toczący się spór sprawił, iż Trybunał Konstytucyjny stał się narzędziem walki politycznej pomiędzy największymi partiami. </w:t>
      </w:r>
    </w:p>
    <w:p w:rsidR="001D178E" w:rsidRDefault="001D178E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bCs/>
        </w:rPr>
      </w:pPr>
    </w:p>
    <w:p w:rsidR="001D178E" w:rsidRDefault="001D178E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Proponowane przez wnioskodawcę rozwiązania doprowadzą z jednej strony do zakończenia toczącego się sporu</w:t>
      </w:r>
      <w:r w:rsidR="00A02AD8">
        <w:rPr>
          <w:rFonts w:asciiTheme="minorHAnsi" w:hAnsiTheme="minorHAnsi"/>
          <w:bCs/>
        </w:rPr>
        <w:t xml:space="preserve"> dzielącego Naród na dwa zwalczające się obozy</w:t>
      </w:r>
      <w:r>
        <w:rPr>
          <w:rFonts w:asciiTheme="minorHAnsi" w:hAnsiTheme="minorHAnsi"/>
          <w:bCs/>
        </w:rPr>
        <w:t xml:space="preserve"> oraz będą daw</w:t>
      </w:r>
      <w:r w:rsidR="0040635F">
        <w:rPr>
          <w:rFonts w:asciiTheme="minorHAnsi" w:hAnsiTheme="minorHAnsi"/>
          <w:bCs/>
        </w:rPr>
        <w:t>ały rękojmię, iż podobny spór nie będzie miał miejsca w przyszłości</w:t>
      </w:r>
      <w:r w:rsidR="00563079">
        <w:rPr>
          <w:rFonts w:asciiTheme="minorHAnsi" w:hAnsiTheme="minorHAnsi"/>
          <w:bCs/>
        </w:rPr>
        <w:t>,</w:t>
      </w:r>
      <w:r>
        <w:rPr>
          <w:rFonts w:asciiTheme="minorHAnsi" w:hAnsiTheme="minorHAnsi"/>
          <w:bCs/>
        </w:rPr>
        <w:t xml:space="preserve"> bez względu na to jaka siła polityczna będzie u władzy.</w:t>
      </w:r>
    </w:p>
    <w:p w:rsidR="0040635F" w:rsidRPr="0040635F" w:rsidRDefault="0040635F" w:rsidP="00F746FB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bCs/>
        </w:rPr>
      </w:pPr>
    </w:p>
    <w:p w:rsidR="0040635F" w:rsidRDefault="0040635F" w:rsidP="0040635F">
      <w:pPr>
        <w:autoSpaceDE w:val="0"/>
        <w:autoSpaceDN w:val="0"/>
        <w:adjustRightInd w:val="0"/>
        <w:spacing w:after="0" w:line="240" w:lineRule="auto"/>
        <w:jc w:val="both"/>
        <w:rPr>
          <w:rStyle w:val="st"/>
          <w:sz w:val="24"/>
          <w:szCs w:val="24"/>
        </w:rPr>
      </w:pPr>
      <w:r w:rsidRPr="0040635F">
        <w:rPr>
          <w:bCs/>
          <w:sz w:val="24"/>
          <w:szCs w:val="24"/>
        </w:rPr>
        <w:t>Wnioskodawca w pierwszej kolejności proponuje</w:t>
      </w:r>
      <w:r w:rsidR="00A9564D">
        <w:rPr>
          <w:bCs/>
          <w:sz w:val="24"/>
          <w:szCs w:val="24"/>
        </w:rPr>
        <w:t>,</w:t>
      </w:r>
      <w:r w:rsidRPr="0040635F">
        <w:rPr>
          <w:bCs/>
          <w:sz w:val="24"/>
          <w:szCs w:val="24"/>
        </w:rPr>
        <w:t xml:space="preserve"> aby w kwestii zgodności z </w:t>
      </w:r>
      <w:r w:rsidR="00563079">
        <w:rPr>
          <w:bCs/>
          <w:sz w:val="24"/>
          <w:szCs w:val="24"/>
        </w:rPr>
        <w:t>K</w:t>
      </w:r>
      <w:r w:rsidRPr="0040635F">
        <w:rPr>
          <w:bCs/>
          <w:sz w:val="24"/>
          <w:szCs w:val="24"/>
        </w:rPr>
        <w:t>onstytucją  ustawy o Trybunale Konstytucyjnym orzekał Sąd Najwyższy. Brak takiej regulacji w obecnych przepisach sprawia, iż Trybunał</w:t>
      </w:r>
      <w:r w:rsidR="00563079">
        <w:rPr>
          <w:bCs/>
          <w:sz w:val="24"/>
          <w:szCs w:val="24"/>
        </w:rPr>
        <w:t xml:space="preserve"> może</w:t>
      </w:r>
      <w:r w:rsidRPr="0040635F">
        <w:rPr>
          <w:bCs/>
          <w:sz w:val="24"/>
          <w:szCs w:val="24"/>
        </w:rPr>
        <w:t xml:space="preserve"> orzeka</w:t>
      </w:r>
      <w:r w:rsidR="00563079">
        <w:rPr>
          <w:bCs/>
          <w:sz w:val="24"/>
          <w:szCs w:val="24"/>
        </w:rPr>
        <w:t>ć</w:t>
      </w:r>
      <w:r w:rsidRPr="0040635F">
        <w:rPr>
          <w:bCs/>
          <w:sz w:val="24"/>
          <w:szCs w:val="24"/>
        </w:rPr>
        <w:t xml:space="preserve"> we własnej sprawie co jest absolutnie niedopuszczalne i rodzi uzasadnione</w:t>
      </w:r>
      <w:r w:rsidR="00563079">
        <w:rPr>
          <w:bCs/>
          <w:sz w:val="24"/>
          <w:szCs w:val="24"/>
        </w:rPr>
        <w:t>,</w:t>
      </w:r>
      <w:r w:rsidRPr="0040635F">
        <w:rPr>
          <w:bCs/>
          <w:sz w:val="24"/>
          <w:szCs w:val="24"/>
        </w:rPr>
        <w:t xml:space="preserve"> poważne obawy dotyczące niezbędnego obiektywizmu i profesjonalizmu w tego typu sprawach.  </w:t>
      </w:r>
      <w:r w:rsidRPr="0040635F">
        <w:rPr>
          <w:rStyle w:val="st"/>
          <w:sz w:val="24"/>
          <w:szCs w:val="24"/>
        </w:rPr>
        <w:t xml:space="preserve">Rzutuje to na społeczne postrzeganie niezawisłości i niezależności sędziów Trybunału. </w:t>
      </w:r>
    </w:p>
    <w:p w:rsidR="0040635F" w:rsidRDefault="0040635F" w:rsidP="0040635F">
      <w:pPr>
        <w:autoSpaceDE w:val="0"/>
        <w:autoSpaceDN w:val="0"/>
        <w:adjustRightInd w:val="0"/>
        <w:spacing w:after="0" w:line="240" w:lineRule="auto"/>
        <w:jc w:val="both"/>
        <w:rPr>
          <w:rStyle w:val="st"/>
          <w:sz w:val="24"/>
          <w:szCs w:val="24"/>
        </w:rPr>
      </w:pPr>
    </w:p>
    <w:p w:rsidR="0040635F" w:rsidRDefault="00563079" w:rsidP="00493A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Style w:val="st"/>
          <w:sz w:val="24"/>
          <w:szCs w:val="24"/>
        </w:rPr>
        <w:t>Dalej Wnioskodawca proponuje,</w:t>
      </w:r>
      <w:r w:rsidR="0040635F" w:rsidRPr="0040635F">
        <w:rPr>
          <w:rStyle w:val="st"/>
          <w:sz w:val="24"/>
          <w:szCs w:val="24"/>
        </w:rPr>
        <w:t xml:space="preserve"> aby </w:t>
      </w:r>
      <w:r>
        <w:rPr>
          <w:rStyle w:val="st"/>
          <w:sz w:val="24"/>
          <w:szCs w:val="24"/>
        </w:rPr>
        <w:t>Konstytucja zawierała</w:t>
      </w:r>
      <w:r w:rsidR="0040635F" w:rsidRPr="0040635F">
        <w:rPr>
          <w:rStyle w:val="st"/>
          <w:sz w:val="24"/>
          <w:szCs w:val="24"/>
        </w:rPr>
        <w:t xml:space="preserve"> przepis wprowadzający większość kwalifikowaną przy wyborze sędziów Trybunału Konstytucyjnego. Obecnie kwestię tę reguluję ustawa co sprawia, iż przepisy w tym zakresie mogą być bardzo łatwo zmieniane w zależności od woli rządzącej siły w parlamencie.  Wnioskodawca proponuję</w:t>
      </w:r>
      <w:r w:rsidR="00A9564D">
        <w:rPr>
          <w:rStyle w:val="st"/>
          <w:sz w:val="24"/>
          <w:szCs w:val="24"/>
        </w:rPr>
        <w:t>,</w:t>
      </w:r>
      <w:r w:rsidR="0040635F" w:rsidRPr="0040635F">
        <w:rPr>
          <w:rStyle w:val="st"/>
          <w:sz w:val="24"/>
          <w:szCs w:val="24"/>
        </w:rPr>
        <w:t xml:space="preserve"> aby sędziowie byli wybierani większością 2/3 w obecności co najmniej połowy ustawowej liczby posłów. </w:t>
      </w:r>
      <w:r w:rsidR="0040635F" w:rsidRPr="0040635F">
        <w:rPr>
          <w:sz w:val="24"/>
          <w:szCs w:val="24"/>
        </w:rPr>
        <w:t>Rozwiązanie to zwiększy apolityczność, niezależność i ni</w:t>
      </w:r>
      <w:r>
        <w:rPr>
          <w:sz w:val="24"/>
          <w:szCs w:val="24"/>
        </w:rPr>
        <w:t>ezawisłość wybranych sędziów. W</w:t>
      </w:r>
      <w:r w:rsidR="0040635F" w:rsidRPr="0040635F">
        <w:rPr>
          <w:sz w:val="24"/>
          <w:szCs w:val="24"/>
        </w:rPr>
        <w:t>ymuszałoby</w:t>
      </w:r>
      <w:r>
        <w:rPr>
          <w:sz w:val="24"/>
          <w:szCs w:val="24"/>
        </w:rPr>
        <w:t xml:space="preserve"> to</w:t>
      </w:r>
      <w:r w:rsidR="0040635F" w:rsidRPr="0040635F">
        <w:rPr>
          <w:sz w:val="24"/>
          <w:szCs w:val="24"/>
        </w:rPr>
        <w:t xml:space="preserve"> konieczność znalezienia kandydata „ponad podziałami”, fachowego prawnika, niezwiązanego z żadną opcją polityczną, dającego rękojmie niezależności i niezawisłości sędziowskiej</w:t>
      </w:r>
      <w:r w:rsidR="0040635F">
        <w:rPr>
          <w:sz w:val="24"/>
          <w:szCs w:val="24"/>
        </w:rPr>
        <w:t xml:space="preserve">. </w:t>
      </w:r>
      <w:r w:rsidR="00890993" w:rsidRPr="00890993">
        <w:rPr>
          <w:sz w:val="24"/>
          <w:szCs w:val="24"/>
        </w:rPr>
        <w:t xml:space="preserve">Proponowane rozwiązanie od lat sprawdza się w Republice Federalnej Niemiec. </w:t>
      </w:r>
      <w:r w:rsidR="00890993" w:rsidRPr="00493ACA">
        <w:rPr>
          <w:sz w:val="24"/>
          <w:szCs w:val="24"/>
        </w:rPr>
        <w:t>U naszych</w:t>
      </w:r>
      <w:r w:rsidR="00493ACA" w:rsidRPr="00493ACA">
        <w:rPr>
          <w:sz w:val="24"/>
          <w:szCs w:val="24"/>
        </w:rPr>
        <w:t xml:space="preserve"> </w:t>
      </w:r>
      <w:r w:rsidR="00890993" w:rsidRPr="00493ACA">
        <w:rPr>
          <w:sz w:val="24"/>
          <w:szCs w:val="24"/>
        </w:rPr>
        <w:t xml:space="preserve">zachodnich sąsiadów połowa członków Federalnego Trybunału Konstytucyjnego jest </w:t>
      </w:r>
      <w:r w:rsidR="00493ACA" w:rsidRPr="00493ACA">
        <w:rPr>
          <w:sz w:val="24"/>
          <w:szCs w:val="24"/>
        </w:rPr>
        <w:t xml:space="preserve"> </w:t>
      </w:r>
      <w:r w:rsidR="00890993" w:rsidRPr="00493ACA">
        <w:rPr>
          <w:sz w:val="24"/>
          <w:szCs w:val="24"/>
        </w:rPr>
        <w:t>powoływana przez  Bundestag (tutaj w wyborach pośrednich przy pomocy Komisji Wyboru Sędziego Federalnego Trybunału Konstytucyjnego), a połowa bezpośrednio przez Bundesrat. W obu przypadkach wymagana jest większość 2/3 głosów. Między innymi dzięki tej procedurze Federalny Trybunał Konstytucyjny ma renomę jednej z najwybitniejszych tego typu instytucji na świecie.</w:t>
      </w:r>
    </w:p>
    <w:p w:rsidR="00493ACA" w:rsidRDefault="00493ACA" w:rsidP="00493A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93ACA" w:rsidRDefault="0036120F" w:rsidP="00493ACA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Ponadto</w:t>
      </w:r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 Wnioskodawca, aby zakończyć dyskusje dotyczącą trzech sędziów Trybunału wybranych w poprzedniej kadencji, proponuje rozszerzenie składu Trybunału do 18 sędziów. Oznacza to, że wybrani 8 października 2015 r. trzej sędziowie (prof. </w:t>
      </w:r>
      <w:hyperlink r:id="rId7" w:tooltip="Roman Hauser" w:history="1">
        <w:r w:rsidR="00493ACA" w:rsidRPr="00AE336A">
          <w:rPr>
            <w:rFonts w:asciiTheme="minorHAnsi" w:eastAsiaTheme="minorHAnsi" w:hAnsiTheme="minorHAnsi" w:cstheme="minorBidi"/>
            <w:lang w:eastAsia="en-US"/>
          </w:rPr>
          <w:t>Roman Hauser</w:t>
        </w:r>
      </w:hyperlink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, dr hab. </w:t>
      </w:r>
      <w:hyperlink r:id="rId8" w:tooltip="Krzysztof Ślebzak" w:history="1">
        <w:r w:rsidR="00493ACA" w:rsidRPr="00AE336A">
          <w:rPr>
            <w:rFonts w:asciiTheme="minorHAnsi" w:eastAsiaTheme="minorHAnsi" w:hAnsiTheme="minorHAnsi" w:cstheme="minorBidi"/>
            <w:lang w:eastAsia="en-US"/>
          </w:rPr>
          <w:t xml:space="preserve">Krzysztof </w:t>
        </w:r>
        <w:proofErr w:type="spellStart"/>
        <w:r w:rsidR="00493ACA" w:rsidRPr="00AE336A">
          <w:rPr>
            <w:rFonts w:asciiTheme="minorHAnsi" w:eastAsiaTheme="minorHAnsi" w:hAnsiTheme="minorHAnsi" w:cstheme="minorBidi"/>
            <w:lang w:eastAsia="en-US"/>
          </w:rPr>
          <w:t>Ślebzak</w:t>
        </w:r>
        <w:proofErr w:type="spellEnd"/>
      </w:hyperlink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, prof. </w:t>
      </w:r>
      <w:hyperlink r:id="rId9" w:tooltip="Andrzej Jakubecki" w:history="1">
        <w:r w:rsidR="00493ACA" w:rsidRPr="00AE336A">
          <w:rPr>
            <w:rFonts w:asciiTheme="minorHAnsi" w:eastAsiaTheme="minorHAnsi" w:hAnsiTheme="minorHAnsi" w:cstheme="minorBidi"/>
            <w:lang w:eastAsia="en-US"/>
          </w:rPr>
          <w:t xml:space="preserve">Andrzej </w:t>
        </w:r>
        <w:proofErr w:type="spellStart"/>
        <w:r w:rsidR="00493ACA" w:rsidRPr="00AE336A">
          <w:rPr>
            <w:rFonts w:asciiTheme="minorHAnsi" w:eastAsiaTheme="minorHAnsi" w:hAnsiTheme="minorHAnsi" w:cstheme="minorBidi"/>
            <w:lang w:eastAsia="en-US"/>
          </w:rPr>
          <w:t>Jakubecki</w:t>
        </w:r>
        <w:proofErr w:type="spellEnd"/>
      </w:hyperlink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) zostaną zaprzysiężeni przez Prezydenta RP. Jest to realizacja wyroku Trybunału Konstytucyjnego z 3 grudnia 2015 r. Ponadto wybrani przez Sejm RP 2 grudnia 2015 r. i już zaprzysiężeni sędziowie TK (prof. </w:t>
      </w:r>
      <w:hyperlink r:id="rId10" w:tooltip="Henryk Cioch" w:history="1">
        <w:r w:rsidR="00493ACA" w:rsidRPr="00AE336A">
          <w:rPr>
            <w:rFonts w:asciiTheme="minorHAnsi" w:eastAsiaTheme="minorHAnsi" w:hAnsiTheme="minorHAnsi" w:cstheme="minorBidi"/>
            <w:lang w:eastAsia="en-US"/>
          </w:rPr>
          <w:t>Henryk Cioch</w:t>
        </w:r>
      </w:hyperlink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, prof. </w:t>
      </w:r>
      <w:hyperlink r:id="rId11" w:tooltip="Lech Morawski" w:history="1">
        <w:r w:rsidR="00493ACA" w:rsidRPr="00AE336A">
          <w:rPr>
            <w:rFonts w:asciiTheme="minorHAnsi" w:eastAsiaTheme="minorHAnsi" w:hAnsiTheme="minorHAnsi" w:cstheme="minorBidi"/>
            <w:lang w:eastAsia="en-US"/>
          </w:rPr>
          <w:t>Lech Morawski</w:t>
        </w:r>
      </w:hyperlink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, dr hab. </w:t>
      </w:r>
      <w:hyperlink r:id="rId12" w:tooltip="Mariusz Muszyński" w:history="1">
        <w:r w:rsidR="00493ACA" w:rsidRPr="00AE336A">
          <w:rPr>
            <w:rFonts w:asciiTheme="minorHAnsi" w:eastAsiaTheme="minorHAnsi" w:hAnsiTheme="minorHAnsi" w:cstheme="minorBidi"/>
            <w:lang w:eastAsia="en-US"/>
          </w:rPr>
          <w:t>Mariusz Muszyński</w:t>
        </w:r>
      </w:hyperlink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, </w:t>
      </w:r>
      <w:hyperlink r:id="rId13" w:tooltip="Piotr Pszczółkowski" w:history="1">
        <w:r w:rsidR="00493ACA" w:rsidRPr="00AE336A">
          <w:rPr>
            <w:rFonts w:asciiTheme="minorHAnsi" w:eastAsiaTheme="minorHAnsi" w:hAnsiTheme="minorHAnsi" w:cstheme="minorBidi"/>
            <w:lang w:eastAsia="en-US"/>
          </w:rPr>
          <w:t>Piotr Pszczółkowski</w:t>
        </w:r>
      </w:hyperlink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, </w:t>
      </w:r>
      <w:hyperlink r:id="rId14" w:tooltip="Julia Przyłębska" w:history="1">
        <w:r w:rsidR="00493ACA" w:rsidRPr="00AE336A">
          <w:rPr>
            <w:rFonts w:asciiTheme="minorHAnsi" w:eastAsiaTheme="minorHAnsi" w:hAnsiTheme="minorHAnsi" w:cstheme="minorBidi"/>
            <w:lang w:eastAsia="en-US"/>
          </w:rPr>
          <w:t xml:space="preserve">Julia </w:t>
        </w:r>
        <w:proofErr w:type="spellStart"/>
        <w:r w:rsidR="00493ACA" w:rsidRPr="00AE336A">
          <w:rPr>
            <w:rFonts w:asciiTheme="minorHAnsi" w:eastAsiaTheme="minorHAnsi" w:hAnsiTheme="minorHAnsi" w:cstheme="minorBidi"/>
            <w:lang w:eastAsia="en-US"/>
          </w:rPr>
          <w:t>Przyłębska</w:t>
        </w:r>
        <w:proofErr w:type="spellEnd"/>
      </w:hyperlink>
      <w:r w:rsidR="00493ACA" w:rsidRPr="00AE336A">
        <w:rPr>
          <w:rFonts w:asciiTheme="minorHAnsi" w:eastAsiaTheme="minorHAnsi" w:hAnsiTheme="minorHAnsi" w:cstheme="minorBidi"/>
          <w:lang w:eastAsia="en-US"/>
        </w:rPr>
        <w:t xml:space="preserve">) zostaną skutecznie przyjęci w skład Trybunału Konstytucyjnego przez Prezesa TK Andrzeja </w:t>
      </w:r>
      <w:r w:rsidR="00493ACA" w:rsidRPr="00AE336A">
        <w:rPr>
          <w:rFonts w:asciiTheme="minorHAnsi" w:eastAsiaTheme="minorHAnsi" w:hAnsiTheme="minorHAnsi" w:cstheme="minorBidi"/>
          <w:lang w:eastAsia="en-US"/>
        </w:rPr>
        <w:lastRenderedPageBreak/>
        <w:t xml:space="preserve">Rzeplińskiego. Rozprawy z dnia 3 grudnia i 9 grudnia br. pokazały, że skład 15-osobowy jest zbyt wąski, by zapewnić skuteczne orzekanie w pełnym składzie izby. </w:t>
      </w:r>
    </w:p>
    <w:p w:rsidR="0036120F" w:rsidRDefault="0036120F" w:rsidP="00493ACA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lang w:eastAsia="en-US"/>
        </w:rPr>
      </w:pPr>
    </w:p>
    <w:p w:rsidR="0036120F" w:rsidRDefault="0036120F" w:rsidP="00493ACA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Wnioskodawca proponuje również aby w Konstytucji zawrzeć przepis stanowiący, iż Prezesa i Wiceprezesa Trybunału powołuje Prezydent spośród trzech kandydatów przedstawionych przez Zgromadzenie Ogólne Trybunału.</w:t>
      </w:r>
    </w:p>
    <w:p w:rsidR="0036120F" w:rsidRDefault="0036120F" w:rsidP="00493ACA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lang w:eastAsia="en-US"/>
        </w:rPr>
      </w:pPr>
    </w:p>
    <w:p w:rsidR="0036120F" w:rsidRPr="00AE336A" w:rsidRDefault="0036120F" w:rsidP="00493ACA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Wreszcie, mając na uwadze doniosłość proponowanych zmian, koniecznym jest wygaszenie mandatów dotychczasowych sędziów i zastąpienie ich nowymi sędziami powołanymi zgodnie z nowym brzmieniem Konstytucji. Niewątpliwie doprowadziłoby to do definitywnego zakończenia toczącego się od początku VIII kadencji Sejmu sporu o Trybunał Konstytucyjny.</w:t>
      </w:r>
    </w:p>
    <w:p w:rsidR="00493ACA" w:rsidRPr="00AE336A" w:rsidRDefault="00493ACA" w:rsidP="00493ACA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lang w:eastAsia="en-US"/>
        </w:rPr>
      </w:pPr>
    </w:p>
    <w:p w:rsidR="00493ACA" w:rsidRPr="00493ACA" w:rsidRDefault="00493ACA" w:rsidP="00493A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93ACA">
        <w:rPr>
          <w:sz w:val="24"/>
          <w:szCs w:val="24"/>
        </w:rPr>
        <w:t>Projekt ustawy wywołuje pozytywne skutki społeczno-gospodarcze i nie rodzi żadnych skutków dla budżetu państwa i budżetów samorządu terytorialnego.</w:t>
      </w:r>
    </w:p>
    <w:p w:rsidR="00493ACA" w:rsidRPr="00493ACA" w:rsidRDefault="00493ACA" w:rsidP="00493A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93ACA" w:rsidRPr="00493ACA" w:rsidRDefault="00493ACA" w:rsidP="00493A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93ACA">
        <w:rPr>
          <w:sz w:val="24"/>
          <w:szCs w:val="24"/>
        </w:rPr>
        <w:t>Projekt ustawy jest zgodny z prawem Unii Europejskiej.</w:t>
      </w:r>
    </w:p>
    <w:p w:rsidR="0040635F" w:rsidRPr="00493ACA" w:rsidRDefault="0040635F" w:rsidP="0040635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0635F" w:rsidRPr="0040635F" w:rsidRDefault="0040635F" w:rsidP="0040635F">
      <w:pPr>
        <w:autoSpaceDE w:val="0"/>
        <w:autoSpaceDN w:val="0"/>
        <w:adjustRightInd w:val="0"/>
        <w:spacing w:after="0" w:line="240" w:lineRule="auto"/>
        <w:jc w:val="both"/>
        <w:rPr>
          <w:rStyle w:val="st"/>
          <w:sz w:val="24"/>
          <w:szCs w:val="24"/>
        </w:rPr>
      </w:pPr>
    </w:p>
    <w:p w:rsidR="0040635F" w:rsidRPr="00F746FB" w:rsidRDefault="0040635F" w:rsidP="0040635F">
      <w:pPr>
        <w:pStyle w:val="NormalnyWeb"/>
        <w:spacing w:before="0" w:beforeAutospacing="0" w:after="0" w:afterAutospacing="0"/>
        <w:rPr>
          <w:rFonts w:asciiTheme="minorHAnsi" w:hAnsiTheme="minorHAnsi"/>
        </w:rPr>
      </w:pPr>
    </w:p>
    <w:p w:rsidR="0074701A" w:rsidRPr="0074701A" w:rsidRDefault="0074701A" w:rsidP="0074701A">
      <w:pPr>
        <w:pStyle w:val="NormalnyWeb"/>
        <w:spacing w:before="0" w:beforeAutospacing="0" w:after="0" w:afterAutospacing="0"/>
        <w:ind w:left="720"/>
        <w:jc w:val="both"/>
        <w:rPr>
          <w:rFonts w:asciiTheme="minorHAnsi" w:hAnsiTheme="minorHAnsi"/>
        </w:rPr>
      </w:pPr>
    </w:p>
    <w:sectPr w:rsidR="0074701A" w:rsidRPr="0074701A" w:rsidSect="003C0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12DAF"/>
    <w:multiLevelType w:val="hybridMultilevel"/>
    <w:tmpl w:val="3088588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613BB"/>
    <w:multiLevelType w:val="hybridMultilevel"/>
    <w:tmpl w:val="29B67F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AD6"/>
    <w:rsid w:val="000564DE"/>
    <w:rsid w:val="001B0B65"/>
    <w:rsid w:val="001D178E"/>
    <w:rsid w:val="001E675D"/>
    <w:rsid w:val="0021069A"/>
    <w:rsid w:val="00246614"/>
    <w:rsid w:val="003131A6"/>
    <w:rsid w:val="0036120F"/>
    <w:rsid w:val="003C0C2A"/>
    <w:rsid w:val="0040635F"/>
    <w:rsid w:val="00435BAB"/>
    <w:rsid w:val="00493ACA"/>
    <w:rsid w:val="00530E7E"/>
    <w:rsid w:val="00563079"/>
    <w:rsid w:val="006953BA"/>
    <w:rsid w:val="0074701A"/>
    <w:rsid w:val="0077278F"/>
    <w:rsid w:val="007E0A1B"/>
    <w:rsid w:val="00800BF0"/>
    <w:rsid w:val="00804E4F"/>
    <w:rsid w:val="00890993"/>
    <w:rsid w:val="00A02AD8"/>
    <w:rsid w:val="00A9564D"/>
    <w:rsid w:val="00AE336A"/>
    <w:rsid w:val="00BB6181"/>
    <w:rsid w:val="00E53D25"/>
    <w:rsid w:val="00EE2AD6"/>
    <w:rsid w:val="00F746FB"/>
    <w:rsid w:val="00F9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2AD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A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E2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0B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04E4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47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F746FB"/>
  </w:style>
  <w:style w:type="character" w:styleId="Uwydatnienie">
    <w:name w:val="Emphasis"/>
    <w:basedOn w:val="Domylnaczcionkaakapitu"/>
    <w:uiPriority w:val="20"/>
    <w:qFormat/>
    <w:rsid w:val="00F746F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2AD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A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E2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0B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04E4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47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F746FB"/>
  </w:style>
  <w:style w:type="character" w:styleId="Uwydatnienie">
    <w:name w:val="Emphasis"/>
    <w:basedOn w:val="Domylnaczcionkaakapitu"/>
    <w:uiPriority w:val="20"/>
    <w:qFormat/>
    <w:rsid w:val="00F74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Krzysztof_%C5%9Alebzak" TargetMode="External"/><Relationship Id="rId13" Type="http://schemas.openxmlformats.org/officeDocument/2006/relationships/hyperlink" Target="https://pl.wikipedia.org/wiki/Piotr_Pszcz%C3%B3%C5%82kowski" TargetMode="External"/><Relationship Id="rId3" Type="http://schemas.openxmlformats.org/officeDocument/2006/relationships/styles" Target="styles.xml"/><Relationship Id="rId7" Type="http://schemas.openxmlformats.org/officeDocument/2006/relationships/hyperlink" Target="https://pl.wikipedia.org/wiki/Roman_Hauser" TargetMode="External"/><Relationship Id="rId12" Type="http://schemas.openxmlformats.org/officeDocument/2006/relationships/hyperlink" Target="https://pl.wikipedia.org/wiki/Mariusz_Muszy%C5%84sk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Lech_Morawsk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l.wikipedia.org/wiki/Henryk_Cio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l.wikipedia.org/wiki/Andrzej_Jakubecki" TargetMode="External"/><Relationship Id="rId14" Type="http://schemas.openxmlformats.org/officeDocument/2006/relationships/hyperlink" Target="https://pl.wikipedia.org/wiki/Julia_Przy%C5%82%C4%99bs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B2FDF-66FD-4EED-9028-BBE8AE8A5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Prostko</dc:creator>
  <cp:lastModifiedBy>Ewa A. Genert</cp:lastModifiedBy>
  <cp:revision>2</cp:revision>
  <cp:lastPrinted>2015-12-17T16:22:00Z</cp:lastPrinted>
  <dcterms:created xsi:type="dcterms:W3CDTF">2015-12-30T12:57:00Z</dcterms:created>
  <dcterms:modified xsi:type="dcterms:W3CDTF">2015-12-30T12:57:00Z</dcterms:modified>
</cp:coreProperties>
</file>