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2780" w:rsidRPr="00BC2780" w:rsidRDefault="00BC2780" w:rsidP="00BC2780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BC2780">
        <w:rPr>
          <w:rFonts w:ascii="Times New Roman" w:hAnsi="Times New Roman" w:cs="Times New Roman"/>
          <w:sz w:val="24"/>
          <w:szCs w:val="24"/>
        </w:rPr>
        <w:t>UZASADNIENIE</w:t>
      </w:r>
    </w:p>
    <w:p w:rsidR="00BC2780" w:rsidRPr="002C16F9" w:rsidRDefault="002C16F9" w:rsidP="00BC2780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I. Uwagi ogólne</w:t>
      </w:r>
    </w:p>
    <w:p w:rsidR="00BC2780" w:rsidRPr="00BC2780" w:rsidRDefault="00BC2780" w:rsidP="00BC278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C2780">
        <w:rPr>
          <w:rFonts w:ascii="Times New Roman" w:hAnsi="Times New Roman" w:cs="Times New Roman"/>
          <w:sz w:val="24"/>
          <w:szCs w:val="24"/>
        </w:rPr>
        <w:t>Celem projektowanej ustawy o zmianie ustawy ‒ Kodeks postępowania cywilnego, ustawy o wychowaniu w trzeźwości i przeciwdziałaniu alkoholizmowi oraz ustawy o ochronie zdrowia psychicznego jest wprowadzenie do obowiązującego systemu prawnego przepisów stanowiących podstawę prawną dla sądów rodzinnych do zlecenia kuratorowi sądowemu przeprowadzania wywiadów środowiskowych w postępowaniu wykonawczym prowadzonym  w sprawach rodzinnych i opiekuńczych oraz po powzięciu przez sąd opiekuńczy wiadomości o zdarzeniu mogącym stanowić podstawę faktyczną do wszczęcia postępowania z urzędu, jak też na etapie postępowania rozpoznawczego w przypadku osób dorosłych.</w:t>
      </w:r>
    </w:p>
    <w:p w:rsidR="00BC2780" w:rsidRPr="00BC2780" w:rsidRDefault="00BC2780" w:rsidP="00BC278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C2780">
        <w:rPr>
          <w:rFonts w:ascii="Times New Roman" w:hAnsi="Times New Roman" w:cs="Times New Roman"/>
          <w:sz w:val="24"/>
          <w:szCs w:val="24"/>
        </w:rPr>
        <w:t xml:space="preserve">Projekt obejmuje także unormowanie kwestii przeprowadzenia wywiadu środowiskowego w innych kategoriach spraw wynikających z przepisów ustaw szczególnych, dla których rozpoznania </w:t>
      </w:r>
      <w:r w:rsidR="00497CBC" w:rsidRPr="00BC2780">
        <w:rPr>
          <w:rFonts w:ascii="Times New Roman" w:hAnsi="Times New Roman" w:cs="Times New Roman"/>
          <w:sz w:val="24"/>
          <w:szCs w:val="24"/>
        </w:rPr>
        <w:t xml:space="preserve">jest </w:t>
      </w:r>
      <w:r w:rsidRPr="00BC2780">
        <w:rPr>
          <w:rFonts w:ascii="Times New Roman" w:hAnsi="Times New Roman" w:cs="Times New Roman"/>
          <w:sz w:val="24"/>
          <w:szCs w:val="24"/>
        </w:rPr>
        <w:t>właściwy sąd rodzinny, a mianowicie ustawy z dnia 26 października 1982 r. o wychowaniu w trzeźwości i przeciwdz</w:t>
      </w:r>
      <w:r>
        <w:rPr>
          <w:rFonts w:ascii="Times New Roman" w:hAnsi="Times New Roman" w:cs="Times New Roman"/>
          <w:sz w:val="24"/>
          <w:szCs w:val="24"/>
        </w:rPr>
        <w:t xml:space="preserve">iałaniu alkoholizmowi </w:t>
      </w:r>
      <w:r w:rsidR="00AC182F">
        <w:rPr>
          <w:rFonts w:ascii="Times New Roman" w:hAnsi="Times New Roman" w:cs="Times New Roman"/>
          <w:sz w:val="24"/>
          <w:szCs w:val="24"/>
        </w:rPr>
        <w:br/>
        <w:t>(Dz. </w:t>
      </w:r>
      <w:r>
        <w:rPr>
          <w:rFonts w:ascii="Times New Roman" w:hAnsi="Times New Roman" w:cs="Times New Roman"/>
          <w:sz w:val="24"/>
          <w:szCs w:val="24"/>
        </w:rPr>
        <w:t xml:space="preserve">U. </w:t>
      </w:r>
      <w:r w:rsidRPr="00BC2780">
        <w:rPr>
          <w:rFonts w:ascii="Times New Roman" w:hAnsi="Times New Roman" w:cs="Times New Roman"/>
          <w:sz w:val="24"/>
          <w:szCs w:val="24"/>
        </w:rPr>
        <w:t>z 2016 r. poz. 487) oraz ustawy z dnia 19 sierpnia 1994 r. o ochronie zdrowia psychiczneg</w:t>
      </w:r>
      <w:r>
        <w:rPr>
          <w:rFonts w:ascii="Times New Roman" w:hAnsi="Times New Roman" w:cs="Times New Roman"/>
          <w:sz w:val="24"/>
          <w:szCs w:val="24"/>
        </w:rPr>
        <w:t xml:space="preserve">o (Dz. U. z 2017 r. poz. 882), </w:t>
      </w:r>
      <w:r w:rsidRPr="00BC2780">
        <w:rPr>
          <w:rFonts w:ascii="Times New Roman" w:hAnsi="Times New Roman" w:cs="Times New Roman"/>
          <w:sz w:val="24"/>
          <w:szCs w:val="24"/>
        </w:rPr>
        <w:t xml:space="preserve">w których wprowadzenie podstawy prawnej do zlecania wywiadów środowiskowych jest pożądane z uwagi na charakter tych spraw. </w:t>
      </w:r>
    </w:p>
    <w:p w:rsidR="00BC2780" w:rsidRPr="00BC2780" w:rsidRDefault="00BC2780" w:rsidP="00BC278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C2780">
        <w:rPr>
          <w:rFonts w:ascii="Times New Roman" w:hAnsi="Times New Roman" w:cs="Times New Roman"/>
          <w:sz w:val="24"/>
          <w:szCs w:val="24"/>
        </w:rPr>
        <w:t xml:space="preserve">Potrzeba wprowadzenia projektowanych zmian powstała </w:t>
      </w:r>
      <w:r>
        <w:rPr>
          <w:rFonts w:ascii="Times New Roman" w:hAnsi="Times New Roman" w:cs="Times New Roman"/>
          <w:sz w:val="24"/>
          <w:szCs w:val="24"/>
        </w:rPr>
        <w:t xml:space="preserve">m.in. na skutek wejścia </w:t>
      </w:r>
      <w:r w:rsidRPr="00BC2780">
        <w:rPr>
          <w:rFonts w:ascii="Times New Roman" w:hAnsi="Times New Roman" w:cs="Times New Roman"/>
          <w:sz w:val="24"/>
          <w:szCs w:val="24"/>
        </w:rPr>
        <w:t>w życie rozporządzenia Ministra Sprawiedliw</w:t>
      </w:r>
      <w:r>
        <w:rPr>
          <w:rFonts w:ascii="Times New Roman" w:hAnsi="Times New Roman" w:cs="Times New Roman"/>
          <w:sz w:val="24"/>
          <w:szCs w:val="24"/>
        </w:rPr>
        <w:t>ości z dnia 25 czerwca 2015 r. –</w:t>
      </w:r>
      <w:r w:rsidRPr="00BC2780">
        <w:rPr>
          <w:rFonts w:ascii="Times New Roman" w:hAnsi="Times New Roman" w:cs="Times New Roman"/>
          <w:sz w:val="24"/>
          <w:szCs w:val="24"/>
        </w:rPr>
        <w:t xml:space="preserve"> Regulamin urzędowania sądów</w:t>
      </w:r>
      <w:r w:rsidR="00AC182F">
        <w:rPr>
          <w:rFonts w:ascii="Times New Roman" w:hAnsi="Times New Roman" w:cs="Times New Roman"/>
          <w:sz w:val="24"/>
          <w:szCs w:val="24"/>
        </w:rPr>
        <w:t xml:space="preserve"> powszechnych (Dz. U. </w:t>
      </w:r>
      <w:r w:rsidRPr="00BC2780">
        <w:rPr>
          <w:rFonts w:ascii="Times New Roman" w:hAnsi="Times New Roman" w:cs="Times New Roman"/>
          <w:sz w:val="24"/>
          <w:szCs w:val="24"/>
        </w:rPr>
        <w:t>poz. 925</w:t>
      </w:r>
      <w:r>
        <w:rPr>
          <w:rFonts w:ascii="Times New Roman" w:hAnsi="Times New Roman" w:cs="Times New Roman"/>
          <w:sz w:val="24"/>
          <w:szCs w:val="24"/>
        </w:rPr>
        <w:t xml:space="preserve">), w którym zrezygnowano </w:t>
      </w:r>
      <w:r w:rsidRPr="00BC2780">
        <w:rPr>
          <w:rFonts w:ascii="Times New Roman" w:hAnsi="Times New Roman" w:cs="Times New Roman"/>
          <w:sz w:val="24"/>
          <w:szCs w:val="24"/>
        </w:rPr>
        <w:t>z unormowań dotyczących przeprowadzania przez kuratorów sądowych wywiadów środowiskowych po wydaniu orzeczenia kończącego postępowanie w sprawach rodzinnych oraz po ustanowieniu opieki prawnej, jakie zawierały § 259 i 260 rozporządzenia Ministra Sprawiedliwości z dnia 23 lutego 2007 r. ‒ Regulamin urzędowania sądów powszechnyc</w:t>
      </w:r>
      <w:r>
        <w:rPr>
          <w:rFonts w:ascii="Times New Roman" w:hAnsi="Times New Roman" w:cs="Times New Roman"/>
          <w:sz w:val="24"/>
          <w:szCs w:val="24"/>
        </w:rPr>
        <w:t>h (Dz. U. z 2014 r. poz. 259).</w:t>
      </w:r>
    </w:p>
    <w:p w:rsidR="00BC2780" w:rsidRPr="00BC2780" w:rsidRDefault="00BC2780" w:rsidP="00BC278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C2780">
        <w:rPr>
          <w:rFonts w:ascii="Times New Roman" w:hAnsi="Times New Roman" w:cs="Times New Roman"/>
          <w:sz w:val="24"/>
          <w:szCs w:val="24"/>
        </w:rPr>
        <w:t xml:space="preserve">Obecnie obowiązujący Regulamin urzędowania sądów powszechnych (rozporządzenie Ministra Sprawiedliwości z dnia 23 grudnia 2015 r. – Dz. U. poz. 2316 oraz z 2016 r. poz. 418, 517, 970 i 2070), także takich przepisów nie zawiera. </w:t>
      </w:r>
    </w:p>
    <w:p w:rsidR="00BC2780" w:rsidRPr="00BC2780" w:rsidRDefault="00BC2780" w:rsidP="00BC278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C2780">
        <w:rPr>
          <w:rFonts w:ascii="Times New Roman" w:hAnsi="Times New Roman" w:cs="Times New Roman"/>
          <w:sz w:val="24"/>
          <w:szCs w:val="24"/>
        </w:rPr>
        <w:t>Powodem rezygnacji z umiejscowienia tego rodzaju regulacji w tym akcie prawnym była konieczność dostosowania przepisów Regulaminu do zakresu upoważnienia ustawowego wynikającego z art. 41 § 1 ustawy z dnia 27 lipca 2001 r</w:t>
      </w:r>
      <w:r>
        <w:rPr>
          <w:rFonts w:ascii="Times New Roman" w:hAnsi="Times New Roman" w:cs="Times New Roman"/>
          <w:sz w:val="24"/>
          <w:szCs w:val="24"/>
        </w:rPr>
        <w:t>. –</w:t>
      </w:r>
      <w:r w:rsidRPr="00BC2780">
        <w:rPr>
          <w:rFonts w:ascii="Times New Roman" w:hAnsi="Times New Roman" w:cs="Times New Roman"/>
          <w:sz w:val="24"/>
          <w:szCs w:val="24"/>
        </w:rPr>
        <w:t xml:space="preserve"> Prawo o ustroju sądów powszechnych (Dz. U. z 2016 r. poz. 2062, 2103 i 2261 oraz z 2017 r. poz. 38, 60 i 803) oraz </w:t>
      </w:r>
      <w:r w:rsidRPr="00BC2780">
        <w:rPr>
          <w:rFonts w:ascii="Times New Roman" w:hAnsi="Times New Roman" w:cs="Times New Roman"/>
          <w:sz w:val="24"/>
          <w:szCs w:val="24"/>
        </w:rPr>
        <w:lastRenderedPageBreak/>
        <w:t xml:space="preserve">założenie, że właściwym dla nich miejscem ulokowania jest akt rangi ustawowej z racji charakteru materii prawnej, jakiej dotyczą, to jest ingerencji w prawa podmiotowe obywatela. </w:t>
      </w:r>
    </w:p>
    <w:p w:rsidR="00BC2780" w:rsidRPr="00BC2780" w:rsidRDefault="00BC2780" w:rsidP="00BC278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C2780">
        <w:rPr>
          <w:rFonts w:ascii="Times New Roman" w:hAnsi="Times New Roman" w:cs="Times New Roman"/>
          <w:sz w:val="24"/>
          <w:szCs w:val="24"/>
        </w:rPr>
        <w:t>Zmiana w tym zakresie spowodowała jednak trudności w praktyce zarówno sądów rodzinnych, jak i rodzinnych kuratorów sądowych. Na potrzebę wprowadzenia odpowiednich regulacji w omawianej dziedzinie zwracało uwagę środowisko sędziów rodzinnych i zawodowych kuratorów rodzinnych, mając na uwadze potrzebę przyjęcia jednolitej praktyki w całym kraju i konieczność wyeliminowania rozbieżności interpretacyjnych.</w:t>
      </w:r>
    </w:p>
    <w:p w:rsidR="00BC2780" w:rsidRPr="00BC2780" w:rsidRDefault="00BC2780" w:rsidP="00BC278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C2780" w:rsidRPr="002C16F9" w:rsidRDefault="002C16F9" w:rsidP="00BC2780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II. Obowiązujące uregulowania</w:t>
      </w:r>
    </w:p>
    <w:p w:rsidR="00BC2780" w:rsidRPr="00BC2780" w:rsidRDefault="00BC2780" w:rsidP="00BC278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C2780">
        <w:rPr>
          <w:rFonts w:ascii="Times New Roman" w:hAnsi="Times New Roman" w:cs="Times New Roman"/>
          <w:sz w:val="24"/>
          <w:szCs w:val="24"/>
        </w:rPr>
        <w:t>Przepisy wskazujące bezpośrednio zakres spraw, w których możliwe jest zlecenie kuratorowi sądowemu przeprowadzenia wywiadu w postępowaniu rozpoznawczym, znajdują się w ustaw</w:t>
      </w:r>
      <w:r>
        <w:rPr>
          <w:rFonts w:ascii="Times New Roman" w:hAnsi="Times New Roman" w:cs="Times New Roman"/>
          <w:sz w:val="24"/>
          <w:szCs w:val="24"/>
        </w:rPr>
        <w:t>ie z dnia 17 listopada 1964 r. –</w:t>
      </w:r>
      <w:r w:rsidRPr="00BC2780">
        <w:rPr>
          <w:rFonts w:ascii="Times New Roman" w:hAnsi="Times New Roman" w:cs="Times New Roman"/>
          <w:sz w:val="24"/>
          <w:szCs w:val="24"/>
        </w:rPr>
        <w:t xml:space="preserve"> Kodeks postępowania cywilnego (Dz. U</w:t>
      </w:r>
      <w:r w:rsidR="00AC182F">
        <w:rPr>
          <w:rFonts w:ascii="Times New Roman" w:hAnsi="Times New Roman" w:cs="Times New Roman"/>
          <w:sz w:val="24"/>
          <w:szCs w:val="24"/>
        </w:rPr>
        <w:t xml:space="preserve">. z 2016 r. poz. 1822, z późn. </w:t>
      </w:r>
      <w:r w:rsidRPr="00BC2780">
        <w:rPr>
          <w:rFonts w:ascii="Times New Roman" w:hAnsi="Times New Roman" w:cs="Times New Roman"/>
          <w:sz w:val="24"/>
          <w:szCs w:val="24"/>
        </w:rPr>
        <w:t>zm.), zw</w:t>
      </w:r>
      <w:r w:rsidR="00AC182F">
        <w:rPr>
          <w:rFonts w:ascii="Times New Roman" w:hAnsi="Times New Roman" w:cs="Times New Roman"/>
          <w:sz w:val="24"/>
          <w:szCs w:val="24"/>
        </w:rPr>
        <w:t>anej dalej: „k.p.c.”.</w:t>
      </w:r>
    </w:p>
    <w:p w:rsidR="00BC2780" w:rsidRPr="00BC2780" w:rsidRDefault="00BC2780" w:rsidP="00BC278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C2780">
        <w:rPr>
          <w:rFonts w:ascii="Times New Roman" w:hAnsi="Times New Roman" w:cs="Times New Roman"/>
          <w:sz w:val="24"/>
          <w:szCs w:val="24"/>
        </w:rPr>
        <w:t>Kluczowe znaczenie w kontekście proponowanych zmian ma przepis art. 570¹ § 1 k.p.c. umiejscowiony w przepisach ogólnych rozdziału 2 „Inne sprawy rodzinne oraz sprawy opiekuńcze”. Wykładnia systemowa prowadzi do wniosku, że w zakresie normowania ograniczonego podmiotowo do osób małoletnich, przepis ten, stanowiący podstawę zlecania w toku postępowania przeprowadzeni</w:t>
      </w:r>
      <w:r>
        <w:rPr>
          <w:rFonts w:ascii="Times New Roman" w:hAnsi="Times New Roman" w:cs="Times New Roman"/>
          <w:sz w:val="24"/>
          <w:szCs w:val="24"/>
        </w:rPr>
        <w:t xml:space="preserve">a wywiadu kuratorowi sądowemu, </w:t>
      </w:r>
      <w:r w:rsidRPr="00BC2780">
        <w:rPr>
          <w:rFonts w:ascii="Times New Roman" w:hAnsi="Times New Roman" w:cs="Times New Roman"/>
          <w:sz w:val="24"/>
          <w:szCs w:val="24"/>
        </w:rPr>
        <w:t xml:space="preserve">ma zastosowanie do wszystkich kategorii spraw wymienionych w dalszych częściach tego rozdziału.  </w:t>
      </w:r>
    </w:p>
    <w:p w:rsidR="00BC2780" w:rsidRPr="00BC2780" w:rsidRDefault="00BC2780" w:rsidP="00BC278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C2780">
        <w:rPr>
          <w:rFonts w:ascii="Times New Roman" w:hAnsi="Times New Roman" w:cs="Times New Roman"/>
          <w:sz w:val="24"/>
          <w:szCs w:val="24"/>
        </w:rPr>
        <w:t>Podstawą funkcjonowania kuratorskiej służby sądowej pozostają z kolei przepisy ustawy z dnia 27 lipca 2001 r. o kuratorach sądowych (Dz. U. z 2</w:t>
      </w:r>
      <w:r>
        <w:rPr>
          <w:rFonts w:ascii="Times New Roman" w:hAnsi="Times New Roman" w:cs="Times New Roman"/>
          <w:sz w:val="24"/>
          <w:szCs w:val="24"/>
        </w:rPr>
        <w:t xml:space="preserve">014 r. poz. 795 i 1689 oraz </w:t>
      </w:r>
      <w:r w:rsidRPr="00BC2780">
        <w:rPr>
          <w:rFonts w:ascii="Times New Roman" w:hAnsi="Times New Roman" w:cs="Times New Roman"/>
          <w:sz w:val="24"/>
          <w:szCs w:val="24"/>
        </w:rPr>
        <w:t>z 2017 r. poz. 60). Jej art. 1 stanowi, że kuratorzy sądowi realizują określone przez prawo zadania o charakterze wychowawczo-resocjalizacyjnym, diag</w:t>
      </w:r>
      <w:r>
        <w:rPr>
          <w:rFonts w:ascii="Times New Roman" w:hAnsi="Times New Roman" w:cs="Times New Roman"/>
          <w:sz w:val="24"/>
          <w:szCs w:val="24"/>
        </w:rPr>
        <w:t xml:space="preserve">nostycznym, profilaktycznym </w:t>
      </w:r>
      <w:r w:rsidRPr="00BC2780">
        <w:rPr>
          <w:rFonts w:ascii="Times New Roman" w:hAnsi="Times New Roman" w:cs="Times New Roman"/>
          <w:sz w:val="24"/>
          <w:szCs w:val="24"/>
        </w:rPr>
        <w:t>i kontrolnym, związane z wykonywaniem orzeczeń sądu. Z przepisu art. 11 pkt 2 wymienionej ustawy wynika natomiast, że zawodowy kurator sądowy jest zob</w:t>
      </w:r>
      <w:r>
        <w:rPr>
          <w:rFonts w:ascii="Times New Roman" w:hAnsi="Times New Roman" w:cs="Times New Roman"/>
          <w:sz w:val="24"/>
          <w:szCs w:val="24"/>
        </w:rPr>
        <w:t xml:space="preserve">owiązany </w:t>
      </w:r>
      <w:r w:rsidRPr="00BC2780">
        <w:rPr>
          <w:rFonts w:ascii="Times New Roman" w:hAnsi="Times New Roman" w:cs="Times New Roman"/>
          <w:sz w:val="24"/>
          <w:szCs w:val="24"/>
        </w:rPr>
        <w:t>w szczególności do przeprowadzania na zlecenie sądu lub sędziego wywiadów środowiskowych. Przepis ten nie wymienia jednak kategorii s</w:t>
      </w:r>
      <w:r>
        <w:rPr>
          <w:rFonts w:ascii="Times New Roman" w:hAnsi="Times New Roman" w:cs="Times New Roman"/>
          <w:sz w:val="24"/>
          <w:szCs w:val="24"/>
        </w:rPr>
        <w:t xml:space="preserve">praw i rodzaju postępowań, </w:t>
      </w:r>
      <w:r w:rsidRPr="00BC2780">
        <w:rPr>
          <w:rFonts w:ascii="Times New Roman" w:hAnsi="Times New Roman" w:cs="Times New Roman"/>
          <w:sz w:val="24"/>
          <w:szCs w:val="24"/>
        </w:rPr>
        <w:t xml:space="preserve">w jakich sąd lub sędzia </w:t>
      </w:r>
      <w:r w:rsidR="00497CBC" w:rsidRPr="00BC2780">
        <w:rPr>
          <w:rFonts w:ascii="Times New Roman" w:hAnsi="Times New Roman" w:cs="Times New Roman"/>
          <w:sz w:val="24"/>
          <w:szCs w:val="24"/>
        </w:rPr>
        <w:t xml:space="preserve">jest </w:t>
      </w:r>
      <w:r w:rsidRPr="00BC2780">
        <w:rPr>
          <w:rFonts w:ascii="Times New Roman" w:hAnsi="Times New Roman" w:cs="Times New Roman"/>
          <w:sz w:val="24"/>
          <w:szCs w:val="24"/>
        </w:rPr>
        <w:t>uprawniony do zlecenia zawodowemu kuratorowi sądowemu przeprowadzenia wywiadu środowiskowego. Zlecając przeprowadzenie tej czynności, sąd ma prawo oczekiwać jej wykonania zgodnie z treścią tego przepisu, lecz będzie ono wystarczającą podstawą prawną do jej realizacji dopiero w powiązaniu z przepisem, z którego sąd wywodzi przesłankę do takiego działania. Warunkiem pozostaje zatem, w świetle treści art. 1 ustawy, aby sąd miał do dyspozycji tego rodzaju ustawowy przepis.</w:t>
      </w:r>
    </w:p>
    <w:p w:rsidR="00BC2780" w:rsidRPr="00BC2780" w:rsidRDefault="00BC2780" w:rsidP="00BC278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C2780">
        <w:rPr>
          <w:rFonts w:ascii="Times New Roman" w:hAnsi="Times New Roman" w:cs="Times New Roman"/>
          <w:sz w:val="24"/>
          <w:szCs w:val="24"/>
        </w:rPr>
        <w:lastRenderedPageBreak/>
        <w:t>Pamiętać należy, że przeprowadzenie wywiadu w miejscu zamieszkania lub pobytu danej osoby stanowi ingerencję państwa (funkcjonariusza publicznego, którym jest kurator sądowy) w sferę praw i wolności chronionych prawem zarówno krajo</w:t>
      </w:r>
      <w:r>
        <w:rPr>
          <w:rFonts w:ascii="Times New Roman" w:hAnsi="Times New Roman" w:cs="Times New Roman"/>
          <w:sz w:val="24"/>
          <w:szCs w:val="24"/>
        </w:rPr>
        <w:t>wym, jak</w:t>
      </w:r>
      <w:r w:rsidRPr="00BC2780">
        <w:rPr>
          <w:rFonts w:ascii="Times New Roman" w:hAnsi="Times New Roman" w:cs="Times New Roman"/>
          <w:sz w:val="24"/>
          <w:szCs w:val="24"/>
        </w:rPr>
        <w:t xml:space="preserve"> i międzynarodowym. Niejasne kryteria takiej ingerencji, opartej tylko na regułach interpretacyjnych, a nie na przepisach prawa może budzić wątpliwości z punktu widzenia standardów określonych w art. 8 Konwencji o ochronie praw człowieka i podstawowych wolności (sporządzonej w Rzymie dnia 4 list</w:t>
      </w:r>
      <w:r>
        <w:rPr>
          <w:rFonts w:ascii="Times New Roman" w:hAnsi="Times New Roman" w:cs="Times New Roman"/>
          <w:sz w:val="24"/>
          <w:szCs w:val="24"/>
        </w:rPr>
        <w:t>opada 1950 r.).</w:t>
      </w:r>
    </w:p>
    <w:p w:rsidR="00BC2780" w:rsidRPr="00BC2780" w:rsidRDefault="00BC2780" w:rsidP="00BC278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C2780">
        <w:rPr>
          <w:rFonts w:ascii="Times New Roman" w:hAnsi="Times New Roman" w:cs="Times New Roman"/>
          <w:sz w:val="24"/>
          <w:szCs w:val="24"/>
        </w:rPr>
        <w:t xml:space="preserve">Obowiązki sądów opiekuńczych wynikające z nadzoru </w:t>
      </w:r>
      <w:r>
        <w:rPr>
          <w:rFonts w:ascii="Times New Roman" w:hAnsi="Times New Roman" w:cs="Times New Roman"/>
          <w:sz w:val="24"/>
          <w:szCs w:val="24"/>
        </w:rPr>
        <w:t xml:space="preserve">nad sprawowaniem opieki, </w:t>
      </w:r>
      <w:r w:rsidRPr="00BC2780">
        <w:rPr>
          <w:rFonts w:ascii="Times New Roman" w:hAnsi="Times New Roman" w:cs="Times New Roman"/>
          <w:sz w:val="24"/>
          <w:szCs w:val="24"/>
        </w:rPr>
        <w:t>o który</w:t>
      </w:r>
      <w:r w:rsidR="00072743">
        <w:rPr>
          <w:rFonts w:ascii="Times New Roman" w:hAnsi="Times New Roman" w:cs="Times New Roman"/>
          <w:sz w:val="24"/>
          <w:szCs w:val="24"/>
        </w:rPr>
        <w:t>ch mowa w przepisach art. 165–</w:t>
      </w:r>
      <w:r w:rsidRPr="00BC2780">
        <w:rPr>
          <w:rFonts w:ascii="Times New Roman" w:hAnsi="Times New Roman" w:cs="Times New Roman"/>
          <w:sz w:val="24"/>
          <w:szCs w:val="24"/>
        </w:rPr>
        <w:t>168 u</w:t>
      </w:r>
      <w:r>
        <w:rPr>
          <w:rFonts w:ascii="Times New Roman" w:hAnsi="Times New Roman" w:cs="Times New Roman"/>
          <w:sz w:val="24"/>
          <w:szCs w:val="24"/>
        </w:rPr>
        <w:t>stawy z dnia 25 lutego 1964 r. –</w:t>
      </w:r>
      <w:r w:rsidRPr="00BC2780">
        <w:rPr>
          <w:rFonts w:ascii="Times New Roman" w:hAnsi="Times New Roman" w:cs="Times New Roman"/>
          <w:sz w:val="24"/>
          <w:szCs w:val="24"/>
        </w:rPr>
        <w:t xml:space="preserve"> Kodeks rodzinny i opiekuńczy (Dz. U. z 2017 r. poz. 682) dla ich realizacji wymagają określonych narzędzi. Bez wiadomości o warunkach życiowych osoby ubezwłasnowolnionej lub niepełnosprawnej, w tym jej sytuacji bytowej i socjalnej, nie jest możliwe zweryfikowanie sposobu sprawowania opieki i kurateli, a uprzednio prawidłowe określenie zakresu umocowania opiekuna b</w:t>
      </w:r>
      <w:r>
        <w:rPr>
          <w:rFonts w:ascii="Times New Roman" w:hAnsi="Times New Roman" w:cs="Times New Roman"/>
          <w:sz w:val="24"/>
          <w:szCs w:val="24"/>
        </w:rPr>
        <w:t>ądź kuratora dla takiej osoby.</w:t>
      </w:r>
    </w:p>
    <w:p w:rsidR="00BC2780" w:rsidRPr="00BC2780" w:rsidRDefault="00BC2780" w:rsidP="00BC278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C2780">
        <w:rPr>
          <w:rFonts w:ascii="Times New Roman" w:hAnsi="Times New Roman" w:cs="Times New Roman"/>
          <w:sz w:val="24"/>
          <w:szCs w:val="24"/>
        </w:rPr>
        <w:t>W konsekwencji powyższy stan prawny należy uznać za niezadawalający.</w:t>
      </w:r>
    </w:p>
    <w:p w:rsidR="00BC2780" w:rsidRPr="00BC2780" w:rsidRDefault="00BC2780" w:rsidP="00BC278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C2780" w:rsidRPr="002C16F9" w:rsidRDefault="002C16F9" w:rsidP="00BC278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C16F9">
        <w:rPr>
          <w:rFonts w:ascii="Times New Roman" w:hAnsi="Times New Roman" w:cs="Times New Roman"/>
          <w:b/>
          <w:sz w:val="24"/>
          <w:szCs w:val="24"/>
        </w:rPr>
        <w:t>III. Proponowana regulacja</w:t>
      </w:r>
    </w:p>
    <w:p w:rsidR="00BC2780" w:rsidRPr="00BC2780" w:rsidRDefault="00BC2780" w:rsidP="00BC278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C2780">
        <w:rPr>
          <w:rFonts w:ascii="Times New Roman" w:hAnsi="Times New Roman" w:cs="Times New Roman"/>
          <w:sz w:val="24"/>
          <w:szCs w:val="24"/>
        </w:rPr>
        <w:t>Proponowana regulacja, przez modyfi</w:t>
      </w:r>
      <w:r>
        <w:rPr>
          <w:rFonts w:ascii="Times New Roman" w:hAnsi="Times New Roman" w:cs="Times New Roman"/>
          <w:sz w:val="24"/>
          <w:szCs w:val="24"/>
        </w:rPr>
        <w:t>kację art. 570</w:t>
      </w:r>
      <w:r w:rsidR="00FA784D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§ 1 i 3 k.p.c. </w:t>
      </w:r>
      <w:r w:rsidRPr="00BC2780">
        <w:rPr>
          <w:rFonts w:ascii="Times New Roman" w:hAnsi="Times New Roman" w:cs="Times New Roman"/>
          <w:sz w:val="24"/>
          <w:szCs w:val="24"/>
        </w:rPr>
        <w:t>oraz dodanie w jego obrębie §</w:t>
      </w:r>
      <w:r w:rsidR="00497CBC">
        <w:rPr>
          <w:rFonts w:ascii="Times New Roman" w:hAnsi="Times New Roman" w:cs="Times New Roman"/>
          <w:sz w:val="24"/>
          <w:szCs w:val="24"/>
        </w:rPr>
        <w:t xml:space="preserve"> </w:t>
      </w:r>
      <w:r w:rsidRPr="00BC2780">
        <w:rPr>
          <w:rFonts w:ascii="Times New Roman" w:hAnsi="Times New Roman" w:cs="Times New Roman"/>
          <w:sz w:val="24"/>
          <w:szCs w:val="24"/>
        </w:rPr>
        <w:t xml:space="preserve">1a, rozszerza dopuszczalność zlecania wywiadów w sprawach objętych przepisami działu II o etapy po wydaniu orzeczenia, które podlega wykonaniu przez sąd, jak też przed formalnym wszczęciem postępowania z urzędu, to jest poprzedzającym postępowanie rozpoznawcze w sprawach małoletnich. Zmiana § 1 i 3 ma jednocześnie charakter porządkujący, gdyż już w jednej </w:t>
      </w:r>
      <w:r w:rsidR="00497CBC">
        <w:rPr>
          <w:rFonts w:ascii="Times New Roman" w:hAnsi="Times New Roman" w:cs="Times New Roman"/>
          <w:sz w:val="24"/>
          <w:szCs w:val="24"/>
        </w:rPr>
        <w:t xml:space="preserve">jednostce redakcyjnej, to jest </w:t>
      </w:r>
      <w:r w:rsidRPr="00BC2780">
        <w:rPr>
          <w:rFonts w:ascii="Times New Roman" w:hAnsi="Times New Roman" w:cs="Times New Roman"/>
          <w:sz w:val="24"/>
          <w:szCs w:val="24"/>
        </w:rPr>
        <w:t>w § 3</w:t>
      </w:r>
      <w:r w:rsidR="00497CBC">
        <w:rPr>
          <w:rFonts w:ascii="Times New Roman" w:hAnsi="Times New Roman" w:cs="Times New Roman"/>
          <w:sz w:val="24"/>
          <w:szCs w:val="24"/>
        </w:rPr>
        <w:t>,</w:t>
      </w:r>
      <w:r w:rsidRPr="00BC2780">
        <w:rPr>
          <w:rFonts w:ascii="Times New Roman" w:hAnsi="Times New Roman" w:cs="Times New Roman"/>
          <w:sz w:val="24"/>
          <w:szCs w:val="24"/>
        </w:rPr>
        <w:t xml:space="preserve"> </w:t>
      </w:r>
      <w:r w:rsidR="00497CBC" w:rsidRPr="00BC2780">
        <w:rPr>
          <w:rFonts w:ascii="Times New Roman" w:hAnsi="Times New Roman" w:cs="Times New Roman"/>
          <w:sz w:val="24"/>
          <w:szCs w:val="24"/>
        </w:rPr>
        <w:t xml:space="preserve">zostałaby </w:t>
      </w:r>
      <w:r w:rsidRPr="00BC2780">
        <w:rPr>
          <w:rFonts w:ascii="Times New Roman" w:hAnsi="Times New Roman" w:cs="Times New Roman"/>
          <w:sz w:val="24"/>
          <w:szCs w:val="24"/>
        </w:rPr>
        <w:t>uregulowana rola jednostek organizacyjnych wspierania rodzi</w:t>
      </w:r>
      <w:r w:rsidR="00497CBC">
        <w:rPr>
          <w:rFonts w:ascii="Times New Roman" w:hAnsi="Times New Roman" w:cs="Times New Roman"/>
          <w:sz w:val="24"/>
          <w:szCs w:val="24"/>
        </w:rPr>
        <w:t xml:space="preserve">ny i systemu pieczy zastępczej </w:t>
      </w:r>
      <w:r w:rsidRPr="00BC2780">
        <w:rPr>
          <w:rFonts w:ascii="Times New Roman" w:hAnsi="Times New Roman" w:cs="Times New Roman"/>
          <w:sz w:val="24"/>
          <w:szCs w:val="24"/>
        </w:rPr>
        <w:t>w sprawach dotyczących małoletnich.</w:t>
      </w:r>
    </w:p>
    <w:p w:rsidR="00BC2780" w:rsidRPr="00BC2780" w:rsidRDefault="00BC2780" w:rsidP="00BC278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C2780">
        <w:rPr>
          <w:rFonts w:ascii="Times New Roman" w:hAnsi="Times New Roman" w:cs="Times New Roman"/>
          <w:sz w:val="24"/>
          <w:szCs w:val="24"/>
        </w:rPr>
        <w:t>Postępowanie wykonawcze w sprawach rodzinnych i opiekuńczych nie jest kompleksowo unormowane w przepisach Kodeksu postępowania cywilnego. Nie ulega wątpliwości, że większość orzeczeń wydawanych przez sąd opiekuńczy podlega wykonaniu przez ten sąd. Powinien on zatem móc dysponować instrument</w:t>
      </w:r>
      <w:r>
        <w:rPr>
          <w:rFonts w:ascii="Times New Roman" w:hAnsi="Times New Roman" w:cs="Times New Roman"/>
          <w:sz w:val="24"/>
          <w:szCs w:val="24"/>
        </w:rPr>
        <w:t>ami odpowiedniej reakcji</w:t>
      </w:r>
      <w:r w:rsidR="00497CB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C2780">
        <w:rPr>
          <w:rFonts w:ascii="Times New Roman" w:hAnsi="Times New Roman" w:cs="Times New Roman"/>
          <w:sz w:val="24"/>
          <w:szCs w:val="24"/>
        </w:rPr>
        <w:t>w tym kontroli i nadzoru. Dotyczy to również spraw rejestrowanych w wykazie „Opm”.</w:t>
      </w:r>
    </w:p>
    <w:p w:rsidR="00BC2780" w:rsidRPr="00BC2780" w:rsidRDefault="00BC2780" w:rsidP="00BC278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C2780">
        <w:rPr>
          <w:rFonts w:ascii="Times New Roman" w:hAnsi="Times New Roman" w:cs="Times New Roman"/>
          <w:sz w:val="24"/>
          <w:szCs w:val="24"/>
        </w:rPr>
        <w:t xml:space="preserve">Specyfika sądownictwa rodzinnego polega również na tym, że sądy te są zobligowane do podejmowania różnych działań z urzędu, również przed formalnym wszczęciem postępowania. Celowe jest zatem wyposażenie sądu opiekuńczego w możliwość zlecania </w:t>
      </w:r>
      <w:r w:rsidRPr="00BC2780">
        <w:rPr>
          <w:rFonts w:ascii="Times New Roman" w:hAnsi="Times New Roman" w:cs="Times New Roman"/>
          <w:sz w:val="24"/>
          <w:szCs w:val="24"/>
        </w:rPr>
        <w:lastRenderedPageBreak/>
        <w:t>kuratorom sądowym wywiadów po powzięciu informacji mogącej stanowić podstawę do wszczęcia postępowania w trybie art. 570 k.p.c. W konsekwencji projektowana zmiana będzie stanowić rozwiązanie problemu podstawy prawne</w:t>
      </w:r>
      <w:r>
        <w:rPr>
          <w:rFonts w:ascii="Times New Roman" w:hAnsi="Times New Roman" w:cs="Times New Roman"/>
          <w:sz w:val="24"/>
          <w:szCs w:val="24"/>
        </w:rPr>
        <w:t xml:space="preserve">j dla przeprowadzania wywiadów </w:t>
      </w:r>
      <w:r w:rsidRPr="00BC2780">
        <w:rPr>
          <w:rFonts w:ascii="Times New Roman" w:hAnsi="Times New Roman" w:cs="Times New Roman"/>
          <w:sz w:val="24"/>
          <w:szCs w:val="24"/>
        </w:rPr>
        <w:t xml:space="preserve">w tego rodzaju sprawach rejestrowanych w wykazie „Nmo”. </w:t>
      </w:r>
    </w:p>
    <w:p w:rsidR="00BC2780" w:rsidRPr="00BC2780" w:rsidRDefault="00072743" w:rsidP="00BC278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Dodanie art. 570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1a</w:t>
      </w:r>
      <w:r w:rsidR="00BC2780" w:rsidRPr="00BC2780">
        <w:rPr>
          <w:rFonts w:ascii="Times New Roman" w:hAnsi="Times New Roman" w:cs="Times New Roman"/>
          <w:sz w:val="24"/>
          <w:szCs w:val="24"/>
        </w:rPr>
        <w:t xml:space="preserve"> pozwoli z kolei w sposób niebudzący wątpliwości na sporządzanie wywiadów także w postępowaniu dotyczącym opieki i kurateli nad osobami dorosłymi, w tym w postępowaniu wykonawczym.</w:t>
      </w:r>
    </w:p>
    <w:p w:rsidR="00BC2780" w:rsidRPr="00BC2780" w:rsidRDefault="00BC2780" w:rsidP="00BC278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C2780">
        <w:rPr>
          <w:rFonts w:ascii="Times New Roman" w:hAnsi="Times New Roman" w:cs="Times New Roman"/>
          <w:sz w:val="24"/>
          <w:szCs w:val="24"/>
        </w:rPr>
        <w:t>Rola sądu opiekuńczego skutkiem proponowanej nowelizacji nie ulegnie zmianie. Nadal będzie on pełnił funkcję władzy opiekuńczej. Ma to sz</w:t>
      </w:r>
      <w:r>
        <w:rPr>
          <w:rFonts w:ascii="Times New Roman" w:hAnsi="Times New Roman" w:cs="Times New Roman"/>
          <w:sz w:val="24"/>
          <w:szCs w:val="24"/>
        </w:rPr>
        <w:t xml:space="preserve">czególne znaczenie zwłaszcza </w:t>
      </w:r>
      <w:r w:rsidRPr="00BC2780">
        <w:rPr>
          <w:rFonts w:ascii="Times New Roman" w:hAnsi="Times New Roman" w:cs="Times New Roman"/>
          <w:sz w:val="24"/>
          <w:szCs w:val="24"/>
        </w:rPr>
        <w:t>w sprawach opieki prawnej dla osób ubezwłasnowolnionych oraz kurateli. Sąd opiekuńczy będzie miał możliwość zlecenia kuratorowi przeprowadzenia wywiadu środowiskowego także po wydaniu orzeczenia w sprawie ustanowienia opieki dla ubezwłasnowolnionego całkowicie o</w:t>
      </w:r>
      <w:r w:rsidR="00497CBC">
        <w:rPr>
          <w:rFonts w:ascii="Times New Roman" w:hAnsi="Times New Roman" w:cs="Times New Roman"/>
          <w:sz w:val="24"/>
          <w:szCs w:val="24"/>
        </w:rPr>
        <w:t>raz w sprawach kurateli, stosow</w:t>
      </w:r>
      <w:r w:rsidRPr="00BC2780">
        <w:rPr>
          <w:rFonts w:ascii="Times New Roman" w:hAnsi="Times New Roman" w:cs="Times New Roman"/>
          <w:sz w:val="24"/>
          <w:szCs w:val="24"/>
        </w:rPr>
        <w:t>nie do potrzeb, bez przekazywania sprawy w całości do zespołu kuratorskiej służby sądowej. Tym samym wywiady będą mogły być zlecane również w toku spraw rejestrowanych w wykazie „Op”.</w:t>
      </w:r>
    </w:p>
    <w:p w:rsidR="00BC2780" w:rsidRPr="00BC2780" w:rsidRDefault="00BC2780" w:rsidP="00BC278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C2780">
        <w:rPr>
          <w:rFonts w:ascii="Times New Roman" w:hAnsi="Times New Roman" w:cs="Times New Roman"/>
          <w:sz w:val="24"/>
          <w:szCs w:val="24"/>
        </w:rPr>
        <w:t>Mając na uwadze potrzebę korzystania przez sądy z informacji zawartych w wywiadach kuratora w innych kategoriach spraw, w których są one szczególnie pożądane, należało również dokonać nowelizacji dwóch kluczowych ustaw dla praktyki sądownictwa rodzinnego, to jest ustawy o wychowaniu w trzeźwości i przeciwdziałaniu alkoholizmowi oraz ustawy o ochronie zdrowia psychicznego. Systematyka Kodeksu postępowania cywilnego w istocie stoi na przeszkodzie wprowadzeniu ogólnego przepisu pozwalającego sądowi na zarządzenie wywiadu we wszelkich sprawach</w:t>
      </w:r>
      <w:r w:rsidR="0007274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w jakich pozostaje właściwy. </w:t>
      </w:r>
    </w:p>
    <w:p w:rsidR="00BC2780" w:rsidRPr="00BC2780" w:rsidRDefault="00BC2780" w:rsidP="00BC278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C2780">
        <w:rPr>
          <w:rFonts w:ascii="Times New Roman" w:hAnsi="Times New Roman" w:cs="Times New Roman"/>
          <w:sz w:val="24"/>
          <w:szCs w:val="24"/>
        </w:rPr>
        <w:t>Z uwagi na charakter spraw, o których mowa w art. 2 i 3 projektowanej ustawy, niezależnie od ich istoty, ich przebieg może rodzić konieczność podjęcia czynności lub zainicjowania postępowania z urzędu w innej sprawie. Stąd jest uzasadnione wyposażenie sądu opiekuńczego w podstawę prawną do zlecania przeprowadzania kuratorom sądowym wywiadów środowiskowych również w tych kategoriach spraw, wskazane akty prawne nie zawierają bowiem takiej podstawy. Informacje zebrane przez kuratora sądowego w toku wywiadu środowiskowego mogą się okazać pomocne w dokonywanej przez sąd ocenie, czy zachodzą przesłanki pozamedyczne, o których mowa w art. 24 us</w:t>
      </w:r>
      <w:r>
        <w:rPr>
          <w:rFonts w:ascii="Times New Roman" w:hAnsi="Times New Roman" w:cs="Times New Roman"/>
          <w:sz w:val="24"/>
          <w:szCs w:val="24"/>
        </w:rPr>
        <w:t xml:space="preserve">tawy o wychowaniu </w:t>
      </w:r>
      <w:r w:rsidRPr="00BC2780">
        <w:rPr>
          <w:rFonts w:ascii="Times New Roman" w:hAnsi="Times New Roman" w:cs="Times New Roman"/>
          <w:sz w:val="24"/>
          <w:szCs w:val="24"/>
        </w:rPr>
        <w:t>w trzeźwości i przeciwdziałaniu alkoholizmowi (powodowanie rozkładu życia rodzinnego, demoralizowanie małoletnich, uchylanie się od pracy albo systematyczne zakłócanie spokoju lub porządku publicznego), do orzeczenia o obowiązku podjęcia leczenia odwykowego</w:t>
      </w:r>
      <w:r w:rsidR="00072743">
        <w:rPr>
          <w:rFonts w:ascii="Times New Roman" w:hAnsi="Times New Roman" w:cs="Times New Roman"/>
          <w:sz w:val="24"/>
          <w:szCs w:val="24"/>
        </w:rPr>
        <w:t>,</w:t>
      </w:r>
      <w:r w:rsidRPr="00BC2780">
        <w:rPr>
          <w:rFonts w:ascii="Times New Roman" w:hAnsi="Times New Roman" w:cs="Times New Roman"/>
          <w:sz w:val="24"/>
          <w:szCs w:val="24"/>
        </w:rPr>
        <w:t xml:space="preserve"> jak też orzeczenia o jego ustaniu bądź zmianie rodzaju zakładu leczenia odwykowego, natomiast na gruncie ustawy o ochronie zdrowia psychicznego do u</w:t>
      </w:r>
      <w:r>
        <w:rPr>
          <w:rFonts w:ascii="Times New Roman" w:hAnsi="Times New Roman" w:cs="Times New Roman"/>
          <w:sz w:val="24"/>
          <w:szCs w:val="24"/>
        </w:rPr>
        <w:t xml:space="preserve">stalenia przesłanek wskazanych </w:t>
      </w:r>
      <w:r w:rsidRPr="00BC2780">
        <w:rPr>
          <w:rFonts w:ascii="Times New Roman" w:hAnsi="Times New Roman" w:cs="Times New Roman"/>
          <w:sz w:val="24"/>
          <w:szCs w:val="24"/>
        </w:rPr>
        <w:t>w art. 29 ust. 1 pkt 2 (niezdolność do samodzielnego zaspokaja</w:t>
      </w:r>
      <w:r>
        <w:rPr>
          <w:rFonts w:ascii="Times New Roman" w:hAnsi="Times New Roman" w:cs="Times New Roman"/>
          <w:sz w:val="24"/>
          <w:szCs w:val="24"/>
        </w:rPr>
        <w:t xml:space="preserve">nia potrzeb życiowych) </w:t>
      </w:r>
      <w:r w:rsidRPr="00BC2780">
        <w:rPr>
          <w:rFonts w:ascii="Times New Roman" w:hAnsi="Times New Roman" w:cs="Times New Roman"/>
          <w:sz w:val="24"/>
          <w:szCs w:val="24"/>
        </w:rPr>
        <w:t>w przypadku potencjalnego umieszczenia w szpitalu psychiatrycznym bez zgody lub art. 38 (możliwość korzystania z opieki innych osób) w przypadku możliwego kierowania do domu pomocy społecznej bez zgo</w:t>
      </w:r>
      <w:r>
        <w:rPr>
          <w:rFonts w:ascii="Times New Roman" w:hAnsi="Times New Roman" w:cs="Times New Roman"/>
          <w:sz w:val="24"/>
          <w:szCs w:val="24"/>
        </w:rPr>
        <w:t>dy.</w:t>
      </w:r>
    </w:p>
    <w:p w:rsidR="00BC2780" w:rsidRPr="00BC2780" w:rsidRDefault="00BC2780" w:rsidP="00BC278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C2780">
        <w:rPr>
          <w:rFonts w:ascii="Times New Roman" w:hAnsi="Times New Roman" w:cs="Times New Roman"/>
          <w:sz w:val="24"/>
          <w:szCs w:val="24"/>
        </w:rPr>
        <w:t>Projekt ustawy nie jest objęty prawem Unii Europejskiej.</w:t>
      </w:r>
    </w:p>
    <w:p w:rsidR="00BC2780" w:rsidRPr="00BC2780" w:rsidRDefault="00BC2780" w:rsidP="00BC278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C2780">
        <w:rPr>
          <w:rFonts w:ascii="Times New Roman" w:hAnsi="Times New Roman" w:cs="Times New Roman"/>
          <w:sz w:val="24"/>
          <w:szCs w:val="24"/>
        </w:rPr>
        <w:t xml:space="preserve">Projektowana ustawa zgodnie </w:t>
      </w:r>
      <w:r w:rsidR="00072743">
        <w:rPr>
          <w:rFonts w:ascii="Times New Roman" w:hAnsi="Times New Roman" w:cs="Times New Roman"/>
          <w:sz w:val="24"/>
          <w:szCs w:val="24"/>
        </w:rPr>
        <w:t xml:space="preserve">z </w:t>
      </w:r>
      <w:r w:rsidRPr="00BC2780">
        <w:rPr>
          <w:rFonts w:ascii="Times New Roman" w:hAnsi="Times New Roman" w:cs="Times New Roman"/>
          <w:sz w:val="24"/>
          <w:szCs w:val="24"/>
        </w:rPr>
        <w:t xml:space="preserve">§ 4 rozporządzenia Rady Ministrów z dnia 23 grudnia </w:t>
      </w:r>
    </w:p>
    <w:p w:rsidR="00BC2780" w:rsidRPr="00BC2780" w:rsidRDefault="00BC2780" w:rsidP="00BC278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2780">
        <w:rPr>
          <w:rFonts w:ascii="Times New Roman" w:hAnsi="Times New Roman" w:cs="Times New Roman"/>
          <w:sz w:val="24"/>
          <w:szCs w:val="24"/>
        </w:rPr>
        <w:t xml:space="preserve">2002 r. w sprawie funkcjonowania krajowego systemu notyfikacji norm i aktów prawnych (Dz. U. poz. </w:t>
      </w:r>
      <w:r>
        <w:rPr>
          <w:rFonts w:ascii="Times New Roman" w:hAnsi="Times New Roman" w:cs="Times New Roman"/>
          <w:sz w:val="24"/>
          <w:szCs w:val="24"/>
        </w:rPr>
        <w:t xml:space="preserve">2039 oraz z 2004 r. poz. 597), </w:t>
      </w:r>
      <w:r w:rsidRPr="00BC2780">
        <w:rPr>
          <w:rFonts w:ascii="Times New Roman" w:hAnsi="Times New Roman" w:cs="Times New Roman"/>
          <w:sz w:val="24"/>
          <w:szCs w:val="24"/>
        </w:rPr>
        <w:t xml:space="preserve">nie podlega notyfikacji Komisji Europejskiej. </w:t>
      </w:r>
    </w:p>
    <w:p w:rsidR="00BC2780" w:rsidRPr="00BC2780" w:rsidRDefault="00BC2780" w:rsidP="00BC278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C2780">
        <w:rPr>
          <w:rFonts w:ascii="Times New Roman" w:hAnsi="Times New Roman" w:cs="Times New Roman"/>
          <w:sz w:val="24"/>
          <w:szCs w:val="24"/>
        </w:rPr>
        <w:t>Projekt został zamieszczony w Biuletynie Informacji Publicznej na stronie Ministerstwa Sprawiedliwości, stosownie do wymogów art. 5 ustawy z dnia 7 lipca 2005 r. o działalności lobbingowej w procesie stano</w:t>
      </w:r>
      <w:r w:rsidR="00497CBC">
        <w:rPr>
          <w:rFonts w:ascii="Times New Roman" w:hAnsi="Times New Roman" w:cs="Times New Roman"/>
          <w:sz w:val="24"/>
          <w:szCs w:val="24"/>
        </w:rPr>
        <w:t xml:space="preserve">wienia prawa (Dz. U. z 2017 r. </w:t>
      </w:r>
      <w:r w:rsidRPr="00BC2780">
        <w:rPr>
          <w:rFonts w:ascii="Times New Roman" w:hAnsi="Times New Roman" w:cs="Times New Roman"/>
          <w:sz w:val="24"/>
          <w:szCs w:val="24"/>
        </w:rPr>
        <w:t xml:space="preserve">poz. 248) oraz </w:t>
      </w:r>
      <w:r>
        <w:rPr>
          <w:rFonts w:ascii="Times New Roman" w:hAnsi="Times New Roman" w:cs="Times New Roman"/>
          <w:sz w:val="24"/>
          <w:szCs w:val="24"/>
        </w:rPr>
        <w:t>zgodnie z § 52 ust. 1 uchwały nr</w:t>
      </w:r>
      <w:r w:rsidRPr="00BC2780">
        <w:rPr>
          <w:rFonts w:ascii="Times New Roman" w:hAnsi="Times New Roman" w:cs="Times New Roman"/>
          <w:sz w:val="24"/>
          <w:szCs w:val="24"/>
        </w:rPr>
        <w:t xml:space="preserve"> 190 Rady Ministrów z dnia 29 października 2013 r. ‒</w:t>
      </w:r>
      <w:r w:rsidR="00497CBC">
        <w:rPr>
          <w:rFonts w:ascii="Times New Roman" w:hAnsi="Times New Roman" w:cs="Times New Roman"/>
          <w:sz w:val="24"/>
          <w:szCs w:val="24"/>
        </w:rPr>
        <w:t xml:space="preserve"> Regulamin p</w:t>
      </w:r>
      <w:r w:rsidRPr="00BC2780">
        <w:rPr>
          <w:rFonts w:ascii="Times New Roman" w:hAnsi="Times New Roman" w:cs="Times New Roman"/>
          <w:sz w:val="24"/>
          <w:szCs w:val="24"/>
        </w:rPr>
        <w:t xml:space="preserve">racy </w:t>
      </w:r>
      <w:r w:rsidR="00072743">
        <w:rPr>
          <w:rFonts w:ascii="Times New Roman" w:hAnsi="Times New Roman" w:cs="Times New Roman"/>
          <w:sz w:val="24"/>
          <w:szCs w:val="24"/>
        </w:rPr>
        <w:t xml:space="preserve">Rady </w:t>
      </w:r>
      <w:r w:rsidRPr="00BC2780">
        <w:rPr>
          <w:rFonts w:ascii="Times New Roman" w:hAnsi="Times New Roman" w:cs="Times New Roman"/>
          <w:sz w:val="24"/>
          <w:szCs w:val="24"/>
        </w:rPr>
        <w:t>Ministrów (M.P. z 2016 r. poz. 1006 i 1204) w Biuletynie Informacji Publicznej Rządowego Centrum Legislacji.</w:t>
      </w:r>
    </w:p>
    <w:p w:rsidR="00F53F03" w:rsidRPr="00BC2780" w:rsidRDefault="00BC2780" w:rsidP="00BC278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C2780">
        <w:rPr>
          <w:rFonts w:ascii="Times New Roman" w:hAnsi="Times New Roman" w:cs="Times New Roman"/>
          <w:sz w:val="24"/>
          <w:szCs w:val="24"/>
        </w:rPr>
        <w:t>Żaden podmiot nie zgłosił zainteresowania p</w:t>
      </w:r>
      <w:r>
        <w:rPr>
          <w:rFonts w:ascii="Times New Roman" w:hAnsi="Times New Roman" w:cs="Times New Roman"/>
          <w:sz w:val="24"/>
          <w:szCs w:val="24"/>
        </w:rPr>
        <w:t>racami nad projektem w trybie w</w:t>
      </w:r>
      <w:r w:rsidRPr="00BC2780">
        <w:rPr>
          <w:rFonts w:ascii="Times New Roman" w:hAnsi="Times New Roman" w:cs="Times New Roman"/>
          <w:sz w:val="24"/>
          <w:szCs w:val="24"/>
        </w:rPr>
        <w:t>w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BC2780">
        <w:rPr>
          <w:rFonts w:ascii="Times New Roman" w:hAnsi="Times New Roman" w:cs="Times New Roman"/>
          <w:sz w:val="24"/>
          <w:szCs w:val="24"/>
        </w:rPr>
        <w:t xml:space="preserve"> ustawy.</w:t>
      </w:r>
    </w:p>
    <w:sectPr w:rsidR="00F53F03" w:rsidRPr="00BC2780" w:rsidSect="00BC2780">
      <w:footerReference w:type="default" r:id="rId6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2D28" w:rsidRDefault="00572D28" w:rsidP="00BC2780">
      <w:pPr>
        <w:spacing w:after="0" w:line="240" w:lineRule="auto"/>
      </w:pPr>
      <w:r>
        <w:separator/>
      </w:r>
    </w:p>
  </w:endnote>
  <w:endnote w:type="continuationSeparator" w:id="0">
    <w:p w:rsidR="00572D28" w:rsidRDefault="00572D28" w:rsidP="00BC27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9101624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BC2780" w:rsidRPr="00BC2780" w:rsidRDefault="00BC2780">
        <w:pPr>
          <w:pStyle w:val="Stopka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BC278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C2780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BC278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84C11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BC278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BC2780" w:rsidRDefault="00BC2780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2D28" w:rsidRDefault="00572D28" w:rsidP="00BC2780">
      <w:pPr>
        <w:spacing w:after="0" w:line="240" w:lineRule="auto"/>
      </w:pPr>
      <w:r>
        <w:separator/>
      </w:r>
    </w:p>
  </w:footnote>
  <w:footnote w:type="continuationSeparator" w:id="0">
    <w:p w:rsidR="00572D28" w:rsidRDefault="00572D28" w:rsidP="00BC278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2780"/>
    <w:rsid w:val="00022533"/>
    <w:rsid w:val="00023E30"/>
    <w:rsid w:val="00027CA5"/>
    <w:rsid w:val="00030775"/>
    <w:rsid w:val="0003774D"/>
    <w:rsid w:val="00040B06"/>
    <w:rsid w:val="0004387D"/>
    <w:rsid w:val="000444AF"/>
    <w:rsid w:val="00054584"/>
    <w:rsid w:val="00057BA6"/>
    <w:rsid w:val="000643A5"/>
    <w:rsid w:val="00067DBE"/>
    <w:rsid w:val="00071F7A"/>
    <w:rsid w:val="00072743"/>
    <w:rsid w:val="00073852"/>
    <w:rsid w:val="0007494F"/>
    <w:rsid w:val="00081839"/>
    <w:rsid w:val="000903E1"/>
    <w:rsid w:val="0009136B"/>
    <w:rsid w:val="00092C19"/>
    <w:rsid w:val="000960D6"/>
    <w:rsid w:val="000A4526"/>
    <w:rsid w:val="000A68A5"/>
    <w:rsid w:val="000B41EA"/>
    <w:rsid w:val="000C1C7D"/>
    <w:rsid w:val="000C606E"/>
    <w:rsid w:val="000C6966"/>
    <w:rsid w:val="000D46E4"/>
    <w:rsid w:val="000D67DE"/>
    <w:rsid w:val="000E0A80"/>
    <w:rsid w:val="000E0C6E"/>
    <w:rsid w:val="000F2773"/>
    <w:rsid w:val="00102EFF"/>
    <w:rsid w:val="00105FEE"/>
    <w:rsid w:val="00106E6A"/>
    <w:rsid w:val="00134AA0"/>
    <w:rsid w:val="00136956"/>
    <w:rsid w:val="00140E45"/>
    <w:rsid w:val="00144DA4"/>
    <w:rsid w:val="00146048"/>
    <w:rsid w:val="001554CA"/>
    <w:rsid w:val="00155A4F"/>
    <w:rsid w:val="0016329F"/>
    <w:rsid w:val="00166549"/>
    <w:rsid w:val="001805A1"/>
    <w:rsid w:val="0018090B"/>
    <w:rsid w:val="00194E77"/>
    <w:rsid w:val="00196DE4"/>
    <w:rsid w:val="001C1D87"/>
    <w:rsid w:val="001C2160"/>
    <w:rsid w:val="001D318A"/>
    <w:rsid w:val="001E3D97"/>
    <w:rsid w:val="001E419F"/>
    <w:rsid w:val="001E7C58"/>
    <w:rsid w:val="001F5F08"/>
    <w:rsid w:val="00211451"/>
    <w:rsid w:val="002219DA"/>
    <w:rsid w:val="00222BD3"/>
    <w:rsid w:val="00222D89"/>
    <w:rsid w:val="00222E8D"/>
    <w:rsid w:val="00223C23"/>
    <w:rsid w:val="002251D2"/>
    <w:rsid w:val="002251DE"/>
    <w:rsid w:val="002370E0"/>
    <w:rsid w:val="002401A7"/>
    <w:rsid w:val="00241396"/>
    <w:rsid w:val="002567CE"/>
    <w:rsid w:val="00257A2C"/>
    <w:rsid w:val="00262976"/>
    <w:rsid w:val="00270830"/>
    <w:rsid w:val="002713F9"/>
    <w:rsid w:val="00274549"/>
    <w:rsid w:val="0027690A"/>
    <w:rsid w:val="00277C97"/>
    <w:rsid w:val="00277E42"/>
    <w:rsid w:val="002924BB"/>
    <w:rsid w:val="002B04C9"/>
    <w:rsid w:val="002B3021"/>
    <w:rsid w:val="002B6F19"/>
    <w:rsid w:val="002C1126"/>
    <w:rsid w:val="002C16F9"/>
    <w:rsid w:val="002C1BD9"/>
    <w:rsid w:val="002D485C"/>
    <w:rsid w:val="002E03D5"/>
    <w:rsid w:val="002E1F69"/>
    <w:rsid w:val="002E4D6C"/>
    <w:rsid w:val="002E6251"/>
    <w:rsid w:val="002F1F32"/>
    <w:rsid w:val="002F2802"/>
    <w:rsid w:val="002F34C7"/>
    <w:rsid w:val="003010AF"/>
    <w:rsid w:val="00303080"/>
    <w:rsid w:val="00311C97"/>
    <w:rsid w:val="00312FC7"/>
    <w:rsid w:val="0032080D"/>
    <w:rsid w:val="00321B97"/>
    <w:rsid w:val="00323576"/>
    <w:rsid w:val="00327695"/>
    <w:rsid w:val="00333F23"/>
    <w:rsid w:val="003341C7"/>
    <w:rsid w:val="003363F5"/>
    <w:rsid w:val="003364C4"/>
    <w:rsid w:val="00347F7A"/>
    <w:rsid w:val="00363881"/>
    <w:rsid w:val="00366D26"/>
    <w:rsid w:val="00370146"/>
    <w:rsid w:val="00370A82"/>
    <w:rsid w:val="00373B18"/>
    <w:rsid w:val="003747DC"/>
    <w:rsid w:val="00377DED"/>
    <w:rsid w:val="003805D5"/>
    <w:rsid w:val="00381201"/>
    <w:rsid w:val="003A01CF"/>
    <w:rsid w:val="003A0674"/>
    <w:rsid w:val="003A2D5B"/>
    <w:rsid w:val="003A4E79"/>
    <w:rsid w:val="003B1D6C"/>
    <w:rsid w:val="003B21AB"/>
    <w:rsid w:val="003B29C9"/>
    <w:rsid w:val="003C2C44"/>
    <w:rsid w:val="003C4AFF"/>
    <w:rsid w:val="003C670E"/>
    <w:rsid w:val="003E1FD7"/>
    <w:rsid w:val="003E2A21"/>
    <w:rsid w:val="003E5293"/>
    <w:rsid w:val="003F0138"/>
    <w:rsid w:val="00405A31"/>
    <w:rsid w:val="00412213"/>
    <w:rsid w:val="00414BA6"/>
    <w:rsid w:val="004152E3"/>
    <w:rsid w:val="004208C1"/>
    <w:rsid w:val="00420AA3"/>
    <w:rsid w:val="00421424"/>
    <w:rsid w:val="0042508D"/>
    <w:rsid w:val="00426635"/>
    <w:rsid w:val="004308C1"/>
    <w:rsid w:val="00435F51"/>
    <w:rsid w:val="004402A1"/>
    <w:rsid w:val="00445B0E"/>
    <w:rsid w:val="00453972"/>
    <w:rsid w:val="00453C77"/>
    <w:rsid w:val="00454DFF"/>
    <w:rsid w:val="0046610C"/>
    <w:rsid w:val="004669E8"/>
    <w:rsid w:val="00471691"/>
    <w:rsid w:val="0047360B"/>
    <w:rsid w:val="00474494"/>
    <w:rsid w:val="004767AF"/>
    <w:rsid w:val="0048100B"/>
    <w:rsid w:val="004909D0"/>
    <w:rsid w:val="00491246"/>
    <w:rsid w:val="004913BB"/>
    <w:rsid w:val="00497CBC"/>
    <w:rsid w:val="004A36B2"/>
    <w:rsid w:val="004A36B7"/>
    <w:rsid w:val="004A7AC1"/>
    <w:rsid w:val="004C2117"/>
    <w:rsid w:val="004C5528"/>
    <w:rsid w:val="004C7C23"/>
    <w:rsid w:val="004E57FE"/>
    <w:rsid w:val="004F1AA9"/>
    <w:rsid w:val="004F283E"/>
    <w:rsid w:val="004F50D8"/>
    <w:rsid w:val="004F573D"/>
    <w:rsid w:val="0050161F"/>
    <w:rsid w:val="00502D87"/>
    <w:rsid w:val="00504148"/>
    <w:rsid w:val="0051338A"/>
    <w:rsid w:val="00516A84"/>
    <w:rsid w:val="005207CD"/>
    <w:rsid w:val="00527B10"/>
    <w:rsid w:val="00531F73"/>
    <w:rsid w:val="00536C29"/>
    <w:rsid w:val="005429A3"/>
    <w:rsid w:val="005442F9"/>
    <w:rsid w:val="00546C29"/>
    <w:rsid w:val="005534F9"/>
    <w:rsid w:val="005577A8"/>
    <w:rsid w:val="00563465"/>
    <w:rsid w:val="0056742D"/>
    <w:rsid w:val="00571321"/>
    <w:rsid w:val="00572D28"/>
    <w:rsid w:val="00573AE7"/>
    <w:rsid w:val="00580574"/>
    <w:rsid w:val="00585145"/>
    <w:rsid w:val="00595D0A"/>
    <w:rsid w:val="005968C5"/>
    <w:rsid w:val="005A03B4"/>
    <w:rsid w:val="005A2F15"/>
    <w:rsid w:val="005A3671"/>
    <w:rsid w:val="005B374D"/>
    <w:rsid w:val="005B4356"/>
    <w:rsid w:val="005C1946"/>
    <w:rsid w:val="005C46EA"/>
    <w:rsid w:val="005C658D"/>
    <w:rsid w:val="005C7257"/>
    <w:rsid w:val="005D0AC1"/>
    <w:rsid w:val="005D11E9"/>
    <w:rsid w:val="005D7BCE"/>
    <w:rsid w:val="005E5333"/>
    <w:rsid w:val="005E6EFB"/>
    <w:rsid w:val="005F02E4"/>
    <w:rsid w:val="005F0F5F"/>
    <w:rsid w:val="005F5C60"/>
    <w:rsid w:val="00602555"/>
    <w:rsid w:val="00605BBE"/>
    <w:rsid w:val="00610B19"/>
    <w:rsid w:val="006126F1"/>
    <w:rsid w:val="00614027"/>
    <w:rsid w:val="00616F1A"/>
    <w:rsid w:val="00623018"/>
    <w:rsid w:val="006317CC"/>
    <w:rsid w:val="00634509"/>
    <w:rsid w:val="00647DF7"/>
    <w:rsid w:val="00653ABA"/>
    <w:rsid w:val="00654CD2"/>
    <w:rsid w:val="0065570D"/>
    <w:rsid w:val="00662639"/>
    <w:rsid w:val="00664445"/>
    <w:rsid w:val="006669DB"/>
    <w:rsid w:val="00672846"/>
    <w:rsid w:val="00683E49"/>
    <w:rsid w:val="00683EA0"/>
    <w:rsid w:val="006A5873"/>
    <w:rsid w:val="006B46C8"/>
    <w:rsid w:val="006B7FB3"/>
    <w:rsid w:val="006C292F"/>
    <w:rsid w:val="006D2672"/>
    <w:rsid w:val="006F32EF"/>
    <w:rsid w:val="006F649A"/>
    <w:rsid w:val="00705C6F"/>
    <w:rsid w:val="007105EA"/>
    <w:rsid w:val="007147E0"/>
    <w:rsid w:val="00714E7A"/>
    <w:rsid w:val="007205A1"/>
    <w:rsid w:val="0072732D"/>
    <w:rsid w:val="00730D60"/>
    <w:rsid w:val="00732228"/>
    <w:rsid w:val="00735B5F"/>
    <w:rsid w:val="00737EFB"/>
    <w:rsid w:val="00745E09"/>
    <w:rsid w:val="00752357"/>
    <w:rsid w:val="00776C8F"/>
    <w:rsid w:val="00791270"/>
    <w:rsid w:val="00797EEC"/>
    <w:rsid w:val="007B739E"/>
    <w:rsid w:val="007C3C0D"/>
    <w:rsid w:val="007C4081"/>
    <w:rsid w:val="007C6BDA"/>
    <w:rsid w:val="007D6831"/>
    <w:rsid w:val="007E0403"/>
    <w:rsid w:val="007E459A"/>
    <w:rsid w:val="007F2463"/>
    <w:rsid w:val="0080428B"/>
    <w:rsid w:val="00804612"/>
    <w:rsid w:val="008049B3"/>
    <w:rsid w:val="00820A81"/>
    <w:rsid w:val="0082153C"/>
    <w:rsid w:val="008219B8"/>
    <w:rsid w:val="008309FA"/>
    <w:rsid w:val="008430C7"/>
    <w:rsid w:val="00853B34"/>
    <w:rsid w:val="00854844"/>
    <w:rsid w:val="00857D7D"/>
    <w:rsid w:val="00867505"/>
    <w:rsid w:val="0088375A"/>
    <w:rsid w:val="00884BBD"/>
    <w:rsid w:val="008923F5"/>
    <w:rsid w:val="0089313B"/>
    <w:rsid w:val="008A0AF3"/>
    <w:rsid w:val="008B2DF2"/>
    <w:rsid w:val="008C1196"/>
    <w:rsid w:val="008C5FA6"/>
    <w:rsid w:val="008D4808"/>
    <w:rsid w:val="008E398B"/>
    <w:rsid w:val="008F31D1"/>
    <w:rsid w:val="008F5DC7"/>
    <w:rsid w:val="008F5F35"/>
    <w:rsid w:val="00900D49"/>
    <w:rsid w:val="00904765"/>
    <w:rsid w:val="0091503A"/>
    <w:rsid w:val="00923E8D"/>
    <w:rsid w:val="009254B7"/>
    <w:rsid w:val="009379F9"/>
    <w:rsid w:val="00952B7F"/>
    <w:rsid w:val="00955D4D"/>
    <w:rsid w:val="00961F05"/>
    <w:rsid w:val="0096354E"/>
    <w:rsid w:val="00965F72"/>
    <w:rsid w:val="00967CC2"/>
    <w:rsid w:val="00972BE8"/>
    <w:rsid w:val="00973D65"/>
    <w:rsid w:val="00977685"/>
    <w:rsid w:val="00977FDB"/>
    <w:rsid w:val="00985732"/>
    <w:rsid w:val="00986AB7"/>
    <w:rsid w:val="00987ECD"/>
    <w:rsid w:val="00990B45"/>
    <w:rsid w:val="009A6D38"/>
    <w:rsid w:val="009A7D94"/>
    <w:rsid w:val="009A7F20"/>
    <w:rsid w:val="009B1C02"/>
    <w:rsid w:val="009B585A"/>
    <w:rsid w:val="009C6683"/>
    <w:rsid w:val="009D158D"/>
    <w:rsid w:val="009E757F"/>
    <w:rsid w:val="009F7B2E"/>
    <w:rsid w:val="00A00D48"/>
    <w:rsid w:val="00A033DB"/>
    <w:rsid w:val="00A03D48"/>
    <w:rsid w:val="00A03D97"/>
    <w:rsid w:val="00A053C5"/>
    <w:rsid w:val="00A07CB1"/>
    <w:rsid w:val="00A144CF"/>
    <w:rsid w:val="00A14B45"/>
    <w:rsid w:val="00A14F77"/>
    <w:rsid w:val="00A15E31"/>
    <w:rsid w:val="00A23803"/>
    <w:rsid w:val="00A24F1E"/>
    <w:rsid w:val="00A34A4B"/>
    <w:rsid w:val="00A34C65"/>
    <w:rsid w:val="00A350C0"/>
    <w:rsid w:val="00A36ACB"/>
    <w:rsid w:val="00A40701"/>
    <w:rsid w:val="00A47D48"/>
    <w:rsid w:val="00A52397"/>
    <w:rsid w:val="00A63597"/>
    <w:rsid w:val="00A675F7"/>
    <w:rsid w:val="00A70583"/>
    <w:rsid w:val="00A73550"/>
    <w:rsid w:val="00A76B46"/>
    <w:rsid w:val="00A76C92"/>
    <w:rsid w:val="00A816DD"/>
    <w:rsid w:val="00A847EE"/>
    <w:rsid w:val="00A84BC6"/>
    <w:rsid w:val="00A863D1"/>
    <w:rsid w:val="00A9123F"/>
    <w:rsid w:val="00A9242C"/>
    <w:rsid w:val="00A96284"/>
    <w:rsid w:val="00A975FB"/>
    <w:rsid w:val="00AA03CE"/>
    <w:rsid w:val="00AA0DFF"/>
    <w:rsid w:val="00AA4D17"/>
    <w:rsid w:val="00AB61A9"/>
    <w:rsid w:val="00AB78BB"/>
    <w:rsid w:val="00AC182F"/>
    <w:rsid w:val="00AC3F23"/>
    <w:rsid w:val="00AD6413"/>
    <w:rsid w:val="00AE1EEF"/>
    <w:rsid w:val="00AE6BBE"/>
    <w:rsid w:val="00AE7585"/>
    <w:rsid w:val="00AF0099"/>
    <w:rsid w:val="00AF037B"/>
    <w:rsid w:val="00AF6B39"/>
    <w:rsid w:val="00B0027E"/>
    <w:rsid w:val="00B00C34"/>
    <w:rsid w:val="00B0306A"/>
    <w:rsid w:val="00B05BCE"/>
    <w:rsid w:val="00B12FD0"/>
    <w:rsid w:val="00B15906"/>
    <w:rsid w:val="00B16CFF"/>
    <w:rsid w:val="00B20C82"/>
    <w:rsid w:val="00B30C17"/>
    <w:rsid w:val="00B311CD"/>
    <w:rsid w:val="00B33872"/>
    <w:rsid w:val="00B36134"/>
    <w:rsid w:val="00B478A9"/>
    <w:rsid w:val="00B5408A"/>
    <w:rsid w:val="00B605D5"/>
    <w:rsid w:val="00B61C79"/>
    <w:rsid w:val="00B629FF"/>
    <w:rsid w:val="00B62AFF"/>
    <w:rsid w:val="00B72517"/>
    <w:rsid w:val="00B87FF6"/>
    <w:rsid w:val="00B9401C"/>
    <w:rsid w:val="00B97E91"/>
    <w:rsid w:val="00BA0613"/>
    <w:rsid w:val="00BA3BC8"/>
    <w:rsid w:val="00BB0EA1"/>
    <w:rsid w:val="00BB1DE1"/>
    <w:rsid w:val="00BB691A"/>
    <w:rsid w:val="00BC0775"/>
    <w:rsid w:val="00BC2780"/>
    <w:rsid w:val="00BC706D"/>
    <w:rsid w:val="00BD1A2B"/>
    <w:rsid w:val="00BD784E"/>
    <w:rsid w:val="00BD7F9A"/>
    <w:rsid w:val="00BE2226"/>
    <w:rsid w:val="00BE5A87"/>
    <w:rsid w:val="00BE5B9A"/>
    <w:rsid w:val="00BF0BF0"/>
    <w:rsid w:val="00C01F68"/>
    <w:rsid w:val="00C07771"/>
    <w:rsid w:val="00C112EB"/>
    <w:rsid w:val="00C15161"/>
    <w:rsid w:val="00C226A1"/>
    <w:rsid w:val="00C22797"/>
    <w:rsid w:val="00C23545"/>
    <w:rsid w:val="00C25BFE"/>
    <w:rsid w:val="00C34D2D"/>
    <w:rsid w:val="00C35BC8"/>
    <w:rsid w:val="00C617D5"/>
    <w:rsid w:val="00C6417E"/>
    <w:rsid w:val="00C64C10"/>
    <w:rsid w:val="00C65A12"/>
    <w:rsid w:val="00C736D3"/>
    <w:rsid w:val="00C800AB"/>
    <w:rsid w:val="00C822A6"/>
    <w:rsid w:val="00C82A9A"/>
    <w:rsid w:val="00C85A89"/>
    <w:rsid w:val="00C92F08"/>
    <w:rsid w:val="00C93070"/>
    <w:rsid w:val="00C97933"/>
    <w:rsid w:val="00CA4254"/>
    <w:rsid w:val="00CB356C"/>
    <w:rsid w:val="00CB5EB0"/>
    <w:rsid w:val="00CD57E8"/>
    <w:rsid w:val="00CE421A"/>
    <w:rsid w:val="00CF152D"/>
    <w:rsid w:val="00CF30BE"/>
    <w:rsid w:val="00CF66FA"/>
    <w:rsid w:val="00D1086E"/>
    <w:rsid w:val="00D17E65"/>
    <w:rsid w:val="00D218C5"/>
    <w:rsid w:val="00D22717"/>
    <w:rsid w:val="00D23F37"/>
    <w:rsid w:val="00D24492"/>
    <w:rsid w:val="00D24850"/>
    <w:rsid w:val="00D25013"/>
    <w:rsid w:val="00D27511"/>
    <w:rsid w:val="00D27CBD"/>
    <w:rsid w:val="00D34248"/>
    <w:rsid w:val="00D369A7"/>
    <w:rsid w:val="00D4535C"/>
    <w:rsid w:val="00D51C9C"/>
    <w:rsid w:val="00D60271"/>
    <w:rsid w:val="00D712A8"/>
    <w:rsid w:val="00D736E0"/>
    <w:rsid w:val="00D77523"/>
    <w:rsid w:val="00D81E9F"/>
    <w:rsid w:val="00D84C11"/>
    <w:rsid w:val="00D92D29"/>
    <w:rsid w:val="00D95006"/>
    <w:rsid w:val="00D953E5"/>
    <w:rsid w:val="00D9593F"/>
    <w:rsid w:val="00D975E8"/>
    <w:rsid w:val="00DA1DFF"/>
    <w:rsid w:val="00DA2C37"/>
    <w:rsid w:val="00DA496B"/>
    <w:rsid w:val="00DA515C"/>
    <w:rsid w:val="00DB0BF7"/>
    <w:rsid w:val="00DB53BE"/>
    <w:rsid w:val="00DB7BA6"/>
    <w:rsid w:val="00DC2A01"/>
    <w:rsid w:val="00DC4A8F"/>
    <w:rsid w:val="00DD3175"/>
    <w:rsid w:val="00DE6987"/>
    <w:rsid w:val="00DE77ED"/>
    <w:rsid w:val="00DE7D91"/>
    <w:rsid w:val="00E004DE"/>
    <w:rsid w:val="00E00FE8"/>
    <w:rsid w:val="00E038AD"/>
    <w:rsid w:val="00E143F1"/>
    <w:rsid w:val="00E16392"/>
    <w:rsid w:val="00E27B22"/>
    <w:rsid w:val="00E27B2A"/>
    <w:rsid w:val="00E3028F"/>
    <w:rsid w:val="00E34BAE"/>
    <w:rsid w:val="00E505E5"/>
    <w:rsid w:val="00E50F10"/>
    <w:rsid w:val="00E51382"/>
    <w:rsid w:val="00E53540"/>
    <w:rsid w:val="00E860E0"/>
    <w:rsid w:val="00E959F6"/>
    <w:rsid w:val="00EA181E"/>
    <w:rsid w:val="00EA4076"/>
    <w:rsid w:val="00EA6521"/>
    <w:rsid w:val="00EA7ECA"/>
    <w:rsid w:val="00EB0524"/>
    <w:rsid w:val="00EB294B"/>
    <w:rsid w:val="00EB29DB"/>
    <w:rsid w:val="00EB3A8E"/>
    <w:rsid w:val="00EB3B8A"/>
    <w:rsid w:val="00EB3C99"/>
    <w:rsid w:val="00EB5EC1"/>
    <w:rsid w:val="00EC276C"/>
    <w:rsid w:val="00EC3DC5"/>
    <w:rsid w:val="00ED0B96"/>
    <w:rsid w:val="00ED3034"/>
    <w:rsid w:val="00ED3D7D"/>
    <w:rsid w:val="00ED4DF7"/>
    <w:rsid w:val="00EE1D97"/>
    <w:rsid w:val="00EE5105"/>
    <w:rsid w:val="00EE5504"/>
    <w:rsid w:val="00EF0460"/>
    <w:rsid w:val="00EF0AB5"/>
    <w:rsid w:val="00EF6694"/>
    <w:rsid w:val="00F00648"/>
    <w:rsid w:val="00F00DC4"/>
    <w:rsid w:val="00F018FE"/>
    <w:rsid w:val="00F13D20"/>
    <w:rsid w:val="00F13E76"/>
    <w:rsid w:val="00F2634F"/>
    <w:rsid w:val="00F35180"/>
    <w:rsid w:val="00F355B6"/>
    <w:rsid w:val="00F355D6"/>
    <w:rsid w:val="00F366A6"/>
    <w:rsid w:val="00F47DD1"/>
    <w:rsid w:val="00F53F03"/>
    <w:rsid w:val="00F56D06"/>
    <w:rsid w:val="00F56F4D"/>
    <w:rsid w:val="00F61195"/>
    <w:rsid w:val="00F81AC8"/>
    <w:rsid w:val="00F95CCE"/>
    <w:rsid w:val="00FA46B4"/>
    <w:rsid w:val="00FA6C60"/>
    <w:rsid w:val="00FA784D"/>
    <w:rsid w:val="00FB39F8"/>
    <w:rsid w:val="00FB3A23"/>
    <w:rsid w:val="00FC10A6"/>
    <w:rsid w:val="00FD1327"/>
    <w:rsid w:val="00FD448B"/>
    <w:rsid w:val="00FD5997"/>
    <w:rsid w:val="00FF1BEB"/>
    <w:rsid w:val="00FF2A87"/>
    <w:rsid w:val="00FF345A"/>
    <w:rsid w:val="00FF3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D9AD0AB-040D-4DF1-8640-CC06FA07B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C27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C2780"/>
  </w:style>
  <w:style w:type="paragraph" w:styleId="Stopka">
    <w:name w:val="footer"/>
    <w:basedOn w:val="Normalny"/>
    <w:link w:val="StopkaZnak"/>
    <w:uiPriority w:val="99"/>
    <w:unhideWhenUsed/>
    <w:rsid w:val="00BC27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C27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1635</Words>
  <Characters>9810</Characters>
  <Application>Microsoft Office Word</Application>
  <DocSecurity>0</DocSecurity>
  <Lines>81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Jankowska-Słomianko Dorota</dc:creator>
  <cp:lastModifiedBy>Grażyna D. Grabowska</cp:lastModifiedBy>
  <cp:revision>2</cp:revision>
  <dcterms:created xsi:type="dcterms:W3CDTF">2017-06-29T13:18:00Z</dcterms:created>
  <dcterms:modified xsi:type="dcterms:W3CDTF">2017-06-29T13:18:00Z</dcterms:modified>
</cp:coreProperties>
</file>