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719" w:rsidRPr="0072185C" w:rsidRDefault="00F63719" w:rsidP="0072185C">
      <w:pPr>
        <w:spacing w:after="0" w:line="360" w:lineRule="auto"/>
        <w:jc w:val="center"/>
        <w:rPr>
          <w:rFonts w:ascii="Times New Roman" w:eastAsia="Times New Roman" w:hAnsi="Times New Roman" w:cs="Arial"/>
          <w:sz w:val="24"/>
          <w:szCs w:val="20"/>
          <w:lang w:eastAsia="pl-PL"/>
        </w:rPr>
      </w:pPr>
      <w:bookmarkStart w:id="0" w:name="_GoBack"/>
      <w:bookmarkEnd w:id="0"/>
      <w:r w:rsidRPr="0072185C">
        <w:rPr>
          <w:rFonts w:ascii="Times New Roman" w:eastAsia="Times New Roman" w:hAnsi="Times New Roman" w:cs="Arial"/>
          <w:sz w:val="24"/>
          <w:szCs w:val="20"/>
          <w:lang w:eastAsia="pl-PL"/>
        </w:rPr>
        <w:t>UZASADNIENIE</w:t>
      </w:r>
    </w:p>
    <w:p w:rsidR="00F63719" w:rsidRPr="00F63719" w:rsidRDefault="00F63719" w:rsidP="0072185C">
      <w:pPr>
        <w:suppressAutoHyphens/>
        <w:autoSpaceDE w:val="0"/>
        <w:autoSpaceDN w:val="0"/>
        <w:adjustRightInd w:val="0"/>
        <w:spacing w:before="24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Proponowane zmiany w ustawie z dnia 28 kwietnia 2011 r. o systemie informacji w</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ochronie zdrowia (Dz. U. z 2016 r. poz. 1535, z późn. zm.) zwanej dalej „ustawą”, obejmują przepisy dotyczące rejestrów medycznych tworzonych przez ministra właściwego do spraw zdrowia w drodze rozporządzenia. Istotą takiego mechanizmu tworzenia rejestrów medycznych (aktem prawnym rangi podustawowej), zaaprobowanego przez Trybunał Konstytucyjny, jest możliwość elastycznego reagowania przez ministra właściwego do spraw zdrowia na potrzebę utworzenia nowego rejestru medycznego. Celem zmiany art. 19 ust. 1b i 2 ustawy jest odzwierciedlenie faktu, iż w praktyce rejestry medyczne są tworzone głównie na wniosek podmiotów, którym następnie powierzane jest ich prowadzenie. Powyższe wynika przede wszystkim z okoliczności, iż aby konkretny rejestr medyczny mógł służyć ministrowi właściwemu do spraw zdrowia do kreowania polityki zdrowotnej, w</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tym realizacji celów ustawowych – monitorowania stanu zdrowia pacjentów, monitorowania zapotrzebowania na świadczenia opieki zdrowotnej, prowadzenia profilaktyki zdrowotnej lub realizacji programów zdrowotnych albo programów polityki zdrowotnej, monitorowania i oceny bezpieczeństwa, skuteczności, jakości i</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efektywności kosztowej badań diagnostycznych lub procedur medycznych, w</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 xml:space="preserve">pierwszej kolejności może on być wykorzystywany m.in. na potrzeby prowadzenia działalności naukowej oraz badawczo-rozwojowej. Często dopiero wyniki takich badań (niekiedy po wielu latach) służą monitorowaniu zarówno stanu zdrowia pacjentów, jak również w związku z tym zapotrzebowania na świadczenia opieki zdrowotnej. </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 xml:space="preserve">W konsekwencji powyższej zmiany, zaproponowano usytuowanie administratora danych na poziomie podmiotów prowadzących rejestry (art. 20 ust. 4 ustawy). Trybunał Konstytucyjny w wyroku z dnia 18 grudnia 2014 r., sygn. akt K 33/13 (Dz. U. z 2015 r. poz. 16) uznał za legalne określenie na poziomie rozporządzenia podmiotu prowadzącego rejestr. W związku z powyższym, uczynienie podmiotów prowadzących rejestry medyczne administratorami danych (zamiast ministra zdrowia właściwego do spraw zdrowia) powinno stanowić naturalny skutek przedmiotowego rozstrzygnięcia. Zgodnie z art. 7 pkt 4 ustawy z dnia 29 sierpnia 1997 r. o ochronie danych osobowych (Dz. U. z 2016 r. poz. 922), pod pojęciem administratora danych rozumie się organ, jednostkę organizacyjną, podmiot lub osobę decydujące o celach i środkach </w:t>
      </w:r>
      <w:r w:rsidRPr="00F63719">
        <w:rPr>
          <w:rFonts w:ascii="Times" w:eastAsia="Times New Roman" w:hAnsi="Times" w:cs="Arial"/>
          <w:bCs/>
          <w:sz w:val="24"/>
          <w:szCs w:val="20"/>
          <w:lang w:eastAsia="pl-PL"/>
        </w:rPr>
        <w:lastRenderedPageBreak/>
        <w:t>przetwarzania danych osobowych. Administratorem danych osobowych jest więc podmiot, który samodzielnie podejmuje decyzje dotyczące celów i środków przetwarzania, wypełniając obowiązki administracyjne, osobowe i techniczno</w:t>
      </w:r>
      <w:r w:rsidR="009964DE">
        <w:rPr>
          <w:rFonts w:ascii="Times" w:eastAsia="Times New Roman" w:hAnsi="Times" w:cs="Arial"/>
          <w:bCs/>
          <w:sz w:val="24"/>
          <w:szCs w:val="20"/>
          <w:lang w:eastAsia="pl-PL"/>
        </w:rPr>
        <w:t>-</w:t>
      </w:r>
      <w:r w:rsidR="009964DE">
        <w:rPr>
          <w:rFonts w:ascii="Times" w:eastAsia="Times New Roman" w:hAnsi="Times" w:cs="Arial"/>
          <w:bCs/>
          <w:sz w:val="24"/>
          <w:szCs w:val="20"/>
          <w:lang w:eastAsia="pl-PL"/>
        </w:rPr>
        <w:br/>
      </w:r>
      <w:r w:rsidRPr="00F63719">
        <w:rPr>
          <w:rFonts w:ascii="Times" w:eastAsia="Times New Roman" w:hAnsi="Times" w:cs="Arial"/>
          <w:bCs/>
          <w:sz w:val="24"/>
          <w:szCs w:val="20"/>
          <w:lang w:eastAsia="pl-PL"/>
        </w:rPr>
        <w:t>-organizacyjne, np. obowiązki informacyjne w stosunku do tych, których dotyczą przetwarzane dane. Z całą pewnością w przypadku rejestrów medycznych tworzonych przez ministra właściwego do spraw zdrowia ww. obowiązki powinny spoczywać w</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całości na podmiotach prowadzących te rejestry, w szczególności w świetle wniosku płynącego z uzasadnienia ww. wyroku Trybunału Konstytucyjnego, iż minister właściwy do spraw zdrowia – na podstawie uprawnienia przewidzianego w art. 19 ust. 1 ustawy – ma kompetencje do decydowania, czy i jakie rejestry tworzyć. Wskazane przy tym cele, dla których tworzone są rejestry medyczne nie są równoznaczne z celami przetwarzania danych osobowych. Kilkuletnia już praktyka funkcjonowania rejestrów wyraźnie wskazuje, iż zdefiniowanie ministra właściwego do spraw zdrowia jako administratora danych wszystkich rejestrów medycznych (w szczególności w sytuacji znacznego zwiększenia ich liczby w przyszłości) nie odzwierciedla stanu faktycznego. Administrator danych nie musi wprawdzie „osobiście” przetwarzać danych. Z całą pewnością jednak podmioty prowadzące rejestry, tj. w dzisiejszym stanie prawnym faktycznie administrujący danymi, nie przetwarzają danych w pełni według poleceń, czy wskazówek ministra właściwego do spraw zdrowia, którego rola sprowadza się do utworzenia rejestru medycznego.</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Konsekwencję zmiany zawartej w art. 20 ust. 4 ustawy stanowi zmiana w art. 20 ust. 5, 6</w:t>
      </w:r>
      <w:r w:rsidR="0072185C">
        <w:rPr>
          <w:rFonts w:ascii="Times" w:eastAsia="Times New Roman" w:hAnsi="Times" w:cs="Arial"/>
          <w:bCs/>
          <w:sz w:val="24"/>
          <w:szCs w:val="20"/>
          <w:lang w:eastAsia="pl-PL"/>
        </w:rPr>
        <w:t>–</w:t>
      </w:r>
      <w:r w:rsidRPr="00F63719">
        <w:rPr>
          <w:rFonts w:ascii="Times" w:eastAsia="Times New Roman" w:hAnsi="Times" w:cs="Arial"/>
          <w:bCs/>
          <w:sz w:val="24"/>
          <w:szCs w:val="20"/>
          <w:lang w:eastAsia="pl-PL"/>
        </w:rPr>
        <w:t>7, 9 i 10 ustawy dotycząca powierzenia przetwarzania danych zawartych w rejestrach podmiotom wyspecjalizowanym w utrzymywaniu infrastruktury techniczno-systemowej i zapewnianiu obsługi technicznej systemów teleinformatycznych (tzw. outsourcing).</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Proponuje się zmianę art. 19 ust. 10 ustawy, w którym zobowiązuje się podmioty prowadzące rejestry medyczne do nieodpłatnego przekazywania danych w sposób uniemożliwiający identyfikację osoby, której dotyczą lub danych statystycznych z</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rejestrów medycznych na wniosek ministra właściwego do spraw zdrowia. Przepis ten znajdzie również odpowiednie zastosowanie w przypadku danych przetwarzanych w</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systemie RUM – NFZ.</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F63719">
        <w:rPr>
          <w:rFonts w:ascii="Times" w:eastAsia="Times New Roman" w:hAnsi="Times" w:cs="Arial"/>
          <w:sz w:val="24"/>
          <w:szCs w:val="20"/>
          <w:lang w:eastAsia="pl-PL"/>
        </w:rPr>
        <w:t xml:space="preserve">Jednocześnie, w art. 19 ust. 11–14 ustawy proponuje się dodanie regulacji umożliwiającej przekazywanie niektórych danych z rejestrów medycznych do </w:t>
      </w:r>
      <w:r w:rsidRPr="00F63719">
        <w:rPr>
          <w:rFonts w:ascii="Times" w:eastAsia="Times New Roman" w:hAnsi="Times" w:cs="Arial"/>
          <w:sz w:val="24"/>
          <w:szCs w:val="20"/>
          <w:lang w:eastAsia="pl-PL"/>
        </w:rPr>
        <w:lastRenderedPageBreak/>
        <w:t>Narodowego Funduszu Zdrowia. Przedmiotowa regulacja umożliwi płatnikowi przede wszystkim weryfikację poprawności rozliczeń prowadzonych ze świadczeniodawcami. Prace prowadzone przez Ministerstwo Zdrowia nad mapami potrzeb zdrowotnych z</w:t>
      </w:r>
      <w:r w:rsidR="0072185C">
        <w:rPr>
          <w:rFonts w:ascii="Times" w:eastAsia="Times New Roman" w:hAnsi="Times" w:cs="Arial"/>
          <w:sz w:val="24"/>
          <w:szCs w:val="20"/>
          <w:lang w:eastAsia="pl-PL"/>
        </w:rPr>
        <w:t> </w:t>
      </w:r>
      <w:r w:rsidRPr="00F63719">
        <w:rPr>
          <w:rFonts w:ascii="Times" w:eastAsia="Times New Roman" w:hAnsi="Times" w:cs="Arial"/>
          <w:sz w:val="24"/>
          <w:szCs w:val="20"/>
          <w:lang w:eastAsia="pl-PL"/>
        </w:rPr>
        <w:t>zakresu onkologii oraz kardiologii pokazały dużą rozbieżność w danych między rejestrami, a danymi rozliczeniowymi, co może świadczyć z jednej strony o</w:t>
      </w:r>
      <w:r w:rsidR="0072185C">
        <w:rPr>
          <w:rFonts w:ascii="Times" w:eastAsia="Times New Roman" w:hAnsi="Times" w:cs="Arial"/>
          <w:sz w:val="24"/>
          <w:szCs w:val="20"/>
          <w:lang w:eastAsia="pl-PL"/>
        </w:rPr>
        <w:t> </w:t>
      </w:r>
      <w:r w:rsidRPr="00F63719">
        <w:rPr>
          <w:rFonts w:ascii="Times" w:eastAsia="Times New Roman" w:hAnsi="Times" w:cs="Arial"/>
          <w:sz w:val="24"/>
          <w:szCs w:val="20"/>
          <w:lang w:eastAsia="pl-PL"/>
        </w:rPr>
        <w:t>prowadzeniu przez świadczeniodawców „upcodingu” przy rozliczaniu świadczeń, a</w:t>
      </w:r>
      <w:r w:rsidR="0072185C">
        <w:rPr>
          <w:rFonts w:ascii="Times" w:eastAsia="Times New Roman" w:hAnsi="Times" w:cs="Arial"/>
          <w:sz w:val="24"/>
          <w:szCs w:val="20"/>
          <w:lang w:eastAsia="pl-PL"/>
        </w:rPr>
        <w:t> </w:t>
      </w:r>
      <w:r w:rsidRPr="00F63719">
        <w:rPr>
          <w:rFonts w:ascii="Times" w:eastAsia="Times New Roman" w:hAnsi="Times" w:cs="Arial"/>
          <w:sz w:val="24"/>
          <w:szCs w:val="20"/>
          <w:lang w:eastAsia="pl-PL"/>
        </w:rPr>
        <w:t>z</w:t>
      </w:r>
      <w:r w:rsidR="0072185C">
        <w:rPr>
          <w:rFonts w:ascii="Times" w:eastAsia="Times New Roman" w:hAnsi="Times" w:cs="Arial"/>
          <w:sz w:val="24"/>
          <w:szCs w:val="20"/>
          <w:lang w:eastAsia="pl-PL"/>
        </w:rPr>
        <w:t> </w:t>
      </w:r>
      <w:r w:rsidRPr="00F63719">
        <w:rPr>
          <w:rFonts w:ascii="Times" w:eastAsia="Times New Roman" w:hAnsi="Times" w:cs="Arial"/>
          <w:sz w:val="24"/>
          <w:szCs w:val="20"/>
          <w:lang w:eastAsia="pl-PL"/>
        </w:rPr>
        <w:t>drugiej strony braku wprowadzania wszystkich przypadków do rejestrów, gdyż nie jest to bezpośrednio powiązane z płatnością za świadczenie. Możliwość porównania przedmiotowych danych da płatnikowi świadczeń możliwość kontroli celowości finansowania udzielanych świadczeń opieki zdrowotnej, a także w związku z faktem, iż dane rejestrowe w większy sposób odzwierciedlają epidemiologię pozwolą na wykorzystanie ich przy procesie określania zapotrzebowania na świadczenia opieki zdrowotnej, który jest ważnym elementem tworzenia przez Narodowy Fundusz Zdrowia planu zakupu świadczeń.</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W art. 19 ust. 4a ustawy doprecyzowano przepisy dotyczące finansowania oraz dofinansowania prowadzenia rejestrów wyraźnie wskazując, iż finansowanie rejestru może następować w ramach środków przeznaczonych na finansowanie programu polityki zdrowotnej, o którym mowa w art. 48 ust. 1 ustawy z dnia 27 sierpnia 2004 r. o</w:t>
      </w:r>
      <w:r w:rsidR="00097D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świadczeniach opieki zdrowotnej finansowanych ze środków publicznych (Dz. U. z</w:t>
      </w:r>
      <w:r w:rsidR="00097D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2</w:t>
      </w:r>
      <w:r w:rsidR="009964DE">
        <w:rPr>
          <w:rFonts w:ascii="Times" w:eastAsia="Times New Roman" w:hAnsi="Times" w:cs="Arial"/>
          <w:bCs/>
          <w:sz w:val="24"/>
          <w:szCs w:val="20"/>
          <w:lang w:eastAsia="pl-PL"/>
        </w:rPr>
        <w:t>016 r. poz. 1793, z późn. zm.) –</w:t>
      </w:r>
      <w:r w:rsidRPr="00F63719">
        <w:rPr>
          <w:rFonts w:ascii="Times" w:eastAsia="Times New Roman" w:hAnsi="Times" w:cs="Arial"/>
          <w:bCs/>
          <w:sz w:val="24"/>
          <w:szCs w:val="20"/>
          <w:lang w:eastAsia="pl-PL"/>
        </w:rPr>
        <w:t xml:space="preserve"> (pkt 1), bądź minister właściwy do spraw zdrowia może przyznać na prowadzenie rejestru</w:t>
      </w:r>
      <w:r w:rsidRPr="00F63719" w:rsidDel="00C14C7C">
        <w:rPr>
          <w:rFonts w:ascii="Times" w:eastAsia="Times New Roman" w:hAnsi="Times" w:cs="Arial"/>
          <w:bCs/>
          <w:sz w:val="24"/>
          <w:szCs w:val="20"/>
          <w:lang w:eastAsia="pl-PL"/>
        </w:rPr>
        <w:t xml:space="preserve"> </w:t>
      </w:r>
      <w:r w:rsidRPr="00F63719">
        <w:rPr>
          <w:rFonts w:ascii="Times" w:eastAsia="Times New Roman" w:hAnsi="Times" w:cs="Arial"/>
          <w:bCs/>
          <w:sz w:val="24"/>
          <w:szCs w:val="20"/>
          <w:lang w:eastAsia="pl-PL"/>
        </w:rPr>
        <w:t xml:space="preserve">dotację celową podmiotowi prowadzącemu rejestr medyczny (pkt 2). </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Katalog podmiotów, którym można powierzyć prowadzenie rejestrów medycznych obejmuje podmioty wykonujące działalność leczniczą w rozumieniu art. 4 ust. 1 ustawy z dnia 15 kwietnia 2011 r. o działalności leczniczej (Dz. U. z 2016 r. poz. 1638, z</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późn.</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 xml:space="preserve">zm.), do których zalicza się: </w:t>
      </w:r>
    </w:p>
    <w:p w:rsidR="00F63719" w:rsidRPr="00F63719" w:rsidRDefault="00F63719" w:rsidP="0072185C">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1)</w:t>
      </w:r>
      <w:r w:rsidRPr="00F63719">
        <w:rPr>
          <w:rFonts w:ascii="Times" w:eastAsia="Times New Roman" w:hAnsi="Times" w:cs="Arial"/>
          <w:bCs/>
          <w:sz w:val="24"/>
          <w:szCs w:val="20"/>
          <w:lang w:eastAsia="pl-PL"/>
        </w:rPr>
        <w:tab/>
        <w:t>przedsiębiorców w rozumieniu przepisów art. 4 ustawy z dnia 2 lipca 2004 r. o</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swobodzie działalności gospodarczej (Dz. U. z 2016 r. poz. 1829, z późn. zm.) we wszelkich formach przewidzianych dla wykonywania działalności gospodarczej, jeżeli ustawa nie stanowi inaczej,</w:t>
      </w:r>
    </w:p>
    <w:p w:rsidR="00F63719" w:rsidRPr="00F63719" w:rsidRDefault="00F63719" w:rsidP="0072185C">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2)</w:t>
      </w:r>
      <w:r w:rsidRPr="00F63719">
        <w:rPr>
          <w:rFonts w:ascii="Times" w:eastAsia="Times New Roman" w:hAnsi="Times" w:cs="Arial"/>
          <w:bCs/>
          <w:sz w:val="24"/>
          <w:szCs w:val="20"/>
          <w:lang w:eastAsia="pl-PL"/>
        </w:rPr>
        <w:tab/>
        <w:t>samodzielne publiczne zakłady opieki zdrowotnej,</w:t>
      </w:r>
    </w:p>
    <w:p w:rsidR="00F63719" w:rsidRPr="00F63719" w:rsidRDefault="00F63719" w:rsidP="0072185C">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3)</w:t>
      </w:r>
      <w:r w:rsidRPr="00F63719">
        <w:rPr>
          <w:rFonts w:ascii="Times" w:eastAsia="Times New Roman" w:hAnsi="Times" w:cs="Arial"/>
          <w:bCs/>
          <w:sz w:val="24"/>
          <w:szCs w:val="20"/>
          <w:lang w:eastAsia="pl-PL"/>
        </w:rPr>
        <w:tab/>
        <w:t>jednostki budżetowe, w tym państwowe jednostki budżetowe tworzone i</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 xml:space="preserve">nadzorowane przez Ministra Obrony Narodowej, ministra właściwego do spraw </w:t>
      </w:r>
      <w:r w:rsidRPr="00F63719">
        <w:rPr>
          <w:rFonts w:ascii="Times" w:eastAsia="Times New Roman" w:hAnsi="Times" w:cs="Arial"/>
          <w:bCs/>
          <w:sz w:val="24"/>
          <w:szCs w:val="20"/>
          <w:lang w:eastAsia="pl-PL"/>
        </w:rPr>
        <w:lastRenderedPageBreak/>
        <w:t>wewnętrznych, Ministra Sprawiedliwości lub Szefa Agencji Bezpieczeństwa Wewnętrznego, posiadające w strukturze organizacyjnej ambulatorium, ambulatorium z izbą chorych lub lekarza, o którym mowa w art. 55 ust. 2a ustawy z</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dnia 27 sierpnia 2004 r. o świadczeniach opieki zdrowotnej finansowanych ze środków publicznych,</w:t>
      </w:r>
    </w:p>
    <w:p w:rsidR="00F63719" w:rsidRPr="00F63719" w:rsidRDefault="00F63719" w:rsidP="0072185C">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4)</w:t>
      </w:r>
      <w:r w:rsidRPr="00F63719">
        <w:rPr>
          <w:rFonts w:ascii="Times" w:eastAsia="Times New Roman" w:hAnsi="Times" w:cs="Arial"/>
          <w:bCs/>
          <w:sz w:val="24"/>
          <w:szCs w:val="20"/>
          <w:lang w:eastAsia="pl-PL"/>
        </w:rPr>
        <w:tab/>
        <w:t>instytuty badawcze, o których mowa w art. 3 ustawy z dnia 30 kwietnia 2010 r. o</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instytutach badawczych (Dz. U. z 201</w:t>
      </w:r>
      <w:r w:rsidR="00223F3E">
        <w:rPr>
          <w:rFonts w:ascii="Times" w:eastAsia="Times New Roman" w:hAnsi="Times" w:cs="Arial"/>
          <w:bCs/>
          <w:sz w:val="24"/>
          <w:szCs w:val="20"/>
          <w:lang w:eastAsia="pl-PL"/>
        </w:rPr>
        <w:t>7</w:t>
      </w:r>
      <w:r w:rsidRPr="00F63719">
        <w:rPr>
          <w:rFonts w:ascii="Times" w:eastAsia="Times New Roman" w:hAnsi="Times" w:cs="Arial"/>
          <w:bCs/>
          <w:sz w:val="24"/>
          <w:szCs w:val="20"/>
          <w:lang w:eastAsia="pl-PL"/>
        </w:rPr>
        <w:t xml:space="preserve"> r. poz. </w:t>
      </w:r>
      <w:r w:rsidR="00223F3E">
        <w:rPr>
          <w:rFonts w:ascii="Times" w:eastAsia="Times New Roman" w:hAnsi="Times" w:cs="Arial"/>
          <w:bCs/>
          <w:sz w:val="24"/>
          <w:szCs w:val="20"/>
          <w:lang w:eastAsia="pl-PL"/>
        </w:rPr>
        <w:t>1158</w:t>
      </w:r>
      <w:r w:rsidRPr="00F63719">
        <w:rPr>
          <w:rFonts w:ascii="Times" w:eastAsia="Times New Roman" w:hAnsi="Times" w:cs="Arial"/>
          <w:bCs/>
          <w:sz w:val="24"/>
          <w:szCs w:val="20"/>
          <w:lang w:eastAsia="pl-PL"/>
        </w:rPr>
        <w:t>),</w:t>
      </w:r>
    </w:p>
    <w:p w:rsidR="00F63719" w:rsidRPr="00F63719" w:rsidRDefault="00F63719" w:rsidP="0072185C">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5)</w:t>
      </w:r>
      <w:r w:rsidRPr="00F63719">
        <w:rPr>
          <w:rFonts w:ascii="Times" w:eastAsia="Times New Roman" w:hAnsi="Times" w:cs="Arial"/>
          <w:bCs/>
          <w:sz w:val="24"/>
          <w:szCs w:val="20"/>
          <w:lang w:eastAsia="pl-PL"/>
        </w:rPr>
        <w:tab/>
        <w:t>fundacje i stowarzyszenia, których celem statutowym jest wykonywanie zadań w</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zakresie ochrony zdrowia i których statut dopuszcza prowadzenie działalności leczniczej,</w:t>
      </w:r>
    </w:p>
    <w:p w:rsidR="00F63719" w:rsidRPr="00F63719" w:rsidRDefault="00F63719" w:rsidP="0072185C">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6)</w:t>
      </w:r>
      <w:r w:rsidRPr="00F63719">
        <w:rPr>
          <w:rFonts w:ascii="Times" w:eastAsia="Times New Roman" w:hAnsi="Times" w:cs="Arial"/>
          <w:bCs/>
          <w:sz w:val="24"/>
          <w:szCs w:val="20"/>
          <w:lang w:eastAsia="pl-PL"/>
        </w:rPr>
        <w:tab/>
        <w:t>posiadające osobowość prawną jednostki organizacyjne stowarzyszeń, o których mowa w pkt 5,</w:t>
      </w:r>
    </w:p>
    <w:p w:rsidR="00F63719" w:rsidRPr="00F63719" w:rsidRDefault="00F63719" w:rsidP="0072185C">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7)</w:t>
      </w:r>
      <w:r w:rsidRPr="00F63719">
        <w:rPr>
          <w:rFonts w:ascii="Times" w:eastAsia="Times New Roman" w:hAnsi="Times" w:cs="Arial"/>
          <w:bCs/>
          <w:sz w:val="24"/>
          <w:szCs w:val="20"/>
          <w:lang w:eastAsia="pl-PL"/>
        </w:rPr>
        <w:tab/>
        <w:t>osoby prawne i jednostki organizacyjne działające na podstawie przepisów o</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stosunku Państwa do Kościoła Katolickiego w Rzeczypospolitej Polskiej, o</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stosunku Państwa do innych kościołów i związków wyznaniowych oraz o</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gwarancjach wolności sumienia i wyznania,</w:t>
      </w:r>
    </w:p>
    <w:p w:rsidR="00F63719" w:rsidRPr="00F63719" w:rsidRDefault="00F63719" w:rsidP="0072185C">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8)</w:t>
      </w:r>
      <w:r w:rsidRPr="00F63719">
        <w:rPr>
          <w:rFonts w:ascii="Times" w:eastAsia="Times New Roman" w:hAnsi="Times" w:cs="Arial"/>
          <w:bCs/>
          <w:sz w:val="24"/>
          <w:szCs w:val="20"/>
          <w:lang w:eastAsia="pl-PL"/>
        </w:rPr>
        <w:tab/>
        <w:t>jednostki wojskowe</w:t>
      </w:r>
    </w:p>
    <w:p w:rsidR="00F63719" w:rsidRPr="00F63719" w:rsidRDefault="0072185C" w:rsidP="0072185C">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 </w:t>
      </w:r>
      <w:r w:rsidR="00F63719" w:rsidRPr="00F63719">
        <w:rPr>
          <w:rFonts w:ascii="Times" w:eastAsia="Times New Roman" w:hAnsi="Times" w:cs="Arial"/>
          <w:bCs/>
          <w:sz w:val="24"/>
          <w:szCs w:val="20"/>
          <w:lang w:eastAsia="pl-PL"/>
        </w:rPr>
        <w:t>w zakresie, w jakim wykonują działalność leczniczą.</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 xml:space="preserve">Ponadto prowadzenie rejestrów medycznych może być powierzone jednostkom podległym lub nadzorowanym przez ministra właściwego do spraw zdrowia, wśród których kluczowymi instytucjami, którym minister właściwy do spraw zdrowia może powierzyć prowadzenie rejestru medycznego, są uczelnie medyczne. </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W przypadku zastosowania pierwszego sposobu finansowania, które następuje w</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ramach środków przeznaczonych na finansowanie programu polityki zdrowotnej wskazuje się, że odbywa się ono przez zawarcie umowy cywilnoprawnej z realizatorem programu polityki zdrowotnej, którym może być podmiot wykonujący działalność leczniczą zaś środki finansowe na realizację programów polityki zdrowotnej pochodzą z</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 xml:space="preserve">środków budżetowych będących w dyspozycji ministra właściwego do spraw zdrowia. Warunkiem </w:t>
      </w:r>
      <w:r w:rsidRPr="00F63719">
        <w:rPr>
          <w:rFonts w:ascii="Times" w:eastAsia="Times New Roman" w:hAnsi="Times" w:cs="Arial"/>
          <w:bCs/>
          <w:i/>
          <w:sz w:val="24"/>
          <w:szCs w:val="20"/>
          <w:lang w:eastAsia="pl-PL"/>
        </w:rPr>
        <w:t>sine qua non</w:t>
      </w:r>
      <w:r w:rsidRPr="00F63719">
        <w:rPr>
          <w:rFonts w:ascii="Times" w:eastAsia="Times New Roman" w:hAnsi="Times" w:cs="Arial"/>
          <w:bCs/>
          <w:sz w:val="24"/>
          <w:szCs w:val="20"/>
          <w:lang w:eastAsia="pl-PL"/>
        </w:rPr>
        <w:t xml:space="preserve"> finansowania rejestru medycznego z programu polityki zdrowotnej jest wymóg, aby zakres i problematyka danego rejestru medycznego były zgodne z celami programu polityki zdrowotnej, z którego rejestr medyczny jest finansowany. W przypadku zastosowania ww. sposobu finansowania, do zlecenia przez </w:t>
      </w:r>
      <w:r w:rsidRPr="00F63719">
        <w:rPr>
          <w:rFonts w:ascii="Times" w:eastAsia="Times New Roman" w:hAnsi="Times" w:cs="Arial"/>
          <w:bCs/>
          <w:sz w:val="24"/>
          <w:szCs w:val="20"/>
          <w:lang w:eastAsia="pl-PL"/>
        </w:rPr>
        <w:lastRenderedPageBreak/>
        <w:t>ministra właściwego do spraw zdrowia prowadzenia rejestru przez określony w ustawie podmiot nie będzie miał zastosowania art. 48b ustawy z dnia 27 sierpnia 2004 r. o</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świadczeniach opieki zdrowotnej finansowanych ze środków publicznych.</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Wyłączenie stosowania przepisu art. 48b ustawy z dnia 27 sierpnia 2004 r. o</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świadczeniach opieki zdrowotnej finansowanych ze środków publicznych ma na celu podkreślenie, że procedury wyboru realizatora programu polityki zdrowotnej nie stosuje się do wskazania przez ministra właściwego do spraw zdrowia podmiotu prowadzącego rejestr, który jest tworzony w celu realizacji programu polityki zdrowotnej. Procedurę tworzenia rejestrów medycznych określa art. 20 ust. 1 ustawy.</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F63719">
        <w:rPr>
          <w:rFonts w:ascii="Times" w:eastAsia="Times New Roman" w:hAnsi="Times" w:cs="Arial"/>
          <w:sz w:val="24"/>
          <w:szCs w:val="20"/>
          <w:lang w:eastAsia="pl-PL"/>
        </w:rPr>
        <w:t>Wskazać należy, że potencjalnie, każdy z wymienionych w katalogu powyżej podmiotów, którym można powierzyć prowadzenie rejestrów medycznych, może otrzymać finansowanie na jego prowadzenie, w ramach środków przeznaczonych na finansowanie programu polityki zdrowotnej, o którym mowa w art. 48 ust. 1 ustawy z</w:t>
      </w:r>
      <w:r w:rsidR="0072185C">
        <w:rPr>
          <w:rFonts w:ascii="Times" w:eastAsia="Times New Roman" w:hAnsi="Times" w:cs="Arial"/>
          <w:sz w:val="24"/>
          <w:szCs w:val="20"/>
          <w:lang w:eastAsia="pl-PL"/>
        </w:rPr>
        <w:t> </w:t>
      </w:r>
      <w:r w:rsidRPr="00F63719">
        <w:rPr>
          <w:rFonts w:ascii="Times" w:eastAsia="Times New Roman" w:hAnsi="Times" w:cs="Arial"/>
          <w:sz w:val="24"/>
          <w:szCs w:val="20"/>
          <w:lang w:eastAsia="pl-PL"/>
        </w:rPr>
        <w:t xml:space="preserve">dnia 27 sierpnia 2004 r. o świadczeniach opieki zdrowotnej finansowanych ze środków publicznych, jeżeli zakres działania rejestru medycznego jest zgodny z celami programu polityki zdrowotnej. </w:t>
      </w:r>
    </w:p>
    <w:p w:rsidR="00F63719" w:rsidRPr="00F63719" w:rsidRDefault="00F63719" w:rsidP="00F63719">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Odnosząc się do drugiej możliwości finansowania rejestrów medycznych, przewiduje się, że minister właściwy do spraw zdrowia będzie mógł w formie dotacji celowej finansować lub dofinansować utworzenie i prowadzenie rejestru medycznego prowadzonego przez jednostkę jemu podległą lub przez niego nadzorowaną, przede wszystkim działającą w formie samodzielnego publicznego zakładu opieki zdrowotnej, instytutu badawczego lub uczelni medycznej.</w:t>
      </w:r>
      <w:r w:rsidRPr="00F63719" w:rsidDel="003767ED">
        <w:rPr>
          <w:rFonts w:ascii="Times" w:eastAsia="Times New Roman" w:hAnsi="Times" w:cs="Arial"/>
          <w:bCs/>
          <w:sz w:val="24"/>
          <w:szCs w:val="20"/>
          <w:lang w:eastAsia="pl-PL"/>
        </w:rPr>
        <w:t xml:space="preserve"> </w:t>
      </w:r>
      <w:r w:rsidRPr="00F63719">
        <w:rPr>
          <w:rFonts w:ascii="Times" w:eastAsia="Times New Roman" w:hAnsi="Times" w:cs="Arial"/>
          <w:bCs/>
          <w:sz w:val="24"/>
          <w:szCs w:val="20"/>
          <w:lang w:eastAsia="pl-PL"/>
        </w:rPr>
        <w:t>Istotą bowiem projektowanego przepisu art. 19 ust. 4a pkt 2 jest wyłącznie wskazanie możliwości finansowania lub dofinansowania utworzenia i prowadzenia rejestru w formie dotacji celowej przez ministra właściwego do spraw zdrowia określonym podmiotom, które zwróciły się z</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wnioskiem do ministra właściwego do spraw zdrowia o utworzenie rejestru medycznego (jeśli zaistnieje taka potrzeba).</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Mając na uwadze art. 114 ustawy z dnia 15 kwietnia 2011 r. o działalności leczniczej, zgodnie z którym na realizację zadań, o których mowa w art. 114 ust. 1 pkt 1–6 tej ustawy, podmioty wykonujące działalność leczniczą mogą uzyskać dotację celową w</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 xml:space="preserve">rozumieniu przepisów o finansach publicznych, uznać należy, że każdy z podmiotów wskazanych w katalogu podmiotów, którym można powierzyć prowadzenie rejestrów </w:t>
      </w:r>
      <w:r w:rsidRPr="00F63719">
        <w:rPr>
          <w:rFonts w:ascii="Times" w:eastAsia="Times New Roman" w:hAnsi="Times" w:cs="Arial"/>
          <w:bCs/>
          <w:sz w:val="24"/>
          <w:szCs w:val="20"/>
          <w:lang w:eastAsia="pl-PL"/>
        </w:rPr>
        <w:lastRenderedPageBreak/>
        <w:t>medycznych (są to podmioty wykonujące działalność leczniczą) może – potencjalnie – być podmiotem, który otrzyma dotację celową, z wyłączeniem jednak jednostek budżetowych finansowanych z budżetu państwa z części 46 – Zdrowie, w których przypadku przekazanie środków na prowadzenie rejestru może nastąpić przez zwiększenie planu finansowego przez dysponenta środków – ministra właściwego do spraw zdrowia oraz z wyłączeniem jednostek wojskowych. Przyjąć należy, że jednostki wojskowe, w związku z art. 86 ustawy z dnia 15 kwietnia 2011 r. o działalności leczniczej, traktowane będą odpowiednio w taki sam sposób jak jednostki budżetowe, a</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 xml:space="preserve">co za tym idzie nie będą mogły otrzymywać dotacji celowej. </w:t>
      </w:r>
    </w:p>
    <w:p w:rsidR="00F63719" w:rsidRPr="00F63719" w:rsidRDefault="00F63719" w:rsidP="00F63719">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F63719">
        <w:rPr>
          <w:rFonts w:ascii="Times" w:eastAsia="Times New Roman" w:hAnsi="Times" w:cs="Arial"/>
          <w:sz w:val="24"/>
          <w:szCs w:val="20"/>
          <w:lang w:eastAsia="pl-PL"/>
        </w:rPr>
        <w:t>W przypadku jednostek budżetowych, finansowanych z innych części budżetowych (niż część 46 – Zdrowie), które zgłoszą inicjatywę utworzenia rejestru medycznego, zapewnienie finansowania będzie należało do obowiązku dysponenta właściwej części budżetowej, który może postanowić o zwiększeniu planu finansowego podległej mu jednostki budżetowej.</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F63719">
        <w:rPr>
          <w:rFonts w:ascii="Times" w:eastAsia="Times New Roman" w:hAnsi="Times" w:cs="Arial"/>
          <w:sz w:val="24"/>
          <w:szCs w:val="20"/>
          <w:lang w:eastAsia="pl-PL"/>
        </w:rPr>
        <w:t>Zwiększenie planu finansowego jednostki budżetowej może odbywać się wyłącznie ze środków właściwej części budżetowej, nie ma zatem możliwości, aby ze środków zaplanowanych w części budżetowej 46 – Zdrowie, zwiększyć plan finansowy jednostki budżetowej innej niż podległa ministrowi właściwemu do spraw zdrowia.</w:t>
      </w:r>
    </w:p>
    <w:p w:rsidR="00F63719" w:rsidRPr="00F63719" w:rsidRDefault="00A6482B" w:rsidP="0072185C">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Pr>
          <w:rFonts w:ascii="Times" w:eastAsia="Times New Roman" w:hAnsi="Times" w:cs="Arial"/>
          <w:bCs/>
          <w:sz w:val="24"/>
          <w:szCs w:val="20"/>
          <w:lang w:eastAsia="pl-PL"/>
        </w:rPr>
        <w:t>O</w:t>
      </w:r>
      <w:r w:rsidR="00F63719" w:rsidRPr="00F63719">
        <w:rPr>
          <w:rFonts w:ascii="Times" w:eastAsia="Times New Roman" w:hAnsi="Times" w:cs="Arial"/>
          <w:bCs/>
          <w:sz w:val="24"/>
          <w:szCs w:val="20"/>
          <w:lang w:eastAsia="pl-PL"/>
        </w:rPr>
        <w:t>becn</w:t>
      </w:r>
      <w:r>
        <w:rPr>
          <w:rFonts w:ascii="Times" w:eastAsia="Times New Roman" w:hAnsi="Times" w:cs="Arial"/>
          <w:bCs/>
          <w:sz w:val="24"/>
          <w:szCs w:val="20"/>
          <w:lang w:eastAsia="pl-PL"/>
        </w:rPr>
        <w:t>ie</w:t>
      </w:r>
      <w:r w:rsidR="00F63719" w:rsidRPr="00F63719">
        <w:rPr>
          <w:rFonts w:ascii="Times" w:eastAsia="Times New Roman" w:hAnsi="Times" w:cs="Arial"/>
          <w:bCs/>
          <w:sz w:val="24"/>
          <w:szCs w:val="20"/>
          <w:lang w:eastAsia="pl-PL"/>
        </w:rPr>
        <w:t xml:space="preserve"> minister właściwy do spraw zdrowia na podstawie art. 20 ustawy, utworzył sześć rejestrów medycznych:</w:t>
      </w:r>
    </w:p>
    <w:p w:rsidR="00F63719" w:rsidRPr="00F63719" w:rsidRDefault="0072185C" w:rsidP="0072185C">
      <w:pPr>
        <w:suppressAutoHyphens/>
        <w:autoSpaceDE w:val="0"/>
        <w:autoSpaceDN w:val="0"/>
        <w:adjustRightInd w:val="0"/>
        <w:spacing w:after="0" w:line="360" w:lineRule="auto"/>
        <w:ind w:left="278" w:hanging="278"/>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Pr>
          <w:rFonts w:ascii="Times" w:eastAsia="Times New Roman" w:hAnsi="Times" w:cs="Arial"/>
          <w:bCs/>
          <w:sz w:val="24"/>
          <w:szCs w:val="20"/>
          <w:lang w:eastAsia="pl-PL"/>
        </w:rPr>
        <w:tab/>
      </w:r>
      <w:r w:rsidR="00F63719" w:rsidRPr="00F63719">
        <w:rPr>
          <w:rFonts w:ascii="Times" w:eastAsia="Times New Roman" w:hAnsi="Times" w:cs="Arial"/>
          <w:bCs/>
          <w:sz w:val="24"/>
          <w:szCs w:val="20"/>
          <w:lang w:eastAsia="pl-PL"/>
        </w:rPr>
        <w:t>Krajowy Rejestr Nowotworów prow</w:t>
      </w:r>
      <w:r>
        <w:rPr>
          <w:rFonts w:ascii="Times" w:eastAsia="Times New Roman" w:hAnsi="Times" w:cs="Arial"/>
          <w:bCs/>
          <w:sz w:val="24"/>
          <w:szCs w:val="20"/>
          <w:lang w:eastAsia="pl-PL"/>
        </w:rPr>
        <w:t>adzony przez Centrum Onkologii –</w:t>
      </w:r>
      <w:r w:rsidR="00F63719" w:rsidRPr="00F63719">
        <w:rPr>
          <w:rFonts w:ascii="Times" w:eastAsia="Times New Roman" w:hAnsi="Times" w:cs="Arial"/>
          <w:bCs/>
          <w:sz w:val="24"/>
          <w:szCs w:val="20"/>
          <w:lang w:eastAsia="pl-PL"/>
        </w:rPr>
        <w:t xml:space="preserve"> Instytut im.</w:t>
      </w:r>
      <w:r>
        <w:rPr>
          <w:rFonts w:ascii="Times" w:eastAsia="Times New Roman" w:hAnsi="Times" w:cs="Arial"/>
          <w:bCs/>
          <w:sz w:val="24"/>
          <w:szCs w:val="20"/>
          <w:lang w:eastAsia="pl-PL"/>
        </w:rPr>
        <w:t> </w:t>
      </w:r>
      <w:r w:rsidR="00F63719" w:rsidRPr="00F63719">
        <w:rPr>
          <w:rFonts w:ascii="Times" w:eastAsia="Times New Roman" w:hAnsi="Times" w:cs="Arial"/>
          <w:bCs/>
          <w:sz w:val="24"/>
          <w:szCs w:val="20"/>
          <w:lang w:eastAsia="pl-PL"/>
        </w:rPr>
        <w:t>Marii Skłodowskiej-Curie w Warszawie. Finansowanie funkcjonowania tego rejestru odbywa się ze środków ujętych w ramach Narodowego Programu Zwalczania Chorób Nowotworowych, będącego programem wieloletnim realizowanym na podstawie art. 136 ustawy z dnia 27 sierpnia 2009 r. o finansach publicznych (Dz. U. z 2016 r. poz. 1870, z późn. zm.) oraz programem rozwoju, zgodnie z art. 15 ust. 4 pkt 2 ustawy z dnia 6 grudnia 2006 r. o zasadach prowadzenia polityki rozwoju (Dz. U. z 2016 r. poz. 383, z późn. zm.). W dniu 3 listopada 2015 r. Rada Ministrów podjęła uchwałę nr 208 w sprawie ustanowienia prog</w:t>
      </w:r>
      <w:r w:rsidR="009964DE">
        <w:rPr>
          <w:rFonts w:ascii="Times" w:eastAsia="Times New Roman" w:hAnsi="Times" w:cs="Arial"/>
          <w:bCs/>
          <w:sz w:val="24"/>
          <w:szCs w:val="20"/>
          <w:lang w:eastAsia="pl-PL"/>
        </w:rPr>
        <w:t>ramu wieloletniego na lata 2016–</w:t>
      </w:r>
      <w:r w:rsidR="00F63719" w:rsidRPr="00F63719">
        <w:rPr>
          <w:rFonts w:ascii="Times" w:eastAsia="Times New Roman" w:hAnsi="Times" w:cs="Arial"/>
          <w:bCs/>
          <w:sz w:val="24"/>
          <w:szCs w:val="20"/>
          <w:lang w:eastAsia="pl-PL"/>
        </w:rPr>
        <w:t xml:space="preserve">2024 pod nazwą „Narodowy Program Zwalczania Chorób Nowotworowych” (M.P. poz. 1165). Na realizację programów zdrowotnych finansowanych z budżetu ministra właściwego do spraw zdrowia środki finansowe </w:t>
      </w:r>
      <w:r w:rsidR="00F63719" w:rsidRPr="00F63719">
        <w:rPr>
          <w:rFonts w:ascii="Times" w:eastAsia="Times New Roman" w:hAnsi="Times" w:cs="Arial"/>
          <w:bCs/>
          <w:sz w:val="24"/>
          <w:szCs w:val="20"/>
          <w:lang w:eastAsia="pl-PL"/>
        </w:rPr>
        <w:lastRenderedPageBreak/>
        <w:t xml:space="preserve">zabezpieczane są w ustawie budżetowej w części 46 – Zdrowie, dział 851 – Ochrona Zdrowia, rozdział 85149 – Programy Polityki Zdrowotnej. W roku 2016 zaplanowano na ten cel łącznie kwotę </w:t>
      </w:r>
      <w:r>
        <w:rPr>
          <w:rFonts w:ascii="Times" w:eastAsia="Times New Roman" w:hAnsi="Times" w:cs="Arial"/>
          <w:bCs/>
          <w:sz w:val="24"/>
          <w:szCs w:val="20"/>
          <w:lang w:eastAsia="pl-PL"/>
        </w:rPr>
        <w:t>1 226 196 </w:t>
      </w:r>
      <w:r w:rsidR="00F63719" w:rsidRPr="00F63719">
        <w:rPr>
          <w:rFonts w:ascii="Times" w:eastAsia="Times New Roman" w:hAnsi="Times" w:cs="Arial"/>
          <w:bCs/>
          <w:sz w:val="24"/>
          <w:szCs w:val="20"/>
          <w:lang w:eastAsia="pl-PL"/>
        </w:rPr>
        <w:t xml:space="preserve">366 zł, z kolei w roku bieżącym zaplanowano na ten cel łącznie kwotę </w:t>
      </w:r>
      <w:r>
        <w:rPr>
          <w:rFonts w:ascii="Times" w:eastAsia="Times New Roman" w:hAnsi="Times" w:cs="Arial"/>
          <w:bCs/>
          <w:sz w:val="24"/>
          <w:szCs w:val="20"/>
          <w:lang w:eastAsia="pl-PL"/>
        </w:rPr>
        <w:t>1 020 </w:t>
      </w:r>
      <w:r w:rsidR="00F63719" w:rsidRPr="00F63719">
        <w:rPr>
          <w:rFonts w:ascii="Times" w:eastAsia="Times New Roman" w:hAnsi="Times" w:cs="Arial"/>
          <w:bCs/>
          <w:sz w:val="24"/>
          <w:szCs w:val="20"/>
          <w:lang w:eastAsia="pl-PL"/>
        </w:rPr>
        <w:t>176</w:t>
      </w:r>
      <w:r>
        <w:rPr>
          <w:rFonts w:ascii="Times" w:eastAsia="Times New Roman" w:hAnsi="Times" w:cs="Arial"/>
          <w:bCs/>
          <w:sz w:val="24"/>
          <w:szCs w:val="20"/>
          <w:lang w:eastAsia="pl-PL"/>
        </w:rPr>
        <w:t> </w:t>
      </w:r>
      <w:r w:rsidR="00F63719" w:rsidRPr="00F63719">
        <w:rPr>
          <w:rFonts w:ascii="Times" w:eastAsia="Times New Roman" w:hAnsi="Times" w:cs="Arial"/>
          <w:bCs/>
          <w:sz w:val="24"/>
          <w:szCs w:val="20"/>
          <w:lang w:eastAsia="pl-PL"/>
        </w:rPr>
        <w:t xml:space="preserve">000 zł. Finansowanie rejestru wyniosło w </w:t>
      </w:r>
      <w:r>
        <w:rPr>
          <w:rFonts w:ascii="Times" w:eastAsia="Times New Roman" w:hAnsi="Times" w:cs="Arial"/>
          <w:bCs/>
          <w:sz w:val="24"/>
          <w:szCs w:val="20"/>
          <w:lang w:eastAsia="pl-PL"/>
        </w:rPr>
        <w:t>2016 r. łącznie około 2 600 </w:t>
      </w:r>
      <w:r w:rsidR="00F63719" w:rsidRPr="00F63719">
        <w:rPr>
          <w:rFonts w:ascii="Times" w:eastAsia="Times New Roman" w:hAnsi="Times" w:cs="Arial"/>
          <w:bCs/>
          <w:sz w:val="24"/>
          <w:szCs w:val="20"/>
          <w:lang w:eastAsia="pl-PL"/>
        </w:rPr>
        <w:t>000 zł. Wydatki na ten rejestr we wskazanej kwocie będą ponoszone również w latach następnych;</w:t>
      </w:r>
    </w:p>
    <w:p w:rsidR="00F63719" w:rsidRPr="00F63719" w:rsidRDefault="0072185C" w:rsidP="0072185C">
      <w:pPr>
        <w:suppressAutoHyphens/>
        <w:autoSpaceDE w:val="0"/>
        <w:autoSpaceDN w:val="0"/>
        <w:adjustRightInd w:val="0"/>
        <w:spacing w:after="0" w:line="360" w:lineRule="auto"/>
        <w:ind w:left="278" w:hanging="278"/>
        <w:jc w:val="both"/>
        <w:rPr>
          <w:rFonts w:ascii="Times" w:eastAsia="Times New Roman" w:hAnsi="Times" w:cs="Arial"/>
          <w:bCs/>
          <w:sz w:val="24"/>
          <w:szCs w:val="20"/>
          <w:lang w:eastAsia="pl-PL"/>
        </w:rPr>
      </w:pPr>
      <w:r>
        <w:rPr>
          <w:rFonts w:ascii="Times" w:eastAsia="Times New Roman" w:hAnsi="Times" w:cs="Arial"/>
          <w:bCs/>
          <w:sz w:val="24"/>
          <w:szCs w:val="20"/>
          <w:lang w:eastAsia="pl-PL"/>
        </w:rPr>
        <w:t>2.</w:t>
      </w:r>
      <w:r>
        <w:rPr>
          <w:rFonts w:ascii="Times" w:eastAsia="Times New Roman" w:hAnsi="Times" w:cs="Arial"/>
          <w:bCs/>
          <w:sz w:val="24"/>
          <w:szCs w:val="20"/>
          <w:lang w:eastAsia="pl-PL"/>
        </w:rPr>
        <w:tab/>
      </w:r>
      <w:r w:rsidR="00F63719" w:rsidRPr="00F63719">
        <w:rPr>
          <w:rFonts w:ascii="Times" w:eastAsia="Times New Roman" w:hAnsi="Times" w:cs="Arial"/>
          <w:bCs/>
          <w:sz w:val="24"/>
          <w:szCs w:val="20"/>
          <w:lang w:eastAsia="pl-PL"/>
        </w:rPr>
        <w:t>Rejestr Nowotworów Niezłośliwych Dużych Gruczołów Ślinowych prowadzony przez Szpital Kliniczny im. Heliodora Święcickiego Uniwersytetu Medycznego im. Karola Marcinkowskiego w Poznaniu. Finansowanie funkcjonowania tego rejestru odbywa się ze środków własnych podmiotu prowadzącego ten rejestr, który zobowiązał się wobec ministra właściwego do spraw zdrowia do zabezpieczenia środków na sfinansowanie funkcjonowania przedmiotowego rejestru. Środki, które zostały wydatkowane jednorazowo na zakup i wymianę infrastruktury oraz zakup licencji wyniosły 4500 zł, zaś koszty roczne jego funkcjonowania wynoszą 18</w:t>
      </w:r>
      <w:r>
        <w:rPr>
          <w:rFonts w:ascii="Times" w:eastAsia="Times New Roman" w:hAnsi="Times" w:cs="Arial"/>
          <w:bCs/>
          <w:sz w:val="24"/>
          <w:szCs w:val="20"/>
          <w:lang w:eastAsia="pl-PL"/>
        </w:rPr>
        <w:t> </w:t>
      </w:r>
      <w:r w:rsidR="00F63719" w:rsidRPr="00F63719">
        <w:rPr>
          <w:rFonts w:ascii="Times" w:eastAsia="Times New Roman" w:hAnsi="Times" w:cs="Arial"/>
          <w:bCs/>
          <w:sz w:val="24"/>
          <w:szCs w:val="20"/>
          <w:lang w:eastAsia="pl-PL"/>
        </w:rPr>
        <w:t>000</w:t>
      </w:r>
      <w:r>
        <w:rPr>
          <w:rFonts w:ascii="Times" w:eastAsia="Times New Roman" w:hAnsi="Times" w:cs="Arial"/>
          <w:bCs/>
          <w:sz w:val="24"/>
          <w:szCs w:val="20"/>
          <w:lang w:eastAsia="pl-PL"/>
        </w:rPr>
        <w:t> </w:t>
      </w:r>
      <w:r w:rsidR="00F63719" w:rsidRPr="00F63719">
        <w:rPr>
          <w:rFonts w:ascii="Times" w:eastAsia="Times New Roman" w:hAnsi="Times" w:cs="Arial"/>
          <w:bCs/>
          <w:sz w:val="24"/>
          <w:szCs w:val="20"/>
          <w:lang w:eastAsia="pl-PL"/>
        </w:rPr>
        <w:t>zł;</w:t>
      </w:r>
    </w:p>
    <w:p w:rsidR="00F63719" w:rsidRPr="00F63719" w:rsidRDefault="0072185C" w:rsidP="0072185C">
      <w:pPr>
        <w:suppressAutoHyphens/>
        <w:autoSpaceDE w:val="0"/>
        <w:autoSpaceDN w:val="0"/>
        <w:adjustRightInd w:val="0"/>
        <w:spacing w:after="0" w:line="360" w:lineRule="auto"/>
        <w:ind w:left="278" w:hanging="278"/>
        <w:jc w:val="both"/>
        <w:rPr>
          <w:rFonts w:ascii="Times" w:eastAsia="Times New Roman" w:hAnsi="Times" w:cs="Arial"/>
          <w:bCs/>
          <w:sz w:val="24"/>
          <w:szCs w:val="20"/>
          <w:lang w:eastAsia="pl-PL"/>
        </w:rPr>
      </w:pPr>
      <w:r>
        <w:rPr>
          <w:rFonts w:ascii="Times" w:eastAsia="Times New Roman" w:hAnsi="Times" w:cs="Arial"/>
          <w:bCs/>
          <w:sz w:val="24"/>
          <w:szCs w:val="20"/>
          <w:lang w:eastAsia="pl-PL"/>
        </w:rPr>
        <w:t>3.</w:t>
      </w:r>
      <w:r>
        <w:rPr>
          <w:rFonts w:ascii="Times" w:eastAsia="Times New Roman" w:hAnsi="Times" w:cs="Arial"/>
          <w:bCs/>
          <w:sz w:val="24"/>
          <w:szCs w:val="20"/>
          <w:lang w:eastAsia="pl-PL"/>
        </w:rPr>
        <w:tab/>
      </w:r>
      <w:r w:rsidR="00F63719" w:rsidRPr="00F63719">
        <w:rPr>
          <w:rFonts w:ascii="Times" w:eastAsia="Times New Roman" w:hAnsi="Times" w:cs="Arial"/>
          <w:bCs/>
          <w:sz w:val="24"/>
          <w:szCs w:val="20"/>
          <w:lang w:eastAsia="pl-PL"/>
        </w:rPr>
        <w:t>Ogólnopolski Rejestr Ostrych Zespołów Wieńcowych prowadzony przez Śląskie Centrum Chorób Serca w Zabrzu finansowany jest ze środków ujętych w ramach Narodowego Programu Wyrównywania Dostępności do Profilaktyki i Leczenia Chorób Układu Sercowo-Naczyniowego POLKARD,</w:t>
      </w:r>
      <w:r>
        <w:rPr>
          <w:rFonts w:ascii="Times" w:eastAsia="Times New Roman" w:hAnsi="Times" w:cs="Arial"/>
          <w:bCs/>
          <w:sz w:val="24"/>
          <w:szCs w:val="20"/>
          <w:lang w:eastAsia="pl-PL"/>
        </w:rPr>
        <w:t xml:space="preserve"> w wysokości 250 </w:t>
      </w:r>
      <w:r w:rsidR="00F63719" w:rsidRPr="00F63719">
        <w:rPr>
          <w:rFonts w:ascii="Times" w:eastAsia="Times New Roman" w:hAnsi="Times" w:cs="Arial"/>
          <w:bCs/>
          <w:sz w:val="24"/>
          <w:szCs w:val="20"/>
          <w:lang w:eastAsia="pl-PL"/>
        </w:rPr>
        <w:t>000 zł rocznie;</w:t>
      </w:r>
    </w:p>
    <w:p w:rsidR="00F63719" w:rsidRPr="00F63719" w:rsidRDefault="0072185C" w:rsidP="0072185C">
      <w:pPr>
        <w:suppressAutoHyphens/>
        <w:autoSpaceDE w:val="0"/>
        <w:autoSpaceDN w:val="0"/>
        <w:adjustRightInd w:val="0"/>
        <w:spacing w:after="0" w:line="360" w:lineRule="auto"/>
        <w:ind w:left="278" w:hanging="278"/>
        <w:jc w:val="both"/>
        <w:rPr>
          <w:rFonts w:ascii="Times" w:eastAsia="Times New Roman" w:hAnsi="Times" w:cs="Arial"/>
          <w:bCs/>
          <w:sz w:val="24"/>
          <w:szCs w:val="20"/>
          <w:lang w:eastAsia="pl-PL"/>
        </w:rPr>
      </w:pPr>
      <w:r>
        <w:rPr>
          <w:rFonts w:ascii="Times" w:eastAsia="Times New Roman" w:hAnsi="Times" w:cs="Arial"/>
          <w:bCs/>
          <w:sz w:val="24"/>
          <w:szCs w:val="20"/>
          <w:lang w:eastAsia="pl-PL"/>
        </w:rPr>
        <w:t>4.</w:t>
      </w:r>
      <w:r>
        <w:rPr>
          <w:rFonts w:ascii="Times" w:eastAsia="Times New Roman" w:hAnsi="Times" w:cs="Arial"/>
          <w:bCs/>
          <w:sz w:val="24"/>
          <w:szCs w:val="20"/>
          <w:lang w:eastAsia="pl-PL"/>
        </w:rPr>
        <w:tab/>
      </w:r>
      <w:r w:rsidR="00F63719" w:rsidRPr="00F63719">
        <w:rPr>
          <w:rFonts w:ascii="Times" w:eastAsia="Times New Roman" w:hAnsi="Times" w:cs="Arial"/>
          <w:bCs/>
          <w:sz w:val="24"/>
          <w:szCs w:val="20"/>
          <w:lang w:eastAsia="pl-PL"/>
        </w:rPr>
        <w:t xml:space="preserve">Krajowy Rejestr Operacji Kardiochirurgicznych prowadzony przez Instytut „Pomnik </w:t>
      </w:r>
      <w:r>
        <w:rPr>
          <w:rFonts w:ascii="Times" w:eastAsia="Times New Roman" w:hAnsi="Times" w:cs="Arial"/>
          <w:bCs/>
          <w:sz w:val="24"/>
          <w:szCs w:val="20"/>
          <w:lang w:eastAsia="pl-PL"/>
        </w:rPr>
        <w:t>–</w:t>
      </w:r>
      <w:r w:rsidR="00F63719" w:rsidRPr="00F63719">
        <w:rPr>
          <w:rFonts w:ascii="Times" w:eastAsia="Times New Roman" w:hAnsi="Times" w:cs="Arial"/>
          <w:bCs/>
          <w:sz w:val="24"/>
          <w:szCs w:val="20"/>
          <w:lang w:eastAsia="pl-PL"/>
        </w:rPr>
        <w:t xml:space="preserve"> Centrum Zdrowia Dziecka” w Warszawie finansowany jest ze środków ujętych w</w:t>
      </w:r>
      <w:r>
        <w:rPr>
          <w:rFonts w:ascii="Times" w:eastAsia="Times New Roman" w:hAnsi="Times" w:cs="Arial"/>
          <w:bCs/>
          <w:sz w:val="24"/>
          <w:szCs w:val="20"/>
          <w:lang w:eastAsia="pl-PL"/>
        </w:rPr>
        <w:t> </w:t>
      </w:r>
      <w:r w:rsidR="00F63719" w:rsidRPr="00F63719">
        <w:rPr>
          <w:rFonts w:ascii="Times" w:eastAsia="Times New Roman" w:hAnsi="Times" w:cs="Arial"/>
          <w:bCs/>
          <w:sz w:val="24"/>
          <w:szCs w:val="20"/>
          <w:lang w:eastAsia="pl-PL"/>
        </w:rPr>
        <w:t>ramach Narodowego Programu Wyrównywania Dostępności do Profilaktyki i</w:t>
      </w:r>
      <w:r>
        <w:rPr>
          <w:rFonts w:ascii="Times" w:eastAsia="Times New Roman" w:hAnsi="Times" w:cs="Arial"/>
          <w:bCs/>
          <w:sz w:val="24"/>
          <w:szCs w:val="20"/>
          <w:lang w:eastAsia="pl-PL"/>
        </w:rPr>
        <w:t> </w:t>
      </w:r>
      <w:r w:rsidR="00F63719" w:rsidRPr="00F63719">
        <w:rPr>
          <w:rFonts w:ascii="Times" w:eastAsia="Times New Roman" w:hAnsi="Times" w:cs="Arial"/>
          <w:bCs/>
          <w:sz w:val="24"/>
          <w:szCs w:val="20"/>
          <w:lang w:eastAsia="pl-PL"/>
        </w:rPr>
        <w:t>Leczenia Chorób Układu Sercowo-Naczyniowego POLKARD, w wysokości około</w:t>
      </w:r>
      <w:r>
        <w:rPr>
          <w:rFonts w:ascii="Times" w:eastAsia="Times New Roman" w:hAnsi="Times" w:cs="Arial"/>
          <w:bCs/>
          <w:sz w:val="24"/>
          <w:szCs w:val="20"/>
          <w:lang w:eastAsia="pl-PL"/>
        </w:rPr>
        <w:t xml:space="preserve"> 280 </w:t>
      </w:r>
      <w:r w:rsidR="00F63719" w:rsidRPr="00F63719">
        <w:rPr>
          <w:rFonts w:ascii="Times" w:eastAsia="Times New Roman" w:hAnsi="Times" w:cs="Arial"/>
          <w:bCs/>
          <w:sz w:val="24"/>
          <w:szCs w:val="20"/>
          <w:lang w:eastAsia="pl-PL"/>
        </w:rPr>
        <w:t>000 zł rocznie;</w:t>
      </w:r>
    </w:p>
    <w:p w:rsidR="00F63719" w:rsidRPr="00F63719" w:rsidRDefault="0072185C" w:rsidP="0072185C">
      <w:pPr>
        <w:suppressAutoHyphens/>
        <w:autoSpaceDE w:val="0"/>
        <w:autoSpaceDN w:val="0"/>
        <w:adjustRightInd w:val="0"/>
        <w:spacing w:after="0" w:line="360" w:lineRule="auto"/>
        <w:ind w:left="278" w:hanging="278"/>
        <w:jc w:val="both"/>
        <w:rPr>
          <w:rFonts w:ascii="Times" w:eastAsia="Times New Roman" w:hAnsi="Times" w:cs="Arial"/>
          <w:bCs/>
          <w:sz w:val="24"/>
          <w:szCs w:val="20"/>
          <w:lang w:eastAsia="pl-PL"/>
        </w:rPr>
      </w:pPr>
      <w:r>
        <w:rPr>
          <w:rFonts w:ascii="Times" w:eastAsia="Times New Roman" w:hAnsi="Times" w:cs="Arial"/>
          <w:bCs/>
          <w:sz w:val="24"/>
          <w:szCs w:val="20"/>
          <w:lang w:eastAsia="pl-PL"/>
        </w:rPr>
        <w:t>5.</w:t>
      </w:r>
      <w:r>
        <w:rPr>
          <w:rFonts w:ascii="Times" w:eastAsia="Times New Roman" w:hAnsi="Times" w:cs="Arial"/>
          <w:bCs/>
          <w:sz w:val="24"/>
          <w:szCs w:val="20"/>
          <w:lang w:eastAsia="pl-PL"/>
        </w:rPr>
        <w:tab/>
      </w:r>
      <w:r w:rsidR="00F63719" w:rsidRPr="00F63719">
        <w:rPr>
          <w:rFonts w:ascii="Times" w:eastAsia="Times New Roman" w:hAnsi="Times" w:cs="Arial"/>
          <w:bCs/>
          <w:sz w:val="24"/>
          <w:szCs w:val="20"/>
          <w:lang w:eastAsia="pl-PL"/>
        </w:rPr>
        <w:t>Rejestr Medycznie Wspomaganej Prokreacji prowadzony przez ministra właściwego do spraw zdrowia. Rejestr ten był finansowany z budżetu państwa – do końca 2015 r. w ramach Programu – Leczenie Niepłodności Metodą Zapłodnien</w:t>
      </w:r>
      <w:r w:rsidR="009964DE">
        <w:rPr>
          <w:rFonts w:ascii="Times" w:eastAsia="Times New Roman" w:hAnsi="Times" w:cs="Arial"/>
          <w:bCs/>
          <w:sz w:val="24"/>
          <w:szCs w:val="20"/>
          <w:lang w:eastAsia="pl-PL"/>
        </w:rPr>
        <w:t>ia Pozaustrojowego na lata 2013–</w:t>
      </w:r>
      <w:r w:rsidR="00F63719" w:rsidRPr="00F63719">
        <w:rPr>
          <w:rFonts w:ascii="Times" w:eastAsia="Times New Roman" w:hAnsi="Times" w:cs="Arial"/>
          <w:bCs/>
          <w:sz w:val="24"/>
          <w:szCs w:val="20"/>
          <w:lang w:eastAsia="pl-PL"/>
        </w:rPr>
        <w:t>2016, natomiast w 2016 r. koszty jego funkcjonowania były pokrywane w ramach bieżących wydatków Centrum Systemów Informacyjnych Ochrony Zdrowia;</w:t>
      </w:r>
    </w:p>
    <w:p w:rsidR="00F63719" w:rsidRPr="00F63719" w:rsidRDefault="0072185C" w:rsidP="0072185C">
      <w:pPr>
        <w:suppressAutoHyphens/>
        <w:autoSpaceDE w:val="0"/>
        <w:autoSpaceDN w:val="0"/>
        <w:adjustRightInd w:val="0"/>
        <w:spacing w:after="0" w:line="360" w:lineRule="auto"/>
        <w:ind w:left="278" w:hanging="278"/>
        <w:jc w:val="both"/>
        <w:rPr>
          <w:rFonts w:ascii="Times" w:eastAsia="Times New Roman" w:hAnsi="Times" w:cs="Arial"/>
          <w:sz w:val="24"/>
          <w:szCs w:val="20"/>
          <w:lang w:eastAsia="pl-PL"/>
        </w:rPr>
      </w:pPr>
      <w:r>
        <w:rPr>
          <w:rFonts w:ascii="Times" w:eastAsia="Times New Roman" w:hAnsi="Times" w:cs="Arial"/>
          <w:sz w:val="24"/>
          <w:szCs w:val="20"/>
          <w:lang w:eastAsia="pl-PL"/>
        </w:rPr>
        <w:t>6.</w:t>
      </w:r>
      <w:r>
        <w:rPr>
          <w:rFonts w:ascii="Times" w:eastAsia="Times New Roman" w:hAnsi="Times" w:cs="Arial"/>
          <w:sz w:val="24"/>
          <w:szCs w:val="20"/>
          <w:lang w:eastAsia="pl-PL"/>
        </w:rPr>
        <w:tab/>
      </w:r>
      <w:r w:rsidR="00F63719" w:rsidRPr="00F63719">
        <w:rPr>
          <w:rFonts w:ascii="Times" w:eastAsia="Times New Roman" w:hAnsi="Times" w:cs="Arial"/>
          <w:sz w:val="24"/>
          <w:szCs w:val="20"/>
          <w:lang w:eastAsia="pl-PL"/>
        </w:rPr>
        <w:t xml:space="preserve">Polski Rejestr Wrodzonych Wad </w:t>
      </w:r>
      <w:r w:rsidR="00F63719" w:rsidRPr="00F63719">
        <w:rPr>
          <w:rFonts w:ascii="Times" w:eastAsia="Times New Roman" w:hAnsi="Times" w:cs="Arial"/>
          <w:bCs/>
          <w:sz w:val="24"/>
          <w:szCs w:val="20"/>
          <w:lang w:eastAsia="pl-PL"/>
        </w:rPr>
        <w:t>Rozwojowych</w:t>
      </w:r>
      <w:r w:rsidR="00F63719" w:rsidRPr="00F63719">
        <w:rPr>
          <w:rFonts w:ascii="Times" w:eastAsia="Times New Roman" w:hAnsi="Times" w:cs="Arial"/>
          <w:sz w:val="24"/>
          <w:szCs w:val="20"/>
          <w:lang w:eastAsia="pl-PL"/>
        </w:rPr>
        <w:t xml:space="preserve"> prowadzony przez Uniwersytet Medyczny im. Karola Marcinkowskiego w Poznaniu od 1 kwietnia 1997 r. W okresie </w:t>
      </w:r>
      <w:r w:rsidR="00F63719" w:rsidRPr="00F63719">
        <w:rPr>
          <w:rFonts w:ascii="Times" w:eastAsia="Times New Roman" w:hAnsi="Times" w:cs="Arial"/>
          <w:sz w:val="24"/>
          <w:szCs w:val="20"/>
          <w:lang w:eastAsia="pl-PL"/>
        </w:rPr>
        <w:lastRenderedPageBreak/>
        <w:t xml:space="preserve">do 2000 r. rejestr finansowany był przez Komitet Badań Naukowych. Od 2000 r. był częścią programu profilaktycznego „Program Monitorowania i Poprawy Pierwotnej Profilaktyki Wrodzonych Wad Rozwojowych w Polsce”. W okresie od 2009 r. do 2011 r. funkcjonował w ramach „Programu kompleksowej diagnostyki i terapii wewnątrzmacicznej w profilaktyce następstw i powikłań wad rozwojowych i chorób płodu – jako element poprawy stanu zdrowia płodów i noworodków na lata </w:t>
      </w:r>
      <w:r>
        <w:rPr>
          <w:rFonts w:ascii="Times" w:eastAsia="Times New Roman" w:hAnsi="Times" w:cs="Arial"/>
          <w:sz w:val="24"/>
          <w:szCs w:val="20"/>
          <w:lang w:eastAsia="pl-PL"/>
        </w:rPr>
        <w:br/>
      </w:r>
      <w:r w:rsidR="00F63719" w:rsidRPr="00F63719">
        <w:rPr>
          <w:rFonts w:ascii="Times" w:eastAsia="Times New Roman" w:hAnsi="Times" w:cs="Arial"/>
          <w:sz w:val="24"/>
          <w:szCs w:val="20"/>
          <w:lang w:eastAsia="pl-PL"/>
        </w:rPr>
        <w:t>2009</w:t>
      </w:r>
      <w:r>
        <w:rPr>
          <w:rFonts w:ascii="Times" w:eastAsia="Times New Roman" w:hAnsi="Times" w:cs="Arial"/>
          <w:sz w:val="24"/>
          <w:szCs w:val="20"/>
          <w:lang w:eastAsia="pl-PL"/>
        </w:rPr>
        <w:t>–</w:t>
      </w:r>
      <w:r w:rsidR="00F63719" w:rsidRPr="00F63719">
        <w:rPr>
          <w:rFonts w:ascii="Times" w:eastAsia="Times New Roman" w:hAnsi="Times" w:cs="Arial"/>
          <w:sz w:val="24"/>
          <w:szCs w:val="20"/>
          <w:lang w:eastAsia="pl-PL"/>
        </w:rPr>
        <w:t>2013”. Szacunkowe roczne koszty związane z prowadzeniem i utrzymaniem rejestru opiewają na kwotę</w:t>
      </w:r>
      <w:r>
        <w:rPr>
          <w:rFonts w:ascii="Times" w:eastAsia="Times New Roman" w:hAnsi="Times" w:cs="Arial"/>
          <w:sz w:val="24"/>
          <w:szCs w:val="20"/>
          <w:lang w:eastAsia="pl-PL"/>
        </w:rPr>
        <w:t xml:space="preserve"> 295 </w:t>
      </w:r>
      <w:r w:rsidR="00F63719" w:rsidRPr="00F63719">
        <w:rPr>
          <w:rFonts w:ascii="Times" w:eastAsia="Times New Roman" w:hAnsi="Times" w:cs="Arial"/>
          <w:sz w:val="24"/>
          <w:szCs w:val="20"/>
          <w:lang w:eastAsia="pl-PL"/>
        </w:rPr>
        <w:t>200 zł, a ich pokrywanie następować będzie z</w:t>
      </w:r>
      <w:r>
        <w:rPr>
          <w:rFonts w:ascii="Times" w:eastAsia="Times New Roman" w:hAnsi="Times" w:cs="Arial"/>
          <w:sz w:val="24"/>
          <w:szCs w:val="20"/>
          <w:lang w:eastAsia="pl-PL"/>
        </w:rPr>
        <w:t> </w:t>
      </w:r>
      <w:r w:rsidR="00F63719" w:rsidRPr="00F63719">
        <w:rPr>
          <w:rFonts w:ascii="Times" w:eastAsia="Times New Roman" w:hAnsi="Times" w:cs="Arial"/>
          <w:sz w:val="24"/>
          <w:szCs w:val="20"/>
          <w:lang w:eastAsia="pl-PL"/>
        </w:rPr>
        <w:t>budżetu państwa z części 46 – Zdrowie.</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W art. 19 ust. 8 ustawy wprowadzono obowiązek nieodpłatnego przekazywania danych do rejestrów medycznych przez usługodawców oraz podmioty prowadzące rejestry publiczne i rejestry medyczne. Z przedmiotową zmianą skorelowana została zmiana upoważnienia ustawowego zawartego w art. 20 ust. 1 ustawy, polegająca na dodaniu pkt 3a. W świetle powyższej propozycji minister właściwy do spraw zdrowia w</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rozporządzeniu tworzącym dany rejestr medyczny będzie określał usługodawców i</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podmioty prowadzące rejestry publiczne i rejestry medyczne zobowiązanych do przekazywania danych do tego rejestru, jak również sposób i terminy przekazywania tych danych.</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Jednocześnie w art. 20 ust. 1 ustawy proponuje się uchylenie pkt 6 określającego sposób zabezpieczenia danych osobowych zawartych w rejestrze przed nieuprawnionym dostępem, przy jednoczesnym uwzględnieniu przepisów określających tę materię w</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dodawanych ust. 15 i 16 w art. 19 ustawy.</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W art. 22 ustawy proponuje się zmianę ust. 4 przez wskazanie, że administratorem danych przetwarzanych w systemie RUM – NFZ jest Narodowy Fundusz Zdrowia. System RUM – NFZ jest systemem teleinformatycznym, którego celem jest przetwarzanie danych o udzielonych i planowanych świadczeniach opieki zdrowotnej finansowanych ze środków publicznych oraz rozliczanie tych świadczeń. Zważywszy, że Narodowy Fundusz Zdrowia jest jednostką, która w praktyce decyduje o celach i</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 xml:space="preserve">środkach przetwarzania danych osobowych, m.in. na potrzeby rozliczania świadczeń, powyższa zmiana usankcjonuje jedynie istniejący stan faktyczny. Nieodzownym wobec tego jest także wprowadzenie możliwości tzw. </w:t>
      </w:r>
      <w:r w:rsidR="00A6482B">
        <w:rPr>
          <w:rFonts w:ascii="Times" w:eastAsia="Times New Roman" w:hAnsi="Times" w:cs="Arial"/>
          <w:bCs/>
          <w:sz w:val="24"/>
          <w:szCs w:val="20"/>
          <w:lang w:eastAsia="pl-PL"/>
        </w:rPr>
        <w:t>„</w:t>
      </w:r>
      <w:r w:rsidRPr="00F63719">
        <w:rPr>
          <w:rFonts w:ascii="Times" w:eastAsia="Times New Roman" w:hAnsi="Times" w:cs="Arial"/>
          <w:bCs/>
          <w:sz w:val="24"/>
          <w:szCs w:val="20"/>
          <w:lang w:eastAsia="pl-PL"/>
        </w:rPr>
        <w:t>outsourcingu</w:t>
      </w:r>
      <w:r w:rsidR="00A6482B">
        <w:rPr>
          <w:rFonts w:ascii="Times" w:eastAsia="Times New Roman" w:hAnsi="Times" w:cs="Arial"/>
          <w:bCs/>
          <w:sz w:val="24"/>
          <w:szCs w:val="20"/>
          <w:lang w:eastAsia="pl-PL"/>
        </w:rPr>
        <w:t>”</w:t>
      </w:r>
      <w:r w:rsidRPr="00F63719">
        <w:rPr>
          <w:rFonts w:ascii="Times" w:eastAsia="Times New Roman" w:hAnsi="Times" w:cs="Arial"/>
          <w:bCs/>
          <w:sz w:val="24"/>
          <w:szCs w:val="20"/>
          <w:lang w:eastAsia="pl-PL"/>
        </w:rPr>
        <w:t xml:space="preserve"> danych przetwarzanych w</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 xml:space="preserve">systemie podmiotom wyspecjalizowanym w zapewnianiu obsługi technicznej </w:t>
      </w:r>
      <w:r w:rsidRPr="00F63719">
        <w:rPr>
          <w:rFonts w:ascii="Times" w:eastAsia="Times New Roman" w:hAnsi="Times" w:cs="Arial"/>
          <w:bCs/>
          <w:sz w:val="24"/>
          <w:szCs w:val="20"/>
          <w:lang w:eastAsia="pl-PL"/>
        </w:rPr>
        <w:lastRenderedPageBreak/>
        <w:t>systemów teleinformatycznych, podobnie jak jest to w przypadku innych rejestrów, o</w:t>
      </w:r>
      <w:r w:rsidR="0072185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których mowa w art. 20 ustawy, przy zachowaniu wszelkich mechanizmów, mających na celu stosowne zabezpieczenie i ochronę danych na poziomie wysokim w rozumieniu ustawy z dnia 29 sierpnia 1997 r. o ochronie danych osobowych. Dodatkowo, wprowadzono rozwiązanie zgodnie z którym, Narodowy Fundusz Zdrowia będzie przekazywał nieodpłatnie ministrowi właściwemu do spraw zdrowia, na jego wniosek, dane zawarte w systemie RUM – NFZ w sposób uniemożliwiający identyfikację osoby, której dotyczą lub dane statystyczne na podstawie danych zawartych w systemie RUM – NFZ, w tym danych udostępnionych Narodowemu Funduszowi Zdrowia przez podmioty prowadzące rejestry medyczne, w terminie i w formie wskazanej przez tego ministra, pozwalającej na łączenie informacji między poszczególnymi bazami danych. Stąd też dodaje się nowe przepisy: ust. 4a–4c w art. 22 ustawy.</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F63719">
        <w:rPr>
          <w:rFonts w:ascii="Times" w:eastAsia="Times New Roman" w:hAnsi="Times" w:cs="Arial"/>
          <w:sz w:val="24"/>
          <w:szCs w:val="20"/>
          <w:lang w:eastAsia="pl-PL"/>
        </w:rPr>
        <w:t xml:space="preserve">Projekt ustawy doprecyzowuje definicję elektronicznej dokumentacji medycznej (EDM) zawartą w art. 2 pkt 6. </w:t>
      </w:r>
      <w:r w:rsidR="007F5B5A">
        <w:rPr>
          <w:rFonts w:ascii="Times" w:eastAsia="Times New Roman" w:hAnsi="Times" w:cs="Arial"/>
          <w:sz w:val="24"/>
          <w:szCs w:val="20"/>
          <w:lang w:eastAsia="pl-PL"/>
        </w:rPr>
        <w:t>O</w:t>
      </w:r>
      <w:r w:rsidRPr="00F63719">
        <w:rPr>
          <w:rFonts w:ascii="Times" w:eastAsia="Times New Roman" w:hAnsi="Times" w:cs="Arial"/>
          <w:sz w:val="24"/>
          <w:szCs w:val="20"/>
          <w:lang w:eastAsia="pl-PL"/>
        </w:rPr>
        <w:t>becn</w:t>
      </w:r>
      <w:r w:rsidR="007F5B5A">
        <w:rPr>
          <w:rFonts w:ascii="Times" w:eastAsia="Times New Roman" w:hAnsi="Times" w:cs="Arial"/>
          <w:sz w:val="24"/>
          <w:szCs w:val="20"/>
          <w:lang w:eastAsia="pl-PL"/>
        </w:rPr>
        <w:t>i</w:t>
      </w:r>
      <w:r w:rsidRPr="00F63719">
        <w:rPr>
          <w:rFonts w:ascii="Times" w:eastAsia="Times New Roman" w:hAnsi="Times" w:cs="Arial"/>
          <w:sz w:val="24"/>
          <w:szCs w:val="20"/>
          <w:lang w:eastAsia="pl-PL"/>
        </w:rPr>
        <w:t>e EDM obejmuje dokument elektroniczny umożliwiający usługobiorcy uzyskanie świadczenia opieki zdrowotnej określonego rodzaju od usługodawcy (np. receptę, skierowanie, zlecenie) oraz dokumentację medyczną indywidualną (z wyłączeniem skierowań) w rozumieniu przepisów wydanych na podstawie art. 30 ust. 1 ustawy z dnia 6 listopada 2008 r. o prawach pacjenta i</w:t>
      </w:r>
      <w:r w:rsidR="007F5B5A">
        <w:rPr>
          <w:rFonts w:ascii="Times" w:eastAsia="Times New Roman" w:hAnsi="Times" w:cs="Arial"/>
          <w:sz w:val="24"/>
          <w:szCs w:val="20"/>
          <w:lang w:eastAsia="pl-PL"/>
        </w:rPr>
        <w:t> </w:t>
      </w:r>
      <w:r w:rsidRPr="00F63719">
        <w:rPr>
          <w:rFonts w:ascii="Times" w:eastAsia="Times New Roman" w:hAnsi="Times" w:cs="Arial"/>
          <w:sz w:val="24"/>
          <w:szCs w:val="20"/>
          <w:lang w:eastAsia="pl-PL"/>
        </w:rPr>
        <w:t>Rzeczniku Praw Pacjenta (Dz. U. z 2016 r. poz. 186, z późn. zm.) wytworzoną w</w:t>
      </w:r>
      <w:r w:rsidR="007F5B5A">
        <w:rPr>
          <w:rFonts w:ascii="Times" w:eastAsia="Times New Roman" w:hAnsi="Times" w:cs="Arial"/>
          <w:sz w:val="24"/>
          <w:szCs w:val="20"/>
          <w:lang w:eastAsia="pl-PL"/>
        </w:rPr>
        <w:t> </w:t>
      </w:r>
      <w:r w:rsidRPr="00F63719">
        <w:rPr>
          <w:rFonts w:ascii="Times" w:eastAsia="Times New Roman" w:hAnsi="Times" w:cs="Arial"/>
          <w:sz w:val="24"/>
          <w:szCs w:val="20"/>
          <w:lang w:eastAsia="pl-PL"/>
        </w:rPr>
        <w:t>postaci elektronicznej. Jednakże dokumentacja medyczna określona w</w:t>
      </w:r>
      <w:r w:rsidR="0072185C">
        <w:rPr>
          <w:rFonts w:ascii="Times" w:eastAsia="Times New Roman" w:hAnsi="Times" w:cs="Arial"/>
          <w:sz w:val="24"/>
          <w:szCs w:val="20"/>
          <w:lang w:eastAsia="pl-PL"/>
        </w:rPr>
        <w:t> </w:t>
      </w:r>
      <w:r w:rsidRPr="00F63719">
        <w:rPr>
          <w:rFonts w:ascii="Times" w:eastAsia="Times New Roman" w:hAnsi="Times" w:cs="Arial"/>
          <w:sz w:val="24"/>
          <w:szCs w:val="20"/>
          <w:lang w:eastAsia="pl-PL"/>
        </w:rPr>
        <w:t>rozporządzeniu Ministra Zdrowia z dnia 9 listopada 2015 r. w sprawie rodzajów, zakresu i wzorów dokumentacji medycznej oraz sposobu jej przetwarzania (Dz. U</w:t>
      </w:r>
      <w:r w:rsidR="00FC1B9B">
        <w:rPr>
          <w:rFonts w:ascii="Times" w:eastAsia="Times New Roman" w:hAnsi="Times" w:cs="Arial"/>
          <w:sz w:val="24"/>
          <w:szCs w:val="20"/>
          <w:lang w:eastAsia="pl-PL"/>
        </w:rPr>
        <w:t>.</w:t>
      </w:r>
      <w:r w:rsidRPr="00F63719">
        <w:rPr>
          <w:rFonts w:ascii="Times" w:eastAsia="Times New Roman" w:hAnsi="Times" w:cs="Arial"/>
          <w:sz w:val="24"/>
          <w:szCs w:val="20"/>
          <w:lang w:eastAsia="pl-PL"/>
        </w:rPr>
        <w:t xml:space="preserve"> poz.</w:t>
      </w:r>
      <w:r w:rsidR="0072185C">
        <w:rPr>
          <w:rFonts w:ascii="Times" w:eastAsia="Times New Roman" w:hAnsi="Times" w:cs="Arial"/>
          <w:sz w:val="24"/>
          <w:szCs w:val="20"/>
          <w:lang w:eastAsia="pl-PL"/>
        </w:rPr>
        <w:t> </w:t>
      </w:r>
      <w:r w:rsidRPr="00F63719">
        <w:rPr>
          <w:rFonts w:ascii="Times" w:eastAsia="Times New Roman" w:hAnsi="Times" w:cs="Arial"/>
          <w:sz w:val="24"/>
          <w:szCs w:val="20"/>
          <w:lang w:eastAsia="pl-PL"/>
        </w:rPr>
        <w:t xml:space="preserve">2069) stanowi katalog otwarty. Wobec informatyzacji ochrony zdrowia i wymiany EDM za pośrednictwem Systemu Informacji Medycznej (SIM), konieczne jest domknięcie katalogu EDM przez wskazanie konkretnych rodzajów dokumentów, które podlegać będą obowiązkowi ich wytworzenia w postaci elektronicznej oraz opatrzenia kwalifikowanym podpisem elektronicznym lub podpisem potwierdzonym profilem zaufanym ePUAP. W związku z powyższym zaproponowano, aby definicja EDM obok dokumentów umożliwiających usługobiorcy uzyskanie od usługodawcy świadczenia opieki zdrowotnej określonego rodzaju objęła dokumenty określone w przepisach wydanych na podstawie art. 13a ustawy (zamiast kategorii dokumentacji medycznej indywidualnej). Wykaz tych dokumentów zostanie zawarty w rozporządzeniu ministra właściwego do spraw zdrowia wydanym na podstawie dodawanego art. 13a ustawy. </w:t>
      </w:r>
      <w:r w:rsidRPr="00F63719">
        <w:rPr>
          <w:rFonts w:ascii="Times" w:eastAsia="Times New Roman" w:hAnsi="Times" w:cs="Arial"/>
          <w:sz w:val="24"/>
          <w:szCs w:val="20"/>
          <w:lang w:eastAsia="pl-PL"/>
        </w:rPr>
        <w:lastRenderedPageBreak/>
        <w:t>Jednocześnie z dotychczasowej definicji EDM w zakresie art. 2 pkt 6 lit. a ustawy dokonano wyłączenia zleceń na wyroby medyczne, o których mowa w ustawie z dnia 12 maja 2011 r. o refundacji leków, środków spożywczych specjalnego przeznaczenia żywieniowego oraz wyrobów medycznych (Dz. U. z 2016 r. poz. 1536 i 1579). Przedmiotowe wyłączenie wynika z faktu, że ten rodzaj dokumentacji medycznej obecn</w:t>
      </w:r>
      <w:r w:rsidR="00A6482B">
        <w:rPr>
          <w:rFonts w:ascii="Times" w:eastAsia="Times New Roman" w:hAnsi="Times" w:cs="Arial"/>
          <w:sz w:val="24"/>
          <w:szCs w:val="20"/>
          <w:lang w:eastAsia="pl-PL"/>
        </w:rPr>
        <w:t>i</w:t>
      </w:r>
      <w:r w:rsidRPr="00F63719">
        <w:rPr>
          <w:rFonts w:ascii="Times" w:eastAsia="Times New Roman" w:hAnsi="Times" w:cs="Arial"/>
          <w:sz w:val="24"/>
          <w:szCs w:val="20"/>
          <w:lang w:eastAsia="pl-PL"/>
        </w:rPr>
        <w:t xml:space="preserve">e znalazł się poza zakresem projektu P1 i nie będzie podlegał wymianie za pośrednictwem SIM. </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F63719">
        <w:rPr>
          <w:rFonts w:ascii="Times" w:eastAsia="Times New Roman" w:hAnsi="Times" w:cs="Arial"/>
          <w:sz w:val="24"/>
          <w:szCs w:val="20"/>
          <w:lang w:eastAsia="pl-PL"/>
        </w:rPr>
        <w:t>Zmiana art. 5 ust. 5 ustawy wynika z konieczności doprecyzowania, że powierzenie przez ministra właściwego do spraw zdrowia wykonywania zadań związanych z</w:t>
      </w:r>
      <w:r w:rsidR="0072185C">
        <w:rPr>
          <w:rFonts w:ascii="Times" w:eastAsia="Times New Roman" w:hAnsi="Times" w:cs="Arial"/>
          <w:sz w:val="24"/>
          <w:szCs w:val="20"/>
          <w:lang w:eastAsia="pl-PL"/>
        </w:rPr>
        <w:t> </w:t>
      </w:r>
      <w:r w:rsidRPr="00F63719">
        <w:rPr>
          <w:rFonts w:ascii="Times" w:eastAsia="Times New Roman" w:hAnsi="Times" w:cs="Arial"/>
          <w:sz w:val="24"/>
          <w:szCs w:val="20"/>
          <w:lang w:eastAsia="pl-PL"/>
        </w:rPr>
        <w:t xml:space="preserve">funkcjonowaniem systemów teleinformatycznych może obejmować nie tylko utrzymanie, obsługę techniczną oraz zachowanie ciągłości, ale również dostarczenie tych systemów. </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F63719">
        <w:rPr>
          <w:rFonts w:ascii="Times" w:eastAsia="Times New Roman" w:hAnsi="Times" w:cs="Arial"/>
          <w:sz w:val="24"/>
          <w:szCs w:val="20"/>
          <w:lang w:eastAsia="pl-PL"/>
        </w:rPr>
        <w:t xml:space="preserve">Konsekwencją zmiany definicji EDM zawartej w art. 2 pkt 6 ustawy jest dokonanie zmian w art. 11 przez usunięcie odwołań do art. 13 ustawy, i przez to wyraźne przesądzenie (z uwagi na liczne wątpliwości), że EDM może być prowadzona również poza SIM, tj. niezależnie od uruchomienia platformy P1 służącej m.in. wymianie EDM oraz uchylenie art. 13 ustawy. </w:t>
      </w:r>
      <w:r w:rsidR="00A6482B">
        <w:rPr>
          <w:rFonts w:ascii="Times" w:eastAsia="Times New Roman" w:hAnsi="Times" w:cs="Arial"/>
          <w:sz w:val="24"/>
          <w:szCs w:val="20"/>
          <w:lang w:eastAsia="pl-PL"/>
        </w:rPr>
        <w:t>O</w:t>
      </w:r>
      <w:r w:rsidRPr="00F63719">
        <w:rPr>
          <w:rFonts w:ascii="Times" w:eastAsia="Times New Roman" w:hAnsi="Times" w:cs="Arial"/>
          <w:sz w:val="24"/>
          <w:szCs w:val="20"/>
          <w:lang w:eastAsia="pl-PL"/>
        </w:rPr>
        <w:t>becn</w:t>
      </w:r>
      <w:r w:rsidR="00A6482B">
        <w:rPr>
          <w:rFonts w:ascii="Times" w:eastAsia="Times New Roman" w:hAnsi="Times" w:cs="Arial"/>
          <w:sz w:val="24"/>
          <w:szCs w:val="20"/>
          <w:lang w:eastAsia="pl-PL"/>
        </w:rPr>
        <w:t>i</w:t>
      </w:r>
      <w:r w:rsidRPr="00F63719">
        <w:rPr>
          <w:rFonts w:ascii="Times" w:eastAsia="Times New Roman" w:hAnsi="Times" w:cs="Arial"/>
          <w:sz w:val="24"/>
          <w:szCs w:val="20"/>
          <w:lang w:eastAsia="pl-PL"/>
        </w:rPr>
        <w:t>e upoważnienie ustawowe dla ministra właściwego do spraw zdrowia do wydania rozporządzenia, zawarte w art. 13 projektu ustawy, obejmuje format EDM oraz warunki organizacyjno-techniczne zamieszczania w SIM dokumentów elektronicznych oraz realizacji dostępu i pobierania danych przetwarzanych w SIM. Proponuje się więc, aby ww. rozporządzenie ministra właściwego do spraw zdrowia, po zmianie wydawane na nowej podstawie prawnej z</w:t>
      </w:r>
      <w:r w:rsidR="0072185C">
        <w:rPr>
          <w:rFonts w:ascii="Times" w:eastAsia="Times New Roman" w:hAnsi="Times" w:cs="Arial"/>
          <w:sz w:val="24"/>
          <w:szCs w:val="20"/>
          <w:lang w:eastAsia="pl-PL"/>
        </w:rPr>
        <w:t> </w:t>
      </w:r>
      <w:r w:rsidRPr="00F63719">
        <w:rPr>
          <w:rFonts w:ascii="Times" w:eastAsia="Times New Roman" w:hAnsi="Times" w:cs="Arial"/>
          <w:sz w:val="24"/>
          <w:szCs w:val="20"/>
          <w:lang w:eastAsia="pl-PL"/>
        </w:rPr>
        <w:t>art. 13a, obejmowało jedynie wykaz rodzajów EDM. Formaty natomiast podobnie jak obecnie będą zamieszczane w Biuletynie Informacji Publicznej ministra właściwego do spraw zdrowia (art.</w:t>
      </w:r>
      <w:r w:rsidR="00A6482B">
        <w:rPr>
          <w:rFonts w:ascii="Times" w:eastAsia="Times New Roman" w:hAnsi="Times" w:cs="Arial"/>
          <w:sz w:val="24"/>
          <w:szCs w:val="20"/>
          <w:lang w:eastAsia="pl-PL"/>
        </w:rPr>
        <w:t xml:space="preserve"> </w:t>
      </w:r>
      <w:r w:rsidRPr="00F63719">
        <w:rPr>
          <w:rFonts w:ascii="Times" w:eastAsia="Times New Roman" w:hAnsi="Times" w:cs="Arial"/>
          <w:sz w:val="24"/>
          <w:szCs w:val="20"/>
          <w:lang w:eastAsia="pl-PL"/>
        </w:rPr>
        <w:t>11 ust. 1a ustawy), z tym że nie będzie już obowiązku zamieszczania ich w portalu edukacyjno-informacyjnym, o którym mowa w art. 36 ust.</w:t>
      </w:r>
      <w:r w:rsidR="0072185C">
        <w:rPr>
          <w:rFonts w:ascii="Times" w:eastAsia="Times New Roman" w:hAnsi="Times" w:cs="Arial"/>
          <w:sz w:val="24"/>
          <w:szCs w:val="20"/>
          <w:lang w:eastAsia="pl-PL"/>
        </w:rPr>
        <w:t> </w:t>
      </w:r>
      <w:r w:rsidRPr="00F63719">
        <w:rPr>
          <w:rFonts w:ascii="Times" w:eastAsia="Times New Roman" w:hAnsi="Times" w:cs="Arial"/>
          <w:sz w:val="24"/>
          <w:szCs w:val="20"/>
          <w:lang w:eastAsia="pl-PL"/>
        </w:rPr>
        <w:t>1 ustawy, gdyż zbędnym jest ich publikowanie w dwóch miejscach. Ponadto, w</w:t>
      </w:r>
      <w:r w:rsidR="0072185C">
        <w:rPr>
          <w:rFonts w:ascii="Times" w:eastAsia="Times New Roman" w:hAnsi="Times" w:cs="Arial"/>
          <w:sz w:val="24"/>
          <w:szCs w:val="20"/>
          <w:lang w:eastAsia="pl-PL"/>
        </w:rPr>
        <w:t> </w:t>
      </w:r>
      <w:r w:rsidRPr="00F63719">
        <w:rPr>
          <w:rFonts w:ascii="Times" w:eastAsia="Times New Roman" w:hAnsi="Times" w:cs="Arial"/>
          <w:sz w:val="24"/>
          <w:szCs w:val="20"/>
          <w:lang w:eastAsia="pl-PL"/>
        </w:rPr>
        <w:t>art.</w:t>
      </w:r>
      <w:r w:rsidR="0072185C">
        <w:rPr>
          <w:rFonts w:ascii="Times" w:eastAsia="Times New Roman" w:hAnsi="Times" w:cs="Arial"/>
          <w:sz w:val="24"/>
          <w:szCs w:val="20"/>
          <w:lang w:eastAsia="pl-PL"/>
        </w:rPr>
        <w:t> </w:t>
      </w:r>
      <w:r w:rsidRPr="00F63719">
        <w:rPr>
          <w:rFonts w:ascii="Times" w:eastAsia="Times New Roman" w:hAnsi="Times" w:cs="Arial"/>
          <w:sz w:val="24"/>
          <w:szCs w:val="20"/>
          <w:lang w:eastAsia="pl-PL"/>
        </w:rPr>
        <w:t>11 ust. 1b ustawy proponuje się wskazanie wprost, że usługodawcy mają obowiązek dokonywania wymiany EDM zgodnie ze standardami wymiany dokumentacji medycznej zamieszczonymi również w Biuletynie Informacji Publicznej ministra właściwego do spraw zdrowia. Z powyższych względów z dotychczasowego brzmienia upoważnienia ustawowego proponuje się usunięcie zarówno formatu, który zgodnie z art. 11 ust. 1</w:t>
      </w:r>
      <w:r w:rsidR="00A6482B">
        <w:rPr>
          <w:rFonts w:ascii="Times" w:eastAsia="Times New Roman" w:hAnsi="Times" w:cs="Arial"/>
          <w:sz w:val="24"/>
          <w:szCs w:val="20"/>
          <w:lang w:eastAsia="pl-PL"/>
        </w:rPr>
        <w:t>a</w:t>
      </w:r>
      <w:r w:rsidRPr="00F63719">
        <w:rPr>
          <w:rFonts w:ascii="Times" w:eastAsia="Times New Roman" w:hAnsi="Times" w:cs="Arial"/>
          <w:sz w:val="24"/>
          <w:szCs w:val="20"/>
          <w:lang w:eastAsia="pl-PL"/>
        </w:rPr>
        <w:t xml:space="preserve"> ustawy zamieszczany jest w Biuletynie Informacji Publicznej, </w:t>
      </w:r>
      <w:r w:rsidRPr="00F63719">
        <w:rPr>
          <w:rFonts w:ascii="Times" w:eastAsia="Times New Roman" w:hAnsi="Times" w:cs="Arial"/>
          <w:sz w:val="24"/>
          <w:szCs w:val="20"/>
          <w:lang w:eastAsia="pl-PL"/>
        </w:rPr>
        <w:lastRenderedPageBreak/>
        <w:t xml:space="preserve">jak również warunków organizacyjno-technicznych, które jako standardy wymiany dokumentacji medycznej będą także zamieszczane w Biuletynie Informacji Publicznej (proponowany art. 11 ust. 1b ustawy). </w:t>
      </w:r>
    </w:p>
    <w:p w:rsidR="00F63719" w:rsidRPr="00F63719" w:rsidRDefault="00F63719" w:rsidP="00F63719">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F63719">
        <w:rPr>
          <w:rFonts w:ascii="Times" w:eastAsia="Times New Roman" w:hAnsi="Times" w:cs="Arial"/>
          <w:sz w:val="24"/>
          <w:szCs w:val="20"/>
          <w:lang w:eastAsia="pl-PL"/>
        </w:rPr>
        <w:t>W ramach standardów wymiany dokumentacji elektronicznej, o których mowa w art. 11 ust. 1b ustawy publikowane będą informacje określające, jak usługodawcy mają wymieniać dokumentację wraz z odniesieniem międzynarodowych standardów w</w:t>
      </w:r>
      <w:r w:rsidR="00097D5C">
        <w:rPr>
          <w:rFonts w:ascii="Times" w:eastAsia="Times New Roman" w:hAnsi="Times" w:cs="Arial"/>
          <w:sz w:val="24"/>
          <w:szCs w:val="20"/>
          <w:lang w:eastAsia="pl-PL"/>
        </w:rPr>
        <w:t> </w:t>
      </w:r>
      <w:r w:rsidRPr="00F63719">
        <w:rPr>
          <w:rFonts w:ascii="Times" w:eastAsia="Times New Roman" w:hAnsi="Times" w:cs="Arial"/>
          <w:sz w:val="24"/>
          <w:szCs w:val="20"/>
          <w:lang w:eastAsia="pl-PL"/>
        </w:rPr>
        <w:t>zakresie komunikacji/tworzenia profili integracyjnych, https://www.csioz.gov.pl/interoperacyjnosc/standardy-gromadzenia</w:t>
      </w:r>
      <w:r w:rsidR="009964DE">
        <w:rPr>
          <w:rFonts w:ascii="Times" w:eastAsia="Times New Roman" w:hAnsi="Times" w:cs="Arial"/>
          <w:sz w:val="24"/>
          <w:szCs w:val="20"/>
          <w:lang w:eastAsia="pl-PL"/>
        </w:rPr>
        <w:t>-</w:t>
      </w:r>
      <w:r w:rsidRPr="00F63719">
        <w:rPr>
          <w:rFonts w:ascii="Times" w:eastAsia="Times New Roman" w:hAnsi="Times" w:cs="Arial"/>
          <w:sz w:val="24"/>
          <w:szCs w:val="20"/>
          <w:lang w:eastAsia="pl-PL"/>
        </w:rPr>
        <w:t xml:space="preserve">danych/) lub przez publikację specyfikacji komunikatów. </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F63719">
        <w:rPr>
          <w:rFonts w:ascii="Times" w:eastAsia="Times New Roman" w:hAnsi="Times" w:cs="Arial"/>
          <w:sz w:val="24"/>
          <w:szCs w:val="20"/>
          <w:lang w:eastAsia="pl-PL"/>
        </w:rPr>
        <w:t>Standardy zostaną opracowane przez Centrum Systemów Informacyjnych Ochrony Zdrowia i zamieszczone w Biuletynie Informacji Publicznej ministra właściwego do spraw zdrowia.</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F63719">
        <w:rPr>
          <w:rFonts w:ascii="Times" w:eastAsia="Times New Roman" w:hAnsi="Times" w:cs="Arial"/>
          <w:sz w:val="24"/>
          <w:szCs w:val="20"/>
          <w:lang w:eastAsia="pl-PL"/>
        </w:rPr>
        <w:t>Zmiana art. 56 ustawy wynika z przesunięcia terminu realizacji Projektu P1 „Elektroniczna Platforma Gromadzenia, Analizy i udostępnienia Zasobów Cyfrowych o</w:t>
      </w:r>
      <w:r w:rsidR="0072185C">
        <w:rPr>
          <w:rFonts w:ascii="Times" w:eastAsia="Times New Roman" w:hAnsi="Times" w:cs="Arial"/>
          <w:sz w:val="24"/>
          <w:szCs w:val="20"/>
          <w:lang w:eastAsia="pl-PL"/>
        </w:rPr>
        <w:t> </w:t>
      </w:r>
      <w:r w:rsidRPr="00F63719">
        <w:rPr>
          <w:rFonts w:ascii="Times" w:eastAsia="Times New Roman" w:hAnsi="Times" w:cs="Arial"/>
          <w:sz w:val="24"/>
          <w:szCs w:val="20"/>
          <w:lang w:eastAsia="pl-PL"/>
        </w:rPr>
        <w:t>Zdarzeniach Medycznych”. Nowe terminy obowiązku wystawiania recept (tj. od dnia 1 stycznia 2020</w:t>
      </w:r>
      <w:r w:rsidR="00097D5C">
        <w:rPr>
          <w:rFonts w:ascii="Times" w:eastAsia="Times New Roman" w:hAnsi="Times" w:cs="Arial"/>
          <w:sz w:val="24"/>
          <w:szCs w:val="20"/>
          <w:lang w:eastAsia="pl-PL"/>
        </w:rPr>
        <w:t xml:space="preserve"> r.</w:t>
      </w:r>
      <w:r w:rsidRPr="00F63719">
        <w:rPr>
          <w:rFonts w:ascii="Times" w:eastAsia="Times New Roman" w:hAnsi="Times" w:cs="Arial"/>
          <w:sz w:val="24"/>
          <w:szCs w:val="20"/>
          <w:lang w:eastAsia="pl-PL"/>
        </w:rPr>
        <w:t>) i skierowań (tj. od dnia 1 stycznia 2021</w:t>
      </w:r>
      <w:r w:rsidR="00097D5C">
        <w:rPr>
          <w:rFonts w:ascii="Times" w:eastAsia="Times New Roman" w:hAnsi="Times" w:cs="Arial"/>
          <w:sz w:val="24"/>
          <w:szCs w:val="20"/>
          <w:lang w:eastAsia="pl-PL"/>
        </w:rPr>
        <w:t xml:space="preserve"> r.</w:t>
      </w:r>
      <w:r w:rsidRPr="00F63719">
        <w:rPr>
          <w:rFonts w:ascii="Times" w:eastAsia="Times New Roman" w:hAnsi="Times" w:cs="Arial"/>
          <w:sz w:val="24"/>
          <w:szCs w:val="20"/>
          <w:lang w:eastAsia="pl-PL"/>
        </w:rPr>
        <w:t>) oraz prowadzenia pozostałej EDM (tj. od dnia 1 stycznia 2019</w:t>
      </w:r>
      <w:r w:rsidR="00097D5C">
        <w:rPr>
          <w:rFonts w:ascii="Times" w:eastAsia="Times New Roman" w:hAnsi="Times" w:cs="Arial"/>
          <w:sz w:val="24"/>
          <w:szCs w:val="20"/>
          <w:lang w:eastAsia="pl-PL"/>
        </w:rPr>
        <w:t xml:space="preserve"> r.</w:t>
      </w:r>
      <w:r w:rsidRPr="00F63719">
        <w:rPr>
          <w:rFonts w:ascii="Times" w:eastAsia="Times New Roman" w:hAnsi="Times" w:cs="Arial"/>
          <w:sz w:val="24"/>
          <w:szCs w:val="20"/>
          <w:lang w:eastAsia="pl-PL"/>
        </w:rPr>
        <w:t>) zostały dostosowane do harmonogramu realizacji ww. Projektu. Dodatkowo do art. 56 ustawy proponuje się wprowadzenie przepisów obligujących usługodawców do zgłoszenia do Centrum Systemów Informacyjnych Ochrony Zdrowia gotowości podłączenia swoich systemów do Platformy P1 w</w:t>
      </w:r>
      <w:r w:rsidR="0072185C">
        <w:rPr>
          <w:rFonts w:ascii="Times" w:eastAsia="Times New Roman" w:hAnsi="Times" w:cs="Arial"/>
          <w:sz w:val="24"/>
          <w:szCs w:val="20"/>
          <w:lang w:eastAsia="pl-PL"/>
        </w:rPr>
        <w:t> </w:t>
      </w:r>
      <w:r w:rsidRPr="00F63719">
        <w:rPr>
          <w:rFonts w:ascii="Times" w:eastAsia="Times New Roman" w:hAnsi="Times" w:cs="Arial"/>
          <w:sz w:val="24"/>
          <w:szCs w:val="20"/>
          <w:lang w:eastAsia="pl-PL"/>
        </w:rPr>
        <w:t>określonych terminie (w odniesieniu do recepty do dnia 31 grudnia 2018 r., do skierowań do dnia 30 czerwca 2019 r., natomiast w odniesieniu do wymiany EDM, określonej w przepisach wydanych na podstawie art. 13a ustawy, do dnia 31 grudnia 2019 r.). Konsekwencją doprecyzowania przepisów w obszarze prowadzenia i</w:t>
      </w:r>
      <w:r w:rsidR="00097D5C">
        <w:rPr>
          <w:rFonts w:ascii="Times" w:eastAsia="Times New Roman" w:hAnsi="Times" w:cs="Arial"/>
          <w:sz w:val="24"/>
          <w:szCs w:val="20"/>
          <w:lang w:eastAsia="pl-PL"/>
        </w:rPr>
        <w:t> </w:t>
      </w:r>
      <w:r w:rsidRPr="00F63719">
        <w:rPr>
          <w:rFonts w:ascii="Times" w:eastAsia="Times New Roman" w:hAnsi="Times" w:cs="Arial"/>
          <w:sz w:val="24"/>
          <w:szCs w:val="20"/>
          <w:lang w:eastAsia="pl-PL"/>
        </w:rPr>
        <w:t>wymiany EDM za pośrednictwem i bez pośrednictwa SIM jest dodanie przepisu stanowiącego w</w:t>
      </w:r>
      <w:r w:rsidR="0072185C">
        <w:rPr>
          <w:rFonts w:ascii="Times" w:eastAsia="Times New Roman" w:hAnsi="Times" w:cs="Arial"/>
          <w:sz w:val="24"/>
          <w:szCs w:val="20"/>
          <w:lang w:eastAsia="pl-PL"/>
        </w:rPr>
        <w:t> </w:t>
      </w:r>
      <w:r w:rsidRPr="00F63719">
        <w:rPr>
          <w:rFonts w:ascii="Times" w:eastAsia="Times New Roman" w:hAnsi="Times" w:cs="Arial"/>
          <w:sz w:val="24"/>
          <w:szCs w:val="20"/>
          <w:lang w:eastAsia="pl-PL"/>
        </w:rPr>
        <w:t>ust. 4, że udostępnianie danych zawartych w EDM określonej w</w:t>
      </w:r>
      <w:r w:rsidR="001E3F9C">
        <w:rPr>
          <w:rFonts w:ascii="Times" w:eastAsia="Times New Roman" w:hAnsi="Times" w:cs="Arial"/>
          <w:sz w:val="24"/>
          <w:szCs w:val="20"/>
          <w:lang w:eastAsia="pl-PL"/>
        </w:rPr>
        <w:t> </w:t>
      </w:r>
      <w:r w:rsidRPr="00F63719">
        <w:rPr>
          <w:rFonts w:ascii="Times" w:eastAsia="Times New Roman" w:hAnsi="Times" w:cs="Arial"/>
          <w:sz w:val="24"/>
          <w:szCs w:val="20"/>
          <w:lang w:eastAsia="pl-PL"/>
        </w:rPr>
        <w:t>przepisach wydanych na podstawie art. 13a ustawy, za pośrednictwem SIM, obowiązuje od dnia 1</w:t>
      </w:r>
      <w:r w:rsidR="0072185C">
        <w:rPr>
          <w:rFonts w:ascii="Times" w:eastAsia="Times New Roman" w:hAnsi="Times" w:cs="Arial"/>
          <w:sz w:val="24"/>
          <w:szCs w:val="20"/>
          <w:lang w:eastAsia="pl-PL"/>
        </w:rPr>
        <w:t> </w:t>
      </w:r>
      <w:r w:rsidRPr="00F63719">
        <w:rPr>
          <w:rFonts w:ascii="Times" w:eastAsia="Times New Roman" w:hAnsi="Times" w:cs="Arial"/>
          <w:sz w:val="24"/>
          <w:szCs w:val="20"/>
          <w:lang w:eastAsia="pl-PL"/>
        </w:rPr>
        <w:t>stycznia 2021 r., tj. od momentu kiedy zostanie uruchomiona Platforma P1.</w:t>
      </w:r>
    </w:p>
    <w:p w:rsidR="00F63719" w:rsidRPr="00F63719" w:rsidRDefault="00F63719" w:rsidP="0072185C">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F63719">
        <w:rPr>
          <w:rFonts w:ascii="Times" w:eastAsia="Times New Roman" w:hAnsi="Times" w:cs="Arial"/>
          <w:sz w:val="24"/>
          <w:szCs w:val="20"/>
          <w:lang w:eastAsia="pl-PL"/>
        </w:rPr>
        <w:t>Powyższe okoliczności wpłynęły również na dokonanie zmiany w ustawie z dnia 9</w:t>
      </w:r>
      <w:r w:rsidR="0072185C">
        <w:rPr>
          <w:rFonts w:ascii="Times" w:eastAsia="Times New Roman" w:hAnsi="Times" w:cs="Arial"/>
          <w:sz w:val="24"/>
          <w:szCs w:val="20"/>
          <w:lang w:eastAsia="pl-PL"/>
        </w:rPr>
        <w:t> </w:t>
      </w:r>
      <w:r w:rsidRPr="00F63719">
        <w:rPr>
          <w:rFonts w:ascii="Times" w:eastAsia="Times New Roman" w:hAnsi="Times" w:cs="Arial"/>
          <w:sz w:val="24"/>
          <w:szCs w:val="20"/>
          <w:lang w:eastAsia="pl-PL"/>
        </w:rPr>
        <w:t xml:space="preserve">października 2015 r. o zmianie ustawy o systemie informacji w ochronie zdrowia oraz niektórych innych ustaw (Dz. U. poz. 1991, z późn. zm.) w zakresie art. 48 ust. 1. Istotą </w:t>
      </w:r>
      <w:r w:rsidRPr="00F63719">
        <w:rPr>
          <w:rFonts w:ascii="Times" w:eastAsia="Times New Roman" w:hAnsi="Times" w:cs="Arial"/>
          <w:sz w:val="24"/>
          <w:szCs w:val="20"/>
          <w:lang w:eastAsia="pl-PL"/>
        </w:rPr>
        <w:lastRenderedPageBreak/>
        <w:t>wprowadzanych zmian jest przesunięcie terminu obowiązywania aktów wykonawczych wydanych na podstawie przepisów wskazanych w art. 48 ust. 1 ustawy, jeszcze o rok, tj.</w:t>
      </w:r>
      <w:r w:rsidR="0072185C">
        <w:rPr>
          <w:rFonts w:ascii="Times" w:eastAsia="Times New Roman" w:hAnsi="Times" w:cs="Arial"/>
          <w:sz w:val="24"/>
          <w:szCs w:val="20"/>
          <w:lang w:eastAsia="pl-PL"/>
        </w:rPr>
        <w:t> </w:t>
      </w:r>
      <w:r w:rsidRPr="00F63719">
        <w:rPr>
          <w:rFonts w:ascii="Times" w:eastAsia="Times New Roman" w:hAnsi="Times" w:cs="Arial"/>
          <w:sz w:val="24"/>
          <w:szCs w:val="20"/>
          <w:lang w:eastAsia="pl-PL"/>
        </w:rPr>
        <w:t xml:space="preserve">nie dłużej niż do dnia 1 stycznia 2019 r. </w:t>
      </w:r>
    </w:p>
    <w:p w:rsidR="00F63719" w:rsidRPr="00F63719" w:rsidRDefault="00F63719" w:rsidP="00B93B0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 xml:space="preserve">W art. 2 </w:t>
      </w:r>
      <w:r w:rsidR="00097D5C">
        <w:rPr>
          <w:rFonts w:ascii="Times" w:eastAsia="Times New Roman" w:hAnsi="Times" w:cs="Arial"/>
          <w:bCs/>
          <w:sz w:val="24"/>
          <w:szCs w:val="20"/>
          <w:lang w:eastAsia="pl-PL"/>
        </w:rPr>
        <w:t xml:space="preserve">projektu </w:t>
      </w:r>
      <w:r w:rsidRPr="00F63719">
        <w:rPr>
          <w:rFonts w:ascii="Times" w:eastAsia="Times New Roman" w:hAnsi="Times" w:cs="Arial"/>
          <w:bCs/>
          <w:sz w:val="24"/>
          <w:szCs w:val="20"/>
          <w:lang w:eastAsia="pl-PL"/>
        </w:rPr>
        <w:t>ustawy dokonuje się również zmiany art. 30y ust. 8 ustawy z dnia 27 lipca 2001 r. o diagnostyce laboratoryjnej (Dz. U. z 2016 r. poz. 2245) polegającej na uwzględnieniu Krajowej Rady Diagnostów Laboratoryjnych w katalogu podmiotów, którym dyrektor Centrum Egzaminów Medycznych za pomocą Systemu Monitorowania Kształcenia Pracowników Medycznych przekazuje wyniki Państwowego Egzaminu Specjalizacyjnego Diagnostów Laboratoryjnych. Wprowadzenie przedmiotowej zmiany umożliwi prowadzenie listy diagnostów laboratoryjnych w sposób kompletny i rzetelny. Z uwagi jednak na konieczność przygotowania do tej zmiany Systemu Monitorowania Kształcenia Pracowników Medycznych, proponuje się,</w:t>
      </w:r>
      <w:r w:rsidR="00B93B00">
        <w:rPr>
          <w:rFonts w:ascii="Times" w:eastAsia="Times New Roman" w:hAnsi="Times" w:cs="Arial"/>
          <w:bCs/>
          <w:sz w:val="24"/>
          <w:szCs w:val="20"/>
          <w:lang w:eastAsia="pl-PL"/>
        </w:rPr>
        <w:t xml:space="preserve"> aby regulacja weszła w życie z </w:t>
      </w:r>
      <w:r w:rsidRPr="00F63719">
        <w:rPr>
          <w:rFonts w:ascii="Times" w:eastAsia="Times New Roman" w:hAnsi="Times" w:cs="Arial"/>
          <w:bCs/>
          <w:sz w:val="24"/>
          <w:szCs w:val="20"/>
          <w:lang w:eastAsia="pl-PL"/>
        </w:rPr>
        <w:t>dniem 1 maja 2018 r.</w:t>
      </w:r>
    </w:p>
    <w:p w:rsidR="00F63719" w:rsidRPr="00F63719" w:rsidRDefault="00F63719" w:rsidP="00B93B0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F63719">
        <w:rPr>
          <w:rFonts w:ascii="Times" w:eastAsia="Times New Roman" w:hAnsi="Times" w:cs="Arial"/>
          <w:sz w:val="24"/>
          <w:szCs w:val="20"/>
          <w:lang w:eastAsia="pl-PL"/>
        </w:rPr>
        <w:t>Konsekwencją uchylenia art. 13 i dodania art. 13a jest konieczność dokonania zmiany w ustawie z dnia 6 listopada 2008 r. o prawach pacjenta i Rzeczniku Praw Pacjenta (Dz.</w:t>
      </w:r>
      <w:r w:rsidR="00B93B00">
        <w:rPr>
          <w:rFonts w:ascii="Times" w:eastAsia="Times New Roman" w:hAnsi="Times" w:cs="Arial"/>
          <w:sz w:val="24"/>
          <w:szCs w:val="20"/>
          <w:lang w:eastAsia="pl-PL"/>
        </w:rPr>
        <w:t> </w:t>
      </w:r>
      <w:r w:rsidRPr="00F63719">
        <w:rPr>
          <w:rFonts w:ascii="Times" w:eastAsia="Times New Roman" w:hAnsi="Times" w:cs="Arial"/>
          <w:sz w:val="24"/>
          <w:szCs w:val="20"/>
          <w:lang w:eastAsia="pl-PL"/>
        </w:rPr>
        <w:t>U. z 2016 r. poz. 186, z późn. zm.) w art. 30a ust. 9.</w:t>
      </w:r>
    </w:p>
    <w:p w:rsidR="00F63719" w:rsidRPr="00F63719" w:rsidRDefault="00F63719" w:rsidP="00B93B0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F63719">
        <w:rPr>
          <w:rFonts w:ascii="Times" w:eastAsia="Times New Roman" w:hAnsi="Times" w:cs="Arial"/>
          <w:sz w:val="24"/>
          <w:szCs w:val="20"/>
          <w:lang w:eastAsia="pl-PL"/>
        </w:rPr>
        <w:t xml:space="preserve">W art. 4 </w:t>
      </w:r>
      <w:r w:rsidR="00097D5C">
        <w:rPr>
          <w:rFonts w:ascii="Times" w:eastAsia="Times New Roman" w:hAnsi="Times" w:cs="Arial"/>
          <w:sz w:val="24"/>
          <w:szCs w:val="20"/>
          <w:lang w:eastAsia="pl-PL"/>
        </w:rPr>
        <w:t xml:space="preserve">projektu </w:t>
      </w:r>
      <w:r w:rsidRPr="00F63719">
        <w:rPr>
          <w:rFonts w:ascii="Times" w:eastAsia="Times New Roman" w:hAnsi="Times" w:cs="Arial"/>
          <w:sz w:val="24"/>
          <w:szCs w:val="20"/>
          <w:lang w:eastAsia="pl-PL"/>
        </w:rPr>
        <w:t>ustawy dokonuje się również zmiany w ustawie z dnia 28 listopada 2014 r. –</w:t>
      </w:r>
      <w:r w:rsidR="007716D3">
        <w:rPr>
          <w:rFonts w:ascii="Times" w:eastAsia="Times New Roman" w:hAnsi="Times" w:cs="Arial"/>
          <w:sz w:val="24"/>
          <w:szCs w:val="20"/>
          <w:lang w:eastAsia="pl-PL"/>
        </w:rPr>
        <w:t xml:space="preserve"> </w:t>
      </w:r>
      <w:r w:rsidRPr="00F63719">
        <w:rPr>
          <w:rFonts w:ascii="Times" w:eastAsia="Times New Roman" w:hAnsi="Times" w:cs="Arial"/>
          <w:sz w:val="24"/>
          <w:szCs w:val="20"/>
          <w:lang w:eastAsia="pl-PL"/>
        </w:rPr>
        <w:t>Prawo o aktach stanu cywilnego (Dz. U. z 2016 r. poz. 2064) w zakresie wydłużenia okresu przejściowego w przedmiocie przekazywania danych zawartych w kartach urodzenia, kartach martwego urodzenia oraz kartach zgonów przez kierowników urzędu stanu cywilnego służbom statystyki publicznej, do dnia 1 stycznia 2023 r. (zamiast 1</w:t>
      </w:r>
      <w:r w:rsidR="00B93B00">
        <w:rPr>
          <w:rFonts w:ascii="Times" w:eastAsia="Times New Roman" w:hAnsi="Times" w:cs="Arial"/>
          <w:sz w:val="24"/>
          <w:szCs w:val="20"/>
          <w:lang w:eastAsia="pl-PL"/>
        </w:rPr>
        <w:t> </w:t>
      </w:r>
      <w:r w:rsidRPr="00F63719">
        <w:rPr>
          <w:rFonts w:ascii="Times" w:eastAsia="Times New Roman" w:hAnsi="Times" w:cs="Arial"/>
          <w:sz w:val="24"/>
          <w:szCs w:val="20"/>
          <w:lang w:eastAsia="pl-PL"/>
        </w:rPr>
        <w:t>stycznia 2018 r.). Konieczność zmiany ww. terminu wynika ze zmiany terminu uruchomienia systemu Elektronicznej Platformy Gromadzenia, Analizy i Udostępnienia zasobów cyfrowych o Zdarzeniach Medycznych (P1), realizowanego przez Centrum Systemów Informacyjnych Ochrony Zdrowia, które obecnie planowane jest na pierwszy kwartał 2021 r., oraz wynikającej z tej zmiany niemożności dochowania terminu wdrożenia funkcjonalności obsługi danych z kart zgonu, kart urodzenia oraz kart urodzenia martwego dziecka przez P1, tj. braku możliwości wypełnienia obowiązku wynikającego z przepisu art. 123 ustawy z dnia 28 listopada 2014 r. – Prawo o aktach stanu cywilnego w pierwotnym terminie, co w konsekwencji spowodowało potrzebę wydłużenia ww. okresu przejściowego.</w:t>
      </w:r>
    </w:p>
    <w:p w:rsidR="00F63719" w:rsidRPr="00F63719" w:rsidRDefault="00F63719" w:rsidP="00B93B0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F63719">
        <w:rPr>
          <w:rFonts w:ascii="Times" w:eastAsia="Times New Roman" w:hAnsi="Times" w:cs="Arial"/>
          <w:sz w:val="24"/>
          <w:szCs w:val="20"/>
          <w:lang w:eastAsia="pl-PL"/>
        </w:rPr>
        <w:lastRenderedPageBreak/>
        <w:t xml:space="preserve">W art. 5 </w:t>
      </w:r>
      <w:r w:rsidR="00097D5C">
        <w:rPr>
          <w:rFonts w:ascii="Times" w:eastAsia="Times New Roman" w:hAnsi="Times" w:cs="Arial"/>
          <w:sz w:val="24"/>
          <w:szCs w:val="20"/>
          <w:lang w:eastAsia="pl-PL"/>
        </w:rPr>
        <w:t xml:space="preserve">projektu </w:t>
      </w:r>
      <w:r w:rsidRPr="00F63719">
        <w:rPr>
          <w:rFonts w:ascii="Times" w:eastAsia="Times New Roman" w:hAnsi="Times" w:cs="Arial"/>
          <w:sz w:val="24"/>
          <w:szCs w:val="20"/>
          <w:lang w:eastAsia="pl-PL"/>
        </w:rPr>
        <w:t>ustawy proponuje się zmianę w ustawie z dnia 9 października 2015 r. o</w:t>
      </w:r>
      <w:r w:rsidR="00B93B00">
        <w:rPr>
          <w:rFonts w:ascii="Times" w:eastAsia="Times New Roman" w:hAnsi="Times" w:cs="Arial"/>
          <w:sz w:val="24"/>
          <w:szCs w:val="20"/>
          <w:lang w:eastAsia="pl-PL"/>
        </w:rPr>
        <w:t> </w:t>
      </w:r>
      <w:r w:rsidRPr="00F63719">
        <w:rPr>
          <w:rFonts w:ascii="Times" w:eastAsia="Times New Roman" w:hAnsi="Times" w:cs="Arial"/>
          <w:sz w:val="24"/>
          <w:szCs w:val="20"/>
          <w:lang w:eastAsia="pl-PL"/>
        </w:rPr>
        <w:t>zmianie ustawy o systemie informacji w ochronie zdrowia oraz niektórych innych ustaw (Dz. U. poz. 1991, z późn. zm.), w zakresie art. 48 ust. 1. Zmiana ta polega na wydłużeniu terminu, do jakiego wskazane w tym przepisie akty wykonawcze, zachowają ważność (proponuje się wydłużenie o rok, tj. do dnia 1 stycznia 2019 r.).</w:t>
      </w:r>
    </w:p>
    <w:p w:rsidR="00F63719" w:rsidRPr="00F63719" w:rsidRDefault="00F63719" w:rsidP="00B93B0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F63719">
        <w:rPr>
          <w:rFonts w:ascii="Times" w:eastAsia="Times New Roman" w:hAnsi="Times" w:cs="Arial"/>
          <w:sz w:val="24"/>
          <w:szCs w:val="20"/>
          <w:lang w:eastAsia="pl-PL"/>
        </w:rPr>
        <w:t xml:space="preserve">W art. 6 </w:t>
      </w:r>
      <w:r w:rsidR="00097D5C">
        <w:rPr>
          <w:rFonts w:ascii="Times" w:eastAsia="Times New Roman" w:hAnsi="Times" w:cs="Arial"/>
          <w:sz w:val="24"/>
          <w:szCs w:val="20"/>
          <w:lang w:eastAsia="pl-PL"/>
        </w:rPr>
        <w:t xml:space="preserve">projektu </w:t>
      </w:r>
      <w:r w:rsidRPr="00F63719">
        <w:rPr>
          <w:rFonts w:ascii="Times" w:eastAsia="Times New Roman" w:hAnsi="Times" w:cs="Arial"/>
          <w:sz w:val="24"/>
          <w:szCs w:val="20"/>
          <w:lang w:eastAsia="pl-PL"/>
        </w:rPr>
        <w:t>ustawy dokonano zmiany w ustawie z dnia 20 maja 2016 r. o zmianie ustawy o</w:t>
      </w:r>
      <w:r w:rsidR="00B93B00">
        <w:rPr>
          <w:rFonts w:ascii="Times" w:eastAsia="Times New Roman" w:hAnsi="Times" w:cs="Arial"/>
          <w:sz w:val="24"/>
          <w:szCs w:val="20"/>
          <w:lang w:eastAsia="pl-PL"/>
        </w:rPr>
        <w:t> </w:t>
      </w:r>
      <w:r w:rsidRPr="00F63719">
        <w:rPr>
          <w:rFonts w:ascii="Times" w:eastAsia="Times New Roman" w:hAnsi="Times" w:cs="Arial"/>
          <w:sz w:val="24"/>
          <w:szCs w:val="20"/>
          <w:lang w:eastAsia="pl-PL"/>
        </w:rPr>
        <w:t>publicznej służbie krwi oraz niektórych innych ustaw (Dz. U. poz. 823) w</w:t>
      </w:r>
      <w:r w:rsidR="001E3F9C">
        <w:rPr>
          <w:rFonts w:ascii="Times" w:eastAsia="Times New Roman" w:hAnsi="Times" w:cs="Arial"/>
          <w:sz w:val="24"/>
          <w:szCs w:val="20"/>
          <w:lang w:eastAsia="pl-PL"/>
        </w:rPr>
        <w:t> </w:t>
      </w:r>
      <w:r w:rsidRPr="00F63719">
        <w:rPr>
          <w:rFonts w:ascii="Times" w:eastAsia="Times New Roman" w:hAnsi="Times" w:cs="Arial"/>
          <w:sz w:val="24"/>
          <w:szCs w:val="20"/>
          <w:lang w:eastAsia="pl-PL"/>
        </w:rPr>
        <w:t>zakresie utrzymania w mocy przepisów wykonawczych, wydanych przed nowelizacją ustawy z</w:t>
      </w:r>
      <w:r w:rsidR="00B93B00">
        <w:rPr>
          <w:rFonts w:ascii="Times" w:eastAsia="Times New Roman" w:hAnsi="Times" w:cs="Arial"/>
          <w:sz w:val="24"/>
          <w:szCs w:val="20"/>
          <w:lang w:eastAsia="pl-PL"/>
        </w:rPr>
        <w:t> </w:t>
      </w:r>
      <w:r w:rsidRPr="00F63719">
        <w:rPr>
          <w:rFonts w:ascii="Times" w:eastAsia="Times New Roman" w:hAnsi="Times" w:cs="Arial"/>
          <w:sz w:val="24"/>
          <w:szCs w:val="20"/>
          <w:lang w:eastAsia="pl-PL"/>
        </w:rPr>
        <w:t>dnia 22 sierpnia 1997 r. o publicznej służbie krwi (Dz. U. z 2014 r. poz. 332, z</w:t>
      </w:r>
      <w:r w:rsidR="00B93B00">
        <w:rPr>
          <w:rFonts w:ascii="Times" w:eastAsia="Times New Roman" w:hAnsi="Times" w:cs="Arial"/>
          <w:sz w:val="24"/>
          <w:szCs w:val="20"/>
          <w:lang w:eastAsia="pl-PL"/>
        </w:rPr>
        <w:t> </w:t>
      </w:r>
      <w:r w:rsidRPr="00F63719">
        <w:rPr>
          <w:rFonts w:ascii="Times" w:eastAsia="Times New Roman" w:hAnsi="Times" w:cs="Arial"/>
          <w:sz w:val="24"/>
          <w:szCs w:val="20"/>
          <w:lang w:eastAsia="pl-PL"/>
        </w:rPr>
        <w:t>późn.</w:t>
      </w:r>
      <w:r w:rsidR="00B93B00">
        <w:rPr>
          <w:rFonts w:ascii="Times" w:eastAsia="Times New Roman" w:hAnsi="Times" w:cs="Arial"/>
          <w:sz w:val="24"/>
          <w:szCs w:val="20"/>
          <w:lang w:eastAsia="pl-PL"/>
        </w:rPr>
        <w:t> </w:t>
      </w:r>
      <w:r w:rsidRPr="00F63719">
        <w:rPr>
          <w:rFonts w:ascii="Times" w:eastAsia="Times New Roman" w:hAnsi="Times" w:cs="Arial"/>
          <w:sz w:val="24"/>
          <w:szCs w:val="20"/>
          <w:lang w:eastAsia="pl-PL"/>
        </w:rPr>
        <w:t>zm.). W związku z tym, że realizacja i finansowanie projektu e-krew, dla którego ramy prawne zostały określone w ustawie z dnia 22 sierpnia 1997 r. o</w:t>
      </w:r>
      <w:r w:rsidR="00B93B00">
        <w:rPr>
          <w:rFonts w:ascii="Times" w:eastAsia="Times New Roman" w:hAnsi="Times" w:cs="Arial"/>
          <w:sz w:val="24"/>
          <w:szCs w:val="20"/>
          <w:lang w:eastAsia="pl-PL"/>
        </w:rPr>
        <w:t> </w:t>
      </w:r>
      <w:r w:rsidRPr="00F63719">
        <w:rPr>
          <w:rFonts w:ascii="Times" w:eastAsia="Times New Roman" w:hAnsi="Times" w:cs="Arial"/>
          <w:sz w:val="24"/>
          <w:szCs w:val="20"/>
          <w:lang w:eastAsia="pl-PL"/>
        </w:rPr>
        <w:t xml:space="preserve">publicznej służbie krwi po ww. nowelizacji, zostały opóźnione z przyczyn niezależnych od ministra właściwego do spraw zdrowia, należy z jednej strony przedłużyć moc obowiązywania dotychczasowego rozporządzenia (tj. wydanego przed nowelizacją z 2016 r., a dotyczącego rejestrów dawców krwi), a z drugiej strony wydłużyć obowiązek wydania przez </w:t>
      </w:r>
      <w:r w:rsidR="00223F3E">
        <w:rPr>
          <w:rFonts w:ascii="Times" w:eastAsia="Times New Roman" w:hAnsi="Times" w:cs="Arial"/>
          <w:sz w:val="24"/>
          <w:szCs w:val="20"/>
          <w:lang w:eastAsia="pl-PL"/>
        </w:rPr>
        <w:t xml:space="preserve">ministra </w:t>
      </w:r>
      <w:r w:rsidRPr="00F63719">
        <w:rPr>
          <w:rFonts w:ascii="Times" w:eastAsia="Times New Roman" w:hAnsi="Times" w:cs="Arial"/>
          <w:sz w:val="24"/>
          <w:szCs w:val="20"/>
          <w:lang w:eastAsia="pl-PL"/>
        </w:rPr>
        <w:t xml:space="preserve">właściwego do spraw zdrowia nowego rozporządzenia. Bez powyższego działania poprzednie rozporządzenie utraciłoby moc obowiązywania z dniem 11 września 2017 r., a nowe rozporządzenie musiałoby wejść w życie do tego dnia. Aktualnie bowiem, bez podjęcia dalszych prac nad systemem </w:t>
      </w:r>
      <w:r w:rsidR="00B93B00">
        <w:rPr>
          <w:rFonts w:ascii="Times" w:eastAsia="Times New Roman" w:hAnsi="Times" w:cs="Arial"/>
          <w:sz w:val="24"/>
          <w:szCs w:val="20"/>
          <w:lang w:eastAsia="pl-PL"/>
        </w:rPr>
        <w:br/>
      </w:r>
      <w:r w:rsidRPr="00F63719">
        <w:rPr>
          <w:rFonts w:ascii="Times" w:eastAsia="Times New Roman" w:hAnsi="Times" w:cs="Arial"/>
          <w:sz w:val="24"/>
          <w:szCs w:val="20"/>
          <w:lang w:eastAsia="pl-PL"/>
        </w:rPr>
        <w:t>e-krew, jak wskazano wyżej – nierealizowanego i niefinansowanego w ramach „Programu O</w:t>
      </w:r>
      <w:r w:rsidR="009964DE">
        <w:rPr>
          <w:rFonts w:ascii="Times" w:eastAsia="Times New Roman" w:hAnsi="Times" w:cs="Arial"/>
          <w:sz w:val="24"/>
          <w:szCs w:val="20"/>
          <w:lang w:eastAsia="pl-PL"/>
        </w:rPr>
        <w:t>peracyjnego Polska Cyfrowa 2014–</w:t>
      </w:r>
      <w:r w:rsidRPr="00F63719">
        <w:rPr>
          <w:rFonts w:ascii="Times" w:eastAsia="Times New Roman" w:hAnsi="Times" w:cs="Arial"/>
          <w:sz w:val="24"/>
          <w:szCs w:val="20"/>
          <w:lang w:eastAsia="pl-PL"/>
        </w:rPr>
        <w:t>2020”, działanie 2.1. „Wysoka dostępność i jakość e-usług publicznych”, nie jest możliwe prawidłowe opracowanie rozporządzenia dotyczącego systemu e-krew. Dotyczy to również rozporządzenia Ministra Obrony Narodowej, o którym to mowa w art. 17 ust. 19 ustawy z dnia 22</w:t>
      </w:r>
      <w:r w:rsidR="00B93B00">
        <w:rPr>
          <w:rFonts w:ascii="Times" w:eastAsia="Times New Roman" w:hAnsi="Times" w:cs="Arial"/>
          <w:sz w:val="24"/>
          <w:szCs w:val="20"/>
          <w:lang w:eastAsia="pl-PL"/>
        </w:rPr>
        <w:t> </w:t>
      </w:r>
      <w:r w:rsidRPr="00F63719">
        <w:rPr>
          <w:rFonts w:ascii="Times" w:eastAsia="Times New Roman" w:hAnsi="Times" w:cs="Arial"/>
          <w:sz w:val="24"/>
          <w:szCs w:val="20"/>
          <w:lang w:eastAsia="pl-PL"/>
        </w:rPr>
        <w:t>sierpnia 1997 r. o publicznej służbie krwi.</w:t>
      </w:r>
    </w:p>
    <w:p w:rsidR="00F63719" w:rsidRPr="00F63719" w:rsidRDefault="00F63719" w:rsidP="00B93B0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 xml:space="preserve">Wejście w życie w terminie późniejszym art. 2 </w:t>
      </w:r>
      <w:r w:rsidR="00097D5C">
        <w:rPr>
          <w:rFonts w:ascii="Times" w:eastAsia="Times New Roman" w:hAnsi="Times" w:cs="Arial"/>
          <w:bCs/>
          <w:sz w:val="24"/>
          <w:szCs w:val="20"/>
          <w:lang w:eastAsia="pl-PL"/>
        </w:rPr>
        <w:t xml:space="preserve">projektu </w:t>
      </w:r>
      <w:r w:rsidRPr="00F63719">
        <w:rPr>
          <w:rFonts w:ascii="Times" w:eastAsia="Times New Roman" w:hAnsi="Times" w:cs="Arial"/>
          <w:bCs/>
          <w:sz w:val="24"/>
          <w:szCs w:val="20"/>
          <w:lang w:eastAsia="pl-PL"/>
        </w:rPr>
        <w:t>ustawy zmieniającego ustawę z</w:t>
      </w:r>
      <w:r w:rsidR="001E3F9C">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dnia 27</w:t>
      </w:r>
      <w:r w:rsidR="001E3F9C">
        <w:rPr>
          <w:rFonts w:ascii="Times" w:eastAsia="Times New Roman" w:hAnsi="Times" w:cs="Arial"/>
          <w:bCs/>
          <w:sz w:val="24"/>
          <w:szCs w:val="20"/>
          <w:lang w:eastAsia="pl-PL"/>
        </w:rPr>
        <w:t xml:space="preserve"> </w:t>
      </w:r>
      <w:r w:rsidRPr="00F63719">
        <w:rPr>
          <w:rFonts w:ascii="Times" w:eastAsia="Times New Roman" w:hAnsi="Times" w:cs="Arial"/>
          <w:bCs/>
          <w:sz w:val="24"/>
          <w:szCs w:val="20"/>
          <w:lang w:eastAsia="pl-PL"/>
        </w:rPr>
        <w:t>lipca 2001 r. o diagnostyce laboratoryjnej wynika z konieczności dostosowania systemu monitorowania kształcenia pracowników medycznych do nowej regulacji.</w:t>
      </w:r>
    </w:p>
    <w:p w:rsidR="00F63719" w:rsidRPr="00F63719" w:rsidRDefault="00F63719" w:rsidP="00B93B0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Przedkładany projekt ustawy nie jest sprzeczny z prawem Unii Europejskiej.</w:t>
      </w:r>
    </w:p>
    <w:p w:rsidR="00F63719" w:rsidRPr="00F63719" w:rsidRDefault="00F63719" w:rsidP="00B93B0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lastRenderedPageBreak/>
        <w:t>Projekt ustawy nie podlega obowiązkowi przedstawienia właściwym organom i</w:t>
      </w:r>
      <w:r w:rsidR="00B93B00">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 xml:space="preserve">instytucjom Unii Europejskiej, w tym Europejskiemu Bankowi Centralnemu, w celu uzyskania opinii, dokonania powiadomienia, konsultacji albo uzgodnienia. </w:t>
      </w:r>
    </w:p>
    <w:p w:rsidR="00F63719" w:rsidRPr="00F63719" w:rsidRDefault="00F63719" w:rsidP="00B93B0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F63719">
        <w:rPr>
          <w:rFonts w:ascii="Times" w:eastAsia="Times New Roman" w:hAnsi="Times" w:cs="Arial"/>
          <w:sz w:val="24"/>
          <w:szCs w:val="20"/>
          <w:lang w:eastAsia="pl-PL"/>
        </w:rPr>
        <w:t>Projekt ustawy nie będzie miał wpływu na działalność mikroprzedsiębiorców, małych i</w:t>
      </w:r>
      <w:r w:rsidR="00B93B00">
        <w:rPr>
          <w:rFonts w:ascii="Times" w:eastAsia="Times New Roman" w:hAnsi="Times" w:cs="Arial"/>
          <w:sz w:val="24"/>
          <w:szCs w:val="20"/>
          <w:lang w:eastAsia="pl-PL"/>
        </w:rPr>
        <w:t> </w:t>
      </w:r>
      <w:r w:rsidRPr="00F63719">
        <w:rPr>
          <w:rFonts w:ascii="Times" w:eastAsia="Times New Roman" w:hAnsi="Times" w:cs="Arial"/>
          <w:sz w:val="24"/>
          <w:szCs w:val="20"/>
          <w:lang w:eastAsia="pl-PL"/>
        </w:rPr>
        <w:t>średnich przedsiębiorców.</w:t>
      </w:r>
    </w:p>
    <w:p w:rsidR="00F63719" w:rsidRPr="00F63719" w:rsidRDefault="00F63719" w:rsidP="00B93B00">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F63719">
        <w:rPr>
          <w:rFonts w:ascii="Times" w:eastAsia="Times New Roman" w:hAnsi="Times" w:cs="Arial"/>
          <w:bCs/>
          <w:sz w:val="24"/>
          <w:szCs w:val="20"/>
          <w:lang w:eastAsia="pl-PL"/>
        </w:rPr>
        <w:t>Projektowana ustawa nie zawiera przepisów technicznych w rozumieniu przepisów rozporządzenia Rady Ministrów z dnia 23 grudnia 2002 r. w sprawie sposobu funkcjonowania krajowego systemu notyfikacji norm i aktów prawnych (Dz. U. poz.</w:t>
      </w:r>
      <w:r w:rsidR="00B93B00">
        <w:rPr>
          <w:rFonts w:ascii="Times" w:eastAsia="Times New Roman" w:hAnsi="Times" w:cs="Arial"/>
          <w:bCs/>
          <w:sz w:val="24"/>
          <w:szCs w:val="20"/>
          <w:lang w:eastAsia="pl-PL"/>
        </w:rPr>
        <w:t> </w:t>
      </w:r>
      <w:r w:rsidRPr="00F63719">
        <w:rPr>
          <w:rFonts w:ascii="Times" w:eastAsia="Times New Roman" w:hAnsi="Times" w:cs="Arial"/>
          <w:bCs/>
          <w:sz w:val="24"/>
          <w:szCs w:val="20"/>
          <w:lang w:eastAsia="pl-PL"/>
        </w:rPr>
        <w:t>2039 oraz z 2004 r. poz. 597), i w związku z tym nie podlega notyfikacji.</w:t>
      </w:r>
    </w:p>
    <w:p w:rsidR="00F63719" w:rsidRPr="00F63719" w:rsidRDefault="00F63719" w:rsidP="00B93B00">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F63719">
        <w:rPr>
          <w:rFonts w:ascii="Times" w:eastAsia="Times New Roman" w:hAnsi="Times" w:cs="Arial"/>
          <w:sz w:val="24"/>
          <w:szCs w:val="20"/>
          <w:lang w:eastAsia="pl-PL"/>
        </w:rPr>
        <w:t>Nie istnieją alternatywne środki w stosunku do uchwalenia projektowanej ustawy umożliwiające osiągniecie zamierzonego celu.</w:t>
      </w:r>
    </w:p>
    <w:p w:rsidR="00F63719" w:rsidRDefault="00F63719" w:rsidP="00B93B00">
      <w:pPr>
        <w:suppressAutoHyphens/>
        <w:autoSpaceDE w:val="0"/>
        <w:autoSpaceDN w:val="0"/>
        <w:adjustRightInd w:val="0"/>
        <w:spacing w:before="120" w:after="0" w:line="360" w:lineRule="auto"/>
        <w:jc w:val="both"/>
        <w:rPr>
          <w:rFonts w:ascii="Times" w:eastAsia="Times New Roman" w:hAnsi="Times" w:cs="Arial"/>
          <w:sz w:val="20"/>
          <w:szCs w:val="20"/>
          <w:lang w:eastAsia="pl-PL"/>
        </w:rPr>
      </w:pPr>
    </w:p>
    <w:sectPr w:rsidR="00F63719" w:rsidSect="00F63719">
      <w:footerReference w:type="default" r:id="rId7"/>
      <w:footnotePr>
        <w:numRestart w:val="eachSect"/>
      </w:footnotePr>
      <w:pgSz w:w="11906" w:h="16838"/>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85C" w:rsidRDefault="0072185C" w:rsidP="0072185C">
      <w:pPr>
        <w:spacing w:after="0" w:line="240" w:lineRule="auto"/>
      </w:pPr>
      <w:r>
        <w:separator/>
      </w:r>
    </w:p>
  </w:endnote>
  <w:endnote w:type="continuationSeparator" w:id="0">
    <w:p w:rsidR="0072185C" w:rsidRDefault="0072185C" w:rsidP="00721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0499180"/>
      <w:docPartObj>
        <w:docPartGallery w:val="Page Numbers (Bottom of Page)"/>
        <w:docPartUnique/>
      </w:docPartObj>
    </w:sdtPr>
    <w:sdtEndPr>
      <w:rPr>
        <w:rFonts w:ascii="Times New Roman" w:hAnsi="Times New Roman" w:cs="Times New Roman"/>
        <w:sz w:val="24"/>
        <w:szCs w:val="24"/>
      </w:rPr>
    </w:sdtEndPr>
    <w:sdtContent>
      <w:p w:rsidR="0072185C" w:rsidRPr="0072185C" w:rsidRDefault="0072185C" w:rsidP="0072185C">
        <w:pPr>
          <w:pStyle w:val="Stopka"/>
          <w:jc w:val="center"/>
          <w:rPr>
            <w:rFonts w:ascii="Times New Roman" w:hAnsi="Times New Roman" w:cs="Times New Roman"/>
            <w:sz w:val="24"/>
            <w:szCs w:val="24"/>
          </w:rPr>
        </w:pPr>
        <w:r w:rsidRPr="0072185C">
          <w:rPr>
            <w:rFonts w:ascii="Times New Roman" w:hAnsi="Times New Roman" w:cs="Times New Roman"/>
            <w:sz w:val="24"/>
            <w:szCs w:val="24"/>
          </w:rPr>
          <w:fldChar w:fldCharType="begin"/>
        </w:r>
        <w:r w:rsidRPr="0072185C">
          <w:rPr>
            <w:rFonts w:ascii="Times New Roman" w:hAnsi="Times New Roman" w:cs="Times New Roman"/>
            <w:sz w:val="24"/>
            <w:szCs w:val="24"/>
          </w:rPr>
          <w:instrText>PAGE   \* MERGEFORMAT</w:instrText>
        </w:r>
        <w:r w:rsidRPr="0072185C">
          <w:rPr>
            <w:rFonts w:ascii="Times New Roman" w:hAnsi="Times New Roman" w:cs="Times New Roman"/>
            <w:sz w:val="24"/>
            <w:szCs w:val="24"/>
          </w:rPr>
          <w:fldChar w:fldCharType="separate"/>
        </w:r>
        <w:r w:rsidR="008E7AA9">
          <w:rPr>
            <w:rFonts w:ascii="Times New Roman" w:hAnsi="Times New Roman" w:cs="Times New Roman"/>
            <w:noProof/>
            <w:sz w:val="24"/>
            <w:szCs w:val="24"/>
          </w:rPr>
          <w:t>14</w:t>
        </w:r>
        <w:r w:rsidRPr="0072185C">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85C" w:rsidRDefault="0072185C" w:rsidP="0072185C">
      <w:pPr>
        <w:spacing w:after="0" w:line="240" w:lineRule="auto"/>
      </w:pPr>
      <w:r>
        <w:separator/>
      </w:r>
    </w:p>
  </w:footnote>
  <w:footnote w:type="continuationSeparator" w:id="0">
    <w:p w:rsidR="0072185C" w:rsidRDefault="0072185C" w:rsidP="007218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719"/>
    <w:rsid w:val="00097D5C"/>
    <w:rsid w:val="00175A27"/>
    <w:rsid w:val="001A5DDA"/>
    <w:rsid w:val="001E3F9C"/>
    <w:rsid w:val="00223F3E"/>
    <w:rsid w:val="00250305"/>
    <w:rsid w:val="00282157"/>
    <w:rsid w:val="00384287"/>
    <w:rsid w:val="00567E4A"/>
    <w:rsid w:val="0069354A"/>
    <w:rsid w:val="006C755C"/>
    <w:rsid w:val="0072185C"/>
    <w:rsid w:val="007716D3"/>
    <w:rsid w:val="00777034"/>
    <w:rsid w:val="007F5B5A"/>
    <w:rsid w:val="008768FE"/>
    <w:rsid w:val="008E7AA9"/>
    <w:rsid w:val="009964DE"/>
    <w:rsid w:val="009A480B"/>
    <w:rsid w:val="00A61B74"/>
    <w:rsid w:val="00A6482B"/>
    <w:rsid w:val="00AA4052"/>
    <w:rsid w:val="00AD6A67"/>
    <w:rsid w:val="00B92A4D"/>
    <w:rsid w:val="00B93B00"/>
    <w:rsid w:val="00BE4B65"/>
    <w:rsid w:val="00C64C3C"/>
    <w:rsid w:val="00C70323"/>
    <w:rsid w:val="00CC5016"/>
    <w:rsid w:val="00F63719"/>
    <w:rsid w:val="00FC1B9B"/>
    <w:rsid w:val="00FC5B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6371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63719"/>
  </w:style>
  <w:style w:type="paragraph" w:styleId="Stopka">
    <w:name w:val="footer"/>
    <w:basedOn w:val="Normalny"/>
    <w:link w:val="StopkaZnak"/>
    <w:uiPriority w:val="99"/>
    <w:unhideWhenUsed/>
    <w:rsid w:val="0072185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2185C"/>
  </w:style>
  <w:style w:type="paragraph" w:styleId="Tekstdymka">
    <w:name w:val="Balloon Text"/>
    <w:basedOn w:val="Normalny"/>
    <w:link w:val="TekstdymkaZnak"/>
    <w:uiPriority w:val="99"/>
    <w:semiHidden/>
    <w:unhideWhenUsed/>
    <w:rsid w:val="001A5DD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A5D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6371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63719"/>
  </w:style>
  <w:style w:type="paragraph" w:styleId="Stopka">
    <w:name w:val="footer"/>
    <w:basedOn w:val="Normalny"/>
    <w:link w:val="StopkaZnak"/>
    <w:uiPriority w:val="99"/>
    <w:unhideWhenUsed/>
    <w:rsid w:val="0072185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2185C"/>
  </w:style>
  <w:style w:type="paragraph" w:styleId="Tekstdymka">
    <w:name w:val="Balloon Text"/>
    <w:basedOn w:val="Normalny"/>
    <w:link w:val="TekstdymkaZnak"/>
    <w:uiPriority w:val="99"/>
    <w:semiHidden/>
    <w:unhideWhenUsed/>
    <w:rsid w:val="001A5DD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A5D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4510</Words>
  <Characters>27063</Characters>
  <Application>Microsoft Office Word</Application>
  <DocSecurity>0</DocSecurity>
  <Lines>225</Lines>
  <Paragraphs>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 Chmielewska</dc:creator>
  <cp:lastModifiedBy>Ewa A. Genert</cp:lastModifiedBy>
  <cp:revision>2</cp:revision>
  <cp:lastPrinted>2017-06-20T11:44:00Z</cp:lastPrinted>
  <dcterms:created xsi:type="dcterms:W3CDTF">2017-07-04T16:58:00Z</dcterms:created>
  <dcterms:modified xsi:type="dcterms:W3CDTF">2017-07-04T16:58:00Z</dcterms:modified>
</cp:coreProperties>
</file>