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DA2" w:rsidRPr="00630B3F" w:rsidRDefault="00E73C3D" w:rsidP="00057208">
      <w:pPr>
        <w:spacing w:before="120" w:line="360" w:lineRule="auto"/>
        <w:jc w:val="center"/>
        <w:rPr>
          <w:bCs/>
          <w:color w:val="000000" w:themeColor="text1"/>
        </w:rPr>
      </w:pPr>
      <w:bookmarkStart w:id="0" w:name="_GoBack"/>
      <w:bookmarkEnd w:id="0"/>
      <w:r w:rsidRPr="00057208">
        <w:rPr>
          <w:bCs/>
          <w:color w:val="000000" w:themeColor="text1"/>
        </w:rPr>
        <w:t>UZASADNIENIE</w:t>
      </w:r>
    </w:p>
    <w:p w:rsidR="007C5182" w:rsidRPr="00630B3F" w:rsidRDefault="007C5182" w:rsidP="00057208">
      <w:pPr>
        <w:autoSpaceDE w:val="0"/>
        <w:autoSpaceDN w:val="0"/>
        <w:adjustRightInd w:val="0"/>
        <w:spacing w:before="120" w:line="360" w:lineRule="auto"/>
        <w:ind w:firstLine="425"/>
        <w:jc w:val="both"/>
        <w:rPr>
          <w:bCs/>
          <w:color w:val="000000" w:themeColor="text1"/>
        </w:rPr>
      </w:pPr>
      <w:r w:rsidRPr="00630B3F">
        <w:rPr>
          <w:bCs/>
          <w:color w:val="000000" w:themeColor="text1"/>
        </w:rPr>
        <w:t xml:space="preserve">Projekt ustawy wprowadza zmiany do </w:t>
      </w:r>
      <w:r w:rsidR="00344C37" w:rsidRPr="00630B3F">
        <w:rPr>
          <w:bCs/>
          <w:color w:val="000000" w:themeColor="text1"/>
        </w:rPr>
        <w:t>ustawy z dnia 25 maja 2001 r. o</w:t>
      </w:r>
      <w:r w:rsidR="00057208">
        <w:rPr>
          <w:bCs/>
          <w:color w:val="000000" w:themeColor="text1"/>
        </w:rPr>
        <w:t> </w:t>
      </w:r>
      <w:r w:rsidR="008D6399" w:rsidRPr="00630B3F">
        <w:rPr>
          <w:bCs/>
          <w:color w:val="000000" w:themeColor="text1"/>
        </w:rPr>
        <w:t>przebudowie i</w:t>
      </w:r>
      <w:r w:rsidR="00057208">
        <w:rPr>
          <w:bCs/>
          <w:color w:val="000000" w:themeColor="text1"/>
        </w:rPr>
        <w:t xml:space="preserve"> </w:t>
      </w:r>
      <w:r w:rsidRPr="00630B3F">
        <w:rPr>
          <w:bCs/>
          <w:color w:val="000000" w:themeColor="text1"/>
        </w:rPr>
        <w:t>modernizacji technicznej oraz finansowaniu Sił Zbrojnych Rz</w:t>
      </w:r>
      <w:r w:rsidR="008D6399" w:rsidRPr="00630B3F">
        <w:rPr>
          <w:bCs/>
          <w:color w:val="000000" w:themeColor="text1"/>
        </w:rPr>
        <w:t>eczypospolitej Polskiej (Dz.</w:t>
      </w:r>
      <w:r w:rsidR="00057208">
        <w:rPr>
          <w:bCs/>
          <w:color w:val="000000" w:themeColor="text1"/>
        </w:rPr>
        <w:t xml:space="preserve"> </w:t>
      </w:r>
      <w:r w:rsidR="008D6399" w:rsidRPr="00630B3F">
        <w:rPr>
          <w:bCs/>
          <w:color w:val="000000" w:themeColor="text1"/>
        </w:rPr>
        <w:t>U z</w:t>
      </w:r>
      <w:r w:rsidR="00057208">
        <w:rPr>
          <w:bCs/>
          <w:color w:val="000000" w:themeColor="text1"/>
        </w:rPr>
        <w:t xml:space="preserve"> </w:t>
      </w:r>
      <w:r w:rsidRPr="00630B3F">
        <w:rPr>
          <w:bCs/>
          <w:color w:val="000000" w:themeColor="text1"/>
        </w:rPr>
        <w:t>2015 r. poz. 1716 oraz z 2016 r. poz. 2260) zwanej dalej „ustawą”. Jedn</w:t>
      </w:r>
      <w:r w:rsidR="00675E16" w:rsidRPr="00630B3F">
        <w:rPr>
          <w:bCs/>
          <w:color w:val="000000" w:themeColor="text1"/>
        </w:rPr>
        <w:t>ym z głównych celów</w:t>
      </w:r>
      <w:r w:rsidRPr="00630B3F">
        <w:rPr>
          <w:bCs/>
          <w:color w:val="000000" w:themeColor="text1"/>
        </w:rPr>
        <w:t xml:space="preserve"> nowelizacji ustawy jest uwzględnienie na gruncie przepisów ustawowych ustaleń państw członkowskich NATO podjętych na szczycie w 2014 r. w Newport, potwierdzonych na kolejnym szczycie w roku 2016 w</w:t>
      </w:r>
      <w:r w:rsidR="00057208">
        <w:rPr>
          <w:bCs/>
          <w:color w:val="000000" w:themeColor="text1"/>
        </w:rPr>
        <w:t> </w:t>
      </w:r>
      <w:r w:rsidRPr="00630B3F">
        <w:rPr>
          <w:bCs/>
          <w:color w:val="000000" w:themeColor="text1"/>
        </w:rPr>
        <w:t>Warszawie oraz deklaracji Prezydent</w:t>
      </w:r>
      <w:r w:rsidR="008D6399" w:rsidRPr="00630B3F">
        <w:rPr>
          <w:bCs/>
          <w:color w:val="000000" w:themeColor="text1"/>
        </w:rPr>
        <w:t>a RP i Rządu RP w</w:t>
      </w:r>
      <w:r w:rsidR="00057208">
        <w:rPr>
          <w:bCs/>
          <w:color w:val="000000" w:themeColor="text1"/>
        </w:rPr>
        <w:t xml:space="preserve"> </w:t>
      </w:r>
      <w:r w:rsidRPr="00630B3F">
        <w:rPr>
          <w:bCs/>
          <w:color w:val="000000" w:themeColor="text1"/>
        </w:rPr>
        <w:t xml:space="preserve">zakresie zwiększenia poziomu finansowania wydatków obronnych do wysokości 2% PKB – według metodologii NATO. Ponadto projekt ustawy realizuje postanowienia „Strategii na rzecz odpowiedzialnego rozwoju” </w:t>
      </w:r>
      <w:r w:rsidR="003E17C5">
        <w:rPr>
          <w:bCs/>
          <w:color w:val="000000" w:themeColor="text1"/>
        </w:rPr>
        <w:t xml:space="preserve">w zakresie </w:t>
      </w:r>
      <w:r w:rsidRPr="00630B3F">
        <w:rPr>
          <w:bCs/>
          <w:color w:val="000000" w:themeColor="text1"/>
        </w:rPr>
        <w:t>wzrost</w:t>
      </w:r>
      <w:r w:rsidR="003E17C5">
        <w:rPr>
          <w:bCs/>
          <w:color w:val="000000" w:themeColor="text1"/>
        </w:rPr>
        <w:t>u</w:t>
      </w:r>
      <w:r w:rsidRPr="00630B3F">
        <w:rPr>
          <w:bCs/>
          <w:color w:val="000000" w:themeColor="text1"/>
        </w:rPr>
        <w:t xml:space="preserve"> wydatków obronny</w:t>
      </w:r>
      <w:r w:rsidR="006278FE">
        <w:rPr>
          <w:bCs/>
          <w:color w:val="000000" w:themeColor="text1"/>
        </w:rPr>
        <w:t xml:space="preserve">ch </w:t>
      </w:r>
      <w:r w:rsidR="00675E16" w:rsidRPr="00630B3F">
        <w:rPr>
          <w:bCs/>
          <w:color w:val="000000" w:themeColor="text1"/>
        </w:rPr>
        <w:t>do 2,5% PKB w</w:t>
      </w:r>
      <w:r w:rsidR="00057208">
        <w:rPr>
          <w:bCs/>
          <w:color w:val="000000" w:themeColor="text1"/>
        </w:rPr>
        <w:t> </w:t>
      </w:r>
      <w:r w:rsidR="00675E16" w:rsidRPr="00630B3F">
        <w:rPr>
          <w:bCs/>
          <w:color w:val="000000" w:themeColor="text1"/>
        </w:rPr>
        <w:t>2030 r.</w:t>
      </w:r>
      <w:r w:rsidR="00E45281">
        <w:rPr>
          <w:bCs/>
          <w:color w:val="000000" w:themeColor="text1"/>
        </w:rPr>
        <w:t>,</w:t>
      </w:r>
      <w:r w:rsidR="00675E16" w:rsidRPr="00630B3F">
        <w:rPr>
          <w:bCs/>
          <w:color w:val="000000" w:themeColor="text1"/>
        </w:rPr>
        <w:t xml:space="preserve"> </w:t>
      </w:r>
      <w:r w:rsidRPr="00630B3F">
        <w:rPr>
          <w:bCs/>
          <w:color w:val="000000" w:themeColor="text1"/>
        </w:rPr>
        <w:t>przewidując stopni</w:t>
      </w:r>
      <w:r w:rsidR="00B77B66">
        <w:rPr>
          <w:bCs/>
          <w:color w:val="000000" w:themeColor="text1"/>
        </w:rPr>
        <w:t>owe dochodzenie do wartości 2,5</w:t>
      </w:r>
      <w:r w:rsidRPr="00630B3F">
        <w:rPr>
          <w:bCs/>
          <w:color w:val="000000" w:themeColor="text1"/>
        </w:rPr>
        <w:t>% PKB przeznaczanych na finansowanie potrzeb obronnych Rzeczypospolitej Polskiej.</w:t>
      </w:r>
    </w:p>
    <w:p w:rsidR="007C5182" w:rsidRPr="00630B3F" w:rsidRDefault="007C5182" w:rsidP="00057208">
      <w:pPr>
        <w:autoSpaceDE w:val="0"/>
        <w:autoSpaceDN w:val="0"/>
        <w:adjustRightInd w:val="0"/>
        <w:spacing w:before="120" w:line="360" w:lineRule="auto"/>
        <w:ind w:firstLine="425"/>
        <w:jc w:val="both"/>
        <w:rPr>
          <w:bCs/>
          <w:color w:val="000000" w:themeColor="text1"/>
        </w:rPr>
      </w:pPr>
      <w:r w:rsidRPr="00630B3F">
        <w:rPr>
          <w:bCs/>
          <w:color w:val="000000" w:themeColor="text1"/>
        </w:rPr>
        <w:t>Zgodnie z obowiązującym art. 7 ust. 1 ustawy, na finansowanie potrzeb obronnych Rzeczypospolitej Polskiej przeznacza się corocznie wydatki z budżetu państwa w</w:t>
      </w:r>
      <w:r w:rsidR="00057208">
        <w:rPr>
          <w:bCs/>
          <w:color w:val="000000" w:themeColor="text1"/>
        </w:rPr>
        <w:t> </w:t>
      </w:r>
      <w:r w:rsidRPr="00630B3F">
        <w:rPr>
          <w:bCs/>
          <w:color w:val="000000" w:themeColor="text1"/>
        </w:rPr>
        <w:t>wysokości nie niższej niż 2% Produktu Krajowego Brutto z roku poprzedniego. Takie brzmienie przedmiotowego przepisu nie pozwala na wypełnienie ustaleń państw członkowskich NATO podjętych na szczycie w Newport, zakładających przeznaczanie minimum 2% PKB na obronność, ponieważ wedł</w:t>
      </w:r>
      <w:r w:rsidR="00682CDA" w:rsidRPr="00630B3F">
        <w:rPr>
          <w:bCs/>
          <w:color w:val="000000" w:themeColor="text1"/>
        </w:rPr>
        <w:t>ug metodologii NATO przeliczenia</w:t>
      </w:r>
      <w:r w:rsidRPr="00630B3F">
        <w:rPr>
          <w:bCs/>
          <w:color w:val="000000" w:themeColor="text1"/>
        </w:rPr>
        <w:t xml:space="preserve"> udziału wydatków obronnych dokonuje się do PKB tego samego roku, w którym </w:t>
      </w:r>
      <w:r w:rsidR="0081062E" w:rsidRPr="00630B3F">
        <w:rPr>
          <w:bCs/>
          <w:color w:val="000000" w:themeColor="text1"/>
        </w:rPr>
        <w:t xml:space="preserve">są </w:t>
      </w:r>
      <w:r w:rsidRPr="00630B3F">
        <w:rPr>
          <w:bCs/>
          <w:color w:val="000000" w:themeColor="text1"/>
        </w:rPr>
        <w:t>ponoszone te wydatki, a nie roku poprzedniego. Przyjęcie w dotychczasowej regulacji ustawowej innego sposobu wyznaczania wydatków obronnych niż według metodologii NATO powoduje niedoszacowanie tych wydatków i w efekcie prezentowanie wysiłku Polski na rzecz obronności w dokumentach statystycznych NATO poniżej progu 2% PKB. Jest to niezwykle istotne z punktu widzenia bezpieczeństwa obronnego Polski, gdyż to wskaźniki ujęte w dokumentach statystycznych NATO są przekazywane przywódcom państw NATO. Polska natomiast</w:t>
      </w:r>
      <w:r w:rsidR="006627D8">
        <w:rPr>
          <w:bCs/>
          <w:color w:val="000000" w:themeColor="text1"/>
        </w:rPr>
        <w:t>,</w:t>
      </w:r>
      <w:r w:rsidRPr="00630B3F">
        <w:rPr>
          <w:bCs/>
          <w:color w:val="000000" w:themeColor="text1"/>
        </w:rPr>
        <w:t xml:space="preserve"> pomimo wydatkowania znacznych środków na obronność, bez zmiany naliczania wydatków obronnych będzie prezentowana w grupie państw </w:t>
      </w:r>
      <w:r w:rsidR="004265D7" w:rsidRPr="00630B3F">
        <w:rPr>
          <w:bCs/>
          <w:color w:val="000000" w:themeColor="text1"/>
        </w:rPr>
        <w:t>niewypełniających</w:t>
      </w:r>
      <w:r w:rsidR="00675E16" w:rsidRPr="00630B3F">
        <w:rPr>
          <w:bCs/>
          <w:color w:val="000000" w:themeColor="text1"/>
        </w:rPr>
        <w:t xml:space="preserve"> ustaleń zawartych </w:t>
      </w:r>
      <w:r w:rsidRPr="00630B3F">
        <w:rPr>
          <w:bCs/>
          <w:color w:val="000000" w:themeColor="text1"/>
        </w:rPr>
        <w:t>w „Deklaracji szczytu walijskiego” oraz ujętych w „Komunikacie ze szczytu NATO</w:t>
      </w:r>
      <w:r w:rsidR="00675E16" w:rsidRPr="00630B3F">
        <w:rPr>
          <w:bCs/>
          <w:color w:val="000000" w:themeColor="text1"/>
        </w:rPr>
        <w:t xml:space="preserve"> </w:t>
      </w:r>
      <w:r w:rsidRPr="00630B3F">
        <w:rPr>
          <w:bCs/>
          <w:color w:val="000000" w:themeColor="text1"/>
        </w:rPr>
        <w:t xml:space="preserve">w Warszawie”. </w:t>
      </w:r>
    </w:p>
    <w:p w:rsidR="007C5182" w:rsidRPr="00630B3F" w:rsidRDefault="007C5182" w:rsidP="00057208">
      <w:pPr>
        <w:autoSpaceDE w:val="0"/>
        <w:autoSpaceDN w:val="0"/>
        <w:adjustRightInd w:val="0"/>
        <w:spacing w:before="120" w:line="360" w:lineRule="auto"/>
        <w:ind w:firstLine="425"/>
        <w:jc w:val="both"/>
        <w:rPr>
          <w:bCs/>
          <w:color w:val="000000" w:themeColor="text1"/>
        </w:rPr>
      </w:pPr>
      <w:r w:rsidRPr="00630B3F">
        <w:rPr>
          <w:bCs/>
          <w:color w:val="000000" w:themeColor="text1"/>
        </w:rPr>
        <w:t xml:space="preserve">Jednocześnie w związku z sytuacją geopolityczną wokół Polski, </w:t>
      </w:r>
      <w:r w:rsidR="0081062E" w:rsidRPr="00630B3F">
        <w:rPr>
          <w:bCs/>
          <w:color w:val="000000" w:themeColor="text1"/>
        </w:rPr>
        <w:t xml:space="preserve">są </w:t>
      </w:r>
      <w:r w:rsidRPr="00630B3F">
        <w:rPr>
          <w:bCs/>
          <w:color w:val="000000" w:themeColor="text1"/>
        </w:rPr>
        <w:t>prowadzone w</w:t>
      </w:r>
      <w:r w:rsidR="00057208">
        <w:rPr>
          <w:bCs/>
          <w:color w:val="000000" w:themeColor="text1"/>
        </w:rPr>
        <w:t> </w:t>
      </w:r>
      <w:r w:rsidRPr="00630B3F">
        <w:rPr>
          <w:bCs/>
          <w:color w:val="000000" w:themeColor="text1"/>
        </w:rPr>
        <w:t xml:space="preserve">Siłach Zbrojnych </w:t>
      </w:r>
      <w:r w:rsidR="00872D6B" w:rsidRPr="00630B3F">
        <w:rPr>
          <w:bCs/>
          <w:color w:val="000000" w:themeColor="text1"/>
        </w:rPr>
        <w:t xml:space="preserve">Rzeczypospolitej Polskiej </w:t>
      </w:r>
      <w:r w:rsidRPr="00630B3F">
        <w:rPr>
          <w:bCs/>
          <w:color w:val="000000" w:themeColor="text1"/>
        </w:rPr>
        <w:t xml:space="preserve">działania na rzecz rozbudowy potencjału </w:t>
      </w:r>
      <w:r w:rsidRPr="00630B3F">
        <w:rPr>
          <w:bCs/>
          <w:color w:val="000000" w:themeColor="text1"/>
        </w:rPr>
        <w:lastRenderedPageBreak/>
        <w:t xml:space="preserve">obronnego kraju, w tym </w:t>
      </w:r>
      <w:r w:rsidR="0081062E" w:rsidRPr="00630B3F">
        <w:rPr>
          <w:bCs/>
          <w:color w:val="000000" w:themeColor="text1"/>
        </w:rPr>
        <w:t xml:space="preserve">jest </w:t>
      </w:r>
      <w:r w:rsidRPr="00630B3F">
        <w:rPr>
          <w:bCs/>
          <w:color w:val="000000" w:themeColor="text1"/>
        </w:rPr>
        <w:t xml:space="preserve">prowadzona modernizacja techniczna Sił Zbrojnych </w:t>
      </w:r>
      <w:r w:rsidR="00872D6B" w:rsidRPr="00630B3F">
        <w:rPr>
          <w:bCs/>
          <w:color w:val="000000" w:themeColor="text1"/>
        </w:rPr>
        <w:t xml:space="preserve">Rzeczypospolitej Polskiej </w:t>
      </w:r>
      <w:r w:rsidRPr="00630B3F">
        <w:rPr>
          <w:bCs/>
          <w:color w:val="000000" w:themeColor="text1"/>
        </w:rPr>
        <w:t>oraz zwiększenie stanu osobowego żołnierzy. W związku z</w:t>
      </w:r>
      <w:r w:rsidR="00057208">
        <w:rPr>
          <w:bCs/>
          <w:color w:val="000000" w:themeColor="text1"/>
        </w:rPr>
        <w:t> </w:t>
      </w:r>
      <w:r w:rsidRPr="00630B3F">
        <w:rPr>
          <w:bCs/>
          <w:color w:val="000000" w:themeColor="text1"/>
        </w:rPr>
        <w:t xml:space="preserve">powyższym </w:t>
      </w:r>
      <w:r w:rsidR="0081062E" w:rsidRPr="00630B3F">
        <w:rPr>
          <w:bCs/>
          <w:color w:val="000000" w:themeColor="text1"/>
        </w:rPr>
        <w:t xml:space="preserve">są </w:t>
      </w:r>
      <w:r w:rsidRPr="00630B3F">
        <w:rPr>
          <w:bCs/>
          <w:color w:val="000000" w:themeColor="text1"/>
        </w:rPr>
        <w:t>realizowane inwestycj</w:t>
      </w:r>
      <w:r w:rsidR="00872D6B">
        <w:rPr>
          <w:bCs/>
          <w:color w:val="000000" w:themeColor="text1"/>
        </w:rPr>
        <w:t>e określone w</w:t>
      </w:r>
      <w:r w:rsidR="00057208">
        <w:rPr>
          <w:bCs/>
          <w:color w:val="000000" w:themeColor="text1"/>
        </w:rPr>
        <w:t xml:space="preserve"> </w:t>
      </w:r>
      <w:r w:rsidRPr="00630B3F">
        <w:rPr>
          <w:bCs/>
          <w:color w:val="000000" w:themeColor="text1"/>
        </w:rPr>
        <w:t xml:space="preserve">programie wieloletnim „Priorytetowe Zadania Modernizacji Technicznej Sił Zbrojnych </w:t>
      </w:r>
      <w:r w:rsidR="00872D6B">
        <w:rPr>
          <w:bCs/>
          <w:color w:val="000000" w:themeColor="text1"/>
        </w:rPr>
        <w:t xml:space="preserve">RP </w:t>
      </w:r>
      <w:r w:rsidRPr="00630B3F">
        <w:rPr>
          <w:bCs/>
          <w:color w:val="000000" w:themeColor="text1"/>
        </w:rPr>
        <w:t>w ramach programów operacyjnych”, które zostały ograniczone z powodu osiągania mniejszego poziomu PKB niż wcześniej szacowany przez Ministra Fina</w:t>
      </w:r>
      <w:r w:rsidR="00675E16" w:rsidRPr="00630B3F">
        <w:rPr>
          <w:bCs/>
          <w:color w:val="000000" w:themeColor="text1"/>
        </w:rPr>
        <w:t xml:space="preserve">nsów. Równocześnie planuje się </w:t>
      </w:r>
      <w:r w:rsidRPr="00630B3F">
        <w:rPr>
          <w:bCs/>
          <w:color w:val="000000" w:themeColor="text1"/>
        </w:rPr>
        <w:t xml:space="preserve">zwiększenie stanu etatowego Sił Zbrojnych </w:t>
      </w:r>
      <w:r w:rsidR="00872D6B" w:rsidRPr="00630B3F">
        <w:rPr>
          <w:bCs/>
          <w:color w:val="000000" w:themeColor="text1"/>
        </w:rPr>
        <w:t xml:space="preserve">Rzeczypospolitej Polskiej </w:t>
      </w:r>
      <w:r w:rsidRPr="00630B3F">
        <w:rPr>
          <w:bCs/>
          <w:color w:val="000000" w:themeColor="text1"/>
        </w:rPr>
        <w:t>do 200 tys. żołnierzy, w tym nie więcej niż 130 tysięcy stanowisk planuje się przeznaczyć dla żołnierzy zawodow</w:t>
      </w:r>
      <w:r w:rsidR="00675E16" w:rsidRPr="00630B3F">
        <w:rPr>
          <w:bCs/>
          <w:color w:val="000000" w:themeColor="text1"/>
        </w:rPr>
        <w:t>ych, m.in. w związku</w:t>
      </w:r>
      <w:r w:rsidRPr="00630B3F">
        <w:rPr>
          <w:bCs/>
          <w:color w:val="000000" w:themeColor="text1"/>
        </w:rPr>
        <w:t xml:space="preserve"> z trwającym procesem formowania Wojsk Obrony Terytorialnej. Powyższe przedsięwzięcia wymagają odpowiedniego finansowania, dlatego </w:t>
      </w:r>
      <w:r w:rsidR="0081062E" w:rsidRPr="00630B3F">
        <w:rPr>
          <w:bCs/>
          <w:color w:val="000000" w:themeColor="text1"/>
        </w:rPr>
        <w:t xml:space="preserve">jest </w:t>
      </w:r>
      <w:r w:rsidRPr="00630B3F">
        <w:rPr>
          <w:bCs/>
          <w:color w:val="000000" w:themeColor="text1"/>
        </w:rPr>
        <w:t>niezbędne przeznaczanie na obronność co najmniej 2% PKB, liczonego według metodologii NATO już od 2018 r. oraz stopniowe zwiększanie tej wielkości w latach następnych.</w:t>
      </w:r>
      <w:r w:rsidR="00057208">
        <w:rPr>
          <w:bCs/>
          <w:color w:val="000000" w:themeColor="text1"/>
        </w:rPr>
        <w:t xml:space="preserve"> </w:t>
      </w:r>
    </w:p>
    <w:p w:rsidR="007C5182" w:rsidRPr="00630B3F" w:rsidRDefault="007C5182" w:rsidP="00057208">
      <w:pPr>
        <w:autoSpaceDE w:val="0"/>
        <w:autoSpaceDN w:val="0"/>
        <w:adjustRightInd w:val="0"/>
        <w:spacing w:before="120" w:line="360" w:lineRule="auto"/>
        <w:ind w:firstLine="425"/>
        <w:jc w:val="both"/>
        <w:rPr>
          <w:bCs/>
          <w:color w:val="000000" w:themeColor="text1"/>
        </w:rPr>
      </w:pPr>
      <w:r w:rsidRPr="00630B3F">
        <w:rPr>
          <w:bCs/>
          <w:color w:val="000000" w:themeColor="text1"/>
        </w:rPr>
        <w:t>Należy również zauważyć, że obecny rok jest rokiem przełomowym ze względu na rozpoczęcie stacjonowania w Polsce sił sojuszniczych. Obecnie trwa proces rozlokowania tych sił, zarówno we wschodniej, jak i zachodniej części kraju, co znacząco zwiększa potencjał obronny, nie tylko Polski, ale też całej tzw. wschodniej flanki NATO. Podkreślenia wymaga, że bez projektowanego zwiększenia wydatków obronnych, które jest również wyraźnie postulowane przez nową administrację amerykańską w stosunku do pozostałych państw NATO, zdecydowanie trudniej będzie oczekiwać dalszego amerykańskiego zaangażowania w proces wzmacn</w:t>
      </w:r>
      <w:r w:rsidR="00ED0DA2" w:rsidRPr="00630B3F">
        <w:rPr>
          <w:bCs/>
          <w:color w:val="000000" w:themeColor="text1"/>
        </w:rPr>
        <w:t xml:space="preserve">iania wschodniej flanki Sojuszu </w:t>
      </w:r>
      <w:r w:rsidRPr="00630B3F">
        <w:rPr>
          <w:bCs/>
          <w:color w:val="000000" w:themeColor="text1"/>
        </w:rPr>
        <w:t xml:space="preserve">Północnoatlantyckiego. </w:t>
      </w:r>
    </w:p>
    <w:p w:rsidR="007C5182" w:rsidRPr="00630B3F" w:rsidRDefault="007C5182" w:rsidP="00057208">
      <w:pPr>
        <w:autoSpaceDE w:val="0"/>
        <w:autoSpaceDN w:val="0"/>
        <w:adjustRightInd w:val="0"/>
        <w:spacing w:before="120" w:line="360" w:lineRule="auto"/>
        <w:ind w:firstLine="425"/>
        <w:jc w:val="both"/>
        <w:rPr>
          <w:bCs/>
          <w:color w:val="000000" w:themeColor="text1"/>
        </w:rPr>
      </w:pPr>
      <w:r w:rsidRPr="00630B3F">
        <w:rPr>
          <w:bCs/>
          <w:color w:val="000000" w:themeColor="text1"/>
        </w:rPr>
        <w:t>Zakłada się, że zwiększanie w</w:t>
      </w:r>
      <w:r w:rsidR="006278FE">
        <w:rPr>
          <w:bCs/>
          <w:color w:val="000000" w:themeColor="text1"/>
        </w:rPr>
        <w:t xml:space="preserve">ydatków obronnych </w:t>
      </w:r>
      <w:r w:rsidR="00D8664C" w:rsidRPr="00630B3F">
        <w:rPr>
          <w:bCs/>
          <w:color w:val="000000" w:themeColor="text1"/>
        </w:rPr>
        <w:t xml:space="preserve">docelowo 2,5% PKB w roku 2030 </w:t>
      </w:r>
      <w:r w:rsidRPr="00630B3F">
        <w:rPr>
          <w:bCs/>
          <w:color w:val="000000" w:themeColor="text1"/>
        </w:rPr>
        <w:t>pozwoli m.in. na:</w:t>
      </w:r>
    </w:p>
    <w:p w:rsidR="007C5182" w:rsidRPr="00630B3F" w:rsidRDefault="00682CDA" w:rsidP="00057208">
      <w:pPr>
        <w:autoSpaceDE w:val="0"/>
        <w:autoSpaceDN w:val="0"/>
        <w:adjustRightInd w:val="0"/>
        <w:spacing w:line="360" w:lineRule="auto"/>
        <w:ind w:left="425" w:hanging="425"/>
        <w:jc w:val="both"/>
        <w:rPr>
          <w:bCs/>
          <w:color w:val="000000" w:themeColor="text1"/>
        </w:rPr>
      </w:pPr>
      <w:r w:rsidRPr="00630B3F">
        <w:rPr>
          <w:bCs/>
          <w:color w:val="000000" w:themeColor="text1"/>
        </w:rPr>
        <w:t>1)</w:t>
      </w:r>
      <w:r w:rsidR="007C5182" w:rsidRPr="00630B3F">
        <w:rPr>
          <w:bCs/>
          <w:color w:val="000000" w:themeColor="text1"/>
        </w:rPr>
        <w:tab/>
        <w:t>zapewnienie zdolności państwa do obrony oraz przeciwstawienia się agresji, w tym zdolności odstraszania, również przeciw zagrożeniom hybrydowym i</w:t>
      </w:r>
      <w:r w:rsidR="00057208">
        <w:rPr>
          <w:bCs/>
          <w:color w:val="000000" w:themeColor="text1"/>
        </w:rPr>
        <w:t> </w:t>
      </w:r>
      <w:r w:rsidR="007C5182" w:rsidRPr="00630B3F">
        <w:rPr>
          <w:bCs/>
          <w:color w:val="000000" w:themeColor="text1"/>
        </w:rPr>
        <w:t>w</w:t>
      </w:r>
      <w:r w:rsidR="00057208">
        <w:rPr>
          <w:bCs/>
          <w:color w:val="000000" w:themeColor="text1"/>
        </w:rPr>
        <w:t> </w:t>
      </w:r>
      <w:r w:rsidR="007C5182" w:rsidRPr="00630B3F">
        <w:rPr>
          <w:bCs/>
          <w:color w:val="000000" w:themeColor="text1"/>
        </w:rPr>
        <w:t>cyberprzestrzeni;</w:t>
      </w:r>
    </w:p>
    <w:p w:rsidR="007C5182" w:rsidRPr="00630B3F" w:rsidRDefault="00682CDA" w:rsidP="00057208">
      <w:pPr>
        <w:autoSpaceDE w:val="0"/>
        <w:autoSpaceDN w:val="0"/>
        <w:adjustRightInd w:val="0"/>
        <w:spacing w:line="360" w:lineRule="auto"/>
        <w:ind w:left="425" w:hanging="425"/>
        <w:jc w:val="both"/>
        <w:rPr>
          <w:bCs/>
          <w:color w:val="000000" w:themeColor="text1"/>
        </w:rPr>
      </w:pPr>
      <w:r w:rsidRPr="00630B3F">
        <w:rPr>
          <w:bCs/>
          <w:color w:val="000000" w:themeColor="text1"/>
        </w:rPr>
        <w:t>2)</w:t>
      </w:r>
      <w:r w:rsidR="007C5182" w:rsidRPr="00630B3F">
        <w:rPr>
          <w:bCs/>
          <w:color w:val="000000" w:themeColor="text1"/>
        </w:rPr>
        <w:tab/>
        <w:t>reorganizację struktur organizacyjnych i dowodzenia SZ RP oraz doskonalenie narodowego planowania obronnego na szczeblu str</w:t>
      </w:r>
      <w:r w:rsidR="00675E16" w:rsidRPr="00630B3F">
        <w:rPr>
          <w:bCs/>
          <w:color w:val="000000" w:themeColor="text1"/>
        </w:rPr>
        <w:t xml:space="preserve">ategicznym, w tym planowania </w:t>
      </w:r>
      <w:r w:rsidR="008D6399" w:rsidRPr="00630B3F">
        <w:rPr>
          <w:bCs/>
          <w:color w:val="000000" w:themeColor="text1"/>
        </w:rPr>
        <w:t>i</w:t>
      </w:r>
      <w:r w:rsidR="00057208">
        <w:rPr>
          <w:bCs/>
          <w:color w:val="000000" w:themeColor="text1"/>
        </w:rPr>
        <w:t> </w:t>
      </w:r>
      <w:r w:rsidR="007C5182" w:rsidRPr="00630B3F">
        <w:rPr>
          <w:bCs/>
          <w:color w:val="000000" w:themeColor="text1"/>
        </w:rPr>
        <w:t>programowania rozwoju SZ RP;</w:t>
      </w:r>
    </w:p>
    <w:p w:rsidR="007C5182" w:rsidRPr="00630B3F" w:rsidRDefault="00682CDA" w:rsidP="00057208">
      <w:pPr>
        <w:autoSpaceDE w:val="0"/>
        <w:autoSpaceDN w:val="0"/>
        <w:adjustRightInd w:val="0"/>
        <w:spacing w:line="360" w:lineRule="auto"/>
        <w:ind w:left="425" w:hanging="425"/>
        <w:jc w:val="both"/>
        <w:rPr>
          <w:bCs/>
          <w:color w:val="000000" w:themeColor="text1"/>
        </w:rPr>
      </w:pPr>
      <w:r w:rsidRPr="00630B3F">
        <w:rPr>
          <w:bCs/>
          <w:color w:val="000000" w:themeColor="text1"/>
        </w:rPr>
        <w:t>3)</w:t>
      </w:r>
      <w:r w:rsidR="007C5182" w:rsidRPr="00630B3F">
        <w:rPr>
          <w:bCs/>
          <w:color w:val="000000" w:themeColor="text1"/>
        </w:rPr>
        <w:tab/>
        <w:t>modernizację techniczną SZ RP poprzez zwiększanie nasycenia nowoczesnym sprzętem wojskowym, z aktywnym zaangażowaniem i wykorzystaniem polskiego potencjału przemysłu obronnego;</w:t>
      </w:r>
    </w:p>
    <w:p w:rsidR="007C5182" w:rsidRPr="00630B3F" w:rsidRDefault="00682CDA" w:rsidP="00057208">
      <w:pPr>
        <w:autoSpaceDE w:val="0"/>
        <w:autoSpaceDN w:val="0"/>
        <w:adjustRightInd w:val="0"/>
        <w:spacing w:line="360" w:lineRule="auto"/>
        <w:ind w:left="425" w:hanging="425"/>
        <w:jc w:val="both"/>
        <w:rPr>
          <w:bCs/>
          <w:color w:val="000000" w:themeColor="text1"/>
        </w:rPr>
      </w:pPr>
      <w:r w:rsidRPr="00630B3F">
        <w:rPr>
          <w:bCs/>
          <w:color w:val="000000" w:themeColor="text1"/>
        </w:rPr>
        <w:lastRenderedPageBreak/>
        <w:t>4)</w:t>
      </w:r>
      <w:r w:rsidR="007C5182" w:rsidRPr="00630B3F">
        <w:rPr>
          <w:bCs/>
          <w:color w:val="000000" w:themeColor="text1"/>
        </w:rPr>
        <w:tab/>
        <w:t>stworzenie wydolnego systemu ochrony powietrznej, w tym przeciwrakietowej;</w:t>
      </w:r>
    </w:p>
    <w:p w:rsidR="007C5182" w:rsidRPr="00630B3F" w:rsidRDefault="00682CDA" w:rsidP="00057208">
      <w:pPr>
        <w:autoSpaceDE w:val="0"/>
        <w:autoSpaceDN w:val="0"/>
        <w:adjustRightInd w:val="0"/>
        <w:spacing w:line="360" w:lineRule="auto"/>
        <w:ind w:left="425" w:hanging="425"/>
        <w:jc w:val="both"/>
        <w:rPr>
          <w:bCs/>
          <w:color w:val="000000" w:themeColor="text1"/>
        </w:rPr>
      </w:pPr>
      <w:r w:rsidRPr="00630B3F">
        <w:rPr>
          <w:bCs/>
          <w:color w:val="000000" w:themeColor="text1"/>
        </w:rPr>
        <w:t>5)</w:t>
      </w:r>
      <w:r w:rsidR="007C5182" w:rsidRPr="00630B3F">
        <w:rPr>
          <w:bCs/>
          <w:color w:val="000000" w:themeColor="text1"/>
        </w:rPr>
        <w:tab/>
        <w:t>zintegrowanie Wojsk Obrony Terytor</w:t>
      </w:r>
      <w:r w:rsidR="00872D6B">
        <w:rPr>
          <w:bCs/>
          <w:color w:val="000000" w:themeColor="text1"/>
        </w:rPr>
        <w:t>ialnej z pozostałymi rodzajami Sił Z</w:t>
      </w:r>
      <w:r w:rsidR="007C5182" w:rsidRPr="00630B3F">
        <w:rPr>
          <w:bCs/>
          <w:color w:val="000000" w:themeColor="text1"/>
        </w:rPr>
        <w:t>brojnych</w:t>
      </w:r>
      <w:r w:rsidR="00872D6B">
        <w:rPr>
          <w:bCs/>
          <w:color w:val="000000" w:themeColor="text1"/>
        </w:rPr>
        <w:t xml:space="preserve"> </w:t>
      </w:r>
      <w:r w:rsidR="00872D6B" w:rsidRPr="00630B3F">
        <w:rPr>
          <w:bCs/>
          <w:color w:val="000000" w:themeColor="text1"/>
        </w:rPr>
        <w:t>Rzeczypospolitej Polskiej</w:t>
      </w:r>
      <w:r w:rsidR="007C5182" w:rsidRPr="00630B3F">
        <w:rPr>
          <w:bCs/>
          <w:color w:val="000000" w:themeColor="text1"/>
        </w:rPr>
        <w:t>.</w:t>
      </w:r>
    </w:p>
    <w:p w:rsidR="007C5182" w:rsidRPr="00630B3F" w:rsidRDefault="007C5182" w:rsidP="00057208">
      <w:pPr>
        <w:autoSpaceDE w:val="0"/>
        <w:autoSpaceDN w:val="0"/>
        <w:adjustRightInd w:val="0"/>
        <w:spacing w:before="120" w:line="360" w:lineRule="auto"/>
        <w:ind w:firstLine="425"/>
        <w:jc w:val="both"/>
        <w:rPr>
          <w:bCs/>
          <w:color w:val="000000" w:themeColor="text1"/>
        </w:rPr>
      </w:pPr>
      <w:r w:rsidRPr="00630B3F">
        <w:rPr>
          <w:bCs/>
          <w:color w:val="000000" w:themeColor="text1"/>
        </w:rPr>
        <w:t>Wprowadzenie projektowanej regulacji umożliwi także szybszą generacyjną wymianę posowieckiego sprzętu wojskowego w satysfakcjonującym hory</w:t>
      </w:r>
      <w:r w:rsidR="00675E16" w:rsidRPr="00630B3F">
        <w:rPr>
          <w:bCs/>
          <w:color w:val="000000" w:themeColor="text1"/>
        </w:rPr>
        <w:t>zoncie czasowym oraz pozwoli na</w:t>
      </w:r>
      <w:r w:rsidRPr="00630B3F">
        <w:rPr>
          <w:bCs/>
          <w:color w:val="000000" w:themeColor="text1"/>
        </w:rPr>
        <w:t xml:space="preserve"> istotne zwiększenie potencjału wojsk operacyjnych, tak pod względ</w:t>
      </w:r>
      <w:r w:rsidR="008D6399" w:rsidRPr="00630B3F">
        <w:rPr>
          <w:bCs/>
          <w:color w:val="000000" w:themeColor="text1"/>
        </w:rPr>
        <w:t>em jakościowym, jak i</w:t>
      </w:r>
      <w:r w:rsidR="00057208">
        <w:rPr>
          <w:bCs/>
          <w:color w:val="000000" w:themeColor="text1"/>
        </w:rPr>
        <w:t xml:space="preserve"> </w:t>
      </w:r>
      <w:r w:rsidRPr="00630B3F">
        <w:rPr>
          <w:bCs/>
          <w:color w:val="000000" w:themeColor="text1"/>
        </w:rPr>
        <w:t xml:space="preserve">ilościowym. </w:t>
      </w:r>
    </w:p>
    <w:p w:rsidR="007C5182" w:rsidRDefault="007C5182" w:rsidP="00057208">
      <w:pPr>
        <w:autoSpaceDE w:val="0"/>
        <w:autoSpaceDN w:val="0"/>
        <w:adjustRightInd w:val="0"/>
        <w:spacing w:before="120" w:line="360" w:lineRule="auto"/>
        <w:ind w:firstLine="425"/>
        <w:jc w:val="both"/>
        <w:rPr>
          <w:bCs/>
          <w:color w:val="000000" w:themeColor="text1"/>
        </w:rPr>
      </w:pPr>
      <w:r w:rsidRPr="00630B3F">
        <w:rPr>
          <w:bCs/>
          <w:color w:val="000000" w:themeColor="text1"/>
        </w:rPr>
        <w:t>Kolejną istotną zmianą, jaką przewiduje projekt</w:t>
      </w:r>
      <w:r w:rsidR="0081062E">
        <w:rPr>
          <w:bCs/>
          <w:color w:val="000000" w:themeColor="text1"/>
        </w:rPr>
        <w:t>,</w:t>
      </w:r>
      <w:r w:rsidRPr="00630B3F">
        <w:rPr>
          <w:bCs/>
          <w:color w:val="000000" w:themeColor="text1"/>
        </w:rPr>
        <w:t xml:space="preserve"> j</w:t>
      </w:r>
      <w:r w:rsidR="00D8664C" w:rsidRPr="00630B3F">
        <w:rPr>
          <w:bCs/>
          <w:color w:val="000000" w:themeColor="text1"/>
        </w:rPr>
        <w:t xml:space="preserve">est nowelizacja art. 3 ustawy </w:t>
      </w:r>
      <w:r w:rsidRPr="00630B3F">
        <w:rPr>
          <w:bCs/>
          <w:color w:val="000000" w:themeColor="text1"/>
        </w:rPr>
        <w:t>przez zwiększenie limitu stanowisk etatowych żołnierzy do wysokości 200 tys. Aktualnie obowiązujący w tej ustawie limit 150 tys. stanowisk etatowych żołnierzy jest niewystarczający</w:t>
      </w:r>
      <w:r w:rsidR="0081062E">
        <w:rPr>
          <w:bCs/>
          <w:color w:val="000000" w:themeColor="text1"/>
        </w:rPr>
        <w:t>,</w:t>
      </w:r>
      <w:r w:rsidRPr="00630B3F">
        <w:rPr>
          <w:bCs/>
          <w:color w:val="000000" w:themeColor="text1"/>
        </w:rPr>
        <w:t xml:space="preserve"> biorąc pod uwagę zmiany dotyczące w szczególności kontynuacji formowania pododdziałów Wojsk Obrony Terytorialnej, zakładany wzrost liczby stanowisk przeznaczonych dla żołnierzy zawodowych i kandydatów na żołnierzy zawodowych oraz wzmacnianie jednostek wojskowych dyslokowanych we wschodniej i północno-wschodniej części kraju.</w:t>
      </w:r>
      <w:r w:rsidR="00BB6A03" w:rsidRPr="00BB6A03">
        <w:t xml:space="preserve"> </w:t>
      </w:r>
      <w:r w:rsidR="00BB6A03" w:rsidRPr="00BB6A03">
        <w:rPr>
          <w:bCs/>
          <w:color w:val="000000" w:themeColor="text1"/>
        </w:rPr>
        <w:t xml:space="preserve">Przedmiotowe przedsięwzięcie </w:t>
      </w:r>
      <w:r w:rsidR="0081062E" w:rsidRPr="00BB6A03">
        <w:rPr>
          <w:bCs/>
          <w:color w:val="000000" w:themeColor="text1"/>
        </w:rPr>
        <w:t xml:space="preserve">będzie </w:t>
      </w:r>
      <w:r w:rsidR="00BB6A03" w:rsidRPr="00BB6A03">
        <w:rPr>
          <w:bCs/>
          <w:color w:val="000000" w:themeColor="text1"/>
        </w:rPr>
        <w:t xml:space="preserve">wymagało tworzenia struktur organizacyjnych, w których </w:t>
      </w:r>
      <w:r w:rsidR="0081062E" w:rsidRPr="00BB6A03">
        <w:rPr>
          <w:bCs/>
          <w:color w:val="000000" w:themeColor="text1"/>
        </w:rPr>
        <w:t xml:space="preserve">będą </w:t>
      </w:r>
      <w:r w:rsidR="00BB6A03" w:rsidRPr="00BB6A03">
        <w:rPr>
          <w:bCs/>
          <w:color w:val="000000" w:themeColor="text1"/>
        </w:rPr>
        <w:t>występowały stanowiska przeznaczone dla wszystkich korpusów kadry, w tym oficerów. W związku z</w:t>
      </w:r>
      <w:r w:rsidR="00057208">
        <w:rPr>
          <w:bCs/>
          <w:color w:val="000000" w:themeColor="text1"/>
        </w:rPr>
        <w:t> </w:t>
      </w:r>
      <w:r w:rsidR="00BB6A03" w:rsidRPr="00BB6A03">
        <w:rPr>
          <w:bCs/>
          <w:color w:val="000000" w:themeColor="text1"/>
        </w:rPr>
        <w:t>powyższym nastąpi wzrost liczby stanowi</w:t>
      </w:r>
      <w:r w:rsidR="00BB6A03">
        <w:rPr>
          <w:bCs/>
          <w:color w:val="000000" w:themeColor="text1"/>
        </w:rPr>
        <w:t>sk przeznaczonych dla oficerów.</w:t>
      </w:r>
      <w:r w:rsidRPr="00630B3F">
        <w:rPr>
          <w:bCs/>
          <w:color w:val="000000" w:themeColor="text1"/>
        </w:rPr>
        <w:t xml:space="preserve"> Proponuje się również, aby w ramach proponowanego limitu stanowisk etatowych żołnierzy, nie więcej niż sto trzydzieści tysięcy przeznaczono dla żołnierzy zawodowych. System finansowania uposażeń żołnierzy zawodowych jest bowiem odmienny od zasad utrzymania pozostałych żołnierzy (służba przygotowawcza, kandydaci na żołnierzy zawodowych, żołnierze NSR, żołnierze ochotnicy OT). Uposażenia żołnierzy zawodowych podlegają limitowaniu przez resort finansów na etapie tworzenia projektu budżetu. Uposażenia pozostałych żołni</w:t>
      </w:r>
      <w:r w:rsidR="008D6399" w:rsidRPr="00630B3F">
        <w:rPr>
          <w:bCs/>
          <w:color w:val="000000" w:themeColor="text1"/>
        </w:rPr>
        <w:t>erzy są natomiast finansowane w</w:t>
      </w:r>
      <w:r w:rsidR="00057208">
        <w:rPr>
          <w:bCs/>
          <w:color w:val="000000" w:themeColor="text1"/>
        </w:rPr>
        <w:t xml:space="preserve"> </w:t>
      </w:r>
      <w:r w:rsidRPr="00630B3F">
        <w:rPr>
          <w:bCs/>
          <w:color w:val="000000" w:themeColor="text1"/>
        </w:rPr>
        <w:t xml:space="preserve">ramach wydatków bieżących związanych z utrzymaniem jednostek wojskowych i nie podlegają tak restrykcyjnemu limitowaniu. Mając na uwadze możliwość jak najbardziej elastycznego kształtowania funduszu uposażeń żołnierzy, </w:t>
      </w:r>
      <w:r w:rsidR="0081062E" w:rsidRPr="00630B3F">
        <w:rPr>
          <w:bCs/>
          <w:color w:val="000000" w:themeColor="text1"/>
        </w:rPr>
        <w:t xml:space="preserve">jest </w:t>
      </w:r>
      <w:r w:rsidRPr="00630B3F">
        <w:rPr>
          <w:bCs/>
          <w:color w:val="000000" w:themeColor="text1"/>
        </w:rPr>
        <w:t>zasadne określenie na poziomie ustawy docelowej liczebności żołnierzy zawodowych.</w:t>
      </w:r>
    </w:p>
    <w:p w:rsidR="007F03BC" w:rsidRPr="00BB6A03" w:rsidRDefault="007F03BC" w:rsidP="00057208">
      <w:pPr>
        <w:spacing w:before="120" w:line="360" w:lineRule="auto"/>
        <w:ind w:firstLine="426"/>
        <w:jc w:val="both"/>
      </w:pPr>
      <w:r>
        <w:t xml:space="preserve">Uchylenie art. 2. ust 1 pkt 10 </w:t>
      </w:r>
      <w:r w:rsidR="008D09D4">
        <w:t xml:space="preserve">ustawy </w:t>
      </w:r>
      <w:r>
        <w:t xml:space="preserve">jest konsekwencją propozycji zwiększenia ogólnej liczebności etatowej Sił Zbrojnych Rzeczypospolitej Polskiej, w ramach której </w:t>
      </w:r>
      <w:r w:rsidR="0081062E">
        <w:t xml:space="preserve">będzie </w:t>
      </w:r>
      <w:r>
        <w:t xml:space="preserve">kontynuowana budowa Wojsk Obrony Terytorialnej. Przedmiotowe </w:t>
      </w:r>
      <w:r>
        <w:lastRenderedPageBreak/>
        <w:t xml:space="preserve">przedsięwzięcie </w:t>
      </w:r>
      <w:r w:rsidR="0081062E">
        <w:t xml:space="preserve">będzie </w:t>
      </w:r>
      <w:r>
        <w:t xml:space="preserve">wymagało tworzenia struktur organizacyjnych, w których </w:t>
      </w:r>
      <w:r w:rsidR="0081062E">
        <w:t xml:space="preserve">będą </w:t>
      </w:r>
      <w:r>
        <w:t>występowały stanowiska przeznaczone dla wszystkich korpusów kadry, w tym oficerów. W związku z powyższym wzrost liczby stanowisk przeznaczonych dla żołnierzy, w tym dla oficerów, pozostawałby w</w:t>
      </w:r>
      <w:r w:rsidR="00057208">
        <w:t xml:space="preserve"> </w:t>
      </w:r>
      <w:r>
        <w:t>sprzeczności z wyżej wymienionym przepisem.</w:t>
      </w:r>
      <w:r w:rsidR="008D09D4">
        <w:t xml:space="preserve"> </w:t>
      </w:r>
      <w:r>
        <w:t>Projektowane zmiany wpisują się w postanowienia zawarte w</w:t>
      </w:r>
      <w:r w:rsidR="00057208">
        <w:t> </w:t>
      </w:r>
      <w:r>
        <w:t>znowelizowanych „Głównych kierunkach rozwoju Sił Zbrojnych Rzeczypospolitej Polskiej oraz ich przygotowań</w:t>
      </w:r>
      <w:r w:rsidR="00057208">
        <w:t xml:space="preserve"> do obrony państwa na lata 2017–</w:t>
      </w:r>
      <w:r>
        <w:t>2026” w zakresie rozwoju organizacyjnego Sił Zbrojnych</w:t>
      </w:r>
      <w:r w:rsidR="00872D6B">
        <w:t xml:space="preserve"> </w:t>
      </w:r>
      <w:r w:rsidR="00872D6B" w:rsidRPr="00630B3F">
        <w:rPr>
          <w:bCs/>
          <w:color w:val="000000" w:themeColor="text1"/>
        </w:rPr>
        <w:t>Rzeczypospolitej Polskiej</w:t>
      </w:r>
      <w:r>
        <w:t>.</w:t>
      </w:r>
    </w:p>
    <w:p w:rsidR="007C5182" w:rsidRPr="00630B3F" w:rsidRDefault="007C5182" w:rsidP="00057208">
      <w:pPr>
        <w:autoSpaceDE w:val="0"/>
        <w:autoSpaceDN w:val="0"/>
        <w:adjustRightInd w:val="0"/>
        <w:spacing w:before="120" w:line="360" w:lineRule="auto"/>
        <w:ind w:firstLine="426"/>
        <w:jc w:val="both"/>
        <w:rPr>
          <w:bCs/>
          <w:color w:val="000000" w:themeColor="text1"/>
        </w:rPr>
      </w:pPr>
      <w:r w:rsidRPr="00630B3F">
        <w:rPr>
          <w:bCs/>
          <w:color w:val="000000" w:themeColor="text1"/>
        </w:rPr>
        <w:t>W zakresie art. 11 ust. 3 pkt 7 ustawy proponuje się uwzględnienie w katalogu zamieszczonym w nowelizowanym przepisie umó</w:t>
      </w:r>
      <w:r w:rsidR="00675E16" w:rsidRPr="00630B3F">
        <w:rPr>
          <w:bCs/>
          <w:color w:val="000000" w:themeColor="text1"/>
        </w:rPr>
        <w:t xml:space="preserve">w dotyczących usług związanych </w:t>
      </w:r>
      <w:r w:rsidR="008D6399" w:rsidRPr="00630B3F">
        <w:rPr>
          <w:bCs/>
          <w:color w:val="000000" w:themeColor="text1"/>
        </w:rPr>
        <w:t>z</w:t>
      </w:r>
      <w:r w:rsidR="00057208">
        <w:rPr>
          <w:bCs/>
          <w:color w:val="000000" w:themeColor="text1"/>
        </w:rPr>
        <w:t> </w:t>
      </w:r>
      <w:r w:rsidRPr="00630B3F">
        <w:rPr>
          <w:bCs/>
          <w:color w:val="000000" w:themeColor="text1"/>
        </w:rPr>
        <w:t xml:space="preserve">modernizacją, modyfikacją, naprawą lub remontem uzbrojenia i sprzętu wojskowego. Uwzględnienie tej kategorii umów umożliwi uzyskiwanie, jako przychodów Funduszu Modernizacji Sił Zbrojnych, także </w:t>
      </w:r>
      <w:r w:rsidR="00675E16" w:rsidRPr="00630B3F">
        <w:rPr>
          <w:bCs/>
          <w:color w:val="000000" w:themeColor="text1"/>
        </w:rPr>
        <w:t>przychodów z tytułu odszkodowań</w:t>
      </w:r>
      <w:r w:rsidR="004265D7" w:rsidRPr="00630B3F">
        <w:rPr>
          <w:bCs/>
          <w:color w:val="000000" w:themeColor="text1"/>
        </w:rPr>
        <w:t xml:space="preserve"> lub</w:t>
      </w:r>
      <w:r w:rsidRPr="00630B3F">
        <w:rPr>
          <w:bCs/>
          <w:color w:val="000000" w:themeColor="text1"/>
        </w:rPr>
        <w:t xml:space="preserve"> kar umownych otrzymanych w toku realizacji takich umów w przypadku niewykonania lub nienależytego wykonania zamówień dotyczących usług na potrzeby obronności państwa.</w:t>
      </w:r>
    </w:p>
    <w:p w:rsidR="001953AB" w:rsidRPr="00630B3F" w:rsidRDefault="00682CDA" w:rsidP="00057208">
      <w:pPr>
        <w:autoSpaceDE w:val="0"/>
        <w:autoSpaceDN w:val="0"/>
        <w:adjustRightInd w:val="0"/>
        <w:spacing w:before="120" w:line="360" w:lineRule="auto"/>
        <w:ind w:firstLine="426"/>
        <w:jc w:val="both"/>
        <w:rPr>
          <w:bCs/>
          <w:color w:val="000000" w:themeColor="text1"/>
        </w:rPr>
      </w:pPr>
      <w:r w:rsidRPr="00630B3F">
        <w:rPr>
          <w:bCs/>
          <w:color w:val="000000" w:themeColor="text1"/>
        </w:rPr>
        <w:t>Ponadto, dodanie w art. 11</w:t>
      </w:r>
      <w:r w:rsidR="001953AB" w:rsidRPr="00630B3F">
        <w:rPr>
          <w:bCs/>
          <w:color w:val="000000" w:themeColor="text1"/>
        </w:rPr>
        <w:t xml:space="preserve"> ust. 3 ustawy nowego pkt 9 pozwoli na zagospodarowanie środków gromadzonych przez Zakład Inwestycji Organizacji Traktatu Północnoatlantyckiego (ZIOTP) w następstwie zwrotów dokonywanych przez inne państwa NATO za realizację zadań uprzednio sfinansowanych przez stronę polską. Według stanu na dzień dzisiejszy kwota, jaką można byłoby przeznaczyć na dodatkowe zadania rzeczowe wynosi ok. 90 mln zł.</w:t>
      </w:r>
    </w:p>
    <w:p w:rsidR="007C5182" w:rsidRPr="00630B3F" w:rsidRDefault="007C5182" w:rsidP="00057208">
      <w:pPr>
        <w:autoSpaceDE w:val="0"/>
        <w:autoSpaceDN w:val="0"/>
        <w:adjustRightInd w:val="0"/>
        <w:spacing w:before="120" w:line="360" w:lineRule="auto"/>
        <w:ind w:firstLine="426"/>
        <w:jc w:val="both"/>
        <w:rPr>
          <w:bCs/>
          <w:color w:val="000000" w:themeColor="text1"/>
        </w:rPr>
      </w:pPr>
      <w:r w:rsidRPr="00630B3F">
        <w:rPr>
          <w:bCs/>
          <w:color w:val="000000" w:themeColor="text1"/>
        </w:rPr>
        <w:t>Kolejnym celem projektowanej usta</w:t>
      </w:r>
      <w:r w:rsidR="00B52823">
        <w:rPr>
          <w:bCs/>
          <w:color w:val="000000" w:themeColor="text1"/>
        </w:rPr>
        <w:t>wy jest podwyższenie z 25% do 33</w:t>
      </w:r>
      <w:r w:rsidRPr="00630B3F">
        <w:rPr>
          <w:bCs/>
          <w:color w:val="000000" w:themeColor="text1"/>
        </w:rPr>
        <w:t>% ustanowionego obecnie progu procentowego w zakresie wysokości możliwych do udzielenia zaliczek na poczet wykonania zamówień, których prz</w:t>
      </w:r>
      <w:r w:rsidR="00675E16" w:rsidRPr="00630B3F">
        <w:rPr>
          <w:bCs/>
          <w:color w:val="000000" w:themeColor="text1"/>
        </w:rPr>
        <w:t xml:space="preserve">edmiotem jest sprzęt wojskowy. Obecnie </w:t>
      </w:r>
      <w:r w:rsidRPr="00630B3F">
        <w:rPr>
          <w:bCs/>
          <w:color w:val="000000" w:themeColor="text1"/>
        </w:rPr>
        <w:t>w stosunku do zamówień wyłączon</w:t>
      </w:r>
      <w:r w:rsidR="00675E16" w:rsidRPr="00630B3F">
        <w:rPr>
          <w:bCs/>
          <w:color w:val="000000" w:themeColor="text1"/>
        </w:rPr>
        <w:t>ych ze stosowania ustawy z</w:t>
      </w:r>
      <w:r w:rsidR="00057208">
        <w:rPr>
          <w:bCs/>
          <w:color w:val="000000" w:themeColor="text1"/>
        </w:rPr>
        <w:t> </w:t>
      </w:r>
      <w:r w:rsidR="00675E16" w:rsidRPr="00630B3F">
        <w:rPr>
          <w:bCs/>
          <w:color w:val="000000" w:themeColor="text1"/>
        </w:rPr>
        <w:t>dnia</w:t>
      </w:r>
      <w:r w:rsidRPr="00630B3F">
        <w:rPr>
          <w:bCs/>
          <w:color w:val="000000" w:themeColor="text1"/>
        </w:rPr>
        <w:t xml:space="preserve"> 29 stycznia 2004 r. - Prawo zamówień publicznych (Dz. U. z 2015 r.</w:t>
      </w:r>
      <w:r w:rsidR="005F15BF">
        <w:rPr>
          <w:bCs/>
          <w:color w:val="000000" w:themeColor="text1"/>
        </w:rPr>
        <w:t xml:space="preserve"> poz. 2164, z </w:t>
      </w:r>
      <w:r w:rsidRPr="00630B3F">
        <w:rPr>
          <w:bCs/>
          <w:color w:val="000000" w:themeColor="text1"/>
        </w:rPr>
        <w:t>późn zm.), zwanej dalej „</w:t>
      </w:r>
      <w:proofErr w:type="spellStart"/>
      <w:r w:rsidRPr="00630B3F">
        <w:rPr>
          <w:bCs/>
          <w:color w:val="000000" w:themeColor="text1"/>
        </w:rPr>
        <w:t>Pzp</w:t>
      </w:r>
      <w:proofErr w:type="spellEnd"/>
      <w:r w:rsidRPr="00630B3F">
        <w:rPr>
          <w:bCs/>
          <w:color w:val="000000" w:themeColor="text1"/>
        </w:rPr>
        <w:t xml:space="preserve">”, w tym ze względu na występowanie podstawowego interesu bezpieczeństwa państwa (art. 4 pkt 5b </w:t>
      </w:r>
      <w:proofErr w:type="spellStart"/>
      <w:r w:rsidRPr="00630B3F">
        <w:rPr>
          <w:bCs/>
          <w:color w:val="000000" w:themeColor="text1"/>
        </w:rPr>
        <w:t>Pzp</w:t>
      </w:r>
      <w:proofErr w:type="spellEnd"/>
      <w:r w:rsidRPr="00630B3F">
        <w:rPr>
          <w:bCs/>
          <w:color w:val="000000" w:themeColor="text1"/>
        </w:rPr>
        <w:t>), obowiązuje wynikający z art. 12b ust. 2 ustawy 25% limit w zakresie możliwych do udzielenia zaliczek. Projekt przedmiotowej ustawy prz</w:t>
      </w:r>
      <w:r w:rsidR="00B52823">
        <w:rPr>
          <w:bCs/>
          <w:color w:val="000000" w:themeColor="text1"/>
        </w:rPr>
        <w:t>ewiduje podwyższenie z 25% do 33</w:t>
      </w:r>
      <w:r w:rsidRPr="00630B3F">
        <w:rPr>
          <w:bCs/>
          <w:color w:val="000000" w:themeColor="text1"/>
        </w:rPr>
        <w:t xml:space="preserve">% ustanowionego obecnie progu procentowego. Zwiększenie progu może pozytywnie wpłynąć na tempo </w:t>
      </w:r>
      <w:r w:rsidRPr="00630B3F">
        <w:rPr>
          <w:bCs/>
          <w:color w:val="000000" w:themeColor="text1"/>
        </w:rPr>
        <w:lastRenderedPageBreak/>
        <w:t>osiągania zakładanych zdolności operacyjnych przez Siły Zbroj</w:t>
      </w:r>
      <w:r w:rsidR="00BA5210" w:rsidRPr="00630B3F">
        <w:rPr>
          <w:bCs/>
          <w:color w:val="000000" w:themeColor="text1"/>
        </w:rPr>
        <w:t xml:space="preserve">ne Rzeczypospolitej Polskiej, </w:t>
      </w:r>
      <w:r w:rsidRPr="00630B3F">
        <w:rPr>
          <w:bCs/>
          <w:color w:val="000000" w:themeColor="text1"/>
        </w:rPr>
        <w:t xml:space="preserve">przez możliwość zaangażowania przez przedsiębiorców sektora zbrojeniowego większej ilości środków finansowych, ze zdecydowanie mniejszym ryzykiem utraty płynności w trakcie realizacji projektów realizowanych na rzecz resortu obrony narodowej oraz może pozwolić na jednoczesne zaangażowanie się podmiotów sektora zbrojeniowego w większą </w:t>
      </w:r>
      <w:r w:rsidR="00881799">
        <w:rPr>
          <w:bCs/>
          <w:color w:val="000000" w:themeColor="text1"/>
        </w:rPr>
        <w:t>liczbę</w:t>
      </w:r>
      <w:r w:rsidR="0081062E" w:rsidRPr="00630B3F">
        <w:rPr>
          <w:bCs/>
          <w:color w:val="000000" w:themeColor="text1"/>
        </w:rPr>
        <w:t xml:space="preserve"> </w:t>
      </w:r>
      <w:r w:rsidRPr="00630B3F">
        <w:rPr>
          <w:bCs/>
          <w:color w:val="000000" w:themeColor="text1"/>
        </w:rPr>
        <w:t>projektów realizowanych na rzecz resortu obrony narodowej. Finalnie, wprowadzenie przedmiotowej zmiany może mieć znaczenie dla przyśpieszenia procesu modernizacji Sił Zbrojnych</w:t>
      </w:r>
      <w:r w:rsidR="00BA5210" w:rsidRPr="00630B3F">
        <w:rPr>
          <w:bCs/>
          <w:color w:val="000000" w:themeColor="text1"/>
        </w:rPr>
        <w:t xml:space="preserve"> Rzeczypospolitej Polskiej</w:t>
      </w:r>
      <w:r w:rsidRPr="00630B3F">
        <w:rPr>
          <w:bCs/>
          <w:color w:val="000000" w:themeColor="text1"/>
        </w:rPr>
        <w:t>, utrzymania, bądź szybszego ustanawiania potencjału niezbędnego do wykonania zamówień, ale również dla utrzymania płynności finansowej podmiotów realizujących zamówienia, w tym w szczególności tych o szczególnym znaczeniu dla obronności i bezpieczeństwa państwa.</w:t>
      </w:r>
    </w:p>
    <w:p w:rsidR="007C5182" w:rsidRPr="00630B3F" w:rsidRDefault="007C5182" w:rsidP="00057208">
      <w:pPr>
        <w:autoSpaceDE w:val="0"/>
        <w:autoSpaceDN w:val="0"/>
        <w:adjustRightInd w:val="0"/>
        <w:spacing w:before="120" w:line="360" w:lineRule="auto"/>
        <w:ind w:firstLine="426"/>
        <w:jc w:val="both"/>
        <w:rPr>
          <w:bCs/>
          <w:color w:val="000000" w:themeColor="text1"/>
        </w:rPr>
      </w:pPr>
      <w:r w:rsidRPr="00630B3F">
        <w:rPr>
          <w:bCs/>
          <w:color w:val="000000" w:themeColor="text1"/>
        </w:rPr>
        <w:t xml:space="preserve">Należy zauważyć, że obecnie zamówienia wyłączone ze względu na występowanie podstawowego interesu bezpieczeństwa państwa w głównej mierze </w:t>
      </w:r>
      <w:r w:rsidR="0081062E" w:rsidRPr="00630B3F">
        <w:rPr>
          <w:bCs/>
          <w:color w:val="000000" w:themeColor="text1"/>
        </w:rPr>
        <w:t xml:space="preserve">są </w:t>
      </w:r>
      <w:r w:rsidRPr="00630B3F">
        <w:rPr>
          <w:bCs/>
          <w:color w:val="000000" w:themeColor="text1"/>
        </w:rPr>
        <w:t>kierowane do podmiotów krajowych (w tym spółek Skarbu Państwa). Obecnie na ok. 376 umów na dostawy sprzętu wojskowego lub usług związanych ze sprzętem realizowanych przez Inspektorat Uzbrojenia 58</w:t>
      </w:r>
      <w:r w:rsidR="0081062E">
        <w:rPr>
          <w:bCs/>
          <w:color w:val="000000" w:themeColor="text1"/>
        </w:rPr>
        <w:t xml:space="preserve"> umów</w:t>
      </w:r>
      <w:r w:rsidRPr="00630B3F">
        <w:rPr>
          <w:bCs/>
          <w:color w:val="000000" w:themeColor="text1"/>
        </w:rPr>
        <w:t xml:space="preserve"> </w:t>
      </w:r>
      <w:r w:rsidR="0081062E" w:rsidRPr="00630B3F">
        <w:rPr>
          <w:bCs/>
          <w:color w:val="000000" w:themeColor="text1"/>
        </w:rPr>
        <w:t xml:space="preserve">jest </w:t>
      </w:r>
      <w:r w:rsidRPr="00630B3F">
        <w:rPr>
          <w:bCs/>
          <w:color w:val="000000" w:themeColor="text1"/>
        </w:rPr>
        <w:t xml:space="preserve">realizowanych na podstawie wyłączenia spod stosowania ustawy </w:t>
      </w:r>
      <w:r w:rsidR="00881799">
        <w:rPr>
          <w:bCs/>
          <w:color w:val="000000" w:themeColor="text1"/>
        </w:rPr>
        <w:t xml:space="preserve">– </w:t>
      </w:r>
      <w:r w:rsidR="0081062E">
        <w:rPr>
          <w:bCs/>
          <w:color w:val="000000" w:themeColor="text1"/>
        </w:rPr>
        <w:t>P</w:t>
      </w:r>
      <w:r w:rsidRPr="00630B3F">
        <w:rPr>
          <w:bCs/>
          <w:color w:val="000000" w:themeColor="text1"/>
        </w:rPr>
        <w:t>rawo zamówień publicznych ze względu na występowanie podstawowego int</w:t>
      </w:r>
      <w:r w:rsidR="00BA5210" w:rsidRPr="00630B3F">
        <w:rPr>
          <w:bCs/>
          <w:color w:val="000000" w:themeColor="text1"/>
        </w:rPr>
        <w:t xml:space="preserve">eresu bezpieczeństwa państwa. </w:t>
      </w:r>
      <w:r w:rsidR="0081062E">
        <w:rPr>
          <w:bCs/>
          <w:color w:val="000000" w:themeColor="text1"/>
        </w:rPr>
        <w:t>Z powyższych</w:t>
      </w:r>
      <w:r w:rsidRPr="00630B3F">
        <w:rPr>
          <w:bCs/>
          <w:color w:val="000000" w:themeColor="text1"/>
        </w:rPr>
        <w:t xml:space="preserve"> 58 umów 56 zamówień zostało udzielonych podmiotom krajowym, a tylko 2 zamówienia podmiotom zagranicznym. W związku z tym zasadnicza część zaliczek trafia, bądź może trafiać w</w:t>
      </w:r>
      <w:r w:rsidR="00057208">
        <w:rPr>
          <w:bCs/>
          <w:color w:val="000000" w:themeColor="text1"/>
        </w:rPr>
        <w:t> </w:t>
      </w:r>
      <w:r w:rsidRPr="00630B3F">
        <w:rPr>
          <w:bCs/>
          <w:color w:val="000000" w:themeColor="text1"/>
        </w:rPr>
        <w:t>ramach zamówień udzielanych na podstawie wyłączenia do podmiotów krajowych, w</w:t>
      </w:r>
      <w:r w:rsidR="00057208">
        <w:rPr>
          <w:bCs/>
          <w:color w:val="000000" w:themeColor="text1"/>
        </w:rPr>
        <w:t> </w:t>
      </w:r>
      <w:r w:rsidRPr="00630B3F">
        <w:rPr>
          <w:bCs/>
          <w:color w:val="000000" w:themeColor="text1"/>
        </w:rPr>
        <w:t xml:space="preserve">tym tych o kluczowym znaczeniu dla obronności i bezpieczeństwa państwa. </w:t>
      </w:r>
    </w:p>
    <w:p w:rsidR="007C5182" w:rsidRPr="00630B3F" w:rsidRDefault="007C5182" w:rsidP="00057208">
      <w:pPr>
        <w:autoSpaceDE w:val="0"/>
        <w:autoSpaceDN w:val="0"/>
        <w:adjustRightInd w:val="0"/>
        <w:spacing w:before="120" w:line="360" w:lineRule="auto"/>
        <w:ind w:firstLine="426"/>
        <w:jc w:val="both"/>
        <w:rPr>
          <w:bCs/>
          <w:color w:val="000000" w:themeColor="text1"/>
        </w:rPr>
      </w:pPr>
      <w:r w:rsidRPr="00630B3F">
        <w:rPr>
          <w:bCs/>
          <w:color w:val="000000" w:themeColor="text1"/>
        </w:rPr>
        <w:t xml:space="preserve">Dla porównania należy wskazać, że obecnie w </w:t>
      </w:r>
      <w:proofErr w:type="spellStart"/>
      <w:r w:rsidRPr="00630B3F">
        <w:rPr>
          <w:bCs/>
          <w:color w:val="000000" w:themeColor="text1"/>
        </w:rPr>
        <w:t>Pzp</w:t>
      </w:r>
      <w:proofErr w:type="spellEnd"/>
      <w:r w:rsidRPr="00630B3F">
        <w:rPr>
          <w:bCs/>
          <w:color w:val="000000" w:themeColor="text1"/>
        </w:rPr>
        <w:t xml:space="preserve"> – w ro</w:t>
      </w:r>
      <w:r w:rsidR="008D6399" w:rsidRPr="00630B3F">
        <w:rPr>
          <w:bCs/>
          <w:color w:val="000000" w:themeColor="text1"/>
        </w:rPr>
        <w:t>zdziale dotyczącym zamówień w</w:t>
      </w:r>
      <w:r w:rsidR="00057208">
        <w:rPr>
          <w:bCs/>
          <w:color w:val="000000" w:themeColor="text1"/>
        </w:rPr>
        <w:t xml:space="preserve"> </w:t>
      </w:r>
      <w:r w:rsidRPr="00630B3F">
        <w:rPr>
          <w:bCs/>
          <w:color w:val="000000" w:themeColor="text1"/>
        </w:rPr>
        <w:t>dziedzina</w:t>
      </w:r>
      <w:r w:rsidR="00057208">
        <w:rPr>
          <w:bCs/>
          <w:color w:val="000000" w:themeColor="text1"/>
        </w:rPr>
        <w:t>ch obronności i bezpieczeństwa –</w:t>
      </w:r>
      <w:r w:rsidRPr="00630B3F">
        <w:rPr>
          <w:bCs/>
          <w:color w:val="000000" w:themeColor="text1"/>
        </w:rPr>
        <w:t xml:space="preserve"> dla trybów: przeta</w:t>
      </w:r>
      <w:r w:rsidR="008D6399" w:rsidRPr="00630B3F">
        <w:rPr>
          <w:bCs/>
          <w:color w:val="000000" w:themeColor="text1"/>
        </w:rPr>
        <w:t>rgu ograniczonego, negocjacji z</w:t>
      </w:r>
      <w:r w:rsidR="00057208">
        <w:rPr>
          <w:bCs/>
          <w:color w:val="000000" w:themeColor="text1"/>
        </w:rPr>
        <w:t xml:space="preserve"> </w:t>
      </w:r>
      <w:r w:rsidRPr="00630B3F">
        <w:rPr>
          <w:bCs/>
          <w:color w:val="000000" w:themeColor="text1"/>
        </w:rPr>
        <w:t>ogłoszeniem nie ustanowiono żadnych limitów w zakresie wysokości udzielanych zaliczek. Limity ustanowiono jedynie dla trybów z wol</w:t>
      </w:r>
      <w:r w:rsidR="005F15BF">
        <w:rPr>
          <w:bCs/>
          <w:color w:val="000000" w:themeColor="text1"/>
        </w:rPr>
        <w:t>n</w:t>
      </w:r>
      <w:r w:rsidRPr="00630B3F">
        <w:rPr>
          <w:bCs/>
          <w:color w:val="000000" w:themeColor="text1"/>
        </w:rPr>
        <w:t>ej ręki i</w:t>
      </w:r>
      <w:r w:rsidR="00057208">
        <w:rPr>
          <w:bCs/>
          <w:color w:val="000000" w:themeColor="text1"/>
        </w:rPr>
        <w:t> </w:t>
      </w:r>
      <w:r w:rsidRPr="00630B3F">
        <w:rPr>
          <w:bCs/>
          <w:color w:val="000000" w:themeColor="text1"/>
        </w:rPr>
        <w:t>negocjacji bez ogłoszenia (25%). Projekt ustawy przewiduje również podwyższen</w:t>
      </w:r>
      <w:r w:rsidR="00B52823">
        <w:rPr>
          <w:bCs/>
          <w:color w:val="000000" w:themeColor="text1"/>
        </w:rPr>
        <w:t>ie i</w:t>
      </w:r>
      <w:r w:rsidR="00057208">
        <w:rPr>
          <w:bCs/>
          <w:color w:val="000000" w:themeColor="text1"/>
        </w:rPr>
        <w:t> </w:t>
      </w:r>
      <w:r w:rsidR="00B52823">
        <w:rPr>
          <w:bCs/>
          <w:color w:val="000000" w:themeColor="text1"/>
        </w:rPr>
        <w:t>w tym zakresie z 25% do 33</w:t>
      </w:r>
      <w:r w:rsidRPr="00630B3F">
        <w:rPr>
          <w:bCs/>
          <w:color w:val="000000" w:themeColor="text1"/>
        </w:rPr>
        <w:t xml:space="preserve">% ustanowionego obecnie progu procentowego w zakresie wysokości możliwych do udzielenia zaliczek. </w:t>
      </w:r>
    </w:p>
    <w:p w:rsidR="00ED0DA2" w:rsidRPr="00630B3F" w:rsidRDefault="007C5182" w:rsidP="00057208">
      <w:pPr>
        <w:autoSpaceDE w:val="0"/>
        <w:autoSpaceDN w:val="0"/>
        <w:adjustRightInd w:val="0"/>
        <w:spacing w:before="120" w:line="360" w:lineRule="auto"/>
        <w:ind w:firstLine="426"/>
        <w:jc w:val="both"/>
        <w:rPr>
          <w:bCs/>
          <w:color w:val="000000" w:themeColor="text1"/>
        </w:rPr>
      </w:pPr>
      <w:r w:rsidRPr="00630B3F">
        <w:rPr>
          <w:bCs/>
          <w:color w:val="000000" w:themeColor="text1"/>
        </w:rPr>
        <w:t xml:space="preserve">W ocenie projektodawcy udzielanie zaliczek zabezpieczonych jedynie gwarancjami jest korzystniejsze finansowo niż konieczność samodzielnego zapewnienia przez </w:t>
      </w:r>
      <w:r w:rsidRPr="00630B3F">
        <w:rPr>
          <w:bCs/>
          <w:color w:val="000000" w:themeColor="text1"/>
        </w:rPr>
        <w:lastRenderedPageBreak/>
        <w:t xml:space="preserve">wykonawców kredytowania projektów, co ma istotny wpływ na finalny koszt projektu. Koszty ewentualnych zobowiązań kredytowych </w:t>
      </w:r>
      <w:r w:rsidR="0081062E" w:rsidRPr="00630B3F">
        <w:rPr>
          <w:bCs/>
          <w:color w:val="000000" w:themeColor="text1"/>
        </w:rPr>
        <w:t xml:space="preserve">są </w:t>
      </w:r>
      <w:r w:rsidRPr="00630B3F">
        <w:rPr>
          <w:bCs/>
          <w:color w:val="000000" w:themeColor="text1"/>
        </w:rPr>
        <w:t xml:space="preserve">wliczane bowiem do oferty </w:t>
      </w:r>
      <w:r w:rsidR="00BE73E3" w:rsidRPr="00630B3F">
        <w:rPr>
          <w:bCs/>
          <w:color w:val="000000" w:themeColor="text1"/>
        </w:rPr>
        <w:t>przedstawianej zamawiającemu. W</w:t>
      </w:r>
      <w:r w:rsidR="00057208">
        <w:rPr>
          <w:bCs/>
          <w:color w:val="000000" w:themeColor="text1"/>
        </w:rPr>
        <w:t xml:space="preserve"> </w:t>
      </w:r>
      <w:r w:rsidRPr="00630B3F">
        <w:rPr>
          <w:bCs/>
          <w:color w:val="000000" w:themeColor="text1"/>
        </w:rPr>
        <w:t xml:space="preserve">związku z tym zwiększenie możliwości udzielania zaliczek może mieć wpływ na obniżenie wartości ofert oraz może być istotnym narzędziem negocjacyjnym zwłaszcza w przypadku zamówień udzielanych w trybie zamówień z jednym wykonawcą, gdzie zasadniczo </w:t>
      </w:r>
      <w:r w:rsidR="0081062E" w:rsidRPr="00630B3F">
        <w:rPr>
          <w:bCs/>
          <w:color w:val="000000" w:themeColor="text1"/>
        </w:rPr>
        <w:t xml:space="preserve">są </w:t>
      </w:r>
      <w:r w:rsidRPr="00630B3F">
        <w:rPr>
          <w:bCs/>
          <w:color w:val="000000" w:themeColor="text1"/>
        </w:rPr>
        <w:t xml:space="preserve">badane </w:t>
      </w:r>
      <w:r w:rsidR="00BE73E3" w:rsidRPr="00630B3F">
        <w:rPr>
          <w:bCs/>
          <w:color w:val="000000" w:themeColor="text1"/>
        </w:rPr>
        <w:t>koszty związane z</w:t>
      </w:r>
      <w:r w:rsidR="00057208">
        <w:rPr>
          <w:bCs/>
          <w:color w:val="000000" w:themeColor="text1"/>
        </w:rPr>
        <w:t> </w:t>
      </w:r>
      <w:r w:rsidR="00BE73E3" w:rsidRPr="00630B3F">
        <w:rPr>
          <w:bCs/>
          <w:color w:val="000000" w:themeColor="text1"/>
        </w:rPr>
        <w:t xml:space="preserve">kontraktem. </w:t>
      </w:r>
      <w:r w:rsidRPr="00630B3F">
        <w:rPr>
          <w:bCs/>
          <w:color w:val="000000" w:themeColor="text1"/>
        </w:rPr>
        <w:t>Jednocześnie w kontekście ryzyk należy zwrócić uwagę, że zarówno obecny, jak i projektowany stan prawny daje jedynie możliwość udzielenia zaliczek</w:t>
      </w:r>
      <w:r w:rsidR="0081062E">
        <w:rPr>
          <w:bCs/>
          <w:color w:val="000000" w:themeColor="text1"/>
        </w:rPr>
        <w:t>,</w:t>
      </w:r>
      <w:r w:rsidRPr="00630B3F">
        <w:rPr>
          <w:bCs/>
          <w:color w:val="000000" w:themeColor="text1"/>
        </w:rPr>
        <w:t xml:space="preserve"> </w:t>
      </w:r>
      <w:r w:rsidR="00630B3F">
        <w:rPr>
          <w:bCs/>
          <w:color w:val="000000" w:themeColor="text1"/>
        </w:rPr>
        <w:t>w</w:t>
      </w:r>
      <w:r w:rsidR="00057208">
        <w:rPr>
          <w:bCs/>
          <w:color w:val="000000" w:themeColor="text1"/>
        </w:rPr>
        <w:t> </w:t>
      </w:r>
      <w:r w:rsidRPr="00630B3F">
        <w:rPr>
          <w:bCs/>
          <w:color w:val="000000" w:themeColor="text1"/>
        </w:rPr>
        <w:t xml:space="preserve">tym określania </w:t>
      </w:r>
      <w:r w:rsidR="0081062E" w:rsidRPr="00630B3F">
        <w:rPr>
          <w:bCs/>
          <w:color w:val="000000" w:themeColor="text1"/>
        </w:rPr>
        <w:t xml:space="preserve">ich </w:t>
      </w:r>
      <w:r w:rsidRPr="00630B3F">
        <w:rPr>
          <w:bCs/>
          <w:color w:val="000000" w:themeColor="text1"/>
        </w:rPr>
        <w:t xml:space="preserve">konkretnej wysokości. </w:t>
      </w:r>
    </w:p>
    <w:p w:rsidR="007C5182" w:rsidRPr="00630B3F" w:rsidRDefault="007C5182" w:rsidP="00057208">
      <w:pPr>
        <w:autoSpaceDE w:val="0"/>
        <w:autoSpaceDN w:val="0"/>
        <w:adjustRightInd w:val="0"/>
        <w:spacing w:before="120" w:line="360" w:lineRule="auto"/>
        <w:ind w:firstLine="426"/>
        <w:jc w:val="both"/>
        <w:rPr>
          <w:bCs/>
          <w:color w:val="000000" w:themeColor="text1"/>
        </w:rPr>
      </w:pPr>
      <w:r w:rsidRPr="00630B3F">
        <w:rPr>
          <w:bCs/>
          <w:color w:val="000000" w:themeColor="text1"/>
        </w:rPr>
        <w:t>W związku z tym to zamawiający, biorąc pod uwagę ry</w:t>
      </w:r>
      <w:r w:rsidR="00682CDA" w:rsidRPr="00630B3F">
        <w:rPr>
          <w:bCs/>
          <w:color w:val="000000" w:themeColor="text1"/>
        </w:rPr>
        <w:t>zyka związane z projektem (prace</w:t>
      </w:r>
      <w:r w:rsidRPr="00630B3F">
        <w:rPr>
          <w:bCs/>
          <w:color w:val="000000" w:themeColor="text1"/>
        </w:rPr>
        <w:t xml:space="preserve"> badawcze, rozwojowe, dostawy standardowe/niestandardowe), jak również realne zaangażowanie środków w danym roku budżetowym, ma możliwość decydowania o wysokości udzielanych zaliczek. Ustawodawca nie obliguje zamawiającego do każdorazowego udzielania zaliczek w pełnym wymiarze procentowym, w związku z tym ewentualna ich wysokość każdorazowo zależy od zamawiając</w:t>
      </w:r>
      <w:r w:rsidR="00B52823">
        <w:rPr>
          <w:bCs/>
          <w:color w:val="000000" w:themeColor="text1"/>
        </w:rPr>
        <w:t>ego. W związku z tym wysokość 33</w:t>
      </w:r>
      <w:r w:rsidRPr="00630B3F">
        <w:rPr>
          <w:bCs/>
          <w:color w:val="000000" w:themeColor="text1"/>
        </w:rPr>
        <w:t>% z jednej strony określa maksymalną wysok</w:t>
      </w:r>
      <w:r w:rsidR="00675E16" w:rsidRPr="00630B3F">
        <w:rPr>
          <w:bCs/>
          <w:color w:val="000000" w:themeColor="text1"/>
        </w:rPr>
        <w:t xml:space="preserve">ość, z drugiej daje zwiększone </w:t>
      </w:r>
      <w:r w:rsidRPr="00630B3F">
        <w:rPr>
          <w:bCs/>
          <w:color w:val="000000" w:themeColor="text1"/>
        </w:rPr>
        <w:t>możliwości negocjacyjne zam</w:t>
      </w:r>
      <w:r w:rsidR="00630B3F">
        <w:rPr>
          <w:bCs/>
          <w:color w:val="000000" w:themeColor="text1"/>
        </w:rPr>
        <w:t>awiającemu i</w:t>
      </w:r>
      <w:r w:rsidR="00057208">
        <w:rPr>
          <w:bCs/>
          <w:color w:val="000000" w:themeColor="text1"/>
        </w:rPr>
        <w:t> </w:t>
      </w:r>
      <w:r w:rsidRPr="00630B3F">
        <w:rPr>
          <w:bCs/>
          <w:color w:val="000000" w:themeColor="text1"/>
        </w:rPr>
        <w:t>możliwość obniżenia wartości kosztów obsługi zamówienia. Jednocześnie ustanowiony próg nie daje możliwości pełnego zaliczkowania</w:t>
      </w:r>
      <w:r w:rsidR="0081062E">
        <w:rPr>
          <w:bCs/>
          <w:color w:val="000000" w:themeColor="text1"/>
        </w:rPr>
        <w:t>,</w:t>
      </w:r>
      <w:r w:rsidRPr="00630B3F">
        <w:rPr>
          <w:bCs/>
          <w:color w:val="000000" w:themeColor="text1"/>
        </w:rPr>
        <w:t xml:space="preserve"> wymagając zasadniczo rozliczenia w trakcie realizacji zamówienia, a nie w fazie końcowej projektu, chyba że wykonawca rozliczy poprzednio udzieloną zaliczkę i zwróci się o kolejną, z</w:t>
      </w:r>
      <w:r w:rsidR="00057208">
        <w:rPr>
          <w:bCs/>
          <w:color w:val="000000" w:themeColor="text1"/>
        </w:rPr>
        <w:t> </w:t>
      </w:r>
      <w:r w:rsidRPr="00630B3F">
        <w:rPr>
          <w:bCs/>
          <w:color w:val="000000" w:themeColor="text1"/>
        </w:rPr>
        <w:t>jednoczesnym obowiązkiem zabezpieczenia.</w:t>
      </w:r>
    </w:p>
    <w:p w:rsidR="007C5182" w:rsidRPr="00630B3F" w:rsidRDefault="007C5182" w:rsidP="00057208">
      <w:pPr>
        <w:autoSpaceDE w:val="0"/>
        <w:autoSpaceDN w:val="0"/>
        <w:adjustRightInd w:val="0"/>
        <w:spacing w:before="120" w:line="360" w:lineRule="auto"/>
        <w:ind w:firstLine="426"/>
        <w:jc w:val="both"/>
        <w:rPr>
          <w:bCs/>
          <w:color w:val="000000" w:themeColor="text1"/>
        </w:rPr>
      </w:pPr>
      <w:r w:rsidRPr="00630B3F">
        <w:rPr>
          <w:bCs/>
          <w:color w:val="000000" w:themeColor="text1"/>
        </w:rPr>
        <w:t xml:space="preserve">Jednocześnie zakładany środek w postaci zwiększenia ustanowionego obecnie progu procentowego w zakresie wysokości możliwych do udzielenia zaliczek na poczet wykonania </w:t>
      </w:r>
      <w:r w:rsidR="00D8664C" w:rsidRPr="00630B3F">
        <w:rPr>
          <w:bCs/>
          <w:color w:val="000000" w:themeColor="text1"/>
        </w:rPr>
        <w:t>zamówień</w:t>
      </w:r>
      <w:r w:rsidRPr="00630B3F">
        <w:rPr>
          <w:bCs/>
          <w:color w:val="000000" w:themeColor="text1"/>
        </w:rPr>
        <w:t xml:space="preserve"> jest zgodny z regulacjami Traktatu o Funkcjonowaniu Unii Europejskiej, gdyż dotyczy w szczególności zamówień o podstawowy</w:t>
      </w:r>
      <w:r w:rsidR="004265D7" w:rsidRPr="00630B3F">
        <w:rPr>
          <w:bCs/>
          <w:color w:val="000000" w:themeColor="text1"/>
        </w:rPr>
        <w:t xml:space="preserve">m znaczeniu dla bezpieczeństwa </w:t>
      </w:r>
      <w:r w:rsidRPr="00630B3F">
        <w:rPr>
          <w:bCs/>
          <w:color w:val="000000" w:themeColor="text1"/>
        </w:rPr>
        <w:t>obronności państwa (wyłączenie na podstawie art. 346 TFUE) oraz jest ściśle zwią</w:t>
      </w:r>
      <w:r w:rsidR="00675E16" w:rsidRPr="00630B3F">
        <w:rPr>
          <w:bCs/>
          <w:color w:val="000000" w:themeColor="text1"/>
        </w:rPr>
        <w:t>zany</w:t>
      </w:r>
      <w:r w:rsidRPr="00630B3F">
        <w:rPr>
          <w:bCs/>
          <w:color w:val="000000" w:themeColor="text1"/>
        </w:rPr>
        <w:t xml:space="preserve"> z realizacją zamówienia, nie stanowiąc przy tym nieuprawnionej pomocy państwa. </w:t>
      </w:r>
    </w:p>
    <w:p w:rsidR="007C5182" w:rsidRPr="00630B3F" w:rsidRDefault="007C5182" w:rsidP="00057208">
      <w:pPr>
        <w:autoSpaceDE w:val="0"/>
        <w:autoSpaceDN w:val="0"/>
        <w:adjustRightInd w:val="0"/>
        <w:spacing w:before="120" w:line="360" w:lineRule="auto"/>
        <w:ind w:firstLine="426"/>
        <w:jc w:val="both"/>
        <w:rPr>
          <w:bCs/>
          <w:color w:val="000000" w:themeColor="text1"/>
        </w:rPr>
      </w:pPr>
      <w:r w:rsidRPr="00630B3F">
        <w:rPr>
          <w:bCs/>
          <w:color w:val="000000" w:themeColor="text1"/>
        </w:rPr>
        <w:t xml:space="preserve">Kolejna z proponowanych zmian ma na celu doprecyzowanie i wyeliminowanie konieczności dokonywania interpretacji normy wynikającej z przepisu art. 12b ust. 6 ustawy. Proponuje się, aby udzielenie kolejnych zaliczek przez zamawiającego możliwe </w:t>
      </w:r>
      <w:r w:rsidRPr="00630B3F">
        <w:rPr>
          <w:bCs/>
          <w:color w:val="000000" w:themeColor="text1"/>
        </w:rPr>
        <w:lastRenderedPageBreak/>
        <w:t>było pod warunkiem rozliczenia przez wykonawcę, w ramach reali</w:t>
      </w:r>
      <w:r w:rsidR="00675E16" w:rsidRPr="00630B3F">
        <w:rPr>
          <w:bCs/>
          <w:color w:val="000000" w:themeColor="text1"/>
        </w:rPr>
        <w:t xml:space="preserve">zowanego zamówienia, środków </w:t>
      </w:r>
      <w:r w:rsidR="008D6399" w:rsidRPr="00630B3F">
        <w:rPr>
          <w:bCs/>
          <w:color w:val="000000" w:themeColor="text1"/>
        </w:rPr>
        <w:t>w</w:t>
      </w:r>
      <w:r w:rsidR="00057208">
        <w:rPr>
          <w:bCs/>
          <w:color w:val="000000" w:themeColor="text1"/>
        </w:rPr>
        <w:t xml:space="preserve"> </w:t>
      </w:r>
      <w:r w:rsidRPr="00630B3F">
        <w:rPr>
          <w:bCs/>
          <w:color w:val="000000" w:themeColor="text1"/>
        </w:rPr>
        <w:t>zakresie wartości poprzednio udzielanych zaliczek lub</w:t>
      </w:r>
      <w:r w:rsidR="00675E16" w:rsidRPr="00630B3F">
        <w:rPr>
          <w:bCs/>
          <w:color w:val="000000" w:themeColor="text1"/>
        </w:rPr>
        <w:t xml:space="preserve"> wykazania przez niego, że</w:t>
      </w:r>
      <w:r w:rsidRPr="00630B3F">
        <w:rPr>
          <w:bCs/>
          <w:color w:val="000000" w:themeColor="text1"/>
        </w:rPr>
        <w:t xml:space="preserve"> w ramach realizowanego zamówienia, zaangażował on całość środków w zakresie wartości poprzednio udzielanych zaliczek. </w:t>
      </w:r>
    </w:p>
    <w:p w:rsidR="007C5182" w:rsidRPr="00630B3F" w:rsidRDefault="007C5182" w:rsidP="00057208">
      <w:pPr>
        <w:autoSpaceDE w:val="0"/>
        <w:autoSpaceDN w:val="0"/>
        <w:adjustRightInd w:val="0"/>
        <w:spacing w:before="120" w:line="360" w:lineRule="auto"/>
        <w:ind w:firstLine="426"/>
        <w:jc w:val="both"/>
        <w:rPr>
          <w:bCs/>
          <w:color w:val="000000" w:themeColor="text1"/>
        </w:rPr>
      </w:pPr>
      <w:r w:rsidRPr="00630B3F">
        <w:rPr>
          <w:bCs/>
          <w:color w:val="000000" w:themeColor="text1"/>
        </w:rPr>
        <w:t>Jednym z zasadniczych przedsięwzięć w zakresie realizacji dostaw sprzętu</w:t>
      </w:r>
      <w:r w:rsidR="00D8664C" w:rsidRPr="00630B3F">
        <w:rPr>
          <w:bCs/>
          <w:color w:val="000000" w:themeColor="text1"/>
        </w:rPr>
        <w:t xml:space="preserve"> </w:t>
      </w:r>
      <w:r w:rsidRPr="00630B3F">
        <w:rPr>
          <w:bCs/>
          <w:color w:val="000000" w:themeColor="text1"/>
        </w:rPr>
        <w:t>i</w:t>
      </w:r>
      <w:r w:rsidR="00057208">
        <w:rPr>
          <w:bCs/>
          <w:color w:val="000000" w:themeColor="text1"/>
        </w:rPr>
        <w:t> </w:t>
      </w:r>
      <w:r w:rsidRPr="00630B3F">
        <w:rPr>
          <w:bCs/>
          <w:color w:val="000000" w:themeColor="text1"/>
        </w:rPr>
        <w:t xml:space="preserve">uzbrojenia wojskowego po stronie wykonawcy jest sprawne funkcjonowanie łańcucha dostaw (podwykonawcy i poddostawcy komponentów). W celu wykonania świadczenia mającego walor podzielny, czy też niepodzielny zasadniczo </w:t>
      </w:r>
      <w:r w:rsidR="0081062E" w:rsidRPr="00630B3F">
        <w:rPr>
          <w:bCs/>
          <w:color w:val="000000" w:themeColor="text1"/>
        </w:rPr>
        <w:t xml:space="preserve">jest </w:t>
      </w:r>
      <w:r w:rsidRPr="00630B3F">
        <w:rPr>
          <w:bCs/>
          <w:color w:val="000000" w:themeColor="text1"/>
        </w:rPr>
        <w:t>konieczne korzystanie</w:t>
      </w:r>
      <w:r w:rsidR="00D8664C" w:rsidRPr="00630B3F">
        <w:rPr>
          <w:bCs/>
          <w:color w:val="000000" w:themeColor="text1"/>
        </w:rPr>
        <w:t xml:space="preserve"> </w:t>
      </w:r>
      <w:r w:rsidRPr="00630B3F">
        <w:rPr>
          <w:bCs/>
          <w:color w:val="000000" w:themeColor="text1"/>
        </w:rPr>
        <w:t>z kooperacji z innymi podmiotami. W tym też celu mogą by</w:t>
      </w:r>
      <w:r w:rsidR="00675E16" w:rsidRPr="00630B3F">
        <w:rPr>
          <w:bCs/>
          <w:color w:val="000000" w:themeColor="text1"/>
        </w:rPr>
        <w:t xml:space="preserve">ć udzielane środki finansowe </w:t>
      </w:r>
      <w:r w:rsidRPr="00630B3F">
        <w:rPr>
          <w:bCs/>
          <w:color w:val="000000" w:themeColor="text1"/>
        </w:rPr>
        <w:t>w postaci zaliczek wykonawcy, który następnie może udzielać ich dalej podwykonawcom</w:t>
      </w:r>
      <w:r w:rsidR="00D8664C" w:rsidRPr="00630B3F">
        <w:rPr>
          <w:bCs/>
          <w:color w:val="000000" w:themeColor="text1"/>
        </w:rPr>
        <w:t xml:space="preserve"> </w:t>
      </w:r>
      <w:r w:rsidRPr="00630B3F">
        <w:rPr>
          <w:bCs/>
          <w:color w:val="000000" w:themeColor="text1"/>
        </w:rPr>
        <w:t>i poddostawcom. Warto jednak wskazać, że nie zawsze zapewnienie sobie przyszłych dostaw/us</w:t>
      </w:r>
      <w:r w:rsidR="008D6399" w:rsidRPr="00630B3F">
        <w:rPr>
          <w:bCs/>
          <w:color w:val="000000" w:themeColor="text1"/>
        </w:rPr>
        <w:t>ług podwykonawców i</w:t>
      </w:r>
      <w:r w:rsidR="00057208">
        <w:rPr>
          <w:bCs/>
          <w:color w:val="000000" w:themeColor="text1"/>
        </w:rPr>
        <w:t xml:space="preserve"> </w:t>
      </w:r>
      <w:r w:rsidRPr="00630B3F">
        <w:rPr>
          <w:bCs/>
          <w:color w:val="000000" w:themeColor="text1"/>
        </w:rPr>
        <w:t xml:space="preserve">poddostawców skutkuje możliwością stwierdzenia, że </w:t>
      </w:r>
      <w:r w:rsidR="008D6399" w:rsidRPr="00630B3F">
        <w:rPr>
          <w:bCs/>
          <w:color w:val="000000" w:themeColor="text1"/>
        </w:rPr>
        <w:t>wykonawca „wykonał zamówienie w</w:t>
      </w:r>
      <w:r w:rsidR="00057208">
        <w:rPr>
          <w:bCs/>
          <w:color w:val="000000" w:themeColor="text1"/>
        </w:rPr>
        <w:t xml:space="preserve"> </w:t>
      </w:r>
      <w:r w:rsidRPr="00630B3F">
        <w:rPr>
          <w:bCs/>
          <w:color w:val="000000" w:themeColor="text1"/>
        </w:rPr>
        <w:t>zakresie wartości poprzednio udzielonych zaliczek”, gdyż niektóre przedmioty mogą być nabywane i</w:t>
      </w:r>
      <w:r w:rsidR="00057208">
        <w:rPr>
          <w:bCs/>
          <w:color w:val="000000" w:themeColor="text1"/>
        </w:rPr>
        <w:t> </w:t>
      </w:r>
      <w:r w:rsidRPr="00630B3F">
        <w:rPr>
          <w:bCs/>
          <w:color w:val="000000" w:themeColor="text1"/>
        </w:rPr>
        <w:t>wkomponowywane</w:t>
      </w:r>
      <w:r w:rsidR="00675E16" w:rsidRPr="00630B3F">
        <w:rPr>
          <w:bCs/>
          <w:color w:val="000000" w:themeColor="text1"/>
        </w:rPr>
        <w:t xml:space="preserve"> </w:t>
      </w:r>
      <w:r w:rsidRPr="00630B3F">
        <w:rPr>
          <w:bCs/>
          <w:color w:val="000000" w:themeColor="text1"/>
        </w:rPr>
        <w:t>na finalnym etapie montażu, czy produkcji</w:t>
      </w:r>
      <w:r w:rsidR="008D6399" w:rsidRPr="00630B3F">
        <w:rPr>
          <w:bCs/>
          <w:color w:val="000000" w:themeColor="text1"/>
        </w:rPr>
        <w:t>. Jednocześnie w</w:t>
      </w:r>
      <w:r w:rsidR="00057208">
        <w:rPr>
          <w:bCs/>
          <w:color w:val="000000" w:themeColor="text1"/>
        </w:rPr>
        <w:t> </w:t>
      </w:r>
      <w:r w:rsidRPr="00630B3F">
        <w:rPr>
          <w:bCs/>
          <w:color w:val="000000" w:themeColor="text1"/>
        </w:rPr>
        <w:t>przypadku dostaw harmonogram zasadniczo wskazuje na dostawy kompletnego sprzętu, a nie ich komponentów, wynikających</w:t>
      </w:r>
      <w:r w:rsidR="00675E16" w:rsidRPr="00630B3F">
        <w:rPr>
          <w:bCs/>
          <w:color w:val="000000" w:themeColor="text1"/>
        </w:rPr>
        <w:t xml:space="preserve"> z </w:t>
      </w:r>
      <w:r w:rsidRPr="00630B3F">
        <w:rPr>
          <w:bCs/>
          <w:color w:val="000000" w:themeColor="text1"/>
        </w:rPr>
        <w:t>umów wykonawcy z poddostawcami</w:t>
      </w:r>
      <w:r w:rsidR="008D6399" w:rsidRPr="00630B3F">
        <w:rPr>
          <w:bCs/>
          <w:color w:val="000000" w:themeColor="text1"/>
        </w:rPr>
        <w:t xml:space="preserve"> i</w:t>
      </w:r>
      <w:r w:rsidR="00057208">
        <w:rPr>
          <w:bCs/>
          <w:color w:val="000000" w:themeColor="text1"/>
        </w:rPr>
        <w:t> </w:t>
      </w:r>
      <w:r w:rsidR="008D6399" w:rsidRPr="00630B3F">
        <w:rPr>
          <w:bCs/>
          <w:color w:val="000000" w:themeColor="text1"/>
        </w:rPr>
        <w:t>podwykonawcami. W</w:t>
      </w:r>
      <w:r w:rsidR="00057208">
        <w:rPr>
          <w:bCs/>
          <w:color w:val="000000" w:themeColor="text1"/>
        </w:rPr>
        <w:t xml:space="preserve"> </w:t>
      </w:r>
      <w:r w:rsidR="00675E16" w:rsidRPr="00630B3F">
        <w:rPr>
          <w:bCs/>
          <w:color w:val="000000" w:themeColor="text1"/>
        </w:rPr>
        <w:t xml:space="preserve">związku z </w:t>
      </w:r>
      <w:r w:rsidRPr="00630B3F">
        <w:rPr>
          <w:bCs/>
          <w:color w:val="000000" w:themeColor="text1"/>
        </w:rPr>
        <w:t>tym, wydaje się, że obecne brzmienie obliguje jednak do wyk</w:t>
      </w:r>
      <w:r w:rsidR="008D6399" w:rsidRPr="00630B3F">
        <w:rPr>
          <w:bCs/>
          <w:color w:val="000000" w:themeColor="text1"/>
        </w:rPr>
        <w:t>azania wykonania</w:t>
      </w:r>
      <w:r w:rsidR="00057208">
        <w:rPr>
          <w:bCs/>
          <w:color w:val="000000" w:themeColor="text1"/>
        </w:rPr>
        <w:t xml:space="preserve"> </w:t>
      </w:r>
      <w:r w:rsidRPr="00630B3F">
        <w:rPr>
          <w:bCs/>
          <w:color w:val="000000" w:themeColor="text1"/>
        </w:rPr>
        <w:t>zamówienia</w:t>
      </w:r>
      <w:r w:rsidR="0081062E">
        <w:rPr>
          <w:bCs/>
          <w:color w:val="000000" w:themeColor="text1"/>
        </w:rPr>
        <w:t>,</w:t>
      </w:r>
      <w:r w:rsidRPr="00630B3F">
        <w:rPr>
          <w:bCs/>
          <w:color w:val="000000" w:themeColor="text1"/>
        </w:rPr>
        <w:t xml:space="preserve"> co nie daje możliwości rozlicza</w:t>
      </w:r>
      <w:r w:rsidR="008D6399" w:rsidRPr="00630B3F">
        <w:rPr>
          <w:bCs/>
          <w:color w:val="000000" w:themeColor="text1"/>
        </w:rPr>
        <w:t>nia np.: umów z</w:t>
      </w:r>
      <w:r w:rsidR="00057208">
        <w:rPr>
          <w:bCs/>
          <w:color w:val="000000" w:themeColor="text1"/>
        </w:rPr>
        <w:t> </w:t>
      </w:r>
      <w:r w:rsidR="008D6399" w:rsidRPr="00630B3F">
        <w:rPr>
          <w:bCs/>
          <w:color w:val="000000" w:themeColor="text1"/>
        </w:rPr>
        <w:t>kooperantami. W</w:t>
      </w:r>
      <w:r w:rsidR="00057208">
        <w:rPr>
          <w:bCs/>
          <w:color w:val="000000" w:themeColor="text1"/>
        </w:rPr>
        <w:t xml:space="preserve"> </w:t>
      </w:r>
      <w:r w:rsidRPr="00630B3F">
        <w:rPr>
          <w:bCs/>
          <w:color w:val="000000" w:themeColor="text1"/>
        </w:rPr>
        <w:t>związku z tym w ocenie projektodawcy obecne brzmienie art. 12b ust. 6 wskazuje na konieczność wykazania wykonania zamówienia, a nie na przykład zakontraktowania materiałów na poczet wykonania zamówienia (cel udzielenia zaliczki). W związku z tym można wywnioskować, że cel udzielenia zaliczki jest szerszy niż możliwość jej stopniowego rozliczania.</w:t>
      </w:r>
      <w:r w:rsidR="00057208">
        <w:rPr>
          <w:bCs/>
          <w:color w:val="000000" w:themeColor="text1"/>
        </w:rPr>
        <w:t xml:space="preserve"> </w:t>
      </w:r>
    </w:p>
    <w:p w:rsidR="007C5182" w:rsidRPr="00630B3F" w:rsidRDefault="007C5182" w:rsidP="00057208">
      <w:pPr>
        <w:autoSpaceDE w:val="0"/>
        <w:autoSpaceDN w:val="0"/>
        <w:adjustRightInd w:val="0"/>
        <w:spacing w:before="120" w:line="360" w:lineRule="auto"/>
        <w:ind w:firstLine="426"/>
        <w:jc w:val="both"/>
        <w:rPr>
          <w:bCs/>
          <w:color w:val="000000" w:themeColor="text1"/>
        </w:rPr>
      </w:pPr>
      <w:r w:rsidRPr="00630B3F">
        <w:rPr>
          <w:bCs/>
          <w:color w:val="000000" w:themeColor="text1"/>
        </w:rPr>
        <w:t>Projekt ustawy</w:t>
      </w:r>
      <w:r w:rsidR="0081062E">
        <w:rPr>
          <w:bCs/>
          <w:color w:val="000000" w:themeColor="text1"/>
        </w:rPr>
        <w:t xml:space="preserve"> w art. 2</w:t>
      </w:r>
      <w:r w:rsidRPr="00630B3F">
        <w:rPr>
          <w:bCs/>
          <w:color w:val="000000" w:themeColor="text1"/>
        </w:rPr>
        <w:t>, jak już wspomniano wyżej, w celu ujednolicenia ze zmianami proponowanymi w ustawie</w:t>
      </w:r>
      <w:r w:rsidR="0081062E">
        <w:rPr>
          <w:bCs/>
          <w:color w:val="000000" w:themeColor="text1"/>
        </w:rPr>
        <w:t>,</w:t>
      </w:r>
      <w:r w:rsidRPr="00630B3F">
        <w:rPr>
          <w:bCs/>
          <w:color w:val="000000" w:themeColor="text1"/>
        </w:rPr>
        <w:t xml:space="preserve"> wprowadza t</w:t>
      </w:r>
      <w:r w:rsidR="00675E16" w:rsidRPr="00630B3F">
        <w:rPr>
          <w:bCs/>
          <w:color w:val="000000" w:themeColor="text1"/>
        </w:rPr>
        <w:t xml:space="preserve">akże stosowną nowelizację </w:t>
      </w:r>
      <w:proofErr w:type="spellStart"/>
      <w:r w:rsidR="00675E16" w:rsidRPr="00630B3F">
        <w:rPr>
          <w:bCs/>
          <w:color w:val="000000" w:themeColor="text1"/>
        </w:rPr>
        <w:t>Pzp</w:t>
      </w:r>
      <w:proofErr w:type="spellEnd"/>
      <w:r w:rsidR="00675E16" w:rsidRPr="00630B3F">
        <w:rPr>
          <w:bCs/>
          <w:color w:val="000000" w:themeColor="text1"/>
        </w:rPr>
        <w:t xml:space="preserve">. </w:t>
      </w:r>
      <w:r w:rsidRPr="00630B3F">
        <w:rPr>
          <w:bCs/>
          <w:color w:val="000000" w:themeColor="text1"/>
        </w:rPr>
        <w:t>Przedmiotowa zmiana w ocenie projektodawców wpłynie pozytywnie na jednolitość systemu prawnego, w tym stosowania przepisów prawa w zakresie z</w:t>
      </w:r>
      <w:r w:rsidR="00675E16" w:rsidRPr="00630B3F">
        <w:rPr>
          <w:bCs/>
          <w:color w:val="000000" w:themeColor="text1"/>
        </w:rPr>
        <w:t>amówień dotyczących obronności</w:t>
      </w:r>
      <w:r w:rsidR="008D6399" w:rsidRPr="00630B3F">
        <w:rPr>
          <w:bCs/>
          <w:color w:val="000000" w:themeColor="text1"/>
        </w:rPr>
        <w:t xml:space="preserve"> i</w:t>
      </w:r>
      <w:r w:rsidR="00057208">
        <w:rPr>
          <w:bCs/>
          <w:color w:val="000000" w:themeColor="text1"/>
        </w:rPr>
        <w:t xml:space="preserve"> </w:t>
      </w:r>
      <w:r w:rsidRPr="00630B3F">
        <w:rPr>
          <w:bCs/>
          <w:color w:val="000000" w:themeColor="text1"/>
        </w:rPr>
        <w:t xml:space="preserve">bezpieczeństwa. </w:t>
      </w:r>
    </w:p>
    <w:p w:rsidR="00F40E87" w:rsidRPr="00630B3F" w:rsidRDefault="007C5182" w:rsidP="00057208">
      <w:pPr>
        <w:autoSpaceDE w:val="0"/>
        <w:autoSpaceDN w:val="0"/>
        <w:adjustRightInd w:val="0"/>
        <w:spacing w:before="120" w:line="360" w:lineRule="auto"/>
        <w:ind w:firstLine="426"/>
        <w:jc w:val="both"/>
        <w:rPr>
          <w:bCs/>
          <w:color w:val="000000" w:themeColor="text1"/>
        </w:rPr>
      </w:pPr>
      <w:r w:rsidRPr="00630B3F">
        <w:rPr>
          <w:bCs/>
          <w:color w:val="000000" w:themeColor="text1"/>
        </w:rPr>
        <w:t>Projekt ustawy w art. 3 zawiera przepisy przejścio</w:t>
      </w:r>
      <w:r w:rsidR="008D6399" w:rsidRPr="00630B3F">
        <w:rPr>
          <w:bCs/>
          <w:color w:val="000000" w:themeColor="text1"/>
        </w:rPr>
        <w:t>we, zgodnie z którymi do umów w</w:t>
      </w:r>
      <w:r w:rsidR="00057208">
        <w:rPr>
          <w:bCs/>
          <w:color w:val="000000" w:themeColor="text1"/>
        </w:rPr>
        <w:t xml:space="preserve"> </w:t>
      </w:r>
      <w:r w:rsidRPr="00630B3F">
        <w:rPr>
          <w:bCs/>
          <w:color w:val="000000" w:themeColor="text1"/>
        </w:rPr>
        <w:t xml:space="preserve">sprawach zamówień publicznych zawartych przed dniem wejścia w życie niniejszej ustawy, jak też do umów w sprawach zamówień publicznych zawartych po dniu wejścia </w:t>
      </w:r>
      <w:r w:rsidRPr="00630B3F">
        <w:rPr>
          <w:bCs/>
          <w:color w:val="000000" w:themeColor="text1"/>
        </w:rPr>
        <w:lastRenderedPageBreak/>
        <w:t>w życie niniejszej ustawy w następstwie postępowań o udzielenie za</w:t>
      </w:r>
      <w:r w:rsidR="008D6399" w:rsidRPr="00630B3F">
        <w:rPr>
          <w:bCs/>
          <w:color w:val="000000" w:themeColor="text1"/>
        </w:rPr>
        <w:t>mówień publicznych wszczętych i</w:t>
      </w:r>
      <w:r w:rsidR="00057208">
        <w:rPr>
          <w:bCs/>
          <w:color w:val="000000" w:themeColor="text1"/>
        </w:rPr>
        <w:t xml:space="preserve"> </w:t>
      </w:r>
      <w:r w:rsidRPr="00630B3F">
        <w:rPr>
          <w:bCs/>
          <w:color w:val="000000" w:themeColor="text1"/>
        </w:rPr>
        <w:t>niezakończonych przed dniem wejścia w życie nini</w:t>
      </w:r>
      <w:r w:rsidR="00675E16" w:rsidRPr="00630B3F">
        <w:rPr>
          <w:bCs/>
          <w:color w:val="000000" w:themeColor="text1"/>
        </w:rPr>
        <w:t>ejszej ustawy będzie się</w:t>
      </w:r>
      <w:r w:rsidRPr="00630B3F">
        <w:rPr>
          <w:bCs/>
          <w:color w:val="000000" w:themeColor="text1"/>
        </w:rPr>
        <w:t xml:space="preserve"> stosować przepisy dotychczasowe.</w:t>
      </w:r>
    </w:p>
    <w:p w:rsidR="00415A75" w:rsidRPr="00630B3F" w:rsidRDefault="00415A75" w:rsidP="00057208">
      <w:pPr>
        <w:autoSpaceDE w:val="0"/>
        <w:autoSpaceDN w:val="0"/>
        <w:adjustRightInd w:val="0"/>
        <w:spacing w:before="120" w:line="360" w:lineRule="auto"/>
        <w:ind w:firstLine="426"/>
        <w:jc w:val="both"/>
      </w:pPr>
      <w:r w:rsidRPr="00630B3F">
        <w:t>Projekt nie wpływa na działalność mikroprzedsiębiorców oraz małych i średnich przedsiębiorców.</w:t>
      </w:r>
    </w:p>
    <w:p w:rsidR="00682CDA" w:rsidRPr="00630B3F" w:rsidRDefault="00682CDA" w:rsidP="00057208">
      <w:pPr>
        <w:autoSpaceDE w:val="0"/>
        <w:autoSpaceDN w:val="0"/>
        <w:adjustRightInd w:val="0"/>
        <w:spacing w:before="120" w:line="360" w:lineRule="auto"/>
        <w:ind w:firstLine="426"/>
        <w:jc w:val="both"/>
      </w:pPr>
      <w:r w:rsidRPr="00630B3F">
        <w:t>Przedmiot projektowanego aktu prawnego nie jest sprzeczny z prawem Unii Europejskiej.</w:t>
      </w:r>
    </w:p>
    <w:p w:rsidR="00F40E87" w:rsidRPr="00630B3F" w:rsidRDefault="00682CDA" w:rsidP="00057208">
      <w:pPr>
        <w:autoSpaceDE w:val="0"/>
        <w:autoSpaceDN w:val="0"/>
        <w:adjustRightInd w:val="0"/>
        <w:spacing w:before="120" w:line="360" w:lineRule="auto"/>
        <w:ind w:firstLine="426"/>
        <w:jc w:val="both"/>
        <w:rPr>
          <w:bCs/>
          <w:color w:val="000000" w:themeColor="text1"/>
        </w:rPr>
      </w:pPr>
      <w:r w:rsidRPr="00630B3F">
        <w:t xml:space="preserve">Zgodnie z art. 5 </w:t>
      </w:r>
      <w:r w:rsidRPr="00630B3F">
        <w:rPr>
          <w:i/>
        </w:rPr>
        <w:t>ustawy z dnia 7 lipca 2005 r. o działalności lobbingowej w</w:t>
      </w:r>
      <w:r w:rsidR="00057208">
        <w:rPr>
          <w:i/>
        </w:rPr>
        <w:t> </w:t>
      </w:r>
      <w:r w:rsidRPr="00630B3F">
        <w:rPr>
          <w:i/>
        </w:rPr>
        <w:t xml:space="preserve">procesie stanowienia prawa </w:t>
      </w:r>
      <w:r w:rsidRPr="00630B3F">
        <w:t xml:space="preserve">(Dz. U. </w:t>
      </w:r>
      <w:r w:rsidR="0081062E">
        <w:t>z 2017 r. poz. 248</w:t>
      </w:r>
      <w:r w:rsidRPr="00630B3F">
        <w:t>) projekt został udostępniony w Biuletynie Informacji Publicznej na stronach internetowych Rządowego Centrum Legislacji i żaden podmiot nie zgłosił uwag w tym trybie.</w:t>
      </w:r>
    </w:p>
    <w:p w:rsidR="007C5182" w:rsidRPr="00630B3F" w:rsidRDefault="004B7C0E" w:rsidP="00057208">
      <w:pPr>
        <w:pStyle w:val="USTustnpkodeksu"/>
        <w:spacing w:before="120"/>
        <w:ind w:firstLine="426"/>
        <w:rPr>
          <w:rFonts w:ascii="Times New Roman" w:hAnsi="Times New Roman" w:cs="Times New Roman"/>
          <w:szCs w:val="24"/>
        </w:rPr>
      </w:pPr>
      <w:r w:rsidRPr="00630B3F">
        <w:rPr>
          <w:rFonts w:ascii="Times New Roman" w:hAnsi="Times New Roman" w:cs="Times New Roman"/>
          <w:szCs w:val="24"/>
        </w:rPr>
        <w:t>Projekt nie podlega notyfikacji zgodnie z procedurą określoną w rozporządzeniu Rady Ministrów z dnia 23 grudnia 2002 r. w sprawie sposobu funkcjonowania krajowego systemu notyfikacji norm i aktów prawnych (Dz. U. poz. 2039, z późn. zm.).</w:t>
      </w:r>
    </w:p>
    <w:p w:rsidR="008F0064" w:rsidRDefault="004B7C0E" w:rsidP="00057208">
      <w:pPr>
        <w:pStyle w:val="USTustnpkodeksu"/>
        <w:spacing w:before="120"/>
        <w:ind w:firstLine="425"/>
        <w:rPr>
          <w:rFonts w:ascii="Times New Roman" w:hAnsi="Times New Roman" w:cs="Times New Roman"/>
          <w:szCs w:val="24"/>
        </w:rPr>
      </w:pPr>
      <w:r w:rsidRPr="00630B3F">
        <w:rPr>
          <w:rFonts w:ascii="Times New Roman" w:hAnsi="Times New Roman" w:cs="Times New Roman"/>
          <w:szCs w:val="24"/>
        </w:rPr>
        <w:t xml:space="preserve">Projekt aktu normatywnego nie wymaga zaopiniowania, dokonania konsultacji albo uzgodnienia z właściwymi instytucjami i organami Unii </w:t>
      </w:r>
      <w:r w:rsidR="00964FF3" w:rsidRPr="00630B3F">
        <w:rPr>
          <w:rFonts w:ascii="Times New Roman" w:hAnsi="Times New Roman" w:cs="Times New Roman"/>
          <w:szCs w:val="24"/>
        </w:rPr>
        <w:t xml:space="preserve">Europejskiej, w tym </w:t>
      </w:r>
      <w:r w:rsidRPr="00630B3F">
        <w:rPr>
          <w:rFonts w:ascii="Times New Roman" w:hAnsi="Times New Roman" w:cs="Times New Roman"/>
          <w:szCs w:val="24"/>
        </w:rPr>
        <w:t>Europejskim Bankiem Centralnym. Projektowana regulacja nie jest sprzeczna z prawem Unii Europejskiej.</w:t>
      </w:r>
    </w:p>
    <w:p w:rsidR="00E07434" w:rsidRPr="006627D8" w:rsidRDefault="0081062E" w:rsidP="006627D8">
      <w:pPr>
        <w:pStyle w:val="USTustnpkodeksu"/>
        <w:spacing w:before="120"/>
        <w:ind w:firstLine="425"/>
        <w:rPr>
          <w:rFonts w:ascii="Times New Roman" w:hAnsi="Times New Roman" w:cs="Times New Roman"/>
          <w:szCs w:val="24"/>
        </w:rPr>
      </w:pPr>
      <w:r>
        <w:rPr>
          <w:rFonts w:ascii="Times New Roman" w:hAnsi="Times New Roman" w:cs="Times New Roman"/>
          <w:szCs w:val="24"/>
        </w:rPr>
        <w:t>Projekt został umieszczony w Biuletynie Informacji Publicznej na stronie podmiotowej Rządowego Centrum Legislacji w serwisie Rządowy Proces Legislacyjny.</w:t>
      </w:r>
    </w:p>
    <w:sectPr w:rsidR="00E07434" w:rsidRPr="006627D8" w:rsidSect="00057208">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C3D" w:rsidRDefault="00E73C3D" w:rsidP="00E73C3D">
      <w:r>
        <w:separator/>
      </w:r>
    </w:p>
  </w:endnote>
  <w:endnote w:type="continuationSeparator" w:id="0">
    <w:p w:rsidR="00E73C3D" w:rsidRDefault="00E73C3D" w:rsidP="00E73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956878"/>
      <w:docPartObj>
        <w:docPartGallery w:val="Page Numbers (Bottom of Page)"/>
        <w:docPartUnique/>
      </w:docPartObj>
    </w:sdtPr>
    <w:sdtEndPr/>
    <w:sdtContent>
      <w:p w:rsidR="007945B3" w:rsidRDefault="00057208" w:rsidP="00057208">
        <w:pPr>
          <w:pStyle w:val="Stopka"/>
          <w:jc w:val="center"/>
        </w:pPr>
        <w:r>
          <w:fldChar w:fldCharType="begin"/>
        </w:r>
        <w:r>
          <w:instrText>PAGE   \* MERGEFORMAT</w:instrText>
        </w:r>
        <w:r>
          <w:fldChar w:fldCharType="separate"/>
        </w:r>
        <w:r w:rsidR="00271950">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C3D" w:rsidRDefault="00E73C3D" w:rsidP="00E73C3D">
      <w:r>
        <w:separator/>
      </w:r>
    </w:p>
  </w:footnote>
  <w:footnote w:type="continuationSeparator" w:id="0">
    <w:p w:rsidR="00E73C3D" w:rsidRDefault="00E73C3D" w:rsidP="00E73C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88134F"/>
    <w:multiLevelType w:val="hybridMultilevel"/>
    <w:tmpl w:val="A96655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C77"/>
    <w:rsid w:val="00057208"/>
    <w:rsid w:val="00057424"/>
    <w:rsid w:val="000E027A"/>
    <w:rsid w:val="001068B8"/>
    <w:rsid w:val="0011510E"/>
    <w:rsid w:val="00115948"/>
    <w:rsid w:val="001953AB"/>
    <w:rsid w:val="002019E0"/>
    <w:rsid w:val="00271950"/>
    <w:rsid w:val="002F2C2D"/>
    <w:rsid w:val="0030700D"/>
    <w:rsid w:val="00344C37"/>
    <w:rsid w:val="003E17C5"/>
    <w:rsid w:val="003E7270"/>
    <w:rsid w:val="00415A75"/>
    <w:rsid w:val="004265D7"/>
    <w:rsid w:val="00472380"/>
    <w:rsid w:val="004B7C0E"/>
    <w:rsid w:val="00525471"/>
    <w:rsid w:val="005327A6"/>
    <w:rsid w:val="005E0EFD"/>
    <w:rsid w:val="005E786B"/>
    <w:rsid w:val="005F15BF"/>
    <w:rsid w:val="006278FE"/>
    <w:rsid w:val="00630B3F"/>
    <w:rsid w:val="006627D8"/>
    <w:rsid w:val="006647BC"/>
    <w:rsid w:val="00675E16"/>
    <w:rsid w:val="00682CDA"/>
    <w:rsid w:val="00683DA4"/>
    <w:rsid w:val="006C6BBD"/>
    <w:rsid w:val="007212DD"/>
    <w:rsid w:val="00723B1D"/>
    <w:rsid w:val="0072524A"/>
    <w:rsid w:val="00767CF5"/>
    <w:rsid w:val="0078749F"/>
    <w:rsid w:val="007C5182"/>
    <w:rsid w:val="007F03BC"/>
    <w:rsid w:val="0081062E"/>
    <w:rsid w:val="00816542"/>
    <w:rsid w:val="008170B9"/>
    <w:rsid w:val="008323BF"/>
    <w:rsid w:val="00872D6B"/>
    <w:rsid w:val="00881799"/>
    <w:rsid w:val="008C45C2"/>
    <w:rsid w:val="008D09D4"/>
    <w:rsid w:val="008D6399"/>
    <w:rsid w:val="008E09EB"/>
    <w:rsid w:val="008F0064"/>
    <w:rsid w:val="008F57B8"/>
    <w:rsid w:val="00964FF3"/>
    <w:rsid w:val="00966442"/>
    <w:rsid w:val="009B2AE7"/>
    <w:rsid w:val="009F5565"/>
    <w:rsid w:val="00AD5BB2"/>
    <w:rsid w:val="00B17645"/>
    <w:rsid w:val="00B52823"/>
    <w:rsid w:val="00B77B66"/>
    <w:rsid w:val="00B82BA5"/>
    <w:rsid w:val="00BA5210"/>
    <w:rsid w:val="00BB6A03"/>
    <w:rsid w:val="00BD2828"/>
    <w:rsid w:val="00BE73E3"/>
    <w:rsid w:val="00C17ACA"/>
    <w:rsid w:val="00C9370C"/>
    <w:rsid w:val="00CA22E0"/>
    <w:rsid w:val="00CA296B"/>
    <w:rsid w:val="00D169CE"/>
    <w:rsid w:val="00D36E03"/>
    <w:rsid w:val="00D8664C"/>
    <w:rsid w:val="00DA2C66"/>
    <w:rsid w:val="00DB2792"/>
    <w:rsid w:val="00DB515A"/>
    <w:rsid w:val="00DF2AD0"/>
    <w:rsid w:val="00E07434"/>
    <w:rsid w:val="00E2573C"/>
    <w:rsid w:val="00E45281"/>
    <w:rsid w:val="00E73C3D"/>
    <w:rsid w:val="00EB6047"/>
    <w:rsid w:val="00ED0DA2"/>
    <w:rsid w:val="00EE5912"/>
    <w:rsid w:val="00F1607E"/>
    <w:rsid w:val="00F40E87"/>
    <w:rsid w:val="00F63F95"/>
    <w:rsid w:val="00F73616"/>
    <w:rsid w:val="00F87DCC"/>
    <w:rsid w:val="00F87EF1"/>
    <w:rsid w:val="00F93B8B"/>
    <w:rsid w:val="00FA79C1"/>
    <w:rsid w:val="00FC5E97"/>
    <w:rsid w:val="00FE4C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73C3D"/>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E73C3D"/>
    <w:pPr>
      <w:ind w:left="720"/>
    </w:pPr>
  </w:style>
  <w:style w:type="paragraph" w:styleId="Tekstprzypisudolnego">
    <w:name w:val="footnote text"/>
    <w:basedOn w:val="Normalny"/>
    <w:link w:val="TekstprzypisudolnegoZnak"/>
    <w:uiPriority w:val="99"/>
    <w:semiHidden/>
    <w:rsid w:val="00E73C3D"/>
    <w:pPr>
      <w:widowControl w:val="0"/>
      <w:autoSpaceDE w:val="0"/>
      <w:autoSpaceDN w:val="0"/>
      <w:adjustRightInd w:val="0"/>
    </w:pPr>
    <w:rPr>
      <w:rFonts w:ascii="Arial" w:hAnsi="Arial" w:cs="Arial"/>
      <w:sz w:val="20"/>
      <w:szCs w:val="20"/>
    </w:rPr>
  </w:style>
  <w:style w:type="character" w:customStyle="1" w:styleId="TekstprzypisudolnegoZnak">
    <w:name w:val="Tekst przypisu dolnego Znak"/>
    <w:basedOn w:val="Domylnaczcionkaakapitu"/>
    <w:link w:val="Tekstprzypisudolnego"/>
    <w:uiPriority w:val="99"/>
    <w:semiHidden/>
    <w:rsid w:val="00E73C3D"/>
    <w:rPr>
      <w:rFonts w:ascii="Arial" w:eastAsia="Times New Roman" w:hAnsi="Arial" w:cs="Arial"/>
      <w:sz w:val="20"/>
      <w:szCs w:val="20"/>
      <w:lang w:eastAsia="pl-PL"/>
    </w:rPr>
  </w:style>
  <w:style w:type="character" w:styleId="Odwoanieprzypisudolnego">
    <w:name w:val="footnote reference"/>
    <w:basedOn w:val="Domylnaczcionkaakapitu"/>
    <w:uiPriority w:val="99"/>
    <w:semiHidden/>
    <w:rsid w:val="00E73C3D"/>
    <w:rPr>
      <w:vertAlign w:val="superscript"/>
    </w:rPr>
  </w:style>
  <w:style w:type="paragraph" w:styleId="Stopka">
    <w:name w:val="footer"/>
    <w:basedOn w:val="Normalny"/>
    <w:link w:val="StopkaZnak"/>
    <w:uiPriority w:val="99"/>
    <w:unhideWhenUsed/>
    <w:rsid w:val="00E73C3D"/>
    <w:pPr>
      <w:tabs>
        <w:tab w:val="center" w:pos="4536"/>
        <w:tab w:val="right" w:pos="9072"/>
      </w:tabs>
    </w:pPr>
  </w:style>
  <w:style w:type="character" w:customStyle="1" w:styleId="StopkaZnak">
    <w:name w:val="Stopka Znak"/>
    <w:basedOn w:val="Domylnaczcionkaakapitu"/>
    <w:link w:val="Stopka"/>
    <w:uiPriority w:val="99"/>
    <w:rsid w:val="00E73C3D"/>
    <w:rPr>
      <w:rFonts w:ascii="Times New Roman" w:eastAsia="Times New Roman" w:hAnsi="Times New Roman" w:cs="Times New Roman"/>
      <w:sz w:val="24"/>
      <w:szCs w:val="24"/>
      <w:lang w:eastAsia="pl-PL"/>
    </w:rPr>
  </w:style>
  <w:style w:type="paragraph" w:customStyle="1" w:styleId="USTustnpkodeksu">
    <w:name w:val="UST(§) – ust. (§ np. kodeksu)"/>
    <w:basedOn w:val="Normalny"/>
    <w:uiPriority w:val="12"/>
    <w:qFormat/>
    <w:rsid w:val="000E027A"/>
    <w:pPr>
      <w:suppressAutoHyphens/>
      <w:autoSpaceDE w:val="0"/>
      <w:autoSpaceDN w:val="0"/>
      <w:adjustRightInd w:val="0"/>
      <w:spacing w:line="360" w:lineRule="auto"/>
      <w:ind w:firstLine="510"/>
      <w:jc w:val="both"/>
    </w:pPr>
    <w:rPr>
      <w:rFonts w:ascii="Times" w:hAnsi="Times" w:cs="Arial"/>
      <w:bCs/>
      <w:szCs w:val="20"/>
    </w:rPr>
  </w:style>
  <w:style w:type="paragraph" w:styleId="Tekstpodstawowy2">
    <w:name w:val="Body Text 2"/>
    <w:basedOn w:val="Normalny"/>
    <w:link w:val="Tekstpodstawowy2Znak"/>
    <w:uiPriority w:val="99"/>
    <w:unhideWhenUsed/>
    <w:rsid w:val="004B7C0E"/>
    <w:pPr>
      <w:spacing w:after="120" w:line="480" w:lineRule="auto"/>
      <w:ind w:firstLine="851"/>
      <w:jc w:val="both"/>
    </w:pPr>
    <w:rPr>
      <w:rFonts w:ascii="Calibri" w:eastAsia="Calibri" w:hAnsi="Calibri"/>
      <w:sz w:val="22"/>
      <w:szCs w:val="22"/>
      <w:lang w:eastAsia="en-US"/>
    </w:rPr>
  </w:style>
  <w:style w:type="character" w:customStyle="1" w:styleId="Tekstpodstawowy2Znak">
    <w:name w:val="Tekst podstawowy 2 Znak"/>
    <w:basedOn w:val="Domylnaczcionkaakapitu"/>
    <w:link w:val="Tekstpodstawowy2"/>
    <w:uiPriority w:val="99"/>
    <w:rsid w:val="004B7C0E"/>
    <w:rPr>
      <w:rFonts w:ascii="Calibri" w:eastAsia="Calibri" w:hAnsi="Calibri" w:cs="Times New Roman"/>
    </w:rPr>
  </w:style>
  <w:style w:type="paragraph" w:styleId="Nagwek">
    <w:name w:val="header"/>
    <w:basedOn w:val="Normalny"/>
    <w:link w:val="NagwekZnak"/>
    <w:uiPriority w:val="99"/>
    <w:unhideWhenUsed/>
    <w:rsid w:val="00DB2792"/>
    <w:pPr>
      <w:tabs>
        <w:tab w:val="center" w:pos="4536"/>
        <w:tab w:val="right" w:pos="9072"/>
      </w:tabs>
    </w:pPr>
  </w:style>
  <w:style w:type="character" w:customStyle="1" w:styleId="NagwekZnak">
    <w:name w:val="Nagłówek Znak"/>
    <w:basedOn w:val="Domylnaczcionkaakapitu"/>
    <w:link w:val="Nagwek"/>
    <w:uiPriority w:val="99"/>
    <w:rsid w:val="00DB2792"/>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9F5565"/>
    <w:rPr>
      <w:rFonts w:ascii="Tahoma" w:hAnsi="Tahoma" w:cs="Tahoma"/>
      <w:sz w:val="16"/>
      <w:szCs w:val="16"/>
    </w:rPr>
  </w:style>
  <w:style w:type="character" w:customStyle="1" w:styleId="TekstdymkaZnak">
    <w:name w:val="Tekst dymka Znak"/>
    <w:basedOn w:val="Domylnaczcionkaakapitu"/>
    <w:link w:val="Tekstdymka"/>
    <w:uiPriority w:val="99"/>
    <w:semiHidden/>
    <w:rsid w:val="009F5565"/>
    <w:rPr>
      <w:rFonts w:ascii="Tahoma" w:eastAsia="Times New Roman" w:hAnsi="Tahoma" w:cs="Tahoma"/>
      <w:sz w:val="16"/>
      <w:szCs w:val="16"/>
      <w:lang w:eastAsia="pl-PL"/>
    </w:rPr>
  </w:style>
  <w:style w:type="paragraph" w:styleId="Tytu">
    <w:name w:val="Title"/>
    <w:basedOn w:val="Normalny"/>
    <w:link w:val="TytuZnak"/>
    <w:qFormat/>
    <w:rsid w:val="00415A75"/>
    <w:pPr>
      <w:jc w:val="center"/>
    </w:pPr>
    <w:rPr>
      <w:b/>
      <w:sz w:val="28"/>
      <w:szCs w:val="20"/>
    </w:rPr>
  </w:style>
  <w:style w:type="character" w:customStyle="1" w:styleId="TytuZnak">
    <w:name w:val="Tytuł Znak"/>
    <w:basedOn w:val="Domylnaczcionkaakapitu"/>
    <w:link w:val="Tytu"/>
    <w:rsid w:val="00415A75"/>
    <w:rPr>
      <w:rFonts w:ascii="Times New Roman" w:eastAsia="Times New Roman" w:hAnsi="Times New Roman" w:cs="Times New Roman"/>
      <w:b/>
      <w:sz w:val="28"/>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73C3D"/>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E73C3D"/>
    <w:pPr>
      <w:ind w:left="720"/>
    </w:pPr>
  </w:style>
  <w:style w:type="paragraph" w:styleId="Tekstprzypisudolnego">
    <w:name w:val="footnote text"/>
    <w:basedOn w:val="Normalny"/>
    <w:link w:val="TekstprzypisudolnegoZnak"/>
    <w:uiPriority w:val="99"/>
    <w:semiHidden/>
    <w:rsid w:val="00E73C3D"/>
    <w:pPr>
      <w:widowControl w:val="0"/>
      <w:autoSpaceDE w:val="0"/>
      <w:autoSpaceDN w:val="0"/>
      <w:adjustRightInd w:val="0"/>
    </w:pPr>
    <w:rPr>
      <w:rFonts w:ascii="Arial" w:hAnsi="Arial" w:cs="Arial"/>
      <w:sz w:val="20"/>
      <w:szCs w:val="20"/>
    </w:rPr>
  </w:style>
  <w:style w:type="character" w:customStyle="1" w:styleId="TekstprzypisudolnegoZnak">
    <w:name w:val="Tekst przypisu dolnego Znak"/>
    <w:basedOn w:val="Domylnaczcionkaakapitu"/>
    <w:link w:val="Tekstprzypisudolnego"/>
    <w:uiPriority w:val="99"/>
    <w:semiHidden/>
    <w:rsid w:val="00E73C3D"/>
    <w:rPr>
      <w:rFonts w:ascii="Arial" w:eastAsia="Times New Roman" w:hAnsi="Arial" w:cs="Arial"/>
      <w:sz w:val="20"/>
      <w:szCs w:val="20"/>
      <w:lang w:eastAsia="pl-PL"/>
    </w:rPr>
  </w:style>
  <w:style w:type="character" w:styleId="Odwoanieprzypisudolnego">
    <w:name w:val="footnote reference"/>
    <w:basedOn w:val="Domylnaczcionkaakapitu"/>
    <w:uiPriority w:val="99"/>
    <w:semiHidden/>
    <w:rsid w:val="00E73C3D"/>
    <w:rPr>
      <w:vertAlign w:val="superscript"/>
    </w:rPr>
  </w:style>
  <w:style w:type="paragraph" w:styleId="Stopka">
    <w:name w:val="footer"/>
    <w:basedOn w:val="Normalny"/>
    <w:link w:val="StopkaZnak"/>
    <w:uiPriority w:val="99"/>
    <w:unhideWhenUsed/>
    <w:rsid w:val="00E73C3D"/>
    <w:pPr>
      <w:tabs>
        <w:tab w:val="center" w:pos="4536"/>
        <w:tab w:val="right" w:pos="9072"/>
      </w:tabs>
    </w:pPr>
  </w:style>
  <w:style w:type="character" w:customStyle="1" w:styleId="StopkaZnak">
    <w:name w:val="Stopka Znak"/>
    <w:basedOn w:val="Domylnaczcionkaakapitu"/>
    <w:link w:val="Stopka"/>
    <w:uiPriority w:val="99"/>
    <w:rsid w:val="00E73C3D"/>
    <w:rPr>
      <w:rFonts w:ascii="Times New Roman" w:eastAsia="Times New Roman" w:hAnsi="Times New Roman" w:cs="Times New Roman"/>
      <w:sz w:val="24"/>
      <w:szCs w:val="24"/>
      <w:lang w:eastAsia="pl-PL"/>
    </w:rPr>
  </w:style>
  <w:style w:type="paragraph" w:customStyle="1" w:styleId="USTustnpkodeksu">
    <w:name w:val="UST(§) – ust. (§ np. kodeksu)"/>
    <w:basedOn w:val="Normalny"/>
    <w:uiPriority w:val="12"/>
    <w:qFormat/>
    <w:rsid w:val="000E027A"/>
    <w:pPr>
      <w:suppressAutoHyphens/>
      <w:autoSpaceDE w:val="0"/>
      <w:autoSpaceDN w:val="0"/>
      <w:adjustRightInd w:val="0"/>
      <w:spacing w:line="360" w:lineRule="auto"/>
      <w:ind w:firstLine="510"/>
      <w:jc w:val="both"/>
    </w:pPr>
    <w:rPr>
      <w:rFonts w:ascii="Times" w:hAnsi="Times" w:cs="Arial"/>
      <w:bCs/>
      <w:szCs w:val="20"/>
    </w:rPr>
  </w:style>
  <w:style w:type="paragraph" w:styleId="Tekstpodstawowy2">
    <w:name w:val="Body Text 2"/>
    <w:basedOn w:val="Normalny"/>
    <w:link w:val="Tekstpodstawowy2Znak"/>
    <w:uiPriority w:val="99"/>
    <w:unhideWhenUsed/>
    <w:rsid w:val="004B7C0E"/>
    <w:pPr>
      <w:spacing w:after="120" w:line="480" w:lineRule="auto"/>
      <w:ind w:firstLine="851"/>
      <w:jc w:val="both"/>
    </w:pPr>
    <w:rPr>
      <w:rFonts w:ascii="Calibri" w:eastAsia="Calibri" w:hAnsi="Calibri"/>
      <w:sz w:val="22"/>
      <w:szCs w:val="22"/>
      <w:lang w:eastAsia="en-US"/>
    </w:rPr>
  </w:style>
  <w:style w:type="character" w:customStyle="1" w:styleId="Tekstpodstawowy2Znak">
    <w:name w:val="Tekst podstawowy 2 Znak"/>
    <w:basedOn w:val="Domylnaczcionkaakapitu"/>
    <w:link w:val="Tekstpodstawowy2"/>
    <w:uiPriority w:val="99"/>
    <w:rsid w:val="004B7C0E"/>
    <w:rPr>
      <w:rFonts w:ascii="Calibri" w:eastAsia="Calibri" w:hAnsi="Calibri" w:cs="Times New Roman"/>
    </w:rPr>
  </w:style>
  <w:style w:type="paragraph" w:styleId="Nagwek">
    <w:name w:val="header"/>
    <w:basedOn w:val="Normalny"/>
    <w:link w:val="NagwekZnak"/>
    <w:uiPriority w:val="99"/>
    <w:unhideWhenUsed/>
    <w:rsid w:val="00DB2792"/>
    <w:pPr>
      <w:tabs>
        <w:tab w:val="center" w:pos="4536"/>
        <w:tab w:val="right" w:pos="9072"/>
      </w:tabs>
    </w:pPr>
  </w:style>
  <w:style w:type="character" w:customStyle="1" w:styleId="NagwekZnak">
    <w:name w:val="Nagłówek Znak"/>
    <w:basedOn w:val="Domylnaczcionkaakapitu"/>
    <w:link w:val="Nagwek"/>
    <w:uiPriority w:val="99"/>
    <w:rsid w:val="00DB2792"/>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9F5565"/>
    <w:rPr>
      <w:rFonts w:ascii="Tahoma" w:hAnsi="Tahoma" w:cs="Tahoma"/>
      <w:sz w:val="16"/>
      <w:szCs w:val="16"/>
    </w:rPr>
  </w:style>
  <w:style w:type="character" w:customStyle="1" w:styleId="TekstdymkaZnak">
    <w:name w:val="Tekst dymka Znak"/>
    <w:basedOn w:val="Domylnaczcionkaakapitu"/>
    <w:link w:val="Tekstdymka"/>
    <w:uiPriority w:val="99"/>
    <w:semiHidden/>
    <w:rsid w:val="009F5565"/>
    <w:rPr>
      <w:rFonts w:ascii="Tahoma" w:eastAsia="Times New Roman" w:hAnsi="Tahoma" w:cs="Tahoma"/>
      <w:sz w:val="16"/>
      <w:szCs w:val="16"/>
      <w:lang w:eastAsia="pl-PL"/>
    </w:rPr>
  </w:style>
  <w:style w:type="paragraph" w:styleId="Tytu">
    <w:name w:val="Title"/>
    <w:basedOn w:val="Normalny"/>
    <w:link w:val="TytuZnak"/>
    <w:qFormat/>
    <w:rsid w:val="00415A75"/>
    <w:pPr>
      <w:jc w:val="center"/>
    </w:pPr>
    <w:rPr>
      <w:b/>
      <w:sz w:val="28"/>
      <w:szCs w:val="20"/>
    </w:rPr>
  </w:style>
  <w:style w:type="character" w:customStyle="1" w:styleId="TytuZnak">
    <w:name w:val="Tytuł Znak"/>
    <w:basedOn w:val="Domylnaczcionkaakapitu"/>
    <w:link w:val="Tytu"/>
    <w:rsid w:val="00415A75"/>
    <w:rPr>
      <w:rFonts w:ascii="Times New Roman" w:eastAsia="Times New Roman" w:hAnsi="Times New Roman" w:cs="Times New Roman"/>
      <w:b/>
      <w:sz w:val="28"/>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715551">
      <w:bodyDiv w:val="1"/>
      <w:marLeft w:val="0"/>
      <w:marRight w:val="0"/>
      <w:marTop w:val="0"/>
      <w:marBottom w:val="0"/>
      <w:divBdr>
        <w:top w:val="none" w:sz="0" w:space="0" w:color="auto"/>
        <w:left w:val="none" w:sz="0" w:space="0" w:color="auto"/>
        <w:bottom w:val="none" w:sz="0" w:space="0" w:color="auto"/>
        <w:right w:val="none" w:sz="0" w:space="0" w:color="auto"/>
      </w:divBdr>
    </w:div>
    <w:div w:id="143794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44C14-8A12-430D-B869-7DDEFB5B3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2562</Words>
  <Characters>15376</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
    </vt:vector>
  </TitlesOfParts>
  <Company>MON</Company>
  <LinksUpToDate>false</LinksUpToDate>
  <CharactersWithSpaces>17903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Zawadzka Milena</dc:creator>
  <cp:lastModifiedBy>Ewa A. Genert</cp:lastModifiedBy>
  <cp:revision>2</cp:revision>
  <cp:lastPrinted>2017-06-30T08:22:00Z</cp:lastPrinted>
  <dcterms:created xsi:type="dcterms:W3CDTF">2017-07-04T17:06:00Z</dcterms:created>
  <dcterms:modified xsi:type="dcterms:W3CDTF">2017-07-04T17:06:00Z</dcterms:modified>
</cp:coreProperties>
</file>