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646" w:rsidRDefault="00C70646" w:rsidP="0090354A">
      <w:pPr>
        <w:pStyle w:val="OZNPROJEKTUwskazaniedatylubwersjiprojektu"/>
        <w:spacing w:after="600" w:line="720" w:lineRule="auto"/>
      </w:pPr>
      <w:bookmarkStart w:id="0" w:name="_GoBack"/>
      <w:bookmarkEnd w:id="0"/>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F9469D">
        <w:t>29 czerwca 2017 r.</w:t>
      </w:r>
    </w:p>
    <w:p w:rsidR="00C70646" w:rsidRPr="00621566" w:rsidRDefault="005067C5" w:rsidP="00C70646">
      <w:pPr>
        <w:pStyle w:val="TYTUAKTUprzedmiotregulacjiustawylubrozporzdzenia"/>
      </w:pPr>
      <w:r>
        <w:t xml:space="preserve">w sprawie </w:t>
      </w:r>
      <w:r w:rsidR="00101307">
        <w:t xml:space="preserve">wniesienia do Sejmu projektu </w:t>
      </w:r>
      <w:r>
        <w:t>ustawy</w:t>
      </w:r>
      <w:r w:rsidR="00EB7512">
        <w:t xml:space="preserve"> o zmianie ustawy</w:t>
      </w:r>
      <w:r>
        <w:t xml:space="preserve"> </w:t>
      </w:r>
      <w:r w:rsidR="00F9469D" w:rsidRPr="00F9469D">
        <w:t>o kierujących pojazdami</w:t>
      </w:r>
    </w:p>
    <w:p w:rsidR="00186E4C" w:rsidRPr="005333D2"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w:t>
      </w:r>
      <w:r w:rsidRPr="00F9469D">
        <w:t>ustawy</w:t>
      </w:r>
      <w:r w:rsidR="008E6633">
        <w:t xml:space="preserve"> o zmianie ustawy</w:t>
      </w:r>
      <w:r w:rsidRPr="00F9469D">
        <w:t xml:space="preserve"> </w:t>
      </w:r>
      <w:r w:rsidR="008E6633">
        <w:rPr>
          <w:bCs w:val="0"/>
          <w:sz w:val="23"/>
          <w:szCs w:val="23"/>
        </w:rPr>
        <w:t>o </w:t>
      </w:r>
      <w:r w:rsidR="00F9469D" w:rsidRPr="00F9469D">
        <w:rPr>
          <w:bCs w:val="0"/>
          <w:sz w:val="23"/>
          <w:szCs w:val="23"/>
        </w:rPr>
        <w:t>kierujących pojazdami.</w:t>
      </w:r>
    </w:p>
    <w:p w:rsidR="00186E4C" w:rsidRPr="005333D2" w:rsidRDefault="00186E4C" w:rsidP="00186E4C">
      <w:pPr>
        <w:pStyle w:val="NIEARTTEKSTtekstnieartykuowanynppreambua"/>
      </w:pPr>
      <w:r w:rsidRPr="005333D2">
        <w:t xml:space="preserve">Jednocześnie upoważnia senatora </w:t>
      </w:r>
      <w:r w:rsidR="00F9469D" w:rsidRPr="004D6E07">
        <w:rPr>
          <w:snapToGrid w:val="0"/>
        </w:rPr>
        <w:t>Jan</w:t>
      </w:r>
      <w:r w:rsidR="00F9469D">
        <w:rPr>
          <w:snapToGrid w:val="0"/>
        </w:rPr>
        <w:t>a</w:t>
      </w:r>
      <w:r w:rsidR="00F9469D" w:rsidRPr="004D6E07">
        <w:rPr>
          <w:snapToGrid w:val="0"/>
        </w:rPr>
        <w:t xml:space="preserve"> Filip</w:t>
      </w:r>
      <w:r w:rsidR="00F9469D">
        <w:rPr>
          <w:snapToGrid w:val="0"/>
        </w:rPr>
        <w:t>a</w:t>
      </w:r>
      <w:r w:rsidR="00F9469D" w:rsidRPr="004D6E07">
        <w:rPr>
          <w:snapToGrid w:val="0"/>
        </w:rPr>
        <w:t xml:space="preserve"> Libicki</w:t>
      </w:r>
      <w:r w:rsidR="00F9469D">
        <w:rPr>
          <w:snapToGrid w:val="0"/>
        </w:rPr>
        <w:t>ego</w:t>
      </w:r>
      <w:r w:rsidRPr="005333D2">
        <w:t xml:space="preserve"> do reprezentowania Senatu </w:t>
      </w:r>
      <w:r w:rsidR="00F9469D">
        <w:br/>
      </w:r>
      <w:r w:rsidRPr="005333D2">
        <w:t>w pracach nad projektem.</w:t>
      </w:r>
    </w:p>
    <w:p w:rsidR="00C70646" w:rsidRPr="00621566" w:rsidRDefault="00C70646" w:rsidP="00C70646"/>
    <w:p w:rsidR="00C70646" w:rsidRDefault="00C70646" w:rsidP="00C70646"/>
    <w:p w:rsidR="00F9469D" w:rsidRDefault="00F9469D" w:rsidP="00C70646"/>
    <w:p w:rsidR="00F9469D" w:rsidRDefault="00F9469D" w:rsidP="00C70646"/>
    <w:p w:rsidR="00F9469D" w:rsidRDefault="00F9469D" w:rsidP="00F9469D">
      <w:pPr>
        <w:pStyle w:val="Tekstpodstawowy"/>
        <w:tabs>
          <w:tab w:val="center" w:pos="6237"/>
        </w:tabs>
        <w:spacing w:line="240" w:lineRule="auto"/>
        <w:ind w:right="-2"/>
        <w:rPr>
          <w:b/>
        </w:rPr>
      </w:pPr>
      <w:r>
        <w:rPr>
          <w:b/>
        </w:rPr>
        <w:tab/>
        <w:t>MARSZAŁEK SENATU</w:t>
      </w:r>
    </w:p>
    <w:p w:rsidR="00F9469D" w:rsidRDefault="00F9469D" w:rsidP="00F9469D">
      <w:pPr>
        <w:pStyle w:val="Tekstpodstawowy"/>
        <w:tabs>
          <w:tab w:val="center" w:pos="6237"/>
        </w:tabs>
        <w:spacing w:line="240" w:lineRule="auto"/>
        <w:rPr>
          <w:b/>
        </w:rPr>
      </w:pPr>
    </w:p>
    <w:p w:rsidR="00F9469D" w:rsidRDefault="00F9469D" w:rsidP="00F9469D">
      <w:pPr>
        <w:pStyle w:val="Tekstpodstawowy"/>
        <w:tabs>
          <w:tab w:val="center" w:pos="6237"/>
        </w:tabs>
        <w:spacing w:line="240" w:lineRule="auto"/>
        <w:rPr>
          <w:b/>
        </w:rPr>
      </w:pPr>
    </w:p>
    <w:p w:rsidR="00F9469D" w:rsidRDefault="00F9469D" w:rsidP="00F9469D">
      <w:pPr>
        <w:pStyle w:val="Tekstpodstawowy"/>
        <w:tabs>
          <w:tab w:val="center" w:pos="6237"/>
        </w:tabs>
        <w:spacing w:line="240" w:lineRule="auto"/>
        <w:rPr>
          <w:b/>
        </w:rPr>
      </w:pPr>
    </w:p>
    <w:p w:rsidR="00F9469D" w:rsidRDefault="00F9469D" w:rsidP="00F9469D">
      <w:pPr>
        <w:pStyle w:val="Tekstpodstawowy"/>
        <w:tabs>
          <w:tab w:val="center" w:pos="6237"/>
        </w:tabs>
        <w:spacing w:line="240" w:lineRule="auto"/>
        <w:ind w:right="-2"/>
        <w:rPr>
          <w:b/>
        </w:rPr>
      </w:pPr>
      <w:r>
        <w:rPr>
          <w:b/>
        </w:rPr>
        <w:tab/>
        <w:t>Stanisław KARCZEWSKI</w:t>
      </w:r>
    </w:p>
    <w:p w:rsidR="00D8217A" w:rsidRDefault="00D8217A" w:rsidP="00C70646">
      <w:pPr>
        <w:sectPr w:rsidR="00D8217A" w:rsidSect="001A7F15">
          <w:headerReference w:type="default" r:id="rId7"/>
          <w:pgSz w:w="11906" w:h="16838"/>
          <w:pgMar w:top="1560" w:right="1434" w:bottom="1560" w:left="1418" w:header="709" w:footer="709" w:gutter="0"/>
          <w:cols w:space="708"/>
          <w:titlePg/>
          <w:docGrid w:linePitch="254"/>
        </w:sectPr>
      </w:pPr>
    </w:p>
    <w:p w:rsidR="00D8217A" w:rsidRDefault="00D8217A" w:rsidP="00F47CC1">
      <w:pPr>
        <w:pStyle w:val="OZNPROJEKTUwskazaniedatylubwersjiprojektu"/>
        <w:keepNext/>
      </w:pPr>
      <w:r>
        <w:lastRenderedPageBreak/>
        <w:t>projekt</w:t>
      </w:r>
    </w:p>
    <w:p w:rsidR="00D8217A" w:rsidRPr="00E000DC" w:rsidRDefault="00D8217A" w:rsidP="004810D7">
      <w:pPr>
        <w:pStyle w:val="OZNRODZAKTUtznustawalubrozporzdzenieiorganwydajcy"/>
      </w:pPr>
      <w:r w:rsidRPr="004810D7">
        <w:t>ustawa</w:t>
      </w:r>
    </w:p>
    <w:p w:rsidR="00D8217A" w:rsidRDefault="00D8217A" w:rsidP="00912118">
      <w:pPr>
        <w:pStyle w:val="DATAAKTUdatauchwalenialubwydaniaaktu"/>
      </w:pPr>
      <w:r w:rsidRPr="00E000DC">
        <w:t>z dnia</w:t>
      </w:r>
    </w:p>
    <w:p w:rsidR="00D8217A" w:rsidRDefault="00D8217A" w:rsidP="00F47CC1">
      <w:pPr>
        <w:pStyle w:val="TYTUAKTUprzedmiotregulacjiustawylubrozporzdzenia"/>
      </w:pPr>
      <w:r>
        <w:t xml:space="preserve">o zmianie ustawy o </w:t>
      </w:r>
      <w:r w:rsidRPr="00EB07B3">
        <w:t>kierujących pojazdami</w:t>
      </w:r>
    </w:p>
    <w:p w:rsidR="00D8217A" w:rsidRDefault="00D8217A" w:rsidP="00F47CC1">
      <w:pPr>
        <w:pStyle w:val="ARTartustawynprozporzdzenia"/>
        <w:keepNext/>
      </w:pPr>
      <w:r w:rsidRPr="00F47CC1">
        <w:rPr>
          <w:rStyle w:val="Ppogrubienie"/>
        </w:rPr>
        <w:t>Art.</w:t>
      </w:r>
      <w:r>
        <w:rPr>
          <w:rStyle w:val="Ppogrubienie"/>
        </w:rPr>
        <w:t> </w:t>
      </w:r>
      <w:r w:rsidRPr="00F47CC1">
        <w:rPr>
          <w:rStyle w:val="Ppogrubienie"/>
        </w:rPr>
        <w:t>1.</w:t>
      </w:r>
      <w:r w:rsidRPr="00EB07B3">
        <w:t xml:space="preserve"> W ustawie z dnia 5 stycznia 2011 r. o kierujących pojazdami (</w:t>
      </w:r>
      <w:r>
        <w:t>Dz. U. z 2017 r. poz. 978</w:t>
      </w:r>
      <w:r w:rsidRPr="00EB07B3">
        <w:t xml:space="preserve">) </w:t>
      </w:r>
      <w:r>
        <w:t>w art. 56 dodaje się ust. 4–6 w brzmieniu:</w:t>
      </w:r>
    </w:p>
    <w:p w:rsidR="00D8217A" w:rsidRDefault="00D8217A" w:rsidP="00F47CC1">
      <w:pPr>
        <w:pStyle w:val="ZUSTzmustartykuempunktem"/>
      </w:pPr>
      <w:r>
        <w:t>„4. Z opłaty za</w:t>
      </w:r>
      <w:r w:rsidRPr="00EB07B3">
        <w:t xml:space="preserve"> część praktyczną egzaminu państwowego przeprowadzanego w</w:t>
      </w:r>
      <w:r>
        <w:t> </w:t>
      </w:r>
      <w:r w:rsidRPr="00EB07B3">
        <w:t xml:space="preserve">stosunku do osób niepełnosprawnych posiadających orzeczenie lekarskie z adnotacją, że mogą prowadzić pojazd silnikowy po przystosowaniu go do rodzaju schorzenia, </w:t>
      </w:r>
      <w:r>
        <w:t xml:space="preserve">zwalnia się osoby niepełnosprawne, </w:t>
      </w:r>
      <w:r w:rsidRPr="00EB07B3">
        <w:t>w</w:t>
      </w:r>
      <w:r>
        <w:t> </w:t>
      </w:r>
      <w:r w:rsidRPr="00EB07B3">
        <w:t>przypadku gdy jazda egzaminacyjna odbywa się pojazdem</w:t>
      </w:r>
      <w:r>
        <w:t>, o którym mowa w art. 54 ust. 5 pkt 1.</w:t>
      </w:r>
    </w:p>
    <w:p w:rsidR="00D8217A" w:rsidRDefault="00D8217A" w:rsidP="00F5775D">
      <w:pPr>
        <w:pStyle w:val="ZUSTzmustartykuempunktem"/>
      </w:pPr>
      <w:r>
        <w:t xml:space="preserve">5. Tworzy się internetową bazę </w:t>
      </w:r>
      <w:r w:rsidRPr="00F5775D">
        <w:t>informacji</w:t>
      </w:r>
      <w:r>
        <w:t xml:space="preserve"> o pojazdach, o których mowa w art. 24 pkt 2. W bazie tej wskazuje się ośrodek szkolenia kierowców, w dyspozycji którego znajduje się dany pojazd.</w:t>
      </w:r>
    </w:p>
    <w:p w:rsidR="00D8217A" w:rsidRDefault="00D8217A" w:rsidP="00F47CC1">
      <w:pPr>
        <w:pStyle w:val="ZUSTzmustartykuempunktem"/>
      </w:pPr>
      <w:r>
        <w:t xml:space="preserve">6. </w:t>
      </w:r>
      <w:r w:rsidRPr="00F5775D">
        <w:t xml:space="preserve">Minister właściwy do spraw </w:t>
      </w:r>
      <w:r w:rsidRPr="00F94C80">
        <w:t xml:space="preserve">gospodarki </w:t>
      </w:r>
      <w:r>
        <w:t>wyznacza, spośród</w:t>
      </w:r>
      <w:r w:rsidRPr="00676976">
        <w:t xml:space="preserve"> jednostek organizacyjnych jemu podległych lub przez niego nadzorowanych</w:t>
      </w:r>
      <w:r>
        <w:t>, podmiot właściwy do prowadzenia i aktualizowania</w:t>
      </w:r>
      <w:r w:rsidRPr="00F5775D">
        <w:t xml:space="preserve"> internetowej bazy, o której mowa w ust. 5</w:t>
      </w:r>
      <w:r>
        <w:t xml:space="preserve">, oraz </w:t>
      </w:r>
      <w:r w:rsidRPr="00F5775D">
        <w:t>zapewnia z części budżetu państwa, której jest dyspo</w:t>
      </w:r>
      <w:r>
        <w:t>nentem, środki na jej prowadzenie.</w:t>
      </w:r>
      <w:r>
        <w:rPr>
          <w:rFonts w:cs="Times"/>
        </w:rPr>
        <w:t>”</w:t>
      </w:r>
      <w:r>
        <w:t>.</w:t>
      </w:r>
    </w:p>
    <w:p w:rsidR="00D8217A" w:rsidRDefault="00D8217A" w:rsidP="00F47CC1">
      <w:pPr>
        <w:pStyle w:val="ARTartustawynprozporzdzenia"/>
      </w:pPr>
      <w:r w:rsidRPr="00F47CC1">
        <w:rPr>
          <w:rStyle w:val="Ppogrubienie"/>
        </w:rPr>
        <w:t>Art.</w:t>
      </w:r>
      <w:r>
        <w:rPr>
          <w:rStyle w:val="Ppogrubienie"/>
        </w:rPr>
        <w:t> </w:t>
      </w:r>
      <w:r w:rsidRPr="00F47CC1">
        <w:rPr>
          <w:rStyle w:val="Ppogrubienie"/>
        </w:rPr>
        <w:t>2.</w:t>
      </w:r>
      <w:r>
        <w:t xml:space="preserve"> W terminie 30 dni od dnia wejścia w życie niniejszej ustawy, m</w:t>
      </w:r>
      <w:r w:rsidRPr="00300D0E">
        <w:t xml:space="preserve">inister właściwy do spraw </w:t>
      </w:r>
      <w:r w:rsidRPr="00F94C80">
        <w:t xml:space="preserve">gospodarki </w:t>
      </w:r>
      <w:r>
        <w:t>wyznaczy</w:t>
      </w:r>
      <w:r w:rsidRPr="00300D0E">
        <w:t xml:space="preserve"> podmiot właściwy do</w:t>
      </w:r>
      <w:r>
        <w:t xml:space="preserve"> utworzenia oraz</w:t>
      </w:r>
      <w:r w:rsidRPr="00300D0E">
        <w:t xml:space="preserve"> prowadzenia i</w:t>
      </w:r>
      <w:r>
        <w:t> </w:t>
      </w:r>
      <w:r w:rsidRPr="00300D0E">
        <w:t>aktualizowania internetowej bazy, o której mowa w</w:t>
      </w:r>
      <w:r>
        <w:t xml:space="preserve"> art. 56</w:t>
      </w:r>
      <w:r w:rsidRPr="00300D0E">
        <w:t xml:space="preserve"> ust. 5</w:t>
      </w:r>
      <w:r>
        <w:t xml:space="preserve"> ustawy zmienianej w art. 1.</w:t>
      </w:r>
    </w:p>
    <w:p w:rsidR="00D8217A" w:rsidRPr="00F5775D" w:rsidRDefault="00D8217A" w:rsidP="00F5775D">
      <w:pPr>
        <w:pStyle w:val="ARTartustawynprozporzdzenia"/>
      </w:pPr>
      <w:r w:rsidRPr="00F5775D">
        <w:rPr>
          <w:rStyle w:val="Ppogrubienie"/>
        </w:rPr>
        <w:t>Art. </w:t>
      </w:r>
      <w:r>
        <w:rPr>
          <w:rStyle w:val="Ppogrubienie"/>
        </w:rPr>
        <w:t>3</w:t>
      </w:r>
      <w:r w:rsidRPr="00F5775D">
        <w:rPr>
          <w:rStyle w:val="Ppogrubienie"/>
        </w:rPr>
        <w:t>.</w:t>
      </w:r>
      <w:r w:rsidRPr="00F5775D">
        <w:t xml:space="preserve"> Ustawa wchodzi w życie po upływie 14 dni od dnia ogłoszenia.</w:t>
      </w:r>
    </w:p>
    <w:p w:rsidR="00D8217A" w:rsidRDefault="00D8217A" w:rsidP="00F47CC1">
      <w:pPr>
        <w:pStyle w:val="ARTartustawynprozporzdzenia"/>
      </w:pPr>
    </w:p>
    <w:p w:rsidR="00D8217A" w:rsidRDefault="00D8217A" w:rsidP="00C70646">
      <w:pPr>
        <w:sectPr w:rsidR="00D8217A" w:rsidSect="001A7F15">
          <w:headerReference w:type="default" r:id="rId8"/>
          <w:pgSz w:w="11906" w:h="16838"/>
          <w:pgMar w:top="1560" w:right="1434" w:bottom="1560" w:left="1418" w:header="709" w:footer="709" w:gutter="0"/>
          <w:cols w:space="708"/>
          <w:titlePg/>
          <w:docGrid w:linePitch="254"/>
        </w:sectPr>
      </w:pPr>
    </w:p>
    <w:p w:rsidR="00D8217A" w:rsidRPr="001330AF" w:rsidRDefault="00D8217A" w:rsidP="00191EA8">
      <w:pPr>
        <w:pStyle w:val="OZNRODZAKTUtznustawalubrozporzdzenieiorganwydajcy"/>
        <w:spacing w:after="360"/>
      </w:pPr>
      <w:r w:rsidRPr="001330AF">
        <w:lastRenderedPageBreak/>
        <w:t>UZASADNIENIE</w:t>
      </w:r>
    </w:p>
    <w:p w:rsidR="00D8217A" w:rsidRPr="001330AF" w:rsidRDefault="00D8217A" w:rsidP="001D5D48">
      <w:pPr>
        <w:pStyle w:val="Tekstpodstawowy"/>
        <w:keepNext/>
        <w:spacing w:before="360"/>
        <w:rPr>
          <w:b/>
          <w:szCs w:val="24"/>
        </w:rPr>
      </w:pPr>
      <w:r w:rsidRPr="001330AF">
        <w:rPr>
          <w:b/>
          <w:szCs w:val="24"/>
        </w:rPr>
        <w:t>1. Cel projektowanej ustawy</w:t>
      </w:r>
    </w:p>
    <w:p w:rsidR="00D8217A" w:rsidRPr="00E15595" w:rsidRDefault="00D8217A" w:rsidP="00E15595">
      <w:pPr>
        <w:pStyle w:val="NIEARTTEKSTtekstnieartykuowanynppreambua"/>
      </w:pPr>
      <w:r w:rsidRPr="001330AF">
        <w:t xml:space="preserve">Celem </w:t>
      </w:r>
      <w:r>
        <w:t>projektu jest zniesienie dla osób niepełnosprawnych</w:t>
      </w:r>
      <w:r w:rsidRPr="001330AF">
        <w:t xml:space="preserve"> opłaty za praktyczną część egzaminu państwowego na prawo jazdy, w przypadku gdy egzamin nie odbywa się pojazdem wojewódzkiego ośrodka ruchu drogowego, lecz pojazdem osoby niepełnosprawnej wymagającej przystosowania pojazdu do rodzaju schorzenia.</w:t>
      </w:r>
      <w:r>
        <w:t xml:space="preserve"> Ponadto, przewiduje się utworzenie strony internetowej z wykazem pojazdów dostępnych na egzamin osób niepełnosprawnych.</w:t>
      </w:r>
    </w:p>
    <w:p w:rsidR="00D8217A" w:rsidRPr="001330AF" w:rsidRDefault="00D8217A" w:rsidP="005B1117">
      <w:pPr>
        <w:pStyle w:val="NIEARTTEKSTtekstnieartykuowanynppreambua"/>
      </w:pPr>
      <w:r w:rsidRPr="001330AF">
        <w:t xml:space="preserve">Projekt dostosowuje system prawa do wyroku Trybunału Konstytucyjnego z dnia </w:t>
      </w:r>
      <w:r>
        <w:t>8 </w:t>
      </w:r>
      <w:r w:rsidRPr="001330AF">
        <w:t>czerwca 2016 r. (sygn. akt K 37/13) stwierdzającego, niezgodność przepisów ustawy z dnia 5 stycznia 2011 r. o kierujących pojazdami z Konstytucją RP i Konwencją o prawach osób niepełnosprawnych, sporządzoną w Nowym Jorku dnia 13 grudnia 2006 r. Jego sentencja została ogłoszona 16 sierpnia 2016 r. w Dz. U. poz. 1241, a pełna treść wraz z uzasadnieniem w OTK ZU A, poz. 28.</w:t>
      </w:r>
    </w:p>
    <w:p w:rsidR="00D8217A" w:rsidRPr="001330AF" w:rsidRDefault="00D8217A" w:rsidP="001D5D48">
      <w:pPr>
        <w:pStyle w:val="Tekstpodstawowy"/>
        <w:keepNext/>
        <w:spacing w:before="360"/>
        <w:rPr>
          <w:b/>
          <w:szCs w:val="24"/>
        </w:rPr>
      </w:pPr>
      <w:r w:rsidRPr="001330AF">
        <w:rPr>
          <w:b/>
          <w:szCs w:val="24"/>
        </w:rPr>
        <w:t>2. Przedmiot i istota rozstrzygnięcia Trybunału Konstytucyjnego</w:t>
      </w:r>
    </w:p>
    <w:p w:rsidR="00D8217A" w:rsidRPr="001330AF" w:rsidRDefault="00D8217A" w:rsidP="00774AFA">
      <w:pPr>
        <w:pStyle w:val="NIEARTTEKSTtekstnieartykuowanynppreambua"/>
      </w:pPr>
      <w:r w:rsidRPr="001330AF">
        <w:t xml:space="preserve">2.1. TK orzekł, że art. 53 ust. 4 pkt 1 w związku z art. </w:t>
      </w:r>
      <w:r>
        <w:t>54 ust. 5 pkt 1 ustawy z dnia 5 </w:t>
      </w:r>
      <w:r w:rsidRPr="001330AF">
        <w:t>stycznia 2011 r. o kierujących pojazdami w zakresie, w jakim nie przewiduje udzielenia przez władze publiczne efektywnej pomocy osobie niepełnosprawnej wymagającej przystosowania pojazdu do rodzaju schorzenia w zapewnieniu pojazdu na potrzeby praktycznej części egzaminu państwowego na prawo jazdy kategorii B jest niezgodny z art. 69 Konstytucji RP oraz art. 20 Konwencji o prawach osób niepełnosprawnych, sporządzonej w Nowym Jorku dnia 13 grudnia 2006 r.</w:t>
      </w:r>
    </w:p>
    <w:p w:rsidR="00D8217A" w:rsidRPr="001330AF" w:rsidRDefault="00D8217A" w:rsidP="001F074D">
      <w:pPr>
        <w:pStyle w:val="ARTartustawynprozporzdzenia"/>
      </w:pPr>
      <w:r w:rsidRPr="001330AF">
        <w:t xml:space="preserve">2.2. Osoba ubiegająca się o uzyskanie uprawnień do kierowania motorowerem lub pojazdami silnikowymi podlega sprawdzeniu kwalifikacji w formie egzaminu państwowego. Praktyczna część egzaminu jest prowadzona pojazdem pozostającym w dyspozycji wojewódzkiego ośrodka ruchu drogowego (art. 53 ust. 1). Jednakże, jak stanowi zakwestionowany art. 53 ust. 4 pkt 1, powyższego przepisu nie stosuje się m.in. do pojazdów o których mowa w art. 54 ust. 5, czyli w przypadku osoby niepełnosprawnej wymagającej przystosowania pojazdu do rodzaju schorzenia, jeżeli egzamin jest przeprowadzany pojazdem tej osoby. Stosuje się wtedy przepis przewidujący, że praktyczna część egzaminu </w:t>
      </w:r>
      <w:r w:rsidRPr="001330AF">
        <w:lastRenderedPageBreak/>
        <w:t>państwowego w zakresie prawa jazdy kategorii AM, A1, A2, A, B lub B+E na wniosek i</w:t>
      </w:r>
      <w:r>
        <w:t> </w:t>
      </w:r>
      <w:r w:rsidRPr="001330AF">
        <w:t>koszt osoby egzaminowanej, jest prowadzona wskazanym pojazdem ośrodka szkolenia kierowców, który prowadził szkolenie tej osoby.</w:t>
      </w:r>
    </w:p>
    <w:p w:rsidR="00D8217A" w:rsidRPr="001330AF" w:rsidRDefault="00D8217A" w:rsidP="001F074D">
      <w:pPr>
        <w:pStyle w:val="ARTartustawynprozporzdzenia"/>
      </w:pPr>
      <w:r w:rsidRPr="001330AF">
        <w:t>Egzamin państwowy jest przeprowadzany za opłatą, która stanowi dochód WORD, wynoszącą, za część praktyczną egzaminu dla prawa jazdy kategorii B, 140 zł. W stosunku do osób niepełnosprawnych posiadających orzeczenie lekarskie z adnotacją, że mogą prowadzić pojazd silnikowy po przystosowaniu go do rodzaju schorzenia, w przypadku gdy jazda egzaminacyjna odbywa się pojazdem tych osób, opłatę zmniejsza się o 50%.</w:t>
      </w:r>
    </w:p>
    <w:p w:rsidR="00D8217A" w:rsidRPr="001330AF" w:rsidRDefault="00D8217A" w:rsidP="001F074D">
      <w:pPr>
        <w:pStyle w:val="ARTartustawynprozporzdzenia"/>
      </w:pPr>
      <w:r w:rsidRPr="001330AF">
        <w:t>Liczba ośrodków szkolenia kierowców w poszczególnych województwach prowadzących szkolenie kierowców w zakresie prawa jazdy kategorii B wynosi od 136 do 801, natomiast liczba OSK w poszczególnych województwach, które dysponują pojazdami spełniającymi wymagania określone dla prawa jazdy kategorii B, a przy tym odpowiednio przystosowanymi do rodzaju niepełnosprawności, waha się między 0 (woj. zachodniopomorskie) a 27 (woj. mazowieckie), najczęściej jednak nie przekracza 10. Z kolei liczba pojazdów spełniających wymagania określone dla prawa jazdy kategorii B, a przy tym odpowiednio przystosowanych do rodzaju niepełnosprawności, którymi w poszczególnych województwach dysponują OSK, mieści się w przedziale od 0 (woj. zachodniopomorskie) do 53 (woj. mazowieckie), i w tym przypadku najczęściej nie przekraczając 10. Przeciętny koszt wynajmu od OSK pojazdu spełniającego wymagania określone</w:t>
      </w:r>
      <w:r>
        <w:t xml:space="preserve"> dla prawa jazdy kategorii B, a </w:t>
      </w:r>
      <w:r w:rsidRPr="001330AF">
        <w:t>przy tym odpowiednio przystosowanego do rodzaju niepełnosprawności, na potrzeby egzaminu praktycznego na prawo jazdy wspomnianej kategorii, waha się od kilkudziesięciu (np. woj. lubelskie czy małopolskie) do ponad dwustu (woj. warmińsko-mazurskie) złotych. W woj. śląskim średni koszt wynajmu odpowiedniego pojazdu między OSK, wynosi 250 zł. Dla kilku województw brak danych. Liczba egzaminów praktycznych na prawo jazdy kategorii B organizowanych przez poszczególne WORD (w latach 2012-2015) dla osób niepełnosprawnych, w całkowitej liczbie egzaminów praktycznych na prawo jazdy wspomnianej kategorii organizowanej przez te ośrodki w badanym okresie wynosiła do 391 rocznie i stanowi odsetek rzędu 0,001% lub mniej.</w:t>
      </w:r>
    </w:p>
    <w:p w:rsidR="00D8217A" w:rsidRPr="001330AF" w:rsidRDefault="00D8217A" w:rsidP="001F074D">
      <w:pPr>
        <w:pStyle w:val="ARTartustawynprozporzdzenia"/>
      </w:pPr>
      <w:r w:rsidRPr="001330AF">
        <w:t xml:space="preserve">Koszty wynajęcia pojazdów oprzyrządowanych stosownie do schorzeń spowodowanych dysfunkcją narządu ruchu osób niepełnosprawnych mogą być dofinansowane ze środków PFRON w ramach realizacji „Obszaru A, Zadanie nr 2” pilotażowego programu „Aktywny samorząd”, przyjętego uchwałą nr 3/2012 Rady Nadzorczej PFRON z 28 marca 2012 r., na </w:t>
      </w:r>
      <w:r w:rsidRPr="001330AF">
        <w:lastRenderedPageBreak/>
        <w:t>podstawie art. 47 ust. 1 pkt 4 lit. a ustawy z dnia 27 sierpnia 1997 r. o rehabilitacji zawodowej i społecznej oraz zatrudnianiu osób niepełnosprawnych. Beneficjent winien wnieść udział własny w wysokości co najmniej 25% ich ceny brutto. Brak danych dotyczących liczby osób niepełnosprawnych, które skorzystały z dofinansowania kosztu wynajęcia pojazdu egzaminacyjnego. Osoby niepełnosprawne mogą też ubiegać się o dofinansowanie ze środków Funduszu na zakup i montaż oprzyrządowania do posiadanego samochodu. W</w:t>
      </w:r>
      <w:r>
        <w:t> 2015 </w:t>
      </w:r>
      <w:r w:rsidRPr="001330AF">
        <w:t>r. zadanie to nie było realizowane z uwagi na brak środków.</w:t>
      </w:r>
    </w:p>
    <w:p w:rsidR="00D8217A" w:rsidRPr="001330AF" w:rsidRDefault="00D8217A" w:rsidP="001F074D">
      <w:pPr>
        <w:pStyle w:val="ARTartustawynprozporzdzenia"/>
      </w:pPr>
      <w:r w:rsidRPr="001330AF">
        <w:t xml:space="preserve">2.3. Artykuł 69 Konstytucji stanowi, że osobom niepełnosprawnym władze publiczne udzielają, zgodnie z ustawą, pomocy w zabezpieczaniu egzystencji, przysposobieniu do pracy oraz komunikacji społecznej. „Udzielanie owej pomocy (…) nie polega na tym, aby państwo przejmowało rolę podmiotu ponoszącego pełną odpowiedzialność za stworzenie warunków egzystencji osób niepełnosprawnych (…). Kłóciłoby się to z zasadą pomocniczości, wyrażoną wprost w preambule Konstytucji i stanowiącą skądinąd jeden z fundamentów demokratycznego państwa prawnego”. „[P]odjęcia działań przez władze publiczne (początkowo na poziomie lokalnym, a następnie, w miarę konieczności, na wyższym szczeblu) osoba niepełnosprawna może oczekiwać wtedy, gdy ani ona, ani członkowie jej rodziny nie są w stanie zapewnić wsparcia w finansowaniu jej uzasadnionych potrzeb. (…) [F]unkcję pomocniczą państwa we wskazanych (…) sferach aktywności należy rozumieć jako </w:t>
      </w:r>
      <w:r w:rsidRPr="001330AF">
        <w:rPr>
          <w:rFonts w:cs="Times"/>
        </w:rPr>
        <w:t>«</w:t>
      </w:r>
      <w:r w:rsidRPr="001330AF">
        <w:t>wprowadzanie ułatwień i udzielanie wsparcia po to, aby sam fakt bycia osobą niepełnosprawną nie oznaczał całkowitego wykluczenia społecznego</w:t>
      </w:r>
      <w:r w:rsidRPr="001330AF">
        <w:rPr>
          <w:rFonts w:cs="Times"/>
        </w:rPr>
        <w:t>»</w:t>
      </w:r>
      <w:r w:rsidRPr="001330AF">
        <w:t>”. „[P]rzepis ów należy odczytywać jako zobowiązanie ustawodawcy do wykreowania efektywnego mechanizmu realizacji przez władze publiczne obowiązku pomocy osobom niepełnosprawnym”. Co do zasady jednak w omawianym obszarze „ustawodawca może swobodnie kształtować formy oraz zakres konkretnych uprawnień adresowanych do osób niepełnosprawnych, a co za tym idzie może również modyfikować ich charakter oraz wymiar”.</w:t>
      </w:r>
    </w:p>
    <w:p w:rsidR="00D8217A" w:rsidRPr="001330AF" w:rsidRDefault="00D8217A" w:rsidP="001F074D">
      <w:pPr>
        <w:pStyle w:val="ARTartustawynprozporzdzenia"/>
      </w:pPr>
      <w:r w:rsidRPr="001330AF">
        <w:t>Artykuł 20 Konwencji o prawach osób niepełnosprawnych, zatytułowany „Mobilność” przewiduje, że Państwa Strony podejmą skuteczne środki celem umożliwienia osobom niepełnosprawnym mobilności osobistej i możliwie największej samodzielności w tym zakresie, między innymi poprzez</w:t>
      </w:r>
      <w:r>
        <w:t xml:space="preserve"> </w:t>
      </w:r>
      <w:r w:rsidRPr="001330AF">
        <w:t>ułatwianie osobom niepełnosprawnym dostępu do wysokiej jakości przedmiotów ułatwiających poruszanie się, urządzeń i technologii wspomagających, w tym poprzez ich udos</w:t>
      </w:r>
      <w:r>
        <w:t>tępnianie po przystępnej cenie oraz poprzez</w:t>
      </w:r>
      <w:r w:rsidRPr="001330AF">
        <w:t xml:space="preserve"> zachęcanie jednostek </w:t>
      </w:r>
      <w:r w:rsidRPr="001330AF">
        <w:lastRenderedPageBreak/>
        <w:t>wytwarzających przedmioty ułatwiające poruszanie się, urządzenia i technologie wspomagające, do uwzględniania wszystkich aspektów mobilności osób niepełnosprawnych.</w:t>
      </w:r>
    </w:p>
    <w:p w:rsidR="00D8217A" w:rsidRPr="001330AF" w:rsidRDefault="00D8217A" w:rsidP="001F074D">
      <w:pPr>
        <w:pStyle w:val="ARTartustawynprozporzdzenia"/>
      </w:pPr>
      <w:r w:rsidRPr="001330AF">
        <w:t xml:space="preserve">2.4. „Zważywszy na znaczenie, jakie we współczesnym świecie przywiązuje się do umiejętności kierowania pojazdami samochodowymi i posiadania w tej mierze stosownych uprawnień, a zwłaszcza mając na względzie korzyści </w:t>
      </w:r>
      <w:r>
        <w:t>-</w:t>
      </w:r>
      <w:r w:rsidRPr="001330AF">
        <w:t xml:space="preserve"> w sferze aktywności zawodowej oraz komunikacji społecznej </w:t>
      </w:r>
      <w:r>
        <w:t>-</w:t>
      </w:r>
      <w:r w:rsidRPr="001330AF">
        <w:t xml:space="preserve"> jakie z tego tytułu odnoszą (lub odnosić mogą) osoby niepełnosprawne, Trybunał uznał, że na ustawodawcy ciąży obowiązek wprowadzenia regulacji umożliwiających udzielenie osobom niepełnosprawnym pomocy władz publicznych w zakresie zdobywania uprawnień do kierowania pojazdami.</w:t>
      </w:r>
    </w:p>
    <w:p w:rsidR="00D8217A" w:rsidRPr="001330AF" w:rsidRDefault="00D8217A" w:rsidP="001F074D">
      <w:pPr>
        <w:pStyle w:val="ARTartustawynprozporzdzenia"/>
      </w:pPr>
      <w:r w:rsidRPr="001330AF">
        <w:t>Realizując ów obowiązek, ustawodawca dysponuje swobodą wyboru sposobu oraz środków służących jego realizacji. Stąd i kreowane przez niego wsparcie osób niepełnosprawnych nie musi bezwzględnie polegać na zobowiązaniu WORD (…) do zapewnienia tym osobom pojazdu na potrzeby praktycznej części egzaminu państwowego na prawo jazdy; równie dobrze może ono przybrać inną postać (administracyjną, organizacyjną, techniczną czy też finansową). W każdym jednak razie wsparcie to musi stanowić efektywny mechanizm realizacji przez władze publiczne obowiązku pomocy osobom niepełnosprawnym w badanym obszarze”.</w:t>
      </w:r>
    </w:p>
    <w:p w:rsidR="00D8217A" w:rsidRPr="001330AF" w:rsidRDefault="00D8217A" w:rsidP="00B25F50">
      <w:pPr>
        <w:pStyle w:val="ARTartustawynprozporzdzenia"/>
      </w:pPr>
      <w:r>
        <w:t>Jeżeli chodzi o pomoc organizacyjno-techniczną</w:t>
      </w:r>
      <w:r w:rsidRPr="001330AF">
        <w:t xml:space="preserve">, to </w:t>
      </w:r>
      <w:r>
        <w:t>„</w:t>
      </w:r>
      <w:r w:rsidRPr="001330AF">
        <w:t>sprowadza się ona do umożliwienia osobie niepełnosprawnej zdawania egzaminu pojazdem, który sama dostarczy (wskaże): ma więc charakter bierny”.</w:t>
      </w:r>
      <w:r>
        <w:t xml:space="preserve"> Pomoc finansowa</w:t>
      </w:r>
      <w:r w:rsidRPr="001330AF">
        <w:t xml:space="preserve"> polega </w:t>
      </w:r>
      <w:r>
        <w:t>„</w:t>
      </w:r>
      <w:r w:rsidRPr="001330AF">
        <w:t xml:space="preserve">na zmniejszeniu o połowę opłaty za przeprowadzenie części praktycznej egzaminu państwowego na prawo jazdy kategorii B dla osób niepełnosprawnych posiadających orzeczenie lekarskie </w:t>
      </w:r>
      <w:r>
        <w:t>(…)</w:t>
      </w:r>
      <w:r w:rsidRPr="001330AF">
        <w:t>, oraz na wspieraniu ich mobilności w oparciu o programy uruchamiane na podstawie przepisów ustawy o rehabilitacji</w:t>
      </w:r>
      <w:r>
        <w:t>”</w:t>
      </w:r>
      <w:r w:rsidRPr="001330AF">
        <w:t>.</w:t>
      </w:r>
      <w:r>
        <w:t xml:space="preserve"> W praktyce </w:t>
      </w:r>
      <w:r w:rsidRPr="001330AF">
        <w:t xml:space="preserve">dostępność </w:t>
      </w:r>
      <w:r>
        <w:t>tych programów „</w:t>
      </w:r>
      <w:r w:rsidRPr="001330AF">
        <w:t>ograniczona jest między innymi wysokością zagwarantowanych w tym celu środków, konieczności</w:t>
      </w:r>
      <w:r>
        <w:t xml:space="preserve">ą wniesienia udziału własnego w </w:t>
      </w:r>
      <w:r w:rsidRPr="001330AF">
        <w:t>dofinansowywanych kosztach czy chocia</w:t>
      </w:r>
      <w:r>
        <w:t>żby faktem, że ich realizacja w </w:t>
      </w:r>
      <w:r w:rsidRPr="001330AF">
        <w:t>danym roku budżetowym zależy od decyzji o finansowaniu ze środków PFRON wydatków inwestycyjnych (…). W takim razie głównym (dostatecznie pewnym) instrumentem pomocy finansowej w badanym obszarze okazuje się wspomniana ulga w opłacie egzaminacyjnej”.</w:t>
      </w:r>
    </w:p>
    <w:p w:rsidR="00D8217A" w:rsidRPr="001330AF" w:rsidRDefault="00D8217A" w:rsidP="001F074D">
      <w:pPr>
        <w:pStyle w:val="ARTartustawynprozporzdzenia"/>
      </w:pPr>
      <w:r w:rsidRPr="001330AF">
        <w:t>„Dokonawszy globalnej oceny pomocy osobom n</w:t>
      </w:r>
      <w:r>
        <w:t>iepełnosprawnym przewidzianej w </w:t>
      </w:r>
      <w:r w:rsidRPr="001330AF">
        <w:t>ustawie o kierujących pojazdami (z uwzględnieniem ro</w:t>
      </w:r>
      <w:r>
        <w:t xml:space="preserve">związań wynikających z ustawy </w:t>
      </w:r>
      <w:r>
        <w:lastRenderedPageBreak/>
        <w:t>o </w:t>
      </w:r>
      <w:r w:rsidRPr="001330AF">
        <w:t xml:space="preserve">rehabilitacji), Trybunał (…) doszedł do wniosku, że pomoc ta jest tak dalece niewystarczająca, że </w:t>
      </w:r>
      <w:r w:rsidRPr="001330AF">
        <w:rPr>
          <w:rStyle w:val="Kkursywa"/>
        </w:rPr>
        <w:t>de facto</w:t>
      </w:r>
      <w:r w:rsidRPr="001330AF">
        <w:t xml:space="preserve"> pozorna”.</w:t>
      </w:r>
    </w:p>
    <w:p w:rsidR="00D8217A" w:rsidRPr="001330AF" w:rsidRDefault="00D8217A" w:rsidP="001F074D">
      <w:pPr>
        <w:pStyle w:val="ARTartustawynprozporzdzenia"/>
      </w:pPr>
      <w:r w:rsidRPr="001330AF">
        <w:t>2.5. TK zauważył, że „w praktyce możliwe jest pozyskanie przez WORD pojazdu wyposażonego adekwatnie do potrzeb przynajmniej części osób niepełnosprawnych zdających egzamin państwowy na prawo jazdy kategorii B. (…) [N]ie znaczy to, że zdaniem Trybunału ustawodawca powinien bezwzględnie zobowiązać WORD do posiadania takich pojazdów. Organizacyjno-techniczne wsparcie osób niepełnosprawnych przystępujących do egzaminu na prawo jazdy może przybrać alternatywnie lub równolegle inną postać (zwłaszcza w odniesieniu do tych niepełnosprawnych, których schorzenia nie pozwalałyby im skorzystać ze specjalnych pojazdów pozostających w dyspozycji WORD). W każdym jednak razie nie może ono mieć całkowicie biernego charakteru. Dlatego, przykładowo, ustawodawca mógłby przewidzieć stworzenie publicznej bazy danych o OSK posiadających odpowiednio przystosowane pojazdy, a nadto rozbudować procedury ułatwiające ich pozyskanie na potrzeby egzaminów praktycznych organizowanych dla osób niepełnosprawnych (w szczególności przez zaangażowanie w nie WORD)”.</w:t>
      </w:r>
    </w:p>
    <w:p w:rsidR="00D8217A" w:rsidRPr="001330AF" w:rsidRDefault="00D8217A" w:rsidP="001F074D">
      <w:pPr>
        <w:pStyle w:val="ARTartustawynprozporzdzenia"/>
      </w:pPr>
      <w:r w:rsidRPr="001330AF">
        <w:t xml:space="preserve">TK przyjął też, że „[s]koro organizacyjno-techniczna pomoc państwa w pozyskiwaniu pojazdów egzaminacyjnych przez osoby niepełnosprawne ubiegające się o uprawnienie prawa jazdy kategorii B ma wymiar symboliczny (pozorny), a dostępność programów pomocowych uruchamianych na podstawie przepisów ustawy o rehabilitacji jest ograniczona, to gwarantowaną tym osobom ulgę w wysokości 70 zł </w:t>
      </w:r>
      <w:r>
        <w:t>-</w:t>
      </w:r>
      <w:r w:rsidRPr="001330AF">
        <w:t xml:space="preserve"> w konfrontacji z bardzo zróżnicowanymi i często poważnymi (</w:t>
      </w:r>
      <w:r>
        <w:t>…</w:t>
      </w:r>
      <w:r w:rsidRPr="001330AF">
        <w:t xml:space="preserve">) kosztami wynajmu pojazdu egzaminacyjnego od OSK (…) </w:t>
      </w:r>
      <w:r>
        <w:t>-</w:t>
      </w:r>
      <w:r w:rsidRPr="001330AF">
        <w:t xml:space="preserve"> uznać trzeba było za niewystarczającą. W sferze pomocy finansowej ustawodawca mógłby, na przykład, przewidz</w:t>
      </w:r>
      <w:r>
        <w:t xml:space="preserve">ieć - oprócz zwiększenia ulgi w </w:t>
      </w:r>
      <w:r w:rsidRPr="001330AF">
        <w:t xml:space="preserve">opłacie egzaminacyjnej albo alternatywnie </w:t>
      </w:r>
      <w:r>
        <w:t>-</w:t>
      </w:r>
      <w:r w:rsidRPr="001330AF">
        <w:t xml:space="preserve"> ponoszenie przez państwo (w całości bądź do pewnej kwoty) kosztów wynajmu pojazdów OSK na potrzeby egzaminów praktycznych organizowanych dla osób niepełnosprawnych”.</w:t>
      </w:r>
    </w:p>
    <w:p w:rsidR="00D8217A" w:rsidRPr="001330AF" w:rsidRDefault="00D8217A" w:rsidP="0018591E">
      <w:pPr>
        <w:pStyle w:val="Tekstpodstawowy"/>
        <w:keepNext/>
        <w:spacing w:before="360"/>
        <w:rPr>
          <w:b/>
          <w:szCs w:val="24"/>
        </w:rPr>
      </w:pPr>
      <w:r w:rsidRPr="001330AF">
        <w:rPr>
          <w:b/>
          <w:szCs w:val="24"/>
        </w:rPr>
        <w:t>3. Różnice między dotychczasowym a projektowanym stanem prawnym</w:t>
      </w:r>
    </w:p>
    <w:p w:rsidR="00D8217A" w:rsidRDefault="00D8217A" w:rsidP="001F074D">
      <w:pPr>
        <w:pStyle w:val="ARTartustawynprozporzdzenia"/>
      </w:pPr>
      <w:r w:rsidRPr="001330AF">
        <w:t xml:space="preserve">Obecnie, zgodnie z </w:t>
      </w:r>
      <w:r w:rsidRPr="001330AF">
        <w:rPr>
          <w:rFonts w:cs="Times"/>
        </w:rPr>
        <w:t>§</w:t>
      </w:r>
      <w:r w:rsidRPr="001330AF">
        <w:t xml:space="preserve"> 3 ust. 2 rozporządzenia Ministra Transportu, Budownictwa i</w:t>
      </w:r>
      <w:r>
        <w:t> </w:t>
      </w:r>
      <w:r w:rsidRPr="001330AF">
        <w:t>Gospodarki Morskiej z dnia 16 stycznia 2013 r. w sprawie wysokości opłat za przeprowadzenie egzaminu państwowego oraz st</w:t>
      </w:r>
      <w:r>
        <w:t>awek wynagrodzenia związanych z </w:t>
      </w:r>
      <w:r w:rsidRPr="001330AF">
        <w:t xml:space="preserve">uzyskiwaniem uprawnień przez egzaminatorów za część praktyczną egzaminu </w:t>
      </w:r>
      <w:r w:rsidRPr="001330AF">
        <w:lastRenderedPageBreak/>
        <w:t xml:space="preserve">państwowego przeprowadzanego w stosunku do osób niepełnosprawnych posiadających orzeczenie lekarskie z adnotacją, że mogą prowadzić pojazd silnikowy po przystosowaniu go do rodzaju schorzenia, w przypadku gdy jazda egzaminacyjna odbywa się pojazdem tych osób, opłatę zmniejsza się o 50%. Celem projektu jest wprowadzenie </w:t>
      </w:r>
      <w:r>
        <w:t xml:space="preserve">do ustawy całkowitego zniesienia opłaty </w:t>
      </w:r>
      <w:r w:rsidRPr="007B4599">
        <w:t>w stosunku do osób niepełnosprawnych posiadających orzeczenie lekarskie z adnotacją, że mogą prowadzić pojazd silnikowy po przystosowaniu go do rodzaju schorzenia, w przypadku gdy jazda egzaminacyjna odbywa się pojazdem tych osób</w:t>
      </w:r>
      <w:r>
        <w:t>.</w:t>
      </w:r>
    </w:p>
    <w:p w:rsidR="00D8217A" w:rsidRDefault="00D8217A" w:rsidP="00952369">
      <w:pPr>
        <w:pStyle w:val="ARTartustawynprozporzdzenia"/>
      </w:pPr>
      <w:r>
        <w:t xml:space="preserve">Ponadto, projekt nakłada na ministra właściwego do spraw gospodarki (obecnie jest nim Minister Rozwoju i Finansów, obsługiwany w zakresie działu – gospodarka przez Ministerstwo Rozwoju) obowiązek wyznaczenia, </w:t>
      </w:r>
      <w:r w:rsidRPr="005B1E83">
        <w:t>spośród jednostek organizacyjnych jemu podległych lub przez niego nadzorowanych, podmiot</w:t>
      </w:r>
      <w:r>
        <w:t>u (obwieszczenie Ministra Rozwoju i Finansów z dnia 27 grudnia 2016 r. w sprawie wykazu jednostek organizacyjnych podległych Ministrowi Rozwoju i Finansów lub przez niego nadzorowanych w zakresie działów administracji rządowej: gospodarka i rozwój regionalny), który będzie</w:t>
      </w:r>
      <w:r w:rsidRPr="005B1E83">
        <w:t xml:space="preserve"> </w:t>
      </w:r>
      <w:r>
        <w:t xml:space="preserve">prowadził </w:t>
      </w:r>
      <w:r w:rsidRPr="005B1E83">
        <w:t>internetową bazę informacji o pojazdach</w:t>
      </w:r>
      <w:r>
        <w:t xml:space="preserve"> odpowiednio przystosowanych</w:t>
      </w:r>
      <w:r w:rsidRPr="00952369">
        <w:t xml:space="preserve"> do rodzaju</w:t>
      </w:r>
      <w:r>
        <w:t xml:space="preserve"> niepełnosprawności</w:t>
      </w:r>
      <w:r w:rsidRPr="00952369">
        <w:t>.</w:t>
      </w:r>
      <w:r>
        <w:t xml:space="preserve"> W bazie tej wskazany będzie ośrodek szkolenia kierowców, w </w:t>
      </w:r>
      <w:r w:rsidRPr="005B1E83">
        <w:t>dyspozycji którego znajduje się dany pojazd</w:t>
      </w:r>
      <w:r>
        <w:t>.</w:t>
      </w:r>
    </w:p>
    <w:p w:rsidR="00D8217A" w:rsidRPr="009E5A3E" w:rsidRDefault="00D8217A" w:rsidP="009E5A3E">
      <w:pPr>
        <w:pStyle w:val="akapit"/>
        <w:keepNext/>
        <w:spacing w:before="240"/>
        <w:ind w:firstLine="0"/>
        <w:rPr>
          <w:b/>
          <w:szCs w:val="24"/>
        </w:rPr>
      </w:pPr>
      <w:r w:rsidRPr="009E5A3E">
        <w:rPr>
          <w:b/>
          <w:szCs w:val="24"/>
        </w:rPr>
        <w:t>4. Konsultacje</w:t>
      </w:r>
    </w:p>
    <w:p w:rsidR="00D8217A" w:rsidRDefault="00D8217A" w:rsidP="001F074D">
      <w:pPr>
        <w:pStyle w:val="ARTartustawynprozporzdzenia"/>
      </w:pPr>
      <w:r>
        <w:t xml:space="preserve">Minister Rozwoju i Finansów w miejsce znajdującego się pierwotnie w projekcie mechanizmu obniżenia opłaty </w:t>
      </w:r>
      <w:r w:rsidRPr="00B27AA8">
        <w:t>o kwotę stanowiącą koszt udostępnienia pojazdu</w:t>
      </w:r>
      <w:r>
        <w:t>, zaproponował całkowite zniesienie opłaty. Poprawkę taką przyjęto, uznając, że koszt formalności wynikających z konieczności weryfikacji kosztów udostępnienia pojazdu mógłby być zbyt wysoki w stosunku do kwoty zwolnienia. Ponadto, biorąc pod uwagę liczbę tego rodzaju egzaminów, różnica w ubytku dla budżetu WORD, między obniżeniem opłaty, a jej zniesieniem jest stosunkowo niewielka.</w:t>
      </w:r>
    </w:p>
    <w:p w:rsidR="00D8217A" w:rsidRDefault="00D8217A" w:rsidP="001F074D">
      <w:pPr>
        <w:pStyle w:val="ARTartustawynprozporzdzenia"/>
      </w:pPr>
      <w:r>
        <w:t xml:space="preserve">Zdaniem Ministra Infrastruktury i Budownictwa, odnoszącego się do pierwotnego projektu, </w:t>
      </w:r>
      <w:r w:rsidRPr="00B35163">
        <w:t>obniż</w:t>
      </w:r>
      <w:r>
        <w:t>enie</w:t>
      </w:r>
      <w:r w:rsidRPr="00B35163">
        <w:t xml:space="preserve"> opłaty o kwotę stanowiącą koszt udostępnienia pojazdu</w:t>
      </w:r>
      <w:r>
        <w:t xml:space="preserve"> nie jest właściwym rozwiązaniem. Minister zaproponował rozważenie zmiany w ustawie o rehabilitacji zawodowej osób niepełnosprawnych, celem całościowego uregulowania finansowych i organizacyjnych spraw związanych z egzaminami osób niepełnosprawnych.</w:t>
      </w:r>
    </w:p>
    <w:p w:rsidR="00D8217A" w:rsidRDefault="00D8217A" w:rsidP="001F074D">
      <w:pPr>
        <w:pStyle w:val="ARTartustawynprozporzdzenia"/>
      </w:pPr>
      <w:r>
        <w:lastRenderedPageBreak/>
        <w:t>Minister Rodziny, Pracy i Polityki Społecznej w swoim piśmie przedstawił dotychczasowe zaangażowanie środków Państwowego Funduszu Rehabilitacji Osób Niepełnosprawnych w procesie uzyskiwania prawa jazdy przez osoby niepełnosprawne. Informacje takie przedstawił również Prezes Zarządu Państwowego Funduszu</w:t>
      </w:r>
      <w:r w:rsidRPr="005D5BEA">
        <w:t xml:space="preserve"> Rehabilitacji Osób Niepełnosprawnych</w:t>
      </w:r>
      <w:r>
        <w:t>.</w:t>
      </w:r>
    </w:p>
    <w:p w:rsidR="00D8217A" w:rsidRDefault="00D8217A" w:rsidP="001832D7">
      <w:pPr>
        <w:pStyle w:val="ARTartustawynprozporzdzenia"/>
      </w:pPr>
      <w:r>
        <w:t>Prezes Zarządu Stowarzyszenia Pomocy Niepełnosprawnym Kierowcom SPiNKa przedstawił informacje o zaangażowaniu finansowym Stowarzyszenia we wsparcie osób niepełnosprawnych w procesie uzyskiwania prawa jazdy i przystosowania pojazdów, a także zaangażowaniu technicznym – we współpracy z Przemysłowym Instytutem Motoryzacyjnym (PIMOT), nadzorowanym przez ministra właściwego do spraw gospodarki (rozporządzenie Rady Ministrów z dnia 27 grudnia 2010 r. w sprawie połączenia Przemysłowego Instytutu Motoryzacji oraz Instytutu Paliw i Energii Odnawialnej) – w przystosowywanie pojazdów do potrzeb osób niepełnosprawnych. W piśmie tym wyrażono także chęć zaangażowania wymienionych podmiotów w tworzenie bazy internetowej o pojazdach przystosowanych do egzaminu osób niepełnosprawnych.</w:t>
      </w:r>
    </w:p>
    <w:p w:rsidR="00D8217A" w:rsidRDefault="00D8217A" w:rsidP="001832D7">
      <w:pPr>
        <w:pStyle w:val="ARTartustawynprozporzdzenia"/>
      </w:pPr>
      <w:r>
        <w:t>Pisma w sprawie projektu przedstawili też: Prezes Prokuratorii Generalnej Rzeczypospolitej Polskiej, Prezes Zakładu Ubezpieczeń Społecznych i Rzecznik Finansowy. Wpłynęły również pisma z wojewódzkich ośrodków ruchu drogowego w Poznaniu, Suwałkach i Warszawie oraz z Instytutu Transportu Samochodowego w Warszawie.</w:t>
      </w:r>
    </w:p>
    <w:p w:rsidR="00D8217A" w:rsidRDefault="00D8217A" w:rsidP="001832D7">
      <w:pPr>
        <w:pStyle w:val="ARTartustawynprozporzdzenia"/>
      </w:pPr>
      <w:r>
        <w:t xml:space="preserve">Projekt do zaopiniowania otrzymał także </w:t>
      </w:r>
      <w:r w:rsidRPr="00E52D2A">
        <w:t>Prezes Krajowego Stowarzyszenia Dyrektorów Wojewódzkich Ośrodków Ruchu Drogowego</w:t>
      </w:r>
      <w:r>
        <w:t>.</w:t>
      </w:r>
    </w:p>
    <w:p w:rsidR="00D8217A" w:rsidRPr="001330AF" w:rsidRDefault="00D8217A" w:rsidP="001F074D">
      <w:pPr>
        <w:pStyle w:val="ARTartustawynprozporzdzenia"/>
      </w:pPr>
      <w:r w:rsidRPr="00760098">
        <w:t>Nadesłane w ramach konsultacji opinie i uwagi są zamieszczone na senackiej stronie internetowej.</w:t>
      </w:r>
    </w:p>
    <w:p w:rsidR="00D8217A" w:rsidRPr="001330AF" w:rsidRDefault="00D8217A" w:rsidP="00C62C0C">
      <w:pPr>
        <w:pStyle w:val="akapit"/>
        <w:keepNext/>
        <w:spacing w:before="240"/>
        <w:ind w:firstLine="0"/>
        <w:rPr>
          <w:b/>
          <w:szCs w:val="24"/>
        </w:rPr>
      </w:pPr>
      <w:r>
        <w:rPr>
          <w:b/>
          <w:szCs w:val="24"/>
        </w:rPr>
        <w:t>5</w:t>
      </w:r>
      <w:r w:rsidRPr="001330AF">
        <w:rPr>
          <w:b/>
          <w:szCs w:val="24"/>
        </w:rPr>
        <w:t>. Oświadczenie o zgodności z prawem Unii Europejskiej</w:t>
      </w:r>
    </w:p>
    <w:p w:rsidR="00D8217A" w:rsidRPr="001330AF" w:rsidRDefault="00D8217A" w:rsidP="00A254B4">
      <w:pPr>
        <w:pStyle w:val="NIEARTTEKSTtekstnieartykuowanynppreambua"/>
      </w:pPr>
      <w:r w:rsidRPr="001330AF">
        <w:t>Projektowana ustawa nie jest objęta prawem Unii Europejskiej.</w:t>
      </w:r>
    </w:p>
    <w:p w:rsidR="004C409D" w:rsidRDefault="004C409D" w:rsidP="00C70646">
      <w:pPr>
        <w:sectPr w:rsidR="004C409D" w:rsidSect="00D8217A">
          <w:headerReference w:type="default" r:id="rId9"/>
          <w:pgSz w:w="11906" w:h="16838"/>
          <w:pgMar w:top="1560" w:right="1434" w:bottom="1560" w:left="1418" w:header="709" w:footer="709" w:gutter="0"/>
          <w:pgNumType w:start="1"/>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178"/>
        <w:gridCol w:w="647"/>
        <w:gridCol w:w="168"/>
        <w:gridCol w:w="425"/>
        <w:gridCol w:w="257"/>
        <w:gridCol w:w="454"/>
        <w:gridCol w:w="229"/>
        <w:gridCol w:w="113"/>
        <w:gridCol w:w="570"/>
        <w:gridCol w:w="367"/>
        <w:gridCol w:w="285"/>
        <w:gridCol w:w="31"/>
        <w:gridCol w:w="622"/>
        <w:gridCol w:w="61"/>
        <w:gridCol w:w="129"/>
        <w:gridCol w:w="554"/>
        <w:gridCol w:w="123"/>
        <w:gridCol w:w="71"/>
        <w:gridCol w:w="489"/>
        <w:gridCol w:w="43"/>
        <w:gridCol w:w="405"/>
        <w:gridCol w:w="235"/>
        <w:gridCol w:w="65"/>
        <w:gridCol w:w="618"/>
        <w:gridCol w:w="20"/>
        <w:gridCol w:w="663"/>
        <w:gridCol w:w="275"/>
        <w:gridCol w:w="408"/>
        <w:gridCol w:w="1014"/>
        <w:gridCol w:w="10"/>
      </w:tblGrid>
      <w:tr w:rsidR="00806A45" w:rsidRPr="00806A45" w:rsidTr="00187457">
        <w:trPr>
          <w:gridAfter w:val="1"/>
          <w:wAfter w:w="10" w:type="dxa"/>
          <w:trHeight w:val="1611"/>
        </w:trPr>
        <w:tc>
          <w:tcPr>
            <w:tcW w:w="6631" w:type="dxa"/>
            <w:gridSpan w:val="18"/>
          </w:tcPr>
          <w:p w:rsidR="00806A45" w:rsidRPr="00806A45" w:rsidRDefault="00806A45" w:rsidP="00806A45">
            <w:pPr>
              <w:widowControl/>
              <w:autoSpaceDE/>
              <w:autoSpaceDN/>
              <w:adjustRightInd/>
              <w:spacing w:line="240" w:lineRule="auto"/>
              <w:ind w:hanging="45"/>
              <w:jc w:val="left"/>
              <w:rPr>
                <w:rFonts w:eastAsia="Calibri" w:cs="Times New Roman"/>
                <w:b/>
                <w:color w:val="000000"/>
                <w:sz w:val="22"/>
                <w:szCs w:val="22"/>
                <w:lang w:eastAsia="en-US"/>
              </w:rPr>
            </w:pPr>
            <w:bookmarkStart w:id="1" w:name="t1"/>
            <w:r w:rsidRPr="00806A45">
              <w:rPr>
                <w:rFonts w:eastAsia="Calibri" w:cs="Times New Roman"/>
                <w:b/>
                <w:color w:val="000000"/>
                <w:sz w:val="22"/>
                <w:szCs w:val="22"/>
                <w:lang w:eastAsia="en-US"/>
              </w:rPr>
              <w:lastRenderedPageBreak/>
              <w:t>Tytuł projektu:</w:t>
            </w:r>
          </w:p>
          <w:p w:rsidR="00806A45" w:rsidRPr="00806A45" w:rsidRDefault="00806A45" w:rsidP="00806A45">
            <w:pPr>
              <w:widowControl/>
              <w:autoSpaceDE/>
              <w:autoSpaceDN/>
              <w:adjustRightInd/>
              <w:spacing w:line="240" w:lineRule="auto"/>
              <w:ind w:hanging="45"/>
              <w:jc w:val="left"/>
              <w:rPr>
                <w:rFonts w:eastAsia="Calibri" w:cs="Times New Roman"/>
                <w:color w:val="000000"/>
                <w:sz w:val="22"/>
                <w:szCs w:val="22"/>
                <w:lang w:eastAsia="en-US"/>
              </w:rPr>
            </w:pPr>
            <w:r w:rsidRPr="00806A45">
              <w:rPr>
                <w:rFonts w:eastAsia="Calibri" w:cs="Times New Roman"/>
                <w:color w:val="000000"/>
                <w:sz w:val="22"/>
                <w:szCs w:val="22"/>
                <w:lang w:eastAsia="en-US"/>
              </w:rPr>
              <w:t>Ustawa o zmianie ustawy o kierujących pojazdami</w:t>
            </w:r>
          </w:p>
          <w:bookmarkEnd w:id="1"/>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jc w:val="left"/>
              <w:rPr>
                <w:rFonts w:eastAsia="Calibri" w:cs="Times New Roman"/>
                <w:b/>
                <w:sz w:val="21"/>
                <w:szCs w:val="24"/>
                <w:lang w:eastAsia="en-US"/>
              </w:rPr>
            </w:pPr>
            <w:r w:rsidRPr="00806A45">
              <w:rPr>
                <w:rFonts w:eastAsia="Calibri" w:cs="Times New Roman"/>
                <w:b/>
                <w:sz w:val="21"/>
                <w:szCs w:val="24"/>
                <w:lang w:eastAsia="en-US"/>
              </w:rPr>
              <w:t>Przedstawiciel wnioskodawcy:</w:t>
            </w:r>
          </w:p>
          <w:p w:rsidR="00806A45" w:rsidRPr="00806A45" w:rsidRDefault="00806A45" w:rsidP="00806A45">
            <w:pPr>
              <w:widowControl/>
              <w:autoSpaceDE/>
              <w:autoSpaceDN/>
              <w:adjustRightInd/>
              <w:spacing w:line="240" w:lineRule="auto"/>
              <w:jc w:val="left"/>
              <w:rPr>
                <w:rFonts w:eastAsia="Calibri" w:cs="Times New Roman"/>
                <w:sz w:val="22"/>
                <w:szCs w:val="22"/>
                <w:lang w:eastAsia="en-US"/>
              </w:rPr>
            </w:pPr>
            <w:r w:rsidRPr="00806A45">
              <w:rPr>
                <w:rFonts w:eastAsia="Calibri" w:cs="Times New Roman"/>
                <w:sz w:val="22"/>
                <w:szCs w:val="22"/>
                <w:lang w:eastAsia="en-US"/>
              </w:rPr>
              <w:t xml:space="preserve">senator Jan Filip Libicki </w:t>
            </w:r>
          </w:p>
          <w:p w:rsidR="00806A45" w:rsidRPr="00806A45" w:rsidRDefault="00806A45" w:rsidP="00806A45">
            <w:pPr>
              <w:widowControl/>
              <w:autoSpaceDE/>
              <w:autoSpaceDN/>
              <w:adjustRightInd/>
              <w:spacing w:line="240" w:lineRule="auto"/>
              <w:ind w:hanging="45"/>
              <w:jc w:val="left"/>
              <w:rPr>
                <w:rFonts w:eastAsia="Calibri" w:cs="Times New Roman"/>
                <w:color w:val="000000"/>
                <w:sz w:val="22"/>
                <w:szCs w:val="22"/>
                <w:lang w:eastAsia="en-US"/>
              </w:rPr>
            </w:pPr>
            <w:r w:rsidRPr="00806A45">
              <w:rPr>
                <w:rFonts w:eastAsia="Calibri" w:cs="Times New Roman"/>
                <w:color w:val="000000"/>
                <w:sz w:val="22"/>
                <w:szCs w:val="22"/>
                <w:lang w:eastAsia="en-US"/>
              </w:rPr>
              <w:t xml:space="preserve"> </w:t>
            </w:r>
          </w:p>
          <w:p w:rsidR="00806A45" w:rsidRPr="00806A45" w:rsidRDefault="00806A45" w:rsidP="00806A45">
            <w:pPr>
              <w:widowControl/>
              <w:autoSpaceDE/>
              <w:autoSpaceDN/>
              <w:adjustRightInd/>
              <w:spacing w:line="240" w:lineRule="auto"/>
              <w:ind w:hanging="45"/>
              <w:jc w:val="left"/>
              <w:rPr>
                <w:rFonts w:eastAsia="Calibri" w:cs="Times New Roman"/>
                <w:b/>
                <w:color w:val="000000"/>
                <w:sz w:val="22"/>
                <w:szCs w:val="22"/>
                <w:lang w:eastAsia="en-US"/>
              </w:rPr>
            </w:pPr>
          </w:p>
          <w:p w:rsidR="00806A45" w:rsidRPr="00806A45" w:rsidRDefault="00806A45" w:rsidP="00806A45">
            <w:pPr>
              <w:widowControl/>
              <w:autoSpaceDE/>
              <w:autoSpaceDN/>
              <w:adjustRightInd/>
              <w:spacing w:line="240" w:lineRule="auto"/>
              <w:ind w:hanging="45"/>
              <w:jc w:val="left"/>
              <w:rPr>
                <w:rFonts w:eastAsia="Calibri" w:cs="Times New Roman"/>
                <w:b/>
                <w:color w:val="000000"/>
                <w:sz w:val="22"/>
                <w:szCs w:val="22"/>
                <w:lang w:eastAsia="en-US"/>
              </w:rPr>
            </w:pPr>
            <w:r w:rsidRPr="00806A45">
              <w:rPr>
                <w:rFonts w:eastAsia="Calibri" w:cs="Times New Roman"/>
                <w:b/>
                <w:color w:val="000000"/>
                <w:sz w:val="22"/>
                <w:szCs w:val="22"/>
                <w:lang w:eastAsia="en-US"/>
              </w:rPr>
              <w:t xml:space="preserve"> Osoby odpowiedzialne za projekt w Biurze Legislacyjnym:</w:t>
            </w:r>
            <w:bookmarkStart w:id="2" w:name="t3"/>
          </w:p>
          <w:bookmarkEnd w:id="2"/>
          <w:p w:rsidR="00806A45" w:rsidRPr="00806A45" w:rsidRDefault="00806A45" w:rsidP="00806A45">
            <w:pPr>
              <w:widowControl/>
              <w:autoSpaceDE/>
              <w:autoSpaceDN/>
              <w:adjustRightInd/>
              <w:spacing w:line="240" w:lineRule="auto"/>
              <w:ind w:hanging="45"/>
              <w:jc w:val="left"/>
              <w:rPr>
                <w:rFonts w:eastAsia="Calibri" w:cs="Times New Roman"/>
                <w:color w:val="000000"/>
                <w:sz w:val="22"/>
                <w:szCs w:val="22"/>
                <w:lang w:eastAsia="en-US"/>
              </w:rPr>
            </w:pPr>
            <w:r w:rsidRPr="00806A45">
              <w:rPr>
                <w:rFonts w:eastAsia="Calibri" w:cs="Times New Roman"/>
                <w:color w:val="000000"/>
                <w:sz w:val="22"/>
                <w:szCs w:val="22"/>
                <w:lang w:eastAsia="en-US"/>
              </w:rPr>
              <w:t xml:space="preserve"> Marek Jarentowski, ekspert ds. legislacji, tel. 22 694 9338</w:t>
            </w:r>
          </w:p>
          <w:p w:rsidR="00806A45" w:rsidRPr="00806A45" w:rsidRDefault="00806A45" w:rsidP="00806A45">
            <w:pPr>
              <w:widowControl/>
              <w:autoSpaceDE/>
              <w:autoSpaceDN/>
              <w:adjustRightInd/>
              <w:spacing w:line="240" w:lineRule="auto"/>
              <w:ind w:hanging="45"/>
              <w:jc w:val="left"/>
              <w:rPr>
                <w:rFonts w:eastAsia="Calibri" w:cs="Times New Roman"/>
                <w:color w:val="000000"/>
                <w:sz w:val="22"/>
                <w:szCs w:val="22"/>
                <w:lang w:val="en-US" w:eastAsia="en-US"/>
              </w:rPr>
            </w:pPr>
            <w:r w:rsidRPr="00806A45">
              <w:rPr>
                <w:rFonts w:eastAsia="Calibri" w:cs="Times New Roman"/>
                <w:color w:val="000000"/>
                <w:sz w:val="22"/>
                <w:szCs w:val="22"/>
                <w:lang w:eastAsia="en-US"/>
              </w:rPr>
              <w:t xml:space="preserve"> </w:t>
            </w:r>
            <w:r w:rsidRPr="00806A45">
              <w:rPr>
                <w:rFonts w:eastAsia="Calibri" w:cs="Times New Roman"/>
                <w:color w:val="000000"/>
                <w:sz w:val="22"/>
                <w:szCs w:val="22"/>
                <w:lang w:val="en-US" w:eastAsia="en-US"/>
              </w:rPr>
              <w:t xml:space="preserve">Maciej Telec, legislator, tel. 22 694 9302 </w:t>
            </w:r>
          </w:p>
          <w:p w:rsidR="00806A45" w:rsidRPr="00806A45" w:rsidRDefault="00806A45" w:rsidP="00806A45">
            <w:pPr>
              <w:widowControl/>
              <w:autoSpaceDE/>
              <w:autoSpaceDN/>
              <w:adjustRightInd/>
              <w:spacing w:line="240" w:lineRule="auto"/>
              <w:ind w:hanging="45"/>
              <w:jc w:val="left"/>
              <w:rPr>
                <w:rFonts w:eastAsia="Calibri" w:cs="Times New Roman"/>
                <w:color w:val="000000"/>
                <w:sz w:val="22"/>
                <w:szCs w:val="22"/>
                <w:lang w:eastAsia="en-US"/>
              </w:rPr>
            </w:pPr>
            <w:r w:rsidRPr="00806A45">
              <w:rPr>
                <w:rFonts w:eastAsia="Calibri" w:cs="Times New Roman"/>
                <w:color w:val="000000"/>
                <w:sz w:val="22"/>
                <w:szCs w:val="22"/>
                <w:lang w:val="en-US" w:eastAsia="en-US"/>
              </w:rPr>
              <w:t xml:space="preserve"> Marian Fałek, ekspert ds. </w:t>
            </w:r>
            <w:r w:rsidRPr="00806A45">
              <w:rPr>
                <w:rFonts w:eastAsia="Calibri" w:cs="Times New Roman"/>
                <w:color w:val="000000"/>
                <w:sz w:val="22"/>
                <w:szCs w:val="22"/>
                <w:lang w:eastAsia="en-US"/>
              </w:rPr>
              <w:t>OSR, tel. 22 694 9097</w:t>
            </w:r>
          </w:p>
        </w:tc>
        <w:tc>
          <w:tcPr>
            <w:tcW w:w="4306" w:type="dxa"/>
            <w:gridSpan w:val="12"/>
            <w:shd w:val="clear" w:color="auto" w:fill="FFFFFF"/>
          </w:tcPr>
          <w:p w:rsidR="00806A45" w:rsidRPr="00806A45" w:rsidRDefault="00806A45" w:rsidP="00806A45">
            <w:pPr>
              <w:widowControl/>
              <w:autoSpaceDE/>
              <w:autoSpaceDN/>
              <w:adjustRightInd/>
              <w:spacing w:before="120" w:line="240" w:lineRule="auto"/>
              <w:jc w:val="left"/>
              <w:rPr>
                <w:rFonts w:eastAsia="Calibri" w:cs="Times New Roman"/>
                <w:b/>
                <w:sz w:val="21"/>
                <w:szCs w:val="21"/>
                <w:lang w:eastAsia="en-US"/>
              </w:rPr>
            </w:pPr>
            <w:r w:rsidRPr="00806A45">
              <w:rPr>
                <w:rFonts w:eastAsia="Calibri" w:cs="Times New Roman"/>
                <w:b/>
                <w:sz w:val="21"/>
                <w:szCs w:val="21"/>
                <w:lang w:eastAsia="en-US"/>
              </w:rPr>
              <w:t>Data sporządzenia:</w:t>
            </w:r>
          </w:p>
          <w:p w:rsidR="00806A45" w:rsidRPr="00806A45" w:rsidRDefault="00806A45" w:rsidP="00806A45">
            <w:pPr>
              <w:widowControl/>
              <w:autoSpaceDE/>
              <w:autoSpaceDN/>
              <w:adjustRightInd/>
              <w:spacing w:line="240" w:lineRule="auto"/>
              <w:jc w:val="left"/>
              <w:rPr>
                <w:rFonts w:eastAsia="Calibri" w:cs="Times New Roman"/>
                <w:sz w:val="21"/>
                <w:szCs w:val="21"/>
                <w:lang w:eastAsia="en-US"/>
              </w:rPr>
            </w:pPr>
            <w:r w:rsidRPr="00806A45">
              <w:rPr>
                <w:rFonts w:eastAsia="Calibri" w:cs="Times New Roman"/>
                <w:sz w:val="21"/>
                <w:szCs w:val="21"/>
                <w:lang w:eastAsia="en-US"/>
              </w:rPr>
              <w:t>23 czerwca 2017 r.</w:t>
            </w:r>
          </w:p>
          <w:p w:rsidR="00806A45" w:rsidRPr="00806A45" w:rsidRDefault="00806A45" w:rsidP="00806A45">
            <w:pPr>
              <w:widowControl/>
              <w:autoSpaceDE/>
              <w:autoSpaceDN/>
              <w:adjustRightInd/>
              <w:spacing w:before="120" w:line="240" w:lineRule="auto"/>
              <w:jc w:val="left"/>
              <w:rPr>
                <w:rFonts w:eastAsia="Calibri" w:cs="Times New Roman"/>
                <w:b/>
                <w:sz w:val="21"/>
                <w:szCs w:val="21"/>
                <w:lang w:eastAsia="en-US"/>
              </w:rPr>
            </w:pPr>
          </w:p>
          <w:p w:rsidR="00806A45" w:rsidRPr="00806A45" w:rsidRDefault="00806A45" w:rsidP="00806A45">
            <w:pPr>
              <w:widowControl/>
              <w:autoSpaceDE/>
              <w:autoSpaceDN/>
              <w:adjustRightInd/>
              <w:spacing w:line="240" w:lineRule="auto"/>
              <w:jc w:val="left"/>
              <w:rPr>
                <w:rFonts w:eastAsia="Calibri" w:cs="Times New Roman"/>
                <w:sz w:val="22"/>
                <w:szCs w:val="22"/>
                <w:lang w:eastAsia="en-US"/>
              </w:rPr>
            </w:pPr>
            <w:r w:rsidRPr="00806A45">
              <w:rPr>
                <w:rFonts w:eastAsia="Calibri" w:cs="Times New Roman"/>
                <w:b/>
                <w:sz w:val="22"/>
                <w:szCs w:val="22"/>
                <w:lang w:eastAsia="en-US"/>
              </w:rPr>
              <w:t xml:space="preserve">Źródło: </w:t>
            </w:r>
            <w:r w:rsidRPr="00806A45">
              <w:rPr>
                <w:rFonts w:eastAsia="Calibri" w:cs="Times New Roman"/>
                <w:sz w:val="22"/>
                <w:szCs w:val="22"/>
                <w:lang w:eastAsia="en-US"/>
              </w:rPr>
              <w:t>Wyrok TK</w:t>
            </w:r>
          </w:p>
          <w:p w:rsidR="00806A45" w:rsidRPr="00806A45" w:rsidRDefault="00806A45" w:rsidP="00806A45">
            <w:pPr>
              <w:widowControl/>
              <w:autoSpaceDE/>
              <w:autoSpaceDN/>
              <w:adjustRightInd/>
              <w:spacing w:line="240" w:lineRule="auto"/>
              <w:jc w:val="left"/>
              <w:rPr>
                <w:rFonts w:eastAsia="Calibri" w:cs="Times New Roman"/>
                <w:b/>
                <w:color w:val="000000"/>
                <w:sz w:val="22"/>
                <w:szCs w:val="22"/>
                <w:lang w:eastAsia="en-US"/>
              </w:rPr>
            </w:pPr>
          </w:p>
          <w:p w:rsidR="00806A45" w:rsidRPr="00806A45" w:rsidRDefault="00806A45" w:rsidP="00806A45">
            <w:pPr>
              <w:widowControl/>
              <w:autoSpaceDE/>
              <w:autoSpaceDN/>
              <w:adjustRightInd/>
              <w:spacing w:line="240" w:lineRule="auto"/>
              <w:jc w:val="left"/>
              <w:rPr>
                <w:rFonts w:eastAsia="Calibri" w:cs="Times New Roman"/>
                <w:b/>
                <w:color w:val="000000"/>
                <w:sz w:val="22"/>
                <w:szCs w:val="22"/>
                <w:lang w:eastAsia="en-US"/>
              </w:rPr>
            </w:pPr>
            <w:r w:rsidRPr="00806A45">
              <w:rPr>
                <w:rFonts w:eastAsia="Calibri" w:cs="Times New Roman"/>
                <w:b/>
                <w:color w:val="000000"/>
                <w:sz w:val="22"/>
                <w:szCs w:val="22"/>
                <w:lang w:eastAsia="en-US"/>
              </w:rPr>
              <w:t xml:space="preserve">Nr druku: </w:t>
            </w:r>
            <w:r w:rsidRPr="00806A45">
              <w:rPr>
                <w:rFonts w:eastAsia="Calibri" w:cs="Times New Roman"/>
                <w:color w:val="000000"/>
                <w:sz w:val="22"/>
                <w:szCs w:val="22"/>
                <w:lang w:eastAsia="en-US"/>
              </w:rPr>
              <w:t>409, 409S</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jc w:val="left"/>
              <w:rPr>
                <w:rFonts w:eastAsia="Calibri" w:cs="Times New Roman"/>
                <w:color w:val="000000"/>
                <w:sz w:val="28"/>
                <w:szCs w:val="28"/>
                <w:lang w:eastAsia="en-US"/>
              </w:rPr>
            </w:pPr>
          </w:p>
        </w:tc>
      </w:tr>
      <w:tr w:rsidR="00806A45" w:rsidRPr="00806A45" w:rsidTr="00187457">
        <w:trPr>
          <w:gridAfter w:val="1"/>
          <w:wAfter w:w="10" w:type="dxa"/>
          <w:trHeight w:val="142"/>
        </w:trPr>
        <w:tc>
          <w:tcPr>
            <w:tcW w:w="10937" w:type="dxa"/>
            <w:gridSpan w:val="30"/>
            <w:shd w:val="clear" w:color="auto" w:fill="99CCFF"/>
          </w:tcPr>
          <w:p w:rsidR="00806A45" w:rsidRPr="00806A45" w:rsidRDefault="00806A45" w:rsidP="00806A45">
            <w:pPr>
              <w:widowControl/>
              <w:autoSpaceDE/>
              <w:autoSpaceDN/>
              <w:adjustRightInd/>
              <w:spacing w:line="240" w:lineRule="auto"/>
              <w:ind w:left="57"/>
              <w:jc w:val="center"/>
              <w:rPr>
                <w:rFonts w:eastAsia="Calibri" w:cs="Times New Roman"/>
                <w:b/>
                <w:color w:val="FFFFFF"/>
                <w:sz w:val="32"/>
                <w:szCs w:val="32"/>
                <w:lang w:eastAsia="en-US"/>
              </w:rPr>
            </w:pPr>
            <w:r w:rsidRPr="00806A45">
              <w:rPr>
                <w:rFonts w:eastAsia="Calibri" w:cs="Times New Roman"/>
                <w:b/>
                <w:color w:val="FFFFFF"/>
                <w:sz w:val="32"/>
                <w:szCs w:val="32"/>
                <w:lang w:eastAsia="en-US"/>
              </w:rPr>
              <w:t>OCENA SKUTKÓW REGULACJI</w:t>
            </w:r>
          </w:p>
        </w:tc>
      </w:tr>
      <w:tr w:rsidR="00806A45" w:rsidRPr="00806A45" w:rsidTr="00187457">
        <w:trPr>
          <w:gridAfter w:val="1"/>
          <w:wAfter w:w="10" w:type="dxa"/>
          <w:trHeight w:val="333"/>
        </w:trPr>
        <w:tc>
          <w:tcPr>
            <w:tcW w:w="10937" w:type="dxa"/>
            <w:gridSpan w:val="30"/>
            <w:shd w:val="clear" w:color="auto" w:fill="99CCFF"/>
            <w:vAlign w:val="center"/>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806A45">
              <w:rPr>
                <w:rFonts w:eastAsia="Calibri" w:cs="Times New Roman"/>
                <w:b/>
                <w:sz w:val="22"/>
                <w:szCs w:val="22"/>
                <w:lang w:eastAsia="en-US"/>
              </w:rPr>
              <w:t>Jaki problem jest rozwiązywany?</w:t>
            </w:r>
            <w:bookmarkStart w:id="3" w:name="Wybór1"/>
            <w:bookmarkEnd w:id="3"/>
          </w:p>
        </w:tc>
      </w:tr>
      <w:tr w:rsidR="00806A45" w:rsidRPr="00806A45" w:rsidTr="00187457">
        <w:trPr>
          <w:gridAfter w:val="1"/>
          <w:wAfter w:w="10" w:type="dxa"/>
          <w:trHeight w:val="142"/>
        </w:trPr>
        <w:tc>
          <w:tcPr>
            <w:tcW w:w="10937" w:type="dxa"/>
            <w:gridSpan w:val="30"/>
            <w:shd w:val="clear" w:color="auto" w:fill="FFFFFF"/>
          </w:tcPr>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333333"/>
                <w:sz w:val="22"/>
                <w:szCs w:val="22"/>
                <w:lang w:eastAsia="en-US"/>
              </w:rPr>
              <w:t xml:space="preserve">Niepełnosprawny kandydat na kierowcę podlega takiemu samemu sprawdzeniu kwalifikacji w formie egzaminu państwowego jak pełnosprawny kandydat na kierowcę. Na egzaminie dokonuje się sprawdzenia wiedzy i umiejętności w zakresie zgodnego z przepisami, bezpiecznego, energooszczędnego, sprawnego i nieutrudniającego innym uczestnikom ruchu poruszania się pojazdem. </w:t>
            </w:r>
            <w:r w:rsidRPr="00806A45">
              <w:rPr>
                <w:rFonts w:eastAsia="Calibri" w:cs="Times New Roman"/>
                <w:color w:val="000000"/>
                <w:sz w:val="22"/>
                <w:szCs w:val="22"/>
                <w:lang w:eastAsia="en-US"/>
              </w:rPr>
              <w:t>Trybunał Konstytucyjny w wyroku z dnia 8 czerwca 2016 r. orzekł, że przepisy ustawy z dnia 5 stycznia 2011 r</w:t>
            </w:r>
            <w:r w:rsidRPr="00806A45">
              <w:rPr>
                <w:rFonts w:eastAsia="Calibri" w:cs="Times New Roman"/>
                <w:i/>
                <w:color w:val="000000"/>
                <w:sz w:val="22"/>
                <w:szCs w:val="22"/>
                <w:lang w:eastAsia="en-US"/>
              </w:rPr>
              <w:t>. o kierujących pojazdami</w:t>
            </w:r>
            <w:r w:rsidRPr="00806A45">
              <w:rPr>
                <w:rFonts w:eastAsia="Calibri" w:cs="Times New Roman"/>
                <w:color w:val="000000"/>
                <w:sz w:val="22"/>
                <w:szCs w:val="22"/>
                <w:lang w:eastAsia="en-US"/>
              </w:rPr>
              <w:t xml:space="preserve"> w zakresie, w jakim nie przewiduje się udzielenia przez władze publiczne efektywnej pomocy osobie niepełnosprawnej polegającej na zapewnieniu pojazdu przystosowanego do rodzaju schorzenia na potrzeby praktycznej części egzaminu państwowego na prawo jazdy kategorii B jest niezgodny z art. 69 Konstytucji RP oraz art. 20 Konwencji o prawach osób niepełnosprawnych. W związku z wyrokiem Trybunału Konstytucyjnego należy rozwiązać problem polegający na dostosowaniu przepisów ustawy z dnia 5 stycznia 2011 r</w:t>
            </w:r>
            <w:r w:rsidRPr="00806A45">
              <w:rPr>
                <w:rFonts w:eastAsia="Calibri" w:cs="Times New Roman"/>
                <w:i/>
                <w:color w:val="000000"/>
                <w:sz w:val="22"/>
                <w:szCs w:val="22"/>
                <w:lang w:eastAsia="en-US"/>
              </w:rPr>
              <w:t>. o kierujących pojazdami</w:t>
            </w:r>
            <w:r w:rsidRPr="00806A45">
              <w:rPr>
                <w:rFonts w:eastAsia="Calibri" w:cs="Times New Roman"/>
                <w:color w:val="000000"/>
                <w:sz w:val="22"/>
                <w:szCs w:val="22"/>
                <w:lang w:eastAsia="en-US"/>
              </w:rPr>
              <w:t xml:space="preserve"> do postanowień określonych w Konstytucji RP oraz Konwencji o prawach osób niepełnosprawnych. </w:t>
            </w:r>
          </w:p>
        </w:tc>
      </w:tr>
      <w:tr w:rsidR="00806A45" w:rsidRPr="00806A45" w:rsidTr="00187457">
        <w:trPr>
          <w:gridAfter w:val="1"/>
          <w:wAfter w:w="10" w:type="dxa"/>
          <w:trHeight w:val="142"/>
        </w:trPr>
        <w:tc>
          <w:tcPr>
            <w:tcW w:w="10937" w:type="dxa"/>
            <w:gridSpan w:val="30"/>
            <w:shd w:val="clear" w:color="auto" w:fill="99CCFF"/>
            <w:vAlign w:val="center"/>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806A45">
              <w:rPr>
                <w:rFonts w:eastAsia="Calibri" w:cs="Times New Roman"/>
                <w:b/>
                <w:color w:val="000000"/>
                <w:spacing w:val="-2"/>
                <w:sz w:val="22"/>
                <w:szCs w:val="22"/>
                <w:lang w:eastAsia="en-US"/>
              </w:rPr>
              <w:t>Rekomendowane rozwiązanie, w tym planowane narzędzia interwencji, i oczekiwany efekt.</w:t>
            </w:r>
          </w:p>
        </w:tc>
      </w:tr>
      <w:tr w:rsidR="00806A45" w:rsidRPr="00806A45" w:rsidTr="00187457">
        <w:trPr>
          <w:gridAfter w:val="1"/>
          <w:wAfter w:w="10" w:type="dxa"/>
          <w:trHeight w:val="142"/>
        </w:trPr>
        <w:tc>
          <w:tcPr>
            <w:tcW w:w="10937" w:type="dxa"/>
            <w:gridSpan w:val="30"/>
            <w:shd w:val="clear" w:color="auto" w:fill="auto"/>
          </w:tcPr>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Projektowane rozwiązanie będzie polegać na dokonaniu zmian w  </w:t>
            </w:r>
            <w:r w:rsidRPr="00806A45">
              <w:rPr>
                <w:rFonts w:eastAsia="Calibri" w:cs="Times New Roman"/>
                <w:color w:val="000000"/>
                <w:sz w:val="22"/>
                <w:szCs w:val="22"/>
                <w:lang w:eastAsia="en-US"/>
              </w:rPr>
              <w:t>ustawie z dnia 5 stycznia 2011 r</w:t>
            </w:r>
            <w:r w:rsidRPr="00806A45">
              <w:rPr>
                <w:rFonts w:eastAsia="Calibri" w:cs="Times New Roman"/>
                <w:i/>
                <w:color w:val="000000"/>
                <w:sz w:val="22"/>
                <w:szCs w:val="22"/>
                <w:lang w:eastAsia="en-US"/>
              </w:rPr>
              <w:t>. o kierujących pojazdami</w:t>
            </w:r>
            <w:r w:rsidRPr="00806A45">
              <w:rPr>
                <w:rFonts w:eastAsia="Calibri" w:cs="Times New Roman"/>
                <w:color w:val="000000"/>
                <w:spacing w:val="-2"/>
                <w:sz w:val="22"/>
                <w:szCs w:val="22"/>
                <w:lang w:eastAsia="en-US"/>
              </w:rPr>
              <w:t xml:space="preserve"> polegających na:</w:t>
            </w:r>
          </w:p>
          <w:p w:rsidR="00806A45" w:rsidRPr="00806A45" w:rsidRDefault="00806A45" w:rsidP="00BC791A">
            <w:pPr>
              <w:widowControl/>
              <w:numPr>
                <w:ilvl w:val="0"/>
                <w:numId w:val="48"/>
              </w:numPr>
              <w:autoSpaceDE/>
              <w:autoSpaceDN/>
              <w:adjustRightInd/>
              <w:spacing w:line="240" w:lineRule="auto"/>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wprowadzeniu zapisu, na podstawie którego zwalniane będą z wnoszenia </w:t>
            </w:r>
            <w:r w:rsidRPr="00806A45">
              <w:rPr>
                <w:rFonts w:eastAsia="Calibri" w:cs="Times New Roman"/>
                <w:sz w:val="22"/>
                <w:szCs w:val="22"/>
                <w:lang w:eastAsia="en-US"/>
              </w:rPr>
              <w:t>opłaty za część praktyczną egzaminu państwowego osoby niepełnosprawne posiadające orzeczenie lekarskie z adnotacją, że mogą prowadzić pojazd silnikowy po przystosowaniu go do rodzaju schorzenia, w przypadku gdy jazda egzaminacyjna odbywać będzie się pojazdem, o którym mowa w art. 54 ust. 5 pkt 1,</w:t>
            </w:r>
          </w:p>
          <w:p w:rsidR="00806A45" w:rsidRPr="00806A45" w:rsidRDefault="00806A45" w:rsidP="00BC791A">
            <w:pPr>
              <w:widowControl/>
              <w:numPr>
                <w:ilvl w:val="0"/>
                <w:numId w:val="48"/>
              </w:numPr>
              <w:autoSpaceDE/>
              <w:autoSpaceDN/>
              <w:adjustRightInd/>
              <w:spacing w:line="240" w:lineRule="auto"/>
              <w:contextualSpacing/>
              <w:rPr>
                <w:rFonts w:eastAsia="Calibri" w:cs="Times New Roman"/>
                <w:i/>
                <w:color w:val="000000"/>
                <w:spacing w:val="-2"/>
                <w:sz w:val="22"/>
                <w:szCs w:val="22"/>
                <w:lang w:eastAsia="en-US"/>
              </w:rPr>
            </w:pPr>
            <w:r w:rsidRPr="00806A45">
              <w:rPr>
                <w:rFonts w:eastAsia="Calibri" w:cs="Times New Roman"/>
                <w:color w:val="000000"/>
                <w:spacing w:val="-2"/>
                <w:sz w:val="22"/>
                <w:szCs w:val="22"/>
                <w:lang w:eastAsia="en-US"/>
              </w:rPr>
              <w:t>wprowadzeniu obowiązku utworzenia i prowadzenia internetowej bazy o pojazdach dostosowanych do rodzaju schorzenia osoby niepełnosprawnej będących w dyspozycji ośrodków szkolenia kierowców. Zadanie to będzie realizował podmiot wyznaczony przez ministra  do spraw gospodarki spośród jednostek organizacyjnych jemu podległych lub nadzorowanych.</w:t>
            </w:r>
            <w:r w:rsidRPr="00806A45">
              <w:rPr>
                <w:rFonts w:eastAsia="Calibri" w:cs="Times New Roman"/>
                <w:i/>
                <w:color w:val="000000"/>
                <w:spacing w:val="-2"/>
                <w:sz w:val="22"/>
                <w:szCs w:val="22"/>
                <w:lang w:eastAsia="en-US"/>
              </w:rPr>
              <w:t xml:space="preserve">  </w:t>
            </w:r>
          </w:p>
        </w:tc>
      </w:tr>
      <w:tr w:rsidR="00806A45" w:rsidRPr="00806A45" w:rsidTr="00187457">
        <w:trPr>
          <w:gridAfter w:val="1"/>
          <w:wAfter w:w="10" w:type="dxa"/>
          <w:trHeight w:val="307"/>
        </w:trPr>
        <w:tc>
          <w:tcPr>
            <w:tcW w:w="10937" w:type="dxa"/>
            <w:gridSpan w:val="30"/>
            <w:shd w:val="clear" w:color="auto" w:fill="99CCFF"/>
            <w:vAlign w:val="center"/>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806A45">
              <w:rPr>
                <w:rFonts w:eastAsia="Calibri" w:cs="Times New Roman"/>
                <w:b/>
                <w:spacing w:val="-2"/>
                <w:sz w:val="22"/>
                <w:szCs w:val="22"/>
                <w:lang w:eastAsia="en-US"/>
              </w:rPr>
              <w:t>Jak problem został rozwiązany w innych krajach, w szczególności krajach członkowskich OECD/UE</w:t>
            </w:r>
            <w:r w:rsidRPr="00806A45">
              <w:rPr>
                <w:rFonts w:eastAsia="Calibri" w:cs="Times New Roman"/>
                <w:b/>
                <w:color w:val="000000"/>
                <w:sz w:val="22"/>
                <w:szCs w:val="22"/>
                <w:lang w:eastAsia="en-US"/>
              </w:rPr>
              <w:t>?</w:t>
            </w:r>
            <w:r w:rsidRPr="00806A45">
              <w:rPr>
                <w:rFonts w:eastAsia="Calibri" w:cs="Times New Roman"/>
                <w:i/>
                <w:color w:val="000000"/>
                <w:sz w:val="22"/>
                <w:szCs w:val="22"/>
                <w:lang w:eastAsia="en-US"/>
              </w:rPr>
              <w:t xml:space="preserve"> </w:t>
            </w:r>
          </w:p>
        </w:tc>
      </w:tr>
      <w:tr w:rsidR="00806A45" w:rsidRPr="00806A45" w:rsidTr="00187457">
        <w:trPr>
          <w:gridAfter w:val="1"/>
          <w:wAfter w:w="10" w:type="dxa"/>
          <w:trHeight w:val="142"/>
        </w:trPr>
        <w:tc>
          <w:tcPr>
            <w:tcW w:w="10937" w:type="dxa"/>
            <w:gridSpan w:val="30"/>
            <w:shd w:val="clear" w:color="auto" w:fill="auto"/>
          </w:tcPr>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Brak danych</w:t>
            </w:r>
          </w:p>
        </w:tc>
      </w:tr>
      <w:tr w:rsidR="00806A45" w:rsidRPr="00806A45" w:rsidTr="00187457">
        <w:trPr>
          <w:gridAfter w:val="1"/>
          <w:wAfter w:w="10" w:type="dxa"/>
          <w:trHeight w:val="359"/>
        </w:trPr>
        <w:tc>
          <w:tcPr>
            <w:tcW w:w="10937" w:type="dxa"/>
            <w:gridSpan w:val="30"/>
            <w:shd w:val="clear" w:color="auto" w:fill="99CCFF"/>
            <w:vAlign w:val="center"/>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806A45">
              <w:rPr>
                <w:rFonts w:eastAsia="Calibri" w:cs="Times New Roman"/>
                <w:b/>
                <w:color w:val="000000"/>
                <w:sz w:val="22"/>
                <w:szCs w:val="22"/>
                <w:lang w:eastAsia="en-US"/>
              </w:rPr>
              <w:t>Podmioty, na które oddziałuje projekt.</w:t>
            </w:r>
          </w:p>
        </w:tc>
      </w:tr>
      <w:tr w:rsidR="00806A45" w:rsidRPr="00806A45" w:rsidTr="00187457">
        <w:trPr>
          <w:gridAfter w:val="1"/>
          <w:wAfter w:w="10" w:type="dxa"/>
          <w:trHeight w:val="142"/>
        </w:trPr>
        <w:tc>
          <w:tcPr>
            <w:tcW w:w="2836" w:type="dxa"/>
            <w:gridSpan w:val="5"/>
            <w:shd w:val="clear" w:color="auto" w:fill="auto"/>
          </w:tcPr>
          <w:p w:rsidR="00806A45" w:rsidRPr="00806A45" w:rsidRDefault="00806A45" w:rsidP="00806A45">
            <w:pPr>
              <w:widowControl/>
              <w:autoSpaceDE/>
              <w:autoSpaceDN/>
              <w:adjustRightInd/>
              <w:spacing w:before="40"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Grupa</w:t>
            </w:r>
          </w:p>
        </w:tc>
        <w:tc>
          <w:tcPr>
            <w:tcW w:w="3118" w:type="dxa"/>
            <w:gridSpan w:val="11"/>
            <w:shd w:val="clear" w:color="auto" w:fill="auto"/>
          </w:tcPr>
          <w:p w:rsidR="00806A45" w:rsidRPr="00806A45" w:rsidRDefault="00806A45" w:rsidP="00806A45">
            <w:pPr>
              <w:widowControl/>
              <w:autoSpaceDE/>
              <w:autoSpaceDN/>
              <w:adjustRightInd/>
              <w:spacing w:before="40"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Wielkość</w:t>
            </w:r>
          </w:p>
        </w:tc>
        <w:tc>
          <w:tcPr>
            <w:tcW w:w="1985" w:type="dxa"/>
            <w:gridSpan w:val="8"/>
            <w:shd w:val="clear" w:color="auto" w:fill="auto"/>
          </w:tcPr>
          <w:p w:rsidR="00806A45" w:rsidRPr="00806A45" w:rsidRDefault="00806A45" w:rsidP="00806A45">
            <w:pPr>
              <w:widowControl/>
              <w:autoSpaceDE/>
              <w:autoSpaceDN/>
              <w:adjustRightInd/>
              <w:spacing w:before="40"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Źródło danych</w:t>
            </w:r>
            <w:r w:rsidRPr="00806A45" w:rsidDel="00260F33">
              <w:rPr>
                <w:rFonts w:eastAsia="Calibri" w:cs="Times New Roman"/>
                <w:color w:val="000000"/>
                <w:spacing w:val="-2"/>
                <w:sz w:val="22"/>
                <w:szCs w:val="22"/>
                <w:lang w:eastAsia="en-US"/>
              </w:rPr>
              <w:t xml:space="preserve"> </w:t>
            </w:r>
          </w:p>
        </w:tc>
        <w:tc>
          <w:tcPr>
            <w:tcW w:w="2998" w:type="dxa"/>
            <w:gridSpan w:val="6"/>
            <w:shd w:val="clear" w:color="auto" w:fill="auto"/>
          </w:tcPr>
          <w:p w:rsidR="00806A45" w:rsidRPr="00806A45" w:rsidRDefault="00806A45" w:rsidP="00806A45">
            <w:pPr>
              <w:widowControl/>
              <w:autoSpaceDE/>
              <w:autoSpaceDN/>
              <w:adjustRightInd/>
              <w:spacing w:before="40"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Oddziaływanie</w:t>
            </w:r>
          </w:p>
        </w:tc>
      </w:tr>
      <w:tr w:rsidR="00806A45" w:rsidRPr="00806A45" w:rsidTr="00187457">
        <w:trPr>
          <w:gridAfter w:val="1"/>
          <w:wAfter w:w="10" w:type="dxa"/>
          <w:trHeight w:val="142"/>
        </w:trPr>
        <w:tc>
          <w:tcPr>
            <w:tcW w:w="2836" w:type="dxa"/>
            <w:gridSpan w:val="5"/>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osoby niepełnosprawne przystępujące do egzaminu na prawo jazdy na wynajętym specjalnie dostosowanym samochodzie</w:t>
            </w:r>
          </w:p>
        </w:tc>
        <w:tc>
          <w:tcPr>
            <w:tcW w:w="3118" w:type="dxa"/>
            <w:gridSpan w:val="11"/>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liczba egzaminów praktycznych na prawo jazdy dla tej grupy osób niepełnosprawnych mieści się w przedziale od 400 do 900 </w:t>
            </w:r>
          </w:p>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w roku</w:t>
            </w:r>
          </w:p>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p>
        </w:tc>
        <w:tc>
          <w:tcPr>
            <w:tcW w:w="1985" w:type="dxa"/>
            <w:gridSpan w:val="8"/>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z w:val="22"/>
                <w:szCs w:val="22"/>
                <w:lang w:eastAsia="en-US"/>
              </w:rPr>
              <w:t>Wojewódzkie Ośrodki Ruchu Drogowego i uzasadnienie do wyroku Trybunału Konstytucyjnego</w:t>
            </w:r>
          </w:p>
        </w:tc>
        <w:tc>
          <w:tcPr>
            <w:tcW w:w="2998" w:type="dxa"/>
            <w:gridSpan w:val="6"/>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zwolnienie z opłaty za część praktyczną egzaminu na </w:t>
            </w:r>
          </w:p>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prawo jazdy</w:t>
            </w:r>
          </w:p>
        </w:tc>
      </w:tr>
      <w:tr w:rsidR="00806A45" w:rsidRPr="00806A45" w:rsidTr="00187457">
        <w:trPr>
          <w:gridAfter w:val="1"/>
          <w:wAfter w:w="10" w:type="dxa"/>
          <w:trHeight w:val="1710"/>
        </w:trPr>
        <w:tc>
          <w:tcPr>
            <w:tcW w:w="2836" w:type="dxa"/>
            <w:gridSpan w:val="5"/>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z w:val="22"/>
                <w:szCs w:val="22"/>
                <w:lang w:eastAsia="en-US"/>
              </w:rPr>
              <w:t xml:space="preserve">Wojewódzkie Ośrodki Ruchu Drogowego </w:t>
            </w:r>
          </w:p>
        </w:tc>
        <w:tc>
          <w:tcPr>
            <w:tcW w:w="3118" w:type="dxa"/>
            <w:gridSpan w:val="11"/>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wg stanu na dzień 23 VI 2015 r. funkcjonowało 49 ośrodków, przy czym niektóre z nich posiadają oddziały terenowe, po ich uwzględnieniu egzaminy prowadzi 77 jednostek</w:t>
            </w:r>
          </w:p>
        </w:tc>
        <w:tc>
          <w:tcPr>
            <w:tcW w:w="1985" w:type="dxa"/>
            <w:gridSpan w:val="8"/>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raport NIK </w:t>
            </w:r>
            <w:r w:rsidRPr="00806A45">
              <w:rPr>
                <w:rFonts w:eastAsia="Calibri" w:cs="Times New Roman"/>
                <w:color w:val="000000"/>
                <w:sz w:val="22"/>
                <w:szCs w:val="22"/>
                <w:lang w:eastAsia="en-US"/>
              </w:rPr>
              <w:t>o nadawaniu uprawnień kierowcom</w:t>
            </w:r>
          </w:p>
        </w:tc>
        <w:tc>
          <w:tcPr>
            <w:tcW w:w="2998" w:type="dxa"/>
            <w:gridSpan w:val="6"/>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brak dochodu za część praktyczną egzaminu na prawo jazdy od osoby niepełnosprawnej, która zdaje egzamin na wynajętym specjalnie dostosowanym samochodzie</w:t>
            </w:r>
          </w:p>
        </w:tc>
      </w:tr>
      <w:tr w:rsidR="00806A45" w:rsidRPr="00806A45" w:rsidTr="00187457">
        <w:trPr>
          <w:gridAfter w:val="1"/>
          <w:wAfter w:w="10" w:type="dxa"/>
          <w:trHeight w:val="142"/>
        </w:trPr>
        <w:tc>
          <w:tcPr>
            <w:tcW w:w="2836" w:type="dxa"/>
            <w:gridSpan w:val="5"/>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Minister właściwy do spraw gospodarki</w:t>
            </w:r>
          </w:p>
        </w:tc>
        <w:tc>
          <w:tcPr>
            <w:tcW w:w="3118" w:type="dxa"/>
            <w:gridSpan w:val="11"/>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1</w:t>
            </w:r>
          </w:p>
        </w:tc>
        <w:tc>
          <w:tcPr>
            <w:tcW w:w="1985" w:type="dxa"/>
            <w:gridSpan w:val="8"/>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p>
        </w:tc>
        <w:tc>
          <w:tcPr>
            <w:tcW w:w="2998" w:type="dxa"/>
            <w:gridSpan w:val="6"/>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wyznaczenie podmiotu do prowadzenia internetowej bazy  </w:t>
            </w:r>
          </w:p>
        </w:tc>
      </w:tr>
      <w:tr w:rsidR="00806A45" w:rsidRPr="00806A45" w:rsidTr="00187457">
        <w:trPr>
          <w:gridAfter w:val="1"/>
          <w:wAfter w:w="10" w:type="dxa"/>
          <w:trHeight w:val="142"/>
        </w:trPr>
        <w:tc>
          <w:tcPr>
            <w:tcW w:w="2836" w:type="dxa"/>
            <w:gridSpan w:val="5"/>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 xml:space="preserve">podmiot wyznaczony do prowadzenia internetowej bazy danych </w:t>
            </w:r>
          </w:p>
        </w:tc>
        <w:tc>
          <w:tcPr>
            <w:tcW w:w="3118" w:type="dxa"/>
            <w:gridSpan w:val="11"/>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p>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1</w:t>
            </w:r>
          </w:p>
        </w:tc>
        <w:tc>
          <w:tcPr>
            <w:tcW w:w="1985" w:type="dxa"/>
            <w:gridSpan w:val="8"/>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projekt </w:t>
            </w:r>
            <w:r w:rsidRPr="00806A45">
              <w:rPr>
                <w:rFonts w:eastAsia="Calibri" w:cs="Times New Roman"/>
                <w:i/>
                <w:color w:val="000000"/>
                <w:spacing w:val="-2"/>
                <w:sz w:val="22"/>
                <w:szCs w:val="22"/>
                <w:lang w:eastAsia="en-US"/>
              </w:rPr>
              <w:t>ustawy o zmianie ustawy o kierujących pojazdami</w:t>
            </w:r>
          </w:p>
        </w:tc>
        <w:tc>
          <w:tcPr>
            <w:tcW w:w="2998" w:type="dxa"/>
            <w:gridSpan w:val="6"/>
            <w:shd w:val="clear" w:color="auto" w:fill="auto"/>
          </w:tcPr>
          <w:p w:rsidR="00806A45" w:rsidRPr="00806A45" w:rsidRDefault="00806A45" w:rsidP="00806A45">
            <w:pPr>
              <w:widowControl/>
              <w:autoSpaceDE/>
              <w:autoSpaceDN/>
              <w:adjustRightInd/>
              <w:spacing w:line="240" w:lineRule="auto"/>
              <w:jc w:val="center"/>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utworzenie, prowadzenie i aktualizacja internetowej bazy danych o samochodach dla osób niepełnosprawnych</w:t>
            </w:r>
          </w:p>
        </w:tc>
      </w:tr>
      <w:tr w:rsidR="00806A45" w:rsidRPr="00806A45" w:rsidTr="00187457">
        <w:trPr>
          <w:gridAfter w:val="1"/>
          <w:wAfter w:w="10" w:type="dxa"/>
          <w:trHeight w:val="302"/>
        </w:trPr>
        <w:tc>
          <w:tcPr>
            <w:tcW w:w="10937" w:type="dxa"/>
            <w:gridSpan w:val="30"/>
            <w:shd w:val="clear" w:color="auto" w:fill="99CCFF"/>
            <w:vAlign w:val="center"/>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806A45">
              <w:rPr>
                <w:rFonts w:eastAsia="Calibri" w:cs="Times New Roman"/>
                <w:b/>
                <w:color w:val="000000"/>
                <w:sz w:val="22"/>
                <w:szCs w:val="22"/>
                <w:lang w:eastAsia="en-US"/>
              </w:rPr>
              <w:lastRenderedPageBreak/>
              <w:t>Informacje na temat zakresu, czasu trwania i podsumowanie wyników konsultacji.</w:t>
            </w:r>
          </w:p>
        </w:tc>
      </w:tr>
      <w:tr w:rsidR="00806A45" w:rsidRPr="00806A45" w:rsidTr="00187457">
        <w:trPr>
          <w:gridAfter w:val="1"/>
          <w:wAfter w:w="10" w:type="dxa"/>
          <w:trHeight w:val="342"/>
        </w:trPr>
        <w:tc>
          <w:tcPr>
            <w:tcW w:w="10937" w:type="dxa"/>
            <w:gridSpan w:val="30"/>
            <w:shd w:val="clear" w:color="auto" w:fill="FFFFFF"/>
          </w:tcPr>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Instytucje uczestniczące  w procesie konsultacji projektu </w:t>
            </w:r>
            <w:r w:rsidRPr="00806A45">
              <w:rPr>
                <w:rFonts w:eastAsia="Calibri" w:cs="Times New Roman"/>
                <w:i/>
                <w:color w:val="000000"/>
                <w:spacing w:val="-2"/>
                <w:sz w:val="22"/>
                <w:szCs w:val="22"/>
                <w:lang w:eastAsia="en-US"/>
              </w:rPr>
              <w:t>ustawy o zmianie ustawy o kierujących pojazdami</w:t>
            </w:r>
            <w:r w:rsidRPr="00806A45">
              <w:rPr>
                <w:rFonts w:eastAsia="Calibri" w:cs="Times New Roman"/>
                <w:color w:val="000000"/>
                <w:spacing w:val="-2"/>
                <w:sz w:val="22"/>
                <w:szCs w:val="22"/>
                <w:lang w:eastAsia="en-US"/>
              </w:rPr>
              <w:t xml:space="preserve"> odnosząc się do pierwotnego projektu przedstawionego w druku nr 409 wyraziły następujące pisemne stanowiska:  </w:t>
            </w:r>
          </w:p>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p>
          <w:p w:rsidR="00806A45" w:rsidRPr="00806A45" w:rsidRDefault="00806A45" w:rsidP="00BC791A">
            <w:pPr>
              <w:widowControl/>
              <w:numPr>
                <w:ilvl w:val="0"/>
                <w:numId w:val="50"/>
              </w:numPr>
              <w:autoSpaceDE/>
              <w:autoSpaceDN/>
              <w:adjustRightInd/>
              <w:spacing w:line="240" w:lineRule="auto"/>
              <w:ind w:left="36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Minister Rozwoju i Finansów wyraził poparcie przedmiotowego projektu. Jednocześnie zaproponował rozważenie całkowitego zwolnienia z opłaty za egzamin praktyczny dla osób niepełnosprawnych posiadających orzeczenie lekarskie z adnotacją, że mogą prowadzić pojazd silnikowy po przystosowaniu go do rodzaju schorzenia, w przypadku gdy jazda egzaminacyjna odbywa się pojazdem, o którym mowa w art. 54 ust. 5 pkt 1. Ponadto zdaniem Ministra Rozwoju i Finansów takie rozwiązanie wydaje się lepszym, gdyż zwolnienie osoby niepełnosprawnej z opłaty za egzamin praktyczny uprości formalności związane z egzaminem. </w:t>
            </w:r>
          </w:p>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p>
          <w:p w:rsidR="00806A45" w:rsidRPr="00806A45" w:rsidRDefault="00806A45" w:rsidP="00BC791A">
            <w:pPr>
              <w:widowControl/>
              <w:numPr>
                <w:ilvl w:val="0"/>
                <w:numId w:val="50"/>
              </w:numPr>
              <w:autoSpaceDE/>
              <w:autoSpaceDN/>
              <w:adjustRightInd/>
              <w:spacing w:line="240" w:lineRule="auto"/>
              <w:ind w:left="36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Minister Infrastruktury i Budownictwa wyraził pogląd, że właściwym rozwiązaniem jest jednoznaczne wskazanie ulgi w ustawie, ale całkowita rezygnacja z opłaty za część praktyczną egzaminu wydaje się rozwiązaniem niewłaściwym. Ponadto  stwierdził, że zaproponowane w projekcie rozwiązanie niesie za sobą wiele konsekwencji: </w:t>
            </w:r>
          </w:p>
          <w:p w:rsidR="00806A45" w:rsidRPr="00806A45" w:rsidRDefault="00806A45" w:rsidP="00BC791A">
            <w:pPr>
              <w:widowControl/>
              <w:numPr>
                <w:ilvl w:val="1"/>
                <w:numId w:val="50"/>
              </w:numPr>
              <w:autoSpaceDE/>
              <w:autoSpaceDN/>
              <w:adjustRightInd/>
              <w:spacing w:line="240" w:lineRule="auto"/>
              <w:ind w:left="108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Wojewódzkie Ośrodki Ruchu Drogowego, które są samorządowymi osobami prawnymi będą występowały z roszczeniem do skarbu państwa w zakresie finansowania poniesionych strat, gdyż zadaniem państwa jest pomoc osobom niepełnosprawnym, </w:t>
            </w:r>
          </w:p>
          <w:p w:rsidR="00806A45" w:rsidRPr="00806A45" w:rsidRDefault="00806A45" w:rsidP="00BC791A">
            <w:pPr>
              <w:widowControl/>
              <w:numPr>
                <w:ilvl w:val="1"/>
                <w:numId w:val="50"/>
              </w:numPr>
              <w:autoSpaceDE/>
              <w:autoSpaceDN/>
              <w:adjustRightInd/>
              <w:spacing w:line="240" w:lineRule="auto"/>
              <w:ind w:left="108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przyjęta konstrukcja prawna nie wyjaśnia jednoznacznie co się stanie, jeżeli koszt wynajęcia pojazdu przez osobę niepełnosprawną przekroczy koszt egzaminu, </w:t>
            </w:r>
          </w:p>
          <w:p w:rsidR="00806A45" w:rsidRPr="00806A45" w:rsidRDefault="00806A45" w:rsidP="00BC791A">
            <w:pPr>
              <w:widowControl/>
              <w:numPr>
                <w:ilvl w:val="1"/>
                <w:numId w:val="50"/>
              </w:numPr>
              <w:autoSpaceDE/>
              <w:autoSpaceDN/>
              <w:adjustRightInd/>
              <w:spacing w:line="240" w:lineRule="auto"/>
              <w:ind w:left="108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wprowadzenie rozwiązania w proponowanej formie może prowadzić do celowego zawyżania kosztów wynajmu pojazdów, tak aby każda osoba niepełnosprawna nie musiała wnosić opłaty za część praktyczną egzaminu, </w:t>
            </w:r>
          </w:p>
          <w:p w:rsidR="00806A45" w:rsidRPr="00806A45" w:rsidRDefault="00806A45" w:rsidP="00BC791A">
            <w:pPr>
              <w:widowControl/>
              <w:numPr>
                <w:ilvl w:val="1"/>
                <w:numId w:val="50"/>
              </w:numPr>
              <w:autoSpaceDE/>
              <w:autoSpaceDN/>
              <w:adjustRightInd/>
              <w:spacing w:line="240" w:lineRule="auto"/>
              <w:ind w:left="108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zasadne jest także rozważanie stworzenia ogólnopolskiej bazy pojazdów do nauki jazdy i egzaminowania przystosowanych do różnych rodzajów niepełnosprawności.</w:t>
            </w:r>
          </w:p>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p>
          <w:p w:rsidR="00806A45" w:rsidRPr="00806A45" w:rsidRDefault="00806A45" w:rsidP="00BC791A">
            <w:pPr>
              <w:widowControl/>
              <w:numPr>
                <w:ilvl w:val="0"/>
                <w:numId w:val="50"/>
              </w:numPr>
              <w:autoSpaceDE/>
              <w:autoSpaceDN/>
              <w:adjustRightInd/>
              <w:spacing w:line="240" w:lineRule="auto"/>
              <w:ind w:left="36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Ponadto Minister Infrastruktury i Budownictwa stwierdził, że warto rozważyć zmiany w </w:t>
            </w:r>
            <w:r w:rsidRPr="00806A45">
              <w:rPr>
                <w:rFonts w:eastAsia="Calibri" w:cs="Times New Roman"/>
                <w:i/>
                <w:color w:val="000000"/>
                <w:spacing w:val="-2"/>
                <w:sz w:val="22"/>
                <w:szCs w:val="22"/>
                <w:lang w:eastAsia="en-US"/>
              </w:rPr>
              <w:t xml:space="preserve">ustawie o rehabilitacji zawodowej i społecznej oraz zatrudnieniu osób niepełnosprawnych, </w:t>
            </w:r>
            <w:r w:rsidRPr="00806A45">
              <w:rPr>
                <w:rFonts w:eastAsia="Calibri" w:cs="Times New Roman"/>
                <w:color w:val="000000"/>
                <w:spacing w:val="-2"/>
                <w:sz w:val="22"/>
                <w:szCs w:val="22"/>
                <w:lang w:eastAsia="en-US"/>
              </w:rPr>
              <w:t>w której to można by całościowo uregulować</w:t>
            </w:r>
            <w:r w:rsidRPr="00806A45">
              <w:rPr>
                <w:rFonts w:eastAsia="Calibri" w:cs="Times New Roman"/>
                <w:i/>
                <w:color w:val="000000"/>
                <w:spacing w:val="-2"/>
                <w:sz w:val="22"/>
                <w:szCs w:val="22"/>
                <w:lang w:eastAsia="en-US"/>
              </w:rPr>
              <w:t xml:space="preserve">, </w:t>
            </w:r>
            <w:r w:rsidRPr="00806A45">
              <w:rPr>
                <w:rFonts w:eastAsia="Calibri" w:cs="Times New Roman"/>
                <w:color w:val="000000"/>
                <w:spacing w:val="-2"/>
                <w:sz w:val="22"/>
                <w:szCs w:val="22"/>
                <w:lang w:eastAsia="en-US"/>
              </w:rPr>
              <w:t xml:space="preserve">zarówno uprawnienie do uzyskania dofinansowania wynajmu pojazdu dla potrzeb egzaminu państwowego na prawo jazdy jak i stworzenie i prowadzenie bazy pojazdów szkoleniowych i egzaminacyjnych przystosowanych do różnych rodzajów niepełnosprawności.          </w:t>
            </w:r>
          </w:p>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p>
          <w:p w:rsidR="00806A45" w:rsidRPr="00806A45" w:rsidRDefault="00806A45" w:rsidP="00BC791A">
            <w:pPr>
              <w:widowControl/>
              <w:numPr>
                <w:ilvl w:val="0"/>
                <w:numId w:val="50"/>
              </w:numPr>
              <w:autoSpaceDE/>
              <w:autoSpaceDN/>
              <w:adjustRightInd/>
              <w:spacing w:line="240" w:lineRule="auto"/>
              <w:ind w:left="36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Minister Rodziny, Pracy i Polityki Społecznej stwierdził, że rozwiązania przyjęte w projekcie będą wymagały doprecyzowania, w szczególności koszt wynajęcia pojazdu. Minister nie kwestionując celu proponowanych rozwiązań, wyraził pogląd, że zasadne wydaje się dokonanie pogłębionej analizy problemu, tak aby wsparcie stanowiło efektywny mechanizm realizacji przez władze publiczne obowiązku pomocy osobom niepełnosprawnym w obszarze zdobywania uprawnień do kierowania pojazdami. Minister Rodziny, Pracy i Polityki Społecznej wyraził pogląd, że propozycja dodania w </w:t>
            </w:r>
            <w:r w:rsidRPr="00806A45">
              <w:rPr>
                <w:rFonts w:eastAsia="Calibri" w:cs="Times New Roman"/>
                <w:i/>
                <w:color w:val="000000"/>
                <w:spacing w:val="-2"/>
                <w:sz w:val="22"/>
                <w:szCs w:val="22"/>
                <w:lang w:eastAsia="en-US"/>
              </w:rPr>
              <w:t>ustawie o kierujących pojazdami</w:t>
            </w:r>
            <w:r w:rsidRPr="00806A45">
              <w:rPr>
                <w:rFonts w:eastAsia="Calibri" w:cs="Times New Roman"/>
                <w:color w:val="000000"/>
                <w:spacing w:val="-2"/>
                <w:sz w:val="22"/>
                <w:szCs w:val="22"/>
                <w:lang w:eastAsia="en-US"/>
              </w:rPr>
              <w:t xml:space="preserve"> regulacji dotyczącej utworzenia ogólnopolskiej bazy pojazdów przystosowanych do różnych rodzajów niepełnosprawności zasługuje na uznanie. Ponadto przestawione zostały informacje dotyczące programów Państwowego Funduszu Rehabilitacji Osób Niepełnosprawnych wspierających uzyskanie prawa jazdy.      </w:t>
            </w:r>
          </w:p>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p>
          <w:p w:rsidR="00806A45" w:rsidRPr="00806A45" w:rsidRDefault="00806A45" w:rsidP="00BC791A">
            <w:pPr>
              <w:widowControl/>
              <w:numPr>
                <w:ilvl w:val="0"/>
                <w:numId w:val="50"/>
              </w:numPr>
              <w:autoSpaceDE/>
              <w:autoSpaceDN/>
              <w:adjustRightInd/>
              <w:spacing w:line="240" w:lineRule="auto"/>
              <w:ind w:left="36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Stowarzyszenie Pomocy Niepełnosprawnym Kierowcom SPiNKa przedstawiło: </w:t>
            </w:r>
          </w:p>
          <w:p w:rsidR="00806A45" w:rsidRPr="00806A45" w:rsidRDefault="00806A45" w:rsidP="00BC791A">
            <w:pPr>
              <w:widowControl/>
              <w:numPr>
                <w:ilvl w:val="1"/>
                <w:numId w:val="50"/>
              </w:numPr>
              <w:autoSpaceDE/>
              <w:autoSpaceDN/>
              <w:adjustRightInd/>
              <w:spacing w:line="240" w:lineRule="auto"/>
              <w:ind w:left="108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propozycję korekty treści ust. 4 projektu, uzasadniając stanowisko argumentami natury legislacyjnej oraz ekonomicznej, </w:t>
            </w:r>
          </w:p>
          <w:p w:rsidR="00806A45" w:rsidRPr="00806A45" w:rsidRDefault="00806A45" w:rsidP="00BC791A">
            <w:pPr>
              <w:widowControl/>
              <w:numPr>
                <w:ilvl w:val="1"/>
                <w:numId w:val="50"/>
              </w:numPr>
              <w:autoSpaceDE/>
              <w:autoSpaceDN/>
              <w:adjustRightInd/>
              <w:spacing w:line="240" w:lineRule="auto"/>
              <w:ind w:left="108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propozycje dodania ust. 5 (internetowa baza akredytowanych Ośrodków Szkolenia Kierowców), uzasadniając, że przedstawiony projekt niedostatecznie odpowiada na istotę rozstrzygnięć TK, w sferze pomocy organizacyjno – technicznej i konieczne jest powołanie wyspecjalizowanego podmiotu, którego zadaniem będzie szerokie wsparcie osób niepełnosprawnych w zakresie mobilności motoryzacyjnej.       </w:t>
            </w:r>
          </w:p>
          <w:p w:rsidR="00806A45" w:rsidRPr="00806A45" w:rsidRDefault="00806A45" w:rsidP="00BC791A">
            <w:pPr>
              <w:widowControl/>
              <w:autoSpaceDE/>
              <w:autoSpaceDN/>
              <w:adjustRightInd/>
              <w:spacing w:line="240" w:lineRule="auto"/>
              <w:ind w:left="-720" w:firstLine="120"/>
              <w:rPr>
                <w:rFonts w:eastAsia="Calibri" w:cs="Times New Roman"/>
                <w:color w:val="000000"/>
                <w:spacing w:val="-2"/>
                <w:sz w:val="22"/>
                <w:szCs w:val="22"/>
                <w:lang w:eastAsia="en-US"/>
              </w:rPr>
            </w:pPr>
          </w:p>
          <w:p w:rsidR="00806A45" w:rsidRPr="00806A45" w:rsidRDefault="00806A45" w:rsidP="00BC791A">
            <w:pPr>
              <w:widowControl/>
              <w:numPr>
                <w:ilvl w:val="0"/>
                <w:numId w:val="50"/>
              </w:numPr>
              <w:autoSpaceDE/>
              <w:autoSpaceDN/>
              <w:adjustRightInd/>
              <w:spacing w:line="240" w:lineRule="auto"/>
              <w:ind w:left="36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ZUS stwierdził, że proponowane rozwiązania nie będą miały bezpośredniego wpływu na zadania realizowane przez Zakład. Prezes Prokuratorii Generalnej RP, Rzecznik Finansowy i Prezes Zarządu Państwowego Funduszu Rehabilitacji Osób Niepełnosprawnych nie zgłosił uwag do projektu ustawy. Ponadto Prezes Zarządu Państwowego Funduszu Rehabilitacji Osób Niepełnosprawnych przedstawił informacje nt. wielkości kształtowania się pomocy finansowej udzielanej osobom niepełnosprawnym na dostosowanie samochodu osobowego do niepełnosprawności kierowcy.  </w:t>
            </w:r>
          </w:p>
          <w:p w:rsidR="00806A45" w:rsidRPr="00806A45" w:rsidRDefault="00806A45" w:rsidP="00BC791A">
            <w:pPr>
              <w:widowControl/>
              <w:autoSpaceDE/>
              <w:autoSpaceDN/>
              <w:adjustRightInd/>
              <w:spacing w:line="240" w:lineRule="auto"/>
              <w:rPr>
                <w:rFonts w:eastAsia="Calibri" w:cs="Times New Roman"/>
                <w:color w:val="000000"/>
                <w:spacing w:val="-2"/>
                <w:sz w:val="22"/>
                <w:szCs w:val="22"/>
                <w:lang w:eastAsia="en-US"/>
              </w:rPr>
            </w:pPr>
          </w:p>
          <w:p w:rsidR="00806A45" w:rsidRPr="00806A45" w:rsidRDefault="00806A45" w:rsidP="00BC791A">
            <w:pPr>
              <w:widowControl/>
              <w:numPr>
                <w:ilvl w:val="0"/>
                <w:numId w:val="50"/>
              </w:numPr>
              <w:autoSpaceDE/>
              <w:autoSpaceDN/>
              <w:adjustRightInd/>
              <w:spacing w:line="240" w:lineRule="auto"/>
              <w:ind w:left="36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Dyrektor Wojewódzkiego Ośrodka Ruchu Drogowego w Poznaniu oraz w Suwałkach nie zgłosił uwag. </w:t>
            </w:r>
          </w:p>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p>
          <w:p w:rsidR="00806A45" w:rsidRPr="00806A45" w:rsidRDefault="00806A45" w:rsidP="00BC791A">
            <w:pPr>
              <w:widowControl/>
              <w:numPr>
                <w:ilvl w:val="0"/>
                <w:numId w:val="50"/>
              </w:numPr>
              <w:autoSpaceDE/>
              <w:autoSpaceDN/>
              <w:adjustRightInd/>
              <w:spacing w:line="240" w:lineRule="auto"/>
              <w:ind w:left="36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Dyrektor Wojewódzkiego Ośrodka Ruchu Drogowego w Warszawie zaopiniował negatywnie rozwiązania zaproponowane w projekcie, zwrócił uwagę na nieprecyzyjność pojęcia „kwoty stanowiącej koszt udostępnienia </w:t>
            </w:r>
            <w:r w:rsidRPr="00806A45">
              <w:rPr>
                <w:rFonts w:eastAsia="Calibri" w:cs="Times New Roman"/>
                <w:color w:val="000000"/>
                <w:spacing w:val="-2"/>
                <w:sz w:val="22"/>
                <w:szCs w:val="22"/>
                <w:lang w:eastAsia="en-US"/>
              </w:rPr>
              <w:lastRenderedPageBreak/>
              <w:t xml:space="preserve">pojazdu” oraz na brak zapewnienia skutecznych mechanizmów sprawdzenia rzetelności ustalenia kosztów udostępnienia pojazdu. Dyrektor wyraził pogląd, że projektowane rozwiązanie powinno spowodować istnienie jednakowej na terenie całego kraju wysokości opłaty za egzamin praktyczny dla osoby niepełnosprawnej.    </w:t>
            </w:r>
          </w:p>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p>
          <w:p w:rsidR="00806A45" w:rsidRPr="00806A45" w:rsidRDefault="00806A45" w:rsidP="00BC791A">
            <w:pPr>
              <w:widowControl/>
              <w:numPr>
                <w:ilvl w:val="0"/>
                <w:numId w:val="50"/>
              </w:numPr>
              <w:autoSpaceDE/>
              <w:autoSpaceDN/>
              <w:adjustRightInd/>
              <w:spacing w:line="240" w:lineRule="auto"/>
              <w:ind w:left="360"/>
              <w:contextualSpacing/>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Dyrektor Instytutu Transportowego stwierdził, że ocenia propozycję zniesienia opłaty za egzamin praktyczny na prawo jazdy jako w pełni zasadną i przedstawione zostały także propozycje zapisów legislacyjnych.  </w:t>
            </w:r>
          </w:p>
        </w:tc>
      </w:tr>
      <w:tr w:rsidR="00806A45" w:rsidRPr="00806A45" w:rsidTr="00187457">
        <w:trPr>
          <w:gridAfter w:val="1"/>
          <w:wAfter w:w="10" w:type="dxa"/>
          <w:trHeight w:val="363"/>
        </w:trPr>
        <w:tc>
          <w:tcPr>
            <w:tcW w:w="10937" w:type="dxa"/>
            <w:gridSpan w:val="30"/>
            <w:shd w:val="clear" w:color="auto" w:fill="99CCFF"/>
            <w:vAlign w:val="center"/>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806A45">
              <w:rPr>
                <w:rFonts w:eastAsia="Calibri" w:cs="Times New Roman"/>
                <w:b/>
                <w:color w:val="000000"/>
                <w:sz w:val="22"/>
                <w:szCs w:val="22"/>
                <w:lang w:eastAsia="en-US"/>
              </w:rPr>
              <w:lastRenderedPageBreak/>
              <w:t xml:space="preserve"> Wpływ na sektor finansów publicznych.</w:t>
            </w:r>
          </w:p>
        </w:tc>
      </w:tr>
      <w:tr w:rsidR="00806A45" w:rsidRPr="00806A45" w:rsidTr="00187457">
        <w:trPr>
          <w:gridAfter w:val="1"/>
          <w:wAfter w:w="10" w:type="dxa"/>
          <w:trHeight w:val="142"/>
        </w:trPr>
        <w:tc>
          <w:tcPr>
            <w:tcW w:w="2411" w:type="dxa"/>
            <w:gridSpan w:val="4"/>
            <w:vMerge w:val="restart"/>
            <w:shd w:val="clear" w:color="auto" w:fill="FFFFFF"/>
            <w:vAlign w:val="center"/>
          </w:tcPr>
          <w:p w:rsidR="00806A45" w:rsidRPr="00806A45" w:rsidRDefault="00806A45" w:rsidP="00806A45">
            <w:pPr>
              <w:widowControl/>
              <w:autoSpaceDE/>
              <w:autoSpaceDN/>
              <w:adjustRightInd/>
              <w:spacing w:before="40" w:after="40" w:line="276" w:lineRule="auto"/>
              <w:jc w:val="center"/>
              <w:rPr>
                <w:rFonts w:eastAsia="Calibri" w:cs="Times New Roman"/>
                <w:i/>
                <w:color w:val="000000"/>
                <w:sz w:val="21"/>
                <w:szCs w:val="21"/>
                <w:lang w:eastAsia="en-US"/>
              </w:rPr>
            </w:pPr>
            <w:r w:rsidRPr="00806A45">
              <w:rPr>
                <w:rFonts w:eastAsia="Calibri" w:cs="Times New Roman"/>
                <w:color w:val="000000"/>
                <w:sz w:val="21"/>
                <w:szCs w:val="21"/>
                <w:lang w:eastAsia="en-US"/>
              </w:rPr>
              <w:t>(ceny stałe z 2017 r.)</w:t>
            </w:r>
          </w:p>
        </w:tc>
        <w:tc>
          <w:tcPr>
            <w:tcW w:w="8526" w:type="dxa"/>
            <w:gridSpan w:val="26"/>
            <w:shd w:val="clear" w:color="auto" w:fill="FFFFFF"/>
          </w:tcPr>
          <w:p w:rsidR="00806A45" w:rsidRPr="00806A45" w:rsidRDefault="00806A45" w:rsidP="00806A45">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806A45">
              <w:rPr>
                <w:rFonts w:eastAsia="Calibri" w:cs="Times New Roman"/>
                <w:color w:val="000000"/>
                <w:sz w:val="21"/>
                <w:szCs w:val="21"/>
                <w:lang w:eastAsia="en-US"/>
              </w:rPr>
              <w:t>Skutki w okresie 10 lat od wejścia w życie zmian [mln zł]</w:t>
            </w:r>
          </w:p>
        </w:tc>
      </w:tr>
      <w:tr w:rsidR="00806A45" w:rsidRPr="00806A45" w:rsidTr="00187457">
        <w:trPr>
          <w:gridAfter w:val="1"/>
          <w:wAfter w:w="10" w:type="dxa"/>
          <w:trHeight w:val="142"/>
        </w:trPr>
        <w:tc>
          <w:tcPr>
            <w:tcW w:w="2411" w:type="dxa"/>
            <w:gridSpan w:val="4"/>
            <w:vMerge/>
            <w:shd w:val="clear" w:color="auto" w:fill="FFFFFF"/>
          </w:tcPr>
          <w:p w:rsidR="00806A45" w:rsidRPr="00806A45" w:rsidRDefault="00806A45" w:rsidP="00806A45">
            <w:pPr>
              <w:widowControl/>
              <w:autoSpaceDE/>
              <w:autoSpaceDN/>
              <w:adjustRightInd/>
              <w:spacing w:before="40" w:after="40" w:line="240" w:lineRule="auto"/>
              <w:jc w:val="left"/>
              <w:rPr>
                <w:rFonts w:eastAsia="Calibri" w:cs="Times New Roman"/>
                <w:i/>
                <w:color w:val="000000"/>
                <w:sz w:val="21"/>
                <w:szCs w:val="21"/>
                <w:lang w:eastAsia="en-US"/>
              </w:rPr>
            </w:pPr>
          </w:p>
        </w:tc>
        <w:tc>
          <w:tcPr>
            <w:tcW w:w="68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1</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3</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4</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5</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7</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8</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9</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2"/>
                <w:szCs w:val="22"/>
                <w:lang w:eastAsia="en-US"/>
              </w:rPr>
            </w:pPr>
            <w:r w:rsidRPr="00806A45">
              <w:rPr>
                <w:rFonts w:eastAsia="Calibri" w:cs="Times New Roman"/>
                <w:color w:val="000000"/>
                <w:sz w:val="22"/>
                <w:szCs w:val="22"/>
                <w:lang w:eastAsia="en-US"/>
              </w:rPr>
              <w:t>10</w:t>
            </w:r>
          </w:p>
        </w:tc>
        <w:tc>
          <w:tcPr>
            <w:tcW w:w="1014" w:type="dxa"/>
            <w:shd w:val="clear" w:color="auto" w:fill="FFFFFF"/>
          </w:tcPr>
          <w:p w:rsidR="00806A45" w:rsidRPr="00806A45" w:rsidRDefault="00806A45" w:rsidP="00806A45">
            <w:pPr>
              <w:widowControl/>
              <w:autoSpaceDE/>
              <w:autoSpaceDN/>
              <w:adjustRightInd/>
              <w:spacing w:before="40" w:after="40" w:line="240" w:lineRule="auto"/>
              <w:jc w:val="center"/>
              <w:rPr>
                <w:rFonts w:eastAsia="Calibri" w:cs="Times New Roman"/>
                <w:i/>
                <w:color w:val="000000"/>
                <w:spacing w:val="-2"/>
                <w:sz w:val="22"/>
                <w:szCs w:val="22"/>
                <w:lang w:eastAsia="en-US"/>
              </w:rPr>
            </w:pPr>
            <w:r w:rsidRPr="00806A45">
              <w:rPr>
                <w:rFonts w:eastAsia="Calibri" w:cs="Times New Roman"/>
                <w:i/>
                <w:color w:val="000000"/>
                <w:spacing w:val="-2"/>
                <w:sz w:val="22"/>
                <w:szCs w:val="22"/>
                <w:lang w:eastAsia="en-US"/>
              </w:rPr>
              <w:t>Łącznie (0-10)</w:t>
            </w:r>
          </w:p>
        </w:tc>
      </w:tr>
      <w:tr w:rsidR="00806A45" w:rsidRPr="00806A45" w:rsidTr="00187457">
        <w:trPr>
          <w:trHeight w:val="321"/>
        </w:trPr>
        <w:tc>
          <w:tcPr>
            <w:tcW w:w="2411" w:type="dxa"/>
            <w:gridSpan w:val="4"/>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b/>
                <w:color w:val="000000"/>
                <w:sz w:val="22"/>
                <w:szCs w:val="22"/>
                <w:lang w:eastAsia="en-US"/>
              </w:rPr>
              <w:t>Dochody ogółem</w:t>
            </w:r>
          </w:p>
        </w:tc>
        <w:tc>
          <w:tcPr>
            <w:tcW w:w="68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1024"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pacing w:val="-2"/>
                <w:sz w:val="18"/>
                <w:szCs w:val="18"/>
                <w:lang w:eastAsia="en-US"/>
              </w:rPr>
            </w:pPr>
            <w:r w:rsidRPr="00806A45">
              <w:rPr>
                <w:rFonts w:eastAsia="Calibri" w:cs="Times New Roman"/>
                <w:color w:val="000000"/>
                <w:sz w:val="18"/>
                <w:szCs w:val="18"/>
                <w:lang w:eastAsia="en-US"/>
              </w:rPr>
              <w:t>-0,560</w:t>
            </w:r>
          </w:p>
        </w:tc>
      </w:tr>
      <w:tr w:rsidR="00806A45" w:rsidRPr="00806A45" w:rsidTr="00187457">
        <w:trPr>
          <w:trHeight w:val="344"/>
        </w:trPr>
        <w:tc>
          <w:tcPr>
            <w:tcW w:w="2411" w:type="dxa"/>
            <w:gridSpan w:val="4"/>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t>Wojewódzkie Ośrodki Ruchu Drogowego</w:t>
            </w:r>
          </w:p>
        </w:tc>
        <w:tc>
          <w:tcPr>
            <w:tcW w:w="68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1024"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-0,560</w:t>
            </w:r>
          </w:p>
        </w:tc>
      </w:tr>
      <w:tr w:rsidR="00806A45" w:rsidRPr="00806A45" w:rsidTr="00187457">
        <w:trPr>
          <w:trHeight w:val="330"/>
        </w:trPr>
        <w:tc>
          <w:tcPr>
            <w:tcW w:w="2411" w:type="dxa"/>
            <w:gridSpan w:val="4"/>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b/>
                <w:color w:val="000000"/>
                <w:sz w:val="22"/>
                <w:szCs w:val="22"/>
                <w:lang w:eastAsia="en-US"/>
              </w:rPr>
              <w:t>Wydatki ogółem</w:t>
            </w:r>
          </w:p>
        </w:tc>
        <w:tc>
          <w:tcPr>
            <w:tcW w:w="68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0,018</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1024"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0,126</w:t>
            </w:r>
          </w:p>
        </w:tc>
      </w:tr>
      <w:tr w:rsidR="00806A45" w:rsidRPr="00806A45" w:rsidTr="00187457">
        <w:trPr>
          <w:trHeight w:val="351"/>
        </w:trPr>
        <w:tc>
          <w:tcPr>
            <w:tcW w:w="2411" w:type="dxa"/>
            <w:gridSpan w:val="4"/>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t xml:space="preserve">budżetu państwa </w:t>
            </w:r>
          </w:p>
        </w:tc>
        <w:tc>
          <w:tcPr>
            <w:tcW w:w="68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0,018</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1024"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0,126</w:t>
            </w:r>
          </w:p>
        </w:tc>
      </w:tr>
      <w:tr w:rsidR="00806A45" w:rsidRPr="00806A45" w:rsidTr="00187457">
        <w:trPr>
          <w:trHeight w:val="351"/>
        </w:trPr>
        <w:tc>
          <w:tcPr>
            <w:tcW w:w="2411" w:type="dxa"/>
            <w:gridSpan w:val="4"/>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t>Wojewódzkie Ośrodki Ruchu Drogowego</w:t>
            </w:r>
          </w:p>
        </w:tc>
        <w:tc>
          <w:tcPr>
            <w:tcW w:w="68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c>
          <w:tcPr>
            <w:tcW w:w="1024"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w:t>
            </w:r>
          </w:p>
        </w:tc>
      </w:tr>
      <w:tr w:rsidR="00806A45" w:rsidRPr="00806A45" w:rsidTr="00187457">
        <w:trPr>
          <w:trHeight w:val="360"/>
        </w:trPr>
        <w:tc>
          <w:tcPr>
            <w:tcW w:w="2411" w:type="dxa"/>
            <w:gridSpan w:val="4"/>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b/>
                <w:color w:val="000000"/>
                <w:sz w:val="22"/>
                <w:szCs w:val="22"/>
                <w:lang w:eastAsia="en-US"/>
              </w:rPr>
              <w:t>Saldo ogółem</w:t>
            </w:r>
          </w:p>
        </w:tc>
        <w:tc>
          <w:tcPr>
            <w:tcW w:w="68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-0,074</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-0,068</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-0,068</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-0,068</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-0,068</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-0,068</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-0,068</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-0,068</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-0,068</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-0,068</w:t>
            </w:r>
          </w:p>
        </w:tc>
        <w:tc>
          <w:tcPr>
            <w:tcW w:w="1024"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-0,686</w:t>
            </w:r>
          </w:p>
        </w:tc>
      </w:tr>
      <w:tr w:rsidR="00806A45" w:rsidRPr="00806A45" w:rsidTr="00187457">
        <w:trPr>
          <w:trHeight w:val="357"/>
        </w:trPr>
        <w:tc>
          <w:tcPr>
            <w:tcW w:w="2411" w:type="dxa"/>
            <w:gridSpan w:val="4"/>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t>budżetu państwa</w:t>
            </w:r>
          </w:p>
        </w:tc>
        <w:tc>
          <w:tcPr>
            <w:tcW w:w="68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-0,018</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-0,012</w:t>
            </w:r>
          </w:p>
        </w:tc>
        <w:tc>
          <w:tcPr>
            <w:tcW w:w="1024"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-0,126</w:t>
            </w:r>
          </w:p>
        </w:tc>
      </w:tr>
      <w:tr w:rsidR="00806A45" w:rsidRPr="00806A45" w:rsidTr="00187457">
        <w:trPr>
          <w:trHeight w:val="357"/>
        </w:trPr>
        <w:tc>
          <w:tcPr>
            <w:tcW w:w="2411" w:type="dxa"/>
            <w:gridSpan w:val="4"/>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t xml:space="preserve">Wojewódzkie Ośrodki Ruchu Drogowego </w:t>
            </w:r>
          </w:p>
        </w:tc>
        <w:tc>
          <w:tcPr>
            <w:tcW w:w="68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683"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-0,056</w:t>
            </w:r>
          </w:p>
        </w:tc>
        <w:tc>
          <w:tcPr>
            <w:tcW w:w="1024"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18"/>
                <w:szCs w:val="18"/>
                <w:lang w:eastAsia="en-US"/>
              </w:rPr>
            </w:pPr>
            <w:r w:rsidRPr="00806A45">
              <w:rPr>
                <w:rFonts w:eastAsia="Calibri" w:cs="Times New Roman"/>
                <w:color w:val="000000"/>
                <w:sz w:val="18"/>
                <w:szCs w:val="18"/>
                <w:lang w:eastAsia="en-US"/>
              </w:rPr>
              <w:t>-0,560</w:t>
            </w:r>
          </w:p>
        </w:tc>
      </w:tr>
      <w:tr w:rsidR="00806A45" w:rsidRPr="00806A45" w:rsidTr="00187457">
        <w:trPr>
          <w:gridAfter w:val="1"/>
          <w:wAfter w:w="10" w:type="dxa"/>
          <w:trHeight w:val="348"/>
        </w:trPr>
        <w:tc>
          <w:tcPr>
            <w:tcW w:w="1418" w:type="dxa"/>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t xml:space="preserve">Źródła finansowania </w:t>
            </w:r>
          </w:p>
        </w:tc>
        <w:tc>
          <w:tcPr>
            <w:tcW w:w="9519" w:type="dxa"/>
            <w:gridSpan w:val="29"/>
            <w:shd w:val="clear" w:color="auto" w:fill="FFFFFF"/>
            <w:vAlign w:val="center"/>
          </w:tcPr>
          <w:p w:rsidR="00806A45" w:rsidRPr="00806A45" w:rsidRDefault="00806A45" w:rsidP="00806A45">
            <w:pPr>
              <w:widowControl/>
              <w:autoSpaceDE/>
              <w:autoSpaceDN/>
              <w:adjustRightInd/>
              <w:spacing w:line="240" w:lineRule="auto"/>
              <w:rPr>
                <w:rFonts w:eastAsia="Calibri" w:cs="Times New Roman"/>
                <w:color w:val="000000"/>
                <w:sz w:val="21"/>
                <w:szCs w:val="21"/>
                <w:lang w:eastAsia="en-US"/>
              </w:rPr>
            </w:pPr>
            <w:r w:rsidRPr="00806A45">
              <w:rPr>
                <w:rFonts w:eastAsia="Calibri" w:cs="Times New Roman"/>
                <w:color w:val="000000"/>
                <w:sz w:val="21"/>
                <w:szCs w:val="21"/>
                <w:lang w:eastAsia="en-US"/>
              </w:rPr>
              <w:t>Środki na utworzenie, prowadzenie i aktualizację internetowej bazy zapewnia się z części budżetu państwa, której dysponentem jest minister właściwy do spraw gospodarki.</w:t>
            </w:r>
          </w:p>
        </w:tc>
      </w:tr>
      <w:tr w:rsidR="00806A45" w:rsidRPr="00806A45" w:rsidTr="00187457">
        <w:trPr>
          <w:gridAfter w:val="1"/>
          <w:wAfter w:w="10" w:type="dxa"/>
          <w:trHeight w:val="1258"/>
        </w:trPr>
        <w:tc>
          <w:tcPr>
            <w:tcW w:w="1418" w:type="dxa"/>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t>Dodatkowe informacje, w tym wskazanie źródeł danych i przyjętych do obliczeń założeń</w:t>
            </w:r>
          </w:p>
        </w:tc>
        <w:tc>
          <w:tcPr>
            <w:tcW w:w="9519" w:type="dxa"/>
            <w:gridSpan w:val="29"/>
            <w:shd w:val="clear" w:color="auto" w:fill="FFFFFF"/>
          </w:tcPr>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000000"/>
                <w:sz w:val="22"/>
                <w:szCs w:val="22"/>
                <w:lang w:eastAsia="en-US"/>
              </w:rPr>
              <w:t xml:space="preserve">Przedmiotowa regulacja będzie oddziaływała na sektor finansów publicznych i spowoduje zmniejszenie dochodów Wojewódzkich Ośrodków Ruchu Drogowego (o ok. 56 tys. zł w roku) oraz wzrost wydatków budżetu państwa (o ok. 12 tys. zł w roku). W konsekwencji przedmiotowa regulacja będzie powodowała wzrost ujemnego salda sektora finansów publicznych. Jednakże skala przyrostu będzie nieznaczna, ok. 68 tys. zł w roku, w okresie 10 lat obowiązywania regulacji ok. 686 tys. zł.   </w:t>
            </w: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b/>
                <w:color w:val="000000"/>
                <w:sz w:val="22"/>
                <w:szCs w:val="22"/>
                <w:lang w:eastAsia="en-US"/>
              </w:rPr>
              <w:t>Wpływ na dochody</w:t>
            </w:r>
            <w:r w:rsidRPr="00806A45">
              <w:rPr>
                <w:rFonts w:eastAsia="Calibri" w:cs="Times New Roman"/>
                <w:color w:val="000000"/>
                <w:sz w:val="22"/>
                <w:szCs w:val="22"/>
                <w:lang w:eastAsia="en-US"/>
              </w:rPr>
              <w:t xml:space="preserve">. Spadek dochodów Wojewódzkich Ośrodków Ruchu Drogowego będzie wynikał z wprowadzenia przepisu, w oparciu o który z opłaty za część praktyczną egzaminu zostaną zwolnione osoby niepełnosprawne w przypadku, gdy będą przystępować do sprawdzenia umiejętności na specjalnie dostosowanym samochodzie, który został przez nich wynajęty na potrzeby egzaminu na prawo jazdy. Kluczową zmienną decydująca o dokładności szacunku wpływu regulacji na zmniejszenie się dochodów Wojewódzkich Ośrodków Ruchu Drogowego jest zmienna wyrażająca liczbę egzaminów praktycznych na prawo jazdy, do których przystępować będą osoby niepełnosprawne. Z informacji zamieszczonej w uzasadnieniu do rozstrzygnięcia Trybunału Konstytucyjnego wynika, że w latach 2012-2015 liczba egzaminów praktycznych kategorii B do których przystępowały osoby niepełnosprawne wynosiła do 391 rocznie. </w:t>
            </w: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000000"/>
                <w:sz w:val="22"/>
                <w:szCs w:val="22"/>
                <w:lang w:eastAsia="en-US"/>
              </w:rPr>
              <w:t>Przyjmując liczbę egzaminów na poziomie ok. 400 rocznie i wzrost ulgi za egzamin praktyczny o 70 zł (w stosunku do stanu obecnego), zmniejszenie dochodów wynosiłoby ok. 28 tys. zł w roku. W okresie 10 lat obowiązywania regulacji skutki wynosiłyby ok. 280 tys. zł. Jednakże z danych pozyskanych od Wojewódzkich Ośrodków Ruchu Drogowego, które zostały zamieszczone w poniższej tabeli, wynika, że liczba egzaminów do których przystępować będą osoby niepełnosprawne na specjalnie dostosowanym samochodzie może być wyższa.</w:t>
            </w: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000000"/>
                <w:sz w:val="22"/>
                <w:szCs w:val="22"/>
                <w:lang w:eastAsia="en-US"/>
              </w:rPr>
              <w:t xml:space="preserve"> </w:t>
            </w:r>
          </w:p>
          <w:p w:rsidR="00806A45" w:rsidRPr="00806A45" w:rsidRDefault="00806A45" w:rsidP="00806A45">
            <w:pPr>
              <w:widowControl/>
              <w:autoSpaceDE/>
              <w:autoSpaceDN/>
              <w:adjustRightInd/>
              <w:spacing w:line="240" w:lineRule="auto"/>
              <w:ind w:left="708"/>
              <w:jc w:val="left"/>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          Tabela: Liczby egzaminów na prawo jazdy do których przystępowały osoby</w:t>
            </w:r>
          </w:p>
          <w:p w:rsidR="00806A45" w:rsidRPr="00806A45" w:rsidRDefault="00806A45" w:rsidP="00806A45">
            <w:pPr>
              <w:widowControl/>
              <w:autoSpaceDE/>
              <w:autoSpaceDN/>
              <w:adjustRightInd/>
              <w:spacing w:line="240" w:lineRule="auto"/>
              <w:ind w:left="708"/>
              <w:jc w:val="left"/>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           niepełnosprawne na specjalnie przystosowanym samochodzie.</w:t>
            </w:r>
          </w:p>
          <w:tbl>
            <w:tblPr>
              <w:tblStyle w:val="Tabela-Siatka1"/>
              <w:tblW w:w="6662" w:type="dxa"/>
              <w:tblInd w:w="1303" w:type="dxa"/>
              <w:tblLayout w:type="fixed"/>
              <w:tblLook w:val="04A0" w:firstRow="1" w:lastRow="0" w:firstColumn="1" w:lastColumn="0" w:noHBand="0" w:noVBand="1"/>
            </w:tblPr>
            <w:tblGrid>
              <w:gridCol w:w="3119"/>
              <w:gridCol w:w="992"/>
              <w:gridCol w:w="850"/>
              <w:gridCol w:w="851"/>
              <w:gridCol w:w="850"/>
            </w:tblGrid>
            <w:tr w:rsidR="00806A45" w:rsidRPr="00806A45" w:rsidTr="00187457">
              <w:trPr>
                <w:trHeight w:hRule="exact" w:val="567"/>
              </w:trPr>
              <w:tc>
                <w:tcPr>
                  <w:tcW w:w="3119" w:type="dxa"/>
                  <w:vAlign w:val="center"/>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Wojewódzki Ośrodek Ruchu Drogowego</w:t>
                  </w:r>
                </w:p>
              </w:tc>
              <w:tc>
                <w:tcPr>
                  <w:tcW w:w="992" w:type="dxa"/>
                </w:tcPr>
                <w:p w:rsidR="00806A45" w:rsidRPr="00806A45" w:rsidRDefault="00806A45" w:rsidP="00806A45">
                  <w:pPr>
                    <w:widowControl/>
                    <w:autoSpaceDE/>
                    <w:autoSpaceDN/>
                    <w:adjustRightInd/>
                    <w:jc w:val="center"/>
                    <w:rPr>
                      <w:rFonts w:eastAsia="Calibri" w:cs="Times New Roman"/>
                      <w:color w:val="000000"/>
                      <w:spacing w:val="-2"/>
                      <w:sz w:val="16"/>
                      <w:szCs w:val="16"/>
                      <w:lang w:eastAsia="en-US"/>
                    </w:rPr>
                  </w:pPr>
                  <w:r w:rsidRPr="00806A45">
                    <w:rPr>
                      <w:rFonts w:eastAsia="Calibri" w:cs="Times New Roman"/>
                      <w:color w:val="000000"/>
                      <w:spacing w:val="-2"/>
                      <w:sz w:val="16"/>
                      <w:szCs w:val="16"/>
                      <w:lang w:eastAsia="en-US"/>
                    </w:rPr>
                    <w:t>kod w orzeczeniu lekarskim</w:t>
                  </w:r>
                </w:p>
              </w:tc>
              <w:tc>
                <w:tcPr>
                  <w:tcW w:w="850" w:type="dxa"/>
                  <w:vAlign w:val="center"/>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2014</w:t>
                  </w:r>
                </w:p>
              </w:tc>
              <w:tc>
                <w:tcPr>
                  <w:tcW w:w="851" w:type="dxa"/>
                  <w:vAlign w:val="center"/>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2015</w:t>
                  </w:r>
                </w:p>
              </w:tc>
              <w:tc>
                <w:tcPr>
                  <w:tcW w:w="850" w:type="dxa"/>
                  <w:vAlign w:val="center"/>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2016</w:t>
                  </w:r>
                </w:p>
              </w:tc>
            </w:tr>
            <w:tr w:rsidR="00806A45" w:rsidRPr="00806A45" w:rsidTr="00187457">
              <w:trPr>
                <w:trHeight w:hRule="exact" w:val="227"/>
              </w:trPr>
              <w:tc>
                <w:tcPr>
                  <w:tcW w:w="6662" w:type="dxa"/>
                  <w:gridSpan w:val="5"/>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 xml:space="preserve">                                                                  [% ogółem egzaminów]</w:t>
                  </w:r>
                </w:p>
              </w:tc>
            </w:tr>
            <w:tr w:rsidR="00806A45" w:rsidRPr="00806A45" w:rsidTr="00187457">
              <w:trPr>
                <w:trHeight w:hRule="exact" w:val="227"/>
              </w:trPr>
              <w:tc>
                <w:tcPr>
                  <w:tcW w:w="3119"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 xml:space="preserve">w Suwałkach </w:t>
                  </w:r>
                </w:p>
              </w:tc>
              <w:tc>
                <w:tcPr>
                  <w:tcW w:w="992"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p>
              </w:tc>
              <w:tc>
                <w:tcPr>
                  <w:tcW w:w="2551" w:type="dxa"/>
                  <w:gridSpan w:val="3"/>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0,07%</w:t>
                  </w:r>
                </w:p>
              </w:tc>
            </w:tr>
            <w:tr w:rsidR="00806A45" w:rsidRPr="00806A45" w:rsidTr="00187457">
              <w:trPr>
                <w:trHeight w:hRule="exact" w:val="227"/>
              </w:trPr>
              <w:tc>
                <w:tcPr>
                  <w:tcW w:w="3119"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w Poznaniu</w:t>
                  </w:r>
                </w:p>
              </w:tc>
              <w:tc>
                <w:tcPr>
                  <w:tcW w:w="992"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107 choroby</w:t>
                  </w:r>
                </w:p>
              </w:tc>
              <w:tc>
                <w:tcPr>
                  <w:tcW w:w="850"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86</w:t>
                  </w:r>
                </w:p>
              </w:tc>
              <w:tc>
                <w:tcPr>
                  <w:tcW w:w="851"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37</w:t>
                  </w:r>
                </w:p>
              </w:tc>
              <w:tc>
                <w:tcPr>
                  <w:tcW w:w="850"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p>
              </w:tc>
            </w:tr>
            <w:tr w:rsidR="00806A45" w:rsidRPr="00806A45" w:rsidTr="00187457">
              <w:trPr>
                <w:trHeight w:hRule="exact" w:val="227"/>
              </w:trPr>
              <w:tc>
                <w:tcPr>
                  <w:tcW w:w="6662" w:type="dxa"/>
                  <w:gridSpan w:val="5"/>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 xml:space="preserve">                                                               [liczba egzaminów]</w:t>
                  </w:r>
                </w:p>
              </w:tc>
            </w:tr>
            <w:tr w:rsidR="00806A45" w:rsidRPr="00806A45" w:rsidTr="00187457">
              <w:trPr>
                <w:trHeight w:hRule="exact" w:val="227"/>
              </w:trPr>
              <w:tc>
                <w:tcPr>
                  <w:tcW w:w="3119" w:type="dxa"/>
                  <w:vMerge w:val="restart"/>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p>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w Warszawie</w:t>
                  </w:r>
                </w:p>
              </w:tc>
              <w:tc>
                <w:tcPr>
                  <w:tcW w:w="992"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p>
              </w:tc>
              <w:tc>
                <w:tcPr>
                  <w:tcW w:w="850"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61</w:t>
                  </w:r>
                </w:p>
              </w:tc>
              <w:tc>
                <w:tcPr>
                  <w:tcW w:w="851"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63</w:t>
                  </w:r>
                </w:p>
              </w:tc>
              <w:tc>
                <w:tcPr>
                  <w:tcW w:w="850"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94</w:t>
                  </w:r>
                </w:p>
              </w:tc>
            </w:tr>
            <w:tr w:rsidR="00806A45" w:rsidRPr="00806A45" w:rsidTr="00187457">
              <w:trPr>
                <w:trHeight w:hRule="exact" w:val="227"/>
              </w:trPr>
              <w:tc>
                <w:tcPr>
                  <w:tcW w:w="3119" w:type="dxa"/>
                  <w:vMerge/>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p>
              </w:tc>
              <w:tc>
                <w:tcPr>
                  <w:tcW w:w="992"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107 choroby</w:t>
                  </w:r>
                </w:p>
              </w:tc>
              <w:tc>
                <w:tcPr>
                  <w:tcW w:w="850"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69</w:t>
                  </w:r>
                </w:p>
              </w:tc>
              <w:tc>
                <w:tcPr>
                  <w:tcW w:w="851"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146</w:t>
                  </w:r>
                </w:p>
              </w:tc>
              <w:tc>
                <w:tcPr>
                  <w:tcW w:w="850" w:type="dxa"/>
                </w:tcPr>
                <w:p w:rsidR="00806A45" w:rsidRPr="00806A45" w:rsidRDefault="00806A45" w:rsidP="00806A45">
                  <w:pPr>
                    <w:widowControl/>
                    <w:autoSpaceDE/>
                    <w:autoSpaceDN/>
                    <w:adjustRightInd/>
                    <w:jc w:val="center"/>
                    <w:rPr>
                      <w:rFonts w:eastAsia="Calibri" w:cs="Times New Roman"/>
                      <w:color w:val="000000"/>
                      <w:spacing w:val="-2"/>
                      <w:sz w:val="18"/>
                      <w:szCs w:val="18"/>
                      <w:lang w:eastAsia="en-US"/>
                    </w:rPr>
                  </w:pPr>
                  <w:r w:rsidRPr="00806A45">
                    <w:rPr>
                      <w:rFonts w:eastAsia="Calibri" w:cs="Times New Roman"/>
                      <w:color w:val="000000"/>
                      <w:spacing w:val="-2"/>
                      <w:sz w:val="18"/>
                      <w:szCs w:val="18"/>
                      <w:lang w:eastAsia="en-US"/>
                    </w:rPr>
                    <w:t>118</w:t>
                  </w:r>
                </w:p>
              </w:tc>
            </w:tr>
          </w:tbl>
          <w:p w:rsidR="00806A45" w:rsidRPr="00806A45" w:rsidRDefault="00806A45" w:rsidP="00806A45">
            <w:pPr>
              <w:widowControl/>
              <w:autoSpaceDE/>
              <w:autoSpaceDN/>
              <w:adjustRightInd/>
              <w:spacing w:line="240" w:lineRule="auto"/>
              <w:jc w:val="left"/>
              <w:rPr>
                <w:rFonts w:eastAsia="Calibri" w:cs="Times New Roman"/>
                <w:color w:val="000000"/>
                <w:spacing w:val="-2"/>
                <w:sz w:val="16"/>
                <w:szCs w:val="16"/>
                <w:lang w:eastAsia="en-US"/>
              </w:rPr>
            </w:pPr>
            <w:r w:rsidRPr="00806A45">
              <w:rPr>
                <w:rFonts w:eastAsia="Calibri" w:cs="Times New Roman"/>
                <w:color w:val="000000"/>
                <w:spacing w:val="-2"/>
                <w:sz w:val="16"/>
                <w:szCs w:val="16"/>
                <w:lang w:eastAsia="en-US"/>
              </w:rPr>
              <w:t xml:space="preserve">                                  </w:t>
            </w:r>
            <w:r w:rsidRPr="00806A45">
              <w:rPr>
                <w:rFonts w:eastAsia="Calibri" w:cs="Times New Roman"/>
                <w:color w:val="000000"/>
                <w:spacing w:val="-2"/>
                <w:sz w:val="16"/>
                <w:szCs w:val="16"/>
                <w:u w:val="single"/>
                <w:lang w:eastAsia="en-US"/>
              </w:rPr>
              <w:t>Źródło</w:t>
            </w:r>
            <w:r w:rsidRPr="00806A45">
              <w:rPr>
                <w:rFonts w:eastAsia="Calibri" w:cs="Times New Roman"/>
                <w:color w:val="000000"/>
                <w:spacing w:val="-2"/>
                <w:sz w:val="16"/>
                <w:szCs w:val="16"/>
                <w:lang w:eastAsia="en-US"/>
              </w:rPr>
              <w:t>: Wojewódzkie Ośrodki Ruchu Drogowego</w:t>
            </w: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000000"/>
                <w:sz w:val="22"/>
                <w:szCs w:val="22"/>
                <w:lang w:eastAsia="en-US"/>
              </w:rPr>
              <w:lastRenderedPageBreak/>
              <w:t xml:space="preserve">Z danych Wojewódzkiego Ośrodka Ruchu Drogowego w Suwałkach wynika, że udział egzaminów praktycznych, do których przystępują osoby niepełnosprawne w ogólnej liczbie egzaminów wynosi 0,07%. Przyjmując ten parametr oraz uwzględniając liczbę wydanych praw jazdy kategorii B w latach 2014-2016 w kraju, a także wskaźnik zdawalności egzaminów praktycznych (na poziomie 34,5%) można oszacować liczbę egzaminów na prawo jazdy do których przystępowały osoby niepełnosprawne na specjalnie dostosowanym samochodzie w przedziale od 700 do 900 rocznie. </w:t>
            </w: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000000"/>
                <w:sz w:val="22"/>
                <w:szCs w:val="22"/>
                <w:lang w:eastAsia="en-US"/>
              </w:rPr>
              <w:t xml:space="preserve">Skutki regulacji w postaci zmniejszenia dochodów Wojewódzkich Ośrodków Ruchu Drogowego, podmiotu zaliczanego do sektora finansów publicznych, powinny być szacowane przy zastosowaniu podejścia konserwatywnego. W związku z tym ocena wpływu została dokonana dla parametru wyrażającego liczbę egzaminów praktycznych kategorii B do których przystępować będą osoby niepełnosprawne przyjętego na poziomie 800 osób w roku. Dla takich założeń zmniejszenie dochodów Wojewódzkich Ośrodków Ruchu Drogowego oszacowane zostały na kwotę ok. 56 tys. zł w roku, w okresie 10 lat obowiązywania regulacji na ok. 560 tys. zł.        </w:t>
            </w: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000000"/>
                <w:sz w:val="22"/>
                <w:szCs w:val="22"/>
                <w:lang w:eastAsia="en-US"/>
              </w:rPr>
              <w:t>Wg danych opublikowanych w raporcie NIK o nadawaniu uprawnień kierowcom średnia zdawalność egzaminów praktycznych na prawo jazdy w 2014 r. wynosiła 34,5 proc. (w 2013 r. - 31,5 proc.), natomiast wg opracowania Biura Analiz i Dokumentacji Kancelarii Senatu z dnia 15 lutego 2012 r. „</w:t>
            </w:r>
            <w:r w:rsidRPr="00806A45">
              <w:rPr>
                <w:rFonts w:eastAsia="Calibri" w:cs="Times New Roman"/>
                <w:i/>
                <w:color w:val="000000"/>
                <w:sz w:val="22"/>
                <w:szCs w:val="22"/>
                <w:lang w:eastAsia="en-US"/>
              </w:rPr>
              <w:t>Porównanie systemów szkolenia i egzaminowania kierowców w Polsce i w Niemczech”</w:t>
            </w:r>
            <w:r w:rsidRPr="00806A45">
              <w:rPr>
                <w:rFonts w:eastAsia="Calibri" w:cs="Times New Roman"/>
                <w:color w:val="000000"/>
                <w:sz w:val="22"/>
                <w:szCs w:val="22"/>
                <w:lang w:eastAsia="en-US"/>
              </w:rPr>
              <w:t xml:space="preserve"> kształtuje się na poziomie 30% zdających.</w:t>
            </w: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b/>
                <w:color w:val="000000"/>
                <w:sz w:val="22"/>
                <w:szCs w:val="22"/>
                <w:lang w:eastAsia="en-US"/>
              </w:rPr>
              <w:t>Wpływ na wydatki</w:t>
            </w:r>
            <w:r w:rsidRPr="00806A45">
              <w:rPr>
                <w:rFonts w:eastAsia="Calibri" w:cs="Times New Roman"/>
                <w:color w:val="000000"/>
                <w:sz w:val="22"/>
                <w:szCs w:val="22"/>
                <w:lang w:eastAsia="en-US"/>
              </w:rPr>
              <w:t xml:space="preserve">. W związku z realizacją zadania polegającego na utworzeniu i prowadzeniu internetowej bazy zawierającej informacje o pojazdach przystosowanych do rodzaju schorzenia osoby niepełnosprawnej będących w dyspozycji ośrodków szkolenia kierowców przedmiotowa regulacja będzie powodować także zwiększenie wydatków sektora finansów publicznych. Z przeprowadzonych analiz wynika, że konieczne będzie poniesienie wydatków jednorazowych w kwocie ok. 12 tys. zł, w celu napisania odpowiedniego oprogramowania oraz wydatków stałych ponoszonych w ciągu roku, w kwocie ok. 12 tys. zł, na utrzymanie infrastruktury i aktualizację danych zamieszczonych w bazie. Szacunki wydatków związanych z wypełnieniem tego zadania sporządzono przyjmując następujące założenia: </w:t>
            </w:r>
          </w:p>
          <w:p w:rsidR="00806A45" w:rsidRPr="00806A45" w:rsidRDefault="00806A45" w:rsidP="00222AEC">
            <w:pPr>
              <w:widowControl/>
              <w:numPr>
                <w:ilvl w:val="0"/>
                <w:numId w:val="49"/>
              </w:numPr>
              <w:autoSpaceDE/>
              <w:autoSpaceDN/>
              <w:adjustRightInd/>
              <w:spacing w:line="240" w:lineRule="auto"/>
              <w:contextualSpacing/>
              <w:rPr>
                <w:rFonts w:eastAsia="Calibri" w:cs="Times New Roman"/>
                <w:color w:val="000000"/>
                <w:sz w:val="22"/>
                <w:szCs w:val="22"/>
                <w:lang w:eastAsia="en-US"/>
              </w:rPr>
            </w:pPr>
            <w:r w:rsidRPr="00806A45">
              <w:rPr>
                <w:rFonts w:eastAsia="Calibri" w:cs="Times New Roman"/>
                <w:color w:val="000000"/>
                <w:sz w:val="22"/>
                <w:szCs w:val="22"/>
                <w:lang w:eastAsia="en-US"/>
              </w:rPr>
              <w:t xml:space="preserve">podmiot, któremu minister  do spraw gospodarki zleci prowadzenie bazy danych posiada już stronę internetową dlatego zadanie programisty będzie polegała na napisanie dodatkowego kompatybilnego oprogramowania sterującego funkcjonowaniem internetowego zbioru danych o samochodach, pracochłonność tego zadania określono na ok. 80 h,  </w:t>
            </w:r>
          </w:p>
          <w:p w:rsidR="00806A45" w:rsidRPr="00806A45" w:rsidRDefault="00806A45" w:rsidP="00222AEC">
            <w:pPr>
              <w:widowControl/>
              <w:numPr>
                <w:ilvl w:val="0"/>
                <w:numId w:val="49"/>
              </w:numPr>
              <w:autoSpaceDE/>
              <w:autoSpaceDN/>
              <w:adjustRightInd/>
              <w:spacing w:line="240" w:lineRule="auto"/>
              <w:contextualSpacing/>
              <w:rPr>
                <w:rFonts w:eastAsia="Calibri" w:cs="Times New Roman"/>
                <w:color w:val="000000"/>
                <w:sz w:val="22"/>
                <w:szCs w:val="22"/>
                <w:lang w:eastAsia="en-US"/>
              </w:rPr>
            </w:pPr>
            <w:r w:rsidRPr="00806A45">
              <w:rPr>
                <w:rFonts w:eastAsia="Calibri" w:cs="Times New Roman"/>
                <w:color w:val="000000"/>
                <w:sz w:val="22"/>
                <w:szCs w:val="22"/>
                <w:lang w:eastAsia="en-US"/>
              </w:rPr>
              <w:t>koszt pracy informatyka piszącego oprogramowanie przyjęto na poziomie 150 zł/h,</w:t>
            </w:r>
          </w:p>
          <w:p w:rsidR="00806A45" w:rsidRPr="00806A45" w:rsidRDefault="00806A45" w:rsidP="00222AEC">
            <w:pPr>
              <w:widowControl/>
              <w:numPr>
                <w:ilvl w:val="0"/>
                <w:numId w:val="49"/>
              </w:numPr>
              <w:autoSpaceDE/>
              <w:autoSpaceDN/>
              <w:adjustRightInd/>
              <w:spacing w:line="240" w:lineRule="auto"/>
              <w:contextualSpacing/>
              <w:rPr>
                <w:rFonts w:eastAsia="Calibri" w:cs="Times New Roman"/>
                <w:color w:val="000000"/>
                <w:sz w:val="22"/>
                <w:szCs w:val="22"/>
                <w:lang w:eastAsia="en-US"/>
              </w:rPr>
            </w:pPr>
            <w:r w:rsidRPr="00806A45">
              <w:rPr>
                <w:rFonts w:eastAsia="Calibri" w:cs="Times New Roman"/>
                <w:color w:val="000000"/>
                <w:sz w:val="22"/>
                <w:szCs w:val="22"/>
                <w:lang w:eastAsia="en-US"/>
              </w:rPr>
              <w:t xml:space="preserve">koszt związany z zabezpieczeniem serwera przez zewnętrzną firmę przyjęto na poziomie 500 zł/m-c, w okresie 10 lat liczenia skutków wielkość ta będzie wzrastała, w rachunku nie uwzględniono tego wpływu,  </w:t>
            </w:r>
          </w:p>
          <w:p w:rsidR="00806A45" w:rsidRPr="00806A45" w:rsidRDefault="00806A45" w:rsidP="00222AEC">
            <w:pPr>
              <w:widowControl/>
              <w:numPr>
                <w:ilvl w:val="0"/>
                <w:numId w:val="49"/>
              </w:numPr>
              <w:autoSpaceDE/>
              <w:autoSpaceDN/>
              <w:adjustRightInd/>
              <w:spacing w:line="240" w:lineRule="auto"/>
              <w:contextualSpacing/>
              <w:rPr>
                <w:rFonts w:eastAsia="Calibri" w:cs="Times New Roman"/>
                <w:color w:val="000000"/>
                <w:sz w:val="22"/>
                <w:szCs w:val="22"/>
                <w:lang w:eastAsia="en-US"/>
              </w:rPr>
            </w:pPr>
            <w:r w:rsidRPr="00806A45">
              <w:rPr>
                <w:rFonts w:eastAsia="Calibri" w:cs="Times New Roman"/>
                <w:color w:val="000000"/>
                <w:sz w:val="22"/>
                <w:szCs w:val="22"/>
                <w:lang w:eastAsia="en-US"/>
              </w:rPr>
              <w:t>koszty związane z aktualizacją danych o samochodach zamieszczonych w bazie przyjmuje się na poziomie ok. 500 zł/m-c, gdyż pracochłonność tego zadania będzie nieduża (nieliczny park samochodów, niska ich rotacja czy konieczność dokonania poprawy ich opisu),</w:t>
            </w:r>
          </w:p>
          <w:p w:rsidR="00806A45" w:rsidRPr="00806A45" w:rsidRDefault="00806A45" w:rsidP="00222AEC">
            <w:pPr>
              <w:widowControl/>
              <w:numPr>
                <w:ilvl w:val="0"/>
                <w:numId w:val="49"/>
              </w:numPr>
              <w:autoSpaceDE/>
              <w:autoSpaceDN/>
              <w:adjustRightInd/>
              <w:spacing w:line="240" w:lineRule="auto"/>
              <w:contextualSpacing/>
              <w:rPr>
                <w:rFonts w:eastAsia="Calibri" w:cs="Times New Roman"/>
                <w:color w:val="000000"/>
                <w:sz w:val="22"/>
                <w:szCs w:val="22"/>
                <w:lang w:eastAsia="en-US"/>
              </w:rPr>
            </w:pPr>
            <w:r w:rsidRPr="00806A45">
              <w:rPr>
                <w:rFonts w:eastAsia="Calibri" w:cs="Times New Roman"/>
                <w:color w:val="000000"/>
                <w:sz w:val="22"/>
                <w:szCs w:val="22"/>
                <w:lang w:eastAsia="en-US"/>
              </w:rPr>
              <w:t xml:space="preserve">przyjęto, że organizacja przedsięwzięcia polegającego na uruchomieniu bazy danych o samochodach dla osób niepełnosprawnych zajmie ok. ½ roku (decyzja ministra o wyborze podmiotu, zamówienie publiczne, oprogramowanie, wdrożenie projektu).  </w:t>
            </w:r>
          </w:p>
          <w:p w:rsidR="00806A45" w:rsidRPr="00806A45" w:rsidRDefault="00806A45" w:rsidP="00806A45">
            <w:pPr>
              <w:widowControl/>
              <w:autoSpaceDE/>
              <w:autoSpaceDN/>
              <w:adjustRightInd/>
              <w:spacing w:line="240" w:lineRule="auto"/>
              <w:ind w:left="720"/>
              <w:contextualSpacing/>
              <w:rPr>
                <w:rFonts w:eastAsia="Calibri" w:cs="Times New Roman"/>
                <w:color w:val="000000"/>
                <w:sz w:val="22"/>
                <w:szCs w:val="22"/>
                <w:lang w:eastAsia="en-US"/>
              </w:rPr>
            </w:pPr>
          </w:p>
        </w:tc>
      </w:tr>
      <w:tr w:rsidR="00806A45" w:rsidRPr="00806A45" w:rsidTr="00187457">
        <w:trPr>
          <w:gridAfter w:val="1"/>
          <w:wAfter w:w="10" w:type="dxa"/>
          <w:trHeight w:val="345"/>
        </w:trPr>
        <w:tc>
          <w:tcPr>
            <w:tcW w:w="10937" w:type="dxa"/>
            <w:gridSpan w:val="30"/>
            <w:shd w:val="clear" w:color="auto" w:fill="99CCFF"/>
          </w:tcPr>
          <w:p w:rsidR="00806A45" w:rsidRPr="00806A45" w:rsidRDefault="00806A45" w:rsidP="00806A45">
            <w:pPr>
              <w:widowControl/>
              <w:numPr>
                <w:ilvl w:val="0"/>
                <w:numId w:val="47"/>
              </w:numPr>
              <w:autoSpaceDE/>
              <w:autoSpaceDN/>
              <w:adjustRightInd/>
              <w:spacing w:before="120" w:after="120" w:line="240" w:lineRule="auto"/>
              <w:jc w:val="left"/>
              <w:rPr>
                <w:rFonts w:eastAsia="Calibri" w:cs="Times New Roman"/>
                <w:b/>
                <w:color w:val="000000"/>
                <w:spacing w:val="-2"/>
                <w:sz w:val="22"/>
                <w:szCs w:val="22"/>
                <w:lang w:eastAsia="en-US"/>
              </w:rPr>
            </w:pPr>
            <w:r w:rsidRPr="00806A45">
              <w:rPr>
                <w:rFonts w:eastAsia="Calibri" w:cs="Times New Roman"/>
                <w:b/>
                <w:color w:val="000000"/>
                <w:spacing w:val="-2"/>
                <w:sz w:val="22"/>
                <w:szCs w:val="22"/>
                <w:lang w:eastAsia="en-US"/>
              </w:rPr>
              <w:lastRenderedPageBreak/>
              <w:t xml:space="preserve">Wpływ na </w:t>
            </w:r>
            <w:r w:rsidRPr="00806A45">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806A45" w:rsidRPr="00806A45" w:rsidTr="00187457">
        <w:trPr>
          <w:gridAfter w:val="1"/>
          <w:wAfter w:w="10" w:type="dxa"/>
          <w:trHeight w:val="142"/>
        </w:trPr>
        <w:tc>
          <w:tcPr>
            <w:tcW w:w="10937" w:type="dxa"/>
            <w:gridSpan w:val="30"/>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pacing w:val="-2"/>
                <w:sz w:val="21"/>
                <w:szCs w:val="21"/>
                <w:lang w:eastAsia="en-US"/>
              </w:rPr>
            </w:pPr>
            <w:r w:rsidRPr="00806A45">
              <w:rPr>
                <w:rFonts w:eastAsia="Calibri" w:cs="Times New Roman"/>
                <w:color w:val="000000"/>
                <w:spacing w:val="-2"/>
                <w:sz w:val="21"/>
                <w:szCs w:val="21"/>
                <w:lang w:eastAsia="en-US"/>
              </w:rPr>
              <w:t>Skutki</w:t>
            </w:r>
          </w:p>
        </w:tc>
      </w:tr>
      <w:tr w:rsidR="00806A45" w:rsidRPr="00806A45" w:rsidTr="00187457">
        <w:trPr>
          <w:gridAfter w:val="1"/>
          <w:wAfter w:w="10" w:type="dxa"/>
          <w:trHeight w:val="142"/>
        </w:trPr>
        <w:tc>
          <w:tcPr>
            <w:tcW w:w="3889" w:type="dxa"/>
            <w:gridSpan w:val="9"/>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r w:rsidRPr="00806A45">
              <w:rPr>
                <w:rFonts w:eastAsia="Calibri" w:cs="Times New Roman"/>
                <w:color w:val="000000"/>
                <w:sz w:val="21"/>
                <w:szCs w:val="21"/>
                <w:lang w:eastAsia="en-US"/>
              </w:rPr>
              <w:t>Czas w latach od wejścia w życie zmian</w:t>
            </w:r>
          </w:p>
        </w:tc>
        <w:tc>
          <w:tcPr>
            <w:tcW w:w="937"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1"/>
                <w:szCs w:val="21"/>
                <w:lang w:eastAsia="en-US"/>
              </w:rPr>
            </w:pPr>
            <w:r w:rsidRPr="00806A45">
              <w:rPr>
                <w:rFonts w:eastAsia="Calibri" w:cs="Times New Roman"/>
                <w:color w:val="000000"/>
                <w:sz w:val="21"/>
                <w:szCs w:val="21"/>
                <w:lang w:eastAsia="en-US"/>
              </w:rPr>
              <w:t>0</w:t>
            </w:r>
          </w:p>
        </w:tc>
        <w:tc>
          <w:tcPr>
            <w:tcW w:w="938"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1"/>
                <w:szCs w:val="21"/>
                <w:lang w:eastAsia="en-US"/>
              </w:rPr>
            </w:pPr>
            <w:r w:rsidRPr="00806A45">
              <w:rPr>
                <w:rFonts w:eastAsia="Calibri" w:cs="Times New Roman"/>
                <w:color w:val="000000"/>
                <w:sz w:val="21"/>
                <w:szCs w:val="21"/>
                <w:lang w:eastAsia="en-US"/>
              </w:rPr>
              <w:t>1</w:t>
            </w:r>
          </w:p>
        </w:tc>
        <w:tc>
          <w:tcPr>
            <w:tcW w:w="938" w:type="dxa"/>
            <w:gridSpan w:val="5"/>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1"/>
                <w:szCs w:val="21"/>
                <w:lang w:eastAsia="en-US"/>
              </w:rPr>
            </w:pPr>
            <w:r w:rsidRPr="00806A45">
              <w:rPr>
                <w:rFonts w:eastAsia="Calibri" w:cs="Times New Roman"/>
                <w:color w:val="000000"/>
                <w:sz w:val="21"/>
                <w:szCs w:val="21"/>
                <w:lang w:eastAsia="en-US"/>
              </w:rPr>
              <w:t>2</w:t>
            </w:r>
          </w:p>
        </w:tc>
        <w:tc>
          <w:tcPr>
            <w:tcW w:w="937"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1"/>
                <w:szCs w:val="21"/>
                <w:lang w:eastAsia="en-US"/>
              </w:rPr>
            </w:pPr>
            <w:r w:rsidRPr="00806A45">
              <w:rPr>
                <w:rFonts w:eastAsia="Calibri" w:cs="Times New Roman"/>
                <w:color w:val="000000"/>
                <w:sz w:val="21"/>
                <w:szCs w:val="21"/>
                <w:lang w:eastAsia="en-US"/>
              </w:rPr>
              <w:t>3</w:t>
            </w:r>
          </w:p>
        </w:tc>
        <w:tc>
          <w:tcPr>
            <w:tcW w:w="938" w:type="dxa"/>
            <w:gridSpan w:val="4"/>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1"/>
                <w:szCs w:val="21"/>
                <w:lang w:eastAsia="en-US"/>
              </w:rPr>
            </w:pPr>
            <w:r w:rsidRPr="00806A45">
              <w:rPr>
                <w:rFonts w:eastAsia="Calibri" w:cs="Times New Roman"/>
                <w:color w:val="000000"/>
                <w:sz w:val="21"/>
                <w:szCs w:val="21"/>
                <w:lang w:eastAsia="en-US"/>
              </w:rPr>
              <w:t>5</w:t>
            </w:r>
          </w:p>
        </w:tc>
        <w:tc>
          <w:tcPr>
            <w:tcW w:w="938"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1"/>
                <w:szCs w:val="21"/>
                <w:lang w:eastAsia="en-US"/>
              </w:rPr>
            </w:pPr>
            <w:r w:rsidRPr="00806A45">
              <w:rPr>
                <w:rFonts w:eastAsia="Calibri" w:cs="Times New Roman"/>
                <w:color w:val="000000"/>
                <w:sz w:val="21"/>
                <w:szCs w:val="21"/>
                <w:lang w:eastAsia="en-US"/>
              </w:rPr>
              <w:t>10</w:t>
            </w:r>
          </w:p>
        </w:tc>
        <w:tc>
          <w:tcPr>
            <w:tcW w:w="142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i/>
                <w:color w:val="000000"/>
                <w:spacing w:val="-2"/>
                <w:sz w:val="21"/>
                <w:szCs w:val="21"/>
                <w:lang w:eastAsia="en-US"/>
              </w:rPr>
            </w:pPr>
            <w:r w:rsidRPr="00806A45">
              <w:rPr>
                <w:rFonts w:eastAsia="Calibri" w:cs="Times New Roman"/>
                <w:i/>
                <w:color w:val="000000"/>
                <w:spacing w:val="-2"/>
                <w:sz w:val="21"/>
                <w:szCs w:val="21"/>
                <w:lang w:eastAsia="en-US"/>
              </w:rPr>
              <w:t>Łącznie</w:t>
            </w:r>
            <w:r w:rsidRPr="00806A45" w:rsidDel="0073273A">
              <w:rPr>
                <w:rFonts w:eastAsia="Calibri" w:cs="Times New Roman"/>
                <w:i/>
                <w:color w:val="000000"/>
                <w:spacing w:val="-2"/>
                <w:sz w:val="21"/>
                <w:szCs w:val="21"/>
                <w:lang w:eastAsia="en-US"/>
              </w:rPr>
              <w:t xml:space="preserve"> </w:t>
            </w:r>
            <w:r w:rsidRPr="00806A45">
              <w:rPr>
                <w:rFonts w:eastAsia="Calibri" w:cs="Times New Roman"/>
                <w:i/>
                <w:color w:val="000000"/>
                <w:spacing w:val="-2"/>
                <w:sz w:val="21"/>
                <w:szCs w:val="21"/>
                <w:lang w:eastAsia="en-US"/>
              </w:rPr>
              <w:t>(0-10)</w:t>
            </w:r>
          </w:p>
        </w:tc>
      </w:tr>
      <w:tr w:rsidR="00806A45" w:rsidRPr="00806A45" w:rsidTr="00187457">
        <w:trPr>
          <w:gridAfter w:val="1"/>
          <w:wAfter w:w="10" w:type="dxa"/>
          <w:trHeight w:val="142"/>
        </w:trPr>
        <w:tc>
          <w:tcPr>
            <w:tcW w:w="1596" w:type="dxa"/>
            <w:gridSpan w:val="2"/>
            <w:vMerge w:val="restart"/>
            <w:shd w:val="clear" w:color="auto" w:fill="FFFFFF"/>
          </w:tcPr>
          <w:p w:rsidR="00806A45" w:rsidRPr="00806A45" w:rsidRDefault="00806A45" w:rsidP="00806A45">
            <w:pPr>
              <w:widowControl/>
              <w:autoSpaceDE/>
              <w:autoSpaceDN/>
              <w:adjustRightInd/>
              <w:spacing w:line="276" w:lineRule="auto"/>
              <w:jc w:val="left"/>
              <w:rPr>
                <w:rFonts w:eastAsia="Calibri" w:cs="Times New Roman"/>
                <w:color w:val="000000"/>
                <w:sz w:val="21"/>
                <w:szCs w:val="21"/>
                <w:lang w:eastAsia="en-US"/>
              </w:rPr>
            </w:pPr>
            <w:r w:rsidRPr="00806A45">
              <w:rPr>
                <w:rFonts w:eastAsia="Calibri" w:cs="Times New Roman"/>
                <w:color w:val="000000"/>
                <w:sz w:val="21"/>
                <w:szCs w:val="21"/>
                <w:lang w:eastAsia="en-US"/>
              </w:rPr>
              <w:t>W ujęciu pieniężnym</w:t>
            </w:r>
          </w:p>
          <w:p w:rsidR="00806A45" w:rsidRPr="00806A45" w:rsidRDefault="00806A45" w:rsidP="00806A45">
            <w:pPr>
              <w:widowControl/>
              <w:autoSpaceDE/>
              <w:autoSpaceDN/>
              <w:adjustRightInd/>
              <w:spacing w:line="276" w:lineRule="auto"/>
              <w:jc w:val="left"/>
              <w:rPr>
                <w:rFonts w:eastAsia="Calibri" w:cs="Times New Roman"/>
                <w:spacing w:val="-2"/>
                <w:sz w:val="21"/>
                <w:szCs w:val="21"/>
                <w:lang w:eastAsia="en-US"/>
              </w:rPr>
            </w:pPr>
            <w:r w:rsidRPr="00806A45">
              <w:rPr>
                <w:rFonts w:eastAsia="Calibri" w:cs="Times New Roman"/>
                <w:spacing w:val="-2"/>
                <w:sz w:val="21"/>
                <w:szCs w:val="21"/>
                <w:lang w:eastAsia="en-US"/>
              </w:rPr>
              <w:t xml:space="preserve">(w mln zł, </w:t>
            </w:r>
          </w:p>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r w:rsidRPr="00806A45">
              <w:rPr>
                <w:rFonts w:eastAsia="Calibri" w:cs="Times New Roman"/>
                <w:spacing w:val="-2"/>
                <w:sz w:val="21"/>
                <w:szCs w:val="21"/>
                <w:lang w:eastAsia="en-US"/>
              </w:rPr>
              <w:t>ceny stałe z 2017 r.)</w:t>
            </w:r>
          </w:p>
        </w:tc>
        <w:tc>
          <w:tcPr>
            <w:tcW w:w="2293" w:type="dxa"/>
            <w:gridSpan w:val="7"/>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r w:rsidRPr="00806A45">
              <w:rPr>
                <w:rFonts w:eastAsia="Calibri" w:cs="Times New Roman"/>
                <w:color w:val="000000"/>
                <w:sz w:val="21"/>
                <w:szCs w:val="21"/>
                <w:lang w:eastAsia="en-US"/>
              </w:rPr>
              <w:t>duże przedsiębiorstwa</w:t>
            </w:r>
          </w:p>
        </w:tc>
        <w:tc>
          <w:tcPr>
            <w:tcW w:w="937"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8"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8" w:type="dxa"/>
            <w:gridSpan w:val="5"/>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7"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8" w:type="dxa"/>
            <w:gridSpan w:val="4"/>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8"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142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pacing w:val="-2"/>
                <w:sz w:val="20"/>
                <w:lang w:eastAsia="en-US"/>
              </w:rPr>
            </w:pPr>
            <w:r w:rsidRPr="00806A45">
              <w:rPr>
                <w:rFonts w:eastAsia="Calibri" w:cs="Times New Roman"/>
                <w:color w:val="000000"/>
                <w:spacing w:val="-2"/>
                <w:sz w:val="20"/>
                <w:lang w:eastAsia="en-US"/>
              </w:rPr>
              <w:t>0</w:t>
            </w:r>
          </w:p>
        </w:tc>
      </w:tr>
      <w:tr w:rsidR="00806A45" w:rsidRPr="00806A45" w:rsidTr="00187457">
        <w:trPr>
          <w:gridAfter w:val="1"/>
          <w:wAfter w:w="10" w:type="dxa"/>
          <w:trHeight w:val="142"/>
        </w:trPr>
        <w:tc>
          <w:tcPr>
            <w:tcW w:w="1596" w:type="dxa"/>
            <w:gridSpan w:val="2"/>
            <w:vMerge/>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7"/>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r w:rsidRPr="00806A45">
              <w:rPr>
                <w:rFonts w:eastAsia="Calibri" w:cs="Times New Roman"/>
                <w:color w:val="000000"/>
                <w:sz w:val="21"/>
                <w:szCs w:val="21"/>
                <w:lang w:eastAsia="en-US"/>
              </w:rPr>
              <w:t>sektor mikro-, małych i średnich przedsiębiorstw</w:t>
            </w:r>
          </w:p>
        </w:tc>
        <w:tc>
          <w:tcPr>
            <w:tcW w:w="937"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8"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8" w:type="dxa"/>
            <w:gridSpan w:val="5"/>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7"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8" w:type="dxa"/>
            <w:gridSpan w:val="4"/>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8"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142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pacing w:val="-2"/>
                <w:sz w:val="20"/>
                <w:lang w:eastAsia="en-US"/>
              </w:rPr>
            </w:pPr>
            <w:r w:rsidRPr="00806A45">
              <w:rPr>
                <w:rFonts w:eastAsia="Calibri" w:cs="Times New Roman"/>
                <w:color w:val="000000"/>
                <w:spacing w:val="-2"/>
                <w:sz w:val="20"/>
                <w:lang w:eastAsia="en-US"/>
              </w:rPr>
              <w:t>0</w:t>
            </w:r>
          </w:p>
        </w:tc>
      </w:tr>
      <w:tr w:rsidR="00806A45" w:rsidRPr="00806A45" w:rsidTr="00187457">
        <w:trPr>
          <w:gridAfter w:val="1"/>
          <w:wAfter w:w="10" w:type="dxa"/>
          <w:trHeight w:val="142"/>
        </w:trPr>
        <w:tc>
          <w:tcPr>
            <w:tcW w:w="1596" w:type="dxa"/>
            <w:gridSpan w:val="2"/>
            <w:vMerge/>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7"/>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r w:rsidRPr="00806A45">
              <w:rPr>
                <w:rFonts w:eastAsia="Calibri" w:cs="Times New Roman"/>
                <w:sz w:val="21"/>
                <w:szCs w:val="21"/>
                <w:lang w:eastAsia="en-US"/>
              </w:rPr>
              <w:t>rodzina, obywatele oraz gospodarstwa domowe</w:t>
            </w:r>
          </w:p>
        </w:tc>
        <w:tc>
          <w:tcPr>
            <w:tcW w:w="937"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20"/>
                <w:lang w:eastAsia="en-US"/>
              </w:rPr>
              <w:t>0</w:t>
            </w:r>
          </w:p>
        </w:tc>
        <w:tc>
          <w:tcPr>
            <w:tcW w:w="938"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18"/>
                <w:szCs w:val="18"/>
                <w:lang w:eastAsia="en-US"/>
              </w:rPr>
              <w:t>0,056</w:t>
            </w:r>
          </w:p>
        </w:tc>
        <w:tc>
          <w:tcPr>
            <w:tcW w:w="938" w:type="dxa"/>
            <w:gridSpan w:val="5"/>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18"/>
                <w:szCs w:val="18"/>
                <w:lang w:eastAsia="en-US"/>
              </w:rPr>
              <w:t>0,056</w:t>
            </w:r>
          </w:p>
        </w:tc>
        <w:tc>
          <w:tcPr>
            <w:tcW w:w="937" w:type="dxa"/>
            <w:gridSpan w:val="3"/>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18"/>
                <w:szCs w:val="18"/>
                <w:lang w:eastAsia="en-US"/>
              </w:rPr>
              <w:t>0,056</w:t>
            </w:r>
          </w:p>
        </w:tc>
        <w:tc>
          <w:tcPr>
            <w:tcW w:w="938" w:type="dxa"/>
            <w:gridSpan w:val="4"/>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18"/>
                <w:szCs w:val="18"/>
                <w:lang w:eastAsia="en-US"/>
              </w:rPr>
              <w:t>0,056</w:t>
            </w:r>
          </w:p>
        </w:tc>
        <w:tc>
          <w:tcPr>
            <w:tcW w:w="938"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z w:val="20"/>
                <w:lang w:eastAsia="en-US"/>
              </w:rPr>
            </w:pPr>
            <w:r w:rsidRPr="00806A45">
              <w:rPr>
                <w:rFonts w:eastAsia="Calibri" w:cs="Times New Roman"/>
                <w:color w:val="000000"/>
                <w:sz w:val="18"/>
                <w:szCs w:val="18"/>
                <w:lang w:eastAsia="en-US"/>
              </w:rPr>
              <w:t>0,056</w:t>
            </w:r>
          </w:p>
        </w:tc>
        <w:tc>
          <w:tcPr>
            <w:tcW w:w="1422" w:type="dxa"/>
            <w:gridSpan w:val="2"/>
            <w:shd w:val="clear" w:color="auto" w:fill="FFFFFF"/>
          </w:tcPr>
          <w:p w:rsidR="00806A45" w:rsidRPr="00806A45" w:rsidRDefault="00806A45" w:rsidP="00806A45">
            <w:pPr>
              <w:widowControl/>
              <w:autoSpaceDE/>
              <w:autoSpaceDN/>
              <w:adjustRightInd/>
              <w:spacing w:line="240" w:lineRule="auto"/>
              <w:jc w:val="center"/>
              <w:rPr>
                <w:rFonts w:eastAsia="Calibri" w:cs="Times New Roman"/>
                <w:color w:val="000000"/>
                <w:spacing w:val="-2"/>
                <w:sz w:val="20"/>
                <w:lang w:eastAsia="en-US"/>
              </w:rPr>
            </w:pPr>
            <w:r w:rsidRPr="00806A45">
              <w:rPr>
                <w:rFonts w:eastAsia="Calibri" w:cs="Times New Roman"/>
                <w:color w:val="000000"/>
                <w:sz w:val="18"/>
                <w:szCs w:val="18"/>
                <w:lang w:eastAsia="en-US"/>
              </w:rPr>
              <w:t>0,560</w:t>
            </w:r>
          </w:p>
        </w:tc>
      </w:tr>
      <w:tr w:rsidR="00806A45" w:rsidRPr="00806A45" w:rsidTr="00187457">
        <w:trPr>
          <w:gridAfter w:val="1"/>
          <w:wAfter w:w="10" w:type="dxa"/>
          <w:trHeight w:val="142"/>
        </w:trPr>
        <w:tc>
          <w:tcPr>
            <w:tcW w:w="1596" w:type="dxa"/>
            <w:gridSpan w:val="2"/>
            <w:vMerge w:val="restart"/>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r w:rsidRPr="00806A45">
              <w:rPr>
                <w:rFonts w:eastAsia="Calibri" w:cs="Times New Roman"/>
                <w:color w:val="000000"/>
                <w:sz w:val="21"/>
                <w:szCs w:val="21"/>
                <w:lang w:eastAsia="en-US"/>
              </w:rPr>
              <w:t>W ujęciu niepieniężnym</w:t>
            </w:r>
          </w:p>
        </w:tc>
        <w:tc>
          <w:tcPr>
            <w:tcW w:w="2293" w:type="dxa"/>
            <w:gridSpan w:val="7"/>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r w:rsidRPr="00806A45">
              <w:rPr>
                <w:rFonts w:eastAsia="Calibri" w:cs="Times New Roman"/>
                <w:color w:val="000000"/>
                <w:sz w:val="21"/>
                <w:szCs w:val="21"/>
                <w:lang w:eastAsia="en-US"/>
              </w:rPr>
              <w:t>duże przedsiębiorstwa</w:t>
            </w:r>
          </w:p>
        </w:tc>
        <w:tc>
          <w:tcPr>
            <w:tcW w:w="7048" w:type="dxa"/>
            <w:gridSpan w:val="21"/>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pacing w:val="-2"/>
                <w:sz w:val="21"/>
                <w:szCs w:val="21"/>
                <w:lang w:eastAsia="en-US"/>
              </w:rPr>
            </w:pPr>
            <w:r w:rsidRPr="00806A45">
              <w:rPr>
                <w:rFonts w:eastAsia="Calibri" w:cs="Times New Roman"/>
                <w:color w:val="000000"/>
                <w:spacing w:val="-2"/>
                <w:sz w:val="21"/>
                <w:szCs w:val="21"/>
                <w:lang w:eastAsia="en-US"/>
              </w:rPr>
              <w:t>Brak wpływu</w:t>
            </w:r>
          </w:p>
        </w:tc>
      </w:tr>
      <w:tr w:rsidR="00806A45" w:rsidRPr="00806A45" w:rsidTr="00187457">
        <w:trPr>
          <w:gridAfter w:val="1"/>
          <w:wAfter w:w="10" w:type="dxa"/>
          <w:trHeight w:val="142"/>
        </w:trPr>
        <w:tc>
          <w:tcPr>
            <w:tcW w:w="1596" w:type="dxa"/>
            <w:gridSpan w:val="2"/>
            <w:vMerge/>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7"/>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r w:rsidRPr="00806A45">
              <w:rPr>
                <w:rFonts w:eastAsia="Calibri" w:cs="Times New Roman"/>
                <w:color w:val="000000"/>
                <w:sz w:val="21"/>
                <w:szCs w:val="21"/>
                <w:lang w:eastAsia="en-US"/>
              </w:rPr>
              <w:t>sektor mikro-, małych i średnich przedsiębiorstw</w:t>
            </w:r>
          </w:p>
        </w:tc>
        <w:tc>
          <w:tcPr>
            <w:tcW w:w="7048" w:type="dxa"/>
            <w:gridSpan w:val="21"/>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pacing w:val="-2"/>
                <w:sz w:val="21"/>
                <w:szCs w:val="21"/>
                <w:lang w:eastAsia="en-US"/>
              </w:rPr>
            </w:pPr>
          </w:p>
          <w:p w:rsidR="00806A45" w:rsidRPr="00806A45" w:rsidRDefault="00806A45" w:rsidP="00806A45">
            <w:pPr>
              <w:widowControl/>
              <w:autoSpaceDE/>
              <w:autoSpaceDN/>
              <w:adjustRightInd/>
              <w:spacing w:line="240" w:lineRule="auto"/>
              <w:jc w:val="left"/>
              <w:rPr>
                <w:rFonts w:eastAsia="Calibri" w:cs="Times New Roman"/>
                <w:color w:val="000000"/>
                <w:spacing w:val="-2"/>
                <w:sz w:val="21"/>
                <w:szCs w:val="21"/>
                <w:lang w:eastAsia="en-US"/>
              </w:rPr>
            </w:pPr>
            <w:r w:rsidRPr="00806A45">
              <w:rPr>
                <w:rFonts w:eastAsia="Calibri" w:cs="Times New Roman"/>
                <w:color w:val="000000"/>
                <w:spacing w:val="-2"/>
                <w:sz w:val="21"/>
                <w:szCs w:val="21"/>
                <w:lang w:eastAsia="en-US"/>
              </w:rPr>
              <w:t>Brak wpływu</w:t>
            </w:r>
          </w:p>
        </w:tc>
      </w:tr>
      <w:tr w:rsidR="00806A45" w:rsidRPr="00806A45" w:rsidTr="00187457">
        <w:trPr>
          <w:gridAfter w:val="1"/>
          <w:wAfter w:w="10" w:type="dxa"/>
          <w:trHeight w:val="596"/>
        </w:trPr>
        <w:tc>
          <w:tcPr>
            <w:tcW w:w="1596" w:type="dxa"/>
            <w:gridSpan w:val="2"/>
            <w:vMerge/>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7"/>
            <w:shd w:val="clear" w:color="auto" w:fill="FFFFFF"/>
          </w:tcPr>
          <w:p w:rsidR="00806A45" w:rsidRPr="00806A45" w:rsidRDefault="00806A45" w:rsidP="00806A45">
            <w:pPr>
              <w:widowControl/>
              <w:tabs>
                <w:tab w:val="right" w:pos="1936"/>
              </w:tabs>
              <w:autoSpaceDE/>
              <w:autoSpaceDN/>
              <w:adjustRightInd/>
              <w:spacing w:line="240" w:lineRule="auto"/>
              <w:jc w:val="left"/>
              <w:rPr>
                <w:rFonts w:eastAsia="Calibri" w:cs="Times New Roman"/>
                <w:color w:val="000000"/>
                <w:sz w:val="21"/>
                <w:szCs w:val="21"/>
                <w:lang w:eastAsia="en-US"/>
              </w:rPr>
            </w:pPr>
            <w:r w:rsidRPr="00806A45">
              <w:rPr>
                <w:rFonts w:eastAsia="Calibri" w:cs="Times New Roman"/>
                <w:sz w:val="21"/>
                <w:szCs w:val="21"/>
                <w:lang w:eastAsia="en-US"/>
              </w:rPr>
              <w:t>rodzina, obywatele oraz gospodarstwa domowe</w:t>
            </w:r>
            <w:r w:rsidRPr="00806A45">
              <w:rPr>
                <w:rFonts w:eastAsia="Calibri" w:cs="Times New Roman"/>
                <w:color w:val="000000"/>
                <w:sz w:val="21"/>
                <w:szCs w:val="21"/>
                <w:lang w:eastAsia="en-US"/>
              </w:rPr>
              <w:t xml:space="preserve"> </w:t>
            </w:r>
          </w:p>
        </w:tc>
        <w:tc>
          <w:tcPr>
            <w:tcW w:w="7048" w:type="dxa"/>
            <w:gridSpan w:val="21"/>
            <w:shd w:val="clear" w:color="auto" w:fill="FFFFFF"/>
          </w:tcPr>
          <w:p w:rsidR="00806A45" w:rsidRPr="00806A45" w:rsidRDefault="00806A45" w:rsidP="00806A45">
            <w:pPr>
              <w:widowControl/>
              <w:autoSpaceDE/>
              <w:autoSpaceDN/>
              <w:adjustRightInd/>
              <w:spacing w:line="240" w:lineRule="auto"/>
              <w:rPr>
                <w:rFonts w:eastAsia="Calibri" w:cs="Times New Roman"/>
                <w:color w:val="000000"/>
                <w:spacing w:val="-2"/>
                <w:sz w:val="21"/>
                <w:szCs w:val="21"/>
                <w:lang w:eastAsia="en-US"/>
              </w:rPr>
            </w:pPr>
            <w:r w:rsidRPr="00806A45">
              <w:rPr>
                <w:rFonts w:eastAsia="Calibri" w:cs="Times New Roman"/>
                <w:color w:val="000000"/>
                <w:spacing w:val="-2"/>
                <w:sz w:val="22"/>
                <w:szCs w:val="22"/>
                <w:lang w:eastAsia="en-US"/>
              </w:rPr>
              <w:t xml:space="preserve">Posiadanie uprawnień do kierowania pojazdami przez osoby niepełnosprawne pozytywnie wpłynie na mobilność oraz może stanowić impuls do </w:t>
            </w:r>
            <w:r w:rsidRPr="00806A45">
              <w:rPr>
                <w:rFonts w:eastAsia="Calibri" w:cs="Times New Roman"/>
                <w:color w:val="000000"/>
                <w:spacing w:val="-2"/>
                <w:sz w:val="22"/>
                <w:szCs w:val="22"/>
                <w:lang w:eastAsia="en-US"/>
              </w:rPr>
              <w:lastRenderedPageBreak/>
              <w:t xml:space="preserve">podejmowania dodatkowej aktywności i wpłynąć na poprawę jakości życia. W konsekwencji można oczekiwać pełniejszej integracji osób niepełnosprawnych w społeczeństwie.  </w:t>
            </w:r>
          </w:p>
        </w:tc>
      </w:tr>
      <w:tr w:rsidR="00806A45" w:rsidRPr="00806A45" w:rsidTr="00187457">
        <w:trPr>
          <w:gridAfter w:val="1"/>
          <w:wAfter w:w="10" w:type="dxa"/>
          <w:trHeight w:val="1268"/>
        </w:trPr>
        <w:tc>
          <w:tcPr>
            <w:tcW w:w="2243" w:type="dxa"/>
            <w:gridSpan w:val="3"/>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1"/>
                <w:szCs w:val="21"/>
                <w:lang w:eastAsia="en-US"/>
              </w:rPr>
            </w:pPr>
            <w:r w:rsidRPr="00806A45">
              <w:rPr>
                <w:rFonts w:eastAsia="Calibri" w:cs="Times New Roman"/>
                <w:color w:val="000000"/>
                <w:sz w:val="21"/>
                <w:szCs w:val="21"/>
                <w:lang w:eastAsia="en-US"/>
              </w:rPr>
              <w:lastRenderedPageBreak/>
              <w:t xml:space="preserve">Dodatkowe informacje, w tym wskazanie źródeł danych i przyjętych do obliczeń założeń </w:t>
            </w:r>
          </w:p>
        </w:tc>
        <w:tc>
          <w:tcPr>
            <w:tcW w:w="8694" w:type="dxa"/>
            <w:gridSpan w:val="27"/>
            <w:shd w:val="clear" w:color="auto" w:fill="FFFFFF"/>
            <w:vAlign w:val="center"/>
          </w:tcPr>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000000"/>
                <w:sz w:val="22"/>
                <w:szCs w:val="22"/>
                <w:lang w:eastAsia="en-US"/>
              </w:rPr>
              <w:t xml:space="preserve">Wpływ przedmiotowej regulacji na obywateli w ujęciu pieniężnym został oszacowany w kwocie 56 tys. zł w skali roku, 560 tys. zł w okresie 10 lat obowiązywania projektowanych przepisów. Przedmiotowa regulacja spowoduje zmniejszenie kosztów ponoszonych przez osoby niepełnosprawne w związku z przystąpieniem do egzaminu praktycznego na prawo jazdy w przypadku, gdy egzamin ten będzie zdawany na wynajętym przez osobę niepełnosprawną samochodzie specjalnie dostosowanym.  </w:t>
            </w:r>
          </w:p>
        </w:tc>
      </w:tr>
      <w:tr w:rsidR="00806A45" w:rsidRPr="00806A45" w:rsidTr="00187457">
        <w:trPr>
          <w:gridAfter w:val="1"/>
          <w:wAfter w:w="10" w:type="dxa"/>
          <w:trHeight w:val="342"/>
        </w:trPr>
        <w:tc>
          <w:tcPr>
            <w:tcW w:w="10937" w:type="dxa"/>
            <w:gridSpan w:val="30"/>
            <w:shd w:val="clear" w:color="auto" w:fill="99CCFF"/>
            <w:vAlign w:val="center"/>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806A45">
              <w:rPr>
                <w:rFonts w:eastAsia="Calibri" w:cs="Times New Roman"/>
                <w:b/>
                <w:color w:val="000000"/>
                <w:sz w:val="22"/>
                <w:szCs w:val="22"/>
                <w:lang w:eastAsia="en-US"/>
              </w:rPr>
              <w:t xml:space="preserve"> Zmiana obciążeń regulacyjnych (w tym obowiązków informacyjnych) wynikających z projektu.</w:t>
            </w:r>
          </w:p>
        </w:tc>
      </w:tr>
      <w:tr w:rsidR="00806A45" w:rsidRPr="00806A45" w:rsidTr="00187457">
        <w:trPr>
          <w:gridAfter w:val="1"/>
          <w:wAfter w:w="10" w:type="dxa"/>
          <w:trHeight w:val="151"/>
        </w:trPr>
        <w:tc>
          <w:tcPr>
            <w:tcW w:w="10937" w:type="dxa"/>
            <w:gridSpan w:val="30"/>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pacing w:val="-2"/>
                <w:sz w:val="22"/>
                <w:szCs w:val="22"/>
                <w:lang w:eastAsia="en-US"/>
              </w:rPr>
              <w:t xml:space="preserve"> nie dotyczy</w:t>
            </w:r>
          </w:p>
        </w:tc>
      </w:tr>
      <w:tr w:rsidR="00806A45" w:rsidRPr="00806A45" w:rsidTr="00187457">
        <w:trPr>
          <w:gridAfter w:val="1"/>
          <w:wAfter w:w="10" w:type="dxa"/>
          <w:trHeight w:val="946"/>
        </w:trPr>
        <w:tc>
          <w:tcPr>
            <w:tcW w:w="5111" w:type="dxa"/>
            <w:gridSpan w:val="12"/>
            <w:shd w:val="clear" w:color="auto" w:fill="FFFFFF"/>
          </w:tcPr>
          <w:p w:rsidR="00806A45" w:rsidRPr="00806A45" w:rsidRDefault="00806A45" w:rsidP="00806A45">
            <w:pPr>
              <w:widowControl/>
              <w:autoSpaceDE/>
              <w:autoSpaceDN/>
              <w:adjustRightInd/>
              <w:spacing w:line="276" w:lineRule="auto"/>
              <w:jc w:val="left"/>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Wprowadzane są obciążenia poza bezwzględnie wymaganymi przez UE </w:t>
            </w:r>
            <w:r w:rsidRPr="00806A45">
              <w:rPr>
                <w:rFonts w:eastAsia="Calibri" w:cs="Times New Roman"/>
                <w:color w:val="000000"/>
                <w:sz w:val="22"/>
                <w:szCs w:val="22"/>
                <w:lang w:eastAsia="en-US"/>
              </w:rPr>
              <w:t>(szczegóły w odwróconej tabeli zgodności).</w:t>
            </w:r>
          </w:p>
        </w:tc>
        <w:tc>
          <w:tcPr>
            <w:tcW w:w="5826" w:type="dxa"/>
            <w:gridSpan w:val="18"/>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2"/>
                <w:szCs w:val="22"/>
                <w:lang w:eastAsia="en-US"/>
              </w:rPr>
              <w:t xml:space="preserve"> tak</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2"/>
                <w:szCs w:val="22"/>
                <w:lang w:eastAsia="en-US"/>
              </w:rPr>
              <w:t xml:space="preserve"> nie</w:t>
            </w:r>
          </w:p>
          <w:p w:rsidR="00806A45" w:rsidRPr="00806A45" w:rsidRDefault="00806A45" w:rsidP="00806A45">
            <w:pPr>
              <w:widowControl/>
              <w:autoSpaceDE/>
              <w:autoSpaceDN/>
              <w:adjustRightInd/>
              <w:spacing w:line="276"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2"/>
                <w:szCs w:val="22"/>
                <w:lang w:eastAsia="en-US"/>
              </w:rPr>
              <w:t xml:space="preserve"> nie dotyczy</w:t>
            </w:r>
          </w:p>
        </w:tc>
      </w:tr>
      <w:tr w:rsidR="00806A45" w:rsidRPr="00806A45" w:rsidTr="00187457">
        <w:trPr>
          <w:gridAfter w:val="1"/>
          <w:wAfter w:w="10" w:type="dxa"/>
          <w:trHeight w:val="1245"/>
        </w:trPr>
        <w:tc>
          <w:tcPr>
            <w:tcW w:w="5111" w:type="dxa"/>
            <w:gridSpan w:val="12"/>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 xml:space="preserve">zmniejszenie liczby dokumentów </w:t>
            </w:r>
          </w:p>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zmniejszenie liczby procedur</w:t>
            </w:r>
          </w:p>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skrócenie czasu na załatwienie sprawy</w:t>
            </w:r>
          </w:p>
          <w:p w:rsidR="00806A45" w:rsidRPr="00806A45" w:rsidRDefault="00806A45" w:rsidP="00806A45">
            <w:pPr>
              <w:widowControl/>
              <w:autoSpaceDE/>
              <w:autoSpaceDN/>
              <w:adjustRightInd/>
              <w:spacing w:line="276" w:lineRule="auto"/>
              <w:jc w:val="left"/>
              <w:rPr>
                <w:rFonts w:eastAsia="Calibri" w:cs="Times New Roman"/>
                <w:b/>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inne:</w:t>
            </w:r>
            <w:r w:rsidRPr="00806A45">
              <w:rPr>
                <w:rFonts w:eastAsia="Calibri" w:cs="Times New Roman"/>
                <w:color w:val="000000"/>
                <w:sz w:val="22"/>
                <w:szCs w:val="22"/>
                <w:lang w:eastAsia="en-US"/>
              </w:rPr>
              <w:t xml:space="preserve"> </w:t>
            </w:r>
          </w:p>
        </w:tc>
        <w:tc>
          <w:tcPr>
            <w:tcW w:w="5826" w:type="dxa"/>
            <w:gridSpan w:val="18"/>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zwiększenie liczby dokumentów</w:t>
            </w:r>
          </w:p>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zwiększenie liczby procedur</w:t>
            </w:r>
          </w:p>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wydłużenie czasu na załatwienie sprawy</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
                  <w:enabled/>
                  <w:calcOnExit w:val="0"/>
                  <w:checkBox>
                    <w:sizeAuto/>
                    <w:default w:val="1"/>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inne:</w:t>
            </w:r>
            <w:r w:rsidRPr="00806A45">
              <w:rPr>
                <w:rFonts w:eastAsia="Calibri" w:cs="Times New Roman"/>
                <w:color w:val="000000"/>
                <w:sz w:val="22"/>
                <w:szCs w:val="22"/>
                <w:lang w:eastAsia="en-US"/>
              </w:rPr>
              <w:t xml:space="preserve"> </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p>
        </w:tc>
      </w:tr>
      <w:tr w:rsidR="00806A45" w:rsidRPr="00806A45" w:rsidTr="00187457">
        <w:trPr>
          <w:gridAfter w:val="1"/>
          <w:wAfter w:w="10" w:type="dxa"/>
          <w:trHeight w:val="870"/>
        </w:trPr>
        <w:tc>
          <w:tcPr>
            <w:tcW w:w="5111" w:type="dxa"/>
            <w:gridSpan w:val="12"/>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pacing w:val="-2"/>
                <w:sz w:val="22"/>
                <w:szCs w:val="22"/>
                <w:lang w:eastAsia="en-US"/>
              </w:rPr>
              <w:t xml:space="preserve">Wprowadzane obciążenia są przystosowane do ich elektronizacji. </w:t>
            </w:r>
          </w:p>
        </w:tc>
        <w:tc>
          <w:tcPr>
            <w:tcW w:w="5826" w:type="dxa"/>
            <w:gridSpan w:val="18"/>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
                  <w:enabled w:val="0"/>
                  <w:calcOnExit w:val="0"/>
                  <w:checkBox>
                    <w:sizeAuto/>
                    <w:default w:val="1"/>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2"/>
                <w:szCs w:val="22"/>
                <w:lang w:eastAsia="en-US"/>
              </w:rPr>
              <w:t xml:space="preserve"> tak</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2"/>
                <w:szCs w:val="22"/>
                <w:lang w:eastAsia="en-US"/>
              </w:rPr>
              <w:t xml:space="preserve"> nie</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2"/>
                <w:szCs w:val="22"/>
                <w:lang w:eastAsia="en-US"/>
              </w:rPr>
              <w:t xml:space="preserve"> nie dotyczy</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p>
        </w:tc>
      </w:tr>
      <w:tr w:rsidR="00806A45" w:rsidRPr="00806A45" w:rsidTr="00187457">
        <w:trPr>
          <w:gridAfter w:val="1"/>
          <w:wAfter w:w="10" w:type="dxa"/>
          <w:cantSplit/>
          <w:trHeight w:val="397"/>
        </w:trPr>
        <w:tc>
          <w:tcPr>
            <w:tcW w:w="10937" w:type="dxa"/>
            <w:gridSpan w:val="30"/>
            <w:shd w:val="clear" w:color="auto" w:fill="FFFFFF"/>
          </w:tcPr>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000000"/>
                <w:sz w:val="22"/>
                <w:szCs w:val="22"/>
                <w:lang w:eastAsia="en-US"/>
              </w:rPr>
              <w:t xml:space="preserve">Obciążenia regulacyjne będą wynikać z obowiązku prowadzenia bazy danych zawierającej informacje </w:t>
            </w:r>
            <w:r w:rsidRPr="00806A45">
              <w:rPr>
                <w:rFonts w:eastAsia="Calibri" w:cs="Times New Roman"/>
                <w:color w:val="000000"/>
                <w:spacing w:val="-2"/>
                <w:sz w:val="22"/>
                <w:szCs w:val="22"/>
                <w:lang w:eastAsia="en-US"/>
              </w:rPr>
              <w:t>o pojazdach dostosowanych do rodzaju schorzenia osoby niepełnosprawnej będących w dyspozycji ośrodków szkolenia kierowców. Zadanie to będzie realizował podmiot wyznaczony przez ministra  do spraw gospodarki spośród jednostek organizacyjnych jemu podległych lub nadzorowanych</w:t>
            </w:r>
            <w:r w:rsidRPr="00806A45">
              <w:rPr>
                <w:rFonts w:eastAsia="Calibri" w:cs="Times New Roman"/>
                <w:color w:val="000000"/>
                <w:sz w:val="22"/>
                <w:szCs w:val="22"/>
                <w:lang w:eastAsia="en-US"/>
              </w:rPr>
              <w:t>.</w:t>
            </w:r>
          </w:p>
        </w:tc>
      </w:tr>
      <w:tr w:rsidR="00806A45" w:rsidRPr="00806A45" w:rsidTr="00187457">
        <w:trPr>
          <w:gridAfter w:val="1"/>
          <w:wAfter w:w="10" w:type="dxa"/>
          <w:trHeight w:val="142"/>
        </w:trPr>
        <w:tc>
          <w:tcPr>
            <w:tcW w:w="10937" w:type="dxa"/>
            <w:gridSpan w:val="30"/>
            <w:shd w:val="clear" w:color="auto" w:fill="99CCFF"/>
          </w:tcPr>
          <w:p w:rsidR="00806A45" w:rsidRPr="00806A45" w:rsidRDefault="00806A45" w:rsidP="00806A45">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806A45">
              <w:rPr>
                <w:rFonts w:eastAsia="Calibri" w:cs="Times New Roman"/>
                <w:b/>
                <w:color w:val="000000"/>
                <w:sz w:val="22"/>
                <w:szCs w:val="22"/>
                <w:lang w:eastAsia="en-US"/>
              </w:rPr>
              <w:t xml:space="preserve">Wpływ na rynek pracy. </w:t>
            </w:r>
          </w:p>
        </w:tc>
      </w:tr>
      <w:tr w:rsidR="00806A45" w:rsidRPr="00806A45" w:rsidTr="00187457">
        <w:trPr>
          <w:gridAfter w:val="1"/>
          <w:wAfter w:w="10" w:type="dxa"/>
          <w:trHeight w:val="142"/>
        </w:trPr>
        <w:tc>
          <w:tcPr>
            <w:tcW w:w="10937" w:type="dxa"/>
            <w:gridSpan w:val="30"/>
            <w:shd w:val="clear" w:color="auto" w:fill="auto"/>
          </w:tcPr>
          <w:p w:rsidR="00806A45" w:rsidRPr="00806A45" w:rsidRDefault="00806A45" w:rsidP="00806A45">
            <w:pPr>
              <w:widowControl/>
              <w:autoSpaceDE/>
              <w:autoSpaceDN/>
              <w:adjustRightInd/>
              <w:spacing w:line="240" w:lineRule="auto"/>
              <w:rPr>
                <w:rFonts w:eastAsia="Calibri" w:cs="Times New Roman"/>
                <w:color w:val="000000"/>
                <w:sz w:val="22"/>
                <w:szCs w:val="22"/>
                <w:lang w:eastAsia="en-US"/>
              </w:rPr>
            </w:pPr>
            <w:r w:rsidRPr="00806A45">
              <w:rPr>
                <w:rFonts w:eastAsia="Calibri" w:cs="Times New Roman"/>
                <w:color w:val="000000"/>
                <w:sz w:val="22"/>
                <w:szCs w:val="22"/>
                <w:lang w:eastAsia="en-US"/>
              </w:rPr>
              <w:t>Brak wpływu.</w:t>
            </w:r>
          </w:p>
        </w:tc>
      </w:tr>
      <w:tr w:rsidR="00806A45" w:rsidRPr="00806A45" w:rsidTr="00187457">
        <w:trPr>
          <w:gridAfter w:val="1"/>
          <w:wAfter w:w="10" w:type="dxa"/>
          <w:trHeight w:val="142"/>
        </w:trPr>
        <w:tc>
          <w:tcPr>
            <w:tcW w:w="10937" w:type="dxa"/>
            <w:gridSpan w:val="30"/>
            <w:shd w:val="clear" w:color="auto" w:fill="99CCFF"/>
          </w:tcPr>
          <w:p w:rsidR="00806A45" w:rsidRPr="00806A45" w:rsidRDefault="00806A45" w:rsidP="00806A45">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806A45">
              <w:rPr>
                <w:rFonts w:eastAsia="Calibri" w:cs="Times New Roman"/>
                <w:b/>
                <w:color w:val="000000"/>
                <w:sz w:val="22"/>
                <w:szCs w:val="22"/>
                <w:lang w:eastAsia="en-US"/>
              </w:rPr>
              <w:t>Wpływ na pozostałe obszary.</w:t>
            </w:r>
          </w:p>
        </w:tc>
      </w:tr>
      <w:tr w:rsidR="00806A45" w:rsidRPr="00806A45" w:rsidTr="00187457">
        <w:trPr>
          <w:gridAfter w:val="1"/>
          <w:wAfter w:w="10" w:type="dxa"/>
          <w:trHeight w:val="1031"/>
        </w:trPr>
        <w:tc>
          <w:tcPr>
            <w:tcW w:w="3547" w:type="dxa"/>
            <w:gridSpan w:val="7"/>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środowisko naturalne</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z w:val="22"/>
                <w:szCs w:val="22"/>
                <w:lang w:eastAsia="en-US"/>
              </w:rPr>
              <w:t>sytuacja i rozwój regionalny</w:t>
            </w:r>
          </w:p>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 xml:space="preserve">inne: </w:t>
            </w:r>
          </w:p>
        </w:tc>
        <w:tc>
          <w:tcPr>
            <w:tcW w:w="3687" w:type="dxa"/>
            <w:gridSpan w:val="14"/>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demografia</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z w:val="22"/>
                <w:szCs w:val="22"/>
                <w:lang w:eastAsia="en-US"/>
              </w:rPr>
              <w:t>mienie państwowe</w:t>
            </w:r>
          </w:p>
        </w:tc>
        <w:tc>
          <w:tcPr>
            <w:tcW w:w="3703" w:type="dxa"/>
            <w:gridSpan w:val="9"/>
            <w:shd w:val="clear" w:color="auto" w:fill="FFFFFF"/>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p>
          <w:p w:rsidR="00806A45" w:rsidRPr="00806A45" w:rsidRDefault="00806A45" w:rsidP="00806A45">
            <w:pPr>
              <w:widowControl/>
              <w:autoSpaceDE/>
              <w:autoSpaceDN/>
              <w:adjustRightInd/>
              <w:spacing w:line="240" w:lineRule="auto"/>
              <w:jc w:val="left"/>
              <w:rPr>
                <w:rFonts w:eastAsia="Calibri" w:cs="Times New Roman"/>
                <w:color w:val="000000"/>
                <w:spacing w:val="-2"/>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informatyzacja</w:t>
            </w:r>
          </w:p>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fldChar w:fldCharType="begin">
                <w:ffData>
                  <w:name w:val="Wybór1"/>
                  <w:enabled/>
                  <w:calcOnExit w:val="0"/>
                  <w:checkBox>
                    <w:sizeAuto/>
                    <w:default w:val="0"/>
                  </w:checkBox>
                </w:ffData>
              </w:fldChar>
            </w:r>
            <w:r w:rsidRPr="00806A45">
              <w:rPr>
                <w:rFonts w:eastAsia="Calibri" w:cs="Times New Roman"/>
                <w:color w:val="000000"/>
                <w:sz w:val="22"/>
                <w:szCs w:val="22"/>
                <w:lang w:eastAsia="en-US"/>
              </w:rPr>
              <w:instrText xml:space="preserve"> FORMCHECKBOX </w:instrText>
            </w:r>
            <w:r w:rsidR="00252E15">
              <w:rPr>
                <w:rFonts w:eastAsia="Calibri" w:cs="Times New Roman"/>
                <w:color w:val="000000"/>
                <w:sz w:val="22"/>
                <w:szCs w:val="22"/>
                <w:lang w:eastAsia="en-US"/>
              </w:rPr>
            </w:r>
            <w:r w:rsidR="00252E15">
              <w:rPr>
                <w:rFonts w:eastAsia="Calibri" w:cs="Times New Roman"/>
                <w:color w:val="000000"/>
                <w:sz w:val="22"/>
                <w:szCs w:val="22"/>
                <w:lang w:eastAsia="en-US"/>
              </w:rPr>
              <w:fldChar w:fldCharType="separate"/>
            </w:r>
            <w:r w:rsidRPr="00806A45">
              <w:rPr>
                <w:rFonts w:eastAsia="Calibri" w:cs="Times New Roman"/>
                <w:color w:val="000000"/>
                <w:sz w:val="22"/>
                <w:szCs w:val="22"/>
                <w:lang w:eastAsia="en-US"/>
              </w:rPr>
              <w:fldChar w:fldCharType="end"/>
            </w:r>
            <w:r w:rsidRPr="00806A45">
              <w:rPr>
                <w:rFonts w:eastAsia="Calibri" w:cs="Times New Roman"/>
                <w:color w:val="000000"/>
                <w:sz w:val="20"/>
                <w:lang w:eastAsia="en-US"/>
              </w:rPr>
              <w:t xml:space="preserve"> </w:t>
            </w:r>
            <w:r w:rsidRPr="00806A45">
              <w:rPr>
                <w:rFonts w:eastAsia="Calibri" w:cs="Times New Roman"/>
                <w:color w:val="000000"/>
                <w:spacing w:val="-2"/>
                <w:sz w:val="22"/>
                <w:szCs w:val="22"/>
                <w:lang w:eastAsia="en-US"/>
              </w:rPr>
              <w:t>zdrowie</w:t>
            </w:r>
          </w:p>
        </w:tc>
      </w:tr>
      <w:tr w:rsidR="00806A45" w:rsidRPr="00806A45" w:rsidTr="00187457">
        <w:trPr>
          <w:gridAfter w:val="1"/>
          <w:wAfter w:w="10" w:type="dxa"/>
          <w:trHeight w:val="712"/>
        </w:trPr>
        <w:tc>
          <w:tcPr>
            <w:tcW w:w="2243" w:type="dxa"/>
            <w:gridSpan w:val="3"/>
            <w:shd w:val="clear" w:color="auto" w:fill="FFFFFF"/>
            <w:vAlign w:val="center"/>
          </w:tcPr>
          <w:p w:rsidR="00806A45" w:rsidRPr="00806A45" w:rsidRDefault="00806A45" w:rsidP="00806A45">
            <w:pPr>
              <w:widowControl/>
              <w:autoSpaceDE/>
              <w:autoSpaceDN/>
              <w:adjustRightInd/>
              <w:spacing w:line="240" w:lineRule="auto"/>
              <w:jc w:val="left"/>
              <w:rPr>
                <w:rFonts w:eastAsia="Calibri" w:cs="Times New Roman"/>
                <w:color w:val="000000"/>
                <w:sz w:val="22"/>
                <w:szCs w:val="22"/>
                <w:lang w:eastAsia="en-US"/>
              </w:rPr>
            </w:pPr>
            <w:r w:rsidRPr="00806A45">
              <w:rPr>
                <w:rFonts w:eastAsia="Calibri" w:cs="Times New Roman"/>
                <w:color w:val="000000"/>
                <w:sz w:val="22"/>
                <w:szCs w:val="22"/>
                <w:lang w:eastAsia="en-US"/>
              </w:rPr>
              <w:t>Omówienie wpływu</w:t>
            </w:r>
          </w:p>
        </w:tc>
        <w:tc>
          <w:tcPr>
            <w:tcW w:w="8694" w:type="dxa"/>
            <w:gridSpan w:val="27"/>
            <w:shd w:val="clear" w:color="auto" w:fill="FFFFFF"/>
            <w:vAlign w:val="center"/>
          </w:tcPr>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Brak wpływu.</w:t>
            </w:r>
          </w:p>
        </w:tc>
      </w:tr>
      <w:tr w:rsidR="00806A45" w:rsidRPr="00806A45" w:rsidTr="00187457">
        <w:trPr>
          <w:gridAfter w:val="1"/>
          <w:wAfter w:w="10" w:type="dxa"/>
          <w:trHeight w:val="142"/>
        </w:trPr>
        <w:tc>
          <w:tcPr>
            <w:tcW w:w="10937" w:type="dxa"/>
            <w:gridSpan w:val="30"/>
            <w:shd w:val="clear" w:color="auto" w:fill="99CCFF"/>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sz w:val="22"/>
                <w:szCs w:val="22"/>
                <w:lang w:eastAsia="en-US"/>
              </w:rPr>
            </w:pPr>
            <w:r w:rsidRPr="00806A45">
              <w:rPr>
                <w:rFonts w:eastAsia="Calibri" w:cs="Times New Roman"/>
                <w:b/>
                <w:spacing w:val="-2"/>
                <w:sz w:val="21"/>
                <w:szCs w:val="21"/>
                <w:lang w:eastAsia="en-US"/>
              </w:rPr>
              <w:t>Planowane wykonanie przepisów aktu prawnego.</w:t>
            </w:r>
          </w:p>
        </w:tc>
      </w:tr>
      <w:tr w:rsidR="00806A45" w:rsidRPr="00806A45" w:rsidTr="00187457">
        <w:trPr>
          <w:gridAfter w:val="1"/>
          <w:wAfter w:w="10" w:type="dxa"/>
          <w:trHeight w:val="142"/>
        </w:trPr>
        <w:tc>
          <w:tcPr>
            <w:tcW w:w="10937" w:type="dxa"/>
            <w:gridSpan w:val="30"/>
            <w:shd w:val="clear" w:color="auto" w:fill="FFFFFF"/>
          </w:tcPr>
          <w:p w:rsidR="00806A45" w:rsidRPr="00806A45" w:rsidRDefault="00806A45" w:rsidP="00806A45">
            <w:pPr>
              <w:widowControl/>
              <w:autoSpaceDE/>
              <w:autoSpaceDN/>
              <w:adjustRightInd/>
              <w:spacing w:line="240" w:lineRule="auto"/>
              <w:rPr>
                <w:rFonts w:eastAsia="Calibri" w:cs="Times New Roman"/>
                <w:spacing w:val="-2"/>
                <w:sz w:val="22"/>
                <w:szCs w:val="22"/>
                <w:lang w:eastAsia="en-US"/>
              </w:rPr>
            </w:pPr>
            <w:r w:rsidRPr="00806A45">
              <w:rPr>
                <w:rFonts w:eastAsia="Calibri" w:cs="Times New Roman"/>
                <w:spacing w:val="-2"/>
                <w:sz w:val="22"/>
                <w:szCs w:val="22"/>
                <w:lang w:eastAsia="en-US"/>
              </w:rPr>
              <w:t>Przepisy projektu będą miały zastosowanie od dnia wejścia w życie.</w:t>
            </w:r>
          </w:p>
        </w:tc>
      </w:tr>
      <w:tr w:rsidR="00806A45" w:rsidRPr="00806A45" w:rsidTr="00187457">
        <w:trPr>
          <w:gridAfter w:val="1"/>
          <w:wAfter w:w="10" w:type="dxa"/>
          <w:trHeight w:val="142"/>
        </w:trPr>
        <w:tc>
          <w:tcPr>
            <w:tcW w:w="10937" w:type="dxa"/>
            <w:gridSpan w:val="30"/>
            <w:shd w:val="clear" w:color="auto" w:fill="99CCFF"/>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806A45">
              <w:rPr>
                <w:rFonts w:eastAsia="Calibri" w:cs="Times New Roman"/>
                <w:b/>
                <w:color w:val="000000"/>
                <w:sz w:val="22"/>
                <w:szCs w:val="22"/>
                <w:lang w:eastAsia="en-US"/>
              </w:rPr>
              <w:t xml:space="preserve"> </w:t>
            </w:r>
            <w:r w:rsidRPr="00806A45">
              <w:rPr>
                <w:rFonts w:eastAsia="Calibri" w:cs="Times New Roman"/>
                <w:b/>
                <w:spacing w:val="-2"/>
                <w:sz w:val="22"/>
                <w:szCs w:val="22"/>
                <w:lang w:eastAsia="en-US"/>
              </w:rPr>
              <w:t>W jaki sposób i kiedy nastąpi ewaluacja efektów projektu oraz jakie mierniki zostaną zastosowane?</w:t>
            </w:r>
          </w:p>
        </w:tc>
      </w:tr>
      <w:tr w:rsidR="00806A45" w:rsidRPr="00806A45" w:rsidTr="00187457">
        <w:trPr>
          <w:gridAfter w:val="1"/>
          <w:wAfter w:w="10" w:type="dxa"/>
          <w:trHeight w:val="142"/>
        </w:trPr>
        <w:tc>
          <w:tcPr>
            <w:tcW w:w="10937" w:type="dxa"/>
            <w:gridSpan w:val="30"/>
            <w:shd w:val="clear" w:color="auto" w:fill="FFFFFF"/>
          </w:tcPr>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 xml:space="preserve">Ze względu na przedmiot regulacji nie planuje się przeprowadzenie ewaluacji.       </w:t>
            </w:r>
          </w:p>
        </w:tc>
      </w:tr>
      <w:tr w:rsidR="00806A45" w:rsidRPr="00806A45" w:rsidTr="00187457">
        <w:trPr>
          <w:gridAfter w:val="1"/>
          <w:wAfter w:w="10" w:type="dxa"/>
          <w:trHeight w:val="142"/>
        </w:trPr>
        <w:tc>
          <w:tcPr>
            <w:tcW w:w="10937" w:type="dxa"/>
            <w:gridSpan w:val="30"/>
            <w:shd w:val="clear" w:color="auto" w:fill="99CCFF"/>
          </w:tcPr>
          <w:p w:rsidR="00806A45" w:rsidRPr="00806A45" w:rsidRDefault="00806A45" w:rsidP="00806A45">
            <w:pPr>
              <w:widowControl/>
              <w:numPr>
                <w:ilvl w:val="0"/>
                <w:numId w:val="47"/>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806A45">
              <w:rPr>
                <w:rFonts w:eastAsia="Calibri" w:cs="Times New Roman"/>
                <w:b/>
                <w:color w:val="000000"/>
                <w:spacing w:val="-2"/>
                <w:sz w:val="22"/>
                <w:szCs w:val="22"/>
                <w:lang w:eastAsia="en-US"/>
              </w:rPr>
              <w:t xml:space="preserve">Załączniki </w:t>
            </w:r>
            <w:r w:rsidRPr="00806A45">
              <w:rPr>
                <w:rFonts w:eastAsia="Calibri" w:cs="Times New Roman"/>
                <w:b/>
                <w:spacing w:val="-2"/>
                <w:sz w:val="21"/>
                <w:szCs w:val="21"/>
                <w:lang w:eastAsia="en-US"/>
              </w:rPr>
              <w:t>(istotne dokumenty źródłowe, badania, analizy itp.</w:t>
            </w:r>
            <w:r w:rsidRPr="00806A45">
              <w:rPr>
                <w:rFonts w:eastAsia="Calibri" w:cs="Times New Roman"/>
                <w:b/>
                <w:color w:val="000000"/>
                <w:spacing w:val="-2"/>
                <w:sz w:val="22"/>
                <w:szCs w:val="22"/>
                <w:lang w:eastAsia="en-US"/>
              </w:rPr>
              <w:t xml:space="preserve">). </w:t>
            </w:r>
          </w:p>
        </w:tc>
      </w:tr>
      <w:tr w:rsidR="00806A45" w:rsidRPr="00806A45" w:rsidTr="00187457">
        <w:trPr>
          <w:gridAfter w:val="1"/>
          <w:wAfter w:w="10" w:type="dxa"/>
          <w:trHeight w:val="142"/>
        </w:trPr>
        <w:tc>
          <w:tcPr>
            <w:tcW w:w="10937" w:type="dxa"/>
            <w:gridSpan w:val="30"/>
            <w:shd w:val="clear" w:color="auto" w:fill="FFFFFF"/>
          </w:tcPr>
          <w:p w:rsidR="00806A45" w:rsidRPr="00806A45" w:rsidRDefault="00806A45" w:rsidP="00806A45">
            <w:pPr>
              <w:widowControl/>
              <w:autoSpaceDE/>
              <w:autoSpaceDN/>
              <w:adjustRightInd/>
              <w:spacing w:line="240" w:lineRule="auto"/>
              <w:rPr>
                <w:rFonts w:eastAsia="Calibri" w:cs="Times New Roman"/>
                <w:color w:val="000000"/>
                <w:spacing w:val="-2"/>
                <w:sz w:val="22"/>
                <w:szCs w:val="22"/>
                <w:lang w:eastAsia="en-US"/>
              </w:rPr>
            </w:pPr>
            <w:r w:rsidRPr="00806A45">
              <w:rPr>
                <w:rFonts w:eastAsia="Calibri" w:cs="Times New Roman"/>
                <w:color w:val="000000"/>
                <w:spacing w:val="-2"/>
                <w:sz w:val="22"/>
                <w:szCs w:val="22"/>
                <w:lang w:eastAsia="en-US"/>
              </w:rPr>
              <w:t>Brak</w:t>
            </w:r>
          </w:p>
        </w:tc>
      </w:tr>
    </w:tbl>
    <w:p w:rsidR="00806A45" w:rsidRPr="00806A45" w:rsidRDefault="00806A45" w:rsidP="009F0C3E">
      <w:pPr>
        <w:keepNext/>
        <w:widowControl/>
        <w:autoSpaceDE/>
        <w:autoSpaceDN/>
        <w:adjustRightInd/>
        <w:spacing w:before="240" w:after="60" w:line="240" w:lineRule="auto"/>
        <w:jc w:val="left"/>
        <w:outlineLvl w:val="0"/>
        <w:rPr>
          <w:rFonts w:ascii="Arial" w:eastAsia="Times New Roman" w:hAnsi="Arial"/>
          <w:b/>
          <w:bCs/>
          <w:kern w:val="32"/>
          <w:sz w:val="32"/>
          <w:szCs w:val="32"/>
        </w:rPr>
      </w:pPr>
    </w:p>
    <w:p w:rsidR="00F9469D" w:rsidRPr="001B342E" w:rsidRDefault="00F9469D" w:rsidP="00C70646"/>
    <w:sectPr w:rsidR="00F9469D" w:rsidRPr="001B342E" w:rsidSect="00BC791A">
      <w:headerReference w:type="default" r:id="rId10"/>
      <w:footerReference w:type="default" r:id="rId11"/>
      <w:pgSz w:w="11906" w:h="16838"/>
      <w:pgMar w:top="526" w:right="707" w:bottom="568" w:left="720"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BA2" w:rsidRDefault="00B05BA2">
      <w:r>
        <w:separator/>
      </w:r>
    </w:p>
  </w:endnote>
  <w:endnote w:type="continuationSeparator" w:id="0">
    <w:p w:rsidR="00B05BA2" w:rsidRDefault="00B05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A45" w:rsidRDefault="00806A4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BA2" w:rsidRDefault="00B05BA2">
      <w:r>
        <w:separator/>
      </w:r>
    </w:p>
  </w:footnote>
  <w:footnote w:type="continuationSeparator" w:id="0">
    <w:p w:rsidR="00B05BA2" w:rsidRDefault="00B05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9F0C3E"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59" w:rsidRPr="00B371CC" w:rsidRDefault="009F0C3E" w:rsidP="00B371CC">
    <w:pPr>
      <w:pStyle w:val="Nagwek"/>
      <w:jc w:val="center"/>
    </w:pPr>
    <w:r>
      <w:t xml:space="preserve">- </w:t>
    </w:r>
    <w:r>
      <w:fldChar w:fldCharType="begin"/>
    </w:r>
    <w:r>
      <w:instrText xml:space="preserve"> PAGE  \* MERGEFORMAT </w:instrText>
    </w:r>
    <w:r>
      <w:fldChar w:fldCharType="separate"/>
    </w:r>
    <w:r w:rsidR="00252E15">
      <w:rPr>
        <w:noProof/>
      </w:rPr>
      <w:t>7</w:t>
    </w:r>
    <w:r>
      <w:rPr>
        <w:noProof/>
      </w:rPr>
      <w:fldChar w:fldCharType="end"/>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A45" w:rsidRPr="00BC791A" w:rsidRDefault="00806A45" w:rsidP="00806A45">
    <w:pPr>
      <w:pStyle w:val="Nagwek"/>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195830"/>
    <w:multiLevelType w:val="hybridMultilevel"/>
    <w:tmpl w:val="D9BA78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59B76C2"/>
    <w:multiLevelType w:val="hybridMultilevel"/>
    <w:tmpl w:val="A842964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7392001"/>
    <w:multiLevelType w:val="hybridMultilevel"/>
    <w:tmpl w:val="E5AEF0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6"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8"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1"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2"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6"/>
  </w:num>
  <w:num w:numId="3">
    <w:abstractNumId w:val="20"/>
  </w:num>
  <w:num w:numId="4">
    <w:abstractNumId w:val="20"/>
  </w:num>
  <w:num w:numId="5">
    <w:abstractNumId w:val="41"/>
  </w:num>
  <w:num w:numId="6">
    <w:abstractNumId w:val="37"/>
  </w:num>
  <w:num w:numId="7">
    <w:abstractNumId w:val="41"/>
  </w:num>
  <w:num w:numId="8">
    <w:abstractNumId w:val="37"/>
  </w:num>
  <w:num w:numId="9">
    <w:abstractNumId w:val="41"/>
  </w:num>
  <w:num w:numId="10">
    <w:abstractNumId w:val="37"/>
  </w:num>
  <w:num w:numId="11">
    <w:abstractNumId w:val="16"/>
  </w:num>
  <w:num w:numId="12">
    <w:abstractNumId w:val="11"/>
  </w:num>
  <w:num w:numId="13">
    <w:abstractNumId w:val="17"/>
  </w:num>
  <w:num w:numId="14">
    <w:abstractNumId w:val="30"/>
  </w:num>
  <w:num w:numId="15">
    <w:abstractNumId w:val="16"/>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9"/>
  </w:num>
  <w:num w:numId="28">
    <w:abstractNumId w:val="29"/>
  </w:num>
  <w:num w:numId="29">
    <w:abstractNumId w:val="42"/>
  </w:num>
  <w:num w:numId="30">
    <w:abstractNumId w:val="38"/>
  </w:num>
  <w:num w:numId="31">
    <w:abstractNumId w:val="21"/>
  </w:num>
  <w:num w:numId="32">
    <w:abstractNumId w:val="12"/>
  </w:num>
  <w:num w:numId="33">
    <w:abstractNumId w:val="36"/>
  </w:num>
  <w:num w:numId="34">
    <w:abstractNumId w:val="23"/>
  </w:num>
  <w:num w:numId="35">
    <w:abstractNumId w:val="19"/>
  </w:num>
  <w:num w:numId="36">
    <w:abstractNumId w:val="25"/>
  </w:num>
  <w:num w:numId="37">
    <w:abstractNumId w:val="31"/>
  </w:num>
  <w:num w:numId="38">
    <w:abstractNumId w:val="28"/>
  </w:num>
  <w:num w:numId="39">
    <w:abstractNumId w:val="15"/>
  </w:num>
  <w:num w:numId="40">
    <w:abstractNumId w:val="35"/>
  </w:num>
  <w:num w:numId="41">
    <w:abstractNumId w:val="33"/>
  </w:num>
  <w:num w:numId="42">
    <w:abstractNumId w:val="24"/>
  </w:num>
  <w:num w:numId="43">
    <w:abstractNumId w:val="40"/>
  </w:num>
  <w:num w:numId="44">
    <w:abstractNumId w:val="14"/>
  </w:num>
  <w:num w:numId="45">
    <w:abstractNumId w:val="34"/>
  </w:num>
  <w:num w:numId="46">
    <w:abstractNumId w:val="10"/>
  </w:num>
  <w:num w:numId="47">
    <w:abstractNumId w:val="27"/>
  </w:num>
  <w:num w:numId="48">
    <w:abstractNumId w:val="13"/>
  </w:num>
  <w:num w:numId="49">
    <w:abstractNumId w:val="32"/>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BA2"/>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5168"/>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05B89"/>
    <w:rsid w:val="002114EF"/>
    <w:rsid w:val="002166AD"/>
    <w:rsid w:val="00217871"/>
    <w:rsid w:val="00221ED8"/>
    <w:rsid w:val="00222AEC"/>
    <w:rsid w:val="00223FDF"/>
    <w:rsid w:val="002279C0"/>
    <w:rsid w:val="00242081"/>
    <w:rsid w:val="00246F26"/>
    <w:rsid w:val="002501A3"/>
    <w:rsid w:val="0025166C"/>
    <w:rsid w:val="00252E15"/>
    <w:rsid w:val="00264EC6"/>
    <w:rsid w:val="00271013"/>
    <w:rsid w:val="002765B4"/>
    <w:rsid w:val="00276A94"/>
    <w:rsid w:val="0029405D"/>
    <w:rsid w:val="00295A6F"/>
    <w:rsid w:val="002A20C4"/>
    <w:rsid w:val="002A570F"/>
    <w:rsid w:val="002A7358"/>
    <w:rsid w:val="002A7902"/>
    <w:rsid w:val="002B0F6B"/>
    <w:rsid w:val="002B23B8"/>
    <w:rsid w:val="002B68A6"/>
    <w:rsid w:val="002C276E"/>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6536"/>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C409D"/>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06A45"/>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E6633"/>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0C3E"/>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5BA2"/>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C791A"/>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217A"/>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B7512"/>
    <w:rsid w:val="00EC4CEB"/>
    <w:rsid w:val="00ED2072"/>
    <w:rsid w:val="00ED5553"/>
    <w:rsid w:val="00ED5E36"/>
    <w:rsid w:val="00ED6961"/>
    <w:rsid w:val="00EF04A5"/>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9469D"/>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5:docId w15:val="{C0DA7C5C-9E49-47EB-BF10-AB4136D76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99"/>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uiPriority w:val="99"/>
    <w:semiHidden/>
    <w:unhideWhenUsed/>
    <w:rsid w:val="00F9469D"/>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uiPriority w:val="99"/>
    <w:semiHidden/>
    <w:rsid w:val="00F9469D"/>
    <w:rPr>
      <w:rFonts w:ascii="Times New Roman" w:hAnsi="Times New Roman"/>
      <w:szCs w:val="20"/>
    </w:rPr>
  </w:style>
  <w:style w:type="character" w:customStyle="1" w:styleId="Ppogrubienie">
    <w:name w:val="_P_ – pogrubienie"/>
    <w:basedOn w:val="Domylnaczcionkaakapitu"/>
    <w:uiPriority w:val="1"/>
    <w:qFormat/>
    <w:rsid w:val="00D8217A"/>
    <w:rPr>
      <w:b/>
    </w:rPr>
  </w:style>
  <w:style w:type="paragraph" w:customStyle="1" w:styleId="akapit">
    <w:name w:val="akapit"/>
    <w:basedOn w:val="Normalny"/>
    <w:uiPriority w:val="99"/>
    <w:rsid w:val="00D8217A"/>
    <w:pPr>
      <w:widowControl/>
      <w:autoSpaceDE/>
      <w:autoSpaceDN/>
      <w:adjustRightInd/>
      <w:ind w:firstLine="851"/>
    </w:pPr>
    <w:rPr>
      <w:rFonts w:eastAsia="Times New Roman" w:cs="Times New Roman"/>
    </w:rPr>
  </w:style>
  <w:style w:type="character" w:customStyle="1" w:styleId="Kkursywa">
    <w:name w:val="_K_ – kursywa"/>
    <w:basedOn w:val="Domylnaczcionkaakapitu"/>
    <w:uiPriority w:val="1"/>
    <w:qFormat/>
    <w:rsid w:val="00D8217A"/>
    <w:rPr>
      <w:i/>
    </w:rPr>
  </w:style>
  <w:style w:type="table" w:styleId="Tabela-Siatka">
    <w:name w:val="Table Grid"/>
    <w:basedOn w:val="Standardowy"/>
    <w:uiPriority w:val="99"/>
    <w:locked/>
    <w:rsid w:val="004C409D"/>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99"/>
    <w:rsid w:val="00806A45"/>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0</TotalTime>
  <Pages>14</Pages>
  <Words>5402</Words>
  <Characters>32412</Characters>
  <Application>Microsoft Office Word</Application>
  <DocSecurity>0</DocSecurity>
  <Lines>270</Lines>
  <Paragraphs>75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37739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Grażyna D. Grabowska</cp:lastModifiedBy>
  <cp:revision>2</cp:revision>
  <cp:lastPrinted>2012-07-23T08:40:00Z</cp:lastPrinted>
  <dcterms:created xsi:type="dcterms:W3CDTF">2017-07-07T08:17:00Z</dcterms:created>
  <dcterms:modified xsi:type="dcterms:W3CDTF">2017-07-07T08:17:00Z</dcterms:modified>
</cp:coreProperties>
</file>