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DF7" w:rsidRPr="003E6C6B" w:rsidRDefault="005F2A0D" w:rsidP="005F2A0D">
      <w:pPr>
        <w:pStyle w:val="TYTUAKTUprzedmiotregulacjiustawylubrozporzdzenia"/>
        <w:spacing w:before="0" w:after="0"/>
        <w:rPr>
          <w:rFonts w:ascii="Times New Roman" w:hAnsi="Times New Roman" w:cs="Times New Roman"/>
        </w:rPr>
      </w:pPr>
      <w:bookmarkStart w:id="0" w:name="_GoBack"/>
      <w:bookmarkEnd w:id="0"/>
      <w:r w:rsidRPr="003E6C6B">
        <w:rPr>
          <w:rFonts w:ascii="Times New Roman" w:hAnsi="Times New Roman" w:cs="Times New Roman"/>
        </w:rPr>
        <w:t>ZAŁOŻENIA PROJEKTÓW PODSTAWOWYCH AKTÓW WYKONAWCZYCH</w:t>
      </w:r>
    </w:p>
    <w:p w:rsidR="005F2A0D" w:rsidRPr="003E6C6B" w:rsidRDefault="005F2A0D" w:rsidP="00966716">
      <w:pPr>
        <w:pStyle w:val="TYTUAKTUprzedmiotregulacjiustawylubrozporzdzenia"/>
        <w:spacing w:before="0" w:after="0"/>
        <w:rPr>
          <w:rFonts w:ascii="Times New Roman" w:hAnsi="Times New Roman" w:cs="Times New Roman"/>
        </w:rPr>
      </w:pPr>
      <w:r w:rsidRPr="003E6C6B">
        <w:rPr>
          <w:rFonts w:ascii="Times New Roman" w:hAnsi="Times New Roman" w:cs="Times New Roman"/>
        </w:rPr>
        <w:t xml:space="preserve">DO PROJEKTU USTAWY O </w:t>
      </w:r>
      <w:r w:rsidR="004F5DEF" w:rsidRPr="003E6C6B">
        <w:rPr>
          <w:rFonts w:ascii="Times New Roman" w:hAnsi="Times New Roman" w:cs="Times New Roman"/>
        </w:rPr>
        <w:t>SĄDZIE NAJWYŻSZYM</w:t>
      </w:r>
    </w:p>
    <w:p w:rsidR="004F5DEF" w:rsidRPr="003E6C6B" w:rsidRDefault="004F5DEF" w:rsidP="004F5DEF">
      <w:pPr>
        <w:rPr>
          <w:rFonts w:ascii="Times New Roman" w:hAnsi="Times New Roman" w:cs="Times New Roman"/>
          <w:lang w:eastAsia="pl-PL"/>
        </w:rPr>
      </w:pPr>
    </w:p>
    <w:p w:rsidR="00D71C98" w:rsidRPr="00385D93" w:rsidRDefault="005F2A0D" w:rsidP="00385D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3E6C6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</w:t>
      </w:r>
      <w:r w:rsidR="000D33E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Ministra Sprawiedliwości </w:t>
      </w:r>
      <w:r w:rsidRPr="003E6C6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– Regulamin </w:t>
      </w:r>
      <w:r w:rsidR="006C3FC5" w:rsidRPr="003E6C6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Sądu Najwyższego</w:t>
      </w:r>
      <w:r w:rsidRPr="003E6C6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(</w:t>
      </w:r>
      <w:r w:rsidR="006C3FC5" w:rsidRPr="003E6C6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art. 3 § 2 ustawy o SN</w:t>
      </w:r>
      <w:r w:rsidRPr="003E6C6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)</w:t>
      </w:r>
    </w:p>
    <w:p w:rsidR="00D71C98" w:rsidRPr="00D600FD" w:rsidRDefault="0082656C" w:rsidP="00385D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385D93">
        <w:rPr>
          <w:rFonts w:ascii="Times New Roman" w:hAnsi="Times New Roman" w:cs="Times New Roman"/>
          <w:bCs/>
          <w:sz w:val="24"/>
          <w:szCs w:val="24"/>
        </w:rPr>
        <w:t xml:space="preserve">art. 3 § 2 </w:t>
      </w:r>
      <w:r>
        <w:rPr>
          <w:rFonts w:ascii="Times New Roman" w:hAnsi="Times New Roman" w:cs="Times New Roman"/>
          <w:bCs/>
          <w:sz w:val="24"/>
          <w:szCs w:val="24"/>
        </w:rPr>
        <w:t xml:space="preserve">projektowanej </w:t>
      </w:r>
      <w:r w:rsidRPr="00385D93">
        <w:rPr>
          <w:rFonts w:ascii="Times New Roman" w:hAnsi="Times New Roman" w:cs="Times New Roman"/>
          <w:bCs/>
          <w:sz w:val="24"/>
          <w:szCs w:val="24"/>
        </w:rPr>
        <w:t>ustawy o S</w:t>
      </w:r>
      <w:r>
        <w:rPr>
          <w:rFonts w:ascii="Times New Roman" w:hAnsi="Times New Roman" w:cs="Times New Roman"/>
          <w:bCs/>
          <w:sz w:val="24"/>
          <w:szCs w:val="24"/>
        </w:rPr>
        <w:t xml:space="preserve">ądzie </w:t>
      </w:r>
      <w:r w:rsidRPr="00385D93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ajwyższym </w:t>
      </w:r>
      <w:r w:rsidR="000D33EB" w:rsidRPr="000D33EB">
        <w:rPr>
          <w:rFonts w:ascii="Times New Roman" w:hAnsi="Times New Roman" w:cs="Times New Roman"/>
          <w:bCs/>
          <w:sz w:val="24"/>
          <w:szCs w:val="24"/>
        </w:rPr>
        <w:t>Minister Sprawiedliwości, określa, w drodze rozporządzenia, regulamin Sądu Najwyższego określający całkowitą liczbę stanowisk sędziowskich</w:t>
      </w:r>
      <w:r w:rsidR="000D33EB" w:rsidRPr="000D33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33EB" w:rsidRPr="000D33EB">
        <w:rPr>
          <w:rFonts w:ascii="Times New Roman" w:hAnsi="Times New Roman" w:cs="Times New Roman"/>
          <w:bCs/>
          <w:sz w:val="24"/>
          <w:szCs w:val="24"/>
        </w:rPr>
        <w:t>sędziów Sądu Najwyższego, liczbę stanowisk sędziowskich Sądu Najwyższego w poszczególnych izbach, wewnętrzną organizację Sądu Najwyższego, szczegółowy podział spraw między izby, z zastrzeżeniem art. 4, oraz zasady wewnętrznego postępowania, biorąc pod uwagę konieczność zapewnienia sprawnego funkcjonowania Sądu Najwyższego i jego izb oraz efektywnego wykonywania obowiązków przez organy Sądu Najwyższego, przy uwzględnieniu liczby i rodzaju spraw rozpoznawanych przez Sąd Najwyższy, oraz mając na uwadze specyfikę funkcjonowania Izby Dyscyplinarnej.</w:t>
      </w:r>
      <w:r w:rsidR="000D33E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Konieczność wydania wskazanego rozporządzenia wynika ze zmian w zakresie </w:t>
      </w:r>
      <w:r w:rsidR="00F63D6F">
        <w:rPr>
          <w:rFonts w:ascii="Times New Roman" w:hAnsi="Times New Roman" w:cs="Times New Roman"/>
          <w:sz w:val="24"/>
          <w:szCs w:val="24"/>
        </w:rPr>
        <w:t>struktury organizacyjnej Sądu Najwyższego, polegając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F63D6F">
        <w:rPr>
          <w:rFonts w:ascii="Times New Roman" w:hAnsi="Times New Roman" w:cs="Times New Roman"/>
          <w:sz w:val="24"/>
          <w:szCs w:val="24"/>
        </w:rPr>
        <w:t xml:space="preserve"> w szczególności na utworzeniu nowych komórek organizacyjnych: Izby </w:t>
      </w:r>
      <w:r>
        <w:rPr>
          <w:rFonts w:ascii="Times New Roman" w:hAnsi="Times New Roman" w:cs="Times New Roman"/>
          <w:sz w:val="24"/>
          <w:szCs w:val="24"/>
        </w:rPr>
        <w:t xml:space="preserve">Publicznej, Izby Prywatnej oraz </w:t>
      </w:r>
      <w:r w:rsidR="00F63D6F">
        <w:rPr>
          <w:rFonts w:ascii="Times New Roman" w:hAnsi="Times New Roman" w:cs="Times New Roman"/>
          <w:sz w:val="24"/>
          <w:szCs w:val="24"/>
        </w:rPr>
        <w:t>Izby Dyscyplinarnej</w:t>
      </w:r>
      <w:r w:rsidR="009969B6">
        <w:rPr>
          <w:rFonts w:ascii="Times New Roman" w:hAnsi="Times New Roman" w:cs="Times New Roman"/>
          <w:sz w:val="24"/>
          <w:szCs w:val="24"/>
        </w:rPr>
        <w:t>.</w:t>
      </w:r>
    </w:p>
    <w:p w:rsidR="00212439" w:rsidRDefault="00212439" w:rsidP="00385D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</w:t>
      </w:r>
      <w:r w:rsidRPr="0021243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Ministra Sprawiedliwości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w sprawie wzoru </w:t>
      </w:r>
      <w:r w:rsidRPr="0021243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karty zgłoszenia kandydata na wolne stanowisko sędziego Sądu Najwyższego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(art. 25 § 4 ustawy o SN)</w:t>
      </w:r>
    </w:p>
    <w:p w:rsidR="00D71C98" w:rsidRPr="00264544" w:rsidRDefault="00212439" w:rsidP="00385D93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385D9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Zgodnie z art. 25 § 4 ustawy o Sadzie Najwyższym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85D9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Minister Sprawiedliwości określi, w drodze rozporządzenia, wzór karty zgłoszenia kandydata na wolne stanowisko sędziego Sądu Najwyższego, mając na uwadze konieczność zapewnienia przejrzystości oraz sprawności postępowania dotyczącego wyboru kandydata na stanowisko sędziego Sądu Najwyższego.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Określony rozporządzeniem formularz karty zgłoszenia będzie wskazywał dane niezbędne do ustalenia spełnienia przesłanek niezbędnych do pełnienia urzędu sędziego Sądu Najwyższego oraz oceny kandydatów na stanowiska sędziowskie w Sadzie Najwyższym.</w:t>
      </w:r>
    </w:p>
    <w:p w:rsidR="003541DD" w:rsidRPr="003541DD" w:rsidRDefault="003541DD" w:rsidP="00443AE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3541DD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</w:t>
      </w:r>
      <w:r w:rsidR="0021243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Ministra Sprawiedliwości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 w sprawie trybu i sposobu realizacji </w:t>
      </w:r>
      <w:r w:rsidRPr="003541DD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prawa do nieodpłatnego zakwaterowania i zwrotu kosztów zamieszkania w Warszawie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, a także trybu i sposobu realizacji świadczeń przysługujących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lastRenderedPageBreak/>
        <w:t>sędziom Sądu Najwyższego zamieszkującemu w innej miejscowości (art. 4</w:t>
      </w:r>
      <w:r w:rsidR="00360063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8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§ 4 ustawy o SN)</w:t>
      </w:r>
    </w:p>
    <w:p w:rsidR="00B42AF3" w:rsidRDefault="003541DD" w:rsidP="00B42AF3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Konieczność wydania rozporządzenia jest konsekwencją przewidzianej w </w:t>
      </w:r>
      <w:r w:rsidR="00371AA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projektowanej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ustawie o Sadzie Najwyższym</w:t>
      </w:r>
      <w:r w:rsidR="00371AA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możliwości zamieszkania sędziego Sądu Najwyższego w innej miejscowości niż Warszawa, pod warunkiem uzyskania przez niego zgody na takie zamieszkanie </w:t>
      </w:r>
      <w:r w:rsidR="00B42AF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od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Pierwszego Prezesa Sądu </w:t>
      </w:r>
      <w:r w:rsidRPr="003541D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Najwyższego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albo </w:t>
      </w:r>
      <w:r w:rsidRPr="003541D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Prezesa Sądu Najwyższego</w:t>
      </w:r>
      <w:r w:rsidR="00B42AF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kierującego pracą Izby Dyscyplinarnej. Sędziemu </w:t>
      </w:r>
      <w:r w:rsidR="00B42AF3" w:rsidRPr="00B42AF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Sądu Najwyższego</w:t>
      </w:r>
      <w:r w:rsidR="00B42AF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 który uzyska taką zgodę będzie przysługiwało – analogicznie jak sędziom sądów powszechnych (art. 78 § 5 ustawy – Prawo o ustroju sądów powszechnych) oraz prokuratorom Prokuratury Krajowej (projektowany art. 109 § 4 ustawy – Prawo o prokuraturze):</w:t>
      </w:r>
    </w:p>
    <w:p w:rsidR="00B42AF3" w:rsidRPr="00B42AF3" w:rsidRDefault="00B42AF3" w:rsidP="00B42AF3">
      <w:pPr>
        <w:spacing w:after="0" w:line="360" w:lineRule="auto"/>
        <w:ind w:left="705" w:hanging="705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1)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ab/>
      </w:r>
      <w:r w:rsidRPr="00B42AF3">
        <w:rPr>
          <w:rFonts w:ascii="Times" w:eastAsia="Times New Roman" w:hAnsi="Times" w:cs="Arial"/>
          <w:sz w:val="24"/>
          <w:szCs w:val="20"/>
          <w:lang w:eastAsia="pl-PL"/>
        </w:rPr>
        <w:t>prawo do nieodpłatnego zakwaterowania, w warunkach odpowiadających godności urzędu albo zwrot kosztów zamieszkania w Warszawie, w jednej z następujących form:</w:t>
      </w:r>
    </w:p>
    <w:p w:rsidR="00B42AF3" w:rsidRPr="00B42AF3" w:rsidRDefault="00B42AF3" w:rsidP="00B42AF3">
      <w:pPr>
        <w:suppressAutoHyphens/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B42AF3">
        <w:rPr>
          <w:rFonts w:ascii="Times" w:eastAsia="Times New Roman" w:hAnsi="Times" w:cs="Arial"/>
          <w:sz w:val="24"/>
          <w:szCs w:val="20"/>
          <w:lang w:eastAsia="pl-PL"/>
        </w:rPr>
        <w:t>a)  zwrotu kosztów faktycznie poniesionych - w wysokości określonej w fakturze,</w:t>
      </w:r>
    </w:p>
    <w:p w:rsidR="00B42AF3" w:rsidRPr="00B42AF3" w:rsidRDefault="00B42AF3" w:rsidP="00B42AF3">
      <w:pPr>
        <w:suppressAutoHyphens/>
        <w:autoSpaceDE w:val="0"/>
        <w:autoSpaceDN w:val="0"/>
        <w:adjustRightInd w:val="0"/>
        <w:spacing w:after="0" w:line="360" w:lineRule="auto"/>
        <w:ind w:left="705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B42AF3">
        <w:rPr>
          <w:rFonts w:ascii="Times" w:eastAsia="Times New Roman" w:hAnsi="Times" w:cs="Arial"/>
          <w:sz w:val="24"/>
          <w:szCs w:val="20"/>
          <w:lang w:eastAsia="pl-PL"/>
        </w:rPr>
        <w:t>b)  miesięcznego ryczałtu - w kwocie nie wyższej niż 78% podstawy ustalenia wynagrodzenia zasadniczego sędziego, o której mowa w art. 91 § 1c ustawy z dnia 27 lipca 2001 r. - Prawo o ustroju sądów powszechnych;</w:t>
      </w:r>
    </w:p>
    <w:p w:rsidR="00B42AF3" w:rsidRPr="00B42AF3" w:rsidRDefault="00B42AF3" w:rsidP="00B42AF3">
      <w:pPr>
        <w:suppressAutoHyphens/>
        <w:autoSpaceDE w:val="0"/>
        <w:autoSpaceDN w:val="0"/>
        <w:adjustRightInd w:val="0"/>
        <w:spacing w:after="0" w:line="360" w:lineRule="auto"/>
        <w:ind w:left="705" w:hanging="705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B42AF3">
        <w:rPr>
          <w:rFonts w:ascii="Times" w:eastAsia="Times New Roman" w:hAnsi="Times" w:cs="Arial"/>
          <w:sz w:val="24"/>
          <w:szCs w:val="20"/>
          <w:lang w:eastAsia="pl-PL"/>
        </w:rPr>
        <w:t>2)</w:t>
      </w:r>
      <w:r w:rsidRPr="00B42AF3">
        <w:rPr>
          <w:rFonts w:ascii="Times" w:eastAsia="Times New Roman" w:hAnsi="Times" w:cs="Arial"/>
          <w:sz w:val="24"/>
          <w:szCs w:val="20"/>
          <w:lang w:eastAsia="pl-PL"/>
        </w:rPr>
        <w:tab/>
        <w:t>zwrot kosztów pierwszego przejazdu z miejsca stałego zamieszkania do Warszawy, zwrot kosztów ostatniego przejazdu z Warszawy do miejsca stałego zamieszkania oraz zwrot kosztów przejazdów odbywanych nie częściej niż raz w tygodniu do miejsca stałego zamieszkania i z powrotem na warunkach określonych w przepisach wydanych na podstawie art. 77</w:t>
      </w:r>
      <w:r w:rsidRPr="00B42AF3">
        <w:rPr>
          <w:rFonts w:ascii="Times" w:eastAsia="Times New Roman" w:hAnsi="Times" w:cs="Arial"/>
          <w:sz w:val="24"/>
          <w:szCs w:val="20"/>
          <w:vertAlign w:val="superscript"/>
          <w:lang w:eastAsia="pl-PL"/>
        </w:rPr>
        <w:t>5</w:t>
      </w:r>
      <w:r w:rsidRPr="00B42AF3">
        <w:rPr>
          <w:rFonts w:ascii="Times" w:eastAsia="Times New Roman" w:hAnsi="Times" w:cs="Arial"/>
          <w:sz w:val="24"/>
          <w:szCs w:val="20"/>
          <w:lang w:eastAsia="pl-PL"/>
        </w:rPr>
        <w:t xml:space="preserve"> § 2 ustawy z dnia 26 czerwca 1974 r. – Kodeks pracy według zasad obowiązujących przy podróżach służbowych na obszarze kraju.</w:t>
      </w:r>
    </w:p>
    <w:p w:rsidR="00B42AF3" w:rsidRDefault="00B42AF3" w:rsidP="00B42AF3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W związku z powyższym konieczne było wprowadzenie również upoważnienia ustawowego dla </w:t>
      </w:r>
      <w:r w:rsidR="00212439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Ministra Sprawiedliwości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do wydania przepisów wykonawczych, które będą regulowały wskazane świadczenia. </w:t>
      </w:r>
    </w:p>
    <w:p w:rsidR="00360063" w:rsidRDefault="00360063" w:rsidP="0036006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385D93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</w:t>
      </w:r>
      <w:r w:rsidR="002A7314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Minister Sprawiedliwości </w:t>
      </w:r>
      <w:r w:rsidRPr="00385D93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 sprawie stawek dodatku funkcyjnego członków Biura Studiów i Analiz Sądu Najwyższego </w:t>
      </w:r>
      <w:r w:rsidR="00212439" w:rsidRPr="00385D93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(art. </w:t>
      </w:r>
      <w:r w:rsidR="0021243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7</w:t>
      </w:r>
      <w:r w:rsidR="002A7314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8</w:t>
      </w:r>
      <w:r w:rsidRPr="00385D93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§ 5 ustawy o SN)</w:t>
      </w:r>
    </w:p>
    <w:p w:rsidR="00360063" w:rsidRPr="00385D93" w:rsidRDefault="00E14119" w:rsidP="00385D93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26454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Konieczność opracowania rozporządzenia wynika z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recypowania do projektowanej ustawy o Sądzie Najwyższym upoważnienia ustawowego zawartego dotychczas w uchylanej ustawie z dnia 23 listopada 2002 r. o Sądzie Najwyższym.</w:t>
      </w:r>
      <w:r w:rsidR="00212439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Zgodnie z art. </w:t>
      </w:r>
      <w:r w:rsidR="002A731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78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§ 5 projektowanej ustawy o Sądzie Najwyższym </w:t>
      </w:r>
      <w:r w:rsidR="002A731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Minister Sprawiedliwości </w:t>
      </w:r>
      <w:r w:rsidRPr="00E14119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określi, w drodze rozporządzenia, stawki dodatku funkcyjnego członków Biura Studiów i Analiz Sądu Najwyższego mając na uwadze rodzaj oraz zakres związanych z nią zadań.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W porównaniu do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lastRenderedPageBreak/>
        <w:t xml:space="preserve">upoważnienia zawartego w art. 70 § 5 </w:t>
      </w:r>
      <w:r w:rsidR="00D131D9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obecnie obowiązującej ustawie </w:t>
      </w:r>
      <w:r w:rsidR="008A05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doprecyzowano projektowany przepis o wytyczne</w:t>
      </w:r>
      <w:r w:rsidR="008A05E4" w:rsidRPr="008A05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A05E4" w:rsidRPr="008A05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dotyczące treści aktu</w:t>
      </w:r>
      <w:r w:rsidR="008A05E4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 zgodnie z wymogiem zawartym w art. 92 ust. 1 Konstytucji RP.</w:t>
      </w:r>
    </w:p>
    <w:p w:rsidR="00D71C98" w:rsidRPr="00385D93" w:rsidRDefault="00FA2501" w:rsidP="00385D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443AE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Ministra Sprawiedliwości w sprawie </w:t>
      </w:r>
      <w:r w:rsid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określenia liczby sędziów w </w:t>
      </w:r>
      <w:r w:rsidR="004A6533" w:rsidRPr="00443AE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sądzie dyscyplinarnym</w:t>
      </w:r>
      <w:r w:rsidR="004A6533" w:rsidRPr="00443AEF">
        <w:rPr>
          <w:rFonts w:ascii="Times New Roman" w:eastAsiaTheme="minorEastAsia" w:hAnsi="Times New Roman" w:cs="Times New Roman"/>
          <w:sz w:val="24"/>
          <w:szCs w:val="20"/>
          <w:lang w:eastAsia="pl-PL"/>
        </w:rPr>
        <w:t xml:space="preserve"> </w:t>
      </w:r>
      <w:r w:rsidR="003652C7" w:rsidRPr="00443AE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(art. </w:t>
      </w:r>
      <w:r w:rsidR="004A6533" w:rsidRPr="00443AE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110c u.s.p.</w:t>
      </w:r>
      <w:r w:rsidR="003652C7" w:rsidRPr="00443AE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)</w:t>
      </w:r>
    </w:p>
    <w:p w:rsidR="00D71C98" w:rsidRDefault="00FA2501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Konieczność wydania rozporządze</w:t>
      </w:r>
      <w:r w:rsidR="00BB34C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nia</w:t>
      </w:r>
      <w:r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jest </w:t>
      </w:r>
      <w:r w:rsidR="004748C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konsekwencją</w:t>
      </w:r>
      <w:r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4748C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przewidzianych w projekcie ustawy o zmianie ustawy o Sądzie Najwyższym oraz niektórych innych ustaw zmian</w:t>
      </w:r>
      <w:r w:rsidR="00E2744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4748C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dotychczasowego </w:t>
      </w:r>
      <w:r w:rsidR="00E27447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modelu </w:t>
      </w:r>
      <w:r w:rsidR="004748C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sądownictwa dyscyplinarnego</w:t>
      </w:r>
      <w:r w:rsidR="0035135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</w:t>
      </w:r>
      <w:r w:rsidR="004748C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B92F38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mających na celu</w:t>
      </w:r>
      <w:r w:rsidR="004748CA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jego większe uniezależnienie od sądów powszechnych i Sądu Najwyższego. </w:t>
      </w:r>
      <w:r w:rsidR="00B92F38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Zgodnie z brzmieniem upoważnienia ustawowego zawartego w projektowanym art. 110c ustawy - Prawo o ustroju sądów powszechnych, Minister Sprawiedliwości, określa, </w:t>
      </w:r>
      <w:r w:rsidR="0035135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 drodze rozporządzenia, liczbę sędziów w każdym sądzie dyscyplinarnym przy sądzie apelacyjnym, kierując się względami organizacyjnymi oraz potrzebą zapewnienia sprawnego postępowania w sprawach dyscyplinarnych.</w:t>
      </w:r>
    </w:p>
    <w:p w:rsidR="00D71C98" w:rsidRPr="00385D93" w:rsidRDefault="0027713B" w:rsidP="00385D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Ministra Sprawiedliwości w sprawie określenia liczby sędziów w </w:t>
      </w:r>
      <w:r w:rsidR="00B158EE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są</w:t>
      </w:r>
      <w:r w:rsid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dach dyscyplinarnych przy wojskowych sądach okręgowych (a</w:t>
      </w:r>
      <w:r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rt. </w:t>
      </w:r>
      <w:r w:rsid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39d u.s.w.</w:t>
      </w:r>
      <w:r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)</w:t>
      </w:r>
    </w:p>
    <w:p w:rsidR="00D71C98" w:rsidRPr="004C1F1F" w:rsidRDefault="004C1F1F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4C1F1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Podobnie jak przy poprzednim rozporządzeniu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k</w:t>
      </w:r>
      <w:r w:rsidRPr="004C1F1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onieczność wydania rozporządzenia jest konsekwencją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Pr="004C1F1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zmian dotychczasowego modelu sądownictwa dyscyplinarnego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. </w:t>
      </w:r>
      <w:r w:rsidRPr="004C1F1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Zgodnie z brzmieniem upoważnienia ustawowego zawartego w projektowanym art.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39d ustawy – Prawo o ustroju sądów wojskowych, </w:t>
      </w:r>
      <w:r w:rsidR="0027713B" w:rsidRPr="004C1F1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Minister Sprawiedliwości w porozumieniu z Mi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nistrem Obrony Narodowej określi</w:t>
      </w:r>
      <w:r w:rsidR="0027713B" w:rsidRPr="004C1F1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 w drodze rozporządzenia, liczbę sędziów w każdym sądzie dyscyplinarnym, o którym mowa w art. 39a § 1 pkt 1 lit. a, kierując się względami organizacyjnymi oraz potrzebą zapewnienia sprawnego postępowan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ia w sprawach dyscyplinarnych.</w:t>
      </w:r>
    </w:p>
    <w:p w:rsidR="00D71C98" w:rsidRPr="00385D93" w:rsidRDefault="003652C7" w:rsidP="00385D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rozporządzenie Ministra Sprawiedliwości </w:t>
      </w:r>
      <w:r w:rsidR="00EA4E38"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 sprawie delegowania prokuratorów do Prokuratury Krajowej, Ministerstwa Sprawiedliwości, Krajowej Szkoły Sądownictwa i Prokuratury oraz do </w:t>
      </w:r>
      <w:r w:rsidR="0027713B"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organu, o którym mowa w art. 106 § 1</w:t>
      </w:r>
      <w:r w:rsidR="002A7314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b</w:t>
      </w:r>
      <w:r w:rsidR="00EA4E38"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, a także świadczeń przysługujących prokuratorom delegowanym poza stałe miejsce pełnienia służby (art. 112 ustawy Prawo o prokuraturze)</w:t>
      </w:r>
    </w:p>
    <w:p w:rsidR="002B6170" w:rsidRPr="002B6170" w:rsidRDefault="001735D7" w:rsidP="00385D93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Potrzeba</w:t>
      </w:r>
      <w:r w:rsidR="002B6170"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wyda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nia nowego rozporządzenia wynika z </w:t>
      </w:r>
      <w:r w:rsidR="002B6170"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faktu zmiany treści upoważnienia </w:t>
      </w:r>
      <w:r w:rsidR="002B6170"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ustawowego w konsekwencji </w:t>
      </w:r>
      <w:r w:rsidR="0051423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wprowadzenia możliwości</w:t>
      </w:r>
      <w:r w:rsidR="002B6170"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delegacji </w:t>
      </w:r>
      <w:r w:rsidR="00F63D6F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prokuratorów</w:t>
      </w:r>
      <w:r w:rsidR="002B6170"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do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naczelnego lub centralnego organu administracji publicznej. W porównaniu do dotychczasowego stanu prawnego zakres  spraw przekazanych do uregulowania został </w:t>
      </w:r>
      <w:r w:rsidR="0051423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rozszerzony o tryb delegowania </w:t>
      </w:r>
      <w:r w:rsidR="0051423B" w:rsidRPr="003E6C6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do</w:t>
      </w:r>
      <w:r w:rsidR="0051423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naczelnego lub centralnego organu administracji publicznej,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w </w:t>
      </w:r>
      <w:r w:rsidR="0051423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pozostałym zaś zakresie w projektowanym rozporządzeniu przewidziane zostaną rozwiązania odpowiadające co do zasady dotychczasowym uregulowaniom.</w:t>
      </w:r>
    </w:p>
    <w:p w:rsidR="00D71C98" w:rsidRPr="00385D93" w:rsidRDefault="003E6C6B" w:rsidP="00385D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4C1F1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rozporządzenie Rady Ministrów w sprawie wynagrodzenia zasadniczego prokuratorów oraz wysokości dodatków funkcyjnych przysługujących prokuratorom (art. 124 § 12 ustawy Prawo o prokuraturze)</w:t>
      </w:r>
    </w:p>
    <w:p w:rsidR="00D71C98" w:rsidRPr="0011306C" w:rsidRDefault="0051423B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11306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Potrzeba wydania nowego rozporządzenia wynika z  faktu zmiany treści upoważnienia  ustawowego w konsekwencji wprowadzenia możliwości delegacji prokuratorów do naczelnego lub centralnego organu administracji publicznej. W porównaniu do dotychczasowego stanu prawnego zakres spraw przekazanych do uregulowania został rozszerzony </w:t>
      </w:r>
      <w:r w:rsidR="0011306C" w:rsidRPr="0011306C">
        <w:rPr>
          <w:rFonts w:ascii="Times New Roman" w:hAnsi="Times New Roman" w:cs="Times New Roman"/>
          <w:sz w:val="24"/>
          <w:szCs w:val="24"/>
        </w:rPr>
        <w:t>o  wysokość dodatku funkcyjnego dla prokuratorów delegowanych do naczelnego lub centralnego organu administracji publicznej</w:t>
      </w:r>
      <w:r w:rsidR="0011306C">
        <w:rPr>
          <w:rFonts w:ascii="Times New Roman" w:hAnsi="Times New Roman" w:cs="Times New Roman"/>
          <w:sz w:val="24"/>
          <w:szCs w:val="24"/>
        </w:rPr>
        <w:t>,</w:t>
      </w:r>
      <w:r w:rsidR="0011306C" w:rsidRPr="0011306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11306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 pozostałym zaś zakresie w projektowanym rozporządzeniu przewidziane zostaną rozwiązania odpowiadające co do zasady dotychczasowym uregulowaniom</w:t>
      </w:r>
      <w:r w:rsidR="0011306C" w:rsidRPr="001130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7314" w:rsidRPr="00385D93" w:rsidRDefault="002A7314" w:rsidP="00385D93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3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rozporządzenie Prezesa Rady Ministrów w sprawie przeniesienia planowanych dochodów i wydatków budżetowych, w tym wynagrodzeń, między częścią budżetu odpowiadającą sądom powszechnym oraz powszechnym jednostkom organizacyjnym prokuratury a częścią odpowiadającą Sądowi Najwyższemu (art. </w:t>
      </w:r>
      <w:r w:rsidR="00FE24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105 </w:t>
      </w:r>
      <w:r w:rsidRPr="002A73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ustawy o </w:t>
      </w:r>
      <w:r w:rsidR="00FE24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</w:t>
      </w:r>
      <w:r w:rsidRPr="002A73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N)</w:t>
      </w:r>
    </w:p>
    <w:p w:rsidR="00FE24FA" w:rsidRDefault="002A7314" w:rsidP="00385D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85D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Przedmiotowe rozporządzenie stanowić będzie wykonanie upoważnienia ustawowego zawartego w art. </w:t>
      </w:r>
      <w:r w:rsidR="00FE24F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105 </w:t>
      </w:r>
      <w:r w:rsidRPr="00385D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o Sądzie Najwyższym. </w:t>
      </w:r>
      <w:r w:rsidR="00FE24F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tym przepisem </w:t>
      </w:r>
      <w:r w:rsidR="00FE24FA" w:rsidRPr="00FE24F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Prezes Rady Ministrów może dokonać, w drodze rozporządzenia, przeniesienia planowanych dochodów i wydatków budżetowych, w tym wynagrodzeń, z części budżetu odpowiadających sądom powszechnym oraz powszechnym jednostkom organizacyjnym prokuratury do części odpowiadającej Sądowi Najwyższemu z przeznaczeniem na działalność Sądu Najwyższego.</w:t>
      </w:r>
      <w:r w:rsidR="00DF6B3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związku ze skutkami finansowymi jakie spowodują projektowane regulacje może zaistnieć potrzeba przeniesienia na ich pokrycie środków budżetowej z części 15 i 88 budżetu Państwa. </w:t>
      </w:r>
    </w:p>
    <w:p w:rsidR="00FE24FA" w:rsidRDefault="00FE24FA" w:rsidP="00385D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24FA" w:rsidRDefault="00FE24FA" w:rsidP="00385D9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652C7" w:rsidRPr="00597864" w:rsidRDefault="003652C7" w:rsidP="00385D93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</w:p>
    <w:sectPr w:rsidR="003652C7" w:rsidRPr="005978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ED3" w:rsidRDefault="00217ED3" w:rsidP="005F2A0D">
      <w:pPr>
        <w:spacing w:after="0" w:line="240" w:lineRule="auto"/>
      </w:pPr>
      <w:r>
        <w:separator/>
      </w:r>
    </w:p>
  </w:endnote>
  <w:endnote w:type="continuationSeparator" w:id="0">
    <w:p w:rsidR="00217ED3" w:rsidRDefault="00217ED3" w:rsidP="005F2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401008"/>
      <w:docPartObj>
        <w:docPartGallery w:val="Page Numbers (Bottom of Page)"/>
        <w:docPartUnique/>
      </w:docPartObj>
    </w:sdtPr>
    <w:sdtEndPr/>
    <w:sdtContent>
      <w:p w:rsidR="0011306C" w:rsidRDefault="0011306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383">
          <w:rPr>
            <w:noProof/>
          </w:rPr>
          <w:t>1</w:t>
        </w:r>
        <w:r>
          <w:fldChar w:fldCharType="end"/>
        </w:r>
      </w:p>
    </w:sdtContent>
  </w:sdt>
  <w:p w:rsidR="0011306C" w:rsidRDefault="001130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ED3" w:rsidRDefault="00217ED3" w:rsidP="005F2A0D">
      <w:pPr>
        <w:spacing w:after="0" w:line="240" w:lineRule="auto"/>
      </w:pPr>
      <w:r>
        <w:separator/>
      </w:r>
    </w:p>
  </w:footnote>
  <w:footnote w:type="continuationSeparator" w:id="0">
    <w:p w:rsidR="00217ED3" w:rsidRDefault="00217ED3" w:rsidP="005F2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4164"/>
    <w:multiLevelType w:val="hybridMultilevel"/>
    <w:tmpl w:val="09520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51EA6"/>
    <w:multiLevelType w:val="hybridMultilevel"/>
    <w:tmpl w:val="BB94A850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F43C3"/>
    <w:multiLevelType w:val="hybridMultilevel"/>
    <w:tmpl w:val="9934F7D2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B06CA"/>
    <w:multiLevelType w:val="hybridMultilevel"/>
    <w:tmpl w:val="66A40996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A0D"/>
    <w:rsid w:val="00025F92"/>
    <w:rsid w:val="00041C3E"/>
    <w:rsid w:val="00080A15"/>
    <w:rsid w:val="000D33EB"/>
    <w:rsid w:val="001112B4"/>
    <w:rsid w:val="0011306C"/>
    <w:rsid w:val="001735D7"/>
    <w:rsid w:val="00187A8D"/>
    <w:rsid w:val="001A66F1"/>
    <w:rsid w:val="00212439"/>
    <w:rsid w:val="00217ED3"/>
    <w:rsid w:val="00237CD5"/>
    <w:rsid w:val="00264544"/>
    <w:rsid w:val="0027713B"/>
    <w:rsid w:val="0028479D"/>
    <w:rsid w:val="002A7314"/>
    <w:rsid w:val="002B6170"/>
    <w:rsid w:val="00335DC6"/>
    <w:rsid w:val="0035135D"/>
    <w:rsid w:val="003541DD"/>
    <w:rsid w:val="00360063"/>
    <w:rsid w:val="003652C7"/>
    <w:rsid w:val="00371AAC"/>
    <w:rsid w:val="00385D93"/>
    <w:rsid w:val="003D070B"/>
    <w:rsid w:val="003E6C6B"/>
    <w:rsid w:val="003E7745"/>
    <w:rsid w:val="00443AEF"/>
    <w:rsid w:val="00447EBC"/>
    <w:rsid w:val="004748CA"/>
    <w:rsid w:val="004A6533"/>
    <w:rsid w:val="004C1AF3"/>
    <w:rsid w:val="004C1F1F"/>
    <w:rsid w:val="004F5DEF"/>
    <w:rsid w:val="0051423B"/>
    <w:rsid w:val="005278DE"/>
    <w:rsid w:val="00552A19"/>
    <w:rsid w:val="00597864"/>
    <w:rsid w:val="005B2B91"/>
    <w:rsid w:val="005F2A0D"/>
    <w:rsid w:val="0060364D"/>
    <w:rsid w:val="00612741"/>
    <w:rsid w:val="0062416F"/>
    <w:rsid w:val="0063233B"/>
    <w:rsid w:val="00642F5E"/>
    <w:rsid w:val="006805FA"/>
    <w:rsid w:val="00686F6B"/>
    <w:rsid w:val="006C3FC5"/>
    <w:rsid w:val="0070425F"/>
    <w:rsid w:val="00714A5E"/>
    <w:rsid w:val="00746383"/>
    <w:rsid w:val="0082656C"/>
    <w:rsid w:val="00884072"/>
    <w:rsid w:val="008A05E4"/>
    <w:rsid w:val="008B0884"/>
    <w:rsid w:val="00905A29"/>
    <w:rsid w:val="0094655D"/>
    <w:rsid w:val="00966716"/>
    <w:rsid w:val="009969B6"/>
    <w:rsid w:val="009E27ED"/>
    <w:rsid w:val="00A77FB2"/>
    <w:rsid w:val="00A84E27"/>
    <w:rsid w:val="00AD763A"/>
    <w:rsid w:val="00B01C3E"/>
    <w:rsid w:val="00B158EE"/>
    <w:rsid w:val="00B23A58"/>
    <w:rsid w:val="00B42AF3"/>
    <w:rsid w:val="00B92F38"/>
    <w:rsid w:val="00BB34CB"/>
    <w:rsid w:val="00BC4A57"/>
    <w:rsid w:val="00BE3C6A"/>
    <w:rsid w:val="00BE4DF7"/>
    <w:rsid w:val="00C2567A"/>
    <w:rsid w:val="00D131D9"/>
    <w:rsid w:val="00D600FD"/>
    <w:rsid w:val="00D71C98"/>
    <w:rsid w:val="00DA36AE"/>
    <w:rsid w:val="00DB0CCC"/>
    <w:rsid w:val="00DF6B33"/>
    <w:rsid w:val="00E14119"/>
    <w:rsid w:val="00E27447"/>
    <w:rsid w:val="00E65042"/>
    <w:rsid w:val="00E77791"/>
    <w:rsid w:val="00EA4E38"/>
    <w:rsid w:val="00EF131D"/>
    <w:rsid w:val="00F400A8"/>
    <w:rsid w:val="00F423CE"/>
    <w:rsid w:val="00F63D6F"/>
    <w:rsid w:val="00FA2501"/>
    <w:rsid w:val="00FE24FA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F2A0D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F2A0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F2A0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F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2A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2A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2A0D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A0D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365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1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12B4"/>
  </w:style>
  <w:style w:type="paragraph" w:styleId="Stopka">
    <w:name w:val="footer"/>
    <w:basedOn w:val="Normalny"/>
    <w:link w:val="StopkaZnak"/>
    <w:uiPriority w:val="99"/>
    <w:unhideWhenUsed/>
    <w:rsid w:val="0011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12B4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1A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1AA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371AAC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2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F2A0D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F2A0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F2A0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F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2A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2A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2A0D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A0D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365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1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12B4"/>
  </w:style>
  <w:style w:type="paragraph" w:styleId="Stopka">
    <w:name w:val="footer"/>
    <w:basedOn w:val="Normalny"/>
    <w:link w:val="StopkaZnak"/>
    <w:uiPriority w:val="99"/>
    <w:unhideWhenUsed/>
    <w:rsid w:val="0011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12B4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1A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1AAC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371AAC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2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0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7752</Characters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2017-07-12T17:09:00Z</dcterms:created>
  <dcterms:modified xsi:type="dcterms:W3CDTF">2017-07-12T17:09:00Z</dcterms:modified>
</cp:coreProperties>
</file>