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3F6" w:rsidRPr="00501ECB" w:rsidRDefault="007C13F6" w:rsidP="0014179C">
      <w:pPr>
        <w:spacing w:before="120"/>
        <w:jc w:val="center"/>
      </w:pPr>
      <w:bookmarkStart w:id="0" w:name="_GoBack"/>
      <w:bookmarkEnd w:id="0"/>
      <w:r w:rsidRPr="00501ECB">
        <w:t>UZASADNIENIE</w:t>
      </w:r>
    </w:p>
    <w:p w:rsidR="007C13F6" w:rsidRPr="00501ECB" w:rsidRDefault="007C13F6" w:rsidP="0014179C">
      <w:pPr>
        <w:pStyle w:val="Akapitzlist"/>
        <w:numPr>
          <w:ilvl w:val="0"/>
          <w:numId w:val="1"/>
        </w:numPr>
        <w:spacing w:before="240"/>
        <w:ind w:left="284" w:hanging="284"/>
        <w:jc w:val="both"/>
        <w:rPr>
          <w:rFonts w:cs="Times New Roman"/>
          <w:b/>
          <w:color w:val="000000"/>
          <w:szCs w:val="24"/>
        </w:rPr>
      </w:pPr>
      <w:r w:rsidRPr="00501ECB">
        <w:rPr>
          <w:rFonts w:cs="Times New Roman"/>
          <w:b/>
          <w:bCs/>
          <w:color w:val="000000"/>
          <w:szCs w:val="24"/>
        </w:rPr>
        <w:t>Potrzeba i cel wydania ustawy</w:t>
      </w:r>
    </w:p>
    <w:p w:rsidR="007C13F6" w:rsidRPr="00501ECB" w:rsidRDefault="007C13F6" w:rsidP="0014179C">
      <w:pPr>
        <w:widowControl/>
        <w:autoSpaceDE/>
        <w:autoSpaceDN/>
        <w:adjustRightInd/>
        <w:spacing w:before="120"/>
        <w:jc w:val="both"/>
        <w:rPr>
          <w:rFonts w:cs="Times New Roman"/>
          <w:szCs w:val="24"/>
        </w:rPr>
      </w:pPr>
      <w:r w:rsidRPr="00501ECB">
        <w:rPr>
          <w:rFonts w:cs="Times New Roman"/>
          <w:bCs/>
          <w:color w:val="000000"/>
          <w:szCs w:val="24"/>
        </w:rPr>
        <w:t xml:space="preserve">Zmiana ustawy z dnia 21 grudnia 2000 r. o dozorze technicznym </w:t>
      </w:r>
      <w:r w:rsidR="00501ECB">
        <w:rPr>
          <w:rFonts w:cs="Times New Roman"/>
          <w:bCs/>
          <w:color w:val="000000"/>
          <w:szCs w:val="24"/>
        </w:rPr>
        <w:t>(Dz. U. z 2017 r. poz. </w:t>
      </w:r>
      <w:r w:rsidR="00425CE8" w:rsidRPr="00501ECB">
        <w:rPr>
          <w:rFonts w:cs="Times New Roman"/>
          <w:bCs/>
          <w:color w:val="000000"/>
          <w:szCs w:val="24"/>
        </w:rPr>
        <w:t>1040</w:t>
      </w:r>
      <w:r w:rsidRPr="00501ECB">
        <w:rPr>
          <w:rFonts w:cs="Times New Roman"/>
          <w:bCs/>
          <w:color w:val="000000"/>
          <w:szCs w:val="24"/>
        </w:rPr>
        <w:t>) jest niezbędna w celu dokonania prawidłowej implementacji</w:t>
      </w:r>
      <w:r w:rsidRPr="00501ECB">
        <w:rPr>
          <w:rFonts w:cs="Times New Roman"/>
          <w:color w:val="000000"/>
          <w:szCs w:val="24"/>
        </w:rPr>
        <w:t xml:space="preserve"> dyrektywy Parlamentu Europejskiego i Rady 2009/126/WE z dnia 21 października 2009 r. </w:t>
      </w:r>
      <w:r w:rsidR="00501ECB">
        <w:rPr>
          <w:rFonts w:cs="Times New Roman"/>
          <w:color w:val="000000"/>
          <w:szCs w:val="24"/>
        </w:rPr>
        <w:t>w </w:t>
      </w:r>
      <w:r w:rsidRPr="00501ECB">
        <w:rPr>
          <w:rFonts w:cs="Times New Roman"/>
          <w:color w:val="000000"/>
          <w:szCs w:val="24"/>
        </w:rPr>
        <w:t>sprawie odzyskiwania oparów paliwa na etapie II podczas tankowania pojazdów silnikowych na stacjach paliw (Dz. Urz. UE L 285 z 31.10.2009, str. 36)</w:t>
      </w:r>
      <w:r w:rsidR="00501ECB">
        <w:rPr>
          <w:rFonts w:cs="Times New Roman"/>
          <w:color w:val="000000"/>
          <w:szCs w:val="24"/>
        </w:rPr>
        <w:t xml:space="preserve"> </w:t>
      </w:r>
      <w:r w:rsidR="00501ECB">
        <w:rPr>
          <w:rFonts w:cs="Times New Roman"/>
          <w:bCs/>
          <w:color w:val="000000"/>
          <w:szCs w:val="24"/>
        </w:rPr>
        <w:t>w związku z </w:t>
      </w:r>
      <w:r w:rsidRPr="00501ECB">
        <w:rPr>
          <w:rFonts w:cs="Times New Roman"/>
          <w:bCs/>
          <w:color w:val="000000"/>
          <w:szCs w:val="24"/>
        </w:rPr>
        <w:t xml:space="preserve">jej zmianą wprowadzoną dyrektywą Komisji 2014/99/UE </w:t>
      </w:r>
      <w:r w:rsidRPr="00501ECB">
        <w:rPr>
          <w:rFonts w:cs="Times New Roman"/>
          <w:szCs w:val="24"/>
        </w:rPr>
        <w:t xml:space="preserve">z dnia 21 </w:t>
      </w:r>
      <w:r w:rsidR="00501ECB">
        <w:rPr>
          <w:rFonts w:cs="Times New Roman"/>
          <w:szCs w:val="24"/>
        </w:rPr>
        <w:t>października 2014 </w:t>
      </w:r>
      <w:r w:rsidRPr="00501ECB">
        <w:rPr>
          <w:rFonts w:cs="Times New Roman"/>
          <w:szCs w:val="24"/>
        </w:rPr>
        <w:t xml:space="preserve">r. zmieniającą, </w:t>
      </w:r>
      <w:r w:rsidRPr="00501ECB">
        <w:rPr>
          <w:rFonts w:cs="Times New Roman"/>
          <w:color w:val="000000"/>
          <w:szCs w:val="24"/>
        </w:rPr>
        <w:t>w celu dostosowania do postępu technicznego dyrektywę 2009/126/WE w sprawie odzyskiwania oparów paliwa na etapie II podczas tankowania pojazdów silnikowych na stacjach paliw (Dz. Urz. U</w:t>
      </w:r>
      <w:r w:rsidR="00795DDA" w:rsidRPr="00501ECB">
        <w:rPr>
          <w:rFonts w:cs="Times New Roman"/>
          <w:color w:val="000000"/>
          <w:szCs w:val="24"/>
        </w:rPr>
        <w:t xml:space="preserve">E L 304 z 23.10.2014, str. 89). Dyrektywa 2014/99/UE </w:t>
      </w:r>
      <w:r w:rsidRPr="00501ECB">
        <w:rPr>
          <w:rFonts w:cs="Times New Roman"/>
          <w:color w:val="000000"/>
          <w:szCs w:val="24"/>
        </w:rPr>
        <w:t xml:space="preserve">uszczegóławia art. 4 ust. 1 dyrektywy 2009/126/WE poprzez wprowadzenie wymogu potwierdzania przez producenta minimalnego poziomu odzyskiwania par paliwa zgodnie z normą EN 16321-1:2013 (polska norma PN-EN 16321-1:2014-02) określającą </w:t>
      </w:r>
      <w:r w:rsidRPr="00501ECB">
        <w:rPr>
          <w:rFonts w:cs="Times New Roman"/>
          <w:szCs w:val="24"/>
        </w:rPr>
        <w:t xml:space="preserve">wymagania dla urządzeń i systemów do odzyskiwania par paliwa montowanych na stacjach paliw oraz </w:t>
      </w:r>
      <w:r w:rsidRPr="00501ECB">
        <w:rPr>
          <w:rFonts w:cs="Times New Roman"/>
          <w:color w:val="000000"/>
          <w:szCs w:val="24"/>
        </w:rPr>
        <w:t xml:space="preserve">art. 5 ust. 1 ww. dyrektywy poprzez wskazanie konkretnej normy </w:t>
      </w:r>
      <w:r w:rsidRPr="00501ECB">
        <w:rPr>
          <w:rFonts w:cs="Times New Roman"/>
          <w:szCs w:val="24"/>
        </w:rPr>
        <w:t>EN 16321-2:2013 (polska norma PN-EN 16321-2:2014-02) dotyczącej metody badań, jakie należy stosować na stacjach paliw w celu skontrolowania działania systemów odzyskiwania par paliwa.</w:t>
      </w:r>
      <w:r w:rsidRPr="00501ECB">
        <w:rPr>
          <w:rFonts w:cs="Times New Roman"/>
          <w:color w:val="000000"/>
          <w:szCs w:val="24"/>
        </w:rPr>
        <w:t xml:space="preserve"> </w:t>
      </w:r>
    </w:p>
    <w:p w:rsidR="007C13F6" w:rsidRPr="00501ECB" w:rsidRDefault="007C13F6" w:rsidP="0014179C">
      <w:pPr>
        <w:spacing w:before="120"/>
        <w:jc w:val="both"/>
        <w:rPr>
          <w:rFonts w:cs="Times New Roman"/>
          <w:color w:val="000000"/>
          <w:szCs w:val="24"/>
        </w:rPr>
      </w:pPr>
      <w:r w:rsidRPr="00501ECB">
        <w:rPr>
          <w:color w:val="000000"/>
          <w:lang w:bidi="pl-PL"/>
        </w:rPr>
        <w:t xml:space="preserve">Dyrektywa 2009/126/WE wprowadziła obowiązek badania wydajności funkcjonujących systemów odzyskiwania par paliwa. </w:t>
      </w:r>
      <w:r w:rsidRPr="00501ECB">
        <w:rPr>
          <w:rFonts w:cs="Times New Roman"/>
          <w:color w:val="000000"/>
          <w:szCs w:val="24"/>
        </w:rPr>
        <w:t>Dotychczas art. 5 ww. dyrektywy zobowiązywał do testowania wydajności tych systemów na etapie II co najmniej raz do roku, pozostawiał natomiast dowolność w odniesieniu do</w:t>
      </w:r>
      <w:r w:rsidR="00501ECB">
        <w:rPr>
          <w:rFonts w:cs="Times New Roman"/>
          <w:color w:val="000000"/>
          <w:szCs w:val="24"/>
        </w:rPr>
        <w:t xml:space="preserve"> </w:t>
      </w:r>
      <w:r w:rsidRPr="00501ECB">
        <w:rPr>
          <w:rFonts w:cs="Times New Roman"/>
          <w:color w:val="000000"/>
          <w:szCs w:val="24"/>
        </w:rPr>
        <w:t xml:space="preserve">stosowanych metod badań, w związku z czym dokonując implementacji pierwotnej dyrektywy z 2009 r. uznano, że w tym zakresie wystarczające są przepisy ustawy z dnia 7 lipca 1994 r. – Prawo budowlane (Dz. U. </w:t>
      </w:r>
      <w:r w:rsidR="00501ECB">
        <w:rPr>
          <w:rFonts w:cs="Times New Roman"/>
          <w:color w:val="000000"/>
          <w:szCs w:val="24"/>
        </w:rPr>
        <w:t>z </w:t>
      </w:r>
      <w:r w:rsidRPr="00501ECB">
        <w:rPr>
          <w:rFonts w:cs="Times New Roman"/>
          <w:color w:val="000000"/>
          <w:szCs w:val="24"/>
        </w:rPr>
        <w:t>2016 r. poz. 290, z późn. zm.). Pierwotna koncepcja wdrożenia omawianego przepisu przyjęta w 2010 r. w Planie implementacyjnym Dyrektywy P</w:t>
      </w:r>
      <w:r w:rsidR="00501ECB">
        <w:rPr>
          <w:rFonts w:cs="Times New Roman"/>
          <w:color w:val="000000"/>
          <w:szCs w:val="24"/>
        </w:rPr>
        <w:t>arlamentu Europejskiego i </w:t>
      </w:r>
      <w:r w:rsidRPr="00501ECB">
        <w:rPr>
          <w:rFonts w:cs="Times New Roman"/>
          <w:color w:val="000000"/>
          <w:szCs w:val="24"/>
        </w:rPr>
        <w:t>Rady 2009/126/WE z dnia 21 października 2009 r. w sprawie odzyskiwania oparów paliwa na etapie II podczas tankowania pojazdów silnikowych na stacjach paliw, odzwierciedlona w procedowanym, p</w:t>
      </w:r>
      <w:r w:rsidRPr="00501ECB">
        <w:rPr>
          <w:rFonts w:cs="Times New Roman"/>
          <w:szCs w:val="24"/>
        </w:rPr>
        <w:t xml:space="preserve">odczas trwania VI kadencji Sejmu, poselskim projekcie ustawy o zmianie ustawy o dozorze technicznym, zakładała przekazanie jednostkom dozoru technicznego zadań związanych z kontrolą urządzeń do </w:t>
      </w:r>
      <w:r w:rsidRPr="00501ECB">
        <w:rPr>
          <w:rFonts w:cs="Times New Roman"/>
          <w:szCs w:val="24"/>
        </w:rPr>
        <w:lastRenderedPageBreak/>
        <w:t>odzyskiwania par paliwa. Ostatecznie, w związku z upływem kadencji Sejmu,</w:t>
      </w:r>
      <w:r w:rsidR="00501ECB">
        <w:rPr>
          <w:rFonts w:cs="Times New Roman"/>
          <w:szCs w:val="24"/>
        </w:rPr>
        <w:t xml:space="preserve"> </w:t>
      </w:r>
      <w:r w:rsidRPr="00501ECB">
        <w:rPr>
          <w:rFonts w:cs="Times New Roman"/>
          <w:szCs w:val="24"/>
        </w:rPr>
        <w:t>prace legislacyjne nie zostały zakończone.</w:t>
      </w:r>
    </w:p>
    <w:p w:rsidR="007C13F6" w:rsidRPr="00501ECB" w:rsidRDefault="007C13F6" w:rsidP="0014179C">
      <w:pPr>
        <w:spacing w:before="120"/>
        <w:jc w:val="both"/>
        <w:rPr>
          <w:rFonts w:cs="Times New Roman"/>
          <w:szCs w:val="24"/>
        </w:rPr>
      </w:pPr>
      <w:r w:rsidRPr="00501ECB">
        <w:rPr>
          <w:rFonts w:cs="Times New Roman"/>
          <w:szCs w:val="24"/>
        </w:rPr>
        <w:t xml:space="preserve">Dyrektywa </w:t>
      </w:r>
      <w:r w:rsidRPr="00501ECB">
        <w:rPr>
          <w:rFonts w:cs="Times New Roman"/>
          <w:bCs/>
          <w:color w:val="000000"/>
          <w:szCs w:val="24"/>
        </w:rPr>
        <w:t>2014/99/UE wprowadziła zasadniczą zmianę w art. 5 ust. 1 polegającą na wskazaniu konkretnej normy europejskiej, zgodnie z którą powinna być testowana wydajność odzyskiwania par paliwa na etapie II podczas tankowania, przy pozostawieniu obowiązku corocznej kontroli urządzeń, które do tego służą. W związku z koniecznością wdrożenia ww. dyrektywy niezbędne jest dokonanie zmian mających na celu skonkretyzowanie metod badań i ustanowienie systemowych rozwiązań umożliwiających efektywną kontrolę eksploatowanych systemów</w:t>
      </w:r>
      <w:r w:rsidR="00830337" w:rsidRPr="00501ECB">
        <w:rPr>
          <w:rFonts w:cs="Times New Roman"/>
          <w:bCs/>
          <w:color w:val="000000"/>
          <w:szCs w:val="24"/>
        </w:rPr>
        <w:t>. W</w:t>
      </w:r>
      <w:r w:rsidRPr="00501ECB">
        <w:rPr>
          <w:rFonts w:cs="Times New Roman"/>
          <w:szCs w:val="24"/>
        </w:rPr>
        <w:t xml:space="preserve">łaściwe wdrożenie ww. przepisów dyrektywy poprzez wprowadzenie skutecznych mechanizmów kontrolnych wymaga uzupełnienia przyjętego dotychczas modelu implementacji dyrektywy 2009/126/WE. </w:t>
      </w:r>
    </w:p>
    <w:p w:rsidR="007C13F6" w:rsidRDefault="007C13F6" w:rsidP="0014179C">
      <w:pPr>
        <w:spacing w:before="120"/>
        <w:jc w:val="both"/>
        <w:rPr>
          <w:rFonts w:cs="Times New Roman"/>
          <w:szCs w:val="24"/>
        </w:rPr>
      </w:pPr>
      <w:r w:rsidRPr="00501ECB">
        <w:rPr>
          <w:rFonts w:cs="Times New Roman"/>
          <w:color w:val="000000"/>
          <w:szCs w:val="24"/>
        </w:rPr>
        <w:t>W związku z powyższym oraz koniecznością dokonania implementacji dyrektywy 2014/99/UE dotychczasowy sposób transpozycji przedmiotowych przepisów w oparciu o przepisy ustawy z dnia 7 lipca 1994 r. – Prawo budowlane został poddany ponownej analizie pod kątem prawidłowej realizacj</w:t>
      </w:r>
      <w:r w:rsidR="00FE03A9">
        <w:rPr>
          <w:rFonts w:cs="Times New Roman"/>
          <w:color w:val="000000"/>
          <w:szCs w:val="24"/>
        </w:rPr>
        <w:t>i</w:t>
      </w:r>
      <w:r w:rsidRPr="00501ECB">
        <w:rPr>
          <w:rFonts w:cs="Times New Roman"/>
          <w:color w:val="000000"/>
          <w:szCs w:val="24"/>
        </w:rPr>
        <w:t xml:space="preserve"> celów wyznaczonych przez przepisy unijne oraz zapewnienia efektywnego systemu nadzoru nad działaniem systemów odzyskiwania par, w wyniku której stwierdzono, że</w:t>
      </w:r>
      <w:r w:rsidRPr="00501ECB">
        <w:rPr>
          <w:rFonts w:cs="Times New Roman"/>
          <w:szCs w:val="24"/>
        </w:rPr>
        <w:t xml:space="preserve"> osoby posiadające odpowiednie uprawnienia budowlane, właściw</w:t>
      </w:r>
      <w:r w:rsidR="001846AB">
        <w:rPr>
          <w:rFonts w:cs="Times New Roman"/>
          <w:szCs w:val="24"/>
        </w:rPr>
        <w:t>e</w:t>
      </w:r>
      <w:r w:rsidRPr="00501ECB">
        <w:rPr>
          <w:rFonts w:cs="Times New Roman"/>
          <w:szCs w:val="24"/>
        </w:rPr>
        <w:t xml:space="preserve"> zgodnie z art. 62 ust. 4 </w:t>
      </w:r>
      <w:r w:rsidR="00BD1F77">
        <w:rPr>
          <w:rFonts w:cs="Times New Roman"/>
          <w:szCs w:val="24"/>
        </w:rPr>
        <w:t xml:space="preserve">ustawy z dnia 7 lipca 1994 r. – </w:t>
      </w:r>
      <w:r w:rsidRPr="00501ECB">
        <w:rPr>
          <w:rFonts w:cs="Times New Roman"/>
          <w:szCs w:val="24"/>
        </w:rPr>
        <w:t>Praw</w:t>
      </w:r>
      <w:r w:rsidR="00BD1F77">
        <w:rPr>
          <w:rFonts w:cs="Times New Roman"/>
          <w:szCs w:val="24"/>
        </w:rPr>
        <w:t>o</w:t>
      </w:r>
      <w:r w:rsidRPr="00501ECB">
        <w:rPr>
          <w:rFonts w:cs="Times New Roman"/>
          <w:szCs w:val="24"/>
        </w:rPr>
        <w:t xml:space="preserve"> budowlane</w:t>
      </w:r>
      <w:r w:rsidR="00BD1F77">
        <w:rPr>
          <w:rFonts w:cs="Times New Roman"/>
          <w:szCs w:val="24"/>
        </w:rPr>
        <w:t xml:space="preserve"> </w:t>
      </w:r>
      <w:r w:rsidRPr="00501ECB">
        <w:rPr>
          <w:rFonts w:cs="Times New Roman"/>
          <w:szCs w:val="24"/>
        </w:rPr>
        <w:t>do przeprowadzania kontroli obiektów budowlanych stanowiących stacje paliw, nie posiadają odpowiedniego przygotowania do sprawdzenia prawidłowości działania urządzeń technicznych i instalacji do odzyskiwania par produktów naftowych, zgodnie z ww. normą, jak również, że organy nadzoru budowlanego nie będą w stanie w sposób efektywny nadzorować osób posiadających uprawnienia budowlane w zakresie wypełniania przez nich obowiązków związanych z kontrolą urządzeń do odzyskiwania par paliwa. Należy zwrócić uwagę, że kontrola skuteczności odprowadzania par paliwa na etapie II</w:t>
      </w:r>
      <w:r w:rsidR="00853915">
        <w:rPr>
          <w:rFonts w:cs="Times New Roman"/>
          <w:szCs w:val="24"/>
        </w:rPr>
        <w:t>,</w:t>
      </w:r>
      <w:r w:rsidRPr="00501ECB">
        <w:rPr>
          <w:rFonts w:cs="Times New Roman"/>
          <w:szCs w:val="24"/>
        </w:rPr>
        <w:t xml:space="preserve"> zgodnie z ww. normą, jest czynnością specjalistyczną, wymagającą posiadania wiedzy oraz umiejętności obsługi urządzeń wykorzystywanych do przedmiotowej kontroli</w:t>
      </w:r>
      <w:r w:rsidR="00830337" w:rsidRPr="00501ECB">
        <w:rPr>
          <w:rFonts w:cs="Times New Roman"/>
          <w:szCs w:val="24"/>
        </w:rPr>
        <w:t>,</w:t>
      </w:r>
      <w:r w:rsidRPr="00501ECB">
        <w:rPr>
          <w:rFonts w:cs="Times New Roman"/>
          <w:szCs w:val="24"/>
        </w:rPr>
        <w:t xml:space="preserve"> jak również umiejętności interpretacji uzysk</w:t>
      </w:r>
      <w:r w:rsidR="00830337" w:rsidRPr="00501ECB">
        <w:rPr>
          <w:rFonts w:cs="Times New Roman"/>
          <w:szCs w:val="24"/>
        </w:rPr>
        <w:t>anych pomiarów podczas kontroli. P</w:t>
      </w:r>
      <w:r w:rsidRPr="00501ECB">
        <w:rPr>
          <w:rFonts w:cs="Times New Roman"/>
          <w:szCs w:val="24"/>
        </w:rPr>
        <w:t>onadto jednostka wykonująca takie badania powinna posiadać specjalistyczne urządzenia pomiarowe zgodne z normą EN 16321-2, które będą wykorzystywane dla ww. celów kontrolnych.</w:t>
      </w:r>
      <w:r w:rsidR="00501ECB">
        <w:rPr>
          <w:rFonts w:cs="Times New Roman"/>
          <w:szCs w:val="24"/>
        </w:rPr>
        <w:t xml:space="preserve"> </w:t>
      </w:r>
    </w:p>
    <w:p w:rsidR="00BD1F77" w:rsidRPr="00501ECB" w:rsidRDefault="00BD1F77" w:rsidP="0014179C">
      <w:pPr>
        <w:spacing w:before="120"/>
        <w:jc w:val="both"/>
        <w:rPr>
          <w:rFonts w:cs="Times New Roman"/>
          <w:szCs w:val="24"/>
        </w:rPr>
      </w:pPr>
    </w:p>
    <w:p w:rsidR="00113E15" w:rsidRPr="00501ECB" w:rsidRDefault="00113E15" w:rsidP="0014179C">
      <w:pPr>
        <w:spacing w:before="120"/>
        <w:jc w:val="both"/>
        <w:rPr>
          <w:rFonts w:cs="Times New Roman"/>
          <w:szCs w:val="24"/>
        </w:rPr>
      </w:pPr>
      <w:r w:rsidRPr="00501ECB">
        <w:rPr>
          <w:rFonts w:cs="Times New Roman"/>
          <w:bCs/>
          <w:szCs w:val="24"/>
        </w:rPr>
        <w:lastRenderedPageBreak/>
        <w:t xml:space="preserve">W związku z tym proponowanym rozwiązaniem jest zmiana ustawy z dnia 21 grudnia 2000 r. o dozorze technicznym w celu dokonania implementacji dyrektywy Komisji 2014/99/UE </w:t>
      </w:r>
      <w:r w:rsidRPr="00501ECB">
        <w:rPr>
          <w:rFonts w:cs="Times New Roman"/>
          <w:szCs w:val="24"/>
        </w:rPr>
        <w:t>poprzez powierzenie czynności w z</w:t>
      </w:r>
      <w:r w:rsidR="00501ECB">
        <w:rPr>
          <w:rFonts w:cs="Times New Roman"/>
          <w:szCs w:val="24"/>
        </w:rPr>
        <w:t>akresie kontroli stacji paliw w </w:t>
      </w:r>
      <w:r w:rsidRPr="00501ECB">
        <w:rPr>
          <w:rFonts w:cs="Times New Roman"/>
          <w:szCs w:val="24"/>
        </w:rPr>
        <w:t>odniesieniu do wydajności instalacji do odzyskiwania oparów paliwa jednostkom dozoru technicznego. Biorąc pod uwagę dotych</w:t>
      </w:r>
      <w:r w:rsidR="00501ECB">
        <w:rPr>
          <w:rFonts w:cs="Times New Roman"/>
          <w:szCs w:val="24"/>
        </w:rPr>
        <w:t>czasowy podział kompetencyjny i </w:t>
      </w:r>
      <w:r w:rsidRPr="00501ECB">
        <w:rPr>
          <w:rFonts w:cs="Times New Roman"/>
          <w:szCs w:val="24"/>
        </w:rPr>
        <w:t>systemowy wynikający z</w:t>
      </w:r>
      <w:r w:rsidR="00BD1F77">
        <w:rPr>
          <w:rFonts w:cs="Times New Roman"/>
          <w:szCs w:val="24"/>
        </w:rPr>
        <w:t xml:space="preserve"> ww. </w:t>
      </w:r>
      <w:r w:rsidRPr="00501ECB">
        <w:rPr>
          <w:rFonts w:cs="Times New Roman"/>
          <w:szCs w:val="24"/>
        </w:rPr>
        <w:t>ustawy oraz fakt, że obecnie właściwe jednostki dozoru technicznego wykonują dozór techniczny nad urządzeniami technicznymi zamontowanymi na stacjach paliw i w związku z tym posiadają niezbędne zasoby kompetencyjne i techniczne oraz doświadczenie w prowadzeniu działalności jednostki kontrolującej i inspekcyjnej w rozumieniu przepisów o ocenie zgodności</w:t>
      </w:r>
      <w:r w:rsidR="00830337" w:rsidRPr="00501ECB">
        <w:rPr>
          <w:rFonts w:cs="Times New Roman"/>
          <w:szCs w:val="24"/>
        </w:rPr>
        <w:t>, a</w:t>
      </w:r>
      <w:r w:rsidR="00501ECB">
        <w:rPr>
          <w:rFonts w:cs="Times New Roman"/>
          <w:szCs w:val="24"/>
        </w:rPr>
        <w:t> </w:t>
      </w:r>
      <w:r w:rsidR="00830337" w:rsidRPr="00501ECB">
        <w:rPr>
          <w:rFonts w:cs="Times New Roman"/>
          <w:szCs w:val="24"/>
        </w:rPr>
        <w:t>także</w:t>
      </w:r>
      <w:r w:rsidRPr="00501ECB">
        <w:rPr>
          <w:rFonts w:cs="Times New Roman"/>
          <w:szCs w:val="24"/>
        </w:rPr>
        <w:t xml:space="preserve"> posiadają wiedzę i dokumentację w tym zakresie, przekazanie uprawnień w ww. zakresie do tych jednostek jest najskuteczniejszym rozwiązaniem i zapewni prawidłowe wykonanie celów określonych w dyrektywie 2009/126/WE zmienionej dyrektywą 2014/99/UE. W związku z powyższym zasadne jest powierzenie dozoru technicznego nad urządzeniami do odzyskiwania par paliwa analogicznie jak w przypadku wykonywania dozoru technicznego nad urządzeniami technicznymi</w:t>
      </w:r>
      <w:r w:rsidR="00830337" w:rsidRPr="00501ECB">
        <w:rPr>
          <w:rFonts w:cs="Times New Roman"/>
          <w:szCs w:val="24"/>
        </w:rPr>
        <w:t>,</w:t>
      </w:r>
      <w:r w:rsidRPr="00501ECB">
        <w:rPr>
          <w:rFonts w:cs="Times New Roman"/>
          <w:szCs w:val="24"/>
        </w:rPr>
        <w:t xml:space="preserve"> tj. powierzenie ich UDT z wyłączeniem urządzeń podlegających dozorowi technicznemu specjalistycznych jednostek dozoru technicznego</w:t>
      </w:r>
      <w:r w:rsidR="00830337" w:rsidRPr="00501ECB">
        <w:rPr>
          <w:rFonts w:cs="Times New Roman"/>
          <w:szCs w:val="24"/>
        </w:rPr>
        <w:t>,</w:t>
      </w:r>
      <w:r w:rsidRPr="00501ECB">
        <w:rPr>
          <w:rFonts w:cs="Times New Roman"/>
          <w:szCs w:val="24"/>
        </w:rPr>
        <w:t xml:space="preserve"> tj. TDT na obszarach kolejowych,</w:t>
      </w:r>
      <w:r w:rsidR="00501ECB">
        <w:rPr>
          <w:rFonts w:cs="Times New Roman"/>
          <w:szCs w:val="24"/>
        </w:rPr>
        <w:t xml:space="preserve"> </w:t>
      </w:r>
      <w:r w:rsidRPr="00501ECB">
        <w:rPr>
          <w:rFonts w:cs="Times New Roman"/>
          <w:szCs w:val="24"/>
        </w:rPr>
        <w:t>bocznicach kolejowych, na terenie portów i przystani morskich oraz żeglugi śródlądowej oraz WDT, który będzie przeprowadzał ww. badania nad urząd</w:t>
      </w:r>
      <w:r w:rsidR="00501ECB">
        <w:rPr>
          <w:rFonts w:cs="Times New Roman"/>
          <w:szCs w:val="24"/>
        </w:rPr>
        <w:t>zeniami zainstalowanymi i </w:t>
      </w:r>
      <w:r w:rsidRPr="00501ECB">
        <w:rPr>
          <w:rFonts w:cs="Times New Roman"/>
          <w:szCs w:val="24"/>
        </w:rPr>
        <w:t>eksploatowanymi w jednostkach organizacyjnych Ministra Obrony Narodowej oraz przedsiębiorstwach, dla których Minister Obrony Narodowej jest organem założycielskim.</w:t>
      </w:r>
      <w:r w:rsidRPr="00501ECB">
        <w:rPr>
          <w:rFonts w:cs="Times New Roman"/>
          <w:bCs/>
          <w:szCs w:val="24"/>
        </w:rPr>
        <w:t xml:space="preserve"> </w:t>
      </w:r>
      <w:r w:rsidRPr="00501ECB">
        <w:rPr>
          <w:rFonts w:cs="Times New Roman"/>
          <w:szCs w:val="24"/>
        </w:rPr>
        <w:t>Jednocześnie należy podkreślić, że obowiązek wyposażenia stacji paliw w urządzenia zapewniające odzyskiwanie co najmniej</w:t>
      </w:r>
      <w:r w:rsidR="00501ECB">
        <w:rPr>
          <w:rFonts w:cs="Times New Roman"/>
          <w:szCs w:val="24"/>
        </w:rPr>
        <w:t xml:space="preserve"> 85% par produktów naftowych i </w:t>
      </w:r>
      <w:r w:rsidRPr="00501ECB">
        <w:rPr>
          <w:rFonts w:cs="Times New Roman"/>
          <w:szCs w:val="24"/>
        </w:rPr>
        <w:t>corocznej kontroli ww. urządzeń wynika z dyrektywy 2009/126/WE oraz obecnie obowiązujących przepisów</w:t>
      </w:r>
      <w:r w:rsidR="00A00ECE" w:rsidRPr="00501ECB">
        <w:rPr>
          <w:rFonts w:cs="Times New Roman"/>
          <w:szCs w:val="24"/>
        </w:rPr>
        <w:t xml:space="preserve"> prawa krajowego</w:t>
      </w:r>
      <w:r w:rsidRPr="00501ECB">
        <w:rPr>
          <w:rFonts w:cs="Times New Roman"/>
          <w:szCs w:val="24"/>
        </w:rPr>
        <w:t>.</w:t>
      </w:r>
      <w:r w:rsidR="00A00ECE" w:rsidRPr="00501ECB">
        <w:rPr>
          <w:rStyle w:val="Odwoanieprzypisudolnego"/>
          <w:rFonts w:cs="Times New Roman"/>
          <w:szCs w:val="24"/>
        </w:rPr>
        <w:footnoteReference w:id="1"/>
      </w:r>
      <w:r w:rsidR="00501ECB">
        <w:rPr>
          <w:rFonts w:cs="Times New Roman"/>
          <w:szCs w:val="24"/>
          <w:vertAlign w:val="superscript"/>
        </w:rPr>
        <w:t>)</w:t>
      </w:r>
      <w:r w:rsidRPr="00501ECB">
        <w:rPr>
          <w:rFonts w:cs="Times New Roman"/>
          <w:szCs w:val="24"/>
        </w:rPr>
        <w:t xml:space="preserve"> Różnica polega na tym, że urządzenia do odzyskiwania par paliwa w ściśle określonym zakresie zostaną objęte dozorem technicznym ograniczonym wy</w:t>
      </w:r>
      <w:r w:rsidR="00A00ECE" w:rsidRPr="00501ECB">
        <w:rPr>
          <w:rFonts w:cs="Times New Roman"/>
          <w:szCs w:val="24"/>
        </w:rPr>
        <w:t>łącznie do sprawdzenia wydajności</w:t>
      </w:r>
      <w:r w:rsidRPr="00501ECB">
        <w:rPr>
          <w:rFonts w:cs="Times New Roman"/>
          <w:szCs w:val="24"/>
        </w:rPr>
        <w:t xml:space="preserve"> urządzeń do odzyskiwania par paliwa według normy zharmonizowanej na etapie ich eksploatacji, co umożliwi ustanowienie skutecznego modelu nadzoru nad tym rynkiem, realizację celów dyrektywy 2009/126/WE i kompletne wdrożenie dyrektywy 2014/99/UE.</w:t>
      </w:r>
    </w:p>
    <w:p w:rsidR="007C13F6" w:rsidRPr="00501ECB" w:rsidRDefault="007C13F6" w:rsidP="0014179C">
      <w:pPr>
        <w:pStyle w:val="Bezodstpw"/>
        <w:numPr>
          <w:ilvl w:val="0"/>
          <w:numId w:val="1"/>
        </w:numPr>
        <w:spacing w:before="120"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501ECB">
        <w:rPr>
          <w:rFonts w:ascii="Times New Roman" w:hAnsi="Times New Roman"/>
          <w:b/>
          <w:sz w:val="24"/>
          <w:szCs w:val="24"/>
        </w:rPr>
        <w:lastRenderedPageBreak/>
        <w:t>Aktualny stan prawny</w:t>
      </w:r>
    </w:p>
    <w:p w:rsidR="007C13F6" w:rsidRPr="00501ECB" w:rsidRDefault="007C13F6" w:rsidP="0014179C">
      <w:pPr>
        <w:spacing w:before="120"/>
        <w:jc w:val="both"/>
        <w:rPr>
          <w:rFonts w:cs="Times New Roman"/>
          <w:szCs w:val="24"/>
        </w:rPr>
      </w:pPr>
      <w:r w:rsidRPr="00501ECB">
        <w:rPr>
          <w:rFonts w:cs="Times New Roman"/>
          <w:szCs w:val="24"/>
        </w:rPr>
        <w:t xml:space="preserve">W obecnym stanie prawnym przepisem uznanym za wdrażający art. 5 ust. 1 dyrektywy </w:t>
      </w:r>
      <w:r w:rsidRPr="00501ECB">
        <w:rPr>
          <w:rFonts w:cs="Times New Roman"/>
          <w:color w:val="000000"/>
          <w:szCs w:val="24"/>
        </w:rPr>
        <w:t xml:space="preserve">2009/126/WE </w:t>
      </w:r>
      <w:r w:rsidRPr="00501ECB">
        <w:rPr>
          <w:rFonts w:cs="Times New Roman"/>
          <w:iCs/>
          <w:szCs w:val="24"/>
        </w:rPr>
        <w:t>jest art.</w:t>
      </w:r>
      <w:r w:rsidR="00501ECB">
        <w:rPr>
          <w:rFonts w:cs="Times New Roman"/>
          <w:iCs/>
          <w:szCs w:val="24"/>
        </w:rPr>
        <w:t xml:space="preserve"> </w:t>
      </w:r>
      <w:r w:rsidRPr="00501ECB">
        <w:rPr>
          <w:rFonts w:eastAsia="Calibri" w:cs="Times New Roman"/>
          <w:szCs w:val="24"/>
          <w:lang w:eastAsia="en-US"/>
        </w:rPr>
        <w:t>62 ust. 1 pkt 1 lit. b</w:t>
      </w:r>
      <w:r w:rsidRPr="00501ECB">
        <w:rPr>
          <w:rFonts w:eastAsia="Calibri" w:cs="Times New Roman"/>
          <w:b/>
          <w:szCs w:val="24"/>
          <w:lang w:eastAsia="en-US"/>
        </w:rPr>
        <w:t xml:space="preserve"> </w:t>
      </w:r>
      <w:r w:rsidRPr="00501ECB">
        <w:rPr>
          <w:rFonts w:cs="Times New Roman"/>
          <w:color w:val="000000"/>
          <w:szCs w:val="24"/>
        </w:rPr>
        <w:t xml:space="preserve">ustawy z dnia 7 lipca 1994 r. – Prawo budowlane </w:t>
      </w:r>
      <w:r w:rsidR="00BD1F77">
        <w:rPr>
          <w:rFonts w:cs="Times New Roman"/>
          <w:color w:val="000000"/>
          <w:szCs w:val="24"/>
        </w:rPr>
        <w:t>stano</w:t>
      </w:r>
      <w:r w:rsidRPr="00501ECB">
        <w:rPr>
          <w:rFonts w:cs="Times New Roman"/>
          <w:bCs/>
          <w:szCs w:val="24"/>
        </w:rPr>
        <w:t>wiący, że</w:t>
      </w:r>
      <w:r w:rsidRPr="00501ECB">
        <w:rPr>
          <w:rFonts w:cs="Times New Roman"/>
          <w:b/>
          <w:bCs/>
          <w:szCs w:val="24"/>
        </w:rPr>
        <w:t xml:space="preserve"> </w:t>
      </w:r>
      <w:r w:rsidRPr="00501ECB">
        <w:rPr>
          <w:rFonts w:cs="Times New Roman"/>
          <w:szCs w:val="24"/>
        </w:rPr>
        <w:t xml:space="preserve">obiekty budowlane powinny być w czasie ich użytkowania poddawane przez właściciela lub zarządcę kontroli okresowej, co najmniej raz w roku, polegającej na sprawdzeniu stanu technicznego m.in. instalacji i urządzeń służących ochronie środowiska. Mając na uwadze powyższe, jak również przepis dyrektywy 2009/126/WE, w którym ustawodawca unijny pozostawił dowolność w zakresie metody </w:t>
      </w:r>
      <w:r w:rsidR="00A00ECE" w:rsidRPr="00501ECB">
        <w:rPr>
          <w:rFonts w:cs="Times New Roman"/>
          <w:szCs w:val="24"/>
        </w:rPr>
        <w:t>sprawdzania wydajności wychwytu</w:t>
      </w:r>
      <w:r w:rsidRPr="00501ECB">
        <w:rPr>
          <w:rFonts w:cs="Times New Roman"/>
          <w:szCs w:val="24"/>
        </w:rPr>
        <w:t xml:space="preserve"> paliwa</w:t>
      </w:r>
      <w:r w:rsidR="00830337" w:rsidRPr="00501ECB">
        <w:rPr>
          <w:rFonts w:cs="Times New Roman"/>
          <w:szCs w:val="24"/>
        </w:rPr>
        <w:t>,</w:t>
      </w:r>
      <w:r w:rsidRPr="00501ECB">
        <w:rPr>
          <w:rFonts w:cs="Times New Roman"/>
          <w:szCs w:val="24"/>
        </w:rPr>
        <w:t xml:space="preserve"> wskazując, że sprawdzenie</w:t>
      </w:r>
      <w:r w:rsidR="001846AB">
        <w:rPr>
          <w:rFonts w:cs="Times New Roman"/>
          <w:szCs w:val="24"/>
        </w:rPr>
        <w:t>,</w:t>
      </w:r>
      <w:r w:rsidRPr="00501ECB">
        <w:rPr>
          <w:rFonts w:cs="Times New Roman"/>
          <w:szCs w:val="24"/>
        </w:rPr>
        <w:t xml:space="preserve"> czy pary paliwa są odzyskiwane w wystarczającym stopniu</w:t>
      </w:r>
      <w:r w:rsidR="001846AB">
        <w:rPr>
          <w:rFonts w:cs="Times New Roman"/>
          <w:szCs w:val="24"/>
        </w:rPr>
        <w:t>,</w:t>
      </w:r>
      <w:r w:rsidRPr="00501ECB">
        <w:rPr>
          <w:rFonts w:cs="Times New Roman"/>
          <w:szCs w:val="24"/>
        </w:rPr>
        <w:t xml:space="preserve"> może być przeprowadzone jakąkolwiek stosowną metodą, na etapie wdrażania ww. dyrektywy z 2009 r. uznano, że ustanawianie w polskich przepisach konkretnej metody odzyskiwania par nie byłoby wskazane, tym bardziej że dyrektywa nie nakładała na państwa członkowskie obowiązku ustanowienia takiej metody. </w:t>
      </w:r>
    </w:p>
    <w:p w:rsidR="007C13F6" w:rsidRPr="00501ECB" w:rsidRDefault="007C13F6" w:rsidP="0014179C">
      <w:pPr>
        <w:spacing w:before="120"/>
        <w:jc w:val="both"/>
        <w:rPr>
          <w:rFonts w:cs="Times New Roman"/>
          <w:szCs w:val="24"/>
        </w:rPr>
      </w:pPr>
      <w:r w:rsidRPr="00501ECB">
        <w:rPr>
          <w:rFonts w:cs="Times New Roman"/>
          <w:szCs w:val="24"/>
        </w:rPr>
        <w:t xml:space="preserve">W związku z tym, że dyrektywa </w:t>
      </w:r>
      <w:r w:rsidRPr="00501ECB">
        <w:rPr>
          <w:rFonts w:cs="Times New Roman"/>
          <w:bCs/>
          <w:color w:val="000000"/>
          <w:szCs w:val="24"/>
        </w:rPr>
        <w:t>2014/99/UE wskazuje konkretną normę europejską</w:t>
      </w:r>
      <w:r w:rsidR="00830337" w:rsidRPr="00501ECB">
        <w:rPr>
          <w:rFonts w:cs="Times New Roman"/>
          <w:bCs/>
          <w:color w:val="000000"/>
          <w:szCs w:val="24"/>
        </w:rPr>
        <w:t>,</w:t>
      </w:r>
      <w:r w:rsidRPr="00501ECB">
        <w:rPr>
          <w:rFonts w:cs="Times New Roman"/>
          <w:bCs/>
          <w:color w:val="000000"/>
          <w:szCs w:val="24"/>
        </w:rPr>
        <w:t xml:space="preserve"> zgodnie z którą powinna być testowana wydajność wychwytów par paliwa na etapie II podczas tankowania, </w:t>
      </w:r>
      <w:r w:rsidRPr="00501ECB">
        <w:rPr>
          <w:rFonts w:cs="Times New Roman"/>
          <w:szCs w:val="24"/>
        </w:rPr>
        <w:t>skuteczne wdrożenie przepisów dyrektywy w ww. zakresie, jak wskazano powyżej</w:t>
      </w:r>
      <w:r w:rsidR="00BD1F77">
        <w:rPr>
          <w:rFonts w:cs="Times New Roman"/>
          <w:szCs w:val="24"/>
        </w:rPr>
        <w:t>,</w:t>
      </w:r>
      <w:r w:rsidRPr="00501ECB">
        <w:rPr>
          <w:rFonts w:cs="Times New Roman"/>
          <w:szCs w:val="24"/>
        </w:rPr>
        <w:t xml:space="preserve"> wymaga zmiany przyjętego dotychczas modelu implementacji dyrektywy 2009/126/WE.</w:t>
      </w:r>
    </w:p>
    <w:p w:rsidR="007C13F6" w:rsidRPr="00501ECB" w:rsidRDefault="007C13F6" w:rsidP="0014179C">
      <w:pPr>
        <w:pStyle w:val="Bezodstpw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501ECB">
        <w:rPr>
          <w:rFonts w:ascii="Times New Roman" w:hAnsi="Times New Roman"/>
          <w:b/>
          <w:sz w:val="24"/>
          <w:szCs w:val="24"/>
        </w:rPr>
        <w:t>III.</w:t>
      </w:r>
      <w:r w:rsidR="00501ECB">
        <w:rPr>
          <w:rFonts w:ascii="Times New Roman" w:hAnsi="Times New Roman"/>
          <w:b/>
          <w:sz w:val="24"/>
          <w:szCs w:val="24"/>
        </w:rPr>
        <w:t xml:space="preserve"> </w:t>
      </w:r>
      <w:r w:rsidRPr="00501ECB">
        <w:rPr>
          <w:rFonts w:ascii="Times New Roman" w:hAnsi="Times New Roman"/>
          <w:b/>
          <w:sz w:val="24"/>
          <w:szCs w:val="24"/>
        </w:rPr>
        <w:t>Zakres projektowanej regulacji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Projekt ustawy przewiduje wprowadzenie systemowych rozwiązań w zakresie kontroli nad emisją zanieczyszczeń związanych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z ulatnianiem do powietrza atmosferycznego par paliwa podczas tankowania pojazdów na stacjach paliw. W tym celu projekt zakłada powierzenie jednostkom dozoru technicznego wykonywania dozoru te</w:t>
      </w:r>
      <w:r w:rsidR="00501ECB" w:rsidRPr="00501ECB">
        <w:rPr>
          <w:rFonts w:cs="Times New Roman"/>
          <w:bCs/>
          <w:color w:val="000000"/>
          <w:szCs w:val="24"/>
        </w:rPr>
        <w:t>chnicznego nad stacjami paliw w </w:t>
      </w:r>
      <w:r w:rsidRPr="00501ECB">
        <w:rPr>
          <w:rFonts w:cs="Times New Roman"/>
          <w:bCs/>
          <w:color w:val="000000"/>
          <w:szCs w:val="24"/>
        </w:rPr>
        <w:t>odniesieniu do realizacji obowiązku zapewnienia wydajności urządzeń do odzyskiwania par paliwa zgodnie z właściwymi normami europejskimi wskazanymi w dyrektywie 2014/99/UE.</w:t>
      </w:r>
    </w:p>
    <w:p w:rsidR="002B6CA5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1 pkt 1 – mając na uwadze, że projektowana nowelizacja wprowadza do ustawy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="00501ECB">
        <w:rPr>
          <w:rFonts w:cs="Times New Roman"/>
          <w:bCs/>
          <w:color w:val="000000"/>
          <w:szCs w:val="24"/>
        </w:rPr>
        <w:t>z </w:t>
      </w:r>
      <w:r w:rsidRPr="00501ECB">
        <w:rPr>
          <w:rFonts w:cs="Times New Roman"/>
          <w:bCs/>
          <w:color w:val="000000"/>
          <w:szCs w:val="24"/>
        </w:rPr>
        <w:t>dnia 21 grudnia 2000 r. o dozorze technicznym przepisy stanowiące transpozycję części przepisów dyrektywy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2009/126/WE</w:t>
      </w:r>
      <w:r w:rsidR="001846AB">
        <w:rPr>
          <w:rFonts w:cs="Times New Roman"/>
          <w:bCs/>
          <w:color w:val="000000"/>
          <w:szCs w:val="24"/>
        </w:rPr>
        <w:t>,</w:t>
      </w:r>
      <w:r w:rsidRPr="00501ECB">
        <w:rPr>
          <w:rFonts w:cs="Times New Roman"/>
          <w:bCs/>
          <w:color w:val="000000"/>
          <w:szCs w:val="24"/>
        </w:rPr>
        <w:t xml:space="preserve"> w art. 1 pkt 1 wprowadzono do ustawy zmienianej odpowiedni odnośnik.</w:t>
      </w:r>
    </w:p>
    <w:p w:rsidR="00FC5AA0" w:rsidRPr="00501ECB" w:rsidRDefault="00FC5AA0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lastRenderedPageBreak/>
        <w:t xml:space="preserve">Art. 1 pkt 2 – w omawianym przepisie dokonano zmiany art. 2 polegającej na rozszerzeniu zakresu przedmiotowego ustawy z dnia 21 grudnia 2000 r. o dozorze technicznym. Z uwagi na to, że urządzenia do odzyskiwania par paliwa ze względu na swoją konstrukcję oraz właściwości funkcjonalne i użytkowe nie stanowią urządzeń technicznych w rozumieniu ustawy z dnia 21 grudnia 2000 r. o dozorze technicznym, ponieważ ich ewentualna niesprawność powoduje inny rodzaj zagrożeń dla środowiska </w:t>
      </w:r>
      <w:r w:rsidR="00501ECB">
        <w:rPr>
          <w:rFonts w:cs="Times New Roman"/>
          <w:bCs/>
          <w:color w:val="000000"/>
          <w:szCs w:val="24"/>
        </w:rPr>
        <w:t>niż wskazany w</w:t>
      </w:r>
      <w:r w:rsidR="00BD1F77">
        <w:rPr>
          <w:rFonts w:cs="Times New Roman"/>
          <w:bCs/>
          <w:color w:val="000000"/>
          <w:szCs w:val="24"/>
        </w:rPr>
        <w:t xml:space="preserve"> </w:t>
      </w:r>
      <w:r w:rsidR="00501ECB">
        <w:rPr>
          <w:rFonts w:cs="Times New Roman"/>
          <w:bCs/>
          <w:color w:val="000000"/>
          <w:szCs w:val="24"/>
        </w:rPr>
        <w:t>art.</w:t>
      </w:r>
      <w:r w:rsidR="00BD1F77">
        <w:rPr>
          <w:rFonts w:cs="Times New Roman"/>
          <w:bCs/>
          <w:color w:val="000000"/>
          <w:szCs w:val="24"/>
        </w:rPr>
        <w:t xml:space="preserve"> </w:t>
      </w:r>
      <w:r w:rsidR="00501ECB">
        <w:rPr>
          <w:rFonts w:cs="Times New Roman"/>
          <w:bCs/>
          <w:color w:val="000000"/>
          <w:szCs w:val="24"/>
        </w:rPr>
        <w:t>4</w:t>
      </w:r>
      <w:r w:rsidR="00BD1F77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pkt</w:t>
      </w:r>
      <w:r w:rsidR="00BD1F77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1</w:t>
      </w:r>
      <w:r w:rsidR="00BD1F77">
        <w:rPr>
          <w:rFonts w:cs="Times New Roman"/>
          <w:bCs/>
          <w:color w:val="000000"/>
          <w:szCs w:val="24"/>
        </w:rPr>
        <w:t xml:space="preserve"> </w:t>
      </w:r>
      <w:r w:rsidR="00BD1F77" w:rsidRPr="00501ECB">
        <w:rPr>
          <w:rFonts w:cs="Times New Roman"/>
          <w:bCs/>
          <w:color w:val="000000"/>
          <w:szCs w:val="24"/>
        </w:rPr>
        <w:t>(emisja szkodliwych substancji do powietrza atmosfe</w:t>
      </w:r>
      <w:r w:rsidR="00BD1F77">
        <w:rPr>
          <w:rFonts w:cs="Times New Roman"/>
          <w:bCs/>
          <w:color w:val="000000"/>
          <w:szCs w:val="24"/>
        </w:rPr>
        <w:t>rycznego)</w:t>
      </w:r>
      <w:r w:rsidRPr="00501ECB">
        <w:rPr>
          <w:rFonts w:cs="Times New Roman"/>
          <w:bCs/>
          <w:color w:val="000000"/>
          <w:szCs w:val="24"/>
        </w:rPr>
        <w:t xml:space="preserve">, konieczne było wyodrębnienie w przepisach </w:t>
      </w:r>
      <w:r w:rsidR="00501ECB">
        <w:rPr>
          <w:rFonts w:cs="Times New Roman"/>
          <w:bCs/>
          <w:color w:val="000000"/>
          <w:szCs w:val="24"/>
        </w:rPr>
        <w:t>ustawy tej kategorii urządzeń i </w:t>
      </w:r>
      <w:r w:rsidRPr="00501ECB">
        <w:rPr>
          <w:rFonts w:cs="Times New Roman"/>
          <w:bCs/>
          <w:color w:val="000000"/>
          <w:szCs w:val="24"/>
        </w:rPr>
        <w:t>wprowadzenie wyraźnego rozgraniczenia pomię</w:t>
      </w:r>
      <w:r w:rsidR="00501ECB">
        <w:rPr>
          <w:rFonts w:cs="Times New Roman"/>
          <w:bCs/>
          <w:color w:val="000000"/>
          <w:szCs w:val="24"/>
        </w:rPr>
        <w:t>dzy urządzeniami technicznymi i </w:t>
      </w:r>
      <w:r w:rsidRPr="00501ECB">
        <w:rPr>
          <w:rFonts w:cs="Times New Roman"/>
          <w:bCs/>
          <w:color w:val="000000"/>
          <w:szCs w:val="24"/>
        </w:rPr>
        <w:t>urządzeniami do odzyskiwania par paliwa.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W art. 1 pkt 3 w lit. a do nowelizowanej ustawy została wprowadzona definicja urządzeń do odzyskiwania par paliwa, która jest spójna ze znac</w:t>
      </w:r>
      <w:r w:rsidR="00501ECB" w:rsidRPr="00501ECB">
        <w:rPr>
          <w:rFonts w:cs="Times New Roman"/>
          <w:bCs/>
          <w:color w:val="000000"/>
          <w:szCs w:val="24"/>
        </w:rPr>
        <w:t>zeniem tego pojęcia przyjętym w</w:t>
      </w:r>
      <w:r w:rsidR="009314C8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rozporządzeniu Ministra Gospodarki z dnia 21 listopada 2005 r. w sprawie warunków technicznych, jakim powinny odpowiadać bazy i stacje paliw płynnych, rurociągi przesyłowe dalekosiężne służące do transportu ropy naftowej i produktów naftowych i ich usytuowanie (Dz. U. z 2014 r. poz. 1853</w:t>
      </w:r>
      <w:r w:rsidR="00A00ECE" w:rsidRPr="00501ECB">
        <w:rPr>
          <w:rFonts w:cs="Times New Roman"/>
          <w:bCs/>
          <w:color w:val="000000"/>
          <w:szCs w:val="24"/>
        </w:rPr>
        <w:t xml:space="preserve"> oraz z 2017 r. poz. 282</w:t>
      </w:r>
      <w:r w:rsidRPr="00501ECB">
        <w:rPr>
          <w:rFonts w:cs="Times New Roman"/>
          <w:bCs/>
          <w:color w:val="000000"/>
          <w:szCs w:val="24"/>
        </w:rPr>
        <w:t>).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Zmiana wprowadzona w art. 1 pkt 3 lit. b polega na rozszerzeniu definicji „warunków technicznych dozoru technicznego” na urządzenia do odzyskiwania par paliwa.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1 pkt 4 – dodany art. 6a stanowi wdrożenie art. 5 ust. 1 dyrektywy 2009/126/WE zmienionej dyrektywą 2014/99/UE, określając, że urządzenia do odzyskiwania par paliwa podlegają dozorowi technicznemu wyłącznie w toku ich eksploatacji.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1 pkt 5 – art. 23a określa zasady, zakres i formy wy</w:t>
      </w:r>
      <w:r w:rsidR="00501ECB" w:rsidRPr="00501ECB">
        <w:rPr>
          <w:rFonts w:cs="Times New Roman"/>
          <w:bCs/>
          <w:color w:val="000000"/>
          <w:szCs w:val="24"/>
        </w:rPr>
        <w:t>konywania dozoru technicznego w </w:t>
      </w:r>
      <w:r w:rsidRPr="00501ECB">
        <w:rPr>
          <w:rFonts w:cs="Times New Roman"/>
          <w:bCs/>
          <w:color w:val="000000"/>
          <w:szCs w:val="24"/>
        </w:rPr>
        <w:t xml:space="preserve">odniesieniu do urządzeń do odzyskiwania par paliwa. </w:t>
      </w:r>
    </w:p>
    <w:p w:rsidR="001022A2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Ust. 1 ww. art</w:t>
      </w:r>
      <w:r w:rsidR="00830337" w:rsidRPr="00501ECB">
        <w:rPr>
          <w:rFonts w:cs="Times New Roman"/>
          <w:bCs/>
          <w:color w:val="000000"/>
          <w:szCs w:val="24"/>
        </w:rPr>
        <w:t>ykułu</w:t>
      </w:r>
      <w:r w:rsidRPr="00501ECB">
        <w:rPr>
          <w:rFonts w:cs="Times New Roman"/>
          <w:bCs/>
          <w:color w:val="000000"/>
          <w:szCs w:val="24"/>
        </w:rPr>
        <w:t xml:space="preserve"> wskazuje, że urządzenia do odzyskiwania par paliwa podlegają dozorowi technicznemu w zakresie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 xml:space="preserve">zapewnienia minimalnego poziomu odzyskiwania par paliwa. Ust. 2 określa, że dozór nad urządzeniami do odzyskiwania par paliwa jest wykonywany w formie okresowych albo doraźnych badań technicznych zakończonych wydaniem protokołu. Doraźne badania techniczne są przeprowadzane przez organ </w:t>
      </w:r>
      <w:r w:rsidR="00830337" w:rsidRPr="00501ECB">
        <w:rPr>
          <w:rFonts w:cs="Times New Roman"/>
          <w:bCs/>
          <w:color w:val="000000"/>
          <w:szCs w:val="24"/>
        </w:rPr>
        <w:t>właściwej</w:t>
      </w:r>
      <w:r w:rsidRPr="00501ECB">
        <w:rPr>
          <w:rFonts w:cs="Times New Roman"/>
          <w:bCs/>
          <w:color w:val="000000"/>
          <w:szCs w:val="24"/>
        </w:rPr>
        <w:t xml:space="preserve"> jednostki dozoru technicznego w przypadku negatywnego wyniku badania okresowego oraz, zgodnie z ust. 5, przed ponownym dopuszczeniem do eksploatacji urządzenia w przypadku wydania decyzji o wstrzymaniu jego eksploatacji. Zgod</w:t>
      </w:r>
      <w:r w:rsidR="00501ECB">
        <w:rPr>
          <w:rFonts w:cs="Times New Roman"/>
          <w:bCs/>
          <w:color w:val="000000"/>
          <w:szCs w:val="24"/>
        </w:rPr>
        <w:t>nie z </w:t>
      </w:r>
      <w:r w:rsidR="00501ECB" w:rsidRPr="00501ECB">
        <w:rPr>
          <w:rFonts w:cs="Times New Roman"/>
          <w:bCs/>
          <w:color w:val="000000"/>
          <w:szCs w:val="24"/>
        </w:rPr>
        <w:t>art. 23a ust. 4 decyzja o</w:t>
      </w:r>
      <w:r w:rsidR="00BD1F77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 xml:space="preserve">wstrzymaniu eksploatacji urządzenia może zostać wydana, </w:t>
      </w:r>
      <w:r w:rsidRPr="00501ECB">
        <w:rPr>
          <w:rFonts w:cs="Times New Roman"/>
          <w:bCs/>
          <w:color w:val="000000"/>
          <w:szCs w:val="24"/>
        </w:rPr>
        <w:lastRenderedPageBreak/>
        <w:t>gdy eksploatujący nie posiada dokumentu potwierdzającego spełnienie przez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urządzenie wymagań dotyczących minimalnego poziomu odzyskiwania par paliwa lub nie zapewnia spełniania w toku eksploatacji urządzenia tych wymagań. Zgodnie z ust. 3, oprócz ww. obowiązków, które mogą skutkować wstrzymaniem eksploatacji urządzenia, eksploatujący jest również obowiązany do poddawania urządzenia badaniom okresowy</w:t>
      </w:r>
      <w:r w:rsidR="00501ECB" w:rsidRPr="00501ECB">
        <w:rPr>
          <w:rFonts w:cs="Times New Roman"/>
          <w:bCs/>
          <w:color w:val="000000"/>
          <w:szCs w:val="24"/>
        </w:rPr>
        <w:t>m oraz do uzyskania protokołu z </w:t>
      </w:r>
      <w:r w:rsidR="00501ECB">
        <w:rPr>
          <w:rFonts w:cs="Times New Roman"/>
          <w:bCs/>
          <w:color w:val="000000"/>
          <w:szCs w:val="24"/>
        </w:rPr>
        <w:t>takiego badania. W </w:t>
      </w:r>
      <w:r w:rsidRPr="00501ECB">
        <w:rPr>
          <w:rFonts w:cs="Times New Roman"/>
          <w:bCs/>
          <w:color w:val="000000"/>
          <w:szCs w:val="24"/>
        </w:rPr>
        <w:t>projektowanym art. 23a ust. 6 zostało dodane upoważnienie ustawowe, na podstawie którego minister właściwy do spraw gospodarki określi warunki techniczne dozoru technicznego dla urządzeń do odzyskiwania par paliwa w toku ich eksploatacji,</w:t>
      </w:r>
      <w:r w:rsidR="00501ECB" w:rsidRPr="00501ECB">
        <w:rPr>
          <w:rFonts w:cs="Times New Roman"/>
          <w:bCs/>
          <w:color w:val="000000"/>
          <w:szCs w:val="24"/>
        </w:rPr>
        <w:t xml:space="preserve"> w </w:t>
      </w:r>
      <w:r w:rsidR="00830337" w:rsidRPr="00501ECB">
        <w:rPr>
          <w:rFonts w:cs="Times New Roman"/>
          <w:bCs/>
          <w:color w:val="000000"/>
          <w:szCs w:val="24"/>
        </w:rPr>
        <w:t>tym</w:t>
      </w:r>
      <w:r w:rsidRPr="00501ECB">
        <w:rPr>
          <w:rFonts w:cs="Times New Roman"/>
          <w:bCs/>
          <w:color w:val="000000"/>
          <w:szCs w:val="24"/>
        </w:rPr>
        <w:t xml:space="preserve"> wymagania dotyczące minimalnego poziomu odzyskiwania par paliwa przez te urządzenia, metody przeprowadzania badań technicznych tych urządzeń i częstotliwość badań okresowych oraz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rodzaj dokumentu potwierdzającego spełnienie przez urządzenie ww. wymagań.</w:t>
      </w:r>
      <w:r w:rsidR="005961A6" w:rsidRPr="00501ECB">
        <w:rPr>
          <w:rFonts w:cs="Times New Roman"/>
          <w:bCs/>
          <w:color w:val="000000"/>
          <w:szCs w:val="24"/>
        </w:rPr>
        <w:t xml:space="preserve"> 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 xml:space="preserve">Art. 1 pkt 6–10 wprowadzają zmiany mające charakter wtórny do wcześniejszych zmian zawartych w projekcie polegających na rozgraniczeniu pomiędzy dozorem technicznym nad urządzeniami technicznymi i urządzeniami do odzyskiwania par paliwa. W związku z tym, że przepisy obowiązującej ustawy </w:t>
      </w:r>
      <w:r w:rsidR="00BD1F77">
        <w:rPr>
          <w:rFonts w:cs="Times New Roman"/>
          <w:bCs/>
          <w:color w:val="000000"/>
          <w:szCs w:val="24"/>
        </w:rPr>
        <w:t>z dnia 21 grudnia 2000 r. o </w:t>
      </w:r>
      <w:r w:rsidRPr="00501ECB">
        <w:rPr>
          <w:rFonts w:cs="Times New Roman"/>
          <w:bCs/>
          <w:color w:val="000000"/>
          <w:szCs w:val="24"/>
        </w:rPr>
        <w:t>dozorze technicznym</w:t>
      </w:r>
      <w:r w:rsidR="00501ECB">
        <w:rPr>
          <w:rFonts w:cs="Times New Roman"/>
          <w:bCs/>
          <w:color w:val="000000"/>
          <w:szCs w:val="24"/>
        </w:rPr>
        <w:t xml:space="preserve"> w </w:t>
      </w:r>
      <w:r w:rsidRPr="00501ECB">
        <w:rPr>
          <w:rFonts w:cs="Times New Roman"/>
          <w:bCs/>
          <w:color w:val="000000"/>
          <w:szCs w:val="24"/>
        </w:rPr>
        <w:t xml:space="preserve">zakresie czynności dozoru technicznego wykonywanego przez inspektorów będą miały zastosowanie również do dozoru technicznego nad urządzeniami do odzyskiwania par paliwa, konieczne było doprecyzowanie art. 25, </w:t>
      </w:r>
      <w:r w:rsidR="00BD1F77">
        <w:rPr>
          <w:rFonts w:cs="Times New Roman"/>
          <w:bCs/>
          <w:color w:val="000000"/>
          <w:szCs w:val="24"/>
        </w:rPr>
        <w:t>art. </w:t>
      </w:r>
      <w:r w:rsidRPr="00501ECB">
        <w:rPr>
          <w:rFonts w:cs="Times New Roman"/>
          <w:bCs/>
          <w:color w:val="000000"/>
          <w:szCs w:val="24"/>
        </w:rPr>
        <w:t>28</w:t>
      </w:r>
      <w:r w:rsidR="00BD1F77">
        <w:rPr>
          <w:rFonts w:cs="Times New Roman"/>
          <w:bCs/>
          <w:color w:val="000000"/>
          <w:szCs w:val="24"/>
        </w:rPr>
        <w:t xml:space="preserve"> i </w:t>
      </w:r>
      <w:r w:rsidR="003E1B2A" w:rsidRPr="00501ECB">
        <w:rPr>
          <w:rFonts w:cs="Times New Roman"/>
          <w:bCs/>
          <w:color w:val="000000"/>
          <w:szCs w:val="24"/>
        </w:rPr>
        <w:t xml:space="preserve">art. </w:t>
      </w:r>
      <w:r w:rsidRPr="00501ECB">
        <w:rPr>
          <w:rFonts w:cs="Times New Roman"/>
          <w:bCs/>
          <w:color w:val="000000"/>
          <w:szCs w:val="24"/>
        </w:rPr>
        <w:t>31</w:t>
      </w:r>
      <w:r w:rsidR="00BD1F77">
        <w:rPr>
          <w:rFonts w:cs="Times New Roman"/>
          <w:bCs/>
          <w:color w:val="000000"/>
          <w:szCs w:val="24"/>
        </w:rPr>
        <w:t>–</w:t>
      </w:r>
      <w:r w:rsidRPr="00501ECB">
        <w:rPr>
          <w:rFonts w:cs="Times New Roman"/>
          <w:bCs/>
          <w:color w:val="000000"/>
          <w:szCs w:val="24"/>
        </w:rPr>
        <w:t>33</w:t>
      </w:r>
      <w:r w:rsidR="00BD1F77">
        <w:rPr>
          <w:rFonts w:cs="Times New Roman"/>
          <w:bCs/>
          <w:color w:val="000000"/>
          <w:szCs w:val="24"/>
        </w:rPr>
        <w:t xml:space="preserve"> ww. </w:t>
      </w:r>
      <w:r w:rsidRPr="00501ECB">
        <w:rPr>
          <w:rFonts w:cs="Times New Roman"/>
          <w:bCs/>
          <w:color w:val="000000"/>
          <w:szCs w:val="24"/>
        </w:rPr>
        <w:t>ustawy</w:t>
      </w:r>
      <w:r w:rsidR="00BD1F77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poprzez uzupełnienie ich zakresu o urządzenia do odzyskiwania par paliwa.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1 pkt 11 –</w:t>
      </w:r>
      <w:r w:rsidR="003E1B2A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 xml:space="preserve">art. 34 ust. 2a wskazuje, że opłata za wykonanie badań technicznych urządzeń do odzyskiwania par paliwa obejmuje pomnożenie stawki jednostkowej przez liczbę poddanych badaniu węży nalewczych znajdujących się przy odmierzaczach paliw płynnych poddanych </w:t>
      </w:r>
      <w:r w:rsidR="003E1B2A" w:rsidRPr="00501ECB">
        <w:rPr>
          <w:rFonts w:cs="Times New Roman"/>
          <w:bCs/>
          <w:color w:val="000000"/>
          <w:szCs w:val="24"/>
        </w:rPr>
        <w:t>pomiarowi oraz koszt</w:t>
      </w:r>
      <w:r w:rsidRPr="00501ECB">
        <w:rPr>
          <w:rFonts w:cs="Times New Roman"/>
          <w:bCs/>
          <w:color w:val="000000"/>
          <w:szCs w:val="24"/>
        </w:rPr>
        <w:t xml:space="preserve"> podróży służbowej</w:t>
      </w:r>
      <w:r w:rsidR="003E1B2A" w:rsidRPr="00501ECB">
        <w:rPr>
          <w:rFonts w:cs="Times New Roman"/>
          <w:bCs/>
          <w:color w:val="000000"/>
          <w:szCs w:val="24"/>
        </w:rPr>
        <w:t xml:space="preserve"> inspektora</w:t>
      </w:r>
      <w:r w:rsidRPr="00501ECB">
        <w:rPr>
          <w:rFonts w:cs="Times New Roman"/>
          <w:bCs/>
          <w:color w:val="000000"/>
          <w:szCs w:val="24"/>
        </w:rPr>
        <w:t>. Stawka jednostkowa opłaty za wykonanie badań technicznych urządzeń do odzyskiwania par paliwa została określona na kwotę 100 zł.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1 pkt 12 – w art. 37 konieczne było dodanie do zakresu działania UDT zadania polegające</w:t>
      </w:r>
      <w:r w:rsidR="00BD1F77">
        <w:rPr>
          <w:rFonts w:cs="Times New Roman"/>
          <w:bCs/>
          <w:color w:val="000000"/>
          <w:szCs w:val="24"/>
        </w:rPr>
        <w:t>go</w:t>
      </w:r>
      <w:r w:rsidRPr="00501ECB">
        <w:rPr>
          <w:rFonts w:cs="Times New Roman"/>
          <w:bCs/>
          <w:color w:val="000000"/>
          <w:szCs w:val="24"/>
        </w:rPr>
        <w:t xml:space="preserve"> na wykonywaniu dozoru technicznego nad urządzeniami do odzyskiwania par paliwa oraz dodanie kompetencji do nadzoru i kontroli przest</w:t>
      </w:r>
      <w:r w:rsidR="00501ECB">
        <w:rPr>
          <w:rFonts w:cs="Times New Roman"/>
          <w:bCs/>
          <w:color w:val="000000"/>
          <w:szCs w:val="24"/>
        </w:rPr>
        <w:t>rzegania przepisów o </w:t>
      </w:r>
      <w:r w:rsidRPr="00501ECB">
        <w:rPr>
          <w:rFonts w:cs="Times New Roman"/>
          <w:bCs/>
          <w:color w:val="000000"/>
          <w:szCs w:val="24"/>
        </w:rPr>
        <w:t>dozorze technicznym nad ww. urządzeniami.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lastRenderedPageBreak/>
        <w:t>Art. 1 pkt 13 – art. 40 wymagał uzupełnienia w związku ze zmianami wprowadzonymi do zakresu działania UDT, TDT i WDT.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1 pkt 14</w:t>
      </w:r>
      <w:r w:rsidR="00501ECB" w:rsidRPr="00501ECB">
        <w:rPr>
          <w:rFonts w:cs="Times New Roman"/>
          <w:bCs/>
          <w:color w:val="000000"/>
          <w:szCs w:val="24"/>
        </w:rPr>
        <w:t xml:space="preserve"> – </w:t>
      </w:r>
      <w:r w:rsidRPr="00501ECB">
        <w:rPr>
          <w:rFonts w:cs="Times New Roman"/>
          <w:bCs/>
          <w:color w:val="000000"/>
          <w:szCs w:val="24"/>
        </w:rPr>
        <w:t>w art. 44 dodano do zakresu działania TDT zadanie polegając</w:t>
      </w:r>
      <w:r w:rsidR="00853915">
        <w:rPr>
          <w:rFonts w:cs="Times New Roman"/>
          <w:bCs/>
          <w:color w:val="000000"/>
          <w:szCs w:val="24"/>
        </w:rPr>
        <w:t>e</w:t>
      </w:r>
      <w:r w:rsidRPr="00501ECB">
        <w:rPr>
          <w:rFonts w:cs="Times New Roman"/>
          <w:bCs/>
          <w:color w:val="000000"/>
          <w:szCs w:val="24"/>
        </w:rPr>
        <w:t xml:space="preserve"> na wykonywaniu dozoru technicznego nad urządzeniami do odzyskiwania par paliwa na obszarach kolejowych,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bocznicach kolejowych, na terenie portów i przystani morskich oraz żeglugi śródlądowej, w związku z czym konieczne było uzupełnienie zakresu działania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TDT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o kompetencje do nadzoru i kontroli przestrzegania przepisów o dozorze technicznym nad ww. urządzeniami oraz rozszerzenie kompetencji do wydawania decyzji w sprawach wynikających z wykonywani</w:t>
      </w:r>
      <w:r w:rsidR="00501ECB">
        <w:rPr>
          <w:rFonts w:cs="Times New Roman"/>
          <w:bCs/>
          <w:color w:val="000000"/>
          <w:szCs w:val="24"/>
        </w:rPr>
        <w:t>a dozoru technicznego również w </w:t>
      </w:r>
      <w:r w:rsidRPr="00501ECB">
        <w:rPr>
          <w:rFonts w:cs="Times New Roman"/>
          <w:bCs/>
          <w:color w:val="000000"/>
          <w:szCs w:val="24"/>
        </w:rPr>
        <w:t xml:space="preserve">zakresie urządzeń do odzyskiwania par paliwa. 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 xml:space="preserve">Art. 1 pkt 15 – omawiany przepis rozszerza zakres kompetencji WDT o wykonywanie dozoru nad </w:t>
      </w:r>
      <w:r w:rsidR="003E1B2A" w:rsidRPr="00501ECB">
        <w:rPr>
          <w:rFonts w:cs="Times New Roman"/>
          <w:bCs/>
          <w:color w:val="000000"/>
          <w:szCs w:val="24"/>
        </w:rPr>
        <w:t>urządzeniami do odzyskiwania par</w:t>
      </w:r>
      <w:r w:rsidRPr="00501ECB">
        <w:rPr>
          <w:rFonts w:cs="Times New Roman"/>
          <w:bCs/>
          <w:color w:val="000000"/>
          <w:szCs w:val="24"/>
        </w:rPr>
        <w:t xml:space="preserve"> paliwa.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1 pkt 16 – przewiduje sankcje za narus</w:t>
      </w:r>
      <w:r w:rsidR="00501ECB">
        <w:rPr>
          <w:rFonts w:cs="Times New Roman"/>
          <w:bCs/>
          <w:color w:val="000000"/>
          <w:szCs w:val="24"/>
        </w:rPr>
        <w:t>zenie obowiązków wynikających z </w:t>
      </w:r>
      <w:r w:rsidRPr="00501ECB">
        <w:rPr>
          <w:rFonts w:cs="Times New Roman"/>
          <w:bCs/>
          <w:color w:val="000000"/>
          <w:szCs w:val="24"/>
        </w:rPr>
        <w:t>projektowanej ustawy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w zakresie eksploatowania urządzenia do odzyskiwania par paliwa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 xml:space="preserve">bez przeprowadzania okresowych badań </w:t>
      </w:r>
      <w:r w:rsidR="00501ECB">
        <w:rPr>
          <w:rFonts w:cs="Times New Roman"/>
          <w:bCs/>
          <w:color w:val="000000"/>
          <w:szCs w:val="24"/>
        </w:rPr>
        <w:t>technicznych lub mimo decyzji o </w:t>
      </w:r>
      <w:r w:rsidRPr="00501ECB">
        <w:rPr>
          <w:rFonts w:cs="Times New Roman"/>
          <w:bCs/>
          <w:color w:val="000000"/>
          <w:szCs w:val="24"/>
        </w:rPr>
        <w:t>wstrzymaniu jego eksploatacji.</w:t>
      </w:r>
    </w:p>
    <w:p w:rsidR="005961A6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2 – w aktualnym stanie prawnym obowi</w:t>
      </w:r>
      <w:r w:rsidR="00501ECB">
        <w:rPr>
          <w:rFonts w:cs="Times New Roman"/>
          <w:bCs/>
          <w:color w:val="000000"/>
          <w:szCs w:val="24"/>
        </w:rPr>
        <w:t>ązek wyposażenia stacji paliw w </w:t>
      </w:r>
      <w:r w:rsidRPr="00501ECB">
        <w:rPr>
          <w:rFonts w:cs="Times New Roman"/>
          <w:bCs/>
          <w:color w:val="000000"/>
          <w:szCs w:val="24"/>
        </w:rPr>
        <w:t>urządzenia do odzyskiwania par paliwa oraz kategorie stacji, dla których wymagana jest instalacja tych urządzeń</w:t>
      </w:r>
      <w:r w:rsidR="003E1B2A" w:rsidRPr="00501ECB">
        <w:rPr>
          <w:rFonts w:cs="Times New Roman"/>
          <w:bCs/>
          <w:color w:val="000000"/>
          <w:szCs w:val="24"/>
        </w:rPr>
        <w:t>,</w:t>
      </w:r>
      <w:r w:rsidRPr="00501ECB">
        <w:rPr>
          <w:rFonts w:cs="Times New Roman"/>
          <w:bCs/>
          <w:color w:val="000000"/>
          <w:szCs w:val="24"/>
        </w:rPr>
        <w:t xml:space="preserve"> wynikają z przepisów rozporządzenia Ministra Gospodarki z dnia 21 listopada 2005 r. w sprawie warunków technicznych, jakim powinny odpowiadać bazy i stacje paliw płynnych, rurociągi przesyłowe dalekosiężne służące do transportu ropy naftowej i produktów naftowych i ich usytuowanie. W celu precyzyjnego wskazania zakresu obowiązków wynikającego z niniejszej ustawy oraz zapewnienia spójności z przywołanym rozporządzen</w:t>
      </w:r>
      <w:r w:rsidR="00501ECB">
        <w:rPr>
          <w:rFonts w:cs="Times New Roman"/>
          <w:bCs/>
          <w:color w:val="000000"/>
          <w:szCs w:val="24"/>
        </w:rPr>
        <w:t>iem Ministra Gospodarki w </w:t>
      </w:r>
      <w:r w:rsidRPr="00501ECB">
        <w:rPr>
          <w:rFonts w:cs="Times New Roman"/>
          <w:bCs/>
          <w:color w:val="000000"/>
          <w:szCs w:val="24"/>
        </w:rPr>
        <w:t>przepisie art. 2 wskazano jednoznacznie, od kiedy należy przeprowadzać badania techniczne urządzeń do odzyskiwania par paliwa w odniesieniu do stacji paliw, które zgodnie z §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 xml:space="preserve">2 </w:t>
      </w:r>
      <w:r w:rsidR="001E614D" w:rsidRPr="00501ECB">
        <w:rPr>
          <w:rFonts w:cs="Times New Roman"/>
          <w:bCs/>
          <w:color w:val="000000"/>
          <w:szCs w:val="24"/>
        </w:rPr>
        <w:t xml:space="preserve">ust. 1 </w:t>
      </w:r>
      <w:r w:rsidRPr="00501ECB">
        <w:rPr>
          <w:rFonts w:cs="Times New Roman"/>
          <w:bCs/>
          <w:color w:val="000000"/>
          <w:szCs w:val="24"/>
        </w:rPr>
        <w:t xml:space="preserve">rozporządzenia Ministra </w:t>
      </w:r>
      <w:r w:rsidR="003E1B2A" w:rsidRPr="00501ECB">
        <w:rPr>
          <w:rFonts w:cs="Times New Roman"/>
          <w:bCs/>
          <w:color w:val="000000"/>
          <w:szCs w:val="24"/>
        </w:rPr>
        <w:t>Energii</w:t>
      </w:r>
      <w:r w:rsidRPr="00501ECB">
        <w:rPr>
          <w:rFonts w:cs="Times New Roman"/>
          <w:bCs/>
          <w:color w:val="000000"/>
          <w:szCs w:val="24"/>
        </w:rPr>
        <w:t xml:space="preserve"> z dnia </w:t>
      </w:r>
      <w:r w:rsidR="003E1B2A" w:rsidRPr="00501ECB">
        <w:rPr>
          <w:rFonts w:cs="Times New Roman"/>
          <w:bCs/>
          <w:color w:val="000000"/>
          <w:szCs w:val="24"/>
        </w:rPr>
        <w:t>9 lutego 2017</w:t>
      </w:r>
      <w:r w:rsidRPr="00501ECB">
        <w:rPr>
          <w:rFonts w:cs="Times New Roman"/>
          <w:bCs/>
          <w:color w:val="000000"/>
          <w:szCs w:val="24"/>
        </w:rPr>
        <w:t xml:space="preserve"> r. zmieniającego rozporządzenie w sprawie warunków technicznych, jakim powinny odpowiadać bazy i stacje paliw płynnych, rurociągi przesyłowe dalekosiężne służące do transportu ropy naftowej i produktów naftowych i ich usytuowanie </w:t>
      </w:r>
      <w:r w:rsidR="003E1B2A" w:rsidRPr="00501ECB">
        <w:rPr>
          <w:rFonts w:cs="Times New Roman"/>
          <w:bCs/>
          <w:color w:val="000000"/>
          <w:szCs w:val="24"/>
        </w:rPr>
        <w:t>(Dz. U. poz. 282</w:t>
      </w:r>
      <w:r w:rsidRPr="00501ECB">
        <w:rPr>
          <w:rFonts w:cs="Times New Roman"/>
          <w:bCs/>
          <w:color w:val="000000"/>
          <w:szCs w:val="24"/>
        </w:rPr>
        <w:t>) powinny zostać wyposażone w te urządzenia do dnia 31 grudnia 2018 r.</w:t>
      </w:r>
      <w:r w:rsidR="0002288C" w:rsidRPr="00501ECB">
        <w:rPr>
          <w:rFonts w:cs="Times New Roman"/>
          <w:bCs/>
          <w:color w:val="000000"/>
          <w:szCs w:val="24"/>
        </w:rPr>
        <w:t xml:space="preserve"> </w:t>
      </w:r>
    </w:p>
    <w:p w:rsidR="002B6CA5" w:rsidRPr="00501ECB" w:rsidRDefault="001022A2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 xml:space="preserve">Mając na uwadze </w:t>
      </w:r>
      <w:r w:rsidR="00BB0842" w:rsidRPr="00501ECB">
        <w:rPr>
          <w:rFonts w:cs="Times New Roman"/>
          <w:bCs/>
          <w:color w:val="000000"/>
          <w:szCs w:val="24"/>
        </w:rPr>
        <w:t>przepis</w:t>
      </w:r>
      <w:r w:rsidRPr="00501ECB">
        <w:rPr>
          <w:rFonts w:cs="Times New Roman"/>
          <w:bCs/>
          <w:color w:val="000000"/>
          <w:szCs w:val="24"/>
        </w:rPr>
        <w:t xml:space="preserve"> §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 xml:space="preserve">2 ust. 2 rozporządzenia Ministra Energii z dnia 9 lutego </w:t>
      </w:r>
      <w:r w:rsidRPr="00501ECB">
        <w:rPr>
          <w:rFonts w:cs="Times New Roman"/>
          <w:bCs/>
          <w:color w:val="000000"/>
          <w:szCs w:val="24"/>
        </w:rPr>
        <w:lastRenderedPageBreak/>
        <w:t>2017 r. zmieniającego rozporządzenie w sprawie warunków technicznych, jakim powinny odpowiadać bazy i stacje paliw płynnych, rurociągi przesyłowe dalekosiężne służące do transportu ropy naftowej i produktów naftowych i ich usytuowanie</w:t>
      </w:r>
      <w:r w:rsidR="00BB0842" w:rsidRPr="00501ECB">
        <w:rPr>
          <w:rFonts w:cs="Times New Roman"/>
          <w:bCs/>
          <w:color w:val="000000"/>
          <w:szCs w:val="24"/>
        </w:rPr>
        <w:t>, w akcie wykonawczym wydawanym na podstawi</w:t>
      </w:r>
      <w:r w:rsidR="0014179C">
        <w:rPr>
          <w:rFonts w:cs="Times New Roman"/>
          <w:bCs/>
          <w:color w:val="000000"/>
          <w:szCs w:val="24"/>
        </w:rPr>
        <w:t>e</w:t>
      </w:r>
      <w:r w:rsidR="00BB0842" w:rsidRPr="00501ECB">
        <w:rPr>
          <w:rFonts w:cs="Times New Roman"/>
          <w:bCs/>
          <w:color w:val="000000"/>
          <w:szCs w:val="24"/>
        </w:rPr>
        <w:t xml:space="preserve"> art. 23a ust. 6 projektowanej ustawy zostaną określone minimalne wymagania </w:t>
      </w:r>
      <w:r w:rsidR="00E45FDA" w:rsidRPr="00501ECB">
        <w:rPr>
          <w:rFonts w:cs="Times New Roman"/>
          <w:bCs/>
          <w:color w:val="000000"/>
          <w:szCs w:val="24"/>
        </w:rPr>
        <w:t xml:space="preserve">w zakresie odzyskiwania par paliwa </w:t>
      </w:r>
      <w:r w:rsidR="00BB0842" w:rsidRPr="00501ECB">
        <w:rPr>
          <w:rFonts w:cs="Times New Roman"/>
          <w:bCs/>
          <w:color w:val="000000"/>
          <w:szCs w:val="24"/>
        </w:rPr>
        <w:t xml:space="preserve">dla </w:t>
      </w:r>
      <w:r w:rsidRPr="00501ECB">
        <w:rPr>
          <w:rFonts w:cs="Times New Roman"/>
          <w:bCs/>
          <w:color w:val="000000"/>
          <w:szCs w:val="24"/>
        </w:rPr>
        <w:t>u</w:t>
      </w:r>
      <w:r w:rsidR="00BB0842" w:rsidRPr="00501ECB">
        <w:rPr>
          <w:rFonts w:cs="Times New Roman"/>
          <w:bCs/>
          <w:color w:val="000000"/>
          <w:szCs w:val="24"/>
        </w:rPr>
        <w:t>rządzeń</w:t>
      </w:r>
      <w:r w:rsidRPr="00501ECB">
        <w:rPr>
          <w:rFonts w:cs="Times New Roman"/>
          <w:bCs/>
          <w:color w:val="000000"/>
          <w:szCs w:val="24"/>
        </w:rPr>
        <w:t xml:space="preserve"> do odzyskiwania par paliwa zainstalowan</w:t>
      </w:r>
      <w:r w:rsidR="00BB0842" w:rsidRPr="00501ECB">
        <w:rPr>
          <w:rFonts w:cs="Times New Roman"/>
          <w:bCs/>
          <w:color w:val="000000"/>
          <w:szCs w:val="24"/>
        </w:rPr>
        <w:t>ych</w:t>
      </w:r>
      <w:r w:rsidRPr="00501ECB">
        <w:rPr>
          <w:rFonts w:cs="Times New Roman"/>
          <w:bCs/>
          <w:color w:val="000000"/>
          <w:szCs w:val="24"/>
        </w:rPr>
        <w:t xml:space="preserve"> na stacjach paliw płynnych, których rzeczywista przepustowość przekracza 3000 m</w:t>
      </w:r>
      <w:r w:rsidRPr="0014179C">
        <w:rPr>
          <w:rFonts w:cs="Times New Roman"/>
          <w:bCs/>
          <w:color w:val="000000"/>
          <w:szCs w:val="24"/>
          <w:vertAlign w:val="superscript"/>
        </w:rPr>
        <w:t>3</w:t>
      </w:r>
      <w:r w:rsidRPr="00501ECB">
        <w:rPr>
          <w:rFonts w:cs="Times New Roman"/>
          <w:bCs/>
          <w:color w:val="000000"/>
          <w:szCs w:val="24"/>
        </w:rPr>
        <w:t xml:space="preserve"> rocznie </w:t>
      </w:r>
      <w:r w:rsidR="00BB0842" w:rsidRPr="00501ECB">
        <w:rPr>
          <w:rFonts w:cs="Times New Roman"/>
          <w:bCs/>
          <w:color w:val="000000"/>
          <w:szCs w:val="24"/>
        </w:rPr>
        <w:t>i które do dnia 31 grudnia 2018</w:t>
      </w:r>
      <w:r w:rsidR="0014179C">
        <w:rPr>
          <w:rFonts w:cs="Times New Roman"/>
          <w:bCs/>
          <w:color w:val="000000"/>
          <w:szCs w:val="24"/>
        </w:rPr>
        <w:t> </w:t>
      </w:r>
      <w:r w:rsidR="00BB0842" w:rsidRPr="00501ECB">
        <w:rPr>
          <w:rFonts w:cs="Times New Roman"/>
          <w:bCs/>
          <w:color w:val="000000"/>
          <w:szCs w:val="24"/>
        </w:rPr>
        <w:t>r. nie muszą s</w:t>
      </w:r>
      <w:r w:rsidRPr="00501ECB">
        <w:rPr>
          <w:rFonts w:cs="Times New Roman"/>
          <w:bCs/>
          <w:color w:val="000000"/>
          <w:szCs w:val="24"/>
        </w:rPr>
        <w:t>pełniać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="00BB0842" w:rsidRPr="00501ECB">
        <w:rPr>
          <w:rFonts w:cs="Times New Roman"/>
          <w:bCs/>
          <w:color w:val="000000"/>
          <w:szCs w:val="24"/>
        </w:rPr>
        <w:t>wymagania w zakresie zdolności</w:t>
      </w:r>
      <w:r w:rsidRPr="00501ECB">
        <w:rPr>
          <w:rFonts w:cs="Times New Roman"/>
          <w:bCs/>
          <w:color w:val="000000"/>
          <w:szCs w:val="24"/>
        </w:rPr>
        <w:t xml:space="preserve"> odzyskiwania co najmniej 85% par produktów naftowych I klasy ulatniających się do powietrza atmosferycznego</w:t>
      </w:r>
      <w:r w:rsidR="00BB0842" w:rsidRPr="00501ECB">
        <w:rPr>
          <w:rFonts w:cs="Times New Roman"/>
          <w:bCs/>
          <w:color w:val="000000"/>
          <w:szCs w:val="24"/>
        </w:rPr>
        <w:t>.</w:t>
      </w:r>
      <w:r w:rsidRPr="00501ECB">
        <w:rPr>
          <w:rFonts w:cs="Times New Roman"/>
          <w:bCs/>
          <w:color w:val="000000"/>
          <w:szCs w:val="24"/>
        </w:rPr>
        <w:t xml:space="preserve"> 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3 – w związku z tym, że projektowane przepisy nakładają w art. 23a ust. 3 pkt 1 na eksploatującego obowiązek posiadania dokumentu potwierdzającego spełnienie przez urządzenie do odzyskiwania par paliwa minimalnych wymagań dotyczących poziomu odzyskiwania par, który nie będzie jednak n</w:t>
      </w:r>
      <w:r w:rsidR="00501ECB">
        <w:rPr>
          <w:rFonts w:cs="Times New Roman"/>
          <w:bCs/>
          <w:color w:val="000000"/>
          <w:szCs w:val="24"/>
        </w:rPr>
        <w:t>owym obowiązkiem i wynika już z </w:t>
      </w:r>
      <w:r w:rsidRPr="00501ECB">
        <w:rPr>
          <w:rFonts w:cs="Times New Roman"/>
          <w:bCs/>
          <w:color w:val="000000"/>
          <w:szCs w:val="24"/>
        </w:rPr>
        <w:t xml:space="preserve">przepisów rozporządzenia Ministra Energii z dnia 9 lutego 2017 r. zmieniającego rozporządzenie w sprawie warunków technicznych, </w:t>
      </w:r>
      <w:r w:rsidR="00501ECB">
        <w:rPr>
          <w:rFonts w:cs="Times New Roman"/>
          <w:bCs/>
          <w:color w:val="000000"/>
          <w:szCs w:val="24"/>
        </w:rPr>
        <w:t>jakim powinny odpowiadać bazy i </w:t>
      </w:r>
      <w:r w:rsidRPr="00501ECB">
        <w:rPr>
          <w:rFonts w:cs="Times New Roman"/>
          <w:bCs/>
          <w:color w:val="000000"/>
          <w:szCs w:val="24"/>
        </w:rPr>
        <w:t>stacje paliw płynnych, rurociągi przesyłowe dalekosiężne służące do transportu ropy naftowej i produktów naftowych i ich usytuowanie, w projektowanej ustaw</w:t>
      </w:r>
      <w:r w:rsidR="0014179C">
        <w:rPr>
          <w:rFonts w:cs="Times New Roman"/>
          <w:bCs/>
          <w:color w:val="000000"/>
          <w:szCs w:val="24"/>
        </w:rPr>
        <w:t>ie</w:t>
      </w:r>
      <w:r w:rsidRPr="00501ECB">
        <w:rPr>
          <w:rFonts w:cs="Times New Roman"/>
          <w:bCs/>
          <w:color w:val="000000"/>
          <w:szCs w:val="24"/>
        </w:rPr>
        <w:t xml:space="preserve"> niezbędne jest wskazanie terminu</w:t>
      </w:r>
      <w:r w:rsidR="003E1B2A" w:rsidRPr="00501ECB">
        <w:rPr>
          <w:rFonts w:cs="Times New Roman"/>
          <w:bCs/>
          <w:color w:val="000000"/>
          <w:szCs w:val="24"/>
        </w:rPr>
        <w:t>,</w:t>
      </w:r>
      <w:r w:rsidRPr="00501ECB">
        <w:rPr>
          <w:rFonts w:cs="Times New Roman"/>
          <w:bCs/>
          <w:color w:val="000000"/>
          <w:szCs w:val="24"/>
        </w:rPr>
        <w:t xml:space="preserve"> od którego eksploatu</w:t>
      </w:r>
      <w:r w:rsidR="00501ECB">
        <w:rPr>
          <w:rFonts w:cs="Times New Roman"/>
          <w:bCs/>
          <w:color w:val="000000"/>
          <w:szCs w:val="24"/>
        </w:rPr>
        <w:t>jący są obowiązani posiadać ww. </w:t>
      </w:r>
      <w:r w:rsidRPr="00501ECB">
        <w:rPr>
          <w:rFonts w:cs="Times New Roman"/>
          <w:bCs/>
          <w:color w:val="000000"/>
          <w:szCs w:val="24"/>
        </w:rPr>
        <w:t>dokument. Wskazany w ustawie termin jest t</w:t>
      </w:r>
      <w:r w:rsidR="00501ECB">
        <w:rPr>
          <w:rFonts w:cs="Times New Roman"/>
          <w:bCs/>
          <w:color w:val="000000"/>
          <w:szCs w:val="24"/>
        </w:rPr>
        <w:t>ożsamy z terminem wynikającym z </w:t>
      </w:r>
      <w:r w:rsidRPr="00501ECB">
        <w:rPr>
          <w:rFonts w:cs="Times New Roman"/>
          <w:bCs/>
          <w:color w:val="000000"/>
          <w:szCs w:val="24"/>
        </w:rPr>
        <w:t>ww. rozporządzenia Ministra Energii, z uwzględ</w:t>
      </w:r>
      <w:r w:rsidR="00501ECB">
        <w:rPr>
          <w:rFonts w:cs="Times New Roman"/>
          <w:bCs/>
          <w:color w:val="000000"/>
          <w:szCs w:val="24"/>
        </w:rPr>
        <w:t>nieniem okresów przejściowych w </w:t>
      </w:r>
      <w:r w:rsidRPr="00501ECB">
        <w:rPr>
          <w:rFonts w:cs="Times New Roman"/>
          <w:bCs/>
          <w:color w:val="000000"/>
          <w:szCs w:val="24"/>
        </w:rPr>
        <w:t xml:space="preserve">nim zawartych. </w:t>
      </w:r>
    </w:p>
    <w:p w:rsidR="002B6CA5" w:rsidRPr="00501ECB" w:rsidRDefault="002B6CA5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Art. 4 – termin wejścia w życie projektowanej ustawy określono na 30 dni od dnia jej ogłoszenia. Wskazany termin</w:t>
      </w:r>
      <w:r w:rsidR="00501ECB" w:rsidRPr="00501ECB">
        <w:rPr>
          <w:rFonts w:cs="Times New Roman"/>
          <w:bCs/>
          <w:color w:val="000000"/>
          <w:szCs w:val="24"/>
        </w:rPr>
        <w:t xml:space="preserve"> </w:t>
      </w:r>
      <w:r w:rsidRPr="00501ECB">
        <w:rPr>
          <w:rFonts w:cs="Times New Roman"/>
          <w:bCs/>
          <w:color w:val="000000"/>
          <w:szCs w:val="24"/>
        </w:rPr>
        <w:t>wynika z koniczności pilnego wdrożenia dyrektywy 2014/99/UE (termin transpozycji upłynął 12 maja 2016 r.) oraz zapewnienia jednostkom dozoru technicznego odpowiedniego okresu na dostosowanie się do nowych obowiązków.</w:t>
      </w:r>
    </w:p>
    <w:p w:rsidR="007C13F6" w:rsidRPr="00501ECB" w:rsidRDefault="007C13F6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Projekt wpływa na działalność mikroprzedsiębiorców oraz małych i średnich przedsiębiorców. Szczegółowe informacje w tym zakresie zostały zawarte w pkt 7 OSR.</w:t>
      </w:r>
    </w:p>
    <w:p w:rsidR="007C13F6" w:rsidRPr="00501ECB" w:rsidRDefault="007C13F6" w:rsidP="0014179C">
      <w:pPr>
        <w:spacing w:before="120"/>
        <w:jc w:val="both"/>
        <w:rPr>
          <w:rFonts w:cs="Times New Roman"/>
          <w:bCs/>
          <w:color w:val="000000"/>
          <w:szCs w:val="24"/>
        </w:rPr>
      </w:pPr>
      <w:r w:rsidRPr="00501ECB">
        <w:rPr>
          <w:rFonts w:cs="Times New Roman"/>
          <w:bCs/>
          <w:color w:val="000000"/>
          <w:szCs w:val="24"/>
        </w:rPr>
        <w:t>Projekt ustawy nie podlega notyfikacji w trybie określonym w rozporządzeniu Rady Ministrów z dnia 23 grudnia 2002 r. w sprawie s</w:t>
      </w:r>
      <w:r w:rsidR="00501ECB">
        <w:rPr>
          <w:rFonts w:cs="Times New Roman"/>
          <w:bCs/>
          <w:color w:val="000000"/>
          <w:szCs w:val="24"/>
        </w:rPr>
        <w:t xml:space="preserve">posobu funkcjonowania krajowego </w:t>
      </w:r>
      <w:r w:rsidRPr="00501ECB">
        <w:rPr>
          <w:rFonts w:cs="Times New Roman"/>
          <w:bCs/>
          <w:color w:val="000000"/>
          <w:szCs w:val="24"/>
        </w:rPr>
        <w:t>systemu notyfikacji norm i aktów prawnych (Dz. U. poz. 2039, z późn. zm.).</w:t>
      </w:r>
    </w:p>
    <w:p w:rsidR="00501ECB" w:rsidRPr="00501ECB" w:rsidRDefault="007C13F6" w:rsidP="00FC5AA0">
      <w:pPr>
        <w:spacing w:before="120"/>
        <w:jc w:val="both"/>
        <w:rPr>
          <w:sz w:val="16"/>
          <w:szCs w:val="16"/>
        </w:rPr>
      </w:pPr>
      <w:r w:rsidRPr="00501ECB">
        <w:rPr>
          <w:rFonts w:cs="Times New Roman"/>
          <w:bCs/>
          <w:color w:val="000000"/>
          <w:szCs w:val="24"/>
        </w:rPr>
        <w:t>Projektowana regulacja jest zgodna z prawem Unii Europejskiej.</w:t>
      </w:r>
    </w:p>
    <w:sectPr w:rsidR="00501ECB" w:rsidRPr="00501ECB" w:rsidSect="000040D3">
      <w:footerReference w:type="default" r:id="rId8"/>
      <w:pgSz w:w="11906" w:h="16838"/>
      <w:pgMar w:top="1474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B36" w:rsidRDefault="00DA5B36">
      <w:pPr>
        <w:spacing w:line="240" w:lineRule="auto"/>
      </w:pPr>
      <w:r>
        <w:separator/>
      </w:r>
    </w:p>
  </w:endnote>
  <w:endnote w:type="continuationSeparator" w:id="0">
    <w:p w:rsidR="00DA5B36" w:rsidRDefault="00DA5B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3712640"/>
      <w:docPartObj>
        <w:docPartGallery w:val="Page Numbers (Bottom of Page)"/>
        <w:docPartUnique/>
      </w:docPartObj>
    </w:sdtPr>
    <w:sdtEndPr/>
    <w:sdtContent>
      <w:p w:rsidR="003701E6" w:rsidRDefault="006C20A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77E">
          <w:rPr>
            <w:noProof/>
          </w:rPr>
          <w:t>8</w:t>
        </w:r>
        <w:r>
          <w:fldChar w:fldCharType="end"/>
        </w:r>
      </w:p>
    </w:sdtContent>
  </w:sdt>
  <w:p w:rsidR="003701E6" w:rsidRDefault="008C377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B36" w:rsidRDefault="00DA5B36">
      <w:pPr>
        <w:spacing w:line="240" w:lineRule="auto"/>
      </w:pPr>
      <w:r>
        <w:separator/>
      </w:r>
    </w:p>
  </w:footnote>
  <w:footnote w:type="continuationSeparator" w:id="0">
    <w:p w:rsidR="00DA5B36" w:rsidRDefault="00DA5B36">
      <w:pPr>
        <w:spacing w:line="240" w:lineRule="auto"/>
      </w:pPr>
      <w:r>
        <w:continuationSeparator/>
      </w:r>
    </w:p>
  </w:footnote>
  <w:footnote w:id="1">
    <w:p w:rsidR="00A00ECE" w:rsidRPr="00501ECB" w:rsidRDefault="00A00ECE" w:rsidP="00501ECB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 w:rsidR="00501ECB">
        <w:rPr>
          <w:vertAlign w:val="superscript"/>
        </w:rPr>
        <w:t>)</w:t>
      </w:r>
      <w:r w:rsidR="00501ECB">
        <w:rPr>
          <w:vertAlign w:val="superscript"/>
        </w:rPr>
        <w:tab/>
      </w:r>
      <w:r w:rsidRPr="00501ECB">
        <w:rPr>
          <w:bCs/>
          <w:lang w:bidi="pl-PL"/>
        </w:rPr>
        <w:t>Rozporządzenie Ministra Gospodarki z dnia 21 listopada 2005 r. w sprawie warunków technicznych, jakim powinny odpowiadać bazy i stacje paliw płynnych, rurociągi przesyłowe dalekosiężne służące do transportu ropy naftowej i produktów naftowych i ich usytuowanie (Dz. U. z 2014 r. poz. 1853 oraz z 2017 r. poz. 282).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6B7A16"/>
    <w:multiLevelType w:val="hybridMultilevel"/>
    <w:tmpl w:val="EB141D30"/>
    <w:lvl w:ilvl="0" w:tplc="DB92F8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3F6"/>
    <w:rsid w:val="000040D3"/>
    <w:rsid w:val="0002288C"/>
    <w:rsid w:val="001022A2"/>
    <w:rsid w:val="00113E15"/>
    <w:rsid w:val="0014179C"/>
    <w:rsid w:val="001846AB"/>
    <w:rsid w:val="001E614D"/>
    <w:rsid w:val="002B6CA5"/>
    <w:rsid w:val="002F3799"/>
    <w:rsid w:val="002F6426"/>
    <w:rsid w:val="003E1B2A"/>
    <w:rsid w:val="00400072"/>
    <w:rsid w:val="00425CE8"/>
    <w:rsid w:val="004C6129"/>
    <w:rsid w:val="004F067C"/>
    <w:rsid w:val="00501ECB"/>
    <w:rsid w:val="00583B41"/>
    <w:rsid w:val="005961A6"/>
    <w:rsid w:val="006029D0"/>
    <w:rsid w:val="006C20AA"/>
    <w:rsid w:val="006C52B7"/>
    <w:rsid w:val="006E590E"/>
    <w:rsid w:val="00720EDD"/>
    <w:rsid w:val="00795DDA"/>
    <w:rsid w:val="007C13F6"/>
    <w:rsid w:val="007C4595"/>
    <w:rsid w:val="00803D94"/>
    <w:rsid w:val="00830337"/>
    <w:rsid w:val="00853915"/>
    <w:rsid w:val="008C377E"/>
    <w:rsid w:val="00913849"/>
    <w:rsid w:val="009314C8"/>
    <w:rsid w:val="00A00ECE"/>
    <w:rsid w:val="00A66DD0"/>
    <w:rsid w:val="00BB0842"/>
    <w:rsid w:val="00BD1F77"/>
    <w:rsid w:val="00C85100"/>
    <w:rsid w:val="00CD5717"/>
    <w:rsid w:val="00D53FA3"/>
    <w:rsid w:val="00DA5B36"/>
    <w:rsid w:val="00E45FDA"/>
    <w:rsid w:val="00E71D7F"/>
    <w:rsid w:val="00F02CE9"/>
    <w:rsid w:val="00F522B3"/>
    <w:rsid w:val="00FC5AA0"/>
    <w:rsid w:val="00FE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79442-2DC7-418F-9B30-2CE3AD03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13F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C13F6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C13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13F6"/>
    <w:rPr>
      <w:rFonts w:ascii="Times New Roman" w:eastAsia="Times New Roman" w:hAnsi="Times New Roman" w:cs="Arial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C13F6"/>
    <w:pPr>
      <w:ind w:left="720"/>
      <w:contextualSpacing/>
    </w:pPr>
  </w:style>
  <w:style w:type="paragraph" w:customStyle="1" w:styleId="ZUSTzmustartykuempunktem">
    <w:name w:val="Z/UST(§) – zm. ust. (§) artykułem (punktem)"/>
    <w:basedOn w:val="Normalny"/>
    <w:uiPriority w:val="30"/>
    <w:qFormat/>
    <w:rsid w:val="007C13F6"/>
    <w:pPr>
      <w:widowControl/>
      <w:suppressAutoHyphens/>
      <w:ind w:left="510" w:firstLine="510"/>
      <w:jc w:val="both"/>
    </w:pPr>
    <w:rPr>
      <w:rFonts w:ascii="Times" w:eastAsiaTheme="minorEastAsia" w:hAnsi="Time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0ECE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0ECE"/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0E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01EC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ECB"/>
    <w:rPr>
      <w:rFonts w:ascii="Times New Roman" w:eastAsia="Times New Roman" w:hAnsi="Times New Roman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03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3A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6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46AB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46AB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6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6AB"/>
    <w:rPr>
      <w:rFonts w:ascii="Times New Roman" w:eastAsia="Times New Roman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32E9E-0F97-4536-A579-A8F7F5C69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2720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 Agnieszka</dc:creator>
  <cp:lastModifiedBy>Grażyna D. Grabowska</cp:lastModifiedBy>
  <cp:revision>2</cp:revision>
  <dcterms:created xsi:type="dcterms:W3CDTF">2017-07-14T12:51:00Z</dcterms:created>
  <dcterms:modified xsi:type="dcterms:W3CDTF">2017-07-14T12:51:00Z</dcterms:modified>
</cp:coreProperties>
</file>