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0F2" w:rsidRDefault="002550F2" w:rsidP="00F2685E">
      <w:pPr>
        <w:spacing w:before="120" w:after="120" w:line="240" w:lineRule="auto"/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39496A">
        <w:rPr>
          <w:rFonts w:ascii="Arial" w:hAnsi="Arial" w:cs="Arial"/>
          <w:b/>
          <w:sz w:val="24"/>
          <w:szCs w:val="24"/>
        </w:rPr>
        <w:t>PROJEKT</w:t>
      </w:r>
    </w:p>
    <w:p w:rsidR="00F2685E" w:rsidRDefault="00F2685E" w:rsidP="00F2685E">
      <w:pPr>
        <w:spacing w:before="120" w:after="12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F2685E" w:rsidRDefault="00F2685E" w:rsidP="00F2685E">
      <w:pPr>
        <w:spacing w:before="120" w:after="12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F2685E" w:rsidRPr="0039496A" w:rsidRDefault="00F2685E" w:rsidP="00F2685E">
      <w:pPr>
        <w:spacing w:before="120" w:after="12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2550F2" w:rsidRPr="0039496A" w:rsidRDefault="00D40AEE" w:rsidP="00EE273E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9496A">
        <w:rPr>
          <w:rFonts w:ascii="Arial" w:hAnsi="Arial" w:cs="Arial"/>
          <w:b/>
          <w:sz w:val="24"/>
          <w:szCs w:val="24"/>
        </w:rPr>
        <w:t>USTAWA</w:t>
      </w:r>
    </w:p>
    <w:p w:rsidR="002550F2" w:rsidRPr="0039496A" w:rsidRDefault="002550F2" w:rsidP="00EE273E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 w:rsidRPr="0039496A">
        <w:rPr>
          <w:rFonts w:ascii="Arial" w:hAnsi="Arial" w:cs="Arial"/>
          <w:sz w:val="24"/>
          <w:szCs w:val="24"/>
        </w:rPr>
        <w:t>z dnia ……………………….</w:t>
      </w:r>
    </w:p>
    <w:p w:rsidR="002550F2" w:rsidRPr="0039496A" w:rsidRDefault="002550F2" w:rsidP="00EE273E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9496A">
        <w:rPr>
          <w:rFonts w:ascii="Arial" w:hAnsi="Arial" w:cs="Arial"/>
          <w:b/>
          <w:sz w:val="24"/>
          <w:szCs w:val="24"/>
        </w:rPr>
        <w:t>o zmianie ustawy o statusie sędziów Trybunału Konstytucyjnego</w:t>
      </w:r>
    </w:p>
    <w:p w:rsidR="002550F2" w:rsidRPr="0039496A" w:rsidRDefault="002550F2" w:rsidP="00EE273E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2550F2" w:rsidRPr="0039496A" w:rsidRDefault="002550F2" w:rsidP="00EE273E">
      <w:pPr>
        <w:spacing w:before="120"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9496A">
        <w:rPr>
          <w:rFonts w:ascii="Arial" w:hAnsi="Arial" w:cs="Arial"/>
          <w:b/>
          <w:sz w:val="24"/>
          <w:szCs w:val="24"/>
        </w:rPr>
        <w:t>Art.</w:t>
      </w:r>
      <w:r w:rsidR="002922AB" w:rsidRPr="0039496A">
        <w:rPr>
          <w:rFonts w:ascii="Arial" w:hAnsi="Arial" w:cs="Arial"/>
          <w:b/>
          <w:sz w:val="24"/>
          <w:szCs w:val="24"/>
        </w:rPr>
        <w:t xml:space="preserve"> 1.</w:t>
      </w:r>
      <w:r w:rsidR="002922AB" w:rsidRPr="0039496A">
        <w:rPr>
          <w:rFonts w:ascii="Arial" w:hAnsi="Arial" w:cs="Arial"/>
          <w:sz w:val="24"/>
          <w:szCs w:val="24"/>
        </w:rPr>
        <w:t xml:space="preserve"> W ustawie </w:t>
      </w:r>
      <w:r w:rsidR="00D40AEE" w:rsidRPr="0039496A">
        <w:rPr>
          <w:rFonts w:ascii="Arial" w:hAnsi="Arial" w:cs="Arial"/>
          <w:sz w:val="24"/>
          <w:szCs w:val="24"/>
        </w:rPr>
        <w:t xml:space="preserve">z dnia 30 listopada 2016 r. </w:t>
      </w:r>
      <w:r w:rsidR="002922AB" w:rsidRPr="0039496A">
        <w:rPr>
          <w:rFonts w:ascii="Arial" w:hAnsi="Arial" w:cs="Arial"/>
          <w:sz w:val="24"/>
          <w:szCs w:val="24"/>
        </w:rPr>
        <w:t xml:space="preserve">o statusie sędziów Trybunału Konstytucyjnego </w:t>
      </w:r>
      <w:r w:rsidR="00D40AEE" w:rsidRPr="0039496A">
        <w:rPr>
          <w:rFonts w:ascii="Arial" w:hAnsi="Arial" w:cs="Arial"/>
          <w:sz w:val="24"/>
          <w:szCs w:val="24"/>
        </w:rPr>
        <w:t>(Dz. U. poz. 2073) wprowadza się następujące zmiany</w:t>
      </w:r>
      <w:r w:rsidR="002922AB" w:rsidRPr="0039496A">
        <w:rPr>
          <w:rFonts w:ascii="Arial" w:hAnsi="Arial" w:cs="Arial"/>
          <w:sz w:val="24"/>
          <w:szCs w:val="24"/>
        </w:rPr>
        <w:t>:</w:t>
      </w:r>
    </w:p>
    <w:p w:rsidR="002550F2" w:rsidRPr="0039496A" w:rsidRDefault="00D40AEE" w:rsidP="00EE273E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39496A">
        <w:rPr>
          <w:rFonts w:ascii="Arial" w:hAnsi="Arial" w:cs="Arial"/>
          <w:sz w:val="24"/>
          <w:szCs w:val="24"/>
        </w:rPr>
        <w:t>a</w:t>
      </w:r>
      <w:r w:rsidR="002550F2" w:rsidRPr="0039496A">
        <w:rPr>
          <w:rFonts w:ascii="Arial" w:hAnsi="Arial" w:cs="Arial"/>
          <w:sz w:val="24"/>
          <w:szCs w:val="24"/>
        </w:rPr>
        <w:t>rt. 3 otrzymuje brzmienie:</w:t>
      </w:r>
    </w:p>
    <w:p w:rsidR="002550F2" w:rsidRPr="0039496A" w:rsidRDefault="00D40AEE" w:rsidP="00EE273E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39496A">
        <w:rPr>
          <w:rFonts w:ascii="Arial" w:hAnsi="Arial" w:cs="Arial"/>
          <w:bCs/>
          <w:sz w:val="24"/>
          <w:szCs w:val="24"/>
        </w:rPr>
        <w:t>„</w:t>
      </w:r>
      <w:r w:rsidR="002550F2" w:rsidRPr="0039496A">
        <w:rPr>
          <w:rFonts w:ascii="Arial" w:hAnsi="Arial" w:cs="Arial"/>
          <w:bCs/>
          <w:sz w:val="24"/>
          <w:szCs w:val="24"/>
        </w:rPr>
        <w:t>Art. 3.</w:t>
      </w:r>
      <w:r w:rsidR="002550F2" w:rsidRPr="0039496A">
        <w:rPr>
          <w:rFonts w:ascii="Arial" w:hAnsi="Arial" w:cs="Arial"/>
          <w:b/>
          <w:bCs/>
          <w:sz w:val="24"/>
          <w:szCs w:val="24"/>
        </w:rPr>
        <w:t xml:space="preserve"> </w:t>
      </w:r>
      <w:r w:rsidR="002550F2" w:rsidRPr="0039496A">
        <w:rPr>
          <w:rFonts w:ascii="Arial" w:hAnsi="Arial" w:cs="Arial"/>
          <w:sz w:val="24"/>
          <w:szCs w:val="24"/>
        </w:rPr>
        <w:t>Sędzią Trybunału może zostać osoba, która wyróżnia się wiedzą prawniczą oraz spełnia wymagania niezbędne do pełnienia urzędu na stanowisku sędziego Sądu Najwyższego lub sędziego Naczelnego Sądu Administracyjnego</w:t>
      </w:r>
      <w:r w:rsidRPr="0039496A">
        <w:rPr>
          <w:rFonts w:ascii="Arial" w:hAnsi="Arial" w:cs="Arial"/>
          <w:sz w:val="24"/>
          <w:szCs w:val="24"/>
        </w:rPr>
        <w:t>.”;</w:t>
      </w:r>
    </w:p>
    <w:p w:rsidR="00D56913" w:rsidRPr="0039496A" w:rsidRDefault="00D40AEE" w:rsidP="00EE273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39496A">
        <w:rPr>
          <w:rFonts w:ascii="Arial" w:hAnsi="Arial" w:cs="Arial"/>
          <w:bCs/>
          <w:sz w:val="24"/>
          <w:szCs w:val="24"/>
        </w:rPr>
        <w:t>a</w:t>
      </w:r>
      <w:r w:rsidR="00D56913" w:rsidRPr="0039496A">
        <w:rPr>
          <w:rFonts w:ascii="Arial" w:hAnsi="Arial" w:cs="Arial"/>
          <w:bCs/>
          <w:sz w:val="24"/>
          <w:szCs w:val="24"/>
        </w:rPr>
        <w:t>rt. 19 otrzymuje brzmienie:</w:t>
      </w:r>
    </w:p>
    <w:p w:rsidR="00D56913" w:rsidRPr="0039496A" w:rsidRDefault="00D40AEE" w:rsidP="00EE273E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39496A">
        <w:rPr>
          <w:rFonts w:ascii="Arial" w:hAnsi="Arial" w:cs="Arial"/>
          <w:sz w:val="24"/>
          <w:szCs w:val="24"/>
        </w:rPr>
        <w:t>„</w:t>
      </w:r>
      <w:r w:rsidR="00D56913" w:rsidRPr="0039496A">
        <w:rPr>
          <w:rFonts w:ascii="Arial" w:hAnsi="Arial" w:cs="Arial"/>
          <w:sz w:val="24"/>
          <w:szCs w:val="24"/>
        </w:rPr>
        <w:t>Art. 19. W zakresie nieuregulowanym w niniejszej ustawie do praw i obowiązków sędziów Trybunału stosuje się odpowiednio ustawę z dnia 23 listopada 2002 r. o Sądzie Najwyższym</w:t>
      </w:r>
      <w:r w:rsidR="00DF7489" w:rsidRPr="0039496A">
        <w:rPr>
          <w:rFonts w:ascii="Arial" w:hAnsi="Arial" w:cs="Arial"/>
          <w:sz w:val="24"/>
          <w:szCs w:val="24"/>
        </w:rPr>
        <w:t>.</w:t>
      </w:r>
      <w:r w:rsidRPr="0039496A">
        <w:rPr>
          <w:rFonts w:ascii="Arial" w:hAnsi="Arial" w:cs="Arial"/>
          <w:sz w:val="24"/>
          <w:szCs w:val="24"/>
        </w:rPr>
        <w:t>”</w:t>
      </w:r>
      <w:r w:rsidR="00D56913" w:rsidRPr="0039496A">
        <w:rPr>
          <w:rFonts w:ascii="Arial" w:hAnsi="Arial" w:cs="Arial"/>
          <w:sz w:val="24"/>
          <w:szCs w:val="24"/>
        </w:rPr>
        <w:t>.</w:t>
      </w:r>
    </w:p>
    <w:p w:rsidR="00D56913" w:rsidRPr="005C09E9" w:rsidRDefault="00D56913" w:rsidP="00EE273E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93F09" w:rsidRPr="005C09E9" w:rsidRDefault="00193F09" w:rsidP="00680C18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C09E9">
        <w:rPr>
          <w:rFonts w:ascii="Arial" w:hAnsi="Arial" w:cs="Arial"/>
          <w:b/>
          <w:color w:val="000000" w:themeColor="text1"/>
          <w:sz w:val="24"/>
          <w:szCs w:val="24"/>
        </w:rPr>
        <w:t>Art. 2.1.</w:t>
      </w:r>
      <w:r w:rsidRPr="005C09E9">
        <w:rPr>
          <w:rFonts w:ascii="Arial" w:hAnsi="Arial" w:cs="Arial"/>
          <w:color w:val="000000" w:themeColor="text1"/>
          <w:sz w:val="24"/>
          <w:szCs w:val="24"/>
        </w:rPr>
        <w:t xml:space="preserve"> Od dnia wejścia w życie ustawy</w:t>
      </w:r>
      <w:r w:rsidR="00B454C6" w:rsidRPr="005C09E9">
        <w:rPr>
          <w:rFonts w:ascii="Arial" w:hAnsi="Arial" w:cs="Arial"/>
          <w:color w:val="000000" w:themeColor="text1"/>
          <w:sz w:val="24"/>
          <w:szCs w:val="24"/>
        </w:rPr>
        <w:t>, o której mowa w art. 1</w:t>
      </w:r>
      <w:r w:rsidRPr="005C09E9">
        <w:rPr>
          <w:rFonts w:ascii="Arial" w:hAnsi="Arial" w:cs="Arial"/>
          <w:color w:val="000000" w:themeColor="text1"/>
          <w:sz w:val="24"/>
          <w:szCs w:val="24"/>
        </w:rPr>
        <w:t xml:space="preserve"> w razie śmierci sędziego Trybunału Konstytucyjnego</w:t>
      </w:r>
      <w:r w:rsidR="00AC5EC8" w:rsidRPr="005C09E9">
        <w:rPr>
          <w:rFonts w:ascii="Arial" w:hAnsi="Arial" w:cs="Arial"/>
          <w:color w:val="000000" w:themeColor="text1"/>
          <w:sz w:val="24"/>
          <w:szCs w:val="24"/>
        </w:rPr>
        <w:t>, zwanego dalej „sędzią”</w:t>
      </w:r>
      <w:r w:rsidRPr="005C09E9">
        <w:rPr>
          <w:rFonts w:ascii="Arial" w:hAnsi="Arial" w:cs="Arial"/>
          <w:color w:val="000000" w:themeColor="text1"/>
          <w:sz w:val="24"/>
          <w:szCs w:val="24"/>
        </w:rPr>
        <w:t xml:space="preserve"> jego rodzinie przysługuje odprawa pośmiertna na zasadach przewidzianych w ustawie z dnia 26 czerwca 1974 r. </w:t>
      </w:r>
      <w:r w:rsidRPr="005C09E9">
        <w:rPr>
          <w:rFonts w:ascii="Arial" w:hAnsi="Arial" w:cs="Arial"/>
          <w:color w:val="000000" w:themeColor="text1"/>
          <w:sz w:val="24"/>
          <w:szCs w:val="24"/>
        </w:rPr>
        <w:noBreakHyphen/>
        <w:t xml:space="preserve"> Kodeks pracy (Dz. U. z 2016 r. poz. 1666, z późn. zm.) dla rodzin pracowników. Do okresu zatrudnienia, od którego zależy wysokość odprawy, wlicza się wszystkie okresy zatrudnienia na stanowiskach asesora sądowego lub sędziego.</w:t>
      </w:r>
    </w:p>
    <w:p w:rsidR="00193F09" w:rsidRPr="005C09E9" w:rsidRDefault="00193F09" w:rsidP="00680C18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C09E9">
        <w:rPr>
          <w:rFonts w:ascii="Arial" w:hAnsi="Arial" w:cs="Arial"/>
          <w:color w:val="000000" w:themeColor="text1"/>
          <w:sz w:val="24"/>
          <w:szCs w:val="24"/>
        </w:rPr>
        <w:t>2. W razie śmierci sędziego albo sędziego w stanie spoczynku lub członka jego rodziny, osobie, która pokryła koszty pogrzebu, przysługuje świadczenie pieniężne w wysokości i na zasadach określonych dla zasiłku pogrzebowego z ubezpieczenia społecznego.</w:t>
      </w:r>
    </w:p>
    <w:p w:rsidR="00193F09" w:rsidRPr="005C09E9" w:rsidRDefault="00193F09" w:rsidP="00680C18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C09E9">
        <w:rPr>
          <w:rFonts w:ascii="Arial" w:hAnsi="Arial" w:cs="Arial"/>
          <w:color w:val="000000" w:themeColor="text1"/>
          <w:sz w:val="24"/>
          <w:szCs w:val="24"/>
        </w:rPr>
        <w:t>3. Przepis ust. 2 stosuje się odpowiednio w razie śmierci osoby pobierającej uposażenie rodzinne albo członka rodziny tej osoby.</w:t>
      </w:r>
    </w:p>
    <w:p w:rsidR="00193F09" w:rsidRPr="005C09E9" w:rsidRDefault="00193F09" w:rsidP="00680C18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C09E9">
        <w:rPr>
          <w:rFonts w:ascii="Arial" w:hAnsi="Arial" w:cs="Arial"/>
          <w:color w:val="000000" w:themeColor="text1"/>
          <w:sz w:val="24"/>
          <w:szCs w:val="24"/>
        </w:rPr>
        <w:t>4. W razie zbiegu prawa do świadczenia, o którym mowa w ust. 2 i 3, z prawem do zasiłku pogrzebowego z ubezpieczenia społecznego, przysługuje prawo do jednego ze świadczeń, wybranego przez uprawnionego.</w:t>
      </w:r>
    </w:p>
    <w:p w:rsidR="00AC5EC8" w:rsidRPr="005C09E9" w:rsidRDefault="00AC5EC8" w:rsidP="00193F09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93F09" w:rsidRPr="005C09E9" w:rsidRDefault="00AC5EC8" w:rsidP="00680C18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C09E9">
        <w:rPr>
          <w:rFonts w:ascii="Arial" w:hAnsi="Arial" w:cs="Arial"/>
          <w:b/>
          <w:color w:val="000000" w:themeColor="text1"/>
          <w:sz w:val="24"/>
          <w:szCs w:val="24"/>
        </w:rPr>
        <w:t>Art. 3.1.</w:t>
      </w:r>
      <w:r w:rsidRPr="005C09E9">
        <w:rPr>
          <w:rFonts w:ascii="Arial" w:hAnsi="Arial" w:cs="Arial"/>
          <w:color w:val="000000" w:themeColor="text1"/>
          <w:sz w:val="24"/>
          <w:szCs w:val="24"/>
        </w:rPr>
        <w:t xml:space="preserve"> Od dnia wejścia w życie ustawy</w:t>
      </w:r>
      <w:r w:rsidR="00B454C6" w:rsidRPr="005C09E9">
        <w:rPr>
          <w:rFonts w:ascii="Arial" w:hAnsi="Arial" w:cs="Arial"/>
          <w:color w:val="000000" w:themeColor="text1"/>
          <w:sz w:val="24"/>
          <w:szCs w:val="24"/>
        </w:rPr>
        <w:t>, o której mowa w art. 1,</w:t>
      </w:r>
      <w:r w:rsidRPr="005C09E9">
        <w:rPr>
          <w:rFonts w:ascii="Arial" w:hAnsi="Arial" w:cs="Arial"/>
          <w:color w:val="000000" w:themeColor="text1"/>
          <w:sz w:val="24"/>
          <w:szCs w:val="24"/>
        </w:rPr>
        <w:t xml:space="preserve"> w razie śmierci sędziego </w:t>
      </w:r>
      <w:r w:rsidR="00193F09" w:rsidRPr="005C09E9">
        <w:rPr>
          <w:rFonts w:ascii="Arial" w:hAnsi="Arial" w:cs="Arial"/>
          <w:color w:val="000000" w:themeColor="text1"/>
          <w:sz w:val="24"/>
          <w:szCs w:val="24"/>
        </w:rPr>
        <w:t>albo sędziego w stanie spoczynku, członkom jego rodziny, spełniającym warunki wymagane do uzyskania renty rodzinnej w myśl przepisów o emeryturach i rentach z Funduszu Ubezpieczeń Społecznych, przysługuje uposażenie rodzinne w wysokości:</w:t>
      </w:r>
    </w:p>
    <w:p w:rsidR="00193F09" w:rsidRPr="005C09E9" w:rsidRDefault="00193F09" w:rsidP="00193F09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C09E9">
        <w:rPr>
          <w:rFonts w:ascii="Arial" w:hAnsi="Arial" w:cs="Arial"/>
          <w:color w:val="000000" w:themeColor="text1"/>
          <w:sz w:val="24"/>
          <w:szCs w:val="24"/>
        </w:rPr>
        <w:t>1)</w:t>
      </w:r>
      <w:r w:rsidR="00AC5EC8" w:rsidRPr="005C09E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C09E9">
        <w:rPr>
          <w:rFonts w:ascii="Arial" w:hAnsi="Arial" w:cs="Arial"/>
          <w:color w:val="000000" w:themeColor="text1"/>
          <w:sz w:val="24"/>
          <w:szCs w:val="24"/>
        </w:rPr>
        <w:t>dla jednej osoby uprawnionej - 85%,</w:t>
      </w:r>
    </w:p>
    <w:p w:rsidR="00193F09" w:rsidRPr="005C09E9" w:rsidRDefault="00193F09" w:rsidP="00193F09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C09E9">
        <w:rPr>
          <w:rFonts w:ascii="Arial" w:hAnsi="Arial" w:cs="Arial"/>
          <w:color w:val="000000" w:themeColor="text1"/>
          <w:sz w:val="24"/>
          <w:szCs w:val="24"/>
        </w:rPr>
        <w:lastRenderedPageBreak/>
        <w:t>2)</w:t>
      </w:r>
      <w:r w:rsidR="00AC5EC8" w:rsidRPr="005C09E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C09E9">
        <w:rPr>
          <w:rFonts w:ascii="Arial" w:hAnsi="Arial" w:cs="Arial"/>
          <w:color w:val="000000" w:themeColor="text1"/>
          <w:sz w:val="24"/>
          <w:szCs w:val="24"/>
        </w:rPr>
        <w:t>dla dwóch osób uprawnionych - 90%,</w:t>
      </w:r>
    </w:p>
    <w:p w:rsidR="00193F09" w:rsidRPr="005C09E9" w:rsidRDefault="00193F09" w:rsidP="00193F09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C09E9">
        <w:rPr>
          <w:rFonts w:ascii="Arial" w:hAnsi="Arial" w:cs="Arial"/>
          <w:color w:val="000000" w:themeColor="text1"/>
          <w:sz w:val="24"/>
          <w:szCs w:val="24"/>
        </w:rPr>
        <w:t>3)</w:t>
      </w:r>
      <w:r w:rsidR="00AC5EC8" w:rsidRPr="005C09E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C09E9">
        <w:rPr>
          <w:rFonts w:ascii="Arial" w:hAnsi="Arial" w:cs="Arial"/>
          <w:color w:val="000000" w:themeColor="text1"/>
          <w:sz w:val="24"/>
          <w:szCs w:val="24"/>
        </w:rPr>
        <w:t>dla trzech lub więcej osób uprawnionych - 95%</w:t>
      </w:r>
    </w:p>
    <w:p w:rsidR="00193F09" w:rsidRPr="005C09E9" w:rsidRDefault="00193F09" w:rsidP="00193F09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C09E9">
        <w:rPr>
          <w:rFonts w:ascii="Arial" w:hAnsi="Arial" w:cs="Arial"/>
          <w:color w:val="000000" w:themeColor="text1"/>
          <w:sz w:val="24"/>
          <w:szCs w:val="24"/>
        </w:rPr>
        <w:t>- podstawy wymiaru.</w:t>
      </w:r>
    </w:p>
    <w:p w:rsidR="00193F09" w:rsidRPr="005C09E9" w:rsidRDefault="00193F09" w:rsidP="00680C18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C09E9">
        <w:rPr>
          <w:rFonts w:ascii="Arial" w:hAnsi="Arial" w:cs="Arial"/>
          <w:color w:val="000000" w:themeColor="text1"/>
          <w:sz w:val="24"/>
          <w:szCs w:val="24"/>
        </w:rPr>
        <w:t>2. Podstawę wymiaru uposażenia rodzinnego przysługującego rodzinie stanowi:</w:t>
      </w:r>
    </w:p>
    <w:p w:rsidR="00193F09" w:rsidRPr="005C09E9" w:rsidRDefault="00193F09" w:rsidP="00193F09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C09E9">
        <w:rPr>
          <w:rFonts w:ascii="Arial" w:hAnsi="Arial" w:cs="Arial"/>
          <w:color w:val="000000" w:themeColor="text1"/>
          <w:sz w:val="24"/>
          <w:szCs w:val="24"/>
        </w:rPr>
        <w:t>1)</w:t>
      </w:r>
      <w:r w:rsidR="00AC5EC8" w:rsidRPr="005C09E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C09E9">
        <w:rPr>
          <w:rFonts w:ascii="Arial" w:hAnsi="Arial" w:cs="Arial"/>
          <w:color w:val="000000" w:themeColor="text1"/>
          <w:sz w:val="24"/>
          <w:szCs w:val="24"/>
        </w:rPr>
        <w:t>w przypadku rodziny zmarłego sędziego stanie spoczynku - uposażenie, jakie przysługiwało w chwili śmierci zmarłemu sędziemu w stanie spoczynku, z zastrzeżeniem pkt 2;</w:t>
      </w:r>
    </w:p>
    <w:p w:rsidR="00AC5EC8" w:rsidRPr="005C09E9" w:rsidRDefault="00193F09" w:rsidP="00AC5EC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C09E9">
        <w:rPr>
          <w:rFonts w:ascii="Arial" w:hAnsi="Arial" w:cs="Arial"/>
          <w:color w:val="000000" w:themeColor="text1"/>
          <w:sz w:val="24"/>
          <w:szCs w:val="24"/>
        </w:rPr>
        <w:t>2)</w:t>
      </w:r>
      <w:r w:rsidR="00AC5EC8" w:rsidRPr="005C09E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C09E9">
        <w:rPr>
          <w:rFonts w:ascii="Arial" w:hAnsi="Arial" w:cs="Arial"/>
          <w:color w:val="000000" w:themeColor="text1"/>
          <w:sz w:val="24"/>
          <w:szCs w:val="24"/>
        </w:rPr>
        <w:t xml:space="preserve">w przypadku rodziny zmarłego sędziego albo zmarłego sędziego w stanie spoczynku przeniesionego na podstawie art. </w:t>
      </w:r>
      <w:r w:rsidR="00AC5EC8" w:rsidRPr="005C09E9">
        <w:rPr>
          <w:rFonts w:ascii="Arial" w:hAnsi="Arial" w:cs="Arial"/>
          <w:color w:val="000000" w:themeColor="text1"/>
          <w:sz w:val="24"/>
          <w:szCs w:val="24"/>
        </w:rPr>
        <w:t xml:space="preserve">32 ustawy z dnia 30 listopada 2016 r. o statusie sędziów Trybunału Konstytucyjnego </w:t>
      </w:r>
      <w:r w:rsidRPr="005C09E9">
        <w:rPr>
          <w:rFonts w:ascii="Arial" w:hAnsi="Arial" w:cs="Arial"/>
          <w:color w:val="000000" w:themeColor="text1"/>
          <w:sz w:val="24"/>
          <w:szCs w:val="24"/>
        </w:rPr>
        <w:t xml:space="preserve">- uposażenie, jakie przysługiwałoby mu w chwili śmierci </w:t>
      </w:r>
      <w:r w:rsidR="00AC5EC8" w:rsidRPr="005C09E9">
        <w:rPr>
          <w:rFonts w:ascii="Arial" w:hAnsi="Arial" w:cs="Arial"/>
          <w:color w:val="000000" w:themeColor="text1"/>
          <w:sz w:val="24"/>
          <w:szCs w:val="24"/>
        </w:rPr>
        <w:t>w wysokości 75% wynagrodzenia zasadniczego i dodatku za wysługę lat, pobieranych na ostatnio zajmowanym stanowisku.</w:t>
      </w:r>
    </w:p>
    <w:p w:rsidR="00193F09" w:rsidRPr="005C09E9" w:rsidRDefault="00AC5EC8" w:rsidP="00680C18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C09E9">
        <w:rPr>
          <w:rFonts w:ascii="Arial" w:hAnsi="Arial" w:cs="Arial"/>
          <w:color w:val="000000" w:themeColor="text1"/>
          <w:sz w:val="24"/>
          <w:szCs w:val="24"/>
        </w:rPr>
        <w:t>3. Uposażenie, o którym mowa w ust. 1 i 2, podwyższa się stosownie do zmian wysokości wynagrodzeń zasadniczych sędziów czynnych zawodowo.</w:t>
      </w:r>
    </w:p>
    <w:p w:rsidR="00193F09" w:rsidRPr="005C09E9" w:rsidRDefault="0039496A" w:rsidP="00680C18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C09E9">
        <w:rPr>
          <w:rFonts w:ascii="Arial" w:hAnsi="Arial" w:cs="Arial"/>
          <w:color w:val="000000" w:themeColor="text1"/>
          <w:sz w:val="24"/>
          <w:szCs w:val="24"/>
        </w:rPr>
        <w:t>4</w:t>
      </w:r>
      <w:r w:rsidR="00193F09" w:rsidRPr="005C09E9">
        <w:rPr>
          <w:rFonts w:ascii="Arial" w:hAnsi="Arial" w:cs="Arial"/>
          <w:color w:val="000000" w:themeColor="text1"/>
          <w:sz w:val="24"/>
          <w:szCs w:val="24"/>
        </w:rPr>
        <w:t>. W razie zbiegu prawa do uposażenia rodzinnego z prawem do emerytury lub renty, na wniosek uprawnionego, przysługuje albo uposażenie rodzinne, albo emerytura lub renta.</w:t>
      </w:r>
    </w:p>
    <w:p w:rsidR="00193F09" w:rsidRPr="005C09E9" w:rsidRDefault="0039496A" w:rsidP="00680C18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C09E9">
        <w:rPr>
          <w:rFonts w:ascii="Arial" w:hAnsi="Arial" w:cs="Arial"/>
          <w:color w:val="000000" w:themeColor="text1"/>
          <w:sz w:val="24"/>
          <w:szCs w:val="24"/>
        </w:rPr>
        <w:t>5</w:t>
      </w:r>
      <w:r w:rsidR="00193F09" w:rsidRPr="005C09E9">
        <w:rPr>
          <w:rFonts w:ascii="Arial" w:hAnsi="Arial" w:cs="Arial"/>
          <w:color w:val="000000" w:themeColor="text1"/>
          <w:sz w:val="24"/>
          <w:szCs w:val="24"/>
        </w:rPr>
        <w:t>. Do uposażenia rodzinnego przysługuje dodatek dla sierot zupełnych w wysokości i na zasadach określonych w przepisach o emeryturach i rentach z Funduszu Ubezpieczeń Społecznych.</w:t>
      </w:r>
    </w:p>
    <w:p w:rsidR="00AC5EC8" w:rsidRPr="005C09E9" w:rsidRDefault="00AC5EC8" w:rsidP="00EE273E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B454C6" w:rsidRPr="005C09E9" w:rsidRDefault="00B454C6" w:rsidP="00EE273E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C09E9">
        <w:rPr>
          <w:rFonts w:ascii="Arial" w:hAnsi="Arial" w:cs="Arial"/>
          <w:color w:val="000000" w:themeColor="text1"/>
          <w:sz w:val="24"/>
          <w:szCs w:val="24"/>
        </w:rPr>
        <w:tab/>
      </w:r>
      <w:r w:rsidRPr="005C09E9">
        <w:rPr>
          <w:rFonts w:ascii="Arial" w:hAnsi="Arial" w:cs="Arial"/>
          <w:b/>
          <w:color w:val="000000" w:themeColor="text1"/>
          <w:sz w:val="24"/>
          <w:szCs w:val="24"/>
        </w:rPr>
        <w:t>Art. 4.</w:t>
      </w:r>
      <w:r w:rsidRPr="005C09E9">
        <w:rPr>
          <w:rFonts w:ascii="Arial" w:hAnsi="Arial" w:cs="Arial"/>
          <w:color w:val="000000" w:themeColor="text1"/>
          <w:sz w:val="24"/>
          <w:szCs w:val="24"/>
        </w:rPr>
        <w:t xml:space="preserve"> Przepisy art. 2 i art. 3 stosuje się do zdarzeń, które miały miejsce od dnia wejścia w życie ustawy, o której mowa w art. 1.</w:t>
      </w:r>
    </w:p>
    <w:p w:rsidR="00B454C6" w:rsidRPr="005C09E9" w:rsidRDefault="00B454C6" w:rsidP="00680C18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66E8C" w:rsidRPr="0039496A" w:rsidRDefault="002922AB" w:rsidP="00680C18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C09E9">
        <w:rPr>
          <w:rFonts w:ascii="Arial" w:hAnsi="Arial" w:cs="Arial"/>
          <w:b/>
          <w:color w:val="000000" w:themeColor="text1"/>
          <w:sz w:val="24"/>
          <w:szCs w:val="24"/>
        </w:rPr>
        <w:t xml:space="preserve">Art. </w:t>
      </w:r>
      <w:r w:rsidR="00B454C6" w:rsidRPr="005C09E9">
        <w:rPr>
          <w:rFonts w:ascii="Arial" w:hAnsi="Arial" w:cs="Arial"/>
          <w:b/>
          <w:color w:val="000000" w:themeColor="text1"/>
          <w:sz w:val="24"/>
          <w:szCs w:val="24"/>
        </w:rPr>
        <w:t>5</w:t>
      </w:r>
      <w:r w:rsidRPr="005C09E9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Pr="005C09E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66E8C" w:rsidRPr="005C09E9">
        <w:rPr>
          <w:rFonts w:ascii="Arial" w:hAnsi="Arial" w:cs="Arial"/>
          <w:color w:val="000000" w:themeColor="text1"/>
          <w:sz w:val="24"/>
          <w:szCs w:val="24"/>
        </w:rPr>
        <w:t xml:space="preserve">Ustawa wchodzi w życie </w:t>
      </w:r>
      <w:r w:rsidR="00193F09" w:rsidRPr="005C09E9">
        <w:rPr>
          <w:rFonts w:ascii="Arial" w:hAnsi="Arial" w:cs="Arial"/>
          <w:color w:val="000000" w:themeColor="text1"/>
          <w:sz w:val="24"/>
          <w:szCs w:val="24"/>
        </w:rPr>
        <w:t xml:space="preserve">z </w:t>
      </w:r>
      <w:r w:rsidR="00C66E8C" w:rsidRPr="005C09E9">
        <w:rPr>
          <w:rFonts w:ascii="Arial" w:hAnsi="Arial" w:cs="Arial"/>
          <w:color w:val="000000" w:themeColor="text1"/>
          <w:sz w:val="24"/>
          <w:szCs w:val="24"/>
        </w:rPr>
        <w:t>dni</w:t>
      </w:r>
      <w:r w:rsidR="00193F09" w:rsidRPr="005C09E9">
        <w:rPr>
          <w:rFonts w:ascii="Arial" w:hAnsi="Arial" w:cs="Arial"/>
          <w:color w:val="000000" w:themeColor="text1"/>
          <w:sz w:val="24"/>
          <w:szCs w:val="24"/>
        </w:rPr>
        <w:t>em</w:t>
      </w:r>
      <w:r w:rsidR="00C66E8C" w:rsidRPr="005C09E9">
        <w:rPr>
          <w:rFonts w:ascii="Arial" w:hAnsi="Arial" w:cs="Arial"/>
          <w:color w:val="000000" w:themeColor="text1"/>
          <w:sz w:val="24"/>
          <w:szCs w:val="24"/>
        </w:rPr>
        <w:t xml:space="preserve"> ogłoszenia</w:t>
      </w:r>
      <w:r w:rsidR="00C66E8C" w:rsidRPr="0039496A">
        <w:rPr>
          <w:rFonts w:ascii="Arial" w:hAnsi="Arial" w:cs="Arial"/>
          <w:sz w:val="24"/>
          <w:szCs w:val="24"/>
        </w:rPr>
        <w:t>.</w:t>
      </w:r>
    </w:p>
    <w:p w:rsidR="00C66E8C" w:rsidRPr="0039496A" w:rsidRDefault="00C66E8C" w:rsidP="00EE273E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680C18" w:rsidRPr="0039496A" w:rsidRDefault="00680C18">
      <w:pPr>
        <w:rPr>
          <w:rFonts w:ascii="Arial" w:hAnsi="Arial" w:cs="Arial"/>
          <w:sz w:val="24"/>
          <w:szCs w:val="24"/>
        </w:rPr>
      </w:pPr>
      <w:r w:rsidRPr="0039496A">
        <w:rPr>
          <w:rFonts w:ascii="Arial" w:hAnsi="Arial" w:cs="Arial"/>
          <w:sz w:val="24"/>
          <w:szCs w:val="24"/>
        </w:rPr>
        <w:br w:type="page"/>
      </w:r>
    </w:p>
    <w:p w:rsidR="00C66E8C" w:rsidRPr="0039496A" w:rsidRDefault="00C66E8C" w:rsidP="00EE273E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9496A"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:rsidR="00C66E8C" w:rsidRPr="0039496A" w:rsidRDefault="00C66E8C" w:rsidP="00EE273E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C2320B" w:rsidRPr="0039496A" w:rsidRDefault="00240C8A" w:rsidP="00EE273E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43714E" w:rsidRPr="0039496A">
        <w:rPr>
          <w:rFonts w:ascii="Arial" w:hAnsi="Arial" w:cs="Arial"/>
          <w:sz w:val="24"/>
          <w:szCs w:val="24"/>
        </w:rPr>
        <w:t xml:space="preserve">. </w:t>
      </w:r>
      <w:r w:rsidR="00C2320B" w:rsidRPr="0039496A">
        <w:rPr>
          <w:rFonts w:ascii="Arial" w:hAnsi="Arial" w:cs="Arial"/>
          <w:sz w:val="24"/>
          <w:szCs w:val="24"/>
        </w:rPr>
        <w:t xml:space="preserve">Przedmiotem </w:t>
      </w:r>
      <w:r w:rsidR="0043714E" w:rsidRPr="0039496A">
        <w:rPr>
          <w:rFonts w:ascii="Arial" w:hAnsi="Arial" w:cs="Arial"/>
          <w:sz w:val="24"/>
          <w:szCs w:val="24"/>
        </w:rPr>
        <w:t xml:space="preserve">przedkładanego </w:t>
      </w:r>
      <w:r w:rsidR="00C2320B" w:rsidRPr="0039496A">
        <w:rPr>
          <w:rFonts w:ascii="Arial" w:hAnsi="Arial" w:cs="Arial"/>
          <w:sz w:val="24"/>
          <w:szCs w:val="24"/>
        </w:rPr>
        <w:t>projektu jest zmiana dwóch przepisów ustawy</w:t>
      </w:r>
      <w:r w:rsidR="00863554" w:rsidRPr="0039496A">
        <w:rPr>
          <w:rFonts w:ascii="Arial" w:hAnsi="Arial" w:cs="Arial"/>
          <w:sz w:val="24"/>
          <w:szCs w:val="24"/>
        </w:rPr>
        <w:t xml:space="preserve"> z 30 listopada 2016 r. </w:t>
      </w:r>
      <w:r w:rsidR="00C2320B" w:rsidRPr="0039496A">
        <w:rPr>
          <w:rFonts w:ascii="Arial" w:hAnsi="Arial" w:cs="Arial"/>
          <w:sz w:val="24"/>
          <w:szCs w:val="24"/>
        </w:rPr>
        <w:t>o statusie sędziów Trybunału Konstytucyjnego. Pierwszy z nich dotyczy kwalifikacji wymaganych do zajmowania stanowiska sędziego TK (art. 3 ustawy), a drugi kwestii odpowiedniego stosowania przepisów ustawy o Sądzie Najwyższym do praw i obowiązków sędziów TK (art. 19 ustawy).</w:t>
      </w:r>
      <w:r w:rsidR="0039496A">
        <w:rPr>
          <w:rFonts w:ascii="Arial" w:hAnsi="Arial" w:cs="Arial"/>
          <w:sz w:val="24"/>
          <w:szCs w:val="24"/>
        </w:rPr>
        <w:t xml:space="preserve"> Ponadto wprowadzane są przepisy dostosowujące gwarantujące zabezpieczenie społeczne rodzinom zmarłych sędziów Trybunału, również sędziów w stanie spoczynku.</w:t>
      </w:r>
    </w:p>
    <w:p w:rsidR="00C2320B" w:rsidRPr="0039496A" w:rsidRDefault="00C2320B" w:rsidP="00EE273E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9496A">
        <w:rPr>
          <w:rFonts w:ascii="Arial" w:hAnsi="Arial" w:cs="Arial"/>
          <w:sz w:val="24"/>
          <w:szCs w:val="24"/>
        </w:rPr>
        <w:t>Grupa posłów uznała za zasadne wprowadzenie zmian</w:t>
      </w:r>
      <w:r w:rsidR="00863554" w:rsidRPr="0039496A">
        <w:rPr>
          <w:rFonts w:ascii="Arial" w:hAnsi="Arial" w:cs="Arial"/>
          <w:sz w:val="24"/>
          <w:szCs w:val="24"/>
        </w:rPr>
        <w:t xml:space="preserve"> do tych regulacji, by zapewnić spójność systemu prawnego i w sposób wyraźny zagwarantować realizację prawa do zabezpieczenia społecznego rodzinom sędziów TK</w:t>
      </w:r>
      <w:r w:rsidR="00866DE6" w:rsidRPr="0039496A">
        <w:rPr>
          <w:rFonts w:ascii="Arial" w:hAnsi="Arial" w:cs="Arial"/>
          <w:sz w:val="24"/>
          <w:szCs w:val="24"/>
        </w:rPr>
        <w:t>, w tym sędziów Trybunału w stanie spoczynku</w:t>
      </w:r>
      <w:r w:rsidR="00863554" w:rsidRPr="0039496A">
        <w:rPr>
          <w:rFonts w:ascii="Arial" w:hAnsi="Arial" w:cs="Arial"/>
          <w:sz w:val="24"/>
          <w:szCs w:val="24"/>
        </w:rPr>
        <w:t>.</w:t>
      </w:r>
    </w:p>
    <w:p w:rsidR="00863554" w:rsidRPr="0039496A" w:rsidRDefault="00863554" w:rsidP="00EE273E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66E8C" w:rsidRPr="0039496A" w:rsidRDefault="00240C8A" w:rsidP="00EE273E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</w:t>
      </w:r>
      <w:r w:rsidR="00863554" w:rsidRPr="0039496A">
        <w:rPr>
          <w:rFonts w:ascii="Arial" w:hAnsi="Arial" w:cs="Arial"/>
          <w:sz w:val="24"/>
          <w:szCs w:val="24"/>
        </w:rPr>
        <w:t xml:space="preserve">. O niekonsekwencji ustawodawcy w obowiązujących rozwiązaniach prawnych w tym zakresie poinformowała w piśmie do Marszałka Sejmu </w:t>
      </w:r>
      <w:r w:rsidR="00C66E8C" w:rsidRPr="0039496A">
        <w:rPr>
          <w:rFonts w:ascii="Arial" w:hAnsi="Arial" w:cs="Arial"/>
          <w:sz w:val="24"/>
          <w:szCs w:val="24"/>
        </w:rPr>
        <w:t>Prezes Trybunału Konstytucyjnego</w:t>
      </w:r>
      <w:r w:rsidR="00863554" w:rsidRPr="0039496A">
        <w:rPr>
          <w:rFonts w:ascii="Arial" w:hAnsi="Arial" w:cs="Arial"/>
          <w:sz w:val="24"/>
          <w:szCs w:val="24"/>
        </w:rPr>
        <w:t>.</w:t>
      </w:r>
      <w:r w:rsidR="00C66E8C" w:rsidRPr="0039496A">
        <w:rPr>
          <w:rFonts w:ascii="Arial" w:hAnsi="Arial" w:cs="Arial"/>
          <w:sz w:val="24"/>
          <w:szCs w:val="24"/>
        </w:rPr>
        <w:t xml:space="preserve"> </w:t>
      </w:r>
      <w:r w:rsidR="00863554" w:rsidRPr="0039496A">
        <w:rPr>
          <w:rFonts w:ascii="Arial" w:hAnsi="Arial" w:cs="Arial"/>
          <w:sz w:val="24"/>
          <w:szCs w:val="24"/>
        </w:rPr>
        <w:t xml:space="preserve">Uwagi </w:t>
      </w:r>
      <w:r w:rsidR="00C66E8C" w:rsidRPr="0039496A">
        <w:rPr>
          <w:rFonts w:ascii="Arial" w:hAnsi="Arial" w:cs="Arial"/>
          <w:sz w:val="24"/>
          <w:szCs w:val="24"/>
        </w:rPr>
        <w:t>dotycz</w:t>
      </w:r>
      <w:r w:rsidR="00863554" w:rsidRPr="0039496A">
        <w:rPr>
          <w:rFonts w:ascii="Arial" w:hAnsi="Arial" w:cs="Arial"/>
          <w:sz w:val="24"/>
          <w:szCs w:val="24"/>
        </w:rPr>
        <w:t xml:space="preserve">yły </w:t>
      </w:r>
      <w:r w:rsidR="00C66E8C" w:rsidRPr="0039496A">
        <w:rPr>
          <w:rFonts w:ascii="Arial" w:hAnsi="Arial" w:cs="Arial"/>
          <w:sz w:val="24"/>
          <w:szCs w:val="24"/>
        </w:rPr>
        <w:t xml:space="preserve">brzmienia </w:t>
      </w:r>
      <w:r w:rsidR="00EE273E" w:rsidRPr="0039496A">
        <w:rPr>
          <w:rFonts w:ascii="Arial" w:hAnsi="Arial" w:cs="Arial"/>
          <w:sz w:val="24"/>
          <w:szCs w:val="24"/>
        </w:rPr>
        <w:t xml:space="preserve">niektórych przepisów </w:t>
      </w:r>
      <w:r w:rsidR="00C66E8C" w:rsidRPr="0039496A">
        <w:rPr>
          <w:rFonts w:ascii="Arial" w:hAnsi="Arial" w:cs="Arial"/>
          <w:sz w:val="24"/>
          <w:szCs w:val="24"/>
        </w:rPr>
        <w:t>ustawy o statusie sędziów Trybunału Konstytucyjnego</w:t>
      </w:r>
      <w:r w:rsidR="0039496A">
        <w:rPr>
          <w:rFonts w:ascii="Arial" w:hAnsi="Arial" w:cs="Arial"/>
          <w:sz w:val="24"/>
          <w:szCs w:val="24"/>
        </w:rPr>
        <w:t>,</w:t>
      </w:r>
      <w:r w:rsidR="00C2320B" w:rsidRPr="0039496A">
        <w:rPr>
          <w:rFonts w:ascii="Arial" w:hAnsi="Arial" w:cs="Arial"/>
          <w:sz w:val="24"/>
          <w:szCs w:val="24"/>
        </w:rPr>
        <w:t xml:space="preserve"> </w:t>
      </w:r>
      <w:r w:rsidR="0039496A">
        <w:rPr>
          <w:rFonts w:ascii="Arial" w:hAnsi="Arial" w:cs="Arial"/>
          <w:sz w:val="24"/>
          <w:szCs w:val="24"/>
        </w:rPr>
        <w:t>zwłaszcza</w:t>
      </w:r>
      <w:r w:rsidR="00863554" w:rsidRPr="0039496A">
        <w:rPr>
          <w:rFonts w:ascii="Arial" w:hAnsi="Arial" w:cs="Arial"/>
          <w:sz w:val="24"/>
          <w:szCs w:val="24"/>
        </w:rPr>
        <w:t xml:space="preserve"> w </w:t>
      </w:r>
      <w:r w:rsidR="00C2320B" w:rsidRPr="0039496A">
        <w:rPr>
          <w:rFonts w:ascii="Arial" w:hAnsi="Arial" w:cs="Arial"/>
          <w:sz w:val="24"/>
          <w:szCs w:val="24"/>
        </w:rPr>
        <w:t>związku z niespójnością</w:t>
      </w:r>
      <w:r w:rsidR="00EE273E" w:rsidRPr="0039496A">
        <w:rPr>
          <w:rFonts w:ascii="Arial" w:hAnsi="Arial" w:cs="Arial"/>
          <w:sz w:val="24"/>
          <w:szCs w:val="24"/>
        </w:rPr>
        <w:t xml:space="preserve"> regulacji </w:t>
      </w:r>
      <w:r w:rsidR="0039496A">
        <w:rPr>
          <w:rFonts w:ascii="Arial" w:hAnsi="Arial" w:cs="Arial"/>
          <w:sz w:val="24"/>
          <w:szCs w:val="24"/>
        </w:rPr>
        <w:t>odnoszących się do</w:t>
      </w:r>
      <w:r w:rsidR="00EE273E" w:rsidRPr="0039496A">
        <w:rPr>
          <w:rFonts w:ascii="Arial" w:hAnsi="Arial" w:cs="Arial"/>
          <w:sz w:val="24"/>
          <w:szCs w:val="24"/>
        </w:rPr>
        <w:t xml:space="preserve"> kwestii socjalnyc</w:t>
      </w:r>
      <w:r w:rsidR="00C2320B" w:rsidRPr="0039496A">
        <w:rPr>
          <w:rFonts w:ascii="Arial" w:hAnsi="Arial" w:cs="Arial"/>
          <w:sz w:val="24"/>
          <w:szCs w:val="24"/>
        </w:rPr>
        <w:t>h sędziów Trybunału i ich rodzin</w:t>
      </w:r>
      <w:r w:rsidR="00EE273E" w:rsidRPr="0039496A">
        <w:rPr>
          <w:rFonts w:ascii="Arial" w:hAnsi="Arial" w:cs="Arial"/>
          <w:sz w:val="24"/>
          <w:szCs w:val="24"/>
        </w:rPr>
        <w:t>.</w:t>
      </w:r>
    </w:p>
    <w:p w:rsidR="00863554" w:rsidRPr="0039496A" w:rsidRDefault="00863554" w:rsidP="00EE273E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63554" w:rsidRPr="0039496A" w:rsidRDefault="00240C8A" w:rsidP="00C2320B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</w:t>
      </w:r>
      <w:r w:rsidR="00863554" w:rsidRPr="0039496A">
        <w:rPr>
          <w:rFonts w:ascii="Arial" w:hAnsi="Arial" w:cs="Arial"/>
          <w:sz w:val="24"/>
          <w:szCs w:val="24"/>
        </w:rPr>
        <w:t xml:space="preserve">. </w:t>
      </w:r>
      <w:r w:rsidR="00EE273E" w:rsidRPr="0039496A">
        <w:rPr>
          <w:rFonts w:ascii="Arial" w:hAnsi="Arial" w:cs="Arial"/>
          <w:sz w:val="24"/>
          <w:szCs w:val="24"/>
        </w:rPr>
        <w:t xml:space="preserve">Grupa posłów dokonała analizy ustawy o statusie sędziów Trybunału Konstytucyjnego i zwróciła uwagę, że zgodnie z </w:t>
      </w:r>
      <w:r w:rsidR="00863554" w:rsidRPr="0039496A">
        <w:rPr>
          <w:rFonts w:ascii="Arial" w:hAnsi="Arial" w:cs="Arial"/>
          <w:sz w:val="24"/>
          <w:szCs w:val="24"/>
        </w:rPr>
        <w:t xml:space="preserve">art. 3 ustawy, „Sędzią Trybunału może zostać osoba, która wyróżnia się wiedzą prawniczą oraz spełnia wymagania niezbędne do pełnienia urzędu na stanowisku sędziego Sądu Najwyższego”. Ustawodawca </w:t>
      </w:r>
      <w:r w:rsidR="00A354C3" w:rsidRPr="0039496A">
        <w:rPr>
          <w:rFonts w:ascii="Arial" w:hAnsi="Arial" w:cs="Arial"/>
          <w:sz w:val="24"/>
          <w:szCs w:val="24"/>
        </w:rPr>
        <w:t>nie uwzględnił w tym przepisie wymogów niezbędnych do pełnienia urzędu na stanowisku drugiego z najwyższych sądów konstytucyjnych, a mianowicie Naczelnego Sądu Administracyjnego.</w:t>
      </w:r>
    </w:p>
    <w:p w:rsidR="00A354C3" w:rsidRPr="0039496A" w:rsidRDefault="00A354C3" w:rsidP="00C2320B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9496A">
        <w:rPr>
          <w:rFonts w:ascii="Arial" w:hAnsi="Arial" w:cs="Arial"/>
          <w:sz w:val="24"/>
          <w:szCs w:val="24"/>
        </w:rPr>
        <w:t>Grupa posłów uznała, że w związku z tym, że Sąd Najwyższy i Naczelny Sąd Administracyjny są najważniejszymi sądami w państwie, a ich istnienie jest umocowane w Konstytucji nie można deprecjonować pozycji żadnego z tych dwóch organów, a tym bardziej wymagań dla kandydatów urząd sędziowski w tych sądach.</w:t>
      </w:r>
    </w:p>
    <w:p w:rsidR="00A354C3" w:rsidRPr="0039496A" w:rsidRDefault="00A354C3" w:rsidP="00C2320B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9496A">
        <w:rPr>
          <w:rFonts w:ascii="Arial" w:hAnsi="Arial" w:cs="Arial"/>
          <w:sz w:val="24"/>
          <w:szCs w:val="24"/>
        </w:rPr>
        <w:t>Z tego względu, w ramach swobody ustawodawczej, wnioskodawca proponuje, by do konstytucyjnego organu władzy sądowniczej, którym jest Trybunał Konstytucyjny mieli dostęp kandydaci, którzy spełniają wymogi przewidziane na stanowisko sędziowskie w Sądzie Najwyższym lub w Naczelnym Sądzie Administracyjnym.</w:t>
      </w:r>
    </w:p>
    <w:p w:rsidR="00863554" w:rsidRPr="0039496A" w:rsidRDefault="00863554" w:rsidP="00C2320B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922AB" w:rsidRPr="0039496A" w:rsidRDefault="00240C8A" w:rsidP="00C2320B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</w:t>
      </w:r>
      <w:r w:rsidR="00863554" w:rsidRPr="0039496A">
        <w:rPr>
          <w:rFonts w:ascii="Arial" w:hAnsi="Arial" w:cs="Arial"/>
          <w:sz w:val="24"/>
          <w:szCs w:val="24"/>
        </w:rPr>
        <w:t>.</w:t>
      </w:r>
      <w:r w:rsidR="00A354C3" w:rsidRPr="0039496A">
        <w:rPr>
          <w:rFonts w:ascii="Arial" w:hAnsi="Arial" w:cs="Arial"/>
          <w:sz w:val="24"/>
          <w:szCs w:val="24"/>
        </w:rPr>
        <w:t xml:space="preserve"> Drugim zmienianym przepisem jest</w:t>
      </w:r>
      <w:r w:rsidR="00863554" w:rsidRPr="0039496A">
        <w:rPr>
          <w:rFonts w:ascii="Arial" w:hAnsi="Arial" w:cs="Arial"/>
          <w:sz w:val="24"/>
          <w:szCs w:val="24"/>
        </w:rPr>
        <w:t xml:space="preserve"> </w:t>
      </w:r>
      <w:r w:rsidR="00EE273E" w:rsidRPr="0039496A">
        <w:rPr>
          <w:rFonts w:ascii="Arial" w:hAnsi="Arial" w:cs="Arial"/>
          <w:sz w:val="24"/>
          <w:szCs w:val="24"/>
        </w:rPr>
        <w:t>art. 19 ustawy</w:t>
      </w:r>
      <w:r w:rsidR="00A354C3" w:rsidRPr="0039496A">
        <w:rPr>
          <w:rFonts w:ascii="Arial" w:hAnsi="Arial" w:cs="Arial"/>
          <w:sz w:val="24"/>
          <w:szCs w:val="24"/>
        </w:rPr>
        <w:t xml:space="preserve"> o statusie sędziów Trybunału Konstytucyjnego. W obecnym brzmieniu przepis ten stanowi:</w:t>
      </w:r>
      <w:r w:rsidR="00EE273E" w:rsidRPr="0039496A">
        <w:rPr>
          <w:rFonts w:ascii="Arial" w:hAnsi="Arial" w:cs="Arial"/>
          <w:sz w:val="24"/>
          <w:szCs w:val="24"/>
        </w:rPr>
        <w:t xml:space="preserve"> „</w:t>
      </w:r>
      <w:r w:rsidR="00A354C3" w:rsidRPr="0039496A">
        <w:rPr>
          <w:rFonts w:ascii="Arial" w:hAnsi="Arial" w:cs="Arial"/>
          <w:sz w:val="24"/>
          <w:szCs w:val="24"/>
        </w:rPr>
        <w:t xml:space="preserve">Art. 19. </w:t>
      </w:r>
      <w:r w:rsidR="00EE273E" w:rsidRPr="0039496A">
        <w:rPr>
          <w:rFonts w:ascii="Arial" w:hAnsi="Arial" w:cs="Arial"/>
          <w:sz w:val="24"/>
          <w:szCs w:val="24"/>
        </w:rPr>
        <w:t>W zakresie nieuregulowanym w niniejszej ustawie do praw i obowiązków sędziów Trybunału stosuje się odpowiednio przepisy art. 43-45 ustawy z dnia 23 listopada 2002 r. o Sądzie Najwyższym”</w:t>
      </w:r>
      <w:r w:rsidR="00EE273E" w:rsidRPr="0039496A">
        <w:rPr>
          <w:rFonts w:ascii="Arial" w:hAnsi="Arial" w:cs="Arial"/>
        </w:rPr>
        <w:t>.</w:t>
      </w:r>
      <w:r w:rsidR="00C2320B" w:rsidRPr="0039496A">
        <w:rPr>
          <w:rFonts w:ascii="Arial" w:hAnsi="Arial" w:cs="Arial"/>
        </w:rPr>
        <w:t xml:space="preserve"> </w:t>
      </w:r>
      <w:r w:rsidR="00C2320B" w:rsidRPr="0039496A">
        <w:rPr>
          <w:rFonts w:ascii="Arial" w:hAnsi="Arial" w:cs="Arial"/>
          <w:sz w:val="24"/>
          <w:szCs w:val="24"/>
        </w:rPr>
        <w:t>Ograniczenie możliwości odpowiedniego stosowania przepisów ustawy o Sądzie Najwyższym do kilku jej przepisów spowodowało, że trudno jest jedynie w oparciu o zasady ogólne wynikające z przepisów prawa pracy i przepisów zabezpieczenia społecznego</w:t>
      </w:r>
      <w:r w:rsidR="00863554" w:rsidRPr="0039496A">
        <w:rPr>
          <w:rFonts w:ascii="Arial" w:hAnsi="Arial" w:cs="Arial"/>
          <w:sz w:val="24"/>
          <w:szCs w:val="24"/>
        </w:rPr>
        <w:t xml:space="preserve"> określić prawa członków rodziny sędziego </w:t>
      </w:r>
      <w:r w:rsidR="00863554" w:rsidRPr="0039496A">
        <w:rPr>
          <w:rFonts w:ascii="Arial" w:hAnsi="Arial" w:cs="Arial"/>
          <w:sz w:val="24"/>
          <w:szCs w:val="24"/>
        </w:rPr>
        <w:lastRenderedPageBreak/>
        <w:t>Trybunału Konstytucyjnego w zakresie zabezpieczenia społecznego. Przed dniem wejścia w życie ustawy o statusie sędziów Trybunału Konstytucyjnego zagadnienia te były przesądzone przez odpowiednie stosowanie przepisów ustawy o Sądzie Najwyższym, a następnie na podstawie ustawy o Sądzie Najwyższym przez</w:t>
      </w:r>
      <w:r w:rsidR="00A354C3" w:rsidRPr="0039496A">
        <w:rPr>
          <w:rFonts w:ascii="Arial" w:hAnsi="Arial" w:cs="Arial"/>
          <w:sz w:val="24"/>
          <w:szCs w:val="24"/>
        </w:rPr>
        <w:t xml:space="preserve"> stosowanie ustawy – Prawo o ustroju sądów powszechnych.</w:t>
      </w:r>
    </w:p>
    <w:p w:rsidR="00A354C3" w:rsidRPr="0039496A" w:rsidRDefault="00A354C3" w:rsidP="00C2320B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9496A">
        <w:rPr>
          <w:rFonts w:ascii="Arial" w:hAnsi="Arial" w:cs="Arial"/>
          <w:sz w:val="24"/>
          <w:szCs w:val="24"/>
        </w:rPr>
        <w:t xml:space="preserve">Skoro obecnie trudności przynosi właściwe podanie podstaw świadczeń z zabezpieczenia społecznego dla rodzin sędziów TK, w tym rodzin sędziów TK w stanie spoczynku, grupa posłów uznała za zasadne, by powrócić do dotychczasowej praktyki, że ogólnie w kwestiach nieuregulowanych w sprawie statusu sędziów Trybunału Konstytucyjnego stosuje się odpowiednio przepisy ustawy o Sądzie Najwyższym. Na organach stosujących prawo będzie spoczywać </w:t>
      </w:r>
      <w:r w:rsidR="005D3B2D" w:rsidRPr="0039496A">
        <w:rPr>
          <w:rFonts w:ascii="Arial" w:hAnsi="Arial" w:cs="Arial"/>
          <w:sz w:val="24"/>
          <w:szCs w:val="24"/>
        </w:rPr>
        <w:t>określenie, które przepisy ustawy o Sądzie Najwyższym będą miały zastosowanie.</w:t>
      </w:r>
    </w:p>
    <w:p w:rsidR="005D3B2D" w:rsidRPr="0039496A" w:rsidRDefault="005D3B2D" w:rsidP="005D3B2D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9496A">
        <w:rPr>
          <w:rFonts w:ascii="Arial" w:hAnsi="Arial" w:cs="Arial"/>
          <w:sz w:val="24"/>
          <w:szCs w:val="24"/>
        </w:rPr>
        <w:t xml:space="preserve">Wnioskodawca jest świadomy, że urząd sędziego konstytucyjnego ma wyraźne cechy odrębności, które zasługują na odrębną regulację. Wyrazem tego jest zmieniana ustawa o statusie sędziów Trybunału Konstytucyjnego. Mimo pewnych podobieństw do statusu sędziego w sądach powszechnych, administracyjnych oraz Sądzie Najwyższym, urząd sędziego Trybunału ma takie właściwości, że tylko w niewielkim zakresie, w tym spraw typowych dla realizacji praw pracowniczych w ramach stosunku służbowego nawiązywać do odpowiedniego stosowania przepisów ustawy o Sądzie Najwyższym. </w:t>
      </w:r>
    </w:p>
    <w:p w:rsidR="005D3B2D" w:rsidRPr="0039496A" w:rsidRDefault="005D3B2D" w:rsidP="00C2320B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9496A">
        <w:rPr>
          <w:rFonts w:ascii="Arial" w:hAnsi="Arial" w:cs="Arial"/>
          <w:sz w:val="24"/>
          <w:szCs w:val="24"/>
        </w:rPr>
        <w:t>Zatem wnioskodawca podkreśla, że zastosowana w zmienianym art. 19 ogólna formuła odpowiedniego stosowania przepisów ustawy o Sądzie Najwyższym będzie dotyczyła jedynie spraw nieuregulowanych w ustawie o statusie sędziów Trybunału Konstytucyjnego związanych z obowiązkami i prawami sędziów, w tym będzie ona dotyczyła stosunku służbowego np. urlopu wypoczynkowego, uprawnień socjalnych, dodatku do wynagrodzenia związanego ze stażem pracy, a także zabezpieczenia społecznego rodzin sędziów TK.</w:t>
      </w:r>
    </w:p>
    <w:p w:rsidR="00A354C3" w:rsidRPr="0039496A" w:rsidRDefault="00A354C3" w:rsidP="00C2320B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80C18" w:rsidRPr="0039496A" w:rsidRDefault="00240C8A" w:rsidP="00680C18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680C18" w:rsidRPr="0039496A">
        <w:rPr>
          <w:rFonts w:ascii="Arial" w:hAnsi="Arial" w:cs="Arial"/>
          <w:sz w:val="24"/>
          <w:szCs w:val="24"/>
        </w:rPr>
        <w:t xml:space="preserve">. By zapewnić spójność i ciągłość regulacji dotyczącej statusu rodzin zmarłego sędziego Trybunału Konstytucyjnego albo sędziego Trybunału Konstytucyjnego w stanie spoczynku projektodawca wprowadza przepisy, które mają obowiązywać z mocą od </w:t>
      </w:r>
      <w:r w:rsidR="0039496A">
        <w:rPr>
          <w:rFonts w:ascii="Arial" w:hAnsi="Arial" w:cs="Arial"/>
          <w:sz w:val="24"/>
          <w:szCs w:val="24"/>
        </w:rPr>
        <w:t xml:space="preserve">dnia </w:t>
      </w:r>
      <w:r w:rsidR="00680C18" w:rsidRPr="0039496A">
        <w:rPr>
          <w:rFonts w:ascii="Arial" w:hAnsi="Arial" w:cs="Arial"/>
          <w:sz w:val="24"/>
          <w:szCs w:val="24"/>
        </w:rPr>
        <w:t>wejścia w życie ustawy o statusie sędziów Trybunału Konstytucyjnego. Treść tych przepisów, wzorowana na art. 101 i art. 102 ustawy – Prawo o ustroju sądów powszechnych z 2001 r.</w:t>
      </w:r>
      <w:r w:rsidR="0039496A">
        <w:rPr>
          <w:rFonts w:ascii="Arial" w:hAnsi="Arial" w:cs="Arial"/>
          <w:sz w:val="24"/>
          <w:szCs w:val="24"/>
        </w:rPr>
        <w:t>,</w:t>
      </w:r>
      <w:r w:rsidR="00680C18" w:rsidRPr="0039496A">
        <w:rPr>
          <w:rFonts w:ascii="Arial" w:hAnsi="Arial" w:cs="Arial"/>
          <w:sz w:val="24"/>
          <w:szCs w:val="24"/>
        </w:rPr>
        <w:t xml:space="preserve"> ma być gwarancją, że rodzina zmarłego sędziego Trybunału nie pozostanie bez zabezpieczenia społecznego, które przysługuje innym podmiotom.</w:t>
      </w:r>
    </w:p>
    <w:p w:rsidR="00680C18" w:rsidRPr="0039496A" w:rsidRDefault="00680C18" w:rsidP="00680C18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D3B2D" w:rsidRPr="0039496A" w:rsidRDefault="00240C8A" w:rsidP="00C2320B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</w:t>
      </w:r>
      <w:r w:rsidR="005D3B2D" w:rsidRPr="0039496A">
        <w:rPr>
          <w:rFonts w:ascii="Arial" w:hAnsi="Arial" w:cs="Arial"/>
          <w:sz w:val="24"/>
          <w:szCs w:val="24"/>
        </w:rPr>
        <w:t>. Konsekwencją wprowadzonych zmian będzie większa przejrzystość regulacji dotyczącej statusu sędziów TK zarówno, jeśli chodzi o wymogi stawiane kandydatom na stanowisko sędziego, jak i o prawa i obowiązki, które przysługują sędziom TK w związku ze stosunkiem służbowym. Nade wszystko zostanie wyraźnie zapewnione określone zabezpieczenie społeczne członkom rodzin sędziów Trybunału Konstytucyjnego, co stanowi realizację zasad konstytucyjnych.</w:t>
      </w:r>
    </w:p>
    <w:p w:rsidR="005D3B2D" w:rsidRPr="0039496A" w:rsidRDefault="005D3B2D" w:rsidP="00C2320B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C09E9" w:rsidRDefault="00240C8A" w:rsidP="005D3B2D">
      <w:pPr>
        <w:spacing w:before="120" w:after="12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VII</w:t>
      </w:r>
      <w:r w:rsidR="005D3B2D" w:rsidRPr="0039496A">
        <w:rPr>
          <w:rFonts w:ascii="Arial" w:hAnsi="Arial" w:cs="Arial"/>
          <w:sz w:val="24"/>
          <w:szCs w:val="24"/>
        </w:rPr>
        <w:t>.</w:t>
      </w:r>
      <w:r w:rsidR="005C09E9">
        <w:rPr>
          <w:rFonts w:ascii="Arial" w:hAnsi="Arial" w:cs="Arial"/>
          <w:sz w:val="24"/>
          <w:szCs w:val="24"/>
        </w:rPr>
        <w:t xml:space="preserve"> Projekt wywołuje pozytywne skutki </w:t>
      </w:r>
      <w:r w:rsidR="005C09E9" w:rsidRPr="005C09E9">
        <w:rPr>
          <w:rFonts w:ascii="Arial" w:hAnsi="Arial" w:cs="Arial"/>
          <w:sz w:val="24"/>
          <w:szCs w:val="24"/>
        </w:rPr>
        <w:t>społeczne, gospodarcze, finansowe i prawne</w:t>
      </w:r>
      <w:r w:rsidR="005C09E9">
        <w:rPr>
          <w:rFonts w:ascii="Arial" w:hAnsi="Arial" w:cs="Arial"/>
          <w:sz w:val="24"/>
          <w:szCs w:val="24"/>
        </w:rPr>
        <w:t>.</w:t>
      </w:r>
    </w:p>
    <w:p w:rsidR="0043714E" w:rsidRPr="0039496A" w:rsidRDefault="005C09E9" w:rsidP="005D3B2D">
      <w:pPr>
        <w:spacing w:before="120" w:after="120" w:line="240" w:lineRule="auto"/>
        <w:ind w:firstLine="567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VIII.</w:t>
      </w:r>
      <w:r w:rsidR="005D3B2D" w:rsidRPr="0039496A">
        <w:rPr>
          <w:rFonts w:ascii="Arial" w:hAnsi="Arial" w:cs="Arial"/>
          <w:sz w:val="24"/>
          <w:szCs w:val="24"/>
        </w:rPr>
        <w:t xml:space="preserve"> </w:t>
      </w:r>
      <w:r w:rsidR="0043714E" w:rsidRPr="0039496A">
        <w:rPr>
          <w:rFonts w:ascii="Arial" w:hAnsi="Arial" w:cs="Arial"/>
          <w:sz w:val="24"/>
          <w:szCs w:val="24"/>
        </w:rPr>
        <w:t>Przedmiot projektowanej ustawy nie jest objęty prawem Unii Europejskiej.</w:t>
      </w:r>
    </w:p>
    <w:sectPr w:rsidR="0043714E" w:rsidRPr="0039496A" w:rsidSect="000D75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B44C6"/>
    <w:multiLevelType w:val="hybridMultilevel"/>
    <w:tmpl w:val="C220D7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0F2"/>
    <w:rsid w:val="000A159E"/>
    <w:rsid w:val="000D7548"/>
    <w:rsid w:val="00193F09"/>
    <w:rsid w:val="00240C8A"/>
    <w:rsid w:val="002550F2"/>
    <w:rsid w:val="002922AB"/>
    <w:rsid w:val="002A16E4"/>
    <w:rsid w:val="0039496A"/>
    <w:rsid w:val="0043714E"/>
    <w:rsid w:val="00546291"/>
    <w:rsid w:val="005C09E9"/>
    <w:rsid w:val="005D3B2D"/>
    <w:rsid w:val="00680C18"/>
    <w:rsid w:val="006F28C2"/>
    <w:rsid w:val="00863554"/>
    <w:rsid w:val="00866DE6"/>
    <w:rsid w:val="00A354C3"/>
    <w:rsid w:val="00AC5EC8"/>
    <w:rsid w:val="00B454C6"/>
    <w:rsid w:val="00C2320B"/>
    <w:rsid w:val="00C66E8C"/>
    <w:rsid w:val="00D40AEE"/>
    <w:rsid w:val="00D56913"/>
    <w:rsid w:val="00DF7489"/>
    <w:rsid w:val="00E62006"/>
    <w:rsid w:val="00EE273E"/>
    <w:rsid w:val="00F2685E"/>
    <w:rsid w:val="00F70C15"/>
    <w:rsid w:val="00F9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75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50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75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5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1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1363</Words>
  <Characters>8179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dcterms:created xsi:type="dcterms:W3CDTF">2017-07-18T08:49:00Z</dcterms:created>
  <dcterms:modified xsi:type="dcterms:W3CDTF">2017-07-18T08:49:00Z</dcterms:modified>
</cp:coreProperties>
</file>