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496D22" w14:textId="77777777" w:rsidR="0009624C" w:rsidRPr="00EF3C15" w:rsidRDefault="0009624C" w:rsidP="00EF3C15">
      <w:pPr>
        <w:spacing w:line="360" w:lineRule="auto"/>
        <w:jc w:val="right"/>
        <w:rPr>
          <w:rFonts w:ascii="Times New Roman" w:hAnsi="Times New Roman" w:cs="Times New Roman"/>
          <w:i/>
          <w:sz w:val="24"/>
          <w:szCs w:val="24"/>
        </w:rPr>
      </w:pPr>
      <w:bookmarkStart w:id="0" w:name="_GoBack"/>
      <w:bookmarkEnd w:id="0"/>
      <w:r w:rsidRPr="00EF3C15">
        <w:rPr>
          <w:rFonts w:ascii="Times New Roman" w:hAnsi="Times New Roman" w:cs="Times New Roman"/>
          <w:i/>
          <w:sz w:val="24"/>
          <w:szCs w:val="24"/>
        </w:rPr>
        <w:t>projekt</w:t>
      </w:r>
    </w:p>
    <w:p w14:paraId="45EC78E8" w14:textId="77777777" w:rsidR="0009624C" w:rsidRPr="00EF3C15" w:rsidRDefault="0009624C" w:rsidP="00EF3C15">
      <w:pPr>
        <w:spacing w:line="360" w:lineRule="auto"/>
        <w:jc w:val="center"/>
        <w:rPr>
          <w:rFonts w:ascii="Times New Roman" w:hAnsi="Times New Roman" w:cs="Times New Roman"/>
          <w:b/>
          <w:sz w:val="24"/>
          <w:szCs w:val="24"/>
        </w:rPr>
      </w:pPr>
      <w:r w:rsidRPr="00EF3C15">
        <w:rPr>
          <w:rFonts w:ascii="Times New Roman" w:hAnsi="Times New Roman" w:cs="Times New Roman"/>
          <w:b/>
          <w:sz w:val="24"/>
          <w:szCs w:val="24"/>
        </w:rPr>
        <w:t>U S T A W A</w:t>
      </w:r>
    </w:p>
    <w:p w14:paraId="1BE74808" w14:textId="77777777" w:rsidR="0009624C" w:rsidRPr="00EF3C15" w:rsidRDefault="0009624C" w:rsidP="00EF3C15">
      <w:pPr>
        <w:spacing w:line="360" w:lineRule="auto"/>
        <w:jc w:val="center"/>
        <w:rPr>
          <w:rFonts w:ascii="Times New Roman" w:hAnsi="Times New Roman" w:cs="Times New Roman"/>
          <w:sz w:val="24"/>
          <w:szCs w:val="24"/>
        </w:rPr>
      </w:pPr>
      <w:r w:rsidRPr="00EF3C15">
        <w:rPr>
          <w:rFonts w:ascii="Times New Roman" w:hAnsi="Times New Roman" w:cs="Times New Roman"/>
          <w:sz w:val="24"/>
          <w:szCs w:val="24"/>
        </w:rPr>
        <w:t>z dnia ……..</w:t>
      </w:r>
    </w:p>
    <w:p w14:paraId="12C31607" w14:textId="77777777" w:rsidR="004D1E24" w:rsidRPr="00EF3C15" w:rsidRDefault="004D1E24" w:rsidP="00EF3C15">
      <w:pPr>
        <w:spacing w:after="0" w:line="360" w:lineRule="auto"/>
        <w:ind w:firstLine="708"/>
        <w:jc w:val="center"/>
        <w:rPr>
          <w:rFonts w:ascii="Times New Roman" w:hAnsi="Times New Roman" w:cs="Times New Roman"/>
          <w:b/>
          <w:sz w:val="24"/>
          <w:szCs w:val="24"/>
        </w:rPr>
      </w:pPr>
      <w:r w:rsidRPr="00EF3C15">
        <w:rPr>
          <w:rFonts w:ascii="Times New Roman" w:hAnsi="Times New Roman" w:cs="Times New Roman"/>
          <w:b/>
          <w:sz w:val="24"/>
          <w:szCs w:val="24"/>
        </w:rPr>
        <w:t>o zmianie ustawy</w:t>
      </w:r>
      <w:r w:rsidR="0009624C" w:rsidRPr="00EF3C15">
        <w:rPr>
          <w:rFonts w:ascii="Times New Roman" w:hAnsi="Times New Roman" w:cs="Times New Roman"/>
          <w:b/>
          <w:sz w:val="24"/>
          <w:szCs w:val="24"/>
        </w:rPr>
        <w:t xml:space="preserve"> - </w:t>
      </w:r>
      <w:r w:rsidRPr="00EF3C15">
        <w:rPr>
          <w:rFonts w:ascii="Times New Roman" w:hAnsi="Times New Roman" w:cs="Times New Roman"/>
          <w:b/>
          <w:sz w:val="24"/>
          <w:szCs w:val="24"/>
        </w:rPr>
        <w:t>Ordynacja podatkowa</w:t>
      </w:r>
    </w:p>
    <w:p w14:paraId="6130CA15" w14:textId="77777777" w:rsidR="00EF3C15" w:rsidRDefault="00EF3C15" w:rsidP="00EF3C1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b/>
      </w:r>
    </w:p>
    <w:p w14:paraId="27C562AB" w14:textId="77777777" w:rsidR="0009624C" w:rsidRPr="00EF3C15" w:rsidRDefault="00EF3C15" w:rsidP="00EF3C1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09624C" w:rsidRPr="00EF3C15">
        <w:rPr>
          <w:rFonts w:ascii="Times New Roman" w:hAnsi="Times New Roman" w:cs="Times New Roman"/>
          <w:b/>
          <w:bCs/>
          <w:sz w:val="24"/>
          <w:szCs w:val="24"/>
        </w:rPr>
        <w:t>Art. 1.</w:t>
      </w:r>
      <w:r w:rsidR="0009624C" w:rsidRPr="00EF3C15">
        <w:rPr>
          <w:rFonts w:ascii="Times New Roman" w:hAnsi="Times New Roman" w:cs="Times New Roman"/>
          <w:sz w:val="24"/>
          <w:szCs w:val="24"/>
        </w:rPr>
        <w:t xml:space="preserve"> W ustawie z dnia 29 sierpnia 1997 r. – Ordynacja podatkowa (Dz.U. z 2015 r. poz. 613 ze zm.</w:t>
      </w:r>
      <w:r w:rsidR="0009624C" w:rsidRPr="00EF3C15">
        <w:rPr>
          <w:rFonts w:ascii="Times New Roman" w:hAnsi="Times New Roman" w:cs="Times New Roman"/>
          <w:sz w:val="24"/>
          <w:szCs w:val="24"/>
          <w:vertAlign w:val="superscript"/>
        </w:rPr>
        <w:footnoteReference w:id="1"/>
      </w:r>
      <w:r w:rsidR="0009624C" w:rsidRPr="00EF3C15">
        <w:rPr>
          <w:rFonts w:ascii="Times New Roman" w:hAnsi="Times New Roman" w:cs="Times New Roman"/>
          <w:sz w:val="24"/>
          <w:szCs w:val="24"/>
        </w:rPr>
        <w:t>) wprowadza się następujące zmiany:</w:t>
      </w:r>
    </w:p>
    <w:p w14:paraId="5A670832" w14:textId="77777777" w:rsidR="0009624C" w:rsidRPr="00EF3C15" w:rsidRDefault="0009624C" w:rsidP="00EF3C15">
      <w:pPr>
        <w:pStyle w:val="Akapitzlist"/>
        <w:numPr>
          <w:ilvl w:val="0"/>
          <w:numId w:val="5"/>
        </w:numPr>
        <w:spacing w:after="0" w:line="360" w:lineRule="auto"/>
        <w:jc w:val="both"/>
        <w:rPr>
          <w:rFonts w:ascii="Times New Roman" w:hAnsi="Times New Roman" w:cs="Times New Roman"/>
          <w:sz w:val="24"/>
          <w:szCs w:val="24"/>
        </w:rPr>
      </w:pPr>
      <w:r w:rsidRPr="00EF3C15">
        <w:rPr>
          <w:rFonts w:ascii="Times New Roman" w:hAnsi="Times New Roman" w:cs="Times New Roman"/>
          <w:sz w:val="24"/>
          <w:szCs w:val="24"/>
        </w:rPr>
        <w:t>w a</w:t>
      </w:r>
      <w:r w:rsidR="00F10494" w:rsidRPr="00EF3C15">
        <w:rPr>
          <w:rFonts w:ascii="Times New Roman" w:hAnsi="Times New Roman" w:cs="Times New Roman"/>
          <w:sz w:val="24"/>
          <w:szCs w:val="24"/>
        </w:rPr>
        <w:t xml:space="preserve">rt. </w:t>
      </w:r>
      <w:r w:rsidR="004D1E24" w:rsidRPr="00EF3C15">
        <w:rPr>
          <w:rFonts w:ascii="Times New Roman" w:hAnsi="Times New Roman" w:cs="Times New Roman"/>
          <w:sz w:val="24"/>
          <w:szCs w:val="24"/>
        </w:rPr>
        <w:t>77</w:t>
      </w:r>
      <w:r w:rsidRPr="00EF3C15">
        <w:rPr>
          <w:rFonts w:ascii="Times New Roman" w:hAnsi="Times New Roman" w:cs="Times New Roman"/>
          <w:sz w:val="24"/>
          <w:szCs w:val="24"/>
        </w:rPr>
        <w:t>:</w:t>
      </w:r>
    </w:p>
    <w:p w14:paraId="3DB24A58" w14:textId="77777777" w:rsidR="00F10494" w:rsidRPr="00EF3C15" w:rsidRDefault="0009624C" w:rsidP="00EF3C15">
      <w:pPr>
        <w:pStyle w:val="Akapitzlist"/>
        <w:numPr>
          <w:ilvl w:val="0"/>
          <w:numId w:val="6"/>
        </w:numPr>
        <w:spacing w:after="0" w:line="360" w:lineRule="auto"/>
        <w:jc w:val="both"/>
        <w:rPr>
          <w:rFonts w:ascii="Times New Roman" w:hAnsi="Times New Roman" w:cs="Times New Roman"/>
          <w:sz w:val="24"/>
          <w:szCs w:val="24"/>
        </w:rPr>
      </w:pPr>
      <w:r w:rsidRPr="00EF3C15">
        <w:rPr>
          <w:rFonts w:ascii="Times New Roman" w:hAnsi="Times New Roman" w:cs="Times New Roman"/>
          <w:sz w:val="24"/>
          <w:szCs w:val="24"/>
        </w:rPr>
        <w:t>§ 1 pkt</w:t>
      </w:r>
      <w:r w:rsidR="00F10494" w:rsidRPr="00EF3C15">
        <w:rPr>
          <w:rFonts w:ascii="Times New Roman" w:hAnsi="Times New Roman" w:cs="Times New Roman"/>
          <w:sz w:val="24"/>
          <w:szCs w:val="24"/>
        </w:rPr>
        <w:t xml:space="preserve"> </w:t>
      </w:r>
      <w:r w:rsidR="004D1E24" w:rsidRPr="00EF3C15">
        <w:rPr>
          <w:rFonts w:ascii="Times New Roman" w:hAnsi="Times New Roman" w:cs="Times New Roman"/>
          <w:sz w:val="24"/>
          <w:szCs w:val="24"/>
        </w:rPr>
        <w:t>5 otrzymuje brz</w:t>
      </w:r>
      <w:r w:rsidR="00F10494" w:rsidRPr="00EF3C15">
        <w:rPr>
          <w:rFonts w:ascii="Times New Roman" w:hAnsi="Times New Roman" w:cs="Times New Roman"/>
          <w:sz w:val="24"/>
          <w:szCs w:val="24"/>
        </w:rPr>
        <w:t>mienie</w:t>
      </w:r>
      <w:r w:rsidR="004D1E24" w:rsidRPr="00EF3C15">
        <w:rPr>
          <w:rFonts w:ascii="Times New Roman" w:hAnsi="Times New Roman" w:cs="Times New Roman"/>
          <w:sz w:val="24"/>
          <w:szCs w:val="24"/>
        </w:rPr>
        <w:t xml:space="preserve">: </w:t>
      </w:r>
    </w:p>
    <w:p w14:paraId="7BDAE62F" w14:textId="77777777" w:rsidR="0009624C" w:rsidRPr="00EF3C15" w:rsidRDefault="004D1E24" w:rsidP="00EF3C15">
      <w:pPr>
        <w:spacing w:after="0" w:line="360" w:lineRule="auto"/>
        <w:ind w:firstLine="708"/>
        <w:jc w:val="both"/>
        <w:rPr>
          <w:rFonts w:ascii="Times New Roman" w:hAnsi="Times New Roman" w:cs="Times New Roman"/>
          <w:sz w:val="24"/>
          <w:szCs w:val="24"/>
        </w:rPr>
      </w:pPr>
      <w:r w:rsidRPr="00EF3C15">
        <w:rPr>
          <w:rFonts w:ascii="Times New Roman" w:hAnsi="Times New Roman" w:cs="Times New Roman"/>
          <w:sz w:val="24"/>
          <w:szCs w:val="24"/>
        </w:rPr>
        <w:t>"</w:t>
      </w:r>
      <w:r w:rsidR="0009624C" w:rsidRPr="00EF3C15">
        <w:rPr>
          <w:rFonts w:ascii="Times New Roman" w:hAnsi="Times New Roman" w:cs="Times New Roman"/>
          <w:sz w:val="24"/>
          <w:szCs w:val="24"/>
        </w:rPr>
        <w:t xml:space="preserve">5) </w:t>
      </w:r>
      <w:r w:rsidR="00F10494" w:rsidRPr="00EF3C15">
        <w:rPr>
          <w:rFonts w:ascii="Times New Roman" w:hAnsi="Times New Roman" w:cs="Times New Roman"/>
          <w:sz w:val="24"/>
          <w:szCs w:val="24"/>
        </w:rPr>
        <w:t xml:space="preserve">30 dni od dnia złożenia </w:t>
      </w:r>
      <w:r w:rsidRPr="00EF3C15">
        <w:rPr>
          <w:rFonts w:ascii="Times New Roman" w:hAnsi="Times New Roman" w:cs="Times New Roman"/>
          <w:sz w:val="24"/>
          <w:szCs w:val="24"/>
        </w:rPr>
        <w:t>zeznania</w:t>
      </w:r>
      <w:r w:rsidR="00F10494" w:rsidRPr="00EF3C15">
        <w:rPr>
          <w:rFonts w:ascii="Times New Roman" w:hAnsi="Times New Roman" w:cs="Times New Roman"/>
          <w:sz w:val="24"/>
          <w:szCs w:val="24"/>
        </w:rPr>
        <w:t xml:space="preserve"> </w:t>
      </w:r>
      <w:r w:rsidRPr="00EF3C15">
        <w:rPr>
          <w:rFonts w:ascii="Times New Roman" w:hAnsi="Times New Roman" w:cs="Times New Roman"/>
          <w:sz w:val="24"/>
          <w:szCs w:val="24"/>
        </w:rPr>
        <w:t>lub deklaracji , o których mowa w art. 73</w:t>
      </w:r>
      <w:r w:rsidR="00F10494" w:rsidRPr="00EF3C15">
        <w:rPr>
          <w:rFonts w:ascii="Times New Roman" w:hAnsi="Times New Roman" w:cs="Times New Roman"/>
          <w:sz w:val="24"/>
          <w:szCs w:val="24"/>
        </w:rPr>
        <w:t xml:space="preserve"> § </w:t>
      </w:r>
      <w:r w:rsidRPr="00EF3C15">
        <w:rPr>
          <w:rFonts w:ascii="Times New Roman" w:hAnsi="Times New Roman" w:cs="Times New Roman"/>
          <w:sz w:val="24"/>
          <w:szCs w:val="24"/>
        </w:rPr>
        <w:t>2 p</w:t>
      </w:r>
      <w:r w:rsidR="0009624C" w:rsidRPr="00EF3C15">
        <w:rPr>
          <w:rFonts w:ascii="Times New Roman" w:hAnsi="Times New Roman" w:cs="Times New Roman"/>
          <w:sz w:val="24"/>
          <w:szCs w:val="24"/>
        </w:rPr>
        <w:t xml:space="preserve">kt. 1-3 , z </w:t>
      </w:r>
      <w:r w:rsidR="00F10494" w:rsidRPr="00EF3C15">
        <w:rPr>
          <w:rFonts w:ascii="Times New Roman" w:hAnsi="Times New Roman" w:cs="Times New Roman"/>
          <w:sz w:val="24"/>
          <w:szCs w:val="24"/>
        </w:rPr>
        <w:t>zastrzeżeniem § 2</w:t>
      </w:r>
      <w:r w:rsidR="00ED042E">
        <w:rPr>
          <w:rFonts w:ascii="Times New Roman" w:hAnsi="Times New Roman" w:cs="Times New Roman"/>
          <w:sz w:val="24"/>
          <w:szCs w:val="24"/>
        </w:rPr>
        <w:t>;</w:t>
      </w:r>
      <w:r w:rsidRPr="00EF3C15">
        <w:rPr>
          <w:rFonts w:ascii="Times New Roman" w:hAnsi="Times New Roman" w:cs="Times New Roman"/>
          <w:sz w:val="24"/>
          <w:szCs w:val="24"/>
        </w:rPr>
        <w:t>"</w:t>
      </w:r>
      <w:r w:rsidR="0009624C" w:rsidRPr="00EF3C15">
        <w:rPr>
          <w:rFonts w:ascii="Times New Roman" w:hAnsi="Times New Roman" w:cs="Times New Roman"/>
          <w:sz w:val="24"/>
          <w:szCs w:val="24"/>
        </w:rPr>
        <w:t>,</w:t>
      </w:r>
    </w:p>
    <w:p w14:paraId="17BD9F93" w14:textId="77777777" w:rsidR="00F10494" w:rsidRPr="00EF3C15" w:rsidRDefault="004D1E24" w:rsidP="00EF3C15">
      <w:pPr>
        <w:spacing w:after="0" w:line="360" w:lineRule="auto"/>
        <w:ind w:firstLine="708"/>
        <w:jc w:val="both"/>
        <w:rPr>
          <w:rFonts w:ascii="Times New Roman" w:hAnsi="Times New Roman" w:cs="Times New Roman"/>
          <w:sz w:val="24"/>
          <w:szCs w:val="24"/>
        </w:rPr>
      </w:pPr>
      <w:r w:rsidRPr="00EF3C15">
        <w:rPr>
          <w:rFonts w:ascii="Times New Roman" w:hAnsi="Times New Roman" w:cs="Times New Roman"/>
          <w:sz w:val="24"/>
          <w:szCs w:val="24"/>
        </w:rPr>
        <w:t> </w:t>
      </w:r>
    </w:p>
    <w:p w14:paraId="609F7FAD" w14:textId="77777777" w:rsidR="00F10494" w:rsidRPr="00EF3C15" w:rsidRDefault="00F10494" w:rsidP="00EF3C15">
      <w:pPr>
        <w:pStyle w:val="Akapitzlist"/>
        <w:numPr>
          <w:ilvl w:val="0"/>
          <w:numId w:val="6"/>
        </w:numPr>
        <w:spacing w:after="0" w:line="360" w:lineRule="auto"/>
        <w:jc w:val="both"/>
        <w:rPr>
          <w:rFonts w:ascii="Times New Roman" w:hAnsi="Times New Roman" w:cs="Times New Roman"/>
          <w:sz w:val="24"/>
          <w:szCs w:val="24"/>
        </w:rPr>
      </w:pPr>
      <w:r w:rsidRPr="00EF3C15">
        <w:rPr>
          <w:rFonts w:ascii="Times New Roman" w:hAnsi="Times New Roman" w:cs="Times New Roman"/>
          <w:sz w:val="24"/>
          <w:szCs w:val="24"/>
        </w:rPr>
        <w:t>§ 2</w:t>
      </w:r>
      <w:r w:rsidR="004D1E24" w:rsidRPr="00EF3C15">
        <w:rPr>
          <w:rFonts w:ascii="Times New Roman" w:hAnsi="Times New Roman" w:cs="Times New Roman"/>
          <w:sz w:val="24"/>
          <w:szCs w:val="24"/>
        </w:rPr>
        <w:t>  otrzymuje brzmienie :</w:t>
      </w:r>
    </w:p>
    <w:p w14:paraId="61F1EF4E" w14:textId="77777777" w:rsidR="00F10494" w:rsidRPr="00EF3C15" w:rsidRDefault="00F10494" w:rsidP="00EF3C15">
      <w:pPr>
        <w:spacing w:after="0" w:line="360" w:lineRule="auto"/>
        <w:ind w:firstLine="708"/>
        <w:jc w:val="both"/>
        <w:rPr>
          <w:rFonts w:ascii="Times New Roman" w:hAnsi="Times New Roman" w:cs="Times New Roman"/>
          <w:sz w:val="24"/>
          <w:szCs w:val="24"/>
        </w:rPr>
      </w:pPr>
      <w:r w:rsidRPr="00EF3C15">
        <w:rPr>
          <w:rFonts w:ascii="Times New Roman" w:hAnsi="Times New Roman" w:cs="Times New Roman"/>
          <w:sz w:val="24"/>
          <w:szCs w:val="24"/>
        </w:rPr>
        <w:t>„</w:t>
      </w:r>
      <w:r w:rsidR="004D1E24" w:rsidRPr="00EF3C15">
        <w:rPr>
          <w:rFonts w:ascii="Times New Roman" w:hAnsi="Times New Roman" w:cs="Times New Roman"/>
          <w:sz w:val="24"/>
          <w:szCs w:val="24"/>
        </w:rPr>
        <w:t>W przypadku skorygowania deklaracji :</w:t>
      </w:r>
    </w:p>
    <w:p w14:paraId="19766CEA" w14:textId="77777777" w:rsidR="00F10494" w:rsidRPr="00EF3C15" w:rsidRDefault="004D1E24" w:rsidP="00EF3C15">
      <w:pPr>
        <w:pStyle w:val="Akapitzlist"/>
        <w:numPr>
          <w:ilvl w:val="0"/>
          <w:numId w:val="4"/>
        </w:numPr>
        <w:spacing w:after="0" w:line="360" w:lineRule="auto"/>
        <w:jc w:val="both"/>
        <w:rPr>
          <w:rFonts w:ascii="Times New Roman" w:hAnsi="Times New Roman" w:cs="Times New Roman"/>
          <w:sz w:val="24"/>
          <w:szCs w:val="24"/>
        </w:rPr>
      </w:pPr>
      <w:r w:rsidRPr="00EF3C15">
        <w:rPr>
          <w:rFonts w:ascii="Times New Roman" w:hAnsi="Times New Roman" w:cs="Times New Roman"/>
          <w:sz w:val="24"/>
          <w:szCs w:val="24"/>
        </w:rPr>
        <w:t>w</w:t>
      </w:r>
      <w:r w:rsidR="00F10494" w:rsidRPr="00EF3C15">
        <w:rPr>
          <w:rFonts w:ascii="Times New Roman" w:hAnsi="Times New Roman" w:cs="Times New Roman"/>
          <w:sz w:val="24"/>
          <w:szCs w:val="24"/>
        </w:rPr>
        <w:t xml:space="preserve"> </w:t>
      </w:r>
      <w:r w:rsidRPr="00EF3C15">
        <w:rPr>
          <w:rFonts w:ascii="Times New Roman" w:hAnsi="Times New Roman" w:cs="Times New Roman"/>
          <w:sz w:val="24"/>
          <w:szCs w:val="24"/>
        </w:rPr>
        <w:t>trybie określonym  w art. 274</w:t>
      </w:r>
      <w:r w:rsidR="00F10494" w:rsidRPr="00EF3C15">
        <w:rPr>
          <w:rFonts w:ascii="Times New Roman" w:hAnsi="Times New Roman" w:cs="Times New Roman"/>
          <w:sz w:val="24"/>
          <w:szCs w:val="24"/>
        </w:rPr>
        <w:t xml:space="preserve"> §</w:t>
      </w:r>
      <w:r w:rsidRPr="00EF3C15">
        <w:rPr>
          <w:rFonts w:ascii="Times New Roman" w:hAnsi="Times New Roman" w:cs="Times New Roman"/>
          <w:sz w:val="24"/>
          <w:szCs w:val="24"/>
        </w:rPr>
        <w:t xml:space="preserve"> 1 pkt 1 - nadpłata podlega zwrotowi w</w:t>
      </w:r>
      <w:r w:rsidRPr="00EF3C15">
        <w:rPr>
          <w:rFonts w:ascii="Times New Roman" w:hAnsi="Times New Roman" w:cs="Times New Roman"/>
          <w:sz w:val="24"/>
          <w:szCs w:val="24"/>
        </w:rPr>
        <w:br/>
        <w:t>terminie 30 d</w:t>
      </w:r>
      <w:r w:rsidR="00F10494" w:rsidRPr="00EF3C15">
        <w:rPr>
          <w:rFonts w:ascii="Times New Roman" w:hAnsi="Times New Roman" w:cs="Times New Roman"/>
          <w:sz w:val="24"/>
          <w:szCs w:val="24"/>
        </w:rPr>
        <w:t>ni od dnia wniesienia sprzeciwu</w:t>
      </w:r>
      <w:r w:rsidR="00ED042E">
        <w:rPr>
          <w:rFonts w:ascii="Times New Roman" w:hAnsi="Times New Roman" w:cs="Times New Roman"/>
          <w:sz w:val="24"/>
          <w:szCs w:val="24"/>
        </w:rPr>
        <w:t>;</w:t>
      </w:r>
    </w:p>
    <w:p w14:paraId="6F3CFDDC" w14:textId="77777777" w:rsidR="00F10494" w:rsidRPr="00EF3C15" w:rsidRDefault="004D1E24" w:rsidP="00EF3C15">
      <w:pPr>
        <w:pStyle w:val="Akapitzlist"/>
        <w:numPr>
          <w:ilvl w:val="0"/>
          <w:numId w:val="4"/>
        </w:numPr>
        <w:spacing w:after="0" w:line="360" w:lineRule="auto"/>
        <w:jc w:val="both"/>
        <w:rPr>
          <w:rFonts w:ascii="Times New Roman" w:hAnsi="Times New Roman" w:cs="Times New Roman"/>
          <w:sz w:val="24"/>
          <w:szCs w:val="24"/>
        </w:rPr>
      </w:pPr>
      <w:r w:rsidRPr="00EF3C15">
        <w:rPr>
          <w:rFonts w:ascii="Times New Roman" w:hAnsi="Times New Roman" w:cs="Times New Roman"/>
          <w:sz w:val="24"/>
          <w:szCs w:val="24"/>
        </w:rPr>
        <w:t xml:space="preserve">przez podatnika - nadpłata podlega zwrotowi w </w:t>
      </w:r>
      <w:r w:rsidR="00F10494" w:rsidRPr="00EF3C15">
        <w:rPr>
          <w:rFonts w:ascii="Times New Roman" w:hAnsi="Times New Roman" w:cs="Times New Roman"/>
          <w:sz w:val="24"/>
          <w:szCs w:val="24"/>
        </w:rPr>
        <w:t xml:space="preserve"> t</w:t>
      </w:r>
      <w:r w:rsidRPr="00EF3C15">
        <w:rPr>
          <w:rFonts w:ascii="Times New Roman" w:hAnsi="Times New Roman" w:cs="Times New Roman"/>
          <w:sz w:val="24"/>
          <w:szCs w:val="24"/>
        </w:rPr>
        <w:t>erminie 30 dni od dnia</w:t>
      </w:r>
      <w:r w:rsidR="00F10494" w:rsidRPr="00EF3C15">
        <w:rPr>
          <w:rFonts w:ascii="Times New Roman" w:hAnsi="Times New Roman" w:cs="Times New Roman"/>
          <w:sz w:val="24"/>
          <w:szCs w:val="24"/>
        </w:rPr>
        <w:t xml:space="preserve"> jej skorygowania. " </w:t>
      </w:r>
    </w:p>
    <w:p w14:paraId="11E3CB40" w14:textId="77777777" w:rsidR="00ED042E" w:rsidRDefault="00ED042E" w:rsidP="00EF3C15">
      <w:pPr>
        <w:spacing w:after="0" w:line="360" w:lineRule="auto"/>
        <w:jc w:val="both"/>
        <w:rPr>
          <w:rFonts w:ascii="Times New Roman" w:hAnsi="Times New Roman" w:cs="Times New Roman"/>
          <w:b/>
          <w:sz w:val="24"/>
          <w:szCs w:val="24"/>
        </w:rPr>
      </w:pPr>
    </w:p>
    <w:p w14:paraId="6AF90022" w14:textId="77777777" w:rsidR="00F10494" w:rsidRPr="00EF3C15" w:rsidRDefault="004D1E24" w:rsidP="00ED042E">
      <w:pPr>
        <w:spacing w:after="0" w:line="360" w:lineRule="auto"/>
        <w:ind w:firstLine="708"/>
        <w:jc w:val="both"/>
        <w:rPr>
          <w:rFonts w:ascii="Times New Roman" w:hAnsi="Times New Roman" w:cs="Times New Roman"/>
          <w:sz w:val="24"/>
          <w:szCs w:val="24"/>
        </w:rPr>
      </w:pPr>
      <w:r w:rsidRPr="00EF3C15">
        <w:rPr>
          <w:rFonts w:ascii="Times New Roman" w:hAnsi="Times New Roman" w:cs="Times New Roman"/>
          <w:b/>
          <w:sz w:val="24"/>
          <w:szCs w:val="24"/>
        </w:rPr>
        <w:t>Art.2</w:t>
      </w:r>
      <w:r w:rsidRPr="00EF3C15">
        <w:rPr>
          <w:rFonts w:ascii="Times New Roman" w:hAnsi="Times New Roman" w:cs="Times New Roman"/>
          <w:sz w:val="24"/>
          <w:szCs w:val="24"/>
        </w:rPr>
        <w:t>   Do spraw w toku</w:t>
      </w:r>
      <w:r w:rsidR="00ED042E">
        <w:rPr>
          <w:rFonts w:ascii="Times New Roman" w:hAnsi="Times New Roman" w:cs="Times New Roman"/>
          <w:sz w:val="24"/>
          <w:szCs w:val="24"/>
        </w:rPr>
        <w:t>,</w:t>
      </w:r>
      <w:r w:rsidRPr="00EF3C15">
        <w:rPr>
          <w:rFonts w:ascii="Times New Roman" w:hAnsi="Times New Roman" w:cs="Times New Roman"/>
          <w:sz w:val="24"/>
          <w:szCs w:val="24"/>
        </w:rPr>
        <w:t xml:space="preserve"> do</w:t>
      </w:r>
      <w:r w:rsidR="00F10494" w:rsidRPr="00EF3C15">
        <w:rPr>
          <w:rFonts w:ascii="Times New Roman" w:hAnsi="Times New Roman" w:cs="Times New Roman"/>
          <w:sz w:val="24"/>
          <w:szCs w:val="24"/>
        </w:rPr>
        <w:t xml:space="preserve"> </w:t>
      </w:r>
      <w:r w:rsidR="00ED042E">
        <w:rPr>
          <w:rFonts w:ascii="Times New Roman" w:hAnsi="Times New Roman" w:cs="Times New Roman"/>
          <w:sz w:val="24"/>
          <w:szCs w:val="24"/>
        </w:rPr>
        <w:t>których</w:t>
      </w:r>
      <w:r w:rsidRPr="00EF3C15">
        <w:rPr>
          <w:rFonts w:ascii="Times New Roman" w:hAnsi="Times New Roman" w:cs="Times New Roman"/>
          <w:sz w:val="24"/>
          <w:szCs w:val="24"/>
        </w:rPr>
        <w:t xml:space="preserve"> zastosowanie </w:t>
      </w:r>
      <w:r w:rsidR="00ED042E">
        <w:rPr>
          <w:rFonts w:ascii="Times New Roman" w:hAnsi="Times New Roman" w:cs="Times New Roman"/>
          <w:sz w:val="24"/>
          <w:szCs w:val="24"/>
        </w:rPr>
        <w:t xml:space="preserve">mają </w:t>
      </w:r>
      <w:r w:rsidRPr="00EF3C15">
        <w:rPr>
          <w:rFonts w:ascii="Times New Roman" w:hAnsi="Times New Roman" w:cs="Times New Roman"/>
          <w:sz w:val="24"/>
          <w:szCs w:val="24"/>
        </w:rPr>
        <w:t>art. 77</w:t>
      </w:r>
      <w:r w:rsidR="00F10494" w:rsidRPr="00EF3C15">
        <w:rPr>
          <w:rFonts w:ascii="Times New Roman" w:hAnsi="Times New Roman" w:cs="Times New Roman"/>
          <w:sz w:val="24"/>
          <w:szCs w:val="24"/>
        </w:rPr>
        <w:t xml:space="preserve"> § 1 pkt 5 oraz § 2</w:t>
      </w:r>
      <w:r w:rsidR="00ED042E">
        <w:rPr>
          <w:rFonts w:ascii="Times New Roman" w:hAnsi="Times New Roman" w:cs="Times New Roman"/>
          <w:sz w:val="24"/>
          <w:szCs w:val="24"/>
        </w:rPr>
        <w:t xml:space="preserve">, </w:t>
      </w:r>
      <w:r w:rsidRPr="00EF3C15">
        <w:rPr>
          <w:rFonts w:ascii="Times New Roman" w:hAnsi="Times New Roman" w:cs="Times New Roman"/>
          <w:sz w:val="24"/>
          <w:szCs w:val="24"/>
        </w:rPr>
        <w:t>stosuje się prz</w:t>
      </w:r>
      <w:r w:rsidR="000761B7">
        <w:rPr>
          <w:rFonts w:ascii="Times New Roman" w:hAnsi="Times New Roman" w:cs="Times New Roman"/>
          <w:sz w:val="24"/>
          <w:szCs w:val="24"/>
        </w:rPr>
        <w:t>episy dotychczasowe</w:t>
      </w:r>
      <w:r w:rsidRPr="00EF3C15">
        <w:rPr>
          <w:rFonts w:ascii="Times New Roman" w:hAnsi="Times New Roman" w:cs="Times New Roman"/>
          <w:sz w:val="24"/>
          <w:szCs w:val="24"/>
        </w:rPr>
        <w:t>.</w:t>
      </w:r>
    </w:p>
    <w:p w14:paraId="6D8706CB" w14:textId="77777777" w:rsidR="004D1E24" w:rsidRPr="00EF3C15" w:rsidRDefault="004D1E24" w:rsidP="00ED042E">
      <w:pPr>
        <w:spacing w:after="0" w:line="360" w:lineRule="auto"/>
        <w:ind w:left="708"/>
        <w:jc w:val="both"/>
        <w:rPr>
          <w:rFonts w:ascii="Times New Roman" w:hAnsi="Times New Roman" w:cs="Times New Roman"/>
          <w:sz w:val="24"/>
          <w:szCs w:val="24"/>
        </w:rPr>
      </w:pPr>
      <w:r w:rsidRPr="00EF3C15">
        <w:rPr>
          <w:rFonts w:ascii="Times New Roman" w:hAnsi="Times New Roman" w:cs="Times New Roman"/>
          <w:sz w:val="24"/>
          <w:szCs w:val="24"/>
        </w:rPr>
        <w:br/>
        <w:t> </w:t>
      </w:r>
      <w:r w:rsidRPr="00EF3C15">
        <w:rPr>
          <w:rFonts w:ascii="Times New Roman" w:hAnsi="Times New Roman" w:cs="Times New Roman"/>
          <w:b/>
          <w:sz w:val="24"/>
          <w:szCs w:val="24"/>
        </w:rPr>
        <w:t>Art.3</w:t>
      </w:r>
      <w:r w:rsidRPr="00EF3C15">
        <w:rPr>
          <w:rFonts w:ascii="Times New Roman" w:hAnsi="Times New Roman" w:cs="Times New Roman"/>
          <w:sz w:val="24"/>
          <w:szCs w:val="24"/>
        </w:rPr>
        <w:t xml:space="preserve"> Ustawa</w:t>
      </w:r>
      <w:r w:rsidR="00F10494" w:rsidRPr="00EF3C15">
        <w:rPr>
          <w:rFonts w:ascii="Times New Roman" w:hAnsi="Times New Roman" w:cs="Times New Roman"/>
          <w:sz w:val="24"/>
          <w:szCs w:val="24"/>
        </w:rPr>
        <w:t xml:space="preserve"> </w:t>
      </w:r>
      <w:r w:rsidRPr="00EF3C15">
        <w:rPr>
          <w:rFonts w:ascii="Times New Roman" w:hAnsi="Times New Roman" w:cs="Times New Roman"/>
          <w:sz w:val="24"/>
          <w:szCs w:val="24"/>
        </w:rPr>
        <w:t>wchodzi w życie w terminie 30 dni od dnia ogłoszenia.</w:t>
      </w:r>
    </w:p>
    <w:p w14:paraId="701C900E" w14:textId="77777777" w:rsidR="004D1E24" w:rsidRPr="00EF3C15" w:rsidRDefault="004D1E24" w:rsidP="00EF3C15">
      <w:pPr>
        <w:spacing w:after="0" w:line="360" w:lineRule="auto"/>
        <w:ind w:firstLine="708"/>
        <w:jc w:val="both"/>
        <w:rPr>
          <w:rFonts w:ascii="Times New Roman" w:hAnsi="Times New Roman" w:cs="Times New Roman"/>
          <w:sz w:val="24"/>
          <w:szCs w:val="24"/>
        </w:rPr>
      </w:pPr>
    </w:p>
    <w:p w14:paraId="12CF6219" w14:textId="77777777" w:rsidR="008A320F" w:rsidRPr="00EF3C15" w:rsidRDefault="008A320F" w:rsidP="00EF3C15">
      <w:pPr>
        <w:spacing w:line="360" w:lineRule="auto"/>
        <w:rPr>
          <w:rFonts w:ascii="Times New Roman" w:hAnsi="Times New Roman" w:cs="Times New Roman"/>
          <w:sz w:val="24"/>
          <w:szCs w:val="24"/>
        </w:rPr>
      </w:pPr>
      <w:r w:rsidRPr="00EF3C15">
        <w:rPr>
          <w:rFonts w:ascii="Times New Roman" w:hAnsi="Times New Roman" w:cs="Times New Roman"/>
          <w:sz w:val="24"/>
          <w:szCs w:val="24"/>
        </w:rPr>
        <w:br w:type="page"/>
      </w:r>
    </w:p>
    <w:p w14:paraId="38F31A0C" w14:textId="77777777" w:rsidR="007B0619" w:rsidRPr="00EF3C15" w:rsidRDefault="007B0619" w:rsidP="00EF3C15">
      <w:pPr>
        <w:spacing w:after="0" w:line="360" w:lineRule="auto"/>
        <w:ind w:firstLine="708"/>
        <w:jc w:val="center"/>
        <w:rPr>
          <w:rFonts w:ascii="Times New Roman" w:eastAsia="Times New Roman" w:hAnsi="Times New Roman" w:cs="Times New Roman"/>
          <w:b/>
          <w:sz w:val="24"/>
          <w:szCs w:val="24"/>
        </w:rPr>
      </w:pPr>
      <w:r w:rsidRPr="00EF3C15">
        <w:rPr>
          <w:rFonts w:ascii="Times New Roman" w:eastAsia="Times New Roman" w:hAnsi="Times New Roman" w:cs="Times New Roman"/>
          <w:b/>
          <w:sz w:val="24"/>
          <w:szCs w:val="24"/>
        </w:rPr>
        <w:lastRenderedPageBreak/>
        <w:t>UZASADNIENIE</w:t>
      </w:r>
    </w:p>
    <w:p w14:paraId="613B0457" w14:textId="77777777" w:rsidR="007B0619" w:rsidRPr="00EF3C15" w:rsidRDefault="007B0619" w:rsidP="00EF3C15">
      <w:pPr>
        <w:spacing w:after="0" w:line="360" w:lineRule="auto"/>
        <w:ind w:firstLine="708"/>
        <w:jc w:val="center"/>
        <w:rPr>
          <w:rFonts w:ascii="Times New Roman" w:eastAsia="Times New Roman" w:hAnsi="Times New Roman" w:cs="Times New Roman"/>
          <w:b/>
          <w:sz w:val="24"/>
          <w:szCs w:val="24"/>
        </w:rPr>
      </w:pPr>
    </w:p>
    <w:p w14:paraId="30227079" w14:textId="77777777" w:rsidR="007B0619" w:rsidRPr="00EF3C15" w:rsidRDefault="007B0619" w:rsidP="00EF3C15">
      <w:pPr>
        <w:pStyle w:val="Default"/>
        <w:numPr>
          <w:ilvl w:val="0"/>
          <w:numId w:val="2"/>
        </w:numPr>
        <w:spacing w:line="360" w:lineRule="auto"/>
        <w:jc w:val="both"/>
        <w:rPr>
          <w:b/>
          <w:bCs/>
        </w:rPr>
      </w:pPr>
      <w:r w:rsidRPr="00EF3C15">
        <w:rPr>
          <w:b/>
          <w:bCs/>
        </w:rPr>
        <w:t xml:space="preserve">Wyjaśnienie potrzeby i celu wydania aktu </w:t>
      </w:r>
    </w:p>
    <w:p w14:paraId="344196E4" w14:textId="77777777" w:rsidR="00A71C90" w:rsidRDefault="00A71C90" w:rsidP="00EF3C15">
      <w:pPr>
        <w:pStyle w:val="Default"/>
        <w:spacing w:line="360" w:lineRule="auto"/>
        <w:ind w:left="720"/>
        <w:jc w:val="both"/>
      </w:pPr>
      <w:r>
        <w:t xml:space="preserve">Obecna konstrukcja systemu podatkowego i organizacja administracji skarbowej nie zawiera bodźców dla urzędników do sprawnego rozliczania podatków, w tym szybkiego zwracania nadpłaconego podatku.  Ustawowo przyjęte terminy zwrotu nadpłaty pochodzą sprzed 20 lat, kiedy urzędy i urzędnicy nie mieli wsparcia w postaci nowoczesnych technologii i specjalnego oprogramowania, więc ich praca była zdecydowanie bardziej czasochłonna. W tej chwili deklaracje podatkowe mogą być weryfikowane dużo szybciej, więc podatnicy powinni wcześniej uzyskiwać zwrot nadpłaconego podatku. </w:t>
      </w:r>
    </w:p>
    <w:p w14:paraId="534686DD" w14:textId="141CE411" w:rsidR="008D7B71" w:rsidRPr="00EF3C15" w:rsidRDefault="00A71C90" w:rsidP="00EF3C15">
      <w:pPr>
        <w:pStyle w:val="Default"/>
        <w:spacing w:line="360" w:lineRule="auto"/>
        <w:ind w:left="720"/>
        <w:jc w:val="both"/>
      </w:pPr>
      <w:r>
        <w:t xml:space="preserve">Oczekiwanie na zwrot nadpłaconego podatku dotyka podatników podatku akcyzowego, specjalnego podatku węglowodorowego, jednoosobowe spółki Skarbu Państwa i przedsiębiorstwa państwowe, ale przede wszystkim każdego obywatela, będącego podatnikiem PIT. </w:t>
      </w:r>
      <w:r w:rsidR="003D278B" w:rsidRPr="00EF3C15">
        <w:t>Prz</w:t>
      </w:r>
      <w:r w:rsidR="00DE4DD0">
        <w:t>yjęty sposób rozliczania podatku</w:t>
      </w:r>
      <w:r w:rsidR="003D278B" w:rsidRPr="00EF3C15">
        <w:t xml:space="preserve"> od dochodów osób fizycznych powoduje wystąpienia nadwyżki zapłaconego podatku nad podatkiem należnym dla większości podatników. Naczelnik urzędu skarbowego ma obecnie 90 dni, licząc od dnia złożenia deklaracji PIT przez podatnika, na dokonanie zwrotu te</w:t>
      </w:r>
      <w:r w:rsidR="00AD6693" w:rsidRPr="00EF3C15">
        <w:t xml:space="preserve">j nadwyżki. </w:t>
      </w:r>
      <w:r w:rsidR="008A320F" w:rsidRPr="00EF3C15">
        <w:t xml:space="preserve">Taki sam termin obowiązuje w przypadku korekty deklaracji będącej konsekwencją popełnienia zwyczajnych omyłek, dokonywanej przez urząd lub przez podatnika. </w:t>
      </w:r>
      <w:r w:rsidR="00AD6693" w:rsidRPr="00EF3C15">
        <w:t xml:space="preserve">Długość </w:t>
      </w:r>
      <w:r w:rsidR="008A320F" w:rsidRPr="00EF3C15">
        <w:t xml:space="preserve">tych </w:t>
      </w:r>
      <w:r w:rsidR="00DE4DD0">
        <w:t>okresów</w:t>
      </w:r>
      <w:r w:rsidR="00AD6693" w:rsidRPr="00EF3C15">
        <w:t xml:space="preserve"> nie ma żadnego racjonalnego uzasadnienia, zwłaszcza wobec postępującej informatyzacji, która powinna wpływać na wzrost efektywności pracy w urzędach. Przedk</w:t>
      </w:r>
      <w:r w:rsidR="008A320F" w:rsidRPr="00EF3C15">
        <w:t>ładany projekt ustawy skraca te</w:t>
      </w:r>
      <w:r w:rsidR="00AD6693" w:rsidRPr="00EF3C15">
        <w:t xml:space="preserve"> okres</w:t>
      </w:r>
      <w:r w:rsidR="008A320F" w:rsidRPr="00EF3C15">
        <w:t>y</w:t>
      </w:r>
      <w:r w:rsidR="00AD6693" w:rsidRPr="00EF3C15">
        <w:t xml:space="preserve"> z 90 do 30 </w:t>
      </w:r>
      <w:r w:rsidR="008A320F" w:rsidRPr="00EF3C15">
        <w:t xml:space="preserve"> dni. </w:t>
      </w:r>
    </w:p>
    <w:p w14:paraId="53B0A48D" w14:textId="77777777" w:rsidR="00AD6693" w:rsidRPr="00EF3C15" w:rsidRDefault="00AD6693" w:rsidP="00EF3C15">
      <w:pPr>
        <w:pStyle w:val="Default"/>
        <w:spacing w:line="360" w:lineRule="auto"/>
        <w:ind w:left="720"/>
        <w:jc w:val="both"/>
      </w:pPr>
    </w:p>
    <w:p w14:paraId="3AA58E03" w14:textId="77777777" w:rsidR="007B0619" w:rsidRPr="00EF3C15" w:rsidRDefault="007B0619" w:rsidP="00EF3C15">
      <w:pPr>
        <w:pStyle w:val="Default"/>
        <w:numPr>
          <w:ilvl w:val="0"/>
          <w:numId w:val="2"/>
        </w:numPr>
        <w:spacing w:line="360" w:lineRule="auto"/>
        <w:jc w:val="both"/>
        <w:rPr>
          <w:b/>
          <w:bCs/>
        </w:rPr>
      </w:pPr>
      <w:r w:rsidRPr="00EF3C15">
        <w:rPr>
          <w:b/>
          <w:bCs/>
        </w:rPr>
        <w:t xml:space="preserve">Przedstawienie rzeczywistego (faktycznego) stanu w dziedzinie, która ma zostać uregulowana </w:t>
      </w:r>
    </w:p>
    <w:p w14:paraId="7C45EC4B" w14:textId="7187D73F" w:rsidR="002A3E4B" w:rsidRPr="00EF3C15" w:rsidRDefault="00AD6693" w:rsidP="00EF3C15">
      <w:pPr>
        <w:pStyle w:val="Default"/>
        <w:spacing w:line="360" w:lineRule="auto"/>
        <w:jc w:val="both"/>
      </w:pPr>
      <w:r w:rsidRPr="00EF3C15">
        <w:rPr>
          <w:bCs/>
        </w:rPr>
        <w:t>Przyjęty w polskim prawie sposób wyliczania zaliczek na poczet podatku dochodowego powoduje automatyczne występowanie nadpłaty podatku</w:t>
      </w:r>
      <w:r w:rsidR="000811A6">
        <w:rPr>
          <w:bCs/>
        </w:rPr>
        <w:t xml:space="preserve"> dla podatników PIT</w:t>
      </w:r>
      <w:r w:rsidRPr="00EF3C15">
        <w:rPr>
          <w:bCs/>
        </w:rPr>
        <w:t>. Dla podatnika, który wy</w:t>
      </w:r>
      <w:r w:rsidR="002A3E4B" w:rsidRPr="00EF3C15">
        <w:rPr>
          <w:bCs/>
        </w:rPr>
        <w:t xml:space="preserve">kazuje w zeznaniu podatkowym wyłącznie dochody z tytułu wynagrodzenia za pracę i nie korzysta z żadnych dodatkowych ulg, kwota tej nadwyżki będzie równa tzw. kwocie zmniejszającej podatek, wynikającej z przepisów o kwocie wolnej od opodatkowania (w roku podatkowym 2016 </w:t>
      </w:r>
      <w:r w:rsidR="002A3E4B" w:rsidRPr="00EF3C15">
        <w:t>556,02 zł, w r</w:t>
      </w:r>
      <w:r w:rsidR="00DE4DD0">
        <w:t>oku podatkowym 2017 będzie to maksymalnie</w:t>
      </w:r>
      <w:r w:rsidR="002A3E4B" w:rsidRPr="00EF3C15">
        <w:t xml:space="preserve"> 1188 zł). Osoby korzystające z ulg, w tym ponad 4,5 mln podatników wnioskujących o ulgę na dzieci, dostają wyższe kwoty. </w:t>
      </w:r>
    </w:p>
    <w:p w14:paraId="2186E5F8" w14:textId="159F1EF9" w:rsidR="002A3E4B" w:rsidRPr="00EF3C15" w:rsidRDefault="002A3E4B" w:rsidP="00EF3C15">
      <w:pPr>
        <w:pStyle w:val="Default"/>
        <w:spacing w:line="360" w:lineRule="auto"/>
        <w:jc w:val="both"/>
      </w:pPr>
      <w:r w:rsidRPr="00EF3C15">
        <w:t xml:space="preserve">Naczelnik urzędu skarbowego ma </w:t>
      </w:r>
      <w:r w:rsidR="0027488A">
        <w:t xml:space="preserve">na zwrot tej kwoty termin </w:t>
      </w:r>
      <w:r w:rsidRPr="00EF3C15">
        <w:t xml:space="preserve">do </w:t>
      </w:r>
      <w:r w:rsidR="000E34E6" w:rsidRPr="00EF3C15">
        <w:t xml:space="preserve">trzech miesięcy </w:t>
      </w:r>
      <w:r w:rsidRPr="00EF3C15">
        <w:t>od dnia złożenia zeznani</w:t>
      </w:r>
      <w:r w:rsidR="0027488A">
        <w:t>a podatkowego</w:t>
      </w:r>
      <w:r w:rsidRPr="00EF3C15">
        <w:t>, przy czym niektóre kategorie podatników, np. rodziny wnioskujące o ulgę proro</w:t>
      </w:r>
      <w:r w:rsidR="000E34E6" w:rsidRPr="00EF3C15">
        <w:t xml:space="preserve">dzinną na co najmniej 3 dzieci (jeżeli składały wniosek drogą elektroniczną) lub </w:t>
      </w:r>
      <w:r w:rsidR="0027488A">
        <w:t xml:space="preserve">użytkownicy Karty Dużej Rodziny, </w:t>
      </w:r>
      <w:r w:rsidR="00022E79" w:rsidRPr="00EF3C15">
        <w:t xml:space="preserve">krócej oczekiwali na zwrot. </w:t>
      </w:r>
      <w:r w:rsidR="0027488A">
        <w:t>Jednocześnie</w:t>
      </w:r>
      <w:r w:rsidR="00022E79" w:rsidRPr="00EF3C15">
        <w:t xml:space="preserve"> wszystkie wątpliwości i błędy w zeznaniu podatkowym wymagające korekty ze strony podatnika powodują wydłużenie terminu oczekiwania na zwrot.  </w:t>
      </w:r>
    </w:p>
    <w:p w14:paraId="4F312426" w14:textId="77777777" w:rsidR="008A320F" w:rsidRPr="00EF3C15" w:rsidRDefault="008A320F" w:rsidP="00EF3C15">
      <w:pPr>
        <w:pStyle w:val="Default"/>
        <w:spacing w:line="360" w:lineRule="auto"/>
        <w:jc w:val="both"/>
      </w:pPr>
      <w:r w:rsidRPr="00EF3C15">
        <w:t xml:space="preserve">Korekta </w:t>
      </w:r>
      <w:r w:rsidR="00240C7D">
        <w:t>deklaracji</w:t>
      </w:r>
      <w:r w:rsidRPr="00EF3C15">
        <w:t xml:space="preserve">, której przyczyną był błąd rachunkowy lub inna oczywista omyłka oraz korekta </w:t>
      </w:r>
      <w:r w:rsidR="00240C7D">
        <w:t xml:space="preserve">deklaracji </w:t>
      </w:r>
      <w:r w:rsidRPr="00EF3C15">
        <w:t xml:space="preserve">przez podatnika (np. gdy podatnik sam wykrył błąd po złożeniu deklaracji lub zmienił adres) powodują rozpoczęcie biegu nowego terminu na zwrot nadpłaconego podatku. W obecnym brzmieniu przepisów te zdarzające się w codziennym życiu, proste do wyjaśnienia sytuacje dają urzędom kolejne 3 miesiące na zwrot nadwyżki. </w:t>
      </w:r>
    </w:p>
    <w:p w14:paraId="2B44A377" w14:textId="3CEDF27D" w:rsidR="00AD6693" w:rsidRDefault="002A3E4B" w:rsidP="00EF3C15">
      <w:pPr>
        <w:pStyle w:val="Default"/>
        <w:spacing w:line="360" w:lineRule="auto"/>
        <w:jc w:val="both"/>
      </w:pPr>
      <w:r w:rsidRPr="00EF3C15">
        <w:t>Rozwiązania, powodujące obniżkę podatku, takie jak kwota wolna czy ulgi podatkowe, mają na celu zmniejszenie realnego ciężaru opodatkowania i pozostawienie większej części dochodu do dyspozycj</w:t>
      </w:r>
      <w:r w:rsidR="00022E79" w:rsidRPr="00EF3C15">
        <w:t xml:space="preserve">i podatnika. W praktyce, im później podatnik otrzymuje te pieniądze, tym mniejsza jest jego korzyść z ulgi (choćby ze względu na inflację). </w:t>
      </w:r>
      <w:r w:rsidR="00022E79" w:rsidRPr="00EF3C15">
        <w:br/>
        <w:t xml:space="preserve">Zapisy Ordynacji </w:t>
      </w:r>
      <w:r w:rsidR="00A71C90">
        <w:t>podatkowej</w:t>
      </w:r>
      <w:r w:rsidR="00022E79" w:rsidRPr="00EF3C15">
        <w:t>, regulujące terminy zwracania nadpłaconego podatku przez urzędy skarbowe, pochodzą z 1997r. Od tej pory wystąpił znaczący postęp w informatyza</w:t>
      </w:r>
      <w:r w:rsidR="003D06A1" w:rsidRPr="00EF3C15">
        <w:t xml:space="preserve">cji urzędów, ponadto coraz więcej podatników PIT rozlicza się elektronicznie (co oszczędza pracy urzędnikom, którzy nie muszą wpisywać danych z ich rozliczeń do systemów informatycznych). W 2015r. z elektronicznych rozliczeń skorzystało ponad 30% podatników, a liczba ta rośnie z roku na rok. Praca urzędów powinna być więc coraz bardziej wydajna a załatwianie prostych, powtarzalnych spraw obywateli coraz szybsze. Można zatem uznać okres 90 dni na zwrot podatku za nieuzasadnienie długi. </w:t>
      </w:r>
    </w:p>
    <w:p w14:paraId="033FE806" w14:textId="77777777" w:rsidR="00B15952" w:rsidRDefault="00B15952" w:rsidP="00EF3C15">
      <w:pPr>
        <w:pStyle w:val="Default"/>
        <w:spacing w:line="360" w:lineRule="auto"/>
        <w:jc w:val="both"/>
      </w:pPr>
    </w:p>
    <w:p w14:paraId="45B4CED9" w14:textId="77777777" w:rsidR="00B15952" w:rsidRDefault="00B15952" w:rsidP="00EF3C15">
      <w:pPr>
        <w:pStyle w:val="Default"/>
        <w:spacing w:line="360" w:lineRule="auto"/>
        <w:jc w:val="both"/>
      </w:pPr>
      <w:r>
        <w:t xml:space="preserve">Nadpłata podatku występuje również wśród płatników innych podatków. Płatnicy podatku dochodowego od osób prawnych, podatku akcyzowego oraz  tzw. specjalnego podatku od węglowodorów odprowadzają zaliczki na poczet tych podatków, w wysokości ustalonej na podstawie przeszłych wartości zysku. W trakcie kolejnych okresów rozliczania podatków zysk ten może ulec zmniejszeniu i w efekcie przedsiębiorstwa odprowadzą więcej podatku, niż należy. </w:t>
      </w:r>
      <w:r w:rsidR="000811A6">
        <w:t xml:space="preserve">Wysokie prawdopodobieństwo wystąpienia nadpłaty występuje również w przypadku spółek Skarbu Państwa i przedsiębiorstw państwowych, które na mocy odrębnych przepisów zobowiązane są do comiesięcznego odprowadzania zaliczek na poczet wpłaty zysku. W sytuacji, w której spółka nie osiągnie zysku w takiej wysokości, w jakiej dokonała wpłaty zaliczek, występuje nadpłata. </w:t>
      </w:r>
      <w:r>
        <w:t xml:space="preserve">Przetrzymywanie należnego zwrotu w stosunku do przedsiębiorstw dłużej, niż to niezbędnie konieczne, może mieć negatywny wpływ na ich płynność. Stanowi związanie środków, które przedsiębiorstwo mogło by wykorzystać na sfinansowanie rozwoju i inwestycji. </w:t>
      </w:r>
    </w:p>
    <w:p w14:paraId="44703C2B" w14:textId="77777777" w:rsidR="003D06A1" w:rsidRPr="00EF3C15" w:rsidRDefault="003D06A1" w:rsidP="00EF3C15">
      <w:pPr>
        <w:pStyle w:val="Default"/>
        <w:spacing w:line="360" w:lineRule="auto"/>
        <w:jc w:val="both"/>
      </w:pPr>
      <w:r w:rsidRPr="00EF3C15">
        <w:t>Podsumowując, obecny długi okres oczekiwania na zwrot podatku</w:t>
      </w:r>
      <w:r w:rsidR="008A320F" w:rsidRPr="00EF3C15">
        <w:t xml:space="preserve"> po złożeniu lub korekcie </w:t>
      </w:r>
      <w:r w:rsidR="00240C7D">
        <w:t>deklaracji</w:t>
      </w:r>
      <w:r w:rsidR="008A320F" w:rsidRPr="00EF3C15">
        <w:t xml:space="preserve"> w przypadku prostego błędu</w:t>
      </w:r>
      <w:r w:rsidRPr="00EF3C15">
        <w:t xml:space="preserve"> nie znajduje żadnego merytorycznego uzasadnienia, a niepotrzebnie odracza korzyści obywateli z tytułu przysługujących im obniżeń podatku i ulg</w:t>
      </w:r>
      <w:r w:rsidR="00B15952">
        <w:t>, a w stosunku do przedsiębiorstw: powoduje przymusowe zamrożenie ich środków finansowych</w:t>
      </w:r>
      <w:r w:rsidRPr="00EF3C15">
        <w:t>. Taka zbędna zwłoka w otrzymaniu należnych środków pogarsza nastawienie obywateli do organów skarbowych, a pośrednio całego państwa i przyczynia się do bra</w:t>
      </w:r>
      <w:r w:rsidR="000812F1">
        <w:t xml:space="preserve">ku zaufania do tych instytucji oraz pogarsza płynność przedsiębiorców. Długi termin na wypłacenie zwrotu podatku nie przynosi symetrycznych wobec kosztów społecznych korzyści dla sfery publicznej. Skrócenie terminów obligatoryjnego zwrotu podatków nie wygeneruje dodatkowych istotnych obciążeń dla finansów publicznych ani administracji skarbowej. </w:t>
      </w:r>
    </w:p>
    <w:p w14:paraId="20C1063B" w14:textId="77777777" w:rsidR="007B0619" w:rsidRPr="00EF3C15" w:rsidRDefault="007B0619" w:rsidP="00EF3C15">
      <w:pPr>
        <w:pStyle w:val="Akapitzlist"/>
        <w:numPr>
          <w:ilvl w:val="0"/>
          <w:numId w:val="2"/>
        </w:numPr>
        <w:spacing w:after="0" w:line="360" w:lineRule="auto"/>
        <w:jc w:val="both"/>
        <w:rPr>
          <w:rFonts w:ascii="Times New Roman" w:hAnsi="Times New Roman" w:cs="Times New Roman"/>
          <w:b/>
          <w:bCs/>
          <w:sz w:val="24"/>
          <w:szCs w:val="24"/>
        </w:rPr>
      </w:pPr>
      <w:r w:rsidRPr="00EF3C15">
        <w:rPr>
          <w:rFonts w:ascii="Times New Roman" w:hAnsi="Times New Roman" w:cs="Times New Roman"/>
          <w:b/>
          <w:bCs/>
          <w:sz w:val="24"/>
          <w:szCs w:val="24"/>
        </w:rPr>
        <w:t>Różnice pomiędzy dotychczasowym a projektowanym stanem prawnym</w:t>
      </w:r>
    </w:p>
    <w:p w14:paraId="2818B949" w14:textId="77777777" w:rsidR="003D06A1" w:rsidRPr="00EF3C15" w:rsidRDefault="008A320F" w:rsidP="00EF3C15">
      <w:pPr>
        <w:spacing w:after="0" w:line="360" w:lineRule="auto"/>
        <w:jc w:val="both"/>
        <w:rPr>
          <w:rFonts w:ascii="Times New Roman" w:hAnsi="Times New Roman" w:cs="Times New Roman"/>
          <w:bCs/>
          <w:sz w:val="24"/>
          <w:szCs w:val="24"/>
        </w:rPr>
      </w:pPr>
      <w:r w:rsidRPr="00EF3C15">
        <w:rPr>
          <w:rFonts w:ascii="Times New Roman" w:hAnsi="Times New Roman" w:cs="Times New Roman"/>
          <w:bCs/>
          <w:sz w:val="24"/>
          <w:szCs w:val="24"/>
        </w:rPr>
        <w:t xml:space="preserve">Ustawa zmienia w art. 77 §1 pkt 5, § p. 1 i 2 </w:t>
      </w:r>
      <w:r w:rsidR="003D06A1" w:rsidRPr="00EF3C15">
        <w:rPr>
          <w:rFonts w:ascii="Times New Roman" w:hAnsi="Times New Roman" w:cs="Times New Roman"/>
          <w:bCs/>
          <w:sz w:val="24"/>
          <w:szCs w:val="24"/>
        </w:rPr>
        <w:t xml:space="preserve"> ustaw</w:t>
      </w:r>
      <w:r w:rsidRPr="00EF3C15">
        <w:rPr>
          <w:rFonts w:ascii="Times New Roman" w:hAnsi="Times New Roman" w:cs="Times New Roman"/>
          <w:bCs/>
          <w:sz w:val="24"/>
          <w:szCs w:val="24"/>
        </w:rPr>
        <w:t>y</w:t>
      </w:r>
      <w:r w:rsidR="003D06A1" w:rsidRPr="00EF3C15">
        <w:rPr>
          <w:rFonts w:ascii="Times New Roman" w:hAnsi="Times New Roman" w:cs="Times New Roman"/>
          <w:bCs/>
          <w:sz w:val="24"/>
          <w:szCs w:val="24"/>
        </w:rPr>
        <w:t xml:space="preserve"> z dnia 29 sierpnia 1997 Ordynacja podatkowa termin na zwrot nadpłaconego </w:t>
      </w:r>
      <w:r w:rsidR="00A563F7" w:rsidRPr="00EF3C15">
        <w:rPr>
          <w:rFonts w:ascii="Times New Roman" w:hAnsi="Times New Roman" w:cs="Times New Roman"/>
          <w:bCs/>
          <w:sz w:val="24"/>
          <w:szCs w:val="24"/>
        </w:rPr>
        <w:t xml:space="preserve">podatku z 3 miesięcy na 30 dni odpowiednio od złożenia </w:t>
      </w:r>
      <w:r w:rsidR="00240C7D">
        <w:rPr>
          <w:rFonts w:ascii="Times New Roman" w:hAnsi="Times New Roman" w:cs="Times New Roman"/>
          <w:bCs/>
          <w:sz w:val="24"/>
          <w:szCs w:val="24"/>
        </w:rPr>
        <w:t xml:space="preserve">deklaracji </w:t>
      </w:r>
      <w:r w:rsidR="00A563F7" w:rsidRPr="00EF3C15">
        <w:rPr>
          <w:rFonts w:ascii="Times New Roman" w:hAnsi="Times New Roman" w:cs="Times New Roman"/>
          <w:bCs/>
          <w:sz w:val="24"/>
          <w:szCs w:val="24"/>
        </w:rPr>
        <w:t xml:space="preserve">lub wymienionej w tych przepisach korekty </w:t>
      </w:r>
      <w:r w:rsidR="00240C7D">
        <w:rPr>
          <w:rFonts w:ascii="Times New Roman" w:hAnsi="Times New Roman" w:cs="Times New Roman"/>
          <w:bCs/>
          <w:sz w:val="24"/>
          <w:szCs w:val="24"/>
        </w:rPr>
        <w:t>deklaracji</w:t>
      </w:r>
      <w:r w:rsidR="00A563F7" w:rsidRPr="00EF3C15">
        <w:rPr>
          <w:rFonts w:ascii="Times New Roman" w:hAnsi="Times New Roman" w:cs="Times New Roman"/>
          <w:bCs/>
          <w:sz w:val="24"/>
          <w:szCs w:val="24"/>
        </w:rPr>
        <w:t xml:space="preserve">. </w:t>
      </w:r>
    </w:p>
    <w:p w14:paraId="5788F3AB" w14:textId="77777777" w:rsidR="00A563F7" w:rsidRPr="00EF3C15" w:rsidRDefault="00A563F7" w:rsidP="00EF3C15">
      <w:pPr>
        <w:spacing w:after="0" w:line="360" w:lineRule="auto"/>
        <w:jc w:val="both"/>
        <w:rPr>
          <w:rFonts w:ascii="Times New Roman" w:hAnsi="Times New Roman" w:cs="Times New Roman"/>
          <w:bCs/>
          <w:sz w:val="24"/>
          <w:szCs w:val="24"/>
        </w:rPr>
      </w:pPr>
      <w:r w:rsidRPr="00EF3C15">
        <w:rPr>
          <w:rFonts w:ascii="Times New Roman" w:hAnsi="Times New Roman" w:cs="Times New Roman"/>
          <w:bCs/>
          <w:sz w:val="24"/>
          <w:szCs w:val="24"/>
        </w:rPr>
        <w:t xml:space="preserve">Do spraw rozpoczętych przed wejściem w życie ustawy stosuje się przepisy dotychczasowe. </w:t>
      </w:r>
    </w:p>
    <w:p w14:paraId="3BF8D245" w14:textId="77777777" w:rsidR="007B0619" w:rsidRPr="00EF3C15" w:rsidRDefault="007B0619" w:rsidP="00EF3C15">
      <w:pPr>
        <w:spacing w:after="0" w:line="360" w:lineRule="auto"/>
        <w:jc w:val="both"/>
        <w:rPr>
          <w:rFonts w:ascii="Times New Roman" w:hAnsi="Times New Roman" w:cs="Times New Roman"/>
          <w:b/>
          <w:bCs/>
          <w:sz w:val="24"/>
          <w:szCs w:val="24"/>
        </w:rPr>
      </w:pPr>
      <w:r w:rsidRPr="00EF3C15">
        <w:rPr>
          <w:rFonts w:ascii="Times New Roman" w:hAnsi="Times New Roman" w:cs="Times New Roman"/>
          <w:b/>
          <w:bCs/>
          <w:sz w:val="24"/>
          <w:szCs w:val="24"/>
        </w:rPr>
        <w:t>4. Przewidywane skutki prawne wejścia aktu w życie:</w:t>
      </w:r>
    </w:p>
    <w:p w14:paraId="53A7712A" w14:textId="77777777" w:rsidR="007B0619" w:rsidRPr="00EF3C15" w:rsidRDefault="007B0619" w:rsidP="00EF3C15">
      <w:pPr>
        <w:pStyle w:val="Akapitzlist"/>
        <w:numPr>
          <w:ilvl w:val="1"/>
          <w:numId w:val="1"/>
        </w:numPr>
        <w:spacing w:after="0" w:line="360" w:lineRule="auto"/>
        <w:jc w:val="both"/>
        <w:rPr>
          <w:rFonts w:ascii="Times New Roman" w:hAnsi="Times New Roman" w:cs="Times New Roman"/>
          <w:b/>
          <w:bCs/>
          <w:sz w:val="24"/>
          <w:szCs w:val="24"/>
        </w:rPr>
      </w:pPr>
      <w:r w:rsidRPr="00EF3C15">
        <w:rPr>
          <w:rFonts w:ascii="Times New Roman" w:hAnsi="Times New Roman" w:cs="Times New Roman"/>
          <w:b/>
          <w:bCs/>
          <w:sz w:val="24"/>
          <w:szCs w:val="24"/>
        </w:rPr>
        <w:t>gospodarcze</w:t>
      </w:r>
      <w:r w:rsidR="002A3E4B" w:rsidRPr="00EF3C15">
        <w:rPr>
          <w:rFonts w:ascii="Times New Roman" w:hAnsi="Times New Roman" w:cs="Times New Roman"/>
          <w:b/>
          <w:bCs/>
          <w:sz w:val="24"/>
          <w:szCs w:val="24"/>
        </w:rPr>
        <w:t xml:space="preserve"> – </w:t>
      </w:r>
      <w:r w:rsidR="002A3E4B" w:rsidRPr="00EF3C15">
        <w:rPr>
          <w:rFonts w:ascii="Times New Roman" w:hAnsi="Times New Roman" w:cs="Times New Roman"/>
          <w:bCs/>
          <w:sz w:val="24"/>
          <w:szCs w:val="24"/>
        </w:rPr>
        <w:t>brak znaczących skutków gospodarczych</w:t>
      </w:r>
    </w:p>
    <w:p w14:paraId="59AD38C4" w14:textId="77777777" w:rsidR="007B0619" w:rsidRPr="00EF3C15" w:rsidRDefault="007B0619" w:rsidP="00EF3C15">
      <w:pPr>
        <w:pStyle w:val="Akapitzlist"/>
        <w:numPr>
          <w:ilvl w:val="1"/>
          <w:numId w:val="1"/>
        </w:numPr>
        <w:spacing w:after="0" w:line="360" w:lineRule="auto"/>
        <w:jc w:val="both"/>
        <w:rPr>
          <w:rFonts w:ascii="Times New Roman" w:hAnsi="Times New Roman" w:cs="Times New Roman"/>
          <w:b/>
          <w:bCs/>
          <w:sz w:val="24"/>
          <w:szCs w:val="24"/>
        </w:rPr>
      </w:pPr>
      <w:r w:rsidRPr="00EF3C15">
        <w:rPr>
          <w:rFonts w:ascii="Times New Roman" w:hAnsi="Times New Roman" w:cs="Times New Roman"/>
          <w:b/>
          <w:bCs/>
          <w:sz w:val="24"/>
          <w:szCs w:val="24"/>
        </w:rPr>
        <w:t>społeczne</w:t>
      </w:r>
      <w:r w:rsidR="002A3E4B" w:rsidRPr="00EF3C15">
        <w:rPr>
          <w:rFonts w:ascii="Times New Roman" w:hAnsi="Times New Roman" w:cs="Times New Roman"/>
          <w:b/>
          <w:bCs/>
          <w:sz w:val="24"/>
          <w:szCs w:val="24"/>
        </w:rPr>
        <w:t xml:space="preserve"> </w:t>
      </w:r>
      <w:r w:rsidR="003D06A1" w:rsidRPr="00EF3C15">
        <w:rPr>
          <w:rFonts w:ascii="Times New Roman" w:hAnsi="Times New Roman" w:cs="Times New Roman"/>
          <w:b/>
          <w:bCs/>
          <w:sz w:val="24"/>
          <w:szCs w:val="24"/>
        </w:rPr>
        <w:t>–</w:t>
      </w:r>
      <w:r w:rsidR="002A3E4B" w:rsidRPr="00EF3C15">
        <w:rPr>
          <w:rFonts w:ascii="Times New Roman" w:hAnsi="Times New Roman" w:cs="Times New Roman"/>
          <w:b/>
          <w:bCs/>
          <w:sz w:val="24"/>
          <w:szCs w:val="24"/>
        </w:rPr>
        <w:t xml:space="preserve"> </w:t>
      </w:r>
      <w:r w:rsidR="003D06A1" w:rsidRPr="00EF3C15">
        <w:rPr>
          <w:rFonts w:ascii="Times New Roman" w:hAnsi="Times New Roman" w:cs="Times New Roman"/>
          <w:bCs/>
          <w:sz w:val="24"/>
          <w:szCs w:val="24"/>
        </w:rPr>
        <w:t xml:space="preserve">większa korzyść podatników z przysługujących im obniżek i ulg podatkowych. Poprawa oceny funkcjonowania urzędów podatkowych, a pośrednio i całego państwa, w oczach podatników. </w:t>
      </w:r>
      <w:r w:rsidR="00992FBD" w:rsidRPr="00EF3C15">
        <w:rPr>
          <w:rFonts w:ascii="Times New Roman" w:hAnsi="Times New Roman" w:cs="Times New Roman"/>
          <w:bCs/>
          <w:sz w:val="24"/>
          <w:szCs w:val="24"/>
        </w:rPr>
        <w:t>Wzrost zaufania do instytucji państwa.</w:t>
      </w:r>
    </w:p>
    <w:p w14:paraId="65678F3E" w14:textId="77777777" w:rsidR="007B0619" w:rsidRPr="00EF3C15" w:rsidRDefault="007B0619" w:rsidP="00EF3C15">
      <w:pPr>
        <w:pStyle w:val="Akapitzlist"/>
        <w:numPr>
          <w:ilvl w:val="1"/>
          <w:numId w:val="1"/>
        </w:numPr>
        <w:spacing w:after="0" w:line="360" w:lineRule="auto"/>
        <w:jc w:val="both"/>
        <w:rPr>
          <w:rFonts w:ascii="Times New Roman" w:hAnsi="Times New Roman" w:cs="Times New Roman"/>
          <w:b/>
          <w:bCs/>
          <w:sz w:val="24"/>
          <w:szCs w:val="24"/>
        </w:rPr>
      </w:pPr>
      <w:r w:rsidRPr="00EF3C15">
        <w:rPr>
          <w:rFonts w:ascii="Times New Roman" w:hAnsi="Times New Roman" w:cs="Times New Roman"/>
          <w:b/>
          <w:bCs/>
          <w:sz w:val="24"/>
          <w:szCs w:val="24"/>
        </w:rPr>
        <w:t>finansowe</w:t>
      </w:r>
      <w:r w:rsidR="003D06A1" w:rsidRPr="00EF3C15">
        <w:rPr>
          <w:rFonts w:ascii="Times New Roman" w:hAnsi="Times New Roman" w:cs="Times New Roman"/>
          <w:b/>
          <w:bCs/>
          <w:sz w:val="24"/>
          <w:szCs w:val="24"/>
        </w:rPr>
        <w:t xml:space="preserve"> </w:t>
      </w:r>
      <w:r w:rsidR="00992FBD" w:rsidRPr="00EF3C15">
        <w:rPr>
          <w:rFonts w:ascii="Times New Roman" w:hAnsi="Times New Roman" w:cs="Times New Roman"/>
          <w:b/>
          <w:bCs/>
          <w:sz w:val="24"/>
          <w:szCs w:val="24"/>
        </w:rPr>
        <w:t>–</w:t>
      </w:r>
      <w:r w:rsidR="003D06A1" w:rsidRPr="00EF3C15">
        <w:rPr>
          <w:rFonts w:ascii="Times New Roman" w:hAnsi="Times New Roman" w:cs="Times New Roman"/>
          <w:b/>
          <w:bCs/>
          <w:sz w:val="24"/>
          <w:szCs w:val="24"/>
        </w:rPr>
        <w:t xml:space="preserve"> </w:t>
      </w:r>
      <w:r w:rsidR="00992FBD" w:rsidRPr="00EF3C15">
        <w:rPr>
          <w:rFonts w:ascii="Times New Roman" w:hAnsi="Times New Roman" w:cs="Times New Roman"/>
          <w:bCs/>
          <w:sz w:val="24"/>
          <w:szCs w:val="24"/>
        </w:rPr>
        <w:t xml:space="preserve">ustawa nie generuje znaczących skutków dla finansów publicznych. Ze względu na konieczność dokonywania zwrotów we wcześniejszym terminie, może wymagać pewnych dostosowań  w polityce pożyczkowej państwa, celem zapewnienia odpowiedniej płynności, ale koszty tych dostosowań nie będą istotne w skali obecnych wydatków państwa na obsługę pożyczek. </w:t>
      </w:r>
    </w:p>
    <w:p w14:paraId="50EF27C5" w14:textId="77777777" w:rsidR="007B0619" w:rsidRPr="00EF3C15" w:rsidRDefault="007B0619" w:rsidP="00EF3C15">
      <w:pPr>
        <w:pStyle w:val="Akapitzlist"/>
        <w:numPr>
          <w:ilvl w:val="1"/>
          <w:numId w:val="1"/>
        </w:numPr>
        <w:spacing w:after="0" w:line="360" w:lineRule="auto"/>
        <w:jc w:val="both"/>
        <w:rPr>
          <w:rFonts w:ascii="Times New Roman" w:hAnsi="Times New Roman" w:cs="Times New Roman"/>
          <w:b/>
          <w:bCs/>
          <w:sz w:val="24"/>
          <w:szCs w:val="24"/>
        </w:rPr>
      </w:pPr>
      <w:r w:rsidRPr="00EF3C15">
        <w:rPr>
          <w:rFonts w:ascii="Times New Roman" w:hAnsi="Times New Roman" w:cs="Times New Roman"/>
          <w:b/>
          <w:bCs/>
          <w:sz w:val="24"/>
          <w:szCs w:val="24"/>
        </w:rPr>
        <w:t>prawne</w:t>
      </w:r>
      <w:r w:rsidR="003D06A1" w:rsidRPr="00EF3C15">
        <w:rPr>
          <w:rFonts w:ascii="Times New Roman" w:hAnsi="Times New Roman" w:cs="Times New Roman"/>
          <w:b/>
          <w:bCs/>
          <w:sz w:val="24"/>
          <w:szCs w:val="24"/>
        </w:rPr>
        <w:t xml:space="preserve"> – </w:t>
      </w:r>
      <w:r w:rsidR="003D06A1" w:rsidRPr="00EF3C15">
        <w:rPr>
          <w:rFonts w:ascii="Times New Roman" w:hAnsi="Times New Roman" w:cs="Times New Roman"/>
          <w:bCs/>
          <w:sz w:val="24"/>
          <w:szCs w:val="24"/>
        </w:rPr>
        <w:t>ustawa nie przynosi znaczących skutków prawnych</w:t>
      </w:r>
    </w:p>
    <w:p w14:paraId="01D5A024" w14:textId="77777777" w:rsidR="007B0619" w:rsidRPr="00EF3C15" w:rsidRDefault="007B0619" w:rsidP="00EF3C15">
      <w:pPr>
        <w:pStyle w:val="Default"/>
        <w:spacing w:line="360" w:lineRule="auto"/>
        <w:jc w:val="both"/>
        <w:rPr>
          <w:b/>
          <w:bCs/>
        </w:rPr>
      </w:pPr>
      <w:r w:rsidRPr="00EF3C15">
        <w:rPr>
          <w:b/>
          <w:bCs/>
        </w:rPr>
        <w:t xml:space="preserve">5. Przedkładany projekt ustawy nie jest sprzeczny z prawem Unii Europejskiej </w:t>
      </w:r>
    </w:p>
    <w:p w14:paraId="7B6D23F2" w14:textId="77777777" w:rsidR="007B0619" w:rsidRPr="00EF3C15" w:rsidRDefault="007B0619" w:rsidP="00EF3C15">
      <w:pPr>
        <w:spacing w:after="0" w:line="360" w:lineRule="auto"/>
        <w:jc w:val="both"/>
        <w:rPr>
          <w:rFonts w:ascii="Times New Roman" w:hAnsi="Times New Roman" w:cs="Times New Roman"/>
          <w:b/>
          <w:bCs/>
          <w:sz w:val="24"/>
          <w:szCs w:val="24"/>
        </w:rPr>
      </w:pPr>
    </w:p>
    <w:p w14:paraId="2508F4D4" w14:textId="77777777" w:rsidR="00204044" w:rsidRPr="00EF3C15" w:rsidRDefault="00204044" w:rsidP="00EF3C15">
      <w:pPr>
        <w:spacing w:line="360" w:lineRule="auto"/>
        <w:rPr>
          <w:rFonts w:ascii="Times New Roman" w:hAnsi="Times New Roman" w:cs="Times New Roman"/>
          <w:sz w:val="24"/>
          <w:szCs w:val="24"/>
        </w:rPr>
      </w:pPr>
    </w:p>
    <w:sectPr w:rsidR="00204044" w:rsidRPr="00EF3C15" w:rsidSect="002040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5A48D5" w14:textId="77777777" w:rsidR="007D1EEE" w:rsidRDefault="007D1EEE" w:rsidP="0009624C">
      <w:pPr>
        <w:spacing w:after="0" w:line="240" w:lineRule="auto"/>
      </w:pPr>
      <w:r>
        <w:separator/>
      </w:r>
    </w:p>
  </w:endnote>
  <w:endnote w:type="continuationSeparator" w:id="0">
    <w:p w14:paraId="09E10EB4" w14:textId="77777777" w:rsidR="007D1EEE" w:rsidRDefault="007D1EEE" w:rsidP="00096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Helvetica">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913EFE" w14:textId="77777777" w:rsidR="007D1EEE" w:rsidRDefault="007D1EEE" w:rsidP="0009624C">
      <w:pPr>
        <w:spacing w:after="0" w:line="240" w:lineRule="auto"/>
      </w:pPr>
      <w:r>
        <w:separator/>
      </w:r>
    </w:p>
  </w:footnote>
  <w:footnote w:type="continuationSeparator" w:id="0">
    <w:p w14:paraId="705DF73B" w14:textId="77777777" w:rsidR="007D1EEE" w:rsidRDefault="007D1EEE" w:rsidP="0009624C">
      <w:pPr>
        <w:spacing w:after="0" w:line="240" w:lineRule="auto"/>
      </w:pPr>
      <w:r>
        <w:continuationSeparator/>
      </w:r>
    </w:p>
  </w:footnote>
  <w:footnote w:id="1">
    <w:p w14:paraId="43428551" w14:textId="77777777" w:rsidR="0009624C" w:rsidRPr="0009624C" w:rsidRDefault="0009624C" w:rsidP="0009624C">
      <w:pPr>
        <w:pStyle w:val="Przypisdolny"/>
        <w:spacing w:line="288" w:lineRule="auto"/>
        <w:jc w:val="both"/>
        <w:rPr>
          <w:sz w:val="18"/>
          <w:szCs w:val="18"/>
        </w:rPr>
      </w:pPr>
      <w:r w:rsidRPr="0009624C">
        <w:rPr>
          <w:sz w:val="18"/>
          <w:szCs w:val="18"/>
          <w:vertAlign w:val="superscript"/>
        </w:rPr>
        <w:footnoteRef/>
      </w:r>
      <w:r w:rsidRPr="0009624C">
        <w:rPr>
          <w:rFonts w:ascii="Times New Roman" w:hAnsi="Times New Roman"/>
          <w:sz w:val="18"/>
          <w:szCs w:val="18"/>
        </w:rPr>
        <w:t xml:space="preserve"> Zmiany tekstu jednolitego wymienionej ustawy został</w:t>
      </w:r>
      <w:r w:rsidRPr="0009624C">
        <w:rPr>
          <w:rFonts w:ascii="Times New Roman" w:hAnsi="Times New Roman"/>
          <w:sz w:val="18"/>
          <w:szCs w:val="18"/>
          <w:lang w:val="da-DK"/>
        </w:rPr>
        <w:t>y og</w:t>
      </w:r>
      <w:r w:rsidRPr="0009624C">
        <w:rPr>
          <w:rFonts w:ascii="Times New Roman" w:hAnsi="Times New Roman"/>
          <w:sz w:val="18"/>
          <w:szCs w:val="18"/>
        </w:rPr>
        <w:t>łoszone w Dz.U. z 2015 r. poz. 699, 978, 1197, 1269, 1311, 1649, 1923, 1932 i 2184 oraz z 2016 r. poz. 195.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256FC"/>
    <w:multiLevelType w:val="hybridMultilevel"/>
    <w:tmpl w:val="D14835C6"/>
    <w:lvl w:ilvl="0" w:tplc="59929E2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nsid w:val="11592BF5"/>
    <w:multiLevelType w:val="hybridMultilevel"/>
    <w:tmpl w:val="EDE8727C"/>
    <w:lvl w:ilvl="0" w:tplc="C974E8EA">
      <w:start w:val="1"/>
      <w:numFmt w:val="lowerLetter"/>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nsid w:val="16305932"/>
    <w:multiLevelType w:val="hybridMultilevel"/>
    <w:tmpl w:val="A6FEF5CE"/>
    <w:lvl w:ilvl="0" w:tplc="D988D406">
      <w:start w:val="1"/>
      <w:numFmt w:val="decimal"/>
      <w:lvlText w:val="%1)"/>
      <w:lvlJc w:val="left"/>
      <w:pPr>
        <w:ind w:left="1968" w:hanging="360"/>
      </w:pPr>
      <w:rPr>
        <w:rFonts w:hint="default"/>
      </w:rPr>
    </w:lvl>
    <w:lvl w:ilvl="1" w:tplc="04150019" w:tentative="1">
      <w:start w:val="1"/>
      <w:numFmt w:val="lowerLetter"/>
      <w:lvlText w:val="%2."/>
      <w:lvlJc w:val="left"/>
      <w:pPr>
        <w:ind w:left="2688" w:hanging="360"/>
      </w:pPr>
    </w:lvl>
    <w:lvl w:ilvl="2" w:tplc="0415001B" w:tentative="1">
      <w:start w:val="1"/>
      <w:numFmt w:val="lowerRoman"/>
      <w:lvlText w:val="%3."/>
      <w:lvlJc w:val="right"/>
      <w:pPr>
        <w:ind w:left="3408" w:hanging="180"/>
      </w:pPr>
    </w:lvl>
    <w:lvl w:ilvl="3" w:tplc="0415000F" w:tentative="1">
      <w:start w:val="1"/>
      <w:numFmt w:val="decimal"/>
      <w:lvlText w:val="%4."/>
      <w:lvlJc w:val="left"/>
      <w:pPr>
        <w:ind w:left="4128" w:hanging="360"/>
      </w:pPr>
    </w:lvl>
    <w:lvl w:ilvl="4" w:tplc="04150019" w:tentative="1">
      <w:start w:val="1"/>
      <w:numFmt w:val="lowerLetter"/>
      <w:lvlText w:val="%5."/>
      <w:lvlJc w:val="left"/>
      <w:pPr>
        <w:ind w:left="4848" w:hanging="360"/>
      </w:pPr>
    </w:lvl>
    <w:lvl w:ilvl="5" w:tplc="0415001B" w:tentative="1">
      <w:start w:val="1"/>
      <w:numFmt w:val="lowerRoman"/>
      <w:lvlText w:val="%6."/>
      <w:lvlJc w:val="right"/>
      <w:pPr>
        <w:ind w:left="5568" w:hanging="180"/>
      </w:pPr>
    </w:lvl>
    <w:lvl w:ilvl="6" w:tplc="0415000F" w:tentative="1">
      <w:start w:val="1"/>
      <w:numFmt w:val="decimal"/>
      <w:lvlText w:val="%7."/>
      <w:lvlJc w:val="left"/>
      <w:pPr>
        <w:ind w:left="6288" w:hanging="360"/>
      </w:pPr>
    </w:lvl>
    <w:lvl w:ilvl="7" w:tplc="04150019" w:tentative="1">
      <w:start w:val="1"/>
      <w:numFmt w:val="lowerLetter"/>
      <w:lvlText w:val="%8."/>
      <w:lvlJc w:val="left"/>
      <w:pPr>
        <w:ind w:left="7008" w:hanging="360"/>
      </w:pPr>
    </w:lvl>
    <w:lvl w:ilvl="8" w:tplc="0415001B" w:tentative="1">
      <w:start w:val="1"/>
      <w:numFmt w:val="lowerRoman"/>
      <w:lvlText w:val="%9."/>
      <w:lvlJc w:val="right"/>
      <w:pPr>
        <w:ind w:left="7728" w:hanging="180"/>
      </w:pPr>
    </w:lvl>
  </w:abstractNum>
  <w:abstractNum w:abstractNumId="3">
    <w:nsid w:val="3E306F0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4B767F3"/>
    <w:multiLevelType w:val="hybridMultilevel"/>
    <w:tmpl w:val="83363AF8"/>
    <w:lvl w:ilvl="0" w:tplc="3C62C40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nsid w:val="77AA7958"/>
    <w:multiLevelType w:val="hybridMultilevel"/>
    <w:tmpl w:val="28EA1E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619"/>
    <w:rsid w:val="00022E79"/>
    <w:rsid w:val="000428C6"/>
    <w:rsid w:val="000761B7"/>
    <w:rsid w:val="00080C2D"/>
    <w:rsid w:val="000811A6"/>
    <w:rsid w:val="000812F1"/>
    <w:rsid w:val="0009119C"/>
    <w:rsid w:val="0009624C"/>
    <w:rsid w:val="000B6493"/>
    <w:rsid w:val="000E34E6"/>
    <w:rsid w:val="001242ED"/>
    <w:rsid w:val="00204044"/>
    <w:rsid w:val="00240C7D"/>
    <w:rsid w:val="0027488A"/>
    <w:rsid w:val="002A3E4B"/>
    <w:rsid w:val="002F3A3E"/>
    <w:rsid w:val="003D06A1"/>
    <w:rsid w:val="003D278B"/>
    <w:rsid w:val="004D1E24"/>
    <w:rsid w:val="004E77ED"/>
    <w:rsid w:val="00655966"/>
    <w:rsid w:val="007B0619"/>
    <w:rsid w:val="007D1EEE"/>
    <w:rsid w:val="007D3EEF"/>
    <w:rsid w:val="00810C93"/>
    <w:rsid w:val="00816E58"/>
    <w:rsid w:val="008A320F"/>
    <w:rsid w:val="008D7B71"/>
    <w:rsid w:val="00992FBD"/>
    <w:rsid w:val="009C3C78"/>
    <w:rsid w:val="00A209E2"/>
    <w:rsid w:val="00A465AF"/>
    <w:rsid w:val="00A563F7"/>
    <w:rsid w:val="00A71C90"/>
    <w:rsid w:val="00A87315"/>
    <w:rsid w:val="00AC1422"/>
    <w:rsid w:val="00AD6693"/>
    <w:rsid w:val="00B15952"/>
    <w:rsid w:val="00B524E5"/>
    <w:rsid w:val="00C37709"/>
    <w:rsid w:val="00DE4DD0"/>
    <w:rsid w:val="00ED042E"/>
    <w:rsid w:val="00EF3C15"/>
    <w:rsid w:val="00F10494"/>
    <w:rsid w:val="00F31A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7D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B0619"/>
    <w:pPr>
      <w:ind w:left="720"/>
      <w:contextualSpacing/>
    </w:pPr>
  </w:style>
  <w:style w:type="paragraph" w:customStyle="1" w:styleId="Default">
    <w:name w:val="Default"/>
    <w:rsid w:val="007B061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1">
    <w:name w:val="h1"/>
    <w:basedOn w:val="Domylnaczcionkaakapitu"/>
    <w:rsid w:val="00F10494"/>
  </w:style>
  <w:style w:type="paragraph" w:customStyle="1" w:styleId="Przypisdolny">
    <w:name w:val="Przypis dolny"/>
    <w:rsid w:val="0009624C"/>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Tekstdymka">
    <w:name w:val="Balloon Text"/>
    <w:basedOn w:val="Normalny"/>
    <w:link w:val="TekstdymkaZnak"/>
    <w:uiPriority w:val="99"/>
    <w:semiHidden/>
    <w:unhideWhenUsed/>
    <w:rsid w:val="00DE4DD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E4DD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B0619"/>
    <w:pPr>
      <w:ind w:left="720"/>
      <w:contextualSpacing/>
    </w:pPr>
  </w:style>
  <w:style w:type="paragraph" w:customStyle="1" w:styleId="Default">
    <w:name w:val="Default"/>
    <w:rsid w:val="007B061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1">
    <w:name w:val="h1"/>
    <w:basedOn w:val="Domylnaczcionkaakapitu"/>
    <w:rsid w:val="00F10494"/>
  </w:style>
  <w:style w:type="paragraph" w:customStyle="1" w:styleId="Przypisdolny">
    <w:name w:val="Przypis dolny"/>
    <w:rsid w:val="0009624C"/>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Tekstdymka">
    <w:name w:val="Balloon Text"/>
    <w:basedOn w:val="Normalny"/>
    <w:link w:val="TekstdymkaZnak"/>
    <w:uiPriority w:val="99"/>
    <w:semiHidden/>
    <w:unhideWhenUsed/>
    <w:rsid w:val="00DE4DD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E4D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1168</Words>
  <Characters>7009</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Hanqua</dc:creator>
  <cp:lastModifiedBy>Ewa A. Genert</cp:lastModifiedBy>
  <cp:revision>2</cp:revision>
  <cp:lastPrinted>2017-07-04T10:02:00Z</cp:lastPrinted>
  <dcterms:created xsi:type="dcterms:W3CDTF">2017-07-18T08:43:00Z</dcterms:created>
  <dcterms:modified xsi:type="dcterms:W3CDTF">2017-07-18T08:43:00Z</dcterms:modified>
</cp:coreProperties>
</file>