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907" w:rsidRPr="00846907" w:rsidRDefault="00846907" w:rsidP="00846907">
      <w:pPr>
        <w:pStyle w:val="TEKSTwTABELIWYRODKOWANYtekstwyrodkowanywpoziomie"/>
        <w:spacing w:line="360" w:lineRule="auto"/>
        <w:rPr>
          <w:rStyle w:val="Ppogrubienie"/>
          <w:rFonts w:ascii="Times New Roman" w:hAnsi="Times New Roman"/>
          <w:b w:val="0"/>
          <w:color w:val="auto"/>
        </w:rPr>
      </w:pPr>
      <w:r w:rsidRPr="00846907">
        <w:rPr>
          <w:rStyle w:val="Ppogrubienie"/>
          <w:rFonts w:ascii="Times New Roman" w:hAnsi="Times New Roman"/>
          <w:b w:val="0"/>
          <w:color w:val="auto"/>
        </w:rPr>
        <w:t>UZASADNIENIE</w:t>
      </w:r>
    </w:p>
    <w:p w:rsidR="00846907" w:rsidRPr="00846907" w:rsidRDefault="00846907" w:rsidP="00846907">
      <w:pPr>
        <w:pStyle w:val="TEKSTwTABELIWYRODKOWANYtekstwyrodkowanywpoziomie"/>
        <w:spacing w:line="360" w:lineRule="auto"/>
        <w:rPr>
          <w:rFonts w:ascii="Times New Roman" w:hAnsi="Times New Roman"/>
          <w:color w:val="auto"/>
        </w:rPr>
      </w:pPr>
    </w:p>
    <w:p w:rsidR="00846907" w:rsidRPr="00AC4AD7" w:rsidRDefault="00846907" w:rsidP="00846907">
      <w:pPr>
        <w:spacing w:line="360" w:lineRule="auto"/>
        <w:ind w:left="426" w:hanging="426"/>
        <w:rPr>
          <w:rStyle w:val="Ppogrubienie"/>
          <w:color w:val="auto"/>
        </w:rPr>
      </w:pPr>
      <w:r w:rsidRPr="00AC4AD7">
        <w:rPr>
          <w:rStyle w:val="Ppogrubienie"/>
          <w:color w:val="auto"/>
        </w:rPr>
        <w:t>I.</w:t>
      </w:r>
      <w:r w:rsidRPr="00AC4AD7">
        <w:rPr>
          <w:rStyle w:val="Ppogrubienie"/>
          <w:color w:val="auto"/>
        </w:rPr>
        <w:tab/>
        <w:t>Wprowadzenie</w:t>
      </w:r>
    </w:p>
    <w:p w:rsidR="00846907" w:rsidRPr="00846907" w:rsidRDefault="00846907" w:rsidP="00846907">
      <w:pPr>
        <w:spacing w:line="360" w:lineRule="auto"/>
        <w:ind w:left="426"/>
        <w:jc w:val="both"/>
        <w:rPr>
          <w:color w:val="auto"/>
        </w:rPr>
      </w:pPr>
      <w:r w:rsidRPr="00846907">
        <w:rPr>
          <w:color w:val="auto"/>
        </w:rPr>
        <w:t>Projekt ustawy o zmianie ustawy – Prawo ochrony środowiska oraz niektórych innych ustaw ma na celu przede wszystkim przeniesienie do prawa polskiego niektórych postanowień dyrektywy Parlamentu Europejskiego i Rady (UE)</w:t>
      </w:r>
      <w:r>
        <w:rPr>
          <w:color w:val="auto"/>
        </w:rPr>
        <w:t xml:space="preserve"> 2015/2193 z dnia 25 </w:t>
      </w:r>
      <w:r w:rsidRPr="00846907">
        <w:rPr>
          <w:color w:val="auto"/>
        </w:rPr>
        <w:t>listopada 2015 r. w sprawie ograniczenia emisji niektórych zanieczyszczeń do powietrza ze średnich obiektów energetycznego spalania, zwanej dalej „dyrektywą MCP”. Dyrektywa ta dotyczy tzw. średnich źród</w:t>
      </w:r>
      <w:r>
        <w:rPr>
          <w:color w:val="auto"/>
        </w:rPr>
        <w:t xml:space="preserve">eł spalania paliw, tj. źródeł o </w:t>
      </w:r>
      <w:r w:rsidRPr="00846907">
        <w:rPr>
          <w:color w:val="auto"/>
        </w:rPr>
        <w:t>nominalnej mocy cieplnej nie mniejszej</w:t>
      </w:r>
      <w:r>
        <w:rPr>
          <w:color w:val="auto"/>
        </w:rPr>
        <w:t xml:space="preserve"> niż 1 MW i </w:t>
      </w:r>
      <w:r w:rsidRPr="00846907">
        <w:rPr>
          <w:color w:val="auto"/>
        </w:rPr>
        <w:t xml:space="preserve">mniejszej niż 50 MW. W jej art. 2 stwierdzono jednak, że ma ona także zastosowanie do połączeń nowych średnich źródeł spalania paliw, w tym połączeń, w przypadku których całkowita nominalna moc </w:t>
      </w:r>
      <w:r>
        <w:rPr>
          <w:color w:val="auto"/>
        </w:rPr>
        <w:t>cieplna wynosi nie mniej niż 50 </w:t>
      </w:r>
      <w:r w:rsidRPr="00846907">
        <w:rPr>
          <w:color w:val="auto"/>
        </w:rPr>
        <w:t>MW, do których nie stosuje się przepisów rozdziału III dyrektywy 2010/75/UE Parlamentu Europejskiego i Rad</w:t>
      </w:r>
      <w:r>
        <w:rPr>
          <w:color w:val="auto"/>
        </w:rPr>
        <w:t xml:space="preserve">y z dnia 24 listopada 2010 r. w </w:t>
      </w:r>
      <w:r w:rsidRPr="00846907">
        <w:rPr>
          <w:color w:val="auto"/>
        </w:rPr>
        <w:t>sprawie emisji przemysłowych (zintegrowane zapobieganie zanieczyszczeniom i ich kontrola), zwanej dalej „dyrektywą IED”. Dyrektywa MCP wprowadza wymóg objęcia średnich źródeł systemem pozwoleń lub rejestracji, dopuszczalnymi wielkościami emisji i</w:t>
      </w:r>
      <w:r>
        <w:rPr>
          <w:color w:val="auto"/>
        </w:rPr>
        <w:t xml:space="preserve"> </w:t>
      </w:r>
      <w:r w:rsidRPr="00846907">
        <w:rPr>
          <w:color w:val="auto"/>
        </w:rPr>
        <w:t>obowiązkiem monitorowania emisji,</w:t>
      </w:r>
      <w:r w:rsidR="00BB3C40">
        <w:rPr>
          <w:color w:val="auto"/>
        </w:rPr>
        <w:t xml:space="preserve"> jak również wymóg prowadzenia R</w:t>
      </w:r>
      <w:r w:rsidRPr="00846907">
        <w:rPr>
          <w:color w:val="auto"/>
        </w:rPr>
        <w:t>ejestru tych źródeł. Rejestr powinien z</w:t>
      </w:r>
      <w:r>
        <w:rPr>
          <w:color w:val="auto"/>
        </w:rPr>
        <w:t>awierać informacje wymienione w </w:t>
      </w:r>
      <w:r w:rsidRPr="00846907">
        <w:rPr>
          <w:color w:val="auto"/>
        </w:rPr>
        <w:t>załączniku I do dyrektywy MCP i</w:t>
      </w:r>
      <w:r>
        <w:rPr>
          <w:color w:val="auto"/>
        </w:rPr>
        <w:t xml:space="preserve"> </w:t>
      </w:r>
      <w:r w:rsidRPr="00846907">
        <w:rPr>
          <w:color w:val="auto"/>
        </w:rPr>
        <w:t>powinien być publicznie dostępny.</w:t>
      </w:r>
    </w:p>
    <w:p w:rsidR="00846907" w:rsidRPr="00846907" w:rsidRDefault="00846907" w:rsidP="00846907">
      <w:pPr>
        <w:spacing w:line="360" w:lineRule="auto"/>
        <w:ind w:left="426"/>
        <w:jc w:val="both"/>
        <w:rPr>
          <w:color w:val="auto"/>
        </w:rPr>
      </w:pPr>
      <w:r w:rsidRPr="00846907">
        <w:rPr>
          <w:color w:val="auto"/>
        </w:rPr>
        <w:t>Sprawy pozwoleń, zgłoszeń, wymagań emisyjnych oraz obowiązków pomiarowych są uregulowane w Polsce przepisami ust</w:t>
      </w:r>
      <w:r>
        <w:rPr>
          <w:color w:val="auto"/>
        </w:rPr>
        <w:t>awy z dnia 27 kwietnia 2001 r. –</w:t>
      </w:r>
      <w:r w:rsidRPr="00846907">
        <w:rPr>
          <w:color w:val="auto"/>
        </w:rPr>
        <w:t xml:space="preserve"> Prawo ochrony środowiska (Dz. U. z 2017 r. poz. 519, z późn. zm.), zwanej dalej „ustawą Poś”, oraz rozporządzeń wykonawczych do tej ustawy, w tym następującymi rozporządzeniami Ministra Środowiska:</w:t>
      </w:r>
    </w:p>
    <w:p w:rsidR="00846907" w:rsidRPr="00846907" w:rsidRDefault="00846907" w:rsidP="00846907">
      <w:pPr>
        <w:spacing w:line="360" w:lineRule="auto"/>
        <w:ind w:left="709" w:hanging="283"/>
        <w:jc w:val="both"/>
        <w:rPr>
          <w:color w:val="auto"/>
        </w:rPr>
      </w:pPr>
      <w:r>
        <w:rPr>
          <w:color w:val="auto"/>
        </w:rPr>
        <w:t>–</w:t>
      </w:r>
      <w:r w:rsidRPr="00846907">
        <w:rPr>
          <w:color w:val="auto"/>
        </w:rPr>
        <w:tab/>
        <w:t>z dnia 2 lipca 2010 r. w sprawie przypadków, w których wprowadzanie gazów lub pyłów do powietrza z instalacji</w:t>
      </w:r>
      <w:r>
        <w:rPr>
          <w:color w:val="auto"/>
        </w:rPr>
        <w:t xml:space="preserve"> </w:t>
      </w:r>
      <w:r w:rsidRPr="00846907">
        <w:rPr>
          <w:color w:val="auto"/>
        </w:rPr>
        <w:t>nie wymaga pozwolenia (Dz. U. poz. 881),</w:t>
      </w:r>
    </w:p>
    <w:p w:rsidR="00846907" w:rsidRPr="00846907" w:rsidRDefault="00846907" w:rsidP="00846907">
      <w:pPr>
        <w:spacing w:line="360" w:lineRule="auto"/>
        <w:ind w:left="709" w:hanging="283"/>
        <w:jc w:val="both"/>
        <w:rPr>
          <w:color w:val="auto"/>
        </w:rPr>
      </w:pPr>
      <w:r>
        <w:rPr>
          <w:color w:val="auto"/>
        </w:rPr>
        <w:t>–</w:t>
      </w:r>
      <w:r w:rsidRPr="00846907">
        <w:rPr>
          <w:color w:val="auto"/>
        </w:rPr>
        <w:tab/>
        <w:t>z dnia 2 lipca 2010 r. w sprawie rodzajów instalacji, których eksploatacja wymaga zgłoszenia (Dz. U. poz. 880),</w:t>
      </w:r>
    </w:p>
    <w:p w:rsidR="00846907" w:rsidRPr="00846907" w:rsidRDefault="00846907" w:rsidP="00846907">
      <w:pPr>
        <w:spacing w:line="360" w:lineRule="auto"/>
        <w:ind w:left="709" w:hanging="283"/>
        <w:jc w:val="both"/>
        <w:rPr>
          <w:color w:val="auto"/>
        </w:rPr>
      </w:pPr>
      <w:r>
        <w:rPr>
          <w:color w:val="auto"/>
        </w:rPr>
        <w:t>–</w:t>
      </w:r>
      <w:r w:rsidRPr="00846907">
        <w:rPr>
          <w:color w:val="auto"/>
        </w:rPr>
        <w:tab/>
        <w:t>z dnia 4 listopada 2014 r. w sprawie standardów emisyjnych dla niektórych rodzajów instalacji, źródeł spalania paliw oraz urządzeń spalania lub współspalania odpadów (Dz. U. poz. 1546, z późn. zm.),</w:t>
      </w:r>
    </w:p>
    <w:p w:rsidR="00846907" w:rsidRPr="00846907" w:rsidRDefault="00846907" w:rsidP="00846907">
      <w:pPr>
        <w:spacing w:line="360" w:lineRule="auto"/>
        <w:ind w:left="709" w:hanging="283"/>
        <w:jc w:val="both"/>
        <w:rPr>
          <w:color w:val="auto"/>
        </w:rPr>
      </w:pPr>
      <w:r>
        <w:rPr>
          <w:color w:val="auto"/>
        </w:rPr>
        <w:lastRenderedPageBreak/>
        <w:t>–</w:t>
      </w:r>
      <w:r w:rsidRPr="00846907">
        <w:rPr>
          <w:color w:val="auto"/>
        </w:rPr>
        <w:tab/>
        <w:t>z dnia 30 października 2014 r. w sprawie wymagań w zakresie prowadzenia pomiarów wielkości emisji oraz pomiarów iloś</w:t>
      </w:r>
      <w:r>
        <w:rPr>
          <w:color w:val="auto"/>
        </w:rPr>
        <w:t>ci pobieranej wody (Dz. U. poz. </w:t>
      </w:r>
      <w:r w:rsidRPr="00846907">
        <w:rPr>
          <w:color w:val="auto"/>
        </w:rPr>
        <w:t>1542).</w:t>
      </w:r>
    </w:p>
    <w:p w:rsidR="00846907" w:rsidRPr="00846907" w:rsidRDefault="00846907" w:rsidP="00846907">
      <w:pPr>
        <w:spacing w:line="360" w:lineRule="auto"/>
        <w:ind w:left="426"/>
        <w:jc w:val="both"/>
        <w:rPr>
          <w:color w:val="auto"/>
        </w:rPr>
      </w:pPr>
      <w:r w:rsidRPr="00846907">
        <w:rPr>
          <w:color w:val="auto"/>
        </w:rPr>
        <w:t xml:space="preserve">Sprawy dotyczące dostępu do informacji o środowisku są natomiast uregulowane przepisami ustawy z dnia 3 października 2008 </w:t>
      </w:r>
      <w:r>
        <w:rPr>
          <w:color w:val="auto"/>
        </w:rPr>
        <w:t>r. o udostępnianiu informacji o </w:t>
      </w:r>
      <w:r w:rsidRPr="00846907">
        <w:rPr>
          <w:color w:val="auto"/>
        </w:rPr>
        <w:t>środowisku</w:t>
      </w:r>
      <w:r>
        <w:rPr>
          <w:color w:val="auto"/>
        </w:rPr>
        <w:t xml:space="preserve"> </w:t>
      </w:r>
      <w:r w:rsidRPr="00846907">
        <w:rPr>
          <w:color w:val="auto"/>
        </w:rPr>
        <w:t>i jego ochronie, udziale społeczeńst</w:t>
      </w:r>
      <w:r>
        <w:rPr>
          <w:color w:val="auto"/>
        </w:rPr>
        <w:t>wa w ochronie środowiska oraz o </w:t>
      </w:r>
      <w:r w:rsidRPr="00846907">
        <w:rPr>
          <w:color w:val="auto"/>
        </w:rPr>
        <w:t>ocenach oddziaływania na środowisko (Dz. U. z 2016 r. poz. 353, z późn. zm.).</w:t>
      </w:r>
    </w:p>
    <w:p w:rsidR="00846907" w:rsidRPr="00846907" w:rsidRDefault="00846907" w:rsidP="00846907">
      <w:pPr>
        <w:spacing w:line="360" w:lineRule="auto"/>
        <w:ind w:left="426"/>
        <w:jc w:val="both"/>
        <w:rPr>
          <w:color w:val="auto"/>
        </w:rPr>
      </w:pPr>
      <w:r w:rsidRPr="00846907">
        <w:rPr>
          <w:color w:val="auto"/>
        </w:rPr>
        <w:t>W obecnym stanie prawnym średnie źródła spalania paliw są objęte obowiązkiem uzyskania pozwolenia na emisję (pozwolenia na wprowadzanie gazów lub pyłów do powietrza albo pozwolenia zintegrowanego) albo obowiązkiem zgłoszenia. Problem może wystąpić w przypadku pojedynczego źródła o nominalnej mocy cieplnej wynoszącej dokładnie 1 MW, ekspl</w:t>
      </w:r>
      <w:r>
        <w:rPr>
          <w:color w:val="auto"/>
        </w:rPr>
        <w:t>oatowanego jako jedyne źródło w </w:t>
      </w:r>
      <w:r w:rsidRPr="00846907">
        <w:rPr>
          <w:color w:val="auto"/>
        </w:rPr>
        <w:t>zakładzie. Zgodnie z przepisami drugiego z ww. rozporządzeń w obecnym stanie prawnym obowiązek zgłoszenia dotyczy źródeł spalania paliw, w przypadku których łączna nominalna moc cieplna takich źródeł eksploatowanych</w:t>
      </w:r>
      <w:r>
        <w:rPr>
          <w:color w:val="auto"/>
        </w:rPr>
        <w:t xml:space="preserve"> w danym zakładzie przekracza 1 </w:t>
      </w:r>
      <w:r w:rsidRPr="00846907">
        <w:rPr>
          <w:color w:val="auto"/>
        </w:rPr>
        <w:t>MW. Docel</w:t>
      </w:r>
      <w:r>
        <w:rPr>
          <w:color w:val="auto"/>
        </w:rPr>
        <w:t>owo, dla zachowania zgodności z </w:t>
      </w:r>
      <w:r w:rsidRPr="00846907">
        <w:rPr>
          <w:color w:val="auto"/>
        </w:rPr>
        <w:t>postanowieniami dyrektywy MCP, zgłoszenia powinny obejmować wszystkie średnie źród</w:t>
      </w:r>
      <w:r>
        <w:rPr>
          <w:color w:val="auto"/>
        </w:rPr>
        <w:t xml:space="preserve">ła spalania paliw, tj. źródła o </w:t>
      </w:r>
      <w:r w:rsidRPr="00846907">
        <w:rPr>
          <w:color w:val="auto"/>
        </w:rPr>
        <w:t>jednostkowej nominalnej mocy cieplnej od 1 MW.</w:t>
      </w:r>
      <w:r>
        <w:rPr>
          <w:color w:val="auto"/>
        </w:rPr>
        <w:t xml:space="preserve"> </w:t>
      </w:r>
      <w:r w:rsidRPr="00846907">
        <w:rPr>
          <w:color w:val="auto"/>
        </w:rPr>
        <w:t>Źródła wymagające pozwolenia na emisję podlegają okresowym pomiarom emisji, zgodnie z ww. rozporządzenie</w:t>
      </w:r>
      <w:r>
        <w:rPr>
          <w:color w:val="auto"/>
        </w:rPr>
        <w:t>m Ministra Środowiska z dnia 30 </w:t>
      </w:r>
      <w:r w:rsidRPr="00846907">
        <w:rPr>
          <w:color w:val="auto"/>
        </w:rPr>
        <w:t>października 2014 r. w sprawie wymagań w zakresie prowadzenia pomiarów wielkości emisji oraz pom</w:t>
      </w:r>
      <w:r>
        <w:rPr>
          <w:color w:val="auto"/>
        </w:rPr>
        <w:t xml:space="preserve">iarów ilości pobieranej wody. W </w:t>
      </w:r>
      <w:r w:rsidRPr="00846907">
        <w:rPr>
          <w:color w:val="auto"/>
        </w:rPr>
        <w:t>odniesieniu do źródeł wymagających zgłoszenia obowiązki pomiarowe mogą być nakładane przez organy ochrony środowiska w drodze decyzji. Ponadto źródła spalania paliw, w tym źródła średnie, są objęte wym</w:t>
      </w:r>
      <w:r>
        <w:rPr>
          <w:color w:val="auto"/>
        </w:rPr>
        <w:t xml:space="preserve">aganiami emisyjnymi na mocy ww. </w:t>
      </w:r>
      <w:r w:rsidRPr="00846907">
        <w:rPr>
          <w:color w:val="auto"/>
        </w:rPr>
        <w:t>rozporządzenia Ministra Środowiska z dnia 4 listopada 2014 r. w sprawie standardów emisyjnych dla niektórych rodzajów instalacji, źródeł spalania paliw oraz urządzeń spalania lub współspalania odpadów. Emisyjne i pomiarowe postanowienia dyrektywy MCP zostaną pr</w:t>
      </w:r>
      <w:r w:rsidR="00AC4AD7">
        <w:rPr>
          <w:color w:val="auto"/>
        </w:rPr>
        <w:t xml:space="preserve">zeniesione do prawa polskiego </w:t>
      </w:r>
      <w:r w:rsidRPr="00846907">
        <w:rPr>
          <w:color w:val="auto"/>
        </w:rPr>
        <w:t>przez zmianę dwóch przywołanych wyżej rozporządzeń wykonawczych do ustawy Poś. Zmienić należy także zakres mocowy źró</w:t>
      </w:r>
      <w:r w:rsidR="00AC4AD7">
        <w:rPr>
          <w:color w:val="auto"/>
        </w:rPr>
        <w:t xml:space="preserve">deł podlegających zgłoszeniu, </w:t>
      </w:r>
      <w:r w:rsidRPr="00846907">
        <w:rPr>
          <w:color w:val="auto"/>
        </w:rPr>
        <w:t>prze</w:t>
      </w:r>
      <w:r>
        <w:rPr>
          <w:color w:val="auto"/>
        </w:rPr>
        <w:t>z objęcie zgłoszeniami źródeł o </w:t>
      </w:r>
      <w:r w:rsidRPr="00846907">
        <w:rPr>
          <w:color w:val="auto"/>
        </w:rPr>
        <w:t xml:space="preserve">nominalnej mocy cieplnej wynoszącej 1 MW. Wdrożenie dyrektywy MCP wymaga także zmiany ustawy Poś w zakresie, w jakim reguluje ona kwestie pozwoleń na emisję i </w:t>
      </w:r>
      <w:r w:rsidRPr="00846907">
        <w:rPr>
          <w:color w:val="auto"/>
        </w:rPr>
        <w:lastRenderedPageBreak/>
        <w:t xml:space="preserve">zgłoszeń, jak również zasad łączenia źródeł spalania paliw (zasady łączenia źródeł są obecnie sformułowane </w:t>
      </w:r>
      <w:r>
        <w:rPr>
          <w:color w:val="auto"/>
        </w:rPr>
        <w:t>w art. 157a ust. 2 ustawy Poś w </w:t>
      </w:r>
      <w:r w:rsidRPr="00846907">
        <w:rPr>
          <w:color w:val="auto"/>
        </w:rPr>
        <w:t>odniesieniu do dużych źródeł spalania paliw, w zakresie wynikającym z dyrektywy IED).</w:t>
      </w:r>
      <w:r>
        <w:rPr>
          <w:color w:val="auto"/>
        </w:rPr>
        <w:t xml:space="preserve"> </w:t>
      </w:r>
      <w:r w:rsidRPr="00846907">
        <w:rPr>
          <w:color w:val="auto"/>
        </w:rPr>
        <w:t>Zmiany te są omówione szczegółowo poniżej.</w:t>
      </w:r>
    </w:p>
    <w:p w:rsidR="00846907" w:rsidRPr="00AC4AD7" w:rsidRDefault="00846907" w:rsidP="00846907">
      <w:pPr>
        <w:spacing w:line="360" w:lineRule="auto"/>
        <w:ind w:left="426" w:hanging="426"/>
        <w:rPr>
          <w:b/>
          <w:color w:val="auto"/>
        </w:rPr>
      </w:pPr>
      <w:r w:rsidRPr="00AC4AD7">
        <w:rPr>
          <w:b/>
          <w:color w:val="auto"/>
        </w:rPr>
        <w:t>II.</w:t>
      </w:r>
      <w:r w:rsidRPr="00AC4AD7">
        <w:rPr>
          <w:b/>
          <w:color w:val="auto"/>
        </w:rPr>
        <w:tab/>
        <w:t>Zmiany ustawy Poś związa</w:t>
      </w:r>
      <w:r w:rsidR="00AC4AD7" w:rsidRPr="00AC4AD7">
        <w:rPr>
          <w:b/>
          <w:color w:val="auto"/>
        </w:rPr>
        <w:t>ne z transpozycją dyrektywy MCP</w:t>
      </w:r>
    </w:p>
    <w:p w:rsidR="00846907" w:rsidRPr="00846907" w:rsidRDefault="00846907" w:rsidP="00846907">
      <w:pPr>
        <w:spacing w:line="360" w:lineRule="auto"/>
        <w:ind w:left="709" w:hanging="283"/>
        <w:jc w:val="both"/>
        <w:rPr>
          <w:color w:val="auto"/>
        </w:rPr>
      </w:pPr>
      <w:r>
        <w:rPr>
          <w:color w:val="auto"/>
        </w:rPr>
        <w:t>1.</w:t>
      </w:r>
      <w:r>
        <w:rPr>
          <w:color w:val="auto"/>
        </w:rPr>
        <w:tab/>
      </w:r>
      <w:r w:rsidRPr="00846907">
        <w:rPr>
          <w:color w:val="auto"/>
        </w:rPr>
        <w:t>Proponowana zmiana art. 91 ustawy Poś (art. 1 pkt 1 projektowanej ustawy) ma na celu zapewnienie transpozycji postanowień art. 6 ust. 9 i 10 dyrektywy MCP, które stanowią, że „W odniesieniu do poszczególnych średnich obiektów energetycznego spalania znajdujących się w strefach lub częściach stref, które nie zachowują zgodności z dopuszczalnymi wartościami jakości powietrza określonymi w dyrektywie 2008/50/WE, państwa członkowskie, w ramach opracowywania planów ochrony powietrza, o których mowa w art. 23 dyrektywy 2008/50/WE, oceniają potrzebę zastosowania bardziej rygorystycznych dopuszczalnych wielkości emisji niż określone w niniejszej dyrektywie, uwzględniając wyniki wymiany informacji, o której mowa w ust. 10 niniejszego artykułu, pod warunkiem że zastosowanie takich dopuszczalnych wielkości emisji istotnie przyczyni się do odczuwalnej poprawy jakości powietrza.” oraz „</w:t>
      </w:r>
      <w:r w:rsidRPr="00846907">
        <w:rPr>
          <w:color w:val="auto"/>
          <w:lang w:eastAsia="pl-PL"/>
        </w:rPr>
        <w:t>Komisja organizuje wymianę informacji z państwami członkowskimi, zainteresowanymi branżami i</w:t>
      </w:r>
      <w:r>
        <w:rPr>
          <w:color w:val="auto"/>
          <w:lang w:eastAsia="pl-PL"/>
        </w:rPr>
        <w:t xml:space="preserve"> </w:t>
      </w:r>
      <w:r w:rsidRPr="00846907">
        <w:rPr>
          <w:color w:val="auto"/>
          <w:lang w:eastAsia="pl-PL"/>
        </w:rPr>
        <w:t>organizacjami pozarządowymi na temat poziomów emisji, jakie można osiągnąć przy zastosowaniu najlepszych dostępnych i</w:t>
      </w:r>
      <w:r>
        <w:rPr>
          <w:color w:val="auto"/>
          <w:lang w:eastAsia="pl-PL"/>
        </w:rPr>
        <w:t xml:space="preserve"> </w:t>
      </w:r>
      <w:r w:rsidRPr="00846907">
        <w:rPr>
          <w:color w:val="auto"/>
          <w:lang w:eastAsia="pl-PL"/>
        </w:rPr>
        <w:t>nowo pojawiających się technologii, oraz na temat związanych z</w:t>
      </w:r>
      <w:r>
        <w:rPr>
          <w:color w:val="auto"/>
          <w:lang w:eastAsia="pl-PL"/>
        </w:rPr>
        <w:t> </w:t>
      </w:r>
      <w:r w:rsidRPr="00846907">
        <w:rPr>
          <w:color w:val="auto"/>
          <w:lang w:eastAsia="pl-PL"/>
        </w:rPr>
        <w:t>tym kosztów. Komisja publikuje wyniki tej wymiany informacji.”</w:t>
      </w:r>
      <w:r w:rsidRPr="00846907">
        <w:rPr>
          <w:color w:val="auto"/>
        </w:rPr>
        <w:t>. Dodany do ustawy Poś przepis art. 91 ust. 9aa umożliwi organom właściwym do opracowania i przyjęcia programów ochrony powietrza przeprowadzanie odpowiednich analiz i ewentualne wprowadzenie ostrzejszych wymagań emisyjnych dla średnich źródeł</w:t>
      </w:r>
      <w:r>
        <w:rPr>
          <w:color w:val="auto"/>
        </w:rPr>
        <w:t xml:space="preserve"> </w:t>
      </w:r>
      <w:r w:rsidRPr="00846907">
        <w:rPr>
          <w:color w:val="auto"/>
        </w:rPr>
        <w:t>eksploatowanych w strefach, w których nie są dotrzymywane standardy jakości powietrza. Z kolei art. 91ab wskazuje, że przy dokonywaniu analizy organy powinny uwzglę</w:t>
      </w:r>
      <w:r w:rsidR="00AC4AD7">
        <w:rPr>
          <w:color w:val="auto"/>
        </w:rPr>
        <w:t>dniać udostępniane przez Komisję</w:t>
      </w:r>
      <w:r w:rsidRPr="00846907">
        <w:rPr>
          <w:color w:val="auto"/>
        </w:rPr>
        <w:t xml:space="preserve"> Europejską wyniki wymiany informacji z państwami członkowskimi UE, zainteresowanymi branżami i organizacjami pozarządowymi na temat poziomów emisji, jakie mogą być osiągnięte przy zastosowaniu najlepszych dostępnych technik i nowo</w:t>
      </w:r>
      <w:r w:rsidR="00AC4AD7">
        <w:rPr>
          <w:color w:val="auto"/>
        </w:rPr>
        <w:t xml:space="preserve"> </w:t>
      </w:r>
      <w:r w:rsidRPr="00846907">
        <w:rPr>
          <w:color w:val="auto"/>
        </w:rPr>
        <w:t>pojawiających się technologii, oraz na temat związanych z tym kosztów.</w:t>
      </w:r>
    </w:p>
    <w:p w:rsidR="00846907" w:rsidRPr="00846907" w:rsidRDefault="00846907" w:rsidP="00846907">
      <w:pPr>
        <w:spacing w:line="360" w:lineRule="auto"/>
        <w:ind w:left="709" w:hanging="283"/>
        <w:jc w:val="both"/>
      </w:pPr>
      <w:r w:rsidRPr="00846907">
        <w:lastRenderedPageBreak/>
        <w:t>2.</w:t>
      </w:r>
      <w:r>
        <w:tab/>
      </w:r>
      <w:r w:rsidRPr="00846907">
        <w:t xml:space="preserve">Zmiana art. 145 ustawy Poś, proponowana w art. 1 pkt 2 ustawy, ma na celu </w:t>
      </w:r>
      <w:r w:rsidRPr="00846907">
        <w:rPr>
          <w:color w:val="auto"/>
        </w:rPr>
        <w:t>przeniesienie</w:t>
      </w:r>
      <w:r w:rsidRPr="00846907">
        <w:t xml:space="preserve"> postanowienia art. 7 ust. 7 dyrektywy MCP, w części dotyczącej konieczności podejmowania przez operatora działań mających na celu przywrócenie zgodności z wymaganiami emisyjnymi wynikającymi z</w:t>
      </w:r>
      <w:r>
        <w:t xml:space="preserve"> </w:t>
      </w:r>
      <w:r w:rsidRPr="00846907">
        <w:t>załącznika II do dyrektywy MCP.</w:t>
      </w:r>
    </w:p>
    <w:p w:rsidR="00846907" w:rsidRPr="00846907" w:rsidRDefault="00846907" w:rsidP="00846907">
      <w:pPr>
        <w:spacing w:line="360" w:lineRule="auto"/>
        <w:ind w:left="709" w:hanging="283"/>
        <w:jc w:val="both"/>
        <w:rPr>
          <w:color w:val="auto"/>
        </w:rPr>
      </w:pPr>
      <w:r>
        <w:rPr>
          <w:color w:val="auto"/>
        </w:rPr>
        <w:t>3.</w:t>
      </w:r>
      <w:r>
        <w:rPr>
          <w:color w:val="auto"/>
        </w:rPr>
        <w:tab/>
      </w:r>
      <w:r w:rsidRPr="00846907">
        <w:rPr>
          <w:color w:val="auto"/>
        </w:rPr>
        <w:t xml:space="preserve">Zmiana art. 145a ustawy Poś (art. 1 pkt 3 projektowanej ustawy) </w:t>
      </w:r>
      <w:r w:rsidRPr="00846907">
        <w:t>jest wynikiem dodania do ustawy Poś przepisów art. 146j i art. 146k, na mocy których operatorzy średnich źródeł spalania paliw będą przekazywać organom właściwym do wydania pozwolenia lub do przyjęcia zgłoszenia określone dokumenty dotyczące derogacji. Dokumenty te powinny być przekazane do Ministra Środowiska i odpowiedniego wojewódzkiego inspektora ochrony środowiska.</w:t>
      </w:r>
    </w:p>
    <w:p w:rsidR="00846907" w:rsidRPr="00846907" w:rsidRDefault="00846907" w:rsidP="00846907">
      <w:pPr>
        <w:spacing w:line="360" w:lineRule="auto"/>
        <w:ind w:left="709" w:hanging="283"/>
        <w:jc w:val="both"/>
        <w:rPr>
          <w:color w:val="auto"/>
        </w:rPr>
      </w:pPr>
      <w:r>
        <w:rPr>
          <w:color w:val="auto"/>
        </w:rPr>
        <w:t>4.</w:t>
      </w:r>
      <w:r>
        <w:rPr>
          <w:color w:val="auto"/>
        </w:rPr>
        <w:tab/>
      </w:r>
      <w:r w:rsidRPr="00846907">
        <w:rPr>
          <w:color w:val="auto"/>
        </w:rPr>
        <w:t xml:space="preserve">Zmiany polegające na dodaniu do ustawy Poś art. 146j i art. 146k (art. 1 pkt 9 projektowanej ustawy) zapewnią transpozycję postanowień art. 6 ust. 5 akapit pierwszy i ust. 6 dyrektywy MCP, dotyczących czasowych odstępstw od wymagań emisyjnych dla niektórych średnich źródeł spalania paliw. Odstępstwa obejmują okres od </w:t>
      </w:r>
      <w:r w:rsidR="00C92149">
        <w:rPr>
          <w:color w:val="auto"/>
        </w:rPr>
        <w:t xml:space="preserve">dnia </w:t>
      </w:r>
      <w:r w:rsidRPr="00846907">
        <w:rPr>
          <w:color w:val="auto"/>
        </w:rPr>
        <w:t xml:space="preserve">1 stycznia 2025 r. do </w:t>
      </w:r>
      <w:r w:rsidR="00C92149">
        <w:rPr>
          <w:color w:val="auto"/>
        </w:rPr>
        <w:t xml:space="preserve">dnia </w:t>
      </w:r>
      <w:r w:rsidRPr="00846907">
        <w:rPr>
          <w:color w:val="auto"/>
        </w:rPr>
        <w:t>31 grudnia 2029 r. i dotyczyć będą istniejących (w rozumieniu dyrektywy MCP) źródeł spalania paliw o nominalnej mocy cieplnej większej niż 5 MW i mniejszej niż 50 MW, które są wykorzystywane do:</w:t>
      </w:r>
    </w:p>
    <w:p w:rsidR="00846907" w:rsidRPr="00846907" w:rsidRDefault="00846907" w:rsidP="00846907">
      <w:pPr>
        <w:spacing w:line="360" w:lineRule="auto"/>
        <w:ind w:left="993" w:hanging="284"/>
        <w:jc w:val="both"/>
        <w:rPr>
          <w:color w:val="auto"/>
        </w:rPr>
      </w:pPr>
      <w:r>
        <w:rPr>
          <w:color w:val="auto"/>
        </w:rPr>
        <w:t>–</w:t>
      </w:r>
      <w:r>
        <w:rPr>
          <w:color w:val="auto"/>
        </w:rPr>
        <w:tab/>
      </w:r>
      <w:r w:rsidRPr="00846907">
        <w:rPr>
          <w:color w:val="auto"/>
        </w:rPr>
        <w:t>produkcji ciepła</w:t>
      </w:r>
      <w:r>
        <w:rPr>
          <w:color w:val="auto"/>
        </w:rPr>
        <w:t xml:space="preserve"> </w:t>
      </w:r>
      <w:r w:rsidRPr="00846907">
        <w:rPr>
          <w:color w:val="auto"/>
        </w:rPr>
        <w:t>na potrzeby publicznej sieci ciepłowniczej (odstępstwa dla SO</w:t>
      </w:r>
      <w:r w:rsidRPr="00846907">
        <w:rPr>
          <w:color w:val="auto"/>
          <w:vertAlign w:val="subscript"/>
        </w:rPr>
        <w:t>2</w:t>
      </w:r>
      <w:r w:rsidRPr="00846907">
        <w:rPr>
          <w:color w:val="auto"/>
        </w:rPr>
        <w:t xml:space="preserve">, </w:t>
      </w:r>
      <w:proofErr w:type="spellStart"/>
      <w:r w:rsidRPr="00846907">
        <w:rPr>
          <w:color w:val="auto"/>
        </w:rPr>
        <w:t>NO</w:t>
      </w:r>
      <w:r w:rsidRPr="00846907">
        <w:rPr>
          <w:color w:val="auto"/>
          <w:vertAlign w:val="subscript"/>
        </w:rPr>
        <w:t>x</w:t>
      </w:r>
      <w:proofErr w:type="spellEnd"/>
      <w:r w:rsidRPr="00846907">
        <w:rPr>
          <w:color w:val="auto"/>
          <w:vertAlign w:val="subscript"/>
        </w:rPr>
        <w:t xml:space="preserve"> </w:t>
      </w:r>
      <w:r w:rsidRPr="00846907">
        <w:rPr>
          <w:color w:val="auto"/>
        </w:rPr>
        <w:t>i</w:t>
      </w:r>
      <w:r>
        <w:rPr>
          <w:color w:val="auto"/>
        </w:rPr>
        <w:t xml:space="preserve"> </w:t>
      </w:r>
      <w:r w:rsidRPr="00846907">
        <w:rPr>
          <w:color w:val="auto"/>
        </w:rPr>
        <w:t xml:space="preserve">pyłu), </w:t>
      </w:r>
    </w:p>
    <w:p w:rsidR="00846907" w:rsidRPr="00846907" w:rsidRDefault="00846907" w:rsidP="00846907">
      <w:pPr>
        <w:spacing w:line="360" w:lineRule="auto"/>
        <w:ind w:left="993" w:hanging="284"/>
        <w:jc w:val="both"/>
        <w:rPr>
          <w:color w:val="auto"/>
        </w:rPr>
      </w:pPr>
      <w:r>
        <w:rPr>
          <w:color w:val="auto"/>
        </w:rPr>
        <w:t>–</w:t>
      </w:r>
      <w:r>
        <w:rPr>
          <w:color w:val="auto"/>
        </w:rPr>
        <w:tab/>
      </w:r>
      <w:r w:rsidRPr="00846907">
        <w:rPr>
          <w:color w:val="auto"/>
        </w:rPr>
        <w:t xml:space="preserve">napędzania tłoczni gazu i są niezbędne </w:t>
      </w:r>
      <w:r>
        <w:rPr>
          <w:color w:val="auto"/>
        </w:rPr>
        <w:t>do zapewnienia bezpieczeństwa i </w:t>
      </w:r>
      <w:r w:rsidRPr="00846907">
        <w:rPr>
          <w:color w:val="auto"/>
        </w:rPr>
        <w:t xml:space="preserve">ochrony krajowego systemu przesyłu gazu (odstępstwa dla </w:t>
      </w:r>
      <w:proofErr w:type="spellStart"/>
      <w:r w:rsidRPr="00846907">
        <w:rPr>
          <w:color w:val="auto"/>
        </w:rPr>
        <w:t>NO</w:t>
      </w:r>
      <w:r w:rsidRPr="00846907">
        <w:rPr>
          <w:color w:val="auto"/>
          <w:vertAlign w:val="subscript"/>
        </w:rPr>
        <w:t>x</w:t>
      </w:r>
      <w:proofErr w:type="spellEnd"/>
      <w:r w:rsidRPr="00846907">
        <w:rPr>
          <w:color w:val="auto"/>
        </w:rPr>
        <w:t>).</w:t>
      </w:r>
    </w:p>
    <w:p w:rsidR="00846907" w:rsidRPr="00846907" w:rsidRDefault="00846907" w:rsidP="00846907">
      <w:pPr>
        <w:spacing w:line="360" w:lineRule="auto"/>
        <w:ind w:left="708"/>
        <w:jc w:val="both"/>
      </w:pPr>
      <w:r w:rsidRPr="00846907">
        <w:rPr>
          <w:color w:val="auto"/>
        </w:rPr>
        <w:t>Istotą</w:t>
      </w:r>
      <w:r w:rsidRPr="00846907">
        <w:t xml:space="preserve"> odstępstw jest stosowanie do spełniających określone kryteria źródeł istniejących dopuszczalnych wielkości emisji substancji (w zależności od mechanizmu derogacji – wszystkich substancji albo tylko niektórych), określonych w załączniku II do dyrektywy MCP, nie w terminach określonych w tej dyrektywie, lecz w terminie późniejszym – od dnia 1 stycznia 2030 r. Wielkości dopuszczalnych emisji z załącznika II do dyrektywy MCP zostaną pr</w:t>
      </w:r>
      <w:r w:rsidR="00C92149">
        <w:t xml:space="preserve">zeniesione do prawa polskiego </w:t>
      </w:r>
      <w:r w:rsidRPr="00846907">
        <w:t>przez zmianę rozporządzenia w sprawie standa</w:t>
      </w:r>
      <w:r w:rsidR="00C92149">
        <w:t>rdów emisyjnych</w:t>
      </w:r>
      <w:r w:rsidRPr="00846907">
        <w:t xml:space="preserve"> wydanego na podstawie art. 146 ust. 3 ustawy Poś. </w:t>
      </w:r>
    </w:p>
    <w:p w:rsidR="00846907" w:rsidRPr="00846907" w:rsidRDefault="00846907" w:rsidP="00846907">
      <w:pPr>
        <w:spacing w:line="360" w:lineRule="auto"/>
        <w:ind w:left="708"/>
        <w:jc w:val="both"/>
      </w:pPr>
      <w:r w:rsidRPr="00846907">
        <w:lastRenderedPageBreak/>
        <w:t xml:space="preserve">Pierwotnie w projekcie ustawy zakładano skorzystanie z odstępstwa wynikającego z art. 6 ust. </w:t>
      </w:r>
      <w:r w:rsidR="00C92149">
        <w:t xml:space="preserve">5 akapit drugi dyrektywy MCP, </w:t>
      </w:r>
      <w:r w:rsidRPr="00846907">
        <w:t>przez objęcie odstępstwem w zakresie wymagań emisyjnych</w:t>
      </w:r>
      <w:r>
        <w:t xml:space="preserve"> dla pyłu istniejących źródeł o </w:t>
      </w:r>
      <w:r w:rsidRPr="00846907">
        <w:t>nominalnej mocy cieplnej większ</w:t>
      </w:r>
      <w:r>
        <w:t>ej niż 5 MW opalanych biomasą w </w:t>
      </w:r>
      <w:r w:rsidRPr="00846907">
        <w:t xml:space="preserve">rozumieniu przepisów </w:t>
      </w:r>
      <w:r w:rsidRPr="00846907">
        <w:rPr>
          <w:color w:val="auto"/>
        </w:rPr>
        <w:t>wydanych</w:t>
      </w:r>
      <w:r w:rsidRPr="00846907">
        <w:t xml:space="preserve"> na podstaw</w:t>
      </w:r>
      <w:r>
        <w:t>ie art. 146 ust. 3 ustawy Poś i </w:t>
      </w:r>
      <w:r w:rsidRPr="00846907">
        <w:t xml:space="preserve">zlokalizowanych w strefach, w których są dotrzymywane standardy jakości powietrza. W toku uzgodnień i konsultacji propozycja ta została jednak zakwestionowana. Podstawowym argumentem przemawiającym za niewprowadzaniem tej derogacji jest fakt, że w Polsce jakość powietrza jest niezadowalająca i w większości stref wyróżnionych na potrzeby oceny jakości powietrza występują przekroczenia poziomów dopuszczalnych pyłu zawieszonego PM10 i PM2,5 i poziomu docelowego </w:t>
      </w:r>
      <w:proofErr w:type="spellStart"/>
      <w:r w:rsidRPr="00846907">
        <w:t>benzo</w:t>
      </w:r>
      <w:proofErr w:type="spellEnd"/>
      <w:r w:rsidRPr="00846907">
        <w:t>(a)</w:t>
      </w:r>
      <w:proofErr w:type="spellStart"/>
      <w:r w:rsidRPr="00846907">
        <w:t>pirenu</w:t>
      </w:r>
      <w:proofErr w:type="spellEnd"/>
      <w:r w:rsidRPr="00846907">
        <w:t>. Do występowania tych przekroczeń przyczynia się m.in. spalanie biomasy. W roku 2015 poziomy dopuszczalne pyłu zawieszonego nie były przekraczane tylko na obszarze 6 stref. Ponadto oceniono, że problematyczne byłoby uwzględnienie przy stosowaniu tej derogacji jednego z istotnych kryteriów wskazanyc</w:t>
      </w:r>
      <w:r>
        <w:t>h w </w:t>
      </w:r>
      <w:r w:rsidRPr="00846907">
        <w:t>dyrektywie MCP, jakim jest zlokalizowanie źródła w strefie, w</w:t>
      </w:r>
      <w:r>
        <w:t xml:space="preserve"> </w:t>
      </w:r>
      <w:r w:rsidRPr="00846907">
        <w:t>której są dotrzymane standardy jakości powietrza. Informacje o wynikach oceny poziomów substancji w powietrzu za dany rok kalendarzowy dostępne są bowiem dopiero w</w:t>
      </w:r>
      <w:r>
        <w:t xml:space="preserve"> </w:t>
      </w:r>
      <w:r w:rsidRPr="00846907">
        <w:t>kolejnym roku. O tym, że w odniesieniu do konkretnego źródła nie jest już spełniony wymóg dotyczący jakości powietrza w strefie wiadomo z opóźnieniem jednego roku. Zastosowanie tego odstępstwa mogłoby de facto skutkować stosowaniem do niektórych średnich źródeł spalania paliw łagodniejszych wymagań emisyjnych w zakresie pyłu w sytuacji wystąpienia przekroczenia poziomów dopuszczalnych w strefie. Co więcej, ponieważ fakt występowania przekroczeń jest warunkowany wieloma czynnikami, operator nie miałby gwarancji zachowania odstępstw na zakładany okres pięciu lat. W czasie trwania derogacji mogłoby się okazać, że z uwagi na wystąpienie przekroczeń standardów jakości powietrza w</w:t>
      </w:r>
      <w:r>
        <w:t xml:space="preserve"> </w:t>
      </w:r>
      <w:r w:rsidRPr="00846907">
        <w:t>strefie, w</w:t>
      </w:r>
      <w:r>
        <w:t xml:space="preserve"> </w:t>
      </w:r>
      <w:r w:rsidRPr="00846907">
        <w:t>której zlokalizowane jest źródło, jego operator musiałby zapewnić ograniczenie emisji pyłu z tego ź</w:t>
      </w:r>
      <w:r>
        <w:t>ródła w </w:t>
      </w:r>
      <w:r w:rsidRPr="00846907">
        <w:t>niewykonalnie krótkim czasie. Z tych powodów odstąpiono od dopuszczenia w Polsce odstępstwa wynikającego z art. 6 ust. 5 akapit drugi dyrektywy MCP.</w:t>
      </w:r>
    </w:p>
    <w:p w:rsidR="00846907" w:rsidRPr="00846907" w:rsidRDefault="00846907" w:rsidP="00846907">
      <w:pPr>
        <w:spacing w:line="360" w:lineRule="auto"/>
        <w:ind w:left="709" w:hanging="283"/>
        <w:jc w:val="both"/>
      </w:pPr>
      <w:r w:rsidRPr="00846907">
        <w:lastRenderedPageBreak/>
        <w:t>5.</w:t>
      </w:r>
      <w:r>
        <w:tab/>
      </w:r>
      <w:r w:rsidRPr="00846907">
        <w:rPr>
          <w:color w:val="auto"/>
        </w:rPr>
        <w:t>Zmiana</w:t>
      </w:r>
      <w:r w:rsidRPr="00846907">
        <w:t xml:space="preserve"> art. 147 ustawy Poś (art. 1 pkt 10 projektowanej ustawy) ma na celu przeniesienie postanowienia ust. 4 załącznika III do dyrektywy MCP, zgodnie z którym: „Pierwsze pomiary przeprowadza się w ciągu czterech miesięcy</w:t>
      </w:r>
      <w:r>
        <w:rPr>
          <w:bCs/>
        </w:rPr>
        <w:t xml:space="preserve"> </w:t>
      </w:r>
      <w:r w:rsidRPr="00846907">
        <w:t xml:space="preserve">od uzyskania pozwolenia lub rejestracji obiektu lub od daty rozpoczęcia eksploatacji, w zależności od tego, która z tych dat jest późniejsza.”. Dodawany przepis dotyczy nowo budowanych lub istotnie zmienionych źródeł spalania paliw wymagających zgłoszenia, natomiast odpowiedni przepis dotyczący źródeł istniejących, dla których w obecnym stanie prawnym wykonywanie pomiarów nie jest wymagane, zostanie </w:t>
      </w:r>
      <w:r>
        <w:t>zamieszczony w rozporządzeniu w </w:t>
      </w:r>
      <w:r w:rsidRPr="00846907">
        <w:t>sprawie wymagań w zakresie prowadzenia pomiarów wielkości emisji oraz pomiarów ilości pobieranej wody.</w:t>
      </w:r>
    </w:p>
    <w:p w:rsidR="00846907" w:rsidRPr="00846907" w:rsidRDefault="00846907" w:rsidP="00846907">
      <w:pPr>
        <w:spacing w:line="360" w:lineRule="auto"/>
        <w:ind w:left="709" w:hanging="283"/>
        <w:jc w:val="both"/>
        <w:rPr>
          <w:color w:val="auto"/>
        </w:rPr>
      </w:pPr>
      <w:r>
        <w:rPr>
          <w:color w:val="auto"/>
        </w:rPr>
        <w:t>6.</w:t>
      </w:r>
      <w:r>
        <w:rPr>
          <w:color w:val="auto"/>
        </w:rPr>
        <w:tab/>
      </w:r>
      <w:r w:rsidRPr="00846907">
        <w:rPr>
          <w:color w:val="auto"/>
        </w:rPr>
        <w:t xml:space="preserve">Zmiana art. 152 i art. 184 ustawy Poś, polegająca </w:t>
      </w:r>
      <w:r>
        <w:rPr>
          <w:color w:val="auto"/>
        </w:rPr>
        <w:t>na dodaniu ust. 2b i 2c do art. </w:t>
      </w:r>
      <w:r w:rsidRPr="00846907">
        <w:rPr>
          <w:color w:val="auto"/>
        </w:rPr>
        <w:t>152 oraz ust. 2c i 2d do art. 184 (art. 1 pkt 11 lit. a i pkt 16 projektowanej ustawy), zapewni transpozycję art. 5 ust. 3 dyrektywy MCP. Przepis ten zobowiązuje państwa członkowskie do określenia procedury udzielenia pozwoleń lub rejestracji w odniesieniu do średnich źródeł spalania paliw, jak również nałożenia na operatorów tych źródeł obowiązku poinformowania właściwego organu o eksploatacji lub zamiarze eksploatacji źródła i dostarczenia co najmniej informacji wymienionych w</w:t>
      </w:r>
      <w:r>
        <w:rPr>
          <w:color w:val="auto"/>
        </w:rPr>
        <w:t xml:space="preserve"> </w:t>
      </w:r>
      <w:r w:rsidRPr="00846907">
        <w:rPr>
          <w:color w:val="auto"/>
        </w:rPr>
        <w:t>załączniku I do dyrektywy MCP</w:t>
      </w:r>
      <w:r>
        <w:rPr>
          <w:color w:val="auto"/>
        </w:rPr>
        <w:t>. W </w:t>
      </w:r>
      <w:r w:rsidRPr="00846907">
        <w:rPr>
          <w:color w:val="auto"/>
        </w:rPr>
        <w:t>Polsce średnie źródła spalania paliw są już objęte pozwoleniami lub zgłoszeniami (odpowiadającymi wprowadzonemu dyrektywą MCP mechanizmowi rejestracji), na mocy przepisów ustawy Poś. Ustawa określa szczegółowo tryb i procedurę wydawania pozwoleń i dokonywania zgłoszeń. Zakres podmiotowy tych obowiązków jest określony w art. 180 i art. 152 ust. 1 ustawy oraz w</w:t>
      </w:r>
      <w:r>
        <w:rPr>
          <w:color w:val="auto"/>
        </w:rPr>
        <w:t xml:space="preserve"> </w:t>
      </w:r>
      <w:r w:rsidRPr="00846907">
        <w:rPr>
          <w:color w:val="auto"/>
        </w:rPr>
        <w:t xml:space="preserve">przywołanych wcześniej rozporządzeniach wykonawczych wydanych przez Ministra Środowiska na podstawie art. 153 i art. 220 ust. 2 ustawy Poś. Pełna transpozycja art. 5 ust. 3 dyrektywy MCP wymaga uzupełnienia </w:t>
      </w:r>
      <w:r w:rsidR="00C874CC">
        <w:rPr>
          <w:color w:val="auto"/>
        </w:rPr>
        <w:t xml:space="preserve">przepisów art. 152 i art. 184 </w:t>
      </w:r>
      <w:r w:rsidRPr="00846907">
        <w:rPr>
          <w:color w:val="auto"/>
        </w:rPr>
        <w:t xml:space="preserve">przez wskazanie tych informacji zamieszczanych we wniosku o wydanie pozwolenia oraz w zgłoszeniu instalacji, które są wymienione w załączniku I do dyrektywy MCP. Istotne jest przy tym, aby operatorzy źródeł przekazywali organom informacje o wszystkich rodzajach paliw spalanych w źródle, dla których określono wymagania emisyjne </w:t>
      </w:r>
      <w:r w:rsidRPr="00846907">
        <w:rPr>
          <w:color w:val="auto"/>
        </w:rPr>
        <w:lastRenderedPageBreak/>
        <w:t>w</w:t>
      </w:r>
      <w:r>
        <w:rPr>
          <w:color w:val="auto"/>
        </w:rPr>
        <w:t> </w:t>
      </w:r>
      <w:r w:rsidRPr="00846907">
        <w:rPr>
          <w:color w:val="auto"/>
        </w:rPr>
        <w:t>załączniku II do dyrektywy MCP oraz przewidziano różne odstępstwa od ogólnie obowiązujących wymagań. Dotyczy to takich paliw jak:</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biomasa w rozumieniu przepisów wydanych na podstawie 146 ust. 3, z</w:t>
      </w:r>
      <w:r>
        <w:rPr>
          <w:color w:val="auto"/>
        </w:rPr>
        <w:t> </w:t>
      </w:r>
      <w:r w:rsidRPr="00846907">
        <w:rPr>
          <w:color w:val="auto"/>
        </w:rPr>
        <w:t>wyszczególnieniem:</w:t>
      </w:r>
      <w:r>
        <w:rPr>
          <w:color w:val="auto"/>
        </w:rPr>
        <w:t xml:space="preserve"> </w:t>
      </w:r>
      <w:r w:rsidRPr="00846907">
        <w:rPr>
          <w:color w:val="auto"/>
        </w:rPr>
        <w:t>biomasy drzewnej, słomy i innej biomasy,</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węgiel kamienny,</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olej napędowy,</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ciężki olej opałowy,</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gaz ziemny,</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 xml:space="preserve">niskokaloryczne gazy koksownicze w hutnictwie żelaza i stali, </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niskokaloryczne gazy wielkopiecowe w hutnictwie żelaza i stali,</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biogaz,</w:t>
      </w:r>
    </w:p>
    <w:p w:rsidR="00846907" w:rsidRPr="00846907" w:rsidRDefault="00846907" w:rsidP="00846907">
      <w:pPr>
        <w:pStyle w:val="Akapitzlist"/>
        <w:numPr>
          <w:ilvl w:val="0"/>
          <w:numId w:val="1"/>
        </w:numPr>
        <w:spacing w:line="360" w:lineRule="auto"/>
        <w:ind w:left="993" w:hanging="284"/>
        <w:jc w:val="both"/>
        <w:rPr>
          <w:color w:val="auto"/>
        </w:rPr>
      </w:pPr>
      <w:r w:rsidRPr="00846907">
        <w:rPr>
          <w:color w:val="auto"/>
        </w:rPr>
        <w:t>paliwa stałe, ciekłe i gazowe inne niż wymienione powyżej.</w:t>
      </w:r>
    </w:p>
    <w:p w:rsidR="00846907" w:rsidRPr="00846907" w:rsidRDefault="00846907" w:rsidP="00846907">
      <w:pPr>
        <w:spacing w:line="360" w:lineRule="auto"/>
        <w:ind w:left="708"/>
        <w:jc w:val="both"/>
        <w:rPr>
          <w:color w:val="auto"/>
        </w:rPr>
      </w:pPr>
      <w:r w:rsidRPr="00846907">
        <w:rPr>
          <w:color w:val="auto"/>
        </w:rPr>
        <w:t xml:space="preserve">Informacja o paliwach uszczegółowiona w ww. sposób umożliwi określenie standardu obowiązującego dane źródło. </w:t>
      </w:r>
    </w:p>
    <w:p w:rsidR="00846907" w:rsidRPr="00846907" w:rsidRDefault="00846907" w:rsidP="00846907">
      <w:pPr>
        <w:spacing w:line="360" w:lineRule="auto"/>
        <w:ind w:left="708"/>
        <w:jc w:val="both"/>
        <w:rPr>
          <w:color w:val="auto"/>
        </w:rPr>
      </w:pPr>
      <w:r w:rsidRPr="00846907">
        <w:rPr>
          <w:color w:val="auto"/>
        </w:rPr>
        <w:t>Z tego samego powodu przekazywane organom informacje o rodzaju źródeł spalania paliw powinny nie tylko uwzględniać rodzaje źródeł wskazane w ust. 2 załącznika I do dyrektywy MCP (tj. kocioł, turbina gazowa, silnik Diesla, silnik dwupaliwowy, inny silnik lub inne źródło spalania paliw), ale w przypadku silników Diesla wyróżniać silniki Diesla z</w:t>
      </w:r>
      <w:r>
        <w:rPr>
          <w:color w:val="auto"/>
        </w:rPr>
        <w:t xml:space="preserve"> </w:t>
      </w:r>
      <w:r w:rsidRPr="00846907">
        <w:rPr>
          <w:color w:val="auto"/>
        </w:rPr>
        <w:t xml:space="preserve">prędkością obrotową ≤1200 </w:t>
      </w:r>
      <w:proofErr w:type="spellStart"/>
      <w:r w:rsidRPr="00846907">
        <w:rPr>
          <w:color w:val="auto"/>
        </w:rPr>
        <w:t>obr</w:t>
      </w:r>
      <w:proofErr w:type="spellEnd"/>
      <w:r w:rsidRPr="00846907">
        <w:rPr>
          <w:color w:val="auto"/>
        </w:rPr>
        <w:t xml:space="preserve">./min. oraz silniki Diesla z prędkością obrotową &gt;1200 </w:t>
      </w:r>
      <w:proofErr w:type="spellStart"/>
      <w:r w:rsidRPr="00846907">
        <w:rPr>
          <w:color w:val="auto"/>
        </w:rPr>
        <w:t>obr</w:t>
      </w:r>
      <w:proofErr w:type="spellEnd"/>
      <w:r w:rsidRPr="00846907">
        <w:rPr>
          <w:color w:val="auto"/>
        </w:rPr>
        <w:t>./min. Duża szczegółowość tych informacji jest wymuszona potrzebami w z</w:t>
      </w:r>
      <w:r>
        <w:rPr>
          <w:color w:val="auto"/>
        </w:rPr>
        <w:t>akresie inwentaryzacji źródeł i </w:t>
      </w:r>
      <w:r w:rsidRPr="00846907">
        <w:rPr>
          <w:color w:val="auto"/>
        </w:rPr>
        <w:t>bilansowania emisji wskazywanymi przez</w:t>
      </w:r>
      <w:r w:rsidR="0047725C">
        <w:rPr>
          <w:color w:val="auto"/>
        </w:rPr>
        <w:t xml:space="preserve"> Krajowy ośrodek b</w:t>
      </w:r>
      <w:r>
        <w:rPr>
          <w:color w:val="auto"/>
        </w:rPr>
        <w:t>ilansowania i </w:t>
      </w:r>
      <w:r w:rsidR="0047725C">
        <w:rPr>
          <w:color w:val="auto"/>
        </w:rPr>
        <w:t>zarządzania e</w:t>
      </w:r>
      <w:r w:rsidRPr="00846907">
        <w:rPr>
          <w:color w:val="auto"/>
        </w:rPr>
        <w:t>misjami (KOBiZE).</w:t>
      </w:r>
    </w:p>
    <w:p w:rsidR="00846907" w:rsidRPr="00846907" w:rsidRDefault="00846907" w:rsidP="00846907">
      <w:pPr>
        <w:spacing w:line="360" w:lineRule="auto"/>
        <w:ind w:left="709" w:hanging="283"/>
        <w:jc w:val="both"/>
        <w:rPr>
          <w:color w:val="auto"/>
        </w:rPr>
      </w:pPr>
      <w:r>
        <w:rPr>
          <w:color w:val="auto"/>
        </w:rPr>
        <w:t>7.</w:t>
      </w:r>
      <w:r>
        <w:rPr>
          <w:color w:val="auto"/>
        </w:rPr>
        <w:tab/>
      </w:r>
      <w:r w:rsidRPr="00846907">
        <w:rPr>
          <w:color w:val="auto"/>
        </w:rPr>
        <w:t xml:space="preserve">Zmiana art. 152 i art. 184 ustawy Poś, </w:t>
      </w:r>
      <w:r>
        <w:rPr>
          <w:color w:val="auto"/>
        </w:rPr>
        <w:t>polegająca na dodaniu ust. 6a–6c do art. </w:t>
      </w:r>
      <w:r w:rsidRPr="00846907">
        <w:rPr>
          <w:color w:val="auto"/>
        </w:rPr>
        <w:t xml:space="preserve">152 i ust. </w:t>
      </w:r>
      <w:r>
        <w:rPr>
          <w:color w:val="auto"/>
        </w:rPr>
        <w:t>2e–</w:t>
      </w:r>
      <w:r w:rsidRPr="00846907">
        <w:rPr>
          <w:color w:val="auto"/>
        </w:rPr>
        <w:t>2g do art. 184 (art. 1 pkt 11 lit. c i pkt 16 projektowanej ustawy), za</w:t>
      </w:r>
      <w:bookmarkStart w:id="0" w:name="_GoBack"/>
      <w:r w:rsidRPr="00846907">
        <w:rPr>
          <w:color w:val="auto"/>
        </w:rPr>
        <w:t>p</w:t>
      </w:r>
      <w:bookmarkEnd w:id="0"/>
      <w:r w:rsidRPr="00846907">
        <w:rPr>
          <w:color w:val="auto"/>
        </w:rPr>
        <w:t>ewni transpozycję art. 7 dyrektywy MCP, który zobowiązuje operatorów średnich źródeł spalania paliw m.in. do przechowywania odpowiednich informacji i danych dotyczących źródła przez okres</w:t>
      </w:r>
      <w:r>
        <w:rPr>
          <w:color w:val="auto"/>
        </w:rPr>
        <w:t xml:space="preserve"> 6 lat i </w:t>
      </w:r>
      <w:r w:rsidRPr="00846907">
        <w:rPr>
          <w:color w:val="auto"/>
        </w:rPr>
        <w:t>udostępniania tych danych przez operatora źródła na każde żądanie organu.</w:t>
      </w:r>
    </w:p>
    <w:p w:rsidR="00846907" w:rsidRPr="00846907" w:rsidRDefault="00846907" w:rsidP="00846907">
      <w:pPr>
        <w:spacing w:line="360" w:lineRule="auto"/>
        <w:ind w:left="709" w:hanging="283"/>
        <w:jc w:val="both"/>
        <w:rPr>
          <w:color w:val="auto"/>
        </w:rPr>
      </w:pPr>
      <w:r w:rsidRPr="00846907">
        <w:rPr>
          <w:color w:val="auto"/>
        </w:rPr>
        <w:t>8.</w:t>
      </w:r>
      <w:r>
        <w:rPr>
          <w:color w:val="auto"/>
        </w:rPr>
        <w:tab/>
      </w:r>
      <w:r w:rsidRPr="00846907">
        <w:rPr>
          <w:color w:val="auto"/>
        </w:rPr>
        <w:t xml:space="preserve">Dodanie do ustawy Poś przepisów art. 152a i art. 188a oraz nowego działu </w:t>
      </w:r>
      <w:proofErr w:type="spellStart"/>
      <w:r w:rsidRPr="00846907">
        <w:rPr>
          <w:color w:val="auto"/>
        </w:rPr>
        <w:t>IVb</w:t>
      </w:r>
      <w:proofErr w:type="spellEnd"/>
      <w:r w:rsidRPr="00846907">
        <w:rPr>
          <w:color w:val="auto"/>
        </w:rPr>
        <w:t xml:space="preserve"> w tytule III (zawierającego art. 236e) powinno za</w:t>
      </w:r>
      <w:r>
        <w:rPr>
          <w:color w:val="auto"/>
        </w:rPr>
        <w:t>pewnić transpozycję art. 5 ust. </w:t>
      </w:r>
      <w:r w:rsidRPr="00846907">
        <w:rPr>
          <w:color w:val="auto"/>
        </w:rPr>
        <w:t xml:space="preserve">5 dyrektywy MCP, który stanowi, że właściwe organy prowadzą rejestr zawierający informacje o każdym średnim źródle spalania paliw, w tym </w:t>
      </w:r>
      <w:r w:rsidRPr="00846907">
        <w:rPr>
          <w:color w:val="auto"/>
        </w:rPr>
        <w:lastRenderedPageBreak/>
        <w:t xml:space="preserve">informacje wymienione w załączniku I </w:t>
      </w:r>
      <w:proofErr w:type="spellStart"/>
      <w:r w:rsidRPr="00846907">
        <w:rPr>
          <w:color w:val="auto"/>
        </w:rPr>
        <w:t>i</w:t>
      </w:r>
      <w:proofErr w:type="spellEnd"/>
      <w:r w:rsidRPr="00846907">
        <w:rPr>
          <w:color w:val="auto"/>
        </w:rPr>
        <w:t xml:space="preserve"> informacje o</w:t>
      </w:r>
      <w:r>
        <w:rPr>
          <w:color w:val="auto"/>
        </w:rPr>
        <w:t xml:space="preserve"> </w:t>
      </w:r>
      <w:r w:rsidRPr="00846907">
        <w:rPr>
          <w:color w:val="auto"/>
        </w:rPr>
        <w:t>zmianach w źródle, jak również muszą informować operatora źródła o fakcie rejestracji. Dyrektywa MCP wymaga, aby źród</w:t>
      </w:r>
      <w:r w:rsidR="00BB3C40">
        <w:rPr>
          <w:color w:val="auto"/>
        </w:rPr>
        <w:t>ła istniejące były włączane do R</w:t>
      </w:r>
      <w:r w:rsidRPr="00846907">
        <w:rPr>
          <w:color w:val="auto"/>
        </w:rPr>
        <w:t xml:space="preserve">ejestru od dnia zarejestrowania albo od dnia uzyskania pozwolenia zgodnie z dyrektywą. Termin ten dla źródeł o nominalnej mocy cieplnej większej niż 5 MW został określony na dzień 1 stycznia 2024 r., natomiast dla źródeł o nominalnej mocy cieplnej do 5 MW na dzień 1 stycznia 2029 r. </w:t>
      </w:r>
    </w:p>
    <w:p w:rsidR="00846907" w:rsidRPr="00846907" w:rsidRDefault="00846907" w:rsidP="00846907">
      <w:pPr>
        <w:spacing w:line="360" w:lineRule="auto"/>
        <w:ind w:left="708"/>
        <w:jc w:val="both"/>
      </w:pPr>
      <w:r w:rsidRPr="00846907">
        <w:rPr>
          <w:color w:val="auto"/>
        </w:rPr>
        <w:t xml:space="preserve">W Polsce średnie źródła spalania paliw są już objęte systemem pozwoleń lub zgłoszeń. </w:t>
      </w:r>
      <w:r w:rsidRPr="00846907">
        <w:t>W projektowanej ustawie przyjęto, że rejestr tych źródeł będzie prowadzony od dnia 1</w:t>
      </w:r>
      <w:r>
        <w:t xml:space="preserve"> </w:t>
      </w:r>
      <w:r w:rsidRPr="00846907">
        <w:t xml:space="preserve">stycznia 2019 r. i z tą datą zostaną w nim zamieszczone informacje dotyczące źródeł, dla których zgłoszenie będzie dokonane lub pozwolenie wydane po dniu wejścia w </w:t>
      </w:r>
      <w:r>
        <w:t>życie ustawy. Na bieżąco będą w </w:t>
      </w:r>
      <w:r w:rsidRPr="00846907">
        <w:t>rejestrze zamieszczane informacje o źródłach nowych w rozumieniu dyrektywy MCP, natomiast informacje dotyczące źródeł, dla których zgłoszenie zostało dokonane albo pozwolenie zostało wydane przed wejściem w życie projektowanej ustawy, powinny być zamiesz</w:t>
      </w:r>
      <w:r>
        <w:t>czone w rejestrze w terminie 36 </w:t>
      </w:r>
      <w:r w:rsidRPr="00846907">
        <w:t>miesięcy od dnia wejścia w życie tej ustawy</w:t>
      </w:r>
      <w:r>
        <w:t>. W związku z tym, w okresie 24 </w:t>
      </w:r>
      <w:r w:rsidRPr="00846907">
        <w:t>miesięcy, licząc od dnia wejścia w życie projektowanej ustawy, organy ochrony środowiska powinny przekazać do KOBiZE</w:t>
      </w:r>
      <w:r>
        <w:t xml:space="preserve"> </w:t>
      </w:r>
      <w:r w:rsidRPr="00846907">
        <w:t xml:space="preserve">informacje dotyczące takich źródeł wskazane w art. 152 ust. 2 pkt 1 i 2 oraz ust. 2b i </w:t>
      </w:r>
      <w:r>
        <w:t>art. 184 ust. 2 pkt </w:t>
      </w:r>
      <w:r w:rsidRPr="00846907">
        <w:t>1 i 2 oraz ust. 2c, a także wynikające z oświadczeń, o których mowa w art. 152 ust. 2c i art.184 ust. 2d.</w:t>
      </w:r>
    </w:p>
    <w:p w:rsidR="00846907" w:rsidRPr="00846907" w:rsidRDefault="00846907" w:rsidP="00846907">
      <w:pPr>
        <w:spacing w:line="360" w:lineRule="auto"/>
        <w:ind w:left="708"/>
        <w:jc w:val="both"/>
        <w:rPr>
          <w:color w:val="auto"/>
        </w:rPr>
      </w:pPr>
      <w:r w:rsidRPr="00846907">
        <w:rPr>
          <w:color w:val="auto"/>
        </w:rPr>
        <w:t>Pierwotnie zakładano, że rejestry średnich źródeł spalania paliw mogłyby być prowadzone przez organy ochrony środowiska właściwe do wydania pozwolenia lub do przyjęcia zgłoszenia. Przy takim rozwiązaniu funkcjonowałoby jednak w</w:t>
      </w:r>
      <w:r>
        <w:rPr>
          <w:color w:val="auto"/>
        </w:rPr>
        <w:t> </w:t>
      </w:r>
      <w:r w:rsidRPr="00846907">
        <w:rPr>
          <w:color w:val="auto"/>
        </w:rPr>
        <w:t>Polsce kilkaset rejestrów. Ostatecznie przyjęto, że rejestr będzie prowadzony przez KOBiZE w ramach środków będących w</w:t>
      </w:r>
      <w:r>
        <w:rPr>
          <w:color w:val="auto"/>
        </w:rPr>
        <w:t xml:space="preserve"> </w:t>
      </w:r>
      <w:r w:rsidRPr="00846907">
        <w:rPr>
          <w:color w:val="auto"/>
        </w:rPr>
        <w:t>jego dyspozycji. Rozwiązanie takie zapewni prowadzenie jednego rejestru dla wszystkich średnich źródeł spalania paliw eksploatowanych w Polsce. Z tego powodu organy ochrony środowiska będą musiały przekazywać do KOBiZE odpowiednie informacje dotyczące przyjętych zgłoszeń i wydanych pozwoleń na emisję (art. 1 pkt 12</w:t>
      </w:r>
      <w:r>
        <w:rPr>
          <w:color w:val="auto"/>
        </w:rPr>
        <w:t xml:space="preserve"> i </w:t>
      </w:r>
      <w:r w:rsidRPr="00846907">
        <w:rPr>
          <w:color w:val="auto"/>
        </w:rPr>
        <w:t xml:space="preserve">17 oraz art. 4 i 5 projektowanej ustawy). </w:t>
      </w:r>
    </w:p>
    <w:p w:rsidR="00846907" w:rsidRPr="00846907" w:rsidRDefault="00846907" w:rsidP="00846907">
      <w:pPr>
        <w:spacing w:line="360" w:lineRule="auto"/>
        <w:ind w:left="708"/>
        <w:jc w:val="both"/>
      </w:pPr>
      <w:r w:rsidRPr="00846907">
        <w:rPr>
          <w:color w:val="auto"/>
        </w:rPr>
        <w:lastRenderedPageBreak/>
        <w:t>Zmiana art. 152 i art. 184 ustawy Poś polegająca na dodaniu ust. 6a</w:t>
      </w:r>
      <w:r>
        <w:rPr>
          <w:color w:val="auto"/>
        </w:rPr>
        <w:t>–6c do art. </w:t>
      </w:r>
      <w:r w:rsidRPr="00846907">
        <w:rPr>
          <w:color w:val="auto"/>
        </w:rPr>
        <w:t xml:space="preserve">152 </w:t>
      </w:r>
      <w:r>
        <w:rPr>
          <w:color w:val="auto"/>
        </w:rPr>
        <w:t>oraz ust. 2e–</w:t>
      </w:r>
      <w:r w:rsidRPr="00846907">
        <w:rPr>
          <w:color w:val="auto"/>
        </w:rPr>
        <w:t xml:space="preserve">2g do art. 184 (art. 1 pkt 11 i 16 projektowanej ustawy) zapewnia przeniesienie do </w:t>
      </w:r>
      <w:r w:rsidRPr="00846907">
        <w:t>prawa polski</w:t>
      </w:r>
      <w:r>
        <w:t>ego postanowień art. 7 ust. 4–</w:t>
      </w:r>
      <w:r w:rsidRPr="00846907">
        <w:t>7 dyrektywy MCP. Przepisy te dotyczą przechowywania przez operatora źródła odpowiednich informacji lub danych oraz udostępniania ich na żądanie organu.</w:t>
      </w:r>
    </w:p>
    <w:p w:rsidR="00846907" w:rsidRPr="00846907" w:rsidRDefault="00846907" w:rsidP="00846907">
      <w:pPr>
        <w:spacing w:line="360" w:lineRule="auto"/>
        <w:ind w:left="709" w:hanging="283"/>
        <w:jc w:val="both"/>
        <w:rPr>
          <w:color w:val="auto"/>
        </w:rPr>
      </w:pPr>
      <w:r>
        <w:rPr>
          <w:color w:val="auto"/>
        </w:rPr>
        <w:t>9.</w:t>
      </w:r>
      <w:r>
        <w:rPr>
          <w:color w:val="auto"/>
        </w:rPr>
        <w:tab/>
      </w:r>
      <w:r w:rsidRPr="00846907">
        <w:rPr>
          <w:color w:val="auto"/>
        </w:rPr>
        <w:t>Zmiana art. 154 ustawy Poś (art. 1 pkt 13 projektowanej ustawy), polegająca na dodaniu do tego artykułu ust. 1a, ma na celu realiza</w:t>
      </w:r>
      <w:r>
        <w:rPr>
          <w:color w:val="auto"/>
        </w:rPr>
        <w:t>cję postanowień art. 6 ust. 2 i </w:t>
      </w:r>
      <w:r w:rsidRPr="00846907">
        <w:rPr>
          <w:color w:val="auto"/>
        </w:rPr>
        <w:t>7 dyrektywy MCP, z</w:t>
      </w:r>
      <w:r>
        <w:rPr>
          <w:color w:val="auto"/>
        </w:rPr>
        <w:t xml:space="preserve"> </w:t>
      </w:r>
      <w:r w:rsidRPr="00846907">
        <w:rPr>
          <w:color w:val="auto"/>
        </w:rPr>
        <w:t>których wynika konieczność zapewnienia, iż żadne średnie źródło spalania paliw nie będzie eksploatowane z naruszeniem wymagań emisyjnych wynikających z załącznika II do dyrektywy. W odniesieniu do źródeł wymagających pozwolenia na emisję realizacja</w:t>
      </w:r>
      <w:r w:rsidR="00C874CC">
        <w:rPr>
          <w:color w:val="auto"/>
        </w:rPr>
        <w:t xml:space="preserve"> tych wymagań jest zapewniona </w:t>
      </w:r>
      <w:r w:rsidRPr="00846907">
        <w:rPr>
          <w:color w:val="auto"/>
        </w:rPr>
        <w:t>przez wynikający z ustawy Poś wymóg szczegółowego określania w pozwoleniu warunków oraz dopuszczalnych wielkości emisji dla źródła oraz wprowadzenie sankcji administracyjnych za naruszenie warunków pozwolenia. Odpowiednich regulacji ni</w:t>
      </w:r>
      <w:r>
        <w:rPr>
          <w:color w:val="auto"/>
        </w:rPr>
        <w:t>e ma w obecnym stanie prawnym w </w:t>
      </w:r>
      <w:r w:rsidRPr="00846907">
        <w:rPr>
          <w:color w:val="auto"/>
        </w:rPr>
        <w:t>odniesieniu do wszystkich źródeł wymagających zgłoszenia. Obecnie organy właściwe do przyjęcia zgłoszenia mają bowiem możliwość, a nie obowiązek, wydania dla takich źródeł decyzji eksploatacyjnych, o</w:t>
      </w:r>
      <w:r>
        <w:rPr>
          <w:color w:val="auto"/>
        </w:rPr>
        <w:t xml:space="preserve"> </w:t>
      </w:r>
      <w:r w:rsidRPr="00846907">
        <w:rPr>
          <w:color w:val="auto"/>
        </w:rPr>
        <w:t>których mowa w art. 154 ust. 1 ustawy Poś. Prawidłowe wypełnie</w:t>
      </w:r>
      <w:r>
        <w:rPr>
          <w:color w:val="auto"/>
        </w:rPr>
        <w:t>nie postanowień dyrektywy MCP w </w:t>
      </w:r>
      <w:r w:rsidRPr="00846907">
        <w:rPr>
          <w:color w:val="auto"/>
        </w:rPr>
        <w:t>zakresie skutecznego egzekwowania spełniania wymagań emisyjnych w</w:t>
      </w:r>
      <w:r>
        <w:rPr>
          <w:color w:val="auto"/>
        </w:rPr>
        <w:t> </w:t>
      </w:r>
      <w:r w:rsidRPr="00846907">
        <w:rPr>
          <w:color w:val="auto"/>
        </w:rPr>
        <w:t xml:space="preserve">odniesieniu do średnich źródeł podlegających zgłoszeniu, wymaga objęcia wszystkich tych źródeł decyzjami eksploatacyjnymi, w których będą określane warunki i wielkości emisji. Naruszanie warunków takich decyzji jest objęte sankcją administracyjną na mocy art. 367 ust. 1 pkt 2 ustawy Poś. </w:t>
      </w:r>
    </w:p>
    <w:p w:rsidR="00846907" w:rsidRPr="00846907" w:rsidRDefault="00846907" w:rsidP="00846907">
      <w:pPr>
        <w:spacing w:line="360" w:lineRule="auto"/>
        <w:ind w:left="709" w:hanging="425"/>
        <w:jc w:val="both"/>
        <w:rPr>
          <w:color w:val="auto"/>
        </w:rPr>
      </w:pPr>
      <w:r w:rsidRPr="00846907">
        <w:rPr>
          <w:color w:val="auto"/>
        </w:rPr>
        <w:t>10.</w:t>
      </w:r>
      <w:r>
        <w:rPr>
          <w:color w:val="auto"/>
        </w:rPr>
        <w:tab/>
      </w:r>
      <w:r w:rsidRPr="00846907">
        <w:rPr>
          <w:color w:val="auto"/>
        </w:rPr>
        <w:t>Konieczność zmiany art. 157a ust. 2 ustawy Poś (art. 1 pkt 14 projektowanej ustawy) i</w:t>
      </w:r>
      <w:r>
        <w:rPr>
          <w:color w:val="auto"/>
        </w:rPr>
        <w:t xml:space="preserve"> </w:t>
      </w:r>
      <w:r w:rsidRPr="00846907">
        <w:rPr>
          <w:color w:val="auto"/>
        </w:rPr>
        <w:t>dodania do niego pkt 3 wynika z</w:t>
      </w:r>
      <w:r>
        <w:rPr>
          <w:color w:val="auto"/>
        </w:rPr>
        <w:t xml:space="preserve"> </w:t>
      </w:r>
      <w:r w:rsidRPr="00846907">
        <w:rPr>
          <w:color w:val="auto"/>
        </w:rPr>
        <w:t>potrzeby przeniesienia do prawa polskiego zasady łączenia źródeł sformułowanej w art. 4 dyrektywy MCP. Z</w:t>
      </w:r>
      <w:r w:rsidR="00C874CC">
        <w:rPr>
          <w:color w:val="auto"/>
        </w:rPr>
        <w:t>asada ta ma zastosowanie wyłącz</w:t>
      </w:r>
      <w:r w:rsidRPr="00846907">
        <w:rPr>
          <w:color w:val="auto"/>
        </w:rPr>
        <w:t>nie do no</w:t>
      </w:r>
      <w:r>
        <w:rPr>
          <w:color w:val="auto"/>
        </w:rPr>
        <w:t>wych średnich źródeł spalania w </w:t>
      </w:r>
      <w:r w:rsidRPr="00846907">
        <w:rPr>
          <w:color w:val="auto"/>
        </w:rPr>
        <w:t>rozumieniu dyrektywy MCP, tj. źródeł odd</w:t>
      </w:r>
      <w:r>
        <w:rPr>
          <w:color w:val="auto"/>
        </w:rPr>
        <w:t>anych do użytkowania po dniu 19 </w:t>
      </w:r>
      <w:r w:rsidRPr="00846907">
        <w:rPr>
          <w:color w:val="auto"/>
        </w:rPr>
        <w:t>grudnia 2018 r., a jeżeli pozwolenie na ich budow</w:t>
      </w:r>
      <w:r>
        <w:rPr>
          <w:color w:val="auto"/>
        </w:rPr>
        <w:t>ę wydano po dniu 18 </w:t>
      </w:r>
      <w:r w:rsidRPr="00846907">
        <w:rPr>
          <w:color w:val="auto"/>
        </w:rPr>
        <w:t xml:space="preserve">grudnia 2017 r. – oddanych do użytkowania po dniu 20 grudnia 2018 r. Co istotne, powinna być ona stosowana także do takich połączeń nowych średnich źródeł, w przypadku których łączna nominalna moc cieplna wynosi nie mniej </w:t>
      </w:r>
      <w:r w:rsidRPr="00846907">
        <w:rPr>
          <w:color w:val="auto"/>
        </w:rPr>
        <w:lastRenderedPageBreak/>
        <w:t>niż 50 MW, do których nie stosuje się przepisów</w:t>
      </w:r>
      <w:r>
        <w:rPr>
          <w:color w:val="auto"/>
        </w:rPr>
        <w:t xml:space="preserve"> rozdziału III dyrektywy IED. Z </w:t>
      </w:r>
      <w:r w:rsidRPr="00846907">
        <w:rPr>
          <w:color w:val="auto"/>
        </w:rPr>
        <w:t>tego powodu, formułując zasadę łączenia średnich źródeł n</w:t>
      </w:r>
      <w:r w:rsidR="00C874CC">
        <w:rPr>
          <w:color w:val="auto"/>
        </w:rPr>
        <w:t>ależało wskazać, iż w przypadku</w:t>
      </w:r>
      <w:r w:rsidRPr="00846907">
        <w:rPr>
          <w:color w:val="auto"/>
        </w:rPr>
        <w:t xml:space="preserve"> gdy suma nominalnych mocy cieplnych poszczególnych części źródła złożonego z kilku kotłów wynosi nie mniej niż 50 MW, to należy przyjąć, że całkowita nominalna moc cieplna źródła nie osiąga wartości 50 MW.</w:t>
      </w:r>
    </w:p>
    <w:p w:rsidR="00846907" w:rsidRPr="00846907" w:rsidRDefault="00846907" w:rsidP="00846907">
      <w:pPr>
        <w:spacing w:line="360" w:lineRule="auto"/>
        <w:ind w:left="709" w:hanging="425"/>
        <w:jc w:val="both"/>
      </w:pPr>
      <w:r>
        <w:rPr>
          <w:color w:val="auto"/>
        </w:rPr>
        <w:t>11.</w:t>
      </w:r>
      <w:r>
        <w:rPr>
          <w:color w:val="auto"/>
        </w:rPr>
        <w:tab/>
      </w:r>
      <w:r w:rsidRPr="00846907">
        <w:rPr>
          <w:color w:val="auto"/>
        </w:rPr>
        <w:t xml:space="preserve">Zmiana art. 342 ustawy Poś (art. 1 pkt 19 projektowanej ustawy) </w:t>
      </w:r>
      <w:r w:rsidRPr="00846907">
        <w:t>jest konsekwencją zmiany art. 154 (dodania ust. 1a).</w:t>
      </w:r>
    </w:p>
    <w:p w:rsidR="00846907" w:rsidRPr="00C874CC" w:rsidRDefault="00846907" w:rsidP="00846907">
      <w:pPr>
        <w:spacing w:line="360" w:lineRule="auto"/>
        <w:ind w:left="426" w:hanging="426"/>
        <w:rPr>
          <w:b/>
          <w:color w:val="auto"/>
        </w:rPr>
      </w:pPr>
      <w:r w:rsidRPr="00C874CC">
        <w:rPr>
          <w:b/>
          <w:color w:val="auto"/>
        </w:rPr>
        <w:t>III.</w:t>
      </w:r>
      <w:r w:rsidRPr="00C874CC">
        <w:rPr>
          <w:b/>
          <w:color w:val="auto"/>
        </w:rPr>
        <w:tab/>
        <w:t>Zmiany ustawy Poś niezwiązan</w:t>
      </w:r>
      <w:r w:rsidR="00C874CC" w:rsidRPr="00C874CC">
        <w:rPr>
          <w:b/>
          <w:color w:val="auto"/>
        </w:rPr>
        <w:t>e z transpozycją dyrektywy MCP</w:t>
      </w:r>
    </w:p>
    <w:p w:rsidR="00846907" w:rsidRPr="00846907" w:rsidRDefault="00846907" w:rsidP="00846907">
      <w:pPr>
        <w:pStyle w:val="Akapitzlist"/>
        <w:spacing w:line="360" w:lineRule="auto"/>
        <w:ind w:left="709" w:hanging="283"/>
        <w:jc w:val="both"/>
        <w:rPr>
          <w:color w:val="auto"/>
        </w:rPr>
      </w:pPr>
      <w:r w:rsidRPr="00846907">
        <w:rPr>
          <w:color w:val="auto"/>
        </w:rPr>
        <w:t xml:space="preserve">1. </w:t>
      </w:r>
      <w:r>
        <w:rPr>
          <w:color w:val="auto"/>
        </w:rPr>
        <w:t>Proponowane zmiany art. 146a–146c ustawy Poś (art. 1 pkt 4–</w:t>
      </w:r>
      <w:r w:rsidRPr="00846907">
        <w:rPr>
          <w:color w:val="auto"/>
        </w:rPr>
        <w:t>6 projektowanej ustawy) polegają na wskazaniu, iż w dużych źródłach spalania paliw objętych derogacjami dopuszczonymi na mocy dyrektywy IED nie mogą być spalane odpady niezaliczone do biomasy w rozumieniu przepisów wydanych na podstawie art. 146 ust. 3 ustawy Poś</w:t>
      </w:r>
      <w:r w:rsidR="00C874CC">
        <w:rPr>
          <w:color w:val="auto"/>
        </w:rPr>
        <w:t>.</w:t>
      </w:r>
      <w:r>
        <w:rPr>
          <w:color w:val="auto"/>
        </w:rPr>
        <w:t xml:space="preserve"> </w:t>
      </w:r>
      <w:r w:rsidRPr="00846907">
        <w:rPr>
          <w:color w:val="auto"/>
        </w:rPr>
        <w:t>Wprowadzenie tego ograniczenia</w:t>
      </w:r>
      <w:r>
        <w:rPr>
          <w:color w:val="auto"/>
        </w:rPr>
        <w:t xml:space="preserve"> wynika z </w:t>
      </w:r>
      <w:r w:rsidRPr="00846907">
        <w:rPr>
          <w:color w:val="auto"/>
        </w:rPr>
        <w:t>potrzeby usunięcia wątpliwości interpretacyjnych powstałych na gruncie obecnego brzmienia tych przepisów. Przepisy art. 146a</w:t>
      </w:r>
      <w:r>
        <w:rPr>
          <w:color w:val="auto"/>
        </w:rPr>
        <w:t>–</w:t>
      </w:r>
      <w:r w:rsidRPr="00846907">
        <w:rPr>
          <w:color w:val="auto"/>
        </w:rPr>
        <w:t>146i ustawy Poś – dodane ustawą z dnia 11 lipca 2014 r. o zmianie ustawy – Prawo ochrony środowiska oraz niektórych innych ustaw (Dz. U. poz. 1101) – transponują do prawa polskiego postanowienia art. 32, art. 33 i art. 35 dyrektywy IED. Spełnienie warunków określonych w art. 146a</w:t>
      </w:r>
      <w:r>
        <w:rPr>
          <w:color w:val="auto"/>
        </w:rPr>
        <w:t>–</w:t>
      </w:r>
      <w:r w:rsidRPr="00846907">
        <w:rPr>
          <w:color w:val="auto"/>
        </w:rPr>
        <w:t>146c umożliwia operatorom niektórych dużych źródeł spalania paliw korzystanie z czasowego odstępstwa od wymagań emisyjnych wprowadzonych od dnia 1</w:t>
      </w:r>
      <w:r>
        <w:rPr>
          <w:color w:val="auto"/>
        </w:rPr>
        <w:t xml:space="preserve"> </w:t>
      </w:r>
      <w:r w:rsidRPr="00846907">
        <w:rPr>
          <w:color w:val="auto"/>
        </w:rPr>
        <w:t>stycznia 2016 r. Odstępstwa te dotyczą wyłącznie źródeł spalania paliw, dla k</w:t>
      </w:r>
      <w:r>
        <w:rPr>
          <w:color w:val="auto"/>
        </w:rPr>
        <w:t>tórych wymagania są określone w </w:t>
      </w:r>
      <w:r w:rsidRPr="00846907">
        <w:rPr>
          <w:color w:val="auto"/>
        </w:rPr>
        <w:t>rozdziale III dyrektywy IED i które zostały przeniesione do prawa polskiego w rozdziale 2 przywołanego wcześniej rozporządzenia MŚ z</w:t>
      </w:r>
      <w:r>
        <w:rPr>
          <w:color w:val="auto"/>
        </w:rPr>
        <w:t xml:space="preserve"> </w:t>
      </w:r>
      <w:r w:rsidRPr="00846907">
        <w:rPr>
          <w:color w:val="auto"/>
        </w:rPr>
        <w:t>dnia 4 listopada 2014</w:t>
      </w:r>
      <w:r>
        <w:rPr>
          <w:color w:val="auto"/>
        </w:rPr>
        <w:t xml:space="preserve"> </w:t>
      </w:r>
      <w:r w:rsidRPr="00846907">
        <w:rPr>
          <w:color w:val="auto"/>
        </w:rPr>
        <w:t>r. Nie dotyczą one – co do zasady</w:t>
      </w:r>
      <w:r>
        <w:rPr>
          <w:color w:val="auto"/>
        </w:rPr>
        <w:t xml:space="preserve"> – </w:t>
      </w:r>
      <w:r w:rsidRPr="00846907">
        <w:rPr>
          <w:color w:val="auto"/>
        </w:rPr>
        <w:t>źródeł, w których są spalane lub współspalane odpady niezaliczone do biomasy zdefiniowanej w art. 3 pkt 31 dyrektywy IED. Niespalanie odpadów w źródłach korzystających z derogacji zostało wymienione jako jeden z</w:t>
      </w:r>
      <w:r>
        <w:rPr>
          <w:color w:val="auto"/>
        </w:rPr>
        <w:t xml:space="preserve"> </w:t>
      </w:r>
      <w:r w:rsidRPr="00846907">
        <w:rPr>
          <w:color w:val="auto"/>
        </w:rPr>
        <w:t>warunków derogacji w art. 146c, dotyczący Przejściowego Planu Krajowego (PPK), w</w:t>
      </w:r>
      <w:r>
        <w:rPr>
          <w:color w:val="auto"/>
        </w:rPr>
        <w:t xml:space="preserve"> </w:t>
      </w:r>
      <w:r w:rsidRPr="00846907">
        <w:rPr>
          <w:color w:val="auto"/>
        </w:rPr>
        <w:t>związku z tym, że jest to warunek wymieniony wprost w decyzji wykonawcze</w:t>
      </w:r>
      <w:r>
        <w:rPr>
          <w:color w:val="auto"/>
        </w:rPr>
        <w:t>j Komisji 2012/115/UE z dnia 10 </w:t>
      </w:r>
      <w:r w:rsidRPr="00846907">
        <w:rPr>
          <w:color w:val="auto"/>
        </w:rPr>
        <w:t>lutego 2012 r. ustanawiającej przepisy dotyczące przejściowych planów krajowych, o których mowa w dyrektywie IED. Brak takiego warun</w:t>
      </w:r>
      <w:r>
        <w:rPr>
          <w:color w:val="auto"/>
        </w:rPr>
        <w:t>ku w </w:t>
      </w:r>
      <w:r w:rsidRPr="00846907">
        <w:rPr>
          <w:color w:val="auto"/>
        </w:rPr>
        <w:t xml:space="preserve">przepisach dotyczących pozostałych mechanizmów derogacyjnych (derogacji </w:t>
      </w:r>
      <w:r w:rsidRPr="00846907">
        <w:rPr>
          <w:color w:val="auto"/>
        </w:rPr>
        <w:lastRenderedPageBreak/>
        <w:t>naturalnej i derogacji ciepłowniczej) wywołuje wątpliwości operatorów źródeł, którzy korzystają z tych derogacji, i</w:t>
      </w:r>
      <w:r>
        <w:rPr>
          <w:color w:val="auto"/>
        </w:rPr>
        <w:t xml:space="preserve"> </w:t>
      </w:r>
      <w:r w:rsidRPr="00846907">
        <w:rPr>
          <w:color w:val="auto"/>
        </w:rPr>
        <w:t>uzasadnia odpowiednie uzupełnienie przepisów art. 146a i art. 146b. Konieczne jest także doprecyzowanie, iż wyłączenie dotyczy tylko tych odpadów, które nie są kwalifikowane do biomasy w rozumieniu przepisów wydanych na podstawie art. 146 ust. 3.</w:t>
      </w:r>
    </w:p>
    <w:p w:rsidR="00846907" w:rsidRPr="00846907" w:rsidRDefault="00846907" w:rsidP="00846907">
      <w:pPr>
        <w:pStyle w:val="Default"/>
        <w:spacing w:line="360" w:lineRule="auto"/>
        <w:ind w:left="708"/>
        <w:jc w:val="both"/>
        <w:rPr>
          <w:color w:val="auto"/>
        </w:rPr>
      </w:pPr>
      <w:r w:rsidRPr="00846907">
        <w:rPr>
          <w:color w:val="auto"/>
        </w:rPr>
        <w:t>Analogiczne ograniczenia zostały także uwzględnione w dodawanych do u</w:t>
      </w:r>
      <w:r w:rsidR="00C874CC">
        <w:rPr>
          <w:color w:val="auto"/>
        </w:rPr>
        <w:t>stawy Poś art. 146j i art. 146k</w:t>
      </w:r>
      <w:r w:rsidRPr="00846907">
        <w:rPr>
          <w:color w:val="auto"/>
        </w:rPr>
        <w:t xml:space="preserve"> wprowadzających przepisy derogacyjne za postanowieniami art. 6 ust. 5 i 6 dyrektywy MCP</w:t>
      </w:r>
      <w:r>
        <w:rPr>
          <w:color w:val="auto"/>
        </w:rPr>
        <w:t>. Wynikają one pośrednio z art. </w:t>
      </w:r>
      <w:r w:rsidRPr="00846907">
        <w:rPr>
          <w:color w:val="auto"/>
        </w:rPr>
        <w:t xml:space="preserve">2 ust. 3 lit. a tej dyrektywy, w myśl którego dyrektywa nie ma zastosowania do obiektów energetycznego spalania, które są objęte zakresem stosowania rozdziału IV dyrektywy IED, tj. obiektów, w których spalane lub współspalane są odpady niezaliczone do biomasy. </w:t>
      </w:r>
    </w:p>
    <w:p w:rsidR="00846907" w:rsidRPr="00846907" w:rsidRDefault="00846907" w:rsidP="00846907">
      <w:pPr>
        <w:pStyle w:val="Akapitzlist"/>
        <w:spacing w:line="360" w:lineRule="auto"/>
        <w:ind w:left="709" w:hanging="283"/>
        <w:jc w:val="both"/>
        <w:rPr>
          <w:color w:val="auto"/>
        </w:rPr>
      </w:pPr>
      <w:r w:rsidRPr="00846907">
        <w:rPr>
          <w:color w:val="auto"/>
        </w:rPr>
        <w:t>2.</w:t>
      </w:r>
      <w:r>
        <w:rPr>
          <w:color w:val="auto"/>
        </w:rPr>
        <w:tab/>
      </w:r>
      <w:r w:rsidRPr="00846907">
        <w:rPr>
          <w:color w:val="auto"/>
        </w:rPr>
        <w:t xml:space="preserve">Zmiany proponowane w art. 146e i art. 146f ustawy Poś (art. 1 </w:t>
      </w:r>
      <w:r w:rsidR="00C874CC">
        <w:rPr>
          <w:color w:val="auto"/>
        </w:rPr>
        <w:t>pkt 7 i 8 projektowanej ustawy)</w:t>
      </w:r>
      <w:r w:rsidRPr="00846907">
        <w:rPr>
          <w:color w:val="auto"/>
        </w:rPr>
        <w:t xml:space="preserve"> dotyczących derogacji w ramach Przejściowego Planu Krajowego odnoszą się do kwestii </w:t>
      </w:r>
      <w:r w:rsidR="00C874CC">
        <w:rPr>
          <w:color w:val="auto"/>
        </w:rPr>
        <w:t>procedury zmiany Planu. Obecnie</w:t>
      </w:r>
      <w:r w:rsidRPr="00846907">
        <w:rPr>
          <w:color w:val="auto"/>
        </w:rPr>
        <w:t xml:space="preserve"> dla wprowadzenia takiej zmiany stosowany jest tryb analogiczny do zastosowanego podczas przyjmowania PPK. Jest on bardzo rozbudowany i w przypadku każdej zmiany (nawet zmiany nazwy podmiotu prowadzącego instalację objętą PPK) wymaga podjęcia przez Radę Ministrów dwóch uchwał (uchwały zatwierdzającej projekt zmiany PPK i zatwierdzającej zmianę PPK) oraz akceptacji KE. Po zmianie art. 146f ustawy Poś zmiana PPK wymagać będzie przyjęcia uchwały Rady Ministrów. Nie będzie ona natomiast poprzedzana akceptacją Komisji Europejskiej. KE będzie informowana przez Ministra Środowiska o zmianie PPK zatwierdzonej przez RM, co będzie zgodne z</w:t>
      </w:r>
      <w:r>
        <w:rPr>
          <w:color w:val="auto"/>
        </w:rPr>
        <w:t> </w:t>
      </w:r>
      <w:r w:rsidRPr="00846907">
        <w:rPr>
          <w:color w:val="auto"/>
        </w:rPr>
        <w:t>postanowieniami art. 32 ust. 6 dyrektywy IED i</w:t>
      </w:r>
      <w:r>
        <w:rPr>
          <w:color w:val="auto"/>
        </w:rPr>
        <w:t xml:space="preserve"> </w:t>
      </w:r>
      <w:r w:rsidRPr="00846907">
        <w:rPr>
          <w:color w:val="auto"/>
        </w:rPr>
        <w:t>pkt 4 załącznika do decyzji wykonawczej Komisji Europejskiej z dnia 10 lutego 2012 r. ustanawiającej przepisy dotyczące przejściowych planów krajowych, o których mowa w</w:t>
      </w:r>
      <w:r>
        <w:rPr>
          <w:color w:val="auto"/>
        </w:rPr>
        <w:t> </w:t>
      </w:r>
      <w:r w:rsidRPr="00846907">
        <w:rPr>
          <w:color w:val="auto"/>
        </w:rPr>
        <w:t>dyrektywie IED</w:t>
      </w:r>
      <w:r w:rsidRPr="00846907">
        <w:rPr>
          <w:rStyle w:val="Kkursywa"/>
          <w:i w:val="0"/>
          <w:color w:val="auto"/>
        </w:rPr>
        <w:t>.</w:t>
      </w:r>
      <w:r w:rsidRPr="00846907">
        <w:rPr>
          <w:color w:val="auto"/>
        </w:rPr>
        <w:t xml:space="preserve"> Zmianę art. 146e zaproponowano w wyniku dyskusji przeprowadzonej w toku prac nad nowelizacją rozporządzenia MŚ regulującego sprawy istotne dla realizacji Przejściowego Planu Krajowego. Wprowadzenie tej zmiany wynika z</w:t>
      </w:r>
      <w:r>
        <w:rPr>
          <w:color w:val="auto"/>
        </w:rPr>
        <w:t xml:space="preserve"> </w:t>
      </w:r>
      <w:r w:rsidRPr="00846907">
        <w:rPr>
          <w:color w:val="auto"/>
        </w:rPr>
        <w:t xml:space="preserve">potrzeby uszczegółowienia kwestii wprowadzania zmian do PPK oraz zapobieżenia jego ciągłego nowelizowania, skutkującego potrzebą zmiany ww. rozporządzenia (tj. wszczynania procesu legislacyjnego </w:t>
      </w:r>
      <w:r w:rsidRPr="00846907">
        <w:rPr>
          <w:color w:val="auto"/>
        </w:rPr>
        <w:lastRenderedPageBreak/>
        <w:t>w</w:t>
      </w:r>
      <w:r>
        <w:rPr>
          <w:color w:val="auto"/>
        </w:rPr>
        <w:t> </w:t>
      </w:r>
      <w:r w:rsidRPr="00846907">
        <w:rPr>
          <w:color w:val="auto"/>
        </w:rPr>
        <w:t>przypadku każdej zmiany danych określonych w rozporządzeniu). W pkt 5.2. PPK zatwierdzonego przez RM i KE stwierdzono, że chęć „wyjścia” z PPK powinna być zgłoszona do Ministra Środowiska do dnia 1 czerwca roku poprzedzającego rok, od początku którego dany obiekt nie zamierza uczestniczyć w PPK. Zważywszy na procedurę zmiany PPK</w:t>
      </w:r>
      <w:r w:rsidR="00C874CC">
        <w:rPr>
          <w:color w:val="auto"/>
        </w:rPr>
        <w:t>,</w:t>
      </w:r>
      <w:r w:rsidRPr="00846907">
        <w:rPr>
          <w:color w:val="auto"/>
        </w:rPr>
        <w:t xml:space="preserve"> zasadne jest przyjęcie, że wszelkie zmiany w PPK, które miałyby</w:t>
      </w:r>
      <w:r>
        <w:rPr>
          <w:color w:val="auto"/>
        </w:rPr>
        <w:t xml:space="preserve"> być uwzględnione w </w:t>
      </w:r>
      <w:r w:rsidR="00C874CC">
        <w:rPr>
          <w:color w:val="auto"/>
        </w:rPr>
        <w:t xml:space="preserve">danym okresie rozliczeniowym </w:t>
      </w:r>
      <w:r w:rsidRPr="00846907">
        <w:rPr>
          <w:color w:val="auto"/>
        </w:rPr>
        <w:t>przez odpowiednią zmianę PPK i</w:t>
      </w:r>
      <w:r>
        <w:rPr>
          <w:color w:val="auto"/>
        </w:rPr>
        <w:t> </w:t>
      </w:r>
      <w:r w:rsidRPr="00846907">
        <w:rPr>
          <w:color w:val="auto"/>
        </w:rPr>
        <w:t xml:space="preserve">rozporządzenia Ministra Środowiska, powinny być zgłoszone do </w:t>
      </w:r>
      <w:r w:rsidR="00C874CC">
        <w:rPr>
          <w:color w:val="auto"/>
        </w:rPr>
        <w:t xml:space="preserve">dnia </w:t>
      </w:r>
      <w:r w:rsidRPr="00846907">
        <w:rPr>
          <w:color w:val="auto"/>
        </w:rPr>
        <w:t>1 czerwca roku poprzedzającego ten okres. Takie ograniczenie umożliwi skuteczne przeprowadzenie procesu legislacyjnego przed rozpoczęciem kolejnego okresu rozliczeniowego w ramach PPK.</w:t>
      </w:r>
    </w:p>
    <w:p w:rsidR="00846907" w:rsidRDefault="00846907" w:rsidP="00846907">
      <w:pPr>
        <w:pStyle w:val="Akapitzlist"/>
        <w:spacing w:line="360" w:lineRule="auto"/>
        <w:ind w:left="709" w:hanging="283"/>
        <w:jc w:val="both"/>
      </w:pPr>
      <w:r w:rsidRPr="00846907">
        <w:t>3.</w:t>
      </w:r>
      <w:r>
        <w:tab/>
      </w:r>
      <w:r w:rsidRPr="00846907">
        <w:t xml:space="preserve">Proponowana </w:t>
      </w:r>
      <w:r w:rsidRPr="00846907">
        <w:rPr>
          <w:color w:val="auto"/>
        </w:rPr>
        <w:t>zmiana</w:t>
      </w:r>
      <w:r w:rsidRPr="00846907">
        <w:t xml:space="preserve"> art. 169 (art. 1 pkt 15 projektowanej ustawy) ma na celu usunięcie wątpliwości dotyczących zakresu przedmiotowego i zakresu regulacji, które mogą być zawarte w rozporządzeniach wydawanych na podstawie ust. 1 tego przepisu. Wątpliwości te mają związek z odesłaniem w art. 169 ust. 1 do art. 166, w którego zdaniu wstępnym jest mowa wyłącznie o wytwarzaniu produktu, jakkolwiek jego pkt 2 dotyczy negatywnego oddziaływania produktu na środowisko w okresie jego użytkowania oraz po jego zużyciu. Dla usunięcia tych wątpliwości celowe jest wskazanie w zdaniu wstępnym art. 169 ust. 1, </w:t>
      </w:r>
      <w:r>
        <w:t>iż </w:t>
      </w:r>
      <w:r w:rsidRPr="00846907">
        <w:t>przepis ten dotyczy potrzeby ograniczania negatywnego oddziaływania produktów nie tylko na etapie ich wytwarzania, ale także w czasie ich użytkowania lub po zużyciu. W przypadku niektórych produktów konieczne jest także umożliwienie określania w rozporządzeniach wydawanych na podstawie art. 169 ust. 1 wymagań dotyczących sposobu sprawdzania spełniania wymagań określonych w tych rozporządzeniach lub metod badań, zgodnie z</w:t>
      </w:r>
      <w:r>
        <w:t xml:space="preserve"> </w:t>
      </w:r>
      <w:r w:rsidRPr="00846907">
        <w:t>którymi należy stwierdzać spełnianie tych wymagań. Co istotne, proponowane zmiany powinny wejść w życie w możliwie jak najkrótszym terminie, z uwagi na zaawansowanie prac legislacyjnych nad aktem wykonawczym, który na mocy art. 169 ust. 1 ustawy Poś ma określić wymagania produktowe dla kotłów grzewczych o nominalnej mocy do 0,5 MW.</w:t>
      </w:r>
      <w:r>
        <w:t xml:space="preserve"> </w:t>
      </w:r>
      <w:r w:rsidRPr="00846907">
        <w:t>Z</w:t>
      </w:r>
      <w:r>
        <w:t xml:space="preserve"> tego względu proponuje się w </w:t>
      </w:r>
      <w:r w:rsidRPr="00846907">
        <w:t>art. 11 projektowanej ustawy, aby jej art. 1 pkt 15 wszedł w</w:t>
      </w:r>
      <w:r>
        <w:t xml:space="preserve"> </w:t>
      </w:r>
      <w:r w:rsidRPr="00846907">
        <w:t>życie z dniem następującym po dniu ogłoszenia ustawy.</w:t>
      </w:r>
    </w:p>
    <w:p w:rsidR="00C874CC" w:rsidRPr="00846907" w:rsidRDefault="00C874CC" w:rsidP="00846907">
      <w:pPr>
        <w:pStyle w:val="Akapitzlist"/>
        <w:spacing w:line="360" w:lineRule="auto"/>
        <w:ind w:left="709" w:hanging="283"/>
        <w:jc w:val="both"/>
      </w:pPr>
    </w:p>
    <w:p w:rsidR="00846907" w:rsidRPr="00C874CC" w:rsidRDefault="00846907" w:rsidP="00846907">
      <w:pPr>
        <w:spacing w:line="360" w:lineRule="auto"/>
        <w:ind w:left="426" w:hanging="426"/>
        <w:rPr>
          <w:b/>
          <w:color w:val="auto"/>
        </w:rPr>
      </w:pPr>
      <w:r w:rsidRPr="00C874CC">
        <w:rPr>
          <w:b/>
          <w:color w:val="auto"/>
        </w:rPr>
        <w:lastRenderedPageBreak/>
        <w:t>IV.</w:t>
      </w:r>
      <w:r w:rsidRPr="00C874CC">
        <w:rPr>
          <w:b/>
          <w:color w:val="auto"/>
        </w:rPr>
        <w:tab/>
      </w:r>
      <w:r w:rsidR="00C874CC" w:rsidRPr="00C874CC">
        <w:rPr>
          <w:b/>
          <w:color w:val="auto"/>
        </w:rPr>
        <w:t>Zmiana innych ustaw</w:t>
      </w:r>
    </w:p>
    <w:p w:rsidR="00846907" w:rsidRPr="00846907" w:rsidRDefault="00846907" w:rsidP="00846907">
      <w:pPr>
        <w:spacing w:line="360" w:lineRule="auto"/>
        <w:ind w:left="426"/>
        <w:jc w:val="both"/>
        <w:rPr>
          <w:color w:val="auto"/>
        </w:rPr>
      </w:pPr>
      <w:r w:rsidRPr="00846907">
        <w:rPr>
          <w:color w:val="auto"/>
        </w:rPr>
        <w:t>W art. 2 projektowanej ustawy</w:t>
      </w:r>
      <w:r>
        <w:rPr>
          <w:color w:val="auto"/>
        </w:rPr>
        <w:t xml:space="preserve"> </w:t>
      </w:r>
      <w:r w:rsidRPr="00846907">
        <w:rPr>
          <w:color w:val="auto"/>
        </w:rPr>
        <w:t>proponuje się</w:t>
      </w:r>
      <w:r>
        <w:rPr>
          <w:color w:val="auto"/>
        </w:rPr>
        <w:t xml:space="preserve"> zmianę art. 25 ustawy z dnia 3 </w:t>
      </w:r>
      <w:r w:rsidRPr="00846907">
        <w:rPr>
          <w:color w:val="auto"/>
        </w:rPr>
        <w:t>października 2008</w:t>
      </w:r>
      <w:r>
        <w:rPr>
          <w:color w:val="auto"/>
        </w:rPr>
        <w:t xml:space="preserve"> </w:t>
      </w:r>
      <w:r w:rsidRPr="00846907">
        <w:rPr>
          <w:color w:val="auto"/>
        </w:rPr>
        <w:t>r. o udostępnianiu informacji o środowisku i jego ochronie, udziale społeczeństwa w</w:t>
      </w:r>
      <w:r>
        <w:rPr>
          <w:color w:val="auto"/>
        </w:rPr>
        <w:t xml:space="preserve"> </w:t>
      </w:r>
      <w:r w:rsidRPr="00846907">
        <w:rPr>
          <w:color w:val="auto"/>
        </w:rPr>
        <w:t xml:space="preserve">ochronie środowiska oraz o ocenach oddziaływania na środowisko (Dz. U. z 2016 poz. 353, z późn. zm.), natomiast w art. 3 </w:t>
      </w:r>
      <w:r>
        <w:rPr>
          <w:color w:val="auto"/>
        </w:rPr>
        <w:t>– ustawy z </w:t>
      </w:r>
      <w:r w:rsidRPr="00846907">
        <w:rPr>
          <w:color w:val="auto"/>
        </w:rPr>
        <w:t xml:space="preserve">dnia 17 lipca 2009 r. o systemie zarządzania </w:t>
      </w:r>
      <w:r>
        <w:rPr>
          <w:color w:val="auto"/>
        </w:rPr>
        <w:t>emisjami gazów cieplarnianych i </w:t>
      </w:r>
      <w:r w:rsidRPr="00846907">
        <w:rPr>
          <w:color w:val="auto"/>
        </w:rPr>
        <w:t>innych substancji (Dz. U. z 2017 r. poz. 286). Zmiany te wynikają z potrzeby przeniesienia do prawa polskiego art. 5 ust. 6 dyrektywy MCP w</w:t>
      </w:r>
      <w:r>
        <w:rPr>
          <w:color w:val="auto"/>
        </w:rPr>
        <w:t xml:space="preserve"> </w:t>
      </w:r>
      <w:r w:rsidRPr="00846907">
        <w:rPr>
          <w:color w:val="auto"/>
        </w:rPr>
        <w:t>zakresie, w jakim wprowadza on obowiązek prowadzenia publicznie dostępnego rejestru średnich źródeł spalania paliw oraz publicznego udostępniania informacji zawartych w tym rejestrze, zgodnie z dyrektywą 2003/4 WE Parlamentu Europejskiego i Rady z dnia 28 stycznia 2003 r. w sprawie publicznego dostępu do informacji dotyczących środowiska i uchylającą dyrektywę Rady 90/313/EWG.</w:t>
      </w:r>
    </w:p>
    <w:p w:rsidR="00846907" w:rsidRPr="00C874CC" w:rsidRDefault="00846907" w:rsidP="00846907">
      <w:pPr>
        <w:spacing w:line="360" w:lineRule="auto"/>
        <w:ind w:left="426" w:hanging="426"/>
        <w:rPr>
          <w:b/>
          <w:color w:val="auto"/>
        </w:rPr>
      </w:pPr>
      <w:r w:rsidRPr="00C874CC">
        <w:rPr>
          <w:b/>
          <w:color w:val="auto"/>
        </w:rPr>
        <w:t>V.</w:t>
      </w:r>
      <w:r w:rsidR="00C874CC" w:rsidRPr="00C874CC">
        <w:rPr>
          <w:b/>
          <w:color w:val="auto"/>
        </w:rPr>
        <w:tab/>
        <w:t>Przepisy przejściowe i końcowe</w:t>
      </w:r>
    </w:p>
    <w:p w:rsidR="00846907" w:rsidRPr="00846907" w:rsidRDefault="00846907" w:rsidP="00846907">
      <w:pPr>
        <w:pStyle w:val="Akapitzlist"/>
        <w:spacing w:line="360" w:lineRule="auto"/>
        <w:ind w:left="709" w:hanging="283"/>
        <w:jc w:val="both"/>
        <w:rPr>
          <w:color w:val="auto"/>
        </w:rPr>
      </w:pPr>
      <w:r w:rsidRPr="00846907">
        <w:rPr>
          <w:color w:val="auto"/>
        </w:rPr>
        <w:t>1.</w:t>
      </w:r>
      <w:r>
        <w:rPr>
          <w:color w:val="auto"/>
        </w:rPr>
        <w:tab/>
        <w:t>Przepisy art. 4–</w:t>
      </w:r>
      <w:r w:rsidRPr="00846907">
        <w:rPr>
          <w:color w:val="auto"/>
        </w:rPr>
        <w:t>6 projektowanej ustawy regulu</w:t>
      </w:r>
      <w:r>
        <w:rPr>
          <w:color w:val="auto"/>
        </w:rPr>
        <w:t>ją kwestie terminów istotnych z </w:t>
      </w:r>
      <w:r w:rsidRPr="00846907">
        <w:rPr>
          <w:color w:val="auto"/>
        </w:rPr>
        <w:t xml:space="preserve">punktu </w:t>
      </w:r>
      <w:r w:rsidRPr="00846907">
        <w:t>widzenia</w:t>
      </w:r>
      <w:r w:rsidRPr="00846907">
        <w:rPr>
          <w:color w:val="auto"/>
        </w:rPr>
        <w:t xml:space="preserve"> prowadzenia prze</w:t>
      </w:r>
      <w:r w:rsidR="00C874CC">
        <w:rPr>
          <w:color w:val="auto"/>
        </w:rPr>
        <w:t>z KOBiZE publicznie dostępnego r</w:t>
      </w:r>
      <w:r w:rsidRPr="00846907">
        <w:rPr>
          <w:color w:val="auto"/>
        </w:rPr>
        <w:t xml:space="preserve">ejestru średnich źródeł spalania paliw. Zgodnie z postanowieniami art. 5 dyrektywy MCP nowe średnie źródła spalania powinny być włączone do rejestru niezwłocznie po zgłoszeniu albo po wydaniu pozwolenia. Źródła nowe to zgodnie z dyrektywą źródła </w:t>
      </w:r>
      <w:r w:rsidRPr="00846907">
        <w:rPr>
          <w:bCs/>
          <w:color w:val="auto"/>
        </w:rPr>
        <w:t xml:space="preserve">oddane do użytkowania po dniu 19 grudnia 2018 r., a jeżeli pozwolenie zostało wydane dla źródła po dniu 18 grudnia 2017 r. – oddane do użytkowania po dniu 20 grudnia 2018 r. </w:t>
      </w:r>
      <w:r w:rsidRPr="00846907">
        <w:rPr>
          <w:color w:val="auto"/>
        </w:rPr>
        <w:t>Uwzględniając ten</w:t>
      </w:r>
      <w:r w:rsidR="00F145A9">
        <w:rPr>
          <w:color w:val="auto"/>
        </w:rPr>
        <w:t xml:space="preserve"> fakt przyjęto w projekcie, że R</w:t>
      </w:r>
      <w:r w:rsidRPr="00846907">
        <w:rPr>
          <w:color w:val="auto"/>
        </w:rPr>
        <w:t>ejestr średnich źródeł spalania paliw będzie prowadzony od dnia 1 stycznia 2019 r. Z tą datą zostaną w nim zamieszczone informacje dotyczące źródeł, dla których zgłoszenie będzie dokonane albo pozwolenie zostanie wydane po dniu wejścia w życie projektowanej ustawy</w:t>
      </w:r>
      <w:r>
        <w:rPr>
          <w:color w:val="auto"/>
        </w:rPr>
        <w:t>, a </w:t>
      </w:r>
      <w:r w:rsidRPr="00846907">
        <w:rPr>
          <w:color w:val="auto"/>
        </w:rPr>
        <w:t xml:space="preserve">na bieżąco będą w nim zamieszczane informacje o źródłach nowych. Natomiast w myśl postanowień dyrektywy MCP informacje o istniejących średnich źródłach spalania paliw powinny być objęte rejestrem od dnia zarejestrowania albo od dnia uzyskania pozwolenia zgodnie z dyrektywą. Termin ten dla źródeł o nominalnej mocy cieplnej większej niż 5 MW jest określony w dyrektywie na dzień 1 stycznia 2024 r., natomiast dla źródeł </w:t>
      </w:r>
      <w:r>
        <w:rPr>
          <w:color w:val="auto"/>
        </w:rPr>
        <w:t>o </w:t>
      </w:r>
      <w:r w:rsidRPr="00846907">
        <w:rPr>
          <w:color w:val="auto"/>
        </w:rPr>
        <w:t xml:space="preserve">nominalnej mocy cieplnej do 5 MW na dzień 1 stycznia 2029 r. Uwzględniając </w:t>
      </w:r>
      <w:r w:rsidRPr="00846907">
        <w:rPr>
          <w:color w:val="auto"/>
        </w:rPr>
        <w:lastRenderedPageBreak/>
        <w:t>fakt, że średnie źródła spalania paliw eksploatowane w Polsce są już objęte systemem pozwoleń lub zgłoszeń, przyjęto, że informacje o źródłach, dla których przed wejściem w życie ustawy zostało wydane pozwolenie lub przyjęte zgło</w:t>
      </w:r>
      <w:r w:rsidR="00F145A9">
        <w:rPr>
          <w:color w:val="auto"/>
        </w:rPr>
        <w:t>szenie, zostaną zamieszczone w R</w:t>
      </w:r>
      <w:r w:rsidRPr="00846907">
        <w:rPr>
          <w:color w:val="auto"/>
        </w:rPr>
        <w:t xml:space="preserve">ejestrze </w:t>
      </w:r>
      <w:r>
        <w:rPr>
          <w:color w:val="auto"/>
        </w:rPr>
        <w:t>w terminie 3 lat od wejścia w </w:t>
      </w:r>
      <w:r w:rsidRPr="00846907">
        <w:rPr>
          <w:color w:val="auto"/>
        </w:rPr>
        <w:t xml:space="preserve">życie projektowanej ustawy. </w:t>
      </w:r>
    </w:p>
    <w:p w:rsidR="00846907" w:rsidRPr="00846907" w:rsidRDefault="00846907" w:rsidP="00846907">
      <w:pPr>
        <w:pStyle w:val="ZARTzmartartykuempunktem"/>
        <w:ind w:left="708" w:firstLine="0"/>
        <w:rPr>
          <w:rFonts w:ascii="Times New Roman" w:hAnsi="Times New Roman" w:cs="Times New Roman"/>
          <w:szCs w:val="24"/>
        </w:rPr>
      </w:pPr>
      <w:r w:rsidRPr="00846907">
        <w:rPr>
          <w:rFonts w:ascii="Times New Roman" w:hAnsi="Times New Roman" w:cs="Times New Roman"/>
          <w:szCs w:val="24"/>
        </w:rPr>
        <w:t xml:space="preserve">W związku z tym, w okresie dwóch lat, licząc od dnia wejścia w życie projektowanej ustawy, organy ochrony środowiska powinny przekazać do KOBiZE informacje dotyczące takich źródeł wskazane w art. 152 ust. 2 pkt 1 i 2 oraz ust. 2b i art. 184 ust. 2 pkt 1 i 2 oraz ust. 2c ustawy Poś oraz wynikające </w:t>
      </w:r>
      <w:r>
        <w:rPr>
          <w:rFonts w:ascii="Times New Roman" w:hAnsi="Times New Roman" w:cs="Times New Roman"/>
          <w:szCs w:val="24"/>
        </w:rPr>
        <w:t>z </w:t>
      </w:r>
      <w:r w:rsidRPr="00846907">
        <w:rPr>
          <w:rFonts w:ascii="Times New Roman" w:hAnsi="Times New Roman" w:cs="Times New Roman"/>
          <w:szCs w:val="24"/>
        </w:rPr>
        <w:t>oświadczeń, o których mowa w art. 152 ust. 2c</w:t>
      </w:r>
      <w:r>
        <w:rPr>
          <w:rFonts w:ascii="Times New Roman" w:hAnsi="Times New Roman" w:cs="Times New Roman"/>
          <w:szCs w:val="24"/>
        </w:rPr>
        <w:t xml:space="preserve"> </w:t>
      </w:r>
      <w:r w:rsidRPr="00846907">
        <w:rPr>
          <w:rFonts w:ascii="Times New Roman" w:hAnsi="Times New Roman" w:cs="Times New Roman"/>
          <w:szCs w:val="24"/>
        </w:rPr>
        <w:t>i art. 184 ust. 2d ustawy Poś.</w:t>
      </w:r>
    </w:p>
    <w:p w:rsidR="00846907" w:rsidRPr="00846907" w:rsidRDefault="00C874CC" w:rsidP="00846907">
      <w:pPr>
        <w:spacing w:line="360" w:lineRule="auto"/>
        <w:ind w:left="708"/>
        <w:jc w:val="both"/>
        <w:rPr>
          <w:color w:val="auto"/>
        </w:rPr>
      </w:pPr>
      <w:r>
        <w:rPr>
          <w:color w:val="auto"/>
        </w:rPr>
        <w:t>W przypadku</w:t>
      </w:r>
      <w:r w:rsidR="00846907" w:rsidRPr="00846907">
        <w:rPr>
          <w:color w:val="auto"/>
        </w:rPr>
        <w:t xml:space="preserve"> gdy organ nie posiada informacji, o których mowa w załączniku I do dyrektywy MCP (proponowanym do przeniesienia do art. 152 i art. 184 ustawy Poś), powinien wezwać operatora średniego źródła spalania paliw do przekazania tych informacji. Niedostosowanie się do wezwania i nieprzekazanie informacji powinno skutkować karą grzywny. Istotnym argumentem przemawiającym za przyjęciem wcześniejszego niż wynikałoby to z</w:t>
      </w:r>
      <w:r w:rsidR="00846907">
        <w:rPr>
          <w:color w:val="auto"/>
        </w:rPr>
        <w:t xml:space="preserve"> </w:t>
      </w:r>
      <w:r w:rsidR="00846907" w:rsidRPr="00846907">
        <w:rPr>
          <w:color w:val="auto"/>
        </w:rPr>
        <w:t>dyrektywy zamieszczenia danych dotyczących istniejących średnich źródeł spalania paliw</w:t>
      </w:r>
      <w:r w:rsidR="00846907">
        <w:rPr>
          <w:color w:val="auto"/>
        </w:rPr>
        <w:t xml:space="preserve"> </w:t>
      </w:r>
      <w:r w:rsidR="00846907" w:rsidRPr="00846907">
        <w:rPr>
          <w:color w:val="auto"/>
        </w:rPr>
        <w:t>w</w:t>
      </w:r>
      <w:r w:rsidR="00846907">
        <w:rPr>
          <w:color w:val="auto"/>
        </w:rPr>
        <w:t xml:space="preserve"> </w:t>
      </w:r>
      <w:r w:rsidR="000F4F63">
        <w:rPr>
          <w:color w:val="auto"/>
        </w:rPr>
        <w:t>R</w:t>
      </w:r>
      <w:r w:rsidR="00846907" w:rsidRPr="00846907">
        <w:rPr>
          <w:color w:val="auto"/>
        </w:rPr>
        <w:t xml:space="preserve">ejestrze jest art. 11 ust. 2 dyrektywy MCP. Na jego mocy do dnia 1 stycznia 2021 r państwa </w:t>
      </w:r>
      <w:r w:rsidR="00846907" w:rsidRPr="00846907">
        <w:rPr>
          <w:rStyle w:val="object"/>
          <w:color w:val="auto"/>
        </w:rPr>
        <w:t>cz</w:t>
      </w:r>
      <w:r w:rsidR="00846907" w:rsidRPr="00846907">
        <w:rPr>
          <w:color w:val="auto"/>
        </w:rPr>
        <w:t>łonkowskie przekazują KE szacunkowe dane o całkowitej rocznej emisji CO oraz wszelkie dostępne informacje o stężeniu emisji CO ze średnich obiektów energetycznego spalania</w:t>
      </w:r>
      <w:r w:rsidR="00846907">
        <w:rPr>
          <w:color w:val="auto"/>
        </w:rPr>
        <w:t>, w podziale na rodzaj paliwa i </w:t>
      </w:r>
      <w:r w:rsidR="00846907" w:rsidRPr="00846907">
        <w:rPr>
          <w:color w:val="auto"/>
        </w:rPr>
        <w:t>przedziały mocy cieplnej. Wykonanie tego zadania wymaga w pierwszej kolejności zinwentaryzowania wszystkich średnich źródeł spala</w:t>
      </w:r>
      <w:r w:rsidR="000F4F63">
        <w:rPr>
          <w:color w:val="auto"/>
        </w:rPr>
        <w:t>nia, co może umożliwić jedynie R</w:t>
      </w:r>
      <w:r w:rsidR="00846907" w:rsidRPr="00846907">
        <w:rPr>
          <w:color w:val="auto"/>
        </w:rPr>
        <w:t>ejestr. Jeżeli dane dla istniejących źródeł miałyby być zamies</w:t>
      </w:r>
      <w:r w:rsidR="000F4F63">
        <w:rPr>
          <w:color w:val="auto"/>
        </w:rPr>
        <w:t>zczone w R</w:t>
      </w:r>
      <w:r w:rsidR="00846907" w:rsidRPr="00846907">
        <w:rPr>
          <w:color w:val="auto"/>
        </w:rPr>
        <w:t>ej</w:t>
      </w:r>
      <w:r w:rsidR="001707D2">
        <w:rPr>
          <w:color w:val="auto"/>
        </w:rPr>
        <w:t>estrze dopiero od 2024/2029 r.,</w:t>
      </w:r>
      <w:r w:rsidR="00846907" w:rsidRPr="00846907">
        <w:rPr>
          <w:color w:val="auto"/>
        </w:rPr>
        <w:t xml:space="preserve"> to może pojawić się problem braku odpowiednich informacji</w:t>
      </w:r>
      <w:r w:rsidR="00846907">
        <w:rPr>
          <w:color w:val="auto"/>
        </w:rPr>
        <w:t xml:space="preserve"> </w:t>
      </w:r>
      <w:r w:rsidR="00846907" w:rsidRPr="00846907">
        <w:rPr>
          <w:color w:val="auto"/>
        </w:rPr>
        <w:t>do sprawozdań sporządzanych na podstawie ww. art. 11 ust. 2 dyrektywy MCP.</w:t>
      </w:r>
    </w:p>
    <w:p w:rsidR="00846907" w:rsidRPr="00846907" w:rsidRDefault="00846907" w:rsidP="00846907">
      <w:pPr>
        <w:pStyle w:val="Akapitzlist"/>
        <w:spacing w:line="360" w:lineRule="auto"/>
        <w:ind w:left="709" w:hanging="283"/>
        <w:jc w:val="both"/>
        <w:rPr>
          <w:color w:val="auto"/>
        </w:rPr>
      </w:pPr>
      <w:r>
        <w:rPr>
          <w:color w:val="auto"/>
        </w:rPr>
        <w:t>2.</w:t>
      </w:r>
      <w:r>
        <w:rPr>
          <w:color w:val="auto"/>
        </w:rPr>
        <w:tab/>
      </w:r>
      <w:r w:rsidRPr="00846907">
        <w:rPr>
          <w:color w:val="auto"/>
        </w:rPr>
        <w:t>Art. 7 reguluje sprawę stosowania przepisów projektowanej ustawy do spraw dotyczących pozwoleń dla średnich źród</w:t>
      </w:r>
      <w:r>
        <w:rPr>
          <w:color w:val="auto"/>
        </w:rPr>
        <w:t>eł spalania paliw, wszczętych i </w:t>
      </w:r>
      <w:r w:rsidRPr="00846907">
        <w:rPr>
          <w:color w:val="auto"/>
        </w:rPr>
        <w:t xml:space="preserve">niezakończonych przed dniem wejścia w życie tej ustawy. </w:t>
      </w:r>
    </w:p>
    <w:p w:rsidR="00846907" w:rsidRPr="00846907" w:rsidRDefault="00846907" w:rsidP="00846907">
      <w:pPr>
        <w:pStyle w:val="Akapitzlist"/>
        <w:spacing w:line="360" w:lineRule="auto"/>
        <w:ind w:left="709" w:hanging="283"/>
        <w:jc w:val="both"/>
        <w:rPr>
          <w:color w:val="auto"/>
        </w:rPr>
      </w:pPr>
      <w:r w:rsidRPr="00846907">
        <w:rPr>
          <w:color w:val="auto"/>
        </w:rPr>
        <w:t>3.</w:t>
      </w:r>
      <w:r>
        <w:rPr>
          <w:color w:val="auto"/>
        </w:rPr>
        <w:tab/>
      </w:r>
      <w:r w:rsidRPr="00846907">
        <w:rPr>
          <w:color w:val="auto"/>
        </w:rPr>
        <w:t xml:space="preserve">Art. 8 projektowanej ustawy wprowadza przepisy przejściowe, które określają terminy związane z możliwością przyjęcia ostrzejszych wymagań emisyjnych dla źródeł MCP eksploatowanych w strefach, w których nie są dotrzymywane </w:t>
      </w:r>
      <w:r w:rsidRPr="00846907">
        <w:rPr>
          <w:color w:val="auto"/>
        </w:rPr>
        <w:lastRenderedPageBreak/>
        <w:t>standardy jakości powietrza. Co istotne, zgodnie z art. 6 ust. 2 dyrektywy MCP istniejące średnie źródła spalania paliw nie mogą przekraczać dopuszczalnych wielkości emisji określonych w załączniku II do dyrektywy odpowiednio:</w:t>
      </w:r>
    </w:p>
    <w:p w:rsidR="00846907" w:rsidRPr="00846907" w:rsidRDefault="00846907" w:rsidP="00846907">
      <w:pPr>
        <w:spacing w:line="360" w:lineRule="auto"/>
        <w:ind w:left="1134" w:hanging="425"/>
        <w:jc w:val="both"/>
        <w:rPr>
          <w:color w:val="auto"/>
        </w:rPr>
      </w:pPr>
      <w:r>
        <w:rPr>
          <w:color w:val="auto"/>
        </w:rPr>
        <w:t>–</w:t>
      </w:r>
      <w:r w:rsidRPr="00846907">
        <w:rPr>
          <w:color w:val="auto"/>
        </w:rPr>
        <w:tab/>
        <w:t>od dnia 1 stycznia 2025 r. – w przypadku źródeł o nominalnej mocy cieplnej większej niż 5 MW,</w:t>
      </w:r>
    </w:p>
    <w:p w:rsidR="00846907" w:rsidRPr="00846907" w:rsidRDefault="00846907" w:rsidP="00846907">
      <w:pPr>
        <w:spacing w:line="360" w:lineRule="auto"/>
        <w:ind w:left="1134" w:hanging="425"/>
        <w:jc w:val="both"/>
        <w:rPr>
          <w:color w:val="auto"/>
        </w:rPr>
      </w:pPr>
      <w:r>
        <w:rPr>
          <w:color w:val="auto"/>
        </w:rPr>
        <w:t>–</w:t>
      </w:r>
      <w:r w:rsidRPr="00846907">
        <w:rPr>
          <w:color w:val="auto"/>
        </w:rPr>
        <w:t xml:space="preserve"> od dnia 1 stycznia 2030 r. – w przypadku źródeł o nominalnej mocy cieplnej nie większej niż 5 MW.</w:t>
      </w:r>
    </w:p>
    <w:p w:rsidR="00846907" w:rsidRPr="00846907" w:rsidRDefault="00846907" w:rsidP="00846907">
      <w:pPr>
        <w:spacing w:line="360" w:lineRule="auto"/>
        <w:ind w:left="708"/>
        <w:jc w:val="both"/>
        <w:rPr>
          <w:color w:val="auto"/>
        </w:rPr>
      </w:pPr>
      <w:r w:rsidRPr="00846907">
        <w:rPr>
          <w:color w:val="auto"/>
        </w:rPr>
        <w:t>W terminach wcześniejszych postanowienia dyrektywy MCP mają zastosowanie do źródeł nowych, tj. źródeł oddanych do użyt</w:t>
      </w:r>
      <w:r>
        <w:rPr>
          <w:color w:val="auto"/>
        </w:rPr>
        <w:t>kowania po dniu 19 grudnia 2018 </w:t>
      </w:r>
      <w:r w:rsidRPr="00846907">
        <w:rPr>
          <w:color w:val="auto"/>
        </w:rPr>
        <w:t>r., a w</w:t>
      </w:r>
      <w:r w:rsidR="00C874CC">
        <w:rPr>
          <w:color w:val="auto"/>
        </w:rPr>
        <w:t xml:space="preserve"> przypadku</w:t>
      </w:r>
      <w:r w:rsidRPr="00846907">
        <w:rPr>
          <w:color w:val="auto"/>
        </w:rPr>
        <w:t xml:space="preserve"> gdy pozwolenie na </w:t>
      </w:r>
      <w:r>
        <w:rPr>
          <w:color w:val="auto"/>
        </w:rPr>
        <w:t>budowę źródeł wydano po dniu 18 </w:t>
      </w:r>
      <w:r w:rsidRPr="00846907">
        <w:rPr>
          <w:color w:val="auto"/>
        </w:rPr>
        <w:t>grudnia 2017 r. – oddanych do użytkowania po dniu 20 grudnia 2018 r. Zważywszy na ten fakt</w:t>
      </w:r>
      <w:r w:rsidR="00C874CC">
        <w:rPr>
          <w:color w:val="auto"/>
        </w:rPr>
        <w:t>,</w:t>
      </w:r>
      <w:r w:rsidRPr="00846907">
        <w:rPr>
          <w:color w:val="auto"/>
        </w:rPr>
        <w:t xml:space="preserve"> wskazano w art. 6 </w:t>
      </w:r>
      <w:r>
        <w:rPr>
          <w:color w:val="auto"/>
        </w:rPr>
        <w:t>projektowanej ustawy, że w </w:t>
      </w:r>
      <w:r w:rsidRPr="00846907">
        <w:rPr>
          <w:color w:val="auto"/>
        </w:rPr>
        <w:t xml:space="preserve">odniesieniu do źródeł istniejących przepisy umożliwiające zaostrzenie wynikających z dyrektywy wymagań emisyjnych może nastąpić </w:t>
      </w:r>
      <w:r>
        <w:rPr>
          <w:color w:val="auto"/>
        </w:rPr>
        <w:t>z </w:t>
      </w:r>
      <w:r w:rsidRPr="00846907">
        <w:rPr>
          <w:color w:val="auto"/>
        </w:rPr>
        <w:t>uwzględnieniem ww. terminów.</w:t>
      </w:r>
    </w:p>
    <w:p w:rsidR="00846907" w:rsidRPr="00846907" w:rsidRDefault="00846907" w:rsidP="00846907">
      <w:pPr>
        <w:pStyle w:val="Akapitzlist"/>
        <w:spacing w:line="360" w:lineRule="auto"/>
        <w:ind w:left="709" w:hanging="283"/>
        <w:jc w:val="both"/>
        <w:rPr>
          <w:color w:val="auto"/>
        </w:rPr>
      </w:pPr>
      <w:r w:rsidRPr="00846907">
        <w:rPr>
          <w:color w:val="auto"/>
        </w:rPr>
        <w:t>4.</w:t>
      </w:r>
      <w:r>
        <w:rPr>
          <w:color w:val="auto"/>
        </w:rPr>
        <w:tab/>
      </w:r>
      <w:r w:rsidRPr="00846907">
        <w:rPr>
          <w:color w:val="auto"/>
        </w:rPr>
        <w:t xml:space="preserve">Art. 9 reguluje sprawę terminu, w którym po raz pierwszy powinno być przekazane odpowiednim organom rozliczenie potwierdzające spełnianie warunku tzw. derogacji ciepłowniczej, o której mowa w art. 146j. Pierwszym rokiem stosowania tej derogacji jest rok 2025, a więc pierwsze dane potwierdzające spełnianie podstawowego warunku tej derogacji powinno nastąpić w 2026 r. </w:t>
      </w:r>
    </w:p>
    <w:p w:rsidR="00846907" w:rsidRPr="00846907" w:rsidRDefault="00846907" w:rsidP="00846907">
      <w:pPr>
        <w:pStyle w:val="Akapitzlist"/>
        <w:spacing w:line="360" w:lineRule="auto"/>
        <w:ind w:left="709" w:hanging="283"/>
        <w:jc w:val="both"/>
        <w:rPr>
          <w:color w:val="auto"/>
        </w:rPr>
      </w:pPr>
      <w:r w:rsidRPr="00846907">
        <w:rPr>
          <w:color w:val="auto"/>
        </w:rPr>
        <w:t>5</w:t>
      </w:r>
      <w:r>
        <w:rPr>
          <w:color w:val="auto"/>
        </w:rPr>
        <w:t>.</w:t>
      </w:r>
      <w:r>
        <w:rPr>
          <w:color w:val="auto"/>
        </w:rPr>
        <w:tab/>
      </w:r>
      <w:r w:rsidRPr="00846907">
        <w:rPr>
          <w:color w:val="auto"/>
        </w:rPr>
        <w:t>Art. 10 ma związek z proponowanym dodaniem u</w:t>
      </w:r>
      <w:r>
        <w:rPr>
          <w:color w:val="auto"/>
        </w:rPr>
        <w:t>st. 1a w art. 154 ustawy Poś, w </w:t>
      </w:r>
      <w:r w:rsidRPr="00846907">
        <w:rPr>
          <w:color w:val="auto"/>
        </w:rPr>
        <w:t>celu zapewnienia dotrzymywania emisyjn</w:t>
      </w:r>
      <w:r w:rsidR="00C874CC">
        <w:rPr>
          <w:color w:val="auto"/>
        </w:rPr>
        <w:t xml:space="preserve">ych postanowień dyrektywy MCP </w:t>
      </w:r>
      <w:r w:rsidRPr="00846907">
        <w:rPr>
          <w:color w:val="auto"/>
        </w:rPr>
        <w:t>przez objęcie wszystkich średnich źródeł spalania paliw wymagających zgłoszenia decyzjami eksploatacyjnymi. W odniesieniu do źródeł istniejących postanowienia emisyjne wynikające z dyrektyw MCP będą obowiązywać od dnia 1 stycznia 2025 r. albo od 1</w:t>
      </w:r>
      <w:r>
        <w:rPr>
          <w:color w:val="auto"/>
        </w:rPr>
        <w:t xml:space="preserve"> </w:t>
      </w:r>
      <w:r w:rsidRPr="00846907">
        <w:rPr>
          <w:color w:val="auto"/>
        </w:rPr>
        <w:t>stycznia 2030 r., w</w:t>
      </w:r>
      <w:r>
        <w:rPr>
          <w:color w:val="auto"/>
        </w:rPr>
        <w:t xml:space="preserve"> </w:t>
      </w:r>
      <w:r w:rsidRPr="00846907">
        <w:rPr>
          <w:color w:val="auto"/>
        </w:rPr>
        <w:t>zależności od wielkości nominalnej mocy cieplnej źródła. W tych terminach powinny także obowiązywać dla istniejących średnich źródeł wymagających zgłoszenia decyzje określające</w:t>
      </w:r>
      <w:r>
        <w:rPr>
          <w:color w:val="auto"/>
        </w:rPr>
        <w:t xml:space="preserve"> </w:t>
      </w:r>
      <w:r w:rsidRPr="00846907">
        <w:rPr>
          <w:color w:val="auto"/>
        </w:rPr>
        <w:t>wymagania w zakresie ochrony środowiska dotyczące eksploatacji instalacji, w</w:t>
      </w:r>
      <w:r>
        <w:rPr>
          <w:color w:val="auto"/>
        </w:rPr>
        <w:t xml:space="preserve"> </w:t>
      </w:r>
      <w:r w:rsidRPr="00846907">
        <w:rPr>
          <w:color w:val="auto"/>
        </w:rPr>
        <w:t>tym warunki i</w:t>
      </w:r>
      <w:r>
        <w:rPr>
          <w:color w:val="auto"/>
        </w:rPr>
        <w:t xml:space="preserve"> </w:t>
      </w:r>
      <w:r w:rsidRPr="00846907">
        <w:rPr>
          <w:color w:val="auto"/>
        </w:rPr>
        <w:t xml:space="preserve">wielkości emisji. </w:t>
      </w:r>
    </w:p>
    <w:p w:rsidR="00846907" w:rsidRPr="00846907" w:rsidRDefault="00846907" w:rsidP="00846907">
      <w:pPr>
        <w:pStyle w:val="Akapitzlist"/>
        <w:spacing w:line="360" w:lineRule="auto"/>
        <w:ind w:left="709" w:hanging="283"/>
        <w:jc w:val="both"/>
        <w:rPr>
          <w:color w:val="auto"/>
        </w:rPr>
      </w:pPr>
      <w:r w:rsidRPr="00846907">
        <w:rPr>
          <w:color w:val="auto"/>
        </w:rPr>
        <w:lastRenderedPageBreak/>
        <w:t>6</w:t>
      </w:r>
      <w:r>
        <w:rPr>
          <w:color w:val="auto"/>
        </w:rPr>
        <w:t>.</w:t>
      </w:r>
      <w:r>
        <w:rPr>
          <w:color w:val="auto"/>
        </w:rPr>
        <w:tab/>
      </w:r>
      <w:r w:rsidRPr="00846907">
        <w:rPr>
          <w:color w:val="auto"/>
        </w:rPr>
        <w:t>Art. 11 stanowi o zachowaniu w mocy dotychczasowych aktów prawa miejscowego wydanych na podstawie art. 91 us</w:t>
      </w:r>
      <w:r w:rsidR="00C874CC">
        <w:rPr>
          <w:color w:val="auto"/>
        </w:rPr>
        <w:t>t. 3 ustawy zmienianej w art. 1</w:t>
      </w:r>
      <w:r w:rsidRPr="00846907">
        <w:rPr>
          <w:color w:val="auto"/>
        </w:rPr>
        <w:t xml:space="preserve"> oraz o możliwości ich zmiany.</w:t>
      </w:r>
    </w:p>
    <w:p w:rsidR="00846907" w:rsidRPr="00846907" w:rsidRDefault="00846907" w:rsidP="00846907">
      <w:pPr>
        <w:pStyle w:val="Akapitzlist"/>
        <w:spacing w:line="360" w:lineRule="auto"/>
        <w:ind w:left="709" w:hanging="283"/>
        <w:jc w:val="both"/>
        <w:rPr>
          <w:color w:val="auto"/>
          <w:lang w:eastAsia="pl-PL"/>
        </w:rPr>
      </w:pPr>
      <w:r w:rsidRPr="00846907">
        <w:rPr>
          <w:color w:val="auto"/>
        </w:rPr>
        <w:t>7</w:t>
      </w:r>
      <w:r>
        <w:rPr>
          <w:color w:val="auto"/>
        </w:rPr>
        <w:t>.</w:t>
      </w:r>
      <w:r>
        <w:rPr>
          <w:color w:val="auto"/>
        </w:rPr>
        <w:tab/>
      </w:r>
      <w:r w:rsidRPr="00846907">
        <w:rPr>
          <w:color w:val="auto"/>
        </w:rPr>
        <w:t>Art. 12 dotyczy zachowania w mocy aktów wykonawczych wydanych na podstawie art.</w:t>
      </w:r>
      <w:r>
        <w:rPr>
          <w:color w:val="auto"/>
        </w:rPr>
        <w:t xml:space="preserve"> </w:t>
      </w:r>
      <w:r w:rsidRPr="00846907">
        <w:rPr>
          <w:color w:val="auto"/>
        </w:rPr>
        <w:t xml:space="preserve">146h i art. 169 ust. 1 </w:t>
      </w:r>
      <w:r w:rsidRPr="00846907">
        <w:rPr>
          <w:color w:val="auto"/>
          <w:lang w:eastAsia="pl-PL"/>
        </w:rPr>
        <w:t>ustawy zmienianej w art. 1. W odniesieniu do obydwu rozporządzeń</w:t>
      </w:r>
      <w:r>
        <w:rPr>
          <w:color w:val="auto"/>
          <w:lang w:eastAsia="pl-PL"/>
        </w:rPr>
        <w:t xml:space="preserve"> </w:t>
      </w:r>
      <w:r w:rsidRPr="00846907">
        <w:rPr>
          <w:color w:val="auto"/>
          <w:lang w:eastAsia="pl-PL"/>
        </w:rPr>
        <w:t>proponuje się bezte</w:t>
      </w:r>
      <w:r>
        <w:rPr>
          <w:color w:val="auto"/>
          <w:lang w:eastAsia="pl-PL"/>
        </w:rPr>
        <w:t>rminowe zachowanie ich w mocy i </w:t>
      </w:r>
      <w:r w:rsidRPr="00846907">
        <w:rPr>
          <w:color w:val="auto"/>
          <w:lang w:eastAsia="pl-PL"/>
        </w:rPr>
        <w:t>umożliwienie dokonywania ich zmiany.</w:t>
      </w:r>
    </w:p>
    <w:p w:rsidR="00846907" w:rsidRPr="00846907" w:rsidRDefault="00846907" w:rsidP="00846907">
      <w:pPr>
        <w:spacing w:line="360" w:lineRule="auto"/>
        <w:ind w:left="708"/>
        <w:jc w:val="both"/>
        <w:rPr>
          <w:color w:val="auto"/>
        </w:rPr>
      </w:pPr>
      <w:r w:rsidRPr="00846907">
        <w:rPr>
          <w:color w:val="auto"/>
          <w:lang w:eastAsia="pl-PL"/>
        </w:rPr>
        <w:t xml:space="preserve">Jest to szczególnie ważne w odniesieniu do art. 169 ust. 1 z uwagi na fakt, że na podstawie tego przepisu wydawane są różne rozporządzenia, a zmiana brzmienia przepisu upoważniającego jest zmianą doprecyzowującą istotną z punktu widzenia wydania jednego z tych rozporządzeń (obecnie procedowanego) i nie ma wpływu na treść i zakres aktów, które na podstawie tego przepisu zostały </w:t>
      </w:r>
      <w:r w:rsidRPr="00846907">
        <w:rPr>
          <w:color w:val="auto"/>
        </w:rPr>
        <w:t>wydane przed wejściem w życie projektowanej ustawy.</w:t>
      </w:r>
    </w:p>
    <w:p w:rsidR="00846907" w:rsidRPr="00846907" w:rsidRDefault="00846907" w:rsidP="00846907">
      <w:pPr>
        <w:pStyle w:val="Akapitzlist"/>
        <w:spacing w:line="360" w:lineRule="auto"/>
        <w:ind w:left="709" w:hanging="283"/>
        <w:jc w:val="both"/>
        <w:rPr>
          <w:color w:val="auto"/>
        </w:rPr>
      </w:pPr>
      <w:r w:rsidRPr="00846907">
        <w:rPr>
          <w:color w:val="auto"/>
          <w:lang w:eastAsia="pl-PL"/>
        </w:rPr>
        <w:t>8</w:t>
      </w:r>
      <w:r>
        <w:rPr>
          <w:color w:val="auto"/>
          <w:lang w:eastAsia="pl-PL"/>
        </w:rPr>
        <w:t>.</w:t>
      </w:r>
      <w:r>
        <w:rPr>
          <w:color w:val="auto"/>
          <w:lang w:eastAsia="pl-PL"/>
        </w:rPr>
        <w:tab/>
      </w:r>
      <w:r w:rsidRPr="00846907">
        <w:rPr>
          <w:color w:val="auto"/>
          <w:lang w:eastAsia="pl-PL"/>
        </w:rPr>
        <w:t xml:space="preserve">Art. 13 określa termin wejścia w życie projektowanej ustawy. </w:t>
      </w:r>
      <w:r w:rsidRPr="00846907">
        <w:t>Zważywszy na fakt, że transpozycja dyrektywy MCP powinna n</w:t>
      </w:r>
      <w:r>
        <w:t>astąpić do dnia 19 grudnia 2017 </w:t>
      </w:r>
      <w:r w:rsidRPr="00846907">
        <w:t>r., zaproponowano, aby ustawa weszła w życie po upływie 30 dni od dnia ogłoszenia. Wyjątek stanowią zmiany wynikające z art. 1 pkt 10,</w:t>
      </w:r>
      <w:r>
        <w:t xml:space="preserve"> </w:t>
      </w:r>
      <w:r w:rsidRPr="00846907">
        <w:t>art. 1 pkt 15 oraz art. 4. Pierwszy z tych przepisów dotyczy nowych średnich źródeł spalania paliw i powinien wejść w życie z dniem 20 grudnia 2018 r., trzeci dotyczy terminu, od któr</w:t>
      </w:r>
      <w:r w:rsidR="000F4F63">
        <w:t>ego będzie prowadzony w Polsce R</w:t>
      </w:r>
      <w:r w:rsidRPr="00846907">
        <w:t>ejestr średnich źródeł spalania paliw (1 stycznia 2019 r.), natomiast drugi obejmuje zmianę art. 169 ustawy Poś i nie ma związku z transpozycją dyrektywy MCP.</w:t>
      </w:r>
      <w:r>
        <w:t xml:space="preserve"> </w:t>
      </w:r>
      <w:r w:rsidRPr="00846907">
        <w:t>Zmiana art. 169 ust. 1 ustawy Poś powinna wejść w życie w możliwie jak najkrótszym terminie, z</w:t>
      </w:r>
      <w:r>
        <w:t xml:space="preserve"> </w:t>
      </w:r>
      <w:r w:rsidRPr="00846907">
        <w:t>uwagi na zaawansowanie prac legislacyjnych nad aktem wykonawczym, który na mocy tego przepisu ma określić wymagania produktowe dla kotłów grzewczych o</w:t>
      </w:r>
      <w:r>
        <w:t xml:space="preserve"> </w:t>
      </w:r>
      <w:r w:rsidRPr="00846907">
        <w:t>nominalnej mocy do 0,5 MW. Z tego względu zaproponowano, aby art. 1 pkt 15 projektowanej ustawy wszedł w życie z dniem następującym po dniu ogłoszenia ustawy.</w:t>
      </w:r>
    </w:p>
    <w:p w:rsidR="00846907" w:rsidRPr="00C874CC" w:rsidRDefault="00846907" w:rsidP="00C874CC">
      <w:pPr>
        <w:spacing w:line="360" w:lineRule="auto"/>
        <w:ind w:left="426" w:hanging="426"/>
        <w:jc w:val="both"/>
        <w:rPr>
          <w:b/>
          <w:color w:val="auto"/>
        </w:rPr>
      </w:pPr>
      <w:r w:rsidRPr="00C874CC">
        <w:rPr>
          <w:b/>
          <w:color w:val="auto"/>
        </w:rPr>
        <w:t>VI.</w:t>
      </w:r>
      <w:r w:rsidRPr="00C874CC">
        <w:rPr>
          <w:b/>
          <w:color w:val="auto"/>
        </w:rPr>
        <w:tab/>
        <w:t>Wpływ projektu ustawy na działalność mikroprzedsiębiorców, mał</w:t>
      </w:r>
      <w:r w:rsidR="00C874CC" w:rsidRPr="00C874CC">
        <w:rPr>
          <w:b/>
          <w:color w:val="auto"/>
        </w:rPr>
        <w:t>ych i średnich przedsiębiorców</w:t>
      </w:r>
    </w:p>
    <w:p w:rsidR="00846907" w:rsidRPr="00846907" w:rsidRDefault="00846907" w:rsidP="00846907">
      <w:pPr>
        <w:pBdr>
          <w:top w:val="none" w:sz="0" w:space="0" w:color="000000"/>
          <w:left w:val="none" w:sz="0" w:space="0" w:color="000000"/>
          <w:bottom w:val="none" w:sz="0" w:space="0" w:color="000000"/>
          <w:right w:val="none" w:sz="0" w:space="0" w:color="000000"/>
        </w:pBdr>
        <w:suppressAutoHyphens/>
        <w:spacing w:line="360" w:lineRule="auto"/>
        <w:ind w:left="426"/>
        <w:jc w:val="both"/>
        <w:rPr>
          <w:color w:val="auto"/>
        </w:rPr>
      </w:pPr>
      <w:r w:rsidRPr="00846907">
        <w:rPr>
          <w:color w:val="auto"/>
        </w:rPr>
        <w:t>Projektowana ustawa nie będzie miała wpływu na działalność mikroprzedsiębiorców, małych i</w:t>
      </w:r>
      <w:r>
        <w:rPr>
          <w:color w:val="auto"/>
        </w:rPr>
        <w:t xml:space="preserve"> </w:t>
      </w:r>
      <w:r w:rsidRPr="00846907">
        <w:rPr>
          <w:color w:val="auto"/>
        </w:rPr>
        <w:t>średnich przedsiębiorców.</w:t>
      </w:r>
    </w:p>
    <w:p w:rsidR="00846907" w:rsidRPr="00846907" w:rsidRDefault="00846907" w:rsidP="00846907">
      <w:pPr>
        <w:pBdr>
          <w:top w:val="none" w:sz="0" w:space="0" w:color="000000"/>
          <w:left w:val="none" w:sz="0" w:space="0" w:color="000000"/>
          <w:bottom w:val="none" w:sz="0" w:space="0" w:color="000000"/>
          <w:right w:val="none" w:sz="0" w:space="0" w:color="000000"/>
        </w:pBdr>
        <w:suppressAutoHyphens/>
        <w:spacing w:line="360" w:lineRule="auto"/>
        <w:ind w:left="426"/>
        <w:jc w:val="both"/>
        <w:rPr>
          <w:color w:val="auto"/>
        </w:rPr>
      </w:pPr>
      <w:r w:rsidRPr="00846907">
        <w:rPr>
          <w:color w:val="auto"/>
        </w:rPr>
        <w:lastRenderedPageBreak/>
        <w:t>Średnie źródła spalania paliw, których dotyczą zmiany wprowadzane w ustawie Poś – niezależnie od tego przez jaki podmiot (przedsiębiorcę czy podmiot niebędący przedsiębiorcą) są eksploatowane</w:t>
      </w:r>
      <w:r>
        <w:rPr>
          <w:color w:val="auto"/>
        </w:rPr>
        <w:t xml:space="preserve"> – </w:t>
      </w:r>
      <w:r w:rsidRPr="00846907">
        <w:rPr>
          <w:color w:val="auto"/>
        </w:rPr>
        <w:t>podlegają obecnie w Polsce pod systemem regulacyjny obejmujący pozwolenia na emisję i zgłoszenia, na mocy przepisów art. 152, art. 180 i art. 220 ustawy Poś oraz dwóch rozporządzeń wykonawczych do tej ustawy wydanych przez Ministra Środowiska w dniu 2 lipca 2010 r.:</w:t>
      </w:r>
    </w:p>
    <w:p w:rsidR="00846907" w:rsidRPr="00846907" w:rsidRDefault="00846907" w:rsidP="00846907">
      <w:pPr>
        <w:pStyle w:val="Default"/>
        <w:spacing w:line="360" w:lineRule="auto"/>
        <w:ind w:left="709" w:hanging="283"/>
        <w:jc w:val="both"/>
        <w:rPr>
          <w:color w:val="auto"/>
        </w:rPr>
      </w:pPr>
      <w:r>
        <w:rPr>
          <w:color w:val="auto"/>
        </w:rPr>
        <w:t>–</w:t>
      </w:r>
      <w:r>
        <w:rPr>
          <w:color w:val="auto"/>
        </w:rPr>
        <w:tab/>
      </w:r>
      <w:r w:rsidRPr="00846907">
        <w:rPr>
          <w:color w:val="auto"/>
        </w:rPr>
        <w:t>w sprawie przypadków, w</w:t>
      </w:r>
      <w:r>
        <w:rPr>
          <w:color w:val="auto"/>
        </w:rPr>
        <w:t xml:space="preserve"> </w:t>
      </w:r>
      <w:r w:rsidRPr="00846907">
        <w:rPr>
          <w:color w:val="auto"/>
        </w:rPr>
        <w:t>których wprowadzanie gazów lub pyłów do powietrza ni</w:t>
      </w:r>
      <w:r w:rsidR="00065861">
        <w:rPr>
          <w:color w:val="auto"/>
        </w:rPr>
        <w:t xml:space="preserve">e wymaga pozwolenia (Dz. U. </w:t>
      </w:r>
      <w:r w:rsidRPr="00846907">
        <w:rPr>
          <w:color w:val="auto"/>
        </w:rPr>
        <w:t>poz.</w:t>
      </w:r>
      <w:r>
        <w:rPr>
          <w:color w:val="auto"/>
        </w:rPr>
        <w:t xml:space="preserve"> </w:t>
      </w:r>
      <w:r w:rsidRPr="00846907">
        <w:rPr>
          <w:color w:val="auto"/>
        </w:rPr>
        <w:t>881),</w:t>
      </w:r>
    </w:p>
    <w:p w:rsidR="00846907" w:rsidRPr="00846907" w:rsidRDefault="00846907" w:rsidP="00846907">
      <w:pPr>
        <w:pStyle w:val="pkt"/>
        <w:spacing w:before="0" w:after="0" w:line="360" w:lineRule="auto"/>
        <w:ind w:left="709" w:hanging="283"/>
        <w:rPr>
          <w:szCs w:val="24"/>
        </w:rPr>
      </w:pPr>
      <w:r>
        <w:rPr>
          <w:szCs w:val="24"/>
        </w:rPr>
        <w:t>–</w:t>
      </w:r>
      <w:r>
        <w:rPr>
          <w:szCs w:val="24"/>
        </w:rPr>
        <w:tab/>
      </w:r>
      <w:r w:rsidRPr="00846907">
        <w:rPr>
          <w:szCs w:val="24"/>
        </w:rPr>
        <w:t>w sprawie rodzajów instalacji, których eksploatacja wymaga zgłoszenia (Dz. U.</w:t>
      </w:r>
      <w:r w:rsidR="00065861">
        <w:rPr>
          <w:szCs w:val="24"/>
        </w:rPr>
        <w:br/>
      </w:r>
      <w:r w:rsidRPr="00846907">
        <w:rPr>
          <w:szCs w:val="24"/>
        </w:rPr>
        <w:t>poz. 880).</w:t>
      </w:r>
    </w:p>
    <w:p w:rsidR="00846907" w:rsidRPr="00846907" w:rsidRDefault="00846907" w:rsidP="00846907">
      <w:pPr>
        <w:pBdr>
          <w:top w:val="none" w:sz="0" w:space="0" w:color="000000"/>
          <w:left w:val="none" w:sz="0" w:space="0" w:color="000000"/>
          <w:bottom w:val="none" w:sz="0" w:space="0" w:color="000000"/>
          <w:right w:val="none" w:sz="0" w:space="0" w:color="000000"/>
        </w:pBdr>
        <w:suppressAutoHyphens/>
        <w:spacing w:line="360" w:lineRule="auto"/>
        <w:ind w:left="426"/>
        <w:jc w:val="both"/>
      </w:pPr>
      <w:r w:rsidRPr="00846907">
        <w:t xml:space="preserve">Przedsiębiorcy </w:t>
      </w:r>
      <w:r w:rsidRPr="00846907">
        <w:rPr>
          <w:color w:val="auto"/>
        </w:rPr>
        <w:t>eksploatujący</w:t>
      </w:r>
      <w:r w:rsidRPr="00846907">
        <w:t xml:space="preserve"> takie źródła powinni posiadać wymagane pozwolenie na emisję albo powinni byli dokonać zgłoszenia (w zależności od wielkości łącznej nominalnej mocy cieplnej wszystkich źródeł spalania paliw eksploatowanych w</w:t>
      </w:r>
      <w:r>
        <w:t> </w:t>
      </w:r>
      <w:r w:rsidRPr="00846907">
        <w:t>zakładzie). Obecnie obowiązek zgłoszenia nie dotyczy średnich źródeł spalania paliw, których nominalna moc cieplna wynosi dokładnie 1 MW, i które są eksploatowane jako jedyne źródła w zakładzie. Zgodnie z</w:t>
      </w:r>
      <w:r>
        <w:t xml:space="preserve"> </w:t>
      </w:r>
      <w:r w:rsidRPr="00846907">
        <w:t xml:space="preserve">dyrektywą zgłoszenie takich źródeł powinno nastąpić przed dniem 1 stycznia 2029 r. Dla objęcia ich zgłoszeniami przewiduje się zmianę drugiego z ww. rozporządzeń w okresie 2 lat od </w:t>
      </w:r>
      <w:r w:rsidR="00065861">
        <w:t xml:space="preserve">dnia </w:t>
      </w:r>
      <w:r w:rsidRPr="00846907">
        <w:t>wejścia w życie niniejszej ustawy. W odniesieniu do źródeł wymagających zgłoszenia organy ochrony środowiska mają możliwość wydania decyzji eksploatacyjnej, o której mowa w art. 154 ustawy Poś. Dla skutecznej realizacji postanowień art. 6 ust. 2 i 7 dyrektywy MCP p</w:t>
      </w:r>
      <w:r>
        <w:t>rzepis ten zostanie zmieniony w </w:t>
      </w:r>
      <w:r w:rsidRPr="00846907">
        <w:t>sposób gwarantujący objęcie decyzjami eksploatacyjnymi wszystkich średnich źródeł spalania paliw wymagających zgłoszenia. Do istniejących średnich źródeł spalania paliw wymóg ten będzie miał zastosowanie od dnia 1 stycznia 2025</w:t>
      </w:r>
      <w:r>
        <w:t xml:space="preserve"> </w:t>
      </w:r>
      <w:r w:rsidRPr="00846907">
        <w:t>r. i od dnia 1 stycznia 2030 r., w zależności od wielkości nominalnej mocy cieplnej źródła.</w:t>
      </w:r>
    </w:p>
    <w:p w:rsidR="00846907" w:rsidRPr="00846907" w:rsidRDefault="00846907" w:rsidP="00846907">
      <w:pPr>
        <w:pBdr>
          <w:top w:val="none" w:sz="0" w:space="0" w:color="000000"/>
          <w:left w:val="none" w:sz="0" w:space="0" w:color="000000"/>
          <w:bottom w:val="none" w:sz="0" w:space="0" w:color="000000"/>
          <w:right w:val="none" w:sz="0" w:space="0" w:color="000000"/>
        </w:pBdr>
        <w:suppressAutoHyphens/>
        <w:spacing w:line="360" w:lineRule="auto"/>
        <w:ind w:left="426"/>
        <w:jc w:val="both"/>
        <w:rPr>
          <w:color w:val="auto"/>
        </w:rPr>
      </w:pPr>
      <w:r w:rsidRPr="00846907">
        <w:rPr>
          <w:color w:val="auto"/>
        </w:rPr>
        <w:t xml:space="preserve">W myśl obowiązujących przepisów ustawy Poś instalacja nie może być przekazana do użytkowania przed </w:t>
      </w:r>
      <w:r w:rsidRPr="00846907">
        <w:t>uzyskaniem</w:t>
      </w:r>
      <w:r w:rsidRPr="00846907">
        <w:rPr>
          <w:color w:val="auto"/>
        </w:rPr>
        <w:t xml:space="preserve"> przez operatora wymaganego prawem pozwolenia na emisję albo przed skutecznym dokonaniem wymaganego prawem zgłoszenia. Szczegółowe regulacje dotyczące zwolnienia z pozwoleń na wprowadzanie gazów lub pyłów do powietrza i</w:t>
      </w:r>
      <w:r>
        <w:rPr>
          <w:color w:val="auto"/>
        </w:rPr>
        <w:t xml:space="preserve"> </w:t>
      </w:r>
      <w:r w:rsidRPr="00846907">
        <w:rPr>
          <w:color w:val="auto"/>
        </w:rPr>
        <w:t xml:space="preserve">wymagalności zgłoszeń zawierają </w:t>
      </w:r>
      <w:r w:rsidRPr="00846907">
        <w:rPr>
          <w:color w:val="auto"/>
        </w:rPr>
        <w:lastRenderedPageBreak/>
        <w:t>ww. rozporządzenia. Wejście w życie projektowanej ustawy może w odniesieniu do źródeł już eksploatowanych spowodować potrzebę przekazania przez operatora – na wezwanie organu – dodatkowych informacji dotyczących źródła. Będzie to jednak czynność jednorazowa, uzasadniona nieposiadaniem przez organ wszystkich informacji o źródle, które</w:t>
      </w:r>
      <w:r>
        <w:rPr>
          <w:color w:val="auto"/>
        </w:rPr>
        <w:t xml:space="preserve"> </w:t>
      </w:r>
      <w:r w:rsidRPr="00846907">
        <w:rPr>
          <w:color w:val="auto"/>
        </w:rPr>
        <w:t>zgodnie z załącznikiem I do dyrektywy MCP,</w:t>
      </w:r>
      <w:r>
        <w:rPr>
          <w:color w:val="auto"/>
        </w:rPr>
        <w:t xml:space="preserve"> </w:t>
      </w:r>
      <w:r w:rsidR="00BB3C40">
        <w:rPr>
          <w:color w:val="auto"/>
        </w:rPr>
        <w:t>powinny być zamieszczone w R</w:t>
      </w:r>
      <w:r w:rsidRPr="00846907">
        <w:rPr>
          <w:color w:val="auto"/>
        </w:rPr>
        <w:t xml:space="preserve">ejestrze. </w:t>
      </w:r>
    </w:p>
    <w:p w:rsidR="00846907" w:rsidRPr="00846907" w:rsidRDefault="00846907" w:rsidP="00846907">
      <w:pPr>
        <w:pBdr>
          <w:top w:val="none" w:sz="0" w:space="0" w:color="000000"/>
          <w:left w:val="none" w:sz="0" w:space="0" w:color="000000"/>
          <w:bottom w:val="none" w:sz="0" w:space="0" w:color="000000"/>
          <w:right w:val="none" w:sz="0" w:space="0" w:color="000000"/>
        </w:pBdr>
        <w:suppressAutoHyphens/>
        <w:spacing w:line="360" w:lineRule="auto"/>
        <w:ind w:left="426"/>
        <w:jc w:val="both"/>
        <w:rPr>
          <w:color w:val="auto"/>
        </w:rPr>
      </w:pPr>
      <w:r w:rsidRPr="00846907">
        <w:rPr>
          <w:color w:val="auto"/>
        </w:rPr>
        <w:t>W</w:t>
      </w:r>
      <w:r>
        <w:rPr>
          <w:color w:val="auto"/>
        </w:rPr>
        <w:t xml:space="preserve"> </w:t>
      </w:r>
      <w:r w:rsidRPr="00846907">
        <w:rPr>
          <w:color w:val="auto"/>
        </w:rPr>
        <w:t>odniesieniu do źródeł nowo budowanych przyjęcie niniejszej ustawy także nie zmieni obowiązków operatora. Proponowane zmiany dotyczą doprecyzowania zakresu informacji o</w:t>
      </w:r>
      <w:r>
        <w:rPr>
          <w:color w:val="auto"/>
        </w:rPr>
        <w:t xml:space="preserve"> </w:t>
      </w:r>
      <w:r w:rsidRPr="00846907">
        <w:rPr>
          <w:color w:val="auto"/>
        </w:rPr>
        <w:t>źródle, które będą prze</w:t>
      </w:r>
      <w:r>
        <w:rPr>
          <w:color w:val="auto"/>
        </w:rPr>
        <w:t>kazywane do organu we wniosku o </w:t>
      </w:r>
      <w:r w:rsidRPr="00846907">
        <w:rPr>
          <w:color w:val="auto"/>
        </w:rPr>
        <w:t>wydanie pozwolenia albo w</w:t>
      </w:r>
      <w:r>
        <w:rPr>
          <w:color w:val="auto"/>
        </w:rPr>
        <w:t xml:space="preserve"> </w:t>
      </w:r>
      <w:r w:rsidRPr="00846907">
        <w:rPr>
          <w:color w:val="auto"/>
        </w:rPr>
        <w:t xml:space="preserve">zgłoszeniu oraz określania w decyzjach eksploatacyjnych warunków i wielkości emisji dla źródeł objętych zgłoszeniem. Zakres informacji zamieszczanych w zgłoszeniu powinien odpowiadać wymaganiom </w:t>
      </w:r>
      <w:r w:rsidRPr="00846907">
        <w:t>określonym</w:t>
      </w:r>
      <w:r w:rsidRPr="00846907">
        <w:rPr>
          <w:color w:val="auto"/>
        </w:rPr>
        <w:t xml:space="preserve"> w załączniku I do dyrektywy MCP. Operator średniego źródła spalania paliw będzie po zmianie ustawy Poś zobowiązany wprost do przekazania organowi wszystkich informacji o źródle, które powinny być zamieszczone w</w:t>
      </w:r>
      <w:r>
        <w:rPr>
          <w:color w:val="auto"/>
        </w:rPr>
        <w:t xml:space="preserve"> </w:t>
      </w:r>
      <w:r w:rsidR="00BB3C40">
        <w:rPr>
          <w:color w:val="auto"/>
        </w:rPr>
        <w:t>R</w:t>
      </w:r>
      <w:r w:rsidRPr="00846907">
        <w:rPr>
          <w:color w:val="auto"/>
        </w:rPr>
        <w:t>ejestrze. Zakres tych informacji jest określony w zmienianych przepisach art. 152 i art. 184 ustawy Poś. Organ właściwy do przyjęcia zgłoszenia, uwzględniając informacje o źródle uzyskane od operatora, będzie określał warunki jego eksploatacji w</w:t>
      </w:r>
      <w:r>
        <w:rPr>
          <w:color w:val="auto"/>
        </w:rPr>
        <w:t xml:space="preserve"> </w:t>
      </w:r>
      <w:r w:rsidRPr="00846907">
        <w:rPr>
          <w:color w:val="auto"/>
        </w:rPr>
        <w:t>decyzji, o której mowa w</w:t>
      </w:r>
      <w:r>
        <w:rPr>
          <w:color w:val="auto"/>
        </w:rPr>
        <w:t xml:space="preserve"> </w:t>
      </w:r>
      <w:r w:rsidRPr="00846907">
        <w:rPr>
          <w:color w:val="auto"/>
        </w:rPr>
        <w:t xml:space="preserve">ust. 1a dodawanym do art. 154. </w:t>
      </w:r>
    </w:p>
    <w:p w:rsidR="00846907" w:rsidRPr="00065861" w:rsidRDefault="00846907" w:rsidP="00846907">
      <w:pPr>
        <w:spacing w:line="360" w:lineRule="auto"/>
        <w:ind w:left="426" w:hanging="426"/>
        <w:rPr>
          <w:b/>
          <w:color w:val="auto"/>
        </w:rPr>
      </w:pPr>
      <w:r w:rsidRPr="00065861">
        <w:rPr>
          <w:b/>
          <w:color w:val="auto"/>
        </w:rPr>
        <w:t>V.</w:t>
      </w:r>
      <w:r w:rsidRPr="00065861">
        <w:rPr>
          <w:b/>
          <w:color w:val="auto"/>
        </w:rPr>
        <w:tab/>
        <w:t>Informacje końcowe</w:t>
      </w:r>
    </w:p>
    <w:p w:rsidR="00846907" w:rsidRPr="00846907" w:rsidRDefault="00846907" w:rsidP="00846907">
      <w:pPr>
        <w:spacing w:line="360" w:lineRule="auto"/>
        <w:ind w:left="426"/>
        <w:jc w:val="both"/>
        <w:rPr>
          <w:color w:val="auto"/>
        </w:rPr>
      </w:pPr>
      <w:r w:rsidRPr="00846907">
        <w:rPr>
          <w:color w:val="auto"/>
        </w:rPr>
        <w:t>Projekt ustawy jest zgodny z prawem Unii Europejskiej oraz nie zawiera norm technicznych, a także przepisów technicznych podlegających procedurze notyfikacji wymaganej zgodnie z rozporząd</w:t>
      </w:r>
      <w:r>
        <w:rPr>
          <w:color w:val="auto"/>
        </w:rPr>
        <w:t>zeniem Rady Ministrów z dnia 23 </w:t>
      </w:r>
      <w:r w:rsidRPr="00846907">
        <w:rPr>
          <w:color w:val="auto"/>
        </w:rPr>
        <w:t>grudnia 2002 r. w sprawie sposobu funkcjonowania krajowego systemu notyfikacji norm i aktów prawnych (Dz. U. poz. 2039</w:t>
      </w:r>
      <w:r w:rsidR="004F135F">
        <w:rPr>
          <w:color w:val="auto"/>
        </w:rPr>
        <w:t>, z późn. zm.</w:t>
      </w:r>
      <w:r w:rsidRPr="00846907">
        <w:rPr>
          <w:color w:val="auto"/>
        </w:rPr>
        <w:t xml:space="preserve">). </w:t>
      </w:r>
    </w:p>
    <w:p w:rsidR="000537C0" w:rsidRPr="00065861" w:rsidRDefault="00846907" w:rsidP="00065861">
      <w:pPr>
        <w:spacing w:line="360" w:lineRule="auto"/>
        <w:ind w:left="426"/>
        <w:jc w:val="both"/>
        <w:rPr>
          <w:color w:val="auto"/>
        </w:rPr>
      </w:pPr>
      <w:r w:rsidRPr="00846907">
        <w:rPr>
          <w:color w:val="auto"/>
        </w:rPr>
        <w:t>Projekt ustawy został</w:t>
      </w:r>
      <w:r w:rsidR="00065861">
        <w:rPr>
          <w:color w:val="auto"/>
        </w:rPr>
        <w:t xml:space="preserve"> za</w:t>
      </w:r>
      <w:r w:rsidRPr="00846907">
        <w:rPr>
          <w:color w:val="auto"/>
        </w:rPr>
        <w:t xml:space="preserve">mieszczony w Biuletynie Informacji Publicznej Rządowego Centrum Legislacji zgodnie z przepisami art. 5 </w:t>
      </w:r>
      <w:r>
        <w:rPr>
          <w:color w:val="auto"/>
        </w:rPr>
        <w:t>ustawy z dnia 7 lipca 2005 r. o </w:t>
      </w:r>
      <w:r w:rsidRPr="00846907">
        <w:rPr>
          <w:color w:val="auto"/>
        </w:rPr>
        <w:t>działalności lobbingowej w procesie stanowi</w:t>
      </w:r>
      <w:r w:rsidR="00065861">
        <w:rPr>
          <w:color w:val="auto"/>
        </w:rPr>
        <w:t>enia prawa (Dz. U. poz. 1414, z późn. zm.</w:t>
      </w:r>
      <w:r w:rsidRPr="00846907">
        <w:rPr>
          <w:color w:val="auto"/>
        </w:rPr>
        <w:t xml:space="preserve">). </w:t>
      </w:r>
    </w:p>
    <w:sectPr w:rsidR="000537C0" w:rsidRPr="00065861" w:rsidSect="00846907">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907" w:rsidRDefault="00846907" w:rsidP="00846907">
      <w:r>
        <w:separator/>
      </w:r>
    </w:p>
  </w:endnote>
  <w:endnote w:type="continuationSeparator" w:id="0">
    <w:p w:rsidR="00846907" w:rsidRDefault="00846907" w:rsidP="0084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457585"/>
      <w:docPartObj>
        <w:docPartGallery w:val="Page Numbers (Bottom of Page)"/>
        <w:docPartUnique/>
      </w:docPartObj>
    </w:sdtPr>
    <w:sdtEndPr/>
    <w:sdtContent>
      <w:p w:rsidR="00846907" w:rsidRDefault="00846907">
        <w:pPr>
          <w:pStyle w:val="Stopka"/>
          <w:jc w:val="center"/>
        </w:pPr>
        <w:r>
          <w:fldChar w:fldCharType="begin"/>
        </w:r>
        <w:r>
          <w:instrText>PAGE   \* MERGEFORMAT</w:instrText>
        </w:r>
        <w:r>
          <w:fldChar w:fldCharType="separate"/>
        </w:r>
        <w:r w:rsidR="0047725C">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907" w:rsidRDefault="00846907" w:rsidP="00846907">
      <w:r>
        <w:separator/>
      </w:r>
    </w:p>
  </w:footnote>
  <w:footnote w:type="continuationSeparator" w:id="0">
    <w:p w:rsidR="00846907" w:rsidRDefault="00846907" w:rsidP="008469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66336"/>
    <w:multiLevelType w:val="hybridMultilevel"/>
    <w:tmpl w:val="CDCA6790"/>
    <w:lvl w:ilvl="0" w:tplc="A93E326E">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907"/>
    <w:rsid w:val="000356AD"/>
    <w:rsid w:val="000537C0"/>
    <w:rsid w:val="00065861"/>
    <w:rsid w:val="000F4F63"/>
    <w:rsid w:val="0011146A"/>
    <w:rsid w:val="001522B4"/>
    <w:rsid w:val="001707D2"/>
    <w:rsid w:val="00177D90"/>
    <w:rsid w:val="001E04F7"/>
    <w:rsid w:val="002D6878"/>
    <w:rsid w:val="003D639D"/>
    <w:rsid w:val="003E0C48"/>
    <w:rsid w:val="003E7A13"/>
    <w:rsid w:val="0047725C"/>
    <w:rsid w:val="004F135F"/>
    <w:rsid w:val="00846907"/>
    <w:rsid w:val="00AB40DB"/>
    <w:rsid w:val="00AC4AD7"/>
    <w:rsid w:val="00B64D99"/>
    <w:rsid w:val="00B83EA6"/>
    <w:rsid w:val="00B87031"/>
    <w:rsid w:val="00BB3C40"/>
    <w:rsid w:val="00C874CC"/>
    <w:rsid w:val="00C92149"/>
    <w:rsid w:val="00DB4AB7"/>
    <w:rsid w:val="00F145A9"/>
    <w:rsid w:val="00FA5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6907"/>
    <w:pPr>
      <w:spacing w:after="0" w:line="240" w:lineRule="auto"/>
    </w:pPr>
    <w:rPr>
      <w:rFonts w:ascii="Times New Roman" w:eastAsia="Times New Roman" w:hAnsi="Times New Roman" w:cs="Times New Roman"/>
      <w:color w:val="000000"/>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TIRwPKTzmtirwpktartykuempunktem">
    <w:name w:val="Z/TIR_w_PKT – zm. tir. w pkt artykułem (punktem)"/>
    <w:basedOn w:val="Normalny"/>
    <w:uiPriority w:val="33"/>
    <w:qFormat/>
    <w:rsid w:val="00846907"/>
    <w:pPr>
      <w:spacing w:line="360" w:lineRule="auto"/>
      <w:ind w:left="1894" w:hanging="397"/>
      <w:jc w:val="both"/>
    </w:pPr>
    <w:rPr>
      <w:rFonts w:ascii="Times" w:hAnsi="Times" w:cs="Arial"/>
      <w:bCs/>
      <w:color w:val="auto"/>
      <w:szCs w:val="20"/>
      <w:lang w:eastAsia="pl-PL"/>
    </w:rPr>
  </w:style>
  <w:style w:type="paragraph" w:customStyle="1" w:styleId="ARTartustawynprozporzdzenia">
    <w:name w:val="ART(§) – art. ustawy (§ np. rozporządzenia)"/>
    <w:uiPriority w:val="11"/>
    <w:qFormat/>
    <w:rsid w:val="00846907"/>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uiPriority w:val="31"/>
    <w:qFormat/>
    <w:rsid w:val="00846907"/>
    <w:pPr>
      <w:spacing w:line="360" w:lineRule="auto"/>
      <w:ind w:left="1020" w:hanging="510"/>
      <w:jc w:val="both"/>
    </w:pPr>
    <w:rPr>
      <w:rFonts w:ascii="Times" w:hAnsi="Times" w:cs="Arial"/>
      <w:bCs/>
      <w:color w:val="auto"/>
      <w:szCs w:val="20"/>
      <w:lang w:eastAsia="pl-PL"/>
    </w:rPr>
  </w:style>
  <w:style w:type="paragraph" w:customStyle="1" w:styleId="ZARTzmartartykuempunktem">
    <w:name w:val="Z/ART(§) – zm. art. (§) artykułem (punktem)"/>
    <w:basedOn w:val="ARTartustawynprozporzdzenia"/>
    <w:uiPriority w:val="30"/>
    <w:qFormat/>
    <w:rsid w:val="00846907"/>
    <w:pPr>
      <w:spacing w:before="0"/>
      <w:ind w:left="510"/>
    </w:pPr>
  </w:style>
  <w:style w:type="character" w:customStyle="1" w:styleId="Ppogrubienie">
    <w:name w:val="_P_ – pogrubienie"/>
    <w:uiPriority w:val="1"/>
    <w:qFormat/>
    <w:rsid w:val="00846907"/>
    <w:rPr>
      <w:b/>
    </w:rPr>
  </w:style>
  <w:style w:type="character" w:customStyle="1" w:styleId="Kkursywa">
    <w:name w:val="_K_ – kursywa"/>
    <w:uiPriority w:val="1"/>
    <w:qFormat/>
    <w:rsid w:val="00846907"/>
    <w:rPr>
      <w:i/>
    </w:rPr>
  </w:style>
  <w:style w:type="paragraph" w:customStyle="1" w:styleId="TEKSTwTABELIWYRODKOWANYtekstwyrodkowanywpoziomie">
    <w:name w:val="TEKST_w_TABELI_WYŚRODKOWANY – tekst wyśrodkowany w poziomie"/>
    <w:basedOn w:val="Normalny"/>
    <w:uiPriority w:val="23"/>
    <w:qFormat/>
    <w:rsid w:val="00846907"/>
    <w:pPr>
      <w:suppressAutoHyphens/>
      <w:jc w:val="center"/>
    </w:pPr>
    <w:rPr>
      <w:rFonts w:ascii="Times" w:hAnsi="Times"/>
      <w:bCs/>
      <w:kern w:val="24"/>
    </w:rPr>
  </w:style>
  <w:style w:type="paragraph" w:styleId="Akapitzlist">
    <w:name w:val="List Paragraph"/>
    <w:basedOn w:val="Normalny"/>
    <w:link w:val="AkapitzlistZnak"/>
    <w:uiPriority w:val="34"/>
    <w:qFormat/>
    <w:rsid w:val="00846907"/>
    <w:pPr>
      <w:ind w:left="720"/>
      <w:contextualSpacing/>
    </w:pPr>
  </w:style>
  <w:style w:type="character" w:customStyle="1" w:styleId="AkapitzlistZnak">
    <w:name w:val="Akapit z listą Znak"/>
    <w:link w:val="Akapitzlist"/>
    <w:uiPriority w:val="34"/>
    <w:locked/>
    <w:rsid w:val="00846907"/>
    <w:rPr>
      <w:rFonts w:ascii="Times New Roman" w:eastAsia="Times New Roman" w:hAnsi="Times New Roman" w:cs="Times New Roman"/>
      <w:color w:val="000000"/>
      <w:sz w:val="24"/>
      <w:szCs w:val="24"/>
      <w:lang w:eastAsia="zh-CN"/>
    </w:rPr>
  </w:style>
  <w:style w:type="paragraph" w:customStyle="1" w:styleId="Default">
    <w:name w:val="Default"/>
    <w:rsid w:val="00846907"/>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unhideWhenUsed/>
    <w:rsid w:val="00846907"/>
    <w:pPr>
      <w:tabs>
        <w:tab w:val="left" w:pos="567"/>
      </w:tabs>
      <w:spacing w:before="120" w:line="276" w:lineRule="auto"/>
      <w:jc w:val="both"/>
    </w:pPr>
    <w:rPr>
      <w:rFonts w:ascii="Calibri" w:hAnsi="Calibri"/>
      <w:color w:val="auto"/>
      <w:sz w:val="22"/>
      <w:szCs w:val="20"/>
      <w:lang w:val="en-GB" w:eastAsia="da-DK"/>
    </w:rPr>
  </w:style>
  <w:style w:type="character" w:customStyle="1" w:styleId="TekstpodstawowyZnak">
    <w:name w:val="Tekst podstawowy Znak"/>
    <w:basedOn w:val="Domylnaczcionkaakapitu"/>
    <w:link w:val="Tekstpodstawowy"/>
    <w:rsid w:val="00846907"/>
    <w:rPr>
      <w:rFonts w:ascii="Calibri" w:eastAsia="Times New Roman" w:hAnsi="Calibri" w:cs="Times New Roman"/>
      <w:szCs w:val="20"/>
      <w:lang w:val="en-GB" w:eastAsia="da-DK"/>
    </w:rPr>
  </w:style>
  <w:style w:type="paragraph" w:customStyle="1" w:styleId="pkt">
    <w:name w:val="pkt"/>
    <w:basedOn w:val="Normalny"/>
    <w:rsid w:val="00846907"/>
    <w:pPr>
      <w:spacing w:before="60" w:after="60"/>
      <w:ind w:left="851" w:hanging="295"/>
      <w:jc w:val="both"/>
    </w:pPr>
    <w:rPr>
      <w:color w:val="auto"/>
      <w:szCs w:val="20"/>
      <w:lang w:eastAsia="pl-PL"/>
    </w:rPr>
  </w:style>
  <w:style w:type="character" w:customStyle="1" w:styleId="object">
    <w:name w:val="object"/>
    <w:rsid w:val="00846907"/>
  </w:style>
  <w:style w:type="paragraph" w:styleId="Nagwek">
    <w:name w:val="header"/>
    <w:basedOn w:val="Normalny"/>
    <w:link w:val="NagwekZnak"/>
    <w:uiPriority w:val="99"/>
    <w:unhideWhenUsed/>
    <w:rsid w:val="00846907"/>
    <w:pPr>
      <w:tabs>
        <w:tab w:val="center" w:pos="4536"/>
        <w:tab w:val="right" w:pos="9072"/>
      </w:tabs>
    </w:pPr>
  </w:style>
  <w:style w:type="character" w:customStyle="1" w:styleId="NagwekZnak">
    <w:name w:val="Nagłówek Znak"/>
    <w:basedOn w:val="Domylnaczcionkaakapitu"/>
    <w:link w:val="Nagwek"/>
    <w:uiPriority w:val="99"/>
    <w:rsid w:val="00846907"/>
    <w:rPr>
      <w:rFonts w:ascii="Times New Roman" w:eastAsia="Times New Roman" w:hAnsi="Times New Roman" w:cs="Times New Roman"/>
      <w:color w:val="000000"/>
      <w:sz w:val="24"/>
      <w:szCs w:val="24"/>
      <w:lang w:eastAsia="zh-CN"/>
    </w:rPr>
  </w:style>
  <w:style w:type="paragraph" w:styleId="Stopka">
    <w:name w:val="footer"/>
    <w:basedOn w:val="Normalny"/>
    <w:link w:val="StopkaZnak"/>
    <w:uiPriority w:val="99"/>
    <w:unhideWhenUsed/>
    <w:rsid w:val="00846907"/>
    <w:pPr>
      <w:tabs>
        <w:tab w:val="center" w:pos="4536"/>
        <w:tab w:val="right" w:pos="9072"/>
      </w:tabs>
    </w:pPr>
  </w:style>
  <w:style w:type="character" w:customStyle="1" w:styleId="StopkaZnak">
    <w:name w:val="Stopka Znak"/>
    <w:basedOn w:val="Domylnaczcionkaakapitu"/>
    <w:link w:val="Stopka"/>
    <w:uiPriority w:val="99"/>
    <w:rsid w:val="00846907"/>
    <w:rPr>
      <w:rFonts w:ascii="Times New Roman" w:eastAsia="Times New Roman" w:hAnsi="Times New Roman" w:cs="Times New Roman"/>
      <w:color w:val="00000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6907"/>
    <w:pPr>
      <w:spacing w:after="0" w:line="240" w:lineRule="auto"/>
    </w:pPr>
    <w:rPr>
      <w:rFonts w:ascii="Times New Roman" w:eastAsia="Times New Roman" w:hAnsi="Times New Roman" w:cs="Times New Roman"/>
      <w:color w:val="000000"/>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TIRwPKTzmtirwpktartykuempunktem">
    <w:name w:val="Z/TIR_w_PKT – zm. tir. w pkt artykułem (punktem)"/>
    <w:basedOn w:val="Normalny"/>
    <w:uiPriority w:val="33"/>
    <w:qFormat/>
    <w:rsid w:val="00846907"/>
    <w:pPr>
      <w:spacing w:line="360" w:lineRule="auto"/>
      <w:ind w:left="1894" w:hanging="397"/>
      <w:jc w:val="both"/>
    </w:pPr>
    <w:rPr>
      <w:rFonts w:ascii="Times" w:hAnsi="Times" w:cs="Arial"/>
      <w:bCs/>
      <w:color w:val="auto"/>
      <w:szCs w:val="20"/>
      <w:lang w:eastAsia="pl-PL"/>
    </w:rPr>
  </w:style>
  <w:style w:type="paragraph" w:customStyle="1" w:styleId="ARTartustawynprozporzdzenia">
    <w:name w:val="ART(§) – art. ustawy (§ np. rozporządzenia)"/>
    <w:uiPriority w:val="11"/>
    <w:qFormat/>
    <w:rsid w:val="00846907"/>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uiPriority w:val="31"/>
    <w:qFormat/>
    <w:rsid w:val="00846907"/>
    <w:pPr>
      <w:spacing w:line="360" w:lineRule="auto"/>
      <w:ind w:left="1020" w:hanging="510"/>
      <w:jc w:val="both"/>
    </w:pPr>
    <w:rPr>
      <w:rFonts w:ascii="Times" w:hAnsi="Times" w:cs="Arial"/>
      <w:bCs/>
      <w:color w:val="auto"/>
      <w:szCs w:val="20"/>
      <w:lang w:eastAsia="pl-PL"/>
    </w:rPr>
  </w:style>
  <w:style w:type="paragraph" w:customStyle="1" w:styleId="ZARTzmartartykuempunktem">
    <w:name w:val="Z/ART(§) – zm. art. (§) artykułem (punktem)"/>
    <w:basedOn w:val="ARTartustawynprozporzdzenia"/>
    <w:uiPriority w:val="30"/>
    <w:qFormat/>
    <w:rsid w:val="00846907"/>
    <w:pPr>
      <w:spacing w:before="0"/>
      <w:ind w:left="510"/>
    </w:pPr>
  </w:style>
  <w:style w:type="character" w:customStyle="1" w:styleId="Ppogrubienie">
    <w:name w:val="_P_ – pogrubienie"/>
    <w:uiPriority w:val="1"/>
    <w:qFormat/>
    <w:rsid w:val="00846907"/>
    <w:rPr>
      <w:b/>
    </w:rPr>
  </w:style>
  <w:style w:type="character" w:customStyle="1" w:styleId="Kkursywa">
    <w:name w:val="_K_ – kursywa"/>
    <w:uiPriority w:val="1"/>
    <w:qFormat/>
    <w:rsid w:val="00846907"/>
    <w:rPr>
      <w:i/>
    </w:rPr>
  </w:style>
  <w:style w:type="paragraph" w:customStyle="1" w:styleId="TEKSTwTABELIWYRODKOWANYtekstwyrodkowanywpoziomie">
    <w:name w:val="TEKST_w_TABELI_WYŚRODKOWANY – tekst wyśrodkowany w poziomie"/>
    <w:basedOn w:val="Normalny"/>
    <w:uiPriority w:val="23"/>
    <w:qFormat/>
    <w:rsid w:val="00846907"/>
    <w:pPr>
      <w:suppressAutoHyphens/>
      <w:jc w:val="center"/>
    </w:pPr>
    <w:rPr>
      <w:rFonts w:ascii="Times" w:hAnsi="Times"/>
      <w:bCs/>
      <w:kern w:val="24"/>
    </w:rPr>
  </w:style>
  <w:style w:type="paragraph" w:styleId="Akapitzlist">
    <w:name w:val="List Paragraph"/>
    <w:basedOn w:val="Normalny"/>
    <w:link w:val="AkapitzlistZnak"/>
    <w:uiPriority w:val="34"/>
    <w:qFormat/>
    <w:rsid w:val="00846907"/>
    <w:pPr>
      <w:ind w:left="720"/>
      <w:contextualSpacing/>
    </w:pPr>
  </w:style>
  <w:style w:type="character" w:customStyle="1" w:styleId="AkapitzlistZnak">
    <w:name w:val="Akapit z listą Znak"/>
    <w:link w:val="Akapitzlist"/>
    <w:uiPriority w:val="34"/>
    <w:locked/>
    <w:rsid w:val="00846907"/>
    <w:rPr>
      <w:rFonts w:ascii="Times New Roman" w:eastAsia="Times New Roman" w:hAnsi="Times New Roman" w:cs="Times New Roman"/>
      <w:color w:val="000000"/>
      <w:sz w:val="24"/>
      <w:szCs w:val="24"/>
      <w:lang w:eastAsia="zh-CN"/>
    </w:rPr>
  </w:style>
  <w:style w:type="paragraph" w:customStyle="1" w:styleId="Default">
    <w:name w:val="Default"/>
    <w:rsid w:val="00846907"/>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unhideWhenUsed/>
    <w:rsid w:val="00846907"/>
    <w:pPr>
      <w:tabs>
        <w:tab w:val="left" w:pos="567"/>
      </w:tabs>
      <w:spacing w:before="120" w:line="276" w:lineRule="auto"/>
      <w:jc w:val="both"/>
    </w:pPr>
    <w:rPr>
      <w:rFonts w:ascii="Calibri" w:hAnsi="Calibri"/>
      <w:color w:val="auto"/>
      <w:sz w:val="22"/>
      <w:szCs w:val="20"/>
      <w:lang w:val="en-GB" w:eastAsia="da-DK"/>
    </w:rPr>
  </w:style>
  <w:style w:type="character" w:customStyle="1" w:styleId="TekstpodstawowyZnak">
    <w:name w:val="Tekst podstawowy Znak"/>
    <w:basedOn w:val="Domylnaczcionkaakapitu"/>
    <w:link w:val="Tekstpodstawowy"/>
    <w:rsid w:val="00846907"/>
    <w:rPr>
      <w:rFonts w:ascii="Calibri" w:eastAsia="Times New Roman" w:hAnsi="Calibri" w:cs="Times New Roman"/>
      <w:szCs w:val="20"/>
      <w:lang w:val="en-GB" w:eastAsia="da-DK"/>
    </w:rPr>
  </w:style>
  <w:style w:type="paragraph" w:customStyle="1" w:styleId="pkt">
    <w:name w:val="pkt"/>
    <w:basedOn w:val="Normalny"/>
    <w:rsid w:val="00846907"/>
    <w:pPr>
      <w:spacing w:before="60" w:after="60"/>
      <w:ind w:left="851" w:hanging="295"/>
      <w:jc w:val="both"/>
    </w:pPr>
    <w:rPr>
      <w:color w:val="auto"/>
      <w:szCs w:val="20"/>
      <w:lang w:eastAsia="pl-PL"/>
    </w:rPr>
  </w:style>
  <w:style w:type="character" w:customStyle="1" w:styleId="object">
    <w:name w:val="object"/>
    <w:rsid w:val="00846907"/>
  </w:style>
  <w:style w:type="paragraph" w:styleId="Nagwek">
    <w:name w:val="header"/>
    <w:basedOn w:val="Normalny"/>
    <w:link w:val="NagwekZnak"/>
    <w:uiPriority w:val="99"/>
    <w:unhideWhenUsed/>
    <w:rsid w:val="00846907"/>
    <w:pPr>
      <w:tabs>
        <w:tab w:val="center" w:pos="4536"/>
        <w:tab w:val="right" w:pos="9072"/>
      </w:tabs>
    </w:pPr>
  </w:style>
  <w:style w:type="character" w:customStyle="1" w:styleId="NagwekZnak">
    <w:name w:val="Nagłówek Znak"/>
    <w:basedOn w:val="Domylnaczcionkaakapitu"/>
    <w:link w:val="Nagwek"/>
    <w:uiPriority w:val="99"/>
    <w:rsid w:val="00846907"/>
    <w:rPr>
      <w:rFonts w:ascii="Times New Roman" w:eastAsia="Times New Roman" w:hAnsi="Times New Roman" w:cs="Times New Roman"/>
      <w:color w:val="000000"/>
      <w:sz w:val="24"/>
      <w:szCs w:val="24"/>
      <w:lang w:eastAsia="zh-CN"/>
    </w:rPr>
  </w:style>
  <w:style w:type="paragraph" w:styleId="Stopka">
    <w:name w:val="footer"/>
    <w:basedOn w:val="Normalny"/>
    <w:link w:val="StopkaZnak"/>
    <w:uiPriority w:val="99"/>
    <w:unhideWhenUsed/>
    <w:rsid w:val="00846907"/>
    <w:pPr>
      <w:tabs>
        <w:tab w:val="center" w:pos="4536"/>
        <w:tab w:val="right" w:pos="9072"/>
      </w:tabs>
    </w:pPr>
  </w:style>
  <w:style w:type="character" w:customStyle="1" w:styleId="StopkaZnak">
    <w:name w:val="Stopka Znak"/>
    <w:basedOn w:val="Domylnaczcionkaakapitu"/>
    <w:link w:val="Stopka"/>
    <w:uiPriority w:val="99"/>
    <w:rsid w:val="00846907"/>
    <w:rPr>
      <w:rFonts w:ascii="Times New Roman" w:eastAsia="Times New Roma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18</Pages>
  <Words>5767</Words>
  <Characters>34606</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Jankowska-Słomianko Dorota</cp:lastModifiedBy>
  <cp:revision>13</cp:revision>
  <dcterms:created xsi:type="dcterms:W3CDTF">2017-07-14T07:18:00Z</dcterms:created>
  <dcterms:modified xsi:type="dcterms:W3CDTF">2017-07-14T12:15:00Z</dcterms:modified>
</cp:coreProperties>
</file>