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A16" w:rsidRDefault="002317BB" w:rsidP="002317BB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BE7AC8" w:rsidRDefault="00BE7AC8" w:rsidP="00BE7AC8">
      <w:pPr>
        <w:pStyle w:val="OZNRODZAKTUtznustawalubrozporzdzenieiorganwydajcy"/>
      </w:pPr>
      <w:r>
        <w:t>USTAWA</w:t>
      </w:r>
    </w:p>
    <w:p w:rsidR="00BE7AC8" w:rsidRDefault="002D6DB3" w:rsidP="00BE7AC8">
      <w:pPr>
        <w:pStyle w:val="DATAAKTUdatauchwalenialubwydaniaaktu"/>
      </w:pPr>
      <w:r>
        <w:t>z dnia</w:t>
      </w:r>
    </w:p>
    <w:p w:rsidR="005622DE" w:rsidRPr="005622DE" w:rsidRDefault="00BE7AC8" w:rsidP="002317BB">
      <w:pPr>
        <w:pStyle w:val="TYTUAKTUprzedmiotregulacjiustawylubrozporzdzenia"/>
      </w:pPr>
      <w:r>
        <w:t xml:space="preserve">o zmianie ustawy o </w:t>
      </w:r>
      <w:r w:rsidR="002825C7">
        <w:t>emeryturach i rentach z Funduszu Ubezpieczeń Społecznych</w:t>
      </w:r>
      <w:r w:rsidR="00AA3932">
        <w:t xml:space="preserve"> oraz ustawy </w:t>
      </w:r>
      <w:r w:rsidR="00AA3932" w:rsidRPr="00AA3932">
        <w:t>o ubezpieczeniu społecznym z tytułu wypadków przy pracy i chorób zawodowych</w:t>
      </w:r>
    </w:p>
    <w:p w:rsidR="00C65665" w:rsidRPr="00C65665" w:rsidRDefault="00C65665" w:rsidP="002317BB">
      <w:pPr>
        <w:pStyle w:val="ARTartustawynprozporzdzenia"/>
        <w:keepNext/>
      </w:pPr>
      <w:r w:rsidRPr="002317BB">
        <w:rPr>
          <w:rStyle w:val="Ppogrubienie"/>
        </w:rPr>
        <w:t>Art.</w:t>
      </w:r>
      <w:r w:rsidR="002317BB">
        <w:rPr>
          <w:rStyle w:val="Ppogrubienie"/>
        </w:rPr>
        <w:t> </w:t>
      </w:r>
      <w:r w:rsidRPr="002317BB">
        <w:rPr>
          <w:rStyle w:val="Ppogrubienie"/>
        </w:rPr>
        <w:t>1.</w:t>
      </w:r>
      <w:r w:rsidRPr="00C65665">
        <w:t xml:space="preserve"> W ustawie z dnia 1</w:t>
      </w:r>
      <w:r w:rsidR="002825C7">
        <w:t>7</w:t>
      </w:r>
      <w:r w:rsidRPr="00C65665">
        <w:t xml:space="preserve"> </w:t>
      </w:r>
      <w:r w:rsidR="002825C7">
        <w:t>grudnia</w:t>
      </w:r>
      <w:r w:rsidRPr="00C65665">
        <w:t xml:space="preserve"> 1998 r. o </w:t>
      </w:r>
      <w:r w:rsidR="002825C7">
        <w:t>emeryturach i rentach z Funduszu Ubezpieczeń Społecznych</w:t>
      </w:r>
      <w:r w:rsidR="00DF7AD4">
        <w:t xml:space="preserve"> (Dz. U. z 2017</w:t>
      </w:r>
      <w:r w:rsidRPr="00C65665">
        <w:t xml:space="preserve"> r. poz.</w:t>
      </w:r>
      <w:r w:rsidR="00DF7AD4">
        <w:t xml:space="preserve"> 1383</w:t>
      </w:r>
      <w:r w:rsidR="00012A2A">
        <w:t xml:space="preserve"> i 1386</w:t>
      </w:r>
      <w:r w:rsidRPr="00C65665">
        <w:t>)</w:t>
      </w:r>
      <w:r w:rsidRPr="00C65665">
        <w:rPr>
          <w:rStyle w:val="IGindeksgrny"/>
          <w:vertAlign w:val="baseline"/>
        </w:rPr>
        <w:t xml:space="preserve"> </w:t>
      </w:r>
      <w:r w:rsidRPr="00C65665">
        <w:t>wprowadza się następujące zmiany:</w:t>
      </w:r>
    </w:p>
    <w:p w:rsidR="00C65665" w:rsidRPr="00AE796F" w:rsidRDefault="00996836" w:rsidP="002317BB">
      <w:pPr>
        <w:pStyle w:val="PKTpunkt"/>
        <w:keepNext/>
      </w:pPr>
      <w:r w:rsidRPr="00AE796F">
        <w:t>1</w:t>
      </w:r>
      <w:r w:rsidR="002317BB">
        <w:t>)</w:t>
      </w:r>
      <w:r w:rsidR="002317BB">
        <w:tab/>
      </w:r>
      <w:r w:rsidR="00763CDC" w:rsidRPr="00AE796F">
        <w:t xml:space="preserve">w </w:t>
      </w:r>
      <w:r w:rsidR="00C65665" w:rsidRPr="00AE796F">
        <w:t xml:space="preserve">art. </w:t>
      </w:r>
      <w:r w:rsidR="00E932B3" w:rsidRPr="00AE796F">
        <w:t>5</w:t>
      </w:r>
      <w:r w:rsidR="00763CDC" w:rsidRPr="00AE796F">
        <w:t>7</w:t>
      </w:r>
      <w:r w:rsidR="00E932B3" w:rsidRPr="00AE796F">
        <w:t xml:space="preserve"> </w:t>
      </w:r>
      <w:r w:rsidR="00EA76FC">
        <w:t xml:space="preserve">w </w:t>
      </w:r>
      <w:r w:rsidR="00763CDC" w:rsidRPr="00AE796F">
        <w:t xml:space="preserve">ust. 1 </w:t>
      </w:r>
      <w:r w:rsidR="00E932B3" w:rsidRPr="00AE796F">
        <w:t xml:space="preserve">dodaje się </w:t>
      </w:r>
      <w:r w:rsidR="00763CDC" w:rsidRPr="00AE796F">
        <w:t>pkt 4</w:t>
      </w:r>
      <w:r w:rsidR="00E932B3" w:rsidRPr="00AE796F">
        <w:t xml:space="preserve"> w brzmieniu</w:t>
      </w:r>
      <w:r w:rsidR="00C65665" w:rsidRPr="00AE796F">
        <w:t>:</w:t>
      </w:r>
    </w:p>
    <w:p w:rsidR="00D17C74" w:rsidRDefault="00E932B3" w:rsidP="00AE796F">
      <w:pPr>
        <w:pStyle w:val="ZPKTzmpktartykuempunktem"/>
      </w:pPr>
      <w:r w:rsidRPr="00C452CC">
        <w:t>„</w:t>
      </w:r>
      <w:r w:rsidR="00763CDC">
        <w:t>4)</w:t>
      </w:r>
      <w:r w:rsidR="00C5171E">
        <w:tab/>
      </w:r>
      <w:r w:rsidR="00763CDC">
        <w:t xml:space="preserve">nie ma </w:t>
      </w:r>
      <w:r w:rsidRPr="00C452CC">
        <w:t>ustalone</w:t>
      </w:r>
      <w:r w:rsidR="00763CDC">
        <w:t>go prawa</w:t>
      </w:r>
      <w:r w:rsidRPr="00C452CC">
        <w:t xml:space="preserve"> do emerytury </w:t>
      </w:r>
      <w:r w:rsidR="00C5171E">
        <w:t xml:space="preserve">z Funduszu </w:t>
      </w:r>
      <w:r w:rsidRPr="00C452CC">
        <w:t xml:space="preserve">lub </w:t>
      </w:r>
      <w:r w:rsidR="00763CDC">
        <w:t xml:space="preserve">nie </w:t>
      </w:r>
      <w:r w:rsidRPr="00C452CC">
        <w:t>spełnia</w:t>
      </w:r>
      <w:r w:rsidR="00763CDC">
        <w:t xml:space="preserve"> warunków</w:t>
      </w:r>
      <w:r w:rsidRPr="00C452CC">
        <w:t xml:space="preserve"> do </w:t>
      </w:r>
      <w:r w:rsidR="00763CDC">
        <w:t xml:space="preserve">jej </w:t>
      </w:r>
      <w:r w:rsidRPr="00C452CC">
        <w:t>uzyskania</w:t>
      </w:r>
      <w:r w:rsidR="00763CDC">
        <w:t>.</w:t>
      </w:r>
      <w:r w:rsidR="00C65665" w:rsidRPr="00C452CC">
        <w:t>”;</w:t>
      </w:r>
    </w:p>
    <w:p w:rsidR="00C5171E" w:rsidRDefault="002317BB" w:rsidP="002317BB">
      <w:pPr>
        <w:pStyle w:val="PKTpunkt"/>
        <w:keepNext/>
      </w:pPr>
      <w:r>
        <w:t>2)</w:t>
      </w:r>
      <w:r>
        <w:tab/>
      </w:r>
      <w:r w:rsidR="00C5171E">
        <w:t>art. 61</w:t>
      </w:r>
      <w:r w:rsidR="00C5171E" w:rsidRPr="00C5171E">
        <w:t xml:space="preserve"> otrzymuje brzmienie:</w:t>
      </w:r>
    </w:p>
    <w:p w:rsidR="00C5171E" w:rsidRDefault="00C5171E" w:rsidP="00C5171E">
      <w:pPr>
        <w:pStyle w:val="ZARTzmartartykuempunktem"/>
      </w:pPr>
      <w:r w:rsidRPr="00C5171E">
        <w:t>„Art. 61. Prawo do renty, które ustało z powodu ustąpienia niezdolności do pracy, podlega przywróceniu, jeżeli w ciągu 18 miesięcy od ustania prawa do renty ubezpieczony ponownie stał się niezdolny do pracy</w:t>
      </w:r>
      <w:r>
        <w:t>, z zastrzeżeniem art. 101a</w:t>
      </w:r>
      <w:r w:rsidRPr="00C5171E">
        <w:t>.”;</w:t>
      </w:r>
    </w:p>
    <w:p w:rsidR="001733B0" w:rsidRPr="001733B0" w:rsidRDefault="001733B0" w:rsidP="002317BB">
      <w:pPr>
        <w:pStyle w:val="PKTpunkt"/>
        <w:keepNext/>
      </w:pPr>
      <w:r>
        <w:t>3</w:t>
      </w:r>
      <w:r w:rsidR="002317BB">
        <w:t>)</w:t>
      </w:r>
      <w:r w:rsidR="002317BB">
        <w:tab/>
      </w:r>
      <w:r w:rsidRPr="001733B0">
        <w:t>w art. 85:</w:t>
      </w:r>
    </w:p>
    <w:p w:rsidR="001733B0" w:rsidRPr="001733B0" w:rsidRDefault="001733B0" w:rsidP="002317BB">
      <w:pPr>
        <w:pStyle w:val="LITlitera"/>
        <w:keepNext/>
      </w:pPr>
      <w:r>
        <w:t>a</w:t>
      </w:r>
      <w:r w:rsidR="002317BB">
        <w:t>)</w:t>
      </w:r>
      <w:r w:rsidR="002317BB">
        <w:tab/>
      </w:r>
      <w:r w:rsidRPr="001733B0">
        <w:t>po ust. 2 dodaje się ust. 2a w brzmieniu:</w:t>
      </w:r>
    </w:p>
    <w:p w:rsidR="001733B0" w:rsidRPr="001733B0" w:rsidRDefault="009D3C94" w:rsidP="002317BB">
      <w:pPr>
        <w:pStyle w:val="ZLITUSTzmustliter"/>
        <w:keepNext/>
      </w:pPr>
      <w:r>
        <w:t>„2</w:t>
      </w:r>
      <w:r w:rsidR="001733B0" w:rsidRPr="001733B0">
        <w:t>a. Jeżeli w wyniku waloryzacji emerytura przyznana na podstawie art. 24a lub art. 27a, osobie niemającej okresu składkowego i nieskładkowego wymaganego do ustalenia tej emerytury w wysokości najniższej emerytury, jest niższa od obowiązujących od terminu waloryzacji nowych kwot najniższych rent z</w:t>
      </w:r>
      <w:r w:rsidR="002317BB">
        <w:t> </w:t>
      </w:r>
      <w:r w:rsidR="001733B0" w:rsidRPr="001733B0">
        <w:t>tytułu niezdolności do pracy, emeryturę tę podwyższa się odpowiednio do:</w:t>
      </w:r>
    </w:p>
    <w:p w:rsidR="001733B0" w:rsidRPr="001733B0" w:rsidRDefault="001733B0" w:rsidP="002317BB">
      <w:pPr>
        <w:pStyle w:val="ZLITPKTzmpktliter"/>
      </w:pPr>
      <w:r>
        <w:t>1)</w:t>
      </w:r>
      <w:r>
        <w:tab/>
      </w:r>
      <w:r w:rsidRPr="001733B0">
        <w:t>kwoty, o której mowa w art. 85 ust. 1 pkt 1, jeżeli emerytura z urzędu została przyznana osobie uprzednio uprawnionej do renty z tytułu całkowitej niezdolności do pracy;</w:t>
      </w:r>
    </w:p>
    <w:p w:rsidR="001733B0" w:rsidRDefault="001733B0" w:rsidP="002317BB">
      <w:pPr>
        <w:pStyle w:val="ZLITPKTzmpktliter"/>
      </w:pPr>
      <w:r>
        <w:t>2)</w:t>
      </w:r>
      <w:r>
        <w:tab/>
      </w:r>
      <w:r w:rsidRPr="001733B0">
        <w:t>kwoty, o której mowa w art. 85 ust. 1 pkt 2, jeżeli emerytura z urzędu została przyznana osobie uprzednio uprawnionej do renty z tytułu częściowej niezdolności do pracy.”,</w:t>
      </w:r>
    </w:p>
    <w:p w:rsidR="001733B0" w:rsidRPr="00A92A41" w:rsidRDefault="002317BB" w:rsidP="002317BB">
      <w:pPr>
        <w:pStyle w:val="LITlitera"/>
        <w:keepNext/>
      </w:pPr>
      <w:r>
        <w:t>b)</w:t>
      </w:r>
      <w:r>
        <w:tab/>
      </w:r>
      <w:r w:rsidR="001733B0" w:rsidRPr="00A92A41">
        <w:t>ust. 3 otrzymuje brzmienie:</w:t>
      </w:r>
    </w:p>
    <w:p w:rsidR="00DF7AD4" w:rsidRDefault="001733B0" w:rsidP="002317BB">
      <w:pPr>
        <w:pStyle w:val="ZLITUSTzmustliter"/>
      </w:pPr>
      <w:r w:rsidRPr="001733B0">
        <w:t>„3. Kwoty najniższych świadczeń, o których mowa w ust. 1–2a, podwyższa się przy zastosowaniu wskaźnika waloryzacj</w:t>
      </w:r>
      <w:r w:rsidR="002317BB">
        <w:t>i, o którym mowa w art. 89–</w:t>
      </w:r>
      <w:r w:rsidR="00A92A41">
        <w:t>94.”;</w:t>
      </w:r>
    </w:p>
    <w:p w:rsidR="00E248C6" w:rsidRDefault="002317BB" w:rsidP="002317BB">
      <w:pPr>
        <w:pStyle w:val="PKTpunkt"/>
        <w:keepNext/>
      </w:pPr>
      <w:r>
        <w:lastRenderedPageBreak/>
        <w:t>4)</w:t>
      </w:r>
      <w:r>
        <w:tab/>
      </w:r>
      <w:r w:rsidR="00B504BA">
        <w:t>art. 101</w:t>
      </w:r>
      <w:r w:rsidR="00944B99">
        <w:t>a</w:t>
      </w:r>
      <w:r w:rsidR="00B504BA" w:rsidRPr="00B504BA">
        <w:t xml:space="preserve"> otrzymuje brzmienie:</w:t>
      </w:r>
    </w:p>
    <w:p w:rsidR="00B504BA" w:rsidRPr="008D6A5F" w:rsidRDefault="00B504BA" w:rsidP="00B504BA">
      <w:pPr>
        <w:pStyle w:val="ZARTzmartartykuempunktem"/>
      </w:pPr>
      <w:r w:rsidRPr="00B504BA">
        <w:t>„Art. 101a. Prawo do renty z tytułu niezdolności do pracy ustaje z dniem, od którego została przyznana emerytura</w:t>
      </w:r>
      <w:r>
        <w:t xml:space="preserve"> z Funduszu</w:t>
      </w:r>
      <w:r w:rsidRPr="00B504BA">
        <w:t>.</w:t>
      </w:r>
      <w:r>
        <w:t>”.</w:t>
      </w:r>
    </w:p>
    <w:p w:rsidR="006F2E8B" w:rsidRDefault="00487751" w:rsidP="002317BB">
      <w:pPr>
        <w:pStyle w:val="ARTartustawynprozporzdzenia"/>
        <w:keepNext/>
      </w:pPr>
      <w:r w:rsidRPr="002317BB">
        <w:rPr>
          <w:rStyle w:val="Ppogrubienie"/>
        </w:rPr>
        <w:t>Art.</w:t>
      </w:r>
      <w:r w:rsidR="002317BB">
        <w:rPr>
          <w:rStyle w:val="Ppogrubienie"/>
        </w:rPr>
        <w:t> </w:t>
      </w:r>
      <w:r w:rsidRPr="002317BB">
        <w:rPr>
          <w:rStyle w:val="Ppogrubienie"/>
        </w:rPr>
        <w:t>2.</w:t>
      </w:r>
      <w:r>
        <w:t xml:space="preserve"> </w:t>
      </w:r>
      <w:r w:rsidR="006F2E8B" w:rsidRPr="00265F6B">
        <w:t xml:space="preserve">W ustawie z dnia 30 października 2002 r. o ubezpieczeniu społecznym z tytułu wypadków przy pracy i chorób zawodowych </w:t>
      </w:r>
      <w:r w:rsidR="006F2E8B" w:rsidRPr="001C5303">
        <w:t>(Dz. U. z 2015 r. poz. 1242 i 1442</w:t>
      </w:r>
      <w:r w:rsidR="00C36A2C">
        <w:t xml:space="preserve">, </w:t>
      </w:r>
      <w:r w:rsidR="006F2E8B" w:rsidRPr="001C5303">
        <w:t>z 2016 r. poz. 1807</w:t>
      </w:r>
      <w:r w:rsidR="006F2E8B">
        <w:t>, 1948 i 2255</w:t>
      </w:r>
      <w:r w:rsidR="00C36A2C">
        <w:t xml:space="preserve"> oraz z 2017 r. poz. 1321</w:t>
      </w:r>
      <w:r w:rsidR="006F2E8B" w:rsidRPr="001C5303">
        <w:t>)</w:t>
      </w:r>
      <w:r w:rsidR="006F2E8B">
        <w:t xml:space="preserve"> w art. 17 ust. 1 otrzymuje brzmienie:</w:t>
      </w:r>
    </w:p>
    <w:p w:rsidR="006F2E8B" w:rsidRDefault="00EA76FC" w:rsidP="00AE796F">
      <w:pPr>
        <w:pStyle w:val="ZUSTzmustartykuempunktem"/>
      </w:pPr>
      <w:r w:rsidRPr="00EA76FC">
        <w:t>„</w:t>
      </w:r>
      <w:r w:rsidR="006F2E8B" w:rsidRPr="00AE796F">
        <w:t>1.</w:t>
      </w:r>
      <w:r w:rsidR="002317BB">
        <w:t xml:space="preserve"> </w:t>
      </w:r>
      <w:r w:rsidR="006F2E8B" w:rsidRPr="00AE796F">
        <w:t xml:space="preserve">Przy ustalaniu prawa do renty z tytułu niezdolności do pracy, renty szkoleniowej, renty rodzinnej i dodatku do renty rodzinnej dla sieroty zupełnej z tytułu ubezpieczenia wypadkowego, do ustalenia wysokości tych świadczeń oraz ich wypłaty stosuje się odpowiednio przepisy </w:t>
      </w:r>
      <w:bookmarkStart w:id="1" w:name="#hiperlinkText.rpc?hiperlink=type=tresc:"/>
      <w:r w:rsidR="006F2E8B" w:rsidRPr="00AE796F">
        <w:t>ustawy</w:t>
      </w:r>
      <w:bookmarkEnd w:id="1"/>
      <w:r w:rsidR="006F2E8B" w:rsidRPr="00AE796F">
        <w:t xml:space="preserve"> o emeryturach i rentach z FUS, </w:t>
      </w:r>
      <w:r w:rsidR="00765E4F" w:rsidRPr="00AE796F">
        <w:t>z wyjątkiem art. 57 ust. 1 pkt 4</w:t>
      </w:r>
      <w:r w:rsidR="006844AF">
        <w:t xml:space="preserve"> </w:t>
      </w:r>
      <w:r w:rsidR="00555F74" w:rsidRPr="00555F74">
        <w:t xml:space="preserve">oraz art. 101a </w:t>
      </w:r>
      <w:r w:rsidR="006844AF">
        <w:t>tej ustawy</w:t>
      </w:r>
      <w:r w:rsidR="00765E4F" w:rsidRPr="00AE796F">
        <w:t xml:space="preserve">, </w:t>
      </w:r>
      <w:r w:rsidR="006F2E8B" w:rsidRPr="00AE796F">
        <w:t>z uwzględnieni</w:t>
      </w:r>
      <w:r w:rsidR="00765E4F" w:rsidRPr="00AE796F">
        <w:t xml:space="preserve">em przepisów niniejszej </w:t>
      </w:r>
      <w:r>
        <w:t>ustawy.</w:t>
      </w:r>
      <w:r w:rsidRPr="00EA76FC">
        <w:t>”</w:t>
      </w:r>
      <w:r w:rsidR="00765E4F" w:rsidRPr="00AE796F">
        <w:t>.</w:t>
      </w:r>
    </w:p>
    <w:p w:rsidR="00555F74" w:rsidRPr="00555F74" w:rsidRDefault="00555F74" w:rsidP="00555F74">
      <w:pPr>
        <w:pStyle w:val="ARTartustawynprozporzdzenia"/>
      </w:pPr>
      <w:r w:rsidRPr="002317BB">
        <w:rPr>
          <w:rStyle w:val="Ppogrubienie"/>
        </w:rPr>
        <w:t>Art.</w:t>
      </w:r>
      <w:r w:rsidR="002317BB">
        <w:rPr>
          <w:rStyle w:val="Ppogrubienie"/>
        </w:rPr>
        <w:t> </w:t>
      </w:r>
      <w:r w:rsidRPr="002317BB">
        <w:rPr>
          <w:rStyle w:val="Ppogrubienie"/>
        </w:rPr>
        <w:t>3.</w:t>
      </w:r>
      <w:r w:rsidRPr="00555F74">
        <w:t xml:space="preserve"> 1. Wysokość emerytury, przyznanej przed dniem 1 marca 2017 r. na podstawie art.</w:t>
      </w:r>
      <w:r w:rsidR="00303E40">
        <w:t xml:space="preserve"> </w:t>
      </w:r>
      <w:r w:rsidRPr="00555F74">
        <w:t xml:space="preserve">24a i </w:t>
      </w:r>
      <w:r w:rsidR="00C36A2C">
        <w:t xml:space="preserve">art. </w:t>
      </w:r>
      <w:r w:rsidRPr="00555F74">
        <w:t>27a ustawy zmienianej w art. 1, przysługującej w dniu wejścia w życie niniejszej ustawy, ustala się ponownie z zastosowaniem art. 85 ust. 2a ustawy zmienianej w art. 1, w</w:t>
      </w:r>
      <w:r w:rsidR="002317BB">
        <w:t> </w:t>
      </w:r>
      <w:r w:rsidRPr="00555F74">
        <w:t>brzmieniu nadanym niniejszą ustawą.</w:t>
      </w:r>
      <w:r w:rsidR="002317BB">
        <w:t xml:space="preserve"> </w:t>
      </w:r>
    </w:p>
    <w:p w:rsidR="00555F74" w:rsidRPr="00AE796F" w:rsidRDefault="00555F74" w:rsidP="00555F74">
      <w:pPr>
        <w:pStyle w:val="USTustnpkodeksu"/>
      </w:pPr>
      <w:r w:rsidRPr="00555F74">
        <w:t>2. Ponownego ustalenia wysokości emerytur, o których mowa w ust.</w:t>
      </w:r>
      <w:r w:rsidR="00073707">
        <w:t xml:space="preserve"> </w:t>
      </w:r>
      <w:r w:rsidRPr="00555F74">
        <w:t>1, dokonuje się z</w:t>
      </w:r>
      <w:r w:rsidR="002317BB">
        <w:t> </w:t>
      </w:r>
      <w:r w:rsidRPr="00555F74">
        <w:t>urzędu w najbliższym terminie waloryzacji emerytur i rent przypadającym po dniu wejścia w ż</w:t>
      </w:r>
      <w:r>
        <w:t xml:space="preserve">ycie niniejszej ustawy, z </w:t>
      </w:r>
      <w:r w:rsidR="000C028A">
        <w:t xml:space="preserve">wyrównaniem </w:t>
      </w:r>
      <w:r w:rsidRPr="00555F74">
        <w:t>od dnia 1 marca 2017 r.</w:t>
      </w:r>
    </w:p>
    <w:p w:rsidR="00AE796F" w:rsidRPr="00AE796F" w:rsidRDefault="00AE796F" w:rsidP="00AE796F">
      <w:pPr>
        <w:pStyle w:val="ARTartustawynprozporzdzenia"/>
      </w:pPr>
      <w:r w:rsidRPr="002317BB">
        <w:rPr>
          <w:rStyle w:val="Ppogrubienie"/>
        </w:rPr>
        <w:t>Art.</w:t>
      </w:r>
      <w:r w:rsidR="002317BB">
        <w:rPr>
          <w:rStyle w:val="Ppogrubienie"/>
        </w:rPr>
        <w:t> </w:t>
      </w:r>
      <w:r w:rsidRPr="002317BB">
        <w:rPr>
          <w:rStyle w:val="Ppogrubienie"/>
        </w:rPr>
        <w:t>4.</w:t>
      </w:r>
      <w:r w:rsidRPr="00AE796F">
        <w:t xml:space="preserve"> Do spraw o przyznanie renty z tytułu niezdolności do pracy wszczętych </w:t>
      </w:r>
      <w:r w:rsidR="00010F07">
        <w:t>i</w:t>
      </w:r>
      <w:r w:rsidR="002317BB">
        <w:t> </w:t>
      </w:r>
      <w:r w:rsidR="00010F07">
        <w:t xml:space="preserve">niezakończonych </w:t>
      </w:r>
      <w:r w:rsidRPr="00AE796F">
        <w:t>przed dniem wejścia w życie niniejszej ustawy stosuje się przepisy dotychczasowe.</w:t>
      </w:r>
    </w:p>
    <w:p w:rsidR="000C5DF0" w:rsidRDefault="00C65665" w:rsidP="002317BB">
      <w:pPr>
        <w:pStyle w:val="ARTartustawynprozporzdzenia"/>
      </w:pPr>
      <w:r w:rsidRPr="002317BB">
        <w:rPr>
          <w:rStyle w:val="Ppogrubienie"/>
        </w:rPr>
        <w:t>Art.</w:t>
      </w:r>
      <w:r w:rsidR="002317BB">
        <w:rPr>
          <w:rStyle w:val="Ppogrubienie"/>
        </w:rPr>
        <w:t> </w:t>
      </w:r>
      <w:r w:rsidR="007629F1" w:rsidRPr="002317BB">
        <w:rPr>
          <w:rStyle w:val="Ppogrubienie"/>
        </w:rPr>
        <w:t>5</w:t>
      </w:r>
      <w:r w:rsidRPr="002317BB">
        <w:rPr>
          <w:rStyle w:val="Ppogrubienie"/>
        </w:rPr>
        <w:t>.</w:t>
      </w:r>
      <w:r w:rsidRPr="00AE796F">
        <w:t xml:space="preserve"> </w:t>
      </w:r>
      <w:r w:rsidR="000C028A" w:rsidRPr="000C028A">
        <w:t>Ustawa wchodzi w życie po upływie 14 dni od dnia ogłoszenia</w:t>
      </w:r>
      <w:r w:rsidR="000C028A">
        <w:t>.</w:t>
      </w:r>
    </w:p>
    <w:p w:rsidR="002317BB" w:rsidRPr="00BA0718" w:rsidRDefault="002317BB" w:rsidP="002317BB">
      <w:pPr>
        <w:pStyle w:val="OZNPARAFYADNOTACJE"/>
      </w:pPr>
    </w:p>
    <w:sectPr w:rsidR="002317BB" w:rsidRPr="00BA0718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568" w:rsidRDefault="00286568">
      <w:r>
        <w:separator/>
      </w:r>
    </w:p>
  </w:endnote>
  <w:endnote w:type="continuationSeparator" w:id="0">
    <w:p w:rsidR="00286568" w:rsidRDefault="0028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568" w:rsidRDefault="00286568">
      <w:r>
        <w:separator/>
      </w:r>
    </w:p>
  </w:footnote>
  <w:footnote w:type="continuationSeparator" w:id="0">
    <w:p w:rsidR="00286568" w:rsidRDefault="00286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 w:rsidR="004B053A">
      <w:fldChar w:fldCharType="begin"/>
    </w:r>
    <w:r>
      <w:instrText xml:space="preserve"> PAGE  \* MERGEFORMAT </w:instrText>
    </w:r>
    <w:r w:rsidR="004B053A">
      <w:fldChar w:fldCharType="separate"/>
    </w:r>
    <w:r w:rsidR="00B83164">
      <w:rPr>
        <w:noProof/>
      </w:rPr>
      <w:t>2</w:t>
    </w:r>
    <w:r w:rsidR="004B053A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7D7530"/>
    <w:multiLevelType w:val="hybridMultilevel"/>
    <w:tmpl w:val="AFFA8D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096"/>
    <w:rsid w:val="000012DA"/>
    <w:rsid w:val="0000246E"/>
    <w:rsid w:val="00003862"/>
    <w:rsid w:val="00010F07"/>
    <w:rsid w:val="00012A2A"/>
    <w:rsid w:val="00012A35"/>
    <w:rsid w:val="00016099"/>
    <w:rsid w:val="00017DC2"/>
    <w:rsid w:val="00020AD6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3FA8"/>
    <w:rsid w:val="00036B63"/>
    <w:rsid w:val="00037E1A"/>
    <w:rsid w:val="00043495"/>
    <w:rsid w:val="00044B9F"/>
    <w:rsid w:val="00046A75"/>
    <w:rsid w:val="00047312"/>
    <w:rsid w:val="000508BD"/>
    <w:rsid w:val="000517AB"/>
    <w:rsid w:val="0005339C"/>
    <w:rsid w:val="000556C9"/>
    <w:rsid w:val="0005571B"/>
    <w:rsid w:val="00057AB3"/>
    <w:rsid w:val="00060076"/>
    <w:rsid w:val="00060432"/>
    <w:rsid w:val="00060D87"/>
    <w:rsid w:val="000615A5"/>
    <w:rsid w:val="00064E4C"/>
    <w:rsid w:val="00064F13"/>
    <w:rsid w:val="00066901"/>
    <w:rsid w:val="00071BEE"/>
    <w:rsid w:val="00072B2C"/>
    <w:rsid w:val="000736CD"/>
    <w:rsid w:val="00073707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09BF"/>
    <w:rsid w:val="00091BA2"/>
    <w:rsid w:val="000944EF"/>
    <w:rsid w:val="0009574F"/>
    <w:rsid w:val="0009732D"/>
    <w:rsid w:val="000973F0"/>
    <w:rsid w:val="000A1296"/>
    <w:rsid w:val="000A1C27"/>
    <w:rsid w:val="000A1DAD"/>
    <w:rsid w:val="000A22DD"/>
    <w:rsid w:val="000A2649"/>
    <w:rsid w:val="000A323B"/>
    <w:rsid w:val="000B298D"/>
    <w:rsid w:val="000B3AB9"/>
    <w:rsid w:val="000B5B2D"/>
    <w:rsid w:val="000B5DCE"/>
    <w:rsid w:val="000C028A"/>
    <w:rsid w:val="000C05BA"/>
    <w:rsid w:val="000C0E8F"/>
    <w:rsid w:val="000C47B2"/>
    <w:rsid w:val="000C4BC4"/>
    <w:rsid w:val="000C5DF0"/>
    <w:rsid w:val="000C6874"/>
    <w:rsid w:val="000D0110"/>
    <w:rsid w:val="000D2468"/>
    <w:rsid w:val="000D318A"/>
    <w:rsid w:val="000D46F0"/>
    <w:rsid w:val="000D6173"/>
    <w:rsid w:val="000D6F83"/>
    <w:rsid w:val="000E25CC"/>
    <w:rsid w:val="000E3290"/>
    <w:rsid w:val="000E3694"/>
    <w:rsid w:val="000E490F"/>
    <w:rsid w:val="000E6241"/>
    <w:rsid w:val="000F1159"/>
    <w:rsid w:val="000F15E0"/>
    <w:rsid w:val="000F2BE3"/>
    <w:rsid w:val="000F3D0D"/>
    <w:rsid w:val="000F6ED4"/>
    <w:rsid w:val="000F7A6E"/>
    <w:rsid w:val="001042BA"/>
    <w:rsid w:val="00105DCA"/>
    <w:rsid w:val="00106D03"/>
    <w:rsid w:val="00110465"/>
    <w:rsid w:val="00110628"/>
    <w:rsid w:val="00111691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76C2"/>
    <w:rsid w:val="0014026D"/>
    <w:rsid w:val="0014026F"/>
    <w:rsid w:val="00147A47"/>
    <w:rsid w:val="00147AA1"/>
    <w:rsid w:val="001507C8"/>
    <w:rsid w:val="001520CF"/>
    <w:rsid w:val="001535FA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3B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140"/>
    <w:rsid w:val="001952B1"/>
    <w:rsid w:val="00195B42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1227"/>
    <w:rsid w:val="001B342E"/>
    <w:rsid w:val="001B502F"/>
    <w:rsid w:val="001C1832"/>
    <w:rsid w:val="001C188C"/>
    <w:rsid w:val="001C636A"/>
    <w:rsid w:val="001C798F"/>
    <w:rsid w:val="001D1783"/>
    <w:rsid w:val="001D53CD"/>
    <w:rsid w:val="001D55A3"/>
    <w:rsid w:val="001D5AF5"/>
    <w:rsid w:val="001E1E73"/>
    <w:rsid w:val="001E4E0C"/>
    <w:rsid w:val="001E526D"/>
    <w:rsid w:val="001E5655"/>
    <w:rsid w:val="001E617C"/>
    <w:rsid w:val="001F1832"/>
    <w:rsid w:val="001F220F"/>
    <w:rsid w:val="001F25B3"/>
    <w:rsid w:val="001F6616"/>
    <w:rsid w:val="00202BD4"/>
    <w:rsid w:val="002033D6"/>
    <w:rsid w:val="002034DC"/>
    <w:rsid w:val="00204A97"/>
    <w:rsid w:val="002108B7"/>
    <w:rsid w:val="002114EF"/>
    <w:rsid w:val="002166AD"/>
    <w:rsid w:val="00217871"/>
    <w:rsid w:val="002215E8"/>
    <w:rsid w:val="00221ED8"/>
    <w:rsid w:val="002220E2"/>
    <w:rsid w:val="002231EA"/>
    <w:rsid w:val="00223BBA"/>
    <w:rsid w:val="00223FDF"/>
    <w:rsid w:val="002279C0"/>
    <w:rsid w:val="0023134D"/>
    <w:rsid w:val="002317BB"/>
    <w:rsid w:val="0023727E"/>
    <w:rsid w:val="00242081"/>
    <w:rsid w:val="00243777"/>
    <w:rsid w:val="002441CD"/>
    <w:rsid w:val="00244D55"/>
    <w:rsid w:val="002461DC"/>
    <w:rsid w:val="002501A3"/>
    <w:rsid w:val="0025166C"/>
    <w:rsid w:val="002555D4"/>
    <w:rsid w:val="00257B0F"/>
    <w:rsid w:val="00261112"/>
    <w:rsid w:val="00261A16"/>
    <w:rsid w:val="00263522"/>
    <w:rsid w:val="00264EC6"/>
    <w:rsid w:val="00266AAD"/>
    <w:rsid w:val="00271013"/>
    <w:rsid w:val="00273FE4"/>
    <w:rsid w:val="002765B4"/>
    <w:rsid w:val="00276A94"/>
    <w:rsid w:val="002825C7"/>
    <w:rsid w:val="00286568"/>
    <w:rsid w:val="0029405D"/>
    <w:rsid w:val="00294FA6"/>
    <w:rsid w:val="00295A6F"/>
    <w:rsid w:val="00296EC9"/>
    <w:rsid w:val="002A20C4"/>
    <w:rsid w:val="002A371C"/>
    <w:rsid w:val="002A570F"/>
    <w:rsid w:val="002A6BA3"/>
    <w:rsid w:val="002A7292"/>
    <w:rsid w:val="002A7358"/>
    <w:rsid w:val="002A74D2"/>
    <w:rsid w:val="002A7902"/>
    <w:rsid w:val="002A7DD1"/>
    <w:rsid w:val="002B0F6B"/>
    <w:rsid w:val="002B23B8"/>
    <w:rsid w:val="002B4429"/>
    <w:rsid w:val="002B68A6"/>
    <w:rsid w:val="002B7FAF"/>
    <w:rsid w:val="002C4A19"/>
    <w:rsid w:val="002D0C4F"/>
    <w:rsid w:val="002D1364"/>
    <w:rsid w:val="002D4D30"/>
    <w:rsid w:val="002D5000"/>
    <w:rsid w:val="002D598D"/>
    <w:rsid w:val="002D6DB3"/>
    <w:rsid w:val="002D7188"/>
    <w:rsid w:val="002D78E7"/>
    <w:rsid w:val="002E0081"/>
    <w:rsid w:val="002E1DE3"/>
    <w:rsid w:val="002E2AB6"/>
    <w:rsid w:val="002E3F34"/>
    <w:rsid w:val="002E597C"/>
    <w:rsid w:val="002E5F79"/>
    <w:rsid w:val="002E64FA"/>
    <w:rsid w:val="002F0A00"/>
    <w:rsid w:val="002F0CFA"/>
    <w:rsid w:val="002F1D91"/>
    <w:rsid w:val="002F669F"/>
    <w:rsid w:val="00301C97"/>
    <w:rsid w:val="00303E40"/>
    <w:rsid w:val="0031004C"/>
    <w:rsid w:val="003105F6"/>
    <w:rsid w:val="00311297"/>
    <w:rsid w:val="003113BE"/>
    <w:rsid w:val="003122CA"/>
    <w:rsid w:val="00313D78"/>
    <w:rsid w:val="003148FD"/>
    <w:rsid w:val="003178D8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3F2D"/>
    <w:rsid w:val="00345B9C"/>
    <w:rsid w:val="003528CF"/>
    <w:rsid w:val="00352DAE"/>
    <w:rsid w:val="00354EB9"/>
    <w:rsid w:val="003602AE"/>
    <w:rsid w:val="00360929"/>
    <w:rsid w:val="003647D5"/>
    <w:rsid w:val="0036626E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0CC"/>
    <w:rsid w:val="00390E89"/>
    <w:rsid w:val="00391B1A"/>
    <w:rsid w:val="00394423"/>
    <w:rsid w:val="00395B22"/>
    <w:rsid w:val="00396942"/>
    <w:rsid w:val="00396B49"/>
    <w:rsid w:val="00396E3E"/>
    <w:rsid w:val="003A028B"/>
    <w:rsid w:val="003A306E"/>
    <w:rsid w:val="003A5A49"/>
    <w:rsid w:val="003A5F93"/>
    <w:rsid w:val="003A60DC"/>
    <w:rsid w:val="003A6A46"/>
    <w:rsid w:val="003A7A63"/>
    <w:rsid w:val="003B000C"/>
    <w:rsid w:val="003B0F1D"/>
    <w:rsid w:val="003B3206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493A"/>
    <w:rsid w:val="003F5BAE"/>
    <w:rsid w:val="003F6ED7"/>
    <w:rsid w:val="00401C84"/>
    <w:rsid w:val="00403210"/>
    <w:rsid w:val="004035BB"/>
    <w:rsid w:val="004035EB"/>
    <w:rsid w:val="00407332"/>
    <w:rsid w:val="00407828"/>
    <w:rsid w:val="00412F7B"/>
    <w:rsid w:val="00413D8E"/>
    <w:rsid w:val="004140F2"/>
    <w:rsid w:val="00417B22"/>
    <w:rsid w:val="00420301"/>
    <w:rsid w:val="00421085"/>
    <w:rsid w:val="0042465E"/>
    <w:rsid w:val="00424DF7"/>
    <w:rsid w:val="004277A5"/>
    <w:rsid w:val="00432B76"/>
    <w:rsid w:val="00434D01"/>
    <w:rsid w:val="00435D26"/>
    <w:rsid w:val="00437BA8"/>
    <w:rsid w:val="00440C67"/>
    <w:rsid w:val="00440C99"/>
    <w:rsid w:val="0044175C"/>
    <w:rsid w:val="00445F4D"/>
    <w:rsid w:val="004504C0"/>
    <w:rsid w:val="004550FB"/>
    <w:rsid w:val="00460639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759"/>
    <w:rsid w:val="00480A58"/>
    <w:rsid w:val="00482151"/>
    <w:rsid w:val="004833AD"/>
    <w:rsid w:val="00484260"/>
    <w:rsid w:val="00485FAD"/>
    <w:rsid w:val="00486E04"/>
    <w:rsid w:val="00487751"/>
    <w:rsid w:val="00487AED"/>
    <w:rsid w:val="00491533"/>
    <w:rsid w:val="00491EDF"/>
    <w:rsid w:val="00492A3F"/>
    <w:rsid w:val="00494F62"/>
    <w:rsid w:val="00496096"/>
    <w:rsid w:val="004A1ABC"/>
    <w:rsid w:val="004A2001"/>
    <w:rsid w:val="004A3590"/>
    <w:rsid w:val="004A5181"/>
    <w:rsid w:val="004A7B5B"/>
    <w:rsid w:val="004B00A7"/>
    <w:rsid w:val="004B053A"/>
    <w:rsid w:val="004B25E2"/>
    <w:rsid w:val="004B34D7"/>
    <w:rsid w:val="004B3EE5"/>
    <w:rsid w:val="004B5037"/>
    <w:rsid w:val="004B5B2F"/>
    <w:rsid w:val="004B626A"/>
    <w:rsid w:val="004B660E"/>
    <w:rsid w:val="004B73D2"/>
    <w:rsid w:val="004C05BD"/>
    <w:rsid w:val="004C3B06"/>
    <w:rsid w:val="004C3F97"/>
    <w:rsid w:val="004C7094"/>
    <w:rsid w:val="004C7EE7"/>
    <w:rsid w:val="004D2DEE"/>
    <w:rsid w:val="004D2E1F"/>
    <w:rsid w:val="004D7FD9"/>
    <w:rsid w:val="004E1324"/>
    <w:rsid w:val="004E19A5"/>
    <w:rsid w:val="004E37E5"/>
    <w:rsid w:val="004E3FDB"/>
    <w:rsid w:val="004F11A3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1D8"/>
    <w:rsid w:val="00505AB2"/>
    <w:rsid w:val="0050696D"/>
    <w:rsid w:val="0051094B"/>
    <w:rsid w:val="005110D7"/>
    <w:rsid w:val="00511D99"/>
    <w:rsid w:val="005128D3"/>
    <w:rsid w:val="005147E8"/>
    <w:rsid w:val="005158F2"/>
    <w:rsid w:val="00521B7C"/>
    <w:rsid w:val="00526DFC"/>
    <w:rsid w:val="00526F43"/>
    <w:rsid w:val="00527651"/>
    <w:rsid w:val="0053322C"/>
    <w:rsid w:val="005333E7"/>
    <w:rsid w:val="005363AB"/>
    <w:rsid w:val="00544EF4"/>
    <w:rsid w:val="00545E53"/>
    <w:rsid w:val="0054670C"/>
    <w:rsid w:val="005479D9"/>
    <w:rsid w:val="00555F74"/>
    <w:rsid w:val="005572BD"/>
    <w:rsid w:val="00557A12"/>
    <w:rsid w:val="00560AC7"/>
    <w:rsid w:val="00561AFB"/>
    <w:rsid w:val="00561FA8"/>
    <w:rsid w:val="005622DE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93D"/>
    <w:rsid w:val="00591124"/>
    <w:rsid w:val="005964B2"/>
    <w:rsid w:val="00597024"/>
    <w:rsid w:val="005A0274"/>
    <w:rsid w:val="005A095C"/>
    <w:rsid w:val="005A669D"/>
    <w:rsid w:val="005A75D8"/>
    <w:rsid w:val="005B08E9"/>
    <w:rsid w:val="005B47A0"/>
    <w:rsid w:val="005B713E"/>
    <w:rsid w:val="005C03B6"/>
    <w:rsid w:val="005C348E"/>
    <w:rsid w:val="005C68E1"/>
    <w:rsid w:val="005C6EBD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5ED"/>
    <w:rsid w:val="005F7812"/>
    <w:rsid w:val="005F7A88"/>
    <w:rsid w:val="006036F1"/>
    <w:rsid w:val="00603A1A"/>
    <w:rsid w:val="006046D5"/>
    <w:rsid w:val="00607A93"/>
    <w:rsid w:val="00610C08"/>
    <w:rsid w:val="00611E1A"/>
    <w:rsid w:val="00611F74"/>
    <w:rsid w:val="00613345"/>
    <w:rsid w:val="00614979"/>
    <w:rsid w:val="00615772"/>
    <w:rsid w:val="00621256"/>
    <w:rsid w:val="00621FCC"/>
    <w:rsid w:val="00622E4B"/>
    <w:rsid w:val="0062365F"/>
    <w:rsid w:val="006261F3"/>
    <w:rsid w:val="006263EB"/>
    <w:rsid w:val="006313E8"/>
    <w:rsid w:val="006333DA"/>
    <w:rsid w:val="00634DD9"/>
    <w:rsid w:val="00635134"/>
    <w:rsid w:val="006356E2"/>
    <w:rsid w:val="00642A65"/>
    <w:rsid w:val="006441D9"/>
    <w:rsid w:val="00645DCE"/>
    <w:rsid w:val="006465AC"/>
    <w:rsid w:val="006465BF"/>
    <w:rsid w:val="006507B9"/>
    <w:rsid w:val="00653B22"/>
    <w:rsid w:val="00657BF4"/>
    <w:rsid w:val="006603FB"/>
    <w:rsid w:val="006608DF"/>
    <w:rsid w:val="006623AC"/>
    <w:rsid w:val="006678AF"/>
    <w:rsid w:val="006701EF"/>
    <w:rsid w:val="00673BA5"/>
    <w:rsid w:val="00675D27"/>
    <w:rsid w:val="00676C89"/>
    <w:rsid w:val="00680058"/>
    <w:rsid w:val="006816A3"/>
    <w:rsid w:val="00681F9F"/>
    <w:rsid w:val="006840EA"/>
    <w:rsid w:val="006844AF"/>
    <w:rsid w:val="006844E2"/>
    <w:rsid w:val="00685267"/>
    <w:rsid w:val="00686DE0"/>
    <w:rsid w:val="006872AE"/>
    <w:rsid w:val="00690082"/>
    <w:rsid w:val="00690252"/>
    <w:rsid w:val="006926F9"/>
    <w:rsid w:val="006946BB"/>
    <w:rsid w:val="006969FA"/>
    <w:rsid w:val="006A1FD0"/>
    <w:rsid w:val="006A35D5"/>
    <w:rsid w:val="006A748A"/>
    <w:rsid w:val="006A765E"/>
    <w:rsid w:val="006C419E"/>
    <w:rsid w:val="006C4A31"/>
    <w:rsid w:val="006C4EE6"/>
    <w:rsid w:val="006C5AC2"/>
    <w:rsid w:val="006C6AFB"/>
    <w:rsid w:val="006D2717"/>
    <w:rsid w:val="006D2735"/>
    <w:rsid w:val="006D45B2"/>
    <w:rsid w:val="006E0FCC"/>
    <w:rsid w:val="006E1E96"/>
    <w:rsid w:val="006E28EC"/>
    <w:rsid w:val="006E5E21"/>
    <w:rsid w:val="006E740A"/>
    <w:rsid w:val="006F2648"/>
    <w:rsid w:val="006F2E8B"/>
    <w:rsid w:val="006F2F10"/>
    <w:rsid w:val="006F482B"/>
    <w:rsid w:val="006F4A02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68EF"/>
    <w:rsid w:val="00717C2E"/>
    <w:rsid w:val="007204FA"/>
    <w:rsid w:val="007213B3"/>
    <w:rsid w:val="0072457F"/>
    <w:rsid w:val="00725406"/>
    <w:rsid w:val="0072621B"/>
    <w:rsid w:val="00730555"/>
    <w:rsid w:val="00730D94"/>
    <w:rsid w:val="007312CC"/>
    <w:rsid w:val="00736A64"/>
    <w:rsid w:val="00737F6A"/>
    <w:rsid w:val="007410B6"/>
    <w:rsid w:val="00744C6F"/>
    <w:rsid w:val="0074525D"/>
    <w:rsid w:val="007457F6"/>
    <w:rsid w:val="00745ABB"/>
    <w:rsid w:val="00746E38"/>
    <w:rsid w:val="00747CD5"/>
    <w:rsid w:val="00752464"/>
    <w:rsid w:val="00752ACF"/>
    <w:rsid w:val="00753B51"/>
    <w:rsid w:val="00756629"/>
    <w:rsid w:val="007575D2"/>
    <w:rsid w:val="00757B4F"/>
    <w:rsid w:val="00757B6A"/>
    <w:rsid w:val="007610E0"/>
    <w:rsid w:val="007621AA"/>
    <w:rsid w:val="0076260A"/>
    <w:rsid w:val="00762731"/>
    <w:rsid w:val="007629F1"/>
    <w:rsid w:val="00763CDC"/>
    <w:rsid w:val="00764A67"/>
    <w:rsid w:val="00765E4F"/>
    <w:rsid w:val="00770F6B"/>
    <w:rsid w:val="00771883"/>
    <w:rsid w:val="00776DC2"/>
    <w:rsid w:val="0077738E"/>
    <w:rsid w:val="00780122"/>
    <w:rsid w:val="0078214B"/>
    <w:rsid w:val="0078498A"/>
    <w:rsid w:val="007877A5"/>
    <w:rsid w:val="00792207"/>
    <w:rsid w:val="00792B64"/>
    <w:rsid w:val="00792E29"/>
    <w:rsid w:val="0079379A"/>
    <w:rsid w:val="00794953"/>
    <w:rsid w:val="007A1F2F"/>
    <w:rsid w:val="007A271A"/>
    <w:rsid w:val="007A2A5C"/>
    <w:rsid w:val="007A5150"/>
    <w:rsid w:val="007A5373"/>
    <w:rsid w:val="007A789F"/>
    <w:rsid w:val="007B75BC"/>
    <w:rsid w:val="007C0612"/>
    <w:rsid w:val="007C0BD6"/>
    <w:rsid w:val="007C3806"/>
    <w:rsid w:val="007C48DF"/>
    <w:rsid w:val="007C5BB7"/>
    <w:rsid w:val="007D07D5"/>
    <w:rsid w:val="007D1C64"/>
    <w:rsid w:val="007D32DD"/>
    <w:rsid w:val="007D5B50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4E4A"/>
    <w:rsid w:val="00816BF3"/>
    <w:rsid w:val="00817429"/>
    <w:rsid w:val="0082135E"/>
    <w:rsid w:val="00821514"/>
    <w:rsid w:val="00821E35"/>
    <w:rsid w:val="00824591"/>
    <w:rsid w:val="00824AED"/>
    <w:rsid w:val="00827820"/>
    <w:rsid w:val="00831B8B"/>
    <w:rsid w:val="0083251F"/>
    <w:rsid w:val="0083405D"/>
    <w:rsid w:val="00834216"/>
    <w:rsid w:val="008352D4"/>
    <w:rsid w:val="00836DB9"/>
    <w:rsid w:val="00837762"/>
    <w:rsid w:val="00837C67"/>
    <w:rsid w:val="008401F2"/>
    <w:rsid w:val="008415B0"/>
    <w:rsid w:val="00842028"/>
    <w:rsid w:val="008436B8"/>
    <w:rsid w:val="008460B6"/>
    <w:rsid w:val="00850C9D"/>
    <w:rsid w:val="00852823"/>
    <w:rsid w:val="00852B59"/>
    <w:rsid w:val="00856272"/>
    <w:rsid w:val="008563FF"/>
    <w:rsid w:val="0086018B"/>
    <w:rsid w:val="008611DD"/>
    <w:rsid w:val="008620DE"/>
    <w:rsid w:val="00864022"/>
    <w:rsid w:val="00866867"/>
    <w:rsid w:val="008710CF"/>
    <w:rsid w:val="00872257"/>
    <w:rsid w:val="008753E6"/>
    <w:rsid w:val="0087738C"/>
    <w:rsid w:val="0087795F"/>
    <w:rsid w:val="00877CA3"/>
    <w:rsid w:val="008802AF"/>
    <w:rsid w:val="00881367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3A5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6A5F"/>
    <w:rsid w:val="008E171D"/>
    <w:rsid w:val="008E2785"/>
    <w:rsid w:val="008E78A3"/>
    <w:rsid w:val="008F0241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03A"/>
    <w:rsid w:val="00912889"/>
    <w:rsid w:val="00913A42"/>
    <w:rsid w:val="00914167"/>
    <w:rsid w:val="009143DB"/>
    <w:rsid w:val="00915065"/>
    <w:rsid w:val="00917306"/>
    <w:rsid w:val="00917CE5"/>
    <w:rsid w:val="009217C0"/>
    <w:rsid w:val="00925210"/>
    <w:rsid w:val="00925241"/>
    <w:rsid w:val="00925916"/>
    <w:rsid w:val="00925CEC"/>
    <w:rsid w:val="00926A3F"/>
    <w:rsid w:val="0092794E"/>
    <w:rsid w:val="00930D30"/>
    <w:rsid w:val="00932C0E"/>
    <w:rsid w:val="009332A2"/>
    <w:rsid w:val="00935277"/>
    <w:rsid w:val="0093704B"/>
    <w:rsid w:val="00937598"/>
    <w:rsid w:val="0093790B"/>
    <w:rsid w:val="00942553"/>
    <w:rsid w:val="00943751"/>
    <w:rsid w:val="00944B99"/>
    <w:rsid w:val="009466F4"/>
    <w:rsid w:val="00946DD0"/>
    <w:rsid w:val="009509E6"/>
    <w:rsid w:val="00951E96"/>
    <w:rsid w:val="00952018"/>
    <w:rsid w:val="00952800"/>
    <w:rsid w:val="0095300D"/>
    <w:rsid w:val="00956812"/>
    <w:rsid w:val="0095719A"/>
    <w:rsid w:val="009623E9"/>
    <w:rsid w:val="00963EEB"/>
    <w:rsid w:val="00963FEF"/>
    <w:rsid w:val="009648BC"/>
    <w:rsid w:val="00964C2F"/>
    <w:rsid w:val="00965F88"/>
    <w:rsid w:val="00971A4A"/>
    <w:rsid w:val="0097624C"/>
    <w:rsid w:val="00981725"/>
    <w:rsid w:val="0098358E"/>
    <w:rsid w:val="00984BB7"/>
    <w:rsid w:val="00984E03"/>
    <w:rsid w:val="00987D81"/>
    <w:rsid w:val="00987E85"/>
    <w:rsid w:val="0099096B"/>
    <w:rsid w:val="00996836"/>
    <w:rsid w:val="009A0D12"/>
    <w:rsid w:val="009A1987"/>
    <w:rsid w:val="009A2BEE"/>
    <w:rsid w:val="009A5289"/>
    <w:rsid w:val="009A7A53"/>
    <w:rsid w:val="009B0402"/>
    <w:rsid w:val="009B0B75"/>
    <w:rsid w:val="009B11D3"/>
    <w:rsid w:val="009B16DF"/>
    <w:rsid w:val="009B1FBD"/>
    <w:rsid w:val="009B42E6"/>
    <w:rsid w:val="009B4CB2"/>
    <w:rsid w:val="009B6701"/>
    <w:rsid w:val="009B6EF7"/>
    <w:rsid w:val="009B7000"/>
    <w:rsid w:val="009B739C"/>
    <w:rsid w:val="009C04EC"/>
    <w:rsid w:val="009C328C"/>
    <w:rsid w:val="009C4444"/>
    <w:rsid w:val="009C5F1C"/>
    <w:rsid w:val="009C79AD"/>
    <w:rsid w:val="009C7CA6"/>
    <w:rsid w:val="009D3316"/>
    <w:rsid w:val="009D3C94"/>
    <w:rsid w:val="009D55AA"/>
    <w:rsid w:val="009E3E77"/>
    <w:rsid w:val="009E3FAB"/>
    <w:rsid w:val="009E5B3F"/>
    <w:rsid w:val="009E6B6D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4A4D"/>
    <w:rsid w:val="00A16151"/>
    <w:rsid w:val="00A16B39"/>
    <w:rsid w:val="00A16EC6"/>
    <w:rsid w:val="00A17C06"/>
    <w:rsid w:val="00A2126E"/>
    <w:rsid w:val="00A21706"/>
    <w:rsid w:val="00A22AD6"/>
    <w:rsid w:val="00A24C7D"/>
    <w:rsid w:val="00A24FCC"/>
    <w:rsid w:val="00A26A90"/>
    <w:rsid w:val="00A26B27"/>
    <w:rsid w:val="00A30E4F"/>
    <w:rsid w:val="00A32253"/>
    <w:rsid w:val="00A3310E"/>
    <w:rsid w:val="00A333A0"/>
    <w:rsid w:val="00A37E70"/>
    <w:rsid w:val="00A433B8"/>
    <w:rsid w:val="00A437E1"/>
    <w:rsid w:val="00A4685E"/>
    <w:rsid w:val="00A50A7E"/>
    <w:rsid w:val="00A50CD4"/>
    <w:rsid w:val="00A51191"/>
    <w:rsid w:val="00A51B8F"/>
    <w:rsid w:val="00A531A3"/>
    <w:rsid w:val="00A56D62"/>
    <w:rsid w:val="00A56F07"/>
    <w:rsid w:val="00A5762C"/>
    <w:rsid w:val="00A600FC"/>
    <w:rsid w:val="00A608AC"/>
    <w:rsid w:val="00A60BCA"/>
    <w:rsid w:val="00A60CFA"/>
    <w:rsid w:val="00A638DA"/>
    <w:rsid w:val="00A64098"/>
    <w:rsid w:val="00A65276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2498"/>
    <w:rsid w:val="00A92A41"/>
    <w:rsid w:val="00A94574"/>
    <w:rsid w:val="00A95936"/>
    <w:rsid w:val="00A96265"/>
    <w:rsid w:val="00A97084"/>
    <w:rsid w:val="00AA037E"/>
    <w:rsid w:val="00AA1C2C"/>
    <w:rsid w:val="00AA35F6"/>
    <w:rsid w:val="00AA3932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96F"/>
    <w:rsid w:val="00AE7D16"/>
    <w:rsid w:val="00AF4CAA"/>
    <w:rsid w:val="00AF571A"/>
    <w:rsid w:val="00AF60A0"/>
    <w:rsid w:val="00AF67FC"/>
    <w:rsid w:val="00AF7DF5"/>
    <w:rsid w:val="00B006E5"/>
    <w:rsid w:val="00B00D27"/>
    <w:rsid w:val="00B024C2"/>
    <w:rsid w:val="00B07700"/>
    <w:rsid w:val="00B13921"/>
    <w:rsid w:val="00B1528C"/>
    <w:rsid w:val="00B1561C"/>
    <w:rsid w:val="00B16ACD"/>
    <w:rsid w:val="00B21487"/>
    <w:rsid w:val="00B21B58"/>
    <w:rsid w:val="00B232D1"/>
    <w:rsid w:val="00B24DB5"/>
    <w:rsid w:val="00B25D6D"/>
    <w:rsid w:val="00B31F9E"/>
    <w:rsid w:val="00B3268F"/>
    <w:rsid w:val="00B32C2C"/>
    <w:rsid w:val="00B33A1A"/>
    <w:rsid w:val="00B33E6C"/>
    <w:rsid w:val="00B3531C"/>
    <w:rsid w:val="00B371CC"/>
    <w:rsid w:val="00B41CD9"/>
    <w:rsid w:val="00B427E6"/>
    <w:rsid w:val="00B428A6"/>
    <w:rsid w:val="00B43E1F"/>
    <w:rsid w:val="00B45FBC"/>
    <w:rsid w:val="00B475D4"/>
    <w:rsid w:val="00B504BA"/>
    <w:rsid w:val="00B51A7D"/>
    <w:rsid w:val="00B535C2"/>
    <w:rsid w:val="00B54A7D"/>
    <w:rsid w:val="00B55405"/>
    <w:rsid w:val="00B55544"/>
    <w:rsid w:val="00B56E57"/>
    <w:rsid w:val="00B57722"/>
    <w:rsid w:val="00B60975"/>
    <w:rsid w:val="00B642FC"/>
    <w:rsid w:val="00B64D26"/>
    <w:rsid w:val="00B64FBB"/>
    <w:rsid w:val="00B70E22"/>
    <w:rsid w:val="00B73C3B"/>
    <w:rsid w:val="00B76814"/>
    <w:rsid w:val="00B774CB"/>
    <w:rsid w:val="00B80402"/>
    <w:rsid w:val="00B80B9A"/>
    <w:rsid w:val="00B81821"/>
    <w:rsid w:val="00B830B7"/>
    <w:rsid w:val="00B83164"/>
    <w:rsid w:val="00B848EA"/>
    <w:rsid w:val="00B84B2B"/>
    <w:rsid w:val="00B84EBF"/>
    <w:rsid w:val="00B90500"/>
    <w:rsid w:val="00B9176C"/>
    <w:rsid w:val="00B935A4"/>
    <w:rsid w:val="00BA0718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E52"/>
    <w:rsid w:val="00BC11E5"/>
    <w:rsid w:val="00BC4BC6"/>
    <w:rsid w:val="00BC52FD"/>
    <w:rsid w:val="00BC6E62"/>
    <w:rsid w:val="00BC72FB"/>
    <w:rsid w:val="00BC7443"/>
    <w:rsid w:val="00BD0648"/>
    <w:rsid w:val="00BD1040"/>
    <w:rsid w:val="00BD34AA"/>
    <w:rsid w:val="00BD5DE6"/>
    <w:rsid w:val="00BE0C44"/>
    <w:rsid w:val="00BE15BC"/>
    <w:rsid w:val="00BE1B8B"/>
    <w:rsid w:val="00BE2A18"/>
    <w:rsid w:val="00BE2C01"/>
    <w:rsid w:val="00BE41EC"/>
    <w:rsid w:val="00BE56FB"/>
    <w:rsid w:val="00BE7AC8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556"/>
    <w:rsid w:val="00C2363F"/>
    <w:rsid w:val="00C236C8"/>
    <w:rsid w:val="00C241C0"/>
    <w:rsid w:val="00C260B1"/>
    <w:rsid w:val="00C26E56"/>
    <w:rsid w:val="00C31406"/>
    <w:rsid w:val="00C328EE"/>
    <w:rsid w:val="00C36A2C"/>
    <w:rsid w:val="00C37194"/>
    <w:rsid w:val="00C37889"/>
    <w:rsid w:val="00C40637"/>
    <w:rsid w:val="00C40F6C"/>
    <w:rsid w:val="00C44426"/>
    <w:rsid w:val="00C445F3"/>
    <w:rsid w:val="00C451F4"/>
    <w:rsid w:val="00C452CC"/>
    <w:rsid w:val="00C45EB1"/>
    <w:rsid w:val="00C5171E"/>
    <w:rsid w:val="00C54A3A"/>
    <w:rsid w:val="00C55566"/>
    <w:rsid w:val="00C56448"/>
    <w:rsid w:val="00C65665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5C37"/>
    <w:rsid w:val="00CB18D0"/>
    <w:rsid w:val="00CB1C8A"/>
    <w:rsid w:val="00CB24F5"/>
    <w:rsid w:val="00CB2663"/>
    <w:rsid w:val="00CB32F4"/>
    <w:rsid w:val="00CB3BBE"/>
    <w:rsid w:val="00CB59E9"/>
    <w:rsid w:val="00CB6D95"/>
    <w:rsid w:val="00CC01C8"/>
    <w:rsid w:val="00CC0D6A"/>
    <w:rsid w:val="00CC3831"/>
    <w:rsid w:val="00CC3E3D"/>
    <w:rsid w:val="00CC4E23"/>
    <w:rsid w:val="00CC519B"/>
    <w:rsid w:val="00CD12C1"/>
    <w:rsid w:val="00CD214E"/>
    <w:rsid w:val="00CD46FA"/>
    <w:rsid w:val="00CD57A3"/>
    <w:rsid w:val="00CD5973"/>
    <w:rsid w:val="00CE3061"/>
    <w:rsid w:val="00CE31A6"/>
    <w:rsid w:val="00CF09AA"/>
    <w:rsid w:val="00CF4813"/>
    <w:rsid w:val="00CF5233"/>
    <w:rsid w:val="00D002AC"/>
    <w:rsid w:val="00D029B8"/>
    <w:rsid w:val="00D02F60"/>
    <w:rsid w:val="00D0464E"/>
    <w:rsid w:val="00D04A96"/>
    <w:rsid w:val="00D07A7B"/>
    <w:rsid w:val="00D10E06"/>
    <w:rsid w:val="00D146E1"/>
    <w:rsid w:val="00D15197"/>
    <w:rsid w:val="00D16820"/>
    <w:rsid w:val="00D169C8"/>
    <w:rsid w:val="00D1793F"/>
    <w:rsid w:val="00D17C74"/>
    <w:rsid w:val="00D22AF5"/>
    <w:rsid w:val="00D235EA"/>
    <w:rsid w:val="00D247A9"/>
    <w:rsid w:val="00D277B0"/>
    <w:rsid w:val="00D311E5"/>
    <w:rsid w:val="00D321CE"/>
    <w:rsid w:val="00D32721"/>
    <w:rsid w:val="00D328DC"/>
    <w:rsid w:val="00D33387"/>
    <w:rsid w:val="00D402FB"/>
    <w:rsid w:val="00D47D7A"/>
    <w:rsid w:val="00D50ABD"/>
    <w:rsid w:val="00D55290"/>
    <w:rsid w:val="00D57791"/>
    <w:rsid w:val="00D60159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6C4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6E09"/>
    <w:rsid w:val="00D9785D"/>
    <w:rsid w:val="00D97E36"/>
    <w:rsid w:val="00DA0AE9"/>
    <w:rsid w:val="00DA3FDD"/>
    <w:rsid w:val="00DA59F8"/>
    <w:rsid w:val="00DA6455"/>
    <w:rsid w:val="00DA7017"/>
    <w:rsid w:val="00DA7028"/>
    <w:rsid w:val="00DB1AD2"/>
    <w:rsid w:val="00DB216B"/>
    <w:rsid w:val="00DB2B58"/>
    <w:rsid w:val="00DB5206"/>
    <w:rsid w:val="00DB6276"/>
    <w:rsid w:val="00DB63F5"/>
    <w:rsid w:val="00DC1C6B"/>
    <w:rsid w:val="00DC20D3"/>
    <w:rsid w:val="00DC2C2E"/>
    <w:rsid w:val="00DC4AF0"/>
    <w:rsid w:val="00DC7886"/>
    <w:rsid w:val="00DD0CF2"/>
    <w:rsid w:val="00DE1554"/>
    <w:rsid w:val="00DE2901"/>
    <w:rsid w:val="00DE51CC"/>
    <w:rsid w:val="00DE590F"/>
    <w:rsid w:val="00DE7DC1"/>
    <w:rsid w:val="00DF208B"/>
    <w:rsid w:val="00DF328E"/>
    <w:rsid w:val="00DF3F7E"/>
    <w:rsid w:val="00DF7648"/>
    <w:rsid w:val="00DF7AD4"/>
    <w:rsid w:val="00E00E29"/>
    <w:rsid w:val="00E02BAB"/>
    <w:rsid w:val="00E04CEB"/>
    <w:rsid w:val="00E060BC"/>
    <w:rsid w:val="00E11420"/>
    <w:rsid w:val="00E116B9"/>
    <w:rsid w:val="00E132FB"/>
    <w:rsid w:val="00E170B7"/>
    <w:rsid w:val="00E177DD"/>
    <w:rsid w:val="00E207EA"/>
    <w:rsid w:val="00E20900"/>
    <w:rsid w:val="00E20AC6"/>
    <w:rsid w:val="00E20C7F"/>
    <w:rsid w:val="00E2396E"/>
    <w:rsid w:val="00E24728"/>
    <w:rsid w:val="00E248C6"/>
    <w:rsid w:val="00E276AC"/>
    <w:rsid w:val="00E34A35"/>
    <w:rsid w:val="00E37C2F"/>
    <w:rsid w:val="00E41C28"/>
    <w:rsid w:val="00E43179"/>
    <w:rsid w:val="00E46308"/>
    <w:rsid w:val="00E505F6"/>
    <w:rsid w:val="00E51E17"/>
    <w:rsid w:val="00E5263F"/>
    <w:rsid w:val="00E52A43"/>
    <w:rsid w:val="00E52DAB"/>
    <w:rsid w:val="00E539B0"/>
    <w:rsid w:val="00E53D5D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44A"/>
    <w:rsid w:val="00E75DDA"/>
    <w:rsid w:val="00E773E8"/>
    <w:rsid w:val="00E83ADD"/>
    <w:rsid w:val="00E84F38"/>
    <w:rsid w:val="00E85623"/>
    <w:rsid w:val="00E87441"/>
    <w:rsid w:val="00E91FAE"/>
    <w:rsid w:val="00E9247A"/>
    <w:rsid w:val="00E932B3"/>
    <w:rsid w:val="00E960B5"/>
    <w:rsid w:val="00E96E3F"/>
    <w:rsid w:val="00EA184D"/>
    <w:rsid w:val="00EA270C"/>
    <w:rsid w:val="00EA4974"/>
    <w:rsid w:val="00EA532E"/>
    <w:rsid w:val="00EA76FC"/>
    <w:rsid w:val="00EB06D9"/>
    <w:rsid w:val="00EB192B"/>
    <w:rsid w:val="00EB19ED"/>
    <w:rsid w:val="00EB1CAB"/>
    <w:rsid w:val="00EB3573"/>
    <w:rsid w:val="00EB546B"/>
    <w:rsid w:val="00EC0F5A"/>
    <w:rsid w:val="00EC1226"/>
    <w:rsid w:val="00EC1E7A"/>
    <w:rsid w:val="00EC2AAB"/>
    <w:rsid w:val="00EC4265"/>
    <w:rsid w:val="00EC4CEB"/>
    <w:rsid w:val="00EC53EF"/>
    <w:rsid w:val="00EC5CE0"/>
    <w:rsid w:val="00EC659E"/>
    <w:rsid w:val="00EC685E"/>
    <w:rsid w:val="00ED1428"/>
    <w:rsid w:val="00ED2072"/>
    <w:rsid w:val="00ED2AE0"/>
    <w:rsid w:val="00ED3C54"/>
    <w:rsid w:val="00ED5553"/>
    <w:rsid w:val="00ED5E36"/>
    <w:rsid w:val="00ED6961"/>
    <w:rsid w:val="00EE0193"/>
    <w:rsid w:val="00EF0B96"/>
    <w:rsid w:val="00EF3486"/>
    <w:rsid w:val="00EF47AF"/>
    <w:rsid w:val="00EF53B6"/>
    <w:rsid w:val="00F00B73"/>
    <w:rsid w:val="00F068F2"/>
    <w:rsid w:val="00F115CA"/>
    <w:rsid w:val="00F14817"/>
    <w:rsid w:val="00F14EBA"/>
    <w:rsid w:val="00F1510F"/>
    <w:rsid w:val="00F1533A"/>
    <w:rsid w:val="00F15E5A"/>
    <w:rsid w:val="00F17F0A"/>
    <w:rsid w:val="00F2274E"/>
    <w:rsid w:val="00F25428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1600"/>
    <w:rsid w:val="00F5210B"/>
    <w:rsid w:val="00F53596"/>
    <w:rsid w:val="00F55BA8"/>
    <w:rsid w:val="00F55DB1"/>
    <w:rsid w:val="00F56ACA"/>
    <w:rsid w:val="00F57AA7"/>
    <w:rsid w:val="00F600FE"/>
    <w:rsid w:val="00F608B8"/>
    <w:rsid w:val="00F62E4D"/>
    <w:rsid w:val="00F66B34"/>
    <w:rsid w:val="00F675B9"/>
    <w:rsid w:val="00F70032"/>
    <w:rsid w:val="00F711C9"/>
    <w:rsid w:val="00F74C59"/>
    <w:rsid w:val="00F75230"/>
    <w:rsid w:val="00F75C3A"/>
    <w:rsid w:val="00F823C2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2D0C"/>
    <w:rsid w:val="00F9415B"/>
    <w:rsid w:val="00FA13C2"/>
    <w:rsid w:val="00FA5A93"/>
    <w:rsid w:val="00FA7F91"/>
    <w:rsid w:val="00FB121C"/>
    <w:rsid w:val="00FB1CDD"/>
    <w:rsid w:val="00FB2C2F"/>
    <w:rsid w:val="00FB3048"/>
    <w:rsid w:val="00FB305C"/>
    <w:rsid w:val="00FB5571"/>
    <w:rsid w:val="00FC0AC3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rsid w:val="002317BB"/>
    <w:pPr>
      <w:spacing w:line="240" w:lineRule="auto"/>
    </w:pPr>
    <w:rPr>
      <w:rFonts w:ascii="Times New Roman" w:hAnsi="Times New Roman"/>
      <w:color w:val="000000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color w:val="auto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color w:val="auto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line="360" w:lineRule="auto"/>
    </w:pPr>
    <w:rPr>
      <w:rFonts w:ascii="Tahoma" w:hAnsi="Tahoma" w:cs="Tahoma"/>
      <w:color w:val="auto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  <w:color w:val="auto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  <w:color w:val="auto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eastAsiaTheme="minorEastAsia" w:cs="Arial"/>
      <w:b/>
      <w:i/>
      <w:color w:val="auto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eastAsiaTheme="minorEastAsia" w:cs="Arial"/>
      <w:color w:val="auto"/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color w:val="auto"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color w:val="auto"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376C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DA0AE9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0AE9"/>
    <w:rPr>
      <w:rFonts w:ascii="Times New Roman" w:hAnsi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DA0AE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rsid w:val="002317BB"/>
    <w:pPr>
      <w:spacing w:line="240" w:lineRule="auto"/>
    </w:pPr>
    <w:rPr>
      <w:rFonts w:ascii="Times New Roman" w:hAnsi="Times New Roman"/>
      <w:color w:val="000000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color w:val="auto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color w:val="auto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line="360" w:lineRule="auto"/>
    </w:pPr>
    <w:rPr>
      <w:rFonts w:ascii="Tahoma" w:hAnsi="Tahoma" w:cs="Tahoma"/>
      <w:color w:val="auto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  <w:color w:val="auto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  <w:color w:val="auto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eastAsiaTheme="minorEastAsia" w:cs="Arial"/>
      <w:b/>
      <w:i/>
      <w:color w:val="auto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eastAsiaTheme="minorEastAsia" w:cs="Arial"/>
      <w:color w:val="auto"/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color w:val="auto"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color w:val="auto"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376C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DA0AE9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0AE9"/>
    <w:rPr>
      <w:rFonts w:ascii="Times New Roman" w:hAnsi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DA0A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9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74C9BD-22C5-480C-9C74-3D1B3A3FF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549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Barbara_Walczykiewic</dc:creator>
  <cp:lastModifiedBy>Ewa A. Genert</cp:lastModifiedBy>
  <cp:revision>2</cp:revision>
  <cp:lastPrinted>2017-08-04T13:01:00Z</cp:lastPrinted>
  <dcterms:created xsi:type="dcterms:W3CDTF">2017-09-04T12:15:00Z</dcterms:created>
  <dcterms:modified xsi:type="dcterms:W3CDTF">2017-09-04T12:15:00Z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