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5D" w:rsidRDefault="00E9165D" w:rsidP="00CA1ED5">
      <w:pPr>
        <w:jc w:val="right"/>
        <w:rPr>
          <w:rFonts w:ascii="Tahoma" w:hAnsi="Tahoma" w:cs="Tahoma"/>
          <w:i/>
          <w:sz w:val="24"/>
          <w:szCs w:val="24"/>
        </w:rPr>
      </w:pPr>
    </w:p>
    <w:p w:rsidR="000A3D11" w:rsidRPr="00767814" w:rsidRDefault="00CA1ED5" w:rsidP="00CA1ED5">
      <w:pPr>
        <w:jc w:val="right"/>
        <w:rPr>
          <w:rFonts w:ascii="Tahoma" w:hAnsi="Tahoma" w:cs="Tahoma"/>
          <w:i/>
          <w:sz w:val="24"/>
          <w:szCs w:val="24"/>
        </w:rPr>
      </w:pPr>
      <w:bookmarkStart w:id="0" w:name="_GoBack"/>
      <w:bookmarkEnd w:id="0"/>
      <w:r w:rsidRPr="00767814">
        <w:rPr>
          <w:rFonts w:ascii="Tahoma" w:hAnsi="Tahoma" w:cs="Tahoma"/>
          <w:i/>
          <w:sz w:val="24"/>
          <w:szCs w:val="24"/>
        </w:rPr>
        <w:t>Projekt</w:t>
      </w:r>
    </w:p>
    <w:p w:rsidR="00CA1ED5" w:rsidRPr="00767814" w:rsidRDefault="00CA1ED5" w:rsidP="00376FC6">
      <w:pPr>
        <w:rPr>
          <w:rFonts w:ascii="Tahoma" w:hAnsi="Tahoma" w:cs="Tahoma"/>
          <w:sz w:val="24"/>
          <w:szCs w:val="24"/>
        </w:rPr>
      </w:pPr>
    </w:p>
    <w:p w:rsidR="00CA1ED5" w:rsidRPr="00767814" w:rsidRDefault="00CA1ED5" w:rsidP="00CA1ED5">
      <w:pPr>
        <w:jc w:val="center"/>
        <w:rPr>
          <w:rFonts w:ascii="Tahoma" w:hAnsi="Tahoma" w:cs="Tahoma"/>
          <w:sz w:val="24"/>
          <w:szCs w:val="24"/>
        </w:rPr>
      </w:pPr>
    </w:p>
    <w:p w:rsidR="00CA1ED5" w:rsidRPr="00767814" w:rsidRDefault="00CA1ED5" w:rsidP="00CA1ED5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767814">
        <w:rPr>
          <w:rFonts w:ascii="Tahoma" w:hAnsi="Tahoma" w:cs="Tahoma"/>
          <w:sz w:val="24"/>
          <w:szCs w:val="24"/>
        </w:rPr>
        <w:t>Ustawa</w:t>
      </w:r>
    </w:p>
    <w:p w:rsidR="00CA1ED5" w:rsidRPr="00767814" w:rsidRDefault="00CA1ED5" w:rsidP="00CA1ED5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767814">
        <w:rPr>
          <w:rFonts w:ascii="Tahoma" w:hAnsi="Tahoma" w:cs="Tahoma"/>
          <w:sz w:val="24"/>
          <w:szCs w:val="24"/>
        </w:rPr>
        <w:t>z dnia …</w:t>
      </w:r>
      <w:r w:rsidR="008C2A05" w:rsidRPr="00767814">
        <w:rPr>
          <w:rFonts w:ascii="Tahoma" w:hAnsi="Tahoma" w:cs="Tahoma"/>
          <w:sz w:val="24"/>
          <w:szCs w:val="24"/>
        </w:rPr>
        <w:t>…</w:t>
      </w:r>
      <w:r w:rsidR="00376FC6">
        <w:rPr>
          <w:rFonts w:ascii="Tahoma" w:hAnsi="Tahoma" w:cs="Tahoma"/>
          <w:sz w:val="24"/>
          <w:szCs w:val="24"/>
        </w:rPr>
        <w:t>…..</w:t>
      </w:r>
      <w:r w:rsidR="008C2A05" w:rsidRPr="00767814">
        <w:rPr>
          <w:rFonts w:ascii="Tahoma" w:hAnsi="Tahoma" w:cs="Tahoma"/>
          <w:sz w:val="24"/>
          <w:szCs w:val="24"/>
        </w:rPr>
        <w:t>…</w:t>
      </w:r>
      <w:r w:rsidRPr="00767814">
        <w:rPr>
          <w:rFonts w:ascii="Tahoma" w:hAnsi="Tahoma" w:cs="Tahoma"/>
          <w:sz w:val="24"/>
          <w:szCs w:val="24"/>
        </w:rPr>
        <w:t xml:space="preserve"> 2017 r.</w:t>
      </w:r>
    </w:p>
    <w:p w:rsidR="00CA1ED5" w:rsidRPr="00767814" w:rsidRDefault="00CA1ED5" w:rsidP="00CA1ED5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767814">
        <w:rPr>
          <w:rFonts w:ascii="Tahoma" w:hAnsi="Tahoma" w:cs="Tahoma"/>
          <w:b/>
          <w:sz w:val="24"/>
          <w:szCs w:val="24"/>
        </w:rPr>
        <w:t>o zmianie ustawy o podatku</w:t>
      </w:r>
      <w:r w:rsidR="008C2A05" w:rsidRPr="00767814">
        <w:rPr>
          <w:rFonts w:ascii="Tahoma" w:hAnsi="Tahoma" w:cs="Tahoma"/>
          <w:b/>
          <w:sz w:val="24"/>
          <w:szCs w:val="24"/>
        </w:rPr>
        <w:t xml:space="preserve"> </w:t>
      </w:r>
      <w:r w:rsidRPr="00767814">
        <w:rPr>
          <w:rFonts w:ascii="Tahoma" w:hAnsi="Tahoma" w:cs="Tahoma"/>
          <w:b/>
          <w:sz w:val="24"/>
          <w:szCs w:val="24"/>
        </w:rPr>
        <w:t>dochodowym od osób fizycznych</w:t>
      </w:r>
    </w:p>
    <w:p w:rsidR="00CA1ED5" w:rsidRPr="00767814" w:rsidRDefault="00CA1ED5" w:rsidP="00CA1ED5">
      <w:pPr>
        <w:jc w:val="center"/>
        <w:rPr>
          <w:rFonts w:ascii="Tahoma" w:hAnsi="Tahoma" w:cs="Tahoma"/>
          <w:sz w:val="24"/>
          <w:szCs w:val="24"/>
        </w:rPr>
      </w:pPr>
    </w:p>
    <w:p w:rsidR="00CA1ED5" w:rsidRPr="00767814" w:rsidRDefault="00CA1ED5" w:rsidP="00275DD2">
      <w:pPr>
        <w:jc w:val="center"/>
        <w:rPr>
          <w:rFonts w:ascii="Tahoma" w:hAnsi="Tahoma" w:cs="Tahoma"/>
          <w:sz w:val="24"/>
          <w:szCs w:val="24"/>
        </w:rPr>
      </w:pPr>
    </w:p>
    <w:p w:rsidR="00CA1ED5" w:rsidRPr="00767814" w:rsidRDefault="00CA1ED5" w:rsidP="00275DD2">
      <w:pPr>
        <w:ind w:firstLine="360"/>
        <w:rPr>
          <w:rFonts w:ascii="Tahoma" w:hAnsi="Tahoma" w:cs="Tahoma"/>
          <w:sz w:val="24"/>
          <w:szCs w:val="24"/>
        </w:rPr>
      </w:pPr>
      <w:r w:rsidRPr="00767814">
        <w:rPr>
          <w:rFonts w:ascii="Tahoma" w:hAnsi="Tahoma" w:cs="Tahoma"/>
          <w:b/>
          <w:sz w:val="24"/>
          <w:szCs w:val="24"/>
        </w:rPr>
        <w:t>Art. 1.</w:t>
      </w:r>
      <w:r w:rsidRPr="00767814">
        <w:rPr>
          <w:rFonts w:ascii="Tahoma" w:hAnsi="Tahoma" w:cs="Tahoma"/>
          <w:sz w:val="24"/>
          <w:szCs w:val="24"/>
        </w:rPr>
        <w:t xml:space="preserve"> W ustawie z dnia 26 lipca 1991 r. o podatku dochodowym od osób fizycznych (Dz.U. z 2016 r. poz. 2032</w:t>
      </w:r>
      <w:r w:rsidR="00F17CCA" w:rsidRPr="00767814">
        <w:rPr>
          <w:rFonts w:ascii="Tahoma" w:hAnsi="Tahoma" w:cs="Tahoma"/>
          <w:sz w:val="24"/>
          <w:szCs w:val="24"/>
        </w:rPr>
        <w:t xml:space="preserve">, z </w:t>
      </w:r>
      <w:proofErr w:type="spellStart"/>
      <w:r w:rsidR="00F17CCA" w:rsidRPr="00767814">
        <w:rPr>
          <w:rFonts w:ascii="Tahoma" w:hAnsi="Tahoma" w:cs="Tahoma"/>
          <w:sz w:val="24"/>
          <w:szCs w:val="24"/>
        </w:rPr>
        <w:t>późn</w:t>
      </w:r>
      <w:proofErr w:type="spellEnd"/>
      <w:r w:rsidR="00F17CCA" w:rsidRPr="00767814">
        <w:rPr>
          <w:rFonts w:ascii="Tahoma" w:hAnsi="Tahoma" w:cs="Tahoma"/>
          <w:sz w:val="24"/>
          <w:szCs w:val="24"/>
        </w:rPr>
        <w:t>. zm.</w:t>
      </w:r>
      <w:r w:rsidR="009C5194" w:rsidRPr="00767814">
        <w:rPr>
          <w:rStyle w:val="Odwoanieprzypisudolnego"/>
          <w:rFonts w:ascii="Tahoma" w:hAnsi="Tahoma" w:cs="Tahoma"/>
          <w:sz w:val="24"/>
          <w:szCs w:val="24"/>
        </w:rPr>
        <w:footnoteReference w:id="1"/>
      </w:r>
      <w:r w:rsidR="00F17CCA" w:rsidRPr="00767814">
        <w:rPr>
          <w:rFonts w:ascii="Tahoma" w:hAnsi="Tahoma" w:cs="Tahoma"/>
          <w:sz w:val="24"/>
          <w:szCs w:val="24"/>
        </w:rPr>
        <w:t xml:space="preserve">) </w:t>
      </w:r>
      <w:r w:rsidRPr="00767814">
        <w:rPr>
          <w:rFonts w:ascii="Tahoma" w:hAnsi="Tahoma" w:cs="Tahoma"/>
          <w:sz w:val="24"/>
          <w:szCs w:val="24"/>
        </w:rPr>
        <w:t>wprowadza się następujące zmiany:</w:t>
      </w:r>
    </w:p>
    <w:p w:rsidR="00CA1ED5" w:rsidRPr="00767814" w:rsidRDefault="00CA1ED5" w:rsidP="00275DD2">
      <w:pPr>
        <w:rPr>
          <w:rFonts w:ascii="Tahoma" w:hAnsi="Tahoma" w:cs="Tahoma"/>
          <w:sz w:val="24"/>
          <w:szCs w:val="24"/>
        </w:rPr>
      </w:pPr>
    </w:p>
    <w:p w:rsidR="00CA1ED5" w:rsidRPr="00767814" w:rsidRDefault="00CA1ED5" w:rsidP="00275DD2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767814">
        <w:rPr>
          <w:rFonts w:ascii="Tahoma" w:hAnsi="Tahoma" w:cs="Tahoma"/>
          <w:sz w:val="24"/>
          <w:szCs w:val="24"/>
        </w:rPr>
        <w:t xml:space="preserve">w art. 22 </w:t>
      </w:r>
      <w:r w:rsidR="00B23479" w:rsidRPr="00767814">
        <w:rPr>
          <w:rFonts w:ascii="Tahoma" w:hAnsi="Tahoma" w:cs="Tahoma"/>
          <w:sz w:val="24"/>
          <w:szCs w:val="24"/>
        </w:rPr>
        <w:t xml:space="preserve">w </w:t>
      </w:r>
      <w:r w:rsidRPr="00767814">
        <w:rPr>
          <w:rFonts w:ascii="Tahoma" w:hAnsi="Tahoma" w:cs="Tahoma"/>
          <w:sz w:val="24"/>
          <w:szCs w:val="24"/>
        </w:rPr>
        <w:t>ust. 9 pkt 1-3 otrzymują brzmienie:</w:t>
      </w:r>
    </w:p>
    <w:p w:rsidR="00CA1ED5" w:rsidRPr="00767814" w:rsidRDefault="00CA1ED5" w:rsidP="009C5194">
      <w:pPr>
        <w:spacing w:before="240"/>
        <w:ind w:left="1276" w:hanging="709"/>
        <w:rPr>
          <w:rFonts w:ascii="Tahoma" w:hAnsi="Tahoma" w:cs="Tahoma"/>
          <w:sz w:val="24"/>
          <w:szCs w:val="24"/>
        </w:rPr>
      </w:pPr>
      <w:r w:rsidRPr="00767814">
        <w:rPr>
          <w:rFonts w:ascii="Tahoma" w:hAnsi="Tahoma" w:cs="Tahoma"/>
          <w:sz w:val="24"/>
          <w:szCs w:val="24"/>
        </w:rPr>
        <w:t>„1)</w:t>
      </w:r>
      <w:r w:rsidR="00F17CCA" w:rsidRPr="00767814">
        <w:rPr>
          <w:rFonts w:ascii="Tahoma" w:hAnsi="Tahoma" w:cs="Tahoma"/>
          <w:sz w:val="24"/>
          <w:szCs w:val="24"/>
        </w:rPr>
        <w:tab/>
      </w:r>
      <w:r w:rsidRPr="00767814">
        <w:rPr>
          <w:rFonts w:ascii="Tahoma" w:hAnsi="Tahoma" w:cs="Tahoma"/>
          <w:sz w:val="24"/>
          <w:szCs w:val="24"/>
        </w:rPr>
        <w:t xml:space="preserve"> z tytułu zapłaty twórcy za przeniesienie prawa własności wynalazku, topografii układu scalonego, wzoru użytkowego, wzoru przemysłowego, znaku towarowego lub wzoru zdobniczego – w wysokości 50% uzyskanego przychodu;</w:t>
      </w:r>
    </w:p>
    <w:p w:rsidR="00CA1ED5" w:rsidRPr="00767814" w:rsidRDefault="00CA1ED5" w:rsidP="009C5194">
      <w:pPr>
        <w:spacing w:before="240" w:after="240"/>
        <w:ind w:left="1276" w:hanging="709"/>
        <w:rPr>
          <w:rFonts w:ascii="Tahoma" w:hAnsi="Tahoma" w:cs="Tahoma"/>
          <w:sz w:val="24"/>
          <w:szCs w:val="24"/>
        </w:rPr>
      </w:pPr>
      <w:r w:rsidRPr="00767814">
        <w:rPr>
          <w:rFonts w:ascii="Tahoma" w:hAnsi="Tahoma" w:cs="Tahoma"/>
          <w:sz w:val="24"/>
          <w:szCs w:val="24"/>
        </w:rPr>
        <w:t>2)</w:t>
      </w:r>
      <w:r w:rsidR="00F17CCA" w:rsidRPr="00767814">
        <w:rPr>
          <w:rFonts w:ascii="Tahoma" w:hAnsi="Tahoma" w:cs="Tahoma"/>
          <w:sz w:val="24"/>
          <w:szCs w:val="24"/>
        </w:rPr>
        <w:tab/>
      </w:r>
      <w:r w:rsidRPr="00767814">
        <w:rPr>
          <w:rFonts w:ascii="Tahoma" w:hAnsi="Tahoma" w:cs="Tahoma"/>
          <w:sz w:val="24"/>
          <w:szCs w:val="24"/>
        </w:rPr>
        <w:t xml:space="preserve"> z tytułu opłaty licencyjnej za przeniesienie prawa stosowania wynalazku, topografii układu scalonego, wzoru użytkowego, wzoru przemysłowego, znaku towarowego lub wzoru zdobniczego, otrzymanej w pierwszym roku trwania licencji od pierwszej </w:t>
      </w:r>
      <w:r w:rsidR="00275DD2" w:rsidRPr="00767814">
        <w:rPr>
          <w:rFonts w:ascii="Tahoma" w:hAnsi="Tahoma" w:cs="Tahoma"/>
          <w:sz w:val="24"/>
          <w:szCs w:val="24"/>
        </w:rPr>
        <w:t>jednostki</w:t>
      </w:r>
      <w:r w:rsidRPr="00767814">
        <w:rPr>
          <w:rFonts w:ascii="Tahoma" w:hAnsi="Tahoma" w:cs="Tahoma"/>
          <w:sz w:val="24"/>
          <w:szCs w:val="24"/>
        </w:rPr>
        <w:t xml:space="preserve">, z którą zawarto umowę licencyjną – w </w:t>
      </w:r>
      <w:r w:rsidR="00275DD2" w:rsidRPr="00767814">
        <w:rPr>
          <w:rFonts w:ascii="Tahoma" w:hAnsi="Tahoma" w:cs="Tahoma"/>
          <w:sz w:val="24"/>
          <w:szCs w:val="24"/>
        </w:rPr>
        <w:t xml:space="preserve">wysokości </w:t>
      </w:r>
      <w:r w:rsidRPr="00767814">
        <w:rPr>
          <w:rFonts w:ascii="Tahoma" w:hAnsi="Tahoma" w:cs="Tahoma"/>
          <w:sz w:val="24"/>
          <w:szCs w:val="24"/>
        </w:rPr>
        <w:t>5</w:t>
      </w:r>
      <w:r w:rsidR="00275DD2" w:rsidRPr="00767814">
        <w:rPr>
          <w:rFonts w:ascii="Tahoma" w:hAnsi="Tahoma" w:cs="Tahoma"/>
          <w:sz w:val="24"/>
          <w:szCs w:val="24"/>
        </w:rPr>
        <w:t>0</w:t>
      </w:r>
      <w:r w:rsidRPr="00767814">
        <w:rPr>
          <w:rFonts w:ascii="Tahoma" w:hAnsi="Tahoma" w:cs="Tahoma"/>
          <w:sz w:val="24"/>
          <w:szCs w:val="24"/>
        </w:rPr>
        <w:t>% uzyskanego przychodu;</w:t>
      </w:r>
    </w:p>
    <w:p w:rsidR="00CA1ED5" w:rsidRPr="00767814" w:rsidRDefault="00CA1ED5" w:rsidP="009C5194">
      <w:pPr>
        <w:spacing w:after="240"/>
        <w:ind w:left="1276" w:hanging="709"/>
        <w:rPr>
          <w:rFonts w:ascii="Tahoma" w:hAnsi="Tahoma" w:cs="Tahoma"/>
          <w:sz w:val="24"/>
          <w:szCs w:val="24"/>
        </w:rPr>
      </w:pPr>
      <w:r w:rsidRPr="00767814">
        <w:rPr>
          <w:rFonts w:ascii="Tahoma" w:hAnsi="Tahoma" w:cs="Tahoma"/>
          <w:sz w:val="24"/>
          <w:szCs w:val="24"/>
        </w:rPr>
        <w:t>3)</w:t>
      </w:r>
      <w:r w:rsidR="00F17CCA" w:rsidRPr="00767814">
        <w:rPr>
          <w:rFonts w:ascii="Tahoma" w:hAnsi="Tahoma" w:cs="Tahoma"/>
          <w:sz w:val="24"/>
          <w:szCs w:val="24"/>
        </w:rPr>
        <w:tab/>
      </w:r>
      <w:r w:rsidRPr="00767814">
        <w:rPr>
          <w:rFonts w:ascii="Tahoma" w:hAnsi="Tahoma" w:cs="Tahoma"/>
          <w:sz w:val="24"/>
          <w:szCs w:val="24"/>
        </w:rPr>
        <w:t>z tytułu korzystania przez twórców z praw autorskich i artystów wykonawców z praw pokrewnych, w rozumieniu odrębnych przepisów, lub rozporządzania przez nich tymi</w:t>
      </w:r>
      <w:r w:rsidR="00F17CCA" w:rsidRPr="00767814">
        <w:rPr>
          <w:rFonts w:ascii="Tahoma" w:hAnsi="Tahoma" w:cs="Tahoma"/>
          <w:sz w:val="24"/>
          <w:szCs w:val="24"/>
        </w:rPr>
        <w:t xml:space="preserve"> </w:t>
      </w:r>
      <w:r w:rsidRPr="00767814">
        <w:rPr>
          <w:rFonts w:ascii="Tahoma" w:hAnsi="Tahoma" w:cs="Tahoma"/>
          <w:sz w:val="24"/>
          <w:szCs w:val="24"/>
        </w:rPr>
        <w:t>prawami – w wys</w:t>
      </w:r>
      <w:r w:rsidR="00B23479" w:rsidRPr="00767814">
        <w:rPr>
          <w:rFonts w:ascii="Tahoma" w:hAnsi="Tahoma" w:cs="Tahoma"/>
          <w:sz w:val="24"/>
          <w:szCs w:val="24"/>
        </w:rPr>
        <w:t>okości 50% uzyskanego przychodu;</w:t>
      </w:r>
      <w:r w:rsidR="00F17CCA" w:rsidRPr="00767814">
        <w:rPr>
          <w:rFonts w:ascii="Tahoma" w:hAnsi="Tahoma" w:cs="Tahoma"/>
          <w:sz w:val="24"/>
          <w:szCs w:val="24"/>
        </w:rPr>
        <w:t xml:space="preserve">”; </w:t>
      </w:r>
    </w:p>
    <w:p w:rsidR="00CA1ED5" w:rsidRPr="00767814" w:rsidRDefault="00CA1ED5" w:rsidP="00275DD2">
      <w:pPr>
        <w:rPr>
          <w:rFonts w:ascii="Tahoma" w:hAnsi="Tahoma" w:cs="Tahoma"/>
          <w:sz w:val="24"/>
          <w:szCs w:val="24"/>
        </w:rPr>
      </w:pPr>
    </w:p>
    <w:p w:rsidR="00CA1ED5" w:rsidRPr="00767814" w:rsidRDefault="00CA1ED5" w:rsidP="00275DD2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767814">
        <w:rPr>
          <w:rFonts w:ascii="Tahoma" w:hAnsi="Tahoma" w:cs="Tahoma"/>
          <w:sz w:val="24"/>
          <w:szCs w:val="24"/>
        </w:rPr>
        <w:t>w art. 22 uchyla się ust</w:t>
      </w:r>
      <w:r w:rsidR="00F17CCA" w:rsidRPr="00767814">
        <w:rPr>
          <w:rFonts w:ascii="Tahoma" w:hAnsi="Tahoma" w:cs="Tahoma"/>
          <w:sz w:val="24"/>
          <w:szCs w:val="24"/>
        </w:rPr>
        <w:t xml:space="preserve">. </w:t>
      </w:r>
      <w:r w:rsidRPr="00767814">
        <w:rPr>
          <w:rFonts w:ascii="Tahoma" w:hAnsi="Tahoma" w:cs="Tahoma"/>
          <w:sz w:val="24"/>
          <w:szCs w:val="24"/>
        </w:rPr>
        <w:t xml:space="preserve"> 9a i 10a.</w:t>
      </w:r>
    </w:p>
    <w:p w:rsidR="00CA1ED5" w:rsidRPr="00767814" w:rsidRDefault="00CA1ED5" w:rsidP="00275DD2">
      <w:pPr>
        <w:rPr>
          <w:rFonts w:ascii="Tahoma" w:hAnsi="Tahoma" w:cs="Tahoma"/>
          <w:sz w:val="24"/>
          <w:szCs w:val="24"/>
        </w:rPr>
      </w:pPr>
    </w:p>
    <w:p w:rsidR="00CA1ED5" w:rsidRPr="00767814" w:rsidRDefault="00CA1ED5" w:rsidP="00275DD2">
      <w:pPr>
        <w:ind w:firstLine="360"/>
        <w:rPr>
          <w:rFonts w:ascii="Tahoma" w:hAnsi="Tahoma" w:cs="Tahoma"/>
          <w:sz w:val="24"/>
          <w:szCs w:val="24"/>
        </w:rPr>
      </w:pPr>
      <w:r w:rsidRPr="00767814">
        <w:rPr>
          <w:rFonts w:ascii="Tahoma" w:hAnsi="Tahoma" w:cs="Tahoma"/>
          <w:b/>
          <w:sz w:val="24"/>
          <w:szCs w:val="24"/>
        </w:rPr>
        <w:t>Art. 2.</w:t>
      </w:r>
      <w:r w:rsidRPr="00767814">
        <w:rPr>
          <w:rFonts w:ascii="Tahoma" w:hAnsi="Tahoma" w:cs="Tahoma"/>
          <w:sz w:val="24"/>
          <w:szCs w:val="24"/>
        </w:rPr>
        <w:t xml:space="preserve"> Ustawa wchodzi w życie z dniem 1 stycznia 2018 r.</w:t>
      </w:r>
    </w:p>
    <w:p w:rsidR="001E0416" w:rsidRPr="00767814" w:rsidRDefault="001E0416" w:rsidP="00275DD2">
      <w:pPr>
        <w:ind w:firstLine="360"/>
        <w:rPr>
          <w:rFonts w:ascii="Tahoma" w:hAnsi="Tahoma" w:cs="Tahoma"/>
          <w:sz w:val="24"/>
          <w:szCs w:val="24"/>
        </w:rPr>
      </w:pPr>
    </w:p>
    <w:p w:rsidR="001E0416" w:rsidRPr="00767814" w:rsidRDefault="001E0416" w:rsidP="00B23479">
      <w:pPr>
        <w:rPr>
          <w:rFonts w:ascii="Tahoma" w:hAnsi="Tahoma" w:cs="Tahoma"/>
          <w:sz w:val="24"/>
          <w:szCs w:val="24"/>
        </w:rPr>
      </w:pPr>
    </w:p>
    <w:p w:rsidR="00767814" w:rsidRDefault="00767814" w:rsidP="00B23479">
      <w:pPr>
        <w:rPr>
          <w:rFonts w:ascii="Tahoma" w:hAnsi="Tahoma" w:cs="Tahoma"/>
          <w:sz w:val="24"/>
          <w:szCs w:val="24"/>
        </w:rPr>
      </w:pPr>
    </w:p>
    <w:p w:rsidR="00376FC6" w:rsidRPr="00767814" w:rsidRDefault="00376FC6" w:rsidP="00B23479">
      <w:pPr>
        <w:rPr>
          <w:rFonts w:ascii="Tahoma" w:hAnsi="Tahoma" w:cs="Tahoma"/>
          <w:sz w:val="24"/>
          <w:szCs w:val="24"/>
        </w:rPr>
      </w:pPr>
    </w:p>
    <w:p w:rsidR="00767814" w:rsidRPr="00767814" w:rsidRDefault="00767814" w:rsidP="00B23479">
      <w:pPr>
        <w:rPr>
          <w:rFonts w:ascii="Tahoma" w:hAnsi="Tahoma" w:cs="Tahoma"/>
          <w:sz w:val="24"/>
          <w:szCs w:val="24"/>
        </w:rPr>
      </w:pPr>
    </w:p>
    <w:p w:rsidR="001E0416" w:rsidRPr="00767814" w:rsidRDefault="001E0416" w:rsidP="001E0416">
      <w:pPr>
        <w:jc w:val="center"/>
        <w:rPr>
          <w:rFonts w:ascii="Tahoma" w:hAnsi="Tahoma" w:cs="Tahoma"/>
          <w:b/>
          <w:sz w:val="24"/>
          <w:szCs w:val="24"/>
        </w:rPr>
      </w:pPr>
      <w:r w:rsidRPr="00767814">
        <w:rPr>
          <w:rFonts w:ascii="Tahoma" w:hAnsi="Tahoma" w:cs="Tahoma"/>
          <w:b/>
          <w:sz w:val="24"/>
          <w:szCs w:val="24"/>
        </w:rPr>
        <w:lastRenderedPageBreak/>
        <w:t>UZASADNIENIE</w:t>
      </w:r>
    </w:p>
    <w:p w:rsidR="001E0416" w:rsidRPr="00767814" w:rsidRDefault="001E0416" w:rsidP="001E0416">
      <w:pPr>
        <w:jc w:val="center"/>
        <w:rPr>
          <w:rFonts w:ascii="Tahoma" w:hAnsi="Tahoma" w:cs="Tahoma"/>
          <w:b/>
          <w:sz w:val="24"/>
          <w:szCs w:val="24"/>
        </w:rPr>
      </w:pPr>
    </w:p>
    <w:p w:rsidR="001E0416" w:rsidRDefault="001E0416" w:rsidP="00B23479">
      <w:pPr>
        <w:spacing w:line="360" w:lineRule="auto"/>
        <w:rPr>
          <w:rFonts w:ascii="Tahoma" w:hAnsi="Tahoma" w:cs="Tahoma"/>
          <w:sz w:val="24"/>
          <w:szCs w:val="24"/>
        </w:rPr>
      </w:pPr>
    </w:p>
    <w:p w:rsidR="00376FC6" w:rsidRPr="00767814" w:rsidRDefault="00376FC6" w:rsidP="00B23479">
      <w:pPr>
        <w:spacing w:line="360" w:lineRule="auto"/>
        <w:rPr>
          <w:rFonts w:ascii="Tahoma" w:hAnsi="Tahoma" w:cs="Tahoma"/>
          <w:sz w:val="24"/>
          <w:szCs w:val="24"/>
        </w:rPr>
      </w:pPr>
    </w:p>
    <w:p w:rsidR="001E0416" w:rsidRPr="00767814" w:rsidRDefault="001E0416" w:rsidP="00B23479">
      <w:pPr>
        <w:spacing w:line="360" w:lineRule="auto"/>
        <w:rPr>
          <w:rFonts w:ascii="Tahoma" w:hAnsi="Tahoma" w:cs="Tahoma"/>
          <w:sz w:val="24"/>
          <w:szCs w:val="24"/>
        </w:rPr>
      </w:pPr>
      <w:r w:rsidRPr="00767814">
        <w:rPr>
          <w:rFonts w:ascii="Tahoma" w:hAnsi="Tahoma" w:cs="Tahoma"/>
          <w:sz w:val="24"/>
          <w:szCs w:val="24"/>
        </w:rPr>
        <w:t xml:space="preserve">Prawo do 50-procentowych kosztów uzyskania przychodu dla zawodów twórczych zostało wprowadzone w Polsce przez ministra skarbu Ignacego Matuszewskiego w roku 1928. Wówczas ostatecznym argumentem na korzyść rozwiązania proponowanego przez środowiska twórcze stał się felieton Tadeusza Boya Żeleńskiego opublikowany </w:t>
      </w:r>
      <w:r w:rsidR="00376FC6">
        <w:rPr>
          <w:rFonts w:ascii="Tahoma" w:hAnsi="Tahoma" w:cs="Tahoma"/>
          <w:sz w:val="24"/>
          <w:szCs w:val="24"/>
        </w:rPr>
        <w:br/>
      </w:r>
      <w:r w:rsidRPr="00767814">
        <w:rPr>
          <w:rFonts w:ascii="Tahoma" w:hAnsi="Tahoma" w:cs="Tahoma"/>
          <w:sz w:val="24"/>
          <w:szCs w:val="24"/>
        </w:rPr>
        <w:t>w „Kurierze Porannym”. Ten swoisty przywilej miał zrekompensować nietypowy proces powstawania dzieł artystycznych i brak systematycznie uzyskiwanych dochodów z tego tytułu.</w:t>
      </w:r>
    </w:p>
    <w:p w:rsidR="001E0416" w:rsidRPr="00767814" w:rsidRDefault="001E0416" w:rsidP="00B23479">
      <w:pPr>
        <w:spacing w:line="360" w:lineRule="auto"/>
        <w:rPr>
          <w:rFonts w:ascii="Tahoma" w:hAnsi="Tahoma" w:cs="Tahoma"/>
          <w:sz w:val="24"/>
          <w:szCs w:val="24"/>
        </w:rPr>
      </w:pPr>
    </w:p>
    <w:p w:rsidR="001E0416" w:rsidRPr="00767814" w:rsidRDefault="001E0416" w:rsidP="00B23479">
      <w:pPr>
        <w:spacing w:line="360" w:lineRule="auto"/>
        <w:rPr>
          <w:rFonts w:ascii="Tahoma" w:hAnsi="Tahoma" w:cs="Tahoma"/>
          <w:sz w:val="24"/>
          <w:szCs w:val="24"/>
        </w:rPr>
      </w:pPr>
      <w:r w:rsidRPr="00767814">
        <w:rPr>
          <w:rFonts w:ascii="Tahoma" w:hAnsi="Tahoma" w:cs="Tahoma"/>
          <w:sz w:val="24"/>
          <w:szCs w:val="24"/>
        </w:rPr>
        <w:t xml:space="preserve">System został utrzymany przez dziesięciolecia, ale z czasem obrastał w niepożądane zjawiska typu – ucieczka pracodawców od podstawowego wynagradzania pracowników na rzecz umów o dzieło i honorariów, dopisywanie do systemu wykonawców zawodów pomocniczych nie mających wiele wspólnego z procesem twórczym itp. Pierwszą próbę odejścia od 50 procent podjęto w roku 2006, ale rząd PiS ostatecznie zrezygnował ze swojego zamysłu. Powrócono do tematu w roku </w:t>
      </w:r>
      <w:r w:rsidR="00376FC6">
        <w:rPr>
          <w:rFonts w:ascii="Tahoma" w:hAnsi="Tahoma" w:cs="Tahoma"/>
          <w:sz w:val="24"/>
          <w:szCs w:val="24"/>
        </w:rPr>
        <w:br/>
      </w:r>
      <w:r w:rsidRPr="00767814">
        <w:rPr>
          <w:rFonts w:ascii="Tahoma" w:hAnsi="Tahoma" w:cs="Tahoma"/>
          <w:sz w:val="24"/>
          <w:szCs w:val="24"/>
        </w:rPr>
        <w:t xml:space="preserve">2012 uchwalając zmianę polegającą na ograniczaniu zakresu stosowania 50% kosztów uzyskania przychodów do ½ kwoty stanowiącej górną granicę pierwszego przedziału skali podatkowej czyli 42.764 PLN. Jednym słowem, dochody twórców mieszczące się w skali 18% podatku były opodatkowane w połowie, natomiast dochody powyżej podlegały 32% podatkowi. </w:t>
      </w:r>
    </w:p>
    <w:p w:rsidR="001E0416" w:rsidRPr="00767814" w:rsidRDefault="001E0416" w:rsidP="00B23479">
      <w:pPr>
        <w:spacing w:line="360" w:lineRule="auto"/>
        <w:rPr>
          <w:rFonts w:ascii="Tahoma" w:hAnsi="Tahoma" w:cs="Tahoma"/>
          <w:sz w:val="24"/>
          <w:szCs w:val="24"/>
        </w:rPr>
      </w:pPr>
    </w:p>
    <w:p w:rsidR="001E0416" w:rsidRPr="00767814" w:rsidRDefault="001E0416" w:rsidP="00B23479">
      <w:pPr>
        <w:spacing w:line="360" w:lineRule="auto"/>
        <w:rPr>
          <w:rFonts w:ascii="Tahoma" w:hAnsi="Tahoma" w:cs="Tahoma"/>
          <w:color w:val="000000"/>
          <w:sz w:val="24"/>
          <w:szCs w:val="24"/>
        </w:rPr>
      </w:pPr>
      <w:r w:rsidRPr="00767814">
        <w:rPr>
          <w:rFonts w:ascii="Tahoma" w:hAnsi="Tahoma" w:cs="Tahoma"/>
          <w:sz w:val="24"/>
          <w:szCs w:val="24"/>
        </w:rPr>
        <w:t xml:space="preserve">Oczywiście to rozwiązanie rozbudziło wielkie niezadowolenie środowiska twórców – jak się później okazało niezbyt licznego, niemniej ważnego. Szczególnie poszkodowani czuli się filmowcy, pisarze i muzycy uzyskujący znaczne wynagrodzenie za dzieła raz na dwa, trzy (a nawet rzadziej) lata. Także wykonawcy estradowi, nieliczni dziennikarze, niektórzy naukowcy i wynalazcy. Rząd PO-PSL, podejmując ryzyko konfliktu z ważną grupą kreatorów opinii publicznej, kierował się jednak racjonalnymi </w:t>
      </w:r>
      <w:r w:rsidRPr="00767814">
        <w:rPr>
          <w:rFonts w:ascii="Tahoma" w:hAnsi="Tahoma" w:cs="Tahoma"/>
          <w:color w:val="000000"/>
          <w:sz w:val="24"/>
          <w:szCs w:val="24"/>
        </w:rPr>
        <w:t xml:space="preserve">przesłankami prymatu dobra wspólnego nad interesami grupowymi i walcząc </w:t>
      </w:r>
      <w:r w:rsidR="00376FC6">
        <w:rPr>
          <w:rFonts w:ascii="Tahoma" w:hAnsi="Tahoma" w:cs="Tahoma"/>
          <w:color w:val="000000"/>
          <w:sz w:val="24"/>
          <w:szCs w:val="24"/>
        </w:rPr>
        <w:br/>
      </w:r>
      <w:r w:rsidRPr="00767814">
        <w:rPr>
          <w:rFonts w:ascii="Tahoma" w:hAnsi="Tahoma" w:cs="Tahoma"/>
          <w:color w:val="000000"/>
          <w:sz w:val="24"/>
          <w:szCs w:val="24"/>
        </w:rPr>
        <w:lastRenderedPageBreak/>
        <w:t>ze skutkami gigantycznego kryzysu finansowego, który w latach 2009-2010 zalał Europę i świat starał się maksymalnie zwiększyć bazę podatkową. Nie bez znaczenia były też argumenty natury konstytucyjnej jak chociażby ten o powszechności opodatkowania określonej w art. 84 Konstytucji RP. Trzeba też przyznać, że nie były to jedyne "oszczędności" wprowadzone przez rząd PO-PSL. Walcząc o zmniejszenie deficytu budżetowego i równoczesne zabezpieczenie środków na współfinansowanie ogromnego programu modernizacji infrastruktury rozpoczęto intensywny proces uszczelniania systemu podatkowego. Odwrócony VAT na niektóre towary, solidarna odpowiedzialność, przepisy o zagranicznych spółkach kontrolowanych, ceny transportowe, jednolity plik kontrolny - to tylko niektóre rozwiązania zainicjowane przez rząd PO-PSL.</w:t>
      </w:r>
    </w:p>
    <w:p w:rsidR="001E0416" w:rsidRPr="00767814" w:rsidRDefault="001E0416" w:rsidP="00B23479">
      <w:pPr>
        <w:spacing w:line="360" w:lineRule="auto"/>
        <w:rPr>
          <w:rFonts w:ascii="Tahoma" w:hAnsi="Tahoma" w:cs="Tahoma"/>
          <w:color w:val="000000"/>
          <w:sz w:val="24"/>
          <w:szCs w:val="24"/>
        </w:rPr>
      </w:pPr>
    </w:p>
    <w:p w:rsidR="001E0416" w:rsidRPr="00767814" w:rsidRDefault="001E0416" w:rsidP="00B23479">
      <w:pPr>
        <w:spacing w:line="360" w:lineRule="auto"/>
        <w:rPr>
          <w:rFonts w:ascii="Tahoma" w:hAnsi="Tahoma" w:cs="Tahoma"/>
          <w:color w:val="000000"/>
          <w:sz w:val="24"/>
          <w:szCs w:val="24"/>
        </w:rPr>
      </w:pPr>
      <w:r w:rsidRPr="00767814">
        <w:rPr>
          <w:rFonts w:ascii="Tahoma" w:hAnsi="Tahoma" w:cs="Tahoma"/>
          <w:color w:val="000000"/>
          <w:sz w:val="24"/>
          <w:szCs w:val="24"/>
        </w:rPr>
        <w:t xml:space="preserve">Dziś jesteśmy w zupełnie innym miejscu. W światowej gospodarce obserwujemy znaczące ożywienie co pozytywnie wpływa także na polską gospodarkę. PO i PSL zostawiły swoim następcom finanse państwa w bardzo dobrym stanie. Uporano się </w:t>
      </w:r>
      <w:r w:rsidR="00376FC6">
        <w:rPr>
          <w:rFonts w:ascii="Tahoma" w:hAnsi="Tahoma" w:cs="Tahoma"/>
          <w:color w:val="000000"/>
          <w:sz w:val="24"/>
          <w:szCs w:val="24"/>
        </w:rPr>
        <w:br/>
      </w:r>
      <w:r w:rsidRPr="00767814">
        <w:rPr>
          <w:rFonts w:ascii="Tahoma" w:hAnsi="Tahoma" w:cs="Tahoma"/>
          <w:color w:val="000000"/>
          <w:sz w:val="24"/>
          <w:szCs w:val="24"/>
        </w:rPr>
        <w:t>z groźbą nadmiernego zadłużenia, podjęte i zakończone inwestycje zaczęły procentować. Ciągle jesteśmy państwem "na dorobku", niemniej stać nas na znaczne zwiększenie skali inwestowania "w ludzi" i ich budżety domowe. Czy obecny rząd PiS to wykorzysta i jak wykorzysta - inna sprawa. Jak na razie można mieć mieszane uczucia. Z jednej strony program 500+ i podwyżki płac, z drugiej lawina nowych podatków i danin.</w:t>
      </w:r>
    </w:p>
    <w:p w:rsidR="001E0416" w:rsidRPr="00767814" w:rsidRDefault="001E0416" w:rsidP="00B23479">
      <w:pPr>
        <w:spacing w:line="360" w:lineRule="auto"/>
        <w:rPr>
          <w:rFonts w:ascii="Tahoma" w:hAnsi="Tahoma" w:cs="Tahoma"/>
          <w:color w:val="000000"/>
          <w:sz w:val="24"/>
          <w:szCs w:val="24"/>
        </w:rPr>
      </w:pPr>
    </w:p>
    <w:p w:rsidR="008C2A05" w:rsidRPr="00767814" w:rsidRDefault="001E0416" w:rsidP="00B23479">
      <w:pPr>
        <w:spacing w:line="360" w:lineRule="auto"/>
        <w:rPr>
          <w:rFonts w:ascii="Tahoma" w:hAnsi="Tahoma" w:cs="Tahoma"/>
          <w:color w:val="000000"/>
          <w:sz w:val="24"/>
          <w:szCs w:val="24"/>
        </w:rPr>
      </w:pPr>
      <w:r w:rsidRPr="00767814">
        <w:rPr>
          <w:rFonts w:ascii="Tahoma" w:hAnsi="Tahoma" w:cs="Tahoma"/>
          <w:color w:val="000000"/>
          <w:sz w:val="24"/>
          <w:szCs w:val="24"/>
        </w:rPr>
        <w:t xml:space="preserve">W przedkładanym projekcie zmiany ustawy o podatku dochodowym od osób fizycznych, KPPO proponuje powrót do rozwiązań opodatkowujących twórców </w:t>
      </w:r>
      <w:r w:rsidR="00376FC6">
        <w:rPr>
          <w:rFonts w:ascii="Tahoma" w:hAnsi="Tahoma" w:cs="Tahoma"/>
          <w:color w:val="000000"/>
          <w:sz w:val="24"/>
          <w:szCs w:val="24"/>
        </w:rPr>
        <w:br/>
      </w:r>
      <w:r w:rsidRPr="00767814">
        <w:rPr>
          <w:rFonts w:ascii="Tahoma" w:hAnsi="Tahoma" w:cs="Tahoma"/>
          <w:color w:val="000000"/>
          <w:sz w:val="24"/>
          <w:szCs w:val="24"/>
        </w:rPr>
        <w:t xml:space="preserve">z 50-procentowymi kosztami uzyskania dochodów niezależnie od skali zarobków. Jedynym „limitem” przy stosowaniu tej zasady powinien być prawdziwie twórczy charakter działalności i honoracyjny system wynagradzania. Proponowana zmiana polega na wykreśleniu z art. 22 ustawy o podatku dochodowym osób fizycznych </w:t>
      </w:r>
      <w:r w:rsidR="00376FC6">
        <w:rPr>
          <w:rFonts w:ascii="Tahoma" w:hAnsi="Tahoma" w:cs="Tahoma"/>
          <w:color w:val="000000"/>
          <w:sz w:val="24"/>
          <w:szCs w:val="24"/>
        </w:rPr>
        <w:br/>
      </w:r>
      <w:r w:rsidR="008C2A05" w:rsidRPr="00767814">
        <w:rPr>
          <w:rFonts w:ascii="Tahoma" w:hAnsi="Tahoma" w:cs="Tahoma"/>
          <w:color w:val="000000"/>
          <w:sz w:val="24"/>
          <w:szCs w:val="24"/>
        </w:rPr>
        <w:t xml:space="preserve">ust. </w:t>
      </w:r>
      <w:r w:rsidRPr="00767814">
        <w:rPr>
          <w:rFonts w:ascii="Tahoma" w:hAnsi="Tahoma" w:cs="Tahoma"/>
          <w:color w:val="000000"/>
          <w:sz w:val="24"/>
          <w:szCs w:val="24"/>
        </w:rPr>
        <w:t xml:space="preserve">9a i 10a. </w:t>
      </w:r>
    </w:p>
    <w:p w:rsidR="008C2A05" w:rsidRPr="00767814" w:rsidRDefault="008C2A05" w:rsidP="00B23479">
      <w:pPr>
        <w:spacing w:line="360" w:lineRule="auto"/>
        <w:rPr>
          <w:rFonts w:ascii="Tahoma" w:hAnsi="Tahoma" w:cs="Tahoma"/>
          <w:color w:val="000000"/>
          <w:sz w:val="24"/>
          <w:szCs w:val="24"/>
        </w:rPr>
      </w:pPr>
    </w:p>
    <w:p w:rsidR="00F410FF" w:rsidRPr="00376FC6" w:rsidRDefault="001E0416" w:rsidP="00376FC6">
      <w:pPr>
        <w:spacing w:line="360" w:lineRule="auto"/>
        <w:rPr>
          <w:rFonts w:ascii="Tahoma" w:hAnsi="Tahoma" w:cs="Tahoma"/>
          <w:color w:val="000000"/>
          <w:sz w:val="24"/>
          <w:szCs w:val="24"/>
        </w:rPr>
      </w:pPr>
      <w:r w:rsidRPr="00767814">
        <w:rPr>
          <w:rFonts w:ascii="Tahoma" w:hAnsi="Tahoma" w:cs="Tahoma"/>
          <w:color w:val="000000"/>
          <w:sz w:val="24"/>
          <w:szCs w:val="24"/>
        </w:rPr>
        <w:lastRenderedPageBreak/>
        <w:t>Skutki finansowe tej operacji – jeśli przyjąć szacunki na rok 2013, gdy limit 42.764 PLN zaczął obowiązywać - to mniej niż 200 mln zł. To jest kwota, którą obecny budżet państwa powinien udźwignąć bez problemu.</w:t>
      </w:r>
    </w:p>
    <w:p w:rsidR="008C2A05" w:rsidRPr="00376FC6" w:rsidRDefault="00F410FF" w:rsidP="00376FC6">
      <w:pPr>
        <w:autoSpaceDN w:val="0"/>
        <w:spacing w:line="360" w:lineRule="auto"/>
        <w:rPr>
          <w:rFonts w:ascii="Tahoma" w:eastAsia="Calibri" w:hAnsi="Tahoma" w:cs="Tahoma"/>
          <w:b/>
          <w:sz w:val="24"/>
          <w:szCs w:val="24"/>
          <w:u w:val="single" w:color="000000"/>
        </w:rPr>
      </w:pPr>
      <w:r w:rsidRPr="00767814">
        <w:rPr>
          <w:rFonts w:ascii="Tahoma" w:eastAsia="Calibri" w:hAnsi="Tahoma" w:cs="Tahoma"/>
          <w:sz w:val="24"/>
          <w:szCs w:val="24"/>
          <w:u w:color="000000"/>
        </w:rPr>
        <w:t>Przedmiot projektu niniejszej ustawy jest zgodny z prawem Unii Europejskiej.</w:t>
      </w:r>
    </w:p>
    <w:sectPr w:rsidR="008C2A05" w:rsidRPr="00376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194" w:rsidRDefault="009C5194" w:rsidP="009C5194">
      <w:pPr>
        <w:spacing w:line="240" w:lineRule="auto"/>
      </w:pPr>
      <w:r>
        <w:separator/>
      </w:r>
    </w:p>
  </w:endnote>
  <w:endnote w:type="continuationSeparator" w:id="0">
    <w:p w:rsidR="009C5194" w:rsidRDefault="009C5194" w:rsidP="009C51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194" w:rsidRDefault="009C5194" w:rsidP="009C5194">
      <w:pPr>
        <w:spacing w:line="240" w:lineRule="auto"/>
      </w:pPr>
      <w:r>
        <w:separator/>
      </w:r>
    </w:p>
  </w:footnote>
  <w:footnote w:type="continuationSeparator" w:id="0">
    <w:p w:rsidR="009C5194" w:rsidRDefault="009C5194" w:rsidP="009C5194">
      <w:pPr>
        <w:spacing w:line="240" w:lineRule="auto"/>
      </w:pPr>
      <w:r>
        <w:continuationSeparator/>
      </w:r>
    </w:p>
  </w:footnote>
  <w:footnote w:id="1">
    <w:p w:rsidR="009C5194" w:rsidRPr="009C5194" w:rsidRDefault="009C5194">
      <w:pPr>
        <w:pStyle w:val="Tekstprzypisudolnego"/>
        <w:rPr>
          <w:rFonts w:ascii="Tahoma" w:hAnsi="Tahoma" w:cs="Tahoma"/>
        </w:rPr>
      </w:pPr>
      <w:r w:rsidRPr="009C5194">
        <w:rPr>
          <w:rStyle w:val="Odwoanieprzypisudolnego"/>
          <w:rFonts w:ascii="Tahoma" w:hAnsi="Tahoma" w:cs="Tahoma"/>
        </w:rPr>
        <w:footnoteRef/>
      </w:r>
      <w:r w:rsidRPr="009C5194">
        <w:rPr>
          <w:rFonts w:ascii="Tahoma" w:hAnsi="Tahoma" w:cs="Tahoma"/>
        </w:rPr>
        <w:t xml:space="preserve"> Zmiany tekstu jednolitego ustawy zostały  ogłoszone w </w:t>
      </w:r>
      <w:r w:rsidRPr="009C5194">
        <w:rPr>
          <w:rFonts w:ascii="Tahoma" w:hAnsi="Tahoma" w:cs="Tahoma"/>
          <w:color w:val="000000"/>
        </w:rPr>
        <w:t xml:space="preserve">Dz. U. z 2016 r. poz. 2048 oraz z 2017 r. poz. 60, 528, 648, 859 i 1089.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2782F"/>
    <w:multiLevelType w:val="hybridMultilevel"/>
    <w:tmpl w:val="C5B8BB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8F0D6A"/>
    <w:multiLevelType w:val="hybridMultilevel"/>
    <w:tmpl w:val="97CE30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63125"/>
    <w:multiLevelType w:val="hybridMultilevel"/>
    <w:tmpl w:val="681C7F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A4D"/>
    <w:rsid w:val="000A3D11"/>
    <w:rsid w:val="001E0416"/>
    <w:rsid w:val="00275DD2"/>
    <w:rsid w:val="00376FC6"/>
    <w:rsid w:val="0063732F"/>
    <w:rsid w:val="00767814"/>
    <w:rsid w:val="00820A4D"/>
    <w:rsid w:val="008C2A05"/>
    <w:rsid w:val="009C5194"/>
    <w:rsid w:val="00B23479"/>
    <w:rsid w:val="00CA1ED5"/>
    <w:rsid w:val="00E9165D"/>
    <w:rsid w:val="00EA222C"/>
    <w:rsid w:val="00F17CCA"/>
    <w:rsid w:val="00F4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1ED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5D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5DD2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5194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519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519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1ED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5D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5DD2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5194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519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51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A. Genert</dc:creator>
  <cp:lastModifiedBy>Ewa A. Genert</cp:lastModifiedBy>
  <cp:revision>2</cp:revision>
  <cp:lastPrinted>2017-08-04T08:12:00Z</cp:lastPrinted>
  <dcterms:created xsi:type="dcterms:W3CDTF">2017-09-04T12:07:00Z</dcterms:created>
  <dcterms:modified xsi:type="dcterms:W3CDTF">2017-09-04T12:07:00Z</dcterms:modified>
</cp:coreProperties>
</file>