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3A3" w:rsidRPr="00AF23A3" w:rsidRDefault="00AF23A3" w:rsidP="00AF23A3">
      <w:pPr>
        <w:pStyle w:val="OZNPROJEKTUwskazaniedatylubwersjiprojektu"/>
        <w:rPr>
          <w:rFonts w:ascii="Tahoma" w:eastAsia="Calibri" w:hAnsi="Tahoma" w:cs="Tahoma"/>
          <w:lang w:val="pl-PL"/>
        </w:rPr>
      </w:pPr>
      <w:bookmarkStart w:id="0" w:name="_GoBack"/>
      <w:bookmarkEnd w:id="0"/>
      <w:r w:rsidRPr="00AF23A3">
        <w:rPr>
          <w:rFonts w:ascii="Tahoma" w:eastAsia="Calibri" w:hAnsi="Tahoma" w:cs="Tahoma"/>
          <w:lang w:val="pl-PL"/>
        </w:rPr>
        <w:t xml:space="preserve">Projekt </w:t>
      </w:r>
    </w:p>
    <w:p w:rsidR="00AF23A3" w:rsidRPr="00AF23A3" w:rsidRDefault="00AF23A3" w:rsidP="00AF23A3">
      <w:pPr>
        <w:pStyle w:val="DATAAKTUdatauchwalenialubwydaniaaktu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USTAWA</w:t>
      </w:r>
      <w:r w:rsidRPr="00AF23A3">
        <w:rPr>
          <w:rFonts w:ascii="Tahoma" w:eastAsia="Calibri" w:hAnsi="Tahoma" w:cs="Tahoma"/>
          <w:lang w:val="pl-PL"/>
        </w:rPr>
        <w:br/>
        <w:t>z dnia</w:t>
      </w:r>
      <w:r w:rsidRPr="00AF23A3">
        <w:rPr>
          <w:rFonts w:ascii="Tahoma" w:eastAsia="Calibri" w:hAnsi="Tahoma" w:cs="Tahoma"/>
          <w:lang w:val="pl-PL"/>
        </w:rPr>
        <w:tab/>
        <w:t xml:space="preserve">          2017 r.</w:t>
      </w:r>
    </w:p>
    <w:p w:rsidR="00AF23A3" w:rsidRPr="00AF23A3" w:rsidRDefault="00AF23A3" w:rsidP="00AF23A3">
      <w:pPr>
        <w:pStyle w:val="TYTUAKTUprzedmiotregulacjiustawylubrozporzdzenia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o zmianie ustawy o swobodzie działalności gospodarczej</w:t>
      </w:r>
    </w:p>
    <w:p w:rsidR="00AF23A3" w:rsidRPr="00AF23A3" w:rsidRDefault="00AF23A3" w:rsidP="00AF23A3">
      <w:pPr>
        <w:rPr>
          <w:rFonts w:ascii="Tahoma" w:eastAsia="Calibri" w:hAnsi="Tahoma" w:cs="Tahoma"/>
          <w:lang w:val="pl-PL"/>
        </w:rPr>
      </w:pPr>
    </w:p>
    <w:p w:rsidR="00AF23A3" w:rsidRPr="00AF23A3" w:rsidRDefault="00AF23A3" w:rsidP="00032BCE">
      <w:pPr>
        <w:pStyle w:val="ARTartustawynprozporzdzenia"/>
        <w:spacing w:after="120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b/>
          <w:lang w:val="pl-PL"/>
        </w:rPr>
        <w:t>Art. 1.</w:t>
      </w:r>
      <w:r w:rsidRPr="00AF23A3">
        <w:rPr>
          <w:rFonts w:ascii="Tahoma" w:eastAsia="Calibri" w:hAnsi="Tahoma" w:cs="Tahoma"/>
          <w:lang w:val="pl-PL"/>
        </w:rPr>
        <w:t xml:space="preserve"> W ustawie z dnia 2 lipca 2004 r. o swobodzie działalności gospodarczej  (Dz. U. 2016 r. poz. 1829, z </w:t>
      </w:r>
      <w:proofErr w:type="spellStart"/>
      <w:r w:rsidRPr="00AF23A3">
        <w:rPr>
          <w:rFonts w:ascii="Tahoma" w:eastAsia="Calibri" w:hAnsi="Tahoma" w:cs="Tahoma"/>
          <w:lang w:val="pl-PL"/>
        </w:rPr>
        <w:t>późn</w:t>
      </w:r>
      <w:proofErr w:type="spellEnd"/>
      <w:r w:rsidRPr="00AF23A3">
        <w:rPr>
          <w:rFonts w:ascii="Tahoma" w:eastAsia="Calibri" w:hAnsi="Tahoma" w:cs="Tahoma"/>
          <w:lang w:val="pl-PL"/>
        </w:rPr>
        <w:t>. zm.</w:t>
      </w:r>
      <w:r w:rsidRPr="00AF23A3">
        <w:rPr>
          <w:rStyle w:val="Odwoanieprzypisudolnego"/>
          <w:rFonts w:ascii="Tahoma" w:eastAsia="Calibri" w:hAnsi="Tahoma" w:cs="Tahoma"/>
          <w:lang w:val="pl-PL"/>
        </w:rPr>
        <w:footnoteReference w:id="1"/>
      </w:r>
      <w:r w:rsidRPr="00AF23A3">
        <w:rPr>
          <w:rFonts w:ascii="Tahoma" w:eastAsia="Calibri" w:hAnsi="Tahoma" w:cs="Tahoma"/>
          <w:lang w:val="pl-PL"/>
        </w:rPr>
        <w:t xml:space="preserve">) </w:t>
      </w:r>
      <w:r>
        <w:rPr>
          <w:rFonts w:ascii="Tahoma" w:eastAsia="Calibri" w:hAnsi="Tahoma" w:cs="Tahoma"/>
          <w:lang w:val="pl-PL"/>
        </w:rPr>
        <w:t>wprowadza się na stepujące zmiany</w:t>
      </w:r>
      <w:r w:rsidRPr="00AF23A3">
        <w:rPr>
          <w:rFonts w:ascii="Tahoma" w:eastAsia="Calibri" w:hAnsi="Tahoma" w:cs="Tahoma"/>
          <w:lang w:val="pl-PL"/>
        </w:rPr>
        <w:t>:</w:t>
      </w:r>
    </w:p>
    <w:p w:rsidR="00AF23A3" w:rsidRPr="00AF23A3" w:rsidRDefault="00AF23A3" w:rsidP="00032BCE">
      <w:pPr>
        <w:pStyle w:val="PKTpunkt"/>
        <w:spacing w:after="120"/>
        <w:ind w:left="851" w:hanging="709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1)</w:t>
      </w:r>
      <w:r w:rsidRPr="00AF23A3">
        <w:rPr>
          <w:rFonts w:ascii="Tahoma" w:eastAsia="Calibri" w:hAnsi="Tahoma" w:cs="Tahoma"/>
          <w:lang w:val="pl-PL"/>
        </w:rPr>
        <w:tab/>
        <w:t>uchyla się art. 103 pkt 1a;</w:t>
      </w:r>
    </w:p>
    <w:p w:rsidR="00AF23A3" w:rsidRPr="00AF23A3" w:rsidRDefault="00AF23A3" w:rsidP="00032BCE">
      <w:pPr>
        <w:pStyle w:val="PKTpunkt"/>
        <w:keepNext/>
        <w:spacing w:after="120"/>
        <w:ind w:left="851" w:hanging="709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2)</w:t>
      </w:r>
      <w:r w:rsidRPr="00AF23A3">
        <w:rPr>
          <w:rFonts w:ascii="Tahoma" w:eastAsia="Calibri" w:hAnsi="Tahoma" w:cs="Tahoma"/>
          <w:lang w:val="pl-PL"/>
        </w:rPr>
        <w:tab/>
        <w:t xml:space="preserve">po rozdziale 7 dodaje się rozdział 7a w brzmieniu: </w:t>
      </w:r>
    </w:p>
    <w:p w:rsidR="00AF23A3" w:rsidRPr="00AF23A3" w:rsidRDefault="00AF23A3" w:rsidP="00AF23A3">
      <w:pPr>
        <w:pStyle w:val="ZROZDZODDZOZNzmoznrozdzoddzartykuempunktem"/>
        <w:spacing w:after="120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„Rozdział 7a</w:t>
      </w:r>
    </w:p>
    <w:p w:rsidR="00AF23A3" w:rsidRPr="00AF23A3" w:rsidRDefault="00AF23A3" w:rsidP="00032BCE">
      <w:pPr>
        <w:pStyle w:val="ZROZDZODDZPRZEDMzmprzedmrozdzoddzartykuempunktem"/>
        <w:rPr>
          <w:rFonts w:ascii="Tahoma" w:eastAsia="Calibri" w:hAnsi="Tahoma" w:cs="Tahoma"/>
          <w:b/>
          <w:bCs/>
          <w:lang w:val="pl-PL"/>
        </w:rPr>
      </w:pPr>
      <w:r w:rsidRPr="00AF23A3">
        <w:rPr>
          <w:rFonts w:ascii="Tahoma" w:eastAsia="Calibri" w:hAnsi="Tahoma" w:cs="Tahoma"/>
          <w:b/>
          <w:bCs/>
          <w:lang w:val="pl-PL"/>
        </w:rPr>
        <w:t>Ocena wpływu i konsultacje publiczne projektów ustaw i rozporządzeń dotyczących przedsiębiorców</w:t>
      </w:r>
    </w:p>
    <w:p w:rsidR="00AF23A3" w:rsidRPr="00AF23A3" w:rsidRDefault="00AF23A3" w:rsidP="00032BCE">
      <w:pPr>
        <w:pStyle w:val="ZARTzmartartykuempunktem"/>
        <w:keepNext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Art. 110a. 1. Organ administracji rządowej, który opracował  projekt ustawy albo rozporządzenia:</w:t>
      </w:r>
    </w:p>
    <w:p w:rsidR="00AF23A3" w:rsidRPr="00AF23A3" w:rsidRDefault="00AF23A3" w:rsidP="00032BCE">
      <w:pPr>
        <w:pStyle w:val="ZARTzmartartykuempunktem"/>
        <w:keepNext/>
        <w:tabs>
          <w:tab w:val="left" w:pos="1134"/>
        </w:tabs>
        <w:ind w:firstLine="57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1)</w:t>
      </w:r>
      <w:r w:rsidRPr="00AF23A3">
        <w:rPr>
          <w:rFonts w:ascii="Tahoma" w:eastAsia="Calibri" w:hAnsi="Tahoma" w:cs="Tahoma"/>
          <w:lang w:val="pl-PL"/>
        </w:rPr>
        <w:tab/>
        <w:t>dotyczący praw majątkowych przedsiębiorców lub,</w:t>
      </w:r>
    </w:p>
    <w:p w:rsidR="00AF23A3" w:rsidRPr="00AF23A3" w:rsidRDefault="00AF23A3" w:rsidP="00032BCE">
      <w:pPr>
        <w:pStyle w:val="ZARTzmartartykuempunktem"/>
        <w:keepNext/>
        <w:tabs>
          <w:tab w:val="left" w:pos="1134"/>
        </w:tabs>
        <w:ind w:firstLine="57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2)</w:t>
      </w:r>
      <w:r w:rsidRPr="00AF23A3">
        <w:rPr>
          <w:rFonts w:ascii="Tahoma" w:eastAsia="Calibri" w:hAnsi="Tahoma" w:cs="Tahoma"/>
          <w:lang w:val="pl-PL"/>
        </w:rPr>
        <w:tab/>
        <w:t>dotyczący uprawnień przedsiębiorców lub,</w:t>
      </w:r>
    </w:p>
    <w:p w:rsidR="00AF23A3" w:rsidRPr="00AF23A3" w:rsidRDefault="00AF23A3" w:rsidP="00032BCE">
      <w:pPr>
        <w:pStyle w:val="ZARTzmartartykuempunktem"/>
        <w:keepNext/>
        <w:tabs>
          <w:tab w:val="left" w:pos="1134"/>
        </w:tabs>
        <w:ind w:firstLine="57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3)</w:t>
      </w:r>
      <w:r w:rsidRPr="00AF23A3">
        <w:rPr>
          <w:rFonts w:ascii="Tahoma" w:eastAsia="Calibri" w:hAnsi="Tahoma" w:cs="Tahoma"/>
          <w:lang w:val="pl-PL"/>
        </w:rPr>
        <w:tab/>
        <w:t xml:space="preserve">dotyczący obowiązków publicznoprawnych przedsiębiorców lub, </w:t>
      </w:r>
    </w:p>
    <w:p w:rsidR="00AF23A3" w:rsidRPr="00AF23A3" w:rsidRDefault="00AF23A3" w:rsidP="00032BCE">
      <w:pPr>
        <w:pStyle w:val="ZARTzmartartykuempunktem"/>
        <w:keepNext/>
        <w:tabs>
          <w:tab w:val="left" w:pos="1134"/>
        </w:tabs>
        <w:ind w:firstLine="57"/>
        <w:rPr>
          <w:rFonts w:ascii="Tahoma" w:eastAsia="Calibri" w:hAnsi="Tahoma" w:cs="Tahoma"/>
          <w:color w:val="auto"/>
          <w:lang w:val="pl-PL"/>
        </w:rPr>
      </w:pPr>
      <w:r w:rsidRPr="00AF23A3">
        <w:rPr>
          <w:rFonts w:ascii="Tahoma" w:eastAsia="Calibri" w:hAnsi="Tahoma" w:cs="Tahoma"/>
          <w:lang w:val="pl-PL"/>
        </w:rPr>
        <w:t>4)</w:t>
      </w:r>
      <w:r w:rsidRPr="00AF23A3">
        <w:rPr>
          <w:rFonts w:ascii="Tahoma" w:eastAsia="Calibri" w:hAnsi="Tahoma" w:cs="Tahoma"/>
          <w:lang w:val="pl-PL"/>
        </w:rPr>
        <w:tab/>
      </w:r>
      <w:r w:rsidRPr="00AF23A3">
        <w:rPr>
          <w:rFonts w:ascii="Tahoma" w:eastAsia="Calibri" w:hAnsi="Tahoma" w:cs="Tahoma"/>
          <w:color w:val="auto"/>
          <w:lang w:val="pl-PL"/>
        </w:rPr>
        <w:t xml:space="preserve">mający </w:t>
      </w:r>
      <w:r w:rsidRPr="00AF23A3">
        <w:rPr>
          <w:rFonts w:ascii="Tahoma" w:hAnsi="Tahoma" w:cs="Tahoma"/>
          <w:color w:val="auto"/>
          <w:lang w:val="pl-PL"/>
        </w:rPr>
        <w:t xml:space="preserve">wpływ na </w:t>
      </w:r>
      <w:r>
        <w:rPr>
          <w:rFonts w:ascii="Tahoma" w:hAnsi="Tahoma" w:cs="Tahoma"/>
          <w:color w:val="auto"/>
          <w:lang w:val="pl-PL"/>
        </w:rPr>
        <w:t xml:space="preserve">koszty prowadzenia </w:t>
      </w:r>
      <w:r w:rsidRPr="00AF23A3">
        <w:rPr>
          <w:rFonts w:ascii="Tahoma" w:hAnsi="Tahoma" w:cs="Tahoma"/>
          <w:color w:val="auto"/>
          <w:lang w:val="pl-PL"/>
        </w:rPr>
        <w:t>działalność przez przedsiębiorców</w:t>
      </w:r>
      <w:r w:rsidRPr="00AF23A3">
        <w:rPr>
          <w:rFonts w:ascii="Tahoma" w:eastAsia="Calibri" w:hAnsi="Tahoma" w:cs="Tahoma"/>
          <w:color w:val="auto"/>
          <w:lang w:val="pl-PL"/>
        </w:rPr>
        <w:t>,</w:t>
      </w:r>
    </w:p>
    <w:p w:rsidR="00AF23A3" w:rsidRPr="00AF23A3" w:rsidRDefault="00AF23A3" w:rsidP="00032BCE">
      <w:pPr>
        <w:pStyle w:val="ZARTzmartartykuempunktem"/>
        <w:keepNext/>
        <w:ind w:left="709" w:hanging="142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-</w:t>
      </w:r>
      <w:r>
        <w:rPr>
          <w:rFonts w:ascii="Tahoma" w:eastAsia="Calibri" w:hAnsi="Tahoma" w:cs="Tahoma"/>
          <w:lang w:val="pl-PL"/>
        </w:rPr>
        <w:tab/>
      </w:r>
      <w:r w:rsidRPr="00AF23A3">
        <w:rPr>
          <w:rFonts w:ascii="Tahoma" w:eastAsia="Calibri" w:hAnsi="Tahoma" w:cs="Tahoma"/>
          <w:lang w:val="pl-PL"/>
        </w:rPr>
        <w:t>zwany dalej „projektem rządowym", obowiązany jest dokonać oceny przewidywanego wpływu projektowanej ustawy albo rozporządzenia na przedsiębiorców, zwaną dalej „oceną wpływu".</w:t>
      </w:r>
    </w:p>
    <w:p w:rsidR="00AF23A3" w:rsidRPr="00AF23A3" w:rsidRDefault="00AF23A3" w:rsidP="00032BCE">
      <w:pPr>
        <w:pStyle w:val="ZARTzmartartykuempunktem"/>
        <w:keepNext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 xml:space="preserve">2. Ocena wpływu stanowi odrębną część uzasadnienia projektu rządowego </w:t>
      </w:r>
      <w:r>
        <w:rPr>
          <w:rFonts w:ascii="Tahoma" w:eastAsia="Calibri" w:hAnsi="Tahoma" w:cs="Tahoma"/>
          <w:lang w:val="pl-PL"/>
        </w:rPr>
        <w:br/>
      </w:r>
      <w:r w:rsidRPr="00AF23A3">
        <w:rPr>
          <w:rFonts w:ascii="Tahoma" w:eastAsia="Calibri" w:hAnsi="Tahoma" w:cs="Tahoma"/>
          <w:lang w:val="pl-PL"/>
        </w:rPr>
        <w:t>i zawiera w szczególności:</w:t>
      </w:r>
    </w:p>
    <w:p w:rsidR="00AF23A3" w:rsidRPr="00AF23A3" w:rsidRDefault="00AF23A3" w:rsidP="00032BCE">
      <w:pPr>
        <w:pStyle w:val="ZPKTzmpktartykuempunktem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1)</w:t>
      </w:r>
      <w:r w:rsidRPr="00AF23A3">
        <w:rPr>
          <w:rFonts w:ascii="Tahoma" w:eastAsia="Calibri" w:hAnsi="Tahoma" w:cs="Tahoma"/>
          <w:lang w:val="pl-PL"/>
        </w:rPr>
        <w:tab/>
        <w:t>analizę innych możliwych rozwiązań, w tym innych niż ustawa albo rozporządzenie, które mogą doprowadzić do osiągnięcia zakładanego celu proj</w:t>
      </w:r>
      <w:r w:rsidR="00032BCE">
        <w:rPr>
          <w:rFonts w:ascii="Tahoma" w:eastAsia="Calibri" w:hAnsi="Tahoma" w:cs="Tahoma"/>
          <w:lang w:val="pl-PL"/>
        </w:rPr>
        <w:t>ektu ustawy albo rozporządzenia;</w:t>
      </w:r>
    </w:p>
    <w:p w:rsidR="00AF23A3" w:rsidRPr="00AF23A3" w:rsidRDefault="00AF23A3" w:rsidP="00AF23A3">
      <w:pPr>
        <w:pStyle w:val="ZPKTzmpktartykuempunktem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2)</w:t>
      </w:r>
      <w:r w:rsidRPr="00AF23A3">
        <w:rPr>
          <w:rFonts w:ascii="Tahoma" w:eastAsia="Calibri" w:hAnsi="Tahoma" w:cs="Tahoma"/>
          <w:lang w:val="pl-PL"/>
        </w:rPr>
        <w:tab/>
        <w:t xml:space="preserve">prognozę skutków społecznych, gospodarczych i finansowych rozwiązań </w:t>
      </w:r>
      <w:r w:rsidRPr="00AF23A3">
        <w:rPr>
          <w:rFonts w:ascii="Tahoma" w:eastAsia="Calibri" w:hAnsi="Tahoma" w:cs="Tahoma"/>
          <w:lang w:val="pl-PL"/>
        </w:rPr>
        <w:lastRenderedPageBreak/>
        <w:t xml:space="preserve">przewidzianych w projekcie ustawy albo rozporządzenia, w tym wpływ na koszty dopełnienia czynności administracyjnych i zmian organizacyjnych przedsiębiorstwa, które w razie wejścia w życie ustawy albo rozporządzenia poniosą poszczególne grupy przedsiębiorców, w szczególności </w:t>
      </w:r>
      <w:proofErr w:type="spellStart"/>
      <w:r w:rsidRPr="00AF23A3">
        <w:rPr>
          <w:rFonts w:ascii="Tahoma" w:eastAsia="Calibri" w:hAnsi="Tahoma" w:cs="Tahoma"/>
          <w:lang w:val="pl-PL"/>
        </w:rPr>
        <w:t>mikroprzedsiębiorcy</w:t>
      </w:r>
      <w:proofErr w:type="spellEnd"/>
      <w:r w:rsidRPr="00AF23A3">
        <w:rPr>
          <w:rFonts w:ascii="Tahoma" w:eastAsia="Calibri" w:hAnsi="Tahoma" w:cs="Tahoma"/>
          <w:lang w:val="pl-PL"/>
        </w:rPr>
        <w:t>, mali i średni przedsiębiorcy;</w:t>
      </w:r>
    </w:p>
    <w:p w:rsidR="00AF23A3" w:rsidRPr="00AF23A3" w:rsidRDefault="00AF23A3" w:rsidP="00AF23A3">
      <w:pPr>
        <w:pStyle w:val="ZPKTzmpktartykuempunktem"/>
        <w:rPr>
          <w:rFonts w:ascii="Tahoma" w:eastAsia="Calibri" w:hAnsi="Tahoma" w:cs="Tahoma"/>
          <w:lang w:val="pl-PL"/>
        </w:rPr>
      </w:pPr>
      <w:r>
        <w:rPr>
          <w:rFonts w:ascii="Tahoma" w:eastAsia="Calibri" w:hAnsi="Tahoma" w:cs="Tahoma"/>
          <w:lang w:val="pl-PL"/>
        </w:rPr>
        <w:t>3)</w:t>
      </w:r>
      <w:r w:rsidRPr="00AF23A3">
        <w:rPr>
          <w:rFonts w:ascii="Tahoma" w:eastAsia="Calibri" w:hAnsi="Tahoma" w:cs="Tahoma"/>
          <w:lang w:val="pl-PL"/>
        </w:rPr>
        <w:tab/>
        <w:t xml:space="preserve">wskazanie, w jakim zakresie ograniczono lub wyłączono w projekcie ustawy lub rozporządzenia, w stosunku do </w:t>
      </w:r>
      <w:proofErr w:type="spellStart"/>
      <w:r w:rsidRPr="00AF23A3">
        <w:rPr>
          <w:rFonts w:ascii="Tahoma" w:eastAsia="Calibri" w:hAnsi="Tahoma" w:cs="Tahoma"/>
          <w:lang w:val="pl-PL"/>
        </w:rPr>
        <w:t>mikroprzedsiębiorców</w:t>
      </w:r>
      <w:proofErr w:type="spellEnd"/>
      <w:r w:rsidRPr="00AF23A3">
        <w:rPr>
          <w:rFonts w:ascii="Tahoma" w:eastAsia="Calibri" w:hAnsi="Tahoma" w:cs="Tahoma"/>
          <w:lang w:val="pl-PL"/>
        </w:rPr>
        <w:t xml:space="preserve">, małych i średnich przedsiębiorców, rozwiązania wprowadzające albo zwiększające obowiązki tej grupy przedsiębiorców albo uzasadnienie braku takich ograniczeń lub </w:t>
      </w:r>
      <w:proofErr w:type="spellStart"/>
      <w:r w:rsidRPr="00AF23A3">
        <w:rPr>
          <w:rFonts w:ascii="Tahoma" w:eastAsia="Calibri" w:hAnsi="Tahoma" w:cs="Tahoma"/>
          <w:lang w:val="pl-PL"/>
        </w:rPr>
        <w:t>wyłączeń</w:t>
      </w:r>
      <w:proofErr w:type="spellEnd"/>
      <w:r w:rsidRPr="00AF23A3">
        <w:rPr>
          <w:rFonts w:ascii="Tahoma" w:eastAsia="Calibri" w:hAnsi="Tahoma" w:cs="Tahoma"/>
          <w:lang w:val="pl-PL"/>
        </w:rPr>
        <w:t xml:space="preserve">. </w:t>
      </w:r>
    </w:p>
    <w:p w:rsidR="00AF23A3" w:rsidRPr="00AF23A3" w:rsidRDefault="00AF23A3" w:rsidP="00AF23A3">
      <w:pPr>
        <w:pStyle w:val="ZUSTzmustartykuempunktem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3.</w:t>
      </w:r>
      <w:r w:rsidRPr="00AF23A3">
        <w:rPr>
          <w:rFonts w:ascii="Tahoma" w:eastAsia="Calibri" w:hAnsi="Tahoma" w:cs="Tahoma"/>
          <w:lang w:val="pl-PL"/>
        </w:rPr>
        <w:tab/>
        <w:t xml:space="preserve">Rada Ministrów określi, w drodze rozporządzenia, metodologię sporządzania oceny wpływu, w tym wpływu na przedsiębiorców, kierując się potrzebą zapewnienia wiarygodności i porównywalności ocen. </w:t>
      </w:r>
    </w:p>
    <w:p w:rsidR="00AF23A3" w:rsidRPr="00AF23A3" w:rsidRDefault="00AF23A3" w:rsidP="00AF23A3">
      <w:pPr>
        <w:pStyle w:val="ZARTzmartartykuempunktem"/>
        <w:rPr>
          <w:rFonts w:ascii="Tahoma" w:eastAsia="Calibri" w:hAnsi="Tahoma" w:cs="Tahoma"/>
          <w:lang w:val="pl-PL"/>
        </w:rPr>
      </w:pPr>
    </w:p>
    <w:p w:rsidR="00AF23A3" w:rsidRPr="00AF23A3" w:rsidRDefault="00AF23A3" w:rsidP="00AF23A3">
      <w:pPr>
        <w:pStyle w:val="ZARTzmartartykuempunktem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 xml:space="preserve">Art. 110b. 1. Organ, o którym mowa w art. 110a ust. 1, jest obowiązany, </w:t>
      </w:r>
      <w:r>
        <w:rPr>
          <w:rFonts w:ascii="Tahoma" w:eastAsia="Calibri" w:hAnsi="Tahoma" w:cs="Tahoma"/>
          <w:lang w:val="pl-PL"/>
        </w:rPr>
        <w:br/>
      </w:r>
      <w:r w:rsidRPr="00AF23A3">
        <w:rPr>
          <w:rFonts w:ascii="Tahoma" w:eastAsia="Calibri" w:hAnsi="Tahoma" w:cs="Tahoma"/>
          <w:lang w:val="pl-PL"/>
        </w:rPr>
        <w:t>w celu przeprowadzenia konsultacji publicznych, skierować projekt rządowy do:</w:t>
      </w:r>
    </w:p>
    <w:p w:rsidR="00AF23A3" w:rsidRPr="00AF23A3" w:rsidRDefault="00AF23A3" w:rsidP="00AF23A3">
      <w:pPr>
        <w:pStyle w:val="ZPKTzmpktartykuempunktem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1)</w:t>
      </w:r>
      <w:r w:rsidRPr="00AF23A3">
        <w:rPr>
          <w:rFonts w:ascii="Tahoma" w:eastAsia="Calibri" w:hAnsi="Tahoma" w:cs="Tahoma"/>
          <w:lang w:val="pl-PL"/>
        </w:rPr>
        <w:tab/>
        <w:t>reprezentatywnych organizacji związkowych oraz reprezentatywnych organizacji związkowych w rozumieniu przepisów ustawy z dnia 24 lipca 2015 r. o Radzie Dialogu Społecznego i innych instytucjach dialogu społecznego (</w:t>
      </w:r>
      <w:r w:rsidRPr="00AF23A3">
        <w:rPr>
          <w:rFonts w:ascii="Tahoma" w:hAnsi="Tahoma" w:cs="Tahoma"/>
        </w:rPr>
        <w:t xml:space="preserve">Dz. U. z 2015 r. </w:t>
      </w:r>
      <w:proofErr w:type="spellStart"/>
      <w:r w:rsidRPr="00AF23A3">
        <w:rPr>
          <w:rFonts w:ascii="Tahoma" w:hAnsi="Tahoma" w:cs="Tahoma"/>
        </w:rPr>
        <w:t>poz</w:t>
      </w:r>
      <w:proofErr w:type="spellEnd"/>
      <w:r w:rsidRPr="00AF23A3">
        <w:rPr>
          <w:rFonts w:ascii="Tahoma" w:hAnsi="Tahoma" w:cs="Tahoma"/>
        </w:rPr>
        <w:t>. 1240</w:t>
      </w:r>
      <w:r w:rsidRPr="00AF23A3">
        <w:rPr>
          <w:rFonts w:ascii="Tahoma" w:eastAsia="Calibri" w:hAnsi="Tahoma" w:cs="Tahoma"/>
          <w:lang w:val="pl-PL"/>
        </w:rPr>
        <w:t>);</w:t>
      </w:r>
    </w:p>
    <w:p w:rsidR="00AF23A3" w:rsidRPr="00AF23A3" w:rsidRDefault="00AF23A3" w:rsidP="00AF23A3">
      <w:pPr>
        <w:pStyle w:val="ZPKTzmpktartykuempunktem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2)</w:t>
      </w:r>
      <w:r w:rsidRPr="00AF23A3">
        <w:rPr>
          <w:rFonts w:ascii="Tahoma" w:eastAsia="Calibri" w:hAnsi="Tahoma" w:cs="Tahoma"/>
          <w:lang w:val="pl-PL"/>
        </w:rPr>
        <w:tab/>
        <w:t>ogólnokrajowych reprezentacji  w rozumieniu przepisów ustawy z dnia</w:t>
      </w:r>
      <w:r>
        <w:rPr>
          <w:rFonts w:ascii="Tahoma" w:eastAsia="Calibri" w:hAnsi="Tahoma" w:cs="Tahoma"/>
          <w:lang w:val="pl-PL"/>
        </w:rPr>
        <w:br/>
      </w:r>
      <w:r w:rsidRPr="00AF23A3">
        <w:rPr>
          <w:rFonts w:ascii="Tahoma" w:eastAsia="Calibri" w:hAnsi="Tahoma" w:cs="Tahoma"/>
          <w:lang w:val="pl-PL"/>
        </w:rPr>
        <w:t xml:space="preserve"> 30 maja 1989 r. o samorządzie zawodowym niektórych przedsiębiorców </w:t>
      </w:r>
      <w:r>
        <w:rPr>
          <w:rFonts w:ascii="Tahoma" w:eastAsia="Calibri" w:hAnsi="Tahoma" w:cs="Tahoma"/>
          <w:lang w:val="pl-PL"/>
        </w:rPr>
        <w:br/>
      </w:r>
      <w:r w:rsidRPr="00AF23A3">
        <w:rPr>
          <w:rFonts w:ascii="Tahoma" w:eastAsia="Calibri" w:hAnsi="Tahoma" w:cs="Tahoma"/>
          <w:lang w:val="pl-PL"/>
        </w:rPr>
        <w:t>(</w:t>
      </w:r>
      <w:r w:rsidR="00032BCE">
        <w:rPr>
          <w:rFonts w:ascii="Tahoma" w:hAnsi="Tahoma" w:cs="Tahoma"/>
        </w:rPr>
        <w:t>Dz. U. z 1989 r.</w:t>
      </w:r>
      <w:r w:rsidRPr="00AF23A3">
        <w:rPr>
          <w:rFonts w:ascii="Tahoma" w:hAnsi="Tahoma" w:cs="Tahoma"/>
        </w:rPr>
        <w:t xml:space="preserve"> </w:t>
      </w:r>
      <w:proofErr w:type="spellStart"/>
      <w:r w:rsidRPr="00AF23A3">
        <w:rPr>
          <w:rFonts w:ascii="Tahoma" w:hAnsi="Tahoma" w:cs="Tahoma"/>
        </w:rPr>
        <w:t>poz</w:t>
      </w:r>
      <w:proofErr w:type="spellEnd"/>
      <w:r w:rsidRPr="00AF23A3">
        <w:rPr>
          <w:rFonts w:ascii="Tahoma" w:hAnsi="Tahoma" w:cs="Tahoma"/>
        </w:rPr>
        <w:t xml:space="preserve">. 194, z 1997 r. </w:t>
      </w:r>
      <w:proofErr w:type="spellStart"/>
      <w:r w:rsidRPr="00AF23A3">
        <w:rPr>
          <w:rFonts w:ascii="Tahoma" w:hAnsi="Tahoma" w:cs="Tahoma"/>
        </w:rPr>
        <w:t>poz</w:t>
      </w:r>
      <w:proofErr w:type="spellEnd"/>
      <w:r w:rsidRPr="00AF23A3">
        <w:rPr>
          <w:rFonts w:ascii="Tahoma" w:hAnsi="Tahoma" w:cs="Tahoma"/>
        </w:rPr>
        <w:t>. 769 i 770);</w:t>
      </w:r>
    </w:p>
    <w:p w:rsidR="00AF23A3" w:rsidRPr="00AF23A3" w:rsidRDefault="00AF23A3" w:rsidP="00AF23A3">
      <w:pPr>
        <w:pStyle w:val="ZPKTzmpktartykuempunktem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3)</w:t>
      </w:r>
      <w:r w:rsidRPr="00AF23A3">
        <w:rPr>
          <w:rFonts w:ascii="Tahoma" w:eastAsia="Calibri" w:hAnsi="Tahoma" w:cs="Tahoma"/>
          <w:lang w:val="pl-PL"/>
        </w:rPr>
        <w:tab/>
        <w:t>innych podmiotów, które z uwagi na przedmiot swojej działalności mogą być zainteresowane projektem ustawy albo rozporządzenia .</w:t>
      </w:r>
    </w:p>
    <w:p w:rsidR="00AF23A3" w:rsidRPr="00AF23A3" w:rsidRDefault="00AF23A3" w:rsidP="00AF23A3">
      <w:pPr>
        <w:pStyle w:val="ZUSTzmustartykuempunktem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 xml:space="preserve">2. </w:t>
      </w:r>
      <w:r w:rsidRPr="00AF23A3">
        <w:rPr>
          <w:rFonts w:ascii="Tahoma" w:eastAsia="Calibri" w:hAnsi="Tahoma" w:cs="Tahoma"/>
          <w:lang w:val="pl-PL"/>
        </w:rPr>
        <w:tab/>
        <w:t>Organ określa czas trwania konsultacji publicznych, nie krótszy niż 14 dni w przypadku projektu rozporządzenia i 21 dni w przypadku projektu ustawy, od dnia udostępnienia projektu rządowego w Biuletynie Informacji Publicznej na stronie podmiotowej Rządowego Centrum Legislacji, w serwisie Rządowy Proces Legislacyjny, uwzględniając doniosłość, zakres i stopień złożoności projektu, chyba ze dłuższy termin wynika z przepisów odrębnych.</w:t>
      </w:r>
    </w:p>
    <w:p w:rsidR="00AF23A3" w:rsidRPr="00AF23A3" w:rsidRDefault="00AF23A3" w:rsidP="00AF23A3">
      <w:pPr>
        <w:pStyle w:val="ZUSTzmustartykuempunktem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lastRenderedPageBreak/>
        <w:t>3.</w:t>
      </w:r>
      <w:r w:rsidRPr="00AF23A3">
        <w:rPr>
          <w:rFonts w:ascii="Tahoma" w:eastAsia="Calibri" w:hAnsi="Tahoma" w:cs="Tahoma"/>
          <w:lang w:val="pl-PL"/>
        </w:rPr>
        <w:tab/>
        <w:t>Wynik konsultacji społecznych wraz ze swoim</w:t>
      </w:r>
      <w:r>
        <w:rPr>
          <w:rFonts w:ascii="Tahoma" w:eastAsia="Calibri" w:hAnsi="Tahoma" w:cs="Tahoma"/>
          <w:lang w:val="pl-PL"/>
        </w:rPr>
        <w:t xml:space="preserve"> stanowiskiem, organ udostępnia</w:t>
      </w:r>
      <w:r w:rsidRPr="00AF23A3">
        <w:rPr>
          <w:rFonts w:ascii="Tahoma" w:eastAsia="Calibri" w:hAnsi="Tahoma" w:cs="Tahoma"/>
          <w:lang w:val="pl-PL"/>
        </w:rPr>
        <w:t xml:space="preserve"> niezwłocznie w Biuletynie Informacji Publicznej na stronie podmiotowej Rządowego Centrum Legislacji, w serwisie Rządowy Proces Legislacyjny.</w:t>
      </w:r>
    </w:p>
    <w:p w:rsidR="00AF23A3" w:rsidRPr="00AF23A3" w:rsidRDefault="00AF23A3" w:rsidP="00AF23A3">
      <w:pPr>
        <w:pStyle w:val="ZUSTzmustartykuempunktem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4.</w:t>
      </w:r>
      <w:r w:rsidRPr="00AF23A3">
        <w:rPr>
          <w:rFonts w:ascii="Tahoma" w:eastAsia="Calibri" w:hAnsi="Tahoma" w:cs="Tahoma"/>
          <w:lang w:val="pl-PL"/>
        </w:rPr>
        <w:tab/>
        <w:t xml:space="preserve">Prezes Rady Ministrów może zdecydować o rezygnacji z przeprowadzenia konsultacji publicznych projektu rządowego wyłącznie w przypadku konieczności pilnego uchwalenia ustawy albo wydania rozporządzenia w celu ochrony zdrowia, życia lub porządku publicznego. </w:t>
      </w:r>
    </w:p>
    <w:p w:rsidR="00AF23A3" w:rsidRPr="00AF23A3" w:rsidRDefault="00AF23A3" w:rsidP="00AF23A3">
      <w:pPr>
        <w:pStyle w:val="ZARTzmartartykuempunktem"/>
        <w:rPr>
          <w:rFonts w:ascii="Tahoma" w:eastAsia="Calibri" w:hAnsi="Tahoma" w:cs="Tahoma"/>
          <w:lang w:val="pl-PL"/>
        </w:rPr>
      </w:pPr>
    </w:p>
    <w:p w:rsidR="00AF23A3" w:rsidRPr="00AF23A3" w:rsidRDefault="00AF23A3" w:rsidP="00AF23A3">
      <w:pPr>
        <w:pStyle w:val="ZARTzmartartykuempunktem"/>
        <w:tabs>
          <w:tab w:val="left" w:pos="2410"/>
        </w:tabs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Art. 110c.</w:t>
      </w:r>
      <w:r>
        <w:rPr>
          <w:rFonts w:ascii="Tahoma" w:eastAsia="Calibri" w:hAnsi="Tahoma" w:cs="Tahoma"/>
          <w:lang w:val="pl-PL"/>
        </w:rPr>
        <w:t xml:space="preserve"> 1.</w:t>
      </w:r>
      <w:r>
        <w:rPr>
          <w:rFonts w:ascii="Tahoma" w:eastAsia="Calibri" w:hAnsi="Tahoma" w:cs="Tahoma"/>
          <w:lang w:val="pl-PL"/>
        </w:rPr>
        <w:tab/>
      </w:r>
      <w:r w:rsidRPr="00AF23A3">
        <w:rPr>
          <w:rFonts w:ascii="Tahoma" w:eastAsia="Calibri" w:hAnsi="Tahoma" w:cs="Tahoma"/>
          <w:lang w:val="pl-PL"/>
        </w:rPr>
        <w:t>Do projektu ustawy innego niż projekt rządowy,</w:t>
      </w:r>
      <w:r>
        <w:rPr>
          <w:rFonts w:ascii="Tahoma" w:eastAsia="Calibri" w:hAnsi="Tahoma" w:cs="Tahoma"/>
          <w:lang w:val="pl-PL"/>
        </w:rPr>
        <w:t xml:space="preserve"> </w:t>
      </w:r>
      <w:r w:rsidRPr="00AF23A3">
        <w:rPr>
          <w:rFonts w:ascii="Tahoma" w:eastAsia="Calibri" w:hAnsi="Tahoma" w:cs="Tahoma"/>
          <w:lang w:val="pl-PL"/>
        </w:rPr>
        <w:t>który:</w:t>
      </w:r>
    </w:p>
    <w:p w:rsidR="00AF23A3" w:rsidRPr="00AF23A3" w:rsidRDefault="00AF23A3" w:rsidP="00AF23A3">
      <w:pPr>
        <w:pStyle w:val="ZARTzmartartykuempunktem"/>
        <w:keepNext/>
        <w:tabs>
          <w:tab w:val="left" w:pos="1134"/>
        </w:tabs>
        <w:ind w:firstLine="57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1)</w:t>
      </w:r>
      <w:r w:rsidRPr="00AF23A3">
        <w:rPr>
          <w:rFonts w:ascii="Tahoma" w:eastAsia="Calibri" w:hAnsi="Tahoma" w:cs="Tahoma"/>
          <w:lang w:val="pl-PL"/>
        </w:rPr>
        <w:tab/>
        <w:t>dotyczy praw majątkowych przedsiębiorców lub,</w:t>
      </w:r>
    </w:p>
    <w:p w:rsidR="00AF23A3" w:rsidRPr="00AF23A3" w:rsidRDefault="00AF23A3" w:rsidP="00AF23A3">
      <w:pPr>
        <w:pStyle w:val="ZARTzmartartykuempunktem"/>
        <w:keepNext/>
        <w:tabs>
          <w:tab w:val="left" w:pos="1134"/>
        </w:tabs>
        <w:ind w:firstLine="57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2)</w:t>
      </w:r>
      <w:r w:rsidRPr="00AF23A3">
        <w:rPr>
          <w:rFonts w:ascii="Tahoma" w:eastAsia="Calibri" w:hAnsi="Tahoma" w:cs="Tahoma"/>
          <w:lang w:val="pl-PL"/>
        </w:rPr>
        <w:tab/>
        <w:t>dotyczy uprawnień przedsiębiorców lub,</w:t>
      </w:r>
    </w:p>
    <w:p w:rsidR="00AF23A3" w:rsidRPr="00AF23A3" w:rsidRDefault="00AF23A3" w:rsidP="00AF23A3">
      <w:pPr>
        <w:pStyle w:val="ZARTzmartartykuempunktem"/>
        <w:keepNext/>
        <w:tabs>
          <w:tab w:val="left" w:pos="1134"/>
        </w:tabs>
        <w:ind w:firstLine="57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3)</w:t>
      </w:r>
      <w:r w:rsidRPr="00AF23A3">
        <w:rPr>
          <w:rFonts w:ascii="Tahoma" w:eastAsia="Calibri" w:hAnsi="Tahoma" w:cs="Tahoma"/>
          <w:lang w:val="pl-PL"/>
        </w:rPr>
        <w:tab/>
        <w:t xml:space="preserve">dotyczy obowiązków publicznoprawnych przedsiębiorców lub, </w:t>
      </w:r>
    </w:p>
    <w:p w:rsidR="00AF23A3" w:rsidRPr="00AF23A3" w:rsidRDefault="00AF23A3" w:rsidP="00AF23A3">
      <w:pPr>
        <w:pStyle w:val="ZARTzmartartykuempunktem"/>
        <w:keepNext/>
        <w:tabs>
          <w:tab w:val="left" w:pos="1134"/>
        </w:tabs>
        <w:ind w:firstLine="57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4)</w:t>
      </w:r>
      <w:r w:rsidRPr="00AF23A3">
        <w:rPr>
          <w:rFonts w:ascii="Tahoma" w:eastAsia="Calibri" w:hAnsi="Tahoma" w:cs="Tahoma"/>
          <w:color w:val="auto"/>
          <w:lang w:val="pl-PL"/>
        </w:rPr>
        <w:tab/>
        <w:t xml:space="preserve">ma </w:t>
      </w:r>
      <w:r w:rsidRPr="00AF23A3">
        <w:rPr>
          <w:rFonts w:ascii="Tahoma" w:hAnsi="Tahoma" w:cs="Tahoma"/>
          <w:color w:val="auto"/>
          <w:lang w:val="pl-PL"/>
        </w:rPr>
        <w:t xml:space="preserve">wpływ na </w:t>
      </w:r>
      <w:r>
        <w:rPr>
          <w:rFonts w:ascii="Tahoma" w:hAnsi="Tahoma" w:cs="Tahoma"/>
          <w:color w:val="auto"/>
          <w:lang w:val="pl-PL"/>
        </w:rPr>
        <w:t xml:space="preserve">koszty prowadzenia </w:t>
      </w:r>
      <w:r w:rsidRPr="00AF23A3">
        <w:rPr>
          <w:rFonts w:ascii="Tahoma" w:hAnsi="Tahoma" w:cs="Tahoma"/>
          <w:color w:val="auto"/>
          <w:lang w:val="pl-PL"/>
        </w:rPr>
        <w:t>działalność przez przedsiębiorców</w:t>
      </w:r>
      <w:r w:rsidRPr="00AF23A3">
        <w:rPr>
          <w:rFonts w:ascii="Tahoma" w:eastAsia="Calibri" w:hAnsi="Tahoma" w:cs="Tahoma"/>
          <w:color w:val="auto"/>
          <w:lang w:val="pl-PL"/>
        </w:rPr>
        <w:t>,</w:t>
      </w:r>
    </w:p>
    <w:p w:rsidR="00AF23A3" w:rsidRPr="00AF23A3" w:rsidRDefault="00AF23A3" w:rsidP="00AF23A3">
      <w:pPr>
        <w:pStyle w:val="ZARTzmartartykuempunktem"/>
        <w:ind w:left="709" w:hanging="199"/>
        <w:rPr>
          <w:rFonts w:ascii="Tahoma" w:eastAsia="Calibri" w:hAnsi="Tahoma" w:cs="Tahoma"/>
          <w:shd w:val="clear" w:color="auto" w:fill="00FF00"/>
          <w:lang w:val="pl-PL"/>
        </w:rPr>
      </w:pPr>
      <w:r w:rsidRPr="00AF23A3">
        <w:rPr>
          <w:rFonts w:ascii="Tahoma" w:eastAsia="Calibri" w:hAnsi="Tahoma" w:cs="Tahoma"/>
          <w:lang w:val="pl-PL"/>
        </w:rPr>
        <w:t>-</w:t>
      </w:r>
      <w:r w:rsidRPr="00AF23A3">
        <w:rPr>
          <w:rFonts w:ascii="Tahoma" w:eastAsia="Calibri" w:hAnsi="Tahoma" w:cs="Tahoma"/>
          <w:lang w:val="pl-PL"/>
        </w:rPr>
        <w:tab/>
        <w:t xml:space="preserve">zwanego dalej „projektem pozarządowym" projektodawca załącza </w:t>
      </w:r>
      <w:r>
        <w:rPr>
          <w:rFonts w:ascii="Tahoma" w:eastAsia="Calibri" w:hAnsi="Tahoma" w:cs="Tahoma"/>
          <w:lang w:val="pl-PL"/>
        </w:rPr>
        <w:br/>
      </w:r>
      <w:r w:rsidRPr="00AF23A3">
        <w:rPr>
          <w:rFonts w:ascii="Tahoma" w:eastAsia="Calibri" w:hAnsi="Tahoma" w:cs="Tahoma"/>
          <w:lang w:val="pl-PL"/>
        </w:rPr>
        <w:t>do uzasadnienia stanowiska podmiotów, o których mowa w art. 110b ust. 1 albo informację, że podmioty te nie zajęły stanowiska w wyznaczonym terminie, nie krótszym niż terminy określone w art. 110b ust. 2.</w:t>
      </w:r>
    </w:p>
    <w:p w:rsidR="00AF23A3" w:rsidRPr="00AF23A3" w:rsidRDefault="00AF23A3" w:rsidP="00AF23A3">
      <w:pPr>
        <w:pStyle w:val="ZARTzmartartykuempunktem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 xml:space="preserve">2. W razie niezałączenia do uzasadnienia projektu pozarządowego stanowisk lub informacji, o których mowa w ust. 1, Marszałek Sejmu kieruje niezwłocznie projekt do konsultacji publicznych na zasadach określonych w art. 110b ust. 1-3, a wynik tych konsultacji publikuje niezwłocznie w Biuletynie Informacji Publicznej na stronie podmiotowej Sejmu. </w:t>
      </w:r>
    </w:p>
    <w:p w:rsidR="00AF23A3" w:rsidRPr="00AF23A3" w:rsidRDefault="00AF23A3" w:rsidP="00AF23A3">
      <w:pPr>
        <w:pStyle w:val="ZARTzmartartykuempunktem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3.</w:t>
      </w:r>
      <w:r w:rsidRPr="00AF23A3">
        <w:rPr>
          <w:rFonts w:ascii="Tahoma" w:eastAsia="Calibri" w:hAnsi="Tahoma" w:cs="Tahoma"/>
          <w:lang w:val="pl-PL"/>
        </w:rPr>
        <w:tab/>
        <w:t xml:space="preserve">Rada Ministrów obowiązana jest, nie później niż w terminie 30 dni </w:t>
      </w:r>
      <w:r>
        <w:rPr>
          <w:rFonts w:ascii="Tahoma" w:eastAsia="Calibri" w:hAnsi="Tahoma" w:cs="Tahoma"/>
          <w:lang w:val="pl-PL"/>
        </w:rPr>
        <w:br/>
      </w:r>
      <w:r w:rsidRPr="00AF23A3">
        <w:rPr>
          <w:rFonts w:ascii="Tahoma" w:eastAsia="Calibri" w:hAnsi="Tahoma" w:cs="Tahoma"/>
          <w:lang w:val="pl-PL"/>
        </w:rPr>
        <w:t xml:space="preserve">od dnia otrzymania projektu pozarządowego od Marszałka Sejmu, przedstawić Sejmowi stanowisko wobec projektu rządowego. </w:t>
      </w:r>
    </w:p>
    <w:p w:rsidR="00AF23A3" w:rsidRPr="00AF23A3" w:rsidRDefault="00AF23A3" w:rsidP="00AF23A3">
      <w:pPr>
        <w:pStyle w:val="ZUSTzmustartykuempunktem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 xml:space="preserve">4. Jeżeli Rada Ministrów  popiera projekt pozarządowy w całości albo </w:t>
      </w:r>
      <w:r>
        <w:rPr>
          <w:rFonts w:ascii="Tahoma" w:eastAsia="Calibri" w:hAnsi="Tahoma" w:cs="Tahoma"/>
          <w:lang w:val="pl-PL"/>
        </w:rPr>
        <w:br/>
      </w:r>
      <w:r w:rsidRPr="00AF23A3">
        <w:rPr>
          <w:rFonts w:ascii="Tahoma" w:eastAsia="Calibri" w:hAnsi="Tahoma" w:cs="Tahoma"/>
          <w:lang w:val="pl-PL"/>
        </w:rPr>
        <w:t xml:space="preserve">w części, organ upoważniony przez Radę Ministrów dokonuje oceny wpływu tego projektu i udostępnia ją w Biuletynie Informacji Publicznej na stronie podmiotowej Rządowego Centrum Legislacji, w serwisie Rządowy Proces Legislacyjny, nie później niż do dnia zakończenia drugiego czytania projektu </w:t>
      </w:r>
      <w:r w:rsidRPr="00AF23A3">
        <w:rPr>
          <w:rFonts w:ascii="Tahoma" w:eastAsia="Calibri" w:hAnsi="Tahoma" w:cs="Tahoma"/>
          <w:lang w:val="pl-PL"/>
        </w:rPr>
        <w:lastRenderedPageBreak/>
        <w:t>ustawy w Sejmie. Przepisy art. 110a stosuje się odpowiednio.”.</w:t>
      </w:r>
    </w:p>
    <w:p w:rsidR="00AF23A3" w:rsidRPr="00AF23A3" w:rsidRDefault="00AF23A3" w:rsidP="00AF23A3">
      <w:pPr>
        <w:pStyle w:val="ARTartustawynprozporzdzenia"/>
        <w:rPr>
          <w:rFonts w:ascii="Tahoma" w:eastAsia="Calibri" w:hAnsi="Tahoma" w:cs="Tahoma"/>
          <w:shd w:val="clear" w:color="auto" w:fill="FFFF00"/>
          <w:lang w:val="pl-PL"/>
        </w:rPr>
      </w:pPr>
      <w:r w:rsidRPr="00AF23A3">
        <w:rPr>
          <w:rFonts w:ascii="Tahoma" w:eastAsia="Calibri" w:hAnsi="Tahoma" w:cs="Tahoma"/>
          <w:b/>
          <w:lang w:val="pl-PL"/>
        </w:rPr>
        <w:t>Art. 2.</w:t>
      </w:r>
      <w:r w:rsidRPr="00AF23A3">
        <w:rPr>
          <w:rFonts w:ascii="Tahoma" w:eastAsia="Calibri" w:hAnsi="Tahoma" w:cs="Tahoma"/>
          <w:lang w:val="pl-PL"/>
        </w:rPr>
        <w:t xml:space="preserve"> Do projektów ustaw wniesionych do Sejmu oraz projektów rozporządzeń skierowanych do uzgodnień, konsultacji publicznych lub opiniowania, przed dniem wejścia w życie niniejszej ustawy, stosuje się przepisy dotychczasowe.</w:t>
      </w:r>
    </w:p>
    <w:p w:rsidR="00AF23A3" w:rsidRPr="00AF23A3" w:rsidRDefault="00AF23A3" w:rsidP="00AF23A3">
      <w:pPr>
        <w:pStyle w:val="Domyln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8"/>
        </w:tabs>
        <w:spacing w:line="360" w:lineRule="auto"/>
        <w:ind w:firstLine="500"/>
        <w:jc w:val="both"/>
        <w:rPr>
          <w:rFonts w:ascii="Tahoma" w:eastAsia="Calibri" w:hAnsi="Tahoma" w:cs="Tahoma"/>
          <w:sz w:val="24"/>
          <w:szCs w:val="24"/>
          <w:shd w:val="clear" w:color="auto" w:fill="FFFF00"/>
          <w:lang w:val="pl-PL"/>
        </w:rPr>
      </w:pPr>
      <w:r w:rsidRPr="00AF23A3">
        <w:rPr>
          <w:rFonts w:ascii="Tahoma" w:eastAsia="Calibri" w:hAnsi="Tahoma" w:cs="Tahoma"/>
          <w:b/>
          <w:bCs/>
          <w:sz w:val="24"/>
          <w:szCs w:val="24"/>
          <w:lang w:val="pl-PL"/>
        </w:rPr>
        <w:t>Art. 3.</w:t>
      </w:r>
      <w:r w:rsidRPr="00AF23A3">
        <w:rPr>
          <w:rFonts w:ascii="Tahoma" w:eastAsia="Calibri" w:hAnsi="Tahoma" w:cs="Tahoma"/>
          <w:sz w:val="24"/>
          <w:szCs w:val="24"/>
          <w:lang w:val="pl-PL"/>
        </w:rPr>
        <w:t xml:space="preserve"> Rada Ministrów wyda rozporządzenie, o którym mowa w art. 110a </w:t>
      </w:r>
      <w:r>
        <w:rPr>
          <w:rFonts w:ascii="Tahoma" w:eastAsia="Calibri" w:hAnsi="Tahoma" w:cs="Tahoma"/>
          <w:sz w:val="24"/>
          <w:szCs w:val="24"/>
          <w:lang w:val="pl-PL"/>
        </w:rPr>
        <w:br/>
      </w:r>
      <w:r w:rsidRPr="00AF23A3">
        <w:rPr>
          <w:rFonts w:ascii="Tahoma" w:eastAsia="Calibri" w:hAnsi="Tahoma" w:cs="Tahoma"/>
          <w:sz w:val="24"/>
          <w:szCs w:val="24"/>
          <w:lang w:val="pl-PL"/>
        </w:rPr>
        <w:t>ust. 3 ustawy, o której mowa w art. 1, w brzmieniu nadanym niniejszą ustawą, nie później niż w terminie  3 miesięcy od dnia wejścia w życie niniejszej ustawy.</w:t>
      </w:r>
    </w:p>
    <w:p w:rsidR="00AF23A3" w:rsidRP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b/>
          <w:lang w:val="pl-PL"/>
        </w:rPr>
        <w:t>Art. 4.</w:t>
      </w:r>
      <w:r w:rsidRPr="00AF23A3">
        <w:rPr>
          <w:rFonts w:ascii="Tahoma" w:eastAsia="Calibri" w:hAnsi="Tahoma" w:cs="Tahoma"/>
          <w:lang w:val="pl-PL"/>
        </w:rPr>
        <w:t xml:space="preserve"> Ustawa wchodzi w życie po upływie 14 dni od dnia ogłoszenia.</w:t>
      </w:r>
    </w:p>
    <w:p w:rsidR="00AF23A3" w:rsidRP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P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Default="00AF23A3" w:rsidP="00AF23A3">
      <w:pPr>
        <w:pStyle w:val="ARTartustawynprozporzdzenia"/>
        <w:ind w:firstLine="0"/>
        <w:rPr>
          <w:rFonts w:ascii="Tahoma" w:eastAsia="Calibri" w:hAnsi="Tahoma" w:cs="Tahoma"/>
          <w:lang w:val="pl-PL"/>
        </w:rPr>
      </w:pPr>
    </w:p>
    <w:p w:rsidR="00AF23A3" w:rsidRPr="00AF23A3" w:rsidRDefault="00AF23A3" w:rsidP="00AF23A3">
      <w:pPr>
        <w:pStyle w:val="ARTartustawynprozporzdzenia"/>
        <w:ind w:firstLine="0"/>
        <w:rPr>
          <w:rFonts w:ascii="Tahoma" w:eastAsia="Calibri" w:hAnsi="Tahoma" w:cs="Tahoma"/>
          <w:lang w:val="pl-PL"/>
        </w:rPr>
      </w:pPr>
    </w:p>
    <w:p w:rsidR="00AF23A3" w:rsidRP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Pr="00AF23A3" w:rsidRDefault="00AF23A3" w:rsidP="00AF23A3">
      <w:pPr>
        <w:pStyle w:val="ARTartustawynprozporzdzenia"/>
        <w:rPr>
          <w:rFonts w:ascii="Tahoma" w:eastAsia="Calibri" w:hAnsi="Tahoma" w:cs="Tahoma"/>
          <w:lang w:val="pl-PL"/>
        </w:rPr>
      </w:pPr>
    </w:p>
    <w:p w:rsidR="00AF23A3" w:rsidRPr="00AF23A3" w:rsidRDefault="00AF23A3" w:rsidP="00AF23A3">
      <w:pPr>
        <w:spacing w:after="120"/>
        <w:jc w:val="center"/>
        <w:rPr>
          <w:rFonts w:ascii="Tahoma" w:eastAsia="Calibri" w:hAnsi="Tahoma" w:cs="Tahoma"/>
          <w:b/>
          <w:bCs/>
          <w:lang w:val="pl-PL"/>
        </w:rPr>
      </w:pPr>
      <w:r w:rsidRPr="00AF23A3">
        <w:rPr>
          <w:rFonts w:ascii="Tahoma" w:eastAsia="Calibri" w:hAnsi="Tahoma" w:cs="Tahoma"/>
          <w:b/>
          <w:bCs/>
          <w:lang w:val="pl-PL"/>
        </w:rPr>
        <w:lastRenderedPageBreak/>
        <w:t>UZASADNIENIE</w:t>
      </w:r>
    </w:p>
    <w:p w:rsidR="00AF23A3" w:rsidRPr="00AF23A3" w:rsidRDefault="00AF23A3" w:rsidP="00AF23A3">
      <w:pPr>
        <w:spacing w:after="120"/>
        <w:jc w:val="center"/>
        <w:rPr>
          <w:rFonts w:ascii="Tahoma" w:eastAsia="Calibri" w:hAnsi="Tahoma" w:cs="Tahoma"/>
          <w:b/>
          <w:bCs/>
          <w:lang w:val="pl-PL"/>
        </w:rPr>
      </w:pPr>
    </w:p>
    <w:p w:rsidR="00AF23A3" w:rsidRPr="00AF23A3" w:rsidRDefault="00AF23A3" w:rsidP="00AF23A3">
      <w:pPr>
        <w:spacing w:after="120"/>
        <w:jc w:val="both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Złożenie przedm</w:t>
      </w:r>
      <w:r>
        <w:rPr>
          <w:rFonts w:ascii="Tahoma" w:eastAsia="Calibri" w:hAnsi="Tahoma" w:cs="Tahoma"/>
          <w:lang w:val="pl-PL"/>
        </w:rPr>
        <w:t>iotowego projektu ustawy wynika</w:t>
      </w:r>
      <w:r w:rsidRPr="00AF23A3">
        <w:rPr>
          <w:rFonts w:ascii="Tahoma" w:eastAsia="Calibri" w:hAnsi="Tahoma" w:cs="Tahoma"/>
          <w:lang w:val="pl-PL"/>
        </w:rPr>
        <w:t xml:space="preserve"> z potrzeby poprawienia w Polsce procesu stanowienia prawa dla przedsiębiorców, w tym szczególnie dla </w:t>
      </w:r>
      <w:proofErr w:type="spellStart"/>
      <w:r w:rsidRPr="00AF23A3">
        <w:rPr>
          <w:rFonts w:ascii="Tahoma" w:eastAsia="Calibri" w:hAnsi="Tahoma" w:cs="Tahoma"/>
          <w:lang w:val="pl-PL"/>
        </w:rPr>
        <w:t>mikroprzedsiębiorców</w:t>
      </w:r>
      <w:proofErr w:type="spellEnd"/>
      <w:r w:rsidRPr="00AF23A3">
        <w:rPr>
          <w:rFonts w:ascii="Tahoma" w:eastAsia="Calibri" w:hAnsi="Tahoma" w:cs="Tahoma"/>
          <w:lang w:val="pl-PL"/>
        </w:rPr>
        <w:t>, małych i średnich przedsiębiorców.</w:t>
      </w:r>
    </w:p>
    <w:p w:rsidR="00AF23A3" w:rsidRPr="00AF23A3" w:rsidRDefault="00AF23A3" w:rsidP="00AF23A3">
      <w:pPr>
        <w:tabs>
          <w:tab w:val="left" w:pos="3402"/>
        </w:tabs>
        <w:spacing w:after="120"/>
        <w:jc w:val="both"/>
        <w:rPr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 xml:space="preserve">Potrzeba ta stała się szczególnie wyraźna w tej kadencji Sejmu, z uwagi na generalnie drastyczne pogorszenie sposobu stanowienia prawa. </w:t>
      </w:r>
    </w:p>
    <w:p w:rsidR="00AF23A3" w:rsidRPr="00AF23A3" w:rsidRDefault="00AF23A3" w:rsidP="00AF23A3">
      <w:pPr>
        <w:tabs>
          <w:tab w:val="left" w:pos="3402"/>
        </w:tabs>
        <w:spacing w:after="120"/>
        <w:jc w:val="both"/>
        <w:rPr>
          <w:rStyle w:val="Brak"/>
          <w:rFonts w:ascii="Tahoma" w:eastAsia="Calibri" w:hAnsi="Tahoma" w:cs="Tahoma"/>
          <w:lang w:val="pl-PL"/>
        </w:rPr>
      </w:pPr>
      <w:r w:rsidRPr="00AF23A3">
        <w:rPr>
          <w:rFonts w:ascii="Tahoma" w:eastAsia="Calibri" w:hAnsi="Tahoma" w:cs="Tahoma"/>
          <w:lang w:val="pl-PL"/>
        </w:rPr>
        <w:t>Aby zachować obiektywizm przytaczamy opinię podmiotu zajmującego się systematycznie, od lat, obserwacją i analizą tych procesów - działającego przy Fundacji Batorego Obywatelskiego Forum Legislacji (OFL) . I tak, w raporcie podsumowującym prace legislacyjne w ciągu pierwszego roku rządów PiS (od listopada 2015 do listopada 2016 r.) wskazano m.in. na : ekspresowe tempo prac nad ustawami, zgłaszanie projektów rządowych jako poselskich, unikanie konsul</w:t>
      </w:r>
      <w:r>
        <w:rPr>
          <w:rFonts w:ascii="Tahoma" w:eastAsia="Calibri" w:hAnsi="Tahoma" w:cs="Tahoma"/>
          <w:lang w:val="pl-PL"/>
        </w:rPr>
        <w:t xml:space="preserve">tacji publicznych. Aż 40 proc. </w:t>
      </w:r>
      <w:r w:rsidRPr="00AF23A3">
        <w:rPr>
          <w:rFonts w:ascii="Tahoma" w:eastAsia="Calibri" w:hAnsi="Tahoma" w:cs="Tahoma"/>
          <w:lang w:val="pl-PL"/>
        </w:rPr>
        <w:t xml:space="preserve">ustaw uchwalonych w analizowanym okresie to projekty poselskie - zgłoszone przez posłów partii rządzącej (w poprzednich dwóch kadencjach Sejmu stanowiły one 15 </w:t>
      </w:r>
      <w:r>
        <w:rPr>
          <w:rFonts w:ascii="Tahoma" w:eastAsia="Calibri" w:hAnsi="Tahoma" w:cs="Tahoma"/>
          <w:lang w:val="pl-PL"/>
        </w:rPr>
        <w:br/>
      </w:r>
      <w:r w:rsidRPr="00AF23A3">
        <w:rPr>
          <w:rFonts w:ascii="Tahoma" w:eastAsia="Calibri" w:hAnsi="Tahoma" w:cs="Tahoma"/>
          <w:lang w:val="pl-PL"/>
        </w:rPr>
        <w:t xml:space="preserve">i 13 proc.). To wygodne rozwiązanie dla rządzących - bo projekty poselskie nie wymagają uzgodnień międzyresortowych, konsultacji społecznych i publicznych, pełnego opiniowania oraz procedury oceny skutków regulacji, ale z tego właśnie powodu bardzo niebezpieczne w skutkach, bo jak wskazują autorzy raportu obarczone ryzykiem wystąpienia większej ilości błędów. Wskazuje się także, że  celem stało się jak najszybsze wprowadzanie zmian kosztem poprawności tworzonego prawa oraz dbałości o jego większą społeczną akceptację, wskazuje się nie tylko  ograniczanie, ale wręcz unikanie konsultacji społecznych, a jeśli już są, to zbyt częste jest stosowanie najkrótszego z możliwych okresów konsultacji (14 dni), poddawanie pod ocenę tylko wczesnej wersji projektu, „bardzo oszczędne” korzystanie  z wysłuchania publicznego przydatnego zwłaszcza w przypadku projektów poselskich, które nie podlegają konsultacjom. Członkowie OFL podkreślają właśnie ignorowanie i ograniczania przez rząd i parlament konsultacji publicznych, zredukowanie roli obywateli w procesie </w:t>
      </w:r>
      <w:r w:rsidRPr="00AF23A3">
        <w:rPr>
          <w:rFonts w:ascii="Tahoma" w:eastAsia="Calibri" w:hAnsi="Tahoma" w:cs="Tahoma"/>
          <w:color w:val="auto"/>
          <w:lang w:val="pl-PL"/>
        </w:rPr>
        <w:t xml:space="preserve">legislacyjnym oraz fakt, że nie zachęca się do </w:t>
      </w:r>
      <w:r w:rsidRPr="00AF23A3">
        <w:rPr>
          <w:rFonts w:ascii="Tahoma" w:eastAsia="Calibri" w:hAnsi="Tahoma" w:cs="Tahoma"/>
          <w:color w:val="auto"/>
          <w:lang w:val="pl-PL"/>
        </w:rPr>
        <w:lastRenderedPageBreak/>
        <w:t xml:space="preserve">przekazania uwag za pomocą platformy elektronicznej </w:t>
      </w:r>
      <w:hyperlink r:id="rId8" w:history="1">
        <w:r w:rsidRPr="00AF23A3">
          <w:rPr>
            <w:rStyle w:val="Hyperlink0"/>
            <w:rFonts w:ascii="Tahoma" w:hAnsi="Tahoma" w:cs="Tahoma"/>
            <w:color w:val="auto"/>
            <w:lang w:val="pl-PL"/>
          </w:rPr>
          <w:t>www.konsultacje.gov.pl</w:t>
        </w:r>
      </w:hyperlink>
      <w:r w:rsidRPr="00AF23A3">
        <w:rPr>
          <w:rStyle w:val="Brak"/>
          <w:rFonts w:ascii="Tahoma" w:eastAsia="Calibri" w:hAnsi="Tahoma" w:cs="Tahoma"/>
          <w:color w:val="auto"/>
          <w:lang w:val="pl-PL"/>
        </w:rPr>
        <w:t xml:space="preserve">, uruchomionej </w:t>
      </w:r>
      <w:r w:rsidRPr="00AF23A3">
        <w:rPr>
          <w:rStyle w:val="Brak"/>
          <w:rFonts w:ascii="Tahoma" w:eastAsia="Calibri" w:hAnsi="Tahoma" w:cs="Tahoma"/>
          <w:lang w:val="pl-PL"/>
        </w:rPr>
        <w:t xml:space="preserve">przez rząd PO-PSL. </w:t>
      </w:r>
      <w:r>
        <w:rPr>
          <w:rStyle w:val="Brak"/>
          <w:rFonts w:ascii="Tahoma" w:eastAsia="Calibri" w:hAnsi="Tahoma" w:cs="Tahoma"/>
          <w:lang w:val="pl-PL"/>
        </w:rPr>
        <w:br/>
      </w:r>
      <w:r w:rsidRPr="00AF23A3">
        <w:rPr>
          <w:rStyle w:val="Brak"/>
          <w:rFonts w:ascii="Tahoma" w:eastAsia="Calibri" w:hAnsi="Tahoma" w:cs="Tahoma"/>
          <w:lang w:val="pl-PL"/>
        </w:rPr>
        <w:t xml:space="preserve">We wspomnianym raporcie piszą, że informacje o konsultacjach prowadzanych </w:t>
      </w:r>
      <w:r>
        <w:rPr>
          <w:rStyle w:val="Brak"/>
          <w:rFonts w:ascii="Tahoma" w:eastAsia="Calibri" w:hAnsi="Tahoma" w:cs="Tahoma"/>
          <w:lang w:val="pl-PL"/>
        </w:rPr>
        <w:br/>
      </w:r>
      <w:r w:rsidRPr="00AF23A3">
        <w:rPr>
          <w:rStyle w:val="Brak"/>
          <w:rFonts w:ascii="Tahoma" w:eastAsia="Calibri" w:hAnsi="Tahoma" w:cs="Tahoma"/>
          <w:lang w:val="pl-PL"/>
        </w:rPr>
        <w:t xml:space="preserve">w Sejmie są często publicznie niedostępne, z reguły nie wiadomo kto jest ich uczestnikiem, do kogo przesłano zaproszenie, w jaki sposób i do kogo uczestnicy mają przesyłać swoje opinie. Nie ma również jednolitej praktyki publikowania opinii przedstawionych w ramach konsultacji. </w:t>
      </w:r>
    </w:p>
    <w:p w:rsidR="00AF23A3" w:rsidRPr="00AF23A3" w:rsidRDefault="00AF23A3" w:rsidP="00AF23A3">
      <w:pPr>
        <w:tabs>
          <w:tab w:val="left" w:pos="3402"/>
          <w:tab w:val="left" w:pos="5386"/>
        </w:tabs>
        <w:spacing w:after="120"/>
        <w:jc w:val="both"/>
        <w:rPr>
          <w:rStyle w:val="Brak"/>
          <w:rFonts w:ascii="Tahoma" w:eastAsia="Calibri" w:hAnsi="Tahoma" w:cs="Tahoma"/>
          <w:lang w:val="pl-PL"/>
        </w:rPr>
      </w:pPr>
      <w:r w:rsidRPr="00AF23A3">
        <w:rPr>
          <w:rStyle w:val="Brak"/>
          <w:rFonts w:ascii="Tahoma" w:eastAsia="Calibri" w:hAnsi="Tahoma" w:cs="Tahoma"/>
          <w:lang w:val="pl-PL"/>
        </w:rPr>
        <w:t xml:space="preserve">Te mankamenty dotykają całego prawodawstwa, w tym aktów skutkujących </w:t>
      </w:r>
      <w:r>
        <w:rPr>
          <w:rStyle w:val="Brak"/>
          <w:rFonts w:ascii="Tahoma" w:eastAsia="Calibri" w:hAnsi="Tahoma" w:cs="Tahoma"/>
          <w:lang w:val="pl-PL"/>
        </w:rPr>
        <w:br/>
      </w:r>
      <w:r w:rsidRPr="00AF23A3">
        <w:rPr>
          <w:rStyle w:val="Brak"/>
          <w:rFonts w:ascii="Tahoma" w:eastAsia="Calibri" w:hAnsi="Tahoma" w:cs="Tahoma"/>
          <w:lang w:val="pl-PL"/>
        </w:rPr>
        <w:t>w działalności gospodarczej, wpływających na kondycję przedsiębiorstw i warunki ich rozwoju. Rozwój to bezsprzecznie inwestycje, kt</w:t>
      </w:r>
      <w:r>
        <w:rPr>
          <w:rStyle w:val="Brak"/>
          <w:rFonts w:ascii="Tahoma" w:eastAsia="Calibri" w:hAnsi="Tahoma" w:cs="Tahoma"/>
          <w:lang w:val="pl-PL"/>
        </w:rPr>
        <w:t>óre są pochodną wielu czynników</w:t>
      </w:r>
      <w:r w:rsidRPr="00AF23A3">
        <w:rPr>
          <w:rStyle w:val="Brak"/>
          <w:rFonts w:ascii="Tahoma" w:eastAsia="Calibri" w:hAnsi="Tahoma" w:cs="Tahoma"/>
          <w:lang w:val="pl-PL"/>
        </w:rPr>
        <w:t xml:space="preserve">, </w:t>
      </w:r>
      <w:r>
        <w:rPr>
          <w:rStyle w:val="Brak"/>
          <w:rFonts w:ascii="Tahoma" w:eastAsia="Calibri" w:hAnsi="Tahoma" w:cs="Tahoma"/>
          <w:lang w:val="pl-PL"/>
        </w:rPr>
        <w:br/>
      </w:r>
      <w:r w:rsidRPr="00AF23A3">
        <w:rPr>
          <w:rStyle w:val="Brak"/>
          <w:rFonts w:ascii="Tahoma" w:eastAsia="Calibri" w:hAnsi="Tahoma" w:cs="Tahoma"/>
          <w:lang w:val="pl-PL"/>
        </w:rPr>
        <w:t xml:space="preserve">w tym kluczowymi są stabilność i pewność prawa. Gospodarka polska potrzebuje inwestycji, które niestety wyhamowały drastycznie w 2016. Ta tendencja utrzymała się, jak dotąd, w 2017 roku. </w:t>
      </w:r>
    </w:p>
    <w:p w:rsidR="00AF23A3" w:rsidRPr="00AF23A3" w:rsidRDefault="00AF23A3" w:rsidP="00AF23A3">
      <w:pPr>
        <w:tabs>
          <w:tab w:val="left" w:pos="3402"/>
        </w:tabs>
        <w:spacing w:after="120"/>
        <w:jc w:val="both"/>
        <w:rPr>
          <w:rStyle w:val="Brak"/>
          <w:rFonts w:ascii="Tahoma" w:eastAsia="Calibri" w:hAnsi="Tahoma" w:cs="Tahoma"/>
          <w:lang w:val="pl-PL"/>
        </w:rPr>
      </w:pPr>
      <w:r w:rsidRPr="00AF23A3">
        <w:rPr>
          <w:rStyle w:val="Brak"/>
          <w:rFonts w:ascii="Tahoma" w:eastAsia="Calibri" w:hAnsi="Tahoma" w:cs="Tahoma"/>
          <w:lang w:val="pl-PL"/>
        </w:rPr>
        <w:t xml:space="preserve">Jako główną przyczynę ograniczania planów inwestycyjnych przedsiębiorcy wskazywali wątpliwą legislację za rządów PIS, która doprowadziła do chaosu oraz niepewności systemu prawnego i podatkowego. Ma miejsce wprowadzanie przepisów prawnych tworzących nierówność podatkową oraz ograniczanie swobody i wolności gospodarczej. Tak silnego odczuwania niepewności wśród przedsiębiorców, związanej z działaniami rządu i administracji publicznej nigdy jeszcze nie było. </w:t>
      </w:r>
    </w:p>
    <w:p w:rsidR="00AF23A3" w:rsidRPr="00AF23A3" w:rsidRDefault="00AF23A3" w:rsidP="00AF23A3">
      <w:pPr>
        <w:tabs>
          <w:tab w:val="left" w:pos="3402"/>
        </w:tabs>
        <w:spacing w:after="120"/>
        <w:jc w:val="both"/>
        <w:rPr>
          <w:rStyle w:val="Brak"/>
          <w:rFonts w:ascii="Tahoma" w:eastAsia="Calibri" w:hAnsi="Tahoma" w:cs="Tahoma"/>
          <w:lang w:val="pl-PL"/>
        </w:rPr>
      </w:pPr>
      <w:r w:rsidRPr="00AF23A3">
        <w:rPr>
          <w:rStyle w:val="Brak"/>
          <w:rFonts w:ascii="Tahoma" w:eastAsia="Calibri" w:hAnsi="Tahoma" w:cs="Tahoma"/>
          <w:lang w:val="pl-PL"/>
        </w:rPr>
        <w:t>Podo</w:t>
      </w:r>
      <w:r>
        <w:rPr>
          <w:rStyle w:val="Brak"/>
          <w:rFonts w:ascii="Tahoma" w:eastAsia="Calibri" w:hAnsi="Tahoma" w:cs="Tahoma"/>
          <w:lang w:val="pl-PL"/>
        </w:rPr>
        <w:t xml:space="preserve">bne wnioski, uwagi są wyrażane przez </w:t>
      </w:r>
      <w:r w:rsidRPr="00AF23A3">
        <w:rPr>
          <w:rStyle w:val="Brak"/>
          <w:rFonts w:ascii="Tahoma" w:eastAsia="Calibri" w:hAnsi="Tahoma" w:cs="Tahoma"/>
          <w:lang w:val="pl-PL"/>
        </w:rPr>
        <w:t xml:space="preserve">ekspertów, prawników, organizacje przedsiębiorców. Na tegorocznym Europejskim Kongresie Gospodarczym </w:t>
      </w:r>
      <w:r>
        <w:rPr>
          <w:rStyle w:val="Brak"/>
          <w:rFonts w:ascii="Tahoma" w:eastAsia="Calibri" w:hAnsi="Tahoma" w:cs="Tahoma"/>
          <w:lang w:val="pl-PL"/>
        </w:rPr>
        <w:br/>
      </w:r>
      <w:r w:rsidRPr="00AF23A3">
        <w:rPr>
          <w:rStyle w:val="Brak"/>
          <w:rFonts w:ascii="Tahoma" w:eastAsia="Calibri" w:hAnsi="Tahoma" w:cs="Tahoma"/>
          <w:lang w:val="pl-PL"/>
        </w:rPr>
        <w:t>w Katowicach prawnicy i przedsiębiorcy akcentowali, że ilość i jakość stanowionego prawa to problem dla funkcjonowania ładu prawnego w Polsce, co przekłada się na trudność prowadzenia działalności gospodarczej,  że prawo jest łamane już w samym procesie legislacyjnym. Proponowali m.in. ograniczenie stosowania tzw. szybkiej ścieżki legislacyjnej, przywrócenie znaczenia konsultacji społecznych i szersze wykorzystanie ekspertów.</w:t>
      </w:r>
    </w:p>
    <w:p w:rsidR="00AF23A3" w:rsidRPr="00AF23A3" w:rsidRDefault="00AF23A3" w:rsidP="00AF23A3">
      <w:pPr>
        <w:spacing w:after="120"/>
        <w:jc w:val="both"/>
        <w:rPr>
          <w:rStyle w:val="Brak"/>
          <w:rFonts w:ascii="Tahoma" w:eastAsia="Calibri" w:hAnsi="Tahoma" w:cs="Tahoma"/>
          <w:lang w:val="pl-PL"/>
        </w:rPr>
      </w:pPr>
      <w:r w:rsidRPr="00AF23A3">
        <w:rPr>
          <w:rStyle w:val="Brak"/>
          <w:rFonts w:ascii="Tahoma" w:eastAsia="Calibri" w:hAnsi="Tahoma" w:cs="Tahoma"/>
          <w:lang w:val="pl-PL"/>
        </w:rPr>
        <w:t>Niniejszy projekt jest z jednej st</w:t>
      </w:r>
      <w:r>
        <w:rPr>
          <w:rStyle w:val="Brak"/>
          <w:rFonts w:ascii="Tahoma" w:eastAsia="Calibri" w:hAnsi="Tahoma" w:cs="Tahoma"/>
          <w:lang w:val="pl-PL"/>
        </w:rPr>
        <w:t xml:space="preserve">rony odpowiedzią na te głosy i </w:t>
      </w:r>
      <w:r w:rsidRPr="00AF23A3">
        <w:rPr>
          <w:rStyle w:val="Brak"/>
          <w:rFonts w:ascii="Tahoma" w:eastAsia="Calibri" w:hAnsi="Tahoma" w:cs="Tahoma"/>
          <w:lang w:val="pl-PL"/>
        </w:rPr>
        <w:t xml:space="preserve">rzeczywiste zapotrzebowanie w tej dziedzinie a z drugiej strony jest wynikiem negatywnej oceny obowiązywania art. 103 pkt 1a ustawy o swobodzie działalności gospodarczej, </w:t>
      </w:r>
      <w:r w:rsidRPr="00AF23A3">
        <w:rPr>
          <w:rStyle w:val="Brak"/>
          <w:rFonts w:ascii="Tahoma" w:eastAsia="Calibri" w:hAnsi="Tahoma" w:cs="Tahoma"/>
          <w:lang w:val="pl-PL"/>
        </w:rPr>
        <w:lastRenderedPageBreak/>
        <w:t>wprowadzonego ustawą z dnia 26 stycznia 2017 r. o zmianie ustawy o swobodzie działalności gospodarczej</w:t>
      </w:r>
      <w:r>
        <w:rPr>
          <w:rStyle w:val="Brak"/>
          <w:rFonts w:ascii="Tahoma" w:eastAsia="Calibri" w:hAnsi="Tahoma" w:cs="Tahoma"/>
          <w:lang w:val="pl-PL"/>
        </w:rPr>
        <w:t xml:space="preserve"> (Dz. U. z 2017 r., poz. 460). </w:t>
      </w:r>
      <w:r w:rsidRPr="00AF23A3">
        <w:rPr>
          <w:rStyle w:val="Brak"/>
          <w:rFonts w:ascii="Tahoma" w:eastAsia="Calibri" w:hAnsi="Tahoma" w:cs="Tahoma"/>
          <w:lang w:val="pl-PL"/>
        </w:rPr>
        <w:t xml:space="preserve">Przepis wprowadzony wyżej wskazaną nowelizacją nie spełnia bowiem w żaden sposób celów wynikających </w:t>
      </w:r>
      <w:r>
        <w:rPr>
          <w:rStyle w:val="Brak"/>
          <w:rFonts w:ascii="Tahoma" w:eastAsia="Calibri" w:hAnsi="Tahoma" w:cs="Tahoma"/>
          <w:lang w:val="pl-PL"/>
        </w:rPr>
        <w:br/>
      </w:r>
      <w:r w:rsidRPr="00AF23A3">
        <w:rPr>
          <w:rStyle w:val="Brak"/>
          <w:rFonts w:ascii="Tahoma" w:eastAsia="Calibri" w:hAnsi="Tahoma" w:cs="Tahoma"/>
          <w:lang w:val="pl-PL"/>
        </w:rPr>
        <w:t>z uzasadnienia projektu tej ustawy, w tym zobowiązania prawodawcy do „poczynienia szczególnych starań w celu dopasowania projektowanych przez prawodawcę regulacji do specyfiki funkcjonowania mikro, małych i średnich przedsiębiorstw”.</w:t>
      </w:r>
    </w:p>
    <w:p w:rsidR="00AF23A3" w:rsidRPr="00AF23A3" w:rsidRDefault="00AF23A3" w:rsidP="00AF23A3">
      <w:pPr>
        <w:spacing w:after="120"/>
        <w:jc w:val="both"/>
        <w:rPr>
          <w:rStyle w:val="Brak"/>
          <w:rFonts w:ascii="Tahoma" w:eastAsia="Calibri" w:hAnsi="Tahoma" w:cs="Tahoma"/>
          <w:lang w:val="pl-PL"/>
        </w:rPr>
      </w:pPr>
      <w:r w:rsidRPr="00AF23A3">
        <w:rPr>
          <w:rStyle w:val="Brak"/>
          <w:rFonts w:ascii="Tahoma" w:eastAsia="Calibri" w:hAnsi="Tahoma" w:cs="Tahoma"/>
          <w:lang w:val="pl-PL"/>
        </w:rPr>
        <w:t xml:space="preserve">Ponadto, jak wynika z praktyki funkcjonowania art. 103 pkt 1a nowelizowanej ustawy przepis ten ma tak ogólny charakter, że  w istocie nie zobowiązuje on do szczegółowej oraz ukierunkowanej analizy projektowanych zmian ustawowych chociażby w zakresie kosztów tych regulacji, w tym kosztów pośrednich lub biurokratycznych, dla przedsiębiorców. Dlatego wymaga zmiany i doprecyzowania oceny przewidywanego wpływu projektowanej ustawy albo rozporządzenia na przedsiębiorców, co zostało przedstawione w omawianej propozycji. Zawiera ona przykładowe kryteria oceny, wskazujące kierunek i cel analiz oraz zobowiązuje Radę Ministrów do określenia, </w:t>
      </w:r>
      <w:r>
        <w:rPr>
          <w:rStyle w:val="Brak"/>
          <w:rFonts w:ascii="Tahoma" w:eastAsia="Calibri" w:hAnsi="Tahoma" w:cs="Tahoma"/>
          <w:lang w:val="pl-PL"/>
        </w:rPr>
        <w:br/>
      </w:r>
      <w:r w:rsidRPr="00AF23A3">
        <w:rPr>
          <w:rStyle w:val="Brak"/>
          <w:rFonts w:ascii="Tahoma" w:eastAsia="Calibri" w:hAnsi="Tahoma" w:cs="Tahoma"/>
          <w:lang w:val="pl-PL"/>
        </w:rPr>
        <w:t>w drodze rozporządzenia, metodologii sporządzania oceny wpływu, w tym wpływu na przedsiębiorców, kierując się potrzebą zapewnienia wiarygodności i porównywalności ocen.</w:t>
      </w:r>
    </w:p>
    <w:p w:rsidR="00AF23A3" w:rsidRPr="00AF23A3" w:rsidRDefault="00AF23A3" w:rsidP="00AF23A3">
      <w:pPr>
        <w:spacing w:after="120"/>
        <w:jc w:val="both"/>
        <w:rPr>
          <w:rStyle w:val="Brak"/>
          <w:rFonts w:ascii="Tahoma" w:eastAsia="Calibri" w:hAnsi="Tahoma" w:cs="Tahoma"/>
          <w:lang w:val="pl-PL"/>
        </w:rPr>
      </w:pPr>
      <w:r w:rsidRPr="00AF23A3">
        <w:rPr>
          <w:rStyle w:val="Brak"/>
          <w:rFonts w:ascii="Tahoma" w:eastAsia="Calibri" w:hAnsi="Tahoma" w:cs="Tahoma"/>
          <w:lang w:val="pl-PL"/>
        </w:rPr>
        <w:t xml:space="preserve">Co do zasady projektowana zmiana dotyczy procesu stanowienia prawa w oparciu </w:t>
      </w:r>
      <w:r>
        <w:rPr>
          <w:rStyle w:val="Brak"/>
          <w:rFonts w:ascii="Tahoma" w:eastAsia="Calibri" w:hAnsi="Tahoma" w:cs="Tahoma"/>
          <w:lang w:val="pl-PL"/>
        </w:rPr>
        <w:br/>
      </w:r>
      <w:r w:rsidRPr="00AF23A3">
        <w:rPr>
          <w:rStyle w:val="Brak"/>
          <w:rFonts w:ascii="Tahoma" w:eastAsia="Calibri" w:hAnsi="Tahoma" w:cs="Tahoma"/>
          <w:lang w:val="pl-PL"/>
        </w:rPr>
        <w:t xml:space="preserve">o projekty rządowe tj. rządowe projekty ustaw i rozporządzeń. Ma ona także charakter przełomowy z tego względu, iż jest jednocześnie odpowiedzią na nagminny </w:t>
      </w:r>
      <w:r>
        <w:rPr>
          <w:rStyle w:val="Brak"/>
          <w:rFonts w:ascii="Tahoma" w:eastAsia="Calibri" w:hAnsi="Tahoma" w:cs="Tahoma"/>
          <w:lang w:val="pl-PL"/>
        </w:rPr>
        <w:br/>
      </w:r>
      <w:r w:rsidRPr="00AF23A3">
        <w:rPr>
          <w:rStyle w:val="Brak"/>
          <w:rFonts w:ascii="Tahoma" w:eastAsia="Calibri" w:hAnsi="Tahoma" w:cs="Tahoma"/>
          <w:lang w:val="pl-PL"/>
        </w:rPr>
        <w:t xml:space="preserve">w tej kadencji parlamentu proceder składania projektów w istocie rządowych (pochodzących z poszczególnych ministerstw lub ich decydentów politycznych) jako projektów poselskich tak aby w ten sposób pominąć istniejące już (choć niewystarczające jeszcze) regulacje wewnątrzrządowe tj. m.in. Regulamin Rady Ministrów. W tym zakresie projektowane jest wprowadzenie obowiązkowego wypowiedzenia się przez Radę Ministrów co do projektów złożonych do laski marszałkowskiej przez podmioty inne niż Rada Ministrów i w przypadku poparcia takich projektów lub braku wobec nich sprzeciwu Rady Ministrów obowiązkowe sporządzenie szczegółowej oceny skutków regulacji przez ekspertów rządowych. Z </w:t>
      </w:r>
      <w:r w:rsidRPr="00AF23A3">
        <w:rPr>
          <w:rStyle w:val="Brak"/>
          <w:rFonts w:ascii="Tahoma" w:eastAsia="Calibri" w:hAnsi="Tahoma" w:cs="Tahoma"/>
          <w:lang w:val="pl-PL"/>
        </w:rPr>
        <w:lastRenderedPageBreak/>
        <w:t>kolei w stosunku do projektów nazwanych w projekcie „pozarządowymi”, którym sprzeciwi się Rada Ministrów  proponuje się rozwiązanie zapewniające skierowanie takiego aktu do konsultacji  właściwych podmiotów.</w:t>
      </w:r>
    </w:p>
    <w:p w:rsidR="00AF23A3" w:rsidRPr="00AF23A3" w:rsidRDefault="00AF23A3" w:rsidP="00AF23A3">
      <w:pPr>
        <w:spacing w:after="120"/>
        <w:jc w:val="both"/>
        <w:rPr>
          <w:rStyle w:val="Brak"/>
          <w:rFonts w:ascii="Tahoma" w:eastAsia="Calibri" w:hAnsi="Tahoma" w:cs="Tahoma"/>
          <w:lang w:val="pl-PL"/>
        </w:rPr>
      </w:pPr>
      <w:r w:rsidRPr="00AF23A3">
        <w:rPr>
          <w:rStyle w:val="Brak"/>
          <w:rFonts w:ascii="Tahoma" w:eastAsia="Calibri" w:hAnsi="Tahoma" w:cs="Tahoma"/>
          <w:lang w:val="pl-PL"/>
        </w:rPr>
        <w:t xml:space="preserve">Projekt wprowadza  obowiązkowe konsultacje społeczne projektów ustaw dotyczących przedsiębiorców i obowiązkową publikację wyników tych konsultacji na właściwych stronach internetowych tak aby zapoznać się z nimi mogli zarówno parlamentarzyści jak i zainteresowani obywatele. </w:t>
      </w:r>
    </w:p>
    <w:p w:rsidR="00AF23A3" w:rsidRPr="00AF23A3" w:rsidRDefault="00AF23A3" w:rsidP="00AF23A3">
      <w:pPr>
        <w:spacing w:after="120"/>
        <w:jc w:val="both"/>
        <w:rPr>
          <w:rStyle w:val="Brak"/>
          <w:rFonts w:ascii="Tahoma" w:eastAsia="Calibri" w:hAnsi="Tahoma" w:cs="Tahoma"/>
          <w:lang w:val="pl-PL"/>
        </w:rPr>
      </w:pPr>
      <w:r w:rsidRPr="00AF23A3">
        <w:rPr>
          <w:rStyle w:val="Brak"/>
          <w:rFonts w:ascii="Tahoma" w:eastAsia="Calibri" w:hAnsi="Tahoma" w:cs="Tahoma"/>
          <w:lang w:val="pl-PL"/>
        </w:rPr>
        <w:t xml:space="preserve">Ustawa wchodzi w życie po upływie 14 dni od dnia ogłoszenia, gdyż  jest niezbędna dla zapewnienia tworzenia rzetelnego i przewidywalnego prawa, w oparciu </w:t>
      </w:r>
      <w:r>
        <w:rPr>
          <w:rStyle w:val="Brak"/>
          <w:rFonts w:ascii="Tahoma" w:eastAsia="Calibri" w:hAnsi="Tahoma" w:cs="Tahoma"/>
          <w:lang w:val="pl-PL"/>
        </w:rPr>
        <w:br/>
      </w:r>
      <w:r w:rsidRPr="00AF23A3">
        <w:rPr>
          <w:rStyle w:val="Brak"/>
          <w:rFonts w:ascii="Tahoma" w:eastAsia="Calibri" w:hAnsi="Tahoma" w:cs="Tahoma"/>
          <w:lang w:val="pl-PL"/>
        </w:rPr>
        <w:t xml:space="preserve">o konsultacje, analizy, ocenę kosztów wpływu na działalność przedsiębiorców i rozwój firm. Jest oczekiwana przez środowisko gospodarcze i jest bardzo ważna z uwagi </w:t>
      </w:r>
      <w:r>
        <w:rPr>
          <w:rStyle w:val="Brak"/>
          <w:rFonts w:ascii="Tahoma" w:eastAsia="Calibri" w:hAnsi="Tahoma" w:cs="Tahoma"/>
          <w:lang w:val="pl-PL"/>
        </w:rPr>
        <w:br/>
      </w:r>
      <w:r w:rsidRPr="00AF23A3">
        <w:rPr>
          <w:rStyle w:val="Brak"/>
          <w:rFonts w:ascii="Tahoma" w:eastAsia="Calibri" w:hAnsi="Tahoma" w:cs="Tahoma"/>
          <w:lang w:val="pl-PL"/>
        </w:rPr>
        <w:t>na perspektywiczne decyzje rozwojowe i związane z tym inwestycje.</w:t>
      </w:r>
    </w:p>
    <w:p w:rsidR="00AF23A3" w:rsidRPr="00AF23A3" w:rsidRDefault="00AF23A3" w:rsidP="00AF23A3">
      <w:pPr>
        <w:spacing w:after="120"/>
        <w:jc w:val="both"/>
        <w:rPr>
          <w:rStyle w:val="Brak"/>
          <w:rFonts w:ascii="Tahoma" w:eastAsia="Calibri" w:hAnsi="Tahoma" w:cs="Tahoma"/>
          <w:lang w:val="pl-PL"/>
        </w:rPr>
      </w:pPr>
      <w:r w:rsidRPr="00AF23A3">
        <w:rPr>
          <w:rStyle w:val="Brak"/>
          <w:rFonts w:ascii="Tahoma" w:eastAsia="Calibri" w:hAnsi="Tahoma" w:cs="Tahoma"/>
          <w:lang w:val="pl-PL"/>
        </w:rPr>
        <w:t xml:space="preserve">Projektowana ustawa nie rodzi co </w:t>
      </w:r>
      <w:r>
        <w:rPr>
          <w:rStyle w:val="Brak"/>
          <w:rFonts w:ascii="Tahoma" w:eastAsia="Calibri" w:hAnsi="Tahoma" w:cs="Tahoma"/>
          <w:lang w:val="pl-PL"/>
        </w:rPr>
        <w:t xml:space="preserve">do zasady skutków finansowych. </w:t>
      </w:r>
    </w:p>
    <w:p w:rsidR="00AF23A3" w:rsidRPr="00AF23A3" w:rsidRDefault="00AF23A3" w:rsidP="00AF23A3">
      <w:pPr>
        <w:spacing w:after="120"/>
        <w:jc w:val="both"/>
        <w:rPr>
          <w:rStyle w:val="Brak"/>
          <w:rFonts w:ascii="Tahoma" w:eastAsia="Calibri" w:hAnsi="Tahoma" w:cs="Tahoma"/>
          <w:lang w:val="pl-PL"/>
        </w:rPr>
      </w:pPr>
      <w:r w:rsidRPr="00AF23A3">
        <w:rPr>
          <w:rStyle w:val="Brak"/>
          <w:rFonts w:ascii="Tahoma" w:eastAsia="Calibri" w:hAnsi="Tahoma" w:cs="Tahoma"/>
          <w:lang w:val="pl-PL"/>
        </w:rPr>
        <w:t>Przedmiot projektowanej regulacji nie jest objęty zakresem prawa Unii Europejskiej.</w:t>
      </w:r>
    </w:p>
    <w:p w:rsidR="00AF23A3" w:rsidRPr="00AF23A3" w:rsidRDefault="00AF23A3" w:rsidP="00AF23A3">
      <w:pPr>
        <w:pStyle w:val="ARTartustawynprozporzdzenia"/>
        <w:rPr>
          <w:rStyle w:val="Brak"/>
          <w:rFonts w:ascii="Tahoma" w:eastAsia="Calibri" w:hAnsi="Tahoma" w:cs="Tahoma"/>
          <w:lang w:val="pl-PL"/>
        </w:rPr>
      </w:pPr>
    </w:p>
    <w:p w:rsidR="00AF23A3" w:rsidRPr="00AF23A3" w:rsidRDefault="00AF23A3" w:rsidP="00AF23A3">
      <w:pPr>
        <w:rPr>
          <w:rStyle w:val="Brak"/>
          <w:rFonts w:ascii="Tahoma" w:eastAsia="Calibri" w:hAnsi="Tahoma" w:cs="Tahoma"/>
          <w:lang w:val="pl-PL"/>
        </w:rPr>
      </w:pPr>
    </w:p>
    <w:p w:rsidR="00AF23A3" w:rsidRPr="00AF23A3" w:rsidRDefault="00AF23A3" w:rsidP="00AF23A3">
      <w:pPr>
        <w:rPr>
          <w:rFonts w:ascii="Tahoma" w:hAnsi="Tahoma" w:cs="Tahoma"/>
          <w:lang w:val="pl-PL"/>
        </w:rPr>
      </w:pPr>
    </w:p>
    <w:p w:rsidR="001827CD" w:rsidRPr="00AF23A3" w:rsidRDefault="001827CD">
      <w:pPr>
        <w:rPr>
          <w:rFonts w:ascii="Tahoma" w:hAnsi="Tahoma" w:cs="Tahoma"/>
        </w:rPr>
      </w:pPr>
    </w:p>
    <w:sectPr w:rsidR="001827CD" w:rsidRPr="00AF23A3">
      <w:headerReference w:type="default" r:id="rId9"/>
      <w:pgSz w:w="11900" w:h="16840"/>
      <w:pgMar w:top="1560" w:right="1434" w:bottom="1560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8A2" w:rsidRDefault="008378A2" w:rsidP="00AF23A3">
      <w:pPr>
        <w:spacing w:line="240" w:lineRule="auto"/>
      </w:pPr>
      <w:r>
        <w:separator/>
      </w:r>
    </w:p>
  </w:endnote>
  <w:endnote w:type="continuationSeparator" w:id="0">
    <w:p w:rsidR="008378A2" w:rsidRDefault="008378A2" w:rsidP="00AF23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8A2" w:rsidRDefault="008378A2" w:rsidP="00AF23A3">
      <w:pPr>
        <w:spacing w:line="240" w:lineRule="auto"/>
      </w:pPr>
      <w:r>
        <w:separator/>
      </w:r>
    </w:p>
  </w:footnote>
  <w:footnote w:type="continuationSeparator" w:id="0">
    <w:p w:rsidR="008378A2" w:rsidRDefault="008378A2" w:rsidP="00AF23A3">
      <w:pPr>
        <w:spacing w:line="240" w:lineRule="auto"/>
      </w:pPr>
      <w:r>
        <w:continuationSeparator/>
      </w:r>
    </w:p>
  </w:footnote>
  <w:footnote w:id="1">
    <w:p w:rsidR="00AF23A3" w:rsidRPr="002607EB" w:rsidRDefault="00AF23A3" w:rsidP="00032BCE">
      <w:pPr>
        <w:pStyle w:val="Tekstprzypisudolnego"/>
        <w:jc w:val="both"/>
        <w:rPr>
          <w:rFonts w:ascii="Tahoma" w:hAnsi="Tahoma" w:cs="Tahoma"/>
          <w:lang w:val="pl-PL"/>
        </w:rPr>
      </w:pPr>
      <w:r w:rsidRPr="002607EB">
        <w:rPr>
          <w:rStyle w:val="Odwoanieprzypisudolnego"/>
          <w:rFonts w:ascii="Tahoma" w:hAnsi="Tahoma" w:cs="Tahoma"/>
        </w:rPr>
        <w:footnoteRef/>
      </w:r>
      <w:r w:rsidRPr="002607EB">
        <w:rPr>
          <w:rFonts w:ascii="Tahoma" w:hAnsi="Tahoma" w:cs="Tahoma"/>
          <w:vertAlign w:val="superscript"/>
        </w:rPr>
        <w:t xml:space="preserve">) </w:t>
      </w:r>
      <w:r w:rsidRPr="00AF23A3">
        <w:rPr>
          <w:rFonts w:ascii="Tahoma" w:hAnsi="Tahoma" w:cs="Tahoma"/>
          <w:lang w:val="pl-PL"/>
        </w:rPr>
        <w:t>Zmiany tekstu jednolitego  wymienionej ustawy zostały ogłoszone w Dz. U. z 2016 r. poz. 1948, 1997 i 2255 oraz z 2017 r. poz. 460.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151" w:rsidRDefault="008A6876">
    <w:pPr>
      <w:pStyle w:val="Nagwek"/>
      <w:tabs>
        <w:tab w:val="clear" w:pos="9072"/>
        <w:tab w:val="right" w:pos="9028"/>
      </w:tabs>
      <w:jc w:val="center"/>
    </w:pPr>
    <w:r>
      <w:t xml:space="preserve">– </w:t>
    </w:r>
    <w:r>
      <w:fldChar w:fldCharType="begin"/>
    </w:r>
    <w:r>
      <w:instrText xml:space="preserve"> PAGE </w:instrText>
    </w:r>
    <w:r>
      <w:fldChar w:fldCharType="separate"/>
    </w:r>
    <w:r w:rsidR="00D17E9A">
      <w:rPr>
        <w:noProof/>
      </w:rPr>
      <w:t>8</w:t>
    </w:r>
    <w: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3A3"/>
    <w:rsid w:val="00032BCE"/>
    <w:rsid w:val="00132747"/>
    <w:rsid w:val="001827CD"/>
    <w:rsid w:val="002E49DD"/>
    <w:rsid w:val="006E77C8"/>
    <w:rsid w:val="008378A2"/>
    <w:rsid w:val="008A6876"/>
    <w:rsid w:val="009A2483"/>
    <w:rsid w:val="00AF23A3"/>
    <w:rsid w:val="00CD1E61"/>
    <w:rsid w:val="00D1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de-D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link w:val="NagwekZnak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Arial Unicode MS" w:hAnsi="Times" w:cs="Arial Unicode MS"/>
      <w:color w:val="000000"/>
      <w:kern w:val="1"/>
      <w:sz w:val="24"/>
      <w:szCs w:val="24"/>
      <w:u w:color="000000"/>
      <w:bdr w:val="nil"/>
      <w:lang w:val="de-DE" w:eastAsia="pl-PL"/>
    </w:rPr>
  </w:style>
  <w:style w:type="character" w:customStyle="1" w:styleId="NagwekZnak">
    <w:name w:val="Nagłówek Znak"/>
    <w:basedOn w:val="Domylnaczcionkaakapitu"/>
    <w:link w:val="Nagwek"/>
    <w:rsid w:val="00AF23A3"/>
    <w:rPr>
      <w:rFonts w:ascii="Times" w:eastAsia="Arial Unicode MS" w:hAnsi="Times" w:cs="Arial Unicode MS"/>
      <w:color w:val="000000"/>
      <w:kern w:val="1"/>
      <w:sz w:val="24"/>
      <w:szCs w:val="24"/>
      <w:u w:color="000000"/>
      <w:bdr w:val="nil"/>
      <w:lang w:val="de-DE" w:eastAsia="pl-PL"/>
    </w:rPr>
  </w:style>
  <w:style w:type="paragraph" w:customStyle="1" w:styleId="Nagwekistopka">
    <w:name w:val="Nagłówek i stopka"/>
    <w:rsid w:val="00AF23A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eastAsia="pl-PL"/>
    </w:rPr>
  </w:style>
  <w:style w:type="paragraph" w:customStyle="1" w:styleId="OZNPROJEKTUwskazaniedatylubwersjiprojektu">
    <w:name w:val="OZN_PROJEKTU – wskazanie daty lub wersji projektu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jc w:val="right"/>
    </w:pPr>
    <w:rPr>
      <w:rFonts w:ascii="Times New Roman" w:eastAsia="Arial Unicode MS" w:hAnsi="Times New Roman" w:cs="Arial Unicode MS"/>
      <w:color w:val="000000"/>
      <w:sz w:val="24"/>
      <w:szCs w:val="24"/>
      <w:u w:val="single" w:color="000000"/>
      <w:bdr w:val="nil"/>
      <w:lang w:val="de-DE"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AF23A3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120" w:line="360" w:lineRule="auto"/>
      <w:jc w:val="center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AF23A3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360" w:line="360" w:lineRule="auto"/>
      <w:jc w:val="center"/>
    </w:pPr>
    <w:rPr>
      <w:rFonts w:ascii="Times" w:eastAsia="Arial Unicode MS" w:hAnsi="Times" w:cs="Arial Unicode MS"/>
      <w:b/>
      <w:bCs/>
      <w:color w:val="000000"/>
      <w:sz w:val="24"/>
      <w:szCs w:val="24"/>
      <w:u w:color="000000"/>
      <w:bdr w:val="nil"/>
      <w:lang w:val="de-DE" w:eastAsia="pl-PL"/>
    </w:rPr>
  </w:style>
  <w:style w:type="paragraph" w:customStyle="1" w:styleId="ARTartustawynprozporzdzenia">
    <w:name w:val="ART(§) – art. ustawy (§ np. rozporządzenia)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0" w:line="360" w:lineRule="auto"/>
      <w:ind w:firstLine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PKTpunkt">
    <w:name w:val="PKT – punkt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510" w:hanging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rsid w:val="00AF23A3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360" w:lineRule="auto"/>
      <w:ind w:left="510"/>
      <w:jc w:val="center"/>
    </w:pPr>
    <w:rPr>
      <w:rFonts w:ascii="Times" w:eastAsia="Arial Unicode MS" w:hAnsi="Times" w:cs="Arial Unicode MS"/>
      <w:color w:val="000000"/>
      <w:kern w:val="24"/>
      <w:sz w:val="24"/>
      <w:szCs w:val="24"/>
      <w:u w:color="000000"/>
      <w:bdr w:val="nil"/>
      <w:lang w:val="de-DE" w:eastAsia="pl-PL"/>
    </w:rPr>
  </w:style>
  <w:style w:type="paragraph" w:customStyle="1" w:styleId="ZROZDZODDZPRZEDMzmprzedmrozdzoddzartykuempunktem">
    <w:name w:val="Z/ROZDZ(ODDZ)_PRZEDM – zm. przedm. rozdz. (oddz.) artykułem (punktem)"/>
    <w:next w:val="ZARTzmartartykuempunktem"/>
    <w:rsid w:val="00AF23A3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120" w:line="360" w:lineRule="auto"/>
      <w:ind w:left="510"/>
      <w:jc w:val="center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ZARTzmartartykuempunktem">
    <w:name w:val="Z/ART(§) – zm. art. (§) artykułem (punktem)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360" w:lineRule="auto"/>
      <w:ind w:left="510" w:firstLine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ZPKTzmpktartykuempunktem">
    <w:name w:val="Z/PKT – zm. pkt artykułem (punktem)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1020" w:hanging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ZUSTzmustartykuempunktem">
    <w:name w:val="Z/UST(§) – zm. ust. (§) artykułem (punktem)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360" w:lineRule="auto"/>
      <w:ind w:left="510" w:firstLine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DomylnaA">
    <w:name w:val="Domyślna A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de-DE" w:eastAsia="pl-PL"/>
    </w:rPr>
  </w:style>
  <w:style w:type="character" w:customStyle="1" w:styleId="Brak">
    <w:name w:val="Brak"/>
    <w:rsid w:val="00AF23A3"/>
  </w:style>
  <w:style w:type="character" w:customStyle="1" w:styleId="Hyperlink0">
    <w:name w:val="Hyperlink.0"/>
    <w:basedOn w:val="Brak"/>
    <w:rsid w:val="00AF23A3"/>
    <w:rPr>
      <w:rFonts w:ascii="Calibri" w:eastAsia="Calibri" w:hAnsi="Calibri" w:cs="Calibri"/>
      <w:b/>
      <w:bCs/>
      <w:color w:val="0C3F7F"/>
      <w:u w:color="0C3F7F"/>
      <w:lang w:val="de-D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F23A3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F23A3"/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val="de-DE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F23A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23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3A3"/>
    <w:rPr>
      <w:rFonts w:ascii="Segoe UI" w:eastAsia="Times New Roman" w:hAnsi="Segoe UI" w:cs="Segoe UI"/>
      <w:color w:val="000000"/>
      <w:sz w:val="18"/>
      <w:szCs w:val="18"/>
      <w:u w:color="000000"/>
      <w:bdr w:val="nil"/>
      <w:lang w:val="de-DE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de-D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link w:val="NagwekZnak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Arial Unicode MS" w:hAnsi="Times" w:cs="Arial Unicode MS"/>
      <w:color w:val="000000"/>
      <w:kern w:val="1"/>
      <w:sz w:val="24"/>
      <w:szCs w:val="24"/>
      <w:u w:color="000000"/>
      <w:bdr w:val="nil"/>
      <w:lang w:val="de-DE" w:eastAsia="pl-PL"/>
    </w:rPr>
  </w:style>
  <w:style w:type="character" w:customStyle="1" w:styleId="NagwekZnak">
    <w:name w:val="Nagłówek Znak"/>
    <w:basedOn w:val="Domylnaczcionkaakapitu"/>
    <w:link w:val="Nagwek"/>
    <w:rsid w:val="00AF23A3"/>
    <w:rPr>
      <w:rFonts w:ascii="Times" w:eastAsia="Arial Unicode MS" w:hAnsi="Times" w:cs="Arial Unicode MS"/>
      <w:color w:val="000000"/>
      <w:kern w:val="1"/>
      <w:sz w:val="24"/>
      <w:szCs w:val="24"/>
      <w:u w:color="000000"/>
      <w:bdr w:val="nil"/>
      <w:lang w:val="de-DE" w:eastAsia="pl-PL"/>
    </w:rPr>
  </w:style>
  <w:style w:type="paragraph" w:customStyle="1" w:styleId="Nagwekistopka">
    <w:name w:val="Nagłówek i stopka"/>
    <w:rsid w:val="00AF23A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eastAsia="pl-PL"/>
    </w:rPr>
  </w:style>
  <w:style w:type="paragraph" w:customStyle="1" w:styleId="OZNPROJEKTUwskazaniedatylubwersjiprojektu">
    <w:name w:val="OZN_PROJEKTU – wskazanie daty lub wersji projektu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jc w:val="right"/>
    </w:pPr>
    <w:rPr>
      <w:rFonts w:ascii="Times New Roman" w:eastAsia="Arial Unicode MS" w:hAnsi="Times New Roman" w:cs="Arial Unicode MS"/>
      <w:color w:val="000000"/>
      <w:sz w:val="24"/>
      <w:szCs w:val="24"/>
      <w:u w:val="single" w:color="000000"/>
      <w:bdr w:val="nil"/>
      <w:lang w:val="de-DE"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AF23A3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120" w:line="360" w:lineRule="auto"/>
      <w:jc w:val="center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AF23A3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360" w:line="360" w:lineRule="auto"/>
      <w:jc w:val="center"/>
    </w:pPr>
    <w:rPr>
      <w:rFonts w:ascii="Times" w:eastAsia="Arial Unicode MS" w:hAnsi="Times" w:cs="Arial Unicode MS"/>
      <w:b/>
      <w:bCs/>
      <w:color w:val="000000"/>
      <w:sz w:val="24"/>
      <w:szCs w:val="24"/>
      <w:u w:color="000000"/>
      <w:bdr w:val="nil"/>
      <w:lang w:val="de-DE" w:eastAsia="pl-PL"/>
    </w:rPr>
  </w:style>
  <w:style w:type="paragraph" w:customStyle="1" w:styleId="ARTartustawynprozporzdzenia">
    <w:name w:val="ART(§) – art. ustawy (§ np. rozporządzenia)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0" w:line="360" w:lineRule="auto"/>
      <w:ind w:firstLine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PKTpunkt">
    <w:name w:val="PKT – punkt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510" w:hanging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rsid w:val="00AF23A3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360" w:lineRule="auto"/>
      <w:ind w:left="510"/>
      <w:jc w:val="center"/>
    </w:pPr>
    <w:rPr>
      <w:rFonts w:ascii="Times" w:eastAsia="Arial Unicode MS" w:hAnsi="Times" w:cs="Arial Unicode MS"/>
      <w:color w:val="000000"/>
      <w:kern w:val="24"/>
      <w:sz w:val="24"/>
      <w:szCs w:val="24"/>
      <w:u w:color="000000"/>
      <w:bdr w:val="nil"/>
      <w:lang w:val="de-DE" w:eastAsia="pl-PL"/>
    </w:rPr>
  </w:style>
  <w:style w:type="paragraph" w:customStyle="1" w:styleId="ZROZDZODDZPRZEDMzmprzedmrozdzoddzartykuempunktem">
    <w:name w:val="Z/ROZDZ(ODDZ)_PRZEDM – zm. przedm. rozdz. (oddz.) artykułem (punktem)"/>
    <w:next w:val="ZARTzmartartykuempunktem"/>
    <w:rsid w:val="00AF23A3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120" w:line="360" w:lineRule="auto"/>
      <w:ind w:left="510"/>
      <w:jc w:val="center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ZARTzmartartykuempunktem">
    <w:name w:val="Z/ART(§) – zm. art. (§) artykułem (punktem)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360" w:lineRule="auto"/>
      <w:ind w:left="510" w:firstLine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ZPKTzmpktartykuempunktem">
    <w:name w:val="Z/PKT – zm. pkt artykułem (punktem)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1020" w:hanging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ZUSTzmustartykuempunktem">
    <w:name w:val="Z/UST(§) – zm. ust. (§) artykułem (punktem)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360" w:lineRule="auto"/>
      <w:ind w:left="510" w:firstLine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DomylnaA">
    <w:name w:val="Domyślna A"/>
    <w:rsid w:val="00AF23A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de-DE" w:eastAsia="pl-PL"/>
    </w:rPr>
  </w:style>
  <w:style w:type="character" w:customStyle="1" w:styleId="Brak">
    <w:name w:val="Brak"/>
    <w:rsid w:val="00AF23A3"/>
  </w:style>
  <w:style w:type="character" w:customStyle="1" w:styleId="Hyperlink0">
    <w:name w:val="Hyperlink.0"/>
    <w:basedOn w:val="Brak"/>
    <w:rsid w:val="00AF23A3"/>
    <w:rPr>
      <w:rFonts w:ascii="Calibri" w:eastAsia="Calibri" w:hAnsi="Calibri" w:cs="Calibri"/>
      <w:b/>
      <w:bCs/>
      <w:color w:val="0C3F7F"/>
      <w:u w:color="0C3F7F"/>
      <w:lang w:val="de-D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F23A3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F23A3"/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val="de-DE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F23A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23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3A3"/>
    <w:rPr>
      <w:rFonts w:ascii="Segoe UI" w:eastAsia="Times New Roman" w:hAnsi="Segoe UI" w:cs="Segoe UI"/>
      <w:color w:val="000000"/>
      <w:sz w:val="18"/>
      <w:szCs w:val="18"/>
      <w:u w:color="000000"/>
      <w:bdr w:val="nil"/>
      <w:lang w:val="de-D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sultacje.gov.pl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83DB1-CA77-482B-A8CB-2B97D5511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1909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Ewa A. Genert</cp:lastModifiedBy>
  <cp:revision>2</cp:revision>
  <cp:lastPrinted>2017-07-17T09:23:00Z</cp:lastPrinted>
  <dcterms:created xsi:type="dcterms:W3CDTF">2017-09-27T13:02:00Z</dcterms:created>
  <dcterms:modified xsi:type="dcterms:W3CDTF">2017-09-27T13:02:00Z</dcterms:modified>
</cp:coreProperties>
</file>