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0F6" w:rsidRPr="003556B1" w:rsidRDefault="003556B1" w:rsidP="004E4F94">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spacing w:line="360" w:lineRule="auto"/>
        <w:jc w:val="center"/>
        <w:rPr>
          <w:rFonts w:ascii="Times New Roman" w:hAnsi="Times New Roman"/>
          <w:bCs/>
          <w:snapToGrid/>
          <w:sz w:val="24"/>
          <w:szCs w:val="24"/>
        </w:rPr>
      </w:pPr>
      <w:bookmarkStart w:id="0" w:name="_GoBack"/>
      <w:bookmarkEnd w:id="0"/>
      <w:r w:rsidRPr="003556B1">
        <w:rPr>
          <w:rFonts w:ascii="Times New Roman" w:hAnsi="Times New Roman"/>
          <w:bCs/>
          <w:snapToGrid/>
          <w:sz w:val="24"/>
          <w:szCs w:val="24"/>
        </w:rPr>
        <w:t>UZASADNIENIE</w:t>
      </w:r>
    </w:p>
    <w:p w:rsidR="00C97E35" w:rsidRPr="004E4F94" w:rsidRDefault="00C97E35" w:rsidP="004E4F94">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spacing w:line="360" w:lineRule="auto"/>
        <w:jc w:val="center"/>
        <w:rPr>
          <w:rFonts w:ascii="Times New Roman" w:hAnsi="Times New Roman"/>
          <w:b/>
          <w:bCs/>
          <w:snapToGrid/>
          <w:sz w:val="24"/>
          <w:szCs w:val="24"/>
          <w:u w:val="single"/>
        </w:rPr>
      </w:pPr>
    </w:p>
    <w:p w:rsidR="00C97E35" w:rsidRPr="004E4F94" w:rsidRDefault="00C97E35" w:rsidP="004E4F94">
      <w:pPr>
        <w:pStyle w:val="Preformatted"/>
        <w:numPr>
          <w:ilvl w:val="0"/>
          <w:numId w:val="2"/>
        </w:numPr>
        <w:spacing w:line="360" w:lineRule="auto"/>
        <w:jc w:val="both"/>
        <w:rPr>
          <w:rFonts w:ascii="Times New Roman" w:hAnsi="Times New Roman"/>
          <w:b/>
          <w:bCs/>
          <w:sz w:val="24"/>
          <w:szCs w:val="24"/>
        </w:rPr>
      </w:pPr>
      <w:r w:rsidRPr="004E4F94">
        <w:rPr>
          <w:rFonts w:ascii="Times New Roman" w:hAnsi="Times New Roman"/>
          <w:b/>
          <w:bCs/>
          <w:sz w:val="24"/>
          <w:szCs w:val="24"/>
        </w:rPr>
        <w:t>Wstęp</w:t>
      </w:r>
    </w:p>
    <w:p w:rsidR="00AD38A9" w:rsidRPr="004E4F94" w:rsidRDefault="00AD38A9" w:rsidP="004E4F94">
      <w:pPr>
        <w:pStyle w:val="Preformatted"/>
        <w:spacing w:line="360" w:lineRule="auto"/>
        <w:ind w:left="357"/>
        <w:jc w:val="both"/>
        <w:rPr>
          <w:rFonts w:ascii="Times New Roman" w:hAnsi="Times New Roman"/>
          <w:sz w:val="24"/>
          <w:szCs w:val="24"/>
        </w:rPr>
      </w:pPr>
      <w:r w:rsidRPr="004E4F94">
        <w:rPr>
          <w:rFonts w:ascii="Times New Roman" w:hAnsi="Times New Roman"/>
          <w:sz w:val="24"/>
          <w:szCs w:val="24"/>
        </w:rPr>
        <w:t>W 2013</w:t>
      </w:r>
      <w:r w:rsidR="00193D3C">
        <w:rPr>
          <w:rFonts w:ascii="Times New Roman" w:hAnsi="Times New Roman"/>
          <w:sz w:val="24"/>
          <w:szCs w:val="24"/>
        </w:rPr>
        <w:t xml:space="preserve"> </w:t>
      </w:r>
      <w:r w:rsidRPr="004E4F94">
        <w:rPr>
          <w:rFonts w:ascii="Times New Roman" w:hAnsi="Times New Roman"/>
          <w:sz w:val="24"/>
          <w:szCs w:val="24"/>
        </w:rPr>
        <w:t>r.</w:t>
      </w:r>
      <w:r w:rsidR="0013449F">
        <w:rPr>
          <w:rFonts w:ascii="Times New Roman" w:hAnsi="Times New Roman"/>
          <w:sz w:val="24"/>
          <w:szCs w:val="24"/>
        </w:rPr>
        <w:t>,</w:t>
      </w:r>
      <w:r w:rsidRPr="004E4F94">
        <w:rPr>
          <w:rFonts w:ascii="Times New Roman" w:hAnsi="Times New Roman"/>
          <w:sz w:val="24"/>
          <w:szCs w:val="24"/>
        </w:rPr>
        <w:t xml:space="preserve"> kiedy susz tytoniowy uznano za wyrób akcyzowy i wprowadzono instytucję tzw. pośredniczącego podmiotu tytoniowego</w:t>
      </w:r>
      <w:r w:rsidR="0013449F">
        <w:rPr>
          <w:rFonts w:ascii="Times New Roman" w:hAnsi="Times New Roman"/>
          <w:sz w:val="24"/>
          <w:szCs w:val="24"/>
        </w:rPr>
        <w:t>,</w:t>
      </w:r>
      <w:r w:rsidRPr="004E4F94">
        <w:rPr>
          <w:rFonts w:ascii="Times New Roman" w:hAnsi="Times New Roman"/>
          <w:sz w:val="24"/>
          <w:szCs w:val="24"/>
        </w:rPr>
        <w:t xml:space="preserve"> sprzedaż krajowa wyrobów tytoniowych</w:t>
      </w:r>
      <w:r w:rsidRPr="004E4F94">
        <w:rPr>
          <w:rFonts w:ascii="Times New Roman" w:hAnsi="Times New Roman"/>
          <w:sz w:val="24"/>
          <w:szCs w:val="24"/>
          <w:vertAlign w:val="superscript"/>
        </w:rPr>
        <w:footnoteReference w:id="1"/>
      </w:r>
      <w:r w:rsidR="003556B1" w:rsidRPr="003556B1">
        <w:rPr>
          <w:rFonts w:ascii="Times New Roman" w:hAnsi="Times New Roman"/>
          <w:sz w:val="24"/>
          <w:szCs w:val="24"/>
          <w:vertAlign w:val="superscript"/>
        </w:rPr>
        <w:t>)</w:t>
      </w:r>
      <w:r w:rsidRPr="004E4F94">
        <w:rPr>
          <w:rFonts w:ascii="Times New Roman" w:hAnsi="Times New Roman"/>
          <w:sz w:val="24"/>
          <w:szCs w:val="24"/>
        </w:rPr>
        <w:t xml:space="preserve"> wynosiła 46,8 mln szt. papierosów oraz 2,2 tys. ton tytoniu do palenia przy skupie wynoszącym 25,9 tys. ton</w:t>
      </w:r>
      <w:r w:rsidRPr="004E4F94">
        <w:rPr>
          <w:rFonts w:ascii="Times New Roman" w:hAnsi="Times New Roman"/>
          <w:sz w:val="24"/>
          <w:szCs w:val="24"/>
          <w:vertAlign w:val="superscript"/>
        </w:rPr>
        <w:footnoteReference w:id="2"/>
      </w:r>
      <w:r w:rsidR="003556B1" w:rsidRPr="003556B1">
        <w:rPr>
          <w:rFonts w:ascii="Times New Roman" w:hAnsi="Times New Roman"/>
          <w:sz w:val="24"/>
          <w:szCs w:val="24"/>
          <w:vertAlign w:val="superscript"/>
        </w:rPr>
        <w:t>)</w:t>
      </w:r>
      <w:r w:rsidRPr="004E4F94">
        <w:rPr>
          <w:rFonts w:ascii="Times New Roman" w:hAnsi="Times New Roman"/>
          <w:sz w:val="24"/>
          <w:szCs w:val="24"/>
        </w:rPr>
        <w:t xml:space="preserve"> tytoniu. W</w:t>
      </w:r>
      <w:r w:rsidR="003556B1">
        <w:rPr>
          <w:rFonts w:ascii="Times New Roman" w:hAnsi="Times New Roman"/>
          <w:sz w:val="24"/>
          <w:szCs w:val="24"/>
        </w:rPr>
        <w:t xml:space="preserve"> 2015 r. było to odpowiednio 41 </w:t>
      </w:r>
      <w:r w:rsidRPr="004E4F94">
        <w:rPr>
          <w:rFonts w:ascii="Times New Roman" w:hAnsi="Times New Roman"/>
          <w:sz w:val="24"/>
          <w:szCs w:val="24"/>
        </w:rPr>
        <w:t>mln szt. papierosów oraz 2,4 tys. ton tytoniu d</w:t>
      </w:r>
      <w:r w:rsidR="003556B1">
        <w:rPr>
          <w:rFonts w:ascii="Times New Roman" w:hAnsi="Times New Roman"/>
          <w:sz w:val="24"/>
          <w:szCs w:val="24"/>
        </w:rPr>
        <w:t>o palenia przy skupie 26,2 tys. </w:t>
      </w:r>
      <w:r w:rsidRPr="004E4F94">
        <w:rPr>
          <w:rFonts w:ascii="Times New Roman" w:hAnsi="Times New Roman"/>
          <w:sz w:val="24"/>
          <w:szCs w:val="24"/>
        </w:rPr>
        <w:t>ton</w:t>
      </w:r>
      <w:r w:rsidRPr="004E4F94">
        <w:rPr>
          <w:rFonts w:ascii="Times New Roman" w:hAnsi="Times New Roman"/>
          <w:sz w:val="24"/>
          <w:szCs w:val="24"/>
          <w:vertAlign w:val="superscript"/>
        </w:rPr>
        <w:footnoteReference w:id="3"/>
      </w:r>
      <w:r w:rsidR="003556B1" w:rsidRPr="003556B1">
        <w:rPr>
          <w:rFonts w:ascii="Times New Roman" w:hAnsi="Times New Roman"/>
          <w:sz w:val="24"/>
          <w:szCs w:val="24"/>
          <w:vertAlign w:val="superscript"/>
        </w:rPr>
        <w:t>)</w:t>
      </w:r>
      <w:r w:rsidRPr="004E4F94">
        <w:rPr>
          <w:rFonts w:ascii="Times New Roman" w:hAnsi="Times New Roman"/>
          <w:sz w:val="24"/>
          <w:szCs w:val="24"/>
        </w:rPr>
        <w:t xml:space="preserve"> tytoniu.</w:t>
      </w:r>
    </w:p>
    <w:p w:rsidR="00AD38A9" w:rsidRPr="004E4F94" w:rsidRDefault="00AD38A9" w:rsidP="004E4F94">
      <w:pPr>
        <w:pStyle w:val="Preformatted"/>
        <w:spacing w:line="360" w:lineRule="auto"/>
        <w:ind w:left="357"/>
        <w:jc w:val="both"/>
        <w:rPr>
          <w:rFonts w:ascii="Times New Roman" w:hAnsi="Times New Roman"/>
          <w:sz w:val="24"/>
          <w:szCs w:val="24"/>
        </w:rPr>
      </w:pPr>
      <w:r w:rsidRPr="004E4F94">
        <w:rPr>
          <w:rFonts w:ascii="Times New Roman" w:hAnsi="Times New Roman"/>
          <w:sz w:val="24"/>
          <w:szCs w:val="24"/>
        </w:rPr>
        <w:t xml:space="preserve">Rejestr pierwszych przetwórców surowca </w:t>
      </w:r>
      <w:r w:rsidR="003556B1">
        <w:rPr>
          <w:rFonts w:ascii="Times New Roman" w:hAnsi="Times New Roman"/>
          <w:sz w:val="24"/>
          <w:szCs w:val="24"/>
        </w:rPr>
        <w:t>tytoniu ogłaszany w latach 2012–</w:t>
      </w:r>
      <w:r w:rsidRPr="004E4F94">
        <w:rPr>
          <w:rFonts w:ascii="Times New Roman" w:hAnsi="Times New Roman"/>
          <w:sz w:val="24"/>
          <w:szCs w:val="24"/>
        </w:rPr>
        <w:t>2015 przez Ministra Rolnictwa i Rozwoju Wsi wskazywał od 8 do 15 takich podmiotów.</w:t>
      </w:r>
    </w:p>
    <w:p w:rsidR="00AD38A9" w:rsidRPr="004E4F94" w:rsidRDefault="00AD38A9" w:rsidP="004E4F94">
      <w:pPr>
        <w:pStyle w:val="Preformatted"/>
        <w:spacing w:line="360" w:lineRule="auto"/>
        <w:ind w:left="357"/>
        <w:jc w:val="both"/>
        <w:rPr>
          <w:rFonts w:ascii="Times New Roman" w:hAnsi="Times New Roman"/>
          <w:sz w:val="24"/>
          <w:szCs w:val="24"/>
        </w:rPr>
      </w:pPr>
      <w:r w:rsidRPr="004E4F94">
        <w:rPr>
          <w:rFonts w:ascii="Times New Roman" w:hAnsi="Times New Roman"/>
          <w:sz w:val="24"/>
          <w:szCs w:val="24"/>
        </w:rPr>
        <w:t>Na początku ob</w:t>
      </w:r>
      <w:r w:rsidR="0013449F">
        <w:rPr>
          <w:rFonts w:ascii="Times New Roman" w:hAnsi="Times New Roman"/>
          <w:sz w:val="24"/>
          <w:szCs w:val="24"/>
        </w:rPr>
        <w:t>o</w:t>
      </w:r>
      <w:r w:rsidRPr="004E4F94">
        <w:rPr>
          <w:rFonts w:ascii="Times New Roman" w:hAnsi="Times New Roman"/>
          <w:sz w:val="24"/>
          <w:szCs w:val="24"/>
        </w:rPr>
        <w:t>wiązywania instytucji pośredniczącego podmiotu tytoniowego zarejestrowanych było 51 takich podmiotów, obecnie jest ich 15.</w:t>
      </w:r>
    </w:p>
    <w:p w:rsidR="00AD38A9" w:rsidRPr="004E4F94" w:rsidRDefault="00C94D35" w:rsidP="004E4F94">
      <w:pPr>
        <w:pStyle w:val="Preformatted"/>
        <w:spacing w:line="360" w:lineRule="auto"/>
        <w:ind w:left="357"/>
        <w:jc w:val="both"/>
        <w:rPr>
          <w:rFonts w:ascii="Times New Roman" w:hAnsi="Times New Roman"/>
          <w:sz w:val="24"/>
          <w:szCs w:val="24"/>
        </w:rPr>
      </w:pPr>
      <w:r w:rsidRPr="004E4F94">
        <w:rPr>
          <w:rFonts w:ascii="Times New Roman" w:hAnsi="Times New Roman"/>
          <w:sz w:val="24"/>
          <w:szCs w:val="24"/>
        </w:rPr>
        <w:t>Liczba</w:t>
      </w:r>
      <w:r w:rsidR="00AD38A9" w:rsidRPr="004E4F94">
        <w:rPr>
          <w:rFonts w:ascii="Times New Roman" w:hAnsi="Times New Roman"/>
          <w:sz w:val="24"/>
          <w:szCs w:val="24"/>
        </w:rPr>
        <w:t xml:space="preserve"> pośredniczących podmiotów tytoniowych, zważywszy na wielkość produkcji tytoniu wcześniej i obecnie, wydaje się być więc adekwatna do możliwości tych podmiotów w zakresie skupu tytoniu, w sposób bezpieczny dla producentów tego tytoniu, jak również dla budżetu państwa.</w:t>
      </w:r>
    </w:p>
    <w:p w:rsidR="002F40AA" w:rsidRPr="004E4F94" w:rsidRDefault="002F40AA" w:rsidP="004E4F94">
      <w:pPr>
        <w:pStyle w:val="Preformatted"/>
        <w:spacing w:line="360" w:lineRule="auto"/>
        <w:ind w:left="357"/>
        <w:jc w:val="both"/>
        <w:rPr>
          <w:rFonts w:ascii="Times New Roman" w:hAnsi="Times New Roman"/>
          <w:sz w:val="24"/>
          <w:szCs w:val="24"/>
        </w:rPr>
      </w:pPr>
      <w:r w:rsidRPr="004E4F94">
        <w:rPr>
          <w:rFonts w:ascii="Times New Roman" w:hAnsi="Times New Roman"/>
          <w:sz w:val="24"/>
          <w:szCs w:val="24"/>
        </w:rPr>
        <w:t>W wyniku nowelizacji ustawy o podatku akcyzowym wprowadzonej od 1 stycznia 2016</w:t>
      </w:r>
      <w:r w:rsidR="003556B1">
        <w:rPr>
          <w:rFonts w:ascii="Times New Roman" w:hAnsi="Times New Roman"/>
          <w:sz w:val="24"/>
          <w:szCs w:val="24"/>
        </w:rPr>
        <w:t xml:space="preserve"> </w:t>
      </w:r>
      <w:r w:rsidRPr="004E4F94">
        <w:rPr>
          <w:rFonts w:ascii="Times New Roman" w:hAnsi="Times New Roman"/>
          <w:sz w:val="24"/>
          <w:szCs w:val="24"/>
        </w:rPr>
        <w:t>r. zabezpieczenie akcyzowe składane przez pośredniczące podmioty tytoniowe prowadzące działalność gospodarczą w zakresie suszu tytoniowego ma zagwarantować pokrycie zobowiązań po</w:t>
      </w:r>
      <w:r w:rsidR="003556B1">
        <w:rPr>
          <w:rFonts w:ascii="Times New Roman" w:hAnsi="Times New Roman"/>
          <w:sz w:val="24"/>
          <w:szCs w:val="24"/>
        </w:rPr>
        <w:t>datkowych, które mogą powstać w </w:t>
      </w:r>
      <w:r w:rsidRPr="004E4F94">
        <w:rPr>
          <w:rFonts w:ascii="Times New Roman" w:hAnsi="Times New Roman"/>
          <w:sz w:val="24"/>
          <w:szCs w:val="24"/>
        </w:rPr>
        <w:t>przypadku dokonania przez te podmioty czynności podlegającej opodatkowaniu akcyzą, np. sprzedaży suszu tytoniowego podmiotowi niebędącemu podmiotem prowadzącym skład podatkowy, który zużywa susz tytoniowy do produkcji wyrobów tytoniowych lub podmiotowi niebędącemu pośredniczącym podmiotem tytoniowym.</w:t>
      </w:r>
    </w:p>
    <w:p w:rsidR="002F40AA" w:rsidRPr="004E4F94" w:rsidRDefault="002F40AA" w:rsidP="004E4F94">
      <w:pPr>
        <w:pStyle w:val="Preformatted"/>
        <w:spacing w:line="360" w:lineRule="auto"/>
        <w:ind w:left="357"/>
        <w:jc w:val="both"/>
        <w:rPr>
          <w:rFonts w:ascii="Times New Roman" w:hAnsi="Times New Roman"/>
          <w:sz w:val="24"/>
          <w:szCs w:val="24"/>
        </w:rPr>
      </w:pPr>
      <w:r w:rsidRPr="004E4F94">
        <w:rPr>
          <w:rFonts w:ascii="Times New Roman" w:hAnsi="Times New Roman"/>
          <w:sz w:val="24"/>
          <w:szCs w:val="24"/>
        </w:rPr>
        <w:t>Na rynku działają pośredniczące podmioty tytoniowe, których sytuacja finansowa i</w:t>
      </w:r>
      <w:r w:rsidR="003556B1">
        <w:rPr>
          <w:rFonts w:ascii="Times New Roman" w:hAnsi="Times New Roman"/>
          <w:sz w:val="24"/>
          <w:szCs w:val="24"/>
        </w:rPr>
        <w:t> </w:t>
      </w:r>
      <w:r w:rsidRPr="004E4F94">
        <w:rPr>
          <w:rFonts w:ascii="Times New Roman" w:hAnsi="Times New Roman"/>
          <w:sz w:val="24"/>
          <w:szCs w:val="24"/>
        </w:rPr>
        <w:t xml:space="preserve">posiadany majątek zapewniają wywiązywanie się z zobowiązań podatkowych. </w:t>
      </w:r>
    </w:p>
    <w:p w:rsidR="002F40AA" w:rsidRPr="004E4F94" w:rsidRDefault="002F40AA" w:rsidP="004E4F94">
      <w:pPr>
        <w:pStyle w:val="Preformatted"/>
        <w:spacing w:line="360" w:lineRule="auto"/>
        <w:ind w:left="357"/>
        <w:jc w:val="both"/>
        <w:rPr>
          <w:rFonts w:ascii="Times New Roman" w:hAnsi="Times New Roman"/>
          <w:sz w:val="24"/>
          <w:szCs w:val="24"/>
        </w:rPr>
      </w:pPr>
      <w:r w:rsidRPr="004E4F94">
        <w:rPr>
          <w:rFonts w:ascii="Times New Roman" w:hAnsi="Times New Roman"/>
          <w:sz w:val="24"/>
          <w:szCs w:val="24"/>
        </w:rPr>
        <w:lastRenderedPageBreak/>
        <w:t xml:space="preserve">Obserwowany jest ponadto spadek szarej strefy na </w:t>
      </w:r>
      <w:r w:rsidR="003556B1">
        <w:rPr>
          <w:rFonts w:ascii="Times New Roman" w:hAnsi="Times New Roman"/>
          <w:sz w:val="24"/>
          <w:szCs w:val="24"/>
        </w:rPr>
        <w:t>rynku papierosów z poziomu 18,2</w:t>
      </w:r>
      <w:r w:rsidRPr="004E4F94">
        <w:rPr>
          <w:rFonts w:ascii="Times New Roman" w:hAnsi="Times New Roman"/>
          <w:sz w:val="24"/>
          <w:szCs w:val="24"/>
        </w:rPr>
        <w:t xml:space="preserve">% ogólnego spożycia papierosów w IV kwartale 2015 r. do 17,2% w II kwartale 2016 r., 16,4% w III kwartale 2016 r. oraz około 14,6% w ostatnim kwartale 2016 r. </w:t>
      </w:r>
    </w:p>
    <w:p w:rsidR="0011357F" w:rsidRPr="004E4F94" w:rsidRDefault="0011357F" w:rsidP="004E4F94">
      <w:pPr>
        <w:snapToGrid w:val="0"/>
        <w:spacing w:line="360" w:lineRule="auto"/>
        <w:ind w:left="357"/>
        <w:jc w:val="both"/>
        <w:rPr>
          <w:rFonts w:eastAsiaTheme="minorHAnsi"/>
        </w:rPr>
      </w:pPr>
      <w:r w:rsidRPr="004E4F94">
        <w:rPr>
          <w:rFonts w:eastAsiaTheme="minorHAnsi"/>
        </w:rPr>
        <w:t>Konsekwencją spadku szarej strefy jest obserwowany wzrost legalnej sprzedaży wyrobów tytoniowych. Analiza sprzedaży papierosów w roku 2016 wykazuje tendencję wzrostową w porównaniu do 2015 r. o 1,1%. Nieznaczny wzrost wskazuje na odwrócenie tendencji spadkowej z lat ubiegłych. Również analogiczna analiza sprzedaży tytoniu do palenia wykazała wzrost o 8,3% w porównaniu do 2015 r. W</w:t>
      </w:r>
      <w:r w:rsidR="003556B1">
        <w:rPr>
          <w:rFonts w:eastAsiaTheme="minorHAnsi"/>
        </w:rPr>
        <w:t> </w:t>
      </w:r>
      <w:r w:rsidR="00765850" w:rsidRPr="004E4F94">
        <w:rPr>
          <w:rFonts w:eastAsiaTheme="minorHAnsi"/>
        </w:rPr>
        <w:t>przypadku sprzedaży tytoniu do</w:t>
      </w:r>
      <w:r w:rsidR="003556B1">
        <w:rPr>
          <w:rFonts w:eastAsiaTheme="minorHAnsi"/>
        </w:rPr>
        <w:t xml:space="preserve"> </w:t>
      </w:r>
      <w:r w:rsidRPr="004E4F94">
        <w:rPr>
          <w:rFonts w:eastAsiaTheme="minorHAnsi"/>
        </w:rPr>
        <w:t>palenia jest to drugi z kolei rok, w którym nastąpił wzrost konsumpcji tego wyrobu.</w:t>
      </w:r>
    </w:p>
    <w:p w:rsidR="00116BC9" w:rsidRPr="004E4F94" w:rsidRDefault="00116BC9" w:rsidP="004E4F94">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spacing w:line="360" w:lineRule="auto"/>
        <w:ind w:left="357"/>
        <w:jc w:val="both"/>
        <w:rPr>
          <w:rFonts w:ascii="Times New Roman" w:hAnsi="Times New Roman"/>
          <w:sz w:val="24"/>
          <w:szCs w:val="24"/>
        </w:rPr>
      </w:pPr>
      <w:r w:rsidRPr="004E4F94">
        <w:rPr>
          <w:rFonts w:ascii="Times New Roman" w:hAnsi="Times New Roman"/>
          <w:sz w:val="24"/>
          <w:szCs w:val="24"/>
        </w:rPr>
        <w:t xml:space="preserve">Dodać należy, iż branża tytoniowa ma kluczowe </w:t>
      </w:r>
      <w:r w:rsidR="003556B1">
        <w:rPr>
          <w:rFonts w:ascii="Times New Roman" w:hAnsi="Times New Roman"/>
          <w:sz w:val="24"/>
          <w:szCs w:val="24"/>
        </w:rPr>
        <w:t>znaczenie dla budżetu państwa z </w:t>
      </w:r>
      <w:r w:rsidRPr="004E4F94">
        <w:rPr>
          <w:rFonts w:ascii="Times New Roman" w:hAnsi="Times New Roman"/>
          <w:sz w:val="24"/>
          <w:szCs w:val="24"/>
        </w:rPr>
        <w:t xml:space="preserve">uwagi na duży udział </w:t>
      </w:r>
      <w:r w:rsidR="0011357F" w:rsidRPr="004E4F94">
        <w:rPr>
          <w:rFonts w:ascii="Times New Roman" w:hAnsi="Times New Roman"/>
          <w:sz w:val="24"/>
          <w:szCs w:val="24"/>
        </w:rPr>
        <w:t>akcyzy</w:t>
      </w:r>
      <w:r w:rsidRPr="004E4F94">
        <w:rPr>
          <w:rFonts w:ascii="Times New Roman" w:hAnsi="Times New Roman"/>
          <w:sz w:val="24"/>
          <w:szCs w:val="24"/>
        </w:rPr>
        <w:t xml:space="preserve"> od wyrobów tytoniowych w o</w:t>
      </w:r>
      <w:r w:rsidR="00F96768" w:rsidRPr="004E4F94">
        <w:rPr>
          <w:rFonts w:ascii="Times New Roman" w:hAnsi="Times New Roman"/>
          <w:sz w:val="24"/>
          <w:szCs w:val="24"/>
        </w:rPr>
        <w:t>gólnych wpływach budżetowych. W</w:t>
      </w:r>
      <w:r w:rsidR="003556B1">
        <w:rPr>
          <w:rFonts w:ascii="Times New Roman" w:hAnsi="Times New Roman"/>
          <w:sz w:val="24"/>
          <w:szCs w:val="24"/>
        </w:rPr>
        <w:t xml:space="preserve"> </w:t>
      </w:r>
      <w:r w:rsidRPr="004E4F94">
        <w:rPr>
          <w:rFonts w:ascii="Times New Roman" w:hAnsi="Times New Roman"/>
          <w:sz w:val="24"/>
          <w:szCs w:val="24"/>
        </w:rPr>
        <w:t xml:space="preserve">2015 r. budżet państwa z </w:t>
      </w:r>
      <w:r w:rsidR="003556B1">
        <w:rPr>
          <w:rFonts w:ascii="Times New Roman" w:hAnsi="Times New Roman"/>
          <w:sz w:val="24"/>
          <w:szCs w:val="24"/>
        </w:rPr>
        <w:t>tytułu akcyzy uzyskał dochody w </w:t>
      </w:r>
      <w:r w:rsidRPr="004E4F94">
        <w:rPr>
          <w:rFonts w:ascii="Times New Roman" w:hAnsi="Times New Roman"/>
          <w:sz w:val="24"/>
          <w:szCs w:val="24"/>
        </w:rPr>
        <w:t>wysokości 62,8 mld zł, w</w:t>
      </w:r>
      <w:r w:rsidR="003556B1">
        <w:rPr>
          <w:rFonts w:ascii="Times New Roman" w:hAnsi="Times New Roman"/>
          <w:sz w:val="24"/>
          <w:szCs w:val="24"/>
        </w:rPr>
        <w:t xml:space="preserve"> </w:t>
      </w:r>
      <w:r w:rsidRPr="004E4F94">
        <w:rPr>
          <w:rFonts w:ascii="Times New Roman" w:hAnsi="Times New Roman"/>
          <w:sz w:val="24"/>
          <w:szCs w:val="24"/>
        </w:rPr>
        <w:t>tym z akcyzy na wyroby tytoniowe 17,8 mld zł</w:t>
      </w:r>
      <w:r w:rsidR="007C208C" w:rsidRPr="004E4F94">
        <w:rPr>
          <w:rFonts w:ascii="Times New Roman" w:hAnsi="Times New Roman"/>
          <w:sz w:val="24"/>
          <w:szCs w:val="24"/>
        </w:rPr>
        <w:t>.</w:t>
      </w:r>
      <w:r w:rsidRPr="004E4F94">
        <w:rPr>
          <w:rFonts w:ascii="Times New Roman" w:hAnsi="Times New Roman"/>
          <w:sz w:val="24"/>
          <w:szCs w:val="24"/>
        </w:rPr>
        <w:t xml:space="preserve"> </w:t>
      </w:r>
      <w:r w:rsidR="001A797D" w:rsidRPr="004E4F94">
        <w:rPr>
          <w:rFonts w:ascii="Times New Roman" w:hAnsi="Times New Roman"/>
          <w:sz w:val="24"/>
          <w:szCs w:val="24"/>
        </w:rPr>
        <w:t>W</w:t>
      </w:r>
      <w:r w:rsidR="001A797D">
        <w:rPr>
          <w:rFonts w:ascii="Times New Roman" w:hAnsi="Times New Roman"/>
          <w:sz w:val="24"/>
          <w:szCs w:val="24"/>
        </w:rPr>
        <w:t> </w:t>
      </w:r>
      <w:r w:rsidR="00933EB6" w:rsidRPr="004E4F94">
        <w:rPr>
          <w:rFonts w:ascii="Times New Roman" w:hAnsi="Times New Roman"/>
          <w:sz w:val="24"/>
          <w:szCs w:val="24"/>
        </w:rPr>
        <w:t xml:space="preserve">2016 </w:t>
      </w:r>
      <w:r w:rsidR="0013449F">
        <w:rPr>
          <w:rFonts w:ascii="Times New Roman" w:hAnsi="Times New Roman"/>
          <w:sz w:val="24"/>
          <w:szCs w:val="24"/>
        </w:rPr>
        <w:t>r.</w:t>
      </w:r>
      <w:r w:rsidR="001A797D">
        <w:rPr>
          <w:rFonts w:ascii="Times New Roman" w:hAnsi="Times New Roman"/>
          <w:sz w:val="24"/>
          <w:szCs w:val="24"/>
        </w:rPr>
        <w:t xml:space="preserve"> </w:t>
      </w:r>
      <w:r w:rsidR="00933EB6" w:rsidRPr="004E4F94">
        <w:rPr>
          <w:rFonts w:ascii="Times New Roman" w:hAnsi="Times New Roman"/>
          <w:sz w:val="24"/>
          <w:szCs w:val="24"/>
        </w:rPr>
        <w:t>dochody z akcyzy na</w:t>
      </w:r>
      <w:r w:rsidR="003556B1">
        <w:rPr>
          <w:rFonts w:ascii="Times New Roman" w:hAnsi="Times New Roman"/>
          <w:sz w:val="24"/>
          <w:szCs w:val="24"/>
        </w:rPr>
        <w:t xml:space="preserve"> </w:t>
      </w:r>
      <w:r w:rsidR="00933EB6" w:rsidRPr="004E4F94">
        <w:rPr>
          <w:rFonts w:ascii="Times New Roman" w:hAnsi="Times New Roman"/>
          <w:sz w:val="24"/>
          <w:szCs w:val="24"/>
        </w:rPr>
        <w:t xml:space="preserve">wyroby tytoniowe wyniosły </w:t>
      </w:r>
      <w:r w:rsidR="0011357F" w:rsidRPr="004E4F94">
        <w:rPr>
          <w:rFonts w:ascii="Times New Roman" w:hAnsi="Times New Roman"/>
          <w:sz w:val="24"/>
          <w:szCs w:val="24"/>
        </w:rPr>
        <w:t>18,5 mld zł.</w:t>
      </w:r>
    </w:p>
    <w:p w:rsidR="00C94D35" w:rsidRPr="004E4F94" w:rsidRDefault="00C94D35" w:rsidP="004E4F94">
      <w:pPr>
        <w:pStyle w:val="Preformatted"/>
        <w:spacing w:line="360" w:lineRule="auto"/>
        <w:ind w:left="357"/>
        <w:jc w:val="both"/>
        <w:rPr>
          <w:rFonts w:ascii="Times New Roman" w:hAnsi="Times New Roman"/>
          <w:sz w:val="24"/>
          <w:szCs w:val="24"/>
        </w:rPr>
      </w:pPr>
      <w:r w:rsidRPr="004E4F94">
        <w:rPr>
          <w:rFonts w:ascii="Times New Roman" w:hAnsi="Times New Roman"/>
          <w:sz w:val="24"/>
          <w:szCs w:val="24"/>
        </w:rPr>
        <w:t xml:space="preserve">Wzmożenie działań służb kontrolnych powinno obejmować również bardziej efektywną kontrolę w zakresie suszu tytoniowego. Nielegalny obrót wyrobami tytoniowymi jest jedną z najbardziej dochodowych sfer szarej </w:t>
      </w:r>
      <w:r w:rsidR="0013449F">
        <w:rPr>
          <w:rFonts w:ascii="Times New Roman" w:hAnsi="Times New Roman"/>
          <w:sz w:val="24"/>
          <w:szCs w:val="24"/>
        </w:rPr>
        <w:t>s</w:t>
      </w:r>
      <w:r w:rsidRPr="004E4F94">
        <w:rPr>
          <w:rFonts w:ascii="Times New Roman" w:hAnsi="Times New Roman"/>
          <w:sz w:val="24"/>
          <w:szCs w:val="24"/>
        </w:rPr>
        <w:t>trefy. Zjawisko to powoduje znaczące straty finansowe dla budżetu krajowego.</w:t>
      </w:r>
    </w:p>
    <w:p w:rsidR="007422C8" w:rsidRPr="004E4F94" w:rsidRDefault="007422C8" w:rsidP="004E4F94">
      <w:pPr>
        <w:numPr>
          <w:ilvl w:val="0"/>
          <w:numId w:val="2"/>
        </w:numPr>
        <w:autoSpaceDE w:val="0"/>
        <w:autoSpaceDN w:val="0"/>
        <w:adjustRightInd w:val="0"/>
        <w:spacing w:line="360" w:lineRule="auto"/>
        <w:ind w:left="357" w:hanging="357"/>
        <w:contextualSpacing/>
        <w:jc w:val="both"/>
        <w:rPr>
          <w:b/>
          <w:bCs/>
        </w:rPr>
      </w:pPr>
      <w:r w:rsidRPr="004E4F94">
        <w:rPr>
          <w:b/>
          <w:bCs/>
        </w:rPr>
        <w:t xml:space="preserve">Ustawy nowelizowane niniejszą ustawą </w:t>
      </w:r>
    </w:p>
    <w:p w:rsidR="007422C8" w:rsidRPr="004E4F94" w:rsidRDefault="007422C8" w:rsidP="004E4F94">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line="360" w:lineRule="auto"/>
        <w:ind w:left="357"/>
        <w:jc w:val="both"/>
      </w:pPr>
      <w:r w:rsidRPr="004E4F94">
        <w:t>Ustawa o zmianie ustawy o podatku akcyzowym oraz ustawy o organizacji niektórych rynków rolnych wprowadza zmiany w ustawie:</w:t>
      </w:r>
    </w:p>
    <w:p w:rsidR="007422C8" w:rsidRPr="004E4F94" w:rsidRDefault="007422C8" w:rsidP="004E4F94">
      <w:pPr>
        <w:numPr>
          <w:ilvl w:val="0"/>
          <w:numId w:val="12"/>
        </w:num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line="360" w:lineRule="auto"/>
        <w:ind w:left="717"/>
        <w:jc w:val="both"/>
      </w:pPr>
      <w:r w:rsidRPr="004E4F94">
        <w:t>z dnia 6 grudnia 2008 r. o podatku akcyzowym (Dz</w:t>
      </w:r>
      <w:r w:rsidR="003556B1">
        <w:t>. U. z 2017 r. poz. 43, z późn. </w:t>
      </w:r>
      <w:r w:rsidRPr="004E4F94">
        <w:t>zm.)</w:t>
      </w:r>
      <w:r w:rsidR="0013449F">
        <w:t>;</w:t>
      </w:r>
    </w:p>
    <w:p w:rsidR="007422C8" w:rsidRPr="004E4F94" w:rsidRDefault="007422C8" w:rsidP="004E4F94">
      <w:pPr>
        <w:numPr>
          <w:ilvl w:val="0"/>
          <w:numId w:val="12"/>
        </w:num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line="360" w:lineRule="auto"/>
        <w:ind w:left="717"/>
        <w:jc w:val="both"/>
      </w:pPr>
      <w:r w:rsidRPr="004E4F94">
        <w:t>z dnia 11 marca 2004 r. o organizacji niektóryc</w:t>
      </w:r>
      <w:r w:rsidR="003556B1">
        <w:t>h rynków rolnych (Dz. U. z 2017 </w:t>
      </w:r>
      <w:r w:rsidRPr="004E4F94">
        <w:t>r. poz. 1006</w:t>
      </w:r>
      <w:r w:rsidR="00274C86" w:rsidRPr="004E4F94">
        <w:t xml:space="preserve"> i 1503</w:t>
      </w:r>
      <w:r w:rsidRPr="004E4F94">
        <w:t>).</w:t>
      </w:r>
    </w:p>
    <w:p w:rsidR="005059CC" w:rsidRPr="004E4F94" w:rsidRDefault="007C208C" w:rsidP="004E4F94">
      <w:pPr>
        <w:pStyle w:val="Akapitzlist"/>
        <w:numPr>
          <w:ilvl w:val="1"/>
          <w:numId w:val="8"/>
        </w:numPr>
        <w:autoSpaceDE w:val="0"/>
        <w:autoSpaceDN w:val="0"/>
        <w:adjustRightInd w:val="0"/>
        <w:spacing w:line="360" w:lineRule="auto"/>
        <w:ind w:left="431" w:hanging="431"/>
        <w:jc w:val="both"/>
        <w:rPr>
          <w:b/>
          <w:bCs/>
        </w:rPr>
      </w:pPr>
      <w:r w:rsidRPr="004E4F94">
        <w:rPr>
          <w:b/>
          <w:bCs/>
        </w:rPr>
        <w:t xml:space="preserve">Nowelizacja </w:t>
      </w:r>
      <w:r w:rsidR="00C52BF6" w:rsidRPr="004E4F94">
        <w:rPr>
          <w:b/>
          <w:bCs/>
        </w:rPr>
        <w:t>ustawy o podatku akcyzowym</w:t>
      </w:r>
    </w:p>
    <w:p w:rsidR="00CB7125" w:rsidRPr="004E4F94" w:rsidRDefault="00CB7125" w:rsidP="004E4F94">
      <w:pPr>
        <w:autoSpaceDE w:val="0"/>
        <w:autoSpaceDN w:val="0"/>
        <w:adjustRightInd w:val="0"/>
        <w:spacing w:line="360" w:lineRule="auto"/>
        <w:ind w:left="357"/>
        <w:jc w:val="both"/>
      </w:pPr>
      <w:r w:rsidRPr="004E4F94">
        <w:t xml:space="preserve">Zmiany w </w:t>
      </w:r>
      <w:r w:rsidRPr="004E4F94">
        <w:rPr>
          <w:i/>
        </w:rPr>
        <w:t>ustawie o podatku akcyzowym</w:t>
      </w:r>
      <w:r w:rsidRPr="004E4F94">
        <w:t xml:space="preserve"> mają na celu uszczelnienie systemu podatkowego w zakresie obrotu suszem tytoniowym oraz ułatwienie prowadzenia działalności gospodarczej </w:t>
      </w:r>
      <w:r w:rsidR="005059CC" w:rsidRPr="004E4F94">
        <w:t xml:space="preserve">legalnym </w:t>
      </w:r>
      <w:r w:rsidRPr="004E4F94">
        <w:t>podmiotom dokonującym obrotu suszem tytoniowym.</w:t>
      </w:r>
    </w:p>
    <w:p w:rsidR="00AA520E" w:rsidRPr="004E4F94" w:rsidRDefault="00F332CD" w:rsidP="004E4F94">
      <w:pPr>
        <w:autoSpaceDE w:val="0"/>
        <w:autoSpaceDN w:val="0"/>
        <w:adjustRightInd w:val="0"/>
        <w:spacing w:line="360" w:lineRule="auto"/>
        <w:ind w:left="357"/>
        <w:jc w:val="both"/>
      </w:pPr>
      <w:r w:rsidRPr="004E4F94">
        <w:t>Na skutek proponowanej zmiany art. 9b</w:t>
      </w:r>
      <w:r w:rsidR="00152298" w:rsidRPr="004E4F94">
        <w:t>,</w:t>
      </w:r>
      <w:r w:rsidRPr="004E4F94">
        <w:t xml:space="preserve"> sprzedaż</w:t>
      </w:r>
      <w:r w:rsidR="002F2A0E" w:rsidRPr="004E4F94">
        <w:t>y</w:t>
      </w:r>
      <w:r w:rsidRPr="004E4F94">
        <w:t xml:space="preserve"> suszu tytoniowego połączon</w:t>
      </w:r>
      <w:r w:rsidR="002F2A0E" w:rsidRPr="004E4F94">
        <w:t>ej</w:t>
      </w:r>
      <w:r w:rsidR="00F96768" w:rsidRPr="004E4F94">
        <w:t xml:space="preserve"> z</w:t>
      </w:r>
      <w:r w:rsidR="003556B1">
        <w:t> </w:t>
      </w:r>
      <w:r w:rsidRPr="004E4F94">
        <w:t>dostawą wewnątrzwspólnotową lub</w:t>
      </w:r>
      <w:r w:rsidR="005059CC" w:rsidRPr="004E4F94">
        <w:t xml:space="preserve"> </w:t>
      </w:r>
      <w:r w:rsidRPr="004E4F94">
        <w:t xml:space="preserve">eksportem, bez akcyzy, będą mogli dokonać </w:t>
      </w:r>
      <w:r w:rsidRPr="004E4F94">
        <w:lastRenderedPageBreak/>
        <w:t>jedynie podmiot</w:t>
      </w:r>
      <w:r w:rsidR="005059CC" w:rsidRPr="004E4F94">
        <w:t xml:space="preserve"> prowadzący skład podatkowy</w:t>
      </w:r>
      <w:r w:rsidR="00F75FE6" w:rsidRPr="004E4F94">
        <w:t>, grupa producentów suszu tytoniowego</w:t>
      </w:r>
      <w:r w:rsidR="005059CC" w:rsidRPr="004E4F94">
        <w:t xml:space="preserve"> </w:t>
      </w:r>
      <w:r w:rsidR="00F75FE6" w:rsidRPr="004E4F94">
        <w:t xml:space="preserve">zrzeszająca rolników </w:t>
      </w:r>
      <w:r w:rsidR="005059CC" w:rsidRPr="004E4F94">
        <w:t xml:space="preserve">lub </w:t>
      </w:r>
      <w:r w:rsidRPr="004E4F94">
        <w:t xml:space="preserve">pośredniczący podmiot tytoniowy, a nie jak dotychczas również rolnik. </w:t>
      </w:r>
      <w:r w:rsidR="00E37638" w:rsidRPr="004E4F94">
        <w:t>Powyższe pozwoli na zachowanie konkurencyjności na rynku eksportu suszu tytoniowego międ</w:t>
      </w:r>
      <w:r w:rsidR="003556B1">
        <w:t>zy podmiotami dużymi a małymi i </w:t>
      </w:r>
      <w:r w:rsidR="00E37638" w:rsidRPr="004E4F94">
        <w:t>średnimi, jak również na zachowanie korzystnych procedur dla rolników, którzy zachowają prawo do sprzedaży suszu tytoniowego w ramach dostawy wewnątrzwspólnotowej lub eksportu bez akcyzy, gdyż obecn</w:t>
      </w:r>
      <w:r w:rsidR="0013449F">
        <w:t>i</w:t>
      </w:r>
      <w:r w:rsidR="00E37638" w:rsidRPr="004E4F94">
        <w:t>e są oni członkami różnych grup producentów tytoniu.</w:t>
      </w:r>
      <w:r w:rsidR="007A5492" w:rsidRPr="004E4F94">
        <w:t xml:space="preserve"> </w:t>
      </w:r>
      <w:r w:rsidRPr="004E4F94">
        <w:t xml:space="preserve">Sprzedaż suszu tytoniowego połączona z dostawą wewnątrzwspólnotową lub eksportem </w:t>
      </w:r>
      <w:r w:rsidR="00F75FE6" w:rsidRPr="004E4F94">
        <w:t xml:space="preserve">samodzielnie </w:t>
      </w:r>
      <w:r w:rsidRPr="004E4F94">
        <w:t xml:space="preserve">przez rolnika będzie możliwa, ale wiązała się będzie </w:t>
      </w:r>
      <w:r w:rsidR="001921D5" w:rsidRPr="004E4F94">
        <w:t>z</w:t>
      </w:r>
      <w:r w:rsidR="001921D5">
        <w:t> </w:t>
      </w:r>
      <w:r w:rsidRPr="004E4F94">
        <w:t>obowiązkiem zapłaty akcyzy. Zapłacona akcyza, podobnie jak w przypadku innych dostarczonych wewnątrzwspólnotowo lub</w:t>
      </w:r>
      <w:r w:rsidR="003556B1">
        <w:t xml:space="preserve"> </w:t>
      </w:r>
      <w:r w:rsidRPr="004E4F94">
        <w:t>wyeksportowanych wyrobów akcyzowych, podlegała będzie zwrotowi na</w:t>
      </w:r>
      <w:r w:rsidR="003556B1">
        <w:t xml:space="preserve"> </w:t>
      </w:r>
      <w:r w:rsidRPr="004E4F94">
        <w:t>zasadach określonych w</w:t>
      </w:r>
      <w:r w:rsidR="00C576D1" w:rsidRPr="004E4F94">
        <w:t xml:space="preserve"> </w:t>
      </w:r>
      <w:r w:rsidRPr="004E4F94">
        <w:t xml:space="preserve">przepisach </w:t>
      </w:r>
      <w:r w:rsidR="001921D5" w:rsidRPr="004E4F94">
        <w:t>z</w:t>
      </w:r>
      <w:r w:rsidR="001921D5">
        <w:t> </w:t>
      </w:r>
      <w:r w:rsidRPr="004E4F94">
        <w:t>zakresu podatku akcyzowego.</w:t>
      </w:r>
    </w:p>
    <w:p w:rsidR="00752E3C" w:rsidRPr="004E4F94" w:rsidRDefault="00752E3C" w:rsidP="004E4F94">
      <w:pPr>
        <w:autoSpaceDE w:val="0"/>
        <w:autoSpaceDN w:val="0"/>
        <w:adjustRightInd w:val="0"/>
        <w:spacing w:line="360" w:lineRule="auto"/>
        <w:ind w:left="357"/>
        <w:jc w:val="both"/>
      </w:pPr>
      <w:r w:rsidRPr="004E4F94">
        <w:t>Powyższe rozwiązanie spowodowało zmianę brzmienia ust. 1 pkt 2 oraz w ust. 2a wstępu do wyliczenia</w:t>
      </w:r>
      <w:r w:rsidR="004D26FD" w:rsidRPr="004E4F94">
        <w:t xml:space="preserve"> w art. 9b ustawy o podatku akcy</w:t>
      </w:r>
      <w:r w:rsidR="00C954A0" w:rsidRPr="004E4F94">
        <w:t>z</w:t>
      </w:r>
      <w:r w:rsidR="004D26FD" w:rsidRPr="004E4F94">
        <w:t>owym.</w:t>
      </w:r>
    </w:p>
    <w:p w:rsidR="00133379" w:rsidRPr="004E4F94" w:rsidRDefault="000B3E05" w:rsidP="004E4F94">
      <w:pPr>
        <w:autoSpaceDE w:val="0"/>
        <w:autoSpaceDN w:val="0"/>
        <w:adjustRightInd w:val="0"/>
        <w:spacing w:line="360" w:lineRule="auto"/>
        <w:ind w:left="357"/>
        <w:jc w:val="both"/>
      </w:pPr>
      <w:r w:rsidRPr="004E4F94">
        <w:t xml:space="preserve">W art. 9b dodano </w:t>
      </w:r>
      <w:r w:rsidR="00C954A0" w:rsidRPr="004E4F94">
        <w:t xml:space="preserve">ponadto </w:t>
      </w:r>
      <w:r w:rsidRPr="004E4F94">
        <w:t>ust. 6, którym na nabywców surowca tytoniowego, czyli pośredniczące podmioty tytoniowe oraz</w:t>
      </w:r>
      <w:r w:rsidR="00BC225C" w:rsidRPr="004E4F94">
        <w:t xml:space="preserve"> </w:t>
      </w:r>
      <w:r w:rsidRPr="004E4F94">
        <w:t xml:space="preserve">przedsiębiorców zagranicznych posiadających oddział z siedzibą na terytorium kraju, nałożono obowiązek przekazywania </w:t>
      </w:r>
      <w:r w:rsidR="004D26FD" w:rsidRPr="004E4F94">
        <w:t xml:space="preserve">Dyrektorowi Generalnemu Krajowego Ośrodka Wsparcia Rolnictwa </w:t>
      </w:r>
      <w:r w:rsidRPr="004E4F94">
        <w:t>danych dotyczących masy skupionego surowca tytoniowego w podziale na grupy użytkowe odmian</w:t>
      </w:r>
      <w:r w:rsidR="00B76619" w:rsidRPr="004E4F94">
        <w:t>, skupionego od</w:t>
      </w:r>
      <w:r w:rsidR="003556B1">
        <w:t xml:space="preserve"> </w:t>
      </w:r>
      <w:r w:rsidR="0082202D" w:rsidRPr="004E4F94">
        <w:t>producentów surowca tytoniowego</w:t>
      </w:r>
      <w:r w:rsidRPr="004E4F94">
        <w:t>.</w:t>
      </w:r>
      <w:r w:rsidR="008A3576" w:rsidRPr="004E4F94">
        <w:t xml:space="preserve"> </w:t>
      </w:r>
      <w:r w:rsidR="00984AC8" w:rsidRPr="004E4F94">
        <w:t xml:space="preserve">Zakłada się, że </w:t>
      </w:r>
      <w:r w:rsidR="004D26FD" w:rsidRPr="004E4F94">
        <w:t>nałożenie takiego obowiązku</w:t>
      </w:r>
      <w:r w:rsidR="00264DF2" w:rsidRPr="004E4F94">
        <w:t xml:space="preserve"> </w:t>
      </w:r>
      <w:r w:rsidR="004D26FD" w:rsidRPr="004E4F94">
        <w:t xml:space="preserve">na podmioty, które co do zasady </w:t>
      </w:r>
      <w:r w:rsidR="00F31DA4" w:rsidRPr="004E4F94">
        <w:t xml:space="preserve">jako jedyne </w:t>
      </w:r>
      <w:r w:rsidR="00C8332F" w:rsidRPr="004E4F94">
        <w:t>zobowiązane</w:t>
      </w:r>
      <w:r w:rsidR="004D26FD" w:rsidRPr="004E4F94">
        <w:t xml:space="preserve"> są do dokonywania skupu surowca tytoniowego od producentów tego surowca pozwoli na </w:t>
      </w:r>
      <w:r w:rsidR="00264DF2" w:rsidRPr="004E4F94">
        <w:t>pozyskiwan</w:t>
      </w:r>
      <w:r w:rsidR="004D26FD" w:rsidRPr="004E4F94">
        <w:t>ie</w:t>
      </w:r>
      <w:r w:rsidR="00264DF2" w:rsidRPr="004E4F94">
        <w:t xml:space="preserve"> kompletn</w:t>
      </w:r>
      <w:r w:rsidR="004D26FD" w:rsidRPr="004E4F94">
        <w:t>ych</w:t>
      </w:r>
      <w:r w:rsidR="00264DF2" w:rsidRPr="004E4F94">
        <w:t xml:space="preserve"> </w:t>
      </w:r>
      <w:r w:rsidR="00984AC8" w:rsidRPr="004E4F94">
        <w:t>informacj</w:t>
      </w:r>
      <w:r w:rsidR="004D26FD" w:rsidRPr="004E4F94">
        <w:t>i</w:t>
      </w:r>
      <w:r w:rsidR="00984AC8" w:rsidRPr="004E4F94">
        <w:t xml:space="preserve"> o masie skupionego suszu tytoniowego</w:t>
      </w:r>
      <w:r w:rsidR="00BC225C" w:rsidRPr="004E4F94">
        <w:t>.</w:t>
      </w:r>
      <w:r w:rsidR="00133379" w:rsidRPr="004E4F94">
        <w:t xml:space="preserve"> </w:t>
      </w:r>
      <w:r w:rsidR="003E6FA1" w:rsidRPr="004E4F94">
        <w:t xml:space="preserve">Informacje natomiast o masie surowca tytoniowego dostarczonego nabywcy na podstawie umowy przekaże producent surowca tytoniowego. Informacje te co do zasady powinny </w:t>
      </w:r>
      <w:r w:rsidR="00F66D59" w:rsidRPr="004E4F94">
        <w:t xml:space="preserve">być </w:t>
      </w:r>
      <w:r w:rsidR="003E6FA1" w:rsidRPr="004E4F94">
        <w:t xml:space="preserve">zbieżne. </w:t>
      </w:r>
      <w:r w:rsidR="00133379" w:rsidRPr="004E4F94">
        <w:t>Jednocześnie należy wskazać, iż grupy odmian tytoniu, o których mowa w dodanym ust. 6</w:t>
      </w:r>
      <w:r w:rsidR="0013449F">
        <w:t>,</w:t>
      </w:r>
      <w:r w:rsidR="00133379" w:rsidRPr="004E4F94">
        <w:t xml:space="preserve"> zostały wymienione w załączniku III do rozporządzenia wykonawczego Komisji (UE) 2017/1185 z dnia 20 kwietnia 2017 r ustanawiającego zasady stosowania rozporządzeń Parlamentu Europejskiego i R</w:t>
      </w:r>
      <w:r w:rsidR="003556B1">
        <w:t>ady (UE) nr 1307/2013 i (UE) nr </w:t>
      </w:r>
      <w:r w:rsidR="00133379" w:rsidRPr="004E4F94">
        <w:t>1308/2013 w odniesieniu do przek</w:t>
      </w:r>
      <w:r w:rsidR="003556B1">
        <w:t xml:space="preserve">azywanych Komisji powiadomień </w:t>
      </w:r>
      <w:r w:rsidR="003556B1">
        <w:lastRenderedPageBreak/>
        <w:t>o </w:t>
      </w:r>
      <w:r w:rsidR="00133379" w:rsidRPr="004E4F94">
        <w:t>informacjach i dokumentach oraz zmieniającego i uchylającego niektóre rozporządz</w:t>
      </w:r>
      <w:r w:rsidR="004D26FD" w:rsidRPr="004E4F94">
        <w:t xml:space="preserve">enia Komisji. </w:t>
      </w:r>
      <w:r w:rsidR="00133379" w:rsidRPr="004E4F94">
        <w:t>Zgodnie z tym załącznikiem występuje 5 grup:</w:t>
      </w:r>
    </w:p>
    <w:p w:rsidR="00133379" w:rsidRPr="004E4F94" w:rsidRDefault="00133379" w:rsidP="004E4F94">
      <w:pPr>
        <w:autoSpaceDE w:val="0"/>
        <w:autoSpaceDN w:val="0"/>
        <w:adjustRightInd w:val="0"/>
        <w:spacing w:line="360" w:lineRule="auto"/>
        <w:ind w:left="1407" w:hanging="1050"/>
        <w:jc w:val="both"/>
      </w:pPr>
      <w:r w:rsidRPr="004E4F94">
        <w:t>Grupa I</w:t>
      </w:r>
      <w:r w:rsidRPr="004E4F94">
        <w:tab/>
        <w:t>Suszony ogniowo-rurowo: tytoń suszony w piecach o kontrolowanym przepływie powietrza, temperaturze i wilgotności, w szczególności Virginia;</w:t>
      </w:r>
    </w:p>
    <w:p w:rsidR="00133379" w:rsidRPr="004E4F94" w:rsidRDefault="00133379" w:rsidP="004E4F94">
      <w:pPr>
        <w:autoSpaceDE w:val="0"/>
        <w:autoSpaceDN w:val="0"/>
        <w:adjustRightInd w:val="0"/>
        <w:spacing w:line="360" w:lineRule="auto"/>
        <w:ind w:left="1407" w:hanging="1050"/>
        <w:jc w:val="both"/>
      </w:pPr>
      <w:r w:rsidRPr="004E4F94">
        <w:t>Grupa II</w:t>
      </w:r>
      <w:r w:rsidRPr="004E4F94">
        <w:tab/>
        <w:t>Suszony powietrzem na jasny: tytoń su</w:t>
      </w:r>
      <w:r w:rsidR="003556B1">
        <w:t>szony na powietrzu pod osłoną z </w:t>
      </w:r>
      <w:r w:rsidRPr="004E4F94">
        <w:t xml:space="preserve">uniemożliwieniem fermentacji, w szczególności </w:t>
      </w:r>
      <w:proofErr w:type="spellStart"/>
      <w:r w:rsidRPr="004E4F94">
        <w:t>Burley</w:t>
      </w:r>
      <w:proofErr w:type="spellEnd"/>
      <w:r w:rsidRPr="004E4F94">
        <w:t xml:space="preserve"> i Maryland;</w:t>
      </w:r>
    </w:p>
    <w:p w:rsidR="00133379" w:rsidRPr="004E4F94" w:rsidRDefault="00133379" w:rsidP="004E4F94">
      <w:pPr>
        <w:autoSpaceDE w:val="0"/>
        <w:autoSpaceDN w:val="0"/>
        <w:adjustRightInd w:val="0"/>
        <w:spacing w:line="360" w:lineRule="auto"/>
        <w:ind w:left="1407" w:hanging="1050"/>
        <w:jc w:val="both"/>
      </w:pPr>
      <w:r w:rsidRPr="004E4F94">
        <w:t>Grupa III</w:t>
      </w:r>
      <w:r w:rsidRPr="004E4F94">
        <w:tab/>
        <w:t xml:space="preserve">Suszony powietrzem na ciemny: tytoń suszony na powietrzu pod osłoną, pozostawiony do naturalnej fermentacji przed wprowadzeniem do obrotu, w szczególności </w:t>
      </w:r>
      <w:proofErr w:type="spellStart"/>
      <w:r w:rsidRPr="004E4F94">
        <w:t>Badischer</w:t>
      </w:r>
      <w:proofErr w:type="spellEnd"/>
      <w:r w:rsidRPr="004E4F94">
        <w:t xml:space="preserve"> </w:t>
      </w:r>
      <w:proofErr w:type="spellStart"/>
      <w:r w:rsidRPr="004E4F94">
        <w:t>Geudertheimer</w:t>
      </w:r>
      <w:proofErr w:type="spellEnd"/>
      <w:r w:rsidRPr="004E4F94">
        <w:t xml:space="preserve">, </w:t>
      </w:r>
      <w:proofErr w:type="spellStart"/>
      <w:r w:rsidRPr="004E4F94">
        <w:t>Fermented</w:t>
      </w:r>
      <w:proofErr w:type="spellEnd"/>
      <w:r w:rsidRPr="004E4F94">
        <w:t xml:space="preserve"> </w:t>
      </w:r>
      <w:proofErr w:type="spellStart"/>
      <w:r w:rsidRPr="004E4F94">
        <w:t>Burley</w:t>
      </w:r>
      <w:proofErr w:type="spellEnd"/>
      <w:r w:rsidRPr="004E4F94">
        <w:t xml:space="preserve">, </w:t>
      </w:r>
      <w:proofErr w:type="spellStart"/>
      <w:r w:rsidRPr="004E4F94">
        <w:t>Havana</w:t>
      </w:r>
      <w:proofErr w:type="spellEnd"/>
      <w:r w:rsidRPr="004E4F94">
        <w:t xml:space="preserve">, Mocny </w:t>
      </w:r>
      <w:proofErr w:type="spellStart"/>
      <w:r w:rsidRPr="004E4F94">
        <w:t>Skroniowski</w:t>
      </w:r>
      <w:proofErr w:type="spellEnd"/>
      <w:r w:rsidRPr="004E4F94">
        <w:t xml:space="preserve">, </w:t>
      </w:r>
      <w:proofErr w:type="spellStart"/>
      <w:r w:rsidRPr="004E4F94">
        <w:t>Nostrano</w:t>
      </w:r>
      <w:proofErr w:type="spellEnd"/>
      <w:r w:rsidRPr="004E4F94">
        <w:t xml:space="preserve"> del </w:t>
      </w:r>
      <w:proofErr w:type="spellStart"/>
      <w:r w:rsidRPr="004E4F94">
        <w:t>Brenta</w:t>
      </w:r>
      <w:proofErr w:type="spellEnd"/>
      <w:r w:rsidRPr="004E4F94">
        <w:t xml:space="preserve"> oraz Puławski;</w:t>
      </w:r>
    </w:p>
    <w:p w:rsidR="00133379" w:rsidRPr="004E4F94" w:rsidRDefault="00133379" w:rsidP="004E4F94">
      <w:pPr>
        <w:autoSpaceDE w:val="0"/>
        <w:autoSpaceDN w:val="0"/>
        <w:adjustRightInd w:val="0"/>
        <w:spacing w:line="360" w:lineRule="auto"/>
        <w:ind w:left="1407" w:hanging="1050"/>
        <w:jc w:val="both"/>
      </w:pPr>
      <w:r w:rsidRPr="004E4F94">
        <w:t>Grupa IV</w:t>
      </w:r>
      <w:r w:rsidRPr="004E4F94">
        <w:tab/>
        <w:t xml:space="preserve">Suszony ogniowo-płomieniowo: tytoń suszony ogniem, w szczególności Kentucky oraz </w:t>
      </w:r>
      <w:proofErr w:type="spellStart"/>
      <w:r w:rsidRPr="004E4F94">
        <w:t>Salento</w:t>
      </w:r>
      <w:proofErr w:type="spellEnd"/>
      <w:r w:rsidRPr="004E4F94">
        <w:t>;</w:t>
      </w:r>
    </w:p>
    <w:p w:rsidR="00133379" w:rsidRPr="004E4F94" w:rsidRDefault="00133379" w:rsidP="00193D3C">
      <w:pPr>
        <w:autoSpaceDE w:val="0"/>
        <w:autoSpaceDN w:val="0"/>
        <w:adjustRightInd w:val="0"/>
        <w:spacing w:line="360" w:lineRule="auto"/>
        <w:ind w:left="1418" w:hanging="1061"/>
        <w:jc w:val="both"/>
      </w:pPr>
      <w:r w:rsidRPr="004E4F94">
        <w:t>Grupa V</w:t>
      </w:r>
      <w:r w:rsidRPr="004E4F94">
        <w:tab/>
        <w:t xml:space="preserve">Suszony na słońcu: tytoń suszony na słońcu, zwany również „odmianami orientalnymi”, w szczególności </w:t>
      </w:r>
      <w:proofErr w:type="spellStart"/>
      <w:r w:rsidRPr="004E4F94">
        <w:t>Basmas</w:t>
      </w:r>
      <w:proofErr w:type="spellEnd"/>
      <w:r w:rsidRPr="004E4F94">
        <w:t xml:space="preserve">, </w:t>
      </w:r>
      <w:proofErr w:type="spellStart"/>
      <w:r w:rsidRPr="004E4F94">
        <w:t>Katerini</w:t>
      </w:r>
      <w:proofErr w:type="spellEnd"/>
      <w:r w:rsidRPr="004E4F94">
        <w:t xml:space="preserve"> i </w:t>
      </w:r>
      <w:proofErr w:type="spellStart"/>
      <w:r w:rsidRPr="004E4F94">
        <w:t>Kaba-Koulak</w:t>
      </w:r>
      <w:proofErr w:type="spellEnd"/>
      <w:r w:rsidRPr="004E4F94">
        <w:t>.</w:t>
      </w:r>
    </w:p>
    <w:p w:rsidR="004D26FD" w:rsidRPr="004E4F94" w:rsidRDefault="004D26FD" w:rsidP="004E4F94">
      <w:pPr>
        <w:autoSpaceDE w:val="0"/>
        <w:autoSpaceDN w:val="0"/>
        <w:adjustRightInd w:val="0"/>
        <w:spacing w:line="360" w:lineRule="auto"/>
        <w:ind w:left="357"/>
        <w:jc w:val="both"/>
      </w:pPr>
      <w:r w:rsidRPr="004E4F94">
        <w:t>Rozporządzenie wykonawcze Komisji (UE) 2017/11</w:t>
      </w:r>
      <w:r w:rsidR="003556B1">
        <w:t>85 obowiązuje wprost w </w:t>
      </w:r>
      <w:r w:rsidRPr="004E4F94">
        <w:t>krajowym porządku prawnym.</w:t>
      </w:r>
      <w:r w:rsidR="00C8332F" w:rsidRPr="004E4F94">
        <w:t xml:space="preserve"> </w:t>
      </w:r>
    </w:p>
    <w:p w:rsidR="00F66D59" w:rsidRPr="004E4F94" w:rsidRDefault="0066591D" w:rsidP="004E4F94">
      <w:pPr>
        <w:autoSpaceDE w:val="0"/>
        <w:autoSpaceDN w:val="0"/>
        <w:adjustRightInd w:val="0"/>
        <w:spacing w:line="360" w:lineRule="auto"/>
        <w:ind w:left="357"/>
        <w:jc w:val="both"/>
      </w:pPr>
      <w:r w:rsidRPr="004E4F94">
        <w:t>Informacje pozyskane w wyniku dodanego ust. 6 w art. 9b ustawy o podatku akcyzowym w zestawieniu z informacjami pozyskanymi zgodnie z art. 40h</w:t>
      </w:r>
      <w:r w:rsidR="00602329" w:rsidRPr="004E4F94">
        <w:t>c</w:t>
      </w:r>
      <w:r w:rsidRPr="004E4F94">
        <w:t xml:space="preserve"> ust. 1 pkt 2 i 4 ustawy o</w:t>
      </w:r>
      <w:r w:rsidR="003556B1">
        <w:t xml:space="preserve"> </w:t>
      </w:r>
      <w:r w:rsidR="00602329" w:rsidRPr="004E4F94">
        <w:t xml:space="preserve">organizacji niektórych rynków rolnych </w:t>
      </w:r>
      <w:r w:rsidRPr="004E4F94">
        <w:t>są niezbędne</w:t>
      </w:r>
      <w:r w:rsidR="0099641E" w:rsidRPr="004E4F94">
        <w:t xml:space="preserve">, aby na </w:t>
      </w:r>
      <w:r w:rsidRPr="004E4F94">
        <w:t>bieżąc</w:t>
      </w:r>
      <w:r w:rsidR="0099641E" w:rsidRPr="004E4F94">
        <w:t>o</w:t>
      </w:r>
      <w:r w:rsidRPr="004E4F94">
        <w:t xml:space="preserve"> monitorowa</w:t>
      </w:r>
      <w:r w:rsidR="0099641E" w:rsidRPr="004E4F94">
        <w:t>ć</w:t>
      </w:r>
      <w:r w:rsidRPr="004E4F94">
        <w:t xml:space="preserve"> obr</w:t>
      </w:r>
      <w:r w:rsidR="0099641E" w:rsidRPr="004E4F94">
        <w:t>ó</w:t>
      </w:r>
      <w:r w:rsidRPr="004E4F94">
        <w:t>t susz</w:t>
      </w:r>
      <w:r w:rsidR="0099641E" w:rsidRPr="004E4F94">
        <w:t>em</w:t>
      </w:r>
      <w:r w:rsidRPr="004E4F94">
        <w:t xml:space="preserve"> tytoniow</w:t>
      </w:r>
      <w:r w:rsidR="0099641E" w:rsidRPr="004E4F94">
        <w:t>ym</w:t>
      </w:r>
      <w:r w:rsidRPr="004E4F94">
        <w:t xml:space="preserve">. </w:t>
      </w:r>
      <w:r w:rsidR="00264DF2" w:rsidRPr="004E4F94">
        <w:t xml:space="preserve">Obowiązek przekazywania do </w:t>
      </w:r>
      <w:r w:rsidR="00645323" w:rsidRPr="004E4F94">
        <w:t xml:space="preserve">Dyrektora Generalnego Krajowego Ośrodka Wsparcia Rolnictwa </w:t>
      </w:r>
      <w:r w:rsidR="00264DF2" w:rsidRPr="004E4F94">
        <w:t>informacji wynikających z art. 9b ust. 6 ustawy o podatku akcyzowym oraz z art. 40h</w:t>
      </w:r>
      <w:r w:rsidR="004D3454" w:rsidRPr="004E4F94">
        <w:t>c</w:t>
      </w:r>
      <w:r w:rsidR="00264DF2" w:rsidRPr="004E4F94">
        <w:t xml:space="preserve"> ust. 1 pkt 2 i 4 ustawy o </w:t>
      </w:r>
      <w:r w:rsidR="00645323" w:rsidRPr="004E4F94">
        <w:t xml:space="preserve">organizacji niektórych rynków rolnych </w:t>
      </w:r>
      <w:r w:rsidR="00264DF2" w:rsidRPr="004E4F94">
        <w:t xml:space="preserve">dotyczy </w:t>
      </w:r>
      <w:r w:rsidR="0099641E" w:rsidRPr="004E4F94">
        <w:t xml:space="preserve">bowiem </w:t>
      </w:r>
      <w:r w:rsidR="0014506F" w:rsidRPr="004E4F94">
        <w:t>tego samego przedmiotu</w:t>
      </w:r>
      <w:r w:rsidR="00264DF2" w:rsidRPr="004E4F94">
        <w:t xml:space="preserve">. </w:t>
      </w:r>
      <w:r w:rsidR="0014506F" w:rsidRPr="004E4F94">
        <w:t xml:space="preserve">Z jednej strony jest to </w:t>
      </w:r>
      <w:r w:rsidR="00C954A0" w:rsidRPr="004E4F94">
        <w:t xml:space="preserve">bowiem </w:t>
      </w:r>
      <w:r w:rsidR="0014506F" w:rsidRPr="004E4F94">
        <w:t>informacja o masie su</w:t>
      </w:r>
      <w:r w:rsidR="00645323" w:rsidRPr="004E4F94">
        <w:t>rowca</w:t>
      </w:r>
      <w:r w:rsidR="0014506F" w:rsidRPr="004E4F94">
        <w:t xml:space="preserve"> tytoniowego dostarczonego nabywcy na podstawie umowy a</w:t>
      </w:r>
      <w:r w:rsidR="003556B1">
        <w:t xml:space="preserve"> </w:t>
      </w:r>
      <w:r w:rsidR="0014506F" w:rsidRPr="004E4F94">
        <w:t>z drugiej o masie skupionego su</w:t>
      </w:r>
      <w:r w:rsidR="00645323" w:rsidRPr="004E4F94">
        <w:t>rowca</w:t>
      </w:r>
      <w:r w:rsidR="0014506F" w:rsidRPr="004E4F94">
        <w:t xml:space="preserve"> tytoniowego w podziale na grupy odmian tytoniu. </w:t>
      </w:r>
      <w:r w:rsidRPr="004E4F94">
        <w:t xml:space="preserve">Dysponowanie </w:t>
      </w:r>
      <w:r w:rsidR="0099641E" w:rsidRPr="004E4F94">
        <w:t xml:space="preserve">natomiast </w:t>
      </w:r>
      <w:r w:rsidRPr="004E4F94">
        <w:t xml:space="preserve">informacjami </w:t>
      </w:r>
      <w:r w:rsidR="0099641E" w:rsidRPr="004E4F94">
        <w:t xml:space="preserve">dotyczącymi tego samego przedmiotu </w:t>
      </w:r>
      <w:r w:rsidRPr="004E4F94">
        <w:t>pochodzącymi z różnych źródeł</w:t>
      </w:r>
      <w:r w:rsidR="00264DF2" w:rsidRPr="004E4F94">
        <w:t xml:space="preserve"> </w:t>
      </w:r>
      <w:r w:rsidRPr="004E4F94">
        <w:t xml:space="preserve">umożliwia </w:t>
      </w:r>
      <w:r w:rsidR="00264DF2" w:rsidRPr="004E4F94">
        <w:t xml:space="preserve">przeprowadzanie tzw. kontroli krzyżowej, podczas której </w:t>
      </w:r>
      <w:r w:rsidRPr="004E4F94">
        <w:t>weryfikacji podlegać będzie</w:t>
      </w:r>
      <w:r w:rsidR="00264DF2" w:rsidRPr="004E4F94">
        <w:t xml:space="preserve"> ilość sprzedanego z ilością skupionego suszu</w:t>
      </w:r>
      <w:r w:rsidRPr="004E4F94">
        <w:t xml:space="preserve"> tytoniowego</w:t>
      </w:r>
      <w:r w:rsidR="00264DF2" w:rsidRPr="004E4F94">
        <w:t xml:space="preserve">. </w:t>
      </w:r>
      <w:r w:rsidR="0099641E" w:rsidRPr="004E4F94">
        <w:t xml:space="preserve">Dopiero zestawienie bowiem tych informacji pozwoli na wskazanie, czy ilość </w:t>
      </w:r>
      <w:r w:rsidR="00645323" w:rsidRPr="004E4F94">
        <w:t xml:space="preserve">skupionego oraz </w:t>
      </w:r>
      <w:r w:rsidR="0099641E" w:rsidRPr="004E4F94">
        <w:t xml:space="preserve">wyprodukowanego </w:t>
      </w:r>
      <w:r w:rsidR="003556B1">
        <w:t>i </w:t>
      </w:r>
      <w:r w:rsidR="00645323" w:rsidRPr="004E4F94">
        <w:t>dostarczonego nabywcy na podstawie umowy surowca tytoniowego</w:t>
      </w:r>
      <w:r w:rsidR="0099641E" w:rsidRPr="004E4F94">
        <w:t xml:space="preserve"> jest taka sama.</w:t>
      </w:r>
      <w:r w:rsidR="00F66D59" w:rsidRPr="004E4F94">
        <w:t xml:space="preserve"> </w:t>
      </w:r>
      <w:r w:rsidR="00264DF2" w:rsidRPr="004E4F94">
        <w:lastRenderedPageBreak/>
        <w:t xml:space="preserve">Dzięki takim działaniom kontrolnym </w:t>
      </w:r>
      <w:r w:rsidR="0099641E" w:rsidRPr="004E4F94">
        <w:t xml:space="preserve">stworzona zostanie również możliwość </w:t>
      </w:r>
      <w:r w:rsidR="00264DF2" w:rsidRPr="004E4F94">
        <w:t>monitorowa</w:t>
      </w:r>
      <w:r w:rsidR="0099641E" w:rsidRPr="004E4F94">
        <w:t>nia</w:t>
      </w:r>
      <w:r w:rsidR="00264DF2" w:rsidRPr="004E4F94">
        <w:t xml:space="preserve"> legalnoś</w:t>
      </w:r>
      <w:r w:rsidR="0099641E" w:rsidRPr="004E4F94">
        <w:t>ci</w:t>
      </w:r>
      <w:r w:rsidR="00264DF2" w:rsidRPr="004E4F94">
        <w:t xml:space="preserve"> transakcji w sektorze suszu </w:t>
      </w:r>
      <w:r w:rsidR="00645323" w:rsidRPr="004E4F94">
        <w:t xml:space="preserve">tytoniowego. </w:t>
      </w:r>
    </w:p>
    <w:p w:rsidR="00F332CD" w:rsidRPr="004E4F94" w:rsidRDefault="00645323" w:rsidP="004E4F94">
      <w:pPr>
        <w:autoSpaceDE w:val="0"/>
        <w:autoSpaceDN w:val="0"/>
        <w:adjustRightInd w:val="0"/>
        <w:spacing w:line="360" w:lineRule="auto"/>
        <w:ind w:left="357"/>
        <w:jc w:val="both"/>
        <w:rPr>
          <w:bCs/>
        </w:rPr>
      </w:pPr>
      <w:r w:rsidRPr="004E4F94">
        <w:t>Rozwiązanie</w:t>
      </w:r>
      <w:r w:rsidR="00F332CD" w:rsidRPr="004E4F94">
        <w:t xml:space="preserve"> zawarte w </w:t>
      </w:r>
      <w:r w:rsidR="00152298" w:rsidRPr="004E4F94">
        <w:t xml:space="preserve">dodawanym </w:t>
      </w:r>
      <w:r w:rsidR="00F332CD" w:rsidRPr="004E4F94">
        <w:t>art. 63 ust. 3a</w:t>
      </w:r>
      <w:r w:rsidR="00715B70" w:rsidRPr="004E4F94">
        <w:t xml:space="preserve"> przewidujące, że zamiast pośredniczącego podmiotu tytoniowego oraz podmiotu reprezentującego przedsiębiorcę zagranicznego lub łącznie z nim, wymagane zabezpieczenie akcyzowe może złożyć osoba trzecia</w:t>
      </w:r>
      <w:r w:rsidR="00F66D59" w:rsidRPr="004E4F94">
        <w:t xml:space="preserve"> m</w:t>
      </w:r>
      <w:r w:rsidR="00F332CD" w:rsidRPr="004E4F94">
        <w:t>a ułatwić prowadzenie działalności gospodarczej podmiotom dokonujący</w:t>
      </w:r>
      <w:r w:rsidR="003556B1">
        <w:t>m obrotu suszem tytoniowym, tj. </w:t>
      </w:r>
      <w:r w:rsidR="00F332CD" w:rsidRPr="004E4F94">
        <w:rPr>
          <w:bCs/>
        </w:rPr>
        <w:t>pośredniczącym podmiotom tytoniowym oraz podmiotom reprezentującym przedsiębiorcę zagranicznego nieposiadającym oddziału z siedzibą na terytorium kraju, które mogą mieć problem ze złożeniem zabezpieczenia akcyzowego dla zagwar</w:t>
      </w:r>
      <w:r w:rsidR="00715B70" w:rsidRPr="004E4F94">
        <w:rPr>
          <w:bCs/>
        </w:rPr>
        <w:t xml:space="preserve">antowania płatności akcyzy z </w:t>
      </w:r>
      <w:r w:rsidR="00F332CD" w:rsidRPr="004E4F94">
        <w:rPr>
          <w:bCs/>
        </w:rPr>
        <w:t>tytułu zobowiązań podatkowych, jakie mogą powstać od suszu tytoniowego.</w:t>
      </w:r>
      <w:r w:rsidR="00A36C84" w:rsidRPr="004E4F94">
        <w:rPr>
          <w:bCs/>
        </w:rPr>
        <w:t xml:space="preserve"> Podmioty te zajmują się obrotem nieprzetworzon</w:t>
      </w:r>
      <w:r w:rsidR="00F66D59" w:rsidRPr="004E4F94">
        <w:rPr>
          <w:bCs/>
        </w:rPr>
        <w:t>ym</w:t>
      </w:r>
      <w:r w:rsidR="00A36C84" w:rsidRPr="004E4F94">
        <w:rPr>
          <w:bCs/>
        </w:rPr>
        <w:t xml:space="preserve"> surowc</w:t>
      </w:r>
      <w:r w:rsidR="00F66D59" w:rsidRPr="004E4F94">
        <w:rPr>
          <w:bCs/>
        </w:rPr>
        <w:t>em</w:t>
      </w:r>
      <w:r w:rsidR="00A36C84" w:rsidRPr="004E4F94">
        <w:rPr>
          <w:bCs/>
        </w:rPr>
        <w:t xml:space="preserve"> tytoniow</w:t>
      </w:r>
      <w:r w:rsidR="00F66D59" w:rsidRPr="004E4F94">
        <w:rPr>
          <w:bCs/>
        </w:rPr>
        <w:t>ym</w:t>
      </w:r>
      <w:r w:rsidR="00A36C84" w:rsidRPr="004E4F94">
        <w:rPr>
          <w:bCs/>
        </w:rPr>
        <w:t>, który dopiero po obróbce zyskuje znacząco na wartości. Tą grupę podmiotów stanowią małe i średnie firmy nieposiadające dużego kapitału. Obecna konstrukcja przepisów w zakresie podatku akcyzowego od suszu tytoniowego nie przewidywała możliwości złożenia zabezpieczenia akcyzowego przez osobę trzecią</w:t>
      </w:r>
      <w:r w:rsidR="00C97A2C" w:rsidRPr="004E4F94">
        <w:rPr>
          <w:bCs/>
        </w:rPr>
        <w:t>,</w:t>
      </w:r>
      <w:r w:rsidR="00A36C84" w:rsidRPr="004E4F94">
        <w:rPr>
          <w:bCs/>
        </w:rPr>
        <w:t xml:space="preserve"> co wiązało się z utrudnien</w:t>
      </w:r>
      <w:r w:rsidR="003556B1">
        <w:rPr>
          <w:bCs/>
        </w:rPr>
        <w:t>iami dla ww. grupy podmiotów. Z </w:t>
      </w:r>
      <w:r w:rsidR="00A36C84" w:rsidRPr="004E4F94">
        <w:rPr>
          <w:bCs/>
        </w:rPr>
        <w:t>uwagi</w:t>
      </w:r>
      <w:r w:rsidR="00C97A2C" w:rsidRPr="004E4F94">
        <w:rPr>
          <w:bCs/>
        </w:rPr>
        <w:t xml:space="preserve"> na</w:t>
      </w:r>
      <w:r w:rsidR="00A36C84" w:rsidRPr="004E4F94">
        <w:rPr>
          <w:bCs/>
        </w:rPr>
        <w:t xml:space="preserve"> </w:t>
      </w:r>
      <w:r w:rsidR="00747F7C" w:rsidRPr="004E4F94">
        <w:rPr>
          <w:bCs/>
        </w:rPr>
        <w:t>powyższe</w:t>
      </w:r>
      <w:r w:rsidR="00A36C84" w:rsidRPr="004E4F94">
        <w:rPr>
          <w:bCs/>
        </w:rPr>
        <w:t xml:space="preserve"> zdecydowano się wprowadzić możliwość złożenia zabezpieczenia przez osobę trzecią</w:t>
      </w:r>
      <w:r w:rsidR="00C97A2C" w:rsidRPr="004E4F94">
        <w:rPr>
          <w:bCs/>
        </w:rPr>
        <w:t>,</w:t>
      </w:r>
      <w:r w:rsidR="00A36C84" w:rsidRPr="004E4F94">
        <w:rPr>
          <w:bCs/>
        </w:rPr>
        <w:t xml:space="preserve"> jednakże tylko w przypadku zabezpieczenia</w:t>
      </w:r>
      <w:r w:rsidR="00F31372" w:rsidRPr="004E4F94">
        <w:rPr>
          <w:bCs/>
        </w:rPr>
        <w:t xml:space="preserve"> akcyzowego</w:t>
      </w:r>
      <w:r w:rsidR="002C74C6" w:rsidRPr="004E4F94">
        <w:rPr>
          <w:bCs/>
        </w:rPr>
        <w:t xml:space="preserve"> składanego w formie depozytu w gotówce, gwarancji bankowej lub ubezpieczeniowej, czeku potwierdzonego zgodnie </w:t>
      </w:r>
      <w:r w:rsidR="003556B1">
        <w:rPr>
          <w:bCs/>
        </w:rPr>
        <w:t>z art. 67 ust. 1 pkt 3 ustawy o </w:t>
      </w:r>
      <w:r w:rsidR="002C74C6" w:rsidRPr="004E4F94">
        <w:rPr>
          <w:bCs/>
        </w:rPr>
        <w:t>podatku akcyzow</w:t>
      </w:r>
      <w:r w:rsidR="0013449F">
        <w:rPr>
          <w:bCs/>
        </w:rPr>
        <w:t>ym</w:t>
      </w:r>
      <w:r w:rsidR="00A36C84" w:rsidRPr="004E4F94">
        <w:rPr>
          <w:bCs/>
        </w:rPr>
        <w:t>.</w:t>
      </w:r>
      <w:r w:rsidR="00F31372" w:rsidRPr="004E4F94">
        <w:rPr>
          <w:bCs/>
        </w:rPr>
        <w:t xml:space="preserve"> Zabezpieczenie takie będzie mogła złożyć osoba</w:t>
      </w:r>
      <w:r w:rsidR="002C74C6" w:rsidRPr="004E4F94">
        <w:rPr>
          <w:bCs/>
        </w:rPr>
        <w:t>, która</w:t>
      </w:r>
      <w:r w:rsidR="00F31372" w:rsidRPr="004E4F94">
        <w:rPr>
          <w:bCs/>
        </w:rPr>
        <w:t xml:space="preserve"> całym majątkiem odpowiadać będzie za zobowiązania podatkowe podmiotu obowiązanego do złożenia zabezpieczenia akcyzowego.</w:t>
      </w:r>
      <w:r w:rsidR="002C74C6" w:rsidRPr="004E4F94">
        <w:rPr>
          <w:bCs/>
        </w:rPr>
        <w:t xml:space="preserve"> W celu uregulowania tej kwestii dodany został ust. 6 w</w:t>
      </w:r>
      <w:r w:rsidR="00152298" w:rsidRPr="004E4F94">
        <w:rPr>
          <w:bCs/>
        </w:rPr>
        <w:t xml:space="preserve"> </w:t>
      </w:r>
      <w:r w:rsidR="00F332CD" w:rsidRPr="004E4F94">
        <w:rPr>
          <w:bCs/>
        </w:rPr>
        <w:t>art. 63</w:t>
      </w:r>
      <w:r w:rsidR="009B63F4" w:rsidRPr="004E4F94">
        <w:rPr>
          <w:bCs/>
        </w:rPr>
        <w:t>.</w:t>
      </w:r>
      <w:r w:rsidR="00CE0A26" w:rsidRPr="004E4F94">
        <w:rPr>
          <w:bCs/>
        </w:rPr>
        <w:t xml:space="preserve"> </w:t>
      </w:r>
      <w:r w:rsidR="009B63F4" w:rsidRPr="004E4F94">
        <w:rPr>
          <w:bCs/>
        </w:rPr>
        <w:t>Zgodnie z jego brzmieniem</w:t>
      </w:r>
      <w:r w:rsidR="00715B70" w:rsidRPr="004E4F94">
        <w:rPr>
          <w:bCs/>
        </w:rPr>
        <w:t xml:space="preserve"> osoba trzecia odp</w:t>
      </w:r>
      <w:r w:rsidR="00F96768" w:rsidRPr="004E4F94">
        <w:rPr>
          <w:bCs/>
        </w:rPr>
        <w:t>owiada całym swoim majątkiem za</w:t>
      </w:r>
      <w:r w:rsidR="00C576D1" w:rsidRPr="004E4F94">
        <w:rPr>
          <w:bCs/>
        </w:rPr>
        <w:t xml:space="preserve"> </w:t>
      </w:r>
      <w:r w:rsidR="00715B70" w:rsidRPr="004E4F94">
        <w:rPr>
          <w:bCs/>
        </w:rPr>
        <w:t>zobowiązania podmiotu obowiązanego do złożenia zabezpieczenia akcyzowego, którym jest pośredniczący podmiot tytoniowy oraz podmiot reprezentujący przedsiębiorcę zagranicznego nieposiadający oddziału z siedzibą na terytorium kraju</w:t>
      </w:r>
      <w:r w:rsidR="00F332CD" w:rsidRPr="004E4F94">
        <w:rPr>
          <w:bCs/>
        </w:rPr>
        <w:t>.</w:t>
      </w:r>
      <w:r w:rsidR="00715B70" w:rsidRPr="004E4F94">
        <w:rPr>
          <w:bCs/>
        </w:rPr>
        <w:t xml:space="preserve"> Odpowiedzialność tych podmiotów jest solidarna.</w:t>
      </w:r>
    </w:p>
    <w:p w:rsidR="00C954A0" w:rsidRPr="004E4F94" w:rsidRDefault="00F332CD" w:rsidP="004E4F94">
      <w:pPr>
        <w:autoSpaceDE w:val="0"/>
        <w:autoSpaceDN w:val="0"/>
        <w:adjustRightInd w:val="0"/>
        <w:spacing w:line="360" w:lineRule="auto"/>
        <w:ind w:left="357"/>
        <w:jc w:val="both"/>
      </w:pPr>
      <w:r w:rsidRPr="004E4F94">
        <w:t>Zmiana art. 65 ust. 9a uwzględnia postulaty pośrednicz</w:t>
      </w:r>
      <w:r w:rsidR="00F96768" w:rsidRPr="004E4F94">
        <w:t>ących podmiotów wskazujących na</w:t>
      </w:r>
      <w:r w:rsidR="003556B1">
        <w:t xml:space="preserve"> </w:t>
      </w:r>
      <w:r w:rsidRPr="004E4F94">
        <w:t xml:space="preserve">niewspółmiernie </w:t>
      </w:r>
      <w:r w:rsidR="00715B70" w:rsidRPr="004E4F94">
        <w:t>wysokie zabezpieczenie akcyzowe</w:t>
      </w:r>
      <w:r w:rsidRPr="004E4F94">
        <w:t xml:space="preserve"> od suszu tytoniowego w stosunku do ceny skupu tego suszu tytoniowego na rynku tytoniowym oraz fakt, iż w przeważającej mierze działalność w charakterze </w:t>
      </w:r>
      <w:r w:rsidRPr="004E4F94">
        <w:lastRenderedPageBreak/>
        <w:t>pośredniczących podmiotów tytoniowych prowadzą małe i średnie przedsiębiorstwa dysponujące ograniczonym zasobem środków finansowych.</w:t>
      </w:r>
      <w:r w:rsidR="00715B70" w:rsidRPr="004E4F94">
        <w:t xml:space="preserve"> </w:t>
      </w:r>
      <w:r w:rsidR="00C954A0" w:rsidRPr="004E4F94">
        <w:t xml:space="preserve">Podmioty wskazywały, że poziom zabezpieczenia ryczałtowego </w:t>
      </w:r>
      <w:r w:rsidR="0082202D" w:rsidRPr="004E4F94">
        <w:t xml:space="preserve">w </w:t>
      </w:r>
      <w:r w:rsidR="00894BF9" w:rsidRPr="004E4F94">
        <w:t xml:space="preserve">wysokości 30 mln zł </w:t>
      </w:r>
      <w:r w:rsidR="003556B1">
        <w:t>jest zbyt wysoki i </w:t>
      </w:r>
      <w:r w:rsidR="00C954A0" w:rsidRPr="004E4F94">
        <w:t>ogranicza działalność podmiotów.</w:t>
      </w:r>
    </w:p>
    <w:p w:rsidR="00C954A0" w:rsidRPr="004E4F94" w:rsidRDefault="009B72E7" w:rsidP="004E4F94">
      <w:pPr>
        <w:autoSpaceDE w:val="0"/>
        <w:autoSpaceDN w:val="0"/>
        <w:adjustRightInd w:val="0"/>
        <w:spacing w:line="360" w:lineRule="auto"/>
        <w:ind w:left="357"/>
        <w:jc w:val="both"/>
      </w:pPr>
      <w:r w:rsidRPr="004E4F94">
        <w:t>Nowe brzmienie przepisu przewiduje obniżenie górnej granicy składanego przez te podmioty zabezpieczenia ryczałtowego z 30 mln zł do 15 mln zł</w:t>
      </w:r>
      <w:r w:rsidR="00DA5A86" w:rsidRPr="004E4F94">
        <w:t>.</w:t>
      </w:r>
      <w:r w:rsidRPr="004E4F94">
        <w:t xml:space="preserve"> </w:t>
      </w:r>
    </w:p>
    <w:p w:rsidR="00747F7C" w:rsidRPr="004E4F94" w:rsidRDefault="005B4902" w:rsidP="004E4F94">
      <w:pPr>
        <w:autoSpaceDE w:val="0"/>
        <w:autoSpaceDN w:val="0"/>
        <w:adjustRightInd w:val="0"/>
        <w:spacing w:line="360" w:lineRule="auto"/>
        <w:ind w:left="357"/>
        <w:jc w:val="both"/>
      </w:pPr>
      <w:r w:rsidRPr="004E4F94">
        <w:t xml:space="preserve">Nowelizacja </w:t>
      </w:r>
      <w:r w:rsidR="00F332CD" w:rsidRPr="004E4F94">
        <w:t xml:space="preserve">art. 67 ust. 1 </w:t>
      </w:r>
      <w:r w:rsidRPr="004E4F94">
        <w:t xml:space="preserve">polegająca na dodaniu </w:t>
      </w:r>
      <w:r w:rsidR="00F332CD" w:rsidRPr="004E4F94">
        <w:t xml:space="preserve">pkt </w:t>
      </w:r>
      <w:r w:rsidR="00747F7C" w:rsidRPr="004E4F94">
        <w:t xml:space="preserve">6 </w:t>
      </w:r>
      <w:r w:rsidR="00F332CD" w:rsidRPr="004E4F94">
        <w:t xml:space="preserve">wprowadza </w:t>
      </w:r>
      <w:r w:rsidR="00747F7C" w:rsidRPr="004E4F94">
        <w:t>nową</w:t>
      </w:r>
      <w:r w:rsidR="00F332CD" w:rsidRPr="004E4F94">
        <w:t xml:space="preserve"> form</w:t>
      </w:r>
      <w:r w:rsidR="00747F7C" w:rsidRPr="004E4F94">
        <w:t>ę</w:t>
      </w:r>
      <w:r w:rsidR="00F332CD" w:rsidRPr="004E4F94">
        <w:t xml:space="preserve"> zabezpieczenia akcyzowego</w:t>
      </w:r>
      <w:r w:rsidR="00C97A2C" w:rsidRPr="004E4F94">
        <w:t>,</w:t>
      </w:r>
      <w:r w:rsidR="00F332CD" w:rsidRPr="004E4F94">
        <w:t xml:space="preserve"> jakim jest hipoteka</w:t>
      </w:r>
      <w:r w:rsidR="00F96768" w:rsidRPr="004E4F94">
        <w:t xml:space="preserve"> na</w:t>
      </w:r>
      <w:r w:rsidR="00DA5A86" w:rsidRPr="004E4F94">
        <w:t xml:space="preserve"> </w:t>
      </w:r>
      <w:r w:rsidR="00CB7125" w:rsidRPr="004E4F94">
        <w:t>nieruchomości</w:t>
      </w:r>
      <w:r w:rsidR="00F332CD" w:rsidRPr="004E4F94">
        <w:t xml:space="preserve">. </w:t>
      </w:r>
      <w:r w:rsidRPr="004E4F94">
        <w:t xml:space="preserve">Powyższe spełnia postulaty pośredniczących podmiotów tytoniowych </w:t>
      </w:r>
      <w:r w:rsidR="006C1972" w:rsidRPr="004E4F94">
        <w:t>w tym zakresie</w:t>
      </w:r>
      <w:r w:rsidR="00747F7C" w:rsidRPr="004E4F94">
        <w:t>.</w:t>
      </w:r>
      <w:r w:rsidR="006C1972" w:rsidRPr="004E4F94">
        <w:t xml:space="preserve"> </w:t>
      </w:r>
      <w:r w:rsidR="00747F7C" w:rsidRPr="004E4F94">
        <w:t>Nowa forma zabezpieczenia, z uwagi na konstrukcję ustawy o podatku akcyzowym, będzie dostępna dla wszystkich podmiotów z</w:t>
      </w:r>
      <w:r w:rsidR="006C1972" w:rsidRPr="004E4F94">
        <w:t>obowiązany</w:t>
      </w:r>
      <w:r w:rsidR="00747F7C" w:rsidRPr="004E4F94">
        <w:t>ch</w:t>
      </w:r>
      <w:r w:rsidR="006C1972" w:rsidRPr="004E4F94">
        <w:t xml:space="preserve"> do złożenia zabezpieczenia akcyzowego.</w:t>
      </w:r>
    </w:p>
    <w:p w:rsidR="00A51356" w:rsidRPr="004E4F94" w:rsidRDefault="00204309" w:rsidP="004E4F94">
      <w:pPr>
        <w:autoSpaceDE w:val="0"/>
        <w:autoSpaceDN w:val="0"/>
        <w:adjustRightInd w:val="0"/>
        <w:spacing w:line="360" w:lineRule="auto"/>
        <w:ind w:left="357"/>
        <w:jc w:val="both"/>
      </w:pPr>
      <w:r w:rsidRPr="004E4F94">
        <w:t xml:space="preserve">Z uwagi na wprowadzenie hipoteki na nieruchomości jako nowej formy zabezpieczenia akcyzowego konieczne stało się uregulowanie kwestii związanych </w:t>
      </w:r>
      <w:r w:rsidR="00894BF9" w:rsidRPr="004E4F94">
        <w:t>ze stosowaniem tej formy zabezpieczenia akcyzowego.</w:t>
      </w:r>
      <w:r w:rsidRPr="004E4F94">
        <w:t xml:space="preserve"> </w:t>
      </w:r>
      <w:r w:rsidR="003556B1">
        <w:t>Zgodnie z dodawanym art. </w:t>
      </w:r>
      <w:r w:rsidR="00747F7C" w:rsidRPr="004E4F94">
        <w:t>69a proponowane regulacje przewidują możliwość ustanowienia zabezpieczenia akcyzowego w formie hipoteki na prawie własności nieruchomości, w sytuacji gdy nieruchomość stanowi wyłączną własność podmiotu zobowiązanego do złożenia zabezpieczenia akcyzowego. Jako zabezpieczenia akcyzowe nie będą zatem przyjmowane hipoteki na nieruchomości</w:t>
      </w:r>
      <w:r w:rsidR="00DA5A86" w:rsidRPr="004E4F94">
        <w:t xml:space="preserve">, </w:t>
      </w:r>
      <w:r w:rsidR="00747F7C" w:rsidRPr="004E4F94">
        <w:t xml:space="preserve">których podmiot zobowiązany jest jedynie współwłaścicielem albo przysługuje mu jedynie </w:t>
      </w:r>
      <w:r w:rsidR="003556B1">
        <w:t>ograniczone prawo rzeczowe</w:t>
      </w:r>
      <w:r w:rsidR="001A2015">
        <w:t>,</w:t>
      </w:r>
      <w:r w:rsidR="003556B1">
        <w:t xml:space="preserve"> tj. np. </w:t>
      </w:r>
      <w:r w:rsidR="00747F7C" w:rsidRPr="004E4F94">
        <w:t>użytkowanie wieczyste, spółdzielcze własnościowe prawo do lokalu. Zaproponowano również</w:t>
      </w:r>
      <w:r w:rsidR="00F66D59" w:rsidRPr="004E4F94">
        <w:t>,</w:t>
      </w:r>
      <w:r w:rsidR="00747F7C" w:rsidRPr="004E4F94">
        <w:t xml:space="preserve"> aby nieruchomość</w:t>
      </w:r>
      <w:r w:rsidR="00C97A2C" w:rsidRPr="004E4F94">
        <w:t>,</w:t>
      </w:r>
      <w:r w:rsidR="00747F7C" w:rsidRPr="004E4F94">
        <w:t xml:space="preserve"> na której ma zostać ustanowiona hipoteka</w:t>
      </w:r>
      <w:r w:rsidR="00C97A2C" w:rsidRPr="004E4F94">
        <w:t>,</w:t>
      </w:r>
      <w:r w:rsidR="00747F7C" w:rsidRPr="004E4F94">
        <w:t xml:space="preserve"> nie była objęta ograniczeniami obrotu</w:t>
      </w:r>
      <w:r w:rsidR="003556B1">
        <w:t xml:space="preserve"> danym typem nieruchomości (np. </w:t>
      </w:r>
      <w:r w:rsidR="00747F7C" w:rsidRPr="004E4F94">
        <w:t xml:space="preserve">nie była nieruchomością rolną, nieruchomością objęta prawem pierwokupu, prawem odkupu, nieruchomością przeznaczoną na realizację </w:t>
      </w:r>
      <w:r w:rsidR="001A2015">
        <w:t xml:space="preserve">na </w:t>
      </w:r>
      <w:r w:rsidR="00747F7C" w:rsidRPr="004E4F94">
        <w:t>cele publiczne), tak</w:t>
      </w:r>
      <w:r w:rsidR="00F66D59" w:rsidRPr="004E4F94">
        <w:t>,</w:t>
      </w:r>
      <w:r w:rsidR="00747F7C" w:rsidRPr="004E4F94">
        <w:t xml:space="preserve"> aby nie powstały przeszkody dla organu egzekucyjnego, które by utrudniały lub uniemożliwiały ewentualną sprzedaż nieruchomości. Przewidziano również</w:t>
      </w:r>
      <w:r w:rsidR="00DA5A86" w:rsidRPr="004E4F94">
        <w:t>,</w:t>
      </w:r>
      <w:r w:rsidR="003556B1">
        <w:t xml:space="preserve"> aby w </w:t>
      </w:r>
      <w:r w:rsidR="00747F7C" w:rsidRPr="004E4F94">
        <w:t xml:space="preserve">dacie ustanowienia hipoteki nieruchomość nie była obciążona ograniczonymi prawami rzeczowymi, które wpływałyby na zmniejszenie jej wartości. W tym zakresie wyłączono jedynie służebność </w:t>
      </w:r>
      <w:proofErr w:type="spellStart"/>
      <w:r w:rsidR="00747F7C" w:rsidRPr="004E4F94">
        <w:t>przesyłu</w:t>
      </w:r>
      <w:proofErr w:type="spellEnd"/>
      <w:r w:rsidR="00747F7C" w:rsidRPr="004E4F94">
        <w:t>, uznając jej ustanowienie za mające znaczenie z uwagi na zaopatrzenie nieruchomoś</w:t>
      </w:r>
      <w:r w:rsidR="003556B1">
        <w:t>ci w media (prąd, gaz, wodę). W </w:t>
      </w:r>
      <w:r w:rsidR="00747F7C" w:rsidRPr="004E4F94">
        <w:t xml:space="preserve">sytuacji zbycia, bądź obciążenia nieruchomości prawami rzeczowymi </w:t>
      </w:r>
      <w:r w:rsidR="00747F7C" w:rsidRPr="004E4F94">
        <w:lastRenderedPageBreak/>
        <w:t xml:space="preserve">ograniczonymi, po przyjęciu zabezpieczenia akcyzowego organowi podatkowemu przyznano prawo do żądania dodatkowego lub nowego zabezpieczenia akcyzowego. </w:t>
      </w:r>
    </w:p>
    <w:p w:rsidR="000A3A7D" w:rsidRPr="004E4F94" w:rsidRDefault="00747F7C" w:rsidP="004E4F94">
      <w:pPr>
        <w:autoSpaceDE w:val="0"/>
        <w:autoSpaceDN w:val="0"/>
        <w:adjustRightInd w:val="0"/>
        <w:spacing w:line="360" w:lineRule="auto"/>
        <w:ind w:left="357"/>
        <w:jc w:val="both"/>
      </w:pPr>
      <w:r w:rsidRPr="004E4F94">
        <w:t>Proponuje się, aby hipoteka na nieruchomości mogła zostać ust</w:t>
      </w:r>
      <w:r w:rsidR="003556B1">
        <w:t>anowiona do 65</w:t>
      </w:r>
      <w:r w:rsidRPr="004E4F94">
        <w:t>% wartości nieruchomości. Wartość ta odpowiada najniższej cen</w:t>
      </w:r>
      <w:r w:rsidR="00C97A2C" w:rsidRPr="004E4F94">
        <w:t>ie,</w:t>
      </w:r>
      <w:r w:rsidRPr="004E4F94">
        <w:t xml:space="preserve"> po której może nastąpić zbycie nieruchomości zgodnie z przepisam</w:t>
      </w:r>
      <w:r w:rsidR="003556B1">
        <w:t>i ustawy z dnia 17 czerwca 1966 </w:t>
      </w:r>
      <w:r w:rsidRPr="004E4F94">
        <w:t>r. o postępowaniu egzekucyjnym w administracji (Dz. U. z 201</w:t>
      </w:r>
      <w:r w:rsidR="00C97A2C" w:rsidRPr="004E4F94">
        <w:t>7</w:t>
      </w:r>
      <w:r w:rsidRPr="004E4F94">
        <w:t xml:space="preserve"> r. poz. </w:t>
      </w:r>
      <w:r w:rsidR="00C97A2C" w:rsidRPr="004E4F94">
        <w:t>1201</w:t>
      </w:r>
      <w:r w:rsidRPr="004E4F94">
        <w:t>). Z uwagi na długotrwały proces zaspokajania s</w:t>
      </w:r>
      <w:r w:rsidR="003556B1">
        <w:t>ię z przedmiotu nieruchomości w </w:t>
      </w:r>
      <w:r w:rsidRPr="004E4F94">
        <w:t>przypadku wyboru hipoteki jako formy zabezpieczenia akcyzowego przyjęto, że podmiot może złożyć zabezpiecz</w:t>
      </w:r>
      <w:r w:rsidR="003556B1">
        <w:t>enie w tej formie jedynie do 45</w:t>
      </w:r>
      <w:r w:rsidRPr="004E4F94">
        <w:t>% kwoty całego zabezpieczenia. Dalszą część, do pokrycia pełnej kwoty powinny stanowić zabezpieczenia złożone w innych formach</w:t>
      </w:r>
      <w:r w:rsidR="00C97A2C" w:rsidRPr="004E4F94">
        <w:t>,</w:t>
      </w:r>
      <w:r w:rsidRPr="004E4F94">
        <w:t xml:space="preserve"> np. depozyt w gotówce, gwarancje bankowe, które z uwagi na prosty sposób ich funkcjonowania, dawałby organowi podatkowemu możliwość szybszego zaspokojenia się, w przypadku zaistnienia potrzeby pokrycia kwot akcyzy lub opłaty paliwowej ze złożonego zabezpieczenia akcyzowego. </w:t>
      </w:r>
      <w:r w:rsidR="000A3A7D" w:rsidRPr="004E4F94">
        <w:t>Kwestię t</w:t>
      </w:r>
      <w:r w:rsidR="00DB0B43" w:rsidRPr="004E4F94">
        <w:t>ę</w:t>
      </w:r>
      <w:r w:rsidR="000A3A7D" w:rsidRPr="004E4F94">
        <w:t xml:space="preserve"> reguluje ust. 3 dodany w art. 70 ustawy o podatku akcyzowym. </w:t>
      </w:r>
    </w:p>
    <w:p w:rsidR="00CE399C" w:rsidRPr="004E4F94" w:rsidRDefault="00747F7C" w:rsidP="004E4F94">
      <w:pPr>
        <w:autoSpaceDE w:val="0"/>
        <w:autoSpaceDN w:val="0"/>
        <w:adjustRightInd w:val="0"/>
        <w:spacing w:line="360" w:lineRule="auto"/>
        <w:ind w:left="357"/>
        <w:jc w:val="both"/>
      </w:pPr>
      <w:r w:rsidRPr="004E4F94">
        <w:t>Proponuje się</w:t>
      </w:r>
      <w:r w:rsidR="00DA5A86" w:rsidRPr="004E4F94">
        <w:t>,</w:t>
      </w:r>
      <w:r w:rsidRPr="004E4F94">
        <w:t xml:space="preserve"> aby wartość nieruchomości </w:t>
      </w:r>
      <w:r w:rsidR="0082202D" w:rsidRPr="004E4F94">
        <w:t>określana była</w:t>
      </w:r>
      <w:r w:rsidR="007E267D" w:rsidRPr="004E4F94">
        <w:t xml:space="preserve"> na podstawie jej wartości rynkowej</w:t>
      </w:r>
      <w:r w:rsidR="00F61B4A" w:rsidRPr="004E4F94">
        <w:t xml:space="preserve">, z uwzględnieniem jej miejsca położenia, stanu i stopnia amortyzacji. Przy czym, jeżeli wartość nieruchomości określona przez podmiot zobowiązany do złożenia zabezpieczenia akcyzowego nie będzie odpowiadała, według organu podatkowego, wartości rynkowej, </w:t>
      </w:r>
      <w:r w:rsidR="00CE399C" w:rsidRPr="004E4F94">
        <w:t>organ podatkowy wzywał będzie podmiot do wskazania przyczyn uzasadniających podanie wartości nieruchomości w określonej wysokości. W razie nieudzielenia odpowiedzi lub niewskazania przyczyn, które uzasadniają przyjęcie wartoś</w:t>
      </w:r>
      <w:r w:rsidR="001A2015">
        <w:t>ci</w:t>
      </w:r>
      <w:r w:rsidR="00CE399C" w:rsidRPr="004E4F94">
        <w:t xml:space="preserve"> nieruchomości w określonej wysokości, przyjmowana będzie wartość nieruchomości określona w opinii sporządzonej </w:t>
      </w:r>
      <w:r w:rsidR="001921D5" w:rsidRPr="004E4F94">
        <w:t>w</w:t>
      </w:r>
      <w:r w:rsidR="001921D5">
        <w:t> </w:t>
      </w:r>
      <w:r w:rsidR="00CE399C" w:rsidRPr="004E4F94">
        <w:t xml:space="preserve">formie operatu szacunkowego przez rzeczoznawcę majątkowego, o którym mowa w ustawie z dnia 21 sierpnia 1997 r. o gospodarce nieruchomościami (Dz. U. </w:t>
      </w:r>
      <w:r w:rsidR="001921D5" w:rsidRPr="004E4F94">
        <w:t>z</w:t>
      </w:r>
      <w:r w:rsidR="001921D5">
        <w:t> </w:t>
      </w:r>
      <w:r w:rsidR="001921D5" w:rsidRPr="004E4F94">
        <w:t>2016</w:t>
      </w:r>
      <w:r w:rsidR="001921D5">
        <w:t> </w:t>
      </w:r>
      <w:r w:rsidR="00CE399C" w:rsidRPr="004E4F94">
        <w:t>r. poz.</w:t>
      </w:r>
      <w:r w:rsidR="003556B1">
        <w:t xml:space="preserve"> 2147 i </w:t>
      </w:r>
      <w:r w:rsidR="00CE399C" w:rsidRPr="004E4F94">
        <w:t>2260 oraz z 2017 r. poz. 624 i 820).</w:t>
      </w:r>
    </w:p>
    <w:p w:rsidR="00F61B4A" w:rsidRPr="004E4F94" w:rsidRDefault="00F61B4A" w:rsidP="004E4F94">
      <w:pPr>
        <w:autoSpaceDE w:val="0"/>
        <w:autoSpaceDN w:val="0"/>
        <w:adjustRightInd w:val="0"/>
        <w:spacing w:line="360" w:lineRule="auto"/>
        <w:ind w:left="357"/>
        <w:jc w:val="both"/>
      </w:pPr>
      <w:r w:rsidRPr="004E4F94">
        <w:t xml:space="preserve">W przypadku gdy organ podatkowy powoła biegłego rzeczoznawcę a wartość nieruchomości określona </w:t>
      </w:r>
      <w:r w:rsidR="007E267D" w:rsidRPr="004E4F94">
        <w:t>na podstawie</w:t>
      </w:r>
      <w:r w:rsidRPr="004E4F94">
        <w:t xml:space="preserve"> jego opinii będzie różniła się o więcej niż 33% od wartości rynkowej </w:t>
      </w:r>
      <w:r w:rsidR="007E267D" w:rsidRPr="004E4F94">
        <w:t>określonej przez podmiot zobowiązany do złożenia zabezpieczenia</w:t>
      </w:r>
      <w:r w:rsidRPr="004E4F94">
        <w:t xml:space="preserve">, koszty takiej opinii ponosił będzie </w:t>
      </w:r>
      <w:r w:rsidR="007E267D" w:rsidRPr="004E4F94">
        <w:t xml:space="preserve">ten </w:t>
      </w:r>
      <w:r w:rsidRPr="004E4F94">
        <w:t>podmiot.</w:t>
      </w:r>
    </w:p>
    <w:p w:rsidR="003255E1" w:rsidRPr="004E4F94" w:rsidRDefault="000A3A7D" w:rsidP="004E4F94">
      <w:pPr>
        <w:shd w:val="clear" w:color="auto" w:fill="FFFFFF" w:themeFill="background1"/>
        <w:autoSpaceDE w:val="0"/>
        <w:autoSpaceDN w:val="0"/>
        <w:adjustRightInd w:val="0"/>
        <w:spacing w:line="360" w:lineRule="auto"/>
        <w:ind w:left="357"/>
        <w:jc w:val="both"/>
      </w:pPr>
      <w:r w:rsidRPr="004E4F94">
        <w:lastRenderedPageBreak/>
        <w:t>K</w:t>
      </w:r>
      <w:r w:rsidR="006425F6" w:rsidRPr="004E4F94">
        <w:t>onieczn</w:t>
      </w:r>
      <w:r w:rsidR="001A2015">
        <w:t>e</w:t>
      </w:r>
      <w:r w:rsidR="006425F6" w:rsidRPr="004E4F94">
        <w:t xml:space="preserve"> stało się </w:t>
      </w:r>
      <w:r w:rsidRPr="004E4F94">
        <w:t xml:space="preserve">również </w:t>
      </w:r>
      <w:r w:rsidR="006425F6" w:rsidRPr="004E4F94">
        <w:t xml:space="preserve">dodanie regulacji, która precyzowałaby egzekwowanie zabezpieczenia w formie hipoteki z nieruchomości. </w:t>
      </w:r>
      <w:r w:rsidR="00A70C51" w:rsidRPr="004E4F94">
        <w:t>Następstwem</w:t>
      </w:r>
      <w:r w:rsidR="00ED48F5" w:rsidRPr="004E4F94">
        <w:t xml:space="preserve"> czego przeredagowano</w:t>
      </w:r>
      <w:r w:rsidR="006425F6" w:rsidRPr="004E4F94">
        <w:t xml:space="preserve"> art. </w:t>
      </w:r>
      <w:r w:rsidR="00E76958" w:rsidRPr="004E4F94">
        <w:t>73</w:t>
      </w:r>
      <w:r w:rsidR="00A70C51" w:rsidRPr="004E4F94">
        <w:t xml:space="preserve"> ust. 2</w:t>
      </w:r>
      <w:r w:rsidR="00E76958" w:rsidRPr="004E4F94">
        <w:t xml:space="preserve">, </w:t>
      </w:r>
      <w:r w:rsidR="00ED48F5" w:rsidRPr="004E4F94">
        <w:t>w taki sposób</w:t>
      </w:r>
      <w:r w:rsidR="001A2015">
        <w:t>,</w:t>
      </w:r>
      <w:r w:rsidR="00ED48F5" w:rsidRPr="004E4F94">
        <w:t xml:space="preserve"> aby</w:t>
      </w:r>
      <w:r w:rsidR="00C94D35" w:rsidRPr="004E4F94">
        <w:t xml:space="preserve"> do</w:t>
      </w:r>
      <w:r w:rsidR="00ED48F5" w:rsidRPr="004E4F94">
        <w:t xml:space="preserve"> </w:t>
      </w:r>
      <w:r w:rsidR="00E76958" w:rsidRPr="004E4F94">
        <w:t>kwesti</w:t>
      </w:r>
      <w:r w:rsidR="00C94D35" w:rsidRPr="004E4F94">
        <w:t>i</w:t>
      </w:r>
      <w:r w:rsidR="00E76958" w:rsidRPr="004E4F94">
        <w:t xml:space="preserve"> </w:t>
      </w:r>
      <w:r w:rsidR="00ED48F5" w:rsidRPr="004E4F94">
        <w:t>związan</w:t>
      </w:r>
      <w:r w:rsidR="00C94D35" w:rsidRPr="004E4F94">
        <w:t>ych</w:t>
      </w:r>
      <w:r w:rsidR="003556B1">
        <w:t xml:space="preserve"> z </w:t>
      </w:r>
      <w:r w:rsidR="00E76958" w:rsidRPr="004E4F94">
        <w:t>pokryci</w:t>
      </w:r>
      <w:r w:rsidR="00ED48F5" w:rsidRPr="004E4F94">
        <w:t>em</w:t>
      </w:r>
      <w:r w:rsidR="00E76958" w:rsidRPr="004E4F94">
        <w:t xml:space="preserve"> kwoty akcyzy niezapłaconej w terminie przez sprzedaż nieruchomości obciążonej hipoteką</w:t>
      </w:r>
      <w:r w:rsidR="00ED48F5" w:rsidRPr="004E4F94">
        <w:t xml:space="preserve"> również stosować</w:t>
      </w:r>
      <w:r w:rsidR="00F96768" w:rsidRPr="004E4F94">
        <w:t xml:space="preserve"> przepisy wynikające z ustawy z</w:t>
      </w:r>
      <w:r w:rsidR="003556B1">
        <w:t xml:space="preserve"> </w:t>
      </w:r>
      <w:r w:rsidR="00ED48F5" w:rsidRPr="004E4F94">
        <w:t xml:space="preserve">dnia </w:t>
      </w:r>
      <w:r w:rsidR="00A879CE" w:rsidRPr="004E4F94">
        <w:t>17</w:t>
      </w:r>
      <w:r w:rsidR="00A879CE">
        <w:t> </w:t>
      </w:r>
      <w:r w:rsidR="00ED48F5" w:rsidRPr="004E4F94">
        <w:t>czerwca 1966 r</w:t>
      </w:r>
      <w:r w:rsidR="001A2015">
        <w:t>.</w:t>
      </w:r>
      <w:r w:rsidR="00ED48F5" w:rsidRPr="004E4F94">
        <w:t xml:space="preserve"> o postępowaniu egzekucyjnym w </w:t>
      </w:r>
      <w:r w:rsidR="00A70C51" w:rsidRPr="004E4F94">
        <w:t xml:space="preserve">administracji. </w:t>
      </w:r>
    </w:p>
    <w:p w:rsidR="00F85225" w:rsidRPr="004E4F94" w:rsidRDefault="00123C5F" w:rsidP="004E4F94">
      <w:pPr>
        <w:autoSpaceDE w:val="0"/>
        <w:autoSpaceDN w:val="0"/>
        <w:adjustRightInd w:val="0"/>
        <w:spacing w:line="360" w:lineRule="auto"/>
        <w:ind w:left="357"/>
        <w:jc w:val="both"/>
      </w:pPr>
      <w:r w:rsidRPr="004E4F94">
        <w:t xml:space="preserve">W </w:t>
      </w:r>
      <w:r w:rsidR="00CB7125" w:rsidRPr="004E4F94">
        <w:t>art.</w:t>
      </w:r>
      <w:r w:rsidR="001A2015">
        <w:t xml:space="preserve"> </w:t>
      </w:r>
      <w:r w:rsidR="00CB7125" w:rsidRPr="004E4F94">
        <w:t xml:space="preserve">138g ust. 1 </w:t>
      </w:r>
      <w:r w:rsidR="00F85225" w:rsidRPr="004E4F94">
        <w:t>dodan</w:t>
      </w:r>
      <w:r w:rsidRPr="004E4F94">
        <w:t>o</w:t>
      </w:r>
      <w:r w:rsidR="00F85225" w:rsidRPr="004E4F94">
        <w:t xml:space="preserve"> </w:t>
      </w:r>
      <w:r w:rsidR="00CB7125" w:rsidRPr="004E4F94">
        <w:t>pkt 4</w:t>
      </w:r>
      <w:r w:rsidRPr="004E4F94">
        <w:t xml:space="preserve">, </w:t>
      </w:r>
      <w:r w:rsidR="001A2015">
        <w:t xml:space="preserve">w </w:t>
      </w:r>
      <w:r w:rsidRPr="004E4F94">
        <w:t>którym</w:t>
      </w:r>
      <w:r w:rsidR="00CB7125" w:rsidRPr="004E4F94">
        <w:t xml:space="preserve"> </w:t>
      </w:r>
      <w:r w:rsidR="00F85225" w:rsidRPr="004E4F94">
        <w:t>określ</w:t>
      </w:r>
      <w:r w:rsidRPr="004E4F94">
        <w:t>ony został</w:t>
      </w:r>
      <w:r w:rsidR="00F85225" w:rsidRPr="004E4F94">
        <w:t xml:space="preserve"> obowiązek prowadzenia ewidencji suszu tytoniowego przez podmiot prowadzący skład podatkowy, który magazynuje susz tytoniowy nieopodatkowany akcyzą poza składem podatkowym.</w:t>
      </w:r>
    </w:p>
    <w:p w:rsidR="00F332CD" w:rsidRPr="004E4F94" w:rsidRDefault="009C729F" w:rsidP="004E4F94">
      <w:pPr>
        <w:autoSpaceDE w:val="0"/>
        <w:autoSpaceDN w:val="0"/>
        <w:adjustRightInd w:val="0"/>
        <w:spacing w:line="360" w:lineRule="auto"/>
        <w:ind w:left="357"/>
        <w:jc w:val="both"/>
      </w:pPr>
      <w:r w:rsidRPr="004E4F94">
        <w:t>Zmiana ta z</w:t>
      </w:r>
      <w:r w:rsidR="00CB7125" w:rsidRPr="004E4F94">
        <w:t xml:space="preserve">aproponowana </w:t>
      </w:r>
      <w:r w:rsidR="00F85225" w:rsidRPr="004E4F94">
        <w:t xml:space="preserve">została </w:t>
      </w:r>
      <w:r w:rsidR="00CB7125" w:rsidRPr="004E4F94">
        <w:t>z</w:t>
      </w:r>
      <w:r w:rsidR="00F332CD" w:rsidRPr="004E4F94">
        <w:t xml:space="preserve"> uwagi na fakt, że susz tyton</w:t>
      </w:r>
      <w:r w:rsidR="00F96768" w:rsidRPr="004E4F94">
        <w:t>iowy jest wyrobem akcyzowym, do</w:t>
      </w:r>
      <w:r w:rsidR="00C576D1" w:rsidRPr="004E4F94">
        <w:t xml:space="preserve"> </w:t>
      </w:r>
      <w:r w:rsidR="00F332CD" w:rsidRPr="004E4F94">
        <w:t>którego nie ma zastosowania procedura zawieszenia poboru akcyzy</w:t>
      </w:r>
      <w:r w:rsidR="00C94D35" w:rsidRPr="004E4F94">
        <w:t>,</w:t>
      </w:r>
      <w:r w:rsidR="00E639F5" w:rsidRPr="004E4F94">
        <w:t xml:space="preserve"> przez co</w:t>
      </w:r>
      <w:r w:rsidR="00C576D1" w:rsidRPr="004E4F94">
        <w:t xml:space="preserve"> </w:t>
      </w:r>
      <w:r w:rsidR="00F332CD" w:rsidRPr="004E4F94">
        <w:t xml:space="preserve">dopuszczalne jest jego magazynowanie przez podmiot prowadzący skład podatkowy poza składem podatkowym. W związku z tym </w:t>
      </w:r>
      <w:r w:rsidR="00F85225" w:rsidRPr="004E4F94">
        <w:t xml:space="preserve">należało </w:t>
      </w:r>
      <w:r w:rsidR="00F332CD" w:rsidRPr="004E4F94">
        <w:t>p</w:t>
      </w:r>
      <w:r w:rsidR="006A4903" w:rsidRPr="004E4F94">
        <w:t>rzewidzieć regulację, zgodnie z</w:t>
      </w:r>
      <w:r w:rsidR="003556B1">
        <w:t xml:space="preserve"> </w:t>
      </w:r>
      <w:r w:rsidR="00F332CD" w:rsidRPr="004E4F94">
        <w:t>którą podmiot prowadzący skład podatkowy, który zakupił susz tytoniowy nieopodatkowany akcyzą i magazynuje go</w:t>
      </w:r>
      <w:r w:rsidR="00E639F5" w:rsidRPr="004E4F94">
        <w:t xml:space="preserve"> </w:t>
      </w:r>
      <w:r w:rsidR="00F332CD" w:rsidRPr="004E4F94">
        <w:t>poza składem podatkowym</w:t>
      </w:r>
      <w:r w:rsidR="00E639F5" w:rsidRPr="004E4F94">
        <w:t>,</w:t>
      </w:r>
      <w:r w:rsidR="00F332CD" w:rsidRPr="004E4F94">
        <w:t xml:space="preserve"> powinien prowadzić ewidencję tego suszu tytoniowego.</w:t>
      </w:r>
    </w:p>
    <w:p w:rsidR="00F96768" w:rsidRPr="004E4F94" w:rsidRDefault="00163AB0" w:rsidP="004E4F94">
      <w:pPr>
        <w:autoSpaceDE w:val="0"/>
        <w:autoSpaceDN w:val="0"/>
        <w:adjustRightInd w:val="0"/>
        <w:spacing w:line="360" w:lineRule="auto"/>
        <w:ind w:left="357"/>
        <w:jc w:val="both"/>
      </w:pPr>
      <w:r w:rsidRPr="004E4F94">
        <w:t>Zmiana</w:t>
      </w:r>
      <w:r w:rsidR="00CB7125" w:rsidRPr="004E4F94">
        <w:t xml:space="preserve"> art. 138g </w:t>
      </w:r>
      <w:r w:rsidR="00123C5F" w:rsidRPr="004E4F94">
        <w:t xml:space="preserve">w </w:t>
      </w:r>
      <w:r w:rsidR="00CB7125" w:rsidRPr="004E4F94">
        <w:t xml:space="preserve">ust. 2 </w:t>
      </w:r>
      <w:r w:rsidRPr="004E4F94">
        <w:t xml:space="preserve">polegająca na dodaniu </w:t>
      </w:r>
      <w:r w:rsidR="000B422E" w:rsidRPr="004E4F94">
        <w:t xml:space="preserve">w pkt 1 lit. i oraz j oraz </w:t>
      </w:r>
      <w:r w:rsidRPr="004E4F94">
        <w:t>na zmianie brzmienia</w:t>
      </w:r>
      <w:r w:rsidR="000B422E" w:rsidRPr="004E4F94">
        <w:t xml:space="preserve"> </w:t>
      </w:r>
      <w:r w:rsidR="00CB7125" w:rsidRPr="004E4F94">
        <w:t xml:space="preserve">pkt 3 </w:t>
      </w:r>
      <w:r w:rsidR="000B422E" w:rsidRPr="004E4F94">
        <w:t xml:space="preserve">i 4 </w:t>
      </w:r>
      <w:r w:rsidR="00F332CD" w:rsidRPr="004E4F94">
        <w:t>doprecyzowuje zakr</w:t>
      </w:r>
      <w:r w:rsidR="003556B1">
        <w:t>es ewidencjonowania czynności z </w:t>
      </w:r>
      <w:r w:rsidR="00F332CD" w:rsidRPr="004E4F94">
        <w:t>wykorzystaniem suszu tytoniowego.</w:t>
      </w:r>
    </w:p>
    <w:p w:rsidR="00A36C84" w:rsidRPr="004E4F94" w:rsidRDefault="005059CC" w:rsidP="004E4F94">
      <w:pPr>
        <w:pStyle w:val="Akapitzlist"/>
        <w:numPr>
          <w:ilvl w:val="0"/>
          <w:numId w:val="9"/>
        </w:numPr>
        <w:autoSpaceDE w:val="0"/>
        <w:autoSpaceDN w:val="0"/>
        <w:adjustRightInd w:val="0"/>
        <w:spacing w:line="360" w:lineRule="auto"/>
        <w:contextualSpacing w:val="0"/>
        <w:jc w:val="both"/>
        <w:rPr>
          <w:b/>
        </w:rPr>
      </w:pPr>
      <w:r w:rsidRPr="004E4F94">
        <w:rPr>
          <w:b/>
          <w:bCs/>
        </w:rPr>
        <w:t xml:space="preserve">Nowelizacja ustawy </w:t>
      </w:r>
      <w:r w:rsidRPr="004E4F94">
        <w:rPr>
          <w:b/>
          <w:bCs/>
          <w:iCs/>
        </w:rPr>
        <w:t>o</w:t>
      </w:r>
      <w:r w:rsidR="00A36C84" w:rsidRPr="004E4F94">
        <w:rPr>
          <w:b/>
          <w:bCs/>
          <w:iCs/>
        </w:rPr>
        <w:t xml:space="preserve"> </w:t>
      </w:r>
      <w:r w:rsidR="00863342" w:rsidRPr="004E4F94">
        <w:rPr>
          <w:b/>
          <w:bCs/>
          <w:iCs/>
        </w:rPr>
        <w:t xml:space="preserve">organizacji niektórych rynków rolnych </w:t>
      </w:r>
    </w:p>
    <w:p w:rsidR="009D61B6" w:rsidRPr="004E4F94" w:rsidRDefault="009D61B6" w:rsidP="004E4F94">
      <w:pPr>
        <w:autoSpaceDE w:val="0"/>
        <w:autoSpaceDN w:val="0"/>
        <w:adjustRightInd w:val="0"/>
        <w:spacing w:line="360" w:lineRule="auto"/>
        <w:ind w:left="360"/>
        <w:jc w:val="both"/>
      </w:pPr>
      <w:r w:rsidRPr="004E4F94">
        <w:t xml:space="preserve">Zmiany </w:t>
      </w:r>
      <w:r w:rsidRPr="00A879CE">
        <w:t>w ustawie o</w:t>
      </w:r>
      <w:r w:rsidR="003556B1" w:rsidRPr="00A879CE">
        <w:t xml:space="preserve"> </w:t>
      </w:r>
      <w:r w:rsidRPr="00A879CE">
        <w:t>organizacji niektórych rynków rolnych</w:t>
      </w:r>
      <w:r w:rsidRPr="004E4F94">
        <w:t xml:space="preserve"> mają na celu, przez wprowadzenie monitor</w:t>
      </w:r>
      <w:r w:rsidR="009C50C3" w:rsidRPr="004E4F94">
        <w:t>owania uprawy tytoniu oraz produkcji i zbytu surowca tytoniowego, a także nadzoru nad uprawą tytoniu oraz produkcją i zbytem surowca tytoniowego</w:t>
      </w:r>
      <w:r w:rsidRPr="004E4F94">
        <w:t xml:space="preserve">, uszczelnienie obrotu wysuszonymi liśćmi tytoniu, zwanymi dalej surowcem tytoniowym w Polsce. </w:t>
      </w:r>
      <w:r w:rsidR="00A31FE0" w:rsidRPr="004E4F94">
        <w:t>Ww. monitoring i kontrola mają na celu ograniczanie dopływu surowca tytoniowego krajowej produkcji do nielegalnie działających fabryk produkujących wyroby tytoniowe.</w:t>
      </w:r>
    </w:p>
    <w:p w:rsidR="009D61B6" w:rsidRPr="004E4F94" w:rsidRDefault="009D61B6" w:rsidP="004E4F94">
      <w:pPr>
        <w:autoSpaceDE w:val="0"/>
        <w:autoSpaceDN w:val="0"/>
        <w:adjustRightInd w:val="0"/>
        <w:spacing w:line="360" w:lineRule="auto"/>
        <w:ind w:left="360"/>
        <w:jc w:val="both"/>
      </w:pPr>
      <w:r w:rsidRPr="004E4F94">
        <w:t>Tytoń jest objęty przepisami wspólnej polityki rolnej Unii Europejskiej. Przy czym, po</w:t>
      </w:r>
      <w:r w:rsidR="003556B1">
        <w:t xml:space="preserve"> </w:t>
      </w:r>
      <w:r w:rsidRPr="004E4F94">
        <w:t>wygaśnięciu większości przepisów w zakresie organizacji rynku tytoniu, które były zawarte w rozporządzeniu Rady (WE) nr 1782/2003 z dnia 29 września 2003</w:t>
      </w:r>
      <w:r w:rsidR="003556B1">
        <w:t xml:space="preserve"> </w:t>
      </w:r>
      <w:r w:rsidRPr="004E4F94">
        <w:t xml:space="preserve">r. ustanawiającym wspólne zasady dla systemów wsparcia bezpośredniego w ramach wspólnej polityki rolnej i ustanawiającym określone systemy wsparcia dla rolników oraz zmieniającym rozporządzenia (EWG) nr 2019/93, (WE) nr 1452/2001, (WE) </w:t>
      </w:r>
      <w:r w:rsidRPr="004E4F94">
        <w:lastRenderedPageBreak/>
        <w:t>nr</w:t>
      </w:r>
      <w:r w:rsidR="003556B1">
        <w:t> </w:t>
      </w:r>
      <w:r w:rsidRPr="004E4F94">
        <w:t>1453/2001, (WE) nr 1454/2001, (WE) nr 1868</w:t>
      </w:r>
      <w:r w:rsidR="003556B1">
        <w:t>/94, (WE) nr 1251/1999, (WE) nr </w:t>
      </w:r>
      <w:r w:rsidRPr="004E4F94">
        <w:t>1254/1999, (WE) nr 1673/2000, (EWG) nr 2</w:t>
      </w:r>
      <w:r w:rsidR="003556B1">
        <w:t>358/71 i (WE) nr 2529/2001 (Dz. </w:t>
      </w:r>
      <w:r w:rsidRPr="004E4F94">
        <w:t>Urz. UE L 270 z 21.10.2003, str. 1, z późn. zm.; Dz. Urz. UE Polskie wydanie specjalne, rozdz. 3, t. 40, str. 269, z późn. zm.)</w:t>
      </w:r>
      <w:r w:rsidR="001A2015">
        <w:t>,</w:t>
      </w:r>
      <w:r w:rsidRPr="004E4F94">
        <w:t xml:space="preserve"> z dniem 1 stycznia 2010 r., uchylone zostały również przepisy w</w:t>
      </w:r>
      <w:r w:rsidR="003556B1">
        <w:t xml:space="preserve"> </w:t>
      </w:r>
      <w:r w:rsidRPr="004E4F94">
        <w:t>powyższym zakresie z ustawy z dnia 19 grudnia 2003 r. o organizacji rynków owoców i</w:t>
      </w:r>
      <w:r w:rsidR="003556B1">
        <w:t xml:space="preserve"> </w:t>
      </w:r>
      <w:r w:rsidRPr="004E4F94">
        <w:t xml:space="preserve">warzyw oraz rynku chmielu (Dz. U. z 2016 </w:t>
      </w:r>
      <w:r w:rsidR="003556B1">
        <w:t>r. poz. </w:t>
      </w:r>
      <w:r w:rsidRPr="004E4F94">
        <w:t>58, z późn. zm.), z wyjątkiem przepisów dotyczących płatności niezwiązanych z produkcją tytoniu. Dodać nal</w:t>
      </w:r>
      <w:r w:rsidR="003556B1">
        <w:t>eży, że stosowane w latach 2004–</w:t>
      </w:r>
      <w:r w:rsidRPr="004E4F94">
        <w:t>2009 w Polsce przepisy w zakresie wspólnej organizacji rynku tytoniu, przewidywały rejestrację plantatorów tytoniu, zatwierdzanie punktów skupu i</w:t>
      </w:r>
      <w:r w:rsidR="003556B1">
        <w:t xml:space="preserve"> </w:t>
      </w:r>
      <w:r w:rsidRPr="004E4F94">
        <w:t xml:space="preserve">pierwszych przetwórców surowca tytoniowego, rejestrację umów na uprawę tytoniu oraz przekazywanie kopii faktur na sprzedaż surowca tytoniowego, a przez pierwsze 2 lata po przystąpieniu Rzeczypospolitej Polskiej do Unii Europejskiej – przyznawanie kwoty surowca tytoniowego dla poszczególnych producentów tego surowca. Mechanizm ten prowadziła Agencja Rynku Rolnego. </w:t>
      </w:r>
    </w:p>
    <w:p w:rsidR="009D61B6" w:rsidRPr="004E4F94" w:rsidRDefault="009D61B6" w:rsidP="004E4F94">
      <w:pPr>
        <w:pStyle w:val="Default"/>
        <w:spacing w:line="360" w:lineRule="auto"/>
        <w:ind w:left="357"/>
        <w:jc w:val="both"/>
        <w:rPr>
          <w:rFonts w:ascii="Times New Roman" w:hAnsi="Times New Roman" w:cs="Times New Roman"/>
          <w:color w:val="auto"/>
        </w:rPr>
      </w:pPr>
      <w:r w:rsidRPr="004E4F94">
        <w:rPr>
          <w:rFonts w:ascii="Times New Roman" w:hAnsi="Times New Roman" w:cs="Times New Roman"/>
          <w:color w:val="auto"/>
        </w:rPr>
        <w:t>Obecnie w ustawie o organizacji niektórych rynków rolnych z dnia 11 marca 2004</w:t>
      </w:r>
      <w:r w:rsidR="003556B1">
        <w:rPr>
          <w:rFonts w:ascii="Times New Roman" w:hAnsi="Times New Roman" w:cs="Times New Roman"/>
          <w:color w:val="auto"/>
        </w:rPr>
        <w:t xml:space="preserve"> </w:t>
      </w:r>
      <w:r w:rsidRPr="004E4F94">
        <w:rPr>
          <w:rFonts w:ascii="Times New Roman" w:hAnsi="Times New Roman" w:cs="Times New Roman"/>
          <w:color w:val="auto"/>
        </w:rPr>
        <w:t>r. (Dz.</w:t>
      </w:r>
      <w:r w:rsidR="003556B1">
        <w:rPr>
          <w:rFonts w:ascii="Times New Roman" w:hAnsi="Times New Roman" w:cs="Times New Roman"/>
          <w:color w:val="auto"/>
        </w:rPr>
        <w:t xml:space="preserve"> </w:t>
      </w:r>
      <w:r w:rsidRPr="004E4F94">
        <w:rPr>
          <w:rFonts w:ascii="Times New Roman" w:hAnsi="Times New Roman" w:cs="Times New Roman"/>
          <w:color w:val="auto"/>
        </w:rPr>
        <w:t>U. z 2017 r poz.</w:t>
      </w:r>
      <w:r w:rsidR="001A2015">
        <w:rPr>
          <w:rFonts w:ascii="Times New Roman" w:hAnsi="Times New Roman" w:cs="Times New Roman"/>
          <w:color w:val="auto"/>
        </w:rPr>
        <w:t xml:space="preserve"> </w:t>
      </w:r>
      <w:r w:rsidRPr="004E4F94">
        <w:rPr>
          <w:rFonts w:ascii="Times New Roman" w:hAnsi="Times New Roman" w:cs="Times New Roman"/>
          <w:color w:val="auto"/>
        </w:rPr>
        <w:t>1006</w:t>
      </w:r>
      <w:r w:rsidR="00CC5B7D" w:rsidRPr="004E4F94">
        <w:rPr>
          <w:rFonts w:ascii="Times New Roman" w:hAnsi="Times New Roman" w:cs="Times New Roman"/>
          <w:color w:val="auto"/>
        </w:rPr>
        <w:t xml:space="preserve"> i 1503</w:t>
      </w:r>
      <w:r w:rsidRPr="004E4F94">
        <w:rPr>
          <w:rFonts w:ascii="Times New Roman" w:hAnsi="Times New Roman" w:cs="Times New Roman"/>
          <w:color w:val="auto"/>
        </w:rPr>
        <w:t>) zostały uregul</w:t>
      </w:r>
      <w:r w:rsidR="003556B1">
        <w:rPr>
          <w:rFonts w:ascii="Times New Roman" w:hAnsi="Times New Roman" w:cs="Times New Roman"/>
          <w:color w:val="auto"/>
        </w:rPr>
        <w:t>owane szczegółowe rozwiązania w </w:t>
      </w:r>
      <w:r w:rsidRPr="004E4F94">
        <w:rPr>
          <w:rFonts w:ascii="Times New Roman" w:hAnsi="Times New Roman" w:cs="Times New Roman"/>
          <w:color w:val="auto"/>
        </w:rPr>
        <w:t xml:space="preserve">zakresie tworzenia i funkcjonowania organizacji producentów tytoniu oraz ich zrzeszeń, organizacji międzybranżowych, a także przepisy dotyczące przekazywania informacji rynkowych do Komisji Europejskiej. Dodatkowo na podstawie przepisów powyższej ustawy, wprowadzony został obowiązek zawierania umów na dostarczanie surowca tytoniowego w terminie do </w:t>
      </w:r>
      <w:r w:rsidR="003556B1">
        <w:rPr>
          <w:rFonts w:ascii="Times New Roman" w:hAnsi="Times New Roman" w:cs="Times New Roman"/>
          <w:color w:val="auto"/>
        </w:rPr>
        <w:t>dnia 15 marca roku zbioru (art. </w:t>
      </w:r>
      <w:r w:rsidRPr="004E4F94">
        <w:rPr>
          <w:rFonts w:ascii="Times New Roman" w:hAnsi="Times New Roman" w:cs="Times New Roman"/>
          <w:color w:val="auto"/>
        </w:rPr>
        <w:t>38q ust. 3). Na poziomie europejski</w:t>
      </w:r>
      <w:r w:rsidR="003556B1">
        <w:rPr>
          <w:rFonts w:ascii="Times New Roman" w:hAnsi="Times New Roman" w:cs="Times New Roman"/>
          <w:color w:val="auto"/>
        </w:rPr>
        <w:t>m zagadnienia te są określone w </w:t>
      </w:r>
      <w:r w:rsidRPr="004E4F94">
        <w:rPr>
          <w:rFonts w:ascii="Times New Roman" w:hAnsi="Times New Roman" w:cs="Times New Roman"/>
          <w:color w:val="auto"/>
        </w:rPr>
        <w:t>rozporządzeniu Parlamentu Europejskiego i</w:t>
      </w:r>
      <w:r w:rsidR="003556B1">
        <w:rPr>
          <w:rFonts w:ascii="Times New Roman" w:hAnsi="Times New Roman" w:cs="Times New Roman"/>
          <w:color w:val="auto"/>
        </w:rPr>
        <w:t xml:space="preserve"> </w:t>
      </w:r>
      <w:r w:rsidRPr="004E4F94">
        <w:rPr>
          <w:rFonts w:ascii="Times New Roman" w:hAnsi="Times New Roman" w:cs="Times New Roman"/>
          <w:color w:val="auto"/>
        </w:rPr>
        <w:t>Rady (</w:t>
      </w:r>
      <w:r w:rsidR="003556B1">
        <w:rPr>
          <w:rFonts w:ascii="Times New Roman" w:hAnsi="Times New Roman" w:cs="Times New Roman"/>
          <w:bCs/>
          <w:color w:val="auto"/>
        </w:rPr>
        <w:t>UE) nr 1308/2013 z dnia 17 </w:t>
      </w:r>
      <w:r w:rsidRPr="004E4F94">
        <w:rPr>
          <w:rFonts w:ascii="Times New Roman" w:hAnsi="Times New Roman" w:cs="Times New Roman"/>
          <w:bCs/>
          <w:color w:val="auto"/>
        </w:rPr>
        <w:t>grudnia 2013 r. ustanawiającym wspólną organizację rynków produktów rolnych oraz uchylającym rozporządzenia Rady (EWG) nr 922/72, (EWG) nr 234/79, (WE) nr 1037/2001 i (WE) nr 1234/2007 (Dz. Urz. UE L 34</w:t>
      </w:r>
      <w:r w:rsidR="003556B1">
        <w:rPr>
          <w:rFonts w:ascii="Times New Roman" w:hAnsi="Times New Roman" w:cs="Times New Roman"/>
          <w:bCs/>
          <w:color w:val="auto"/>
        </w:rPr>
        <w:t>7 20.12.2013, str. 671, z późn. </w:t>
      </w:r>
      <w:r w:rsidRPr="004E4F94">
        <w:rPr>
          <w:rFonts w:ascii="Times New Roman" w:hAnsi="Times New Roman" w:cs="Times New Roman"/>
          <w:bCs/>
          <w:color w:val="auto"/>
        </w:rPr>
        <w:t>zm.)</w:t>
      </w:r>
      <w:r w:rsidRPr="004E4F94">
        <w:rPr>
          <w:rFonts w:ascii="Times New Roman" w:hAnsi="Times New Roman" w:cs="Times New Roman"/>
          <w:color w:val="auto"/>
        </w:rPr>
        <w:t xml:space="preserve">. </w:t>
      </w:r>
      <w:r w:rsidR="00C806F1" w:rsidRPr="004E4F94">
        <w:rPr>
          <w:rFonts w:ascii="Times New Roman" w:hAnsi="Times New Roman" w:cs="Times New Roman"/>
          <w:color w:val="auto"/>
        </w:rPr>
        <w:t>Ponadto, na rynku tytoniu, na podst</w:t>
      </w:r>
      <w:r w:rsidR="003556B1">
        <w:rPr>
          <w:rFonts w:ascii="Times New Roman" w:hAnsi="Times New Roman" w:cs="Times New Roman"/>
          <w:color w:val="auto"/>
        </w:rPr>
        <w:t>awie przepisów ustawy z dnia 15 </w:t>
      </w:r>
      <w:r w:rsidR="00C806F1" w:rsidRPr="004E4F94">
        <w:rPr>
          <w:rFonts w:ascii="Times New Roman" w:hAnsi="Times New Roman" w:cs="Times New Roman"/>
          <w:color w:val="auto"/>
        </w:rPr>
        <w:t>września 2000 r. o grupach producentów rolnych i ich związkach oraz zmianie innych ustaw (</w:t>
      </w:r>
      <w:r w:rsidR="00713911" w:rsidRPr="004E4F94">
        <w:rPr>
          <w:rFonts w:ascii="Times New Roman" w:hAnsi="Times New Roman" w:cs="Times New Roman"/>
          <w:color w:val="auto"/>
        </w:rPr>
        <w:t xml:space="preserve">Dz. U. </w:t>
      </w:r>
      <w:r w:rsidR="00031503" w:rsidRPr="004E4F94">
        <w:rPr>
          <w:rFonts w:ascii="Times New Roman" w:hAnsi="Times New Roman" w:cs="Times New Roman"/>
          <w:color w:val="auto"/>
        </w:rPr>
        <w:t xml:space="preserve">poz. 983, z późn. zm.) mogą być tworzone grupy producentów tytoniu. Uznawanie grup oraz nadzór nad ich funkcjonowaniem sprawują dyrektorzy oddziałów regionalnych Agencji Restrukturyzacji i Modernizacji Rolnictwa właściwi ze względu na siedzibę grupy. Grupy te oraz indywidualni plantatorzy </w:t>
      </w:r>
      <w:r w:rsidR="00031503" w:rsidRPr="004E4F94">
        <w:rPr>
          <w:rFonts w:ascii="Times New Roman" w:hAnsi="Times New Roman" w:cs="Times New Roman"/>
          <w:color w:val="auto"/>
        </w:rPr>
        <w:lastRenderedPageBreak/>
        <w:t>tytoniu mogą uzyskiwać wsparcie w ramach działań objętych Program</w:t>
      </w:r>
      <w:r w:rsidR="00274C86" w:rsidRPr="004E4F94">
        <w:rPr>
          <w:rFonts w:ascii="Times New Roman" w:hAnsi="Times New Roman" w:cs="Times New Roman"/>
          <w:color w:val="auto"/>
        </w:rPr>
        <w:t>em</w:t>
      </w:r>
      <w:r w:rsidR="00C806F1" w:rsidRPr="004E4F94">
        <w:rPr>
          <w:rFonts w:ascii="Times New Roman" w:hAnsi="Times New Roman" w:cs="Times New Roman"/>
          <w:color w:val="auto"/>
        </w:rPr>
        <w:t xml:space="preserve"> Rozwoju </w:t>
      </w:r>
      <w:r w:rsidR="003556B1">
        <w:rPr>
          <w:rFonts w:ascii="Times New Roman" w:hAnsi="Times New Roman" w:cs="Times New Roman"/>
          <w:color w:val="auto"/>
        </w:rPr>
        <w:t>Obszarów Wiejskich na lata 2014–</w:t>
      </w:r>
      <w:r w:rsidR="00C806F1" w:rsidRPr="004E4F94">
        <w:rPr>
          <w:rFonts w:ascii="Times New Roman" w:hAnsi="Times New Roman" w:cs="Times New Roman"/>
          <w:color w:val="auto"/>
        </w:rPr>
        <w:t>2020.</w:t>
      </w:r>
    </w:p>
    <w:p w:rsidR="009D61B6" w:rsidRPr="004E4F94" w:rsidRDefault="009D61B6" w:rsidP="004E4F94">
      <w:pPr>
        <w:spacing w:line="360" w:lineRule="auto"/>
        <w:ind w:left="357"/>
        <w:jc w:val="both"/>
      </w:pPr>
      <w:r w:rsidRPr="004E4F94">
        <w:t>Z dniem 31 sierpnia 2017 r. na mocy u</w:t>
      </w:r>
      <w:r w:rsidR="003556B1">
        <w:t>stawy z dnia 10 lutego 2017 r. –</w:t>
      </w:r>
      <w:r w:rsidR="00A31FE0" w:rsidRPr="004E4F94">
        <w:t xml:space="preserve"> </w:t>
      </w:r>
      <w:r w:rsidRPr="004E4F94">
        <w:t>Przepisy wprowadzające ustawę o Krajowym Ośrodku Wsparcia Rolnictwa (Dz.</w:t>
      </w:r>
      <w:r w:rsidR="003556B1">
        <w:t xml:space="preserve"> </w:t>
      </w:r>
      <w:r w:rsidRPr="004E4F94">
        <w:t>U. z 2017</w:t>
      </w:r>
      <w:r w:rsidR="000D46E0" w:rsidRPr="004E4F94">
        <w:t xml:space="preserve"> r.</w:t>
      </w:r>
      <w:r w:rsidRPr="004E4F94">
        <w:t xml:space="preserve"> poz.</w:t>
      </w:r>
      <w:r w:rsidR="000D46E0" w:rsidRPr="004E4F94">
        <w:t xml:space="preserve"> </w:t>
      </w:r>
      <w:r w:rsidRPr="004E4F94">
        <w:t>624</w:t>
      </w:r>
      <w:r w:rsidR="000D46E0" w:rsidRPr="004E4F94">
        <w:t xml:space="preserve"> i 1503</w:t>
      </w:r>
      <w:r w:rsidRPr="004E4F94">
        <w:t>) znosi się Agencję Rynku R</w:t>
      </w:r>
      <w:r w:rsidR="003556B1">
        <w:t>olnego i jednocześnie z dniem 1 </w:t>
      </w:r>
      <w:r w:rsidRPr="004E4F94">
        <w:t>września 2017 r. tworzy się Krajowy Ośrodek Wsparcia Rolnictwa</w:t>
      </w:r>
      <w:r w:rsidR="000D46E0" w:rsidRPr="004E4F94">
        <w:t xml:space="preserve"> (KOWR)</w:t>
      </w:r>
      <w:r w:rsidRPr="004E4F94">
        <w:t xml:space="preserve">, który z mocy prawa wstępuje w ogół praw </w:t>
      </w:r>
      <w:r w:rsidR="00A51640" w:rsidRPr="004E4F94">
        <w:t>i</w:t>
      </w:r>
      <w:r w:rsidR="003556B1">
        <w:t xml:space="preserve"> </w:t>
      </w:r>
      <w:r w:rsidRPr="004E4F94">
        <w:t xml:space="preserve">obowiązków znoszonej Agencji Rynku Rolnego. </w:t>
      </w:r>
      <w:r w:rsidR="00A31FE0" w:rsidRPr="004E4F94">
        <w:t>P</w:t>
      </w:r>
      <w:r w:rsidRPr="004E4F94">
        <w:t>rojektowane zadania w zakresie monitorowania oraz nadzoru nad uprawą tytoniu, produkcją i zbyciem surowca tytoniowego wykon</w:t>
      </w:r>
      <w:r w:rsidR="00A31FE0" w:rsidRPr="004E4F94">
        <w:t xml:space="preserve">ywać będzie </w:t>
      </w:r>
      <w:r w:rsidRPr="004E4F94">
        <w:t>Krajowy Ośrodek Wsparcia Rolnictwa.</w:t>
      </w:r>
    </w:p>
    <w:p w:rsidR="00CF54C0" w:rsidRPr="004E4F94" w:rsidRDefault="00274C86" w:rsidP="004E4F94">
      <w:pPr>
        <w:pStyle w:val="Tekstpodstawowy2"/>
        <w:shd w:val="clear" w:color="auto" w:fill="auto"/>
        <w:tabs>
          <w:tab w:val="left" w:pos="1029"/>
        </w:tabs>
        <w:spacing w:after="0" w:line="360" w:lineRule="auto"/>
        <w:ind w:left="284" w:right="20" w:firstLine="0"/>
        <w:jc w:val="both"/>
        <w:rPr>
          <w:sz w:val="24"/>
          <w:szCs w:val="24"/>
        </w:rPr>
      </w:pPr>
      <w:r w:rsidRPr="004E4F94">
        <w:rPr>
          <w:sz w:val="24"/>
          <w:szCs w:val="24"/>
        </w:rPr>
        <w:t>W celu powierzenia tego zadania Krajowemu Ośrodkowi oraz określenia zadań, które powinien wykonywać w tym zakresie</w:t>
      </w:r>
      <w:r w:rsidR="001A797D">
        <w:rPr>
          <w:sz w:val="24"/>
          <w:szCs w:val="24"/>
        </w:rPr>
        <w:t>,</w:t>
      </w:r>
      <w:r w:rsidRPr="004E4F94">
        <w:rPr>
          <w:sz w:val="24"/>
          <w:szCs w:val="24"/>
        </w:rPr>
        <w:t xml:space="preserve"> proponu</w:t>
      </w:r>
      <w:r w:rsidR="003556B1">
        <w:rPr>
          <w:sz w:val="24"/>
          <w:szCs w:val="24"/>
        </w:rPr>
        <w:t>je się wprowadzenie w ustawie z </w:t>
      </w:r>
      <w:r w:rsidRPr="004E4F94">
        <w:rPr>
          <w:sz w:val="24"/>
          <w:szCs w:val="24"/>
        </w:rPr>
        <w:t>dnia 11 marca 2004 r. o organizacji niektórych rynków rolnych (Dz.</w:t>
      </w:r>
      <w:r w:rsidR="003556B1">
        <w:rPr>
          <w:sz w:val="24"/>
          <w:szCs w:val="24"/>
        </w:rPr>
        <w:t xml:space="preserve"> U. </w:t>
      </w:r>
      <w:r w:rsidR="001A2015">
        <w:rPr>
          <w:sz w:val="24"/>
          <w:szCs w:val="24"/>
        </w:rPr>
        <w:t xml:space="preserve">z </w:t>
      </w:r>
      <w:r w:rsidR="003556B1">
        <w:rPr>
          <w:sz w:val="24"/>
          <w:szCs w:val="24"/>
        </w:rPr>
        <w:t>2017</w:t>
      </w:r>
      <w:r w:rsidR="001A2015">
        <w:rPr>
          <w:sz w:val="24"/>
          <w:szCs w:val="24"/>
        </w:rPr>
        <w:t xml:space="preserve"> r.</w:t>
      </w:r>
      <w:r w:rsidR="003556B1">
        <w:rPr>
          <w:sz w:val="24"/>
          <w:szCs w:val="24"/>
        </w:rPr>
        <w:t xml:space="preserve"> poz. </w:t>
      </w:r>
      <w:r w:rsidRPr="004E4F94">
        <w:rPr>
          <w:sz w:val="24"/>
          <w:szCs w:val="24"/>
        </w:rPr>
        <w:t>1006 i 1503) nowego rozdziału regulującego powyższe kwestie. W ramach projektowanych przepisów proponuje się (dotyczy art. 40ha zmienianej ustawy), utworzenie rejestru producentów surowca tytoniowego. Obecnie wykaz takich producentów nie jest dostępny. Dane o uprawach tytoniu są zawarte w bazie danych Zintegrowanego Systemu Zarządzania i Kontroli prowadzonej przez Agencję Restrukturyzacji i Modernizacji Rolnictwa i to jedynie dla gospodarstw objętych obowiązkiem dywersyfikacji upraw, o</w:t>
      </w:r>
      <w:r w:rsidR="003556B1">
        <w:rPr>
          <w:sz w:val="24"/>
          <w:szCs w:val="24"/>
        </w:rPr>
        <w:t xml:space="preserve"> </w:t>
      </w:r>
      <w:r w:rsidRPr="004E4F94">
        <w:rPr>
          <w:sz w:val="24"/>
          <w:szCs w:val="24"/>
        </w:rPr>
        <w:t>którym mow</w:t>
      </w:r>
      <w:r w:rsidR="003556B1">
        <w:rPr>
          <w:sz w:val="24"/>
          <w:szCs w:val="24"/>
        </w:rPr>
        <w:t>a w przepisach o płatnościach w </w:t>
      </w:r>
      <w:r w:rsidRPr="004E4F94">
        <w:rPr>
          <w:sz w:val="24"/>
          <w:szCs w:val="24"/>
        </w:rPr>
        <w:t>ramach systemów wsparcia bezpośredniego (gospodarstwa o powierzchni powyżej 10 ha gruntów ornych). Planuje się zatem, aby utworzyć rejestr producentów surowca tytoniowego oraz wprowadzić obowiązek uzyskania wpisu do tego rejestru. Uzyskanie wpisu do powyższego rejestru będzie warunkiem prowadzenia działalności w zakresie uprawy tytoniu oraz produkcji lub zbytu surowca tytoniowego. Rejestr prowadzony będzie przez dyrektora oddziału terenowego KOWR właściwego ze</w:t>
      </w:r>
      <w:r w:rsidR="003556B1">
        <w:rPr>
          <w:sz w:val="24"/>
          <w:szCs w:val="24"/>
        </w:rPr>
        <w:t xml:space="preserve"> </w:t>
      </w:r>
      <w:r w:rsidRPr="004E4F94">
        <w:rPr>
          <w:sz w:val="24"/>
          <w:szCs w:val="24"/>
        </w:rPr>
        <w:t>względu na miejsce zamieszkania i adres albo sied</w:t>
      </w:r>
      <w:r w:rsidR="003556B1">
        <w:rPr>
          <w:sz w:val="24"/>
          <w:szCs w:val="24"/>
        </w:rPr>
        <w:t>zibę i </w:t>
      </w:r>
      <w:r w:rsidRPr="004E4F94">
        <w:rPr>
          <w:sz w:val="24"/>
          <w:szCs w:val="24"/>
        </w:rPr>
        <w:t>adres producenta rolnego, który zamierza uprawiać tytoń, produkować lub zbywać surowiec tytoniowy (art. 40hb). Wpis do</w:t>
      </w:r>
      <w:r w:rsidR="003556B1">
        <w:rPr>
          <w:sz w:val="24"/>
          <w:szCs w:val="24"/>
        </w:rPr>
        <w:t xml:space="preserve"> </w:t>
      </w:r>
      <w:r w:rsidRPr="004E4F94">
        <w:rPr>
          <w:sz w:val="24"/>
          <w:szCs w:val="24"/>
        </w:rPr>
        <w:t xml:space="preserve">rejestru producentów surowca tytoniowego będzie dokonywany na wniosek producenta rolnego. Zawartość tego wniosku określa art. 40hb ust. 1 zmienianej ustawy. We wniosku będą wpisywane podstawowe informacje, umożliwiające identyfikację producenta tytoniu, takie jak np.: imię, nazwisko albo nazwa wnioskodawcy, miejsce zamieszkania i adres albo </w:t>
      </w:r>
      <w:r w:rsidRPr="004E4F94">
        <w:rPr>
          <w:sz w:val="24"/>
          <w:szCs w:val="24"/>
        </w:rPr>
        <w:lastRenderedPageBreak/>
        <w:t xml:space="preserve">siedziba i adres wnioskodawcy, numer producenta rolnego nadany w krajowym systemie ewidencji producentów, ewidencji gospodarstw rolnych oraz ewidencji wniosków o przyznanie płatności, numer identyfikacji podatkowej (NIP), numer identyfikacyjny w krajowym rejestrze urzędowym podmiotów gospodarki narodowej (REGON), jeżeli taki został nadany, a w przypadku osoby fizycznej </w:t>
      </w:r>
      <w:r w:rsidR="000D46E0" w:rsidRPr="004E4F94">
        <w:rPr>
          <w:sz w:val="24"/>
          <w:szCs w:val="24"/>
        </w:rPr>
        <w:t>–</w:t>
      </w:r>
      <w:r w:rsidRPr="004E4F94">
        <w:rPr>
          <w:sz w:val="24"/>
          <w:szCs w:val="24"/>
        </w:rPr>
        <w:t xml:space="preserve"> n</w:t>
      </w:r>
      <w:r w:rsidR="000D46E0" w:rsidRPr="004E4F94">
        <w:rPr>
          <w:sz w:val="24"/>
          <w:szCs w:val="24"/>
        </w:rPr>
        <w:t>ume</w:t>
      </w:r>
      <w:r w:rsidRPr="004E4F94">
        <w:rPr>
          <w:sz w:val="24"/>
          <w:szCs w:val="24"/>
        </w:rPr>
        <w:t>r ewidencyjny powszechnego elektronicznego system</w:t>
      </w:r>
      <w:r w:rsidR="003556B1">
        <w:rPr>
          <w:sz w:val="24"/>
          <w:szCs w:val="24"/>
        </w:rPr>
        <w:t>u ewidencji ludności (PESEL), a </w:t>
      </w:r>
      <w:r w:rsidRPr="004E4F94">
        <w:rPr>
          <w:sz w:val="24"/>
          <w:szCs w:val="24"/>
        </w:rPr>
        <w:t>jeżeli osoba fizyczna nie posiada numeru PESEL – numer paszportu lub innego dokumentu stwierdzającego</w:t>
      </w:r>
      <w:r w:rsidR="00DB0B43" w:rsidRPr="004E4F94">
        <w:rPr>
          <w:sz w:val="24"/>
          <w:szCs w:val="24"/>
        </w:rPr>
        <w:t xml:space="preserve"> jej</w:t>
      </w:r>
      <w:r w:rsidRPr="004E4F94">
        <w:rPr>
          <w:sz w:val="24"/>
          <w:szCs w:val="24"/>
        </w:rPr>
        <w:t xml:space="preserve"> tożsamość. </w:t>
      </w:r>
    </w:p>
    <w:p w:rsidR="009D61B6" w:rsidRPr="004E4F94" w:rsidRDefault="009D61B6" w:rsidP="004E4F94">
      <w:pPr>
        <w:spacing w:line="360" w:lineRule="auto"/>
        <w:ind w:left="357"/>
        <w:jc w:val="both"/>
      </w:pPr>
      <w:r w:rsidRPr="004E4F94">
        <w:t>Szczegółowość danych w projekcie ustawy wynika z konieczności</w:t>
      </w:r>
      <w:r w:rsidR="003556B1">
        <w:t xml:space="preserve"> </w:t>
      </w:r>
      <w:r w:rsidRPr="004E4F94">
        <w:t xml:space="preserve">monitorowania </w:t>
      </w:r>
      <w:r w:rsidR="00703A7F" w:rsidRPr="004E4F94">
        <w:t>uprawy tytoniu oraz produkcji i zbytu surowca tytoniowego, a także nadzoru nad uprawą tytoniu oraz produkcją i zbytem surowca tytoniowego w celu</w:t>
      </w:r>
      <w:r w:rsidRPr="004E4F94">
        <w:t xml:space="preserve"> zabezpieczenia przed szarą strefą w handlu</w:t>
      </w:r>
      <w:r w:rsidR="003556B1">
        <w:t xml:space="preserve"> </w:t>
      </w:r>
      <w:r w:rsidR="00703A7F" w:rsidRPr="004E4F94">
        <w:t>suszem tytoniowym i wyrobami tytoniowymi</w:t>
      </w:r>
      <w:r w:rsidRPr="004E4F94">
        <w:t xml:space="preserve">. Konieczność takich zmian wskazała branża tytoniowa, gdyż szara strefa w handlu wpływa negatywnie na opłacalność produkcji tytoniu w Polsce. </w:t>
      </w:r>
      <w:r w:rsidR="000D46E0" w:rsidRPr="004E4F94">
        <w:t>Prze</w:t>
      </w:r>
      <w:r w:rsidRPr="004E4F94">
        <w:t xml:space="preserve">pisy te również będą korzystne dla polskiej gospodarki, która w wyniku nieuczciwych działań na rynku tytoniu traci dochód. </w:t>
      </w:r>
    </w:p>
    <w:p w:rsidR="00797D1E" w:rsidRPr="004E4F94" w:rsidRDefault="00797D1E" w:rsidP="004E4F94">
      <w:pPr>
        <w:spacing w:line="360" w:lineRule="auto"/>
        <w:ind w:left="357"/>
        <w:jc w:val="both"/>
      </w:pPr>
      <w:r w:rsidRPr="004E4F94">
        <w:t xml:space="preserve">Formularz wniosku o wpis do rejestru producentów surowca tytoniowego </w:t>
      </w:r>
      <w:r w:rsidR="008365BF" w:rsidRPr="004E4F94">
        <w:t>będzie</w:t>
      </w:r>
      <w:r w:rsidRPr="004E4F94">
        <w:t xml:space="preserve"> udostępniany na stronie internetowej administrowanej przez </w:t>
      </w:r>
      <w:r w:rsidR="000D46E0" w:rsidRPr="004E4F94">
        <w:t>KOWR</w:t>
      </w:r>
      <w:r w:rsidRPr="004E4F94">
        <w:t xml:space="preserve">. Wydruk formularza powinien być wykorzystany przez wnioskodawcę w celu złożenia wniosku w formie papierowej do dyrektora oddziału terenowego </w:t>
      </w:r>
      <w:r w:rsidR="000D46E0" w:rsidRPr="004E4F94">
        <w:t>KOWR</w:t>
      </w:r>
      <w:r w:rsidRPr="004E4F94">
        <w:t>.</w:t>
      </w:r>
      <w:r w:rsidR="003556B1">
        <w:t xml:space="preserve"> </w:t>
      </w:r>
    </w:p>
    <w:p w:rsidR="00C74876" w:rsidRPr="004E4F94" w:rsidRDefault="00B56C53" w:rsidP="004E4F94">
      <w:pPr>
        <w:spacing w:line="360" w:lineRule="auto"/>
        <w:ind w:left="357"/>
        <w:jc w:val="both"/>
      </w:pPr>
      <w:r w:rsidRPr="004E4F94">
        <w:t>I</w:t>
      </w:r>
      <w:r w:rsidR="009D61B6" w:rsidRPr="004E4F94">
        <w:t>stotne informacje na temat prowadzonej przez producenta uprawy tytoniu oraz produkcji i zby</w:t>
      </w:r>
      <w:r w:rsidRPr="004E4F94">
        <w:t>tu</w:t>
      </w:r>
      <w:r w:rsidR="009D61B6" w:rsidRPr="004E4F94">
        <w:t xml:space="preserve"> surowca tytoniowego będą przekazywane przez tego producenta raz w</w:t>
      </w:r>
      <w:r w:rsidR="00C576D1" w:rsidRPr="004E4F94">
        <w:t xml:space="preserve"> </w:t>
      </w:r>
      <w:r w:rsidR="009D61B6" w:rsidRPr="004E4F94">
        <w:t>roku – do dnia 15 maja</w:t>
      </w:r>
      <w:r w:rsidRPr="004E4F94">
        <w:t xml:space="preserve"> (art. 40hc)</w:t>
      </w:r>
      <w:r w:rsidR="009D61B6" w:rsidRPr="004E4F94">
        <w:t>. Pierwsza część informacji będzie dotyczyła uprawy tytoniu w</w:t>
      </w:r>
      <w:r w:rsidR="003556B1">
        <w:t xml:space="preserve"> </w:t>
      </w:r>
      <w:r w:rsidR="009D61B6" w:rsidRPr="004E4F94">
        <w:t>poprzednim roku kalendarzowym, w tym: powierzchni uprawy, zawart</w:t>
      </w:r>
      <w:r w:rsidRPr="004E4F94">
        <w:t>ych</w:t>
      </w:r>
      <w:r w:rsidR="009D61B6" w:rsidRPr="004E4F94">
        <w:t xml:space="preserve"> umów zbycia, szac</w:t>
      </w:r>
      <w:r w:rsidRPr="004E4F94">
        <w:t>unkowej</w:t>
      </w:r>
      <w:r w:rsidR="009D61B6" w:rsidRPr="004E4F94">
        <w:t xml:space="preserve"> masy wyprodukowanego surowca, masy surowca dostarczonego nabywcy na podstawie zawart</w:t>
      </w:r>
      <w:r w:rsidRPr="004E4F94">
        <w:t>ych</w:t>
      </w:r>
      <w:r w:rsidR="009D61B6" w:rsidRPr="004E4F94">
        <w:t xml:space="preserve"> umów, szacunkowej masy surowca pozostałego w magazynie oraz masy surowca zniszczonego w okresie od dnia 1</w:t>
      </w:r>
      <w:r w:rsidR="00C576D1" w:rsidRPr="004E4F94">
        <w:t xml:space="preserve"> </w:t>
      </w:r>
      <w:r w:rsidR="009D61B6" w:rsidRPr="004E4F94">
        <w:t>maja roku kalendarzowego poprzedzającego rok złożenia informacji do dnia 30 kwietnia roku, w którym informacja jest składana.</w:t>
      </w:r>
    </w:p>
    <w:p w:rsidR="009D61B6" w:rsidRPr="004E4F94" w:rsidRDefault="009D61B6" w:rsidP="004E4F94">
      <w:pPr>
        <w:spacing w:line="360" w:lineRule="auto"/>
        <w:ind w:left="357"/>
        <w:jc w:val="both"/>
      </w:pPr>
      <w:r w:rsidRPr="004E4F94">
        <w:t>Druga część informacji będzie obejmowała dane za bieżący rok zbiorów. Dane te będą zawierały informacje w zakresie: powierzchni uprawy tytoniu z podaniem identyfikator</w:t>
      </w:r>
      <w:r w:rsidR="00B56C53" w:rsidRPr="004E4F94">
        <w:t>ów</w:t>
      </w:r>
      <w:r w:rsidRPr="004E4F94">
        <w:t xml:space="preserve"> dział</w:t>
      </w:r>
      <w:r w:rsidR="00B56C53" w:rsidRPr="004E4F94">
        <w:t>e</w:t>
      </w:r>
      <w:r w:rsidRPr="004E4F94">
        <w:t xml:space="preserve">k ewidencyjnych oraz zawartych umów zbycia surowca tytoniowego. Obligatoryjny termin zawarcia umów zbycia surowca tytoniowego to </w:t>
      </w:r>
      <w:r w:rsidRPr="004E4F94">
        <w:lastRenderedPageBreak/>
        <w:t>15 marca, zatem do dnia 15 maja producenci tytoniu będą w stanie przekazać informacje w wyżej wymienionym zakresie. W umowie zbycia surowca musi być określona masa surowca tytoniowego objętego umową, w podziale na grupy odmian tytoniu.</w:t>
      </w:r>
    </w:p>
    <w:p w:rsidR="009D61B6" w:rsidRPr="004E4F94" w:rsidRDefault="009D61B6" w:rsidP="004E4F94">
      <w:pPr>
        <w:spacing w:line="360" w:lineRule="auto"/>
        <w:ind w:left="357"/>
        <w:jc w:val="both"/>
      </w:pPr>
      <w:r w:rsidRPr="004E4F94">
        <w:t xml:space="preserve">W projekcie ustawy określono również procedurę </w:t>
      </w:r>
      <w:r w:rsidR="00B56C53" w:rsidRPr="004E4F94">
        <w:t>z</w:t>
      </w:r>
      <w:r w:rsidRPr="004E4F94">
        <w:t>niszczenia surowca tytoniowego, w</w:t>
      </w:r>
      <w:r w:rsidR="003556B1">
        <w:t xml:space="preserve"> </w:t>
      </w:r>
      <w:r w:rsidRPr="004E4F94">
        <w:t>przypadku podjęcia decyzji o wykonaniu takiej czynności przez producenta tego surowca. W myśl art. 40h</w:t>
      </w:r>
      <w:r w:rsidR="00B56C53" w:rsidRPr="004E4F94">
        <w:t>d</w:t>
      </w:r>
      <w:r w:rsidRPr="004E4F94">
        <w:t xml:space="preserve"> zmienianej ustawy, </w:t>
      </w:r>
      <w:r w:rsidR="00B56C53" w:rsidRPr="004E4F94">
        <w:t>z</w:t>
      </w:r>
      <w:r w:rsidRPr="004E4F94">
        <w:t xml:space="preserve">niszczenie surowca tytoniowego będzie się odbywało pod nadzorem osoby upoważnionej do tej czynności przez Dyrektora Generalnego </w:t>
      </w:r>
      <w:r w:rsidR="008365BF" w:rsidRPr="004E4F94">
        <w:t>KOWR</w:t>
      </w:r>
      <w:r w:rsidRPr="004E4F94">
        <w:t>. W celu realizacji tego przepisu producent surowca tytoniowego powiadomi o zamiarze zniszczenia tego surowca dyrektora oddziału terenowego KOWR co najmniej na 3 dni robocze przed</w:t>
      </w:r>
      <w:r w:rsidR="003556B1">
        <w:t xml:space="preserve"> </w:t>
      </w:r>
      <w:r w:rsidR="00EF3119" w:rsidRPr="004E4F94">
        <w:t>dokonaniem tej</w:t>
      </w:r>
      <w:r w:rsidRPr="004E4F94">
        <w:t xml:space="preserve"> czynności. Zniszczenie surowca tytoniowego zostanie udokumentowane protokołem. </w:t>
      </w:r>
    </w:p>
    <w:p w:rsidR="006754E9" w:rsidRPr="004E4F94" w:rsidRDefault="00C806F1" w:rsidP="004E4F94">
      <w:pPr>
        <w:spacing w:line="360" w:lineRule="auto"/>
        <w:ind w:left="340"/>
        <w:jc w:val="both"/>
        <w:rPr>
          <w:rFonts w:eastAsiaTheme="minorHAnsi"/>
          <w:lang w:eastAsia="en-US"/>
        </w:rPr>
      </w:pPr>
      <w:r w:rsidRPr="004E4F94">
        <w:rPr>
          <w:rFonts w:eastAsiaTheme="minorHAnsi"/>
          <w:lang w:eastAsia="en-US"/>
        </w:rPr>
        <w:t>Odnośnie do projektowanej</w:t>
      </w:r>
      <w:r w:rsidR="006754E9" w:rsidRPr="004E4F94">
        <w:rPr>
          <w:rFonts w:eastAsiaTheme="minorHAnsi"/>
          <w:lang w:eastAsia="en-US"/>
        </w:rPr>
        <w:t xml:space="preserve"> zmiany w art. 40h</w:t>
      </w:r>
      <w:r w:rsidR="00EF3119" w:rsidRPr="004E4F94">
        <w:rPr>
          <w:rFonts w:eastAsiaTheme="minorHAnsi"/>
          <w:lang w:eastAsia="en-US"/>
        </w:rPr>
        <w:t>e</w:t>
      </w:r>
      <w:r w:rsidR="006754E9" w:rsidRPr="004E4F94">
        <w:rPr>
          <w:rFonts w:eastAsiaTheme="minorHAnsi"/>
          <w:lang w:eastAsia="en-US"/>
        </w:rPr>
        <w:t xml:space="preserve"> ust. 2 należy zauważyć, że niezbędn</w:t>
      </w:r>
      <w:r w:rsidR="001A2015">
        <w:rPr>
          <w:rFonts w:eastAsiaTheme="minorHAnsi"/>
          <w:lang w:eastAsia="en-US"/>
        </w:rPr>
        <w:t>e</w:t>
      </w:r>
      <w:r w:rsidR="006754E9" w:rsidRPr="004E4F94">
        <w:rPr>
          <w:rFonts w:eastAsiaTheme="minorHAnsi"/>
          <w:lang w:eastAsia="en-US"/>
        </w:rPr>
        <w:t xml:space="preserve"> jest umożliwienie udostępniania danych gromadzonych w rejestrze producentów surowca tytoniowego organom</w:t>
      </w:r>
      <w:r w:rsidR="003556B1">
        <w:rPr>
          <w:rFonts w:eastAsiaTheme="minorHAnsi"/>
          <w:lang w:eastAsia="en-US"/>
        </w:rPr>
        <w:t xml:space="preserve"> administracji publicznej, w </w:t>
      </w:r>
      <w:r w:rsidR="006754E9" w:rsidRPr="004E4F94">
        <w:rPr>
          <w:rFonts w:eastAsiaTheme="minorHAnsi"/>
          <w:lang w:eastAsia="en-US"/>
        </w:rPr>
        <w:t>szczególności takim jak: organy Policji, Inspekcji Transportu Drogowego, Służby Celno-Skarbowej, Straży Granicznej</w:t>
      </w:r>
      <w:r w:rsidR="00EF3119" w:rsidRPr="004E4F94">
        <w:rPr>
          <w:rFonts w:eastAsiaTheme="minorHAnsi"/>
          <w:lang w:eastAsia="en-US"/>
        </w:rPr>
        <w:t xml:space="preserve"> w związku z realizacją przez te organy działań i postępowań mających na celu ograniczenie nielegalnego obrotu surowcem tytoniowym oraz wyrobami tytoniowymi. </w:t>
      </w:r>
      <w:r w:rsidR="0026071E" w:rsidRPr="004E4F94">
        <w:rPr>
          <w:rFonts w:eastAsiaTheme="minorHAnsi"/>
          <w:lang w:eastAsia="en-US"/>
        </w:rPr>
        <w:t>D</w:t>
      </w:r>
      <w:r w:rsidR="00EF3119" w:rsidRPr="004E4F94">
        <w:rPr>
          <w:rFonts w:eastAsiaTheme="minorHAnsi"/>
          <w:lang w:eastAsia="en-US"/>
        </w:rPr>
        <w:t>o danych zgroma</w:t>
      </w:r>
      <w:r w:rsidR="0026071E" w:rsidRPr="004E4F94">
        <w:rPr>
          <w:rFonts w:eastAsiaTheme="minorHAnsi"/>
          <w:lang w:eastAsia="en-US"/>
        </w:rPr>
        <w:t>dzonych w rejestrze powinny</w:t>
      </w:r>
      <w:r w:rsidR="00EF3119" w:rsidRPr="004E4F94">
        <w:rPr>
          <w:rFonts w:eastAsiaTheme="minorHAnsi"/>
          <w:lang w:eastAsia="en-US"/>
        </w:rPr>
        <w:t xml:space="preserve"> mieć </w:t>
      </w:r>
      <w:r w:rsidR="0026071E" w:rsidRPr="004E4F94">
        <w:rPr>
          <w:rFonts w:eastAsiaTheme="minorHAnsi"/>
          <w:lang w:eastAsia="en-US"/>
        </w:rPr>
        <w:t xml:space="preserve">także </w:t>
      </w:r>
      <w:r w:rsidR="00EF3119" w:rsidRPr="004E4F94">
        <w:rPr>
          <w:rFonts w:eastAsiaTheme="minorHAnsi"/>
          <w:lang w:eastAsia="en-US"/>
        </w:rPr>
        <w:t>dostęp</w:t>
      </w:r>
      <w:r w:rsidR="006754E9" w:rsidRPr="004E4F94">
        <w:rPr>
          <w:rFonts w:eastAsiaTheme="minorHAnsi"/>
          <w:lang w:eastAsia="en-US"/>
        </w:rPr>
        <w:t xml:space="preserve"> sąd</w:t>
      </w:r>
      <w:r w:rsidR="00EF3119" w:rsidRPr="004E4F94">
        <w:rPr>
          <w:rFonts w:eastAsiaTheme="minorHAnsi"/>
          <w:lang w:eastAsia="en-US"/>
        </w:rPr>
        <w:t>y</w:t>
      </w:r>
      <w:r w:rsidR="006754E9" w:rsidRPr="004E4F94">
        <w:rPr>
          <w:rFonts w:eastAsiaTheme="minorHAnsi"/>
          <w:lang w:eastAsia="en-US"/>
        </w:rPr>
        <w:t xml:space="preserve"> i prokurator</w:t>
      </w:r>
      <w:r w:rsidR="00EF3119" w:rsidRPr="004E4F94">
        <w:rPr>
          <w:rFonts w:eastAsiaTheme="minorHAnsi"/>
          <w:lang w:eastAsia="en-US"/>
        </w:rPr>
        <w:t>zy</w:t>
      </w:r>
      <w:r w:rsidR="006754E9" w:rsidRPr="004E4F94">
        <w:rPr>
          <w:rFonts w:eastAsiaTheme="minorHAnsi"/>
          <w:lang w:eastAsia="en-US"/>
        </w:rPr>
        <w:t xml:space="preserve"> w zakresie niezbędnym do wykonywania ich zadań </w:t>
      </w:r>
      <w:r w:rsidR="00941B37" w:rsidRPr="004E4F94">
        <w:rPr>
          <w:rFonts w:eastAsiaTheme="minorHAnsi"/>
          <w:lang w:eastAsia="en-US"/>
        </w:rPr>
        <w:t>ustawowych</w:t>
      </w:r>
      <w:r w:rsidR="00EF3119" w:rsidRPr="004E4F94">
        <w:rPr>
          <w:rFonts w:eastAsiaTheme="minorHAnsi"/>
          <w:lang w:eastAsia="en-US"/>
        </w:rPr>
        <w:t>.</w:t>
      </w:r>
      <w:r w:rsidR="006754E9" w:rsidRPr="004E4F94">
        <w:rPr>
          <w:rFonts w:eastAsiaTheme="minorHAnsi"/>
          <w:lang w:eastAsia="en-US"/>
        </w:rPr>
        <w:t xml:space="preserve"> Monitoring, nadzór oraz kontrola wymagają zaangażowania oraz dostępu organów administracji publicznej do danych zawartych w rejestrze producentów surowca tytoniowego.</w:t>
      </w:r>
    </w:p>
    <w:p w:rsidR="009D61B6" w:rsidRPr="004E4F94" w:rsidRDefault="009D61B6" w:rsidP="004E4F94">
      <w:pPr>
        <w:spacing w:line="360" w:lineRule="auto"/>
        <w:ind w:left="357"/>
        <w:jc w:val="both"/>
      </w:pPr>
      <w:r w:rsidRPr="004E4F94">
        <w:t>Natomiast art. 40h</w:t>
      </w:r>
      <w:r w:rsidR="00EF3119" w:rsidRPr="004E4F94">
        <w:t>f</w:t>
      </w:r>
      <w:r w:rsidRPr="004E4F94">
        <w:t xml:space="preserve"> zmienianej ustawy wprowadza regulacje, które będą miały zastosowanie w przypadku zaprzestania uprawy tytoniu przez jego producenta. W</w:t>
      </w:r>
      <w:r w:rsidR="003556B1">
        <w:t> </w:t>
      </w:r>
      <w:r w:rsidRPr="004E4F94">
        <w:t>przypadku podjęcia powyższej decyzji, producent surowca tytoniowego powiadomi o</w:t>
      </w:r>
      <w:r w:rsidR="003556B1">
        <w:t xml:space="preserve"> </w:t>
      </w:r>
      <w:r w:rsidRPr="004E4F94">
        <w:t>zaprzestaniu uprawy tytoniu dyrektora oddziału terenowego KOWR, który wydał decyzję w sprawie wpisu do rejestru producentów surowca tytoniowego. Po</w:t>
      </w:r>
      <w:r w:rsidR="00B01B3E" w:rsidRPr="004E4F94">
        <w:t xml:space="preserve"> </w:t>
      </w:r>
      <w:r w:rsidRPr="004E4F94">
        <w:t>otrzymaniu informacji o rezygnacji z uprawy tytoniu dyrektor oddziału terenowego KOWR wykreśli tego producenta z ww. rejestru. Dyrektor oddziału terenowego KOWR wykreśli producenta z</w:t>
      </w:r>
      <w:r w:rsidR="003556B1">
        <w:t xml:space="preserve"> </w:t>
      </w:r>
      <w:r w:rsidRPr="004E4F94">
        <w:t xml:space="preserve">rejestru również w przypadku, gdy producent surowca tytoniowego nie przekaże corocznej informacji do wyżej wymienionego rejestru oraz nie poinformuje o zaprzestaniu uprawy tytoniu. </w:t>
      </w:r>
      <w:r w:rsidRPr="004E4F94">
        <w:lastRenderedPageBreak/>
        <w:t>Producent wykreślony z rejestru producentów surowca tytoniowego, który nadal będzie posiadał surowiec tytoniowy, będzie miał obowiązek przekazywania do dyrektora oddziału terenowego KOWR informacji o zawarciu umowy zbycia tego surowca albo o zamiarze jego zniszczenia.</w:t>
      </w:r>
      <w:r w:rsidR="003556B1">
        <w:t xml:space="preserve"> </w:t>
      </w:r>
    </w:p>
    <w:p w:rsidR="009D61B6" w:rsidRPr="004E4F94" w:rsidRDefault="009D61B6" w:rsidP="004E4F94">
      <w:pPr>
        <w:spacing w:line="360" w:lineRule="auto"/>
        <w:ind w:left="360"/>
        <w:jc w:val="both"/>
      </w:pPr>
      <w:r w:rsidRPr="004E4F94">
        <w:t xml:space="preserve">W związku z monitorowaniem </w:t>
      </w:r>
      <w:r w:rsidR="00EF3119" w:rsidRPr="004E4F94">
        <w:t xml:space="preserve">uprawy tytoniu oraz produkcji i zbytu surowca tytoniowego, a także </w:t>
      </w:r>
      <w:r w:rsidRPr="004E4F94">
        <w:t>nadzorem nad uprawą tytoniu oraz produkcją i zby</w:t>
      </w:r>
      <w:r w:rsidR="00EF3119" w:rsidRPr="004E4F94">
        <w:t>tem</w:t>
      </w:r>
      <w:r w:rsidRPr="004E4F94">
        <w:t xml:space="preserve"> surowca tytoniowego konieczne jest upoważnienie KOWR do</w:t>
      </w:r>
      <w:r w:rsidR="003556B1">
        <w:t xml:space="preserve"> </w:t>
      </w:r>
      <w:r w:rsidRPr="004E4F94">
        <w:t>weryfikowania zgodności ze stanem faktycznym oraz poprawności informacji przekazywanych we wniosku o wpis do ewidencji producentów surowca tytoniowego oraz corocznych informacji za poprzedni i</w:t>
      </w:r>
      <w:r w:rsidR="003556B1">
        <w:t xml:space="preserve"> </w:t>
      </w:r>
      <w:r w:rsidRPr="004E4F94">
        <w:t>bieżący rok zbioru tytoniu. Przepisy w</w:t>
      </w:r>
      <w:r w:rsidR="003556B1">
        <w:t xml:space="preserve"> </w:t>
      </w:r>
      <w:r w:rsidRPr="004E4F94">
        <w:t>powyższym zakresie zostały określone w art. 40h</w:t>
      </w:r>
      <w:r w:rsidR="00B06ACB" w:rsidRPr="004E4F94">
        <w:t>h</w:t>
      </w:r>
      <w:r w:rsidRPr="004E4F94">
        <w:t xml:space="preserve"> zmienianej ustawy. </w:t>
      </w:r>
    </w:p>
    <w:p w:rsidR="009D61B6" w:rsidRPr="004E4F94" w:rsidRDefault="009D61B6" w:rsidP="004E4F94">
      <w:pPr>
        <w:spacing w:line="360" w:lineRule="auto"/>
        <w:ind w:left="360"/>
        <w:jc w:val="both"/>
      </w:pPr>
      <w:r w:rsidRPr="004E4F94">
        <w:t>Do ustalenia poprawności przekazanych d</w:t>
      </w:r>
      <w:r w:rsidR="003556B1">
        <w:t>anych będą wykorzystywane m.in. </w:t>
      </w:r>
      <w:r w:rsidRPr="004E4F94">
        <w:t>informacje z</w:t>
      </w:r>
      <w:r w:rsidR="003556B1">
        <w:t xml:space="preserve"> </w:t>
      </w:r>
      <w:r w:rsidRPr="004E4F94">
        <w:t>krajowego systemu ewidencji producentów, ewidencji gospodarstw rolnych oraz ewidencji wniosków o przyznanie płatności bezpośrednich oraz kontrole wykonywane na</w:t>
      </w:r>
      <w:r w:rsidR="003556B1">
        <w:t xml:space="preserve"> </w:t>
      </w:r>
      <w:r w:rsidRPr="004E4F94">
        <w:t>miejscu. W przypadku gdy z wyżej wymienionych czynności będzie wynikało, że informacje przekazane przez producenta surowca tytoniowego nie są zgodne ze stanem faktycznym, dyrektor oddziału terenowego KOWR będzie uprawniony do</w:t>
      </w:r>
      <w:r w:rsidR="003556B1">
        <w:t xml:space="preserve"> </w:t>
      </w:r>
      <w:r w:rsidRPr="004E4F94">
        <w:t>zmiany danych w rejestrze producentów surowca tytoniowego z urzędu.</w:t>
      </w:r>
    </w:p>
    <w:p w:rsidR="0044485E" w:rsidRPr="004E4F94" w:rsidRDefault="009D61B6" w:rsidP="004E4F94">
      <w:pPr>
        <w:spacing w:line="360" w:lineRule="auto"/>
        <w:ind w:left="360"/>
        <w:jc w:val="both"/>
      </w:pPr>
      <w:r w:rsidRPr="004E4F94">
        <w:t>Z przepisu zawartego w art. 40ha wynika przepis art. 40h</w:t>
      </w:r>
      <w:r w:rsidR="00B06ACB" w:rsidRPr="004E4F94">
        <w:t>i</w:t>
      </w:r>
      <w:r w:rsidRPr="004E4F94">
        <w:t xml:space="preserve"> ust. 1 zmienianej ustawy, który</w:t>
      </w:r>
      <w:r w:rsidR="00B06ACB" w:rsidRPr="004E4F94">
        <w:t xml:space="preserve"> upoważnia dyrektora oddziału terenowego KOWR do wydania, w drodze decyzji,</w:t>
      </w:r>
      <w:r w:rsidRPr="004E4F94">
        <w:t xml:space="preserve"> nakazu</w:t>
      </w:r>
      <w:r w:rsidR="00B06ACB" w:rsidRPr="004E4F94">
        <w:t xml:space="preserve"> zniszczenia uprawy tytoniu na koszt podmiotu prowadzącego uprawę</w:t>
      </w:r>
      <w:r w:rsidRPr="004E4F94">
        <w:t xml:space="preserve">, w przypadku prowadzenia uprawy tytoniu </w:t>
      </w:r>
      <w:r w:rsidR="00B06ACB" w:rsidRPr="004E4F94">
        <w:t xml:space="preserve">przez ten podmiot </w:t>
      </w:r>
      <w:r w:rsidRPr="004E4F94">
        <w:t xml:space="preserve">bez uzyskania wpisu do rejestru producentów surowca tytoniowego. </w:t>
      </w:r>
      <w:r w:rsidR="00951739" w:rsidRPr="004E4F94">
        <w:t xml:space="preserve">Decyzje administracyjne </w:t>
      </w:r>
      <w:r w:rsidR="008365BF" w:rsidRPr="004E4F94">
        <w:t xml:space="preserve">będą </w:t>
      </w:r>
      <w:r w:rsidR="00951739" w:rsidRPr="004E4F94">
        <w:t>wydawane przez dyrektorów oddziałów terenowych Krajowego Ośrodka na podstawie</w:t>
      </w:r>
      <w:r w:rsidR="0044485E" w:rsidRPr="004E4F94">
        <w:t xml:space="preserve"> art. 8 ust. 1 ustawy </w:t>
      </w:r>
      <w:r w:rsidR="001A2015">
        <w:t xml:space="preserve">z </w:t>
      </w:r>
      <w:r w:rsidR="00951739" w:rsidRPr="004E4F94">
        <w:t>dnia 23 marca 2017 r.</w:t>
      </w:r>
      <w:r w:rsidR="0044485E" w:rsidRPr="004E4F94">
        <w:t xml:space="preserve"> </w:t>
      </w:r>
      <w:r w:rsidR="00951739" w:rsidRPr="004E4F94">
        <w:t>o Krajowym Ośrodku Wsparcia Rolnictwa (Dz.</w:t>
      </w:r>
      <w:r w:rsidR="008365BF" w:rsidRPr="004E4F94">
        <w:t xml:space="preserve"> </w:t>
      </w:r>
      <w:r w:rsidR="00951739" w:rsidRPr="004E4F94">
        <w:t>U. poz. 623</w:t>
      </w:r>
      <w:r w:rsidR="008365BF" w:rsidRPr="004E4F94">
        <w:t xml:space="preserve"> i</w:t>
      </w:r>
      <w:r w:rsidR="003556B1">
        <w:t xml:space="preserve"> </w:t>
      </w:r>
      <w:r w:rsidR="008365BF" w:rsidRPr="004E4F94">
        <w:t>1503</w:t>
      </w:r>
      <w:r w:rsidR="00951739" w:rsidRPr="004E4F94">
        <w:t>)</w:t>
      </w:r>
      <w:r w:rsidR="0044485E" w:rsidRPr="004E4F94">
        <w:t>.</w:t>
      </w:r>
    </w:p>
    <w:p w:rsidR="009D61B6" w:rsidRPr="004E4F94" w:rsidRDefault="009D61B6" w:rsidP="004E4F94">
      <w:pPr>
        <w:spacing w:line="360" w:lineRule="auto"/>
        <w:ind w:left="360"/>
        <w:jc w:val="both"/>
      </w:pPr>
      <w:r w:rsidRPr="004E4F94">
        <w:t xml:space="preserve">Ponadto, gdy rzeczywista powierzchnia uprawy tytoniu jest większa niż powierzchnia uprawy zgłoszona w corocznie przekazywanej informacji co najmniej </w:t>
      </w:r>
      <w:r w:rsidR="00B06ACB" w:rsidRPr="004E4F94">
        <w:t xml:space="preserve">o </w:t>
      </w:r>
      <w:r w:rsidRPr="004E4F94">
        <w:t>10%, zniszczeniu podlegała będzie powierzchnia uprawy tytoniu</w:t>
      </w:r>
      <w:r w:rsidR="00B06ACB" w:rsidRPr="004E4F94">
        <w:t xml:space="preserve"> </w:t>
      </w:r>
      <w:r w:rsidRPr="004E4F94">
        <w:t>przekraczająca powierzchnię zgłoszoną. Sankcje za naruszenie obowiązku rejestracji muszą być dotkliwe. Zniszczenie uprawy ma na celu uniemożliwienie wprowadzenia surowca tytoniowego do nielegalnego obrotu. W</w:t>
      </w:r>
      <w:r w:rsidR="003556B1">
        <w:t xml:space="preserve"> </w:t>
      </w:r>
      <w:r w:rsidRPr="004E4F94">
        <w:t xml:space="preserve">przypadku złagodzenia sankcji, rolnicy </w:t>
      </w:r>
      <w:r w:rsidRPr="004E4F94">
        <w:lastRenderedPageBreak/>
        <w:t>mogliby nadal decydować się na uprawę tytoniu w celach sprzedaży do nielegalnie działających podmiotów. Ustanowienie sankcji jest proporcjonalne do strat jakie ponosi polska gospodarka w wyniku działania szarej strefy w handlu surowcami tytoniowymi.</w:t>
      </w:r>
      <w:r w:rsidR="003556B1">
        <w:t xml:space="preserve"> </w:t>
      </w:r>
    </w:p>
    <w:p w:rsidR="009D61B6" w:rsidRPr="004E4F94" w:rsidRDefault="009D61B6" w:rsidP="004E4F94">
      <w:pPr>
        <w:spacing w:line="360" w:lineRule="auto"/>
        <w:ind w:left="360"/>
        <w:jc w:val="both"/>
      </w:pPr>
      <w:r w:rsidRPr="004E4F94">
        <w:t>Biorąc pod uwagę sankcj</w:t>
      </w:r>
      <w:r w:rsidR="007422C8" w:rsidRPr="004E4F94">
        <w:t>e</w:t>
      </w:r>
      <w:r w:rsidRPr="004E4F94">
        <w:t xml:space="preserve">, którymi jest zagrożone prowadzenie </w:t>
      </w:r>
      <w:r w:rsidR="00D947F7" w:rsidRPr="004E4F94">
        <w:t xml:space="preserve">przez podmiot </w:t>
      </w:r>
      <w:r w:rsidRPr="004E4F94">
        <w:t>uprawy tytoniu bez uzyskania wpisu do rejestru</w:t>
      </w:r>
      <w:r w:rsidR="00D947F7" w:rsidRPr="004E4F94">
        <w:t>,</w:t>
      </w:r>
      <w:r w:rsidRPr="004E4F94">
        <w:t xml:space="preserve"> będzie przeprowadzona kampania informacyjna. O nowych przepisach zostaną poinformowane grupy producentów tytoniu zrzeszające</w:t>
      </w:r>
      <w:r w:rsidR="00E5063F" w:rsidRPr="004E4F94">
        <w:t xml:space="preserve"> </w:t>
      </w:r>
      <w:r w:rsidRPr="004E4F94">
        <w:t xml:space="preserve">ok. </w:t>
      </w:r>
      <w:r w:rsidR="003556B1">
        <w:t>90</w:t>
      </w:r>
      <w:r w:rsidRPr="004E4F94">
        <w:t xml:space="preserve">% plantatorów, plantatorzy niezrzeszeni oraz pośredniczące podmioty tytoniowe. </w:t>
      </w:r>
    </w:p>
    <w:p w:rsidR="002865DE" w:rsidRPr="004E4F94" w:rsidRDefault="009D61B6" w:rsidP="004E4F94">
      <w:pPr>
        <w:spacing w:line="360" w:lineRule="auto"/>
        <w:ind w:left="360"/>
        <w:jc w:val="both"/>
      </w:pPr>
      <w:r w:rsidRPr="004E4F94">
        <w:t>W art. 40k zmienianej ustawy proponowane są uregulowania dotyczące kar za</w:t>
      </w:r>
      <w:r w:rsidR="003556B1">
        <w:t xml:space="preserve"> </w:t>
      </w:r>
      <w:r w:rsidRPr="004E4F94">
        <w:t>nieprzestrzeganie przepisów określonych w projekcie. Przypadki naruszeń przepisów projektowanej ustawy w postaci nieprzekazania corocznej informacji, przekazania jej z</w:t>
      </w:r>
      <w:r w:rsidR="003556B1">
        <w:t xml:space="preserve"> </w:t>
      </w:r>
      <w:r w:rsidRPr="004E4F94">
        <w:t>opóźnieniem, przekazania informacji niepełnych lub niezgodnych ze stanem faktycznym będą skutkowały kar</w:t>
      </w:r>
      <w:r w:rsidR="004415A0" w:rsidRPr="004E4F94">
        <w:t>ą grzywny</w:t>
      </w:r>
      <w:r w:rsidRPr="004E4F94">
        <w:t>. Przepisy powyższe mają na celu zapewnienie wiarygodności przekazywanych danych na potrzeby monitorowania upraw tytoniu w</w:t>
      </w:r>
      <w:r w:rsidR="003556B1">
        <w:t xml:space="preserve"> </w:t>
      </w:r>
      <w:r w:rsidRPr="004E4F94">
        <w:t>związku z koniecznością ograniczenia dopływu surowca tytoniowego do</w:t>
      </w:r>
      <w:r w:rsidR="003556B1">
        <w:t xml:space="preserve"> </w:t>
      </w:r>
      <w:r w:rsidRPr="004E4F94">
        <w:t>zakładów wytwarzających wyroby tytoniowe, działających bez stosownej rejestracji oraz nieodprowadzających należnych podatków do budżetu państwa.</w:t>
      </w:r>
      <w:r w:rsidR="004415A0" w:rsidRPr="004E4F94">
        <w:t xml:space="preserve"> </w:t>
      </w:r>
      <w:r w:rsidR="002865DE" w:rsidRPr="004E4F94">
        <w:t>Wprowadza się</w:t>
      </w:r>
      <w:r w:rsidR="004415A0" w:rsidRPr="004E4F94">
        <w:t xml:space="preserve"> jednak </w:t>
      </w:r>
      <w:r w:rsidR="002865DE" w:rsidRPr="004E4F94">
        <w:t>wyłączenie z odpowiedzialności karnej producenta surowca tytoniowego, który w</w:t>
      </w:r>
      <w:r w:rsidR="003556B1">
        <w:t xml:space="preserve"> </w:t>
      </w:r>
      <w:r w:rsidR="002865DE" w:rsidRPr="004E4F94">
        <w:t>przekazanej informacji o powierzchni uprawy tytoniu podał powierzchnię różniącą się nie więcej niż o 5% od rzeczywistej powierzchni upraw ustalonej w wyniku kontr</w:t>
      </w:r>
      <w:r w:rsidR="003556B1">
        <w:t>oli. Tolerancja 5% mieści się w </w:t>
      </w:r>
      <w:r w:rsidR="002865DE" w:rsidRPr="004E4F94">
        <w:t>granicy błędu pomiarowego. Ponadto wyłącz</w:t>
      </w:r>
      <w:r w:rsidR="00F23D80" w:rsidRPr="004E4F94">
        <w:t>ony</w:t>
      </w:r>
      <w:r w:rsidR="002865DE" w:rsidRPr="004E4F94">
        <w:t xml:space="preserve"> z</w:t>
      </w:r>
      <w:r w:rsidR="003556B1">
        <w:t xml:space="preserve"> </w:t>
      </w:r>
      <w:r w:rsidR="002865DE" w:rsidRPr="004E4F94">
        <w:t>odpowiedzialności karnej (grzywna) zostan</w:t>
      </w:r>
      <w:r w:rsidR="00F23D80" w:rsidRPr="004E4F94">
        <w:t>ie</w:t>
      </w:r>
      <w:r w:rsidR="002865DE" w:rsidRPr="004E4F94">
        <w:t xml:space="preserve"> producen</w:t>
      </w:r>
      <w:r w:rsidR="00F23D80" w:rsidRPr="004E4F94">
        <w:t>t</w:t>
      </w:r>
      <w:r w:rsidR="002865DE" w:rsidRPr="004E4F94">
        <w:t xml:space="preserve"> surowca tytoniowego, w</w:t>
      </w:r>
      <w:r w:rsidR="003556B1">
        <w:t xml:space="preserve"> </w:t>
      </w:r>
      <w:r w:rsidR="002865DE" w:rsidRPr="004E4F94">
        <w:t>odniesieniu do któr</w:t>
      </w:r>
      <w:r w:rsidR="00F23D80" w:rsidRPr="004E4F94">
        <w:t>ego</w:t>
      </w:r>
      <w:r w:rsidR="002865DE" w:rsidRPr="004E4F94">
        <w:t xml:space="preserve"> wydano decyzj</w:t>
      </w:r>
      <w:r w:rsidR="00F23D80" w:rsidRPr="004E4F94">
        <w:t>ę</w:t>
      </w:r>
      <w:r w:rsidR="002865DE" w:rsidRPr="004E4F94">
        <w:t xml:space="preserve"> o zniszczeniu uprawy tytoniu i dokonan</w:t>
      </w:r>
      <w:r w:rsidR="00F23D80" w:rsidRPr="004E4F94">
        <w:t>o tego znisz</w:t>
      </w:r>
      <w:r w:rsidR="003556B1">
        <w:t>czenia</w:t>
      </w:r>
      <w:r w:rsidR="001A2015">
        <w:t>,</w:t>
      </w:r>
      <w:r w:rsidR="003556B1">
        <w:t xml:space="preserve"> w </w:t>
      </w:r>
      <w:r w:rsidR="00F23D80" w:rsidRPr="004E4F94">
        <w:t xml:space="preserve">przypadku </w:t>
      </w:r>
      <w:r w:rsidR="002865DE" w:rsidRPr="004E4F94">
        <w:t xml:space="preserve">gdy stwierdzona w wyniku wykonywania czynności kontrolnych KOWR powierzchnia uprawy tytoniu jest większa co najmniej o 10% od powierzchni zgłoszonej przez producenta surowca tytoniowego w informacji. </w:t>
      </w:r>
      <w:r w:rsidR="00F23D80" w:rsidRPr="004E4F94">
        <w:t>Ma to na celu uniknięcie</w:t>
      </w:r>
      <w:r w:rsidR="002865DE" w:rsidRPr="004E4F94">
        <w:t xml:space="preserve"> podwójn</w:t>
      </w:r>
      <w:r w:rsidR="00F23D80" w:rsidRPr="004E4F94">
        <w:t>ego</w:t>
      </w:r>
      <w:r w:rsidR="002865DE" w:rsidRPr="004E4F94">
        <w:t xml:space="preserve"> karan</w:t>
      </w:r>
      <w:r w:rsidR="00F23D80" w:rsidRPr="004E4F94">
        <w:t>ia</w:t>
      </w:r>
      <w:r w:rsidR="002865DE" w:rsidRPr="004E4F94">
        <w:t xml:space="preserve"> za przek</w:t>
      </w:r>
      <w:r w:rsidR="003556B1">
        <w:t>azanie takiej informacji, tj. w </w:t>
      </w:r>
      <w:r w:rsidR="002865DE" w:rsidRPr="004E4F94">
        <w:t>postaci zaorania niezadeklarowanej części uprawy i nałożenia kary grzywny.</w:t>
      </w:r>
    </w:p>
    <w:p w:rsidR="009D61B6" w:rsidRPr="004E4F94" w:rsidRDefault="009D61B6" w:rsidP="004E4F94">
      <w:pPr>
        <w:spacing w:line="360" w:lineRule="auto"/>
        <w:ind w:left="360"/>
        <w:jc w:val="both"/>
      </w:pPr>
      <w:r w:rsidRPr="004E4F94">
        <w:t xml:space="preserve">Ponadto art. </w:t>
      </w:r>
      <w:r w:rsidR="00CD31E8" w:rsidRPr="004E4F94">
        <w:t>5</w:t>
      </w:r>
      <w:r w:rsidRPr="004E4F94">
        <w:t xml:space="preserve"> projektowanej ustawy wprowadza przepisy określające termin złożenia wniosku o wpis do rejestru producentów surowca tytoniowego przez producentów uprawiających tytoń w dniu wejścia w życie ustawy oraz termin </w:t>
      </w:r>
      <w:r w:rsidRPr="004E4F94">
        <w:lastRenderedPageBreak/>
        <w:t xml:space="preserve">wydania decyzji o tym wpisie przez dyrektora oddziału terenowego </w:t>
      </w:r>
      <w:r w:rsidR="007422C8" w:rsidRPr="004E4F94">
        <w:t>Krajowego Ośrodka</w:t>
      </w:r>
      <w:r w:rsidRPr="004E4F94">
        <w:t xml:space="preserve">. </w:t>
      </w:r>
    </w:p>
    <w:p w:rsidR="00684901" w:rsidRPr="004E4F94" w:rsidRDefault="00684901" w:rsidP="004E4F94">
      <w:pPr>
        <w:pStyle w:val="Akapitzlist"/>
        <w:numPr>
          <w:ilvl w:val="0"/>
          <w:numId w:val="11"/>
        </w:numPr>
        <w:autoSpaceDE w:val="0"/>
        <w:autoSpaceDN w:val="0"/>
        <w:adjustRightInd w:val="0"/>
        <w:spacing w:line="360" w:lineRule="auto"/>
        <w:contextualSpacing w:val="0"/>
        <w:jc w:val="both"/>
        <w:rPr>
          <w:b/>
          <w:bCs/>
        </w:rPr>
      </w:pPr>
      <w:r w:rsidRPr="004E4F94">
        <w:rPr>
          <w:b/>
          <w:bCs/>
        </w:rPr>
        <w:t xml:space="preserve">Ocena przewidywanego wpływu projektu ustawy na działalność </w:t>
      </w:r>
      <w:proofErr w:type="spellStart"/>
      <w:r w:rsidRPr="004E4F94">
        <w:rPr>
          <w:b/>
          <w:bCs/>
        </w:rPr>
        <w:t>mikroprzedsiębiorców</w:t>
      </w:r>
      <w:proofErr w:type="spellEnd"/>
      <w:r w:rsidRPr="004E4F94">
        <w:rPr>
          <w:b/>
          <w:bCs/>
        </w:rPr>
        <w:t xml:space="preserve"> oraz małych i średnich przedsiębiorców</w:t>
      </w:r>
    </w:p>
    <w:p w:rsidR="00684901" w:rsidRPr="004E4F94" w:rsidRDefault="00684901" w:rsidP="004E4F94">
      <w:pPr>
        <w:pStyle w:val="Akapitzlist"/>
        <w:autoSpaceDE w:val="0"/>
        <w:autoSpaceDN w:val="0"/>
        <w:adjustRightInd w:val="0"/>
        <w:spacing w:line="360" w:lineRule="auto"/>
        <w:ind w:left="357"/>
        <w:contextualSpacing w:val="0"/>
        <w:jc w:val="both"/>
      </w:pPr>
      <w:r w:rsidRPr="004E4F94">
        <w:t xml:space="preserve">Z uwagi na postanowienie art. 103 pkt 1a ustawy o swobodzie </w:t>
      </w:r>
      <w:r w:rsidR="006B6FBA" w:rsidRPr="004E4F94">
        <w:t>działalności</w:t>
      </w:r>
      <w:r w:rsidRPr="004E4F94">
        <w:t xml:space="preserve"> gospodarczej oraz art. 34 ust. 2a Regulaminu Sejmu </w:t>
      </w:r>
      <w:r w:rsidR="00A33DB9" w:rsidRPr="004E4F94">
        <w:t xml:space="preserve">wskazać należy, iż </w:t>
      </w:r>
      <w:r w:rsidRPr="004E4F94">
        <w:t>przewiduje się</w:t>
      </w:r>
      <w:r w:rsidR="00A33DB9" w:rsidRPr="004E4F94">
        <w:t>, że</w:t>
      </w:r>
      <w:r w:rsidRPr="004E4F94">
        <w:t xml:space="preserve"> </w:t>
      </w:r>
      <w:r w:rsidR="006B6FBA" w:rsidRPr="004E4F94">
        <w:t xml:space="preserve">ustawa </w:t>
      </w:r>
      <w:r w:rsidRPr="004E4F94">
        <w:rPr>
          <w:rFonts w:eastAsia="Calibri"/>
          <w:spacing w:val="-2"/>
          <w:lang w:eastAsia="en-US"/>
        </w:rPr>
        <w:t>będzie miał</w:t>
      </w:r>
      <w:r w:rsidR="006B6FBA" w:rsidRPr="004E4F94">
        <w:rPr>
          <w:rFonts w:eastAsia="Calibri"/>
          <w:spacing w:val="-2"/>
          <w:lang w:eastAsia="en-US"/>
        </w:rPr>
        <w:t>a</w:t>
      </w:r>
      <w:r w:rsidRPr="004E4F94">
        <w:rPr>
          <w:rFonts w:eastAsia="Calibri"/>
          <w:spacing w:val="-2"/>
          <w:lang w:eastAsia="en-US"/>
        </w:rPr>
        <w:t xml:space="preserve"> wpływ na pośredniczące podmioty tytoniowe w zakresie </w:t>
      </w:r>
      <w:r w:rsidRPr="004E4F94">
        <w:rPr>
          <w:rFonts w:eastAsia="Calibri"/>
          <w:lang w:eastAsia="en-US"/>
        </w:rPr>
        <w:t>przekazywania danych dotyczących masy s</w:t>
      </w:r>
      <w:r w:rsidR="003556B1">
        <w:rPr>
          <w:rFonts w:eastAsia="Calibri"/>
          <w:lang w:eastAsia="en-US"/>
        </w:rPr>
        <w:t>kupionego surowca tytoniowego w </w:t>
      </w:r>
      <w:r w:rsidRPr="004E4F94">
        <w:rPr>
          <w:rFonts w:eastAsia="Calibri"/>
          <w:lang w:eastAsia="en-US"/>
        </w:rPr>
        <w:t>podziale na grupy użytkowe odmian (sektor mikro-, mały</w:t>
      </w:r>
      <w:r w:rsidR="002A08C6" w:rsidRPr="004E4F94">
        <w:rPr>
          <w:rFonts w:eastAsia="Calibri"/>
          <w:lang w:eastAsia="en-US"/>
        </w:rPr>
        <w:t xml:space="preserve">ch i średnich przedsiębiorstw). Jednakże z uwagi na fakt, iż przedmiotowe informacje miałyby być przekazywane jedynie raz w roku, a ich szczegółowość nie wymagałaby generowania dodatkowych informacji przez podmioty </w:t>
      </w:r>
      <w:r w:rsidR="00B01B3E" w:rsidRPr="004E4F94">
        <w:rPr>
          <w:rFonts w:eastAsia="Calibri"/>
          <w:lang w:eastAsia="en-US"/>
        </w:rPr>
        <w:t>(</w:t>
      </w:r>
      <w:r w:rsidR="00863342" w:rsidRPr="004E4F94">
        <w:rPr>
          <w:rFonts w:eastAsia="Calibri"/>
          <w:lang w:eastAsia="en-US"/>
        </w:rPr>
        <w:t xml:space="preserve">informacje te </w:t>
      </w:r>
      <w:r w:rsidR="003556B1">
        <w:rPr>
          <w:rFonts w:eastAsia="Calibri"/>
          <w:lang w:eastAsia="en-US"/>
        </w:rPr>
        <w:t>pozostają w </w:t>
      </w:r>
      <w:r w:rsidR="00B01B3E" w:rsidRPr="004E4F94">
        <w:rPr>
          <w:rFonts w:eastAsia="Calibri"/>
          <w:lang w:eastAsia="en-US"/>
        </w:rPr>
        <w:t>ich posiadaniu)</w:t>
      </w:r>
      <w:r w:rsidR="00863342" w:rsidRPr="004E4F94">
        <w:rPr>
          <w:rFonts w:eastAsia="Calibri"/>
          <w:lang w:eastAsia="en-US"/>
        </w:rPr>
        <w:t xml:space="preserve"> </w:t>
      </w:r>
      <w:r w:rsidR="00B01B3E" w:rsidRPr="004E4F94">
        <w:rPr>
          <w:rFonts w:eastAsia="Calibri"/>
          <w:lang w:eastAsia="en-US"/>
        </w:rPr>
        <w:t>przyj</w:t>
      </w:r>
      <w:r w:rsidR="00863342" w:rsidRPr="004E4F94">
        <w:rPr>
          <w:rFonts w:eastAsia="Calibri"/>
          <w:lang w:eastAsia="en-US"/>
        </w:rPr>
        <w:t>ę</w:t>
      </w:r>
      <w:r w:rsidR="00B01B3E" w:rsidRPr="004E4F94">
        <w:rPr>
          <w:rFonts w:eastAsia="Calibri"/>
          <w:lang w:eastAsia="en-US"/>
        </w:rPr>
        <w:t>to</w:t>
      </w:r>
      <w:r w:rsidR="002A08C6" w:rsidRPr="004E4F94">
        <w:rPr>
          <w:rFonts w:eastAsia="Calibri"/>
          <w:lang w:eastAsia="en-US"/>
        </w:rPr>
        <w:t xml:space="preserve">, iż nałożony obowiązek nie stanowi dużego obciążenia </w:t>
      </w:r>
      <w:r w:rsidR="00B01B3E" w:rsidRPr="004E4F94">
        <w:rPr>
          <w:rFonts w:eastAsia="Calibri"/>
          <w:lang w:eastAsia="en-US"/>
        </w:rPr>
        <w:t xml:space="preserve">podmiotów </w:t>
      </w:r>
      <w:r w:rsidR="002A08C6" w:rsidRPr="004E4F94">
        <w:rPr>
          <w:rFonts w:eastAsia="Calibri"/>
          <w:lang w:eastAsia="en-US"/>
        </w:rPr>
        <w:t>a wpływ projektowanych regulacji na ww. podmioty jest nieznaczny.</w:t>
      </w:r>
    </w:p>
    <w:p w:rsidR="00AA520E" w:rsidRPr="004E4F94" w:rsidRDefault="00B01B3E" w:rsidP="004E4F94">
      <w:pPr>
        <w:pStyle w:val="Akapitzlist"/>
        <w:numPr>
          <w:ilvl w:val="0"/>
          <w:numId w:val="11"/>
        </w:numPr>
        <w:autoSpaceDE w:val="0"/>
        <w:autoSpaceDN w:val="0"/>
        <w:adjustRightInd w:val="0"/>
        <w:spacing w:line="360" w:lineRule="auto"/>
        <w:contextualSpacing w:val="0"/>
        <w:jc w:val="both"/>
        <w:rPr>
          <w:b/>
          <w:bCs/>
        </w:rPr>
      </w:pPr>
      <w:r w:rsidRPr="004E4F94">
        <w:rPr>
          <w:b/>
          <w:bCs/>
        </w:rPr>
        <w:t>Przepisy przejściowe i w</w:t>
      </w:r>
      <w:r w:rsidR="005059CC" w:rsidRPr="004E4F94">
        <w:rPr>
          <w:b/>
          <w:bCs/>
        </w:rPr>
        <w:t>ejście w życie</w:t>
      </w:r>
    </w:p>
    <w:p w:rsidR="00A5654C" w:rsidRPr="004E4F94" w:rsidRDefault="00A5654C" w:rsidP="004E4F94">
      <w:pPr>
        <w:spacing w:line="360" w:lineRule="auto"/>
        <w:ind w:left="357"/>
        <w:jc w:val="both"/>
      </w:pPr>
      <w:r w:rsidRPr="004E4F94">
        <w:t xml:space="preserve">Przepis art. 4 wskazuje sposób gromadzenia danych zawartych w ewidencji, o której mowa w art. 138g. </w:t>
      </w:r>
    </w:p>
    <w:p w:rsidR="00B01B3E" w:rsidRPr="004E4F94" w:rsidRDefault="00085D4E" w:rsidP="004E4F94">
      <w:pPr>
        <w:spacing w:line="360" w:lineRule="auto"/>
        <w:ind w:left="357"/>
        <w:jc w:val="both"/>
      </w:pPr>
      <w:r w:rsidRPr="004E4F94">
        <w:t>Przepis a</w:t>
      </w:r>
      <w:r w:rsidR="00B01B3E" w:rsidRPr="004E4F94">
        <w:t xml:space="preserve">rt. </w:t>
      </w:r>
      <w:r w:rsidR="00800B6F" w:rsidRPr="004E4F94">
        <w:t xml:space="preserve">6 </w:t>
      </w:r>
      <w:r w:rsidR="00B11DD3" w:rsidRPr="004E4F94">
        <w:t xml:space="preserve">projektu </w:t>
      </w:r>
      <w:r w:rsidR="00ED76EC" w:rsidRPr="004E4F94">
        <w:t xml:space="preserve">do dnia 31 </w:t>
      </w:r>
      <w:r w:rsidR="007D64DD" w:rsidRPr="004E4F94">
        <w:t xml:space="preserve">marca 2018 </w:t>
      </w:r>
      <w:r w:rsidR="00ED76EC" w:rsidRPr="004E4F94">
        <w:t xml:space="preserve">r. przewiduje </w:t>
      </w:r>
      <w:r w:rsidR="00B01B3E" w:rsidRPr="004E4F94">
        <w:t>zachow</w:t>
      </w:r>
      <w:r w:rsidR="00ED76EC" w:rsidRPr="004E4F94">
        <w:t>anie w mocy przepisów</w:t>
      </w:r>
      <w:r w:rsidR="00B01B3E" w:rsidRPr="004E4F94">
        <w:t xml:space="preserve"> akt</w:t>
      </w:r>
      <w:r w:rsidRPr="004E4F94">
        <w:t>u</w:t>
      </w:r>
      <w:r w:rsidR="00B01B3E" w:rsidRPr="004E4F94">
        <w:t xml:space="preserve"> wykonawcz</w:t>
      </w:r>
      <w:r w:rsidRPr="004E4F94">
        <w:t>ego</w:t>
      </w:r>
      <w:r w:rsidR="00B01B3E" w:rsidRPr="004E4F94">
        <w:t xml:space="preserve"> wydan</w:t>
      </w:r>
      <w:r w:rsidRPr="004E4F94">
        <w:t>ego</w:t>
      </w:r>
      <w:r w:rsidR="00B01B3E" w:rsidRPr="004E4F94">
        <w:t xml:space="preserve"> na podstawie </w:t>
      </w:r>
      <w:r w:rsidRPr="004E4F94">
        <w:t xml:space="preserve">art. 138s </w:t>
      </w:r>
      <w:r w:rsidR="00B01B3E" w:rsidRPr="004E4F94">
        <w:t>ustawy o podatku akcyzowym</w:t>
      </w:r>
      <w:r w:rsidRPr="004E4F94">
        <w:t>. Zakres danych zawartych w ewidencji</w:t>
      </w:r>
      <w:r w:rsidR="00ED76EC" w:rsidRPr="004E4F94">
        <w:t>,</w:t>
      </w:r>
      <w:r w:rsidRPr="004E4F94">
        <w:t xml:space="preserve"> </w:t>
      </w:r>
      <w:r w:rsidR="00ED76EC" w:rsidRPr="004E4F94">
        <w:t xml:space="preserve">o której mowa w art. 138g </w:t>
      </w:r>
      <w:r w:rsidR="001D63C2" w:rsidRPr="004E4F94">
        <w:t>określ</w:t>
      </w:r>
      <w:r w:rsidRPr="004E4F94">
        <w:t xml:space="preserve">ają </w:t>
      </w:r>
      <w:r w:rsidR="00ED76EC" w:rsidRPr="004E4F94">
        <w:t xml:space="preserve">bowiem </w:t>
      </w:r>
      <w:r w:rsidRPr="004E4F94">
        <w:t xml:space="preserve">przepisy </w:t>
      </w:r>
      <w:r w:rsidR="001D63C2" w:rsidRPr="004E4F94">
        <w:t>ustaw</w:t>
      </w:r>
      <w:r w:rsidRPr="004E4F94">
        <w:t xml:space="preserve">owe. </w:t>
      </w:r>
      <w:r w:rsidR="00ED76EC" w:rsidRPr="004E4F94">
        <w:t xml:space="preserve">Akt wykonawczy określa jedynie szczegółowy zakres danych, które powinny znajdować się w tej ewidencji. </w:t>
      </w:r>
      <w:r w:rsidR="003556B1">
        <w:t>W </w:t>
      </w:r>
      <w:r w:rsidRPr="004E4F94">
        <w:t>związku z tym podmiot</w:t>
      </w:r>
      <w:r w:rsidR="00293D13" w:rsidRPr="004E4F94">
        <w:t xml:space="preserve"> prowadzący skład podatkowy, który magazynuje susz tytoniowy nieopodatkowany akcyzą poza składem podatkowym </w:t>
      </w:r>
      <w:r w:rsidR="003556B1">
        <w:t>(dodawany art. </w:t>
      </w:r>
      <w:r w:rsidRPr="004E4F94">
        <w:t xml:space="preserve">138g ust. 1 pkt 4 ustawy o podatku akcyzowym) </w:t>
      </w:r>
      <w:r w:rsidR="00ED76EC" w:rsidRPr="004E4F94">
        <w:t>powin</w:t>
      </w:r>
      <w:r w:rsidR="006A3D02" w:rsidRPr="004E4F94">
        <w:t>ie</w:t>
      </w:r>
      <w:r w:rsidR="00ED76EC" w:rsidRPr="004E4F94">
        <w:t>n realizować ten obowiązek na mocy art. 138g ust. 2</w:t>
      </w:r>
      <w:r w:rsidR="001D63C2" w:rsidRPr="004E4F94">
        <w:t xml:space="preserve">. </w:t>
      </w:r>
    </w:p>
    <w:p w:rsidR="007F6DDE" w:rsidRPr="004E4F94" w:rsidRDefault="00290D0E" w:rsidP="004E4F94">
      <w:pPr>
        <w:spacing w:line="360" w:lineRule="auto"/>
        <w:ind w:left="360"/>
        <w:jc w:val="both"/>
      </w:pPr>
      <w:r w:rsidRPr="004E4F94">
        <w:t>Planuje się, że projektowana ustawa wejdzie w życie 14 dni od dnia ogłoszenia. Proponowane rozwiązania nakładają szereg obowiązków, jednakże są bardzo korzystne dla samej branży tytoniowej. Szybkie wprowadzenie tych przepisów ma bowiem na celu jak ograniczenie a nawet likwidację szarej strefy w handlu surowcami tytoniowymi. Jednocześnie wyjaśnia się, iż art. 1 pkt 4</w:t>
      </w:r>
      <w:r w:rsidR="003556B1">
        <w:t>–</w:t>
      </w:r>
      <w:r w:rsidR="00B11DD3" w:rsidRPr="004E4F94">
        <w:t>7</w:t>
      </w:r>
      <w:r w:rsidRPr="004E4F94">
        <w:t xml:space="preserve"> ustawy wejdzie w życie od dnia 1 czerwca 2018</w:t>
      </w:r>
      <w:r w:rsidR="003556B1">
        <w:t xml:space="preserve"> </w:t>
      </w:r>
      <w:r w:rsidRPr="004E4F94">
        <w:t>r. z uwagi na konieczność dostosowania treści aktów wykonawczych oraz</w:t>
      </w:r>
      <w:r w:rsidR="003556B1">
        <w:t xml:space="preserve"> </w:t>
      </w:r>
      <w:r w:rsidRPr="004E4F94">
        <w:t>systemów informatycznych</w:t>
      </w:r>
      <w:r w:rsidR="007F6DDE" w:rsidRPr="004E4F94">
        <w:t xml:space="preserve"> do</w:t>
      </w:r>
      <w:r w:rsidRPr="004E4F94">
        <w:t xml:space="preserve"> zmian ustawowych </w:t>
      </w:r>
      <w:r w:rsidRPr="004E4F94">
        <w:lastRenderedPageBreak/>
        <w:t>w</w:t>
      </w:r>
      <w:r w:rsidR="003556B1">
        <w:t> </w:t>
      </w:r>
      <w:r w:rsidRPr="004E4F94">
        <w:t>zakresie ustanowienia zabezpieczenia akcyzowego w formie hipoteki na nieruchomości.</w:t>
      </w:r>
      <w:r w:rsidR="007F6DDE" w:rsidRPr="004E4F94">
        <w:t xml:space="preserve"> </w:t>
      </w:r>
    </w:p>
    <w:p w:rsidR="005059CC" w:rsidRPr="004E4F94" w:rsidRDefault="005059CC" w:rsidP="004E4F94">
      <w:pPr>
        <w:pStyle w:val="Akapitzlist"/>
        <w:numPr>
          <w:ilvl w:val="0"/>
          <w:numId w:val="11"/>
        </w:numPr>
        <w:autoSpaceDE w:val="0"/>
        <w:autoSpaceDN w:val="0"/>
        <w:adjustRightInd w:val="0"/>
        <w:spacing w:line="360" w:lineRule="auto"/>
        <w:ind w:left="357" w:hanging="357"/>
        <w:contextualSpacing w:val="0"/>
        <w:jc w:val="both"/>
        <w:rPr>
          <w:b/>
          <w:bCs/>
        </w:rPr>
      </w:pPr>
      <w:r w:rsidRPr="004E4F94">
        <w:rPr>
          <w:b/>
          <w:bCs/>
        </w:rPr>
        <w:t>Zgodność z prawem Unii Europejskiej</w:t>
      </w:r>
    </w:p>
    <w:p w:rsidR="008250F6" w:rsidRPr="004E4F94" w:rsidRDefault="008250F6" w:rsidP="004E4F94">
      <w:pPr>
        <w:pStyle w:val="Tekstpodstawowy"/>
        <w:ind w:firstLine="357"/>
        <w:rPr>
          <w:szCs w:val="24"/>
        </w:rPr>
      </w:pPr>
      <w:r w:rsidRPr="004E4F94">
        <w:rPr>
          <w:szCs w:val="24"/>
        </w:rPr>
        <w:t xml:space="preserve">Projekt </w:t>
      </w:r>
      <w:r w:rsidR="00AA520E" w:rsidRPr="004E4F94">
        <w:rPr>
          <w:szCs w:val="24"/>
        </w:rPr>
        <w:t>ustawy</w:t>
      </w:r>
      <w:r w:rsidRPr="004E4F94">
        <w:rPr>
          <w:szCs w:val="24"/>
        </w:rPr>
        <w:t xml:space="preserve"> jest zgodny z prawem Unii Europejskiej.</w:t>
      </w:r>
    </w:p>
    <w:p w:rsidR="000123E0" w:rsidRPr="004E4F94" w:rsidRDefault="00AA520E" w:rsidP="004E4F94">
      <w:pPr>
        <w:spacing w:line="360" w:lineRule="auto"/>
        <w:jc w:val="both"/>
      </w:pPr>
      <w:r w:rsidRPr="004E4F94">
        <w:t>Projekt ustawy</w:t>
      </w:r>
      <w:r w:rsidR="000123E0" w:rsidRPr="004E4F94">
        <w:t xml:space="preserve"> nie podlega przedstawieniu właściwym organom i instytucjom Unii Europejskiej, w tym Europejskiemu Bankowi Centralnemu. </w:t>
      </w:r>
    </w:p>
    <w:p w:rsidR="008250F6" w:rsidRPr="004E4F94" w:rsidRDefault="008250F6" w:rsidP="004E4F94">
      <w:pPr>
        <w:pStyle w:val="Tekstpodstawowy"/>
        <w:rPr>
          <w:szCs w:val="24"/>
        </w:rPr>
      </w:pPr>
      <w:r w:rsidRPr="004E4F94">
        <w:rPr>
          <w:szCs w:val="24"/>
        </w:rPr>
        <w:t xml:space="preserve">Projekt </w:t>
      </w:r>
      <w:r w:rsidR="00DB52A5" w:rsidRPr="004E4F94">
        <w:rPr>
          <w:szCs w:val="24"/>
        </w:rPr>
        <w:t>ustawy</w:t>
      </w:r>
      <w:r w:rsidRPr="004E4F94">
        <w:rPr>
          <w:szCs w:val="24"/>
        </w:rPr>
        <w:t xml:space="preserve"> nie zawiera norm technicznych w rozumieniu przepisów rozporządzenia Rady Ministrów z dnia 23 grudnia 2002 r. </w:t>
      </w:r>
      <w:r w:rsidRPr="001A797D">
        <w:rPr>
          <w:iCs/>
          <w:szCs w:val="24"/>
        </w:rPr>
        <w:t>w sprawie sposobu funkcjonowania krajowego systemu notyfikacji norm i aktów prawnych</w:t>
      </w:r>
      <w:r w:rsidRPr="001A2015">
        <w:rPr>
          <w:szCs w:val="24"/>
        </w:rPr>
        <w:t xml:space="preserve"> (Dz. U. poz. 2039, z póź</w:t>
      </w:r>
      <w:r w:rsidRPr="004E4F94">
        <w:rPr>
          <w:szCs w:val="24"/>
        </w:rPr>
        <w:t>n. zm.), w związku z czym nie podlega notyfikacji.</w:t>
      </w:r>
    </w:p>
    <w:p w:rsidR="00D3207A" w:rsidRPr="006B7140" w:rsidRDefault="008250F6" w:rsidP="001A797D">
      <w:pPr>
        <w:pStyle w:val="Tekstpodstawowy"/>
        <w:rPr>
          <w:sz w:val="20"/>
        </w:rPr>
      </w:pPr>
      <w:r w:rsidRPr="004E4F94">
        <w:rPr>
          <w:szCs w:val="24"/>
        </w:rPr>
        <w:t xml:space="preserve">Zgodnie z art. 5 ustawy z dnia 7 lipca 2005 r. </w:t>
      </w:r>
      <w:r w:rsidRPr="001A797D">
        <w:rPr>
          <w:szCs w:val="24"/>
        </w:rPr>
        <w:t>o działalności lobbingowej w procesie stanowienia prawa</w:t>
      </w:r>
      <w:r w:rsidRPr="001A2015">
        <w:rPr>
          <w:szCs w:val="24"/>
        </w:rPr>
        <w:t xml:space="preserve"> </w:t>
      </w:r>
      <w:r w:rsidR="00421738" w:rsidRPr="001A2015">
        <w:rPr>
          <w:szCs w:val="24"/>
        </w:rPr>
        <w:t xml:space="preserve">(Dz. U. </w:t>
      </w:r>
      <w:r w:rsidR="00D57580" w:rsidRPr="001A2015">
        <w:rPr>
          <w:szCs w:val="24"/>
        </w:rPr>
        <w:t>z 2017 r.</w:t>
      </w:r>
      <w:r w:rsidR="00421738" w:rsidRPr="001A2015">
        <w:rPr>
          <w:szCs w:val="24"/>
        </w:rPr>
        <w:t xml:space="preserve"> poz. </w:t>
      </w:r>
      <w:r w:rsidR="00D57580" w:rsidRPr="001A2015">
        <w:rPr>
          <w:szCs w:val="24"/>
        </w:rPr>
        <w:t>248</w:t>
      </w:r>
      <w:r w:rsidR="005059CC" w:rsidRPr="001A2015">
        <w:rPr>
          <w:szCs w:val="24"/>
        </w:rPr>
        <w:t>) w związku z §</w:t>
      </w:r>
      <w:r w:rsidRPr="001A2015">
        <w:rPr>
          <w:szCs w:val="24"/>
        </w:rPr>
        <w:t xml:space="preserve"> 52 uchwały </w:t>
      </w:r>
      <w:r w:rsidR="001A2015">
        <w:rPr>
          <w:szCs w:val="24"/>
        </w:rPr>
        <w:t>n</w:t>
      </w:r>
      <w:r w:rsidRPr="001A2015">
        <w:rPr>
          <w:szCs w:val="24"/>
        </w:rPr>
        <w:t>r 190 Rad</w:t>
      </w:r>
      <w:r w:rsidRPr="004E4F94">
        <w:rPr>
          <w:szCs w:val="24"/>
        </w:rPr>
        <w:t>y Ministrów z dnia 29 października 2013 r.</w:t>
      </w:r>
      <w:r w:rsidR="001A797D">
        <w:rPr>
          <w:szCs w:val="24"/>
        </w:rPr>
        <w:t xml:space="preserve"> </w:t>
      </w:r>
      <w:r w:rsidR="001A2015">
        <w:rPr>
          <w:szCs w:val="24"/>
        </w:rPr>
        <w:t>–</w:t>
      </w:r>
      <w:r w:rsidRPr="004E4F94">
        <w:rPr>
          <w:szCs w:val="24"/>
        </w:rPr>
        <w:t xml:space="preserve"> </w:t>
      </w:r>
      <w:r w:rsidRPr="001A797D">
        <w:rPr>
          <w:szCs w:val="24"/>
        </w:rPr>
        <w:t>Regulamin pracy Rady Ministrów</w:t>
      </w:r>
      <w:r w:rsidRPr="004E4F94">
        <w:rPr>
          <w:szCs w:val="24"/>
        </w:rPr>
        <w:t xml:space="preserve"> (M.P.</w:t>
      </w:r>
      <w:r w:rsidR="003556B1">
        <w:rPr>
          <w:szCs w:val="24"/>
        </w:rPr>
        <w:t xml:space="preserve"> z </w:t>
      </w:r>
      <w:r w:rsidR="00D57580" w:rsidRPr="004E4F94">
        <w:rPr>
          <w:szCs w:val="24"/>
        </w:rPr>
        <w:t>2016 r.</w:t>
      </w:r>
      <w:r w:rsidRPr="004E4F94">
        <w:rPr>
          <w:szCs w:val="24"/>
        </w:rPr>
        <w:t xml:space="preserve"> poz. </w:t>
      </w:r>
      <w:r w:rsidR="00D57580" w:rsidRPr="004E4F94">
        <w:rPr>
          <w:szCs w:val="24"/>
        </w:rPr>
        <w:t>1006, z późn. zm.</w:t>
      </w:r>
      <w:r w:rsidRPr="004E4F94">
        <w:rPr>
          <w:szCs w:val="24"/>
        </w:rPr>
        <w:t xml:space="preserve">), projekt </w:t>
      </w:r>
      <w:r w:rsidR="00AA520E" w:rsidRPr="004E4F94">
        <w:rPr>
          <w:szCs w:val="24"/>
        </w:rPr>
        <w:t>ustawy</w:t>
      </w:r>
      <w:r w:rsidR="00421738" w:rsidRPr="004E4F94">
        <w:rPr>
          <w:szCs w:val="24"/>
        </w:rPr>
        <w:t xml:space="preserve"> z chwilą przekazania </w:t>
      </w:r>
      <w:r w:rsidR="00AA520E" w:rsidRPr="004E4F94">
        <w:rPr>
          <w:szCs w:val="24"/>
        </w:rPr>
        <w:t>jej</w:t>
      </w:r>
      <w:r w:rsidR="00421738" w:rsidRPr="004E4F94">
        <w:rPr>
          <w:szCs w:val="24"/>
        </w:rPr>
        <w:t xml:space="preserve"> do uzgodnień z członkami Rady Ministrów oraz konsultacji publicznych </w:t>
      </w:r>
      <w:r w:rsidRPr="004E4F94">
        <w:rPr>
          <w:szCs w:val="24"/>
        </w:rPr>
        <w:t>zosta</w:t>
      </w:r>
      <w:r w:rsidR="00B11DD3" w:rsidRPr="004E4F94">
        <w:rPr>
          <w:szCs w:val="24"/>
        </w:rPr>
        <w:t>ł</w:t>
      </w:r>
      <w:r w:rsidR="003556B1">
        <w:rPr>
          <w:szCs w:val="24"/>
        </w:rPr>
        <w:t xml:space="preserve"> udostępniony w </w:t>
      </w:r>
      <w:r w:rsidRPr="004E4F94">
        <w:rPr>
          <w:szCs w:val="24"/>
        </w:rPr>
        <w:t>Biuletynie Informacji Publicznej na stronie podmiotowej Rządowego Centrum Legislacji, w serwisie Rządowy Proces Legislacji.</w:t>
      </w:r>
    </w:p>
    <w:sectPr w:rsidR="00D3207A" w:rsidRPr="006B7140" w:rsidSect="003556B1">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DC6" w:rsidRDefault="00194DC6" w:rsidP="00AA520E">
      <w:r>
        <w:separator/>
      </w:r>
    </w:p>
  </w:endnote>
  <w:endnote w:type="continuationSeparator" w:id="0">
    <w:p w:rsidR="00194DC6" w:rsidRDefault="00194DC6" w:rsidP="00AA5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EUAlbertina">
    <w:altName w:val="EU Albertina"/>
    <w:panose1 w:val="00000000000000000000"/>
    <w:charset w:val="EE"/>
    <w:family w:val="swiss"/>
    <w:notTrueType/>
    <w:pitch w:val="default"/>
    <w:sig w:usb0="00000005" w:usb1="00000000" w:usb2="00000000" w:usb3="00000000" w:csb0="00000002"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4976194"/>
      <w:docPartObj>
        <w:docPartGallery w:val="Page Numbers (Bottom of Page)"/>
        <w:docPartUnique/>
      </w:docPartObj>
    </w:sdtPr>
    <w:sdtEndPr/>
    <w:sdtContent>
      <w:p w:rsidR="003556B1" w:rsidRDefault="003556B1">
        <w:pPr>
          <w:pStyle w:val="Stopka"/>
          <w:jc w:val="center"/>
        </w:pPr>
        <w:r>
          <w:fldChar w:fldCharType="begin"/>
        </w:r>
        <w:r>
          <w:instrText>PAGE   \* MERGEFORMAT</w:instrText>
        </w:r>
        <w:r>
          <w:fldChar w:fldCharType="separate"/>
        </w:r>
        <w:r w:rsidR="008C3DE3">
          <w:rPr>
            <w:noProof/>
          </w:rPr>
          <w:t>16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DC6" w:rsidRDefault="00194DC6" w:rsidP="00AA520E">
      <w:r>
        <w:separator/>
      </w:r>
    </w:p>
  </w:footnote>
  <w:footnote w:type="continuationSeparator" w:id="0">
    <w:p w:rsidR="00194DC6" w:rsidRDefault="00194DC6" w:rsidP="00AA520E">
      <w:r>
        <w:continuationSeparator/>
      </w:r>
    </w:p>
  </w:footnote>
  <w:footnote w:id="1">
    <w:p w:rsidR="00AD38A9" w:rsidRPr="003556B1" w:rsidRDefault="00AD38A9" w:rsidP="003556B1">
      <w:pPr>
        <w:pStyle w:val="Tekstprzypisudolnego"/>
        <w:ind w:left="284" w:hanging="284"/>
        <w:rPr>
          <w:rFonts w:ascii="Times New Roman" w:hAnsi="Times New Roman" w:cs="Times New Roman"/>
        </w:rPr>
      </w:pPr>
      <w:r w:rsidRPr="003556B1">
        <w:rPr>
          <w:rStyle w:val="Odwoanieprzypisudolnego"/>
          <w:rFonts w:ascii="Times New Roman" w:hAnsi="Times New Roman" w:cs="Times New Roman"/>
        </w:rPr>
        <w:footnoteRef/>
      </w:r>
      <w:r w:rsidR="003556B1" w:rsidRPr="003556B1">
        <w:rPr>
          <w:rFonts w:ascii="Times New Roman" w:hAnsi="Times New Roman" w:cs="Times New Roman"/>
          <w:sz w:val="24"/>
          <w:szCs w:val="24"/>
          <w:vertAlign w:val="superscript"/>
        </w:rPr>
        <w:t>)</w:t>
      </w:r>
      <w:r w:rsidR="003556B1" w:rsidRPr="003556B1">
        <w:rPr>
          <w:rFonts w:ascii="Times New Roman" w:hAnsi="Times New Roman" w:cs="Times New Roman"/>
        </w:rPr>
        <w:tab/>
      </w:r>
      <w:r w:rsidRPr="003556B1">
        <w:rPr>
          <w:rFonts w:ascii="Times New Roman" w:hAnsi="Times New Roman" w:cs="Times New Roman"/>
        </w:rPr>
        <w:t>na podstawie danych zadeklarowanych w deklaracjach podatkowych</w:t>
      </w:r>
      <w:r w:rsidR="0013449F">
        <w:rPr>
          <w:rFonts w:ascii="Times New Roman" w:hAnsi="Times New Roman" w:cs="Times New Roman"/>
        </w:rPr>
        <w:t>.</w:t>
      </w:r>
    </w:p>
  </w:footnote>
  <w:footnote w:id="2">
    <w:p w:rsidR="00AD38A9" w:rsidRPr="003556B1" w:rsidRDefault="00AD38A9" w:rsidP="003556B1">
      <w:pPr>
        <w:pStyle w:val="Tekstprzypisudolnego"/>
        <w:ind w:left="284" w:hanging="284"/>
        <w:jc w:val="both"/>
        <w:rPr>
          <w:rFonts w:ascii="Times New Roman" w:hAnsi="Times New Roman" w:cs="Times New Roman"/>
        </w:rPr>
      </w:pPr>
      <w:r w:rsidRPr="003556B1">
        <w:rPr>
          <w:rStyle w:val="Odwoanieprzypisudolnego"/>
          <w:rFonts w:ascii="Times New Roman" w:hAnsi="Times New Roman" w:cs="Times New Roman"/>
        </w:rPr>
        <w:footnoteRef/>
      </w:r>
      <w:r w:rsidR="003556B1" w:rsidRPr="003556B1">
        <w:rPr>
          <w:rFonts w:ascii="Times New Roman" w:hAnsi="Times New Roman" w:cs="Times New Roman"/>
          <w:sz w:val="24"/>
          <w:szCs w:val="24"/>
          <w:vertAlign w:val="superscript"/>
        </w:rPr>
        <w:t>)</w:t>
      </w:r>
      <w:r w:rsidR="003556B1" w:rsidRPr="003556B1">
        <w:rPr>
          <w:rFonts w:ascii="Times New Roman" w:hAnsi="Times New Roman" w:cs="Times New Roman"/>
        </w:rPr>
        <w:tab/>
      </w:r>
      <w:r w:rsidRPr="003556B1">
        <w:rPr>
          <w:rFonts w:ascii="Times New Roman" w:hAnsi="Times New Roman" w:cs="Times New Roman"/>
        </w:rPr>
        <w:t>Dane Głównego Urzędu Statystycznego zawarte w publikacji „</w:t>
      </w:r>
      <w:r w:rsidR="003556B1">
        <w:rPr>
          <w:rFonts w:ascii="Times New Roman" w:hAnsi="Times New Roman" w:cs="Times New Roman"/>
        </w:rPr>
        <w:t>Skup i ceny produktów rolnych w </w:t>
      </w:r>
      <w:r w:rsidRPr="003556B1">
        <w:rPr>
          <w:rFonts w:ascii="Times New Roman" w:hAnsi="Times New Roman" w:cs="Times New Roman"/>
        </w:rPr>
        <w:t>2013” (Tablica 12).</w:t>
      </w:r>
    </w:p>
  </w:footnote>
  <w:footnote w:id="3">
    <w:p w:rsidR="00AD38A9" w:rsidRPr="003556B1" w:rsidRDefault="00AD38A9" w:rsidP="003556B1">
      <w:pPr>
        <w:pStyle w:val="Tekstprzypisudolnego"/>
        <w:ind w:left="284" w:hanging="284"/>
        <w:jc w:val="both"/>
        <w:rPr>
          <w:rFonts w:ascii="Times New Roman" w:hAnsi="Times New Roman" w:cs="Times New Roman"/>
        </w:rPr>
      </w:pPr>
      <w:r w:rsidRPr="003556B1">
        <w:rPr>
          <w:rStyle w:val="Odwoanieprzypisudolnego"/>
          <w:rFonts w:ascii="Times New Roman" w:hAnsi="Times New Roman" w:cs="Times New Roman"/>
        </w:rPr>
        <w:footnoteRef/>
      </w:r>
      <w:r w:rsidR="003556B1" w:rsidRPr="003556B1">
        <w:rPr>
          <w:rFonts w:ascii="Times New Roman" w:hAnsi="Times New Roman" w:cs="Times New Roman"/>
          <w:sz w:val="24"/>
          <w:szCs w:val="24"/>
          <w:vertAlign w:val="superscript"/>
        </w:rPr>
        <w:t>)</w:t>
      </w:r>
      <w:r w:rsidR="003556B1" w:rsidRPr="003556B1">
        <w:rPr>
          <w:rFonts w:ascii="Times New Roman" w:hAnsi="Times New Roman" w:cs="Times New Roman"/>
        </w:rPr>
        <w:tab/>
      </w:r>
      <w:r w:rsidRPr="003556B1">
        <w:rPr>
          <w:rFonts w:ascii="Times New Roman" w:hAnsi="Times New Roman" w:cs="Times New Roman"/>
        </w:rPr>
        <w:t>Dane Głównego Urzędu Statystycznego zawarte w publikacji „</w:t>
      </w:r>
      <w:r w:rsidR="003556B1">
        <w:rPr>
          <w:rFonts w:ascii="Times New Roman" w:hAnsi="Times New Roman" w:cs="Times New Roman"/>
        </w:rPr>
        <w:t>Skup i ceny produktów rolnych w </w:t>
      </w:r>
      <w:r w:rsidRPr="003556B1">
        <w:rPr>
          <w:rFonts w:ascii="Times New Roman" w:hAnsi="Times New Roman" w:cs="Times New Roman"/>
        </w:rPr>
        <w:t>2015” (Tablica 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56E3D"/>
    <w:multiLevelType w:val="hybridMultilevel"/>
    <w:tmpl w:val="F514AF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4F61F22"/>
    <w:multiLevelType w:val="multilevel"/>
    <w:tmpl w:val="2076A8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6)"/>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6">
      <w:numFmt w:val="decimal"/>
      <w:lvlText w:val=""/>
      <w:lvlJc w:val="left"/>
    </w:lvl>
    <w:lvl w:ilvl="7">
      <w:numFmt w:val="decimal"/>
      <w:lvlText w:val=""/>
      <w:lvlJc w:val="left"/>
    </w:lvl>
    <w:lvl w:ilvl="8">
      <w:numFmt w:val="decimal"/>
      <w:lvlText w:val=""/>
      <w:lvlJc w:val="left"/>
    </w:lvl>
  </w:abstractNum>
  <w:abstractNum w:abstractNumId="2">
    <w:nsid w:val="2E0D6D38"/>
    <w:multiLevelType w:val="multilevel"/>
    <w:tmpl w:val="14045578"/>
    <w:lvl w:ilvl="0">
      <w:start w:val="1"/>
      <w:numFmt w:val="decimal"/>
      <w:lvlText w:val="%1."/>
      <w:lvlJc w:val="left"/>
      <w:pPr>
        <w:ind w:left="360" w:hanging="360"/>
      </w:p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3B166D10"/>
    <w:multiLevelType w:val="multilevel"/>
    <w:tmpl w:val="E99E052A"/>
    <w:lvl w:ilvl="0">
      <w:start w:val="3"/>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45161635"/>
    <w:multiLevelType w:val="multilevel"/>
    <w:tmpl w:val="4E00B86A"/>
    <w:lvl w:ilvl="0">
      <w:start w:val="1"/>
      <w:numFmt w:val="decimal"/>
      <w:lvlText w:val="%1.2"/>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46CC4708"/>
    <w:multiLevelType w:val="hybridMultilevel"/>
    <w:tmpl w:val="54CA301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nsid w:val="4D3415E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17D6F65"/>
    <w:multiLevelType w:val="hybridMultilevel"/>
    <w:tmpl w:val="4E266814"/>
    <w:lvl w:ilvl="0" w:tplc="DB2CC2F8">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
    <w:nsid w:val="55223954"/>
    <w:multiLevelType w:val="hybridMultilevel"/>
    <w:tmpl w:val="349A50B0"/>
    <w:lvl w:ilvl="0" w:tplc="0415000F">
      <w:start w:val="1"/>
      <w:numFmt w:val="decimal"/>
      <w:lvlText w:val="%1."/>
      <w:lvlJc w:val="left"/>
      <w:pPr>
        <w:ind w:left="2062" w:hanging="360"/>
      </w:pPr>
    </w:lvl>
    <w:lvl w:ilvl="1" w:tplc="04150019" w:tentative="1">
      <w:start w:val="1"/>
      <w:numFmt w:val="lowerLetter"/>
      <w:lvlText w:val="%2."/>
      <w:lvlJc w:val="left"/>
      <w:pPr>
        <w:ind w:left="2782" w:hanging="360"/>
      </w:pPr>
    </w:lvl>
    <w:lvl w:ilvl="2" w:tplc="0415001B" w:tentative="1">
      <w:start w:val="1"/>
      <w:numFmt w:val="lowerRoman"/>
      <w:lvlText w:val="%3."/>
      <w:lvlJc w:val="right"/>
      <w:pPr>
        <w:ind w:left="3502" w:hanging="180"/>
      </w:pPr>
    </w:lvl>
    <w:lvl w:ilvl="3" w:tplc="0415000F" w:tentative="1">
      <w:start w:val="1"/>
      <w:numFmt w:val="decimal"/>
      <w:lvlText w:val="%4."/>
      <w:lvlJc w:val="left"/>
      <w:pPr>
        <w:ind w:left="4222" w:hanging="360"/>
      </w:pPr>
    </w:lvl>
    <w:lvl w:ilvl="4" w:tplc="04150019" w:tentative="1">
      <w:start w:val="1"/>
      <w:numFmt w:val="lowerLetter"/>
      <w:lvlText w:val="%5."/>
      <w:lvlJc w:val="left"/>
      <w:pPr>
        <w:ind w:left="4942" w:hanging="360"/>
      </w:pPr>
    </w:lvl>
    <w:lvl w:ilvl="5" w:tplc="0415001B" w:tentative="1">
      <w:start w:val="1"/>
      <w:numFmt w:val="lowerRoman"/>
      <w:lvlText w:val="%6."/>
      <w:lvlJc w:val="right"/>
      <w:pPr>
        <w:ind w:left="5662" w:hanging="180"/>
      </w:pPr>
    </w:lvl>
    <w:lvl w:ilvl="6" w:tplc="0415000F" w:tentative="1">
      <w:start w:val="1"/>
      <w:numFmt w:val="decimal"/>
      <w:lvlText w:val="%7."/>
      <w:lvlJc w:val="left"/>
      <w:pPr>
        <w:ind w:left="6382" w:hanging="360"/>
      </w:pPr>
    </w:lvl>
    <w:lvl w:ilvl="7" w:tplc="04150019" w:tentative="1">
      <w:start w:val="1"/>
      <w:numFmt w:val="lowerLetter"/>
      <w:lvlText w:val="%8."/>
      <w:lvlJc w:val="left"/>
      <w:pPr>
        <w:ind w:left="7102" w:hanging="360"/>
      </w:pPr>
    </w:lvl>
    <w:lvl w:ilvl="8" w:tplc="0415001B" w:tentative="1">
      <w:start w:val="1"/>
      <w:numFmt w:val="lowerRoman"/>
      <w:lvlText w:val="%9."/>
      <w:lvlJc w:val="right"/>
      <w:pPr>
        <w:ind w:left="7822" w:hanging="180"/>
      </w:pPr>
    </w:lvl>
  </w:abstractNum>
  <w:abstractNum w:abstractNumId="9">
    <w:nsid w:val="597A6E47"/>
    <w:multiLevelType w:val="multilevel"/>
    <w:tmpl w:val="22848662"/>
    <w:lvl w:ilvl="0">
      <w:start w:val="1"/>
      <w:numFmt w:val="none"/>
      <w:lvlText w:val="2.3"/>
      <w:lvlJc w:val="left"/>
      <w:pPr>
        <w:ind w:left="360" w:hanging="360"/>
      </w:pPr>
      <w:rPr>
        <w:rFonts w:hint="default"/>
      </w:rPr>
    </w:lvl>
    <w:lvl w:ilvl="1">
      <w:start w:val="1"/>
      <w:numFmt w:val="none"/>
      <w:lvlText w:val="2.3."/>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5C1139BD"/>
    <w:multiLevelType w:val="multilevel"/>
    <w:tmpl w:val="9AF2C492"/>
    <w:lvl w:ilvl="0">
      <w:start w:val="1"/>
      <w:numFmt w:val="none"/>
      <w:lvlText w:val="2.2"/>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5"/>
  </w:num>
  <w:num w:numId="5">
    <w:abstractNumId w:val="0"/>
  </w:num>
  <w:num w:numId="6">
    <w:abstractNumId w:val="7"/>
  </w:num>
  <w:num w:numId="7">
    <w:abstractNumId w:val="6"/>
  </w:num>
  <w:num w:numId="8">
    <w:abstractNumId w:val="4"/>
  </w:num>
  <w:num w:numId="9">
    <w:abstractNumId w:val="10"/>
  </w:num>
  <w:num w:numId="10">
    <w:abstractNumId w:val="9"/>
  </w:num>
  <w:num w:numId="11">
    <w:abstractNumId w:val="3"/>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221"/>
    <w:rsid w:val="00005A70"/>
    <w:rsid w:val="000123E0"/>
    <w:rsid w:val="00015FF2"/>
    <w:rsid w:val="00031503"/>
    <w:rsid w:val="000345EC"/>
    <w:rsid w:val="00042372"/>
    <w:rsid w:val="00065079"/>
    <w:rsid w:val="000668BE"/>
    <w:rsid w:val="000700A8"/>
    <w:rsid w:val="0007327E"/>
    <w:rsid w:val="00085D4E"/>
    <w:rsid w:val="000A3A7D"/>
    <w:rsid w:val="000B281D"/>
    <w:rsid w:val="000B3E05"/>
    <w:rsid w:val="000B422E"/>
    <w:rsid w:val="000C739B"/>
    <w:rsid w:val="000D0612"/>
    <w:rsid w:val="000D46E0"/>
    <w:rsid w:val="00111962"/>
    <w:rsid w:val="00112DCF"/>
    <w:rsid w:val="0011357F"/>
    <w:rsid w:val="00114974"/>
    <w:rsid w:val="00116BC9"/>
    <w:rsid w:val="00123C5F"/>
    <w:rsid w:val="00133379"/>
    <w:rsid w:val="0013449F"/>
    <w:rsid w:val="0014506F"/>
    <w:rsid w:val="00152298"/>
    <w:rsid w:val="00155AF3"/>
    <w:rsid w:val="00161DA4"/>
    <w:rsid w:val="00163AB0"/>
    <w:rsid w:val="00175087"/>
    <w:rsid w:val="00176869"/>
    <w:rsid w:val="001806EF"/>
    <w:rsid w:val="001921D5"/>
    <w:rsid w:val="001931FD"/>
    <w:rsid w:val="001933AB"/>
    <w:rsid w:val="00193D3C"/>
    <w:rsid w:val="00194DC6"/>
    <w:rsid w:val="001A2015"/>
    <w:rsid w:val="001A6C35"/>
    <w:rsid w:val="001A797D"/>
    <w:rsid w:val="001D63C2"/>
    <w:rsid w:val="00204309"/>
    <w:rsid w:val="00214FD5"/>
    <w:rsid w:val="002201C1"/>
    <w:rsid w:val="002528A7"/>
    <w:rsid w:val="0026071E"/>
    <w:rsid w:val="00264019"/>
    <w:rsid w:val="00264DF2"/>
    <w:rsid w:val="00274C86"/>
    <w:rsid w:val="002774EF"/>
    <w:rsid w:val="002865DE"/>
    <w:rsid w:val="00290D0E"/>
    <w:rsid w:val="00293D13"/>
    <w:rsid w:val="00295A38"/>
    <w:rsid w:val="002A08C6"/>
    <w:rsid w:val="002A3F0F"/>
    <w:rsid w:val="002A5ADB"/>
    <w:rsid w:val="002C4951"/>
    <w:rsid w:val="002C74C6"/>
    <w:rsid w:val="002D6431"/>
    <w:rsid w:val="002E47B3"/>
    <w:rsid w:val="002E5FFC"/>
    <w:rsid w:val="002F2A0E"/>
    <w:rsid w:val="002F40AA"/>
    <w:rsid w:val="002F49E4"/>
    <w:rsid w:val="00302BA7"/>
    <w:rsid w:val="00311E23"/>
    <w:rsid w:val="00324F43"/>
    <w:rsid w:val="003255E1"/>
    <w:rsid w:val="00341F47"/>
    <w:rsid w:val="003430B0"/>
    <w:rsid w:val="003556B1"/>
    <w:rsid w:val="00395B03"/>
    <w:rsid w:val="003C2FB8"/>
    <w:rsid w:val="003C7BC7"/>
    <w:rsid w:val="003D2851"/>
    <w:rsid w:val="003E2A01"/>
    <w:rsid w:val="003E6FA1"/>
    <w:rsid w:val="004127CE"/>
    <w:rsid w:val="00421738"/>
    <w:rsid w:val="004415A0"/>
    <w:rsid w:val="0044485E"/>
    <w:rsid w:val="004543D5"/>
    <w:rsid w:val="004546AE"/>
    <w:rsid w:val="00460D48"/>
    <w:rsid w:val="00473B40"/>
    <w:rsid w:val="004764CD"/>
    <w:rsid w:val="00487547"/>
    <w:rsid w:val="004B1575"/>
    <w:rsid w:val="004B73E0"/>
    <w:rsid w:val="004D0879"/>
    <w:rsid w:val="004D26FD"/>
    <w:rsid w:val="004D3454"/>
    <w:rsid w:val="004D7478"/>
    <w:rsid w:val="004E4F94"/>
    <w:rsid w:val="005033B7"/>
    <w:rsid w:val="00504549"/>
    <w:rsid w:val="005059CC"/>
    <w:rsid w:val="00507095"/>
    <w:rsid w:val="0054532A"/>
    <w:rsid w:val="0055445E"/>
    <w:rsid w:val="00561337"/>
    <w:rsid w:val="005662A4"/>
    <w:rsid w:val="00583071"/>
    <w:rsid w:val="005B4902"/>
    <w:rsid w:val="005C0608"/>
    <w:rsid w:val="005C612B"/>
    <w:rsid w:val="005D5CF4"/>
    <w:rsid w:val="005E76EB"/>
    <w:rsid w:val="005F0A86"/>
    <w:rsid w:val="00602329"/>
    <w:rsid w:val="00612D26"/>
    <w:rsid w:val="00630A90"/>
    <w:rsid w:val="00633FE8"/>
    <w:rsid w:val="006425F6"/>
    <w:rsid w:val="00644342"/>
    <w:rsid w:val="00645323"/>
    <w:rsid w:val="00665615"/>
    <w:rsid w:val="0066591D"/>
    <w:rsid w:val="006670E0"/>
    <w:rsid w:val="006674E0"/>
    <w:rsid w:val="006754E9"/>
    <w:rsid w:val="00684901"/>
    <w:rsid w:val="006A3D02"/>
    <w:rsid w:val="006A4903"/>
    <w:rsid w:val="006A54C4"/>
    <w:rsid w:val="006B5FD4"/>
    <w:rsid w:val="006B6FBA"/>
    <w:rsid w:val="006B7140"/>
    <w:rsid w:val="006C1972"/>
    <w:rsid w:val="006D6029"/>
    <w:rsid w:val="006E6964"/>
    <w:rsid w:val="006E73EE"/>
    <w:rsid w:val="00703A7F"/>
    <w:rsid w:val="00713911"/>
    <w:rsid w:val="00715B70"/>
    <w:rsid w:val="00732D4C"/>
    <w:rsid w:val="00735A2C"/>
    <w:rsid w:val="00736750"/>
    <w:rsid w:val="007422C8"/>
    <w:rsid w:val="00747F7C"/>
    <w:rsid w:val="00752E3C"/>
    <w:rsid w:val="00762913"/>
    <w:rsid w:val="0076479A"/>
    <w:rsid w:val="00765850"/>
    <w:rsid w:val="00773E11"/>
    <w:rsid w:val="007965A3"/>
    <w:rsid w:val="00797D1E"/>
    <w:rsid w:val="007A2E17"/>
    <w:rsid w:val="007A5492"/>
    <w:rsid w:val="007B438B"/>
    <w:rsid w:val="007B475E"/>
    <w:rsid w:val="007C208C"/>
    <w:rsid w:val="007C4837"/>
    <w:rsid w:val="007C6DCB"/>
    <w:rsid w:val="007D0347"/>
    <w:rsid w:val="007D4F37"/>
    <w:rsid w:val="007D582E"/>
    <w:rsid w:val="007D64DD"/>
    <w:rsid w:val="007E267D"/>
    <w:rsid w:val="007F6840"/>
    <w:rsid w:val="007F6DDE"/>
    <w:rsid w:val="00800B6F"/>
    <w:rsid w:val="00804404"/>
    <w:rsid w:val="00807D34"/>
    <w:rsid w:val="0082202D"/>
    <w:rsid w:val="00822EB9"/>
    <w:rsid w:val="008250F6"/>
    <w:rsid w:val="00833EB1"/>
    <w:rsid w:val="00833EC5"/>
    <w:rsid w:val="008365BF"/>
    <w:rsid w:val="008370F1"/>
    <w:rsid w:val="00855D56"/>
    <w:rsid w:val="008615F5"/>
    <w:rsid w:val="00863342"/>
    <w:rsid w:val="00864499"/>
    <w:rsid w:val="00882340"/>
    <w:rsid w:val="00894BF9"/>
    <w:rsid w:val="008A07BB"/>
    <w:rsid w:val="008A3576"/>
    <w:rsid w:val="008B1EE8"/>
    <w:rsid w:val="008B2810"/>
    <w:rsid w:val="008C1D9E"/>
    <w:rsid w:val="008C3DE3"/>
    <w:rsid w:val="008E0092"/>
    <w:rsid w:val="008F3DC6"/>
    <w:rsid w:val="009012CD"/>
    <w:rsid w:val="0090489D"/>
    <w:rsid w:val="009163A7"/>
    <w:rsid w:val="00932034"/>
    <w:rsid w:val="00933EB6"/>
    <w:rsid w:val="00941B37"/>
    <w:rsid w:val="0095120D"/>
    <w:rsid w:val="00951739"/>
    <w:rsid w:val="00981E37"/>
    <w:rsid w:val="00984AC8"/>
    <w:rsid w:val="0099026A"/>
    <w:rsid w:val="009905A3"/>
    <w:rsid w:val="0099641E"/>
    <w:rsid w:val="009B01FF"/>
    <w:rsid w:val="009B63F4"/>
    <w:rsid w:val="009B72E7"/>
    <w:rsid w:val="009B7B5F"/>
    <w:rsid w:val="009C4194"/>
    <w:rsid w:val="009C50C3"/>
    <w:rsid w:val="009C5C85"/>
    <w:rsid w:val="009C729F"/>
    <w:rsid w:val="009C771A"/>
    <w:rsid w:val="009D61B6"/>
    <w:rsid w:val="009E589A"/>
    <w:rsid w:val="00A17A63"/>
    <w:rsid w:val="00A2063A"/>
    <w:rsid w:val="00A26D9D"/>
    <w:rsid w:val="00A31FE0"/>
    <w:rsid w:val="00A33DB9"/>
    <w:rsid w:val="00A36C84"/>
    <w:rsid w:val="00A45C1B"/>
    <w:rsid w:val="00A4763E"/>
    <w:rsid w:val="00A51356"/>
    <w:rsid w:val="00A51640"/>
    <w:rsid w:val="00A5654C"/>
    <w:rsid w:val="00A70C51"/>
    <w:rsid w:val="00A713C7"/>
    <w:rsid w:val="00A825F5"/>
    <w:rsid w:val="00A879CE"/>
    <w:rsid w:val="00AA520E"/>
    <w:rsid w:val="00AA6483"/>
    <w:rsid w:val="00AA7221"/>
    <w:rsid w:val="00AB69EB"/>
    <w:rsid w:val="00AC04D0"/>
    <w:rsid w:val="00AC4EB9"/>
    <w:rsid w:val="00AC6DDA"/>
    <w:rsid w:val="00AD38A9"/>
    <w:rsid w:val="00AE0BFA"/>
    <w:rsid w:val="00AE3864"/>
    <w:rsid w:val="00AE4ACB"/>
    <w:rsid w:val="00AF74A4"/>
    <w:rsid w:val="00B01B3E"/>
    <w:rsid w:val="00B06ACB"/>
    <w:rsid w:val="00B11DD3"/>
    <w:rsid w:val="00B5093B"/>
    <w:rsid w:val="00B56C53"/>
    <w:rsid w:val="00B72267"/>
    <w:rsid w:val="00B73EAC"/>
    <w:rsid w:val="00B76619"/>
    <w:rsid w:val="00B87E9F"/>
    <w:rsid w:val="00B912AF"/>
    <w:rsid w:val="00B928A8"/>
    <w:rsid w:val="00B94461"/>
    <w:rsid w:val="00BB028C"/>
    <w:rsid w:val="00BC225C"/>
    <w:rsid w:val="00BD6228"/>
    <w:rsid w:val="00BE6919"/>
    <w:rsid w:val="00BF5086"/>
    <w:rsid w:val="00C0434E"/>
    <w:rsid w:val="00C44E78"/>
    <w:rsid w:val="00C4763D"/>
    <w:rsid w:val="00C52BF6"/>
    <w:rsid w:val="00C576D1"/>
    <w:rsid w:val="00C7059A"/>
    <w:rsid w:val="00C73F58"/>
    <w:rsid w:val="00C74876"/>
    <w:rsid w:val="00C806F1"/>
    <w:rsid w:val="00C8332F"/>
    <w:rsid w:val="00C9307C"/>
    <w:rsid w:val="00C94D35"/>
    <w:rsid w:val="00C954A0"/>
    <w:rsid w:val="00C97A2C"/>
    <w:rsid w:val="00C97E35"/>
    <w:rsid w:val="00CA6C3C"/>
    <w:rsid w:val="00CB21B3"/>
    <w:rsid w:val="00CB7125"/>
    <w:rsid w:val="00CC5B7D"/>
    <w:rsid w:val="00CD31E8"/>
    <w:rsid w:val="00CD48E3"/>
    <w:rsid w:val="00CD76D8"/>
    <w:rsid w:val="00CE0A26"/>
    <w:rsid w:val="00CE399C"/>
    <w:rsid w:val="00CF54C0"/>
    <w:rsid w:val="00D2123A"/>
    <w:rsid w:val="00D23F12"/>
    <w:rsid w:val="00D3207A"/>
    <w:rsid w:val="00D53073"/>
    <w:rsid w:val="00D57580"/>
    <w:rsid w:val="00D64F02"/>
    <w:rsid w:val="00D814BD"/>
    <w:rsid w:val="00D947F7"/>
    <w:rsid w:val="00DA1E7C"/>
    <w:rsid w:val="00DA5A86"/>
    <w:rsid w:val="00DB0B43"/>
    <w:rsid w:val="00DB52A5"/>
    <w:rsid w:val="00DC3D04"/>
    <w:rsid w:val="00DD7895"/>
    <w:rsid w:val="00DE0C45"/>
    <w:rsid w:val="00DE150D"/>
    <w:rsid w:val="00DE7FCB"/>
    <w:rsid w:val="00DF17C0"/>
    <w:rsid w:val="00DF19A5"/>
    <w:rsid w:val="00DF52B7"/>
    <w:rsid w:val="00DF6C9D"/>
    <w:rsid w:val="00E16ECA"/>
    <w:rsid w:val="00E20009"/>
    <w:rsid w:val="00E261A7"/>
    <w:rsid w:val="00E37638"/>
    <w:rsid w:val="00E5063F"/>
    <w:rsid w:val="00E528FE"/>
    <w:rsid w:val="00E55D08"/>
    <w:rsid w:val="00E639F5"/>
    <w:rsid w:val="00E76958"/>
    <w:rsid w:val="00EA152A"/>
    <w:rsid w:val="00EA1A62"/>
    <w:rsid w:val="00EB397F"/>
    <w:rsid w:val="00EB60BD"/>
    <w:rsid w:val="00ED48F5"/>
    <w:rsid w:val="00ED76EC"/>
    <w:rsid w:val="00EE5884"/>
    <w:rsid w:val="00EF3119"/>
    <w:rsid w:val="00F063D4"/>
    <w:rsid w:val="00F15C80"/>
    <w:rsid w:val="00F23D80"/>
    <w:rsid w:val="00F246BC"/>
    <w:rsid w:val="00F31372"/>
    <w:rsid w:val="00F31DA4"/>
    <w:rsid w:val="00F31DB0"/>
    <w:rsid w:val="00F332CD"/>
    <w:rsid w:val="00F528C4"/>
    <w:rsid w:val="00F61B4A"/>
    <w:rsid w:val="00F63D91"/>
    <w:rsid w:val="00F663BD"/>
    <w:rsid w:val="00F664A5"/>
    <w:rsid w:val="00F66D59"/>
    <w:rsid w:val="00F75FE6"/>
    <w:rsid w:val="00F76CD5"/>
    <w:rsid w:val="00F85225"/>
    <w:rsid w:val="00F85760"/>
    <w:rsid w:val="00F96768"/>
    <w:rsid w:val="00FC0B06"/>
    <w:rsid w:val="00FD21D9"/>
    <w:rsid w:val="00FE3675"/>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50F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eformatted">
    <w:name w:val="Preformatted"/>
    <w:basedOn w:val="Normalny"/>
    <w:rsid w:val="008250F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Tekstpodstawowy">
    <w:name w:val="Body Text"/>
    <w:basedOn w:val="Normalny"/>
    <w:link w:val="TekstpodstawowyZnak"/>
    <w:rsid w:val="008250F6"/>
    <w:pPr>
      <w:spacing w:line="360" w:lineRule="auto"/>
      <w:jc w:val="both"/>
    </w:pPr>
    <w:rPr>
      <w:szCs w:val="20"/>
    </w:rPr>
  </w:style>
  <w:style w:type="character" w:customStyle="1" w:styleId="TekstpodstawowyZnak">
    <w:name w:val="Tekst podstawowy Znak"/>
    <w:basedOn w:val="Domylnaczcionkaakapitu"/>
    <w:link w:val="Tekstpodstawowy"/>
    <w:rsid w:val="008250F6"/>
    <w:rPr>
      <w:rFonts w:ascii="Times New Roman" w:eastAsia="Times New Roman" w:hAnsi="Times New Roman" w:cs="Times New Roman"/>
      <w:sz w:val="24"/>
      <w:szCs w:val="20"/>
      <w:lang w:eastAsia="pl-PL"/>
    </w:rPr>
  </w:style>
  <w:style w:type="paragraph" w:customStyle="1" w:styleId="PKTpunkt">
    <w:name w:val="PKT – punkt"/>
    <w:uiPriority w:val="13"/>
    <w:qFormat/>
    <w:rsid w:val="008250F6"/>
    <w:pPr>
      <w:spacing w:after="0" w:line="360" w:lineRule="auto"/>
      <w:ind w:left="510" w:hanging="510"/>
      <w:jc w:val="both"/>
    </w:pPr>
    <w:rPr>
      <w:rFonts w:ascii="Times" w:eastAsia="Times New Roman" w:hAnsi="Times" w:cs="Arial"/>
      <w:bCs/>
      <w:sz w:val="24"/>
      <w:szCs w:val="20"/>
      <w:lang w:eastAsia="pl-PL"/>
    </w:rPr>
  </w:style>
  <w:style w:type="paragraph" w:styleId="Nagwek">
    <w:name w:val="header"/>
    <w:basedOn w:val="Normalny"/>
    <w:link w:val="NagwekZnak"/>
    <w:uiPriority w:val="99"/>
    <w:unhideWhenUsed/>
    <w:rsid w:val="00AA520E"/>
    <w:pPr>
      <w:tabs>
        <w:tab w:val="center" w:pos="4536"/>
        <w:tab w:val="right" w:pos="9072"/>
      </w:tabs>
    </w:pPr>
  </w:style>
  <w:style w:type="character" w:customStyle="1" w:styleId="NagwekZnak">
    <w:name w:val="Nagłówek Znak"/>
    <w:basedOn w:val="Domylnaczcionkaakapitu"/>
    <w:link w:val="Nagwek"/>
    <w:uiPriority w:val="99"/>
    <w:rsid w:val="00AA520E"/>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AA520E"/>
    <w:pPr>
      <w:tabs>
        <w:tab w:val="center" w:pos="4536"/>
        <w:tab w:val="right" w:pos="9072"/>
      </w:tabs>
    </w:pPr>
  </w:style>
  <w:style w:type="character" w:customStyle="1" w:styleId="StopkaZnak">
    <w:name w:val="Stopka Znak"/>
    <w:basedOn w:val="Domylnaczcionkaakapitu"/>
    <w:link w:val="Stopka"/>
    <w:uiPriority w:val="99"/>
    <w:rsid w:val="00AA520E"/>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CB7125"/>
    <w:pPr>
      <w:ind w:left="720"/>
      <w:contextualSpacing/>
    </w:pPr>
  </w:style>
  <w:style w:type="paragraph" w:customStyle="1" w:styleId="Default">
    <w:name w:val="Default"/>
    <w:rsid w:val="008370F1"/>
    <w:pPr>
      <w:autoSpaceDE w:val="0"/>
      <w:autoSpaceDN w:val="0"/>
      <w:adjustRightInd w:val="0"/>
      <w:spacing w:after="0" w:line="240" w:lineRule="auto"/>
    </w:pPr>
    <w:rPr>
      <w:rFonts w:ascii="EUAlbertina" w:hAnsi="EUAlbertina" w:cs="EUAlbertina"/>
      <w:color w:val="000000"/>
      <w:sz w:val="24"/>
      <w:szCs w:val="24"/>
    </w:rPr>
  </w:style>
  <w:style w:type="character" w:styleId="Odwoaniedokomentarza">
    <w:name w:val="annotation reference"/>
    <w:basedOn w:val="Domylnaczcionkaakapitu"/>
    <w:uiPriority w:val="99"/>
    <w:semiHidden/>
    <w:unhideWhenUsed/>
    <w:rsid w:val="00C97E35"/>
    <w:rPr>
      <w:sz w:val="16"/>
      <w:szCs w:val="16"/>
    </w:rPr>
  </w:style>
  <w:style w:type="paragraph" w:styleId="Tekstkomentarza">
    <w:name w:val="annotation text"/>
    <w:basedOn w:val="Normalny"/>
    <w:link w:val="TekstkomentarzaZnak"/>
    <w:uiPriority w:val="99"/>
    <w:semiHidden/>
    <w:unhideWhenUsed/>
    <w:rsid w:val="00C97E35"/>
    <w:rPr>
      <w:sz w:val="20"/>
      <w:szCs w:val="20"/>
    </w:rPr>
  </w:style>
  <w:style w:type="character" w:customStyle="1" w:styleId="TekstkomentarzaZnak">
    <w:name w:val="Tekst komentarza Znak"/>
    <w:basedOn w:val="Domylnaczcionkaakapitu"/>
    <w:link w:val="Tekstkomentarza"/>
    <w:uiPriority w:val="99"/>
    <w:semiHidden/>
    <w:rsid w:val="00C97E35"/>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C97E35"/>
    <w:rPr>
      <w:rFonts w:ascii="Tahoma" w:hAnsi="Tahoma" w:cs="Tahoma"/>
      <w:sz w:val="16"/>
      <w:szCs w:val="16"/>
    </w:rPr>
  </w:style>
  <w:style w:type="character" w:customStyle="1" w:styleId="TekstdymkaZnak">
    <w:name w:val="Tekst dymka Znak"/>
    <w:basedOn w:val="Domylnaczcionkaakapitu"/>
    <w:link w:val="Tekstdymka"/>
    <w:uiPriority w:val="99"/>
    <w:semiHidden/>
    <w:rsid w:val="00C97E35"/>
    <w:rPr>
      <w:rFonts w:ascii="Tahoma" w:eastAsia="Times New Roman"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5B4902"/>
    <w:rPr>
      <w:b/>
      <w:bCs/>
    </w:rPr>
  </w:style>
  <w:style w:type="character" w:customStyle="1" w:styleId="TematkomentarzaZnak">
    <w:name w:val="Temat komentarza Znak"/>
    <w:basedOn w:val="TekstkomentarzaZnak"/>
    <w:link w:val="Tematkomentarza"/>
    <w:uiPriority w:val="99"/>
    <w:semiHidden/>
    <w:rsid w:val="005B4902"/>
    <w:rPr>
      <w:rFonts w:ascii="Times New Roman" w:eastAsia="Times New Roman" w:hAnsi="Times New Roman" w:cs="Times New Roman"/>
      <w:b/>
      <w:bCs/>
      <w:sz w:val="20"/>
      <w:szCs w:val="20"/>
      <w:lang w:eastAsia="pl-PL"/>
    </w:rPr>
  </w:style>
  <w:style w:type="paragraph" w:styleId="Tekstprzypisudolnego">
    <w:name w:val="footnote text"/>
    <w:basedOn w:val="Normalny"/>
    <w:link w:val="TekstprzypisudolnegoZnak"/>
    <w:uiPriority w:val="99"/>
    <w:semiHidden/>
    <w:unhideWhenUsed/>
    <w:rsid w:val="007D0347"/>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7D0347"/>
    <w:rPr>
      <w:sz w:val="20"/>
      <w:szCs w:val="20"/>
    </w:rPr>
  </w:style>
  <w:style w:type="character" w:styleId="Odwoanieprzypisudolnego">
    <w:name w:val="footnote reference"/>
    <w:basedOn w:val="Domylnaczcionkaakapitu"/>
    <w:uiPriority w:val="99"/>
    <w:semiHidden/>
    <w:unhideWhenUsed/>
    <w:rsid w:val="007D0347"/>
    <w:rPr>
      <w:vertAlign w:val="superscript"/>
    </w:rPr>
  </w:style>
  <w:style w:type="character" w:customStyle="1" w:styleId="txt-new">
    <w:name w:val="txt-new"/>
    <w:basedOn w:val="Domylnaczcionkaakapitu"/>
    <w:rsid w:val="003E2A01"/>
  </w:style>
  <w:style w:type="character" w:customStyle="1" w:styleId="luchili">
    <w:name w:val="luc_hili"/>
    <w:basedOn w:val="Domylnaczcionkaakapitu"/>
    <w:rsid w:val="003E2A01"/>
  </w:style>
  <w:style w:type="character" w:customStyle="1" w:styleId="tabulatory">
    <w:name w:val="tabulatory"/>
    <w:basedOn w:val="Domylnaczcionkaakapitu"/>
    <w:rsid w:val="003E2A01"/>
  </w:style>
  <w:style w:type="paragraph" w:styleId="Tekstprzypisukocowego">
    <w:name w:val="endnote text"/>
    <w:basedOn w:val="Normalny"/>
    <w:link w:val="TekstprzypisukocowegoZnak"/>
    <w:uiPriority w:val="99"/>
    <w:semiHidden/>
    <w:unhideWhenUsed/>
    <w:rsid w:val="00684901"/>
    <w:rPr>
      <w:sz w:val="20"/>
      <w:szCs w:val="20"/>
    </w:rPr>
  </w:style>
  <w:style w:type="character" w:customStyle="1" w:styleId="TekstprzypisukocowegoZnak">
    <w:name w:val="Tekst przypisu końcowego Znak"/>
    <w:basedOn w:val="Domylnaczcionkaakapitu"/>
    <w:link w:val="Tekstprzypisukocowego"/>
    <w:uiPriority w:val="99"/>
    <w:semiHidden/>
    <w:rsid w:val="00684901"/>
    <w:rPr>
      <w:rFonts w:ascii="Times New Roman" w:eastAsia="Times New Roman" w:hAnsi="Times New Roman" w:cs="Times New Roman"/>
      <w:sz w:val="20"/>
      <w:szCs w:val="20"/>
      <w:lang w:eastAsia="pl-PL"/>
    </w:rPr>
  </w:style>
  <w:style w:type="paragraph" w:customStyle="1" w:styleId="ARTartustawynprozporzdzenia">
    <w:name w:val="ART(§) – art. ustawy (§ np. rozporządzenia)"/>
    <w:uiPriority w:val="11"/>
    <w:qFormat/>
    <w:rsid w:val="00735A2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Bodytext">
    <w:name w:val="Body text_"/>
    <w:basedOn w:val="Domylnaczcionkaakapitu"/>
    <w:link w:val="Tekstpodstawowy2"/>
    <w:rsid w:val="00703A7F"/>
    <w:rPr>
      <w:rFonts w:ascii="Times New Roman" w:eastAsia="Times New Roman" w:hAnsi="Times New Roman" w:cs="Times New Roman"/>
      <w:shd w:val="clear" w:color="auto" w:fill="FFFFFF"/>
    </w:rPr>
  </w:style>
  <w:style w:type="paragraph" w:customStyle="1" w:styleId="Tekstpodstawowy2">
    <w:name w:val="Tekst podstawowy2"/>
    <w:basedOn w:val="Normalny"/>
    <w:link w:val="Bodytext"/>
    <w:rsid w:val="00703A7F"/>
    <w:pPr>
      <w:shd w:val="clear" w:color="auto" w:fill="FFFFFF"/>
      <w:spacing w:after="180" w:line="0" w:lineRule="atLeast"/>
      <w:ind w:hanging="520"/>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50F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eformatted">
    <w:name w:val="Preformatted"/>
    <w:basedOn w:val="Normalny"/>
    <w:rsid w:val="008250F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Tekstpodstawowy">
    <w:name w:val="Body Text"/>
    <w:basedOn w:val="Normalny"/>
    <w:link w:val="TekstpodstawowyZnak"/>
    <w:rsid w:val="008250F6"/>
    <w:pPr>
      <w:spacing w:line="360" w:lineRule="auto"/>
      <w:jc w:val="both"/>
    </w:pPr>
    <w:rPr>
      <w:szCs w:val="20"/>
    </w:rPr>
  </w:style>
  <w:style w:type="character" w:customStyle="1" w:styleId="TekstpodstawowyZnak">
    <w:name w:val="Tekst podstawowy Znak"/>
    <w:basedOn w:val="Domylnaczcionkaakapitu"/>
    <w:link w:val="Tekstpodstawowy"/>
    <w:rsid w:val="008250F6"/>
    <w:rPr>
      <w:rFonts w:ascii="Times New Roman" w:eastAsia="Times New Roman" w:hAnsi="Times New Roman" w:cs="Times New Roman"/>
      <w:sz w:val="24"/>
      <w:szCs w:val="20"/>
      <w:lang w:eastAsia="pl-PL"/>
    </w:rPr>
  </w:style>
  <w:style w:type="paragraph" w:customStyle="1" w:styleId="PKTpunkt">
    <w:name w:val="PKT – punkt"/>
    <w:uiPriority w:val="13"/>
    <w:qFormat/>
    <w:rsid w:val="008250F6"/>
    <w:pPr>
      <w:spacing w:after="0" w:line="360" w:lineRule="auto"/>
      <w:ind w:left="510" w:hanging="510"/>
      <w:jc w:val="both"/>
    </w:pPr>
    <w:rPr>
      <w:rFonts w:ascii="Times" w:eastAsia="Times New Roman" w:hAnsi="Times" w:cs="Arial"/>
      <w:bCs/>
      <w:sz w:val="24"/>
      <w:szCs w:val="20"/>
      <w:lang w:eastAsia="pl-PL"/>
    </w:rPr>
  </w:style>
  <w:style w:type="paragraph" w:styleId="Nagwek">
    <w:name w:val="header"/>
    <w:basedOn w:val="Normalny"/>
    <w:link w:val="NagwekZnak"/>
    <w:uiPriority w:val="99"/>
    <w:unhideWhenUsed/>
    <w:rsid w:val="00AA520E"/>
    <w:pPr>
      <w:tabs>
        <w:tab w:val="center" w:pos="4536"/>
        <w:tab w:val="right" w:pos="9072"/>
      </w:tabs>
    </w:pPr>
  </w:style>
  <w:style w:type="character" w:customStyle="1" w:styleId="NagwekZnak">
    <w:name w:val="Nagłówek Znak"/>
    <w:basedOn w:val="Domylnaczcionkaakapitu"/>
    <w:link w:val="Nagwek"/>
    <w:uiPriority w:val="99"/>
    <w:rsid w:val="00AA520E"/>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AA520E"/>
    <w:pPr>
      <w:tabs>
        <w:tab w:val="center" w:pos="4536"/>
        <w:tab w:val="right" w:pos="9072"/>
      </w:tabs>
    </w:pPr>
  </w:style>
  <w:style w:type="character" w:customStyle="1" w:styleId="StopkaZnak">
    <w:name w:val="Stopka Znak"/>
    <w:basedOn w:val="Domylnaczcionkaakapitu"/>
    <w:link w:val="Stopka"/>
    <w:uiPriority w:val="99"/>
    <w:rsid w:val="00AA520E"/>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CB7125"/>
    <w:pPr>
      <w:ind w:left="720"/>
      <w:contextualSpacing/>
    </w:pPr>
  </w:style>
  <w:style w:type="paragraph" w:customStyle="1" w:styleId="Default">
    <w:name w:val="Default"/>
    <w:rsid w:val="008370F1"/>
    <w:pPr>
      <w:autoSpaceDE w:val="0"/>
      <w:autoSpaceDN w:val="0"/>
      <w:adjustRightInd w:val="0"/>
      <w:spacing w:after="0" w:line="240" w:lineRule="auto"/>
    </w:pPr>
    <w:rPr>
      <w:rFonts w:ascii="EUAlbertina" w:hAnsi="EUAlbertina" w:cs="EUAlbertina"/>
      <w:color w:val="000000"/>
      <w:sz w:val="24"/>
      <w:szCs w:val="24"/>
    </w:rPr>
  </w:style>
  <w:style w:type="character" w:styleId="Odwoaniedokomentarza">
    <w:name w:val="annotation reference"/>
    <w:basedOn w:val="Domylnaczcionkaakapitu"/>
    <w:uiPriority w:val="99"/>
    <w:semiHidden/>
    <w:unhideWhenUsed/>
    <w:rsid w:val="00C97E35"/>
    <w:rPr>
      <w:sz w:val="16"/>
      <w:szCs w:val="16"/>
    </w:rPr>
  </w:style>
  <w:style w:type="paragraph" w:styleId="Tekstkomentarza">
    <w:name w:val="annotation text"/>
    <w:basedOn w:val="Normalny"/>
    <w:link w:val="TekstkomentarzaZnak"/>
    <w:uiPriority w:val="99"/>
    <w:semiHidden/>
    <w:unhideWhenUsed/>
    <w:rsid w:val="00C97E35"/>
    <w:rPr>
      <w:sz w:val="20"/>
      <w:szCs w:val="20"/>
    </w:rPr>
  </w:style>
  <w:style w:type="character" w:customStyle="1" w:styleId="TekstkomentarzaZnak">
    <w:name w:val="Tekst komentarza Znak"/>
    <w:basedOn w:val="Domylnaczcionkaakapitu"/>
    <w:link w:val="Tekstkomentarza"/>
    <w:uiPriority w:val="99"/>
    <w:semiHidden/>
    <w:rsid w:val="00C97E35"/>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C97E35"/>
    <w:rPr>
      <w:rFonts w:ascii="Tahoma" w:hAnsi="Tahoma" w:cs="Tahoma"/>
      <w:sz w:val="16"/>
      <w:szCs w:val="16"/>
    </w:rPr>
  </w:style>
  <w:style w:type="character" w:customStyle="1" w:styleId="TekstdymkaZnak">
    <w:name w:val="Tekst dymka Znak"/>
    <w:basedOn w:val="Domylnaczcionkaakapitu"/>
    <w:link w:val="Tekstdymka"/>
    <w:uiPriority w:val="99"/>
    <w:semiHidden/>
    <w:rsid w:val="00C97E35"/>
    <w:rPr>
      <w:rFonts w:ascii="Tahoma" w:eastAsia="Times New Roman"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5B4902"/>
    <w:rPr>
      <w:b/>
      <w:bCs/>
    </w:rPr>
  </w:style>
  <w:style w:type="character" w:customStyle="1" w:styleId="TematkomentarzaZnak">
    <w:name w:val="Temat komentarza Znak"/>
    <w:basedOn w:val="TekstkomentarzaZnak"/>
    <w:link w:val="Tematkomentarza"/>
    <w:uiPriority w:val="99"/>
    <w:semiHidden/>
    <w:rsid w:val="005B4902"/>
    <w:rPr>
      <w:rFonts w:ascii="Times New Roman" w:eastAsia="Times New Roman" w:hAnsi="Times New Roman" w:cs="Times New Roman"/>
      <w:b/>
      <w:bCs/>
      <w:sz w:val="20"/>
      <w:szCs w:val="20"/>
      <w:lang w:eastAsia="pl-PL"/>
    </w:rPr>
  </w:style>
  <w:style w:type="paragraph" w:styleId="Tekstprzypisudolnego">
    <w:name w:val="footnote text"/>
    <w:basedOn w:val="Normalny"/>
    <w:link w:val="TekstprzypisudolnegoZnak"/>
    <w:uiPriority w:val="99"/>
    <w:semiHidden/>
    <w:unhideWhenUsed/>
    <w:rsid w:val="007D0347"/>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7D0347"/>
    <w:rPr>
      <w:sz w:val="20"/>
      <w:szCs w:val="20"/>
    </w:rPr>
  </w:style>
  <w:style w:type="character" w:styleId="Odwoanieprzypisudolnego">
    <w:name w:val="footnote reference"/>
    <w:basedOn w:val="Domylnaczcionkaakapitu"/>
    <w:uiPriority w:val="99"/>
    <w:semiHidden/>
    <w:unhideWhenUsed/>
    <w:rsid w:val="007D0347"/>
    <w:rPr>
      <w:vertAlign w:val="superscript"/>
    </w:rPr>
  </w:style>
  <w:style w:type="character" w:customStyle="1" w:styleId="txt-new">
    <w:name w:val="txt-new"/>
    <w:basedOn w:val="Domylnaczcionkaakapitu"/>
    <w:rsid w:val="003E2A01"/>
  </w:style>
  <w:style w:type="character" w:customStyle="1" w:styleId="luchili">
    <w:name w:val="luc_hili"/>
    <w:basedOn w:val="Domylnaczcionkaakapitu"/>
    <w:rsid w:val="003E2A01"/>
  </w:style>
  <w:style w:type="character" w:customStyle="1" w:styleId="tabulatory">
    <w:name w:val="tabulatory"/>
    <w:basedOn w:val="Domylnaczcionkaakapitu"/>
    <w:rsid w:val="003E2A01"/>
  </w:style>
  <w:style w:type="paragraph" w:styleId="Tekstprzypisukocowego">
    <w:name w:val="endnote text"/>
    <w:basedOn w:val="Normalny"/>
    <w:link w:val="TekstprzypisukocowegoZnak"/>
    <w:uiPriority w:val="99"/>
    <w:semiHidden/>
    <w:unhideWhenUsed/>
    <w:rsid w:val="00684901"/>
    <w:rPr>
      <w:sz w:val="20"/>
      <w:szCs w:val="20"/>
    </w:rPr>
  </w:style>
  <w:style w:type="character" w:customStyle="1" w:styleId="TekstprzypisukocowegoZnak">
    <w:name w:val="Tekst przypisu końcowego Znak"/>
    <w:basedOn w:val="Domylnaczcionkaakapitu"/>
    <w:link w:val="Tekstprzypisukocowego"/>
    <w:uiPriority w:val="99"/>
    <w:semiHidden/>
    <w:rsid w:val="00684901"/>
    <w:rPr>
      <w:rFonts w:ascii="Times New Roman" w:eastAsia="Times New Roman" w:hAnsi="Times New Roman" w:cs="Times New Roman"/>
      <w:sz w:val="20"/>
      <w:szCs w:val="20"/>
      <w:lang w:eastAsia="pl-PL"/>
    </w:rPr>
  </w:style>
  <w:style w:type="paragraph" w:customStyle="1" w:styleId="ARTartustawynprozporzdzenia">
    <w:name w:val="ART(§) – art. ustawy (§ np. rozporządzenia)"/>
    <w:uiPriority w:val="11"/>
    <w:qFormat/>
    <w:rsid w:val="00735A2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Bodytext">
    <w:name w:val="Body text_"/>
    <w:basedOn w:val="Domylnaczcionkaakapitu"/>
    <w:link w:val="Tekstpodstawowy2"/>
    <w:rsid w:val="00703A7F"/>
    <w:rPr>
      <w:rFonts w:ascii="Times New Roman" w:eastAsia="Times New Roman" w:hAnsi="Times New Roman" w:cs="Times New Roman"/>
      <w:shd w:val="clear" w:color="auto" w:fill="FFFFFF"/>
    </w:rPr>
  </w:style>
  <w:style w:type="paragraph" w:customStyle="1" w:styleId="Tekstpodstawowy2">
    <w:name w:val="Tekst podstawowy2"/>
    <w:basedOn w:val="Normalny"/>
    <w:link w:val="Bodytext"/>
    <w:rsid w:val="00703A7F"/>
    <w:pPr>
      <w:shd w:val="clear" w:color="auto" w:fill="FFFFFF"/>
      <w:spacing w:after="180" w:line="0" w:lineRule="atLeast"/>
      <w:ind w:hanging="52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71921">
      <w:bodyDiv w:val="1"/>
      <w:marLeft w:val="0"/>
      <w:marRight w:val="0"/>
      <w:marTop w:val="0"/>
      <w:marBottom w:val="0"/>
      <w:divBdr>
        <w:top w:val="none" w:sz="0" w:space="0" w:color="auto"/>
        <w:left w:val="none" w:sz="0" w:space="0" w:color="auto"/>
        <w:bottom w:val="none" w:sz="0" w:space="0" w:color="auto"/>
        <w:right w:val="none" w:sz="0" w:space="0" w:color="auto"/>
      </w:divBdr>
      <w:divsChild>
        <w:div w:id="1040401540">
          <w:marLeft w:val="0"/>
          <w:marRight w:val="0"/>
          <w:marTop w:val="0"/>
          <w:marBottom w:val="0"/>
          <w:divBdr>
            <w:top w:val="none" w:sz="0" w:space="0" w:color="auto"/>
            <w:left w:val="none" w:sz="0" w:space="0" w:color="auto"/>
            <w:bottom w:val="none" w:sz="0" w:space="0" w:color="auto"/>
            <w:right w:val="none" w:sz="0" w:space="0" w:color="auto"/>
          </w:divBdr>
        </w:div>
      </w:divsChild>
    </w:div>
    <w:div w:id="621154213">
      <w:bodyDiv w:val="1"/>
      <w:marLeft w:val="0"/>
      <w:marRight w:val="0"/>
      <w:marTop w:val="0"/>
      <w:marBottom w:val="0"/>
      <w:divBdr>
        <w:top w:val="none" w:sz="0" w:space="0" w:color="auto"/>
        <w:left w:val="none" w:sz="0" w:space="0" w:color="auto"/>
        <w:bottom w:val="none" w:sz="0" w:space="0" w:color="auto"/>
        <w:right w:val="none" w:sz="0" w:space="0" w:color="auto"/>
      </w:divBdr>
    </w:div>
    <w:div w:id="847712794">
      <w:bodyDiv w:val="1"/>
      <w:marLeft w:val="0"/>
      <w:marRight w:val="0"/>
      <w:marTop w:val="0"/>
      <w:marBottom w:val="0"/>
      <w:divBdr>
        <w:top w:val="none" w:sz="0" w:space="0" w:color="auto"/>
        <w:left w:val="none" w:sz="0" w:space="0" w:color="auto"/>
        <w:bottom w:val="none" w:sz="0" w:space="0" w:color="auto"/>
        <w:right w:val="none" w:sz="0" w:space="0" w:color="auto"/>
      </w:divBdr>
      <w:divsChild>
        <w:div w:id="789977304">
          <w:marLeft w:val="0"/>
          <w:marRight w:val="0"/>
          <w:marTop w:val="0"/>
          <w:marBottom w:val="0"/>
          <w:divBdr>
            <w:top w:val="none" w:sz="0" w:space="0" w:color="auto"/>
            <w:left w:val="none" w:sz="0" w:space="0" w:color="auto"/>
            <w:bottom w:val="none" w:sz="0" w:space="0" w:color="auto"/>
            <w:right w:val="none" w:sz="0" w:space="0" w:color="auto"/>
          </w:divBdr>
          <w:divsChild>
            <w:div w:id="1916668596">
              <w:marLeft w:val="0"/>
              <w:marRight w:val="0"/>
              <w:marTop w:val="0"/>
              <w:marBottom w:val="0"/>
              <w:divBdr>
                <w:top w:val="none" w:sz="0" w:space="0" w:color="auto"/>
                <w:left w:val="none" w:sz="0" w:space="0" w:color="auto"/>
                <w:bottom w:val="none" w:sz="0" w:space="0" w:color="auto"/>
                <w:right w:val="none" w:sz="0" w:space="0" w:color="auto"/>
              </w:divBdr>
              <w:divsChild>
                <w:div w:id="1047992274">
                  <w:marLeft w:val="0"/>
                  <w:marRight w:val="0"/>
                  <w:marTop w:val="0"/>
                  <w:marBottom w:val="0"/>
                  <w:divBdr>
                    <w:top w:val="none" w:sz="0" w:space="0" w:color="auto"/>
                    <w:left w:val="none" w:sz="0" w:space="0" w:color="auto"/>
                    <w:bottom w:val="none" w:sz="0" w:space="0" w:color="auto"/>
                    <w:right w:val="none" w:sz="0" w:space="0" w:color="auto"/>
                  </w:divBdr>
                  <w:divsChild>
                    <w:div w:id="1108551668">
                      <w:marLeft w:val="1"/>
                      <w:marRight w:val="1"/>
                      <w:marTop w:val="0"/>
                      <w:marBottom w:val="0"/>
                      <w:divBdr>
                        <w:top w:val="none" w:sz="0" w:space="0" w:color="auto"/>
                        <w:left w:val="none" w:sz="0" w:space="0" w:color="auto"/>
                        <w:bottom w:val="none" w:sz="0" w:space="0" w:color="auto"/>
                        <w:right w:val="none" w:sz="0" w:space="0" w:color="auto"/>
                      </w:divBdr>
                      <w:divsChild>
                        <w:div w:id="1164203419">
                          <w:marLeft w:val="0"/>
                          <w:marRight w:val="0"/>
                          <w:marTop w:val="0"/>
                          <w:marBottom w:val="0"/>
                          <w:divBdr>
                            <w:top w:val="none" w:sz="0" w:space="0" w:color="auto"/>
                            <w:left w:val="none" w:sz="0" w:space="0" w:color="auto"/>
                            <w:bottom w:val="none" w:sz="0" w:space="0" w:color="auto"/>
                            <w:right w:val="none" w:sz="0" w:space="0" w:color="auto"/>
                          </w:divBdr>
                          <w:divsChild>
                            <w:div w:id="677387608">
                              <w:marLeft w:val="0"/>
                              <w:marRight w:val="0"/>
                              <w:marTop w:val="0"/>
                              <w:marBottom w:val="360"/>
                              <w:divBdr>
                                <w:top w:val="none" w:sz="0" w:space="0" w:color="auto"/>
                                <w:left w:val="none" w:sz="0" w:space="0" w:color="auto"/>
                                <w:bottom w:val="none" w:sz="0" w:space="0" w:color="auto"/>
                                <w:right w:val="none" w:sz="0" w:space="0" w:color="auto"/>
                              </w:divBdr>
                              <w:divsChild>
                                <w:div w:id="93980393">
                                  <w:marLeft w:val="0"/>
                                  <w:marRight w:val="0"/>
                                  <w:marTop w:val="0"/>
                                  <w:marBottom w:val="0"/>
                                  <w:divBdr>
                                    <w:top w:val="none" w:sz="0" w:space="0" w:color="auto"/>
                                    <w:left w:val="none" w:sz="0" w:space="0" w:color="auto"/>
                                    <w:bottom w:val="none" w:sz="0" w:space="0" w:color="auto"/>
                                    <w:right w:val="none" w:sz="0" w:space="0" w:color="auto"/>
                                  </w:divBdr>
                                  <w:divsChild>
                                    <w:div w:id="1473405355">
                                      <w:marLeft w:val="0"/>
                                      <w:marRight w:val="0"/>
                                      <w:marTop w:val="0"/>
                                      <w:marBottom w:val="0"/>
                                      <w:divBdr>
                                        <w:top w:val="none" w:sz="0" w:space="0" w:color="auto"/>
                                        <w:left w:val="none" w:sz="0" w:space="0" w:color="auto"/>
                                        <w:bottom w:val="none" w:sz="0" w:space="0" w:color="auto"/>
                                        <w:right w:val="none" w:sz="0" w:space="0" w:color="auto"/>
                                      </w:divBdr>
                                      <w:divsChild>
                                        <w:div w:id="1262714851">
                                          <w:marLeft w:val="0"/>
                                          <w:marRight w:val="0"/>
                                          <w:marTop w:val="0"/>
                                          <w:marBottom w:val="0"/>
                                          <w:divBdr>
                                            <w:top w:val="none" w:sz="0" w:space="0" w:color="auto"/>
                                            <w:left w:val="none" w:sz="0" w:space="0" w:color="auto"/>
                                            <w:bottom w:val="none" w:sz="0" w:space="0" w:color="auto"/>
                                            <w:right w:val="none" w:sz="0" w:space="0" w:color="auto"/>
                                          </w:divBdr>
                                          <w:divsChild>
                                            <w:div w:id="1170145796">
                                              <w:marLeft w:val="0"/>
                                              <w:marRight w:val="0"/>
                                              <w:marTop w:val="0"/>
                                              <w:marBottom w:val="0"/>
                                              <w:divBdr>
                                                <w:top w:val="none" w:sz="0" w:space="0" w:color="auto"/>
                                                <w:left w:val="none" w:sz="0" w:space="0" w:color="auto"/>
                                                <w:bottom w:val="none" w:sz="0" w:space="0" w:color="auto"/>
                                                <w:right w:val="none" w:sz="0" w:space="0" w:color="auto"/>
                                              </w:divBdr>
                                              <w:divsChild>
                                                <w:div w:id="1560897028">
                                                  <w:marLeft w:val="0"/>
                                                  <w:marRight w:val="0"/>
                                                  <w:marTop w:val="0"/>
                                                  <w:marBottom w:val="0"/>
                                                  <w:divBdr>
                                                    <w:top w:val="none" w:sz="0" w:space="0" w:color="auto"/>
                                                    <w:left w:val="none" w:sz="0" w:space="0" w:color="auto"/>
                                                    <w:bottom w:val="none" w:sz="0" w:space="0" w:color="auto"/>
                                                    <w:right w:val="none" w:sz="0" w:space="0" w:color="auto"/>
                                                  </w:divBdr>
                                                  <w:divsChild>
                                                    <w:div w:id="160256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8149962">
      <w:bodyDiv w:val="1"/>
      <w:marLeft w:val="0"/>
      <w:marRight w:val="0"/>
      <w:marTop w:val="0"/>
      <w:marBottom w:val="0"/>
      <w:divBdr>
        <w:top w:val="none" w:sz="0" w:space="0" w:color="auto"/>
        <w:left w:val="none" w:sz="0" w:space="0" w:color="auto"/>
        <w:bottom w:val="none" w:sz="0" w:space="0" w:color="auto"/>
        <w:right w:val="none" w:sz="0" w:space="0" w:color="auto"/>
      </w:divBdr>
    </w:div>
    <w:div w:id="1202551908">
      <w:bodyDiv w:val="1"/>
      <w:marLeft w:val="0"/>
      <w:marRight w:val="0"/>
      <w:marTop w:val="0"/>
      <w:marBottom w:val="0"/>
      <w:divBdr>
        <w:top w:val="none" w:sz="0" w:space="0" w:color="auto"/>
        <w:left w:val="none" w:sz="0" w:space="0" w:color="auto"/>
        <w:bottom w:val="none" w:sz="0" w:space="0" w:color="auto"/>
        <w:right w:val="none" w:sz="0" w:space="0" w:color="auto"/>
      </w:divBdr>
      <w:divsChild>
        <w:div w:id="1138844017">
          <w:marLeft w:val="0"/>
          <w:marRight w:val="0"/>
          <w:marTop w:val="0"/>
          <w:marBottom w:val="0"/>
          <w:divBdr>
            <w:top w:val="none" w:sz="0" w:space="0" w:color="auto"/>
            <w:left w:val="none" w:sz="0" w:space="0" w:color="auto"/>
            <w:bottom w:val="none" w:sz="0" w:space="0" w:color="auto"/>
            <w:right w:val="none" w:sz="0" w:space="0" w:color="auto"/>
          </w:divBdr>
          <w:divsChild>
            <w:div w:id="1674989737">
              <w:marLeft w:val="0"/>
              <w:marRight w:val="0"/>
              <w:marTop w:val="0"/>
              <w:marBottom w:val="0"/>
              <w:divBdr>
                <w:top w:val="none" w:sz="0" w:space="0" w:color="auto"/>
                <w:left w:val="none" w:sz="0" w:space="0" w:color="auto"/>
                <w:bottom w:val="none" w:sz="0" w:space="0" w:color="auto"/>
                <w:right w:val="none" w:sz="0" w:space="0" w:color="auto"/>
              </w:divBdr>
            </w:div>
            <w:div w:id="619920794">
              <w:marLeft w:val="0"/>
              <w:marRight w:val="0"/>
              <w:marTop w:val="0"/>
              <w:marBottom w:val="0"/>
              <w:divBdr>
                <w:top w:val="none" w:sz="0" w:space="0" w:color="auto"/>
                <w:left w:val="none" w:sz="0" w:space="0" w:color="auto"/>
                <w:bottom w:val="none" w:sz="0" w:space="0" w:color="auto"/>
                <w:right w:val="none" w:sz="0" w:space="0" w:color="auto"/>
              </w:divBdr>
              <w:divsChild>
                <w:div w:id="1999456869">
                  <w:marLeft w:val="600"/>
                  <w:marRight w:val="0"/>
                  <w:marTop w:val="0"/>
                  <w:marBottom w:val="0"/>
                  <w:divBdr>
                    <w:top w:val="none" w:sz="0" w:space="0" w:color="auto"/>
                    <w:left w:val="none" w:sz="0" w:space="0" w:color="auto"/>
                    <w:bottom w:val="none" w:sz="0" w:space="0" w:color="auto"/>
                    <w:right w:val="none" w:sz="0" w:space="0" w:color="auto"/>
                  </w:divBdr>
                </w:div>
              </w:divsChild>
            </w:div>
            <w:div w:id="249776596">
              <w:marLeft w:val="0"/>
              <w:marRight w:val="0"/>
              <w:marTop w:val="0"/>
              <w:marBottom w:val="0"/>
              <w:divBdr>
                <w:top w:val="none" w:sz="0" w:space="0" w:color="auto"/>
                <w:left w:val="none" w:sz="0" w:space="0" w:color="auto"/>
                <w:bottom w:val="none" w:sz="0" w:space="0" w:color="auto"/>
                <w:right w:val="none" w:sz="0" w:space="0" w:color="auto"/>
              </w:divBdr>
              <w:divsChild>
                <w:div w:id="1302029790">
                  <w:marLeft w:val="600"/>
                  <w:marRight w:val="0"/>
                  <w:marTop w:val="0"/>
                  <w:marBottom w:val="0"/>
                  <w:divBdr>
                    <w:top w:val="none" w:sz="0" w:space="0" w:color="auto"/>
                    <w:left w:val="none" w:sz="0" w:space="0" w:color="auto"/>
                    <w:bottom w:val="none" w:sz="0" w:space="0" w:color="auto"/>
                    <w:right w:val="none" w:sz="0" w:space="0" w:color="auto"/>
                  </w:divBdr>
                </w:div>
              </w:divsChild>
            </w:div>
            <w:div w:id="1329594822">
              <w:marLeft w:val="0"/>
              <w:marRight w:val="0"/>
              <w:marTop w:val="0"/>
              <w:marBottom w:val="0"/>
              <w:divBdr>
                <w:top w:val="none" w:sz="0" w:space="0" w:color="auto"/>
                <w:left w:val="none" w:sz="0" w:space="0" w:color="auto"/>
                <w:bottom w:val="none" w:sz="0" w:space="0" w:color="auto"/>
                <w:right w:val="none" w:sz="0" w:space="0" w:color="auto"/>
              </w:divBdr>
              <w:divsChild>
                <w:div w:id="2056461936">
                  <w:marLeft w:val="600"/>
                  <w:marRight w:val="0"/>
                  <w:marTop w:val="0"/>
                  <w:marBottom w:val="0"/>
                  <w:divBdr>
                    <w:top w:val="none" w:sz="0" w:space="0" w:color="auto"/>
                    <w:left w:val="none" w:sz="0" w:space="0" w:color="auto"/>
                    <w:bottom w:val="none" w:sz="0" w:space="0" w:color="auto"/>
                    <w:right w:val="none" w:sz="0" w:space="0" w:color="auto"/>
                  </w:divBdr>
                </w:div>
              </w:divsChild>
            </w:div>
            <w:div w:id="2005889637">
              <w:marLeft w:val="0"/>
              <w:marRight w:val="0"/>
              <w:marTop w:val="0"/>
              <w:marBottom w:val="0"/>
              <w:divBdr>
                <w:top w:val="none" w:sz="0" w:space="0" w:color="auto"/>
                <w:left w:val="none" w:sz="0" w:space="0" w:color="auto"/>
                <w:bottom w:val="none" w:sz="0" w:space="0" w:color="auto"/>
                <w:right w:val="none" w:sz="0" w:space="0" w:color="auto"/>
              </w:divBdr>
              <w:divsChild>
                <w:div w:id="25128409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296213">
      <w:bodyDiv w:val="1"/>
      <w:marLeft w:val="0"/>
      <w:marRight w:val="0"/>
      <w:marTop w:val="0"/>
      <w:marBottom w:val="0"/>
      <w:divBdr>
        <w:top w:val="none" w:sz="0" w:space="0" w:color="auto"/>
        <w:left w:val="none" w:sz="0" w:space="0" w:color="auto"/>
        <w:bottom w:val="none" w:sz="0" w:space="0" w:color="auto"/>
        <w:right w:val="none" w:sz="0" w:space="0" w:color="auto"/>
      </w:divBdr>
    </w:div>
    <w:div w:id="1373966296">
      <w:bodyDiv w:val="1"/>
      <w:marLeft w:val="0"/>
      <w:marRight w:val="0"/>
      <w:marTop w:val="0"/>
      <w:marBottom w:val="0"/>
      <w:divBdr>
        <w:top w:val="none" w:sz="0" w:space="0" w:color="auto"/>
        <w:left w:val="none" w:sz="0" w:space="0" w:color="auto"/>
        <w:bottom w:val="none" w:sz="0" w:space="0" w:color="auto"/>
        <w:right w:val="none" w:sz="0" w:space="0" w:color="auto"/>
      </w:divBdr>
      <w:divsChild>
        <w:div w:id="1357392561">
          <w:marLeft w:val="0"/>
          <w:marRight w:val="0"/>
          <w:marTop w:val="0"/>
          <w:marBottom w:val="0"/>
          <w:divBdr>
            <w:top w:val="none" w:sz="0" w:space="0" w:color="auto"/>
            <w:left w:val="none" w:sz="0" w:space="0" w:color="auto"/>
            <w:bottom w:val="none" w:sz="0" w:space="0" w:color="auto"/>
            <w:right w:val="none" w:sz="0" w:space="0" w:color="auto"/>
          </w:divBdr>
        </w:div>
      </w:divsChild>
    </w:div>
    <w:div w:id="1429307158">
      <w:bodyDiv w:val="1"/>
      <w:marLeft w:val="0"/>
      <w:marRight w:val="0"/>
      <w:marTop w:val="0"/>
      <w:marBottom w:val="0"/>
      <w:divBdr>
        <w:top w:val="none" w:sz="0" w:space="0" w:color="auto"/>
        <w:left w:val="none" w:sz="0" w:space="0" w:color="auto"/>
        <w:bottom w:val="none" w:sz="0" w:space="0" w:color="auto"/>
        <w:right w:val="none" w:sz="0" w:space="0" w:color="auto"/>
      </w:divBdr>
    </w:div>
    <w:div w:id="1461221291">
      <w:bodyDiv w:val="1"/>
      <w:marLeft w:val="0"/>
      <w:marRight w:val="0"/>
      <w:marTop w:val="0"/>
      <w:marBottom w:val="0"/>
      <w:divBdr>
        <w:top w:val="none" w:sz="0" w:space="0" w:color="auto"/>
        <w:left w:val="none" w:sz="0" w:space="0" w:color="auto"/>
        <w:bottom w:val="none" w:sz="0" w:space="0" w:color="auto"/>
        <w:right w:val="none" w:sz="0" w:space="0" w:color="auto"/>
      </w:divBdr>
    </w:div>
    <w:div w:id="1540896191">
      <w:bodyDiv w:val="1"/>
      <w:marLeft w:val="0"/>
      <w:marRight w:val="0"/>
      <w:marTop w:val="0"/>
      <w:marBottom w:val="0"/>
      <w:divBdr>
        <w:top w:val="none" w:sz="0" w:space="0" w:color="auto"/>
        <w:left w:val="none" w:sz="0" w:space="0" w:color="auto"/>
        <w:bottom w:val="none" w:sz="0" w:space="0" w:color="auto"/>
        <w:right w:val="none" w:sz="0" w:space="0" w:color="auto"/>
      </w:divBdr>
    </w:div>
    <w:div w:id="2023702371">
      <w:bodyDiv w:val="1"/>
      <w:marLeft w:val="0"/>
      <w:marRight w:val="0"/>
      <w:marTop w:val="0"/>
      <w:marBottom w:val="0"/>
      <w:divBdr>
        <w:top w:val="none" w:sz="0" w:space="0" w:color="auto"/>
        <w:left w:val="none" w:sz="0" w:space="0" w:color="auto"/>
        <w:bottom w:val="none" w:sz="0" w:space="0" w:color="auto"/>
        <w:right w:val="none" w:sz="0" w:space="0" w:color="auto"/>
      </w:divBdr>
      <w:divsChild>
        <w:div w:id="799613263">
          <w:marLeft w:val="0"/>
          <w:marRight w:val="0"/>
          <w:marTop w:val="0"/>
          <w:marBottom w:val="0"/>
          <w:divBdr>
            <w:top w:val="none" w:sz="0" w:space="0" w:color="auto"/>
            <w:left w:val="none" w:sz="0" w:space="0" w:color="auto"/>
            <w:bottom w:val="none" w:sz="0" w:space="0" w:color="auto"/>
            <w:right w:val="none" w:sz="0" w:space="0" w:color="auto"/>
          </w:divBdr>
          <w:divsChild>
            <w:div w:id="395904745">
              <w:marLeft w:val="0"/>
              <w:marRight w:val="0"/>
              <w:marTop w:val="0"/>
              <w:marBottom w:val="0"/>
              <w:divBdr>
                <w:top w:val="none" w:sz="0" w:space="0" w:color="auto"/>
                <w:left w:val="none" w:sz="0" w:space="0" w:color="auto"/>
                <w:bottom w:val="none" w:sz="0" w:space="0" w:color="auto"/>
                <w:right w:val="none" w:sz="0" w:space="0" w:color="auto"/>
              </w:divBdr>
              <w:divsChild>
                <w:div w:id="466319733">
                  <w:marLeft w:val="0"/>
                  <w:marRight w:val="0"/>
                  <w:marTop w:val="0"/>
                  <w:marBottom w:val="0"/>
                  <w:divBdr>
                    <w:top w:val="none" w:sz="0" w:space="0" w:color="auto"/>
                    <w:left w:val="none" w:sz="0" w:space="0" w:color="auto"/>
                    <w:bottom w:val="none" w:sz="0" w:space="0" w:color="auto"/>
                    <w:right w:val="none" w:sz="0" w:space="0" w:color="auto"/>
                  </w:divBdr>
                  <w:divsChild>
                    <w:div w:id="150754801">
                      <w:marLeft w:val="1"/>
                      <w:marRight w:val="1"/>
                      <w:marTop w:val="0"/>
                      <w:marBottom w:val="0"/>
                      <w:divBdr>
                        <w:top w:val="none" w:sz="0" w:space="0" w:color="auto"/>
                        <w:left w:val="none" w:sz="0" w:space="0" w:color="auto"/>
                        <w:bottom w:val="none" w:sz="0" w:space="0" w:color="auto"/>
                        <w:right w:val="none" w:sz="0" w:space="0" w:color="auto"/>
                      </w:divBdr>
                      <w:divsChild>
                        <w:div w:id="1720130629">
                          <w:marLeft w:val="0"/>
                          <w:marRight w:val="0"/>
                          <w:marTop w:val="0"/>
                          <w:marBottom w:val="0"/>
                          <w:divBdr>
                            <w:top w:val="none" w:sz="0" w:space="0" w:color="auto"/>
                            <w:left w:val="none" w:sz="0" w:space="0" w:color="auto"/>
                            <w:bottom w:val="none" w:sz="0" w:space="0" w:color="auto"/>
                            <w:right w:val="none" w:sz="0" w:space="0" w:color="auto"/>
                          </w:divBdr>
                          <w:divsChild>
                            <w:div w:id="1765418813">
                              <w:marLeft w:val="0"/>
                              <w:marRight w:val="0"/>
                              <w:marTop w:val="0"/>
                              <w:marBottom w:val="360"/>
                              <w:divBdr>
                                <w:top w:val="none" w:sz="0" w:space="0" w:color="auto"/>
                                <w:left w:val="none" w:sz="0" w:space="0" w:color="auto"/>
                                <w:bottom w:val="none" w:sz="0" w:space="0" w:color="auto"/>
                                <w:right w:val="none" w:sz="0" w:space="0" w:color="auto"/>
                              </w:divBdr>
                              <w:divsChild>
                                <w:div w:id="1072578477">
                                  <w:marLeft w:val="0"/>
                                  <w:marRight w:val="0"/>
                                  <w:marTop w:val="0"/>
                                  <w:marBottom w:val="0"/>
                                  <w:divBdr>
                                    <w:top w:val="none" w:sz="0" w:space="0" w:color="auto"/>
                                    <w:left w:val="none" w:sz="0" w:space="0" w:color="auto"/>
                                    <w:bottom w:val="none" w:sz="0" w:space="0" w:color="auto"/>
                                    <w:right w:val="none" w:sz="0" w:space="0" w:color="auto"/>
                                  </w:divBdr>
                                  <w:divsChild>
                                    <w:div w:id="1056976407">
                                      <w:marLeft w:val="0"/>
                                      <w:marRight w:val="0"/>
                                      <w:marTop w:val="0"/>
                                      <w:marBottom w:val="0"/>
                                      <w:divBdr>
                                        <w:top w:val="none" w:sz="0" w:space="0" w:color="auto"/>
                                        <w:left w:val="none" w:sz="0" w:space="0" w:color="auto"/>
                                        <w:bottom w:val="none" w:sz="0" w:space="0" w:color="auto"/>
                                        <w:right w:val="none" w:sz="0" w:space="0" w:color="auto"/>
                                      </w:divBdr>
                                      <w:divsChild>
                                        <w:div w:id="1483353937">
                                          <w:marLeft w:val="0"/>
                                          <w:marRight w:val="0"/>
                                          <w:marTop w:val="0"/>
                                          <w:marBottom w:val="0"/>
                                          <w:divBdr>
                                            <w:top w:val="none" w:sz="0" w:space="0" w:color="auto"/>
                                            <w:left w:val="none" w:sz="0" w:space="0" w:color="auto"/>
                                            <w:bottom w:val="none" w:sz="0" w:space="0" w:color="auto"/>
                                            <w:right w:val="none" w:sz="0" w:space="0" w:color="auto"/>
                                          </w:divBdr>
                                          <w:divsChild>
                                            <w:div w:id="1828132417">
                                              <w:marLeft w:val="0"/>
                                              <w:marRight w:val="0"/>
                                              <w:marTop w:val="0"/>
                                              <w:marBottom w:val="0"/>
                                              <w:divBdr>
                                                <w:top w:val="none" w:sz="0" w:space="0" w:color="auto"/>
                                                <w:left w:val="none" w:sz="0" w:space="0" w:color="auto"/>
                                                <w:bottom w:val="none" w:sz="0" w:space="0" w:color="auto"/>
                                                <w:right w:val="none" w:sz="0" w:space="0" w:color="auto"/>
                                              </w:divBdr>
                                              <w:divsChild>
                                                <w:div w:id="1065684689">
                                                  <w:marLeft w:val="0"/>
                                                  <w:marRight w:val="0"/>
                                                  <w:marTop w:val="0"/>
                                                  <w:marBottom w:val="0"/>
                                                  <w:divBdr>
                                                    <w:top w:val="none" w:sz="0" w:space="0" w:color="auto"/>
                                                    <w:left w:val="none" w:sz="0" w:space="0" w:color="auto"/>
                                                    <w:bottom w:val="none" w:sz="0" w:space="0" w:color="auto"/>
                                                    <w:right w:val="none" w:sz="0" w:space="0" w:color="auto"/>
                                                  </w:divBdr>
                                                  <w:divsChild>
                                                    <w:div w:id="141836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7893893">
      <w:bodyDiv w:val="1"/>
      <w:marLeft w:val="0"/>
      <w:marRight w:val="0"/>
      <w:marTop w:val="0"/>
      <w:marBottom w:val="0"/>
      <w:divBdr>
        <w:top w:val="none" w:sz="0" w:space="0" w:color="auto"/>
        <w:left w:val="none" w:sz="0" w:space="0" w:color="auto"/>
        <w:bottom w:val="none" w:sz="0" w:space="0" w:color="auto"/>
        <w:right w:val="none" w:sz="0" w:space="0" w:color="auto"/>
      </w:divBdr>
      <w:divsChild>
        <w:div w:id="1730106797">
          <w:marLeft w:val="0"/>
          <w:marRight w:val="0"/>
          <w:marTop w:val="0"/>
          <w:marBottom w:val="0"/>
          <w:divBdr>
            <w:top w:val="none" w:sz="0" w:space="0" w:color="auto"/>
            <w:left w:val="none" w:sz="0" w:space="0" w:color="auto"/>
            <w:bottom w:val="none" w:sz="0" w:space="0" w:color="auto"/>
            <w:right w:val="none" w:sz="0" w:space="0" w:color="auto"/>
          </w:divBdr>
        </w:div>
        <w:div w:id="1687512380">
          <w:marLeft w:val="0"/>
          <w:marRight w:val="0"/>
          <w:marTop w:val="0"/>
          <w:marBottom w:val="0"/>
          <w:divBdr>
            <w:top w:val="none" w:sz="0" w:space="0" w:color="auto"/>
            <w:left w:val="none" w:sz="0" w:space="0" w:color="auto"/>
            <w:bottom w:val="none" w:sz="0" w:space="0" w:color="auto"/>
            <w:right w:val="none" w:sz="0" w:space="0" w:color="auto"/>
          </w:divBdr>
        </w:div>
        <w:div w:id="1515993272">
          <w:marLeft w:val="0"/>
          <w:marRight w:val="0"/>
          <w:marTop w:val="0"/>
          <w:marBottom w:val="0"/>
          <w:divBdr>
            <w:top w:val="none" w:sz="0" w:space="0" w:color="auto"/>
            <w:left w:val="none" w:sz="0" w:space="0" w:color="auto"/>
            <w:bottom w:val="none" w:sz="0" w:space="0" w:color="auto"/>
            <w:right w:val="none" w:sz="0" w:space="0" w:color="auto"/>
          </w:divBdr>
        </w:div>
        <w:div w:id="205025184">
          <w:marLeft w:val="0"/>
          <w:marRight w:val="0"/>
          <w:marTop w:val="0"/>
          <w:marBottom w:val="0"/>
          <w:divBdr>
            <w:top w:val="none" w:sz="0" w:space="0" w:color="auto"/>
            <w:left w:val="none" w:sz="0" w:space="0" w:color="auto"/>
            <w:bottom w:val="none" w:sz="0" w:space="0" w:color="auto"/>
            <w:right w:val="none" w:sz="0" w:space="0" w:color="auto"/>
          </w:divBdr>
        </w:div>
        <w:div w:id="1709915722">
          <w:marLeft w:val="0"/>
          <w:marRight w:val="0"/>
          <w:marTop w:val="0"/>
          <w:marBottom w:val="0"/>
          <w:divBdr>
            <w:top w:val="none" w:sz="0" w:space="0" w:color="auto"/>
            <w:left w:val="none" w:sz="0" w:space="0" w:color="auto"/>
            <w:bottom w:val="none" w:sz="0" w:space="0" w:color="auto"/>
            <w:right w:val="none" w:sz="0" w:space="0" w:color="auto"/>
          </w:divBdr>
        </w:div>
        <w:div w:id="915633944">
          <w:marLeft w:val="0"/>
          <w:marRight w:val="0"/>
          <w:marTop w:val="0"/>
          <w:marBottom w:val="0"/>
          <w:divBdr>
            <w:top w:val="none" w:sz="0" w:space="0" w:color="auto"/>
            <w:left w:val="none" w:sz="0" w:space="0" w:color="auto"/>
            <w:bottom w:val="none" w:sz="0" w:space="0" w:color="auto"/>
            <w:right w:val="none" w:sz="0" w:space="0" w:color="auto"/>
          </w:divBdr>
        </w:div>
        <w:div w:id="306714420">
          <w:marLeft w:val="0"/>
          <w:marRight w:val="0"/>
          <w:marTop w:val="0"/>
          <w:marBottom w:val="0"/>
          <w:divBdr>
            <w:top w:val="none" w:sz="0" w:space="0" w:color="auto"/>
            <w:left w:val="none" w:sz="0" w:space="0" w:color="auto"/>
            <w:bottom w:val="none" w:sz="0" w:space="0" w:color="auto"/>
            <w:right w:val="none" w:sz="0" w:space="0" w:color="auto"/>
          </w:divBdr>
        </w:div>
        <w:div w:id="873925944">
          <w:marLeft w:val="0"/>
          <w:marRight w:val="0"/>
          <w:marTop w:val="0"/>
          <w:marBottom w:val="0"/>
          <w:divBdr>
            <w:top w:val="none" w:sz="0" w:space="0" w:color="auto"/>
            <w:left w:val="none" w:sz="0" w:space="0" w:color="auto"/>
            <w:bottom w:val="none" w:sz="0" w:space="0" w:color="auto"/>
            <w:right w:val="none" w:sz="0" w:space="0" w:color="auto"/>
          </w:divBdr>
        </w:div>
        <w:div w:id="631523990">
          <w:marLeft w:val="0"/>
          <w:marRight w:val="0"/>
          <w:marTop w:val="0"/>
          <w:marBottom w:val="0"/>
          <w:divBdr>
            <w:top w:val="none" w:sz="0" w:space="0" w:color="auto"/>
            <w:left w:val="none" w:sz="0" w:space="0" w:color="auto"/>
            <w:bottom w:val="none" w:sz="0" w:space="0" w:color="auto"/>
            <w:right w:val="none" w:sz="0" w:space="0" w:color="auto"/>
          </w:divBdr>
        </w:div>
        <w:div w:id="217667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C26C8-96A0-4A50-A69E-57A573906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5125</Words>
  <Characters>30752</Characters>
  <Application>Microsoft Office Word</Application>
  <DocSecurity>0</DocSecurity>
  <Lines>256</Lines>
  <Paragraphs>71</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35806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Maciak Anna</dc:creator>
  <cp:lastModifiedBy>Ewa A. Genert</cp:lastModifiedBy>
  <cp:revision>2</cp:revision>
  <cp:lastPrinted>2017-07-05T09:44:00Z</cp:lastPrinted>
  <dcterms:created xsi:type="dcterms:W3CDTF">2017-09-28T13:00:00Z</dcterms:created>
  <dcterms:modified xsi:type="dcterms:W3CDTF">2017-09-28T13:00:00Z</dcterms:modified>
</cp:coreProperties>
</file>