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C5" w:rsidRPr="00456EC5" w:rsidRDefault="00456EC5" w:rsidP="0015311B">
      <w:pPr>
        <w:spacing w:before="120"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AC249B">
        <w:rPr>
          <w:rFonts w:ascii="Times New Roman" w:eastAsia="Calibri" w:hAnsi="Times New Roman" w:cs="Times New Roman"/>
          <w:sz w:val="24"/>
          <w:szCs w:val="24"/>
        </w:rPr>
        <w:t>UZASADNIENIE</w:t>
      </w:r>
    </w:p>
    <w:p w:rsidR="00456EC5" w:rsidRPr="00D42D3E" w:rsidRDefault="00456EC5" w:rsidP="0015311B">
      <w:pPr>
        <w:numPr>
          <w:ilvl w:val="0"/>
          <w:numId w:val="1"/>
        </w:numPr>
        <w:spacing w:before="120" w:after="0" w:line="360" w:lineRule="auto"/>
        <w:ind w:left="357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 xml:space="preserve">Potrzeba i cel zawarcia Umowy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Stosunki między Unią Europejską (UE) a Kubą do momentu podpisania Umowy (tj.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do</w:t>
      </w:r>
      <w:r w:rsidR="00B2295C">
        <w:rPr>
          <w:rFonts w:ascii="Times New Roman" w:eastAsia="Calibri" w:hAnsi="Times New Roman" w:cs="Times New Roman"/>
          <w:sz w:val="24"/>
          <w:szCs w:val="24"/>
        </w:rPr>
        <w:t xml:space="preserve"> dnia </w:t>
      </w:r>
      <w:r w:rsidRPr="00456EC5">
        <w:rPr>
          <w:rFonts w:ascii="Times New Roman" w:eastAsia="Calibri" w:hAnsi="Times New Roman" w:cs="Times New Roman"/>
          <w:sz w:val="24"/>
          <w:szCs w:val="24"/>
        </w:rPr>
        <w:t>12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grudnia 2016 r.)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były regulowane wspólnym stanowiskiem (WS) UE 96/697/WPZiB z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2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grudnia 1996 r., które uzależniało rozwój kontaktów politycznych od kwestii przestrzegania na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Kubie praw człowieka i swobód obywatelskich. Polityka dwutorowości UE (utrzymywanie kontaktów zarówno z władzami, jak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społeczeństwem obywatelskim) rodziła od początku sprzeciw władz kubańskich, które przeciwstawiały się kontaktom </w:t>
      </w:r>
      <w:r w:rsidR="00EA637E">
        <w:rPr>
          <w:rFonts w:ascii="Times New Roman" w:eastAsia="Calibri" w:hAnsi="Times New Roman" w:cs="Times New Roman"/>
          <w:sz w:val="24"/>
          <w:szCs w:val="24"/>
        </w:rPr>
        <w:t>państw c</w:t>
      </w:r>
      <w:r w:rsidRPr="00456EC5">
        <w:rPr>
          <w:rFonts w:ascii="Times New Roman" w:eastAsia="Calibri" w:hAnsi="Times New Roman" w:cs="Times New Roman"/>
          <w:sz w:val="24"/>
          <w:szCs w:val="24"/>
        </w:rPr>
        <w:t>złonkowskich UE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z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637E">
        <w:rPr>
          <w:rFonts w:ascii="Times New Roman" w:eastAsia="Calibri" w:hAnsi="Times New Roman" w:cs="Times New Roman"/>
          <w:sz w:val="24"/>
          <w:szCs w:val="24"/>
        </w:rPr>
        <w:t>dysydentami. W maju 2012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r. Europejska Służba Działań Zewnętrznych (ESDZ) przedstawiła tzw. </w:t>
      </w:r>
      <w:r w:rsidRPr="00456EC5">
        <w:rPr>
          <w:rFonts w:ascii="Times New Roman" w:eastAsia="Calibri" w:hAnsi="Times New Roman" w:cs="Times New Roman"/>
          <w:i/>
          <w:sz w:val="24"/>
          <w:szCs w:val="24"/>
        </w:rPr>
        <w:t>„non-paper on the future of</w:t>
      </w:r>
      <w:r w:rsidR="0015311B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i/>
          <w:sz w:val="24"/>
          <w:szCs w:val="24"/>
        </w:rPr>
        <w:t xml:space="preserve">EU-Cuba relations”, 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który analizował m.in. prawne aspekty przyszłej Umowy o współpracy UE z Kubą. Przełomem, zwłaszcza z punktu widzenia Hawany, była decyzja Rady </w:t>
      </w:r>
      <w:r w:rsidR="00695669">
        <w:rPr>
          <w:rFonts w:ascii="Times New Roman" w:eastAsia="Calibri" w:hAnsi="Times New Roman" w:cs="Times New Roman"/>
          <w:sz w:val="24"/>
          <w:szCs w:val="24"/>
        </w:rPr>
        <w:t xml:space="preserve">do Spraw </w:t>
      </w:r>
      <w:r w:rsidRPr="00456EC5">
        <w:rPr>
          <w:rFonts w:ascii="Times New Roman" w:eastAsia="Calibri" w:hAnsi="Times New Roman" w:cs="Times New Roman"/>
          <w:sz w:val="24"/>
          <w:szCs w:val="24"/>
        </w:rPr>
        <w:t>Zagranicznych z listopada 2013 r., która powierzyła ESDZ zadanie rozpoczęcia prac nad dyrektywami operacyjnymi Umowy o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Dialogu Politycznym i Współpracy (potwierdzając jednocześnie obowiązywanie WS). </w:t>
      </w:r>
    </w:p>
    <w:p w:rsidR="00456EC5" w:rsidRPr="00456EC5" w:rsidRDefault="00B2295C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W dniu </w:t>
      </w:r>
      <w:r w:rsidR="00695669">
        <w:rPr>
          <w:rFonts w:ascii="Times New Roman" w:eastAsia="Calibri" w:hAnsi="Times New Roman" w:cs="Times New Roman"/>
          <w:sz w:val="24"/>
          <w:szCs w:val="24"/>
        </w:rPr>
        <w:t xml:space="preserve">10 lutego 2014 r. Rada do Spraw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Zagranicznych przyjęła decyzję upoważniającą Komisję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Wysokiego Przedstawiciela Unii do Spraw Zagranicznych i Polityki Bezpieczeństwa do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rozpoczęcia rokowań w sprawie zawarcia Umowy o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dialogu politycznym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współpracy między Unią Europejską i jej państwami członkowskimi, z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jednej strony, a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Republiką Kuby, z drugiej strony, („Umowa”). Rokowania rozpoczęły się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5669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>
        <w:rPr>
          <w:rFonts w:ascii="Times New Roman" w:eastAsia="Calibri" w:hAnsi="Times New Roman" w:cs="Times New Roman"/>
          <w:sz w:val="24"/>
          <w:szCs w:val="24"/>
        </w:rPr>
        <w:t>dni</w:t>
      </w:r>
      <w:r w:rsidR="00695669">
        <w:rPr>
          <w:rFonts w:ascii="Times New Roman" w:eastAsia="Calibri" w:hAnsi="Times New Roman" w:cs="Times New Roman"/>
          <w:sz w:val="24"/>
          <w:szCs w:val="24"/>
        </w:rPr>
        <w:t>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29 kwietnia 2014 r. i zostały zakończone po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5669">
        <w:rPr>
          <w:rFonts w:ascii="Times New Roman" w:eastAsia="Calibri" w:hAnsi="Times New Roman" w:cs="Times New Roman"/>
          <w:sz w:val="24"/>
          <w:szCs w:val="24"/>
        </w:rPr>
        <w:t>siedmiu rundach w marcu 2016 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 xml:space="preserve">r. Umowa została parafowana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dnia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11 marca 2016 r. w Hawanie w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obecności wysokiego przedstawiciela oraz komisarza do spraw współpracy międzynarodowej i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 xml:space="preserve">rozwoju. Umowa została podpisana przez Unię Europejską, 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 xml:space="preserve">aństwa </w:t>
      </w: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 xml:space="preserve">złonkowskie UE oraz Kubę w Brukseli </w:t>
      </w:r>
      <w:r w:rsidR="00CD0734">
        <w:rPr>
          <w:rFonts w:ascii="Times New Roman" w:eastAsia="Calibri" w:hAnsi="Times New Roman" w:cs="Times New Roman"/>
          <w:sz w:val="24"/>
          <w:szCs w:val="24"/>
        </w:rPr>
        <w:t>dnia 12 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grudnia 2016 r. Zgodnie z decyzją Rady UE Umowa zastępuje wspólne stanowisko 96/697/WPZiB w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sprawie Kuby. Do tej pory Estonia, Węgry i Bułgaria złożyły notyfikacje do Sekretariatu Generalnego Rady.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Celem Umowy jest utrwalenie i zacieśnienie powiązań między stronami w obszarach objętych dialogiem politycznym, współpracą i handlem, zgodnie z zasadami obustronnego szacunku, wzajemności, wspólnoty interesów i poszanowania dla suwerenności Stron. Stosunki będą nakierowane na wsparcie modernizacji kubańskiej </w:t>
      </w:r>
      <w:r w:rsidRPr="00456EC5">
        <w:rPr>
          <w:rFonts w:ascii="Times New Roman" w:eastAsia="Calibri" w:hAnsi="Times New Roman" w:cs="Times New Roman"/>
          <w:sz w:val="24"/>
          <w:szCs w:val="24"/>
        </w:rPr>
        <w:lastRenderedPageBreak/>
        <w:t>gospodarki i społeczeństwa, współpracę dwustronną i na forach międzynarodowych w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celu wzmocnienia praw człowieka i demokracji, przeciwdziałanie dyskryminacji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osiągnięcie celów zrównoważonego rozwoju. Umowa zawiera istotne dla UE elementy standardowe, klauzulę praw człowieka i klauzulę o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nierozprzestrzenianiu broni masowego rażenia, których naruszenie może prowadzić do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zawieszenia Umowy.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Umowa ma charakter przełomu politycznego i odzwierciedla znaczącą poprawę stosunków między Kubą a </w:t>
      </w:r>
      <w:r w:rsidR="00B2295C">
        <w:rPr>
          <w:rFonts w:ascii="Times New Roman" w:eastAsia="Calibri" w:hAnsi="Times New Roman" w:cs="Times New Roman"/>
          <w:sz w:val="24"/>
          <w:szCs w:val="24"/>
        </w:rPr>
        <w:t xml:space="preserve">państwami członkowskimi </w:t>
      </w:r>
      <w:r w:rsidRPr="00456EC5">
        <w:rPr>
          <w:rFonts w:ascii="Times New Roman" w:eastAsia="Calibri" w:hAnsi="Times New Roman" w:cs="Times New Roman"/>
          <w:sz w:val="24"/>
          <w:szCs w:val="24"/>
        </w:rPr>
        <w:t>UE. Stanowi ramy dla zacieśnienia współpracy politycznej i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platformę dla rozwoju relacji na forach międzynarodowych między Hawaną a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Brukselą.</w:t>
      </w:r>
    </w:p>
    <w:p w:rsidR="00456EC5" w:rsidRPr="00D42D3E" w:rsidRDefault="00456EC5" w:rsidP="0015311B">
      <w:pPr>
        <w:numPr>
          <w:ilvl w:val="0"/>
          <w:numId w:val="1"/>
        </w:numPr>
        <w:spacing w:before="24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 xml:space="preserve">Treść </w:t>
      </w:r>
      <w:r w:rsidR="00D42D3E">
        <w:rPr>
          <w:rFonts w:ascii="Times New Roman" w:eastAsia="Calibri" w:hAnsi="Times New Roman" w:cs="Times New Roman"/>
          <w:sz w:val="24"/>
          <w:szCs w:val="24"/>
        </w:rPr>
        <w:t>U</w:t>
      </w:r>
      <w:r w:rsidRPr="00D42D3E">
        <w:rPr>
          <w:rFonts w:ascii="Times New Roman" w:eastAsia="Calibri" w:hAnsi="Times New Roman" w:cs="Times New Roman"/>
          <w:sz w:val="24"/>
          <w:szCs w:val="24"/>
        </w:rPr>
        <w:t>mowy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Umowa jest skonstruowana </w:t>
      </w:r>
      <w:r w:rsidR="00D42D3E">
        <w:rPr>
          <w:rFonts w:ascii="Times New Roman" w:eastAsia="Calibri" w:hAnsi="Times New Roman" w:cs="Times New Roman"/>
          <w:sz w:val="24"/>
          <w:szCs w:val="24"/>
        </w:rPr>
        <w:t xml:space="preserve">w oparciu o </w:t>
      </w:r>
      <w:r w:rsidRPr="00456EC5">
        <w:rPr>
          <w:rFonts w:ascii="Times New Roman" w:eastAsia="Calibri" w:hAnsi="Times New Roman" w:cs="Times New Roman"/>
          <w:sz w:val="24"/>
          <w:szCs w:val="24"/>
        </w:rPr>
        <w:t>trz</w:t>
      </w:r>
      <w:r w:rsidR="00D42D3E">
        <w:rPr>
          <w:rFonts w:ascii="Times New Roman" w:eastAsia="Calibri" w:hAnsi="Times New Roman" w:cs="Times New Roman"/>
          <w:sz w:val="24"/>
          <w:szCs w:val="24"/>
        </w:rPr>
        <w:t xml:space="preserve">y </w:t>
      </w:r>
      <w:r w:rsidRPr="00456EC5">
        <w:rPr>
          <w:rFonts w:ascii="Times New Roman" w:eastAsia="Calibri" w:hAnsi="Times New Roman" w:cs="Times New Roman"/>
          <w:sz w:val="24"/>
          <w:szCs w:val="24"/>
        </w:rPr>
        <w:t>filar</w:t>
      </w:r>
      <w:r w:rsidR="00D42D3E">
        <w:rPr>
          <w:rFonts w:ascii="Times New Roman" w:eastAsia="Calibri" w:hAnsi="Times New Roman" w:cs="Times New Roman"/>
          <w:sz w:val="24"/>
          <w:szCs w:val="24"/>
        </w:rPr>
        <w:t>y</w:t>
      </w:r>
      <w:r w:rsidRPr="00456EC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456EC5" w:rsidRPr="00456EC5" w:rsidRDefault="00456EC5" w:rsidP="0015311B">
      <w:pPr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–</w:t>
      </w:r>
      <w:r w:rsidRPr="00456EC5">
        <w:rPr>
          <w:rFonts w:ascii="Times New Roman" w:eastAsia="Calibri" w:hAnsi="Times New Roman" w:cs="Times New Roman"/>
          <w:sz w:val="24"/>
          <w:szCs w:val="24"/>
        </w:rPr>
        <w:tab/>
        <w:t>dialog polityczny (część II): zawarte w nim postanowienia obejmują różne obszary polityki, w tym: prawa człowieka, broń strzelecką i lekką, rozbrojenie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nierozprzestrzenianie broni masowego rażenia, terroryzm, poważne przestępstwa o międzynarodowym znaczeniu (w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tym Międzynarodowy Trybunał Karny), jednostronne środki przymusu (np. embargo Stanów Zjednoczonych), zwalczanie produkcji, przemytu i spożycia niedozwolonych środków odurzających, zwalczanie dyskryminacji rasowej, ksenofobii i związanej z nią nietolerancji oraz zrównoważony rozwój;</w:t>
      </w:r>
    </w:p>
    <w:p w:rsidR="00456EC5" w:rsidRPr="00456EC5" w:rsidRDefault="00456EC5" w:rsidP="0015311B">
      <w:pPr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–</w:t>
      </w:r>
      <w:r w:rsidRPr="00456EC5">
        <w:rPr>
          <w:rFonts w:ascii="Times New Roman" w:eastAsia="Calibri" w:hAnsi="Times New Roman" w:cs="Times New Roman"/>
          <w:sz w:val="24"/>
          <w:szCs w:val="24"/>
        </w:rPr>
        <w:tab/>
        <w:t>współpraca i dialog na temat polityki sektorowej (część III): postanowienia te obejmują bardzo szeroki zakres obszarów przyszłej współpracy, w tym kwestie polityczne i prawne (sprawowanie rządów i prawa człowieka, wymiar sprawiedliwości, bezpieczeństwo obywateli i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migrację), kwestie społeczne, środowiskowe, gospodarcze i rozwojowe, również na szczeblu niższym niż krajowy. Ze szczególną uwagą potraktowano także integrację i współpracę regionalną (Karaiby i Ameryka Łacińska); oraz</w:t>
      </w:r>
    </w:p>
    <w:p w:rsidR="00456EC5" w:rsidRPr="00456EC5" w:rsidRDefault="00456EC5" w:rsidP="0015311B">
      <w:pPr>
        <w:spacing w:after="0" w:line="360" w:lineRule="auto"/>
        <w:ind w:left="425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–</w:t>
      </w:r>
      <w:r w:rsidRPr="00456EC5">
        <w:rPr>
          <w:rFonts w:ascii="Times New Roman" w:eastAsia="Calibri" w:hAnsi="Times New Roman" w:cs="Times New Roman"/>
          <w:sz w:val="24"/>
          <w:szCs w:val="24"/>
        </w:rPr>
        <w:tab/>
        <w:t>handel i współpraca w zakresie handlu (część IV): w tej części ujednolicono umowne (związane z WTO) podstawy handlu między UE a Kubą. Oprócz tego zawiera ona postanowienia dotyczące ułatwień w handlu oraz współpracy w takich dziedzinach jak bariery techniczne w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handlu oraz normy, a celem uwzględnienia tych postanowień jest poprawa perspektyw zacieśnienia stosunków gospodarczych. </w:t>
      </w:r>
      <w:r w:rsidRPr="00456EC5">
        <w:rPr>
          <w:rFonts w:ascii="Times New Roman" w:eastAsia="Calibri" w:hAnsi="Times New Roman" w:cs="Times New Roman"/>
          <w:sz w:val="24"/>
          <w:szCs w:val="24"/>
        </w:rPr>
        <w:lastRenderedPageBreak/>
        <w:t>Część ta zawiera także klauzulę, w której przewidziano przyszły rozwój stabilniejszych ram inwestycji.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W części V (Postanowienia instytucjonalne i końcowe) ustanowiono ramy instytucjonalne składające się ze Wspólnej Rady i Wspólnego Komitetu. Zawiera ona także postanowienie dotyczące wypełnienia zobowiązań; w postanowieniach tych uwzględniono środki oraz procedury działania, które należy zastosować, w przypadku gdyby jedna ze stron nie wypełniła swoich zobowiązań na mocy Umowy.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Umowa przewiduje także ustanowienie Wspólnej Rady, która będzie nadzorować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monitorować</w:t>
      </w:r>
      <w:r w:rsidRPr="00456EC5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wypełnianie celów Umowy. Powinna ona funkcjonować na szczeblu ministerialnym i zbierać się co najmniej raz na dwa lata. Na podstawie </w:t>
      </w:r>
      <w:r w:rsidR="00D42D3E">
        <w:rPr>
          <w:rFonts w:ascii="Times New Roman" w:eastAsia="Calibri" w:hAnsi="Times New Roman" w:cs="Times New Roman"/>
          <w:sz w:val="24"/>
          <w:szCs w:val="24"/>
        </w:rPr>
        <w:t>U</w:t>
      </w:r>
      <w:r w:rsidRPr="00456EC5">
        <w:rPr>
          <w:rFonts w:ascii="Times New Roman" w:eastAsia="Calibri" w:hAnsi="Times New Roman" w:cs="Times New Roman"/>
          <w:sz w:val="24"/>
          <w:szCs w:val="24"/>
        </w:rPr>
        <w:t>mowy zostanie także powołany Wspólny Komitet działający na szczeblu urzędników wyższego szczebla. Będzie on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odpowiedzialny za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wypełnianie postanowień Umowy. Tryb działania Wspólnego Komitetu zostanie ustanowiony przez Wspólną Radę.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Umowa zostaje zawarta na czas nieokreślony z możliwością jej wypowiedzenia, które staje się skuteczne po upływie sześciu miesięcy.</w:t>
      </w:r>
    </w:p>
    <w:p w:rsidR="00456EC5" w:rsidRPr="00D42D3E" w:rsidRDefault="00456EC5" w:rsidP="0015311B">
      <w:pPr>
        <w:numPr>
          <w:ilvl w:val="0"/>
          <w:numId w:val="1"/>
        </w:numPr>
        <w:spacing w:before="24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 xml:space="preserve">Skutki zawarcia Umowy </w:t>
      </w:r>
    </w:p>
    <w:p w:rsidR="00456EC5" w:rsidRPr="00D42D3E" w:rsidRDefault="00456EC5" w:rsidP="0015311B">
      <w:pPr>
        <w:numPr>
          <w:ilvl w:val="0"/>
          <w:numId w:val="2"/>
        </w:numPr>
        <w:spacing w:before="12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 xml:space="preserve">Skutki prawne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Podstawą prawną do podpisania Umowy przez Unię Europejską była decyzja Rady Unii Europejskiej w sprawie podpisania, w imieniu Unii Europejskiej, oraz tymczasowego stosowania Umowy o dialogu politycznym i współpracy między Unią Europejską i jej </w:t>
      </w:r>
      <w:r w:rsidR="00B2295C">
        <w:rPr>
          <w:rFonts w:ascii="Times New Roman" w:eastAsia="Calibri" w:hAnsi="Times New Roman" w:cs="Times New Roman"/>
          <w:sz w:val="24"/>
          <w:szCs w:val="24"/>
        </w:rPr>
        <w:t>p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aństwami </w:t>
      </w:r>
      <w:r w:rsidR="00B2295C">
        <w:rPr>
          <w:rFonts w:ascii="Times New Roman" w:eastAsia="Calibri" w:hAnsi="Times New Roman" w:cs="Times New Roman"/>
          <w:sz w:val="24"/>
          <w:szCs w:val="24"/>
        </w:rPr>
        <w:t>c</w:t>
      </w:r>
      <w:r w:rsidRPr="00456EC5">
        <w:rPr>
          <w:rFonts w:ascii="Times New Roman" w:eastAsia="Calibri" w:hAnsi="Times New Roman" w:cs="Times New Roman"/>
          <w:sz w:val="24"/>
          <w:szCs w:val="24"/>
        </w:rPr>
        <w:t>złonkowskimi, z jednej strony, a Republiką Kuby, z drugiej strony.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Postanowienia Umowy, ze względu na jej zamierzony cel i treść, są objęte zakresem art.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37 Traktatu o Unii Europejskiej oraz art. 207 i art. 209 w związku z art. 218 ust. 5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art. 218 ust. 8 akapit drugi Traktatu o funkcjonowaniu Unii Europejskiej.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Zgodnie z art. 86 ust. 2 Umowy wejdzie ona w życie pierwszego dnia drugiego miesiąca następującego po dniu, w którym Strony powiadomiły się wzajemnie o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zakończeniu wewnętrznych procedur prawnych. Wejście w życie Umowy nie spowoduje konieczności zmiany polskiego prawa.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Zgodnie</w:t>
      </w:r>
      <w:r w:rsidR="00B2295C">
        <w:rPr>
          <w:rFonts w:ascii="Times New Roman" w:eastAsia="Calibri" w:hAnsi="Times New Roman" w:cs="Times New Roman"/>
          <w:sz w:val="24"/>
          <w:szCs w:val="24"/>
        </w:rPr>
        <w:t xml:space="preserve"> z </w:t>
      </w:r>
      <w:r w:rsidR="00D42D3E">
        <w:rPr>
          <w:rFonts w:ascii="Times New Roman" w:eastAsia="Calibri" w:hAnsi="Times New Roman" w:cs="Times New Roman"/>
          <w:sz w:val="24"/>
          <w:szCs w:val="24"/>
        </w:rPr>
        <w:t>art. 86 ust. 3 U</w:t>
      </w:r>
      <w:r w:rsidRPr="00456EC5">
        <w:rPr>
          <w:rFonts w:ascii="Times New Roman" w:eastAsia="Calibri" w:hAnsi="Times New Roman" w:cs="Times New Roman"/>
          <w:sz w:val="24"/>
          <w:szCs w:val="24"/>
        </w:rPr>
        <w:t>mowy, do czasu jej wejścia w życie, część przepisów Umowy stosuje się tymczasowo, w zakresie, w którym dotyczą one spraw wchodzących w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zakres kompetencji Unii, w tym spraw wchodzących w zakres kompetencji Unii </w:t>
      </w:r>
      <w:r w:rsidRPr="00456EC5">
        <w:rPr>
          <w:rFonts w:ascii="Times New Roman" w:eastAsia="Calibri" w:hAnsi="Times New Roman" w:cs="Times New Roman"/>
          <w:sz w:val="24"/>
          <w:szCs w:val="24"/>
        </w:rPr>
        <w:lastRenderedPageBreak/>
        <w:t>dotyczących określania i wdrażania wspólnej polityki zagranicznej i bezpieczeństwa. Tymczasowe stosowanie rozpoczyna się pierwszego dnia drugiego miesiąca następującego po dniu, w którym Unia Europejska i Kuba powiadomiły się wzajemnie o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zakończeniu wewnętrznych procedur będących wymogiem wejścia w życie Umowy.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Tymczasowo stosuje się następujące części Umowy: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część I–IV, oraz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część V, w zakresie, w jakim znajdujące się tam przepisy ograniczają się do osiągniecia celu, jakim jest zapewnienie tymczasowego stosowania Umowy.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Jednakże na zasadzie tymczasowości nie stosuje się następujących artykułów: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art. 29,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art. 35,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art. 55, w zakresie, w jakim dotyczy on współpracy w dziedzinie transportu morskiego,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art.</w:t>
      </w:r>
      <w:r w:rsidR="00CD0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58,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art.</w:t>
      </w:r>
      <w:r w:rsidR="00CD073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 xml:space="preserve">71, w zakresie, w jakim dotyczy on bezpieczeństwa granic, </w:t>
      </w:r>
    </w:p>
    <w:p w:rsidR="00456EC5" w:rsidRPr="00456EC5" w:rsidRDefault="0015311B" w:rsidP="0015311B">
      <w:pPr>
        <w:spacing w:before="120"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art. 73, w zakresie, w jakim dotyczy on współpracy w ramach oznaczeń geograficznych innych niż rolnicze.</w:t>
      </w:r>
    </w:p>
    <w:p w:rsidR="00456EC5" w:rsidRPr="00D42D3E" w:rsidRDefault="00456EC5" w:rsidP="0015311B">
      <w:pPr>
        <w:numPr>
          <w:ilvl w:val="0"/>
          <w:numId w:val="2"/>
        </w:numPr>
        <w:spacing w:before="24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>Skutki polityczne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Podpisanie Umowy, a następnie jej wejście w życie, wpisuje się w założenia polityki Rzeczypospolitej Polskiej wobec regionu Ameryki Łacińskiej i Karaibów mającej na celu wspieranie dialogu politycznego i rozszerzanie obszarów współpracy.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Umowa jest pierwszą umową dwustronną między UE i </w:t>
      </w:r>
      <w:r w:rsidR="00B2295C">
        <w:rPr>
          <w:rFonts w:ascii="Times New Roman" w:eastAsia="Calibri" w:hAnsi="Times New Roman" w:cs="Times New Roman"/>
          <w:sz w:val="24"/>
          <w:szCs w:val="24"/>
        </w:rPr>
        <w:t xml:space="preserve">państwami członkowskimi </w:t>
      </w:r>
      <w:r w:rsidRPr="00456EC5">
        <w:rPr>
          <w:rFonts w:ascii="Times New Roman" w:eastAsia="Calibri" w:hAnsi="Times New Roman" w:cs="Times New Roman"/>
          <w:sz w:val="24"/>
          <w:szCs w:val="24"/>
        </w:rPr>
        <w:t>a</w:t>
      </w:r>
      <w:r w:rsidR="00B2295C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Kubą. Tworzy stabilne ramy stosunków UE</w:t>
      </w:r>
      <w:r w:rsidR="00695669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Kuba, zastępując dotychczasowy dialog prowadzony w trybie </w:t>
      </w:r>
      <w:r w:rsidRPr="00D42D3E">
        <w:rPr>
          <w:rFonts w:ascii="Times New Roman" w:eastAsia="Calibri" w:hAnsi="Times New Roman" w:cs="Times New Roman"/>
          <w:i/>
          <w:sz w:val="24"/>
          <w:szCs w:val="24"/>
        </w:rPr>
        <w:t>ad</w:t>
      </w:r>
      <w:r w:rsidR="0015311B" w:rsidRPr="00D42D3E"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42D3E">
        <w:rPr>
          <w:rFonts w:ascii="Times New Roman" w:eastAsia="Calibri" w:hAnsi="Times New Roman" w:cs="Times New Roman"/>
          <w:i/>
          <w:sz w:val="24"/>
          <w:szCs w:val="24"/>
        </w:rPr>
        <w:t>hoc</w:t>
      </w:r>
      <w:r w:rsidRPr="00456EC5">
        <w:rPr>
          <w:rFonts w:ascii="Times New Roman" w:eastAsia="Calibri" w:hAnsi="Times New Roman" w:cs="Times New Roman"/>
          <w:sz w:val="24"/>
          <w:szCs w:val="24"/>
        </w:rPr>
        <w:t>. Zapewnia ramy i platformę ściślejszej współpracy i dialogu w ramach szerokiej gamy dziedzin polityki.</w:t>
      </w:r>
    </w:p>
    <w:p w:rsidR="00456EC5" w:rsidRPr="00456EC5" w:rsidRDefault="00D42D3E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Przyjmując U</w:t>
      </w:r>
      <w:r w:rsidR="00695669">
        <w:rPr>
          <w:rFonts w:ascii="Times New Roman" w:eastAsia="Calibri" w:hAnsi="Times New Roman" w:cs="Times New Roman"/>
          <w:sz w:val="24"/>
          <w:szCs w:val="24"/>
        </w:rPr>
        <w:t xml:space="preserve">mowę UE –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>Kuba, która stanowi odzwierciedlenie zainteresowania stron zacieśnianiem relacji i uwzględnia zmieniający się kontekst regionalny (m.in. rola Kuby w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 xml:space="preserve">kolumbijskim procesie pokojowym, przełom w relacjach Hawany z USA), Polska wyraża przekonanie, że przyczyni się ona do zacieśnienia dialogu politycznego 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lastRenderedPageBreak/>
        <w:t>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="00456EC5" w:rsidRPr="00456EC5">
        <w:rPr>
          <w:rFonts w:ascii="Times New Roman" w:eastAsia="Calibri" w:hAnsi="Times New Roman" w:cs="Times New Roman"/>
          <w:sz w:val="24"/>
          <w:szCs w:val="24"/>
        </w:rPr>
        <w:t xml:space="preserve">wszechstronnej współpracy między UE i Kubą, jak również będzie mieć pozytywny wpływ na rozwój relacji bilateralnych Polski z Hawaną.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Utrzymanie mieszanego charakteru </w:t>
      </w:r>
      <w:r w:rsidR="00D42D3E">
        <w:rPr>
          <w:rFonts w:ascii="Times New Roman" w:eastAsia="Calibri" w:hAnsi="Times New Roman" w:cs="Times New Roman"/>
          <w:sz w:val="24"/>
          <w:szCs w:val="24"/>
        </w:rPr>
        <w:t>U</w:t>
      </w:r>
      <w:r w:rsidRPr="00456EC5">
        <w:rPr>
          <w:rFonts w:ascii="Times New Roman" w:eastAsia="Calibri" w:hAnsi="Times New Roman" w:cs="Times New Roman"/>
          <w:sz w:val="24"/>
          <w:szCs w:val="24"/>
        </w:rPr>
        <w:t>mowy, ze względu na jej zapisy odnoszące się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zarówno do kompetencji UE</w:t>
      </w:r>
      <w:r w:rsidR="00EA637E">
        <w:rPr>
          <w:rFonts w:ascii="Times New Roman" w:eastAsia="Calibri" w:hAnsi="Times New Roman" w:cs="Times New Roman"/>
          <w:sz w:val="24"/>
          <w:szCs w:val="24"/>
        </w:rPr>
        <w:t>,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 jak i prerogatyw państw członkowskich, było jednym z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głównym postulatów Polski w pracach nad mandatem negocjacyjnym. Podpisanie </w:t>
      </w:r>
      <w:r w:rsidR="00695669">
        <w:rPr>
          <w:rFonts w:ascii="Times New Roman" w:eastAsia="Calibri" w:hAnsi="Times New Roman" w:cs="Times New Roman"/>
          <w:sz w:val="24"/>
          <w:szCs w:val="24"/>
        </w:rPr>
        <w:t>U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mowy i równoległe zniesienie wspólnego stanowiska UE wobec Kuby z </w:t>
      </w:r>
      <w:r w:rsidR="00CD0734">
        <w:rPr>
          <w:rFonts w:ascii="Times New Roman" w:eastAsia="Calibri" w:hAnsi="Times New Roman" w:cs="Times New Roman"/>
          <w:sz w:val="24"/>
          <w:szCs w:val="24"/>
        </w:rPr>
        <w:t>dnia 2 </w:t>
      </w:r>
      <w:r w:rsidRPr="00456EC5">
        <w:rPr>
          <w:rFonts w:ascii="Times New Roman" w:eastAsia="Calibri" w:hAnsi="Times New Roman" w:cs="Times New Roman"/>
          <w:sz w:val="24"/>
          <w:szCs w:val="24"/>
        </w:rPr>
        <w:t>grudnia 1996 r. było zgodne ze stanowiskiem Polski.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Niezależnie od politycznego popar</w:t>
      </w:r>
      <w:r w:rsidR="006C42A5">
        <w:rPr>
          <w:rFonts w:ascii="Times New Roman" w:eastAsia="Calibri" w:hAnsi="Times New Roman" w:cs="Times New Roman"/>
          <w:sz w:val="24"/>
          <w:szCs w:val="24"/>
        </w:rPr>
        <w:t>cia dla podpisania U</w:t>
      </w:r>
      <w:r w:rsidRPr="00456EC5">
        <w:rPr>
          <w:rFonts w:ascii="Times New Roman" w:eastAsia="Calibri" w:hAnsi="Times New Roman" w:cs="Times New Roman"/>
          <w:sz w:val="24"/>
          <w:szCs w:val="24"/>
        </w:rPr>
        <w:t>mowy i wewnętrznej decyzji o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wszczęciu procedury ratyfikacyjnej, Polska będzie z uwagą monitorować realizację jej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postanowień przez stronę kubańską. Przedmiotem naszego szczególnego zainteresowania powinny być kwestie przestrzegania praw człowieka i swobód obywatelskich. </w:t>
      </w:r>
    </w:p>
    <w:p w:rsidR="00456EC5" w:rsidRPr="00D42D3E" w:rsidRDefault="00456EC5" w:rsidP="0015311B">
      <w:pPr>
        <w:numPr>
          <w:ilvl w:val="0"/>
          <w:numId w:val="2"/>
        </w:numPr>
        <w:spacing w:before="24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>Skutki gospodarcze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Umowa nie ma charakteru preferencyjnego i jedynie potwierdza istniejące zobowiązania UE i Kuby w ramach Światowej Organizacji Handlu (WTO). Umowa może jednak stanowić pewną podstawę do zacieśnienia relacji handlowych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inwestycyjnych między Polską a Kubą, gdyż między tymi krajami nie istnieją aktualnie żadne wiążące umowy z obszaru współpracy gospodarczej.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Obecnie Kuba jest marginalnym partnerem handlowym Polski w regionie Ameryki Łacińskiej, choć wartość obrotów handlowych od kilku lat stopniowo rośnie (w 2015 r. ok. 56,6 mln USD). Przy śladowych ilościach importu z Kuby do Polski w ostatnich latach (1,8 mln USD) Polska posiada znaczną nadwyżkę handlową w wymianie (ok.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52,9 mln USD). Jednocześnie udział Polski w handlu całej UE jest wciąż niewielki (w 2015 r. było to ok. 1,8%).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W 2016 r. wzajemne obroty były niższe, sięgały 48,8 mln USD</w:t>
      </w:r>
      <w:r w:rsidR="00B2295C">
        <w:rPr>
          <w:rFonts w:ascii="Times New Roman" w:eastAsia="Calibri" w:hAnsi="Times New Roman" w:cs="Times New Roman"/>
          <w:sz w:val="24"/>
          <w:szCs w:val="24"/>
        </w:rPr>
        <w:t>,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 ale w znakomitej większości (48,6 mln USD) był to eksport. Polska eksportowała na Kubę głównie pszenicę (31,7%), mleko/śmietanę w proszku (23,4%), podroby drobiowe (19,6%), mleko/śmietanę zagęszczoną (9,1%), silniki turbośmigłowe (2,9%), części samolotów, karmę dla zwierząt, masło</w:t>
      </w:r>
      <w:r w:rsidR="00F846EB">
        <w:rPr>
          <w:rFonts w:ascii="Times New Roman" w:eastAsia="Calibri" w:hAnsi="Times New Roman" w:cs="Times New Roman"/>
          <w:sz w:val="24"/>
          <w:szCs w:val="24"/>
        </w:rPr>
        <w:t xml:space="preserve"> i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 sery. W imporcie dominowały: miód (58,1%), sok pomarańczowy (27,9%), sok grejpfrutowy, </w:t>
      </w:r>
      <w:r w:rsidR="00CD0734">
        <w:rPr>
          <w:rFonts w:ascii="Times New Roman" w:eastAsia="Calibri" w:hAnsi="Times New Roman" w:cs="Times New Roman"/>
          <w:sz w:val="24"/>
          <w:szCs w:val="24"/>
        </w:rPr>
        <w:t>rum, cygara i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 kawa. Nadal istnieje potencjał wzrostu obrotów, zwłaszcza w sektorze rolno-spożywczym, maszyn rolniczych, usług turystycznych, konserwacji zabytków, ew. infrastruktury hotelowej. Ponadto istnieje </w:t>
      </w:r>
      <w:r w:rsidRPr="00456EC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niewykorzystany potencjał w zakresie współpracy inwestycyjnej, zwłaszcza w sektorze turystycznym i branżach powiązanych z turystyką. </w:t>
      </w:r>
    </w:p>
    <w:p w:rsidR="00456EC5" w:rsidRPr="00D42D3E" w:rsidRDefault="00456EC5" w:rsidP="0015311B">
      <w:pPr>
        <w:numPr>
          <w:ilvl w:val="0"/>
          <w:numId w:val="2"/>
        </w:numPr>
        <w:spacing w:before="12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>Skutki finansowe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Wejście w życie Umowy nie spowoduje bezpośrednich obciążeń finansowych dla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Rzeczypospolitej Polskiej.</w:t>
      </w:r>
    </w:p>
    <w:p w:rsidR="00456EC5" w:rsidRPr="00D42D3E" w:rsidRDefault="00456EC5" w:rsidP="0015311B">
      <w:pPr>
        <w:numPr>
          <w:ilvl w:val="0"/>
          <w:numId w:val="2"/>
        </w:numPr>
        <w:spacing w:before="24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>Skutki społeczne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Umowa zawiera szeroki katalog dziedzin, w których jest przewidziane prowadzenie dialogu społecznego i współpracy sektorowej. Szczególnie istotne z punktu widzenia Polski są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zapisy dotyczące rządów prawa i praw człowieka, wymiaru sprawiedliwości i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>bezpieczeństwa obywateli, jak również współpracy regionalnej oraz kooperacji na forach międzynarodowych.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Jednym z postanowień Umowy jest również promocja kontaktów, dialogu i współpracy między społeczeństwami Kuby i państw Unii Europejskiej.</w:t>
      </w:r>
    </w:p>
    <w:p w:rsidR="00456EC5" w:rsidRPr="00D42D3E" w:rsidRDefault="00456EC5" w:rsidP="0015311B">
      <w:pPr>
        <w:numPr>
          <w:ilvl w:val="0"/>
          <w:numId w:val="1"/>
        </w:numPr>
        <w:spacing w:before="240"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D3E">
        <w:rPr>
          <w:rFonts w:ascii="Times New Roman" w:eastAsia="Calibri" w:hAnsi="Times New Roman" w:cs="Times New Roman"/>
          <w:sz w:val="24"/>
          <w:szCs w:val="24"/>
        </w:rPr>
        <w:t>Tryb związania się Umową przez Polskę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Ze względu na mieszany charakter Umowy, wynikający z zakresu kompetencji Unii Europejskiej oraz jej państw członkowskich określonych w Traktacie o Unii Europejskiej oraz Traktacie o funkcjonowaniu Unii Europejskiej, wejście w życie Umowy wymaga przeprowadzenia odpowiedniej procedury wyrażenia zgody na związanie się nią w państwach członkowskich Unii Europejskiej, w tym w</w:t>
      </w:r>
      <w:r w:rsidR="0015311B">
        <w:rPr>
          <w:rFonts w:ascii="Times New Roman" w:eastAsia="Calibri" w:hAnsi="Times New Roman" w:cs="Times New Roman"/>
          <w:sz w:val="24"/>
          <w:szCs w:val="24"/>
        </w:rPr>
        <w:t> 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Rzeczypospolitej Polskiej. </w:t>
      </w:r>
    </w:p>
    <w:p w:rsidR="00456EC5" w:rsidRPr="00456EC5" w:rsidRDefault="00456EC5" w:rsidP="0015311B">
      <w:pPr>
        <w:spacing w:before="120"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6EC5">
        <w:rPr>
          <w:rFonts w:ascii="Times New Roman" w:eastAsia="Calibri" w:hAnsi="Times New Roman" w:cs="Times New Roman"/>
          <w:sz w:val="24"/>
          <w:szCs w:val="24"/>
        </w:rPr>
        <w:t>Umowa ustanawia mechanizm współpracy politycznej i handlowej między Unią Europejską i jej państwami członkowskimi a Kubą. Mechanizm ten charakteryzuje się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wzajemnością praw i obowiązków oraz wspólnymi działaniami realizowanymi przez powołane w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tym celu organy, według określonych procedur. Ponadto Umowa reguluje kwestie uregulowane w Rzeczypospolitej Polskiej aktami rangi ustawowej (np. ochrona danych osobowych, zwalczanie przestępczości zorganizowanej i korupcji, migracja, ochrona konsularna). W związku z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powyższym Umowa podlega ratyfikacji za uprzednią zgodą wyrażoną w ustawie, zgodnie z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>art.</w:t>
      </w:r>
      <w:r w:rsidR="001531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6EC5">
        <w:rPr>
          <w:rFonts w:ascii="Times New Roman" w:eastAsia="Calibri" w:hAnsi="Times New Roman" w:cs="Times New Roman"/>
          <w:sz w:val="24"/>
          <w:szCs w:val="24"/>
        </w:rPr>
        <w:t xml:space="preserve">89 ust. 1 pkt 3 i 5 Konstytucji Rzeczypospolitej Polskiej. </w:t>
      </w:r>
    </w:p>
    <w:sectPr w:rsidR="00456EC5" w:rsidRPr="00456EC5" w:rsidSect="00695669">
      <w:footerReference w:type="default" r:id="rId9"/>
      <w:footerReference w:type="first" r:id="rId10"/>
      <w:pgSz w:w="11906" w:h="16838" w:code="9"/>
      <w:pgMar w:top="141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EC5" w:rsidRDefault="00456EC5" w:rsidP="00456EC5">
      <w:pPr>
        <w:spacing w:after="0" w:line="240" w:lineRule="auto"/>
      </w:pPr>
      <w:r>
        <w:separator/>
      </w:r>
    </w:p>
  </w:endnote>
  <w:endnote w:type="continuationSeparator" w:id="0">
    <w:p w:rsidR="00456EC5" w:rsidRDefault="00456EC5" w:rsidP="00456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AA1" w:rsidRDefault="00AC249B" w:rsidP="0015311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B2635A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BDE" w:rsidRDefault="00B2635A" w:rsidP="0015311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EC5" w:rsidRDefault="00456EC5" w:rsidP="00456EC5">
      <w:pPr>
        <w:spacing w:after="0" w:line="240" w:lineRule="auto"/>
      </w:pPr>
      <w:r>
        <w:separator/>
      </w:r>
    </w:p>
  </w:footnote>
  <w:footnote w:type="continuationSeparator" w:id="0">
    <w:p w:rsidR="00456EC5" w:rsidRDefault="00456EC5" w:rsidP="00456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4100F"/>
    <w:multiLevelType w:val="hybridMultilevel"/>
    <w:tmpl w:val="02C8FD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C062C"/>
    <w:multiLevelType w:val="hybridMultilevel"/>
    <w:tmpl w:val="43FA2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EC5"/>
    <w:rsid w:val="00104180"/>
    <w:rsid w:val="0015311B"/>
    <w:rsid w:val="00175A27"/>
    <w:rsid w:val="00250305"/>
    <w:rsid w:val="00282157"/>
    <w:rsid w:val="00456EC5"/>
    <w:rsid w:val="0069354A"/>
    <w:rsid w:val="00695669"/>
    <w:rsid w:val="006C42A5"/>
    <w:rsid w:val="006C755C"/>
    <w:rsid w:val="00777034"/>
    <w:rsid w:val="008768FE"/>
    <w:rsid w:val="009A480B"/>
    <w:rsid w:val="00A61B74"/>
    <w:rsid w:val="00AA4052"/>
    <w:rsid w:val="00AC249B"/>
    <w:rsid w:val="00AD6A67"/>
    <w:rsid w:val="00B2295C"/>
    <w:rsid w:val="00B2635A"/>
    <w:rsid w:val="00B71310"/>
    <w:rsid w:val="00B92A4D"/>
    <w:rsid w:val="00BE4B65"/>
    <w:rsid w:val="00C64C3C"/>
    <w:rsid w:val="00C70323"/>
    <w:rsid w:val="00CC5016"/>
    <w:rsid w:val="00CD0734"/>
    <w:rsid w:val="00D42D3E"/>
    <w:rsid w:val="00EA637E"/>
    <w:rsid w:val="00F846EB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56E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456E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56E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56E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56E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456E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56EC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56EC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61AEB-DA36-4CA0-AE81-7C94B0869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1789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cp:lastPrinted>2017-09-26T07:55:00Z</cp:lastPrinted>
  <dcterms:created xsi:type="dcterms:W3CDTF">2017-09-29T09:01:00Z</dcterms:created>
  <dcterms:modified xsi:type="dcterms:W3CDTF">2017-09-29T09:01:00Z</dcterms:modified>
</cp:coreProperties>
</file>