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6AC" w:rsidRDefault="007E26CA" w:rsidP="00DF5F5A">
      <w:pPr>
        <w:spacing w:after="24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UZASADNIENIE</w:t>
      </w:r>
    </w:p>
    <w:p w:rsidR="00084ED9" w:rsidRDefault="00084ED9" w:rsidP="00084ED9">
      <w:pPr>
        <w:pStyle w:val="NIEARTTEKSTtekstnieartykuowanynppodstprawnarozplubpreambua"/>
      </w:pPr>
      <w:r>
        <w:t>Przedmiotem projektu ustawy jest zmiana art. 25 k.k., określającego kontratyp obrony koniecznej. Zmiana ta polega na dodaniu do tego przepisu nowej jednostki redakcyjnej – § 2a, przewidującego uchylenie karalności czynu ekscendenta w sytuacji, gdy przekroczenie granic obrony koniecznej nastąpi przy odpieraniu bezprawnego zamachu, polegającego na wdarciu się do mieszkania, lokalu, domu albo przylegającego do nich ogrodzonego terenu. Instytucja t</w:t>
      </w:r>
      <w:r w:rsidR="00FB7594">
        <w:t>a</w:t>
      </w:r>
      <w:r>
        <w:t xml:space="preserve"> nie miałaby natomiast zastosowania do sytuacji, w której przekroczenie granic obrony koniecznej byłoby rażące, np. sposób obrony czy też użyte w tym celu środki byłyby oczywiście niewspółmierne do zagrożenia wynikającego  z zachowania napastnika. </w:t>
      </w:r>
    </w:p>
    <w:p w:rsidR="00084ED9" w:rsidRDefault="00084ED9" w:rsidP="00084ED9">
      <w:pPr>
        <w:pStyle w:val="NIEARTTEKSTtekstnieartykuowanynppodstprawnarozplubpreambua"/>
      </w:pPr>
      <w:r>
        <w:t>Jedną z przyczyn nowelizacji jest ocena dotychczasowej praktyki stosowania prawa, która wskazuje na zbyt częste występowanie przypadków nieuzasadnionego pomijania przepisu art. 25 § 1</w:t>
      </w:r>
      <w:r w:rsidR="00FB7594">
        <w:t>–</w:t>
      </w:r>
      <w:r>
        <w:t xml:space="preserve">3 k.k. przy dokonywaniu prawnej oceny zachowania osoby, która w związku z odpieraniem bezprawnego zamachu naruszyła lub naraziła na niebezpieczeństwo dobra prawne napastnika. Zasadniczym prawnym ograniczeniem reakcji na atak jest warunek „współmierności sposobu obrony do niebezpieczeństwa zamachu”. Należy wskazać, że w polskiej doktrynie prawa karnego i orzecznictwie Sądu Najwyższego wykształciły się zasadniczo dwa stanowiska w zakresie „współmierności” sposobu obrony. Pierwszy – przeważający – pogląd nakłada na napadniętego obowiązek wyboru najmniej dotkliwego środka obrony spośród środków skutecznych. Niezbędnym zdroworozsądkowym uzupełnieniem tego stanowiska jest twierdzenie, że do skutecznej obrony </w:t>
      </w:r>
      <w:r w:rsidR="00546997">
        <w:t xml:space="preserve">jest </w:t>
      </w:r>
      <w:r>
        <w:t xml:space="preserve">konieczny element przewagi działań obronnych nad atakiem, gdyż przy ścisłej „współmierności” między intensywnością zamachu a intensywnością obrony zachodziłaby  „tylko społecznie niepożądana wzajemność, a nie skuteczna obrona” (wyrok SN z dnia 10 stycznia 1969 r., sygn. akt IV KR 234/68, OSNKW 1969, nr 7–8, poz. 80). Stąd precyzyjne i jasne sformułowanie tego stanowiska przez m.in. A. Marka, iż warunek współmierności sposobu obrony nakłada obowiązek wyboru najłagodniejszego spośród równie skutecznych środków obrony (A. Marek, </w:t>
      </w:r>
      <w:r>
        <w:rPr>
          <w:rStyle w:val="Kkursywa"/>
        </w:rPr>
        <w:t>Obrona konieczna w prawie karnym. Teoria i orzecznictwo</w:t>
      </w:r>
      <w:r>
        <w:t xml:space="preserve">, Warszawa 2008, s. 115–116). Drugie z nich zakłada dopuszczalność używania wszelkich dostępnych sposobów skutecznego odparcia zamachu. Konsekwencją tego poglądu jest założenie, że „działającego w obronie koniecznej nie obowiązuje zachowanie jakiejś kolejności w wyborze środków (przedmiotów), które może on odeprzeć wszelkimi dostępnymi w konkretnej sytuacji środkami obrony” (wyrok SN z dnia 3 lipca 1969 r., sygn. akt IV KR 118/69, OSPiKA 1970, Nr 1, poz. 10). Powyższe stanowiska opierają się na konkluzji, że eksces </w:t>
      </w:r>
      <w:r>
        <w:lastRenderedPageBreak/>
        <w:t>intensywny zachodzi przy użyciu bardziej szkodliwego dla napastnika środka obrony, spośród równie skutecznych. Oznacza to prawo do użycia środka najskuteczniejszego i obowiązek wyboru środka najmniej niebezpiecznego spośród tak wyodrębnionej grupy środków. Ocena</w:t>
      </w:r>
      <w:r w:rsidR="00FB7594">
        <w:t>,</w:t>
      </w:r>
      <w:r>
        <w:t xml:space="preserve"> czy zachodzi eksces intensywny</w:t>
      </w:r>
      <w:r w:rsidR="00FB7594">
        <w:t>,</w:t>
      </w:r>
      <w:r>
        <w:t xml:space="preserve"> jest jedną z najtrudniejszych w procesie stosowania prawa karnego. Jak wskazuje przegląd praktyki orzeczniczej w tym zakresie dokonany przez T. Tabaszewskiego</w:t>
      </w:r>
      <w:r w:rsidR="00FB7594">
        <w:t>,</w:t>
      </w:r>
      <w:r>
        <w:t xml:space="preserve"> sądy zbyt rzadko stosują te kryteria współmierności sposobu obrony wypracowane przez Sąd Najwyższy, które gwarantują efektywne korzystanie z kontratypu przewidzianego w art. 25 k.k., a tym samym umożliwiają realizację przypisywanych mu funkcji. Dokonana przez powołanego autora analiza orzecznictwa sądów powszechnych wskazuje, że najczęściej popełnianym błędem jest dokonywanie oceny niebezpieczeństwa zamachu bez uwzględnienia elementów subiektywnych, z pozycji </w:t>
      </w:r>
      <w:r w:rsidRPr="00084ED9">
        <w:rPr>
          <w:i/>
        </w:rPr>
        <w:t>ex post</w:t>
      </w:r>
      <w:r>
        <w:t xml:space="preserve"> – przez pryzmat skutków obrony, podczas gdy prawidłowa jest ocena </w:t>
      </w:r>
      <w:r>
        <w:rPr>
          <w:rStyle w:val="Kkursywa"/>
        </w:rPr>
        <w:t>ex ante</w:t>
      </w:r>
      <w:r>
        <w:t>. Prowadzi to niejednokrotnie w konkretnych sytuacjach procesow</w:t>
      </w:r>
      <w:bookmarkStart w:id="1" w:name="wtorek"/>
      <w:bookmarkEnd w:id="1"/>
      <w:r>
        <w:t xml:space="preserve">ych do zaprzeczenia zasady trafnej reakcji karnej (art. 2 § 1 pkt 2 k.p.k.), podniesionej przez ustawodawcę do rangi jednego z zasadniczych celów postępowania karnego. Towarzyszy temu częstokroć pogwałcenie innych zasad procesu karnego, w tym zasady prawdy materialnej (art. 2 § 2 k.p.k.) oraz zasady obiektywizmu (art. 4 k.p.k.). Stąd też </w:t>
      </w:r>
      <w:r w:rsidR="00546997">
        <w:t xml:space="preserve">jest </w:t>
      </w:r>
      <w:r>
        <w:t>niezbędne wyeliminowanie ryzyka wadliwej interpretacji art. 25 § 2 k.k. dotyczącej „współmierności obrony do niebezpieczeństwa zamachu” przez uchylenie karalności ekscesu intensywnego, gdy zagrożone zamachem są dobra osobiste stojące na czele hierarchii wartości.</w:t>
      </w:r>
    </w:p>
    <w:p w:rsidR="00084ED9" w:rsidRDefault="00084ED9" w:rsidP="00084ED9">
      <w:pPr>
        <w:pStyle w:val="NIEARTTEKSTtekstnieartykuowanynppodstprawnarozplubpreambua"/>
      </w:pPr>
      <w:r>
        <w:t xml:space="preserve">Należy też zwrócić uwagę na negatywne odczucia społeczne związane z wyżej opisanymi przypadkami stosowania prawa. Prawo do obrony jest w naszym kręgu kulturowym uważane za jedno </w:t>
      </w:r>
      <w:r w:rsidR="00C1600A">
        <w:t xml:space="preserve">z </w:t>
      </w:r>
      <w:r>
        <w:t>ważniejszych praw i większość jego ograniczeń uznawanych jest za niezgodne z intuicyjnie definiowanym poczuciem sprawiedliwości (</w:t>
      </w:r>
      <w:r>
        <w:rPr>
          <w:rStyle w:val="Kkursywa"/>
        </w:rPr>
        <w:t>vide</w:t>
      </w:r>
      <w:r>
        <w:t xml:space="preserve"> M. Szafraniec, </w:t>
      </w:r>
      <w:r>
        <w:rPr>
          <w:rStyle w:val="Kkursywa"/>
        </w:rPr>
        <w:t>Przekroczenie granic obrony koniecznej w polskim prawie karnym</w:t>
      </w:r>
      <w:r>
        <w:t xml:space="preserve">, Kraków 2004, s. 77). W konsekwencji w opinii publicznej utrwala się groźne społecznie przekonanie o uprzywilejowaniu przez prawo dobra napastnika kosztem dobra napadniętego (T. Tabaszewski, </w:t>
      </w:r>
      <w:r>
        <w:rPr>
          <w:rStyle w:val="Kkursywa"/>
        </w:rPr>
        <w:t>Eksces intensywny obrony koniecznej w orzecznictwie</w:t>
      </w:r>
      <w:r>
        <w:t xml:space="preserve">, Prokuratura i Prawo 2010, nr 12, s. 72) i nieopłacalności przeciwdziałania aktom bezprawia, wskutek czego poważnego uszczerbku doznaje zaufanie obywateli do państwa, jego organów oraz porządku prawnego.  Planowana nowelizacja ma na celu wyeliminować tego rodzaju negatywne konsekwencje, a jednocześnie zachęcić obywateli do przeciwdziałania klasycznym aktom agresji ze strony napastników bez strachu przed poniesieniem z tego tytułu odpowiedzialności </w:t>
      </w:r>
      <w:r>
        <w:lastRenderedPageBreak/>
        <w:t xml:space="preserve">karnej. Nie bez znaczenia jest również aspekt ogólnoprewencyjny, przejawiający się w wyrażeniu precyzyjnego i jednoznacznego komunikatu skierowanego do potencjalnego zamachowca o prawie każdego obywatela do skutecznego odparcia zamachu. Zadaniem stawianym planowanej nowelizacji jest także ochrona obywateli przed uznaniowymi działaniami organów ścigania i wymiaru sprawiedliwości przy interpretacji niejasnych i niedookreślonych zwrotów w postaci strachu i wzburzenia, które dodatkowo mają być usprawiedliwione okolicznościami zamachu. </w:t>
      </w:r>
    </w:p>
    <w:p w:rsidR="00084ED9" w:rsidRDefault="00084ED9" w:rsidP="00084ED9">
      <w:pPr>
        <w:pStyle w:val="NIEARTTEKSTtekstnieartykuowanynppodstprawnarozplubpreambua"/>
      </w:pPr>
      <w:r>
        <w:t xml:space="preserve">Dla realizacji wskazanych celów projektowana zmiana przesuwa akcent ze sfery emocjonalnej osoby odpierającej zamach na mający charakter zobiektywizowany przedmiot zamachu. W ten sposób zostanie w sposób jasny i niebudzący wątpliwości przyznana obywatelom możliwość ochrony dóbr prawnych o fundamentalnym znaczeniu z punktu widzenia akceptowanego w społeczeństwie systemu aksjologicznego przed bezprawnymi zamachami. Szczególne okoliczności ataku, to jest wdarcie się do pomieszczeń mieszkalnych, a więc istotne naruszenie sfery prywatnej jednostki i związane z tym w praktyce niebezpieczeństwo, powodują, że jest on na tyle społecznie szkodliwy, że </w:t>
      </w:r>
      <w:r w:rsidR="00546997">
        <w:t xml:space="preserve">jest </w:t>
      </w:r>
      <w:r>
        <w:t xml:space="preserve">usprawiedliwione podjęcie wszelkich środków mających na celu skuteczne powstrzymanie napastnika przed kontynuowaniem zamachu. Stąd też osoba podejmująca obronę nie powinna podlegać karze, nawet w sytuacji przekroczenia granic obrony. Jeżeli przekroczenie granic obrony koniecznej miało mimo wszystko charakter rażący, ekscedent może skorzystać z instytucji niepodlegania karze przewidzianej w art. 25 § 3 k.k., to jest wtedy, gdy rażące przekroczenie granic nastąpiło pod wpływem strachu lub wzburzenia usprawiedliwionego okolicznościami. Wreszcie, nawet pomimo rażącego przekroczenia granic obrony koniecznej, sąd może zastosować </w:t>
      </w:r>
      <w:r w:rsidR="00C1600A">
        <w:t xml:space="preserve">przewidziane </w:t>
      </w:r>
      <w:r>
        <w:t xml:space="preserve">nadzwyczajne złagodzenie kary, a nawet odstąpić od jej wymierzenia. </w:t>
      </w:r>
    </w:p>
    <w:p w:rsidR="00084ED9" w:rsidRDefault="00084ED9" w:rsidP="00084ED9">
      <w:pPr>
        <w:pStyle w:val="NIEARTTEKSTtekstnieartykuowanynppodstprawnarozplubpreambua"/>
      </w:pPr>
      <w:r>
        <w:t>Wyłącznie oddzielne uregulowanie prawa do obrony podstawowych dóbr osobistych oraz domostwa przywróci postulowaną od lat funkcjonalność i społeczną akceptację instytucji obrony koniecznej. Proponowane rozdzielenie katalogu dóbr chronionych występuje w prawie karnym USA, w którym przyjmuje się, że zaatakowany ma prawo do czynnego odpierania zamachu na życie, zdrowie wolność, a także mienie, jeśli jest on połączony z użyciem przemocy lub dokonaniem włamania. Należy także dodać, że prawo anglosaskie szczególne uprawnienia przyznaje obronie domostw przed bezprawnym najściem (</w:t>
      </w:r>
      <w:r w:rsidRPr="00084ED9">
        <w:rPr>
          <w:i/>
        </w:rPr>
        <w:t>the privilege of defense of habitation</w:t>
      </w:r>
      <w:r>
        <w:t xml:space="preserve">). Jeśli zaś chodzi o system prawa kontynentalnego, to kodeks karny litewski przewiduje, iż przekroczeniem granic obrony koniecznej nie będzie </w:t>
      </w:r>
      <w:r>
        <w:lastRenderedPageBreak/>
        <w:t>czyn, który osoba popełniła pod wpływem dużego wzburzenia lub strachu wywołanego przez niebezpieczeństwo zamachu lub w obronie przed wdarciem się do mieszkania.</w:t>
      </w:r>
    </w:p>
    <w:p w:rsidR="00084ED9" w:rsidRDefault="00084ED9" w:rsidP="00084ED9">
      <w:pPr>
        <w:pStyle w:val="ARTartustawynprozporzdzenia"/>
      </w:pPr>
      <w:r>
        <w:t xml:space="preserve">Przedmiot projektowanej regulacji nie jest objęty zakresem prawa Unii Europejskiej. </w:t>
      </w:r>
    </w:p>
    <w:p w:rsidR="00084ED9" w:rsidRDefault="00084ED9" w:rsidP="00084ED9">
      <w:pPr>
        <w:pStyle w:val="ARTartustawynprozporzdzenia"/>
      </w:pPr>
      <w:r>
        <w:t>Projekt nie wpływa na działalność mikroprzedsiębiorców oraz małych i średnich przedsiębiorców.</w:t>
      </w:r>
    </w:p>
    <w:p w:rsidR="00084ED9" w:rsidRDefault="00084ED9" w:rsidP="00084ED9">
      <w:pPr>
        <w:pStyle w:val="ARTartustawynprozporzdzenia"/>
      </w:pPr>
      <w:r>
        <w:t>Zgodnie z § 4 rozporządzenia Rady Ministrów z dnia 23 grudnia 2002 r. w sprawie sposobu funkcjonowania krajowego systemu notyfikacji norm i aktów prawnych (Dz. U. poz. 2039 oraz z 2004 r. poz. 597) projektowana ustawa nie podlega notyfikacji Komisji Europejskiej.</w:t>
      </w:r>
    </w:p>
    <w:p w:rsidR="00084ED9" w:rsidRDefault="00084ED9" w:rsidP="00084ED9">
      <w:pPr>
        <w:pStyle w:val="ARTartustawynprozporzdzenia"/>
      </w:pPr>
      <w:r>
        <w:t>Zgodnie z art. 5 ustawy z dnia 7 lipca 2005 r. o działalności lobbingowej w procesie stanowienia prawa (Dz. U. z 2017 r. poz. 248) projekt ustawy został udostępniony w Biuletynie Informacji Publicznej na stronie Rządowego Centrum Legislacji, w serwisie Rządowy Proces Legislacyjny. Uwag nie zgłoszono.</w:t>
      </w:r>
    </w:p>
    <w:p w:rsidR="00084ED9" w:rsidRDefault="00084ED9" w:rsidP="00084ED9">
      <w:pPr>
        <w:pStyle w:val="ARTartustawynprozporzdzenia"/>
      </w:pPr>
      <w:r>
        <w:t>W celu spełnienia wymogów, o których mowa w § 42 ust. 1 pkt 1 uchwały nr 190 Rady Ministrów z dnia 29 października 2013 r. – Regulamin pracy Rady Ministrów (M.P. z 2016 r. poz. 1006, z późn. zm</w:t>
      </w:r>
      <w:r w:rsidR="00DE6AA8">
        <w:t>.</w:t>
      </w:r>
      <w:r>
        <w:t xml:space="preserve">), projekt ustawy został skierowany do Kancelarii Prezesa Rady Ministrów. Zgłoszone uwagi zostały uwzględnione. </w:t>
      </w:r>
    </w:p>
    <w:sectPr w:rsidR="00084ED9" w:rsidSect="00727934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8F2" w:rsidRDefault="00CF08F2" w:rsidP="009D78F9">
      <w:pPr>
        <w:spacing w:after="0" w:line="240" w:lineRule="auto"/>
      </w:pPr>
      <w:r>
        <w:separator/>
      </w:r>
    </w:p>
  </w:endnote>
  <w:endnote w:type="continuationSeparator" w:id="0">
    <w:p w:rsidR="00CF08F2" w:rsidRDefault="00CF08F2" w:rsidP="009D7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94411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92C21" w:rsidRPr="00392C21" w:rsidRDefault="00392C21" w:rsidP="00392C21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92C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2C2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3EF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8F2" w:rsidRDefault="00CF08F2" w:rsidP="009D78F9">
      <w:pPr>
        <w:spacing w:after="0" w:line="240" w:lineRule="auto"/>
      </w:pPr>
      <w:r>
        <w:separator/>
      </w:r>
    </w:p>
  </w:footnote>
  <w:footnote w:type="continuationSeparator" w:id="0">
    <w:p w:rsidR="00CF08F2" w:rsidRDefault="00CF08F2" w:rsidP="009D7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41EA2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4EE4F79"/>
    <w:multiLevelType w:val="hybridMultilevel"/>
    <w:tmpl w:val="5E823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9E2B58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6254F"/>
    <w:multiLevelType w:val="hybridMultilevel"/>
    <w:tmpl w:val="20CA30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7869C6"/>
    <w:multiLevelType w:val="hybridMultilevel"/>
    <w:tmpl w:val="4E9AD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292349"/>
    <w:multiLevelType w:val="hybridMultilevel"/>
    <w:tmpl w:val="F1FC0650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2610BC42">
      <w:start w:val="1"/>
      <w:numFmt w:val="bullet"/>
      <w:lvlText w:val=""/>
      <w:lvlJc w:val="left"/>
      <w:pPr>
        <w:tabs>
          <w:tab w:val="num" w:pos="1767"/>
        </w:tabs>
        <w:ind w:left="176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6">
    <w:nsid w:val="1E3D318B"/>
    <w:multiLevelType w:val="hybridMultilevel"/>
    <w:tmpl w:val="0D7E1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A23D91"/>
    <w:multiLevelType w:val="hybridMultilevel"/>
    <w:tmpl w:val="29A04C7E"/>
    <w:lvl w:ilvl="0" w:tplc="A31018B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4D263FF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FEE2A02"/>
    <w:multiLevelType w:val="multilevel"/>
    <w:tmpl w:val="3EE2E83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21CD007E"/>
    <w:multiLevelType w:val="hybridMultilevel"/>
    <w:tmpl w:val="FC0C11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2DF723B"/>
    <w:multiLevelType w:val="multilevel"/>
    <w:tmpl w:val="42ECDCCE"/>
    <w:lvl w:ilvl="0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11">
    <w:nsid w:val="245A51BA"/>
    <w:multiLevelType w:val="hybridMultilevel"/>
    <w:tmpl w:val="4970AB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79D6C8D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C23FD6"/>
    <w:multiLevelType w:val="hybridMultilevel"/>
    <w:tmpl w:val="8048DF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8B1EDD"/>
    <w:multiLevelType w:val="hybridMultilevel"/>
    <w:tmpl w:val="95FA285E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67"/>
        </w:tabs>
        <w:ind w:left="176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16">
    <w:nsid w:val="3B65511A"/>
    <w:multiLevelType w:val="hybridMultilevel"/>
    <w:tmpl w:val="4CAA9CB6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7">
    <w:nsid w:val="3F4C0EBE"/>
    <w:multiLevelType w:val="multilevel"/>
    <w:tmpl w:val="7C6E0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12B5719"/>
    <w:multiLevelType w:val="hybridMultilevel"/>
    <w:tmpl w:val="5CD61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E5730E"/>
    <w:multiLevelType w:val="hybridMultilevel"/>
    <w:tmpl w:val="3C7829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BE361A"/>
    <w:multiLevelType w:val="hybridMultilevel"/>
    <w:tmpl w:val="3AE85FAA"/>
    <w:lvl w:ilvl="0" w:tplc="04150011">
      <w:start w:val="1"/>
      <w:numFmt w:val="decimal"/>
      <w:lvlText w:val="%1)"/>
      <w:lvlJc w:val="left"/>
      <w:pPr>
        <w:tabs>
          <w:tab w:val="num" w:pos="1047"/>
        </w:tabs>
        <w:ind w:left="104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21">
    <w:nsid w:val="51461DEA"/>
    <w:multiLevelType w:val="hybridMultilevel"/>
    <w:tmpl w:val="80049DC2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2">
    <w:nsid w:val="57D5579E"/>
    <w:multiLevelType w:val="hybridMultilevel"/>
    <w:tmpl w:val="0AD26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863083"/>
    <w:multiLevelType w:val="hybridMultilevel"/>
    <w:tmpl w:val="B28ADCD0"/>
    <w:lvl w:ilvl="0" w:tplc="6962492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4">
    <w:nsid w:val="5DBB20EB"/>
    <w:multiLevelType w:val="hybridMultilevel"/>
    <w:tmpl w:val="10E6B354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60417BAC"/>
    <w:multiLevelType w:val="hybridMultilevel"/>
    <w:tmpl w:val="7ACED012"/>
    <w:lvl w:ilvl="0" w:tplc="69624922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6">
    <w:nsid w:val="605729A9"/>
    <w:multiLevelType w:val="hybridMultilevel"/>
    <w:tmpl w:val="E06E7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DD2B62"/>
    <w:multiLevelType w:val="hybridMultilevel"/>
    <w:tmpl w:val="9CBC53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C56F97"/>
    <w:multiLevelType w:val="hybridMultilevel"/>
    <w:tmpl w:val="07FCC90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9">
    <w:nsid w:val="6FFD0546"/>
    <w:multiLevelType w:val="hybridMultilevel"/>
    <w:tmpl w:val="EFCC1B3A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70CF7D78"/>
    <w:multiLevelType w:val="hybridMultilevel"/>
    <w:tmpl w:val="EC5C07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164B50"/>
    <w:multiLevelType w:val="hybridMultilevel"/>
    <w:tmpl w:val="16C045B8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7"/>
  </w:num>
  <w:num w:numId="4">
    <w:abstractNumId w:val="1"/>
  </w:num>
  <w:num w:numId="5">
    <w:abstractNumId w:val="27"/>
  </w:num>
  <w:num w:numId="6">
    <w:abstractNumId w:val="2"/>
  </w:num>
  <w:num w:numId="7">
    <w:abstractNumId w:val="12"/>
  </w:num>
  <w:num w:numId="8">
    <w:abstractNumId w:val="19"/>
  </w:num>
  <w:num w:numId="9">
    <w:abstractNumId w:val="8"/>
  </w:num>
  <w:num w:numId="10">
    <w:abstractNumId w:val="21"/>
  </w:num>
  <w:num w:numId="11">
    <w:abstractNumId w:val="16"/>
  </w:num>
  <w:num w:numId="12">
    <w:abstractNumId w:val="20"/>
  </w:num>
  <w:num w:numId="13">
    <w:abstractNumId w:val="5"/>
  </w:num>
  <w:num w:numId="14">
    <w:abstractNumId w:val="15"/>
  </w:num>
  <w:num w:numId="15">
    <w:abstractNumId w:val="28"/>
  </w:num>
  <w:num w:numId="16">
    <w:abstractNumId w:val="23"/>
  </w:num>
  <w:num w:numId="17">
    <w:abstractNumId w:val="25"/>
  </w:num>
  <w:num w:numId="18">
    <w:abstractNumId w:val="9"/>
  </w:num>
  <w:num w:numId="19">
    <w:abstractNumId w:val="29"/>
  </w:num>
  <w:num w:numId="20">
    <w:abstractNumId w:val="31"/>
  </w:num>
  <w:num w:numId="21">
    <w:abstractNumId w:val="24"/>
  </w:num>
  <w:num w:numId="22">
    <w:abstractNumId w:val="10"/>
  </w:num>
  <w:num w:numId="23">
    <w:abstractNumId w:val="17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3"/>
  </w:num>
  <w:num w:numId="27">
    <w:abstractNumId w:val="11"/>
  </w:num>
  <w:num w:numId="28">
    <w:abstractNumId w:val="26"/>
  </w:num>
  <w:num w:numId="29">
    <w:abstractNumId w:val="4"/>
  </w:num>
  <w:num w:numId="30">
    <w:abstractNumId w:val="6"/>
  </w:num>
  <w:num w:numId="31">
    <w:abstractNumId w:val="30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895"/>
    <w:rsid w:val="00056E79"/>
    <w:rsid w:val="00084ED9"/>
    <w:rsid w:val="00236955"/>
    <w:rsid w:val="002D3299"/>
    <w:rsid w:val="00392C21"/>
    <w:rsid w:val="003938F7"/>
    <w:rsid w:val="003F6C95"/>
    <w:rsid w:val="00453BA3"/>
    <w:rsid w:val="004A37A6"/>
    <w:rsid w:val="004E0A95"/>
    <w:rsid w:val="004F3862"/>
    <w:rsid w:val="00546997"/>
    <w:rsid w:val="005F249D"/>
    <w:rsid w:val="005F4005"/>
    <w:rsid w:val="006466AC"/>
    <w:rsid w:val="00725B90"/>
    <w:rsid w:val="00726F0A"/>
    <w:rsid w:val="00727934"/>
    <w:rsid w:val="007455B5"/>
    <w:rsid w:val="007E26CA"/>
    <w:rsid w:val="00874676"/>
    <w:rsid w:val="00882207"/>
    <w:rsid w:val="008D1573"/>
    <w:rsid w:val="008F6235"/>
    <w:rsid w:val="009D78F9"/>
    <w:rsid w:val="009E788D"/>
    <w:rsid w:val="009F03C5"/>
    <w:rsid w:val="00AB053F"/>
    <w:rsid w:val="00C1600A"/>
    <w:rsid w:val="00CF08F2"/>
    <w:rsid w:val="00D033A0"/>
    <w:rsid w:val="00D03895"/>
    <w:rsid w:val="00DE579D"/>
    <w:rsid w:val="00DE6AA8"/>
    <w:rsid w:val="00DF4048"/>
    <w:rsid w:val="00DF5F5A"/>
    <w:rsid w:val="00F713AB"/>
    <w:rsid w:val="00F736BD"/>
    <w:rsid w:val="00FB7594"/>
    <w:rsid w:val="00FE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F08F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F08F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F08F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C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5F400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F4005"/>
    <w:rPr>
      <w:bCs/>
    </w:rPr>
  </w:style>
  <w:style w:type="paragraph" w:customStyle="1" w:styleId="PKTpunkt">
    <w:name w:val="PKT – punkt"/>
    <w:uiPriority w:val="13"/>
    <w:qFormat/>
    <w:rsid w:val="005F400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78F9"/>
  </w:style>
  <w:style w:type="paragraph" w:styleId="Stopka">
    <w:name w:val="footer"/>
    <w:basedOn w:val="Normalny"/>
    <w:link w:val="Stopka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78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08F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08F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F08F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CF08F2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CF08F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CF08F2"/>
    <w:rPr>
      <w:rFonts w:ascii="Arial" w:eastAsia="Times New Roman" w:hAnsi="Arial" w:cs="Arial"/>
      <w:b/>
      <w:bCs/>
      <w:sz w:val="26"/>
      <w:szCs w:val="26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CF08F2"/>
  </w:style>
  <w:style w:type="table" w:styleId="Tabela-Siatka">
    <w:name w:val="Table Grid"/>
    <w:basedOn w:val="Standardowy"/>
    <w:uiPriority w:val="99"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CF08F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8F2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CF08F2"/>
    <w:rPr>
      <w:vertAlign w:val="superscript"/>
    </w:rPr>
  </w:style>
  <w:style w:type="paragraph" w:styleId="Akapitzlist">
    <w:name w:val="List Paragraph"/>
    <w:basedOn w:val="Normalny"/>
    <w:uiPriority w:val="34"/>
    <w:qFormat/>
    <w:rsid w:val="00CF08F2"/>
    <w:pPr>
      <w:spacing w:after="0"/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CF08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8F2"/>
    <w:pPr>
      <w:spacing w:after="0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8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08F2"/>
    <w:rPr>
      <w:rFonts w:ascii="Calibri" w:eastAsia="Calibri" w:hAnsi="Calibri" w:cs="Times New Roman"/>
      <w:b/>
      <w:bCs/>
      <w:sz w:val="20"/>
      <w:szCs w:val="20"/>
    </w:rPr>
  </w:style>
  <w:style w:type="character" w:styleId="Hipercze">
    <w:name w:val="Hyperlink"/>
    <w:uiPriority w:val="99"/>
    <w:unhideWhenUsed/>
    <w:rsid w:val="00CF08F2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CF08F2"/>
    <w:rPr>
      <w:color w:val="8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CF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CF08F2"/>
    <w:rPr>
      <w:b/>
      <w:bCs/>
    </w:rPr>
  </w:style>
  <w:style w:type="table" w:styleId="Jasnecieniowanieakcent1">
    <w:name w:val="Light Shading Accent 1"/>
    <w:basedOn w:val="Standardowy"/>
    <w:uiPriority w:val="60"/>
    <w:rsid w:val="00CF08F2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hps">
    <w:name w:val="hps"/>
    <w:rsid w:val="00CF08F2"/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C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OZNRODZAKTUtznustawalubrozporzdzenieiorganwydajcy">
    <w:name w:val="OZN_RODZ_AKTU – tzn. ustawa lub rozporządzenie i organ wydający"/>
    <w:next w:val="Normalny"/>
    <w:uiPriority w:val="5"/>
    <w:qFormat/>
    <w:rsid w:val="00084ED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Kkursywa">
    <w:name w:val="_K_ – kursywa"/>
    <w:basedOn w:val="Domylnaczcionkaakapitu"/>
    <w:uiPriority w:val="1"/>
    <w:qFormat/>
    <w:rsid w:val="00084ED9"/>
    <w:rPr>
      <w:i/>
      <w:i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F08F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F08F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F08F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C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5F400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F4005"/>
    <w:rPr>
      <w:bCs/>
    </w:rPr>
  </w:style>
  <w:style w:type="paragraph" w:customStyle="1" w:styleId="PKTpunkt">
    <w:name w:val="PKT – punkt"/>
    <w:uiPriority w:val="13"/>
    <w:qFormat/>
    <w:rsid w:val="005F400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78F9"/>
  </w:style>
  <w:style w:type="paragraph" w:styleId="Stopka">
    <w:name w:val="footer"/>
    <w:basedOn w:val="Normalny"/>
    <w:link w:val="Stopka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78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08F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08F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F08F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CF08F2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CF08F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CF08F2"/>
    <w:rPr>
      <w:rFonts w:ascii="Arial" w:eastAsia="Times New Roman" w:hAnsi="Arial" w:cs="Arial"/>
      <w:b/>
      <w:bCs/>
      <w:sz w:val="26"/>
      <w:szCs w:val="26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CF08F2"/>
  </w:style>
  <w:style w:type="table" w:styleId="Tabela-Siatka">
    <w:name w:val="Table Grid"/>
    <w:basedOn w:val="Standardowy"/>
    <w:uiPriority w:val="99"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CF08F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8F2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CF08F2"/>
    <w:rPr>
      <w:vertAlign w:val="superscript"/>
    </w:rPr>
  </w:style>
  <w:style w:type="paragraph" w:styleId="Akapitzlist">
    <w:name w:val="List Paragraph"/>
    <w:basedOn w:val="Normalny"/>
    <w:uiPriority w:val="34"/>
    <w:qFormat/>
    <w:rsid w:val="00CF08F2"/>
    <w:pPr>
      <w:spacing w:after="0"/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CF08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8F2"/>
    <w:pPr>
      <w:spacing w:after="0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8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08F2"/>
    <w:rPr>
      <w:rFonts w:ascii="Calibri" w:eastAsia="Calibri" w:hAnsi="Calibri" w:cs="Times New Roman"/>
      <w:b/>
      <w:bCs/>
      <w:sz w:val="20"/>
      <w:szCs w:val="20"/>
    </w:rPr>
  </w:style>
  <w:style w:type="character" w:styleId="Hipercze">
    <w:name w:val="Hyperlink"/>
    <w:uiPriority w:val="99"/>
    <w:unhideWhenUsed/>
    <w:rsid w:val="00CF08F2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CF08F2"/>
    <w:rPr>
      <w:color w:val="8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CF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CF08F2"/>
    <w:rPr>
      <w:b/>
      <w:bCs/>
    </w:rPr>
  </w:style>
  <w:style w:type="table" w:styleId="Jasnecieniowanieakcent1">
    <w:name w:val="Light Shading Accent 1"/>
    <w:basedOn w:val="Standardowy"/>
    <w:uiPriority w:val="60"/>
    <w:rsid w:val="00CF08F2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hps">
    <w:name w:val="hps"/>
    <w:rsid w:val="00CF08F2"/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C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OZNRODZAKTUtznustawalubrozporzdzenieiorganwydajcy">
    <w:name w:val="OZN_RODZ_AKTU – tzn. ustawa lub rozporządzenie i organ wydający"/>
    <w:next w:val="Normalny"/>
    <w:uiPriority w:val="5"/>
    <w:qFormat/>
    <w:rsid w:val="00084ED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Kkursywa">
    <w:name w:val="_K_ – kursywa"/>
    <w:basedOn w:val="Domylnaczcionkaakapitu"/>
    <w:uiPriority w:val="1"/>
    <w:qFormat/>
    <w:rsid w:val="00084ED9"/>
    <w:rPr>
      <w:i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1336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Binkowska Joanna</dc:creator>
  <cp:lastModifiedBy>Ewa A. Genert</cp:lastModifiedBy>
  <cp:revision>2</cp:revision>
  <dcterms:created xsi:type="dcterms:W3CDTF">2017-09-29T08:50:00Z</dcterms:created>
  <dcterms:modified xsi:type="dcterms:W3CDTF">2017-09-29T08:50:00Z</dcterms:modified>
</cp:coreProperties>
</file>