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CCF" w:rsidRPr="00646CCF" w:rsidRDefault="00646CCF" w:rsidP="00646CCF">
      <w:pPr>
        <w:keepNext/>
        <w:suppressAutoHyphens/>
        <w:spacing w:after="120" w:line="360" w:lineRule="auto"/>
        <w:jc w:val="center"/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</w:pPr>
      <w:bookmarkStart w:id="0" w:name="_GoBack"/>
      <w:bookmarkEnd w:id="0"/>
      <w:r w:rsidRPr="00646CCF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>Uzasadnienie</w:t>
      </w:r>
    </w:p>
    <w:p w:rsidR="00646CCF" w:rsidRPr="00086A4F" w:rsidRDefault="00646CCF" w:rsidP="00241D19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086A4F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1. Potrzeba i cel uchwalenia ustawy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Celem przedkładanego przez Ministra Energii projektu ustawy jest zrekompensowanie, do pewnego stopnia, w ramach możliwości budżetu państwa, strat finansowych poniesionych przez osoby, które otrzymywały b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>ezpłatny węgiel w naturze lub w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ekwiwalencie, na podstawie układów zbiorowych pracy i związanych z nimi porozumień i utraciły to uprawnienie wskutek wypowiedzenia w tym zakresie układów zbiorowych pracy i porozumień z nimi związanych.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Realizacja celu nastąpi poprzez wypłatę z budżetu państwa świadczenia rekompensacyjnego z tytułu trwałej utraty prawa do bezpłatnego węgla.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 obecnym stanie prawnym w grupie społecznej emerytów i rencistów górniczych powstała nierówność, która polega na tym, iż emeryci i renciści z kopalń zlikwidowanych przed dniem 1 stycznia 2007 r., które po ogłoszeniu upadłości nie miały swoich następców prawnych, a co za tym idzie n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ikt nie wypowiedział emerytom i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rencistom prawa do bezpłatnego węgla, nadal otrzymują deputaty węglowe w postaci ekwiwalentu pieniężnego wypłacanego przez Zakład Ubezpieczeń Społecznych, zwany dalej 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„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ZUS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”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 z dotacji budżetowej, natomiast emeryci i renciści z kopalń czynnych zostali tego prawa pozbawieni wskutek dokonania skutecznych wypowiedzeń układów zbiorowych pracy i związanych z nimi porozumień w tym zakresie.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Stale pogarszająca się w ostatnich latach sytuacja finansowa przedsiębiorstw górniczych doprowadziła do konieczności podjęcia decyzji o wprowadzeniu drastycznych oszczędności finansowych w zakresie funkcjonowani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 jednostek górniczych. Jedną z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decyzji podejmowanych przez zarządy spółek było ograniczenie przywilejów górniczych. Począwszy od 1 stycznia 2012 r. przedsiębiorstwa górnicze zaczęły wypowiadać prawo do deputatu węglowego przewidzianego układami zbiorowymi pracy i związanymi z nimi porozumieniami dla emerytów i rencistów. Decyzje te były podejmowane bądź jednostronnie, w formie wypowiedzenia przez pracodawcę układów zbiorowych pracy gwarantujących to prawo, bądź za porozumieniem obydwu stron tych układów</w:t>
      </w:r>
      <w:r w:rsidR="00E871B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tzn. strony społecznej oraz pracodawcy. Działania te wpłynęły na poprawę sytuacji finansowej przedsiębiorstw górniczych, ale jednocześnie przyczyniły się do zróżnicowania uprawnień do bezpłatnego węgla wśród emerytów i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rencistów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 xml:space="preserve">górniczych, w zależności od statusu działalności kopalni, z której odeszli na emeryturę lub rentę.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Z uwagi na fakt, że układy zbiorowe pracy i porozumienia z nimi związane obowiązujące w funkcjonujących przedsiębiorstwach górniczych lub ich następcach prawnych zostały w kwestii prawa do bezpłatnego węgla dla emerytów i rencistów skutecznie wypowiedziane, nie jest możliwe przywrócenie tego prawa w sposób inny niż poprzez odpowiednią zmianę przepisów prawa pracy wewnętrznie obowiązującego w tych podmiotach. Takiemu rozwiązaniu są również przeciwne przedsiębiorstwa górnicze, gdyż ponowne przyznanie prawa do b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ezpłatnego węgla dla emerytów i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rencistów i jego realizacja podwyższy koszty działalności pracodawcy, na co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obecnej sytuacji finansowej sektora górniczego, zarządy spółek nie mogą sobie pozwolić.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Środowisko emerytów i rencistów górniczych od dłuższego czasu domaga się uregulowania kwestii prawa do bezpłatnego węgla dla tej grupy uprawnionych, stojąc na stanowisku, że deputat węglowy, czy to w naturze, czy formie ekwiwalentu pieniężnego, od zawsze stanowił element wynagrodzenia pracownika lub emeryta i jest już niemalże tradycją w tym zawodzie. Jednocześnie emeryci i renciści, którzy trwale utracili prawo do bezpłatnego węgla, podnoszą 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zarzut nierównego traktowania w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stosunku do emerytów i rencistów, którzy nadal mają to prawo realizowane przez budżet państwa.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Strona społeczna podjęła próbę uregulowania tej sprawy, składając w ubiegłym roku do Sejmu projekt obywatelski ustawy o zmianie ust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awy z dnia 7 września 2007 r. o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funkcjonowaniu górnictwa węgla kamiennego, który do chwili o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becnej znajduje się w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Komisji Sejmowej do spraw Energii i Skarbu Państwa.</w:t>
      </w:r>
    </w:p>
    <w:p w:rsidR="00241D19" w:rsidRDefault="00646CCF" w:rsidP="00241D19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86A4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2. Stan rzeczywisty</w:t>
      </w:r>
    </w:p>
    <w:p w:rsidR="00646CCF" w:rsidRPr="00646CCF" w:rsidRDefault="00646CCF" w:rsidP="004D7DF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Szczególne przywileje zawarte w rozporządzeniu Rady Ministrów z dnia 30 grudnia 1981 r. w sprawie szczególnych przywilejów dla pracowników górnictwa – Karta górnika (Dz. U. z 1982 r. poz. 13, z późn. zm.), które ustawodawca nadał w uznaniu dla trudu górniczej pracy, zostały oparte o przepisy ustawy z dnia 26 czerwca 1974 r. – Kodeks pracy (Dz.</w:t>
      </w:r>
      <w:r w:rsidR="00086A4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U. z 2016 r. poz. 1666, z późn. zm.),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m.in. o art. 79, w zakresie ustalenia zasad wynagradzania za pracę oraz przyznawania innych świadczeń związanych z pracą. Z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literalnego brzmienia przepisu wynikało, że zasady te określa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>Rada Ministrów po porozumieniu z Centraln</w:t>
      </w:r>
      <w:r w:rsidR="00E871B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ą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Radą Związków Zawodowych. 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związku z tym Karta górnika została wydana w formie rozporządzenia Rady Ministrów. Artykuł 79 został uchylony na mocy art. 1 pkt 74 ustawy z dnia 2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lutego 1996</w:t>
      </w:r>
      <w:r w:rsidR="00E871B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r. o zmianie ustawy – Kodeks pracy oraz o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zmianie niektórych ustaw (Dz. U. z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1996 r. poz. 110, z późn. zm.). Jednocześnie w tej samej ustawie w art. 11 ustawodawca postanowił, że obowiązujące do dnia wejścia w życie ustawy przepisy określające zasady wynagradzania za pracę oraz przyznawania innych świadczeń związanych z pracą, wydane na podstawie art. 79 Kodeksu pracy, zachowują moc do czasu objęcia pracowników, których te przepisy dotyczą i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zakresie przedmiotu w nich unormowanego – postanowieniami układu zbiorowego pracy lub innymi przepisami prawa pracy.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Układ zbiorowy pracy, zwany dalej 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„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UZP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”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–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jest to uregulowane działem jedenastym Kodeksu pracy porozumienie normatywne, zawierane pomiędzy pracodawcami lub organizacjami pracodawców a związkiem lub związkami zawodowymi. Reguluje on wzajemne prawa i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obowiązki stron stosunku pracy, w tym także warunki pracy i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płacy oraz inne świadczenia związane z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pracą. Na podstawie art. 239 § 2 Kodeksu pracy, układem mogą być objęte oprócz pracowników również osoby świadczące pracę na innej podstawie niż stosunek pracy, a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także emeryci i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renciści. Finansowanie wszelkich świadczeń wynikających z układu zbiorowego pracy obciąża pracodawcę.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Ze względu na bardzo trudną sytuację ekonomiczno-finansową przedsiębiorstw górniczych, zarządy niektórych spółek węglowych podjęły jednostronne decyzje o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wypowiedzeniu prawa do bezpłatnego węgla w naturze dla emerytów i rencistów. Od dnia 1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stycznia 2012 r. prawo do bezpłatnego węgla utracili emeryci i renciści KWK 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„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Kazimierz-Juliusz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”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 wcześniej nastąpiło to w Jastrzębskiej Spółce Węglowej S.A, przy czym, w przypadku JSW S.A., pomimo skutecznego wypowiedzenia UZP, zarząd podejmował w kolejnych latach uchwały o wydawaniu tym osobom bezpłatnego węgla w naturze lub w formie ekwiwalentu. Z uwagi n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 to, że pozbawianie emerytów i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rencistów z przedsiębiorstw górniczych wskazanego uprawnienia przebiega od kilku lat, na potrzeby niniejszej ustawy w art. 2 pkt 2 jako moment rozpoczęcia procesu wypowiadania przez przedsiębiorstwa górnicze prawa do bezpłatnego węgla dla emerytów i rencistów górniczych przyjęto datę 31.12.2011 r. </w:t>
      </w:r>
    </w:p>
    <w:p w:rsidR="00646CCF" w:rsidRPr="00086A4F" w:rsidRDefault="00646CCF" w:rsidP="004D7DF9">
      <w:pPr>
        <w:keepNext/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086A4F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lastRenderedPageBreak/>
        <w:t>3. Wskazanie różnic pomiędzy dotychczasowym a proponowanym stanem prawnym</w:t>
      </w:r>
    </w:p>
    <w:p w:rsidR="00646CCF" w:rsidRPr="00646CCF" w:rsidRDefault="00646CCF" w:rsidP="004D7DF9">
      <w:pPr>
        <w:keepNext/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Wypowiedzenie prawa do bezpłatnego węgla dla emerytów i rencistów z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przedsiębiorstw górniczych 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>–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wynikającego z przepi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sów zbiorowego prawa pracy, tj.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układów zbiorowych czy też porozumień zawieranych pomiędzy pracodawcą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a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strona społeczną reprezentowaną przez związki zawodowe 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>–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zlikwidowało, leżący po stronie przedsiębiorstw górniczych, obowiązek do ich 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wydawania i finansowania. Nie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jest możliwe przywrócenie tego prawa w sposób inny niż zmiana przepisów prawa pracy wewnętrznie obowiązujących w spółkach węglowych. Jak wskazano powyżej, rozwiązaniu takiemu, z uwagi na wciąż niestabilną sytuację finansową, przeciwne są przedsiębiorstwa górnicze.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związku z powyższym, celem projektu jest wypłacenie finansowanego ze środków budżetu państwa świadczenia rekompensacyjnego z tytułu trwałej utraty prawa do bezpłatnego węgla, rekompensującego w możliwie jak największym stopniu korzyści utracone w wyniku nieotrzymywania deputatu węglowego bądź ekwiwalentu pieniężnego. Biorąc pod uwagę fakt, że ekwiwalent pieniężny z tytułu prawa do bezpłatnego węgla jest przez ZUS wypłacany w kwocie brutto, w przypadku świadczenia rekompensacyjnego przyjęto takie samo rozwiązanie.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Każda z osób spełniających określone w projektowanej ustawie przesłanki otrzymania świadczenia rekompensacyjnego będzie mogła wystąpić o jego wypłatę poprzez złożenie wniosku wraz </w:t>
      </w:r>
      <w:r w:rsidR="00E564DA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z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oświadczeniem, którego treść określa ustawa. Termin złożenia wniosku określa ustawa. Wysokość rekompensaty nie stanowi równowartości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przysługującego węgla ani za lata, w których nie był już wydawany osobom uprawnionym, ani za lata przyszłe, w których mógłby być wydawany, gdyby uprawnienie nie zostało odebrane.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Osobą uprawnioną w rozumieniu niniejszej ustawy jest emeryt lub rencista, który nie tylko miał ustalone prawo do emerytury lub renty z tytułu niezdolności do pracy, ale również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pobierał świadczenie z tego tytułu. Osobie takiej przysługiwało również, na podstawie przepisów wewnętrznie obowiązujących w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przedsiębiorstwie górniczym, prawo do bezpłatnego węgla, które trwale utracił przed dniem wejścia w życie niniejszej ustawy.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>Ponadto osobą uprawnioną jest wdowa, wdowiec i sieroty mający ustawowe prawo do renty rodzinnej po osobie uprawnionej, tak jak to było określone w zakładowych układach zbiorowych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pracy i porozumieniach z nimi związanych.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W tym przypadku rekompensatę w wysokości 10</w:t>
      </w:r>
      <w:r w:rsidR="00FA5DD2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000 zł dzieli się proporcjonalnie do liczby osób uprawnionych po zmarłym.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Osobą nieuprawnioną w rozumieniu niniejszej ustawy jest natomiast pracownik przedsiębiorstwa górniczego, który miał ustalone prawo do emerytury lub renty na dzień skutecznego wypowiedzenia prawa do bezpłatnego węgla emerytom i rencistom, ale nie rozwiązał stosunku pracy i nie wystąpił do ZUS z wnioskiem o wypłatę emerytury lub renty. Przedsiębiorstwa górnicze skutecznie wypowiedziały wewnątrzzakładowe przepisy prawa pracy, dotyczące prawa do bezpłatnego węgla, tylko w przypadku emerytów i rencistów, którzy spełniają jednocześnie dwa warunki</w:t>
      </w:r>
      <w:r w:rsidR="00FA5DD2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tj. nabyli uprawnienia oraz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pobierają świadczenie z ZUS. Wewnątrzzakładowe przepisy prawa pracy obowiązujące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przedsiębiorstwach górniczych nadal przyznają prawa dla pracowników. W związku z powyższym niezaliczanie do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grupy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osób uprawnionych pracowników, którzy nabyli uprawnienie do emerytury lub renty, ale nie pobierali świadczenia</w:t>
      </w:r>
      <w:r w:rsidR="00FA5DD2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ma na celu wyeliminowanie przypadków, w których osoba taka pobiera deputat przysługujący pracownikom.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Jak wynika z dat przyjętych w definicji osoby uprawnionej z przedsiębiorstwa górniczego, nie są również osobami uprawnionymi w rozumieniu niniejszej ustawy emeryci i renciści z kopalń zlikwidowanych przed dniem 1 stycznia 2007 r. Jak wskazano powyżej, na podstawie posiadanego przez te osoby prawa do bezpłatnego węgla, ZUS wypłaca im ekwiwalent pieniężny na mocy ustawy z dnia 7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września 2007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r. </w:t>
      </w:r>
      <w:r w:rsidRPr="00086A4F">
        <w:rPr>
          <w:rFonts w:ascii="Times New Roman" w:eastAsia="Times New Roman" w:hAnsi="Times New Roman" w:cs="Times New Roman"/>
          <w:bCs/>
          <w:i/>
          <w:sz w:val="24"/>
          <w:szCs w:val="20"/>
          <w:lang w:eastAsia="pl-PL"/>
        </w:rPr>
        <w:t>o</w:t>
      </w:r>
      <w:r w:rsidR="00241D19">
        <w:rPr>
          <w:rFonts w:ascii="Times New Roman" w:eastAsia="Times New Roman" w:hAnsi="Times New Roman" w:cs="Times New Roman"/>
          <w:bCs/>
          <w:i/>
          <w:sz w:val="24"/>
          <w:szCs w:val="20"/>
          <w:lang w:eastAsia="pl-PL"/>
        </w:rPr>
        <w:t xml:space="preserve"> </w:t>
      </w:r>
      <w:r w:rsidRPr="00086A4F">
        <w:rPr>
          <w:rFonts w:ascii="Times New Roman" w:eastAsia="Times New Roman" w:hAnsi="Times New Roman" w:cs="Times New Roman"/>
          <w:bCs/>
          <w:i/>
          <w:sz w:val="24"/>
          <w:szCs w:val="20"/>
          <w:lang w:eastAsia="pl-PL"/>
        </w:rPr>
        <w:t>funkcjonowaniu górnictwa węgla kamiennego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. Wynika to z faktu, że przy likwidacji tych kopalń nie zostały wypowiedziane ponadzakładowe czy też zakładowe układy zbiorowe pracy, z których przedmiotowe uprawnienie wynikało.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Katalog osób, które nie będą mogły pobierać świadczenia rekompensacyjnego przyznawanego niniejszą ustawą obejmuje emery</w:t>
      </w:r>
      <w:r w:rsidR="00FA5DD2">
        <w:rPr>
          <w:rFonts w:ascii="Times New Roman" w:eastAsia="Times New Roman" w:hAnsi="Times New Roman" w:cs="Times New Roman"/>
          <w:sz w:val="24"/>
          <w:szCs w:val="20"/>
          <w:lang w:eastAsia="pl-PL"/>
        </w:rPr>
        <w:t>tów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i renci</w:t>
      </w:r>
      <w:r w:rsidR="00FA5DD2">
        <w:rPr>
          <w:rFonts w:ascii="Times New Roman" w:eastAsia="Times New Roman" w:hAnsi="Times New Roman" w:cs="Times New Roman"/>
          <w:sz w:val="24"/>
          <w:szCs w:val="20"/>
          <w:lang w:eastAsia="pl-PL"/>
        </w:rPr>
        <w:t>stów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, których roszczenia 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z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tytułu prawa do bezpłatnego węgla podlegają zaspokojeniu na podstawie prawomocnego wyroku sądowego. </w:t>
      </w:r>
      <w:r w:rsidR="00841625">
        <w:rPr>
          <w:rFonts w:ascii="Times New Roman" w:eastAsia="Times New Roman" w:hAnsi="Times New Roman" w:cs="Times New Roman"/>
          <w:sz w:val="24"/>
          <w:szCs w:val="20"/>
          <w:lang w:eastAsia="pl-PL"/>
        </w:rPr>
        <w:t>P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rzyjęto bowiem, że ich sytuacja, dzięki zaspokojeniu roszczeń, jest równa sytuacji emerytów i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rencistów otrzymujących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 xml:space="preserve">ekwiwalent, w związku z tym przyznawanie im świadczenia rekompensacyjnego czyniłoby ich pozycję uprzywilejowaną.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W przypadku wydania odmowy przez przedsiębiorstwo wypłacające, przysługuje odwołanie do s</w:t>
      </w:r>
      <w:r w:rsidR="00FA5DD2">
        <w:rPr>
          <w:rFonts w:ascii="Times New Roman" w:eastAsia="Times New Roman" w:hAnsi="Times New Roman" w:cs="Times New Roman"/>
          <w:sz w:val="24"/>
          <w:szCs w:val="20"/>
          <w:lang w:eastAsia="pl-PL"/>
        </w:rPr>
        <w:t>ą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du pracy i ubezpieczeń społecznych w terminie 14 dni od otrzymania odmowy.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Jako podmiot wypłacający świadczenie rekompensacyjne z tytułu utraty prawa do bezpłatnego węgla dla osób uprawnionych z przedsiębiorstw górniczych, które zostały zlikwidowane lub które zaprzestały wydobycia węgla na podstawie koncesji, 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w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projekcie ustawy zostało wskazane przedsiębiorstwo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górnicze, o którym mowa w art.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8 ust. 1 ustawy z dnia 7 września 2007 r. o funkcjonowaniu górnictwa węgla kamiennego. W przypadku osób uprawnionych z przedsiębiorstw górniczych, które istnieją i nadal prowadzą wydobycie, obsługa wypłat będzie realizowana przez te przedsiębiorstwa. Podział ten został dokonany ze względu na to, że przedsiębiorstwa czynne posiadają przede wszystkim bazę danych o osobach uprawnionych, a także dysponują zasobami kadrowymi, które zapewnią sprawną realizację zadania, co jest rzeczą bardzo istotną wobec określonego w niniejszym projekcie ustawy, napiętego terminarza wypłat. Reasumując, w ocenie projektodawcy, proponowany podział zadań nałożonych ustawą na kilka przedsiębiorstw wypłacających znacznie usprawni ich realizację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Określenie terminu wejścia w życie projektowanej ustawy z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dniem następującym po dniu ogłoszenia ma na celu umożliwienie jak najszybszej wypłaty świadczenia rekompensacyjnego z tytułu utraty prawa do bezpłatnego węgla w formie jednorazowej rekompensaty. Mając na względzie harmonogram prac związanych </w:t>
      </w:r>
      <w:r w:rsidR="002544B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z 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przygotowaniem i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realizacją tego zadania przez odpowiednie podmioty, jak również to, że osoby pozbawione prawa do bezpłatnego węgla oczekują bezskutecznie rozwiązania tej kwestii od ponad roku, konieczne jest wejście w życie ustawy z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dniem następującym po dniu ogłoszenia. W związku z powyższym, jak najszybsze wejście w życie niniejszej ustawy będzie korzystne dla obywateli i pozwoli uspokoić nastroje społeczne panujące wśród emerytów i rencistów górniczych.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W związku z powyższym, określony w projekcie termin wejścia w życie ustawy nie naruszy zasady demokratycznego państwa prawnego, określon</w:t>
      </w:r>
      <w:r w:rsidR="00E564DA">
        <w:rPr>
          <w:rFonts w:ascii="Times New Roman" w:eastAsia="Times New Roman" w:hAnsi="Times New Roman" w:cs="Times New Roman"/>
          <w:sz w:val="24"/>
          <w:szCs w:val="20"/>
          <w:lang w:eastAsia="pl-PL"/>
        </w:rPr>
        <w:t>ej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art. 2 Konstytucji Rzeczypospolitej Polskiej z dnia 2 kwietnia 1997 r. (Dz. U.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poz. 438, z późn. zm.) oraz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art. 4 ust. 1 ustawy z dnia 20 lipca 2000 r. o ogłaszaniu aktów normatywnych i niektórych innych aktów prawnych (Dz. U. z 2017 r. poz. 1523). Projektowany termin wejścia w życie spełnia bowi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em przesłanki, o których mowa w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art. 4 ust. 2 </w:t>
      </w:r>
      <w:r w:rsidR="00E564DA">
        <w:rPr>
          <w:rFonts w:ascii="Times New Roman" w:eastAsia="Times New Roman" w:hAnsi="Times New Roman" w:cs="Times New Roman"/>
          <w:sz w:val="24"/>
          <w:szCs w:val="20"/>
          <w:lang w:eastAsia="pl-PL"/>
        </w:rPr>
        <w:t>tej</w:t>
      </w:r>
      <w:r w:rsidR="00E564DA"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ustawy.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Mając powyższe na względzie, odstąpiono również od określenia terminu wejścia w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życie przedmiotowej ustawy zgodnie z §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1 ust. 2 uchwały nr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20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Rady Ministrów z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dnia 18 lutego 2014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r. w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sprawie zaleceń ujednolicania terminów wejścia w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życie niektórych aktów normatywnych (M.P. poz.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205).</w:t>
      </w:r>
    </w:p>
    <w:p w:rsidR="00646CCF" w:rsidRPr="00086A4F" w:rsidRDefault="00646CCF" w:rsidP="004D7DF9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86A4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4. Źródła finansowania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Szacuje się, że z regulacji wprowadzanych ustawą będzi</w:t>
      </w:r>
      <w:r w:rsidR="004D7DF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 mogło skorzystać ok. 235 tys.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osób. Źródłem finansowania przedmiotowych wypłat będzie budżet państwa. Koszt wprowadzenia ustawy kształtowałby się na poziomie 2</w:t>
      </w:r>
      <w:r w:rsidR="00172786">
        <w:t> 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353,8 mln zł.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Koszt wyliczono przy założeniu, że wszyscy uprawnieni, t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j. 235</w:t>
      </w:r>
      <w:r w:rsidR="00172786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376 osób, skorzystają z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możliwości otrzymania świadczenia rekompensacyjnego w wysokości 10</w:t>
      </w:r>
      <w:r w:rsidR="00172786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000 zł na osobę.</w:t>
      </w:r>
    </w:p>
    <w:p w:rsidR="00646CCF" w:rsidRPr="00F47A16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47A16">
        <w:rPr>
          <w:rFonts w:ascii="Times New Roman" w:eastAsia="Times New Roman" w:hAnsi="Times New Roman" w:cs="Times New Roman"/>
          <w:sz w:val="24"/>
          <w:szCs w:val="20"/>
          <w:lang w:eastAsia="pl-PL"/>
        </w:rPr>
        <w:t>O zabezpieczenie kwoty minister właściwy do spraw gospodarki złożami kopalin wystąpił z wnioskiem do Ministra Rozwoju i Finansów.</w:t>
      </w:r>
    </w:p>
    <w:p w:rsidR="00646CCF" w:rsidRPr="00F47A16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47A1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</w:t>
      </w:r>
      <w:r w:rsidR="00241D19" w:rsidRPr="00F47A1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F47A1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uwagi na to, że nie występuje bezpośredni związek pomiędzy uprzednio wypłacanymi świadczeniami przez przedsiębiorstwa górnicze a wprowadzaną regulacją, brak jest przesłanek wskazujących, jakoby projektowane świadczenie miało stanowić udzielenie niedozwolonej pomocy publicznej.</w:t>
      </w:r>
    </w:p>
    <w:p w:rsidR="00646CCF" w:rsidRPr="00086A4F" w:rsidRDefault="00646CCF" w:rsidP="004D7DF9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F47A1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5. Oświadczenie o zgodności</w:t>
      </w:r>
      <w:r w:rsidRPr="00086A4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projektu ustawy z prawem Unii Europejskiej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jest zgodny z</w:t>
      </w:r>
      <w:r w:rsidR="00241D1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prawem Unii Europejskiej. </w:t>
      </w:r>
    </w:p>
    <w:p w:rsidR="00646CCF" w:rsidRPr="00086A4F" w:rsidRDefault="00646CCF" w:rsidP="004D7DF9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86A4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6. Ocena organu wnioskującego, czy projekt podlega notyfikacji zgodnie z</w:t>
      </w:r>
      <w:r w:rsidR="004D7DF9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 </w:t>
      </w:r>
      <w:r w:rsidRPr="00086A4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przepisami dotyczącymi funkcjonowania krajowego </w:t>
      </w:r>
      <w:r w:rsidR="004D7DF9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systemu notyfikacji norm i </w:t>
      </w:r>
      <w:r w:rsidRPr="00086A4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aktów prawnych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nie zawiera przepisów technicznych,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a tym samym nie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podlega notyfikacji w rozumieniu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przepisów rozporządzenia Rady Ministrów z dnia 23 grudnia 2002 r. w sprawie sposobu funkcjonowania krajowego sy</w:t>
      </w:r>
      <w:r w:rsidR="004D7DF9">
        <w:rPr>
          <w:rFonts w:ascii="Times New Roman" w:eastAsia="Times New Roman" w:hAnsi="Times New Roman" w:cs="Times New Roman"/>
          <w:sz w:val="24"/>
          <w:szCs w:val="20"/>
          <w:lang w:eastAsia="pl-PL"/>
        </w:rPr>
        <w:t>stemu notyfikacji norm i 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aktów prawnych (Dz. U. poz. 2039 oraz z 2004 r. poz. 597).</w:t>
      </w:r>
    </w:p>
    <w:p w:rsidR="00646CCF" w:rsidRPr="00646CCF" w:rsidRDefault="00646CCF" w:rsidP="004D7DF9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86A4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lastRenderedPageBreak/>
        <w:t xml:space="preserve">7. Konsultacje 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nie podlega przedstawieniu właściwym organom i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instytucjom Unii Europejskiej, w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tym Europejskiemu Bankowi Centralnemu, w</w:t>
      </w:r>
      <w:r w:rsidR="00241D1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celu uzyskania opinii, dokonania powiadomienia, konsultacji albo uzgodnienia.</w:t>
      </w:r>
    </w:p>
    <w:p w:rsidR="00646CCF" w:rsidRPr="00646CCF" w:rsidRDefault="00646CCF" w:rsidP="00086A4F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nie będzie mieć wpływu na działanie mikro</w:t>
      </w:r>
      <w:r w:rsidR="00172786">
        <w:rPr>
          <w:rFonts w:ascii="Times New Roman" w:eastAsia="Times New Roman" w:hAnsi="Times New Roman" w:cs="Times New Roman"/>
          <w:sz w:val="24"/>
          <w:szCs w:val="20"/>
          <w:lang w:eastAsia="pl-PL"/>
        </w:rPr>
        <w:t>-</w:t>
      </w:r>
      <w:r w:rsidRPr="00646CCF">
        <w:rPr>
          <w:rFonts w:ascii="Times New Roman" w:eastAsia="Times New Roman" w:hAnsi="Times New Roman" w:cs="Times New Roman"/>
          <w:sz w:val="24"/>
          <w:szCs w:val="20"/>
          <w:lang w:eastAsia="pl-PL"/>
        </w:rPr>
        <w:t>, małych i średnich przedsiębiorców.</w:t>
      </w:r>
    </w:p>
    <w:sectPr w:rsidR="00646CCF" w:rsidRPr="00646CCF" w:rsidSect="00EC3196">
      <w:footerReference w:type="default" r:id="rId6"/>
      <w:footerReference w:type="first" r:id="rId7"/>
      <w:footnotePr>
        <w:numRestart w:val="eachSect"/>
      </w:footnotePr>
      <w:pgSz w:w="11906" w:h="16838"/>
      <w:pgMar w:top="1588" w:right="1418" w:bottom="1418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359" w:rsidRDefault="00E74359" w:rsidP="00EC3196">
      <w:pPr>
        <w:spacing w:after="0" w:line="240" w:lineRule="auto"/>
      </w:pPr>
      <w:r>
        <w:separator/>
      </w:r>
    </w:p>
  </w:endnote>
  <w:endnote w:type="continuationSeparator" w:id="0">
    <w:p w:rsidR="00E74359" w:rsidRDefault="00E74359" w:rsidP="00EC3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75333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C3196" w:rsidRPr="00EC3196" w:rsidRDefault="00EC3196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C31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319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C31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07A5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EC319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196" w:rsidRDefault="00EC319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359" w:rsidRDefault="00E74359" w:rsidP="00EC3196">
      <w:pPr>
        <w:spacing w:after="0" w:line="240" w:lineRule="auto"/>
      </w:pPr>
      <w:r>
        <w:separator/>
      </w:r>
    </w:p>
  </w:footnote>
  <w:footnote w:type="continuationSeparator" w:id="0">
    <w:p w:rsidR="00E74359" w:rsidRDefault="00E74359" w:rsidP="00EC31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CCF"/>
    <w:rsid w:val="00020D1D"/>
    <w:rsid w:val="00086A4F"/>
    <w:rsid w:val="000C7082"/>
    <w:rsid w:val="000F5E14"/>
    <w:rsid w:val="00172786"/>
    <w:rsid w:val="002049EF"/>
    <w:rsid w:val="00241D19"/>
    <w:rsid w:val="002544B7"/>
    <w:rsid w:val="00294916"/>
    <w:rsid w:val="00397FB0"/>
    <w:rsid w:val="003F4E67"/>
    <w:rsid w:val="004D7DF9"/>
    <w:rsid w:val="00646CCF"/>
    <w:rsid w:val="00841625"/>
    <w:rsid w:val="009807A5"/>
    <w:rsid w:val="009A06D3"/>
    <w:rsid w:val="00B10A8C"/>
    <w:rsid w:val="00B26BFF"/>
    <w:rsid w:val="00BD26E3"/>
    <w:rsid w:val="00C451EE"/>
    <w:rsid w:val="00C473E1"/>
    <w:rsid w:val="00C54E74"/>
    <w:rsid w:val="00CB5ACF"/>
    <w:rsid w:val="00D45FBB"/>
    <w:rsid w:val="00D87888"/>
    <w:rsid w:val="00E564DA"/>
    <w:rsid w:val="00E74359"/>
    <w:rsid w:val="00E871B1"/>
    <w:rsid w:val="00EC05FB"/>
    <w:rsid w:val="00EC3196"/>
    <w:rsid w:val="00F12967"/>
    <w:rsid w:val="00F47A16"/>
    <w:rsid w:val="00FA5DD2"/>
    <w:rsid w:val="00FD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199CA0-38E4-4D88-A1E5-F0CEC123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WERSALIKW">
    <w:name w:val="_BEZ_WERSALIKÓW_"/>
    <w:basedOn w:val="Domylnaczcionkaakapitu"/>
    <w:uiPriority w:val="4"/>
    <w:qFormat/>
    <w:rsid w:val="002049EF"/>
    <w:rPr>
      <w:caps/>
    </w:rPr>
  </w:style>
  <w:style w:type="paragraph" w:styleId="Nagwek">
    <w:name w:val="header"/>
    <w:basedOn w:val="Normalny"/>
    <w:link w:val="NagwekZnak"/>
    <w:uiPriority w:val="99"/>
    <w:unhideWhenUsed/>
    <w:rsid w:val="00646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CCF"/>
  </w:style>
  <w:style w:type="paragraph" w:styleId="Stopka">
    <w:name w:val="footer"/>
    <w:basedOn w:val="Normalny"/>
    <w:link w:val="StopkaZnak"/>
    <w:uiPriority w:val="99"/>
    <w:unhideWhenUsed/>
    <w:rsid w:val="00EC3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3196"/>
  </w:style>
  <w:style w:type="paragraph" w:styleId="Tekstdymka">
    <w:name w:val="Balloon Text"/>
    <w:basedOn w:val="Normalny"/>
    <w:link w:val="TekstdymkaZnak"/>
    <w:uiPriority w:val="99"/>
    <w:semiHidden/>
    <w:unhideWhenUsed/>
    <w:rsid w:val="004D7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2287</Words>
  <Characters>13725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Cwiek</dc:creator>
  <cp:lastModifiedBy>Grażyna D. Grabowska</cp:lastModifiedBy>
  <cp:revision>2</cp:revision>
  <dcterms:created xsi:type="dcterms:W3CDTF">2017-10-05T12:09:00Z</dcterms:created>
  <dcterms:modified xsi:type="dcterms:W3CDTF">2017-10-05T12:09:00Z</dcterms:modified>
</cp:coreProperties>
</file>