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E3C7F" w14:textId="392F95F3" w:rsidR="00F5543C" w:rsidRPr="002B0129" w:rsidRDefault="00EA6698" w:rsidP="00EA6698">
      <w:pPr>
        <w:spacing w:line="360" w:lineRule="auto"/>
        <w:jc w:val="right"/>
        <w:rPr>
          <w:rFonts w:ascii="Tahoma" w:hAnsi="Tahoma" w:cs="Tahoma"/>
          <w:color w:val="000000"/>
        </w:rPr>
      </w:pPr>
      <w:bookmarkStart w:id="0" w:name="_GoBack"/>
      <w:bookmarkEnd w:id="0"/>
      <w:r>
        <w:rPr>
          <w:rFonts w:ascii="Tahoma" w:hAnsi="Tahoma" w:cs="Tahoma"/>
          <w:color w:val="000000"/>
        </w:rPr>
        <w:t xml:space="preserve">Projekt </w:t>
      </w:r>
    </w:p>
    <w:p w14:paraId="1423AEA7" w14:textId="77777777" w:rsidR="00F5543C" w:rsidRPr="002B0129" w:rsidRDefault="00F5543C" w:rsidP="00216344">
      <w:pPr>
        <w:spacing w:line="360" w:lineRule="auto"/>
        <w:jc w:val="center"/>
        <w:rPr>
          <w:rFonts w:ascii="Tahoma" w:hAnsi="Tahoma" w:cs="Tahoma"/>
          <w:b/>
          <w:bCs/>
          <w:color w:val="000000"/>
        </w:rPr>
      </w:pPr>
      <w:r w:rsidRPr="002B0129">
        <w:rPr>
          <w:rFonts w:ascii="Tahoma" w:hAnsi="Tahoma" w:cs="Tahoma"/>
          <w:b/>
          <w:bCs/>
          <w:color w:val="000000"/>
        </w:rPr>
        <w:t>Ustawa</w:t>
      </w:r>
    </w:p>
    <w:p w14:paraId="37F00054" w14:textId="77777777" w:rsidR="00F5543C" w:rsidRPr="002B0129" w:rsidRDefault="00F5543C" w:rsidP="00216344">
      <w:pPr>
        <w:spacing w:line="360" w:lineRule="auto"/>
        <w:jc w:val="center"/>
        <w:rPr>
          <w:rFonts w:ascii="Tahoma" w:hAnsi="Tahoma" w:cs="Tahoma"/>
          <w:b/>
          <w:bCs/>
          <w:color w:val="000000"/>
        </w:rPr>
      </w:pPr>
      <w:r w:rsidRPr="002B0129">
        <w:rPr>
          <w:rFonts w:ascii="Tahoma" w:hAnsi="Tahoma" w:cs="Tahoma"/>
          <w:b/>
          <w:bCs/>
          <w:color w:val="000000"/>
        </w:rPr>
        <w:t>z dnia ………………</w:t>
      </w:r>
      <w:r w:rsidR="002B0129">
        <w:rPr>
          <w:rFonts w:ascii="Tahoma" w:hAnsi="Tahoma" w:cs="Tahoma"/>
          <w:b/>
          <w:bCs/>
          <w:color w:val="000000"/>
        </w:rPr>
        <w:t xml:space="preserve"> </w:t>
      </w:r>
      <w:r w:rsidRPr="002B0129">
        <w:rPr>
          <w:rFonts w:ascii="Tahoma" w:hAnsi="Tahoma" w:cs="Tahoma"/>
          <w:b/>
          <w:bCs/>
          <w:color w:val="000000"/>
        </w:rPr>
        <w:t xml:space="preserve">2017 r. </w:t>
      </w:r>
    </w:p>
    <w:p w14:paraId="5587C34F" w14:textId="77777777" w:rsidR="00F5543C" w:rsidRPr="002B0129" w:rsidRDefault="00F5543C" w:rsidP="00216344">
      <w:pPr>
        <w:spacing w:line="360" w:lineRule="auto"/>
        <w:jc w:val="both"/>
        <w:rPr>
          <w:rFonts w:ascii="Tahoma" w:hAnsi="Tahoma" w:cs="Tahoma"/>
          <w:b/>
          <w:bCs/>
          <w:color w:val="000000"/>
        </w:rPr>
      </w:pPr>
    </w:p>
    <w:p w14:paraId="545C801F" w14:textId="719853A8" w:rsidR="00F5543C" w:rsidRPr="002B0129" w:rsidRDefault="00F5543C" w:rsidP="00216344">
      <w:pPr>
        <w:spacing w:line="360" w:lineRule="auto"/>
        <w:jc w:val="center"/>
        <w:rPr>
          <w:rFonts w:ascii="Tahoma" w:hAnsi="Tahoma" w:cs="Tahoma"/>
          <w:color w:val="000000"/>
        </w:rPr>
      </w:pPr>
      <w:r w:rsidRPr="002B0129">
        <w:rPr>
          <w:rFonts w:ascii="Tahoma" w:hAnsi="Tahoma" w:cs="Tahoma"/>
          <w:b/>
          <w:bCs/>
          <w:color w:val="000000"/>
        </w:rPr>
        <w:t xml:space="preserve">o zmianie ustawy o przeciwdziałaniu narkomanii </w:t>
      </w:r>
    </w:p>
    <w:p w14:paraId="7BABF79B" w14:textId="77777777" w:rsidR="00F5543C" w:rsidRPr="002B0129" w:rsidRDefault="00F5543C" w:rsidP="00216344">
      <w:pPr>
        <w:spacing w:line="360" w:lineRule="auto"/>
        <w:jc w:val="center"/>
        <w:rPr>
          <w:rFonts w:ascii="Tahoma" w:hAnsi="Tahoma" w:cs="Tahoma"/>
          <w:color w:val="000000"/>
        </w:rPr>
      </w:pPr>
    </w:p>
    <w:p w14:paraId="2E1AAD5F" w14:textId="77777777" w:rsidR="002160A7" w:rsidRDefault="002160A7" w:rsidP="00216344">
      <w:pPr>
        <w:spacing w:line="360" w:lineRule="auto"/>
        <w:jc w:val="center"/>
        <w:rPr>
          <w:rFonts w:ascii="Tahoma" w:hAnsi="Tahoma" w:cs="Tahoma"/>
          <w:color w:val="000000"/>
        </w:rPr>
      </w:pPr>
    </w:p>
    <w:p w14:paraId="147EE10F" w14:textId="77777777" w:rsidR="00EA6698" w:rsidRPr="002B0129" w:rsidRDefault="00EA6698" w:rsidP="00216344">
      <w:pPr>
        <w:spacing w:line="360" w:lineRule="auto"/>
        <w:jc w:val="center"/>
        <w:rPr>
          <w:rFonts w:ascii="Tahoma" w:hAnsi="Tahoma" w:cs="Tahoma"/>
          <w:color w:val="000000"/>
        </w:rPr>
      </w:pPr>
    </w:p>
    <w:p w14:paraId="6740B5D6" w14:textId="10B63CC1" w:rsidR="00F5543C" w:rsidRDefault="00F5543C" w:rsidP="00F15007">
      <w:pPr>
        <w:widowControl/>
        <w:tabs>
          <w:tab w:val="left" w:pos="1560"/>
        </w:tabs>
        <w:spacing w:line="360" w:lineRule="auto"/>
        <w:ind w:firstLine="567"/>
        <w:jc w:val="both"/>
        <w:rPr>
          <w:rFonts w:ascii="Tahoma" w:hAnsi="Tahoma" w:cs="Tahoma"/>
          <w:color w:val="000000"/>
        </w:rPr>
      </w:pPr>
      <w:r w:rsidRPr="002B0129">
        <w:rPr>
          <w:rFonts w:ascii="Tahoma" w:hAnsi="Tahoma" w:cs="Tahoma"/>
          <w:b/>
          <w:bCs/>
          <w:color w:val="000000"/>
        </w:rPr>
        <w:t>Art. 1</w:t>
      </w:r>
      <w:r w:rsidR="002160A7" w:rsidRPr="002B0129">
        <w:rPr>
          <w:rFonts w:ascii="Tahoma" w:hAnsi="Tahoma" w:cs="Tahoma"/>
          <w:b/>
          <w:bCs/>
          <w:color w:val="000000"/>
        </w:rPr>
        <w:t xml:space="preserve">. </w:t>
      </w:r>
      <w:r w:rsidRPr="002B0129">
        <w:rPr>
          <w:rFonts w:ascii="Tahoma" w:hAnsi="Tahoma" w:cs="Tahoma"/>
          <w:color w:val="000000"/>
        </w:rPr>
        <w:t xml:space="preserve">W ustawie </w:t>
      </w:r>
      <w:r w:rsidR="002160A7" w:rsidRPr="002B0129">
        <w:rPr>
          <w:rFonts w:ascii="Tahoma" w:hAnsi="Tahoma" w:cs="Tahoma"/>
          <w:color w:val="000000"/>
        </w:rPr>
        <w:t xml:space="preserve">z dnia 29 lipca 2005 r. </w:t>
      </w:r>
      <w:r w:rsidRPr="002B0129">
        <w:rPr>
          <w:rFonts w:ascii="Tahoma" w:hAnsi="Tahoma" w:cs="Tahoma"/>
          <w:color w:val="000000"/>
        </w:rPr>
        <w:t>o przeciwdziałaniu narkomanii (Dz.U. z</w:t>
      </w:r>
      <w:r w:rsidR="002160A7" w:rsidRPr="002B0129">
        <w:rPr>
          <w:rFonts w:ascii="Tahoma" w:hAnsi="Tahoma" w:cs="Tahoma"/>
          <w:color w:val="000000"/>
        </w:rPr>
        <w:t xml:space="preserve"> 2017 r. poz. 783) </w:t>
      </w:r>
      <w:r w:rsidRPr="002B0129">
        <w:rPr>
          <w:rFonts w:ascii="Tahoma" w:hAnsi="Tahoma" w:cs="Tahoma"/>
          <w:color w:val="000000"/>
        </w:rPr>
        <w:t>wprowadza się następujące zmiany</w:t>
      </w:r>
      <w:r w:rsidR="002160A7" w:rsidRPr="002B0129">
        <w:rPr>
          <w:rFonts w:ascii="Tahoma" w:hAnsi="Tahoma" w:cs="Tahoma"/>
          <w:color w:val="000000"/>
        </w:rPr>
        <w:t>:</w:t>
      </w:r>
    </w:p>
    <w:p w14:paraId="24F718B3" w14:textId="77777777" w:rsidR="00F30479" w:rsidRPr="002B0129" w:rsidRDefault="00F30479" w:rsidP="00F15007">
      <w:pPr>
        <w:widowControl/>
        <w:tabs>
          <w:tab w:val="left" w:pos="1560"/>
        </w:tabs>
        <w:spacing w:line="360" w:lineRule="auto"/>
        <w:ind w:firstLine="567"/>
        <w:jc w:val="both"/>
        <w:rPr>
          <w:rFonts w:ascii="Tahoma" w:hAnsi="Tahoma" w:cs="Tahoma"/>
          <w:color w:val="000000"/>
        </w:rPr>
      </w:pPr>
    </w:p>
    <w:p w14:paraId="48E337BA" w14:textId="08CEE144" w:rsidR="00905057" w:rsidRDefault="00EA6698" w:rsidP="00216344">
      <w:pPr>
        <w:widowControl/>
        <w:spacing w:line="360" w:lineRule="auto"/>
        <w:rPr>
          <w:rFonts w:ascii="Tahoma" w:hAnsi="Tahoma" w:cs="Tahoma"/>
          <w:color w:val="000000"/>
        </w:rPr>
      </w:pPr>
      <w:r>
        <w:rPr>
          <w:rFonts w:ascii="Tahoma" w:hAnsi="Tahoma" w:cs="Tahoma"/>
          <w:color w:val="000000"/>
        </w:rPr>
        <w:t>1)</w:t>
      </w:r>
      <w:r>
        <w:rPr>
          <w:rFonts w:ascii="Tahoma" w:hAnsi="Tahoma" w:cs="Tahoma"/>
          <w:color w:val="000000"/>
        </w:rPr>
        <w:tab/>
      </w:r>
      <w:r w:rsidR="00905057">
        <w:rPr>
          <w:rFonts w:ascii="Tahoma" w:hAnsi="Tahoma" w:cs="Tahoma"/>
          <w:color w:val="000000"/>
        </w:rPr>
        <w:t>uchyla się rozdział 6a;</w:t>
      </w:r>
    </w:p>
    <w:p w14:paraId="3C0EFC10" w14:textId="03A4AA53" w:rsidR="00F5543C" w:rsidRPr="002B0129" w:rsidRDefault="00905057" w:rsidP="00216344">
      <w:pPr>
        <w:widowControl/>
        <w:spacing w:line="360" w:lineRule="auto"/>
        <w:rPr>
          <w:rFonts w:ascii="Tahoma" w:hAnsi="Tahoma" w:cs="Tahoma"/>
          <w:color w:val="000000"/>
        </w:rPr>
      </w:pPr>
      <w:r>
        <w:rPr>
          <w:rFonts w:ascii="Tahoma" w:hAnsi="Tahoma" w:cs="Tahoma"/>
          <w:color w:val="000000"/>
        </w:rPr>
        <w:t>2)</w:t>
      </w:r>
      <w:r>
        <w:rPr>
          <w:rFonts w:ascii="Tahoma" w:hAnsi="Tahoma" w:cs="Tahoma"/>
          <w:color w:val="000000"/>
        </w:rPr>
        <w:tab/>
      </w:r>
      <w:r w:rsidR="002160A7" w:rsidRPr="002B0129">
        <w:rPr>
          <w:rFonts w:ascii="Tahoma" w:hAnsi="Tahoma" w:cs="Tahoma"/>
          <w:color w:val="000000"/>
        </w:rPr>
        <w:t>p</w:t>
      </w:r>
      <w:r w:rsidR="00F5543C" w:rsidRPr="002B0129">
        <w:rPr>
          <w:rFonts w:ascii="Tahoma" w:hAnsi="Tahoma" w:cs="Tahoma"/>
          <w:color w:val="000000"/>
        </w:rPr>
        <w:t xml:space="preserve">o art. 53 dodaje się art. 53a </w:t>
      </w:r>
      <w:r w:rsidR="002160A7" w:rsidRPr="002B0129">
        <w:rPr>
          <w:rFonts w:ascii="Tahoma" w:hAnsi="Tahoma" w:cs="Tahoma"/>
          <w:color w:val="000000"/>
        </w:rPr>
        <w:t>w brzmieniu</w:t>
      </w:r>
      <w:r w:rsidR="00F5543C" w:rsidRPr="002B0129">
        <w:rPr>
          <w:rFonts w:ascii="Tahoma" w:hAnsi="Tahoma" w:cs="Tahoma"/>
          <w:color w:val="000000"/>
        </w:rPr>
        <w:t>:</w:t>
      </w:r>
    </w:p>
    <w:p w14:paraId="41A85F78" w14:textId="6F76D994"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53a</w:t>
      </w:r>
      <w:r w:rsidR="002160A7" w:rsidRPr="002B0129">
        <w:rPr>
          <w:rFonts w:ascii="Tahoma" w:hAnsi="Tahoma" w:cs="Tahoma"/>
          <w:color w:val="000000"/>
        </w:rPr>
        <w:t xml:space="preserve">. </w:t>
      </w:r>
      <w:r w:rsidRPr="002B0129">
        <w:rPr>
          <w:rFonts w:ascii="Tahoma" w:hAnsi="Tahoma" w:cs="Tahoma"/>
          <w:color w:val="000000"/>
        </w:rPr>
        <w:t>1. Kto, wytwarza lub przerabia na terytorium Rzeczypospolitej Polskiej środek zastępczy lub nową substancję psychoaktywną, mogącą stanowić zagrożenie dla życia lub zdrowia</w:t>
      </w:r>
      <w:r w:rsidR="002160A7" w:rsidRPr="002B0129">
        <w:rPr>
          <w:rFonts w:ascii="Tahoma" w:hAnsi="Tahoma" w:cs="Tahoma"/>
          <w:color w:val="000000"/>
        </w:rPr>
        <w:t xml:space="preserve"> </w:t>
      </w:r>
      <w:r w:rsidRPr="002B0129">
        <w:rPr>
          <w:rFonts w:ascii="Tahoma" w:hAnsi="Tahoma" w:cs="Tahoma"/>
          <w:color w:val="000000"/>
        </w:rPr>
        <w:t>podlega karze pozbawienia wolności do lat 3.</w:t>
      </w:r>
    </w:p>
    <w:p w14:paraId="446715F4" w14:textId="3D85FC00" w:rsidR="00F5543C" w:rsidRPr="002B0129" w:rsidRDefault="00F5543C" w:rsidP="002B0129">
      <w:pPr>
        <w:widowControl/>
        <w:spacing w:after="150" w:line="360" w:lineRule="auto"/>
        <w:ind w:left="1134" w:firstLine="567"/>
        <w:jc w:val="both"/>
        <w:rPr>
          <w:rFonts w:ascii="Tahoma" w:hAnsi="Tahoma" w:cs="Tahoma"/>
          <w:color w:val="000000"/>
        </w:rPr>
      </w:pPr>
      <w:r w:rsidRPr="002B0129">
        <w:rPr>
          <w:rFonts w:ascii="Tahoma" w:hAnsi="Tahoma" w:cs="Tahoma"/>
          <w:color w:val="000000"/>
        </w:rPr>
        <w:t>2. Jeżeli przedmiotem czynu, o którym mowa w ust. 1, jest znaczna ilość środków zastępczych lub nowych substancji psychoaktywnych mogących stanowić zagrożenie dla życia lub zdrowia albo czyn ten został popełniony w celu osiągnięcia korzyści majątkowej lub osobistej, sprawca</w:t>
      </w:r>
      <w:r w:rsidR="002160A7" w:rsidRPr="002B0129">
        <w:rPr>
          <w:rFonts w:ascii="Tahoma" w:hAnsi="Tahoma" w:cs="Tahoma"/>
          <w:color w:val="000000"/>
        </w:rPr>
        <w:t xml:space="preserve"> </w:t>
      </w:r>
      <w:r w:rsidRPr="002B0129">
        <w:rPr>
          <w:rFonts w:ascii="Tahoma" w:hAnsi="Tahoma" w:cs="Tahoma"/>
          <w:color w:val="000000"/>
        </w:rPr>
        <w:t>podlega grzywnie i karze pozbawienia wolności na czas nie krótszy od lat 3.”</w:t>
      </w:r>
      <w:r w:rsidR="002160A7" w:rsidRPr="002B0129">
        <w:rPr>
          <w:rFonts w:ascii="Tahoma" w:hAnsi="Tahoma" w:cs="Tahoma"/>
          <w:color w:val="000000"/>
        </w:rPr>
        <w:t>;</w:t>
      </w:r>
    </w:p>
    <w:p w14:paraId="4DC06E06" w14:textId="7858BB5D" w:rsidR="00F5543C" w:rsidRPr="002B0129" w:rsidRDefault="00F5543C" w:rsidP="002B0129">
      <w:pPr>
        <w:widowControl/>
        <w:tabs>
          <w:tab w:val="left" w:pos="709"/>
        </w:tabs>
        <w:spacing w:after="150" w:line="360" w:lineRule="auto"/>
        <w:rPr>
          <w:rFonts w:ascii="Tahoma" w:hAnsi="Tahoma" w:cs="Tahoma"/>
          <w:color w:val="000000"/>
        </w:rPr>
      </w:pPr>
      <w:r w:rsidRPr="002B0129">
        <w:rPr>
          <w:rFonts w:ascii="Tahoma" w:hAnsi="Tahoma" w:cs="Tahoma"/>
          <w:color w:val="000000"/>
        </w:rPr>
        <w:t>4</w:t>
      </w:r>
      <w:r w:rsidR="002160A7" w:rsidRPr="002B0129">
        <w:rPr>
          <w:rFonts w:ascii="Tahoma" w:hAnsi="Tahoma" w:cs="Tahoma"/>
          <w:color w:val="000000"/>
        </w:rPr>
        <w:t>)</w:t>
      </w:r>
      <w:r w:rsidR="002160A7" w:rsidRPr="002B0129">
        <w:rPr>
          <w:rFonts w:ascii="Tahoma" w:hAnsi="Tahoma" w:cs="Tahoma"/>
          <w:color w:val="000000"/>
        </w:rPr>
        <w:tab/>
        <w:t>p</w:t>
      </w:r>
      <w:r w:rsidRPr="002B0129">
        <w:rPr>
          <w:rFonts w:ascii="Tahoma" w:hAnsi="Tahoma" w:cs="Tahoma"/>
          <w:color w:val="000000"/>
        </w:rPr>
        <w:t xml:space="preserve">o art. 55 dodaje się art. 55a </w:t>
      </w:r>
      <w:r w:rsidR="002160A7" w:rsidRPr="002B0129">
        <w:rPr>
          <w:rFonts w:ascii="Tahoma" w:hAnsi="Tahoma" w:cs="Tahoma"/>
          <w:color w:val="000000"/>
        </w:rPr>
        <w:t>w brzmieniu</w:t>
      </w:r>
      <w:r w:rsidRPr="002B0129">
        <w:rPr>
          <w:rFonts w:ascii="Tahoma" w:hAnsi="Tahoma" w:cs="Tahoma"/>
          <w:color w:val="000000"/>
        </w:rPr>
        <w:t>:</w:t>
      </w:r>
    </w:p>
    <w:p w14:paraId="0F6EE691" w14:textId="156D89FE" w:rsidR="00F5543C" w:rsidRPr="002B0129" w:rsidRDefault="00F5543C" w:rsidP="002B0129">
      <w:pPr>
        <w:widowControl/>
        <w:tabs>
          <w:tab w:val="left" w:pos="2127"/>
        </w:tabs>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55a</w:t>
      </w:r>
      <w:r w:rsidR="002160A7" w:rsidRPr="002B0129">
        <w:rPr>
          <w:rFonts w:ascii="Tahoma" w:hAnsi="Tahoma" w:cs="Tahoma"/>
          <w:color w:val="000000"/>
        </w:rPr>
        <w:t xml:space="preserve">. </w:t>
      </w:r>
      <w:r w:rsidRPr="002B0129">
        <w:rPr>
          <w:rFonts w:ascii="Tahoma" w:hAnsi="Tahoma" w:cs="Tahoma"/>
          <w:color w:val="000000"/>
        </w:rPr>
        <w:t>1. Kto dokonuje przywozu, wywozu, przewozu, wewnątrzwspólnotowego nabycia lub wewnątrzwspólnotowej dostawy środków zastępczych lub nowych substancji psychoaktywnych mogących stanowić zagrożenie dla życia lub zdrowia,</w:t>
      </w:r>
      <w:r w:rsidR="002160A7" w:rsidRPr="002B0129">
        <w:rPr>
          <w:rFonts w:ascii="Tahoma" w:hAnsi="Tahoma" w:cs="Tahoma"/>
          <w:color w:val="000000"/>
        </w:rPr>
        <w:t xml:space="preserve"> </w:t>
      </w:r>
      <w:r w:rsidRPr="002B0129">
        <w:rPr>
          <w:rFonts w:ascii="Tahoma" w:hAnsi="Tahoma" w:cs="Tahoma"/>
          <w:color w:val="000000"/>
        </w:rPr>
        <w:t>podlega grzywnie i karze pozbawienia wolności do lat 5.</w:t>
      </w:r>
    </w:p>
    <w:p w14:paraId="28DDABF5" w14:textId="26538228" w:rsidR="00F5543C" w:rsidRPr="002B0129" w:rsidRDefault="00F5543C" w:rsidP="002B0129">
      <w:pPr>
        <w:widowControl/>
        <w:spacing w:after="150" w:line="360" w:lineRule="auto"/>
        <w:ind w:left="1134" w:firstLine="567"/>
        <w:jc w:val="both"/>
        <w:rPr>
          <w:rFonts w:ascii="Tahoma" w:hAnsi="Tahoma" w:cs="Tahoma"/>
          <w:color w:val="000000"/>
        </w:rPr>
      </w:pPr>
      <w:r w:rsidRPr="002B0129">
        <w:rPr>
          <w:rFonts w:ascii="Tahoma" w:hAnsi="Tahoma" w:cs="Tahoma"/>
          <w:color w:val="000000"/>
        </w:rPr>
        <w:t>2. W wypadku mniejszej wagi, sprawca</w:t>
      </w:r>
      <w:r w:rsidR="002160A7" w:rsidRPr="002B0129">
        <w:rPr>
          <w:rFonts w:ascii="Tahoma" w:hAnsi="Tahoma" w:cs="Tahoma"/>
          <w:color w:val="000000"/>
        </w:rPr>
        <w:t xml:space="preserve"> </w:t>
      </w:r>
      <w:r w:rsidRPr="002B0129">
        <w:rPr>
          <w:rFonts w:ascii="Tahoma" w:hAnsi="Tahoma" w:cs="Tahoma"/>
          <w:color w:val="000000"/>
        </w:rPr>
        <w:t>podlega grzywnie, karze ograniczenia wolności albo pozbawienia wolności do roku.</w:t>
      </w:r>
    </w:p>
    <w:p w14:paraId="26270DB1" w14:textId="6CB50ACD" w:rsidR="00F5543C" w:rsidRPr="002B0129" w:rsidRDefault="00F5543C" w:rsidP="002B0129">
      <w:pPr>
        <w:widowControl/>
        <w:spacing w:after="150" w:line="360" w:lineRule="auto"/>
        <w:ind w:left="1134" w:firstLine="567"/>
        <w:jc w:val="both"/>
        <w:rPr>
          <w:rFonts w:ascii="Tahoma" w:hAnsi="Tahoma" w:cs="Tahoma"/>
          <w:color w:val="000000"/>
        </w:rPr>
      </w:pPr>
      <w:r w:rsidRPr="002B0129">
        <w:rPr>
          <w:rFonts w:ascii="Tahoma" w:hAnsi="Tahoma" w:cs="Tahoma"/>
          <w:color w:val="000000"/>
        </w:rPr>
        <w:t xml:space="preserve">3. Jeżeli przedmiotem czynu, o którym mowa w ust. 1, jest znaczna ilość środków zastępczych lub nowych substancji psychoaktywnych mogących stanowić zagrożenie dla życia lub zdrowia albo czyn ten został popełniony w celu </w:t>
      </w:r>
      <w:r w:rsidRPr="002B0129">
        <w:rPr>
          <w:rFonts w:ascii="Tahoma" w:hAnsi="Tahoma" w:cs="Tahoma"/>
          <w:color w:val="000000"/>
        </w:rPr>
        <w:lastRenderedPageBreak/>
        <w:t>osiągnięcia korzyści majątkowej lub osobistej, sprawca</w:t>
      </w:r>
      <w:r w:rsidR="002160A7" w:rsidRPr="002B0129">
        <w:rPr>
          <w:rFonts w:ascii="Tahoma" w:hAnsi="Tahoma" w:cs="Tahoma"/>
          <w:color w:val="000000"/>
        </w:rPr>
        <w:t xml:space="preserve"> </w:t>
      </w:r>
      <w:r w:rsidRPr="002B0129">
        <w:rPr>
          <w:rFonts w:ascii="Tahoma" w:hAnsi="Tahoma" w:cs="Tahoma"/>
          <w:color w:val="000000"/>
        </w:rPr>
        <w:t>podlega grzywnie i karze pozbawienia wolności na czas nie krótszy od lat 3.”</w:t>
      </w:r>
      <w:r w:rsidR="002160A7" w:rsidRPr="002B0129">
        <w:rPr>
          <w:rFonts w:ascii="Tahoma" w:hAnsi="Tahoma" w:cs="Tahoma"/>
          <w:color w:val="000000"/>
        </w:rPr>
        <w:t>;</w:t>
      </w:r>
    </w:p>
    <w:p w14:paraId="4908581C" w14:textId="37450AEC" w:rsidR="00F5543C" w:rsidRPr="002B0129" w:rsidRDefault="002160A7" w:rsidP="00216344">
      <w:pPr>
        <w:widowControl/>
        <w:spacing w:after="150" w:line="360" w:lineRule="auto"/>
        <w:rPr>
          <w:rFonts w:ascii="Tahoma" w:hAnsi="Tahoma" w:cs="Tahoma"/>
          <w:color w:val="000000"/>
        </w:rPr>
      </w:pPr>
      <w:r w:rsidRPr="002B0129">
        <w:rPr>
          <w:rFonts w:ascii="Tahoma" w:hAnsi="Tahoma" w:cs="Tahoma"/>
          <w:color w:val="000000"/>
        </w:rPr>
        <w:t>5)</w:t>
      </w:r>
      <w:r w:rsidRPr="002B0129">
        <w:rPr>
          <w:rFonts w:ascii="Tahoma" w:hAnsi="Tahoma" w:cs="Tahoma"/>
          <w:color w:val="000000"/>
        </w:rPr>
        <w:tab/>
        <w:t>p</w:t>
      </w:r>
      <w:r w:rsidR="00F5543C" w:rsidRPr="002B0129">
        <w:rPr>
          <w:rFonts w:ascii="Tahoma" w:hAnsi="Tahoma" w:cs="Tahoma"/>
          <w:color w:val="000000"/>
        </w:rPr>
        <w:t xml:space="preserve">o art. 56 dodaje się art. 56a </w:t>
      </w:r>
      <w:r w:rsidRPr="002B0129">
        <w:rPr>
          <w:rFonts w:ascii="Tahoma" w:hAnsi="Tahoma" w:cs="Tahoma"/>
          <w:color w:val="000000"/>
        </w:rPr>
        <w:t>w brzmieniu</w:t>
      </w:r>
      <w:r w:rsidR="00F5543C" w:rsidRPr="002B0129">
        <w:rPr>
          <w:rFonts w:ascii="Tahoma" w:hAnsi="Tahoma" w:cs="Tahoma"/>
          <w:color w:val="000000"/>
        </w:rPr>
        <w:t>:</w:t>
      </w:r>
    </w:p>
    <w:p w14:paraId="0DDAC187" w14:textId="411A3185" w:rsidR="00F5543C" w:rsidRPr="002B0129" w:rsidRDefault="00F5543C" w:rsidP="002B0129">
      <w:pPr>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56a</w:t>
      </w:r>
      <w:r w:rsidR="002160A7" w:rsidRPr="002B0129">
        <w:rPr>
          <w:rFonts w:ascii="Tahoma" w:hAnsi="Tahoma" w:cs="Tahoma"/>
          <w:color w:val="000000"/>
        </w:rPr>
        <w:t xml:space="preserve">. </w:t>
      </w:r>
      <w:r w:rsidRPr="002B0129">
        <w:rPr>
          <w:rFonts w:ascii="Tahoma" w:hAnsi="Tahoma" w:cs="Tahoma"/>
          <w:color w:val="000000"/>
        </w:rPr>
        <w:t>1. Kto wprowadza do obrotu środki zastępcze lub nowe substancje psychoaktywne mogące stanowić zagrożenie dla życia lub zdrowia albo uczestniczy w takim obrocie,</w:t>
      </w:r>
      <w:r w:rsidR="002160A7" w:rsidRPr="002B0129">
        <w:rPr>
          <w:rFonts w:ascii="Tahoma" w:hAnsi="Tahoma" w:cs="Tahoma"/>
          <w:color w:val="000000"/>
        </w:rPr>
        <w:t xml:space="preserve"> </w:t>
      </w:r>
      <w:r w:rsidRPr="002B0129">
        <w:rPr>
          <w:rFonts w:ascii="Tahoma" w:hAnsi="Tahoma" w:cs="Tahoma"/>
          <w:color w:val="000000"/>
        </w:rPr>
        <w:t>podlega grzywnie i karze pozbawienia wolności od 6 miesięcy do lat 8.</w:t>
      </w:r>
    </w:p>
    <w:p w14:paraId="38E647C8" w14:textId="24EA8AE4"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2. W wypadku mniejszej wagi, sprawca</w:t>
      </w:r>
      <w:r w:rsidR="002160A7" w:rsidRPr="002B0129">
        <w:rPr>
          <w:rFonts w:ascii="Tahoma" w:hAnsi="Tahoma" w:cs="Tahoma"/>
          <w:color w:val="000000"/>
        </w:rPr>
        <w:t xml:space="preserve"> </w:t>
      </w:r>
      <w:r w:rsidRPr="002B0129">
        <w:rPr>
          <w:rFonts w:ascii="Tahoma" w:hAnsi="Tahoma" w:cs="Tahoma"/>
          <w:color w:val="000000"/>
        </w:rPr>
        <w:t>podlega grzywnie, karze ograniczenia wolności albo pozbawienia wolności do roku.</w:t>
      </w:r>
    </w:p>
    <w:p w14:paraId="7EC20F68" w14:textId="54DF22EB"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3. Jeżeli przedmiotem czynu, o którym mowa w ust. 1, jest znaczna ilość środków zastępczych lub nowych substancji psychoaktywnych mogących stanowić zagrożenie dla życia lub zdrowia, sprawca</w:t>
      </w:r>
      <w:r w:rsidR="002160A7" w:rsidRPr="002B0129">
        <w:rPr>
          <w:rFonts w:ascii="Tahoma" w:hAnsi="Tahoma" w:cs="Tahoma"/>
          <w:color w:val="000000"/>
        </w:rPr>
        <w:t xml:space="preserve"> </w:t>
      </w:r>
      <w:r w:rsidRPr="002B0129">
        <w:rPr>
          <w:rFonts w:ascii="Tahoma" w:hAnsi="Tahoma" w:cs="Tahoma"/>
          <w:color w:val="000000"/>
        </w:rPr>
        <w:t>podlega grzywnie i karze pozbawienia wolności od lat 2 do 12.”</w:t>
      </w:r>
      <w:r w:rsidR="002160A7" w:rsidRPr="002B0129">
        <w:rPr>
          <w:rFonts w:ascii="Tahoma" w:hAnsi="Tahoma" w:cs="Tahoma"/>
          <w:color w:val="000000"/>
        </w:rPr>
        <w:t>;</w:t>
      </w:r>
    </w:p>
    <w:p w14:paraId="75D6042F" w14:textId="071753D0" w:rsidR="002B0129" w:rsidRPr="002B0129" w:rsidRDefault="00966601" w:rsidP="00F30479">
      <w:pPr>
        <w:spacing w:before="240" w:line="360" w:lineRule="auto"/>
        <w:ind w:left="709" w:hanging="709"/>
        <w:jc w:val="both"/>
        <w:rPr>
          <w:rFonts w:ascii="Tahoma" w:hAnsi="Tahoma" w:cs="Tahoma"/>
          <w:color w:val="000000"/>
        </w:rPr>
      </w:pPr>
      <w:r w:rsidRPr="002B0129">
        <w:rPr>
          <w:rFonts w:ascii="Tahoma" w:hAnsi="Tahoma" w:cs="Tahoma"/>
          <w:color w:val="000000"/>
        </w:rPr>
        <w:t>6)</w:t>
      </w:r>
      <w:r w:rsidRPr="002B0129">
        <w:rPr>
          <w:rFonts w:ascii="Tahoma" w:hAnsi="Tahoma" w:cs="Tahoma"/>
          <w:color w:val="000000"/>
        </w:rPr>
        <w:tab/>
      </w:r>
      <w:r w:rsidR="002B0129" w:rsidRPr="002B0129">
        <w:rPr>
          <w:rFonts w:ascii="Tahoma" w:hAnsi="Tahoma" w:cs="Tahoma"/>
          <w:color w:val="000000"/>
        </w:rPr>
        <w:t>art. 57 otrzymuje brzmienie:</w:t>
      </w:r>
    </w:p>
    <w:p w14:paraId="2E6B8592" w14:textId="77777777" w:rsidR="00966601" w:rsidRPr="00EA6698" w:rsidRDefault="002B0129" w:rsidP="002B0129">
      <w:pPr>
        <w:spacing w:before="240" w:line="360" w:lineRule="auto"/>
        <w:ind w:left="1134" w:firstLine="567"/>
        <w:jc w:val="both"/>
        <w:rPr>
          <w:rFonts w:ascii="Tahoma" w:eastAsiaTheme="minorEastAsia" w:hAnsi="Tahoma" w:cs="Tahoma"/>
          <w:kern w:val="0"/>
          <w:lang w:eastAsia="pl-PL" w:bidi="ar-SA"/>
        </w:rPr>
      </w:pPr>
      <w:r w:rsidRPr="002B0129">
        <w:rPr>
          <w:rFonts w:ascii="Tahoma" w:hAnsi="Tahoma" w:cs="Tahoma"/>
          <w:color w:val="000000"/>
        </w:rPr>
        <w:t>„</w:t>
      </w:r>
      <w:r w:rsidR="00966601" w:rsidRPr="002B0129">
        <w:rPr>
          <w:rFonts w:ascii="Tahoma" w:eastAsiaTheme="minorEastAsia" w:hAnsi="Tahoma" w:cs="Tahoma"/>
          <w:bCs/>
          <w:kern w:val="0"/>
          <w:lang w:eastAsia="pl-PL" w:bidi="ar-SA"/>
        </w:rPr>
        <w:t>Art. 57.</w:t>
      </w:r>
      <w:r w:rsidR="00966601" w:rsidRPr="002B0129">
        <w:rPr>
          <w:rFonts w:ascii="Tahoma" w:eastAsiaTheme="minorEastAsia" w:hAnsi="Tahoma" w:cs="Tahoma"/>
          <w:kern w:val="0"/>
          <w:lang w:eastAsia="pl-PL" w:bidi="ar-SA"/>
        </w:rPr>
        <w:t xml:space="preserve"> 1. Kto czyni przygotowania do przestępstwa określonego w art. 55 ust. 1 lub art. 56 ust. </w:t>
      </w:r>
      <w:r w:rsidR="00966601" w:rsidRPr="00EA6698">
        <w:rPr>
          <w:rFonts w:ascii="Tahoma" w:eastAsiaTheme="minorEastAsia" w:hAnsi="Tahoma" w:cs="Tahoma"/>
          <w:kern w:val="0"/>
          <w:lang w:eastAsia="pl-PL" w:bidi="ar-SA"/>
        </w:rPr>
        <w:t xml:space="preserve">1, </w:t>
      </w:r>
      <w:r w:rsidR="00035469" w:rsidRPr="00EA6698">
        <w:rPr>
          <w:rFonts w:ascii="Tahoma" w:eastAsiaTheme="minorEastAsia" w:hAnsi="Tahoma" w:cs="Tahoma"/>
          <w:kern w:val="0"/>
          <w:lang w:eastAsia="pl-PL" w:bidi="ar-SA"/>
        </w:rPr>
        <w:t xml:space="preserve">art. 55a ust. 1, </w:t>
      </w:r>
      <w:r w:rsidR="00966601" w:rsidRPr="00EA6698">
        <w:rPr>
          <w:rFonts w:ascii="Tahoma" w:eastAsiaTheme="minorEastAsia" w:hAnsi="Tahoma" w:cs="Tahoma"/>
          <w:kern w:val="0"/>
          <w:lang w:eastAsia="pl-PL" w:bidi="ar-SA"/>
        </w:rPr>
        <w:t>art. 56a ust. 1, podlega grzywnie, karze ograniczenia wolności albo pozbawienia wolności do lat 2.</w:t>
      </w:r>
    </w:p>
    <w:p w14:paraId="6DF00DAD" w14:textId="77777777" w:rsidR="00966601" w:rsidRPr="00966601" w:rsidRDefault="00966601" w:rsidP="002B0129">
      <w:pPr>
        <w:suppressAutoHyphens w:val="0"/>
        <w:autoSpaceDE w:val="0"/>
        <w:autoSpaceDN w:val="0"/>
        <w:adjustRightInd w:val="0"/>
        <w:spacing w:line="360" w:lineRule="auto"/>
        <w:ind w:left="1134" w:firstLine="567"/>
        <w:jc w:val="both"/>
        <w:rPr>
          <w:rFonts w:ascii="Tahoma" w:eastAsiaTheme="minorEastAsia" w:hAnsi="Tahoma" w:cs="Tahoma"/>
          <w:kern w:val="0"/>
          <w:lang w:eastAsia="pl-PL" w:bidi="ar-SA"/>
        </w:rPr>
      </w:pPr>
      <w:r w:rsidRPr="00EA6698">
        <w:rPr>
          <w:rFonts w:ascii="Tahoma" w:eastAsiaTheme="minorEastAsia" w:hAnsi="Tahoma" w:cs="Tahoma"/>
          <w:kern w:val="0"/>
          <w:lang w:eastAsia="pl-PL" w:bidi="ar-SA"/>
        </w:rPr>
        <w:t xml:space="preserve">2. Kto czyni przygotowania do przestępstwa określonego w art. 55 ust. 3 lub art. 56 ust. 3, </w:t>
      </w:r>
      <w:r w:rsidR="00035469" w:rsidRPr="00EA6698">
        <w:rPr>
          <w:rFonts w:ascii="Tahoma" w:eastAsiaTheme="minorEastAsia" w:hAnsi="Tahoma" w:cs="Tahoma"/>
          <w:kern w:val="0"/>
          <w:lang w:eastAsia="pl-PL" w:bidi="ar-SA"/>
        </w:rPr>
        <w:t xml:space="preserve">art. 55a ust. 3, </w:t>
      </w:r>
      <w:r w:rsidRPr="00EA6698">
        <w:rPr>
          <w:rFonts w:ascii="Tahoma" w:eastAsiaTheme="minorEastAsia" w:hAnsi="Tahoma" w:cs="Tahoma"/>
          <w:kern w:val="0"/>
          <w:lang w:eastAsia="pl-PL" w:bidi="ar-SA"/>
        </w:rPr>
        <w:t>art. 56a ust. 3,</w:t>
      </w:r>
      <w:r w:rsidRPr="00966601">
        <w:rPr>
          <w:rFonts w:ascii="Tahoma" w:eastAsiaTheme="minorEastAsia" w:hAnsi="Tahoma" w:cs="Tahoma"/>
          <w:kern w:val="0"/>
          <w:lang w:eastAsia="pl-PL" w:bidi="ar-SA"/>
        </w:rPr>
        <w:t xml:space="preserve"> podlega karze pozbawienia wolności do lat 3.</w:t>
      </w:r>
      <w:r w:rsidR="002B0129" w:rsidRPr="002B0129">
        <w:rPr>
          <w:rFonts w:ascii="Tahoma" w:eastAsiaTheme="minorEastAsia" w:hAnsi="Tahoma" w:cs="Tahoma"/>
          <w:kern w:val="0"/>
          <w:lang w:eastAsia="pl-PL" w:bidi="ar-SA"/>
        </w:rPr>
        <w:t>”;</w:t>
      </w:r>
    </w:p>
    <w:p w14:paraId="2D49854F" w14:textId="77777777" w:rsidR="00593F0E" w:rsidRPr="002B0129" w:rsidRDefault="00593F0E" w:rsidP="002B0129">
      <w:pPr>
        <w:pStyle w:val="Tekstpodstawowy"/>
        <w:widowControl/>
        <w:spacing w:after="150" w:line="360" w:lineRule="auto"/>
        <w:jc w:val="both"/>
        <w:rPr>
          <w:rFonts w:ascii="Tahoma" w:hAnsi="Tahoma" w:cs="Tahoma"/>
          <w:color w:val="000000"/>
        </w:rPr>
      </w:pPr>
    </w:p>
    <w:p w14:paraId="788BEB0E" w14:textId="12C7EACE" w:rsidR="00F5543C" w:rsidRPr="002B0129" w:rsidRDefault="00966601" w:rsidP="002B0129">
      <w:pPr>
        <w:widowControl/>
        <w:spacing w:after="150" w:line="360" w:lineRule="auto"/>
        <w:rPr>
          <w:rFonts w:ascii="Tahoma" w:hAnsi="Tahoma" w:cs="Tahoma"/>
          <w:color w:val="000000"/>
        </w:rPr>
      </w:pPr>
      <w:r w:rsidRPr="002B0129">
        <w:rPr>
          <w:rFonts w:ascii="Tahoma" w:hAnsi="Tahoma" w:cs="Tahoma"/>
          <w:color w:val="000000"/>
        </w:rPr>
        <w:t>7</w:t>
      </w:r>
      <w:r w:rsidR="002160A7" w:rsidRPr="002B0129">
        <w:rPr>
          <w:rFonts w:ascii="Tahoma" w:hAnsi="Tahoma" w:cs="Tahoma"/>
          <w:color w:val="000000"/>
        </w:rPr>
        <w:t>)</w:t>
      </w:r>
      <w:r w:rsidR="002160A7" w:rsidRPr="002B0129">
        <w:rPr>
          <w:rFonts w:ascii="Tahoma" w:hAnsi="Tahoma" w:cs="Tahoma"/>
          <w:color w:val="000000"/>
        </w:rPr>
        <w:tab/>
        <w:t>p</w:t>
      </w:r>
      <w:r w:rsidR="00F5543C" w:rsidRPr="002B0129">
        <w:rPr>
          <w:rFonts w:ascii="Tahoma" w:hAnsi="Tahoma" w:cs="Tahoma"/>
          <w:color w:val="000000"/>
        </w:rPr>
        <w:t xml:space="preserve">o art. 58 dodaje się art. 58a </w:t>
      </w:r>
      <w:r w:rsidR="002160A7" w:rsidRPr="002B0129">
        <w:rPr>
          <w:rFonts w:ascii="Tahoma" w:hAnsi="Tahoma" w:cs="Tahoma"/>
          <w:color w:val="000000"/>
        </w:rPr>
        <w:t>w brzmieniu</w:t>
      </w:r>
      <w:r w:rsidR="00F5543C" w:rsidRPr="002B0129">
        <w:rPr>
          <w:rFonts w:ascii="Tahoma" w:hAnsi="Tahoma" w:cs="Tahoma"/>
          <w:color w:val="000000"/>
        </w:rPr>
        <w:t>:</w:t>
      </w:r>
    </w:p>
    <w:p w14:paraId="7172D634" w14:textId="15D2373A" w:rsidR="00F5543C" w:rsidRPr="002B0129" w:rsidRDefault="00F5543C" w:rsidP="00966601">
      <w:pPr>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58a</w:t>
      </w:r>
      <w:r w:rsidR="002160A7" w:rsidRPr="002B0129">
        <w:rPr>
          <w:rFonts w:ascii="Tahoma" w:hAnsi="Tahoma" w:cs="Tahoma"/>
          <w:color w:val="000000"/>
        </w:rPr>
        <w:t xml:space="preserve">. </w:t>
      </w:r>
      <w:r w:rsidRPr="002B0129">
        <w:rPr>
          <w:rFonts w:ascii="Tahoma" w:hAnsi="Tahoma" w:cs="Tahoma"/>
          <w:color w:val="000000"/>
        </w:rPr>
        <w:t>1. Kto udziela innej osobie środka zastępczego lub nowej substancji psychoaktywnej mogącej stanowić zagrożenie dla życia lub zdrowia, ułatwia albo umożliwia ich użycie albo nakłania do użycia takiego środka lub substancji,</w:t>
      </w:r>
      <w:r w:rsidR="002160A7" w:rsidRPr="002B0129">
        <w:rPr>
          <w:rFonts w:ascii="Tahoma" w:hAnsi="Tahoma" w:cs="Tahoma"/>
          <w:color w:val="000000"/>
        </w:rPr>
        <w:t xml:space="preserve"> </w:t>
      </w:r>
      <w:r w:rsidRPr="002B0129">
        <w:rPr>
          <w:rFonts w:ascii="Tahoma" w:hAnsi="Tahoma" w:cs="Tahoma"/>
          <w:color w:val="000000"/>
        </w:rPr>
        <w:t>podlega karze pozbawienia wolności do lat 3.</w:t>
      </w:r>
    </w:p>
    <w:p w14:paraId="0CAEB20E" w14:textId="3C9D5847"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2. Jeżeli sprawca czynu, o którym mowa w ust. 1, udziela środka zastępczego lub nowej substancji psychoaktywnej małoletniemu lub nakłania go do użycia takiego środka lub substancji albo udziela ich w znacznych ilościach innej osobie,</w:t>
      </w:r>
      <w:r w:rsidR="002160A7" w:rsidRPr="002B0129">
        <w:rPr>
          <w:rFonts w:ascii="Tahoma" w:hAnsi="Tahoma" w:cs="Tahoma"/>
          <w:color w:val="000000"/>
        </w:rPr>
        <w:t xml:space="preserve"> </w:t>
      </w:r>
      <w:r w:rsidRPr="002B0129">
        <w:rPr>
          <w:rFonts w:ascii="Tahoma" w:hAnsi="Tahoma" w:cs="Tahoma"/>
          <w:color w:val="000000"/>
        </w:rPr>
        <w:t>podlega karze pozbawienia wolności od 6 miesięcy do lat 8</w:t>
      </w:r>
      <w:r w:rsidR="002160A7" w:rsidRPr="002B0129">
        <w:rPr>
          <w:rFonts w:ascii="Tahoma" w:hAnsi="Tahoma" w:cs="Tahoma"/>
          <w:color w:val="000000"/>
        </w:rPr>
        <w:t>.</w:t>
      </w:r>
      <w:r w:rsidRPr="002B0129">
        <w:rPr>
          <w:rFonts w:ascii="Tahoma" w:hAnsi="Tahoma" w:cs="Tahoma"/>
          <w:color w:val="000000"/>
        </w:rPr>
        <w:t>”</w:t>
      </w:r>
      <w:r w:rsidR="002160A7" w:rsidRPr="002B0129">
        <w:rPr>
          <w:rFonts w:ascii="Tahoma" w:hAnsi="Tahoma" w:cs="Tahoma"/>
          <w:color w:val="000000"/>
        </w:rPr>
        <w:t>;</w:t>
      </w:r>
    </w:p>
    <w:p w14:paraId="1838601E" w14:textId="085F15AB" w:rsidR="00F5543C" w:rsidRPr="002B0129" w:rsidRDefault="00966601" w:rsidP="002B0129">
      <w:pPr>
        <w:widowControl/>
        <w:tabs>
          <w:tab w:val="left" w:pos="709"/>
        </w:tabs>
        <w:spacing w:after="150" w:line="360" w:lineRule="auto"/>
        <w:rPr>
          <w:rFonts w:ascii="Tahoma" w:hAnsi="Tahoma" w:cs="Tahoma"/>
          <w:color w:val="000000"/>
        </w:rPr>
      </w:pPr>
      <w:r w:rsidRPr="002B0129">
        <w:rPr>
          <w:rFonts w:ascii="Tahoma" w:hAnsi="Tahoma" w:cs="Tahoma"/>
          <w:color w:val="000000"/>
        </w:rPr>
        <w:lastRenderedPageBreak/>
        <w:t>8</w:t>
      </w:r>
      <w:r w:rsidR="002160A7" w:rsidRPr="002B0129">
        <w:rPr>
          <w:rFonts w:ascii="Tahoma" w:hAnsi="Tahoma" w:cs="Tahoma"/>
          <w:color w:val="000000"/>
        </w:rPr>
        <w:t>)</w:t>
      </w:r>
      <w:r w:rsidR="002160A7" w:rsidRPr="002B0129">
        <w:rPr>
          <w:rFonts w:ascii="Tahoma" w:hAnsi="Tahoma" w:cs="Tahoma"/>
          <w:color w:val="000000"/>
        </w:rPr>
        <w:tab/>
        <w:t>p</w:t>
      </w:r>
      <w:r w:rsidR="00F5543C" w:rsidRPr="002B0129">
        <w:rPr>
          <w:rFonts w:ascii="Tahoma" w:hAnsi="Tahoma" w:cs="Tahoma"/>
          <w:color w:val="000000"/>
        </w:rPr>
        <w:t xml:space="preserve">o art. 59 dodaje się art. 59a </w:t>
      </w:r>
      <w:r w:rsidR="002160A7" w:rsidRPr="002B0129">
        <w:rPr>
          <w:rFonts w:ascii="Tahoma" w:hAnsi="Tahoma" w:cs="Tahoma"/>
          <w:color w:val="000000"/>
        </w:rPr>
        <w:t>w brzmieniu</w:t>
      </w:r>
      <w:r w:rsidR="00F5543C" w:rsidRPr="002B0129">
        <w:rPr>
          <w:rFonts w:ascii="Tahoma" w:hAnsi="Tahoma" w:cs="Tahoma"/>
          <w:color w:val="000000"/>
        </w:rPr>
        <w:t>:</w:t>
      </w:r>
    </w:p>
    <w:p w14:paraId="22F51212" w14:textId="05B24DF0" w:rsidR="00F5543C" w:rsidRPr="002B0129" w:rsidRDefault="00F5543C" w:rsidP="002B0129">
      <w:pPr>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59a</w:t>
      </w:r>
      <w:r w:rsidR="002160A7" w:rsidRPr="002B0129">
        <w:rPr>
          <w:rFonts w:ascii="Tahoma" w:hAnsi="Tahoma" w:cs="Tahoma"/>
          <w:color w:val="000000"/>
        </w:rPr>
        <w:t xml:space="preserve">. </w:t>
      </w:r>
      <w:r w:rsidRPr="002B0129">
        <w:rPr>
          <w:rFonts w:ascii="Tahoma" w:hAnsi="Tahoma" w:cs="Tahoma"/>
          <w:color w:val="000000"/>
        </w:rPr>
        <w:t>1. Kto, w celu osiągnięcia korzyści majątkowej lub osobistej, udziela innej osobie środka zastępczego lub nowej substancji psychoaktywnej mogących stanowić zagrożenie dla życia lub zdrowia, ułatwia użycie albo nakłania do użycia takiego środka lub substancji,</w:t>
      </w:r>
      <w:r w:rsidR="002160A7" w:rsidRPr="002B0129">
        <w:rPr>
          <w:rFonts w:ascii="Tahoma" w:hAnsi="Tahoma" w:cs="Tahoma"/>
          <w:color w:val="000000"/>
        </w:rPr>
        <w:t xml:space="preserve"> </w:t>
      </w:r>
      <w:r w:rsidRPr="002B0129">
        <w:rPr>
          <w:rFonts w:ascii="Tahoma" w:hAnsi="Tahoma" w:cs="Tahoma"/>
          <w:color w:val="000000"/>
        </w:rPr>
        <w:t>podlega karze pozbawienia wolności od roku do lat 10</w:t>
      </w:r>
    </w:p>
    <w:p w14:paraId="085071B0" w14:textId="2464B25A"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2. Jeżeli sprawca czynu, o którym mowa w ust. 1, udziela małoletniemu środka zastępczego lub nowej substancji psychoaktywnej mogącą stanowić zagrożenie dla życia lub zdrowia, ułatwia użycie albo nakłania go do użycia takiego środka lub substancji,</w:t>
      </w:r>
      <w:r w:rsidR="002160A7" w:rsidRPr="002B0129">
        <w:rPr>
          <w:rFonts w:ascii="Tahoma" w:hAnsi="Tahoma" w:cs="Tahoma"/>
          <w:color w:val="000000"/>
        </w:rPr>
        <w:t xml:space="preserve"> </w:t>
      </w:r>
      <w:r w:rsidRPr="002B0129">
        <w:rPr>
          <w:rFonts w:ascii="Tahoma" w:hAnsi="Tahoma" w:cs="Tahoma"/>
          <w:color w:val="000000"/>
        </w:rPr>
        <w:t>podlega karze pozbawienia wolności na czas nie krótszy od lat 3.</w:t>
      </w:r>
    </w:p>
    <w:p w14:paraId="7F8DEA7A" w14:textId="461AE915"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3. W wypadku mniejszej wagi, sprawca</w:t>
      </w:r>
      <w:r w:rsidR="002160A7" w:rsidRPr="002B0129">
        <w:rPr>
          <w:rFonts w:ascii="Tahoma" w:hAnsi="Tahoma" w:cs="Tahoma"/>
          <w:color w:val="000000"/>
        </w:rPr>
        <w:t xml:space="preserve"> </w:t>
      </w:r>
      <w:r w:rsidRPr="002B0129">
        <w:rPr>
          <w:rFonts w:ascii="Tahoma" w:hAnsi="Tahoma" w:cs="Tahoma"/>
          <w:color w:val="000000"/>
        </w:rPr>
        <w:t>podlega grzywnie, karze ograniczenia wolności albo pozbawienia wolności do lat 2.”</w:t>
      </w:r>
      <w:r w:rsidR="002160A7" w:rsidRPr="002B0129">
        <w:rPr>
          <w:rFonts w:ascii="Tahoma" w:hAnsi="Tahoma" w:cs="Tahoma"/>
          <w:color w:val="000000"/>
        </w:rPr>
        <w:t>;</w:t>
      </w:r>
    </w:p>
    <w:p w14:paraId="1ADE83EB" w14:textId="116CA1EC" w:rsidR="002B0129" w:rsidRPr="002B0129" w:rsidRDefault="002B0129" w:rsidP="002B0129">
      <w:pPr>
        <w:pStyle w:val="Tekstpodstawowy"/>
        <w:widowControl/>
        <w:spacing w:after="150" w:line="360" w:lineRule="auto"/>
        <w:ind w:left="709" w:hanging="709"/>
        <w:jc w:val="both"/>
        <w:rPr>
          <w:rFonts w:ascii="Tahoma" w:hAnsi="Tahoma" w:cs="Tahoma"/>
          <w:color w:val="000000"/>
        </w:rPr>
      </w:pPr>
      <w:r w:rsidRPr="002B0129">
        <w:rPr>
          <w:rFonts w:ascii="Tahoma" w:hAnsi="Tahoma" w:cs="Tahoma"/>
          <w:color w:val="000000"/>
        </w:rPr>
        <w:t>9)</w:t>
      </w:r>
      <w:r w:rsidRPr="002B0129">
        <w:rPr>
          <w:rFonts w:ascii="Tahoma" w:hAnsi="Tahoma" w:cs="Tahoma"/>
          <w:color w:val="000000"/>
        </w:rPr>
        <w:tab/>
        <w:t>art. 60 otrzymuje brzmienie:</w:t>
      </w:r>
    </w:p>
    <w:p w14:paraId="6577801F" w14:textId="77777777" w:rsidR="002B0129" w:rsidRPr="002B0129" w:rsidRDefault="002B0129" w:rsidP="002B0129">
      <w:pPr>
        <w:tabs>
          <w:tab w:val="left" w:pos="1134"/>
        </w:tabs>
        <w:spacing w:before="240" w:line="360" w:lineRule="auto"/>
        <w:ind w:left="1134" w:firstLine="567"/>
        <w:jc w:val="both"/>
        <w:rPr>
          <w:rFonts w:ascii="Tahoma" w:eastAsiaTheme="minorEastAsia" w:hAnsi="Tahoma" w:cs="Tahoma"/>
          <w:kern w:val="0"/>
          <w:lang w:eastAsia="pl-PL" w:bidi="ar-SA"/>
        </w:rPr>
      </w:pPr>
      <w:r w:rsidRPr="002B0129">
        <w:rPr>
          <w:rFonts w:ascii="Tahoma" w:hAnsi="Tahoma" w:cs="Tahoma"/>
          <w:color w:val="000000"/>
        </w:rPr>
        <w:t>„</w:t>
      </w:r>
      <w:r w:rsidRPr="002848CB">
        <w:rPr>
          <w:rFonts w:ascii="Tahoma" w:eastAsiaTheme="minorEastAsia" w:hAnsi="Tahoma" w:cs="Tahoma"/>
          <w:bCs/>
          <w:kern w:val="0"/>
          <w:lang w:eastAsia="pl-PL" w:bidi="ar-SA"/>
        </w:rPr>
        <w:t>Art. 60.</w:t>
      </w:r>
      <w:r w:rsidRPr="002B0129">
        <w:rPr>
          <w:rFonts w:ascii="Tahoma" w:eastAsiaTheme="minorEastAsia" w:hAnsi="Tahoma" w:cs="Tahoma"/>
          <w:kern w:val="0"/>
          <w:lang w:eastAsia="pl-PL" w:bidi="ar-SA"/>
        </w:rPr>
        <w:t> Kto, będąc właścicielem lub działającym w jego imieniu zarządcą albo kierownikiem zakładu gastronomicznego, lokalu rozrywkowego lub prowadząc inną działalność usługową, mając wiarygodną wiadomość o popełnieniu przestępstwa określonego w art. 56, 58</w:t>
      </w:r>
      <w:r>
        <w:rPr>
          <w:rFonts w:ascii="Tahoma" w:eastAsiaTheme="minorEastAsia" w:hAnsi="Tahoma" w:cs="Tahoma"/>
          <w:kern w:val="0"/>
          <w:lang w:eastAsia="pl-PL" w:bidi="ar-SA"/>
        </w:rPr>
        <w:t>,</w:t>
      </w:r>
      <w:r w:rsidRPr="002B0129">
        <w:rPr>
          <w:rFonts w:ascii="Tahoma" w:eastAsiaTheme="minorEastAsia" w:hAnsi="Tahoma" w:cs="Tahoma"/>
          <w:kern w:val="0"/>
          <w:lang w:eastAsia="pl-PL" w:bidi="ar-SA"/>
        </w:rPr>
        <w:t xml:space="preserve"> </w:t>
      </w:r>
      <w:r>
        <w:rPr>
          <w:rFonts w:ascii="Tahoma" w:eastAsiaTheme="minorEastAsia" w:hAnsi="Tahoma" w:cs="Tahoma"/>
          <w:kern w:val="0"/>
          <w:lang w:eastAsia="pl-PL" w:bidi="ar-SA"/>
        </w:rPr>
        <w:t>59</w:t>
      </w:r>
      <w:r w:rsidRPr="00EA6698">
        <w:rPr>
          <w:rFonts w:ascii="Tahoma" w:eastAsiaTheme="minorEastAsia" w:hAnsi="Tahoma" w:cs="Tahoma"/>
          <w:kern w:val="0"/>
          <w:lang w:eastAsia="pl-PL" w:bidi="ar-SA"/>
        </w:rPr>
        <w:t>, 56a, 58a,59a</w:t>
      </w:r>
      <w:r>
        <w:rPr>
          <w:rFonts w:ascii="Tahoma" w:eastAsiaTheme="minorEastAsia" w:hAnsi="Tahoma" w:cs="Tahoma"/>
          <w:kern w:val="0"/>
          <w:lang w:eastAsia="pl-PL" w:bidi="ar-SA"/>
        </w:rPr>
        <w:t xml:space="preserve"> </w:t>
      </w:r>
      <w:r w:rsidRPr="002B0129">
        <w:rPr>
          <w:rFonts w:ascii="Tahoma" w:eastAsiaTheme="minorEastAsia" w:hAnsi="Tahoma" w:cs="Tahoma"/>
          <w:kern w:val="0"/>
          <w:lang w:eastAsia="pl-PL" w:bidi="ar-SA"/>
        </w:rPr>
        <w:t>na terenie tego zakładu lub lokalu, nie powiadamia o tym niezwłocznie organów ścigania, podlega grzywnie, karze ograniczenia wolności albo pozbawienia wolności do lat 2.</w:t>
      </w:r>
      <w:r w:rsidR="008C03D7">
        <w:rPr>
          <w:rFonts w:ascii="Tahoma" w:eastAsiaTheme="minorEastAsia" w:hAnsi="Tahoma" w:cs="Tahoma"/>
          <w:kern w:val="0"/>
          <w:lang w:eastAsia="pl-PL" w:bidi="ar-SA"/>
        </w:rPr>
        <w:t>”;</w:t>
      </w:r>
    </w:p>
    <w:p w14:paraId="347B167B" w14:textId="77777777" w:rsidR="002B0129" w:rsidRPr="002B0129" w:rsidRDefault="002B0129" w:rsidP="002B0129">
      <w:pPr>
        <w:pStyle w:val="Tekstpodstawowy"/>
        <w:widowControl/>
        <w:spacing w:after="150" w:line="360" w:lineRule="auto"/>
        <w:jc w:val="both"/>
        <w:rPr>
          <w:rFonts w:ascii="Tahoma" w:hAnsi="Tahoma" w:cs="Tahoma"/>
          <w:color w:val="000000"/>
        </w:rPr>
      </w:pPr>
    </w:p>
    <w:p w14:paraId="14F4182E" w14:textId="4C8F8B0D" w:rsidR="00F5543C" w:rsidRPr="002B0129" w:rsidRDefault="002B0129" w:rsidP="002B0129">
      <w:pPr>
        <w:pStyle w:val="Tekstpodstawowy"/>
        <w:widowControl/>
        <w:tabs>
          <w:tab w:val="left" w:pos="709"/>
        </w:tabs>
        <w:spacing w:after="150" w:line="360" w:lineRule="auto"/>
        <w:jc w:val="both"/>
        <w:rPr>
          <w:rFonts w:ascii="Tahoma" w:hAnsi="Tahoma" w:cs="Tahoma"/>
          <w:color w:val="000000"/>
        </w:rPr>
      </w:pPr>
      <w:r>
        <w:rPr>
          <w:rFonts w:ascii="Tahoma" w:hAnsi="Tahoma" w:cs="Tahoma"/>
          <w:color w:val="000000"/>
        </w:rPr>
        <w:t>10</w:t>
      </w:r>
      <w:r w:rsidR="002160A7" w:rsidRPr="002B0129">
        <w:rPr>
          <w:rFonts w:ascii="Tahoma" w:hAnsi="Tahoma" w:cs="Tahoma"/>
          <w:color w:val="000000"/>
        </w:rPr>
        <w:t>)</w:t>
      </w:r>
      <w:r w:rsidR="00F5543C" w:rsidRPr="002B0129">
        <w:rPr>
          <w:rFonts w:ascii="Tahoma" w:hAnsi="Tahoma" w:cs="Tahoma"/>
          <w:color w:val="000000"/>
        </w:rPr>
        <w:t xml:space="preserve"> </w:t>
      </w:r>
      <w:r w:rsidR="002160A7" w:rsidRPr="002B0129">
        <w:rPr>
          <w:rFonts w:ascii="Tahoma" w:hAnsi="Tahoma" w:cs="Tahoma"/>
          <w:color w:val="000000"/>
        </w:rPr>
        <w:tab/>
        <w:t>p</w:t>
      </w:r>
      <w:r w:rsidR="00F5543C" w:rsidRPr="002B0129">
        <w:rPr>
          <w:rFonts w:ascii="Tahoma" w:hAnsi="Tahoma" w:cs="Tahoma"/>
          <w:color w:val="000000"/>
        </w:rPr>
        <w:t>o art. 62a dodaje się art. 62b o treści następującej:</w:t>
      </w:r>
    </w:p>
    <w:p w14:paraId="6F252CC6" w14:textId="5EA712B6"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2160A7" w:rsidRPr="002B0129">
        <w:rPr>
          <w:rFonts w:ascii="Tahoma" w:hAnsi="Tahoma" w:cs="Tahoma"/>
          <w:color w:val="000000"/>
        </w:rPr>
        <w:t>A</w:t>
      </w:r>
      <w:r w:rsidRPr="002B0129">
        <w:rPr>
          <w:rFonts w:ascii="Tahoma" w:hAnsi="Tahoma" w:cs="Tahoma"/>
          <w:color w:val="000000"/>
        </w:rPr>
        <w:t>rt. 62b</w:t>
      </w:r>
      <w:r w:rsidR="002160A7" w:rsidRPr="002B0129">
        <w:rPr>
          <w:rFonts w:ascii="Tahoma" w:hAnsi="Tahoma" w:cs="Tahoma"/>
          <w:color w:val="000000"/>
        </w:rPr>
        <w:t xml:space="preserve">. </w:t>
      </w:r>
      <w:r w:rsidRPr="002B0129">
        <w:rPr>
          <w:rFonts w:ascii="Tahoma" w:hAnsi="Tahoma" w:cs="Tahoma"/>
          <w:color w:val="000000"/>
        </w:rPr>
        <w:t>1. Kto, wbrew przepisom ustawy, posiada środki zastępcze lub nowe substancje psychoaktywne mogące stanowić zagrożenie dla życia lub zdrowia,</w:t>
      </w:r>
      <w:r w:rsidR="002160A7" w:rsidRPr="002B0129">
        <w:rPr>
          <w:rFonts w:ascii="Tahoma" w:hAnsi="Tahoma" w:cs="Tahoma"/>
          <w:color w:val="000000"/>
        </w:rPr>
        <w:t xml:space="preserve"> </w:t>
      </w:r>
      <w:r w:rsidRPr="002B0129">
        <w:rPr>
          <w:rFonts w:ascii="Tahoma" w:hAnsi="Tahoma" w:cs="Tahoma"/>
          <w:color w:val="000000"/>
        </w:rPr>
        <w:t>podlega karze grzywny, ograniczenia wolności lub pozbawienia wolności do lat 2.</w:t>
      </w:r>
    </w:p>
    <w:p w14:paraId="557BB811" w14:textId="4A85BBF0"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 xml:space="preserve">2. Jeżeli przedmiotem czynu, o którym mowa w ust. 1, jest znaczna ilość środków zastępczych lub nowych substancji psychoaktywnych mogących </w:t>
      </w:r>
      <w:r w:rsidRPr="002B0129">
        <w:rPr>
          <w:rFonts w:ascii="Tahoma" w:hAnsi="Tahoma" w:cs="Tahoma"/>
          <w:color w:val="000000"/>
        </w:rPr>
        <w:lastRenderedPageBreak/>
        <w:t>stanowić zagrożenie dla życia lub zdrowia, sprawca</w:t>
      </w:r>
      <w:r w:rsidR="002160A7" w:rsidRPr="002B0129">
        <w:rPr>
          <w:rFonts w:ascii="Tahoma" w:hAnsi="Tahoma" w:cs="Tahoma"/>
          <w:color w:val="000000"/>
        </w:rPr>
        <w:t xml:space="preserve"> </w:t>
      </w:r>
      <w:r w:rsidRPr="002B0129">
        <w:rPr>
          <w:rFonts w:ascii="Tahoma" w:hAnsi="Tahoma" w:cs="Tahoma"/>
          <w:color w:val="000000"/>
        </w:rPr>
        <w:t>podlega karze pozbawienia wolności od roku do lat 10.</w:t>
      </w:r>
    </w:p>
    <w:p w14:paraId="74C52B05" w14:textId="0787CEA4" w:rsidR="00F5543C" w:rsidRPr="002B0129" w:rsidRDefault="00F5543C" w:rsidP="002B0129">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3. W wypadku mniejszej wagi, sprawca</w:t>
      </w:r>
      <w:r w:rsidR="002160A7" w:rsidRPr="002B0129">
        <w:rPr>
          <w:rFonts w:ascii="Tahoma" w:hAnsi="Tahoma" w:cs="Tahoma"/>
          <w:color w:val="000000"/>
        </w:rPr>
        <w:t xml:space="preserve"> </w:t>
      </w:r>
      <w:r w:rsidRPr="002B0129">
        <w:rPr>
          <w:rFonts w:ascii="Tahoma" w:hAnsi="Tahoma" w:cs="Tahoma"/>
          <w:color w:val="000000"/>
        </w:rPr>
        <w:t>podlega grzywnie, karze ograniczenia wolności albo pozbawienia wolności do roku.”</w:t>
      </w:r>
      <w:r w:rsidR="002160A7" w:rsidRPr="002B0129">
        <w:rPr>
          <w:rFonts w:ascii="Tahoma" w:hAnsi="Tahoma" w:cs="Tahoma"/>
          <w:color w:val="000000"/>
        </w:rPr>
        <w:t>;</w:t>
      </w:r>
    </w:p>
    <w:p w14:paraId="466CD30E" w14:textId="4D534106" w:rsidR="00F5543C" w:rsidRPr="002B0129" w:rsidRDefault="00966601" w:rsidP="00216344">
      <w:pPr>
        <w:pStyle w:val="Tekstpodstawowy"/>
        <w:widowControl/>
        <w:spacing w:after="150" w:line="360" w:lineRule="auto"/>
        <w:jc w:val="both"/>
        <w:rPr>
          <w:rFonts w:ascii="Tahoma" w:hAnsi="Tahoma" w:cs="Tahoma"/>
          <w:color w:val="000000"/>
        </w:rPr>
      </w:pPr>
      <w:r w:rsidRPr="002B0129">
        <w:rPr>
          <w:rFonts w:ascii="Tahoma" w:hAnsi="Tahoma" w:cs="Tahoma"/>
          <w:color w:val="000000"/>
        </w:rPr>
        <w:t>1</w:t>
      </w:r>
      <w:r w:rsidR="00EA6698">
        <w:rPr>
          <w:rFonts w:ascii="Tahoma" w:hAnsi="Tahoma" w:cs="Tahoma"/>
          <w:color w:val="000000"/>
        </w:rPr>
        <w:t>1</w:t>
      </w:r>
      <w:r w:rsidR="002160A7" w:rsidRPr="002B0129">
        <w:rPr>
          <w:rFonts w:ascii="Tahoma" w:hAnsi="Tahoma" w:cs="Tahoma"/>
          <w:color w:val="000000"/>
        </w:rPr>
        <w:t>)</w:t>
      </w:r>
      <w:r w:rsidR="002160A7" w:rsidRPr="002B0129">
        <w:rPr>
          <w:rFonts w:ascii="Tahoma" w:hAnsi="Tahoma" w:cs="Tahoma"/>
          <w:color w:val="000000"/>
        </w:rPr>
        <w:tab/>
        <w:t>p</w:t>
      </w:r>
      <w:r w:rsidR="00F5543C" w:rsidRPr="002B0129">
        <w:rPr>
          <w:rFonts w:ascii="Tahoma" w:hAnsi="Tahoma" w:cs="Tahoma"/>
          <w:color w:val="000000"/>
        </w:rPr>
        <w:t xml:space="preserve">o art. 62b dodaje się art. 62c </w:t>
      </w:r>
      <w:r w:rsidR="00F52C09" w:rsidRPr="002B0129">
        <w:rPr>
          <w:rFonts w:ascii="Tahoma" w:hAnsi="Tahoma" w:cs="Tahoma"/>
          <w:color w:val="000000"/>
        </w:rPr>
        <w:t>w brzmieniu</w:t>
      </w:r>
      <w:r w:rsidR="00F5543C" w:rsidRPr="002B0129">
        <w:rPr>
          <w:rFonts w:ascii="Tahoma" w:hAnsi="Tahoma" w:cs="Tahoma"/>
          <w:color w:val="000000"/>
        </w:rPr>
        <w:t>:</w:t>
      </w:r>
    </w:p>
    <w:p w14:paraId="36B4B6ED" w14:textId="7ABFFEB3" w:rsidR="00F5543C" w:rsidRPr="00FB13A7" w:rsidRDefault="00F5543C" w:rsidP="00216344">
      <w:pPr>
        <w:pStyle w:val="Tekstpodstawowy"/>
        <w:widowControl/>
        <w:spacing w:after="150" w:line="360" w:lineRule="auto"/>
        <w:ind w:left="1134" w:firstLine="567"/>
        <w:jc w:val="both"/>
        <w:rPr>
          <w:rFonts w:ascii="Tahoma" w:hAnsi="Tahoma" w:cs="Tahoma"/>
          <w:color w:val="000000"/>
        </w:rPr>
      </w:pPr>
      <w:r w:rsidRPr="002B0129">
        <w:rPr>
          <w:rFonts w:ascii="Tahoma" w:hAnsi="Tahoma" w:cs="Tahoma"/>
          <w:color w:val="000000"/>
        </w:rPr>
        <w:t>„</w:t>
      </w:r>
      <w:r w:rsidR="00F52C09" w:rsidRPr="002B0129">
        <w:rPr>
          <w:rFonts w:ascii="Tahoma" w:hAnsi="Tahoma" w:cs="Tahoma"/>
          <w:color w:val="000000"/>
        </w:rPr>
        <w:t>A</w:t>
      </w:r>
      <w:r w:rsidRPr="002B0129">
        <w:rPr>
          <w:rFonts w:ascii="Tahoma" w:hAnsi="Tahoma" w:cs="Tahoma"/>
          <w:color w:val="000000"/>
        </w:rPr>
        <w:t>rt. 62c</w:t>
      </w:r>
      <w:r w:rsidR="00F52C09" w:rsidRPr="002B0129">
        <w:rPr>
          <w:rFonts w:ascii="Tahoma" w:hAnsi="Tahoma" w:cs="Tahoma"/>
          <w:color w:val="000000"/>
        </w:rPr>
        <w:t xml:space="preserve">. </w:t>
      </w:r>
      <w:r w:rsidRPr="002B0129">
        <w:rPr>
          <w:rFonts w:ascii="Tahoma" w:hAnsi="Tahoma" w:cs="Tahoma"/>
          <w:color w:val="000000"/>
        </w:rPr>
        <w:t xml:space="preserve">Jeżeli przedmiotem czynu, o którym mowa w art. 62b ust. 1 lub 3, są środki zastępcze lub nowe </w:t>
      </w:r>
      <w:r w:rsidRPr="004C7682">
        <w:rPr>
          <w:rFonts w:ascii="Tahoma" w:hAnsi="Tahoma" w:cs="Tahoma"/>
          <w:color w:val="000000"/>
        </w:rPr>
        <w:t xml:space="preserve">substancje psychoaktywne mogące stanowić zagrożenie dla życia lub zdrowia w ilości nieznacznej, przeznaczone na własny użytek sprawcy, postępowanie można umorzyć </w:t>
      </w:r>
      <w:r w:rsidRPr="00FB13A7">
        <w:rPr>
          <w:rFonts w:ascii="Tahoma" w:hAnsi="Tahoma" w:cs="Tahoma"/>
          <w:color w:val="000000"/>
        </w:rPr>
        <w:t>również przed wydaniem postanowienia o wszczęciu śledztwa lub dochodzenia, jeżeli orzeczenie wobec sprawcy kary byłoby niecelowe ze względu na okoliczności popełnienia czynu, a także stopień jego społecznej szkodliwości.”</w:t>
      </w:r>
      <w:r w:rsidR="00F52C09" w:rsidRPr="00FB13A7">
        <w:rPr>
          <w:rFonts w:ascii="Tahoma" w:hAnsi="Tahoma" w:cs="Tahoma"/>
          <w:color w:val="000000"/>
        </w:rPr>
        <w:t>.</w:t>
      </w:r>
    </w:p>
    <w:p w14:paraId="0432F037" w14:textId="77777777" w:rsidR="00F5543C" w:rsidRPr="00FB13A7" w:rsidRDefault="00F5543C" w:rsidP="00216344">
      <w:pPr>
        <w:spacing w:line="360" w:lineRule="auto"/>
        <w:jc w:val="center"/>
        <w:rPr>
          <w:rFonts w:ascii="Tahoma" w:hAnsi="Tahoma" w:cs="Tahoma"/>
          <w:color w:val="000000"/>
        </w:rPr>
      </w:pPr>
    </w:p>
    <w:p w14:paraId="136CCC79" w14:textId="3735BB6C" w:rsidR="00216344" w:rsidRDefault="00EA6698" w:rsidP="00EA6698">
      <w:pPr>
        <w:autoSpaceDE w:val="0"/>
        <w:spacing w:line="360" w:lineRule="auto"/>
        <w:ind w:firstLine="567"/>
        <w:rPr>
          <w:rFonts w:ascii="Tahoma" w:hAnsi="Tahoma" w:cs="Tahoma"/>
          <w:color w:val="000000"/>
        </w:rPr>
      </w:pPr>
      <w:r>
        <w:rPr>
          <w:rFonts w:ascii="Tahoma" w:hAnsi="Tahoma" w:cs="Tahoma"/>
          <w:b/>
          <w:bCs/>
          <w:color w:val="000000"/>
        </w:rPr>
        <w:t>Art. 2</w:t>
      </w:r>
      <w:r w:rsidR="00F52C09" w:rsidRPr="00FB13A7">
        <w:rPr>
          <w:rFonts w:ascii="Tahoma" w:hAnsi="Tahoma" w:cs="Tahoma"/>
          <w:b/>
          <w:bCs/>
          <w:color w:val="000000"/>
        </w:rPr>
        <w:t xml:space="preserve">. </w:t>
      </w:r>
      <w:r w:rsidR="00F5543C" w:rsidRPr="00965492">
        <w:rPr>
          <w:rFonts w:ascii="Tahoma" w:hAnsi="Tahoma" w:cs="Tahoma"/>
          <w:color w:val="000000"/>
        </w:rPr>
        <w:t>Ustawa wchodzi w życie w terminie 14 dni od dnia ogłoszenia</w:t>
      </w:r>
      <w:r w:rsidR="00F52C09" w:rsidRPr="002B0129">
        <w:rPr>
          <w:rFonts w:ascii="Tahoma" w:hAnsi="Tahoma" w:cs="Tahoma"/>
          <w:color w:val="000000"/>
        </w:rPr>
        <w:t>.</w:t>
      </w:r>
    </w:p>
    <w:p w14:paraId="2FE474A9" w14:textId="77777777" w:rsidR="00F30479" w:rsidRDefault="00F30479" w:rsidP="00EA6698">
      <w:pPr>
        <w:autoSpaceDE w:val="0"/>
        <w:spacing w:line="360" w:lineRule="auto"/>
        <w:ind w:firstLine="567"/>
        <w:rPr>
          <w:rFonts w:ascii="Tahoma" w:hAnsi="Tahoma" w:cs="Tahoma"/>
          <w:color w:val="000000"/>
        </w:rPr>
      </w:pPr>
    </w:p>
    <w:p w14:paraId="6A5C482A" w14:textId="77777777" w:rsidR="00F30479" w:rsidRDefault="00F30479" w:rsidP="00EA6698">
      <w:pPr>
        <w:autoSpaceDE w:val="0"/>
        <w:spacing w:line="360" w:lineRule="auto"/>
        <w:ind w:firstLine="567"/>
        <w:rPr>
          <w:rFonts w:ascii="Tahoma" w:hAnsi="Tahoma" w:cs="Tahoma"/>
          <w:color w:val="000000"/>
        </w:rPr>
      </w:pPr>
    </w:p>
    <w:p w14:paraId="71496C1D" w14:textId="77777777" w:rsidR="00F30479" w:rsidRDefault="00F30479" w:rsidP="00EA6698">
      <w:pPr>
        <w:autoSpaceDE w:val="0"/>
        <w:spacing w:line="360" w:lineRule="auto"/>
        <w:ind w:firstLine="567"/>
        <w:rPr>
          <w:rFonts w:ascii="Tahoma" w:hAnsi="Tahoma" w:cs="Tahoma"/>
          <w:color w:val="000000"/>
        </w:rPr>
      </w:pPr>
    </w:p>
    <w:p w14:paraId="28C59437" w14:textId="77777777" w:rsidR="00F30479" w:rsidRDefault="00F30479" w:rsidP="00EA6698">
      <w:pPr>
        <w:autoSpaceDE w:val="0"/>
        <w:spacing w:line="360" w:lineRule="auto"/>
        <w:ind w:firstLine="567"/>
        <w:rPr>
          <w:rFonts w:ascii="Tahoma" w:hAnsi="Tahoma" w:cs="Tahoma"/>
          <w:color w:val="000000"/>
        </w:rPr>
      </w:pPr>
    </w:p>
    <w:p w14:paraId="3ED3C93D" w14:textId="77777777" w:rsidR="00F30479" w:rsidRDefault="00F30479" w:rsidP="00EA6698">
      <w:pPr>
        <w:autoSpaceDE w:val="0"/>
        <w:spacing w:line="360" w:lineRule="auto"/>
        <w:ind w:firstLine="567"/>
        <w:rPr>
          <w:rFonts w:ascii="Tahoma" w:hAnsi="Tahoma" w:cs="Tahoma"/>
          <w:color w:val="000000"/>
        </w:rPr>
      </w:pPr>
    </w:p>
    <w:p w14:paraId="5DDBF908" w14:textId="77777777" w:rsidR="00F30479" w:rsidRDefault="00F30479" w:rsidP="00EA6698">
      <w:pPr>
        <w:autoSpaceDE w:val="0"/>
        <w:spacing w:line="360" w:lineRule="auto"/>
        <w:ind w:firstLine="567"/>
        <w:rPr>
          <w:rFonts w:ascii="Tahoma" w:hAnsi="Tahoma" w:cs="Tahoma"/>
          <w:color w:val="000000"/>
        </w:rPr>
      </w:pPr>
    </w:p>
    <w:p w14:paraId="5AED99DF" w14:textId="77777777" w:rsidR="00F30479" w:rsidRDefault="00F30479" w:rsidP="00EA6698">
      <w:pPr>
        <w:autoSpaceDE w:val="0"/>
        <w:spacing w:line="360" w:lineRule="auto"/>
        <w:ind w:firstLine="567"/>
        <w:rPr>
          <w:rFonts w:ascii="Tahoma" w:hAnsi="Tahoma" w:cs="Tahoma"/>
          <w:color w:val="000000"/>
        </w:rPr>
      </w:pPr>
    </w:p>
    <w:p w14:paraId="6834E46A" w14:textId="77777777" w:rsidR="00F30479" w:rsidRDefault="00F30479" w:rsidP="00EA6698">
      <w:pPr>
        <w:autoSpaceDE w:val="0"/>
        <w:spacing w:line="360" w:lineRule="auto"/>
        <w:ind w:firstLine="567"/>
        <w:rPr>
          <w:rFonts w:ascii="Tahoma" w:hAnsi="Tahoma" w:cs="Tahoma"/>
          <w:color w:val="000000"/>
        </w:rPr>
      </w:pPr>
    </w:p>
    <w:p w14:paraId="502B9FA2" w14:textId="77777777" w:rsidR="00F30479" w:rsidRDefault="00F30479" w:rsidP="00EA6698">
      <w:pPr>
        <w:autoSpaceDE w:val="0"/>
        <w:spacing w:line="360" w:lineRule="auto"/>
        <w:ind w:firstLine="567"/>
        <w:rPr>
          <w:rFonts w:ascii="Tahoma" w:hAnsi="Tahoma" w:cs="Tahoma"/>
          <w:color w:val="000000"/>
        </w:rPr>
      </w:pPr>
    </w:p>
    <w:p w14:paraId="3497DD9F" w14:textId="77777777" w:rsidR="00F30479" w:rsidRDefault="00F30479" w:rsidP="00EA6698">
      <w:pPr>
        <w:autoSpaceDE w:val="0"/>
        <w:spacing w:line="360" w:lineRule="auto"/>
        <w:ind w:firstLine="567"/>
        <w:rPr>
          <w:rFonts w:ascii="Tahoma" w:hAnsi="Tahoma" w:cs="Tahoma"/>
          <w:color w:val="000000"/>
        </w:rPr>
      </w:pPr>
    </w:p>
    <w:p w14:paraId="411DF973" w14:textId="77777777" w:rsidR="00F30479" w:rsidRDefault="00F30479" w:rsidP="00EA6698">
      <w:pPr>
        <w:autoSpaceDE w:val="0"/>
        <w:spacing w:line="360" w:lineRule="auto"/>
        <w:ind w:firstLine="567"/>
        <w:rPr>
          <w:rFonts w:ascii="Tahoma" w:hAnsi="Tahoma" w:cs="Tahoma"/>
          <w:color w:val="000000"/>
        </w:rPr>
      </w:pPr>
    </w:p>
    <w:p w14:paraId="35F77EB4" w14:textId="77777777" w:rsidR="00F30479" w:rsidRDefault="00F30479" w:rsidP="00EA6698">
      <w:pPr>
        <w:autoSpaceDE w:val="0"/>
        <w:spacing w:line="360" w:lineRule="auto"/>
        <w:ind w:firstLine="567"/>
        <w:rPr>
          <w:rFonts w:ascii="Tahoma" w:hAnsi="Tahoma" w:cs="Tahoma"/>
          <w:color w:val="000000"/>
        </w:rPr>
      </w:pPr>
    </w:p>
    <w:p w14:paraId="72C495A1" w14:textId="77777777" w:rsidR="00F30479" w:rsidRDefault="00F30479" w:rsidP="00EA6698">
      <w:pPr>
        <w:autoSpaceDE w:val="0"/>
        <w:spacing w:line="360" w:lineRule="auto"/>
        <w:ind w:firstLine="567"/>
        <w:rPr>
          <w:rFonts w:ascii="Tahoma" w:hAnsi="Tahoma" w:cs="Tahoma"/>
          <w:color w:val="000000"/>
        </w:rPr>
      </w:pPr>
    </w:p>
    <w:p w14:paraId="7AAD444F" w14:textId="77777777" w:rsidR="00F30479" w:rsidRDefault="00F30479" w:rsidP="00EA6698">
      <w:pPr>
        <w:autoSpaceDE w:val="0"/>
        <w:spacing w:line="360" w:lineRule="auto"/>
        <w:ind w:firstLine="567"/>
        <w:rPr>
          <w:rFonts w:ascii="Tahoma" w:hAnsi="Tahoma" w:cs="Tahoma"/>
          <w:color w:val="000000"/>
        </w:rPr>
      </w:pPr>
    </w:p>
    <w:p w14:paraId="64229098" w14:textId="77777777" w:rsidR="00F30479" w:rsidRDefault="00F30479" w:rsidP="00EA6698">
      <w:pPr>
        <w:autoSpaceDE w:val="0"/>
        <w:spacing w:line="360" w:lineRule="auto"/>
        <w:ind w:firstLine="567"/>
        <w:rPr>
          <w:rFonts w:ascii="Tahoma" w:hAnsi="Tahoma" w:cs="Tahoma"/>
          <w:color w:val="000000"/>
        </w:rPr>
      </w:pPr>
    </w:p>
    <w:p w14:paraId="39D6E689" w14:textId="77777777" w:rsidR="00F30479" w:rsidRDefault="00F30479" w:rsidP="00EA6698">
      <w:pPr>
        <w:autoSpaceDE w:val="0"/>
        <w:spacing w:line="360" w:lineRule="auto"/>
        <w:ind w:firstLine="567"/>
        <w:rPr>
          <w:rFonts w:ascii="Tahoma" w:hAnsi="Tahoma" w:cs="Tahoma"/>
          <w:color w:val="000000"/>
        </w:rPr>
      </w:pPr>
    </w:p>
    <w:p w14:paraId="0EF118EB" w14:textId="77777777" w:rsidR="00F30479" w:rsidRDefault="00F30479" w:rsidP="00EA6698">
      <w:pPr>
        <w:autoSpaceDE w:val="0"/>
        <w:spacing w:line="360" w:lineRule="auto"/>
        <w:ind w:firstLine="567"/>
        <w:rPr>
          <w:rFonts w:ascii="Tahoma" w:hAnsi="Tahoma" w:cs="Tahoma"/>
          <w:color w:val="000000"/>
        </w:rPr>
      </w:pPr>
    </w:p>
    <w:p w14:paraId="5D7F4FBF" w14:textId="77777777" w:rsidR="00F30479" w:rsidRPr="002B0129" w:rsidRDefault="00F30479" w:rsidP="00F30479">
      <w:pPr>
        <w:autoSpaceDE w:val="0"/>
        <w:spacing w:line="360" w:lineRule="auto"/>
        <w:ind w:firstLine="567"/>
        <w:rPr>
          <w:rFonts w:ascii="Tahoma" w:hAnsi="Tahoma" w:cs="Tahoma"/>
          <w:b/>
          <w:bCs/>
        </w:rPr>
      </w:pPr>
    </w:p>
    <w:p w14:paraId="782341CD" w14:textId="77777777" w:rsidR="00F30479" w:rsidRPr="002B0129" w:rsidRDefault="00F30479" w:rsidP="00F30479">
      <w:pPr>
        <w:autoSpaceDE w:val="0"/>
        <w:spacing w:line="360" w:lineRule="auto"/>
        <w:jc w:val="center"/>
        <w:rPr>
          <w:rFonts w:ascii="Tahoma" w:hAnsi="Tahoma" w:cs="Tahoma"/>
          <w:b/>
          <w:bCs/>
        </w:rPr>
      </w:pPr>
      <w:r w:rsidRPr="002B0129">
        <w:rPr>
          <w:rFonts w:ascii="Tahoma" w:hAnsi="Tahoma" w:cs="Tahoma"/>
          <w:b/>
          <w:bCs/>
        </w:rPr>
        <w:t>UZASADNIENIE</w:t>
      </w:r>
    </w:p>
    <w:p w14:paraId="7BA0597E" w14:textId="77777777" w:rsidR="00F30479" w:rsidRPr="002B0129" w:rsidRDefault="00F30479" w:rsidP="00F30479">
      <w:pPr>
        <w:autoSpaceDE w:val="0"/>
        <w:spacing w:line="360" w:lineRule="auto"/>
        <w:jc w:val="both"/>
        <w:rPr>
          <w:rFonts w:ascii="Tahoma" w:hAnsi="Tahoma" w:cs="Tahoma"/>
          <w:b/>
          <w:bCs/>
        </w:rPr>
      </w:pPr>
    </w:p>
    <w:p w14:paraId="51963913" w14:textId="77777777" w:rsidR="00F30479" w:rsidRPr="002B0129" w:rsidRDefault="00F30479" w:rsidP="00F30479">
      <w:pPr>
        <w:autoSpaceDE w:val="0"/>
        <w:spacing w:line="360" w:lineRule="auto"/>
        <w:jc w:val="both"/>
        <w:rPr>
          <w:rFonts w:ascii="Tahoma" w:hAnsi="Tahoma" w:cs="Tahoma"/>
        </w:rPr>
      </w:pPr>
      <w:r w:rsidRPr="002B0129">
        <w:rPr>
          <w:rFonts w:ascii="Tahoma" w:hAnsi="Tahoma" w:cs="Tahoma"/>
          <w:b/>
          <w:bCs/>
        </w:rPr>
        <w:t>1. Cele projektu</w:t>
      </w:r>
    </w:p>
    <w:p w14:paraId="0B1862F3" w14:textId="77777777" w:rsidR="00F30479" w:rsidRPr="002B0129" w:rsidRDefault="00F30479" w:rsidP="00F30479">
      <w:pPr>
        <w:autoSpaceDE w:val="0"/>
        <w:spacing w:line="360" w:lineRule="auto"/>
        <w:ind w:firstLine="567"/>
        <w:jc w:val="both"/>
        <w:rPr>
          <w:rFonts w:ascii="Tahoma" w:hAnsi="Tahoma" w:cs="Tahoma"/>
        </w:rPr>
      </w:pPr>
      <w:r w:rsidRPr="002B0129">
        <w:rPr>
          <w:rFonts w:ascii="Tahoma" w:hAnsi="Tahoma" w:cs="Tahoma"/>
        </w:rPr>
        <w:t>Celem projektowanej nowelizacji ustawy o przeciwdziałaniu narkomanii jest zmiana obecnej sytuacji</w:t>
      </w:r>
      <w:r>
        <w:rPr>
          <w:rFonts w:ascii="Tahoma" w:hAnsi="Tahoma" w:cs="Tahoma"/>
        </w:rPr>
        <w:t>,</w:t>
      </w:r>
      <w:r w:rsidRPr="002B0129">
        <w:rPr>
          <w:rFonts w:ascii="Tahoma" w:hAnsi="Tahoma" w:cs="Tahoma"/>
        </w:rPr>
        <w:t xml:space="preserve"> w której osoby sprowadzające do kraju oraz organizujące i uczestniczące w handlu tzw. dopalaczami (tj. środkami zastępczymi i nowymi środkami psychoaktywnymi) nie ponoszą żadnej odpowiedzialności za organizowanie działalności wywołującej stałe zagrożenie dla życia i zdrowia wielu osób, oferując w sklepach  wolny dostęp do substancji psychoaktywnych także osobom małoletnim nieświadomym szkodliwości tzw</w:t>
      </w:r>
      <w:r>
        <w:rPr>
          <w:rFonts w:ascii="Tahoma" w:hAnsi="Tahoma" w:cs="Tahoma"/>
        </w:rPr>
        <w:t>.</w:t>
      </w:r>
      <w:r w:rsidRPr="002B0129">
        <w:rPr>
          <w:rFonts w:ascii="Tahoma" w:hAnsi="Tahoma" w:cs="Tahoma"/>
        </w:rPr>
        <w:t xml:space="preserve"> dopalaczy.</w:t>
      </w:r>
    </w:p>
    <w:p w14:paraId="4198BDF9" w14:textId="77777777" w:rsidR="00F30479" w:rsidRPr="002B0129" w:rsidRDefault="00F30479" w:rsidP="00F30479">
      <w:pPr>
        <w:autoSpaceDE w:val="0"/>
        <w:spacing w:line="360" w:lineRule="auto"/>
        <w:jc w:val="both"/>
        <w:rPr>
          <w:rFonts w:ascii="Tahoma" w:hAnsi="Tahoma" w:cs="Tahoma"/>
        </w:rPr>
      </w:pPr>
      <w:r w:rsidRPr="002B0129">
        <w:rPr>
          <w:rFonts w:ascii="Tahoma" w:hAnsi="Tahoma" w:cs="Tahoma"/>
        </w:rPr>
        <w:t xml:space="preserve">Dodatkowo celem regulacji jest wprowadzenie penalizacji wytwarzania, udzielania (odpłatnego i nieodpłatnego) i posiadania środków zastępczych </w:t>
      </w:r>
      <w:r>
        <w:rPr>
          <w:rFonts w:ascii="Tahoma" w:hAnsi="Tahoma" w:cs="Tahoma"/>
        </w:rPr>
        <w:t>oraz</w:t>
      </w:r>
      <w:r w:rsidRPr="002B0129">
        <w:rPr>
          <w:rFonts w:ascii="Tahoma" w:hAnsi="Tahoma" w:cs="Tahoma"/>
        </w:rPr>
        <w:t xml:space="preserve"> substancji psychoaktywnych.</w:t>
      </w:r>
    </w:p>
    <w:p w14:paraId="1BBCCE0E" w14:textId="77777777" w:rsidR="00F30479" w:rsidRPr="002B0129" w:rsidRDefault="00F30479" w:rsidP="00F30479">
      <w:pPr>
        <w:autoSpaceDE w:val="0"/>
        <w:spacing w:line="360" w:lineRule="auto"/>
        <w:jc w:val="both"/>
        <w:rPr>
          <w:rFonts w:ascii="Tahoma" w:hAnsi="Tahoma" w:cs="Tahoma"/>
        </w:rPr>
      </w:pPr>
    </w:p>
    <w:p w14:paraId="3539A556" w14:textId="77777777" w:rsidR="00F30479" w:rsidRPr="002B0129" w:rsidRDefault="00F30479" w:rsidP="00F30479">
      <w:pPr>
        <w:autoSpaceDE w:val="0"/>
        <w:spacing w:line="360" w:lineRule="auto"/>
        <w:jc w:val="both"/>
        <w:rPr>
          <w:rFonts w:ascii="Tahoma" w:hAnsi="Tahoma" w:cs="Tahoma"/>
        </w:rPr>
      </w:pPr>
      <w:r w:rsidRPr="002B0129">
        <w:rPr>
          <w:rFonts w:ascii="Tahoma" w:hAnsi="Tahoma" w:cs="Tahoma"/>
          <w:b/>
          <w:bCs/>
        </w:rPr>
        <w:t>2. Rzeczywisty stan w dziedzinie stanowiącej przedmiot regulacji</w:t>
      </w:r>
    </w:p>
    <w:p w14:paraId="7F889B32" w14:textId="5255998E" w:rsidR="00F30479" w:rsidRPr="002B0129" w:rsidRDefault="00F30479" w:rsidP="00F30479">
      <w:pPr>
        <w:autoSpaceDE w:val="0"/>
        <w:spacing w:line="360" w:lineRule="auto"/>
        <w:ind w:firstLine="708"/>
        <w:jc w:val="both"/>
        <w:rPr>
          <w:rFonts w:ascii="Tahoma" w:hAnsi="Tahoma" w:cs="Tahoma"/>
        </w:rPr>
      </w:pPr>
      <w:r w:rsidRPr="002B0129">
        <w:rPr>
          <w:rFonts w:ascii="Tahoma" w:hAnsi="Tahoma" w:cs="Tahoma"/>
        </w:rPr>
        <w:t xml:space="preserve">W obecnym stanie prawnym brak jest przepisów umożliwiających </w:t>
      </w:r>
      <w:r>
        <w:rPr>
          <w:rFonts w:ascii="Tahoma" w:hAnsi="Tahoma" w:cs="Tahoma"/>
        </w:rPr>
        <w:t xml:space="preserve">skuteczne </w:t>
      </w:r>
      <w:r w:rsidRPr="002B0129">
        <w:rPr>
          <w:rFonts w:ascii="Tahoma" w:hAnsi="Tahoma" w:cs="Tahoma"/>
        </w:rPr>
        <w:t>ściganie sklepów z tzw. dopalaczami</w:t>
      </w:r>
      <w:r>
        <w:rPr>
          <w:rFonts w:ascii="Tahoma" w:hAnsi="Tahoma" w:cs="Tahoma"/>
        </w:rPr>
        <w:t>,</w:t>
      </w:r>
      <w:r w:rsidRPr="002B0129">
        <w:rPr>
          <w:rFonts w:ascii="Tahoma" w:hAnsi="Tahoma" w:cs="Tahoma"/>
        </w:rPr>
        <w:t xml:space="preserve"> jak również osób wytwarzających, wprowadzających do obrotu czy udzielających dopalaczy – na gruncie ustawy</w:t>
      </w:r>
      <w:r>
        <w:rPr>
          <w:rFonts w:ascii="Tahoma" w:hAnsi="Tahoma" w:cs="Tahoma"/>
        </w:rPr>
        <w:t xml:space="preserve"> </w:t>
      </w:r>
      <w:r w:rsidRPr="002B0129">
        <w:rPr>
          <w:rFonts w:ascii="Tahoma" w:hAnsi="Tahoma" w:cs="Tahoma"/>
        </w:rPr>
        <w:t xml:space="preserve">definiowanych jako środki zastępcze i nowe substancje psychoaktywne. Mimo wielkiej szkodliwości tych substancji uczestnicy handlu nimi ścigani są wyłącznie za inne wykroczenia albo przestępstwa, których dopuszczają się podczas jego prowadzenia. </w:t>
      </w:r>
    </w:p>
    <w:p w14:paraId="36B6CDE4" w14:textId="77777777" w:rsidR="00F30479" w:rsidRPr="002B0129" w:rsidRDefault="00F30479" w:rsidP="00F30479">
      <w:pPr>
        <w:autoSpaceDE w:val="0"/>
        <w:spacing w:line="360" w:lineRule="auto"/>
        <w:jc w:val="both"/>
        <w:rPr>
          <w:rFonts w:ascii="Tahoma" w:hAnsi="Tahoma" w:cs="Tahoma"/>
        </w:rPr>
      </w:pPr>
    </w:p>
    <w:p w14:paraId="1E058011" w14:textId="77777777" w:rsidR="00F30479" w:rsidRPr="002B0129" w:rsidRDefault="00F30479" w:rsidP="00F30479">
      <w:pPr>
        <w:autoSpaceDE w:val="0"/>
        <w:spacing w:line="360" w:lineRule="auto"/>
        <w:jc w:val="both"/>
        <w:rPr>
          <w:rFonts w:ascii="Tahoma" w:hAnsi="Tahoma" w:cs="Tahoma"/>
          <w:b/>
          <w:bCs/>
        </w:rPr>
      </w:pPr>
      <w:r w:rsidRPr="002B0129">
        <w:rPr>
          <w:rFonts w:ascii="Tahoma" w:hAnsi="Tahoma" w:cs="Tahoma"/>
          <w:b/>
          <w:bCs/>
        </w:rPr>
        <w:t>3. Różnica między dotychczasowym a projektowanym stanem prawnym</w:t>
      </w:r>
    </w:p>
    <w:p w14:paraId="540ED6A7" w14:textId="77777777" w:rsidR="00F30479" w:rsidRPr="002B0129" w:rsidRDefault="00F30479" w:rsidP="00F30479">
      <w:pPr>
        <w:autoSpaceDE w:val="0"/>
        <w:spacing w:line="360" w:lineRule="auto"/>
        <w:jc w:val="both"/>
        <w:rPr>
          <w:rFonts w:ascii="Tahoma" w:hAnsi="Tahoma" w:cs="Tahoma"/>
        </w:rPr>
      </w:pPr>
      <w:r w:rsidRPr="002B0129">
        <w:rPr>
          <w:rFonts w:ascii="Tahoma" w:hAnsi="Tahoma" w:cs="Tahoma"/>
          <w:b/>
          <w:bCs/>
        </w:rPr>
        <w:tab/>
      </w:r>
      <w:r w:rsidRPr="002B0129">
        <w:rPr>
          <w:rFonts w:ascii="Tahoma" w:hAnsi="Tahoma" w:cs="Tahoma"/>
          <w:bCs/>
        </w:rPr>
        <w:t xml:space="preserve">Nowy stan prawny </w:t>
      </w:r>
      <w:r w:rsidRPr="002B0129">
        <w:rPr>
          <w:rFonts w:ascii="Tahoma" w:hAnsi="Tahoma" w:cs="Tahoma"/>
        </w:rPr>
        <w:t xml:space="preserve">umożliwi ściganie procederu organizowania sklepów z dopalaczami poprzez wprowadzanie sankcji karnej wobec osób organizujących proceder handlu dopalaczami i dokonujących bezpośredniej sprzedaży tego typu środków. </w:t>
      </w:r>
    </w:p>
    <w:p w14:paraId="584DB3A3" w14:textId="77777777" w:rsidR="00F30479" w:rsidRPr="002B0129" w:rsidRDefault="00F30479" w:rsidP="00F30479">
      <w:pPr>
        <w:autoSpaceDE w:val="0"/>
        <w:spacing w:line="360" w:lineRule="auto"/>
        <w:jc w:val="both"/>
        <w:rPr>
          <w:rFonts w:ascii="Tahoma" w:hAnsi="Tahoma" w:cs="Tahoma"/>
          <w:bCs/>
        </w:rPr>
      </w:pPr>
      <w:r w:rsidRPr="002B0129">
        <w:rPr>
          <w:rFonts w:ascii="Tahoma" w:hAnsi="Tahoma" w:cs="Tahoma"/>
        </w:rPr>
        <w:t>Dodatkowo karalne będzie również wytwarzanie tych substancji, ich udzielanie oraz samo posiadanie, na zasadzie analogicznej do tzw. przestępstw narkotykowych.</w:t>
      </w:r>
    </w:p>
    <w:p w14:paraId="37F14E6E" w14:textId="77777777" w:rsidR="00F30479" w:rsidRPr="002B0129" w:rsidRDefault="00F30479" w:rsidP="00F30479">
      <w:pPr>
        <w:autoSpaceDE w:val="0"/>
        <w:spacing w:line="360" w:lineRule="auto"/>
        <w:jc w:val="both"/>
        <w:rPr>
          <w:rFonts w:ascii="Tahoma" w:hAnsi="Tahoma" w:cs="Tahoma"/>
          <w:bCs/>
        </w:rPr>
      </w:pPr>
    </w:p>
    <w:p w14:paraId="3F5AA01D" w14:textId="77777777" w:rsidR="00F30479" w:rsidRPr="002B0129" w:rsidRDefault="00F30479" w:rsidP="00F30479">
      <w:pPr>
        <w:autoSpaceDE w:val="0"/>
        <w:spacing w:line="360" w:lineRule="auto"/>
        <w:jc w:val="both"/>
        <w:rPr>
          <w:rFonts w:ascii="Tahoma" w:hAnsi="Tahoma" w:cs="Tahoma"/>
        </w:rPr>
      </w:pPr>
      <w:r w:rsidRPr="002B0129">
        <w:rPr>
          <w:rFonts w:ascii="Tahoma" w:hAnsi="Tahoma" w:cs="Tahoma"/>
          <w:b/>
          <w:bCs/>
        </w:rPr>
        <w:t>4. Przewidywane skutki prawne, gospodarcze i społeczne projektu</w:t>
      </w:r>
    </w:p>
    <w:p w14:paraId="12BD3D53" w14:textId="77777777" w:rsidR="00F30479" w:rsidRPr="002B0129" w:rsidRDefault="00F30479" w:rsidP="00F30479">
      <w:pPr>
        <w:autoSpaceDE w:val="0"/>
        <w:spacing w:line="360" w:lineRule="auto"/>
        <w:ind w:firstLine="708"/>
        <w:jc w:val="both"/>
        <w:rPr>
          <w:rFonts w:ascii="Tahoma" w:hAnsi="Tahoma" w:cs="Tahoma"/>
        </w:rPr>
      </w:pPr>
      <w:r w:rsidRPr="002B0129">
        <w:rPr>
          <w:rFonts w:ascii="Tahoma" w:hAnsi="Tahoma" w:cs="Tahoma"/>
        </w:rPr>
        <w:t xml:space="preserve">Przyjęcie projektowanych zmian w ustawie o przeciwdziałaniu narkomanii przyniesie wyłącznie pozytywne skutki gospodarcze, społeczne i prawne. Umożliwi skuteczniejsze ściganie osób wprowadzających do obrotu substancje psychoaktywne (wytwórców, sprzedawców i organizatorów procederu). Zachęci także mieszkańców do zgłaszania przypadków nielegalnych sklepów i umożliwi organom ścigania utrudnienie dostępu osób małoletnich do tego typu substancji.  </w:t>
      </w:r>
    </w:p>
    <w:p w14:paraId="00E642E4" w14:textId="77777777" w:rsidR="00F30479" w:rsidRPr="002B0129" w:rsidRDefault="00F30479" w:rsidP="00F30479">
      <w:pPr>
        <w:autoSpaceDE w:val="0"/>
        <w:spacing w:line="360" w:lineRule="auto"/>
        <w:ind w:firstLine="708"/>
        <w:jc w:val="both"/>
        <w:rPr>
          <w:rFonts w:ascii="Tahoma" w:hAnsi="Tahoma" w:cs="Tahoma"/>
        </w:rPr>
      </w:pPr>
    </w:p>
    <w:p w14:paraId="1CA0DEFA" w14:textId="77777777" w:rsidR="00F30479" w:rsidRPr="002B0129" w:rsidRDefault="00F30479" w:rsidP="00F30479">
      <w:pPr>
        <w:autoSpaceDE w:val="0"/>
        <w:spacing w:line="360" w:lineRule="auto"/>
        <w:jc w:val="both"/>
        <w:rPr>
          <w:rFonts w:ascii="Tahoma" w:hAnsi="Tahoma" w:cs="Tahoma"/>
          <w:b/>
          <w:bCs/>
        </w:rPr>
      </w:pPr>
      <w:r w:rsidRPr="002B0129">
        <w:rPr>
          <w:rFonts w:ascii="Tahoma" w:hAnsi="Tahoma" w:cs="Tahoma"/>
          <w:b/>
          <w:bCs/>
        </w:rPr>
        <w:t>5. Przewidywane skutki finansowe projektu</w:t>
      </w:r>
    </w:p>
    <w:p w14:paraId="6296CE7F" w14:textId="77777777" w:rsidR="00F30479" w:rsidRPr="002B0129" w:rsidRDefault="00F30479" w:rsidP="00F30479">
      <w:pPr>
        <w:autoSpaceDE w:val="0"/>
        <w:spacing w:line="360" w:lineRule="auto"/>
        <w:ind w:firstLine="708"/>
        <w:jc w:val="both"/>
        <w:rPr>
          <w:rFonts w:ascii="Tahoma" w:hAnsi="Tahoma" w:cs="Tahoma"/>
        </w:rPr>
      </w:pPr>
      <w:r w:rsidRPr="002B0129">
        <w:rPr>
          <w:rFonts w:ascii="Tahoma" w:hAnsi="Tahoma" w:cs="Tahoma"/>
        </w:rPr>
        <w:t>Projektodawcy przewidują, iż przyjęcie proponowanych zmian będzie wiązało się ze znaczącym spadkiem obrotu tzw. dopalaczami i spadkiem wydatków Skarbu Państwa i jednostek samorządu terytorialnego na le</w:t>
      </w:r>
      <w:r>
        <w:rPr>
          <w:rFonts w:ascii="Tahoma" w:hAnsi="Tahoma" w:cs="Tahoma"/>
        </w:rPr>
        <w:t xml:space="preserve">czenie osób, które zażyły </w:t>
      </w:r>
      <w:proofErr w:type="spellStart"/>
      <w:r>
        <w:rPr>
          <w:rFonts w:ascii="Tahoma" w:hAnsi="Tahoma" w:cs="Tahoma"/>
        </w:rPr>
        <w:t>tzw</w:t>
      </w:r>
      <w:proofErr w:type="spellEnd"/>
      <w:r>
        <w:rPr>
          <w:rFonts w:ascii="Tahoma" w:hAnsi="Tahoma" w:cs="Tahoma"/>
        </w:rPr>
        <w:t xml:space="preserve"> w</w:t>
      </w:r>
      <w:r w:rsidRPr="002B0129">
        <w:rPr>
          <w:rFonts w:ascii="Tahoma" w:hAnsi="Tahoma" w:cs="Tahoma"/>
        </w:rPr>
        <w:t>w</w:t>
      </w:r>
      <w:r>
        <w:rPr>
          <w:rFonts w:ascii="Tahoma" w:hAnsi="Tahoma" w:cs="Tahoma"/>
        </w:rPr>
        <w:t>.</w:t>
      </w:r>
      <w:r w:rsidRPr="002B0129">
        <w:rPr>
          <w:rFonts w:ascii="Tahoma" w:hAnsi="Tahoma" w:cs="Tahoma"/>
        </w:rPr>
        <w:t xml:space="preserve"> substancje.  </w:t>
      </w:r>
    </w:p>
    <w:p w14:paraId="4E7CD3E3" w14:textId="77777777" w:rsidR="00F30479" w:rsidRPr="002B0129" w:rsidRDefault="00F30479" w:rsidP="00F30479">
      <w:pPr>
        <w:autoSpaceDE w:val="0"/>
        <w:spacing w:line="360" w:lineRule="auto"/>
        <w:jc w:val="both"/>
        <w:rPr>
          <w:rFonts w:ascii="Tahoma" w:hAnsi="Tahoma" w:cs="Tahoma"/>
        </w:rPr>
      </w:pPr>
    </w:p>
    <w:p w14:paraId="25D98348" w14:textId="77777777" w:rsidR="00F30479" w:rsidRPr="002B0129" w:rsidRDefault="00F30479" w:rsidP="00F30479">
      <w:pPr>
        <w:autoSpaceDE w:val="0"/>
        <w:spacing w:line="360" w:lineRule="auto"/>
        <w:jc w:val="both"/>
        <w:rPr>
          <w:rFonts w:ascii="Tahoma" w:hAnsi="Tahoma" w:cs="Tahoma"/>
          <w:b/>
          <w:bCs/>
        </w:rPr>
      </w:pPr>
      <w:r w:rsidRPr="002B0129">
        <w:rPr>
          <w:rFonts w:ascii="Tahoma" w:hAnsi="Tahoma" w:cs="Tahoma"/>
        </w:rPr>
        <w:t xml:space="preserve">6. </w:t>
      </w:r>
      <w:r w:rsidRPr="002B0129">
        <w:rPr>
          <w:rFonts w:ascii="Tahoma" w:hAnsi="Tahoma" w:cs="Tahoma"/>
          <w:b/>
          <w:bCs/>
        </w:rPr>
        <w:t>Zgodność regulacji z prawem Unii Europejskiej</w:t>
      </w:r>
    </w:p>
    <w:p w14:paraId="15AD97CE" w14:textId="38F0C08B" w:rsidR="001827CD" w:rsidRPr="00F30479" w:rsidRDefault="00F30479" w:rsidP="00F30479">
      <w:pPr>
        <w:widowControl/>
        <w:autoSpaceDE w:val="0"/>
        <w:spacing w:after="150" w:line="360" w:lineRule="auto"/>
        <w:ind w:firstLine="708"/>
        <w:jc w:val="both"/>
        <w:rPr>
          <w:rFonts w:ascii="Tahoma" w:hAnsi="Tahoma" w:cs="Tahoma"/>
          <w:color w:val="333333"/>
        </w:rPr>
      </w:pPr>
      <w:r w:rsidRPr="002B0129">
        <w:rPr>
          <w:rFonts w:ascii="Tahoma" w:hAnsi="Tahoma" w:cs="Tahoma"/>
          <w:color w:val="333333"/>
        </w:rPr>
        <w:t>Projektodawcy wskazują, iż przyjęcie proponowanych zmian nie spowoduje stanu niezgodności prawa krajowego z prawem wspólnotowym.</w:t>
      </w:r>
      <w:r w:rsidR="000E1D18" w:rsidRPr="002B0129">
        <w:rPr>
          <w:rFonts w:ascii="Tahoma" w:hAnsi="Tahoma" w:cs="Tahoma"/>
        </w:rPr>
        <w:t xml:space="preserve"> </w:t>
      </w:r>
    </w:p>
    <w:sectPr w:rsidR="001827CD" w:rsidRPr="00F30479">
      <w:pgSz w:w="11906" w:h="16838"/>
      <w:pgMar w:top="1134" w:right="1134" w:bottom="1134" w:left="1134" w:header="708" w:footer="708" w:gutter="0"/>
      <w:cols w:space="708"/>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43C"/>
    <w:rsid w:val="00035469"/>
    <w:rsid w:val="000E1D18"/>
    <w:rsid w:val="00132747"/>
    <w:rsid w:val="001827CD"/>
    <w:rsid w:val="002160A7"/>
    <w:rsid w:val="00216344"/>
    <w:rsid w:val="002848CB"/>
    <w:rsid w:val="002B0129"/>
    <w:rsid w:val="002F5A1F"/>
    <w:rsid w:val="004C5EDF"/>
    <w:rsid w:val="004C7682"/>
    <w:rsid w:val="00593F0E"/>
    <w:rsid w:val="00631927"/>
    <w:rsid w:val="00631F9B"/>
    <w:rsid w:val="006A5D94"/>
    <w:rsid w:val="007F1772"/>
    <w:rsid w:val="007F6D9F"/>
    <w:rsid w:val="00863486"/>
    <w:rsid w:val="0088296A"/>
    <w:rsid w:val="008C03D7"/>
    <w:rsid w:val="00905057"/>
    <w:rsid w:val="00965492"/>
    <w:rsid w:val="00966601"/>
    <w:rsid w:val="009A2483"/>
    <w:rsid w:val="00BE47EE"/>
    <w:rsid w:val="00CD1E61"/>
    <w:rsid w:val="00CE2AC7"/>
    <w:rsid w:val="00D41609"/>
    <w:rsid w:val="00DA0C03"/>
    <w:rsid w:val="00EA6698"/>
    <w:rsid w:val="00F07B6D"/>
    <w:rsid w:val="00F15007"/>
    <w:rsid w:val="00F30479"/>
    <w:rsid w:val="00F52C09"/>
    <w:rsid w:val="00F5543C"/>
    <w:rsid w:val="00F611F3"/>
    <w:rsid w:val="00FB13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CB055"/>
  <w15:chartTrackingRefBased/>
  <w15:docId w15:val="{4CF600F4-25E0-4B5D-B8A5-B1FD4492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5543C"/>
    <w:pPr>
      <w:widowControl w:val="0"/>
      <w:suppressAutoHyphens/>
      <w:spacing w:after="0" w:line="240" w:lineRule="auto"/>
    </w:pPr>
    <w:rPr>
      <w:rFonts w:ascii="Times New Roman" w:eastAsia="SimSun" w:hAnsi="Times New Roman" w:cs="Lucida Sans"/>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F5543C"/>
    <w:pPr>
      <w:spacing w:after="120"/>
    </w:pPr>
  </w:style>
  <w:style w:type="character" w:customStyle="1" w:styleId="TekstpodstawowyZnak">
    <w:name w:val="Tekst podstawowy Znak"/>
    <w:basedOn w:val="Domylnaczcionkaakapitu"/>
    <w:link w:val="Tekstpodstawowy"/>
    <w:rsid w:val="00F5543C"/>
    <w:rPr>
      <w:rFonts w:ascii="Times New Roman" w:eastAsia="SimSun" w:hAnsi="Times New Roman" w:cs="Lucida Sans"/>
      <w:kern w:val="1"/>
      <w:sz w:val="24"/>
      <w:szCs w:val="24"/>
      <w:lang w:eastAsia="hi-IN" w:bidi="hi-IN"/>
    </w:rPr>
  </w:style>
  <w:style w:type="paragraph" w:styleId="Tekstdymka">
    <w:name w:val="Balloon Text"/>
    <w:basedOn w:val="Normalny"/>
    <w:link w:val="TekstdymkaZnak"/>
    <w:uiPriority w:val="99"/>
    <w:semiHidden/>
    <w:unhideWhenUsed/>
    <w:rsid w:val="002160A7"/>
    <w:rPr>
      <w:rFonts w:ascii="Segoe UI" w:hAnsi="Segoe UI" w:cs="Mangal"/>
      <w:sz w:val="18"/>
      <w:szCs w:val="16"/>
    </w:rPr>
  </w:style>
  <w:style w:type="character" w:customStyle="1" w:styleId="TekstdymkaZnak">
    <w:name w:val="Tekst dymka Znak"/>
    <w:basedOn w:val="Domylnaczcionkaakapitu"/>
    <w:link w:val="Tekstdymka"/>
    <w:uiPriority w:val="99"/>
    <w:semiHidden/>
    <w:rsid w:val="002160A7"/>
    <w:rPr>
      <w:rFonts w:ascii="Segoe UI" w:eastAsia="SimSun" w:hAnsi="Segoe UI" w:cs="Mangal"/>
      <w:kern w:val="1"/>
      <w:sz w:val="18"/>
      <w:szCs w:val="16"/>
      <w:lang w:eastAsia="hi-IN" w:bidi="hi-IN"/>
    </w:rPr>
  </w:style>
  <w:style w:type="character" w:styleId="Odwoaniedokomentarza">
    <w:name w:val="annotation reference"/>
    <w:basedOn w:val="Domylnaczcionkaakapitu"/>
    <w:uiPriority w:val="99"/>
    <w:semiHidden/>
    <w:unhideWhenUsed/>
    <w:rsid w:val="0088296A"/>
    <w:rPr>
      <w:sz w:val="16"/>
      <w:szCs w:val="16"/>
    </w:rPr>
  </w:style>
  <w:style w:type="paragraph" w:styleId="Tekstkomentarza">
    <w:name w:val="annotation text"/>
    <w:basedOn w:val="Normalny"/>
    <w:link w:val="TekstkomentarzaZnak"/>
    <w:uiPriority w:val="99"/>
    <w:semiHidden/>
    <w:unhideWhenUsed/>
    <w:rsid w:val="0088296A"/>
    <w:rPr>
      <w:rFonts w:cs="Mangal"/>
      <w:sz w:val="20"/>
      <w:szCs w:val="18"/>
    </w:rPr>
  </w:style>
  <w:style w:type="character" w:customStyle="1" w:styleId="TekstkomentarzaZnak">
    <w:name w:val="Tekst komentarza Znak"/>
    <w:basedOn w:val="Domylnaczcionkaakapitu"/>
    <w:link w:val="Tekstkomentarza"/>
    <w:uiPriority w:val="99"/>
    <w:semiHidden/>
    <w:rsid w:val="0088296A"/>
    <w:rPr>
      <w:rFonts w:ascii="Times New Roman" w:eastAsia="SimSun" w:hAnsi="Times New Roman" w:cs="Mangal"/>
      <w:kern w:val="1"/>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88296A"/>
    <w:rPr>
      <w:b/>
      <w:bCs/>
    </w:rPr>
  </w:style>
  <w:style w:type="character" w:customStyle="1" w:styleId="TematkomentarzaZnak">
    <w:name w:val="Temat komentarza Znak"/>
    <w:basedOn w:val="TekstkomentarzaZnak"/>
    <w:link w:val="Tematkomentarza"/>
    <w:uiPriority w:val="99"/>
    <w:semiHidden/>
    <w:rsid w:val="0088296A"/>
    <w:rPr>
      <w:rFonts w:ascii="Times New Roman" w:eastAsia="SimSun" w:hAnsi="Times New Roman" w:cs="Mangal"/>
      <w:b/>
      <w:bCs/>
      <w:kern w:val="1"/>
      <w:sz w:val="20"/>
      <w:szCs w:val="18"/>
      <w:lang w:eastAsia="hi-IN" w:bidi="hi-IN"/>
    </w:rPr>
  </w:style>
  <w:style w:type="character" w:customStyle="1" w:styleId="apple-converted-space">
    <w:name w:val="apple-converted-space"/>
    <w:basedOn w:val="Domylnaczcionkaakapitu"/>
    <w:rsid w:val="00FB13A7"/>
  </w:style>
  <w:style w:type="character" w:styleId="Hipercze">
    <w:name w:val="Hyperlink"/>
    <w:basedOn w:val="Domylnaczcionkaakapitu"/>
    <w:uiPriority w:val="99"/>
    <w:semiHidden/>
    <w:unhideWhenUsed/>
    <w:rsid w:val="00FB13A7"/>
    <w:rPr>
      <w:color w:val="0000FF"/>
      <w:u w:val="single"/>
    </w:rPr>
  </w:style>
  <w:style w:type="character" w:customStyle="1" w:styleId="luchili">
    <w:name w:val="luc_hili"/>
    <w:basedOn w:val="Domylnaczcionkaakapitu"/>
    <w:rsid w:val="00FB13A7"/>
  </w:style>
  <w:style w:type="character" w:customStyle="1" w:styleId="tabulatory">
    <w:name w:val="tabulatory"/>
    <w:basedOn w:val="Domylnaczcionkaakapitu"/>
    <w:rsid w:val="00D41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316556">
      <w:bodyDiv w:val="1"/>
      <w:marLeft w:val="0"/>
      <w:marRight w:val="0"/>
      <w:marTop w:val="0"/>
      <w:marBottom w:val="0"/>
      <w:divBdr>
        <w:top w:val="none" w:sz="0" w:space="0" w:color="auto"/>
        <w:left w:val="none" w:sz="0" w:space="0" w:color="auto"/>
        <w:bottom w:val="none" w:sz="0" w:space="0" w:color="auto"/>
        <w:right w:val="none" w:sz="0" w:space="0" w:color="auto"/>
      </w:divBdr>
      <w:divsChild>
        <w:div w:id="1045569920">
          <w:marLeft w:val="0"/>
          <w:marRight w:val="0"/>
          <w:marTop w:val="0"/>
          <w:marBottom w:val="0"/>
          <w:divBdr>
            <w:top w:val="none" w:sz="0" w:space="0" w:color="auto"/>
            <w:left w:val="none" w:sz="0" w:space="0" w:color="auto"/>
            <w:bottom w:val="none" w:sz="0" w:space="0" w:color="auto"/>
            <w:right w:val="none" w:sz="0" w:space="0" w:color="auto"/>
          </w:divBdr>
          <w:divsChild>
            <w:div w:id="1515411968">
              <w:marLeft w:val="0"/>
              <w:marRight w:val="0"/>
              <w:marTop w:val="0"/>
              <w:marBottom w:val="0"/>
              <w:divBdr>
                <w:top w:val="none" w:sz="0" w:space="0" w:color="auto"/>
                <w:left w:val="none" w:sz="0" w:space="0" w:color="auto"/>
                <w:bottom w:val="none" w:sz="0" w:space="0" w:color="auto"/>
                <w:right w:val="none" w:sz="0" w:space="0" w:color="auto"/>
              </w:divBdr>
            </w:div>
            <w:div w:id="1544832404">
              <w:marLeft w:val="0"/>
              <w:marRight w:val="0"/>
              <w:marTop w:val="0"/>
              <w:marBottom w:val="0"/>
              <w:divBdr>
                <w:top w:val="none" w:sz="0" w:space="0" w:color="auto"/>
                <w:left w:val="none" w:sz="0" w:space="0" w:color="auto"/>
                <w:bottom w:val="none" w:sz="0" w:space="0" w:color="auto"/>
                <w:right w:val="none" w:sz="0" w:space="0" w:color="auto"/>
              </w:divBdr>
            </w:div>
            <w:div w:id="1659768288">
              <w:marLeft w:val="0"/>
              <w:marRight w:val="0"/>
              <w:marTop w:val="0"/>
              <w:marBottom w:val="0"/>
              <w:divBdr>
                <w:top w:val="none" w:sz="0" w:space="0" w:color="auto"/>
                <w:left w:val="none" w:sz="0" w:space="0" w:color="auto"/>
                <w:bottom w:val="none" w:sz="0" w:space="0" w:color="auto"/>
                <w:right w:val="none" w:sz="0" w:space="0" w:color="auto"/>
              </w:divBdr>
            </w:div>
            <w:div w:id="1640378772">
              <w:marLeft w:val="0"/>
              <w:marRight w:val="0"/>
              <w:marTop w:val="0"/>
              <w:marBottom w:val="0"/>
              <w:divBdr>
                <w:top w:val="none" w:sz="0" w:space="0" w:color="auto"/>
                <w:left w:val="none" w:sz="0" w:space="0" w:color="auto"/>
                <w:bottom w:val="none" w:sz="0" w:space="0" w:color="auto"/>
                <w:right w:val="none" w:sz="0" w:space="0" w:color="auto"/>
              </w:divBdr>
            </w:div>
            <w:div w:id="521745956">
              <w:marLeft w:val="0"/>
              <w:marRight w:val="0"/>
              <w:marTop w:val="0"/>
              <w:marBottom w:val="0"/>
              <w:divBdr>
                <w:top w:val="none" w:sz="0" w:space="0" w:color="auto"/>
                <w:left w:val="none" w:sz="0" w:space="0" w:color="auto"/>
                <w:bottom w:val="none" w:sz="0" w:space="0" w:color="auto"/>
                <w:right w:val="none" w:sz="0" w:space="0" w:color="auto"/>
              </w:divBdr>
            </w:div>
            <w:div w:id="1099062727">
              <w:marLeft w:val="0"/>
              <w:marRight w:val="0"/>
              <w:marTop w:val="0"/>
              <w:marBottom w:val="0"/>
              <w:divBdr>
                <w:top w:val="none" w:sz="0" w:space="0" w:color="auto"/>
                <w:left w:val="none" w:sz="0" w:space="0" w:color="auto"/>
                <w:bottom w:val="none" w:sz="0" w:space="0" w:color="auto"/>
                <w:right w:val="none" w:sz="0" w:space="0" w:color="auto"/>
              </w:divBdr>
              <w:divsChild>
                <w:div w:id="941959272">
                  <w:marLeft w:val="0"/>
                  <w:marRight w:val="0"/>
                  <w:marTop w:val="0"/>
                  <w:marBottom w:val="0"/>
                  <w:divBdr>
                    <w:top w:val="none" w:sz="0" w:space="0" w:color="auto"/>
                    <w:left w:val="none" w:sz="0" w:space="0" w:color="auto"/>
                    <w:bottom w:val="none" w:sz="0" w:space="0" w:color="auto"/>
                    <w:right w:val="none" w:sz="0" w:space="0" w:color="auto"/>
                  </w:divBdr>
                  <w:divsChild>
                    <w:div w:id="600642940">
                      <w:marLeft w:val="480"/>
                      <w:marRight w:val="0"/>
                      <w:marTop w:val="0"/>
                      <w:marBottom w:val="0"/>
                      <w:divBdr>
                        <w:top w:val="none" w:sz="0" w:space="0" w:color="auto"/>
                        <w:left w:val="none" w:sz="0" w:space="0" w:color="auto"/>
                        <w:bottom w:val="none" w:sz="0" w:space="0" w:color="auto"/>
                        <w:right w:val="none" w:sz="0" w:space="0" w:color="auto"/>
                      </w:divBdr>
                    </w:div>
                  </w:divsChild>
                </w:div>
                <w:div w:id="1649355285">
                  <w:marLeft w:val="0"/>
                  <w:marRight w:val="0"/>
                  <w:marTop w:val="0"/>
                  <w:marBottom w:val="0"/>
                  <w:divBdr>
                    <w:top w:val="none" w:sz="0" w:space="0" w:color="auto"/>
                    <w:left w:val="none" w:sz="0" w:space="0" w:color="auto"/>
                    <w:bottom w:val="none" w:sz="0" w:space="0" w:color="auto"/>
                    <w:right w:val="none" w:sz="0" w:space="0" w:color="auto"/>
                  </w:divBdr>
                  <w:divsChild>
                    <w:div w:id="638266600">
                      <w:marLeft w:val="480"/>
                      <w:marRight w:val="0"/>
                      <w:marTop w:val="0"/>
                      <w:marBottom w:val="0"/>
                      <w:divBdr>
                        <w:top w:val="none" w:sz="0" w:space="0" w:color="auto"/>
                        <w:left w:val="none" w:sz="0" w:space="0" w:color="auto"/>
                        <w:bottom w:val="none" w:sz="0" w:space="0" w:color="auto"/>
                        <w:right w:val="none" w:sz="0" w:space="0" w:color="auto"/>
                      </w:divBdr>
                    </w:div>
                  </w:divsChild>
                </w:div>
                <w:div w:id="1862666005">
                  <w:marLeft w:val="0"/>
                  <w:marRight w:val="0"/>
                  <w:marTop w:val="0"/>
                  <w:marBottom w:val="0"/>
                  <w:divBdr>
                    <w:top w:val="none" w:sz="0" w:space="0" w:color="auto"/>
                    <w:left w:val="none" w:sz="0" w:space="0" w:color="auto"/>
                    <w:bottom w:val="none" w:sz="0" w:space="0" w:color="auto"/>
                    <w:right w:val="none" w:sz="0" w:space="0" w:color="auto"/>
                  </w:divBdr>
                  <w:divsChild>
                    <w:div w:id="202984600">
                      <w:marLeft w:val="480"/>
                      <w:marRight w:val="0"/>
                      <w:marTop w:val="0"/>
                      <w:marBottom w:val="0"/>
                      <w:divBdr>
                        <w:top w:val="none" w:sz="0" w:space="0" w:color="auto"/>
                        <w:left w:val="none" w:sz="0" w:space="0" w:color="auto"/>
                        <w:bottom w:val="none" w:sz="0" w:space="0" w:color="auto"/>
                        <w:right w:val="none" w:sz="0" w:space="0" w:color="auto"/>
                      </w:divBdr>
                    </w:div>
                  </w:divsChild>
                </w:div>
                <w:div w:id="1851874217">
                  <w:marLeft w:val="0"/>
                  <w:marRight w:val="0"/>
                  <w:marTop w:val="0"/>
                  <w:marBottom w:val="0"/>
                  <w:divBdr>
                    <w:top w:val="none" w:sz="0" w:space="0" w:color="auto"/>
                    <w:left w:val="none" w:sz="0" w:space="0" w:color="auto"/>
                    <w:bottom w:val="none" w:sz="0" w:space="0" w:color="auto"/>
                    <w:right w:val="none" w:sz="0" w:space="0" w:color="auto"/>
                  </w:divBdr>
                  <w:divsChild>
                    <w:div w:id="1275939321">
                      <w:marLeft w:val="480"/>
                      <w:marRight w:val="0"/>
                      <w:marTop w:val="0"/>
                      <w:marBottom w:val="0"/>
                      <w:divBdr>
                        <w:top w:val="none" w:sz="0" w:space="0" w:color="auto"/>
                        <w:left w:val="none" w:sz="0" w:space="0" w:color="auto"/>
                        <w:bottom w:val="none" w:sz="0" w:space="0" w:color="auto"/>
                        <w:right w:val="none" w:sz="0" w:space="0" w:color="auto"/>
                      </w:divBdr>
                    </w:div>
                  </w:divsChild>
                </w:div>
                <w:div w:id="717782350">
                  <w:marLeft w:val="0"/>
                  <w:marRight w:val="0"/>
                  <w:marTop w:val="0"/>
                  <w:marBottom w:val="0"/>
                  <w:divBdr>
                    <w:top w:val="none" w:sz="0" w:space="0" w:color="auto"/>
                    <w:left w:val="none" w:sz="0" w:space="0" w:color="auto"/>
                    <w:bottom w:val="none" w:sz="0" w:space="0" w:color="auto"/>
                    <w:right w:val="none" w:sz="0" w:space="0" w:color="auto"/>
                  </w:divBdr>
                  <w:divsChild>
                    <w:div w:id="2001079405">
                      <w:marLeft w:val="480"/>
                      <w:marRight w:val="0"/>
                      <w:marTop w:val="0"/>
                      <w:marBottom w:val="0"/>
                      <w:divBdr>
                        <w:top w:val="none" w:sz="0" w:space="0" w:color="auto"/>
                        <w:left w:val="none" w:sz="0" w:space="0" w:color="auto"/>
                        <w:bottom w:val="none" w:sz="0" w:space="0" w:color="auto"/>
                        <w:right w:val="none" w:sz="0" w:space="0" w:color="auto"/>
                      </w:divBdr>
                    </w:div>
                    <w:div w:id="721833455">
                      <w:marLeft w:val="0"/>
                      <w:marRight w:val="0"/>
                      <w:marTop w:val="0"/>
                      <w:marBottom w:val="0"/>
                      <w:divBdr>
                        <w:top w:val="none" w:sz="0" w:space="0" w:color="auto"/>
                        <w:left w:val="none" w:sz="0" w:space="0" w:color="auto"/>
                        <w:bottom w:val="none" w:sz="0" w:space="0" w:color="auto"/>
                        <w:right w:val="none" w:sz="0" w:space="0" w:color="auto"/>
                      </w:divBdr>
                    </w:div>
                    <w:div w:id="196538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87209">
          <w:marLeft w:val="0"/>
          <w:marRight w:val="0"/>
          <w:marTop w:val="0"/>
          <w:marBottom w:val="0"/>
          <w:divBdr>
            <w:top w:val="none" w:sz="0" w:space="0" w:color="auto"/>
            <w:left w:val="none" w:sz="0" w:space="0" w:color="auto"/>
            <w:bottom w:val="none" w:sz="0" w:space="0" w:color="auto"/>
            <w:right w:val="none" w:sz="0" w:space="0" w:color="auto"/>
          </w:divBdr>
          <w:divsChild>
            <w:div w:id="730733938">
              <w:marLeft w:val="0"/>
              <w:marRight w:val="0"/>
              <w:marTop w:val="0"/>
              <w:marBottom w:val="0"/>
              <w:divBdr>
                <w:top w:val="none" w:sz="0" w:space="0" w:color="auto"/>
                <w:left w:val="none" w:sz="0" w:space="0" w:color="auto"/>
                <w:bottom w:val="none" w:sz="0" w:space="0" w:color="auto"/>
                <w:right w:val="none" w:sz="0" w:space="0" w:color="auto"/>
              </w:divBdr>
            </w:div>
            <w:div w:id="1022240867">
              <w:marLeft w:val="0"/>
              <w:marRight w:val="0"/>
              <w:marTop w:val="0"/>
              <w:marBottom w:val="0"/>
              <w:divBdr>
                <w:top w:val="none" w:sz="0" w:space="0" w:color="auto"/>
                <w:left w:val="none" w:sz="0" w:space="0" w:color="auto"/>
                <w:bottom w:val="none" w:sz="0" w:space="0" w:color="auto"/>
                <w:right w:val="none" w:sz="0" w:space="0" w:color="auto"/>
              </w:divBdr>
            </w:div>
            <w:div w:id="157313905">
              <w:marLeft w:val="0"/>
              <w:marRight w:val="0"/>
              <w:marTop w:val="0"/>
              <w:marBottom w:val="0"/>
              <w:divBdr>
                <w:top w:val="none" w:sz="0" w:space="0" w:color="auto"/>
                <w:left w:val="none" w:sz="0" w:space="0" w:color="auto"/>
                <w:bottom w:val="none" w:sz="0" w:space="0" w:color="auto"/>
                <w:right w:val="none" w:sz="0" w:space="0" w:color="auto"/>
              </w:divBdr>
              <w:divsChild>
                <w:div w:id="691960123">
                  <w:marLeft w:val="0"/>
                  <w:marRight w:val="0"/>
                  <w:marTop w:val="0"/>
                  <w:marBottom w:val="0"/>
                  <w:divBdr>
                    <w:top w:val="none" w:sz="0" w:space="0" w:color="auto"/>
                    <w:left w:val="none" w:sz="0" w:space="0" w:color="auto"/>
                    <w:bottom w:val="none" w:sz="0" w:space="0" w:color="auto"/>
                    <w:right w:val="none" w:sz="0" w:space="0" w:color="auto"/>
                  </w:divBdr>
                  <w:divsChild>
                    <w:div w:id="1869879222">
                      <w:marLeft w:val="480"/>
                      <w:marRight w:val="0"/>
                      <w:marTop w:val="0"/>
                      <w:marBottom w:val="0"/>
                      <w:divBdr>
                        <w:top w:val="none" w:sz="0" w:space="0" w:color="auto"/>
                        <w:left w:val="none" w:sz="0" w:space="0" w:color="auto"/>
                        <w:bottom w:val="none" w:sz="0" w:space="0" w:color="auto"/>
                        <w:right w:val="none" w:sz="0" w:space="0" w:color="auto"/>
                      </w:divBdr>
                    </w:div>
                  </w:divsChild>
                </w:div>
                <w:div w:id="1914851187">
                  <w:marLeft w:val="0"/>
                  <w:marRight w:val="0"/>
                  <w:marTop w:val="0"/>
                  <w:marBottom w:val="0"/>
                  <w:divBdr>
                    <w:top w:val="none" w:sz="0" w:space="0" w:color="auto"/>
                    <w:left w:val="none" w:sz="0" w:space="0" w:color="auto"/>
                    <w:bottom w:val="none" w:sz="0" w:space="0" w:color="auto"/>
                    <w:right w:val="none" w:sz="0" w:space="0" w:color="auto"/>
                  </w:divBdr>
                  <w:divsChild>
                    <w:div w:id="203280250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66802682">
              <w:marLeft w:val="0"/>
              <w:marRight w:val="0"/>
              <w:marTop w:val="0"/>
              <w:marBottom w:val="0"/>
              <w:divBdr>
                <w:top w:val="none" w:sz="0" w:space="0" w:color="auto"/>
                <w:left w:val="none" w:sz="0" w:space="0" w:color="auto"/>
                <w:bottom w:val="none" w:sz="0" w:space="0" w:color="auto"/>
                <w:right w:val="none" w:sz="0" w:space="0" w:color="auto"/>
              </w:divBdr>
            </w:div>
            <w:div w:id="1047142678">
              <w:marLeft w:val="0"/>
              <w:marRight w:val="0"/>
              <w:marTop w:val="0"/>
              <w:marBottom w:val="0"/>
              <w:divBdr>
                <w:top w:val="none" w:sz="0" w:space="0" w:color="auto"/>
                <w:left w:val="none" w:sz="0" w:space="0" w:color="auto"/>
                <w:bottom w:val="none" w:sz="0" w:space="0" w:color="auto"/>
                <w:right w:val="none" w:sz="0" w:space="0" w:color="auto"/>
              </w:divBdr>
            </w:div>
            <w:div w:id="1732733402">
              <w:marLeft w:val="0"/>
              <w:marRight w:val="0"/>
              <w:marTop w:val="0"/>
              <w:marBottom w:val="0"/>
              <w:divBdr>
                <w:top w:val="none" w:sz="0" w:space="0" w:color="auto"/>
                <w:left w:val="none" w:sz="0" w:space="0" w:color="auto"/>
                <w:bottom w:val="none" w:sz="0" w:space="0" w:color="auto"/>
                <w:right w:val="none" w:sz="0" w:space="0" w:color="auto"/>
              </w:divBdr>
            </w:div>
            <w:div w:id="19497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50218-9693-4A49-81FD-31111A1C8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7411</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Grażyna D. Grabowska</cp:lastModifiedBy>
  <cp:revision>2</cp:revision>
  <cp:lastPrinted>2017-06-20T07:16:00Z</cp:lastPrinted>
  <dcterms:created xsi:type="dcterms:W3CDTF">2017-10-10T12:29:00Z</dcterms:created>
  <dcterms:modified xsi:type="dcterms:W3CDTF">2017-10-10T12:29:00Z</dcterms:modified>
</cp:coreProperties>
</file>