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46" w:rsidRDefault="00C70646" w:rsidP="0090354A">
      <w:pPr>
        <w:pStyle w:val="OZNPROJEKTUwskazaniedatylubwersjiprojektu"/>
        <w:spacing w:after="600" w:line="720" w:lineRule="auto"/>
      </w:pPr>
      <w:bookmarkStart w:id="0" w:name="_GoBack"/>
      <w:bookmarkEnd w:id="0"/>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DF5000">
        <w:t>28</w:t>
      </w:r>
      <w:r w:rsidR="00C41045">
        <w:t xml:space="preserve"> września 2017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C41045" w:rsidRPr="00C41045">
        <w:t>o zmianie ustawy – Kodeks karny oraz ustawy – Kodeks wykroczeń</w:t>
      </w:r>
    </w:p>
    <w:p w:rsidR="00186E4C" w:rsidRPr="005333D2" w:rsidRDefault="00186E4C" w:rsidP="00186E4C">
      <w:pPr>
        <w:pStyle w:val="NIEARTTEKSTtekstnieartykuowanynppreambua"/>
      </w:pPr>
      <w:r w:rsidRPr="005333D2">
        <w:t xml:space="preserve">Na podstawie art. 118 ust. 1 Konstytucji Rzeczypospolitej Polskiej z dnia 2 kwietnia 1997 r., Senat wnosi do Sejmu Rzeczypospolitej Polskiej projekt ustawy </w:t>
      </w:r>
      <w:r w:rsidR="00C41045" w:rsidRPr="00C41045">
        <w:rPr>
          <w:szCs w:val="24"/>
        </w:rPr>
        <w:t>o zmianie ustawy</w:t>
      </w:r>
      <w:r w:rsidR="00C41045">
        <w:rPr>
          <w:szCs w:val="24"/>
        </w:rPr>
        <w:br/>
      </w:r>
      <w:r w:rsidR="00C41045" w:rsidRPr="00C41045">
        <w:rPr>
          <w:szCs w:val="24"/>
        </w:rPr>
        <w:t xml:space="preserve"> – Kodeks karny oraz ustawy – Kodeks wykroczeń</w:t>
      </w:r>
      <w:r w:rsidRPr="005333D2">
        <w:t>.</w:t>
      </w:r>
    </w:p>
    <w:p w:rsidR="00186E4C" w:rsidRPr="005333D2" w:rsidRDefault="00186E4C" w:rsidP="00186E4C">
      <w:pPr>
        <w:pStyle w:val="NIEARTTEKSTtekstnieartykuowanynppreambua"/>
      </w:pPr>
      <w:r w:rsidRPr="005333D2">
        <w:t xml:space="preserve">Jednocześnie upoważnia senatora </w:t>
      </w:r>
      <w:r w:rsidR="00C41045" w:rsidRPr="00B275C7">
        <w:rPr>
          <w:rFonts w:cs="Times New Roman"/>
          <w:szCs w:val="24"/>
        </w:rPr>
        <w:t>Zbigniew</w:t>
      </w:r>
      <w:r w:rsidR="00C41045">
        <w:rPr>
          <w:rFonts w:cs="Times New Roman"/>
          <w:szCs w:val="24"/>
        </w:rPr>
        <w:t>a</w:t>
      </w:r>
      <w:r w:rsidR="00C41045" w:rsidRPr="00B275C7">
        <w:rPr>
          <w:rFonts w:cs="Times New Roman"/>
          <w:szCs w:val="24"/>
        </w:rPr>
        <w:t xml:space="preserve"> </w:t>
      </w:r>
      <w:hyperlink r:id="rId8" w:history="1">
        <w:r w:rsidR="00C41045" w:rsidRPr="00B275C7">
          <w:rPr>
            <w:rFonts w:cs="Times New Roman"/>
            <w:szCs w:val="24"/>
          </w:rPr>
          <w:t>Cicho</w:t>
        </w:r>
        <w:r w:rsidR="00C41045">
          <w:rPr>
            <w:rFonts w:cs="Times New Roman"/>
            <w:szCs w:val="24"/>
          </w:rPr>
          <w:t>nia</w:t>
        </w:r>
      </w:hyperlink>
      <w:r w:rsidR="00C41045" w:rsidRPr="00B275C7">
        <w:t xml:space="preserve"> </w:t>
      </w:r>
      <w:r w:rsidRPr="005333D2">
        <w:t xml:space="preserve">do reprezentowania Senatu </w:t>
      </w:r>
      <w:r w:rsidR="00C41045">
        <w:br/>
      </w:r>
      <w:r w:rsidRPr="005333D2">
        <w:t>w pracach nad projektem.</w:t>
      </w:r>
    </w:p>
    <w:p w:rsidR="00C70646" w:rsidRPr="00621566" w:rsidRDefault="00C70646" w:rsidP="00C70646"/>
    <w:p w:rsidR="00C70646" w:rsidRDefault="00C70646" w:rsidP="00C70646"/>
    <w:p w:rsidR="00C41045" w:rsidRDefault="00C41045" w:rsidP="00C70646"/>
    <w:p w:rsidR="00C41045" w:rsidRDefault="00C41045" w:rsidP="00C41045">
      <w:pPr>
        <w:pStyle w:val="Tekstpodstawowy"/>
        <w:tabs>
          <w:tab w:val="center" w:pos="6237"/>
        </w:tabs>
        <w:spacing w:line="240" w:lineRule="auto"/>
        <w:ind w:right="-2"/>
        <w:rPr>
          <w:b/>
        </w:rPr>
      </w:pPr>
      <w:r>
        <w:rPr>
          <w:b/>
        </w:rPr>
        <w:tab/>
        <w:t>MARSZAŁEK SENATU</w:t>
      </w:r>
    </w:p>
    <w:p w:rsidR="00C41045" w:rsidRDefault="00C41045" w:rsidP="00C41045">
      <w:pPr>
        <w:pStyle w:val="Tekstpodstawowy"/>
        <w:tabs>
          <w:tab w:val="center" w:pos="6237"/>
        </w:tabs>
        <w:spacing w:line="240" w:lineRule="auto"/>
        <w:rPr>
          <w:b/>
        </w:rPr>
      </w:pPr>
    </w:p>
    <w:p w:rsidR="00C41045" w:rsidRDefault="00C41045" w:rsidP="00C41045">
      <w:pPr>
        <w:pStyle w:val="Tekstpodstawowy"/>
        <w:tabs>
          <w:tab w:val="center" w:pos="6237"/>
        </w:tabs>
        <w:spacing w:line="240" w:lineRule="auto"/>
        <w:rPr>
          <w:b/>
        </w:rPr>
      </w:pPr>
    </w:p>
    <w:p w:rsidR="00C41045" w:rsidRDefault="00C41045" w:rsidP="00C41045">
      <w:pPr>
        <w:pStyle w:val="Tekstpodstawowy"/>
        <w:tabs>
          <w:tab w:val="center" w:pos="6237"/>
        </w:tabs>
        <w:spacing w:line="240" w:lineRule="auto"/>
        <w:rPr>
          <w:b/>
        </w:rPr>
      </w:pPr>
    </w:p>
    <w:p w:rsidR="00C41045" w:rsidRDefault="00C41045" w:rsidP="00C41045">
      <w:pPr>
        <w:pStyle w:val="Tekstpodstawowy"/>
        <w:tabs>
          <w:tab w:val="center" w:pos="6237"/>
        </w:tabs>
        <w:spacing w:line="240" w:lineRule="auto"/>
        <w:ind w:right="-2"/>
        <w:rPr>
          <w:b/>
        </w:rPr>
      </w:pPr>
      <w:r>
        <w:rPr>
          <w:b/>
        </w:rPr>
        <w:tab/>
        <w:t>Stanisław KARCZEWSKI</w:t>
      </w:r>
    </w:p>
    <w:p w:rsidR="00EC1BC2" w:rsidRDefault="00EC1BC2" w:rsidP="00C70646">
      <w:pPr>
        <w:sectPr w:rsidR="00EC1BC2" w:rsidSect="001A7F15">
          <w:headerReference w:type="default" r:id="rId9"/>
          <w:pgSz w:w="11906" w:h="16838"/>
          <w:pgMar w:top="1560" w:right="1434" w:bottom="1560" w:left="1418" w:header="709" w:footer="709" w:gutter="0"/>
          <w:cols w:space="708"/>
          <w:titlePg/>
          <w:docGrid w:linePitch="254"/>
        </w:sectPr>
      </w:pPr>
    </w:p>
    <w:p w:rsidR="00EC1BC2" w:rsidRDefault="00EC1BC2" w:rsidP="00D42A0D">
      <w:pPr>
        <w:pStyle w:val="OZNPROJEKTUwskazaniedatylubwersjiprojektu"/>
      </w:pPr>
      <w:r>
        <w:lastRenderedPageBreak/>
        <w:t>projekt</w:t>
      </w:r>
    </w:p>
    <w:p w:rsidR="00EC1BC2" w:rsidRPr="00E000DC" w:rsidRDefault="00EC1BC2" w:rsidP="004810D7">
      <w:pPr>
        <w:pStyle w:val="OZNRODZAKTUtznustawalubrozporzdzenieiorganwydajcy"/>
      </w:pPr>
      <w:r w:rsidRPr="004810D7">
        <w:t>ustawa</w:t>
      </w:r>
    </w:p>
    <w:p w:rsidR="00EC1BC2" w:rsidRDefault="00EC1BC2" w:rsidP="00912118">
      <w:pPr>
        <w:pStyle w:val="DATAAKTUdatauchwalenialubwydaniaaktu"/>
      </w:pPr>
      <w:r w:rsidRPr="00E000DC">
        <w:t>z dnia</w:t>
      </w:r>
      <w:r>
        <w:t xml:space="preserve"> </w:t>
      </w:r>
    </w:p>
    <w:p w:rsidR="00EC1BC2" w:rsidRPr="00602F93" w:rsidRDefault="00EC1BC2" w:rsidP="00602F93">
      <w:pPr>
        <w:pStyle w:val="TYTUAKTUprzedmiotregulacjiustawylubrozporzdzenia"/>
        <w:rPr>
          <w:rStyle w:val="IGindeksgrny"/>
        </w:rPr>
      </w:pPr>
      <w:r>
        <w:t xml:space="preserve">o </w:t>
      </w:r>
      <w:r w:rsidRPr="00602F93">
        <w:t>zmianie ustawy – Kodeks karny oraz</w:t>
      </w:r>
      <w:r>
        <w:t xml:space="preserve"> ustawy – Kodeks wykroczeń</w:t>
      </w:r>
    </w:p>
    <w:p w:rsidR="00EC1BC2" w:rsidRDefault="00EC1BC2" w:rsidP="00602F93">
      <w:pPr>
        <w:pStyle w:val="ARTartustawynprozporzdzenia"/>
      </w:pPr>
      <w:r w:rsidRPr="00602F93">
        <w:rPr>
          <w:rStyle w:val="Ppogrubienie"/>
        </w:rPr>
        <w:t>Art.</w:t>
      </w:r>
      <w:r>
        <w:rPr>
          <w:rStyle w:val="Ppogrubienie"/>
        </w:rPr>
        <w:t xml:space="preserve"> </w:t>
      </w:r>
      <w:r w:rsidRPr="00602F93">
        <w:rPr>
          <w:rStyle w:val="Ppogrubienie"/>
        </w:rPr>
        <w:t>1.</w:t>
      </w:r>
      <w:r w:rsidRPr="00602F93">
        <w:t xml:space="preserve"> W ustawie z dnia 6 czerwca 1997 r. – Kodeks karny (Dz. U. z 2016 r. poz. 1137 i 2138 oraz z 2017 r. poz. 244</w:t>
      </w:r>
      <w:r>
        <w:t>, 768, 773, 952, 966 i 1214</w:t>
      </w:r>
      <w:r w:rsidRPr="00602F93">
        <w:t>) w</w:t>
      </w:r>
      <w:r>
        <w:t xml:space="preserve"> art. 44 po </w:t>
      </w:r>
      <w:r>
        <w:rPr>
          <w:rFonts w:cs="Times"/>
        </w:rPr>
        <w:t>§</w:t>
      </w:r>
      <w:r>
        <w:t xml:space="preserve"> 7 dodaje się </w:t>
      </w:r>
      <w:r>
        <w:rPr>
          <w:rFonts w:cs="Times"/>
        </w:rPr>
        <w:t>§</w:t>
      </w:r>
      <w:r>
        <w:t xml:space="preserve"> 7a w brzmieniu:</w:t>
      </w:r>
    </w:p>
    <w:p w:rsidR="00EC1BC2" w:rsidRDefault="00EC1BC2" w:rsidP="007C1F3C">
      <w:pPr>
        <w:pStyle w:val="ZUSTzmustartykuempunktem"/>
      </w:pPr>
      <w:r>
        <w:t>„</w:t>
      </w:r>
      <w:r>
        <w:rPr>
          <w:rFonts w:cs="Times"/>
        </w:rPr>
        <w:t>§</w:t>
      </w:r>
      <w:r>
        <w:t xml:space="preserve"> 7a. Jeżeli przedmioty wymienione w </w:t>
      </w:r>
      <w:r>
        <w:rPr>
          <w:rFonts w:cs="Times"/>
        </w:rPr>
        <w:t>§</w:t>
      </w:r>
      <w:r>
        <w:t xml:space="preserve"> 2 nie stanowią własności sprawcy, ich przepadek można orzec, jeżeli ich właściciel lub inna osoba uprawniona przewidywała, że mogą one służyć lub być przeznaczone do popełnienia przestępstwa albo mogła to przewidzieć przy zachowaniu ostrożności wymaganej w danych okolicznościach.”.</w:t>
      </w:r>
    </w:p>
    <w:p w:rsidR="00EC1BC2" w:rsidRDefault="00EC1BC2" w:rsidP="00602F93">
      <w:pPr>
        <w:pStyle w:val="ARTartustawynprozporzdzenia"/>
      </w:pPr>
      <w:r w:rsidRPr="00430C5A">
        <w:rPr>
          <w:rStyle w:val="Ppogrubienie"/>
        </w:rPr>
        <w:t>Art. 2.</w:t>
      </w:r>
      <w:r>
        <w:t xml:space="preserve"> </w:t>
      </w:r>
      <w:r w:rsidRPr="00430C5A">
        <w:t>W ustawie z dnia 20 maja 1971 r. – Kodeks wykroczeń (Dz. U. z 2015 r. poz.</w:t>
      </w:r>
      <w:r>
        <w:t> </w:t>
      </w:r>
      <w:r w:rsidRPr="00430C5A">
        <w:t>1094, 1485, 1634 i 1707</w:t>
      </w:r>
      <w:r>
        <w:t xml:space="preserve"> oraz z 2017 r. poz. 966</w:t>
      </w:r>
      <w:r w:rsidRPr="00430C5A">
        <w:t xml:space="preserve">) w art. </w:t>
      </w:r>
      <w:r>
        <w:t xml:space="preserve">30 po </w:t>
      </w:r>
      <w:r>
        <w:rPr>
          <w:rFonts w:cs="Times"/>
        </w:rPr>
        <w:t>§</w:t>
      </w:r>
      <w:r>
        <w:t xml:space="preserve"> 2 dodaje się </w:t>
      </w:r>
      <w:r w:rsidRPr="00430C5A">
        <w:t xml:space="preserve">§ </w:t>
      </w:r>
      <w:r>
        <w:t>2a w brzmieniu:</w:t>
      </w:r>
    </w:p>
    <w:p w:rsidR="00EC1BC2" w:rsidRPr="0024689E" w:rsidRDefault="00EC1BC2" w:rsidP="007C1F3C">
      <w:pPr>
        <w:pStyle w:val="ZUSTzmustartykuempunktem"/>
      </w:pPr>
      <w:r w:rsidRPr="0024689E">
        <w:t xml:space="preserve">„§ </w:t>
      </w:r>
      <w:r>
        <w:t>2</w:t>
      </w:r>
      <w:r w:rsidRPr="0024689E">
        <w:t xml:space="preserve">a. Jeżeli </w:t>
      </w:r>
      <w:r>
        <w:t xml:space="preserve">narzędzia lub inne </w:t>
      </w:r>
      <w:r w:rsidRPr="0024689E">
        <w:t>przedmioty</w:t>
      </w:r>
      <w:r>
        <w:t xml:space="preserve">, które służyły lub były przeznaczone do popełnienia wykroczenia </w:t>
      </w:r>
      <w:r w:rsidRPr="0024689E">
        <w:t>nie stanowią własności sprawcy, ich przepadek można orzec, jeżeli ich właściciel lub inna osoba uprawniona przewidywała, że</w:t>
      </w:r>
      <w:r>
        <w:t xml:space="preserve"> </w:t>
      </w:r>
      <w:r w:rsidRPr="0024689E">
        <w:t xml:space="preserve">mogą one służyć lub być przeznaczone do popełnienia </w:t>
      </w:r>
      <w:r>
        <w:t>wykroczenia</w:t>
      </w:r>
      <w:r w:rsidRPr="0024689E">
        <w:t xml:space="preserve"> albo mogła to przewidzieć przy zachowaniu ostrożności wymaganej w danych okolicznościach.”.</w:t>
      </w:r>
    </w:p>
    <w:p w:rsidR="00EC1BC2" w:rsidRPr="00957BFA" w:rsidRDefault="00EC1BC2" w:rsidP="00957BFA">
      <w:pPr>
        <w:pStyle w:val="ARTartustawynprozporzdzenia"/>
        <w:rPr>
          <w:b/>
        </w:rPr>
      </w:pPr>
      <w:r w:rsidRPr="006443F8">
        <w:rPr>
          <w:rStyle w:val="Ppogrubienie"/>
        </w:rPr>
        <w:t xml:space="preserve">Art. </w:t>
      </w:r>
      <w:r>
        <w:rPr>
          <w:rStyle w:val="Ppogrubienie"/>
        </w:rPr>
        <w:t>3</w:t>
      </w:r>
      <w:r w:rsidRPr="006443F8">
        <w:rPr>
          <w:rStyle w:val="Ppogrubienie"/>
        </w:rPr>
        <w:t>.</w:t>
      </w:r>
      <w:r w:rsidRPr="007C4D4D">
        <w:t xml:space="preserve"> Ustawa wchodzi w życie po upływie 14 dni od dnia ogłoszenia.</w:t>
      </w:r>
    </w:p>
    <w:p w:rsidR="00EC1BC2" w:rsidRDefault="00EC1BC2" w:rsidP="00C70646">
      <w:pPr>
        <w:sectPr w:rsidR="00EC1BC2" w:rsidSect="001A7F15">
          <w:headerReference w:type="default" r:id="rId10"/>
          <w:pgSz w:w="11906" w:h="16838"/>
          <w:pgMar w:top="1560" w:right="1434" w:bottom="1560" w:left="1418" w:header="709" w:footer="709" w:gutter="0"/>
          <w:cols w:space="708"/>
          <w:titlePg/>
          <w:docGrid w:linePitch="254"/>
        </w:sectPr>
      </w:pPr>
    </w:p>
    <w:p w:rsidR="00EC1BC2" w:rsidRPr="00613011" w:rsidRDefault="00EC1BC2" w:rsidP="00613011">
      <w:pPr>
        <w:pStyle w:val="OZNRODZAKTUtznustawalubrozporzdzenieiorganwydajcy"/>
      </w:pPr>
      <w:r w:rsidRPr="00613011">
        <w:lastRenderedPageBreak/>
        <w:t>UZASADNIENIE</w:t>
      </w:r>
    </w:p>
    <w:p w:rsidR="00EC1BC2" w:rsidRDefault="00EC1BC2" w:rsidP="0015321A">
      <w:pPr>
        <w:pStyle w:val="NIEARTTEKSTtekstnieartykuowanynppodstprawnarozplubpreambua"/>
      </w:pPr>
    </w:p>
    <w:p w:rsidR="00EC1BC2" w:rsidRPr="0015321A" w:rsidRDefault="00EC1BC2" w:rsidP="0015321A">
      <w:pPr>
        <w:pStyle w:val="NIEARTTEKSTtekstnieartykuowanynppodstprawnarozplubpreambua"/>
        <w:ind w:firstLine="0"/>
        <w:rPr>
          <w:rStyle w:val="Ppogrubienie"/>
        </w:rPr>
      </w:pPr>
      <w:r w:rsidRPr="0015321A">
        <w:rPr>
          <w:rStyle w:val="Ppogrubienie"/>
        </w:rPr>
        <w:t>1. Cel projektowanej ustawy</w:t>
      </w:r>
    </w:p>
    <w:p w:rsidR="00EC1BC2" w:rsidRDefault="00EC1BC2" w:rsidP="0015321A">
      <w:pPr>
        <w:pStyle w:val="NIEARTTEKSTtekstnieartykuowanynppodstprawnarozplubpreambua"/>
      </w:pPr>
      <w:r w:rsidRPr="00B14E14">
        <w:t xml:space="preserve">Projektowana ustawa o zmianie ustawy </w:t>
      </w:r>
      <w:r>
        <w:t>– Kodeks karny oraz ustawy – Kodeks wykroczeń</w:t>
      </w:r>
      <w:r w:rsidRPr="00B14E14">
        <w:t xml:space="preserve"> ma na celu </w:t>
      </w:r>
      <w:r>
        <w:t>dostosowanie systemu prawa do</w:t>
      </w:r>
      <w:r w:rsidRPr="00B14E14">
        <w:t xml:space="preserve"> wyroku Trybunału Konstytucyjnego </w:t>
      </w:r>
      <w:r>
        <w:t xml:space="preserve">z  dnia </w:t>
      </w:r>
      <w:r w:rsidRPr="00510A18">
        <w:t>2</w:t>
      </w:r>
      <w:r>
        <w:t>8</w:t>
      </w:r>
      <w:r w:rsidRPr="00510A18">
        <w:t xml:space="preserve"> </w:t>
      </w:r>
      <w:r>
        <w:t>października</w:t>
      </w:r>
      <w:r w:rsidRPr="00510A18">
        <w:t xml:space="preserve"> 201</w:t>
      </w:r>
      <w:r>
        <w:t>5 r. (sygn. akt SK 59</w:t>
      </w:r>
      <w:r w:rsidRPr="00510A18">
        <w:t>/1</w:t>
      </w:r>
      <w:r>
        <w:t>3</w:t>
      </w:r>
      <w:r w:rsidRPr="00510A18">
        <w:t>)</w:t>
      </w:r>
      <w:r w:rsidRPr="00B14E14">
        <w:t>, stwierdzając</w:t>
      </w:r>
      <w:r>
        <w:t>ego</w:t>
      </w:r>
      <w:r w:rsidRPr="00B14E14">
        <w:t xml:space="preserve"> niezgodność art. </w:t>
      </w:r>
      <w:r>
        <w:t>70 ust. 1</w:t>
      </w:r>
      <w:r w:rsidRPr="00B14E14">
        <w:t xml:space="preserve"> ustawy z dnia </w:t>
      </w:r>
      <w:r>
        <w:rPr>
          <w:spacing w:val="-2"/>
        </w:rPr>
        <w:t>29 lipc</w:t>
      </w:r>
      <w:r w:rsidRPr="00D22F3C">
        <w:rPr>
          <w:spacing w:val="-2"/>
        </w:rPr>
        <w:t xml:space="preserve">a </w:t>
      </w:r>
      <w:r>
        <w:rPr>
          <w:spacing w:val="-2"/>
        </w:rPr>
        <w:t>2005</w:t>
      </w:r>
      <w:r w:rsidRPr="00D22F3C">
        <w:rPr>
          <w:spacing w:val="-2"/>
        </w:rPr>
        <w:t xml:space="preserve"> r. o </w:t>
      </w:r>
      <w:r>
        <w:rPr>
          <w:spacing w:val="-2"/>
        </w:rPr>
        <w:t>przeciwdziałaniu narkomanii</w:t>
      </w:r>
      <w:r w:rsidRPr="00D22F3C">
        <w:rPr>
          <w:spacing w:val="-2"/>
        </w:rPr>
        <w:t xml:space="preserve"> (Dz. U. z 201</w:t>
      </w:r>
      <w:r>
        <w:rPr>
          <w:spacing w:val="-2"/>
        </w:rPr>
        <w:t>6</w:t>
      </w:r>
      <w:r w:rsidRPr="00D22F3C">
        <w:rPr>
          <w:spacing w:val="-2"/>
        </w:rPr>
        <w:t xml:space="preserve"> r.</w:t>
      </w:r>
      <w:r>
        <w:t xml:space="preserve"> poz. 224, z </w:t>
      </w:r>
      <w:proofErr w:type="spellStart"/>
      <w:r>
        <w:t>późn</w:t>
      </w:r>
      <w:proofErr w:type="spellEnd"/>
      <w:r>
        <w:t xml:space="preserve">. zm.; dalej jako </w:t>
      </w:r>
      <w:proofErr w:type="spellStart"/>
      <w:r>
        <w:t>u.p.n</w:t>
      </w:r>
      <w:proofErr w:type="spellEnd"/>
      <w:r>
        <w:t>.)</w:t>
      </w:r>
      <w:r>
        <w:rPr>
          <w:spacing w:val="-2"/>
        </w:rPr>
        <w:t xml:space="preserve"> z Konstytucją. </w:t>
      </w:r>
      <w:r w:rsidRPr="003F3F05">
        <w:rPr>
          <w:spacing w:val="-2"/>
        </w:rPr>
        <w:t xml:space="preserve">Sentencja </w:t>
      </w:r>
      <w:r>
        <w:rPr>
          <w:spacing w:val="-2"/>
        </w:rPr>
        <w:t>t</w:t>
      </w:r>
      <w:r w:rsidRPr="003F3F05">
        <w:rPr>
          <w:spacing w:val="-2"/>
        </w:rPr>
        <w:t xml:space="preserve">ego orzeczenia </w:t>
      </w:r>
      <w:r>
        <w:rPr>
          <w:spacing w:val="-2"/>
        </w:rPr>
        <w:t xml:space="preserve">została opublikowana w Dz. U. z </w:t>
      </w:r>
      <w:r w:rsidRPr="003F3F05">
        <w:rPr>
          <w:spacing w:val="-2"/>
        </w:rPr>
        <w:t>dnia</w:t>
      </w:r>
      <w:r w:rsidRPr="00B14E14">
        <w:t xml:space="preserve"> </w:t>
      </w:r>
      <w:r>
        <w:t>2</w:t>
      </w:r>
      <w:r w:rsidRPr="00B14E14">
        <w:t xml:space="preserve"> </w:t>
      </w:r>
      <w:r>
        <w:t>grudnia</w:t>
      </w:r>
      <w:r w:rsidRPr="00B14E14">
        <w:t xml:space="preserve"> 201</w:t>
      </w:r>
      <w:r>
        <w:t>5</w:t>
      </w:r>
      <w:r w:rsidRPr="00B14E14">
        <w:t xml:space="preserve"> r.</w:t>
      </w:r>
      <w:r>
        <w:t>,</w:t>
      </w:r>
      <w:r w:rsidRPr="00B14E14">
        <w:t xml:space="preserve"> poz.</w:t>
      </w:r>
      <w:r>
        <w:t xml:space="preserve"> 2014</w:t>
      </w:r>
      <w:r w:rsidRPr="00B14E14">
        <w:t>. Pełny tekst rozst</w:t>
      </w:r>
      <w:r>
        <w:t>rzygnięcia Trybunału, wraz z uzasadnieniem</w:t>
      </w:r>
      <w:r w:rsidRPr="00B14E14">
        <w:t>, ukazał się w</w:t>
      </w:r>
      <w:r>
        <w:t xml:space="preserve"> </w:t>
      </w:r>
      <w:r w:rsidRPr="00B14E14">
        <w:t xml:space="preserve">OTK ZU Nr </w:t>
      </w:r>
      <w:r>
        <w:t>10</w:t>
      </w:r>
      <w:r w:rsidRPr="00B14E14">
        <w:t xml:space="preserve">A, poz. </w:t>
      </w:r>
      <w:r>
        <w:t>1</w:t>
      </w:r>
      <w:r w:rsidRPr="00B14E14">
        <w:t>6</w:t>
      </w:r>
      <w:r>
        <w:t>2</w:t>
      </w:r>
      <w:r w:rsidRPr="00B14E14">
        <w:t>.</w:t>
      </w:r>
    </w:p>
    <w:p w:rsidR="00EC1BC2" w:rsidRPr="0015321A" w:rsidRDefault="00EC1BC2" w:rsidP="0015321A"/>
    <w:p w:rsidR="00EC1BC2" w:rsidRPr="0015321A" w:rsidRDefault="00EC1BC2" w:rsidP="00C50587">
      <w:pPr>
        <w:rPr>
          <w:rStyle w:val="Ppogrubienie"/>
        </w:rPr>
      </w:pPr>
      <w:r w:rsidRPr="0015321A">
        <w:rPr>
          <w:rStyle w:val="Ppogrubienie"/>
        </w:rPr>
        <w:t>2. Przedmiot i istota wypowiedzi Trybunału Konstytucyjnego</w:t>
      </w:r>
    </w:p>
    <w:p w:rsidR="00EC1BC2" w:rsidRDefault="00EC1BC2" w:rsidP="005C51E8">
      <w:pPr>
        <w:pStyle w:val="ARTartustawynprozporzdzenia"/>
      </w:pPr>
      <w:r>
        <w:t xml:space="preserve">2.1. Trybunał orzekł, że art. </w:t>
      </w:r>
      <w:r>
        <w:rPr>
          <w:spacing w:val="-2"/>
        </w:rPr>
        <w:t>70</w:t>
      </w:r>
      <w:r w:rsidRPr="004B14A8">
        <w:rPr>
          <w:spacing w:val="-2"/>
        </w:rPr>
        <w:t xml:space="preserve"> ust. 1 </w:t>
      </w:r>
      <w:proofErr w:type="spellStart"/>
      <w:r>
        <w:rPr>
          <w:spacing w:val="-2"/>
        </w:rPr>
        <w:t>u.p.n</w:t>
      </w:r>
      <w:proofErr w:type="spellEnd"/>
      <w:r w:rsidRPr="004B14A8">
        <w:rPr>
          <w:spacing w:val="-2"/>
        </w:rPr>
        <w:t xml:space="preserve">. w zakresie, w jakim </w:t>
      </w:r>
      <w:r w:rsidRPr="00F90923">
        <w:rPr>
          <w:spacing w:val="-2"/>
        </w:rPr>
        <w:t>dopuszcza orzeczenie przepadku przedmiotu służącego do popełnienia któregoś z wymienionych w tym przepisie przestępstw, nie będącego własnością sprawcy, jeżeli właściciel lub inna osoba uprawniona, mimo zachowania ostrożności wymaganej w danych okolicznościach, nie przewidywała i nie mogła przewidzieć, że może on służyć do popełnienia któregoś z tych przestępstw, jest niezgodny z art. 42 ust. 1 w zw</w:t>
      </w:r>
      <w:r>
        <w:rPr>
          <w:spacing w:val="-2"/>
        </w:rPr>
        <w:t>.</w:t>
      </w:r>
      <w:r w:rsidRPr="00F90923">
        <w:rPr>
          <w:spacing w:val="-2"/>
        </w:rPr>
        <w:t xml:space="preserve"> z art. 2 oraz z art. 64 ust. 1 i 3 w zw</w:t>
      </w:r>
      <w:r>
        <w:rPr>
          <w:spacing w:val="-2"/>
        </w:rPr>
        <w:t>.</w:t>
      </w:r>
      <w:r w:rsidRPr="00F90923">
        <w:rPr>
          <w:spacing w:val="-2"/>
        </w:rPr>
        <w:t xml:space="preserve"> z art. 31 ust. 3 Konstytucji</w:t>
      </w:r>
      <w:r w:rsidRPr="0016713A">
        <w:t xml:space="preserve"> Rzeczypospolitej Polskiej</w:t>
      </w:r>
      <w:r>
        <w:t>.</w:t>
      </w:r>
    </w:p>
    <w:p w:rsidR="00EC1BC2" w:rsidRDefault="00EC1BC2" w:rsidP="00B148B5">
      <w:pPr>
        <w:pStyle w:val="ARTartustawynprozporzdzenia"/>
      </w:pPr>
      <w:r>
        <w:t xml:space="preserve">2.2. Stosownie do art. 70 ust. 1 </w:t>
      </w:r>
      <w:proofErr w:type="spellStart"/>
      <w:r>
        <w:t>u.p.n</w:t>
      </w:r>
      <w:proofErr w:type="spellEnd"/>
      <w:r>
        <w:t>., w razie skazania za przestępstwa określone w art. 53–61, art. 63 i art. 64 można orzec przepadek przedmiotu przestępstwa oraz przedmiotów i  narzędzi, które służyły lub były przeznaczone do jego popełnienia, nawet jeżeli nie były własnością sprawcy. Przepis ten stanowi podstawę do orzeczenia przepadku w warunkach, o których mowa w art. 44 § 7 ustawy z dnia 6 czerwca 1997 r. – Kodeks karny (Dz. U. z 2016 r. poz. 1137; dalej jako k.k.), a więc zezwala na wymierzenie sankcji prawno-</w:t>
      </w:r>
      <w:r w:rsidRPr="00575A1D">
        <w:rPr>
          <w:spacing w:val="-4"/>
        </w:rPr>
        <w:t xml:space="preserve">karnej w stosunku do osoby, której nie udowodniono sprawstwa </w:t>
      </w:r>
      <w:r w:rsidRPr="00575A1D">
        <w:rPr>
          <w:spacing w:val="-4"/>
          <w:szCs w:val="24"/>
        </w:rPr>
        <w:t>w żadnej z form</w:t>
      </w:r>
      <w:r w:rsidRPr="00575A1D">
        <w:rPr>
          <w:spacing w:val="-4"/>
        </w:rPr>
        <w:t xml:space="preserve"> przewidzianych</w:t>
      </w:r>
      <w:r>
        <w:t xml:space="preserve"> w art. 13–18 k.k. Jego brzmienie nie pozostawia przy tym wątpliwości co do tego, że sąd – poruszając się w granicach wyznaczonych dyrektywami wymiaru kary (zob. art. 53, art. 54 § 1 i art. 55 </w:t>
      </w:r>
      <w:r w:rsidRPr="000E7750">
        <w:rPr>
          <w:spacing w:val="-2"/>
        </w:rPr>
        <w:t>w zw. z art. 56 k.k.) – może pozbawić osobę nie będącą sprawcą prawa własności określonych</w:t>
      </w:r>
      <w:r>
        <w:t xml:space="preserve"> rzeczy zarówno wtedy, gdy przedmioty te lub narzędzia służyły do popełnienia jednego z  czynów stypizowanych w art. 53–61, art. 63 i art. 64 </w:t>
      </w:r>
      <w:proofErr w:type="spellStart"/>
      <w:r>
        <w:t>u.p.n</w:t>
      </w:r>
      <w:proofErr w:type="spellEnd"/>
      <w:r>
        <w:t xml:space="preserve">., jak i wówczas, gdy owe </w:t>
      </w:r>
      <w:r>
        <w:lastRenderedPageBreak/>
        <w:t>przedmioty czy narzędzia wprawdzie miały zostać użyte w tym celu, ale ostatecznie sprawca z nich nie skorzystał.</w:t>
      </w:r>
    </w:p>
    <w:p w:rsidR="00EC1BC2" w:rsidRDefault="00EC1BC2" w:rsidP="00B148B5">
      <w:pPr>
        <w:pStyle w:val="ARTartustawynprozporzdzenia"/>
        <w:rPr>
          <w:szCs w:val="24"/>
          <w:lang w:eastAsia="en-US"/>
        </w:rPr>
      </w:pPr>
      <w:r w:rsidRPr="000F7D52">
        <w:rPr>
          <w:spacing w:val="-2"/>
        </w:rPr>
        <w:t xml:space="preserve">2.3. W sprawie SK 59/13 Trybunał ograniczył się do analizy zarzutu niekonstytucyjności </w:t>
      </w:r>
      <w:r>
        <w:rPr>
          <w:spacing w:val="-2"/>
        </w:rPr>
        <w:t xml:space="preserve">postawionego w kontekście orzeczenia przepadku samochodu osobowego </w:t>
      </w:r>
      <w:r w:rsidRPr="00A83C99">
        <w:rPr>
          <w:spacing w:val="-2"/>
          <w:szCs w:val="24"/>
          <w:lang w:eastAsia="en-US"/>
        </w:rPr>
        <w:t>marki Audi A6 2.5 TDI</w:t>
      </w:r>
      <w:r>
        <w:rPr>
          <w:spacing w:val="-2"/>
        </w:rPr>
        <w:t xml:space="preserve">, którym posłużono się do </w:t>
      </w:r>
      <w:r w:rsidRPr="00A83C99">
        <w:rPr>
          <w:szCs w:val="24"/>
          <w:lang w:eastAsia="en-US"/>
        </w:rPr>
        <w:t>przemytu środków odurzających</w:t>
      </w:r>
      <w:r>
        <w:rPr>
          <w:szCs w:val="24"/>
          <w:lang w:eastAsia="en-US"/>
        </w:rPr>
        <w:t xml:space="preserve">. Samochód ten należał do osoby, która wystąpiła ze skargą konstytucyjną. Jak ustalił sąd pierwszej instancji, wskazany </w:t>
      </w:r>
      <w:r w:rsidRPr="008842E3">
        <w:rPr>
          <w:szCs w:val="24"/>
          <w:lang w:eastAsia="en-US"/>
        </w:rPr>
        <w:t>pojazd został najpierw odpowiednio dostosowany, a następnie wykorzystany do popełnienia przestępstwa objętego</w:t>
      </w:r>
      <w:r>
        <w:rPr>
          <w:szCs w:val="24"/>
          <w:lang w:eastAsia="en-US"/>
        </w:rPr>
        <w:t xml:space="preserve"> hipotezą art. 70 ust. 1 </w:t>
      </w:r>
      <w:proofErr w:type="spellStart"/>
      <w:r>
        <w:rPr>
          <w:szCs w:val="24"/>
          <w:lang w:eastAsia="en-US"/>
        </w:rPr>
        <w:t>u.p.n</w:t>
      </w:r>
      <w:proofErr w:type="spellEnd"/>
      <w:r>
        <w:rPr>
          <w:szCs w:val="24"/>
          <w:lang w:eastAsia="en-US"/>
        </w:rPr>
        <w:t xml:space="preserve">., co – według sądu </w:t>
      </w:r>
      <w:proofErr w:type="spellStart"/>
      <w:r>
        <w:rPr>
          <w:szCs w:val="24"/>
          <w:lang w:eastAsia="en-US"/>
        </w:rPr>
        <w:t>meriti</w:t>
      </w:r>
      <w:proofErr w:type="spellEnd"/>
      <w:r>
        <w:rPr>
          <w:szCs w:val="24"/>
          <w:lang w:eastAsia="en-US"/>
        </w:rPr>
        <w:t xml:space="preserve"> – uzasadniało </w:t>
      </w:r>
      <w:r w:rsidRPr="00FA7E12">
        <w:rPr>
          <w:spacing w:val="-2"/>
          <w:szCs w:val="24"/>
          <w:lang w:eastAsia="en-US"/>
        </w:rPr>
        <w:t>zastosowanie środka karnego przepadku, niezależnie od tego, że najprawdopodobniej sprawcy</w:t>
      </w:r>
      <w:r>
        <w:rPr>
          <w:szCs w:val="24"/>
          <w:lang w:eastAsia="en-US"/>
        </w:rPr>
        <w:t xml:space="preserve"> </w:t>
      </w:r>
      <w:r w:rsidRPr="00FA7E12">
        <w:rPr>
          <w:spacing w:val="-3"/>
          <w:szCs w:val="24"/>
          <w:lang w:eastAsia="en-US"/>
        </w:rPr>
        <w:t>działali bez zgody właściciela. Te ustalenia zostały później podtrzymane przez sąd odwoławczy.</w:t>
      </w:r>
    </w:p>
    <w:p w:rsidR="00EC1BC2" w:rsidRDefault="00EC1BC2" w:rsidP="00213D8E">
      <w:pPr>
        <w:pStyle w:val="ARTartustawynprozporzdzenia"/>
        <w:rPr>
          <w:szCs w:val="24"/>
        </w:rPr>
      </w:pPr>
      <w:r>
        <w:rPr>
          <w:szCs w:val="24"/>
          <w:lang w:eastAsia="en-US"/>
        </w:rPr>
        <w:t xml:space="preserve">2.4. TK zauważył, że </w:t>
      </w:r>
      <w:r>
        <w:rPr>
          <w:szCs w:val="24"/>
        </w:rPr>
        <w:t xml:space="preserve">w stanie faktycznym sprawy stanowiącej tło i zarazem przyczynę uruchomienia kontroli konstytucyjnej, sądy nie odniosły się do tego, czy właścicielowi można było przypisać jakiekolwiek naganne postępowanie będące w związku z popełnieniem przez sprawców przestępstwa zakwalifikowanego jako czyn z art. </w:t>
      </w:r>
      <w:r w:rsidRPr="00A83C99">
        <w:rPr>
          <w:szCs w:val="24"/>
          <w:lang w:eastAsia="en-US"/>
        </w:rPr>
        <w:t xml:space="preserve">55 ust. 1 i 3 oraz art. 62 ust. 2 </w:t>
      </w:r>
      <w:proofErr w:type="spellStart"/>
      <w:r w:rsidRPr="00A83C99">
        <w:rPr>
          <w:szCs w:val="24"/>
          <w:lang w:eastAsia="en-US"/>
        </w:rPr>
        <w:t>u.p.n</w:t>
      </w:r>
      <w:proofErr w:type="spellEnd"/>
      <w:r w:rsidRPr="00A83C99">
        <w:rPr>
          <w:szCs w:val="24"/>
          <w:lang w:eastAsia="en-US"/>
        </w:rPr>
        <w:t xml:space="preserve">. </w:t>
      </w:r>
      <w:r>
        <w:rPr>
          <w:szCs w:val="24"/>
          <w:lang w:eastAsia="en-US"/>
        </w:rPr>
        <w:t>W istocie bowiem a</w:t>
      </w:r>
      <w:r>
        <w:rPr>
          <w:szCs w:val="24"/>
        </w:rPr>
        <w:t xml:space="preserve">rt. 70 ust. 1 </w:t>
      </w:r>
      <w:proofErr w:type="spellStart"/>
      <w:r>
        <w:rPr>
          <w:szCs w:val="24"/>
        </w:rPr>
        <w:t>u.p.n</w:t>
      </w:r>
      <w:proofErr w:type="spellEnd"/>
      <w:r>
        <w:rPr>
          <w:szCs w:val="24"/>
        </w:rPr>
        <w:t xml:space="preserve">. nie wymaga, żeby kwestia ta była w ogóle brana pod uwagę. Tym samym na gruncie kwestionowanego </w:t>
      </w:r>
      <w:r w:rsidRPr="00AB4FE3">
        <w:rPr>
          <w:spacing w:val="-4"/>
          <w:szCs w:val="24"/>
        </w:rPr>
        <w:t>przepisu mogły i w rzeczywistości – zostały wyciągnięte surowe konsekwencje prawne w</w:t>
      </w:r>
      <w:r>
        <w:rPr>
          <w:spacing w:val="-4"/>
          <w:szCs w:val="24"/>
        </w:rPr>
        <w:t xml:space="preserve"> </w:t>
      </w:r>
      <w:r w:rsidRPr="00AB4FE3">
        <w:rPr>
          <w:spacing w:val="-4"/>
          <w:szCs w:val="24"/>
        </w:rPr>
        <w:t>postaci</w:t>
      </w:r>
      <w:r>
        <w:rPr>
          <w:szCs w:val="24"/>
        </w:rPr>
        <w:t xml:space="preserve"> pozbawienia określonej osoby prawa własności rzeczy, bez dokonania jakichkolwiek ustaleń umożliwiających negatywną ocenę jej zachowania. Tymczasem na gruncie art. 42 ust. 1 zdanie pierwsze Konstytucji za utrwalony można uznać pogląd, wedle którego </w:t>
      </w:r>
      <w:r w:rsidRPr="004668DF">
        <w:rPr>
          <w:szCs w:val="24"/>
        </w:rPr>
        <w:t>„[n]</w:t>
      </w:r>
      <w:proofErr w:type="spellStart"/>
      <w:r w:rsidRPr="004668DF">
        <w:rPr>
          <w:szCs w:val="24"/>
        </w:rPr>
        <w:t>ałożenie</w:t>
      </w:r>
      <w:proofErr w:type="spellEnd"/>
      <w:r w:rsidRPr="004668DF">
        <w:rPr>
          <w:szCs w:val="24"/>
        </w:rPr>
        <w:t xml:space="preserve"> kary o charakterze kryminalnym (lub jej równoważnej) nie może nosić znamion dyskrecjonalności. Powinno być ono uzależnione od należytego udowodnienia, w toku właściwie ukształtowanej procedury, winy popełnienia czynu zabronionego (…) bądź wykazania, że zachowanie podmiotu co prawda nie jest przestępstwem lub wykroczeniem, niemniej jednak, w świetle obowiązujących przepisów prawa, powinno być kwalifikowane jako naganne i podlegać określonej represji”.</w:t>
      </w:r>
    </w:p>
    <w:p w:rsidR="00EC1BC2" w:rsidRPr="00177863" w:rsidRDefault="00EC1BC2" w:rsidP="00213D8E">
      <w:pPr>
        <w:pStyle w:val="ARTartustawynprozporzdzenia"/>
        <w:rPr>
          <w:szCs w:val="24"/>
        </w:rPr>
      </w:pPr>
      <w:r w:rsidRPr="00DA1BF2">
        <w:rPr>
          <w:spacing w:val="-2"/>
          <w:szCs w:val="24"/>
        </w:rPr>
        <w:t>„[W] stosunku do oskarżonego w sprawie karnej podjęto szereg czynności procesowych</w:t>
      </w:r>
      <w:r w:rsidRPr="00A83C99">
        <w:rPr>
          <w:szCs w:val="24"/>
        </w:rPr>
        <w:t xml:space="preserve"> – sądy obydwu instancji dokonały ustaleń faktycznych, przeanalizowały wszelkie okoliczności popełnienia czynu, a także zważyły stopień zawinienia, zanim orzekły o jego ukaraniu. Natomiast, w odniesieniu do skarżącego, pomimo że on również został poddany represji, żadnych ustaleń faktycznych nie dokonano. </w:t>
      </w:r>
      <w:r w:rsidRPr="00177863">
        <w:rPr>
          <w:szCs w:val="24"/>
        </w:rPr>
        <w:t xml:space="preserve">Ustawodawca w tym zakresie nie nałożył na sądy nawet minimalnego zakresu zobowiązań, poza koniecznością ustalenia, że dany przedmiot, należący do osoby trzeciej, został użyty do popełnienia przestępstwa. Środek o charakterze </w:t>
      </w:r>
      <w:r w:rsidRPr="00177863">
        <w:rPr>
          <w:szCs w:val="24"/>
        </w:rPr>
        <w:lastRenderedPageBreak/>
        <w:t>represyjnym został przez to oderwany od określonych w art. 42 ust. 1 Konstytucji przesłanek warunkujących możliwość zastosowania przez państwo sankcji o takim charakterze”.</w:t>
      </w:r>
    </w:p>
    <w:p w:rsidR="00EC1BC2" w:rsidRDefault="00EC1BC2" w:rsidP="00213D8E">
      <w:pPr>
        <w:pStyle w:val="ARTartustawynprozporzdzenia"/>
      </w:pPr>
      <w:r>
        <w:rPr>
          <w:szCs w:val="24"/>
        </w:rPr>
        <w:t xml:space="preserve">Jednocześnie Trybunał doszedł do wniosku, że poddanie skarżącego represji za czyn </w:t>
      </w:r>
      <w:r w:rsidRPr="00EC499C">
        <w:rPr>
          <w:spacing w:val="-3"/>
          <w:szCs w:val="24"/>
        </w:rPr>
        <w:t>popełniony przez inną osobę w okolicznościach badanej sprawy uchybiało także elementarnemu</w:t>
      </w:r>
      <w:r>
        <w:rPr>
          <w:szCs w:val="24"/>
        </w:rPr>
        <w:t xml:space="preserve"> poczuciu sprawiedliwości. Skarżącemu nie udowodniono naganności postępowania ani tym </w:t>
      </w:r>
      <w:r w:rsidRPr="00D50698">
        <w:rPr>
          <w:spacing w:val="-2"/>
          <w:szCs w:val="24"/>
        </w:rPr>
        <w:t>bardziej żadnego związku między takim zachowaniem a wejściem przez sprawcę w posiadanie</w:t>
      </w:r>
      <w:r>
        <w:rPr>
          <w:szCs w:val="24"/>
        </w:rPr>
        <w:t xml:space="preserve"> samochodu, który następnie został wykorzystany do popełnienia przestępstwa. Nie sposób wobec tego stwierdzić, że orzeczenie środka karnego przepadku w tej sytuacji odpowiadało dyrektywie sprawiedliwego karania, której źródłem jest art. 2 Konstytucji.</w:t>
      </w:r>
      <w:r>
        <w:rPr>
          <w:szCs w:val="24"/>
          <w:lang w:eastAsia="en-US"/>
        </w:rPr>
        <w:t xml:space="preserve"> Jak podkreślono </w:t>
      </w:r>
      <w:r w:rsidRPr="0094309C">
        <w:rPr>
          <w:spacing w:val="-2"/>
          <w:szCs w:val="24"/>
          <w:lang w:eastAsia="en-US"/>
        </w:rPr>
        <w:t>w uzasadnieniu wyroku, z punktu widzenia</w:t>
      </w:r>
      <w:r w:rsidRPr="0094309C">
        <w:rPr>
          <w:spacing w:val="-2"/>
        </w:rPr>
        <w:t xml:space="preserve"> zasady państwa prawnego, uprzednie stwierdzenie</w:t>
      </w:r>
      <w:r w:rsidRPr="00783522">
        <w:t xml:space="preserve"> winy lub </w:t>
      </w:r>
      <w:r>
        <w:t xml:space="preserve">przynajmniej </w:t>
      </w:r>
      <w:r w:rsidRPr="00783522">
        <w:t xml:space="preserve">jej surogatu odpowiedniego dla </w:t>
      </w:r>
      <w:r>
        <w:t>konkretne</w:t>
      </w:r>
      <w:r w:rsidRPr="00783522">
        <w:t>j regulacji (</w:t>
      </w:r>
      <w:r>
        <w:t>tj. swego rodzaju „</w:t>
      </w:r>
      <w:proofErr w:type="spellStart"/>
      <w:r w:rsidRPr="00783522">
        <w:t>zarzucalności</w:t>
      </w:r>
      <w:proofErr w:type="spellEnd"/>
      <w:r>
        <w:t>”</w:t>
      </w:r>
      <w:r w:rsidRPr="00783522">
        <w:t>)</w:t>
      </w:r>
      <w:r>
        <w:t xml:space="preserve">, </w:t>
      </w:r>
      <w:r w:rsidRPr="00783522">
        <w:t>jawi się jako warunek poddania jednostki odpowiedzialności o</w:t>
      </w:r>
      <w:r>
        <w:t xml:space="preserve"> </w:t>
      </w:r>
      <w:r w:rsidRPr="00783522">
        <w:t>charakterze karnym.</w:t>
      </w:r>
    </w:p>
    <w:p w:rsidR="00EC1BC2" w:rsidRDefault="00EC1BC2" w:rsidP="00E276AE">
      <w:pPr>
        <w:pStyle w:val="ARTartustawynprozporzdzenia"/>
        <w:rPr>
          <w:szCs w:val="24"/>
        </w:rPr>
      </w:pPr>
      <w:r>
        <w:rPr>
          <w:szCs w:val="24"/>
        </w:rPr>
        <w:t xml:space="preserve">2.5. Przechodząc z kolei do rozważań związanych z konstytucyjną ochroną własności, Trybunał podniósł, że wartością, która mogłaby uzasadniać pozbawienie właściciela prawa własności przedmiotu, który nawet bez jego zgody został użyty do popełnienia przestępstwa, </w:t>
      </w:r>
      <w:r w:rsidRPr="008D609F">
        <w:rPr>
          <w:spacing w:val="-2"/>
          <w:szCs w:val="24"/>
        </w:rPr>
        <w:t xml:space="preserve">jest konieczność zachowania i ochrony porządku publicznego. Przepadek przedmiotu </w:t>
      </w:r>
      <w:r w:rsidRPr="00EA1886">
        <w:t>na rzecz</w:t>
      </w:r>
      <w:r w:rsidRPr="00A83C99">
        <w:rPr>
          <w:szCs w:val="24"/>
        </w:rPr>
        <w:t xml:space="preserve"> </w:t>
      </w:r>
      <w:r w:rsidRPr="008D609F">
        <w:rPr>
          <w:spacing w:val="-2"/>
          <w:szCs w:val="24"/>
        </w:rPr>
        <w:t>Skarbu Państwa uniemożliwia bowiem jego ponowne użycie w celu popełnienia przestępstwa,</w:t>
      </w:r>
      <w:r>
        <w:rPr>
          <w:szCs w:val="24"/>
        </w:rPr>
        <w:t xml:space="preserve"> choć – z drugiej strony – trzeba przyznać, że</w:t>
      </w:r>
      <w:r w:rsidRPr="00A83C99">
        <w:rPr>
          <w:szCs w:val="24"/>
        </w:rPr>
        <w:t xml:space="preserve"> </w:t>
      </w:r>
      <w:r>
        <w:rPr>
          <w:szCs w:val="24"/>
        </w:rPr>
        <w:t xml:space="preserve">orzeczenie przepadku danego przedmiotu nie może </w:t>
      </w:r>
      <w:r w:rsidRPr="00A83C99">
        <w:rPr>
          <w:szCs w:val="24"/>
        </w:rPr>
        <w:t xml:space="preserve">zapobiec dokonaniu przez sprawcę podobnego przestępstwa przy </w:t>
      </w:r>
      <w:r>
        <w:rPr>
          <w:szCs w:val="24"/>
        </w:rPr>
        <w:t>wykorzystaniu</w:t>
      </w:r>
      <w:r w:rsidRPr="00A83C99">
        <w:rPr>
          <w:szCs w:val="24"/>
        </w:rPr>
        <w:t xml:space="preserve"> innego przedmiotu tego samego rodzaju.</w:t>
      </w:r>
      <w:r>
        <w:rPr>
          <w:szCs w:val="24"/>
        </w:rPr>
        <w:t xml:space="preserve"> W każdym jednak razie nie można tracić z pola widzenia faktu, że o</w:t>
      </w:r>
      <w:r w:rsidRPr="00A83C99">
        <w:rPr>
          <w:szCs w:val="24"/>
        </w:rPr>
        <w:t xml:space="preserve">rzeczenie przepadku </w:t>
      </w:r>
      <w:r>
        <w:rPr>
          <w:szCs w:val="24"/>
        </w:rPr>
        <w:t>przedmiotu</w:t>
      </w:r>
      <w:r w:rsidRPr="00A83C99">
        <w:rPr>
          <w:szCs w:val="24"/>
        </w:rPr>
        <w:t xml:space="preserve"> należącego do osoby trzeciej</w:t>
      </w:r>
      <w:r>
        <w:rPr>
          <w:szCs w:val="24"/>
        </w:rPr>
        <w:t>,</w:t>
      </w:r>
      <w:r w:rsidRPr="00A83C99">
        <w:rPr>
          <w:szCs w:val="24"/>
        </w:rPr>
        <w:t xml:space="preserve"> nie stanowi represji w</w:t>
      </w:r>
      <w:r>
        <w:rPr>
          <w:szCs w:val="24"/>
        </w:rPr>
        <w:t xml:space="preserve"> stosunku do</w:t>
      </w:r>
      <w:r w:rsidRPr="00A83C99">
        <w:rPr>
          <w:szCs w:val="24"/>
        </w:rPr>
        <w:t xml:space="preserve"> sprawcy przestępstwa, </w:t>
      </w:r>
      <w:r>
        <w:rPr>
          <w:szCs w:val="24"/>
        </w:rPr>
        <w:t>lecz</w:t>
      </w:r>
      <w:r w:rsidRPr="00A83C99">
        <w:rPr>
          <w:szCs w:val="24"/>
        </w:rPr>
        <w:t xml:space="preserve"> w</w:t>
      </w:r>
      <w:r>
        <w:rPr>
          <w:szCs w:val="24"/>
        </w:rPr>
        <w:t>zględem</w:t>
      </w:r>
      <w:r w:rsidRPr="00A83C99">
        <w:rPr>
          <w:szCs w:val="24"/>
        </w:rPr>
        <w:t xml:space="preserve"> właściciela, który</w:t>
      </w:r>
      <w:r>
        <w:rPr>
          <w:szCs w:val="24"/>
        </w:rPr>
        <w:t xml:space="preserve"> nie dopuścił</w:t>
      </w:r>
      <w:r w:rsidRPr="00DC00DB">
        <w:rPr>
          <w:szCs w:val="24"/>
        </w:rPr>
        <w:t xml:space="preserve"> </w:t>
      </w:r>
      <w:r>
        <w:rPr>
          <w:szCs w:val="24"/>
        </w:rPr>
        <w:t>się czynu zabronionego.</w:t>
      </w:r>
    </w:p>
    <w:p w:rsidR="00EC1BC2" w:rsidRDefault="00EC1BC2" w:rsidP="00E276AE">
      <w:pPr>
        <w:pStyle w:val="ARTartustawynprozporzdzenia"/>
        <w:rPr>
          <w:szCs w:val="24"/>
        </w:rPr>
      </w:pPr>
      <w:r>
        <w:rPr>
          <w:szCs w:val="24"/>
        </w:rPr>
        <w:t>W opinii TK, p</w:t>
      </w:r>
      <w:r w:rsidRPr="00A83C99">
        <w:rPr>
          <w:szCs w:val="24"/>
        </w:rPr>
        <w:t xml:space="preserve">rzepadek </w:t>
      </w:r>
      <w:r>
        <w:rPr>
          <w:szCs w:val="24"/>
        </w:rPr>
        <w:t>przedmiotu użytego do popełnienia</w:t>
      </w:r>
      <w:r w:rsidRPr="00A83C99">
        <w:rPr>
          <w:szCs w:val="24"/>
        </w:rPr>
        <w:t xml:space="preserve"> przestępstwa</w:t>
      </w:r>
      <w:r>
        <w:rPr>
          <w:szCs w:val="24"/>
        </w:rPr>
        <w:t xml:space="preserve">, jeżeli </w:t>
      </w:r>
      <w:r w:rsidRPr="00A83C99">
        <w:rPr>
          <w:szCs w:val="24"/>
        </w:rPr>
        <w:t>nie</w:t>
      </w:r>
      <w:r>
        <w:rPr>
          <w:szCs w:val="24"/>
        </w:rPr>
        <w:t xml:space="preserve"> </w:t>
      </w:r>
      <w:r w:rsidRPr="00A83C99">
        <w:rPr>
          <w:szCs w:val="24"/>
        </w:rPr>
        <w:t>należ</w:t>
      </w:r>
      <w:r>
        <w:rPr>
          <w:szCs w:val="24"/>
        </w:rPr>
        <w:t>y</w:t>
      </w:r>
      <w:r w:rsidRPr="00A83C99">
        <w:rPr>
          <w:szCs w:val="24"/>
        </w:rPr>
        <w:t xml:space="preserve"> </w:t>
      </w:r>
      <w:r>
        <w:rPr>
          <w:szCs w:val="24"/>
        </w:rPr>
        <w:t xml:space="preserve">on </w:t>
      </w:r>
      <w:r w:rsidRPr="00A83C99">
        <w:rPr>
          <w:szCs w:val="24"/>
        </w:rPr>
        <w:t>do sprawcy</w:t>
      </w:r>
      <w:r>
        <w:rPr>
          <w:szCs w:val="24"/>
        </w:rPr>
        <w:t>,</w:t>
      </w:r>
      <w:r w:rsidRPr="00A83C99">
        <w:rPr>
          <w:szCs w:val="24"/>
        </w:rPr>
        <w:t xml:space="preserve"> nie służy również osiągnięciu prewencyjnego celu</w:t>
      </w:r>
      <w:r>
        <w:rPr>
          <w:szCs w:val="24"/>
        </w:rPr>
        <w:t xml:space="preserve"> karania</w:t>
      </w:r>
      <w:r w:rsidRPr="00A83C99">
        <w:rPr>
          <w:szCs w:val="24"/>
        </w:rPr>
        <w:t xml:space="preserve">. Skoro to nie skarżący popełnił </w:t>
      </w:r>
      <w:r>
        <w:rPr>
          <w:szCs w:val="24"/>
        </w:rPr>
        <w:t xml:space="preserve">jedno z przestępstw wymienionych w art. 70 ust. 1 </w:t>
      </w:r>
      <w:proofErr w:type="spellStart"/>
      <w:r>
        <w:rPr>
          <w:szCs w:val="24"/>
        </w:rPr>
        <w:t>u.p.n</w:t>
      </w:r>
      <w:proofErr w:type="spellEnd"/>
      <w:r>
        <w:rPr>
          <w:szCs w:val="24"/>
        </w:rPr>
        <w:t>.</w:t>
      </w:r>
      <w:r w:rsidRPr="00A83C99">
        <w:rPr>
          <w:szCs w:val="24"/>
        </w:rPr>
        <w:t xml:space="preserve">, </w:t>
      </w:r>
      <w:r>
        <w:rPr>
          <w:szCs w:val="24"/>
        </w:rPr>
        <w:t>a ponadto</w:t>
      </w:r>
      <w:r w:rsidRPr="00A83C99">
        <w:rPr>
          <w:szCs w:val="24"/>
        </w:rPr>
        <w:t xml:space="preserve"> nie wykazano mu nagannego postępowania w związku </w:t>
      </w:r>
      <w:r w:rsidRPr="00871437">
        <w:t>z udostępnieniem</w:t>
      </w:r>
      <w:r w:rsidRPr="00A83C99">
        <w:rPr>
          <w:szCs w:val="24"/>
        </w:rPr>
        <w:t xml:space="preserve"> </w:t>
      </w:r>
      <w:r>
        <w:rPr>
          <w:szCs w:val="24"/>
        </w:rPr>
        <w:t>samochodu</w:t>
      </w:r>
      <w:r w:rsidRPr="00A83C99">
        <w:rPr>
          <w:szCs w:val="24"/>
        </w:rPr>
        <w:t xml:space="preserve"> sprawcy przestępstwa, to orzeczenie w</w:t>
      </w:r>
      <w:r>
        <w:rPr>
          <w:szCs w:val="24"/>
        </w:rPr>
        <w:t>obec</w:t>
      </w:r>
      <w:r w:rsidRPr="00A83C99">
        <w:rPr>
          <w:szCs w:val="24"/>
        </w:rPr>
        <w:t xml:space="preserve"> niego środka karnego nie </w:t>
      </w:r>
      <w:r w:rsidRPr="00121A08">
        <w:rPr>
          <w:spacing w:val="-3"/>
          <w:szCs w:val="24"/>
        </w:rPr>
        <w:t>spełnia ani funkcji prewencji szczególnej</w:t>
      </w:r>
      <w:r>
        <w:rPr>
          <w:spacing w:val="-3"/>
          <w:szCs w:val="24"/>
        </w:rPr>
        <w:t>,</w:t>
      </w:r>
      <w:r w:rsidRPr="00121A08">
        <w:rPr>
          <w:spacing w:val="-3"/>
          <w:szCs w:val="24"/>
        </w:rPr>
        <w:t xml:space="preserve"> rozumianej jako uniemożliwienie dalszej przestępczej </w:t>
      </w:r>
      <w:r w:rsidRPr="00121A08">
        <w:rPr>
          <w:spacing w:val="-2"/>
          <w:szCs w:val="24"/>
        </w:rPr>
        <w:t xml:space="preserve">działalności, ani też </w:t>
      </w:r>
      <w:r>
        <w:rPr>
          <w:spacing w:val="-2"/>
          <w:szCs w:val="24"/>
        </w:rPr>
        <w:t xml:space="preserve">funkcji </w:t>
      </w:r>
      <w:r w:rsidRPr="00121A08">
        <w:rPr>
          <w:spacing w:val="-2"/>
          <w:szCs w:val="24"/>
        </w:rPr>
        <w:t>prewencji ogólnej</w:t>
      </w:r>
      <w:r>
        <w:rPr>
          <w:spacing w:val="-2"/>
          <w:szCs w:val="24"/>
        </w:rPr>
        <w:t>, przez którą należy z kolei rozumieć</w:t>
      </w:r>
      <w:r w:rsidRPr="00121A08">
        <w:rPr>
          <w:spacing w:val="-2"/>
          <w:szCs w:val="24"/>
        </w:rPr>
        <w:t xml:space="preserve"> odstraszanie potencjalnych sprawców. Równocześnie</w:t>
      </w:r>
      <w:r w:rsidRPr="003B148D">
        <w:rPr>
          <w:spacing w:val="-2"/>
          <w:szCs w:val="24"/>
        </w:rPr>
        <w:t xml:space="preserve"> – zdaniem Trybunału – ciężar ekonomiczny przepadku przedmiotu </w:t>
      </w:r>
      <w:r w:rsidRPr="00772FC9">
        <w:t>nałożon</w:t>
      </w:r>
      <w:r>
        <w:t>y</w:t>
      </w:r>
      <w:r w:rsidRPr="00772FC9">
        <w:t xml:space="preserve"> na</w:t>
      </w:r>
      <w:r>
        <w:t xml:space="preserve"> </w:t>
      </w:r>
      <w:r w:rsidRPr="00772FC9">
        <w:lastRenderedPageBreak/>
        <w:t>skarżącego</w:t>
      </w:r>
      <w:r w:rsidRPr="00A83C99">
        <w:rPr>
          <w:szCs w:val="24"/>
        </w:rPr>
        <w:t xml:space="preserve"> jest nieproporcjonalny </w:t>
      </w:r>
      <w:r w:rsidRPr="00772FC9">
        <w:t>do efektu</w:t>
      </w:r>
      <w:r>
        <w:rPr>
          <w:szCs w:val="24"/>
        </w:rPr>
        <w:t xml:space="preserve"> uzyskanego przez państwo na skutek </w:t>
      </w:r>
      <w:r w:rsidRPr="00A83C99">
        <w:rPr>
          <w:szCs w:val="24"/>
        </w:rPr>
        <w:t>sprzedaży</w:t>
      </w:r>
      <w:r w:rsidRPr="00FA212D">
        <w:rPr>
          <w:szCs w:val="24"/>
        </w:rPr>
        <w:t xml:space="preserve"> </w:t>
      </w:r>
      <w:r>
        <w:rPr>
          <w:szCs w:val="24"/>
        </w:rPr>
        <w:t>t</w:t>
      </w:r>
      <w:r w:rsidRPr="00A83C99">
        <w:rPr>
          <w:szCs w:val="24"/>
        </w:rPr>
        <w:t>ego</w:t>
      </w:r>
      <w:r>
        <w:rPr>
          <w:szCs w:val="24"/>
        </w:rPr>
        <w:t xml:space="preserve"> przedmiotu</w:t>
      </w:r>
      <w:r w:rsidRPr="00A83C99">
        <w:rPr>
          <w:szCs w:val="24"/>
        </w:rPr>
        <w:t xml:space="preserve">. </w:t>
      </w:r>
      <w:r>
        <w:rPr>
          <w:szCs w:val="24"/>
        </w:rPr>
        <w:t>W konsekwencji TK skonstatował, że z</w:t>
      </w:r>
      <w:r w:rsidRPr="00A83C99">
        <w:rPr>
          <w:szCs w:val="24"/>
        </w:rPr>
        <w:t>askarżon</w:t>
      </w:r>
      <w:r>
        <w:rPr>
          <w:szCs w:val="24"/>
        </w:rPr>
        <w:t>e</w:t>
      </w:r>
      <w:r w:rsidRPr="00A83C99">
        <w:rPr>
          <w:szCs w:val="24"/>
        </w:rPr>
        <w:t xml:space="preserve"> </w:t>
      </w:r>
      <w:r>
        <w:rPr>
          <w:szCs w:val="24"/>
        </w:rPr>
        <w:t>unormowanie</w:t>
      </w:r>
      <w:r w:rsidRPr="005350A6">
        <w:t xml:space="preserve"> nie spełnia testu</w:t>
      </w:r>
      <w:r w:rsidRPr="00A83C99">
        <w:rPr>
          <w:szCs w:val="24"/>
        </w:rPr>
        <w:t xml:space="preserve"> proporcjonalności z art. 31 ust. 3 Konstytucji.</w:t>
      </w:r>
    </w:p>
    <w:p w:rsidR="00EC1BC2" w:rsidRPr="00783522" w:rsidRDefault="00EC1BC2" w:rsidP="00E276AE">
      <w:pPr>
        <w:pStyle w:val="ARTartustawynprozporzdzenia"/>
      </w:pPr>
      <w:r>
        <w:rPr>
          <w:szCs w:val="24"/>
        </w:rPr>
        <w:t>Trybunał zaakcentował także, że k</w:t>
      </w:r>
      <w:r w:rsidRPr="00A83C99">
        <w:rPr>
          <w:szCs w:val="24"/>
        </w:rPr>
        <w:t xml:space="preserve">orzystanie z prawa własności nigdy nie ma charakteru </w:t>
      </w:r>
      <w:r w:rsidRPr="00B47492">
        <w:rPr>
          <w:spacing w:val="-2"/>
          <w:szCs w:val="24"/>
        </w:rPr>
        <w:t>bezwarunkowego</w:t>
      </w:r>
      <w:r w:rsidRPr="00BC23FB">
        <w:t>, a na treść</w:t>
      </w:r>
      <w:r w:rsidRPr="00B47492">
        <w:rPr>
          <w:spacing w:val="-2"/>
          <w:szCs w:val="24"/>
        </w:rPr>
        <w:t xml:space="preserve"> </w:t>
      </w:r>
      <w:r w:rsidRPr="00B47492">
        <w:rPr>
          <w:spacing w:val="-2"/>
        </w:rPr>
        <w:t>t</w:t>
      </w:r>
      <w:r w:rsidRPr="00B47492">
        <w:rPr>
          <w:spacing w:val="-2"/>
          <w:szCs w:val="24"/>
        </w:rPr>
        <w:t>ego prawa składają się również obowiązki właściciela wynikające</w:t>
      </w:r>
      <w:r w:rsidRPr="00A83C99">
        <w:rPr>
          <w:szCs w:val="24"/>
        </w:rPr>
        <w:t xml:space="preserve"> z konieczności realizacji interesu publicznego. Obowiązkiem takim jest </w:t>
      </w:r>
      <w:r>
        <w:rPr>
          <w:szCs w:val="24"/>
        </w:rPr>
        <w:t>m.in.</w:t>
      </w:r>
      <w:r w:rsidRPr="00A83C99">
        <w:rPr>
          <w:szCs w:val="24"/>
        </w:rPr>
        <w:t xml:space="preserve"> realizacja </w:t>
      </w:r>
      <w:r w:rsidRPr="00BA1674">
        <w:rPr>
          <w:spacing w:val="-2"/>
          <w:szCs w:val="24"/>
        </w:rPr>
        <w:t xml:space="preserve">władztwa nad rzeczą w sposób zgodny z prawem. </w:t>
      </w:r>
      <w:r>
        <w:rPr>
          <w:spacing w:val="-2"/>
          <w:szCs w:val="24"/>
        </w:rPr>
        <w:t>Tyle że</w:t>
      </w:r>
      <w:r w:rsidRPr="00BA1674">
        <w:rPr>
          <w:spacing w:val="-2"/>
          <w:szCs w:val="24"/>
        </w:rPr>
        <w:t xml:space="preserve"> z przywołanych powyżej wzorców</w:t>
      </w:r>
      <w:r>
        <w:rPr>
          <w:szCs w:val="24"/>
        </w:rPr>
        <w:t xml:space="preserve"> kontroli </w:t>
      </w:r>
      <w:r w:rsidRPr="00A83C99">
        <w:rPr>
          <w:szCs w:val="24"/>
        </w:rPr>
        <w:t xml:space="preserve">daje się wywieść takie rozumienie prawa własności, które zakłada zakaz ingerencji </w:t>
      </w:r>
      <w:r w:rsidRPr="003D7933">
        <w:rPr>
          <w:spacing w:val="-3"/>
          <w:szCs w:val="24"/>
        </w:rPr>
        <w:t>władz publicznych w prawa właścicielskie tak długo, jak nie zostanie wykazane (udowodnione),</w:t>
      </w:r>
      <w:r w:rsidRPr="00A83C99">
        <w:rPr>
          <w:szCs w:val="24"/>
        </w:rPr>
        <w:t xml:space="preserve"> że jednostka korzysta z </w:t>
      </w:r>
      <w:r w:rsidRPr="00FE32EB">
        <w:t>własności w sposób sprzeczny z porządkiem prawnym</w:t>
      </w:r>
      <w:r w:rsidRPr="00A83C99">
        <w:rPr>
          <w:szCs w:val="24"/>
        </w:rPr>
        <w:t xml:space="preserve">, naruszając </w:t>
      </w:r>
      <w:r w:rsidRPr="005171BA">
        <w:rPr>
          <w:spacing w:val="-2"/>
          <w:szCs w:val="24"/>
        </w:rPr>
        <w:t>przez to zobowiązania, jakie porządek ten wiąże z wykonywaniem uprawnień właścicielskich.</w:t>
      </w:r>
      <w:r w:rsidRPr="00A83C99">
        <w:rPr>
          <w:szCs w:val="24"/>
        </w:rPr>
        <w:t xml:space="preserve"> </w:t>
      </w:r>
      <w:r>
        <w:rPr>
          <w:szCs w:val="24"/>
        </w:rPr>
        <w:t xml:space="preserve">Jeżeli zaś chodzi o postanowienie art. 70 ust. 1 </w:t>
      </w:r>
      <w:proofErr w:type="spellStart"/>
      <w:r>
        <w:rPr>
          <w:szCs w:val="24"/>
        </w:rPr>
        <w:t>u.p.n</w:t>
      </w:r>
      <w:proofErr w:type="spellEnd"/>
      <w:r>
        <w:rPr>
          <w:szCs w:val="24"/>
        </w:rPr>
        <w:t>., to</w:t>
      </w:r>
      <w:r w:rsidRPr="00A83C99">
        <w:rPr>
          <w:szCs w:val="24"/>
        </w:rPr>
        <w:t xml:space="preserve"> organy państwa, opi</w:t>
      </w:r>
      <w:r>
        <w:rPr>
          <w:szCs w:val="24"/>
        </w:rPr>
        <w:t>erając na nim swoje rozstrzygnięcia</w:t>
      </w:r>
      <w:r w:rsidRPr="00A83C99">
        <w:rPr>
          <w:szCs w:val="24"/>
        </w:rPr>
        <w:t>, korzystają z</w:t>
      </w:r>
      <w:r>
        <w:rPr>
          <w:szCs w:val="24"/>
        </w:rPr>
        <w:t xml:space="preserve"> </w:t>
      </w:r>
      <w:r w:rsidRPr="00A83C99">
        <w:rPr>
          <w:szCs w:val="24"/>
        </w:rPr>
        <w:t xml:space="preserve">umocowania </w:t>
      </w:r>
      <w:r>
        <w:rPr>
          <w:szCs w:val="24"/>
        </w:rPr>
        <w:t>do pozbawiania prawa własności i to</w:t>
      </w:r>
      <w:r w:rsidRPr="00A83C99">
        <w:rPr>
          <w:szCs w:val="24"/>
        </w:rPr>
        <w:t xml:space="preserve"> bez konieczności wykazania, że </w:t>
      </w:r>
      <w:r>
        <w:rPr>
          <w:szCs w:val="24"/>
        </w:rPr>
        <w:t>właściciel korzysta z przysługującego mu prawa</w:t>
      </w:r>
      <w:r w:rsidRPr="00A83C99">
        <w:rPr>
          <w:szCs w:val="24"/>
        </w:rPr>
        <w:t xml:space="preserve"> w sposób </w:t>
      </w:r>
      <w:r>
        <w:rPr>
          <w:szCs w:val="24"/>
        </w:rPr>
        <w:t xml:space="preserve">nie zasługujący na aprobatę, a zwłaszcza że </w:t>
      </w:r>
      <w:r w:rsidRPr="00A83C99">
        <w:rPr>
          <w:szCs w:val="24"/>
        </w:rPr>
        <w:t>swo</w:t>
      </w:r>
      <w:r>
        <w:rPr>
          <w:szCs w:val="24"/>
        </w:rPr>
        <w:t>im</w:t>
      </w:r>
      <w:r w:rsidRPr="00A83C99">
        <w:rPr>
          <w:szCs w:val="24"/>
        </w:rPr>
        <w:t xml:space="preserve"> nagan</w:t>
      </w:r>
      <w:r>
        <w:rPr>
          <w:szCs w:val="24"/>
        </w:rPr>
        <w:t>nym</w:t>
      </w:r>
      <w:r w:rsidRPr="00A83C99">
        <w:rPr>
          <w:szCs w:val="24"/>
        </w:rPr>
        <w:t xml:space="preserve"> postępowanie</w:t>
      </w:r>
      <w:r>
        <w:rPr>
          <w:szCs w:val="24"/>
        </w:rPr>
        <w:t>m</w:t>
      </w:r>
      <w:r w:rsidRPr="00A83C99">
        <w:rPr>
          <w:szCs w:val="24"/>
        </w:rPr>
        <w:t xml:space="preserve"> umożliwił </w:t>
      </w:r>
      <w:r>
        <w:rPr>
          <w:szCs w:val="24"/>
        </w:rPr>
        <w:t xml:space="preserve">albo </w:t>
      </w:r>
      <w:r w:rsidRPr="00A83C99">
        <w:rPr>
          <w:szCs w:val="24"/>
        </w:rPr>
        <w:t xml:space="preserve">ułatwił wejście w posiadanie </w:t>
      </w:r>
      <w:r>
        <w:rPr>
          <w:szCs w:val="24"/>
        </w:rPr>
        <w:t>należące</w:t>
      </w:r>
      <w:r w:rsidRPr="00A83C99">
        <w:rPr>
          <w:szCs w:val="24"/>
        </w:rPr>
        <w:t xml:space="preserve">go </w:t>
      </w:r>
      <w:r>
        <w:rPr>
          <w:szCs w:val="24"/>
        </w:rPr>
        <w:t xml:space="preserve">do niego </w:t>
      </w:r>
      <w:r w:rsidRPr="00A83C99">
        <w:rPr>
          <w:szCs w:val="24"/>
        </w:rPr>
        <w:t>przedmiotu przez sprawcę przestępstwa</w:t>
      </w:r>
      <w:r>
        <w:rPr>
          <w:szCs w:val="24"/>
        </w:rPr>
        <w:t>. W związku z tym Trybunał uznał, że kwestionowany przepis nie realizuje konstytucyjnego standardu ochrony prawa własności, naruszając wręcz istotę tego prawa.</w:t>
      </w:r>
    </w:p>
    <w:p w:rsidR="00EC1BC2" w:rsidRPr="0015321A" w:rsidRDefault="00EC1BC2" w:rsidP="0015321A"/>
    <w:p w:rsidR="00EC1BC2" w:rsidRPr="0015321A" w:rsidRDefault="00EC1BC2" w:rsidP="00C50587">
      <w:pPr>
        <w:rPr>
          <w:rStyle w:val="Ppogrubienie"/>
        </w:rPr>
      </w:pPr>
      <w:r w:rsidRPr="0015321A">
        <w:rPr>
          <w:rStyle w:val="Ppogrubienie"/>
        </w:rPr>
        <w:t>3. Różnice między dotychczasowym a projektowanym stanem prawnym</w:t>
      </w:r>
    </w:p>
    <w:p w:rsidR="00EC1BC2" w:rsidRDefault="00EC1BC2" w:rsidP="00B732F7">
      <w:pPr>
        <w:pStyle w:val="ARTartustawynprozporzdzenia"/>
      </w:pPr>
      <w:r>
        <w:t xml:space="preserve">W myśl art. 70 ust. 1 </w:t>
      </w:r>
      <w:proofErr w:type="spellStart"/>
      <w:r>
        <w:t>u.p.n</w:t>
      </w:r>
      <w:proofErr w:type="spellEnd"/>
      <w:r>
        <w:t>., w razie skazania za przestępstwa określone w art. 53–61, art. 63 i art. 64 można orzec przepadek przedmiotu przestępstwa oraz przedmiotów i narzędzi, które służyły lub były przeznaczone do jego popełnienia, nawet w przypadku gdy nie były one własnością sprawcy. Wydanie rozstrzygnięcia w tym zakresie ustawodawca pozostawił ocenie sądu (wyraz „można”), aczkolwiek – jak już zaznaczono wyżej (pkt 2.4.) – nie został zarazem wprowadzony obowiązek czynienia ustaleń odnośnie do postawy właściciela i tego, czy można w niej wyróżnić element „</w:t>
      </w:r>
      <w:proofErr w:type="spellStart"/>
      <w:r>
        <w:t>zarzucalności</w:t>
      </w:r>
      <w:proofErr w:type="spellEnd"/>
      <w:r>
        <w:t>”.</w:t>
      </w:r>
    </w:p>
    <w:p w:rsidR="00EC1BC2" w:rsidRDefault="00EC1BC2" w:rsidP="00B732F7">
      <w:pPr>
        <w:pStyle w:val="ARTartustawynprozporzdzenia"/>
      </w:pPr>
      <w:r>
        <w:t xml:space="preserve">Rozwiązania tego typu można znaleźć w szeregu ustaw, które zawierają przepisy karne. </w:t>
      </w:r>
      <w:r w:rsidRPr="00BA26DA">
        <w:rPr>
          <w:spacing w:val="-2"/>
        </w:rPr>
        <w:t>Tytułem przykładu można wskazać art. 27c ust. 5 ustawy z dnia</w:t>
      </w:r>
      <w:r>
        <w:t xml:space="preserve"> 18 kwietnia 1985 r. o rybactwie śródlądowym (Dz. U. z 2015 r. poz. 652, z </w:t>
      </w:r>
      <w:proofErr w:type="spellStart"/>
      <w:r>
        <w:t>późn</w:t>
      </w:r>
      <w:proofErr w:type="spellEnd"/>
      <w:r>
        <w:t>. zm.), art. 121 ust. 2 ustawy z dnia 4 lutego 1994 r. o prawie autorskim i prawach pokrewnych (Dz. U. z 2016 r. poz. 666, z </w:t>
      </w:r>
      <w:proofErr w:type="spellStart"/>
      <w:r>
        <w:t>późn</w:t>
      </w:r>
      <w:proofErr w:type="spellEnd"/>
      <w:r>
        <w:t xml:space="preserve">. zm.), art. 54 ust. 2 ustawy z dnia 13 października 1995 r. – Prawo łowieckie (Dz. U. </w:t>
      </w:r>
      <w:r>
        <w:lastRenderedPageBreak/>
        <w:t xml:space="preserve">z 2015 r. poz. 2168, z </w:t>
      </w:r>
      <w:proofErr w:type="spellStart"/>
      <w:r>
        <w:t>późn</w:t>
      </w:r>
      <w:proofErr w:type="spellEnd"/>
      <w:r>
        <w:t xml:space="preserve">. zm.), art. 306 ust. 2 ustawy z dnia 30 czerwca </w:t>
      </w:r>
      <w:r w:rsidRPr="00324B3F">
        <w:rPr>
          <w:spacing w:val="-2"/>
        </w:rPr>
        <w:t xml:space="preserve">2000 r. – Prawo </w:t>
      </w:r>
      <w:r w:rsidRPr="007D60F5">
        <w:t>własności przemysłowej (Dz. U z 201</w:t>
      </w:r>
      <w:r>
        <w:t>7</w:t>
      </w:r>
      <w:r w:rsidRPr="007D60F5">
        <w:t xml:space="preserve"> r. poz. </w:t>
      </w:r>
      <w:r>
        <w:t>776</w:t>
      </w:r>
      <w:r w:rsidRPr="007D60F5">
        <w:t xml:space="preserve">), art. 33 ust. 4 ustawy z dnia 29 listopada 2000 r. o obrocie z zagranicą towarami, technologiami i usługami o znaczeniu </w:t>
      </w:r>
      <w:r w:rsidRPr="00F831E5">
        <w:rPr>
          <w:spacing w:val="-2"/>
        </w:rPr>
        <w:t>strategicznym dla bezpieczeństwa państwa, a także dla utrzymania międzynarodowego pokoju</w:t>
      </w:r>
      <w:r>
        <w:t xml:space="preserve"> i </w:t>
      </w:r>
      <w:r w:rsidRPr="007D60F5">
        <w:t xml:space="preserve">bezpieczeństwa (Dz. U. z 2013 r. poz. 194, z </w:t>
      </w:r>
      <w:proofErr w:type="spellStart"/>
      <w:r w:rsidRPr="007D60F5">
        <w:t>późn</w:t>
      </w:r>
      <w:proofErr w:type="spellEnd"/>
      <w:r w:rsidRPr="007D60F5">
        <w:t>. zm.), art. 14a ustawy z dnia 2 marca 2001 r. o wyrobie alkoholu etylowego oraz wytwarzaniu wyrobów tytoniowych (Dz. U. z</w:t>
      </w:r>
      <w:r>
        <w:t> </w:t>
      </w:r>
      <w:r w:rsidRPr="007D60F5">
        <w:t>2017 r. poz. 206), art. 36 ust. 3 ustawy z dnia 22 czerwca 2001 r. o</w:t>
      </w:r>
      <w:r>
        <w:t xml:space="preserve"> </w:t>
      </w:r>
      <w:r w:rsidRPr="007D60F5">
        <w:t xml:space="preserve">wykonywaniu </w:t>
      </w:r>
      <w:r w:rsidRPr="00981463">
        <w:rPr>
          <w:spacing w:val="-2"/>
        </w:rPr>
        <w:t>działalności gospodarczej w zakresie wytwarzania i obrotu materiałami wybuchowymi, bronią,</w:t>
      </w:r>
      <w:r w:rsidRPr="007D60F5">
        <w:t xml:space="preserve"> amunicją oraz wyrobami i technologią o przeznaczeniu wojskowym lub policyjnym (Dz. U. z</w:t>
      </w:r>
      <w:r>
        <w:t> </w:t>
      </w:r>
      <w:r w:rsidRPr="007D60F5">
        <w:t xml:space="preserve">2017 r. poz. 290, z </w:t>
      </w:r>
      <w:proofErr w:type="spellStart"/>
      <w:r w:rsidRPr="007D60F5">
        <w:t>późn</w:t>
      </w:r>
      <w:proofErr w:type="spellEnd"/>
      <w:r w:rsidRPr="007D60F5">
        <w:t xml:space="preserve">. zm.), </w:t>
      </w:r>
      <w:r>
        <w:t>art. 36 ust. 3</w:t>
      </w:r>
      <w:r w:rsidRPr="007D60F5">
        <w:t xml:space="preserve"> ustawy z dnia 22 czerwca 2001 r. o</w:t>
      </w:r>
      <w:r>
        <w:t> </w:t>
      </w:r>
      <w:r w:rsidRPr="007D60F5">
        <w:t xml:space="preserve">wykonywaniu Konwencji o zakazie prowadzenia badań, produkcji, składowania i użycia broni chemicznej oraz o zniszczeniu jej zapasów (Dz. U. Nr 76, poz. 812, z </w:t>
      </w:r>
      <w:proofErr w:type="spellStart"/>
      <w:r w:rsidRPr="007D60F5">
        <w:t>późn</w:t>
      </w:r>
      <w:proofErr w:type="spellEnd"/>
      <w:r w:rsidRPr="007D60F5">
        <w:t>. zm.), art.</w:t>
      </w:r>
      <w:r>
        <w:t xml:space="preserve"> 82 ustawy z dnia 12 maja 2011 r. o wyrobie i rozlewie napojów winiarskich, obrocie tymi wyrobami i organizacji rynku wina (Dz. U. z 2016 r. poz. 859, z </w:t>
      </w:r>
      <w:proofErr w:type="spellStart"/>
      <w:r>
        <w:t>późn</w:t>
      </w:r>
      <w:proofErr w:type="spellEnd"/>
      <w:r>
        <w:t xml:space="preserve">. zm.), art. 208 ust. 3 i 4 w zw. z ust. 2 ustawy z dnia 16 lipca 2004 r. – Prawo telekomunikacyjne (Dz. U. z 2016 r. poz. 1489, z </w:t>
      </w:r>
      <w:proofErr w:type="spellStart"/>
      <w:r>
        <w:t>późn</w:t>
      </w:r>
      <w:proofErr w:type="spellEnd"/>
      <w:r>
        <w:t xml:space="preserve">. zm.) czy też art. 45 ustawy z dnia 18 października 2006 r. </w:t>
      </w:r>
      <w:r w:rsidRPr="00B91199">
        <w:t>o wyrobie napojów spirytusowych oraz o rejestracji i ochronie oznaczeń geograficznych napojów spirytusowych</w:t>
      </w:r>
      <w:r>
        <w:t xml:space="preserve"> (Dz. U. z 2016 r. poz. 822).</w:t>
      </w:r>
    </w:p>
    <w:p w:rsidR="00EC1BC2" w:rsidRPr="007D60F5" w:rsidRDefault="00EC1BC2" w:rsidP="00B732F7">
      <w:pPr>
        <w:pStyle w:val="ARTartustawynprozporzdzenia"/>
      </w:pPr>
      <w:r>
        <w:t xml:space="preserve">Ponadto podobny mechanizm jest przewidziany w przepisach ustaw szczególnych, które dopuszczają orzeczenie środka karnego w postaci przepadku przedmiotów w razie skazania za czyn stanowiący wykroczenie – por. art. 27a ust. 6 i art. 27b ust. 6 powołanej już ustawy z dnia 18 kwietnia 1985 r. o rybactwie śródlądowym, art. 111 ust. 2 pkt 1, art. 112 ust. 3 pkt 1 i art. 118 ustawy z dnia 23 lipca 2003 r. o ochronie zabytków i opiece nad zabytkami (Dz. U. </w:t>
      </w:r>
      <w:r w:rsidRPr="003B326C">
        <w:rPr>
          <w:spacing w:val="-2"/>
        </w:rPr>
        <w:t xml:space="preserve">z 2014 r. poz. 1446, z </w:t>
      </w:r>
      <w:proofErr w:type="spellStart"/>
      <w:r w:rsidRPr="003B326C">
        <w:rPr>
          <w:spacing w:val="-2"/>
        </w:rPr>
        <w:t>późn</w:t>
      </w:r>
      <w:proofErr w:type="spellEnd"/>
      <w:r w:rsidRPr="003B326C">
        <w:rPr>
          <w:spacing w:val="-2"/>
        </w:rPr>
        <w:t>. zm.), art. 208 ust. 3 i 4 w zw. z ust. 1 ustawy z dnia 16 lipca 2004 r.</w:t>
      </w:r>
      <w:r>
        <w:t xml:space="preserve"> – Prawo telekomunikacyjne.</w:t>
      </w:r>
    </w:p>
    <w:p w:rsidR="00EC1BC2" w:rsidRDefault="00EC1BC2" w:rsidP="00B732F7">
      <w:pPr>
        <w:pStyle w:val="ARTartustawynprozporzdzenia"/>
      </w:pPr>
      <w:r w:rsidRPr="004119BC">
        <w:rPr>
          <w:spacing w:val="-2"/>
        </w:rPr>
        <w:t>Analogiczna konstrukcja prawna, zakładająca wszakże obligatoryjność orzeczenia środka</w:t>
      </w:r>
      <w:r>
        <w:t xml:space="preserve"> </w:t>
      </w:r>
      <w:r w:rsidRPr="00562CEB">
        <w:rPr>
          <w:spacing w:val="-4"/>
        </w:rPr>
        <w:t>karnego polegającego na przepadku przedmiotów, obowiązywała na gruncie art. 31 ust. 1 ustawy</w:t>
      </w:r>
      <w:r>
        <w:t xml:space="preserve"> z dnia 10 września 1999 r. – Kodeks karny skarbowy (Dz. U. z 2013 r. poz. 186, z  </w:t>
      </w:r>
      <w:proofErr w:type="spellStart"/>
      <w:r>
        <w:t>późn</w:t>
      </w:r>
      <w:proofErr w:type="spellEnd"/>
      <w:r>
        <w:t xml:space="preserve">. zm.; dalej jako </w:t>
      </w:r>
      <w:proofErr w:type="spellStart"/>
      <w:r>
        <w:t>k.k.s</w:t>
      </w:r>
      <w:proofErr w:type="spellEnd"/>
      <w:r>
        <w:t xml:space="preserve">.) i znajdowała zastosowanie w przypadku skazania za przestępstwo skarbowe, a za sprawą odesłania z art. 49 § 1 </w:t>
      </w:r>
      <w:proofErr w:type="spellStart"/>
      <w:r>
        <w:t>k.k.s</w:t>
      </w:r>
      <w:proofErr w:type="spellEnd"/>
      <w:r>
        <w:t xml:space="preserve">. również w razie skazania za wykroczenie skarbowe </w:t>
      </w:r>
      <w:r w:rsidRPr="006576CD">
        <w:rPr>
          <w:spacing w:val="-3"/>
        </w:rPr>
        <w:t>(tu jedynie z wyłączeniem „środka przewozowego”). Jednak po wyroku TK w sprawie SK 34/04</w:t>
      </w:r>
      <w:r>
        <w:t xml:space="preserve"> (orzeczenia z dnia 29 czerwca 2005 r.) w art. 31 </w:t>
      </w:r>
      <w:proofErr w:type="spellStart"/>
      <w:r>
        <w:t>k.k.s</w:t>
      </w:r>
      <w:proofErr w:type="spellEnd"/>
      <w:r>
        <w:t xml:space="preserve">. dodano przepis ust. 1a, który stanowi, </w:t>
      </w:r>
      <w:r>
        <w:lastRenderedPageBreak/>
        <w:t xml:space="preserve">że sąd może orzec przepadek przedmiotów określonych w art. 29 pkt 2 </w:t>
      </w:r>
      <w:proofErr w:type="spellStart"/>
      <w:r>
        <w:t>k.k.s</w:t>
      </w:r>
      <w:proofErr w:type="spellEnd"/>
      <w:r>
        <w:t xml:space="preserve">., tzn. narzędzi </w:t>
      </w:r>
      <w:r w:rsidRPr="00E857B2">
        <w:rPr>
          <w:spacing w:val="-2"/>
        </w:rPr>
        <w:t>lub innych przedmiotów – składników mienia ruchomego, które służyły lub były przeznaczone</w:t>
      </w:r>
      <w:r>
        <w:t xml:space="preserve"> do popełnienia przestępstwa (wykroczenia) skarbowego, a jednocześnie nie były własnością </w:t>
      </w:r>
      <w:r w:rsidRPr="00BE37FB">
        <w:rPr>
          <w:spacing w:val="-2"/>
        </w:rPr>
        <w:t xml:space="preserve">sprawcy, tylko wtedy, gdy „ich właściciel lub inna osoba uprawniona </w:t>
      </w:r>
      <w:r w:rsidRPr="002D7708">
        <w:t>przewidywała, że mogą one służyć lub być przeznaczone do popełnienia przestępstwa skarbowego albo mogła to przewidzieć przy zachowaniu ostrożności wymaganej w danych okolicznościach</w:t>
      </w:r>
      <w:r>
        <w:t xml:space="preserve">” (do dnia 26 kwietnia 2017 r. przepis ten obowiązywał w innym brzmieniu, które w nieco odmiennie sytuowało ów obowiązek </w:t>
      </w:r>
      <w:r w:rsidRPr="00A44BD7">
        <w:t>zachowania ostrożności wymaganej w danych okolicznościach</w:t>
      </w:r>
      <w:r>
        <w:t>).</w:t>
      </w:r>
    </w:p>
    <w:p w:rsidR="00EC1BC2" w:rsidRDefault="00EC1BC2" w:rsidP="00B732F7">
      <w:pPr>
        <w:pStyle w:val="ARTartustawynprozporzdzenia"/>
        <w:rPr>
          <w:spacing w:val="-2"/>
        </w:rPr>
      </w:pPr>
      <w:r w:rsidRPr="00FE0B43">
        <w:rPr>
          <w:spacing w:val="-4"/>
        </w:rPr>
        <w:t xml:space="preserve">Co oczywiste, przepis art. 31 § 1a </w:t>
      </w:r>
      <w:proofErr w:type="spellStart"/>
      <w:r w:rsidRPr="00FE0B43">
        <w:rPr>
          <w:spacing w:val="-4"/>
        </w:rPr>
        <w:t>k.k.s</w:t>
      </w:r>
      <w:proofErr w:type="spellEnd"/>
      <w:r w:rsidRPr="00FE0B43">
        <w:rPr>
          <w:spacing w:val="-4"/>
        </w:rPr>
        <w:t>., mimo że czyni zadość standardom konstytucyjnym</w:t>
      </w:r>
      <w:r>
        <w:t xml:space="preserve"> i zarazem odpowiada w pełni wymogom płynącym z najnowszej wypowiedzi Trybunału, nie może być stosowany ani odnośnie do narzędzi lub innych przedmiotów, z których sprawca skorzystał bądź miał zamiar skorzystać przy popełnieniu przestępstwa narkotykowego, ani też </w:t>
      </w:r>
      <w:r w:rsidRPr="005F717E">
        <w:rPr>
          <w:spacing w:val="-2"/>
        </w:rPr>
        <w:t xml:space="preserve">w sytuacji ziszczenia się przesłanek odpowiedzialności za </w:t>
      </w:r>
      <w:r>
        <w:rPr>
          <w:spacing w:val="-2"/>
        </w:rPr>
        <w:t>inne</w:t>
      </w:r>
      <w:r w:rsidRPr="005F717E">
        <w:rPr>
          <w:spacing w:val="-2"/>
        </w:rPr>
        <w:t xml:space="preserve"> przestępstw</w:t>
      </w:r>
      <w:r>
        <w:rPr>
          <w:spacing w:val="-2"/>
        </w:rPr>
        <w:t>a</w:t>
      </w:r>
      <w:r w:rsidRPr="005F717E">
        <w:rPr>
          <w:spacing w:val="-2"/>
        </w:rPr>
        <w:t xml:space="preserve"> albo wykroczeni</w:t>
      </w:r>
      <w:r>
        <w:rPr>
          <w:spacing w:val="-2"/>
        </w:rPr>
        <w:t>a</w:t>
      </w:r>
      <w:r>
        <w:t xml:space="preserve"> </w:t>
      </w:r>
      <w:r w:rsidRPr="00493F60">
        <w:rPr>
          <w:spacing w:val="-2"/>
        </w:rPr>
        <w:t xml:space="preserve">pozakodeksowe, w przypadku których ustawodawca wprowadził instytucję przepadku. </w:t>
      </w:r>
      <w:r>
        <w:rPr>
          <w:spacing w:val="-2"/>
        </w:rPr>
        <w:t xml:space="preserve">Tak bowiem w razie skazania za przestępstwa określone w art. </w:t>
      </w:r>
      <w:r>
        <w:t xml:space="preserve">53–61, art. 63 oraz art. 64 </w:t>
      </w:r>
      <w:proofErr w:type="spellStart"/>
      <w:r>
        <w:t>u.p.n</w:t>
      </w:r>
      <w:proofErr w:type="spellEnd"/>
      <w:r>
        <w:t xml:space="preserve">., jak i w razie orzekania na podstawie pozostałych przepisów karnych zamieszczonych w ustawach szczególnych, sądy muszą uwzględniać przepisy części ogólnej k.k. (o czym TK wspomniał zresztą w wyroku z dnia </w:t>
      </w:r>
      <w:r w:rsidRPr="00510A18">
        <w:t>2</w:t>
      </w:r>
      <w:r>
        <w:t>8</w:t>
      </w:r>
      <w:r w:rsidRPr="00510A18">
        <w:t xml:space="preserve"> </w:t>
      </w:r>
      <w:r>
        <w:t>października</w:t>
      </w:r>
      <w:r w:rsidRPr="00510A18">
        <w:t xml:space="preserve"> 201</w:t>
      </w:r>
      <w:r>
        <w:t xml:space="preserve">5 r.) lub ustawy z dnia 20 maja 1971 r. – Kodeks wykroczeń (Dz. U. z 2015 r. poz. 1094, z </w:t>
      </w:r>
      <w:proofErr w:type="spellStart"/>
      <w:r>
        <w:t>późn</w:t>
      </w:r>
      <w:proofErr w:type="spellEnd"/>
      <w:r>
        <w:t xml:space="preserve">. zm.; dalej jako </w:t>
      </w:r>
      <w:proofErr w:type="spellStart"/>
      <w:r>
        <w:t>k.w</w:t>
      </w:r>
      <w:proofErr w:type="spellEnd"/>
      <w:r>
        <w:t xml:space="preserve">.), </w:t>
      </w:r>
      <w:r w:rsidRPr="00956D10">
        <w:rPr>
          <w:spacing w:val="-2"/>
        </w:rPr>
        <w:t xml:space="preserve">a wśród tych nie ma odpowiednika art. 31 § 1a </w:t>
      </w:r>
      <w:proofErr w:type="spellStart"/>
      <w:r w:rsidRPr="00956D10">
        <w:rPr>
          <w:spacing w:val="-2"/>
        </w:rPr>
        <w:t>k.k.s</w:t>
      </w:r>
      <w:proofErr w:type="spellEnd"/>
      <w:r w:rsidRPr="00956D10">
        <w:rPr>
          <w:spacing w:val="-2"/>
        </w:rPr>
        <w:t>.</w:t>
      </w:r>
    </w:p>
    <w:p w:rsidR="00EC1BC2" w:rsidRDefault="00EC1BC2" w:rsidP="0091604B">
      <w:pPr>
        <w:pStyle w:val="ARTartustawynprozporzdzenia"/>
      </w:pPr>
      <w:r w:rsidRPr="00956D10">
        <w:rPr>
          <w:spacing w:val="-2"/>
        </w:rPr>
        <w:t>Dlatego zasadne staje się uzupełnienie</w:t>
      </w:r>
      <w:r>
        <w:t xml:space="preserve"> o identyczną regulację zarówno art. 44 k.k., jak też art. 30 </w:t>
      </w:r>
      <w:proofErr w:type="spellStart"/>
      <w:r>
        <w:t>k.w</w:t>
      </w:r>
      <w:proofErr w:type="spellEnd"/>
      <w:r>
        <w:t xml:space="preserve">. Proponuje się przy tym, by formuła nowych przepisów (tj. odpowiednio § 7a i § 2a) nawiązywała do redakcji art. 31 § 1a </w:t>
      </w:r>
      <w:proofErr w:type="spellStart"/>
      <w:r>
        <w:t>k.k.s</w:t>
      </w:r>
      <w:proofErr w:type="spellEnd"/>
      <w:r>
        <w:t xml:space="preserve">. ustalonej na mocy art. 10 pkt 1 ustawy z dnia 23 marca 2017 r. o zmianie ustawy – Kodeks karny oraz niektórych innych ustaw (Dz. U. poz. 768), jako że – w odróżnieniu od </w:t>
      </w:r>
      <w:r w:rsidRPr="006E0B71">
        <w:t>pierwotne</w:t>
      </w:r>
      <w:r>
        <w:t>go</w:t>
      </w:r>
      <w:r w:rsidRPr="006E0B71">
        <w:t xml:space="preserve"> brzmieni</w:t>
      </w:r>
      <w:r>
        <w:t>a –</w:t>
      </w:r>
      <w:r w:rsidRPr="006E0B71">
        <w:t xml:space="preserve"> </w:t>
      </w:r>
      <w:r>
        <w:t xml:space="preserve">jest ona bardziej poprawna z punktu widzenia reguł logiki i tym </w:t>
      </w:r>
      <w:r w:rsidRPr="00441A93">
        <w:rPr>
          <w:spacing w:val="-2"/>
        </w:rPr>
        <w:t>samym lepiej wpisuje się w </w:t>
      </w:r>
      <w:r>
        <w:rPr>
          <w:spacing w:val="-2"/>
        </w:rPr>
        <w:t>zasadę poprawnej legislacji</w:t>
      </w:r>
      <w:r>
        <w:t>.</w:t>
      </w:r>
    </w:p>
    <w:p w:rsidR="00EC1BC2" w:rsidRDefault="00EC1BC2" w:rsidP="0091604B">
      <w:pPr>
        <w:pStyle w:val="ARTartustawynprozporzdzenia"/>
      </w:pPr>
      <w:r w:rsidRPr="00651E12">
        <w:rPr>
          <w:spacing w:val="-3"/>
        </w:rPr>
        <w:t>Ostatecznie więc to sąd, orzekający w konkretnej sprawie o przestępstwo lub wykroczenie,</w:t>
      </w:r>
      <w:r>
        <w:t xml:space="preserve"> będzie obowiązany rozstrzygnąć, czy – w świetle zgromadzonych dowodów – właścicielowi tudzież innemu podmiotowi uprawnionemu, który nie jest sprawcą, można postawić zarzut, iż </w:t>
      </w:r>
      <w:r w:rsidRPr="00207723">
        <w:rPr>
          <w:spacing w:val="-2"/>
        </w:rPr>
        <w:t>przewidywał, że należący do niego przedmiot będzie służył (względnie zostanie przeznaczony)</w:t>
      </w:r>
      <w:r>
        <w:t xml:space="preserve"> do popełnienia przestępstwa lub wykroczenia, albo że okoliczność tę mógł był przewidzieć, gdyby tylko wykazał się stosowną ostrożnością, wymaganą w danych okolicznościach. </w:t>
      </w:r>
    </w:p>
    <w:p w:rsidR="00EC1BC2" w:rsidRDefault="00EC1BC2" w:rsidP="0091604B">
      <w:pPr>
        <w:pStyle w:val="ARTartustawynprozporzdzenia"/>
      </w:pPr>
      <w:r>
        <w:lastRenderedPageBreak/>
        <w:t xml:space="preserve">W opinii Senatu, przyjęty model regulacji będzie miał walor uniwersalny, wobec czego za zbędne uznano dokonywanie tożsamych zmian w poszczególnych ustawach, w których odpowiedzialność karna </w:t>
      </w:r>
      <w:r w:rsidRPr="004E6B8A">
        <w:rPr>
          <w:rStyle w:val="Kkursywa"/>
        </w:rPr>
        <w:t>sensu largo</w:t>
      </w:r>
      <w:r>
        <w:t xml:space="preserve"> została powiązana z możliwością orzeczenia przepadku przedmiotów będących własnością osoby trzeciej.</w:t>
      </w:r>
    </w:p>
    <w:p w:rsidR="00EC1BC2" w:rsidRDefault="00EC1BC2" w:rsidP="006B05D0">
      <w:pPr>
        <w:pStyle w:val="ARTartustawynprozporzdzenia"/>
        <w:rPr>
          <w:spacing w:val="-2"/>
        </w:rPr>
      </w:pPr>
      <w:r>
        <w:t>Ponieważ wprowadzane rozwiązanie jest niewątpliwie „</w:t>
      </w:r>
      <w:r>
        <w:rPr>
          <w:spacing w:val="-2"/>
        </w:rPr>
        <w:t xml:space="preserve">względniejsze” w stosunku do podmiotów podlegających represji karnej, to zgodnie z postanowieniami art. 4 § 1 k.k. oraz art. 2 § 1 </w:t>
      </w:r>
      <w:proofErr w:type="spellStart"/>
      <w:r>
        <w:rPr>
          <w:spacing w:val="-2"/>
        </w:rPr>
        <w:t>k.w</w:t>
      </w:r>
      <w:proofErr w:type="spellEnd"/>
      <w:r>
        <w:rPr>
          <w:spacing w:val="-2"/>
        </w:rPr>
        <w:t xml:space="preserve">. znajdzie ono zastosowanie także w przypadku czynów popełnionych przed wejściem w życie ustawy. Z tego też punktu widzenia oraz z uwagi na ideę wyrażoną w art. 190 ust. 1 i 3 Konstytucji celowe jest ustalenie możliwie krótkiej, a zatem wyłącznie standardowej </w:t>
      </w:r>
      <w:r w:rsidRPr="00857BF3">
        <w:rPr>
          <w:rStyle w:val="Kkursywa"/>
        </w:rPr>
        <w:t>vacatio legis</w:t>
      </w:r>
      <w:r>
        <w:rPr>
          <w:spacing w:val="-2"/>
        </w:rPr>
        <w:t xml:space="preserve"> (art. 3).</w:t>
      </w:r>
    </w:p>
    <w:p w:rsidR="00EC1BC2" w:rsidRPr="00C50587" w:rsidRDefault="00EC1BC2" w:rsidP="007D4C97"/>
    <w:p w:rsidR="00EC1BC2" w:rsidRDefault="00EC1BC2" w:rsidP="0015321A">
      <w:pPr>
        <w:rPr>
          <w:rStyle w:val="Ppogrubienie"/>
        </w:rPr>
      </w:pPr>
      <w:r>
        <w:rPr>
          <w:rStyle w:val="Ppogrubienie"/>
        </w:rPr>
        <w:t>4. Konsultacje</w:t>
      </w:r>
    </w:p>
    <w:p w:rsidR="00EC1BC2" w:rsidRDefault="00EC1BC2" w:rsidP="003A1308">
      <w:pPr>
        <w:pStyle w:val="NIEARTTEKSTtekstnieartykuowanynppodstprawnarozplubpreambua"/>
      </w:pPr>
      <w:r>
        <w:t>W ramach konsultacji projekt zawarty w druku senackim nr 354 (projekt ustawy o zmianie ustawy o przeciwdziałaniu narkomanii) został przesłany następującym podmiotom: Ministrowi Sprawiedliwości, Ministrowi Spraw Wewnętrznych i Administracji, Ministrowi Rozwoju i Finansów, Ministrowi Zdrowia, Komendantowi Głównemu Policji, Sądowi Najwyższemu, Krajowej Radzie Sądownictwa,</w:t>
      </w:r>
      <w:r w:rsidRPr="002C48E0">
        <w:t xml:space="preserve"> </w:t>
      </w:r>
      <w:r w:rsidRPr="003A683C">
        <w:t>Stowarzyszeni</w:t>
      </w:r>
      <w:r>
        <w:t>u</w:t>
      </w:r>
      <w:r w:rsidRPr="003A683C">
        <w:t xml:space="preserve"> Sędziów Polskich </w:t>
      </w:r>
      <w:r>
        <w:t>„</w:t>
      </w:r>
      <w:proofErr w:type="spellStart"/>
      <w:r w:rsidRPr="003A683C">
        <w:t>Iustitia</w:t>
      </w:r>
      <w:proofErr w:type="spellEnd"/>
      <w:r>
        <w:t>”, Prokuratorii Generalnej Rzeczypospolitej Polskiej, Naczelnej Radzie Adwokackiej, Krajowej Radzie Radców Prawnych oraz</w:t>
      </w:r>
      <w:r w:rsidRPr="00A44759">
        <w:t xml:space="preserve"> Helsińskiej Fundacji Praw Człowieka</w:t>
      </w:r>
      <w:r>
        <w:t>.</w:t>
      </w:r>
    </w:p>
    <w:p w:rsidR="00EC1BC2" w:rsidRDefault="00EC1BC2" w:rsidP="004855F7">
      <w:pPr>
        <w:pStyle w:val="ARTartustawynprozporzdzenia"/>
      </w:pPr>
      <w:r w:rsidRPr="00B239F3">
        <w:rPr>
          <w:spacing w:val="-3"/>
        </w:rPr>
        <w:t>Minister Sprawiedliwości ogólnie uznał podjętą inicjatywę za cenną, niemniej zasugerował</w:t>
      </w:r>
      <w:r w:rsidRPr="00F440A3">
        <w:t xml:space="preserve"> </w:t>
      </w:r>
      <w:r w:rsidRPr="00D4328A">
        <w:rPr>
          <w:spacing w:val="-2"/>
        </w:rPr>
        <w:t>podjęcie próby systemowego uregulowania problemu, który został zidentyfikowany w sprawie</w:t>
      </w:r>
      <w:r>
        <w:t xml:space="preserve"> SK 59</w:t>
      </w:r>
      <w:r w:rsidRPr="00510A18">
        <w:t>/1</w:t>
      </w:r>
      <w:r>
        <w:t>3. Ponadto Minister przekazał znajdujące się w jego posiadaniu dane niezbędne dla oceny skutków regulacji.</w:t>
      </w:r>
    </w:p>
    <w:p w:rsidR="00EC1BC2" w:rsidRDefault="00EC1BC2" w:rsidP="004855F7">
      <w:pPr>
        <w:pStyle w:val="ARTartustawynprozporzdzenia"/>
      </w:pPr>
      <w:r w:rsidRPr="005C27FC">
        <w:t>Minister Spraw Wewnętrznych i Administracji wyraził obawę co do możliwych wątpliwości interpretacyjnych i w konsekwencji opowiedział się za nadaniem przepisowi ust.</w:t>
      </w:r>
      <w:r>
        <w:t> </w:t>
      </w:r>
      <w:r w:rsidRPr="005C27FC">
        <w:t xml:space="preserve">1a dodawanemu w art. 70 </w:t>
      </w:r>
      <w:proofErr w:type="spellStart"/>
      <w:r w:rsidRPr="005C27FC">
        <w:t>u.</w:t>
      </w:r>
      <w:r>
        <w:t>p</w:t>
      </w:r>
      <w:r w:rsidRPr="005C27FC">
        <w:t>.n</w:t>
      </w:r>
      <w:proofErr w:type="spellEnd"/>
      <w:r w:rsidRPr="005C27FC">
        <w:t xml:space="preserve">. brzmienia takiego, jakie miał art. 31 § 1a </w:t>
      </w:r>
      <w:proofErr w:type="spellStart"/>
      <w:r w:rsidRPr="005C27FC">
        <w:t>k.k.s</w:t>
      </w:r>
      <w:proofErr w:type="spellEnd"/>
      <w:r w:rsidRPr="005C27FC">
        <w:t>. według stanu prawnego na dzień sporządzenia opinii (17.01.2017).</w:t>
      </w:r>
    </w:p>
    <w:p w:rsidR="00EC1BC2" w:rsidRDefault="00EC1BC2" w:rsidP="004855F7">
      <w:pPr>
        <w:pStyle w:val="ARTartustawynprozporzdzenia"/>
      </w:pPr>
      <w:r w:rsidRPr="005C27FC">
        <w:t>Minister Rozwoju i Finansów w piśmie z</w:t>
      </w:r>
      <w:r>
        <w:t xml:space="preserve"> </w:t>
      </w:r>
      <w:r w:rsidRPr="005C27FC">
        <w:t xml:space="preserve">dnia </w:t>
      </w:r>
      <w:r>
        <w:t xml:space="preserve">9 stycznia 2017 r. wskazał, iż nie wnosi uwag do </w:t>
      </w:r>
      <w:r w:rsidRPr="005C27FC">
        <w:t xml:space="preserve">projektowanej regulacji, natomiast </w:t>
      </w:r>
      <w:r>
        <w:t xml:space="preserve">w piśmie z dnia 30 stycznia 2017 r. zastrzegł, że brak możliwości przewidzenia liczby przypadków, do których zastosowanie znajdzie nowe rozwiązanie, stanowi przeszkodę w oszacowaniu jego skutków. Poza tym zaakcentował, iż </w:t>
      </w:r>
      <w:r>
        <w:lastRenderedPageBreak/>
        <w:t xml:space="preserve">proponowana nowelizacja powinna zostać poddana ocenie z perspektywy „potencjalnego zagrożenia stwarzania możliwości unikania odpowiedzialności.”  </w:t>
      </w:r>
    </w:p>
    <w:p w:rsidR="00EC1BC2" w:rsidRPr="005C27FC" w:rsidRDefault="00EC1BC2" w:rsidP="004855F7">
      <w:pPr>
        <w:pStyle w:val="ARTartustawynprozporzdzenia"/>
      </w:pPr>
      <w:r w:rsidRPr="005C27FC">
        <w:t xml:space="preserve">Minister Zdrowia </w:t>
      </w:r>
      <w:r>
        <w:t>zastrzegł w swym stanowisku</w:t>
      </w:r>
      <w:r w:rsidRPr="005C27FC">
        <w:t>, ż</w:t>
      </w:r>
      <w:r>
        <w:t xml:space="preserve">e wykonanie wyroku TK z dnia 28 października 2015 r. jest przedmiotem projektu ustawy o zmianie ustawy o ochronie zdrowia psychicznego oraz niektórych innych ustaw, nad którym pracuje resort. Stąd też Minister </w:t>
      </w:r>
      <w:r w:rsidRPr="00447E6F">
        <w:rPr>
          <w:spacing w:val="-2"/>
        </w:rPr>
        <w:t>wyraził opinię, iż prowadzenie odrębnych prac legislacyjnych w tym zakresie nie jest zasadne.</w:t>
      </w:r>
      <w:r>
        <w:t xml:space="preserve"> </w:t>
      </w:r>
    </w:p>
    <w:p w:rsidR="00EC1BC2" w:rsidRDefault="00EC1BC2" w:rsidP="004855F7">
      <w:pPr>
        <w:pStyle w:val="ARTartustawynprozporzdzenia"/>
      </w:pPr>
      <w:r>
        <w:t xml:space="preserve">O braku uwag do proponowanych rozwiązań poinformował Sąd Najwyższy, jak również Krajowa Rada Sądownictwa. Z kolei Prokuratoria Generalna Rzeczypospolitej zgłosiła uwagę o charakterze redakcyjnym, a także postulat objęcia ustawą zmieniającą art. 44c ust. 4 </w:t>
      </w:r>
      <w:proofErr w:type="spellStart"/>
      <w:r>
        <w:t>u.p.n</w:t>
      </w:r>
      <w:proofErr w:type="spellEnd"/>
      <w:r>
        <w:t>. ze względu na jego sprzeczność z art. 46 Konstytucji.</w:t>
      </w:r>
    </w:p>
    <w:p w:rsidR="00EC1BC2" w:rsidRDefault="00EC1BC2" w:rsidP="004855F7">
      <w:pPr>
        <w:pStyle w:val="ARTartustawynprozporzdzenia"/>
      </w:pPr>
      <w:r>
        <w:t xml:space="preserve">Komendant Główny Policji wypowiedział się wyłącznie na temat danych statystycznych </w:t>
      </w:r>
      <w:r w:rsidRPr="00A241B4">
        <w:rPr>
          <w:spacing w:val="-2"/>
        </w:rPr>
        <w:t xml:space="preserve">dotyczących liczby przestępstw, o których mowa w art. 70 ust. 1 </w:t>
      </w:r>
      <w:proofErr w:type="spellStart"/>
      <w:r w:rsidRPr="00A241B4">
        <w:rPr>
          <w:spacing w:val="-2"/>
        </w:rPr>
        <w:t>u.</w:t>
      </w:r>
      <w:r>
        <w:rPr>
          <w:spacing w:val="-2"/>
        </w:rPr>
        <w:t>p</w:t>
      </w:r>
      <w:r w:rsidRPr="00A241B4">
        <w:rPr>
          <w:spacing w:val="-2"/>
        </w:rPr>
        <w:t>.n</w:t>
      </w:r>
      <w:proofErr w:type="spellEnd"/>
      <w:r w:rsidRPr="00A241B4">
        <w:rPr>
          <w:spacing w:val="-2"/>
        </w:rPr>
        <w:t>. (łącznie 83.334 w latach</w:t>
      </w:r>
      <w:r>
        <w:t xml:space="preserve"> 2013-2015), liczby spraw, w których zabezpieczono przedmioty lub narzędzia należące do sprawcy, które służyły bądź były przeznaczone do popełnienia tych przestępstw (ok. 4.600 w tym samym przedziale czasowym) oraz szacunkowej wartości owych przedmiotów (ok. 4.974.465 zł). </w:t>
      </w:r>
    </w:p>
    <w:p w:rsidR="00EC1BC2" w:rsidRDefault="00EC1BC2" w:rsidP="0059362D">
      <w:pPr>
        <w:pStyle w:val="ARTartustawynprozporzdzenia"/>
      </w:pPr>
      <w:r>
        <w:t>Pozostałe podmioty nie zajęły stanowiska.</w:t>
      </w:r>
    </w:p>
    <w:p w:rsidR="00EC1BC2" w:rsidRDefault="00EC1BC2" w:rsidP="0059362D">
      <w:pPr>
        <w:pStyle w:val="ARTartustawynprozporzdzenia"/>
      </w:pPr>
      <w:r>
        <w:t>W trakcie I czytania projektu ustawy obradujące wspólnie Komisja Praw Człowieka, Praworządności i Petycji oraz Komisja Ustawodawcza podzieliły argumenty zgłoszone przez Ministra Sprawiedliwości i zdecydowały o nadaniu projektowi nowego brzmienia.</w:t>
      </w:r>
    </w:p>
    <w:p w:rsidR="00EC1BC2" w:rsidRDefault="00EC1BC2" w:rsidP="0059362D">
      <w:pPr>
        <w:pStyle w:val="ARTartustawynprozporzdzenia"/>
      </w:pPr>
      <w:r>
        <w:t xml:space="preserve">Ustosunkowując się do projektu zawartego w druku senackim nr 354 S, Sąd Najwyższy uznał jego postanowienia za trafne tak co do zasady, jak i jeżeli chodzi o przyjęcie jako pierwowzoru art. 31 § 1a </w:t>
      </w:r>
      <w:proofErr w:type="spellStart"/>
      <w:r>
        <w:t>k.k.s</w:t>
      </w:r>
      <w:proofErr w:type="spellEnd"/>
      <w:r>
        <w:t>., w brzmieniu obowiązującym od dnia 27 kwietnia 2017 r. Sąd Najwyższy zasugerował jednak uzupełnienie treści projektowanych przepisów o znamię czasownikowe wskazujące na istnienie po stronie osoby trzeciej wiedzy (a nie tylko na przewidywanie przez nią), że należące do niej lub znajdujące się w jej władztwie przedmioty mogą służyć lub być przeznaczone do popełnienia przestępstwa.</w:t>
      </w:r>
    </w:p>
    <w:p w:rsidR="00EC1BC2" w:rsidRDefault="00EC1BC2" w:rsidP="0059362D">
      <w:pPr>
        <w:pStyle w:val="ARTartustawynprozporzdzenia"/>
      </w:pPr>
      <w:r w:rsidRPr="005C27FC">
        <w:t>Minister Spraw Wewnętrznych i Administracji</w:t>
      </w:r>
      <w:r>
        <w:t>,</w:t>
      </w:r>
      <w:r w:rsidRPr="005C27FC">
        <w:t xml:space="preserve"> </w:t>
      </w:r>
      <w:r>
        <w:t xml:space="preserve">Minister Zdrowia oraz Helsińska Fundacja Praw Człowieka poinformowali, iż nie zgłaszają uwag do projektu przyjętego przez komisje senackie w I czytaniu. Wymienieni Ministrowie zwrócili jednocześnie uwagę na to, że do laski marszałkowskiej został już złożony rządowy projekt ustawy o zmianie ustawy o </w:t>
      </w:r>
      <w:r>
        <w:lastRenderedPageBreak/>
        <w:t xml:space="preserve">ochronie zdrowia psychicznego oraz niektórych innych ustaw, który realizuje orzeczenie TK w wąskim zakresie, tj. jedynie na gruncie ustawy </w:t>
      </w:r>
      <w:r w:rsidRPr="00B14E14">
        <w:t xml:space="preserve">z dnia </w:t>
      </w:r>
      <w:r>
        <w:rPr>
          <w:spacing w:val="-2"/>
        </w:rPr>
        <w:t>29 lipc</w:t>
      </w:r>
      <w:r w:rsidRPr="00D22F3C">
        <w:rPr>
          <w:spacing w:val="-2"/>
        </w:rPr>
        <w:t xml:space="preserve">a </w:t>
      </w:r>
      <w:r>
        <w:rPr>
          <w:spacing w:val="-2"/>
        </w:rPr>
        <w:t>2005</w:t>
      </w:r>
      <w:r w:rsidRPr="00D22F3C">
        <w:rPr>
          <w:spacing w:val="-2"/>
        </w:rPr>
        <w:t xml:space="preserve"> r. o </w:t>
      </w:r>
      <w:r>
        <w:rPr>
          <w:spacing w:val="-2"/>
        </w:rPr>
        <w:t>przeciwdziałaniu narkomanii oraz ustawy z dnia 26 października 1982 r. o wychowaniu w trzeźwości i przeciwdziałaniu alkoholizmowi (zob. art. 47 ust. 2).</w:t>
      </w:r>
    </w:p>
    <w:p w:rsidR="00EC1BC2" w:rsidRDefault="00EC1BC2" w:rsidP="0059362D">
      <w:pPr>
        <w:pStyle w:val="ARTartustawynprozporzdzenia"/>
      </w:pPr>
      <w:r>
        <w:t>Przed rozpoczęciem etapu II czytania inne podmioty uczestniczące w konsultacjach nie przedstawiły opinii odnośnie do nowego brzmienia projektu.</w:t>
      </w:r>
    </w:p>
    <w:p w:rsidR="00EC1BC2" w:rsidRPr="00825BD5" w:rsidRDefault="00EC1BC2" w:rsidP="0059362D">
      <w:pPr>
        <w:pStyle w:val="ARTartustawynprozporzdzenia"/>
      </w:pPr>
      <w:r>
        <w:t>Nadesłane w ramach konsultacji opinie i uwagi są zamieszczo</w:t>
      </w:r>
      <w:r w:rsidRPr="00BC3C22">
        <w:t xml:space="preserve">ne na </w:t>
      </w:r>
      <w:r>
        <w:t xml:space="preserve">senackiej </w:t>
      </w:r>
      <w:r w:rsidRPr="00BC3C22">
        <w:t>stronie internetowej</w:t>
      </w:r>
      <w:r>
        <w:t>.</w:t>
      </w:r>
    </w:p>
    <w:p w:rsidR="00EC1BC2" w:rsidRPr="00825BD5" w:rsidRDefault="00EC1BC2" w:rsidP="0015321A"/>
    <w:p w:rsidR="00EC1BC2" w:rsidRPr="0015321A" w:rsidRDefault="00EC1BC2" w:rsidP="0015321A">
      <w:pPr>
        <w:rPr>
          <w:rStyle w:val="Ppogrubienie"/>
        </w:rPr>
      </w:pPr>
      <w:r>
        <w:rPr>
          <w:rStyle w:val="Ppogrubienie"/>
        </w:rPr>
        <w:t xml:space="preserve">5. </w:t>
      </w:r>
      <w:r w:rsidRPr="0015321A">
        <w:rPr>
          <w:rStyle w:val="Ppogrubienie"/>
        </w:rPr>
        <w:t>Oświadczenie o zgodności z prawem Unii Europejskiej</w:t>
      </w:r>
    </w:p>
    <w:p w:rsidR="00EC1BC2" w:rsidRPr="00613011" w:rsidRDefault="00EC1BC2" w:rsidP="00730DA0">
      <w:pPr>
        <w:pStyle w:val="NIEARTTEKSTtekstnieartykuowanynppodstprawnarozplubpreambua"/>
      </w:pPr>
      <w:r w:rsidRPr="0015321A">
        <w:t>Zakres przedmiotowy projektowanej ustawy nie jest objęty prawem Unii Europejskiej.</w:t>
      </w:r>
    </w:p>
    <w:p w:rsidR="00720BE2" w:rsidRDefault="00720BE2" w:rsidP="00C70646">
      <w:pPr>
        <w:sectPr w:rsidR="00720BE2" w:rsidSect="00EC1BC2">
          <w:headerReference w:type="default" r:id="rId11"/>
          <w:pgSz w:w="11906" w:h="16838"/>
          <w:pgMar w:top="1560" w:right="1434" w:bottom="1560" w:left="1418" w:header="709" w:footer="709" w:gutter="0"/>
          <w:pgNumType w:start="1"/>
          <w:cols w:space="708"/>
          <w:titlePg/>
          <w:docGrid w:linePitch="254"/>
        </w:sectPr>
      </w:pPr>
    </w:p>
    <w:tbl>
      <w:tblPr>
        <w:tblW w:w="11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683"/>
        <w:gridCol w:w="890"/>
        <w:gridCol w:w="270"/>
        <w:gridCol w:w="360"/>
        <w:gridCol w:w="126"/>
        <w:gridCol w:w="504"/>
        <w:gridCol w:w="433"/>
        <w:gridCol w:w="197"/>
        <w:gridCol w:w="630"/>
        <w:gridCol w:w="111"/>
        <w:gridCol w:w="474"/>
        <w:gridCol w:w="45"/>
        <w:gridCol w:w="348"/>
        <w:gridCol w:w="71"/>
        <w:gridCol w:w="212"/>
        <w:gridCol w:w="630"/>
        <w:gridCol w:w="95"/>
        <w:gridCol w:w="535"/>
        <w:gridCol w:w="190"/>
        <w:gridCol w:w="213"/>
        <w:gridCol w:w="227"/>
        <w:gridCol w:w="694"/>
        <w:gridCol w:w="17"/>
        <w:gridCol w:w="692"/>
        <w:gridCol w:w="992"/>
      </w:tblGrid>
      <w:tr w:rsidR="00D25AAB" w:rsidRPr="008B4FE6" w:rsidTr="000E170C">
        <w:trPr>
          <w:trHeight w:val="1611"/>
        </w:trPr>
        <w:tc>
          <w:tcPr>
            <w:tcW w:w="6631" w:type="dxa"/>
            <w:gridSpan w:val="14"/>
          </w:tcPr>
          <w:p w:rsidR="00D25AAB" w:rsidRPr="00D25AAB" w:rsidRDefault="00D25AAB" w:rsidP="00616511">
            <w:pPr>
              <w:spacing w:before="120" w:line="240" w:lineRule="auto"/>
              <w:ind w:hanging="45"/>
              <w:rPr>
                <w:color w:val="000000"/>
                <w:sz w:val="22"/>
                <w:szCs w:val="22"/>
              </w:rPr>
            </w:pPr>
            <w:bookmarkStart w:id="1" w:name="t1"/>
            <w:r w:rsidRPr="00D25AAB">
              <w:rPr>
                <w:b/>
                <w:color w:val="000000"/>
                <w:sz w:val="22"/>
                <w:szCs w:val="22"/>
              </w:rPr>
              <w:lastRenderedPageBreak/>
              <w:t>Tytuł projektu:</w:t>
            </w:r>
          </w:p>
          <w:p w:rsidR="00D25AAB" w:rsidRPr="00E72936" w:rsidRDefault="00D25AAB" w:rsidP="00E72936">
            <w:pPr>
              <w:widowControl/>
              <w:autoSpaceDE/>
              <w:autoSpaceDN/>
              <w:adjustRightInd/>
              <w:spacing w:line="276" w:lineRule="auto"/>
              <w:jc w:val="left"/>
              <w:rPr>
                <w:rFonts w:eastAsia="Calibri" w:cs="Times New Roman"/>
                <w:lang w:eastAsia="en-US"/>
              </w:rPr>
            </w:pPr>
            <w:r w:rsidRPr="00E72936">
              <w:rPr>
                <w:rFonts w:eastAsia="Calibri" w:cs="Times New Roman"/>
                <w:sz w:val="22"/>
                <w:szCs w:val="22"/>
                <w:lang w:eastAsia="en-US"/>
              </w:rPr>
              <w:t>ustawa o zmianie ustawy – Kodeks karny oraz ustawy – Kodeks wykroczeń</w:t>
            </w:r>
          </w:p>
          <w:bookmarkEnd w:id="1"/>
          <w:p w:rsidR="00D25AAB" w:rsidRPr="00D25AAB" w:rsidRDefault="00D25AAB" w:rsidP="00A52ADB">
            <w:pPr>
              <w:spacing w:line="240" w:lineRule="auto"/>
              <w:ind w:hanging="34"/>
              <w:rPr>
                <w:color w:val="000000"/>
                <w:sz w:val="22"/>
                <w:szCs w:val="22"/>
              </w:rPr>
            </w:pPr>
          </w:p>
          <w:p w:rsidR="00D25AAB" w:rsidRPr="00D25AAB" w:rsidRDefault="00D25AAB" w:rsidP="001B3460">
            <w:pPr>
              <w:spacing w:line="240" w:lineRule="auto"/>
              <w:rPr>
                <w:b/>
                <w:sz w:val="22"/>
                <w:szCs w:val="22"/>
              </w:rPr>
            </w:pPr>
            <w:r w:rsidRPr="00D25AAB">
              <w:rPr>
                <w:b/>
                <w:sz w:val="22"/>
                <w:szCs w:val="22"/>
              </w:rPr>
              <w:t xml:space="preserve">Przedstawiciel wnioskodawcy: </w:t>
            </w:r>
          </w:p>
          <w:p w:rsidR="00D25AAB" w:rsidRPr="00D25AAB" w:rsidRDefault="00D25AAB" w:rsidP="001B3460">
            <w:pPr>
              <w:spacing w:line="240" w:lineRule="auto"/>
              <w:rPr>
                <w:sz w:val="22"/>
                <w:szCs w:val="22"/>
              </w:rPr>
            </w:pPr>
            <w:r w:rsidRPr="00D25AAB">
              <w:rPr>
                <w:sz w:val="22"/>
                <w:szCs w:val="22"/>
              </w:rPr>
              <w:t>senator Zbigniew Cichoń</w:t>
            </w:r>
          </w:p>
          <w:p w:rsidR="00D25AAB" w:rsidRPr="00D25AAB" w:rsidRDefault="00D25AAB" w:rsidP="00270483">
            <w:pPr>
              <w:spacing w:line="240" w:lineRule="auto"/>
              <w:ind w:hanging="45"/>
              <w:rPr>
                <w:b/>
                <w:color w:val="000000"/>
                <w:sz w:val="22"/>
                <w:szCs w:val="22"/>
              </w:rPr>
            </w:pPr>
          </w:p>
          <w:p w:rsidR="00D25AAB" w:rsidRPr="00D25AAB" w:rsidRDefault="00D25AAB" w:rsidP="00270483">
            <w:pPr>
              <w:spacing w:line="240" w:lineRule="auto"/>
              <w:ind w:hanging="45"/>
              <w:rPr>
                <w:b/>
                <w:color w:val="000000"/>
                <w:sz w:val="22"/>
                <w:szCs w:val="22"/>
              </w:rPr>
            </w:pPr>
            <w:bookmarkStart w:id="2" w:name="t3"/>
            <w:r w:rsidRPr="00D25AAB">
              <w:rPr>
                <w:b/>
                <w:color w:val="000000"/>
                <w:sz w:val="22"/>
                <w:szCs w:val="22"/>
              </w:rPr>
              <w:t>Osoby odpowiedzialne za projekt w Biurze Legislacyjnym:</w:t>
            </w:r>
          </w:p>
          <w:p w:rsidR="00D25AAB" w:rsidRPr="00D25AAB" w:rsidRDefault="00D25AAB" w:rsidP="00302064">
            <w:pPr>
              <w:spacing w:line="240" w:lineRule="auto"/>
              <w:rPr>
                <w:sz w:val="22"/>
                <w:szCs w:val="22"/>
              </w:rPr>
            </w:pPr>
            <w:r w:rsidRPr="00D25AAB">
              <w:rPr>
                <w:sz w:val="22"/>
                <w:szCs w:val="22"/>
              </w:rPr>
              <w:t>Katarzyna Konieczko, ekspert ds. legislacji, tel. 22 694 9557</w:t>
            </w:r>
          </w:p>
          <w:p w:rsidR="00D25AAB" w:rsidRPr="00D25AAB" w:rsidRDefault="00D25AAB" w:rsidP="00302064">
            <w:pPr>
              <w:spacing w:line="240" w:lineRule="auto"/>
              <w:rPr>
                <w:sz w:val="22"/>
                <w:szCs w:val="22"/>
              </w:rPr>
            </w:pPr>
            <w:r w:rsidRPr="00D25AAB">
              <w:rPr>
                <w:sz w:val="22"/>
                <w:szCs w:val="22"/>
              </w:rPr>
              <w:t xml:space="preserve">Beata </w:t>
            </w:r>
            <w:proofErr w:type="spellStart"/>
            <w:r w:rsidRPr="00D25AAB">
              <w:rPr>
                <w:sz w:val="22"/>
                <w:szCs w:val="22"/>
              </w:rPr>
              <w:t>Mandylis</w:t>
            </w:r>
            <w:proofErr w:type="spellEnd"/>
            <w:r w:rsidRPr="00D25AAB">
              <w:rPr>
                <w:sz w:val="22"/>
                <w:szCs w:val="22"/>
              </w:rPr>
              <w:t>, legislator, tel. 22 694 9340</w:t>
            </w:r>
          </w:p>
          <w:bookmarkEnd w:id="2"/>
          <w:p w:rsidR="00D25AAB" w:rsidRPr="00D25AAB" w:rsidRDefault="00D25AAB" w:rsidP="008F3001">
            <w:pPr>
              <w:spacing w:line="240" w:lineRule="auto"/>
              <w:ind w:hanging="45"/>
              <w:rPr>
                <w:color w:val="000000"/>
                <w:sz w:val="22"/>
                <w:szCs w:val="22"/>
              </w:rPr>
            </w:pPr>
            <w:r w:rsidRPr="00D25AAB">
              <w:rPr>
                <w:color w:val="000000"/>
                <w:sz w:val="22"/>
                <w:szCs w:val="22"/>
              </w:rPr>
              <w:tab/>
              <w:t>Katarzyna Majewska, ekspert ds. OSR, tel. 22 694 9259</w:t>
            </w:r>
          </w:p>
          <w:p w:rsidR="00D25AAB" w:rsidRPr="00D25AAB" w:rsidRDefault="00D25AAB" w:rsidP="008F3001">
            <w:pPr>
              <w:spacing w:line="240" w:lineRule="auto"/>
              <w:ind w:hanging="45"/>
              <w:rPr>
                <w:color w:val="000000"/>
                <w:sz w:val="22"/>
                <w:szCs w:val="22"/>
              </w:rPr>
            </w:pPr>
          </w:p>
        </w:tc>
        <w:tc>
          <w:tcPr>
            <w:tcW w:w="4568" w:type="dxa"/>
            <w:gridSpan w:val="12"/>
            <w:shd w:val="clear" w:color="auto" w:fill="FFFFFF"/>
          </w:tcPr>
          <w:p w:rsidR="00D25AAB" w:rsidRPr="00D25AAB" w:rsidRDefault="00D25AAB" w:rsidP="00270483">
            <w:pPr>
              <w:spacing w:before="120" w:line="240" w:lineRule="auto"/>
              <w:rPr>
                <w:b/>
                <w:sz w:val="22"/>
                <w:szCs w:val="22"/>
              </w:rPr>
            </w:pPr>
            <w:r w:rsidRPr="00D25AAB">
              <w:rPr>
                <w:b/>
                <w:sz w:val="22"/>
                <w:szCs w:val="22"/>
              </w:rPr>
              <w:t>Data sporządzenia: </w:t>
            </w:r>
          </w:p>
          <w:p w:rsidR="00D25AAB" w:rsidRPr="00D25AAB" w:rsidRDefault="00D25AAB" w:rsidP="00270483">
            <w:pPr>
              <w:spacing w:before="120" w:line="240" w:lineRule="auto"/>
              <w:rPr>
                <w:b/>
                <w:sz w:val="22"/>
                <w:szCs w:val="22"/>
              </w:rPr>
            </w:pPr>
            <w:r w:rsidRPr="00D25AAB">
              <w:rPr>
                <w:sz w:val="22"/>
                <w:szCs w:val="22"/>
              </w:rPr>
              <w:t>20 kwietnia 2017 r.</w:t>
            </w:r>
          </w:p>
          <w:p w:rsidR="00D25AAB" w:rsidRPr="00D25AAB" w:rsidRDefault="00D25AAB" w:rsidP="00270483">
            <w:pPr>
              <w:spacing w:line="240" w:lineRule="auto"/>
              <w:rPr>
                <w:b/>
                <w:sz w:val="22"/>
                <w:szCs w:val="22"/>
              </w:rPr>
            </w:pPr>
          </w:p>
          <w:p w:rsidR="00D25AAB" w:rsidRPr="00D25AAB" w:rsidRDefault="00D25AAB" w:rsidP="00270483">
            <w:pPr>
              <w:spacing w:line="240" w:lineRule="auto"/>
              <w:rPr>
                <w:sz w:val="22"/>
                <w:szCs w:val="22"/>
              </w:rPr>
            </w:pPr>
            <w:r w:rsidRPr="00D25AAB">
              <w:rPr>
                <w:b/>
                <w:sz w:val="22"/>
                <w:szCs w:val="22"/>
              </w:rPr>
              <w:t xml:space="preserve">Źródło: </w:t>
            </w:r>
            <w:r w:rsidRPr="00D25AAB">
              <w:rPr>
                <w:sz w:val="22"/>
                <w:szCs w:val="22"/>
              </w:rPr>
              <w:t>wyrok TK</w:t>
            </w:r>
          </w:p>
          <w:p w:rsidR="00D25AAB" w:rsidRPr="00D25AAB" w:rsidRDefault="00D25AAB" w:rsidP="00270483">
            <w:pPr>
              <w:spacing w:line="240" w:lineRule="auto"/>
              <w:rPr>
                <w:b/>
                <w:color w:val="000000"/>
                <w:sz w:val="22"/>
                <w:szCs w:val="22"/>
              </w:rPr>
            </w:pPr>
          </w:p>
          <w:p w:rsidR="00D25AAB" w:rsidRPr="00D25AAB" w:rsidRDefault="00D25AAB" w:rsidP="00270483">
            <w:pPr>
              <w:spacing w:line="240" w:lineRule="auto"/>
              <w:rPr>
                <w:color w:val="000000"/>
                <w:sz w:val="22"/>
                <w:szCs w:val="22"/>
              </w:rPr>
            </w:pPr>
            <w:r w:rsidRPr="00D25AAB">
              <w:rPr>
                <w:b/>
                <w:color w:val="000000"/>
                <w:sz w:val="22"/>
                <w:szCs w:val="22"/>
              </w:rPr>
              <w:t xml:space="preserve">Nr druku: </w:t>
            </w:r>
            <w:r w:rsidRPr="00D25AAB">
              <w:rPr>
                <w:color w:val="000000"/>
                <w:sz w:val="22"/>
                <w:szCs w:val="22"/>
              </w:rPr>
              <w:t>354, 354S</w:t>
            </w:r>
          </w:p>
          <w:p w:rsidR="00D25AAB" w:rsidRPr="008B4FE6" w:rsidRDefault="00D25AAB" w:rsidP="00A17CB2">
            <w:pPr>
              <w:spacing w:line="240" w:lineRule="auto"/>
              <w:rPr>
                <w:color w:val="000000"/>
                <w:sz w:val="28"/>
                <w:szCs w:val="28"/>
              </w:rPr>
            </w:pPr>
          </w:p>
        </w:tc>
      </w:tr>
      <w:tr w:rsidR="00D25AAB" w:rsidRPr="0022687A" w:rsidTr="000E170C">
        <w:trPr>
          <w:trHeight w:val="142"/>
        </w:trPr>
        <w:tc>
          <w:tcPr>
            <w:tcW w:w="11199" w:type="dxa"/>
            <w:gridSpan w:val="26"/>
            <w:shd w:val="clear" w:color="auto" w:fill="99CCFF"/>
          </w:tcPr>
          <w:p w:rsidR="00D25AAB" w:rsidRPr="00D25AAB" w:rsidRDefault="00D25AAB" w:rsidP="001B4CA1">
            <w:pPr>
              <w:spacing w:line="240" w:lineRule="auto"/>
              <w:ind w:left="57"/>
              <w:jc w:val="center"/>
              <w:rPr>
                <w:b/>
                <w:color w:val="FFFFFF"/>
                <w:sz w:val="22"/>
                <w:szCs w:val="22"/>
              </w:rPr>
            </w:pPr>
            <w:r w:rsidRPr="00D25AAB">
              <w:rPr>
                <w:b/>
                <w:color w:val="FFFFFF"/>
                <w:sz w:val="22"/>
                <w:szCs w:val="22"/>
              </w:rPr>
              <w:t>OCENA SKUTKÓW REGULACJI</w:t>
            </w:r>
          </w:p>
        </w:tc>
      </w:tr>
      <w:tr w:rsidR="00D25AAB" w:rsidRPr="008B4FE6" w:rsidTr="000E170C">
        <w:trPr>
          <w:trHeight w:val="333"/>
        </w:trPr>
        <w:tc>
          <w:tcPr>
            <w:tcW w:w="11199" w:type="dxa"/>
            <w:gridSpan w:val="26"/>
            <w:shd w:val="clear" w:color="auto" w:fill="99CCFF"/>
            <w:vAlign w:val="center"/>
          </w:tcPr>
          <w:p w:rsidR="00D25AAB" w:rsidRPr="00D25AAB" w:rsidRDefault="00D25AAB" w:rsidP="00D25AAB">
            <w:pPr>
              <w:widowControl/>
              <w:numPr>
                <w:ilvl w:val="0"/>
                <w:numId w:val="47"/>
              </w:numPr>
              <w:autoSpaceDE/>
              <w:autoSpaceDN/>
              <w:adjustRightInd/>
              <w:spacing w:before="60" w:after="60" w:line="240" w:lineRule="auto"/>
              <w:ind w:left="318" w:hanging="284"/>
              <w:rPr>
                <w:b/>
                <w:color w:val="000000"/>
                <w:sz w:val="22"/>
                <w:szCs w:val="22"/>
              </w:rPr>
            </w:pPr>
            <w:r w:rsidRPr="00D25AAB">
              <w:rPr>
                <w:b/>
                <w:sz w:val="22"/>
                <w:szCs w:val="22"/>
              </w:rPr>
              <w:t>Jaki problem jest rozwiązywany?</w:t>
            </w:r>
            <w:bookmarkStart w:id="3" w:name="Wybór1"/>
            <w:bookmarkEnd w:id="3"/>
          </w:p>
        </w:tc>
      </w:tr>
      <w:tr w:rsidR="00D25AAB" w:rsidRPr="008B4FE6" w:rsidTr="000E170C">
        <w:trPr>
          <w:trHeight w:val="142"/>
        </w:trPr>
        <w:tc>
          <w:tcPr>
            <w:tcW w:w="11199" w:type="dxa"/>
            <w:gridSpan w:val="26"/>
            <w:shd w:val="clear" w:color="auto" w:fill="FFFFFF"/>
          </w:tcPr>
          <w:p w:rsidR="00D25AAB" w:rsidRPr="00D25AAB" w:rsidRDefault="00D25AAB" w:rsidP="00CD14F9">
            <w:pPr>
              <w:spacing w:before="120" w:line="240" w:lineRule="auto"/>
              <w:rPr>
                <w:color w:val="000000"/>
                <w:sz w:val="22"/>
                <w:szCs w:val="22"/>
              </w:rPr>
            </w:pPr>
            <w:r w:rsidRPr="00D25AAB">
              <w:rPr>
                <w:color w:val="000000"/>
                <w:sz w:val="22"/>
                <w:szCs w:val="22"/>
              </w:rPr>
              <w:t xml:space="preserve">W myśl art. 70 ust. 1 ustawy </w:t>
            </w:r>
            <w:r w:rsidRPr="00D25AAB">
              <w:rPr>
                <w:i/>
                <w:color w:val="000000"/>
                <w:sz w:val="22"/>
                <w:szCs w:val="22"/>
              </w:rPr>
              <w:t>o przeciwdziałaniu narkomanii</w:t>
            </w:r>
            <w:r w:rsidRPr="00D25AAB">
              <w:rPr>
                <w:color w:val="000000"/>
                <w:sz w:val="22"/>
                <w:szCs w:val="22"/>
              </w:rPr>
              <w:t xml:space="preserve"> w razie skazania za przestępstwa związane z produkcją, przewozem, wprowadzaniem do obrotu środków odurzających lub substancji psychotropowych, a także udzielaniem bądź ułatwianiem ich użycia innym osobom </w:t>
            </w:r>
            <w:r w:rsidRPr="00D25AAB">
              <w:rPr>
                <w:b/>
                <w:color w:val="000000"/>
                <w:sz w:val="22"/>
                <w:szCs w:val="22"/>
              </w:rPr>
              <w:t>sąd</w:t>
            </w:r>
            <w:r w:rsidRPr="00D25AAB">
              <w:rPr>
                <w:color w:val="000000"/>
                <w:sz w:val="22"/>
                <w:szCs w:val="22"/>
              </w:rPr>
              <w:t xml:space="preserve"> </w:t>
            </w:r>
            <w:r w:rsidRPr="00D25AAB">
              <w:rPr>
                <w:b/>
                <w:color w:val="000000"/>
                <w:sz w:val="22"/>
                <w:szCs w:val="22"/>
              </w:rPr>
              <w:t>może orzec przepadek przedmiotu przestępstwa oraz przedmiotów i</w:t>
            </w:r>
            <w:r>
              <w:rPr>
                <w:b/>
                <w:color w:val="000000"/>
                <w:sz w:val="22"/>
                <w:szCs w:val="22"/>
              </w:rPr>
              <w:t> </w:t>
            </w:r>
            <w:r w:rsidRPr="00D25AAB">
              <w:rPr>
                <w:b/>
                <w:color w:val="000000"/>
                <w:sz w:val="22"/>
                <w:szCs w:val="22"/>
              </w:rPr>
              <w:t xml:space="preserve">narzędzi, które służyły lub były przeznaczone do jego popełnienia, </w:t>
            </w:r>
            <w:r w:rsidRPr="00D25AAB">
              <w:rPr>
                <w:b/>
                <w:color w:val="000000"/>
                <w:sz w:val="22"/>
                <w:szCs w:val="22"/>
                <w:u w:val="single"/>
              </w:rPr>
              <w:t>nawet jeżeli nie były własnością sprawcy</w:t>
            </w:r>
            <w:r w:rsidRPr="00D25AAB">
              <w:rPr>
                <w:color w:val="000000"/>
                <w:sz w:val="22"/>
                <w:szCs w:val="22"/>
              </w:rPr>
              <w:t>.</w:t>
            </w:r>
          </w:p>
          <w:p w:rsidR="00D25AAB" w:rsidRPr="00D25AAB" w:rsidRDefault="00D25AAB" w:rsidP="00CD14F9">
            <w:pPr>
              <w:spacing w:before="120" w:after="120" w:line="240" w:lineRule="auto"/>
              <w:rPr>
                <w:bCs/>
                <w:color w:val="000000"/>
                <w:sz w:val="22"/>
                <w:szCs w:val="22"/>
              </w:rPr>
            </w:pPr>
            <w:r w:rsidRPr="00D25AAB">
              <w:rPr>
                <w:color w:val="000000"/>
                <w:sz w:val="22"/>
                <w:szCs w:val="22"/>
              </w:rPr>
              <w:t xml:space="preserve">Trybunał Konstytucyjny w wyroku z dnia 28 października 2015 r. (sygn. akt SK 59/13) </w:t>
            </w:r>
            <w:r w:rsidRPr="00D25AAB">
              <w:rPr>
                <w:bCs/>
                <w:color w:val="000000"/>
                <w:sz w:val="22"/>
                <w:szCs w:val="22"/>
              </w:rPr>
              <w:t>stwierdził, że orzekanie przepadku przedmiotu służącego do popełnienia przestępstwa a niebędącego własnością sprawcy w sytuacji, gdy właściciel tego przedmiotu</w:t>
            </w:r>
            <w:r w:rsidRPr="00D25AAB">
              <w:rPr>
                <w:color w:val="000000"/>
                <w:sz w:val="22"/>
                <w:szCs w:val="22"/>
              </w:rPr>
              <w:t xml:space="preserve"> </w:t>
            </w:r>
            <w:r w:rsidRPr="00D25AAB">
              <w:rPr>
                <w:bCs/>
                <w:color w:val="000000"/>
                <w:sz w:val="22"/>
                <w:szCs w:val="22"/>
              </w:rPr>
              <w:t xml:space="preserve">nie przewidywał i nie mógł przewidzieć, </w:t>
            </w:r>
            <w:r w:rsidRPr="00D25AAB">
              <w:rPr>
                <w:color w:val="000000"/>
                <w:sz w:val="22"/>
                <w:szCs w:val="22"/>
              </w:rPr>
              <w:t>że może on służyć do popełnienia któregoś z tych przestępstw – jest niezgodne z Konstytucją RP.</w:t>
            </w:r>
          </w:p>
        </w:tc>
      </w:tr>
      <w:tr w:rsidR="00D25AAB" w:rsidRPr="008B4FE6" w:rsidTr="000E170C">
        <w:trPr>
          <w:trHeight w:val="142"/>
        </w:trPr>
        <w:tc>
          <w:tcPr>
            <w:tcW w:w="11199" w:type="dxa"/>
            <w:gridSpan w:val="26"/>
            <w:shd w:val="clear" w:color="auto" w:fill="99CCFF"/>
            <w:vAlign w:val="center"/>
          </w:tcPr>
          <w:p w:rsidR="00D25AAB" w:rsidRPr="00D25AAB" w:rsidRDefault="00D25AAB" w:rsidP="00D25AAB">
            <w:pPr>
              <w:widowControl/>
              <w:numPr>
                <w:ilvl w:val="0"/>
                <w:numId w:val="47"/>
              </w:numPr>
              <w:autoSpaceDE/>
              <w:autoSpaceDN/>
              <w:adjustRightInd/>
              <w:spacing w:before="60" w:after="60" w:line="240" w:lineRule="auto"/>
              <w:ind w:left="318" w:hanging="284"/>
              <w:rPr>
                <w:b/>
                <w:color w:val="000000"/>
                <w:sz w:val="22"/>
                <w:szCs w:val="22"/>
              </w:rPr>
            </w:pPr>
            <w:r w:rsidRPr="00D25AAB">
              <w:rPr>
                <w:b/>
                <w:color w:val="000000"/>
                <w:spacing w:val="-2"/>
                <w:sz w:val="22"/>
                <w:szCs w:val="22"/>
              </w:rPr>
              <w:t>Rekomendowane rozwiązanie, w tym planowane narzędzia interwencji, i oczekiwany efekt</w:t>
            </w:r>
          </w:p>
        </w:tc>
      </w:tr>
      <w:tr w:rsidR="00D25AAB" w:rsidRPr="008B4FE6" w:rsidTr="000E170C">
        <w:trPr>
          <w:trHeight w:val="142"/>
        </w:trPr>
        <w:tc>
          <w:tcPr>
            <w:tcW w:w="11199" w:type="dxa"/>
            <w:gridSpan w:val="26"/>
            <w:shd w:val="clear" w:color="auto" w:fill="auto"/>
          </w:tcPr>
          <w:p w:rsidR="00D25AAB" w:rsidRPr="00D25AAB" w:rsidRDefault="00D25AAB" w:rsidP="0005247C">
            <w:pPr>
              <w:spacing w:before="120" w:after="120" w:line="240" w:lineRule="auto"/>
              <w:rPr>
                <w:color w:val="000000"/>
                <w:spacing w:val="-2"/>
                <w:sz w:val="22"/>
                <w:szCs w:val="22"/>
              </w:rPr>
            </w:pPr>
            <w:r w:rsidRPr="00D25AAB">
              <w:rPr>
                <w:color w:val="000000"/>
                <w:spacing w:val="-2"/>
                <w:sz w:val="22"/>
                <w:szCs w:val="22"/>
              </w:rPr>
              <w:t xml:space="preserve">Projektowane rozwiązanie polega na systemowym rozwiązaniu zauważonego przez Trybunał problemu – poprzez dodanie </w:t>
            </w:r>
            <w:r w:rsidRPr="00D25AAB">
              <w:rPr>
                <w:color w:val="000000"/>
                <w:spacing w:val="-2"/>
                <w:sz w:val="22"/>
                <w:szCs w:val="22"/>
              </w:rPr>
              <w:br/>
              <w:t xml:space="preserve">w </w:t>
            </w:r>
            <w:r w:rsidRPr="00D25AAB">
              <w:rPr>
                <w:i/>
                <w:color w:val="000000"/>
                <w:spacing w:val="-2"/>
                <w:sz w:val="22"/>
                <w:szCs w:val="22"/>
              </w:rPr>
              <w:t>Kodeksie karnym</w:t>
            </w:r>
            <w:r w:rsidRPr="00D25AAB">
              <w:rPr>
                <w:color w:val="000000"/>
                <w:spacing w:val="-2"/>
                <w:sz w:val="22"/>
                <w:szCs w:val="22"/>
              </w:rPr>
              <w:t xml:space="preserve"> oraz </w:t>
            </w:r>
            <w:r w:rsidRPr="00D25AAB">
              <w:rPr>
                <w:i/>
                <w:color w:val="000000"/>
                <w:spacing w:val="-2"/>
                <w:sz w:val="22"/>
                <w:szCs w:val="22"/>
              </w:rPr>
              <w:t>Kodeksie wykroczeń</w:t>
            </w:r>
            <w:r w:rsidRPr="00D25AAB">
              <w:rPr>
                <w:color w:val="000000"/>
                <w:spacing w:val="-2"/>
                <w:sz w:val="22"/>
                <w:szCs w:val="22"/>
              </w:rPr>
              <w:t xml:space="preserve"> przepisów, zgodnie z którymi przepadek narzędzi lub przedmiotów </w:t>
            </w:r>
            <w:r w:rsidRPr="00D25AAB">
              <w:rPr>
                <w:bCs/>
                <w:color w:val="000000"/>
                <w:spacing w:val="-2"/>
                <w:sz w:val="22"/>
                <w:szCs w:val="22"/>
              </w:rPr>
              <w:t xml:space="preserve">służących do popełnienia przestępstwa lub wykroczenia, a niebędących własnością sprawcy, można orzec w sytuacji, gdy ich właściciel lub inna osoba uprawniona przewidywała albo mogła przewidzieć przy zachowaniu ostrożności wymaganej w danych okolicznościach, że mogą one służyć do popełnienia przestępstwa lub wykroczenia. Powyższe przepisy będą miały zatem zastosowanie do wszystkich przestępstw i wykroczeń, a nie tylko do przestępstw związanych z narkomanią. </w:t>
            </w:r>
          </w:p>
        </w:tc>
      </w:tr>
      <w:tr w:rsidR="00D25AAB" w:rsidRPr="008B4FE6" w:rsidTr="000E170C">
        <w:trPr>
          <w:trHeight w:val="307"/>
        </w:trPr>
        <w:tc>
          <w:tcPr>
            <w:tcW w:w="11199" w:type="dxa"/>
            <w:gridSpan w:val="26"/>
            <w:shd w:val="clear" w:color="auto" w:fill="99CCFF"/>
            <w:vAlign w:val="center"/>
          </w:tcPr>
          <w:p w:rsidR="00D25AAB" w:rsidRPr="00D25AAB" w:rsidRDefault="00D25AAB" w:rsidP="00D25AAB">
            <w:pPr>
              <w:widowControl/>
              <w:numPr>
                <w:ilvl w:val="0"/>
                <w:numId w:val="47"/>
              </w:numPr>
              <w:autoSpaceDE/>
              <w:autoSpaceDN/>
              <w:adjustRightInd/>
              <w:spacing w:before="60" w:after="60" w:line="240" w:lineRule="auto"/>
              <w:ind w:left="318" w:hanging="284"/>
              <w:rPr>
                <w:b/>
                <w:color w:val="000000"/>
                <w:sz w:val="22"/>
                <w:szCs w:val="22"/>
              </w:rPr>
            </w:pPr>
            <w:r w:rsidRPr="00D25AAB">
              <w:rPr>
                <w:b/>
                <w:spacing w:val="-2"/>
                <w:sz w:val="22"/>
                <w:szCs w:val="22"/>
              </w:rPr>
              <w:t>Jak problem został rozwiązany w innych krajach, w szczególności krajach członkowskich OECD/UE</w:t>
            </w:r>
            <w:r w:rsidRPr="00D25AAB">
              <w:rPr>
                <w:b/>
                <w:color w:val="000000"/>
                <w:sz w:val="22"/>
                <w:szCs w:val="22"/>
              </w:rPr>
              <w:t>?</w:t>
            </w:r>
            <w:r w:rsidRPr="00D25AAB">
              <w:rPr>
                <w:i/>
                <w:color w:val="000000"/>
                <w:sz w:val="22"/>
                <w:szCs w:val="22"/>
              </w:rPr>
              <w:t xml:space="preserve"> </w:t>
            </w:r>
          </w:p>
        </w:tc>
      </w:tr>
      <w:tr w:rsidR="00D25AAB" w:rsidRPr="008B4FE6" w:rsidTr="000E170C">
        <w:trPr>
          <w:trHeight w:val="142"/>
        </w:trPr>
        <w:tc>
          <w:tcPr>
            <w:tcW w:w="11199" w:type="dxa"/>
            <w:gridSpan w:val="26"/>
            <w:shd w:val="clear" w:color="auto" w:fill="auto"/>
          </w:tcPr>
          <w:p w:rsidR="00D25AAB" w:rsidRPr="00D25AAB" w:rsidRDefault="00D25AAB" w:rsidP="00691C55">
            <w:pPr>
              <w:spacing w:before="120" w:after="120" w:line="240" w:lineRule="auto"/>
              <w:rPr>
                <w:color w:val="000000"/>
                <w:spacing w:val="-2"/>
                <w:sz w:val="22"/>
                <w:szCs w:val="22"/>
                <w:highlight w:val="yellow"/>
              </w:rPr>
            </w:pPr>
            <w:r w:rsidRPr="00D25AAB">
              <w:rPr>
                <w:color w:val="000000"/>
                <w:spacing w:val="-2"/>
                <w:sz w:val="22"/>
                <w:szCs w:val="22"/>
              </w:rPr>
              <w:t>Brak informacji.</w:t>
            </w:r>
          </w:p>
        </w:tc>
      </w:tr>
      <w:tr w:rsidR="00D25AAB" w:rsidRPr="008B4FE6" w:rsidTr="000E170C">
        <w:trPr>
          <w:trHeight w:val="359"/>
        </w:trPr>
        <w:tc>
          <w:tcPr>
            <w:tcW w:w="11199" w:type="dxa"/>
            <w:gridSpan w:val="26"/>
            <w:shd w:val="clear" w:color="auto" w:fill="99CCFF"/>
            <w:vAlign w:val="center"/>
          </w:tcPr>
          <w:p w:rsidR="00D25AAB" w:rsidRPr="00D25AAB" w:rsidRDefault="00D25AAB" w:rsidP="00D25AAB">
            <w:pPr>
              <w:widowControl/>
              <w:numPr>
                <w:ilvl w:val="0"/>
                <w:numId w:val="47"/>
              </w:numPr>
              <w:autoSpaceDE/>
              <w:autoSpaceDN/>
              <w:adjustRightInd/>
              <w:spacing w:before="60" w:after="60" w:line="240" w:lineRule="auto"/>
              <w:ind w:left="318" w:hanging="284"/>
              <w:rPr>
                <w:b/>
                <w:color w:val="000000"/>
                <w:sz w:val="22"/>
                <w:szCs w:val="22"/>
              </w:rPr>
            </w:pPr>
            <w:r w:rsidRPr="00D25AAB">
              <w:rPr>
                <w:b/>
                <w:color w:val="000000"/>
                <w:sz w:val="22"/>
                <w:szCs w:val="22"/>
              </w:rPr>
              <w:t>Podmioty, na które oddziałuje projekt</w:t>
            </w:r>
          </w:p>
        </w:tc>
      </w:tr>
      <w:tr w:rsidR="00D25AAB" w:rsidRPr="008B4FE6" w:rsidTr="00D00003">
        <w:trPr>
          <w:trHeight w:val="142"/>
        </w:trPr>
        <w:tc>
          <w:tcPr>
            <w:tcW w:w="3403" w:type="dxa"/>
            <w:gridSpan w:val="4"/>
            <w:shd w:val="clear" w:color="auto" w:fill="auto"/>
          </w:tcPr>
          <w:p w:rsidR="00D25AAB" w:rsidRPr="00D25AAB" w:rsidRDefault="00D25AAB" w:rsidP="0072636A">
            <w:pPr>
              <w:spacing w:before="40" w:line="240" w:lineRule="auto"/>
              <w:jc w:val="center"/>
              <w:rPr>
                <w:color w:val="000000"/>
                <w:spacing w:val="-2"/>
                <w:sz w:val="22"/>
                <w:szCs w:val="22"/>
              </w:rPr>
            </w:pPr>
            <w:r w:rsidRPr="00D25AAB">
              <w:rPr>
                <w:color w:val="000000"/>
                <w:spacing w:val="-2"/>
                <w:sz w:val="22"/>
                <w:szCs w:val="22"/>
              </w:rPr>
              <w:t>Grupa</w:t>
            </w:r>
          </w:p>
        </w:tc>
        <w:tc>
          <w:tcPr>
            <w:tcW w:w="2835" w:type="dxa"/>
            <w:gridSpan w:val="8"/>
            <w:shd w:val="clear" w:color="auto" w:fill="auto"/>
          </w:tcPr>
          <w:p w:rsidR="00D25AAB" w:rsidRPr="00D25AAB" w:rsidRDefault="00D25AAB" w:rsidP="0072636A">
            <w:pPr>
              <w:spacing w:before="40" w:line="240" w:lineRule="auto"/>
              <w:jc w:val="center"/>
              <w:rPr>
                <w:color w:val="000000"/>
                <w:spacing w:val="-2"/>
                <w:sz w:val="22"/>
                <w:szCs w:val="22"/>
              </w:rPr>
            </w:pPr>
            <w:r w:rsidRPr="00D25AAB">
              <w:rPr>
                <w:color w:val="000000"/>
                <w:spacing w:val="-2"/>
                <w:sz w:val="22"/>
                <w:szCs w:val="22"/>
              </w:rPr>
              <w:t>Wielkość</w:t>
            </w:r>
          </w:p>
        </w:tc>
        <w:tc>
          <w:tcPr>
            <w:tcW w:w="2126" w:type="dxa"/>
            <w:gridSpan w:val="8"/>
            <w:shd w:val="clear" w:color="auto" w:fill="auto"/>
          </w:tcPr>
          <w:p w:rsidR="00D25AAB" w:rsidRPr="00D25AAB" w:rsidRDefault="00D25AAB" w:rsidP="0072636A">
            <w:pPr>
              <w:spacing w:before="40" w:line="240" w:lineRule="auto"/>
              <w:jc w:val="center"/>
              <w:rPr>
                <w:color w:val="000000"/>
                <w:spacing w:val="-2"/>
                <w:sz w:val="22"/>
                <w:szCs w:val="22"/>
              </w:rPr>
            </w:pPr>
            <w:r w:rsidRPr="00D25AAB">
              <w:rPr>
                <w:color w:val="000000"/>
                <w:spacing w:val="-2"/>
                <w:sz w:val="22"/>
                <w:szCs w:val="22"/>
              </w:rPr>
              <w:t>Źródło danych</w:t>
            </w:r>
            <w:r w:rsidRPr="00D25AAB" w:rsidDel="00260F33">
              <w:rPr>
                <w:color w:val="000000"/>
                <w:spacing w:val="-2"/>
                <w:sz w:val="22"/>
                <w:szCs w:val="22"/>
              </w:rPr>
              <w:t xml:space="preserve"> </w:t>
            </w:r>
          </w:p>
        </w:tc>
        <w:tc>
          <w:tcPr>
            <w:tcW w:w="2835" w:type="dxa"/>
            <w:gridSpan w:val="6"/>
            <w:shd w:val="clear" w:color="auto" w:fill="auto"/>
          </w:tcPr>
          <w:p w:rsidR="00D25AAB" w:rsidRPr="00D25AAB" w:rsidRDefault="00D25AAB" w:rsidP="0072636A">
            <w:pPr>
              <w:spacing w:before="40" w:line="240" w:lineRule="auto"/>
              <w:jc w:val="center"/>
              <w:rPr>
                <w:color w:val="000000"/>
                <w:spacing w:val="-2"/>
                <w:sz w:val="22"/>
                <w:szCs w:val="22"/>
              </w:rPr>
            </w:pPr>
            <w:r w:rsidRPr="00D25AAB">
              <w:rPr>
                <w:color w:val="000000"/>
                <w:spacing w:val="-2"/>
                <w:sz w:val="22"/>
                <w:szCs w:val="22"/>
              </w:rPr>
              <w:t>Oddziaływanie</w:t>
            </w:r>
          </w:p>
        </w:tc>
      </w:tr>
      <w:tr w:rsidR="00D25AAB" w:rsidRPr="008B4FE6" w:rsidTr="00D00003">
        <w:trPr>
          <w:trHeight w:val="142"/>
        </w:trPr>
        <w:tc>
          <w:tcPr>
            <w:tcW w:w="3403" w:type="dxa"/>
            <w:gridSpan w:val="4"/>
            <w:shd w:val="clear" w:color="auto" w:fill="auto"/>
          </w:tcPr>
          <w:p w:rsidR="00D25AAB" w:rsidRPr="00D25AAB" w:rsidRDefault="00D25AAB" w:rsidP="0005247C">
            <w:pPr>
              <w:spacing w:line="240" w:lineRule="auto"/>
              <w:jc w:val="center"/>
              <w:rPr>
                <w:color w:val="000000"/>
                <w:spacing w:val="-2"/>
                <w:sz w:val="22"/>
                <w:szCs w:val="22"/>
              </w:rPr>
            </w:pPr>
            <w:r w:rsidRPr="00D25AAB">
              <w:rPr>
                <w:color w:val="000000"/>
                <w:spacing w:val="-2"/>
                <w:sz w:val="22"/>
                <w:szCs w:val="22"/>
              </w:rPr>
              <w:t xml:space="preserve">Właściciele lub inne osoby uprawnione do przedmiotów </w:t>
            </w:r>
            <w:r w:rsidRPr="00D25AAB">
              <w:rPr>
                <w:color w:val="000000"/>
                <w:spacing w:val="-2"/>
                <w:sz w:val="22"/>
                <w:szCs w:val="22"/>
              </w:rPr>
              <w:br/>
              <w:t xml:space="preserve">i narzędzi </w:t>
            </w:r>
            <w:r w:rsidRPr="00D25AAB">
              <w:rPr>
                <w:bCs/>
                <w:color w:val="000000"/>
                <w:spacing w:val="-2"/>
                <w:sz w:val="22"/>
                <w:szCs w:val="22"/>
              </w:rPr>
              <w:t>służących do popełnienia przestępstwa lub wykroczenia, jeżeli osoby te nie przewidywały albo nie mogły przewidzieć przy zachowaniu ostrożności wymaganej w danych okolicznościach, że ww. przedmioty mogą służyć do popełnienia przestępstwa lub wykroczenia.</w:t>
            </w:r>
          </w:p>
        </w:tc>
        <w:tc>
          <w:tcPr>
            <w:tcW w:w="2835" w:type="dxa"/>
            <w:gridSpan w:val="8"/>
            <w:shd w:val="clear" w:color="auto" w:fill="auto"/>
          </w:tcPr>
          <w:p w:rsidR="00D25AAB" w:rsidRPr="00D25AAB" w:rsidRDefault="00D25AAB" w:rsidP="00974B27">
            <w:pPr>
              <w:spacing w:line="240" w:lineRule="auto"/>
              <w:jc w:val="center"/>
              <w:rPr>
                <w:color w:val="000000"/>
                <w:spacing w:val="-2"/>
                <w:sz w:val="22"/>
                <w:szCs w:val="22"/>
              </w:rPr>
            </w:pPr>
            <w:r w:rsidRPr="00D25AAB">
              <w:rPr>
                <w:color w:val="000000"/>
                <w:spacing w:val="-2"/>
                <w:sz w:val="22"/>
                <w:szCs w:val="22"/>
              </w:rPr>
              <w:t>brak danych</w:t>
            </w:r>
          </w:p>
          <w:p w:rsidR="00D25AAB" w:rsidRPr="00D25AAB" w:rsidRDefault="00D25AAB" w:rsidP="00974B27">
            <w:pPr>
              <w:spacing w:line="240" w:lineRule="auto"/>
              <w:jc w:val="center"/>
              <w:rPr>
                <w:color w:val="000000"/>
                <w:spacing w:val="-2"/>
                <w:sz w:val="22"/>
                <w:szCs w:val="22"/>
              </w:rPr>
            </w:pPr>
          </w:p>
        </w:tc>
        <w:tc>
          <w:tcPr>
            <w:tcW w:w="2126" w:type="dxa"/>
            <w:gridSpan w:val="8"/>
            <w:shd w:val="clear" w:color="auto" w:fill="auto"/>
          </w:tcPr>
          <w:p w:rsidR="00D25AAB" w:rsidRPr="00D25AAB" w:rsidRDefault="00D25AAB" w:rsidP="00E446A3">
            <w:pPr>
              <w:spacing w:line="240" w:lineRule="auto"/>
              <w:jc w:val="center"/>
              <w:rPr>
                <w:spacing w:val="-2"/>
                <w:sz w:val="22"/>
                <w:szCs w:val="22"/>
              </w:rPr>
            </w:pPr>
          </w:p>
        </w:tc>
        <w:tc>
          <w:tcPr>
            <w:tcW w:w="2835" w:type="dxa"/>
            <w:gridSpan w:val="6"/>
            <w:shd w:val="clear" w:color="auto" w:fill="auto"/>
          </w:tcPr>
          <w:p w:rsidR="00D25AAB" w:rsidRPr="00D25AAB" w:rsidRDefault="00D25AAB" w:rsidP="00C45130">
            <w:pPr>
              <w:spacing w:line="240" w:lineRule="auto"/>
              <w:jc w:val="center"/>
              <w:rPr>
                <w:color w:val="000000"/>
                <w:spacing w:val="-2"/>
                <w:sz w:val="22"/>
                <w:szCs w:val="22"/>
              </w:rPr>
            </w:pPr>
            <w:r w:rsidRPr="00D25AAB">
              <w:rPr>
                <w:color w:val="000000"/>
                <w:spacing w:val="-2"/>
                <w:sz w:val="22"/>
                <w:szCs w:val="22"/>
              </w:rPr>
              <w:t xml:space="preserve">Brak możliwości pozbawienia prawa własności przedmiotu, nawet jeśli służył on </w:t>
            </w:r>
            <w:r w:rsidRPr="00D25AAB">
              <w:rPr>
                <w:color w:val="000000"/>
                <w:spacing w:val="-2"/>
                <w:sz w:val="22"/>
                <w:szCs w:val="22"/>
              </w:rPr>
              <w:br/>
              <w:t>do popełnienia przestępstwa lub wykroczenia</w:t>
            </w:r>
          </w:p>
        </w:tc>
      </w:tr>
      <w:tr w:rsidR="00D25AAB" w:rsidRPr="008B4FE6" w:rsidTr="000E170C">
        <w:trPr>
          <w:trHeight w:val="302"/>
        </w:trPr>
        <w:tc>
          <w:tcPr>
            <w:tcW w:w="11199" w:type="dxa"/>
            <w:gridSpan w:val="26"/>
            <w:shd w:val="clear" w:color="auto" w:fill="99CCFF"/>
            <w:vAlign w:val="center"/>
          </w:tcPr>
          <w:p w:rsidR="00D25AAB" w:rsidRPr="00D25AAB" w:rsidRDefault="00D25AAB" w:rsidP="00D25AAB">
            <w:pPr>
              <w:widowControl/>
              <w:numPr>
                <w:ilvl w:val="0"/>
                <w:numId w:val="47"/>
              </w:numPr>
              <w:autoSpaceDE/>
              <w:autoSpaceDN/>
              <w:adjustRightInd/>
              <w:spacing w:before="60" w:after="60" w:line="240" w:lineRule="auto"/>
              <w:ind w:left="318" w:hanging="284"/>
              <w:rPr>
                <w:b/>
                <w:color w:val="000000"/>
                <w:sz w:val="22"/>
                <w:szCs w:val="22"/>
              </w:rPr>
            </w:pPr>
            <w:r w:rsidRPr="00D25AAB">
              <w:rPr>
                <w:b/>
                <w:color w:val="000000"/>
                <w:sz w:val="22"/>
                <w:szCs w:val="22"/>
              </w:rPr>
              <w:t>Informacje na temat zakresu, czasu trwania i podsumowanie wyników konsultacji</w:t>
            </w:r>
          </w:p>
        </w:tc>
      </w:tr>
      <w:tr w:rsidR="00D25AAB" w:rsidRPr="008B4FE6" w:rsidTr="000E170C">
        <w:trPr>
          <w:trHeight w:val="342"/>
        </w:trPr>
        <w:tc>
          <w:tcPr>
            <w:tcW w:w="11199" w:type="dxa"/>
            <w:gridSpan w:val="26"/>
            <w:shd w:val="clear" w:color="auto" w:fill="FFFFFF"/>
          </w:tcPr>
          <w:p w:rsidR="00D25AAB" w:rsidRPr="00D25AAB" w:rsidRDefault="00D25AAB" w:rsidP="0005247C">
            <w:pPr>
              <w:spacing w:before="80" w:after="120" w:line="300" w:lineRule="exact"/>
              <w:rPr>
                <w:spacing w:val="-2"/>
                <w:sz w:val="22"/>
                <w:szCs w:val="22"/>
              </w:rPr>
            </w:pPr>
            <w:r w:rsidRPr="00D25AAB">
              <w:rPr>
                <w:spacing w:val="-2"/>
                <w:sz w:val="22"/>
                <w:szCs w:val="22"/>
              </w:rPr>
              <w:t xml:space="preserve">Opinie do projektu objętego </w:t>
            </w:r>
            <w:r w:rsidRPr="00E72936">
              <w:rPr>
                <w:rFonts w:eastAsia="Calibri" w:cs="Times New Roman"/>
                <w:spacing w:val="-2"/>
                <w:sz w:val="22"/>
                <w:szCs w:val="22"/>
                <w:lang w:eastAsia="en-US"/>
              </w:rPr>
              <w:t>drukiem</w:t>
            </w:r>
            <w:r w:rsidRPr="00D25AAB">
              <w:rPr>
                <w:spacing w:val="-2"/>
                <w:sz w:val="22"/>
                <w:szCs w:val="22"/>
              </w:rPr>
              <w:t xml:space="preserve"> 354 przekazały następujące podmioty: Komenda Główna Policji, Krajowa Rada Sądownictwa, Minister Rozwoju i Finansów, Minister Sprawiedliwości, Minister Spraw Wewnętrznych i Administracji, Minister Zdrowia, Prokuratoria Generalna RP oraz Sąd Najwyższy. </w:t>
            </w:r>
          </w:p>
          <w:p w:rsidR="00D25AAB" w:rsidRPr="00D25AAB" w:rsidRDefault="00D25AAB" w:rsidP="0091483D">
            <w:pPr>
              <w:spacing w:before="120" w:after="120" w:line="300" w:lineRule="exact"/>
              <w:rPr>
                <w:color w:val="000000"/>
                <w:spacing w:val="-2"/>
                <w:sz w:val="22"/>
                <w:szCs w:val="22"/>
              </w:rPr>
            </w:pPr>
            <w:r w:rsidRPr="00D25AAB">
              <w:rPr>
                <w:color w:val="000000"/>
                <w:spacing w:val="-2"/>
                <w:sz w:val="22"/>
                <w:szCs w:val="22"/>
              </w:rPr>
              <w:t>W ramach przekazanych opinii zgłoszono następujące propozycje:</w:t>
            </w:r>
          </w:p>
          <w:p w:rsidR="00D25AAB" w:rsidRPr="00D25AAB" w:rsidRDefault="00D25AAB" w:rsidP="00D25AAB">
            <w:pPr>
              <w:pStyle w:val="Akapitzlist"/>
              <w:widowControl/>
              <w:numPr>
                <w:ilvl w:val="0"/>
                <w:numId w:val="48"/>
              </w:numPr>
              <w:autoSpaceDE/>
              <w:autoSpaceDN/>
              <w:adjustRightInd/>
              <w:spacing w:before="120" w:after="120" w:line="300" w:lineRule="exact"/>
              <w:rPr>
                <w:color w:val="000000"/>
                <w:spacing w:val="-2"/>
                <w:sz w:val="22"/>
                <w:szCs w:val="22"/>
              </w:rPr>
            </w:pPr>
            <w:r w:rsidRPr="00E72936">
              <w:rPr>
                <w:rFonts w:eastAsia="Calibri" w:cs="Times New Roman"/>
                <w:color w:val="000000"/>
                <w:spacing w:val="-2"/>
                <w:sz w:val="22"/>
                <w:szCs w:val="22"/>
                <w:lang w:eastAsia="en-US"/>
              </w:rPr>
              <w:t>wprowadzenia</w:t>
            </w:r>
            <w:r w:rsidRPr="00D25AAB">
              <w:rPr>
                <w:color w:val="000000"/>
                <w:spacing w:val="-2"/>
                <w:sz w:val="22"/>
                <w:szCs w:val="22"/>
              </w:rPr>
              <w:t xml:space="preserve"> do zmienianego przepisu art. 70 ust. 1 ustawy </w:t>
            </w:r>
            <w:r w:rsidRPr="00D25AAB">
              <w:rPr>
                <w:i/>
                <w:color w:val="000000"/>
                <w:spacing w:val="-2"/>
                <w:sz w:val="22"/>
                <w:szCs w:val="22"/>
              </w:rPr>
              <w:t>o przeciwdziałaniu narkomanii</w:t>
            </w:r>
            <w:r w:rsidRPr="00D25AAB">
              <w:rPr>
                <w:color w:val="000000"/>
                <w:spacing w:val="-2"/>
                <w:sz w:val="22"/>
                <w:szCs w:val="22"/>
              </w:rPr>
              <w:t xml:space="preserve"> doprecyzowania (analogicznego do funkcjonującego w ustawie – Kodeks karny skarbowy), zgodnie z którym nie orzeka się przepadku przedmiotów, jeżeli są własnością osoby trzeciej, a sprawca uzyskał je w drodze czynu zabronionego – </w:t>
            </w:r>
            <w:r w:rsidRPr="00D25AAB">
              <w:rPr>
                <w:b/>
                <w:color w:val="000000"/>
                <w:spacing w:val="-2"/>
                <w:sz w:val="22"/>
                <w:szCs w:val="22"/>
              </w:rPr>
              <w:t>Minister Spraw Wewnętrznych i Administracji</w:t>
            </w:r>
            <w:r w:rsidRPr="00D25AAB">
              <w:rPr>
                <w:color w:val="000000"/>
                <w:spacing w:val="-2"/>
                <w:sz w:val="22"/>
                <w:szCs w:val="22"/>
              </w:rPr>
              <w:t>;</w:t>
            </w:r>
          </w:p>
          <w:p w:rsidR="00D25AAB" w:rsidRPr="00D25AAB" w:rsidRDefault="00D25AAB" w:rsidP="00D25AAB">
            <w:pPr>
              <w:pStyle w:val="Akapitzlist"/>
              <w:widowControl/>
              <w:numPr>
                <w:ilvl w:val="0"/>
                <w:numId w:val="48"/>
              </w:numPr>
              <w:autoSpaceDE/>
              <w:autoSpaceDN/>
              <w:adjustRightInd/>
              <w:spacing w:before="120" w:after="120" w:line="300" w:lineRule="exact"/>
              <w:rPr>
                <w:color w:val="000000"/>
                <w:spacing w:val="-2"/>
                <w:sz w:val="22"/>
                <w:szCs w:val="22"/>
              </w:rPr>
            </w:pPr>
            <w:r w:rsidRPr="00D25AAB">
              <w:rPr>
                <w:color w:val="000000"/>
                <w:spacing w:val="-2"/>
                <w:sz w:val="22"/>
                <w:szCs w:val="22"/>
              </w:rPr>
              <w:lastRenderedPageBreak/>
              <w:t>rozszerzenia zakresu projektowanej nowelizacji o zmianę art. 44c ust. 4 ustawy</w:t>
            </w:r>
            <w:r w:rsidRPr="00D25AAB">
              <w:rPr>
                <w:i/>
                <w:color w:val="000000"/>
                <w:sz w:val="22"/>
                <w:szCs w:val="22"/>
              </w:rPr>
              <w:t xml:space="preserve"> </w:t>
            </w:r>
            <w:r w:rsidRPr="00D25AAB">
              <w:rPr>
                <w:i/>
                <w:color w:val="000000"/>
                <w:spacing w:val="-2"/>
                <w:sz w:val="22"/>
                <w:szCs w:val="22"/>
              </w:rPr>
              <w:t>o przeciwdziałaniu narkomanii</w:t>
            </w:r>
            <w:r w:rsidRPr="00D25AAB">
              <w:rPr>
                <w:color w:val="000000"/>
                <w:spacing w:val="-2"/>
                <w:sz w:val="22"/>
                <w:szCs w:val="22"/>
              </w:rPr>
              <w:t xml:space="preserve">, który zdaniem Prokuratorii Generalnej RP budzi wątpliwości konstytucyjne i jest niespójny z pozostałymi przepisami ustawy, gdyż pozwala organowi administracji publicznej (państwowemu inspektorowi sanitarnemu) samodzielnie orzec o przepadku produktów będących środkami zastępczym lub nową substancją psychoaktywną, podczas gdy </w:t>
            </w:r>
            <w:r w:rsidRPr="00D25AAB">
              <w:rPr>
                <w:color w:val="000000"/>
                <w:spacing w:val="-2"/>
                <w:sz w:val="22"/>
                <w:szCs w:val="22"/>
              </w:rPr>
              <w:br/>
              <w:t xml:space="preserve">w pozostałych przypadkach o przepadku przedmiotu decyduje sąd na wniosek organu – </w:t>
            </w:r>
            <w:r w:rsidRPr="00D25AAB">
              <w:rPr>
                <w:b/>
                <w:color w:val="000000"/>
                <w:spacing w:val="-2"/>
                <w:sz w:val="22"/>
                <w:szCs w:val="22"/>
              </w:rPr>
              <w:t>Prokuratoria Generalna RP</w:t>
            </w:r>
            <w:r w:rsidRPr="00D25AAB">
              <w:rPr>
                <w:color w:val="000000"/>
                <w:spacing w:val="-2"/>
                <w:sz w:val="22"/>
                <w:szCs w:val="22"/>
              </w:rPr>
              <w:t>.</w:t>
            </w:r>
          </w:p>
          <w:p w:rsidR="00D25AAB" w:rsidRPr="00D25AAB" w:rsidRDefault="00D25AAB" w:rsidP="00E72936">
            <w:pPr>
              <w:widowControl/>
              <w:autoSpaceDE/>
              <w:autoSpaceDN/>
              <w:adjustRightInd/>
              <w:spacing w:before="120" w:after="120" w:line="300" w:lineRule="exact"/>
              <w:rPr>
                <w:color w:val="000000"/>
                <w:spacing w:val="-2"/>
                <w:sz w:val="22"/>
                <w:szCs w:val="22"/>
              </w:rPr>
            </w:pPr>
            <w:r w:rsidRPr="00D25AAB">
              <w:rPr>
                <w:b/>
                <w:color w:val="000000"/>
                <w:spacing w:val="-2"/>
                <w:sz w:val="22"/>
                <w:szCs w:val="22"/>
              </w:rPr>
              <w:t>Minister Zdrowia</w:t>
            </w:r>
            <w:r w:rsidRPr="00D25AAB">
              <w:rPr>
                <w:color w:val="000000"/>
                <w:spacing w:val="-2"/>
                <w:sz w:val="22"/>
                <w:szCs w:val="22"/>
              </w:rPr>
              <w:t xml:space="preserve"> poinformował, że regulacje mające na dostosowanie prawa do wyroku TK objęte są również projektem rządowym i dalsze </w:t>
            </w:r>
            <w:r w:rsidRPr="00E72936">
              <w:rPr>
                <w:rFonts w:eastAsia="Calibri" w:cs="Times New Roman"/>
                <w:color w:val="000000"/>
                <w:spacing w:val="-2"/>
                <w:sz w:val="22"/>
                <w:szCs w:val="22"/>
                <w:lang w:eastAsia="en-US"/>
              </w:rPr>
              <w:t>prowadzenie</w:t>
            </w:r>
            <w:r w:rsidRPr="00D25AAB">
              <w:rPr>
                <w:color w:val="000000"/>
                <w:spacing w:val="-2"/>
                <w:sz w:val="22"/>
                <w:szCs w:val="22"/>
              </w:rPr>
              <w:t xml:space="preserve"> prac legislacyjnych nad projektem senackim nie jest zasadne. </w:t>
            </w:r>
            <w:r w:rsidRPr="00D25AAB">
              <w:rPr>
                <w:b/>
                <w:color w:val="000000"/>
                <w:spacing w:val="-2"/>
                <w:sz w:val="22"/>
                <w:szCs w:val="22"/>
              </w:rPr>
              <w:t>Komenda Główna Policji</w:t>
            </w:r>
            <w:r w:rsidRPr="00D25AAB">
              <w:rPr>
                <w:color w:val="000000"/>
                <w:spacing w:val="-2"/>
                <w:sz w:val="22"/>
                <w:szCs w:val="22"/>
              </w:rPr>
              <w:t xml:space="preserve"> przekazała dane w zakresie przestępstw związanych z narkomanią.</w:t>
            </w:r>
          </w:p>
          <w:p w:rsidR="00D25AAB" w:rsidRPr="00D25AAB" w:rsidRDefault="00D25AAB" w:rsidP="00E72936">
            <w:pPr>
              <w:widowControl/>
              <w:autoSpaceDE/>
              <w:autoSpaceDN/>
              <w:adjustRightInd/>
              <w:spacing w:before="120" w:after="120" w:line="300" w:lineRule="exact"/>
              <w:rPr>
                <w:color w:val="000000"/>
                <w:spacing w:val="-2"/>
                <w:sz w:val="22"/>
                <w:szCs w:val="22"/>
              </w:rPr>
            </w:pPr>
            <w:r w:rsidRPr="00E72936">
              <w:rPr>
                <w:rFonts w:eastAsia="Calibri" w:cs="Times New Roman"/>
                <w:color w:val="000000"/>
                <w:spacing w:val="-2"/>
                <w:sz w:val="22"/>
                <w:szCs w:val="22"/>
                <w:lang w:eastAsia="en-US"/>
              </w:rPr>
              <w:t>Krajowa Rada Sądownictwa, Minister Rozwoju i Finansów oraz Sąd Najwyższy przekazali informację o braku uwag.</w:t>
            </w:r>
          </w:p>
        </w:tc>
      </w:tr>
      <w:tr w:rsidR="00D25AAB" w:rsidRPr="008B4FE6" w:rsidTr="000E170C">
        <w:trPr>
          <w:trHeight w:val="363"/>
        </w:trPr>
        <w:tc>
          <w:tcPr>
            <w:tcW w:w="11199" w:type="dxa"/>
            <w:gridSpan w:val="26"/>
            <w:shd w:val="clear" w:color="auto" w:fill="99CCFF"/>
            <w:vAlign w:val="center"/>
          </w:tcPr>
          <w:p w:rsidR="00D25AAB" w:rsidRPr="00D25AAB" w:rsidRDefault="00D25AAB" w:rsidP="00D25AAB">
            <w:pPr>
              <w:widowControl/>
              <w:numPr>
                <w:ilvl w:val="0"/>
                <w:numId w:val="47"/>
              </w:numPr>
              <w:autoSpaceDE/>
              <w:autoSpaceDN/>
              <w:adjustRightInd/>
              <w:spacing w:before="60" w:after="60" w:line="240" w:lineRule="auto"/>
              <w:ind w:left="318" w:hanging="284"/>
              <w:rPr>
                <w:b/>
                <w:color w:val="000000"/>
                <w:sz w:val="22"/>
                <w:szCs w:val="22"/>
              </w:rPr>
            </w:pPr>
            <w:r w:rsidRPr="00D25AAB">
              <w:rPr>
                <w:b/>
                <w:color w:val="000000"/>
                <w:sz w:val="22"/>
                <w:szCs w:val="22"/>
              </w:rPr>
              <w:lastRenderedPageBreak/>
              <w:t xml:space="preserve"> Wpływ na sektor finansów publicznych</w:t>
            </w:r>
          </w:p>
        </w:tc>
      </w:tr>
      <w:tr w:rsidR="00D25AAB" w:rsidRPr="008B4FE6" w:rsidTr="000E170C">
        <w:trPr>
          <w:trHeight w:val="142"/>
        </w:trPr>
        <w:tc>
          <w:tcPr>
            <w:tcW w:w="3133" w:type="dxa"/>
            <w:gridSpan w:val="3"/>
            <w:vMerge w:val="restart"/>
            <w:shd w:val="clear" w:color="auto" w:fill="FFFFFF"/>
          </w:tcPr>
          <w:p w:rsidR="00D25AAB" w:rsidRPr="00D25AAB" w:rsidRDefault="00D25AAB" w:rsidP="006E2807">
            <w:pPr>
              <w:spacing w:before="40" w:after="40"/>
              <w:rPr>
                <w:i/>
                <w:color w:val="000000"/>
                <w:sz w:val="22"/>
                <w:szCs w:val="22"/>
              </w:rPr>
            </w:pPr>
            <w:r w:rsidRPr="00D25AAB">
              <w:rPr>
                <w:color w:val="000000"/>
                <w:sz w:val="22"/>
                <w:szCs w:val="22"/>
              </w:rPr>
              <w:t>(ceny stałe z 2016 r.)</w:t>
            </w:r>
          </w:p>
        </w:tc>
        <w:tc>
          <w:tcPr>
            <w:tcW w:w="8066" w:type="dxa"/>
            <w:gridSpan w:val="23"/>
            <w:shd w:val="clear" w:color="auto" w:fill="FFFFFF"/>
          </w:tcPr>
          <w:p w:rsidR="00D25AAB" w:rsidRPr="00D25AAB" w:rsidRDefault="00D25AAB" w:rsidP="00260F33">
            <w:pPr>
              <w:spacing w:before="40" w:after="40" w:line="240" w:lineRule="auto"/>
              <w:jc w:val="center"/>
              <w:rPr>
                <w:i/>
                <w:color w:val="000000"/>
                <w:spacing w:val="-2"/>
                <w:sz w:val="22"/>
                <w:szCs w:val="22"/>
              </w:rPr>
            </w:pPr>
            <w:r w:rsidRPr="00D25AAB">
              <w:rPr>
                <w:color w:val="000000"/>
                <w:sz w:val="22"/>
                <w:szCs w:val="22"/>
              </w:rPr>
              <w:t>Skutki w okresie 10 lat od wejścia w życie zmian [mln zł]</w:t>
            </w:r>
          </w:p>
        </w:tc>
      </w:tr>
      <w:tr w:rsidR="00D25AAB" w:rsidRPr="008B4FE6" w:rsidTr="00876959">
        <w:trPr>
          <w:trHeight w:val="142"/>
        </w:trPr>
        <w:tc>
          <w:tcPr>
            <w:tcW w:w="3133" w:type="dxa"/>
            <w:gridSpan w:val="3"/>
            <w:vMerge/>
            <w:shd w:val="clear" w:color="auto" w:fill="FFFFFF"/>
          </w:tcPr>
          <w:p w:rsidR="00D25AAB" w:rsidRPr="00D25AAB" w:rsidRDefault="00D25AAB" w:rsidP="00A52ADB">
            <w:pPr>
              <w:spacing w:before="40" w:after="40" w:line="240" w:lineRule="auto"/>
              <w:rPr>
                <w:i/>
                <w:color w:val="000000"/>
                <w:sz w:val="22"/>
                <w:szCs w:val="22"/>
              </w:rPr>
            </w:pPr>
          </w:p>
        </w:tc>
        <w:tc>
          <w:tcPr>
            <w:tcW w:w="630" w:type="dxa"/>
            <w:gridSpan w:val="2"/>
            <w:shd w:val="clear" w:color="auto" w:fill="FFFFFF"/>
            <w:vAlign w:val="center"/>
          </w:tcPr>
          <w:p w:rsidR="00D25AAB" w:rsidRPr="00D25AAB" w:rsidRDefault="00D25AAB" w:rsidP="006E2807">
            <w:pPr>
              <w:spacing w:line="240" w:lineRule="auto"/>
              <w:jc w:val="center"/>
              <w:rPr>
                <w:color w:val="000000"/>
                <w:sz w:val="22"/>
                <w:szCs w:val="22"/>
              </w:rPr>
            </w:pPr>
            <w:r w:rsidRPr="00D25AAB">
              <w:rPr>
                <w:color w:val="000000"/>
                <w:sz w:val="22"/>
                <w:szCs w:val="22"/>
              </w:rPr>
              <w:t>0</w:t>
            </w:r>
          </w:p>
        </w:tc>
        <w:tc>
          <w:tcPr>
            <w:tcW w:w="630" w:type="dxa"/>
            <w:gridSpan w:val="2"/>
            <w:shd w:val="clear" w:color="auto" w:fill="FFFFFF"/>
            <w:vAlign w:val="center"/>
          </w:tcPr>
          <w:p w:rsidR="00D25AAB" w:rsidRPr="00D25AAB" w:rsidRDefault="00D25AAB" w:rsidP="006E2807">
            <w:pPr>
              <w:spacing w:line="240" w:lineRule="auto"/>
              <w:jc w:val="center"/>
              <w:rPr>
                <w:color w:val="000000"/>
                <w:sz w:val="22"/>
                <w:szCs w:val="22"/>
              </w:rPr>
            </w:pPr>
            <w:r w:rsidRPr="00D25AAB">
              <w:rPr>
                <w:color w:val="000000"/>
                <w:sz w:val="22"/>
                <w:szCs w:val="22"/>
              </w:rPr>
              <w:t>1</w:t>
            </w:r>
          </w:p>
        </w:tc>
        <w:tc>
          <w:tcPr>
            <w:tcW w:w="630" w:type="dxa"/>
            <w:gridSpan w:val="2"/>
            <w:shd w:val="clear" w:color="auto" w:fill="FFFFFF"/>
            <w:vAlign w:val="center"/>
          </w:tcPr>
          <w:p w:rsidR="00D25AAB" w:rsidRPr="00D25AAB" w:rsidRDefault="00D25AAB" w:rsidP="006E2807">
            <w:pPr>
              <w:spacing w:line="240" w:lineRule="auto"/>
              <w:jc w:val="center"/>
              <w:rPr>
                <w:color w:val="000000"/>
                <w:sz w:val="22"/>
                <w:szCs w:val="22"/>
              </w:rPr>
            </w:pPr>
            <w:r w:rsidRPr="00D25AAB">
              <w:rPr>
                <w:color w:val="000000"/>
                <w:sz w:val="22"/>
                <w:szCs w:val="22"/>
              </w:rPr>
              <w:t>2</w:t>
            </w:r>
          </w:p>
        </w:tc>
        <w:tc>
          <w:tcPr>
            <w:tcW w:w="630" w:type="dxa"/>
            <w:shd w:val="clear" w:color="auto" w:fill="FFFFFF"/>
            <w:vAlign w:val="center"/>
          </w:tcPr>
          <w:p w:rsidR="00D25AAB" w:rsidRPr="00D25AAB" w:rsidRDefault="00D25AAB" w:rsidP="006E2807">
            <w:pPr>
              <w:spacing w:line="240" w:lineRule="auto"/>
              <w:jc w:val="center"/>
              <w:rPr>
                <w:color w:val="000000"/>
                <w:sz w:val="22"/>
                <w:szCs w:val="22"/>
              </w:rPr>
            </w:pPr>
            <w:r w:rsidRPr="00D25AAB">
              <w:rPr>
                <w:color w:val="000000"/>
                <w:sz w:val="22"/>
                <w:szCs w:val="22"/>
              </w:rPr>
              <w:t>3</w:t>
            </w:r>
          </w:p>
        </w:tc>
        <w:tc>
          <w:tcPr>
            <w:tcW w:w="630" w:type="dxa"/>
            <w:gridSpan w:val="3"/>
            <w:shd w:val="clear" w:color="auto" w:fill="FFFFFF"/>
            <w:vAlign w:val="center"/>
          </w:tcPr>
          <w:p w:rsidR="00D25AAB" w:rsidRPr="00D25AAB" w:rsidRDefault="00D25AAB" w:rsidP="006E2807">
            <w:pPr>
              <w:spacing w:line="240" w:lineRule="auto"/>
              <w:jc w:val="center"/>
              <w:rPr>
                <w:color w:val="000000"/>
                <w:sz w:val="22"/>
                <w:szCs w:val="22"/>
              </w:rPr>
            </w:pPr>
            <w:r w:rsidRPr="00D25AAB">
              <w:rPr>
                <w:color w:val="000000"/>
                <w:sz w:val="22"/>
                <w:szCs w:val="22"/>
              </w:rPr>
              <w:t>4</w:t>
            </w:r>
          </w:p>
        </w:tc>
        <w:tc>
          <w:tcPr>
            <w:tcW w:w="631" w:type="dxa"/>
            <w:gridSpan w:val="3"/>
            <w:shd w:val="clear" w:color="auto" w:fill="FFFFFF"/>
            <w:vAlign w:val="center"/>
          </w:tcPr>
          <w:p w:rsidR="00D25AAB" w:rsidRPr="00D25AAB" w:rsidRDefault="00D25AAB" w:rsidP="006E2807">
            <w:pPr>
              <w:spacing w:line="240" w:lineRule="auto"/>
              <w:jc w:val="center"/>
              <w:rPr>
                <w:color w:val="000000"/>
                <w:sz w:val="22"/>
                <w:szCs w:val="22"/>
              </w:rPr>
            </w:pPr>
            <w:r w:rsidRPr="00D25AAB">
              <w:rPr>
                <w:color w:val="000000"/>
                <w:sz w:val="22"/>
                <w:szCs w:val="22"/>
              </w:rPr>
              <w:t>5</w:t>
            </w:r>
          </w:p>
        </w:tc>
        <w:tc>
          <w:tcPr>
            <w:tcW w:w="630" w:type="dxa"/>
            <w:shd w:val="clear" w:color="auto" w:fill="FFFFFF"/>
            <w:vAlign w:val="center"/>
          </w:tcPr>
          <w:p w:rsidR="00D25AAB" w:rsidRPr="00C53F26" w:rsidRDefault="00D25AAB" w:rsidP="006E2807">
            <w:pPr>
              <w:spacing w:line="240" w:lineRule="auto"/>
              <w:jc w:val="center"/>
              <w:rPr>
                <w:color w:val="000000"/>
                <w:sz w:val="21"/>
                <w:szCs w:val="21"/>
              </w:rPr>
            </w:pPr>
            <w:r w:rsidRPr="00C53F26">
              <w:rPr>
                <w:color w:val="000000"/>
                <w:sz w:val="21"/>
                <w:szCs w:val="21"/>
              </w:rPr>
              <w:t>6</w:t>
            </w:r>
          </w:p>
        </w:tc>
        <w:tc>
          <w:tcPr>
            <w:tcW w:w="630" w:type="dxa"/>
            <w:gridSpan w:val="2"/>
            <w:shd w:val="clear" w:color="auto" w:fill="FFFFFF"/>
            <w:vAlign w:val="center"/>
          </w:tcPr>
          <w:p w:rsidR="00D25AAB" w:rsidRPr="00C53F26" w:rsidRDefault="00D25AAB" w:rsidP="006E2807">
            <w:pPr>
              <w:spacing w:line="240" w:lineRule="auto"/>
              <w:jc w:val="center"/>
              <w:rPr>
                <w:color w:val="000000"/>
                <w:sz w:val="21"/>
                <w:szCs w:val="21"/>
              </w:rPr>
            </w:pPr>
            <w:r w:rsidRPr="00C53F26">
              <w:rPr>
                <w:color w:val="000000"/>
                <w:sz w:val="21"/>
                <w:szCs w:val="21"/>
              </w:rPr>
              <w:t>7</w:t>
            </w:r>
          </w:p>
        </w:tc>
        <w:tc>
          <w:tcPr>
            <w:tcW w:w="630" w:type="dxa"/>
            <w:gridSpan w:val="3"/>
            <w:shd w:val="clear" w:color="auto" w:fill="FFFFFF"/>
            <w:vAlign w:val="center"/>
          </w:tcPr>
          <w:p w:rsidR="00D25AAB" w:rsidRPr="00C53F26" w:rsidRDefault="00D25AAB" w:rsidP="006E2807">
            <w:pPr>
              <w:spacing w:line="240" w:lineRule="auto"/>
              <w:jc w:val="center"/>
              <w:rPr>
                <w:color w:val="000000"/>
                <w:sz w:val="21"/>
                <w:szCs w:val="21"/>
              </w:rPr>
            </w:pPr>
            <w:r w:rsidRPr="00C53F26">
              <w:rPr>
                <w:color w:val="000000"/>
                <w:sz w:val="21"/>
                <w:szCs w:val="21"/>
              </w:rPr>
              <w:t>8</w:t>
            </w:r>
          </w:p>
        </w:tc>
        <w:tc>
          <w:tcPr>
            <w:tcW w:w="694" w:type="dxa"/>
            <w:shd w:val="clear" w:color="auto" w:fill="FFFFFF"/>
            <w:vAlign w:val="center"/>
          </w:tcPr>
          <w:p w:rsidR="00D25AAB" w:rsidRPr="00C53F26" w:rsidRDefault="00D25AAB" w:rsidP="006E2807">
            <w:pPr>
              <w:spacing w:line="240" w:lineRule="auto"/>
              <w:jc w:val="center"/>
              <w:rPr>
                <w:color w:val="000000"/>
                <w:sz w:val="21"/>
                <w:szCs w:val="21"/>
              </w:rPr>
            </w:pPr>
            <w:r w:rsidRPr="00C53F26">
              <w:rPr>
                <w:color w:val="000000"/>
                <w:sz w:val="21"/>
                <w:szCs w:val="21"/>
              </w:rPr>
              <w:t>9</w:t>
            </w:r>
          </w:p>
        </w:tc>
        <w:tc>
          <w:tcPr>
            <w:tcW w:w="709" w:type="dxa"/>
            <w:gridSpan w:val="2"/>
            <w:shd w:val="clear" w:color="auto" w:fill="FFFFFF"/>
            <w:vAlign w:val="center"/>
          </w:tcPr>
          <w:p w:rsidR="00D25AAB" w:rsidRPr="00C53F26" w:rsidRDefault="00D25AAB" w:rsidP="006E2807">
            <w:pPr>
              <w:spacing w:line="240" w:lineRule="auto"/>
              <w:jc w:val="center"/>
              <w:rPr>
                <w:color w:val="000000"/>
                <w:sz w:val="21"/>
                <w:szCs w:val="21"/>
              </w:rPr>
            </w:pPr>
            <w:r w:rsidRPr="00C53F26">
              <w:rPr>
                <w:color w:val="000000"/>
                <w:sz w:val="21"/>
                <w:szCs w:val="21"/>
              </w:rPr>
              <w:t>10</w:t>
            </w:r>
          </w:p>
        </w:tc>
        <w:tc>
          <w:tcPr>
            <w:tcW w:w="992" w:type="dxa"/>
            <w:shd w:val="clear" w:color="auto" w:fill="FFFFFF"/>
          </w:tcPr>
          <w:p w:rsidR="00D25AAB" w:rsidRPr="00C53F26" w:rsidRDefault="00D25AAB" w:rsidP="00A52ADB">
            <w:pPr>
              <w:spacing w:before="40" w:after="40" w:line="240" w:lineRule="auto"/>
              <w:jc w:val="center"/>
              <w:rPr>
                <w:i/>
                <w:color w:val="000000"/>
                <w:spacing w:val="-2"/>
                <w:sz w:val="21"/>
                <w:szCs w:val="21"/>
              </w:rPr>
            </w:pPr>
            <w:r w:rsidRPr="00C53F26">
              <w:rPr>
                <w:i/>
                <w:color w:val="000000"/>
                <w:spacing w:val="-2"/>
                <w:sz w:val="21"/>
                <w:szCs w:val="21"/>
              </w:rPr>
              <w:t>Łącznie</w:t>
            </w:r>
            <w:r>
              <w:rPr>
                <w:i/>
                <w:color w:val="000000"/>
                <w:spacing w:val="-2"/>
                <w:sz w:val="21"/>
                <w:szCs w:val="21"/>
              </w:rPr>
              <w:t xml:space="preserve"> (0-10)</w:t>
            </w:r>
          </w:p>
        </w:tc>
      </w:tr>
      <w:tr w:rsidR="00D25AAB" w:rsidRPr="008B4FE6" w:rsidTr="00876959">
        <w:trPr>
          <w:trHeight w:val="321"/>
        </w:trPr>
        <w:tc>
          <w:tcPr>
            <w:tcW w:w="3133" w:type="dxa"/>
            <w:gridSpan w:val="3"/>
            <w:shd w:val="clear" w:color="auto" w:fill="FFFFFF"/>
            <w:vAlign w:val="center"/>
          </w:tcPr>
          <w:p w:rsidR="00D25AAB" w:rsidRPr="00D25AAB" w:rsidRDefault="00D25AAB" w:rsidP="00C53F26">
            <w:pPr>
              <w:spacing w:line="240" w:lineRule="auto"/>
              <w:rPr>
                <w:color w:val="000000"/>
                <w:sz w:val="22"/>
                <w:szCs w:val="22"/>
              </w:rPr>
            </w:pPr>
            <w:r w:rsidRPr="00D25AAB">
              <w:rPr>
                <w:b/>
                <w:color w:val="000000"/>
                <w:sz w:val="22"/>
                <w:szCs w:val="22"/>
              </w:rPr>
              <w:t>Dochody ogółem</w:t>
            </w:r>
          </w:p>
        </w:tc>
        <w:tc>
          <w:tcPr>
            <w:tcW w:w="630" w:type="dxa"/>
            <w:gridSpan w:val="2"/>
            <w:shd w:val="clear" w:color="auto" w:fill="FFFFFF"/>
            <w:vAlign w:val="center"/>
          </w:tcPr>
          <w:p w:rsidR="00D25AAB" w:rsidRPr="00D25AAB" w:rsidRDefault="00D25AAB" w:rsidP="00B62C0F">
            <w:pPr>
              <w:spacing w:line="240" w:lineRule="auto"/>
              <w:jc w:val="right"/>
              <w:rPr>
                <w:b/>
                <w:color w:val="000000"/>
                <w:sz w:val="22"/>
                <w:szCs w:val="22"/>
              </w:rPr>
            </w:pPr>
            <w:r w:rsidRPr="00D25AAB">
              <w:rPr>
                <w:b/>
                <w:color w:val="000000"/>
                <w:sz w:val="22"/>
                <w:szCs w:val="22"/>
              </w:rPr>
              <w:t>0,0</w:t>
            </w:r>
          </w:p>
        </w:tc>
        <w:tc>
          <w:tcPr>
            <w:tcW w:w="630" w:type="dxa"/>
            <w:gridSpan w:val="2"/>
            <w:shd w:val="clear" w:color="auto" w:fill="FFFFFF"/>
            <w:vAlign w:val="center"/>
          </w:tcPr>
          <w:p w:rsidR="00D25AAB" w:rsidRPr="00D25AAB" w:rsidRDefault="00D25AAB" w:rsidP="00B62C0F">
            <w:pPr>
              <w:spacing w:line="240" w:lineRule="auto"/>
              <w:jc w:val="right"/>
              <w:rPr>
                <w:b/>
                <w:color w:val="000000"/>
                <w:sz w:val="22"/>
                <w:szCs w:val="22"/>
              </w:rPr>
            </w:pPr>
            <w:r w:rsidRPr="00D25AAB">
              <w:rPr>
                <w:b/>
                <w:color w:val="000000"/>
                <w:sz w:val="22"/>
                <w:szCs w:val="22"/>
              </w:rPr>
              <w:t>0,0</w:t>
            </w:r>
          </w:p>
        </w:tc>
        <w:tc>
          <w:tcPr>
            <w:tcW w:w="630" w:type="dxa"/>
            <w:gridSpan w:val="2"/>
            <w:shd w:val="clear" w:color="auto" w:fill="FFFFFF"/>
            <w:vAlign w:val="center"/>
          </w:tcPr>
          <w:p w:rsidR="00D25AAB" w:rsidRPr="00D25AAB" w:rsidRDefault="00D25AAB" w:rsidP="00B62C0F">
            <w:pPr>
              <w:spacing w:line="240" w:lineRule="auto"/>
              <w:jc w:val="right"/>
              <w:rPr>
                <w:b/>
                <w:color w:val="000000"/>
                <w:sz w:val="22"/>
                <w:szCs w:val="22"/>
              </w:rPr>
            </w:pPr>
            <w:r w:rsidRPr="00D25AAB">
              <w:rPr>
                <w:b/>
                <w:color w:val="000000"/>
                <w:sz w:val="22"/>
                <w:szCs w:val="22"/>
              </w:rPr>
              <w:t>0,0</w:t>
            </w:r>
          </w:p>
        </w:tc>
        <w:tc>
          <w:tcPr>
            <w:tcW w:w="630" w:type="dxa"/>
            <w:shd w:val="clear" w:color="auto" w:fill="FFFFFF"/>
            <w:vAlign w:val="center"/>
          </w:tcPr>
          <w:p w:rsidR="00D25AAB" w:rsidRPr="00D25AAB" w:rsidRDefault="00D25AAB" w:rsidP="00B62C0F">
            <w:pPr>
              <w:spacing w:line="240" w:lineRule="auto"/>
              <w:jc w:val="right"/>
              <w:rPr>
                <w:b/>
                <w:color w:val="000000"/>
                <w:sz w:val="22"/>
                <w:szCs w:val="22"/>
              </w:rPr>
            </w:pPr>
            <w:r w:rsidRPr="00D25AAB">
              <w:rPr>
                <w:b/>
                <w:color w:val="000000"/>
                <w:sz w:val="22"/>
                <w:szCs w:val="22"/>
              </w:rPr>
              <w:t>0,0</w:t>
            </w:r>
          </w:p>
        </w:tc>
        <w:tc>
          <w:tcPr>
            <w:tcW w:w="630" w:type="dxa"/>
            <w:gridSpan w:val="3"/>
            <w:shd w:val="clear" w:color="auto" w:fill="FFFFFF"/>
            <w:vAlign w:val="center"/>
          </w:tcPr>
          <w:p w:rsidR="00D25AAB" w:rsidRPr="00D25AAB" w:rsidRDefault="00D25AAB" w:rsidP="00B62C0F">
            <w:pPr>
              <w:spacing w:line="240" w:lineRule="auto"/>
              <w:jc w:val="right"/>
              <w:rPr>
                <w:b/>
                <w:color w:val="000000"/>
                <w:sz w:val="22"/>
                <w:szCs w:val="22"/>
              </w:rPr>
            </w:pPr>
            <w:r w:rsidRPr="00D25AAB">
              <w:rPr>
                <w:b/>
                <w:color w:val="000000"/>
                <w:sz w:val="22"/>
                <w:szCs w:val="22"/>
              </w:rPr>
              <w:t>0,0</w:t>
            </w:r>
          </w:p>
        </w:tc>
        <w:tc>
          <w:tcPr>
            <w:tcW w:w="631" w:type="dxa"/>
            <w:gridSpan w:val="3"/>
            <w:shd w:val="clear" w:color="auto" w:fill="FFFFFF"/>
            <w:vAlign w:val="center"/>
          </w:tcPr>
          <w:p w:rsidR="00D25AAB" w:rsidRPr="00D25AAB" w:rsidRDefault="00D25AAB" w:rsidP="00B62C0F">
            <w:pPr>
              <w:spacing w:line="240" w:lineRule="auto"/>
              <w:jc w:val="right"/>
              <w:rPr>
                <w:b/>
                <w:color w:val="000000"/>
                <w:sz w:val="22"/>
                <w:szCs w:val="22"/>
              </w:rPr>
            </w:pPr>
            <w:r w:rsidRPr="00D25AAB">
              <w:rPr>
                <w:b/>
                <w:color w:val="000000"/>
                <w:sz w:val="22"/>
                <w:szCs w:val="22"/>
              </w:rPr>
              <w:t>0,0</w:t>
            </w:r>
          </w:p>
        </w:tc>
        <w:tc>
          <w:tcPr>
            <w:tcW w:w="630" w:type="dxa"/>
            <w:shd w:val="clear" w:color="auto" w:fill="FFFFFF"/>
            <w:vAlign w:val="center"/>
          </w:tcPr>
          <w:p w:rsidR="00D25AAB" w:rsidRPr="00680EFA" w:rsidRDefault="00D25AAB" w:rsidP="00B62C0F">
            <w:pPr>
              <w:spacing w:line="240" w:lineRule="auto"/>
              <w:jc w:val="right"/>
              <w:rPr>
                <w:b/>
                <w:color w:val="000000"/>
                <w:sz w:val="18"/>
                <w:szCs w:val="21"/>
              </w:rPr>
            </w:pPr>
            <w:r>
              <w:rPr>
                <w:b/>
                <w:color w:val="000000"/>
                <w:sz w:val="18"/>
                <w:szCs w:val="21"/>
              </w:rPr>
              <w:t>0,0</w:t>
            </w:r>
          </w:p>
        </w:tc>
        <w:tc>
          <w:tcPr>
            <w:tcW w:w="630" w:type="dxa"/>
            <w:gridSpan w:val="2"/>
            <w:shd w:val="clear" w:color="auto" w:fill="FFFFFF"/>
            <w:vAlign w:val="center"/>
          </w:tcPr>
          <w:p w:rsidR="00D25AAB" w:rsidRPr="00680EFA" w:rsidRDefault="00D25AAB" w:rsidP="00B62C0F">
            <w:pPr>
              <w:spacing w:line="240" w:lineRule="auto"/>
              <w:jc w:val="right"/>
              <w:rPr>
                <w:b/>
                <w:color w:val="000000"/>
                <w:sz w:val="18"/>
                <w:szCs w:val="21"/>
              </w:rPr>
            </w:pPr>
            <w:r>
              <w:rPr>
                <w:b/>
                <w:color w:val="000000"/>
                <w:sz w:val="18"/>
                <w:szCs w:val="21"/>
              </w:rPr>
              <w:t>0,0</w:t>
            </w:r>
          </w:p>
        </w:tc>
        <w:tc>
          <w:tcPr>
            <w:tcW w:w="630" w:type="dxa"/>
            <w:gridSpan w:val="3"/>
            <w:shd w:val="clear" w:color="auto" w:fill="FFFFFF"/>
            <w:vAlign w:val="center"/>
          </w:tcPr>
          <w:p w:rsidR="00D25AAB" w:rsidRPr="00680EFA" w:rsidRDefault="00D25AAB" w:rsidP="00B62C0F">
            <w:pPr>
              <w:spacing w:line="240" w:lineRule="auto"/>
              <w:jc w:val="right"/>
              <w:rPr>
                <w:b/>
                <w:color w:val="000000"/>
                <w:sz w:val="18"/>
                <w:szCs w:val="21"/>
              </w:rPr>
            </w:pPr>
            <w:r>
              <w:rPr>
                <w:b/>
                <w:color w:val="000000"/>
                <w:sz w:val="18"/>
                <w:szCs w:val="21"/>
              </w:rPr>
              <w:t>0,0</w:t>
            </w:r>
          </w:p>
        </w:tc>
        <w:tc>
          <w:tcPr>
            <w:tcW w:w="694" w:type="dxa"/>
            <w:shd w:val="clear" w:color="auto" w:fill="FFFFFF"/>
            <w:vAlign w:val="center"/>
          </w:tcPr>
          <w:p w:rsidR="00D25AAB" w:rsidRPr="00680EFA" w:rsidRDefault="00D25AAB" w:rsidP="00B62C0F">
            <w:pPr>
              <w:spacing w:line="240" w:lineRule="auto"/>
              <w:jc w:val="right"/>
              <w:rPr>
                <w:b/>
                <w:color w:val="000000"/>
                <w:sz w:val="18"/>
                <w:szCs w:val="21"/>
              </w:rPr>
            </w:pPr>
            <w:r>
              <w:rPr>
                <w:b/>
                <w:color w:val="000000"/>
                <w:sz w:val="18"/>
                <w:szCs w:val="21"/>
              </w:rPr>
              <w:t>0,0</w:t>
            </w:r>
          </w:p>
        </w:tc>
        <w:tc>
          <w:tcPr>
            <w:tcW w:w="709" w:type="dxa"/>
            <w:gridSpan w:val="2"/>
            <w:shd w:val="clear" w:color="auto" w:fill="FFFFFF"/>
            <w:vAlign w:val="center"/>
          </w:tcPr>
          <w:p w:rsidR="00D25AAB" w:rsidRPr="00680EFA" w:rsidRDefault="00D25AAB" w:rsidP="00B62C0F">
            <w:pPr>
              <w:spacing w:line="240" w:lineRule="auto"/>
              <w:jc w:val="right"/>
              <w:rPr>
                <w:b/>
                <w:color w:val="000000"/>
                <w:sz w:val="18"/>
                <w:szCs w:val="21"/>
              </w:rPr>
            </w:pPr>
            <w:r>
              <w:rPr>
                <w:b/>
                <w:color w:val="000000"/>
                <w:sz w:val="18"/>
                <w:szCs w:val="21"/>
              </w:rPr>
              <w:t>0,0</w:t>
            </w:r>
          </w:p>
        </w:tc>
        <w:tc>
          <w:tcPr>
            <w:tcW w:w="992" w:type="dxa"/>
            <w:shd w:val="clear" w:color="auto" w:fill="FFFFFF"/>
            <w:vAlign w:val="center"/>
          </w:tcPr>
          <w:p w:rsidR="00D25AAB" w:rsidRPr="00680EFA" w:rsidRDefault="00D25AAB" w:rsidP="00B62C0F">
            <w:pPr>
              <w:spacing w:line="240" w:lineRule="auto"/>
              <w:jc w:val="right"/>
              <w:rPr>
                <w:b/>
                <w:color w:val="000000"/>
                <w:spacing w:val="-2"/>
                <w:sz w:val="18"/>
                <w:szCs w:val="21"/>
              </w:rPr>
            </w:pPr>
            <w:r>
              <w:rPr>
                <w:b/>
                <w:color w:val="000000"/>
                <w:spacing w:val="-2"/>
                <w:sz w:val="18"/>
                <w:szCs w:val="21"/>
              </w:rPr>
              <w:t>0,0</w:t>
            </w:r>
          </w:p>
        </w:tc>
      </w:tr>
      <w:tr w:rsidR="00D25AAB" w:rsidRPr="008B4FE6" w:rsidTr="00876959">
        <w:trPr>
          <w:trHeight w:val="330"/>
        </w:trPr>
        <w:tc>
          <w:tcPr>
            <w:tcW w:w="3133" w:type="dxa"/>
            <w:gridSpan w:val="3"/>
            <w:shd w:val="clear" w:color="auto" w:fill="FFFFFF"/>
            <w:vAlign w:val="center"/>
          </w:tcPr>
          <w:p w:rsidR="00D25AAB" w:rsidRPr="00D25AAB" w:rsidRDefault="00D25AAB" w:rsidP="00C53F26">
            <w:pPr>
              <w:spacing w:line="240" w:lineRule="auto"/>
              <w:rPr>
                <w:color w:val="000000"/>
                <w:sz w:val="22"/>
                <w:szCs w:val="22"/>
              </w:rPr>
            </w:pPr>
            <w:r w:rsidRPr="00D25AAB">
              <w:rPr>
                <w:b/>
                <w:color w:val="000000"/>
                <w:sz w:val="22"/>
                <w:szCs w:val="22"/>
              </w:rPr>
              <w:t>Wydatki ogółem</w:t>
            </w:r>
          </w:p>
        </w:tc>
        <w:tc>
          <w:tcPr>
            <w:tcW w:w="630" w:type="dxa"/>
            <w:gridSpan w:val="2"/>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0" w:type="dxa"/>
            <w:gridSpan w:val="2"/>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0" w:type="dxa"/>
            <w:gridSpan w:val="2"/>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0" w:type="dxa"/>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0" w:type="dxa"/>
            <w:gridSpan w:val="3"/>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1" w:type="dxa"/>
            <w:gridSpan w:val="3"/>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0" w:type="dxa"/>
            <w:shd w:val="clear" w:color="auto" w:fill="FFFFFF"/>
            <w:vAlign w:val="center"/>
          </w:tcPr>
          <w:p w:rsidR="00D25AAB" w:rsidRPr="00680EFA" w:rsidRDefault="00D25AAB" w:rsidP="00DC0DA9">
            <w:pPr>
              <w:spacing w:line="240" w:lineRule="auto"/>
              <w:jc w:val="right"/>
              <w:rPr>
                <w:b/>
                <w:color w:val="000000"/>
                <w:sz w:val="18"/>
                <w:szCs w:val="21"/>
              </w:rPr>
            </w:pPr>
            <w:r>
              <w:rPr>
                <w:b/>
                <w:color w:val="000000"/>
                <w:sz w:val="18"/>
                <w:szCs w:val="21"/>
              </w:rPr>
              <w:t>0,0</w:t>
            </w:r>
          </w:p>
        </w:tc>
        <w:tc>
          <w:tcPr>
            <w:tcW w:w="630" w:type="dxa"/>
            <w:gridSpan w:val="2"/>
            <w:shd w:val="clear" w:color="auto" w:fill="FFFFFF"/>
            <w:vAlign w:val="center"/>
          </w:tcPr>
          <w:p w:rsidR="00D25AAB" w:rsidRPr="00680EFA" w:rsidRDefault="00D25AAB" w:rsidP="00DC0DA9">
            <w:pPr>
              <w:spacing w:line="240" w:lineRule="auto"/>
              <w:jc w:val="right"/>
              <w:rPr>
                <w:b/>
                <w:color w:val="000000"/>
                <w:sz w:val="18"/>
                <w:szCs w:val="21"/>
              </w:rPr>
            </w:pPr>
            <w:r>
              <w:rPr>
                <w:b/>
                <w:color w:val="000000"/>
                <w:sz w:val="18"/>
                <w:szCs w:val="21"/>
              </w:rPr>
              <w:t>0,0</w:t>
            </w:r>
          </w:p>
        </w:tc>
        <w:tc>
          <w:tcPr>
            <w:tcW w:w="630" w:type="dxa"/>
            <w:gridSpan w:val="3"/>
            <w:shd w:val="clear" w:color="auto" w:fill="FFFFFF"/>
            <w:vAlign w:val="center"/>
          </w:tcPr>
          <w:p w:rsidR="00D25AAB" w:rsidRPr="00680EFA" w:rsidRDefault="00D25AAB" w:rsidP="00DC0DA9">
            <w:pPr>
              <w:spacing w:line="240" w:lineRule="auto"/>
              <w:jc w:val="right"/>
              <w:rPr>
                <w:b/>
                <w:color w:val="000000"/>
                <w:sz w:val="18"/>
                <w:szCs w:val="21"/>
              </w:rPr>
            </w:pPr>
            <w:r>
              <w:rPr>
                <w:b/>
                <w:color w:val="000000"/>
                <w:sz w:val="18"/>
                <w:szCs w:val="21"/>
              </w:rPr>
              <w:t>0,0</w:t>
            </w:r>
          </w:p>
        </w:tc>
        <w:tc>
          <w:tcPr>
            <w:tcW w:w="694" w:type="dxa"/>
            <w:shd w:val="clear" w:color="auto" w:fill="FFFFFF"/>
            <w:vAlign w:val="center"/>
          </w:tcPr>
          <w:p w:rsidR="00D25AAB" w:rsidRPr="00680EFA" w:rsidRDefault="00D25AAB" w:rsidP="00DC0DA9">
            <w:pPr>
              <w:spacing w:line="240" w:lineRule="auto"/>
              <w:jc w:val="right"/>
              <w:rPr>
                <w:b/>
                <w:color w:val="000000"/>
                <w:sz w:val="18"/>
                <w:szCs w:val="21"/>
              </w:rPr>
            </w:pPr>
            <w:r>
              <w:rPr>
                <w:b/>
                <w:color w:val="000000"/>
                <w:sz w:val="18"/>
                <w:szCs w:val="21"/>
              </w:rPr>
              <w:t>0,0</w:t>
            </w:r>
          </w:p>
        </w:tc>
        <w:tc>
          <w:tcPr>
            <w:tcW w:w="709" w:type="dxa"/>
            <w:gridSpan w:val="2"/>
            <w:shd w:val="clear" w:color="auto" w:fill="FFFFFF"/>
            <w:vAlign w:val="center"/>
          </w:tcPr>
          <w:p w:rsidR="00D25AAB" w:rsidRPr="00680EFA" w:rsidRDefault="00D25AAB" w:rsidP="00DC0DA9">
            <w:pPr>
              <w:spacing w:line="240" w:lineRule="auto"/>
              <w:jc w:val="right"/>
              <w:rPr>
                <w:b/>
                <w:color w:val="000000"/>
                <w:sz w:val="18"/>
                <w:szCs w:val="21"/>
              </w:rPr>
            </w:pPr>
            <w:r>
              <w:rPr>
                <w:b/>
                <w:color w:val="000000"/>
                <w:sz w:val="18"/>
                <w:szCs w:val="21"/>
              </w:rPr>
              <w:t>0,0</w:t>
            </w:r>
          </w:p>
        </w:tc>
        <w:tc>
          <w:tcPr>
            <w:tcW w:w="992" w:type="dxa"/>
            <w:shd w:val="clear" w:color="auto" w:fill="FFFFFF"/>
            <w:vAlign w:val="center"/>
          </w:tcPr>
          <w:p w:rsidR="00D25AAB" w:rsidRPr="00680EFA" w:rsidRDefault="00D25AAB" w:rsidP="00DC0DA9">
            <w:pPr>
              <w:spacing w:line="240" w:lineRule="auto"/>
              <w:jc w:val="right"/>
              <w:rPr>
                <w:b/>
                <w:color w:val="000000"/>
                <w:spacing w:val="-2"/>
                <w:sz w:val="18"/>
                <w:szCs w:val="21"/>
              </w:rPr>
            </w:pPr>
            <w:r>
              <w:rPr>
                <w:b/>
                <w:color w:val="000000"/>
                <w:spacing w:val="-2"/>
                <w:sz w:val="18"/>
                <w:szCs w:val="21"/>
              </w:rPr>
              <w:t>0,0</w:t>
            </w:r>
          </w:p>
        </w:tc>
      </w:tr>
      <w:tr w:rsidR="00D25AAB" w:rsidRPr="008B4FE6" w:rsidTr="00876959">
        <w:trPr>
          <w:trHeight w:val="360"/>
        </w:trPr>
        <w:tc>
          <w:tcPr>
            <w:tcW w:w="3133" w:type="dxa"/>
            <w:gridSpan w:val="3"/>
            <w:shd w:val="clear" w:color="auto" w:fill="FFFFFF"/>
            <w:vAlign w:val="center"/>
          </w:tcPr>
          <w:p w:rsidR="00D25AAB" w:rsidRPr="00D25AAB" w:rsidRDefault="00D25AAB" w:rsidP="00C53F26">
            <w:pPr>
              <w:spacing w:line="240" w:lineRule="auto"/>
              <w:rPr>
                <w:color w:val="000000"/>
                <w:sz w:val="22"/>
                <w:szCs w:val="22"/>
              </w:rPr>
            </w:pPr>
            <w:r w:rsidRPr="00D25AAB">
              <w:rPr>
                <w:b/>
                <w:color w:val="000000"/>
                <w:sz w:val="22"/>
                <w:szCs w:val="22"/>
              </w:rPr>
              <w:t>Saldo ogółem</w:t>
            </w:r>
          </w:p>
        </w:tc>
        <w:tc>
          <w:tcPr>
            <w:tcW w:w="630" w:type="dxa"/>
            <w:gridSpan w:val="2"/>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0" w:type="dxa"/>
            <w:gridSpan w:val="2"/>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0" w:type="dxa"/>
            <w:gridSpan w:val="2"/>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0" w:type="dxa"/>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0" w:type="dxa"/>
            <w:gridSpan w:val="3"/>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1" w:type="dxa"/>
            <w:gridSpan w:val="3"/>
            <w:shd w:val="clear" w:color="auto" w:fill="FFFFFF"/>
            <w:vAlign w:val="center"/>
          </w:tcPr>
          <w:p w:rsidR="00D25AAB" w:rsidRPr="00D25AAB" w:rsidRDefault="00D25AAB" w:rsidP="00DC0DA9">
            <w:pPr>
              <w:spacing w:line="240" w:lineRule="auto"/>
              <w:jc w:val="right"/>
              <w:rPr>
                <w:b/>
                <w:color w:val="000000"/>
                <w:sz w:val="22"/>
                <w:szCs w:val="22"/>
              </w:rPr>
            </w:pPr>
            <w:r w:rsidRPr="00D25AAB">
              <w:rPr>
                <w:b/>
                <w:color w:val="000000"/>
                <w:sz w:val="22"/>
                <w:szCs w:val="22"/>
              </w:rPr>
              <w:t>0,0</w:t>
            </w:r>
          </w:p>
        </w:tc>
        <w:tc>
          <w:tcPr>
            <w:tcW w:w="630" w:type="dxa"/>
            <w:shd w:val="clear" w:color="auto" w:fill="FFFFFF"/>
            <w:vAlign w:val="center"/>
          </w:tcPr>
          <w:p w:rsidR="00D25AAB" w:rsidRPr="00680EFA" w:rsidRDefault="00D25AAB" w:rsidP="00DC0DA9">
            <w:pPr>
              <w:spacing w:line="240" w:lineRule="auto"/>
              <w:jc w:val="right"/>
              <w:rPr>
                <w:b/>
                <w:color w:val="000000"/>
                <w:sz w:val="18"/>
                <w:szCs w:val="21"/>
              </w:rPr>
            </w:pPr>
            <w:r>
              <w:rPr>
                <w:b/>
                <w:color w:val="000000"/>
                <w:sz w:val="18"/>
                <w:szCs w:val="21"/>
              </w:rPr>
              <w:t>0,0</w:t>
            </w:r>
          </w:p>
        </w:tc>
        <w:tc>
          <w:tcPr>
            <w:tcW w:w="630" w:type="dxa"/>
            <w:gridSpan w:val="2"/>
            <w:shd w:val="clear" w:color="auto" w:fill="FFFFFF"/>
            <w:vAlign w:val="center"/>
          </w:tcPr>
          <w:p w:rsidR="00D25AAB" w:rsidRPr="00680EFA" w:rsidRDefault="00D25AAB" w:rsidP="00DC0DA9">
            <w:pPr>
              <w:spacing w:line="240" w:lineRule="auto"/>
              <w:jc w:val="right"/>
              <w:rPr>
                <w:b/>
                <w:color w:val="000000"/>
                <w:sz w:val="18"/>
                <w:szCs w:val="21"/>
              </w:rPr>
            </w:pPr>
            <w:r>
              <w:rPr>
                <w:b/>
                <w:color w:val="000000"/>
                <w:sz w:val="18"/>
                <w:szCs w:val="21"/>
              </w:rPr>
              <w:t>0,0</w:t>
            </w:r>
          </w:p>
        </w:tc>
        <w:tc>
          <w:tcPr>
            <w:tcW w:w="630" w:type="dxa"/>
            <w:gridSpan w:val="3"/>
            <w:shd w:val="clear" w:color="auto" w:fill="FFFFFF"/>
            <w:vAlign w:val="center"/>
          </w:tcPr>
          <w:p w:rsidR="00D25AAB" w:rsidRPr="00680EFA" w:rsidRDefault="00D25AAB" w:rsidP="00DC0DA9">
            <w:pPr>
              <w:spacing w:line="240" w:lineRule="auto"/>
              <w:jc w:val="right"/>
              <w:rPr>
                <w:b/>
                <w:color w:val="000000"/>
                <w:sz w:val="18"/>
                <w:szCs w:val="21"/>
              </w:rPr>
            </w:pPr>
            <w:r>
              <w:rPr>
                <w:b/>
                <w:color w:val="000000"/>
                <w:sz w:val="18"/>
                <w:szCs w:val="21"/>
              </w:rPr>
              <w:t>0,0</w:t>
            </w:r>
          </w:p>
        </w:tc>
        <w:tc>
          <w:tcPr>
            <w:tcW w:w="694" w:type="dxa"/>
            <w:shd w:val="clear" w:color="auto" w:fill="FFFFFF"/>
            <w:vAlign w:val="center"/>
          </w:tcPr>
          <w:p w:rsidR="00D25AAB" w:rsidRPr="00680EFA" w:rsidRDefault="00D25AAB" w:rsidP="00DC0DA9">
            <w:pPr>
              <w:spacing w:line="240" w:lineRule="auto"/>
              <w:jc w:val="right"/>
              <w:rPr>
                <w:b/>
                <w:color w:val="000000"/>
                <w:sz w:val="18"/>
                <w:szCs w:val="21"/>
              </w:rPr>
            </w:pPr>
            <w:r>
              <w:rPr>
                <w:b/>
                <w:color w:val="000000"/>
                <w:sz w:val="18"/>
                <w:szCs w:val="21"/>
              </w:rPr>
              <w:t>0,0</w:t>
            </w:r>
          </w:p>
        </w:tc>
        <w:tc>
          <w:tcPr>
            <w:tcW w:w="709" w:type="dxa"/>
            <w:gridSpan w:val="2"/>
            <w:shd w:val="clear" w:color="auto" w:fill="FFFFFF"/>
            <w:vAlign w:val="center"/>
          </w:tcPr>
          <w:p w:rsidR="00D25AAB" w:rsidRPr="00680EFA" w:rsidRDefault="00D25AAB" w:rsidP="00DC0DA9">
            <w:pPr>
              <w:spacing w:line="240" w:lineRule="auto"/>
              <w:jc w:val="right"/>
              <w:rPr>
                <w:b/>
                <w:color w:val="000000"/>
                <w:sz w:val="18"/>
                <w:szCs w:val="21"/>
              </w:rPr>
            </w:pPr>
            <w:r>
              <w:rPr>
                <w:b/>
                <w:color w:val="000000"/>
                <w:sz w:val="18"/>
                <w:szCs w:val="21"/>
              </w:rPr>
              <w:t>0,0</w:t>
            </w:r>
          </w:p>
        </w:tc>
        <w:tc>
          <w:tcPr>
            <w:tcW w:w="992" w:type="dxa"/>
            <w:shd w:val="clear" w:color="auto" w:fill="FFFFFF"/>
            <w:vAlign w:val="center"/>
          </w:tcPr>
          <w:p w:rsidR="00D25AAB" w:rsidRPr="00680EFA" w:rsidRDefault="00D25AAB" w:rsidP="00DC0DA9">
            <w:pPr>
              <w:spacing w:line="240" w:lineRule="auto"/>
              <w:jc w:val="right"/>
              <w:rPr>
                <w:b/>
                <w:color w:val="000000"/>
                <w:spacing w:val="-2"/>
                <w:sz w:val="18"/>
                <w:szCs w:val="21"/>
              </w:rPr>
            </w:pPr>
            <w:r>
              <w:rPr>
                <w:b/>
                <w:color w:val="000000"/>
                <w:spacing w:val="-2"/>
                <w:sz w:val="18"/>
                <w:szCs w:val="21"/>
              </w:rPr>
              <w:t>0,0</w:t>
            </w:r>
          </w:p>
        </w:tc>
      </w:tr>
      <w:tr w:rsidR="00D25AAB" w:rsidRPr="008B4FE6" w:rsidTr="00995A21">
        <w:trPr>
          <w:trHeight w:val="348"/>
        </w:trPr>
        <w:tc>
          <w:tcPr>
            <w:tcW w:w="2243" w:type="dxa"/>
            <w:gridSpan w:val="2"/>
            <w:shd w:val="clear" w:color="auto" w:fill="FFFFFF"/>
            <w:vAlign w:val="center"/>
          </w:tcPr>
          <w:p w:rsidR="00D25AAB" w:rsidRPr="00D25AAB" w:rsidRDefault="00D25AAB" w:rsidP="005741EE">
            <w:pPr>
              <w:spacing w:line="240" w:lineRule="auto"/>
              <w:rPr>
                <w:color w:val="000000"/>
                <w:sz w:val="22"/>
                <w:szCs w:val="22"/>
              </w:rPr>
            </w:pPr>
            <w:r w:rsidRPr="00D25AAB">
              <w:rPr>
                <w:color w:val="000000"/>
                <w:sz w:val="22"/>
                <w:szCs w:val="22"/>
              </w:rPr>
              <w:t xml:space="preserve">Źródła finansowania: </w:t>
            </w:r>
          </w:p>
        </w:tc>
        <w:tc>
          <w:tcPr>
            <w:tcW w:w="8956" w:type="dxa"/>
            <w:gridSpan w:val="24"/>
            <w:shd w:val="clear" w:color="auto" w:fill="FFFFFF"/>
            <w:vAlign w:val="center"/>
          </w:tcPr>
          <w:p w:rsidR="00D25AAB" w:rsidRPr="00D25AAB" w:rsidRDefault="00D25AAB" w:rsidP="007561C4">
            <w:pPr>
              <w:spacing w:line="240" w:lineRule="auto"/>
              <w:rPr>
                <w:color w:val="000000"/>
                <w:sz w:val="22"/>
                <w:szCs w:val="22"/>
              </w:rPr>
            </w:pPr>
          </w:p>
        </w:tc>
      </w:tr>
      <w:tr w:rsidR="00D25AAB" w:rsidRPr="008B4FE6" w:rsidTr="00995A21">
        <w:trPr>
          <w:trHeight w:val="1258"/>
        </w:trPr>
        <w:tc>
          <w:tcPr>
            <w:tcW w:w="2243" w:type="dxa"/>
            <w:gridSpan w:val="2"/>
            <w:shd w:val="clear" w:color="auto" w:fill="FFFFFF"/>
          </w:tcPr>
          <w:p w:rsidR="00D25AAB" w:rsidRPr="00D25AAB" w:rsidRDefault="00D25AAB" w:rsidP="00E72936">
            <w:pPr>
              <w:widowControl/>
              <w:autoSpaceDE/>
              <w:autoSpaceDN/>
              <w:adjustRightInd/>
              <w:spacing w:line="240" w:lineRule="auto"/>
              <w:jc w:val="left"/>
              <w:rPr>
                <w:color w:val="000000"/>
                <w:sz w:val="22"/>
                <w:szCs w:val="22"/>
              </w:rPr>
            </w:pPr>
            <w:r w:rsidRPr="00E72936">
              <w:rPr>
                <w:rFonts w:eastAsia="Calibri" w:cs="Times New Roman"/>
                <w:color w:val="000000"/>
                <w:sz w:val="21"/>
                <w:szCs w:val="21"/>
                <w:lang w:eastAsia="en-US"/>
              </w:rPr>
              <w:t>Dodatkowe informacje, w tym wskazanie źródeł danych i przyjętych do obliczeń założeń</w:t>
            </w:r>
          </w:p>
        </w:tc>
        <w:tc>
          <w:tcPr>
            <w:tcW w:w="8956" w:type="dxa"/>
            <w:gridSpan w:val="24"/>
            <w:shd w:val="clear" w:color="auto" w:fill="FFFFFF"/>
          </w:tcPr>
          <w:p w:rsidR="00D25AAB" w:rsidRPr="00D25AAB" w:rsidRDefault="00D25AAB" w:rsidP="00E72936">
            <w:pPr>
              <w:widowControl/>
              <w:autoSpaceDE/>
              <w:autoSpaceDN/>
              <w:adjustRightInd/>
              <w:spacing w:line="240" w:lineRule="auto"/>
              <w:rPr>
                <w:color w:val="000000"/>
                <w:sz w:val="22"/>
                <w:szCs w:val="22"/>
              </w:rPr>
            </w:pPr>
            <w:r w:rsidRPr="00E72936">
              <w:rPr>
                <w:rFonts w:eastAsia="Calibri" w:cs="Times New Roman"/>
                <w:color w:val="000000"/>
                <w:sz w:val="21"/>
                <w:szCs w:val="21"/>
                <w:lang w:eastAsia="en-US"/>
              </w:rPr>
              <w:t xml:space="preserve">Projektowana regulacja nie wpłynie istotnie na sektor finansów publicznych, w tym budżet państwa </w:t>
            </w:r>
            <w:r w:rsidRPr="00E72936">
              <w:rPr>
                <w:rFonts w:eastAsia="Calibri" w:cs="Times New Roman"/>
                <w:color w:val="000000"/>
                <w:sz w:val="21"/>
                <w:szCs w:val="21"/>
                <w:lang w:eastAsia="en-US"/>
              </w:rPr>
              <w:br/>
              <w:t>i budżety jednostek samorządu terytorialnego. Proponowane rozwiązania mogą nieznacznie obniżyć przychody budżetowe (Skarb Państwa) oraz spowodować niewielki wzrost wydatków (np. z tytułu funkcjonowania sądów, prowadzenia odpowiednich statystyk, itd.).</w:t>
            </w:r>
          </w:p>
        </w:tc>
      </w:tr>
      <w:tr w:rsidR="00D25AAB" w:rsidRPr="008B4FE6" w:rsidTr="00995A21">
        <w:trPr>
          <w:trHeight w:val="345"/>
        </w:trPr>
        <w:tc>
          <w:tcPr>
            <w:tcW w:w="11199" w:type="dxa"/>
            <w:gridSpan w:val="26"/>
            <w:shd w:val="clear" w:color="auto" w:fill="99CCFF"/>
          </w:tcPr>
          <w:p w:rsidR="00D25AAB" w:rsidRPr="00D25AAB" w:rsidRDefault="00D25AAB" w:rsidP="00D25AAB">
            <w:pPr>
              <w:widowControl/>
              <w:numPr>
                <w:ilvl w:val="0"/>
                <w:numId w:val="47"/>
              </w:numPr>
              <w:autoSpaceDE/>
              <w:autoSpaceDN/>
              <w:adjustRightInd/>
              <w:spacing w:before="120" w:after="120" w:line="240" w:lineRule="auto"/>
              <w:rPr>
                <w:b/>
                <w:color w:val="000000"/>
                <w:spacing w:val="-2"/>
                <w:sz w:val="22"/>
                <w:szCs w:val="22"/>
              </w:rPr>
            </w:pPr>
            <w:r w:rsidRPr="00D25AAB">
              <w:rPr>
                <w:b/>
                <w:color w:val="000000"/>
                <w:spacing w:val="-2"/>
                <w:sz w:val="22"/>
                <w:szCs w:val="22"/>
              </w:rPr>
              <w:t xml:space="preserve">Wpływ na </w:t>
            </w:r>
            <w:r w:rsidRPr="00D25AAB">
              <w:rPr>
                <w:b/>
                <w:color w:val="000000"/>
                <w:sz w:val="22"/>
                <w:szCs w:val="22"/>
              </w:rPr>
              <w:t xml:space="preserve">konkurencyjność gospodarki i przedsiębiorczość, w tym funkcjonowanie przedsiębiorców oraz na rodzinę, obywateli i gospodarstwa domowe </w:t>
            </w:r>
          </w:p>
        </w:tc>
      </w:tr>
      <w:tr w:rsidR="00D25AAB" w:rsidRPr="008B4FE6" w:rsidTr="00995A21">
        <w:trPr>
          <w:trHeight w:val="142"/>
        </w:trPr>
        <w:tc>
          <w:tcPr>
            <w:tcW w:w="11199" w:type="dxa"/>
            <w:gridSpan w:val="26"/>
            <w:shd w:val="clear" w:color="auto" w:fill="FFFFFF"/>
          </w:tcPr>
          <w:p w:rsidR="00D25AAB" w:rsidRPr="00D25AAB" w:rsidRDefault="00D25AAB" w:rsidP="00811D46">
            <w:pPr>
              <w:spacing w:line="240" w:lineRule="auto"/>
              <w:jc w:val="center"/>
              <w:rPr>
                <w:color w:val="000000"/>
                <w:spacing w:val="-2"/>
                <w:sz w:val="22"/>
                <w:szCs w:val="22"/>
              </w:rPr>
            </w:pPr>
            <w:r w:rsidRPr="00D25AAB">
              <w:rPr>
                <w:color w:val="000000"/>
                <w:spacing w:val="-2"/>
                <w:sz w:val="22"/>
                <w:szCs w:val="22"/>
              </w:rPr>
              <w:t>Skutki</w:t>
            </w:r>
          </w:p>
        </w:tc>
      </w:tr>
      <w:tr w:rsidR="00D25AAB" w:rsidRPr="008B4FE6" w:rsidTr="00995A21">
        <w:trPr>
          <w:trHeight w:val="142"/>
        </w:trPr>
        <w:tc>
          <w:tcPr>
            <w:tcW w:w="3889" w:type="dxa"/>
            <w:gridSpan w:val="6"/>
            <w:shd w:val="clear" w:color="auto" w:fill="FFFFFF"/>
          </w:tcPr>
          <w:p w:rsidR="00D25AAB" w:rsidRPr="00D25AAB" w:rsidRDefault="00D25AAB" w:rsidP="00811D46">
            <w:pPr>
              <w:spacing w:line="240" w:lineRule="auto"/>
              <w:rPr>
                <w:color w:val="000000"/>
                <w:sz w:val="22"/>
                <w:szCs w:val="22"/>
              </w:rPr>
            </w:pPr>
            <w:r w:rsidRPr="00D25AAB">
              <w:rPr>
                <w:color w:val="000000"/>
                <w:sz w:val="22"/>
                <w:szCs w:val="22"/>
              </w:rPr>
              <w:t>Czas w latach od wejścia w życie zmian</w:t>
            </w:r>
          </w:p>
        </w:tc>
        <w:tc>
          <w:tcPr>
            <w:tcW w:w="937" w:type="dxa"/>
            <w:gridSpan w:val="2"/>
            <w:shd w:val="clear" w:color="auto" w:fill="FFFFFF"/>
          </w:tcPr>
          <w:p w:rsidR="00D25AAB" w:rsidRPr="00D25AAB" w:rsidRDefault="00D25AAB" w:rsidP="00811D46">
            <w:pPr>
              <w:spacing w:line="240" w:lineRule="auto"/>
              <w:jc w:val="center"/>
              <w:rPr>
                <w:color w:val="000000"/>
                <w:sz w:val="22"/>
                <w:szCs w:val="22"/>
              </w:rPr>
            </w:pPr>
            <w:r w:rsidRPr="00D25AAB">
              <w:rPr>
                <w:color w:val="000000"/>
                <w:sz w:val="22"/>
                <w:szCs w:val="22"/>
              </w:rPr>
              <w:t>0</w:t>
            </w:r>
          </w:p>
        </w:tc>
        <w:tc>
          <w:tcPr>
            <w:tcW w:w="938" w:type="dxa"/>
            <w:gridSpan w:val="3"/>
            <w:shd w:val="clear" w:color="auto" w:fill="FFFFFF"/>
          </w:tcPr>
          <w:p w:rsidR="00D25AAB" w:rsidRPr="00D25AAB" w:rsidRDefault="00D25AAB" w:rsidP="00811D46">
            <w:pPr>
              <w:spacing w:line="240" w:lineRule="auto"/>
              <w:jc w:val="center"/>
              <w:rPr>
                <w:color w:val="000000"/>
                <w:sz w:val="22"/>
                <w:szCs w:val="22"/>
              </w:rPr>
            </w:pPr>
            <w:r w:rsidRPr="00D25AAB">
              <w:rPr>
                <w:color w:val="000000"/>
                <w:sz w:val="22"/>
                <w:szCs w:val="22"/>
              </w:rPr>
              <w:t>1</w:t>
            </w:r>
          </w:p>
        </w:tc>
        <w:tc>
          <w:tcPr>
            <w:tcW w:w="938" w:type="dxa"/>
            <w:gridSpan w:val="4"/>
            <w:shd w:val="clear" w:color="auto" w:fill="FFFFFF"/>
          </w:tcPr>
          <w:p w:rsidR="00D25AAB" w:rsidRPr="00D25AAB" w:rsidRDefault="00D25AAB" w:rsidP="00811D46">
            <w:pPr>
              <w:spacing w:line="240" w:lineRule="auto"/>
              <w:jc w:val="center"/>
              <w:rPr>
                <w:color w:val="000000"/>
                <w:sz w:val="22"/>
                <w:szCs w:val="22"/>
              </w:rPr>
            </w:pPr>
            <w:r w:rsidRPr="00D25AAB">
              <w:rPr>
                <w:color w:val="000000"/>
                <w:sz w:val="22"/>
                <w:szCs w:val="22"/>
              </w:rPr>
              <w:t>2</w:t>
            </w:r>
          </w:p>
        </w:tc>
        <w:tc>
          <w:tcPr>
            <w:tcW w:w="937" w:type="dxa"/>
            <w:gridSpan w:val="3"/>
            <w:shd w:val="clear" w:color="auto" w:fill="FFFFFF"/>
          </w:tcPr>
          <w:p w:rsidR="00D25AAB" w:rsidRPr="00301959" w:rsidRDefault="00D25AAB" w:rsidP="00811D46">
            <w:pPr>
              <w:spacing w:line="240" w:lineRule="auto"/>
              <w:jc w:val="center"/>
              <w:rPr>
                <w:color w:val="000000"/>
                <w:sz w:val="21"/>
                <w:szCs w:val="21"/>
              </w:rPr>
            </w:pPr>
            <w:r w:rsidRPr="00301959">
              <w:rPr>
                <w:color w:val="000000"/>
                <w:sz w:val="21"/>
                <w:szCs w:val="21"/>
              </w:rPr>
              <w:t>3</w:t>
            </w:r>
          </w:p>
        </w:tc>
        <w:tc>
          <w:tcPr>
            <w:tcW w:w="938" w:type="dxa"/>
            <w:gridSpan w:val="3"/>
            <w:shd w:val="clear" w:color="auto" w:fill="FFFFFF"/>
          </w:tcPr>
          <w:p w:rsidR="00D25AAB" w:rsidRPr="00301959" w:rsidRDefault="00D25AAB" w:rsidP="00811D46">
            <w:pPr>
              <w:spacing w:line="240" w:lineRule="auto"/>
              <w:jc w:val="center"/>
              <w:rPr>
                <w:color w:val="000000"/>
                <w:sz w:val="21"/>
                <w:szCs w:val="21"/>
              </w:rPr>
            </w:pPr>
            <w:r w:rsidRPr="00301959">
              <w:rPr>
                <w:color w:val="000000"/>
                <w:sz w:val="21"/>
                <w:szCs w:val="21"/>
              </w:rPr>
              <w:t>5</w:t>
            </w:r>
          </w:p>
        </w:tc>
        <w:tc>
          <w:tcPr>
            <w:tcW w:w="938" w:type="dxa"/>
            <w:gridSpan w:val="3"/>
            <w:shd w:val="clear" w:color="auto" w:fill="FFFFFF"/>
          </w:tcPr>
          <w:p w:rsidR="00D25AAB" w:rsidRPr="00301959" w:rsidRDefault="00D25AAB" w:rsidP="00811D46">
            <w:pPr>
              <w:spacing w:line="240" w:lineRule="auto"/>
              <w:jc w:val="center"/>
              <w:rPr>
                <w:color w:val="000000"/>
                <w:sz w:val="21"/>
                <w:szCs w:val="21"/>
              </w:rPr>
            </w:pPr>
            <w:r w:rsidRPr="00301959">
              <w:rPr>
                <w:color w:val="000000"/>
                <w:sz w:val="21"/>
                <w:szCs w:val="21"/>
              </w:rPr>
              <w:t>10</w:t>
            </w:r>
          </w:p>
        </w:tc>
        <w:tc>
          <w:tcPr>
            <w:tcW w:w="1684" w:type="dxa"/>
            <w:gridSpan w:val="2"/>
            <w:shd w:val="clear" w:color="auto" w:fill="FFFFFF"/>
          </w:tcPr>
          <w:p w:rsidR="00D25AAB" w:rsidRPr="001B3460" w:rsidRDefault="00D25AAB" w:rsidP="00811D46">
            <w:pPr>
              <w:spacing w:line="240" w:lineRule="auto"/>
              <w:jc w:val="center"/>
              <w:rPr>
                <w:i/>
                <w:color w:val="000000"/>
                <w:spacing w:val="-2"/>
                <w:sz w:val="21"/>
                <w:szCs w:val="21"/>
              </w:rPr>
            </w:pPr>
            <w:r w:rsidRPr="001B3460">
              <w:rPr>
                <w:i/>
                <w:color w:val="000000"/>
                <w:spacing w:val="-2"/>
                <w:sz w:val="21"/>
                <w:szCs w:val="21"/>
              </w:rPr>
              <w:t>Łącznie</w:t>
            </w:r>
            <w:r w:rsidRPr="001B3460" w:rsidDel="0073273A">
              <w:rPr>
                <w:i/>
                <w:color w:val="000000"/>
                <w:spacing w:val="-2"/>
                <w:sz w:val="21"/>
                <w:szCs w:val="21"/>
              </w:rPr>
              <w:t xml:space="preserve"> </w:t>
            </w:r>
            <w:r w:rsidRPr="001B3460">
              <w:rPr>
                <w:i/>
                <w:color w:val="000000"/>
                <w:spacing w:val="-2"/>
                <w:sz w:val="21"/>
                <w:szCs w:val="21"/>
              </w:rPr>
              <w:t>(0-10)</w:t>
            </w:r>
          </w:p>
        </w:tc>
      </w:tr>
      <w:tr w:rsidR="00D25AAB" w:rsidRPr="008B4FE6" w:rsidTr="003A4A31">
        <w:trPr>
          <w:trHeight w:val="462"/>
        </w:trPr>
        <w:tc>
          <w:tcPr>
            <w:tcW w:w="1560" w:type="dxa"/>
            <w:vMerge w:val="restart"/>
            <w:shd w:val="clear" w:color="auto" w:fill="FFFFFF"/>
          </w:tcPr>
          <w:p w:rsidR="00D25AAB" w:rsidRPr="00D25AAB" w:rsidRDefault="00D25AAB" w:rsidP="00E72936">
            <w:pPr>
              <w:widowControl/>
              <w:autoSpaceDE/>
              <w:autoSpaceDN/>
              <w:adjustRightInd/>
              <w:spacing w:line="276" w:lineRule="auto"/>
              <w:jc w:val="left"/>
              <w:rPr>
                <w:color w:val="000000"/>
                <w:sz w:val="22"/>
                <w:szCs w:val="22"/>
              </w:rPr>
            </w:pPr>
            <w:r w:rsidRPr="00D25AAB">
              <w:rPr>
                <w:color w:val="000000"/>
                <w:sz w:val="22"/>
                <w:szCs w:val="22"/>
              </w:rPr>
              <w:t xml:space="preserve">W </w:t>
            </w:r>
            <w:r w:rsidRPr="00E72936">
              <w:rPr>
                <w:rFonts w:eastAsia="Calibri" w:cs="Times New Roman"/>
                <w:color w:val="000000"/>
                <w:sz w:val="21"/>
                <w:szCs w:val="21"/>
                <w:lang w:eastAsia="en-US"/>
              </w:rPr>
              <w:t>ujęciu</w:t>
            </w:r>
            <w:r w:rsidRPr="00D25AAB">
              <w:rPr>
                <w:color w:val="000000"/>
                <w:sz w:val="22"/>
                <w:szCs w:val="22"/>
              </w:rPr>
              <w:t xml:space="preserve"> pieniężnym</w:t>
            </w:r>
          </w:p>
          <w:p w:rsidR="00D25AAB" w:rsidRPr="00D25AAB" w:rsidRDefault="00D25AAB" w:rsidP="00E72936">
            <w:pPr>
              <w:widowControl/>
              <w:autoSpaceDE/>
              <w:autoSpaceDN/>
              <w:adjustRightInd/>
              <w:spacing w:line="276" w:lineRule="auto"/>
              <w:jc w:val="left"/>
              <w:rPr>
                <w:spacing w:val="-2"/>
                <w:sz w:val="22"/>
                <w:szCs w:val="22"/>
              </w:rPr>
            </w:pPr>
            <w:r w:rsidRPr="00D25AAB">
              <w:rPr>
                <w:spacing w:val="-2"/>
                <w:sz w:val="22"/>
                <w:szCs w:val="22"/>
              </w:rPr>
              <w:t xml:space="preserve">(w </w:t>
            </w:r>
            <w:r w:rsidRPr="00E72936">
              <w:rPr>
                <w:rFonts w:eastAsia="Calibri" w:cs="Times New Roman"/>
                <w:spacing w:val="-2"/>
                <w:sz w:val="21"/>
                <w:szCs w:val="21"/>
                <w:lang w:eastAsia="en-US"/>
              </w:rPr>
              <w:t>mln</w:t>
            </w:r>
            <w:r w:rsidRPr="00D25AAB">
              <w:rPr>
                <w:spacing w:val="-2"/>
                <w:sz w:val="22"/>
                <w:szCs w:val="22"/>
              </w:rPr>
              <w:t xml:space="preserve"> zł, </w:t>
            </w:r>
          </w:p>
          <w:p w:rsidR="00D25AAB" w:rsidRPr="00D25AAB" w:rsidRDefault="00D25AAB" w:rsidP="00E72936">
            <w:pPr>
              <w:widowControl/>
              <w:autoSpaceDE/>
              <w:autoSpaceDN/>
              <w:adjustRightInd/>
              <w:spacing w:line="240" w:lineRule="auto"/>
              <w:jc w:val="left"/>
              <w:rPr>
                <w:color w:val="000000"/>
                <w:sz w:val="22"/>
                <w:szCs w:val="22"/>
              </w:rPr>
            </w:pPr>
            <w:r w:rsidRPr="00E72936">
              <w:rPr>
                <w:rFonts w:eastAsia="Calibri" w:cs="Times New Roman"/>
                <w:spacing w:val="-2"/>
                <w:sz w:val="21"/>
                <w:szCs w:val="21"/>
                <w:lang w:eastAsia="en-US"/>
              </w:rPr>
              <w:t>ceny</w:t>
            </w:r>
            <w:r w:rsidRPr="00D25AAB">
              <w:rPr>
                <w:spacing w:val="-2"/>
                <w:sz w:val="22"/>
                <w:szCs w:val="22"/>
              </w:rPr>
              <w:t xml:space="preserve"> stałe z 2016 r.)</w:t>
            </w:r>
          </w:p>
        </w:tc>
        <w:tc>
          <w:tcPr>
            <w:tcW w:w="2329" w:type="dxa"/>
            <w:gridSpan w:val="5"/>
            <w:shd w:val="clear" w:color="auto" w:fill="FFFFFF"/>
          </w:tcPr>
          <w:p w:rsidR="00D25AAB" w:rsidRPr="00D25AAB" w:rsidRDefault="00D25AAB" w:rsidP="005F0D90">
            <w:pPr>
              <w:spacing w:line="240" w:lineRule="auto"/>
              <w:rPr>
                <w:color w:val="000000"/>
                <w:sz w:val="22"/>
                <w:szCs w:val="22"/>
              </w:rPr>
            </w:pPr>
            <w:r w:rsidRPr="00D25AAB">
              <w:rPr>
                <w:color w:val="000000"/>
                <w:sz w:val="22"/>
                <w:szCs w:val="22"/>
              </w:rPr>
              <w:t>duże przedsiębiorstwa</w:t>
            </w:r>
          </w:p>
        </w:tc>
        <w:tc>
          <w:tcPr>
            <w:tcW w:w="937" w:type="dxa"/>
            <w:gridSpan w:val="2"/>
            <w:shd w:val="clear" w:color="auto" w:fill="FFFFFF"/>
          </w:tcPr>
          <w:p w:rsidR="00D25AAB" w:rsidRPr="00D25AAB" w:rsidRDefault="00D25AAB" w:rsidP="005F0D90">
            <w:pPr>
              <w:spacing w:line="240" w:lineRule="auto"/>
              <w:jc w:val="right"/>
              <w:rPr>
                <w:color w:val="000000"/>
                <w:sz w:val="22"/>
                <w:szCs w:val="22"/>
              </w:rPr>
            </w:pPr>
            <w:r w:rsidRPr="00D25AAB">
              <w:rPr>
                <w:color w:val="000000"/>
                <w:sz w:val="22"/>
                <w:szCs w:val="22"/>
              </w:rPr>
              <w:t>–</w:t>
            </w:r>
          </w:p>
        </w:tc>
        <w:tc>
          <w:tcPr>
            <w:tcW w:w="938" w:type="dxa"/>
            <w:gridSpan w:val="3"/>
            <w:shd w:val="clear" w:color="auto" w:fill="FFFFFF"/>
          </w:tcPr>
          <w:p w:rsidR="00D25AAB" w:rsidRPr="00D25AAB" w:rsidRDefault="00D25AAB" w:rsidP="005F0D90">
            <w:pPr>
              <w:spacing w:line="240" w:lineRule="auto"/>
              <w:jc w:val="right"/>
              <w:rPr>
                <w:color w:val="000000"/>
                <w:sz w:val="22"/>
                <w:szCs w:val="22"/>
              </w:rPr>
            </w:pPr>
            <w:r w:rsidRPr="00D25AAB">
              <w:rPr>
                <w:color w:val="000000"/>
                <w:sz w:val="22"/>
                <w:szCs w:val="22"/>
              </w:rPr>
              <w:t>–</w:t>
            </w:r>
          </w:p>
        </w:tc>
        <w:tc>
          <w:tcPr>
            <w:tcW w:w="938" w:type="dxa"/>
            <w:gridSpan w:val="4"/>
            <w:shd w:val="clear" w:color="auto" w:fill="FFFFFF"/>
          </w:tcPr>
          <w:p w:rsidR="00D25AAB" w:rsidRPr="00D25AAB" w:rsidRDefault="00D25AAB" w:rsidP="005F0D90">
            <w:pPr>
              <w:spacing w:line="240" w:lineRule="auto"/>
              <w:jc w:val="right"/>
              <w:rPr>
                <w:color w:val="000000"/>
                <w:sz w:val="22"/>
                <w:szCs w:val="22"/>
              </w:rPr>
            </w:pPr>
            <w:r w:rsidRPr="00D25AAB">
              <w:rPr>
                <w:color w:val="000000"/>
                <w:sz w:val="22"/>
                <w:szCs w:val="22"/>
              </w:rPr>
              <w:t>–</w:t>
            </w:r>
          </w:p>
        </w:tc>
        <w:tc>
          <w:tcPr>
            <w:tcW w:w="937" w:type="dxa"/>
            <w:gridSpan w:val="3"/>
            <w:shd w:val="clear" w:color="auto" w:fill="FFFFFF"/>
          </w:tcPr>
          <w:p w:rsidR="00D25AAB" w:rsidRPr="00B37C80" w:rsidRDefault="00D25AAB" w:rsidP="005F0D90">
            <w:pPr>
              <w:spacing w:line="240" w:lineRule="auto"/>
              <w:jc w:val="right"/>
              <w:rPr>
                <w:color w:val="000000"/>
                <w:sz w:val="21"/>
                <w:szCs w:val="21"/>
              </w:rPr>
            </w:pPr>
            <w:r>
              <w:rPr>
                <w:color w:val="000000"/>
                <w:sz w:val="21"/>
                <w:szCs w:val="21"/>
              </w:rPr>
              <w:t>–</w:t>
            </w:r>
          </w:p>
        </w:tc>
        <w:tc>
          <w:tcPr>
            <w:tcW w:w="938" w:type="dxa"/>
            <w:gridSpan w:val="3"/>
            <w:shd w:val="clear" w:color="auto" w:fill="FFFFFF"/>
          </w:tcPr>
          <w:p w:rsidR="00D25AAB" w:rsidRPr="00B37C80" w:rsidRDefault="00D25AAB" w:rsidP="005F0D90">
            <w:pPr>
              <w:spacing w:line="240" w:lineRule="auto"/>
              <w:jc w:val="right"/>
              <w:rPr>
                <w:color w:val="000000"/>
                <w:sz w:val="21"/>
                <w:szCs w:val="21"/>
              </w:rPr>
            </w:pPr>
            <w:r>
              <w:rPr>
                <w:color w:val="000000"/>
                <w:sz w:val="21"/>
                <w:szCs w:val="21"/>
              </w:rPr>
              <w:t>–</w:t>
            </w:r>
          </w:p>
        </w:tc>
        <w:tc>
          <w:tcPr>
            <w:tcW w:w="938" w:type="dxa"/>
            <w:gridSpan w:val="3"/>
            <w:shd w:val="clear" w:color="auto" w:fill="FFFFFF"/>
          </w:tcPr>
          <w:p w:rsidR="00D25AAB" w:rsidRPr="00B37C80" w:rsidRDefault="00D25AAB" w:rsidP="005F0D90">
            <w:pPr>
              <w:spacing w:line="240" w:lineRule="auto"/>
              <w:jc w:val="right"/>
              <w:rPr>
                <w:color w:val="000000"/>
                <w:sz w:val="21"/>
                <w:szCs w:val="21"/>
              </w:rPr>
            </w:pPr>
            <w:r>
              <w:rPr>
                <w:color w:val="000000"/>
                <w:sz w:val="21"/>
                <w:szCs w:val="21"/>
              </w:rPr>
              <w:t>–</w:t>
            </w:r>
          </w:p>
        </w:tc>
        <w:tc>
          <w:tcPr>
            <w:tcW w:w="1684" w:type="dxa"/>
            <w:gridSpan w:val="2"/>
            <w:shd w:val="clear" w:color="auto" w:fill="FFFFFF"/>
          </w:tcPr>
          <w:p w:rsidR="00D25AAB" w:rsidRPr="00B37C80" w:rsidRDefault="00D25AAB" w:rsidP="005F0D90">
            <w:pPr>
              <w:spacing w:line="240" w:lineRule="auto"/>
              <w:jc w:val="right"/>
              <w:rPr>
                <w:color w:val="000000"/>
                <w:sz w:val="21"/>
                <w:szCs w:val="21"/>
              </w:rPr>
            </w:pPr>
            <w:r>
              <w:rPr>
                <w:color w:val="000000"/>
                <w:sz w:val="21"/>
                <w:szCs w:val="21"/>
              </w:rPr>
              <w:t>–</w:t>
            </w:r>
          </w:p>
        </w:tc>
      </w:tr>
      <w:tr w:rsidR="00D25AAB" w:rsidRPr="008B4FE6" w:rsidTr="003A4A31">
        <w:trPr>
          <w:trHeight w:val="568"/>
        </w:trPr>
        <w:tc>
          <w:tcPr>
            <w:tcW w:w="1560" w:type="dxa"/>
            <w:vMerge/>
            <w:shd w:val="clear" w:color="auto" w:fill="FFFFFF"/>
          </w:tcPr>
          <w:p w:rsidR="00D25AAB" w:rsidRPr="00D25AAB" w:rsidRDefault="00D25AAB" w:rsidP="00206350">
            <w:pPr>
              <w:spacing w:line="240" w:lineRule="auto"/>
              <w:rPr>
                <w:color w:val="000000"/>
                <w:sz w:val="22"/>
                <w:szCs w:val="22"/>
              </w:rPr>
            </w:pPr>
          </w:p>
        </w:tc>
        <w:tc>
          <w:tcPr>
            <w:tcW w:w="2329" w:type="dxa"/>
            <w:gridSpan w:val="5"/>
            <w:shd w:val="clear" w:color="auto" w:fill="FFFFFF"/>
          </w:tcPr>
          <w:p w:rsidR="00D25AAB" w:rsidRPr="00D25AAB" w:rsidRDefault="00D25AAB" w:rsidP="00E72936">
            <w:pPr>
              <w:widowControl/>
              <w:autoSpaceDE/>
              <w:autoSpaceDN/>
              <w:adjustRightInd/>
              <w:spacing w:line="240" w:lineRule="auto"/>
              <w:jc w:val="left"/>
              <w:rPr>
                <w:color w:val="000000"/>
                <w:sz w:val="22"/>
                <w:szCs w:val="22"/>
              </w:rPr>
            </w:pPr>
            <w:r w:rsidRPr="00D25AAB">
              <w:rPr>
                <w:color w:val="000000"/>
                <w:sz w:val="22"/>
                <w:szCs w:val="22"/>
              </w:rPr>
              <w:t xml:space="preserve">sektor </w:t>
            </w:r>
            <w:r w:rsidRPr="00E72936">
              <w:rPr>
                <w:rFonts w:eastAsia="Calibri" w:cs="Times New Roman"/>
                <w:color w:val="000000"/>
                <w:sz w:val="21"/>
                <w:szCs w:val="21"/>
                <w:lang w:eastAsia="en-US"/>
              </w:rPr>
              <w:t>mikro</w:t>
            </w:r>
            <w:r w:rsidRPr="00D25AAB">
              <w:rPr>
                <w:color w:val="000000"/>
                <w:sz w:val="22"/>
                <w:szCs w:val="22"/>
              </w:rPr>
              <w:t>-, małych i średnich przedsiębiorstw</w:t>
            </w:r>
          </w:p>
        </w:tc>
        <w:tc>
          <w:tcPr>
            <w:tcW w:w="937" w:type="dxa"/>
            <w:gridSpan w:val="2"/>
            <w:shd w:val="clear" w:color="auto" w:fill="FFFFFF"/>
          </w:tcPr>
          <w:p w:rsidR="00D25AAB" w:rsidRPr="00D25AAB" w:rsidRDefault="00D25AAB" w:rsidP="005F0D90">
            <w:pPr>
              <w:spacing w:line="240" w:lineRule="auto"/>
              <w:jc w:val="right"/>
              <w:rPr>
                <w:color w:val="000000"/>
                <w:sz w:val="22"/>
                <w:szCs w:val="22"/>
              </w:rPr>
            </w:pPr>
            <w:r w:rsidRPr="00D25AAB">
              <w:rPr>
                <w:color w:val="000000"/>
                <w:sz w:val="22"/>
                <w:szCs w:val="22"/>
              </w:rPr>
              <w:t>–</w:t>
            </w:r>
          </w:p>
        </w:tc>
        <w:tc>
          <w:tcPr>
            <w:tcW w:w="938" w:type="dxa"/>
            <w:gridSpan w:val="3"/>
            <w:shd w:val="clear" w:color="auto" w:fill="FFFFFF"/>
          </w:tcPr>
          <w:p w:rsidR="00D25AAB" w:rsidRPr="00D25AAB" w:rsidRDefault="00D25AAB" w:rsidP="005F0D90">
            <w:pPr>
              <w:spacing w:line="240" w:lineRule="auto"/>
              <w:jc w:val="right"/>
              <w:rPr>
                <w:color w:val="000000"/>
                <w:sz w:val="22"/>
                <w:szCs w:val="22"/>
              </w:rPr>
            </w:pPr>
            <w:r w:rsidRPr="00D25AAB">
              <w:rPr>
                <w:color w:val="000000"/>
                <w:sz w:val="22"/>
                <w:szCs w:val="22"/>
              </w:rPr>
              <w:t>–</w:t>
            </w:r>
          </w:p>
        </w:tc>
        <w:tc>
          <w:tcPr>
            <w:tcW w:w="938" w:type="dxa"/>
            <w:gridSpan w:val="4"/>
            <w:shd w:val="clear" w:color="auto" w:fill="FFFFFF"/>
          </w:tcPr>
          <w:p w:rsidR="00D25AAB" w:rsidRPr="00D25AAB" w:rsidRDefault="00D25AAB" w:rsidP="005F0D90">
            <w:pPr>
              <w:spacing w:line="240" w:lineRule="auto"/>
              <w:jc w:val="right"/>
              <w:rPr>
                <w:color w:val="000000"/>
                <w:sz w:val="22"/>
                <w:szCs w:val="22"/>
              </w:rPr>
            </w:pPr>
            <w:r w:rsidRPr="00D25AAB">
              <w:rPr>
                <w:color w:val="000000"/>
                <w:sz w:val="22"/>
                <w:szCs w:val="22"/>
              </w:rPr>
              <w:t>–</w:t>
            </w:r>
          </w:p>
        </w:tc>
        <w:tc>
          <w:tcPr>
            <w:tcW w:w="937" w:type="dxa"/>
            <w:gridSpan w:val="3"/>
            <w:shd w:val="clear" w:color="auto" w:fill="FFFFFF"/>
          </w:tcPr>
          <w:p w:rsidR="00D25AAB" w:rsidRPr="00B37C80" w:rsidRDefault="00D25AAB" w:rsidP="005F0D90">
            <w:pPr>
              <w:spacing w:line="240" w:lineRule="auto"/>
              <w:jc w:val="right"/>
              <w:rPr>
                <w:color w:val="000000"/>
                <w:sz w:val="21"/>
                <w:szCs w:val="21"/>
              </w:rPr>
            </w:pPr>
            <w:r>
              <w:rPr>
                <w:color w:val="000000"/>
                <w:sz w:val="21"/>
                <w:szCs w:val="21"/>
              </w:rPr>
              <w:t>–</w:t>
            </w:r>
          </w:p>
        </w:tc>
        <w:tc>
          <w:tcPr>
            <w:tcW w:w="938" w:type="dxa"/>
            <w:gridSpan w:val="3"/>
            <w:shd w:val="clear" w:color="auto" w:fill="FFFFFF"/>
          </w:tcPr>
          <w:p w:rsidR="00D25AAB" w:rsidRPr="00B37C80" w:rsidRDefault="00D25AAB" w:rsidP="005F0D90">
            <w:pPr>
              <w:spacing w:line="240" w:lineRule="auto"/>
              <w:jc w:val="right"/>
              <w:rPr>
                <w:color w:val="000000"/>
                <w:sz w:val="21"/>
                <w:szCs w:val="21"/>
              </w:rPr>
            </w:pPr>
            <w:r>
              <w:rPr>
                <w:color w:val="000000"/>
                <w:sz w:val="21"/>
                <w:szCs w:val="21"/>
              </w:rPr>
              <w:t>–</w:t>
            </w:r>
          </w:p>
        </w:tc>
        <w:tc>
          <w:tcPr>
            <w:tcW w:w="938" w:type="dxa"/>
            <w:gridSpan w:val="3"/>
            <w:shd w:val="clear" w:color="auto" w:fill="FFFFFF"/>
          </w:tcPr>
          <w:p w:rsidR="00D25AAB" w:rsidRPr="00B37C80" w:rsidRDefault="00D25AAB" w:rsidP="005F0D90">
            <w:pPr>
              <w:spacing w:line="240" w:lineRule="auto"/>
              <w:jc w:val="right"/>
              <w:rPr>
                <w:color w:val="000000"/>
                <w:sz w:val="21"/>
                <w:szCs w:val="21"/>
              </w:rPr>
            </w:pPr>
            <w:r>
              <w:rPr>
                <w:color w:val="000000"/>
                <w:sz w:val="21"/>
                <w:szCs w:val="21"/>
              </w:rPr>
              <w:t>–</w:t>
            </w:r>
          </w:p>
        </w:tc>
        <w:tc>
          <w:tcPr>
            <w:tcW w:w="1684" w:type="dxa"/>
            <w:gridSpan w:val="2"/>
            <w:shd w:val="clear" w:color="auto" w:fill="FFFFFF"/>
          </w:tcPr>
          <w:p w:rsidR="00D25AAB" w:rsidRPr="00B37C80" w:rsidRDefault="00D25AAB" w:rsidP="005F0D90">
            <w:pPr>
              <w:spacing w:line="240" w:lineRule="auto"/>
              <w:jc w:val="right"/>
              <w:rPr>
                <w:color w:val="000000"/>
                <w:sz w:val="21"/>
                <w:szCs w:val="21"/>
              </w:rPr>
            </w:pPr>
            <w:r>
              <w:rPr>
                <w:color w:val="000000"/>
                <w:sz w:val="21"/>
                <w:szCs w:val="21"/>
              </w:rPr>
              <w:t>–</w:t>
            </w:r>
          </w:p>
        </w:tc>
      </w:tr>
      <w:tr w:rsidR="00D25AAB" w:rsidRPr="008B4FE6" w:rsidTr="006246D3">
        <w:trPr>
          <w:trHeight w:val="690"/>
        </w:trPr>
        <w:tc>
          <w:tcPr>
            <w:tcW w:w="1560" w:type="dxa"/>
            <w:vMerge/>
            <w:shd w:val="clear" w:color="auto" w:fill="FFFFFF"/>
          </w:tcPr>
          <w:p w:rsidR="00D25AAB" w:rsidRPr="00D25AAB" w:rsidRDefault="00D25AAB" w:rsidP="00206350">
            <w:pPr>
              <w:spacing w:line="240" w:lineRule="auto"/>
              <w:rPr>
                <w:color w:val="000000"/>
                <w:sz w:val="22"/>
                <w:szCs w:val="22"/>
              </w:rPr>
            </w:pPr>
          </w:p>
        </w:tc>
        <w:tc>
          <w:tcPr>
            <w:tcW w:w="2329" w:type="dxa"/>
            <w:gridSpan w:val="5"/>
            <w:shd w:val="clear" w:color="auto" w:fill="FFFFFF"/>
            <w:vAlign w:val="center"/>
          </w:tcPr>
          <w:p w:rsidR="00D25AAB" w:rsidRPr="00D25AAB" w:rsidRDefault="00D25AAB" w:rsidP="006E2807">
            <w:pPr>
              <w:spacing w:line="240" w:lineRule="auto"/>
              <w:jc w:val="center"/>
              <w:rPr>
                <w:color w:val="000000"/>
                <w:sz w:val="22"/>
                <w:szCs w:val="22"/>
              </w:rPr>
            </w:pPr>
            <w:r w:rsidRPr="00D25AAB">
              <w:rPr>
                <w:sz w:val="22"/>
                <w:szCs w:val="22"/>
              </w:rPr>
              <w:t>obywatele, gospodarstwa domowe</w:t>
            </w:r>
          </w:p>
        </w:tc>
        <w:tc>
          <w:tcPr>
            <w:tcW w:w="937" w:type="dxa"/>
            <w:gridSpan w:val="2"/>
            <w:shd w:val="clear" w:color="auto" w:fill="FFFFFF"/>
            <w:vAlign w:val="center"/>
          </w:tcPr>
          <w:p w:rsidR="00D25AAB" w:rsidRPr="00D25AAB" w:rsidRDefault="00D25AAB" w:rsidP="006E2807">
            <w:pPr>
              <w:spacing w:line="240" w:lineRule="auto"/>
              <w:jc w:val="right"/>
              <w:rPr>
                <w:color w:val="000000"/>
                <w:sz w:val="22"/>
                <w:szCs w:val="22"/>
              </w:rPr>
            </w:pPr>
            <w:r w:rsidRPr="00D25AAB">
              <w:rPr>
                <w:color w:val="000000"/>
                <w:sz w:val="22"/>
                <w:szCs w:val="22"/>
              </w:rPr>
              <w:t>b.d.</w:t>
            </w:r>
          </w:p>
        </w:tc>
        <w:tc>
          <w:tcPr>
            <w:tcW w:w="938" w:type="dxa"/>
            <w:gridSpan w:val="3"/>
            <w:shd w:val="clear" w:color="auto" w:fill="FFFFFF"/>
            <w:vAlign w:val="center"/>
          </w:tcPr>
          <w:p w:rsidR="00D25AAB" w:rsidRPr="00D25AAB" w:rsidRDefault="00D25AAB" w:rsidP="006E2807">
            <w:pPr>
              <w:spacing w:line="240" w:lineRule="auto"/>
              <w:jc w:val="right"/>
              <w:rPr>
                <w:color w:val="000000"/>
                <w:sz w:val="22"/>
                <w:szCs w:val="22"/>
              </w:rPr>
            </w:pPr>
            <w:r w:rsidRPr="00D25AAB">
              <w:rPr>
                <w:color w:val="000000"/>
                <w:sz w:val="22"/>
                <w:szCs w:val="22"/>
              </w:rPr>
              <w:t>b.d.</w:t>
            </w:r>
          </w:p>
        </w:tc>
        <w:tc>
          <w:tcPr>
            <w:tcW w:w="938" w:type="dxa"/>
            <w:gridSpan w:val="4"/>
            <w:shd w:val="clear" w:color="auto" w:fill="FFFFFF"/>
            <w:vAlign w:val="center"/>
          </w:tcPr>
          <w:p w:rsidR="00D25AAB" w:rsidRPr="00D25AAB" w:rsidRDefault="00D25AAB" w:rsidP="006E2807">
            <w:pPr>
              <w:spacing w:line="240" w:lineRule="auto"/>
              <w:jc w:val="right"/>
              <w:rPr>
                <w:color w:val="000000"/>
                <w:sz w:val="22"/>
                <w:szCs w:val="22"/>
              </w:rPr>
            </w:pPr>
            <w:r w:rsidRPr="00D25AAB">
              <w:rPr>
                <w:color w:val="000000"/>
                <w:sz w:val="22"/>
                <w:szCs w:val="22"/>
              </w:rPr>
              <w:t>b.d.</w:t>
            </w:r>
          </w:p>
        </w:tc>
        <w:tc>
          <w:tcPr>
            <w:tcW w:w="937" w:type="dxa"/>
            <w:gridSpan w:val="3"/>
            <w:shd w:val="clear" w:color="auto" w:fill="FFFFFF"/>
            <w:vAlign w:val="center"/>
          </w:tcPr>
          <w:p w:rsidR="00D25AAB" w:rsidRPr="00B37C80" w:rsidRDefault="00D25AAB" w:rsidP="006E2807">
            <w:pPr>
              <w:spacing w:line="240" w:lineRule="auto"/>
              <w:jc w:val="right"/>
              <w:rPr>
                <w:color w:val="000000"/>
                <w:sz w:val="21"/>
                <w:szCs w:val="21"/>
              </w:rPr>
            </w:pPr>
            <w:r>
              <w:rPr>
                <w:color w:val="000000"/>
                <w:sz w:val="21"/>
                <w:szCs w:val="21"/>
              </w:rPr>
              <w:t>b.d.</w:t>
            </w:r>
          </w:p>
        </w:tc>
        <w:tc>
          <w:tcPr>
            <w:tcW w:w="938" w:type="dxa"/>
            <w:gridSpan w:val="3"/>
            <w:shd w:val="clear" w:color="auto" w:fill="FFFFFF"/>
            <w:vAlign w:val="center"/>
          </w:tcPr>
          <w:p w:rsidR="00D25AAB" w:rsidRPr="00B37C80" w:rsidRDefault="00D25AAB" w:rsidP="006E2807">
            <w:pPr>
              <w:spacing w:line="240" w:lineRule="auto"/>
              <w:jc w:val="right"/>
              <w:rPr>
                <w:color w:val="000000"/>
                <w:sz w:val="21"/>
                <w:szCs w:val="21"/>
              </w:rPr>
            </w:pPr>
            <w:r>
              <w:rPr>
                <w:color w:val="000000"/>
                <w:sz w:val="21"/>
                <w:szCs w:val="21"/>
              </w:rPr>
              <w:t>b.d.</w:t>
            </w:r>
          </w:p>
        </w:tc>
        <w:tc>
          <w:tcPr>
            <w:tcW w:w="938" w:type="dxa"/>
            <w:gridSpan w:val="3"/>
            <w:shd w:val="clear" w:color="auto" w:fill="FFFFFF"/>
            <w:vAlign w:val="center"/>
          </w:tcPr>
          <w:p w:rsidR="00D25AAB" w:rsidRPr="00B37C80" w:rsidRDefault="00D25AAB" w:rsidP="006E2807">
            <w:pPr>
              <w:spacing w:line="240" w:lineRule="auto"/>
              <w:jc w:val="right"/>
              <w:rPr>
                <w:color w:val="000000"/>
                <w:sz w:val="21"/>
                <w:szCs w:val="21"/>
              </w:rPr>
            </w:pPr>
            <w:r>
              <w:rPr>
                <w:color w:val="000000"/>
                <w:sz w:val="21"/>
                <w:szCs w:val="21"/>
              </w:rPr>
              <w:t>b.d.</w:t>
            </w:r>
          </w:p>
        </w:tc>
        <w:tc>
          <w:tcPr>
            <w:tcW w:w="1684" w:type="dxa"/>
            <w:gridSpan w:val="2"/>
            <w:shd w:val="clear" w:color="auto" w:fill="FFFFFF"/>
            <w:vAlign w:val="center"/>
          </w:tcPr>
          <w:p w:rsidR="00D25AAB" w:rsidRPr="00B37C80" w:rsidRDefault="00D25AAB" w:rsidP="006E2807">
            <w:pPr>
              <w:spacing w:line="240" w:lineRule="auto"/>
              <w:jc w:val="right"/>
              <w:rPr>
                <w:color w:val="000000"/>
                <w:spacing w:val="-2"/>
                <w:sz w:val="21"/>
                <w:szCs w:val="21"/>
              </w:rPr>
            </w:pPr>
            <w:r>
              <w:rPr>
                <w:color w:val="000000"/>
                <w:sz w:val="21"/>
                <w:szCs w:val="21"/>
              </w:rPr>
              <w:t>b.d.</w:t>
            </w:r>
          </w:p>
        </w:tc>
      </w:tr>
      <w:tr w:rsidR="00D25AAB" w:rsidRPr="008B4FE6" w:rsidTr="000E170C">
        <w:trPr>
          <w:trHeight w:val="846"/>
        </w:trPr>
        <w:tc>
          <w:tcPr>
            <w:tcW w:w="2243" w:type="dxa"/>
            <w:gridSpan w:val="2"/>
            <w:shd w:val="clear" w:color="auto" w:fill="FFFFFF"/>
          </w:tcPr>
          <w:p w:rsidR="00D25AAB" w:rsidRPr="00D25AAB" w:rsidRDefault="00D25AAB" w:rsidP="00E72936">
            <w:pPr>
              <w:widowControl/>
              <w:autoSpaceDE/>
              <w:autoSpaceDN/>
              <w:adjustRightInd/>
              <w:spacing w:line="240" w:lineRule="auto"/>
              <w:jc w:val="left"/>
              <w:rPr>
                <w:color w:val="000000"/>
                <w:sz w:val="22"/>
                <w:szCs w:val="22"/>
              </w:rPr>
            </w:pPr>
            <w:r w:rsidRPr="00E72936">
              <w:rPr>
                <w:rFonts w:eastAsia="Calibri" w:cs="Times New Roman"/>
                <w:color w:val="000000"/>
                <w:sz w:val="21"/>
                <w:szCs w:val="21"/>
                <w:lang w:eastAsia="en-US"/>
              </w:rPr>
              <w:t>Dodatkowe informacje, w tym wskazanie źródeł danych i przyjętych do obliczeń założeń</w:t>
            </w:r>
            <w:r w:rsidRPr="00D25AAB">
              <w:rPr>
                <w:color w:val="000000"/>
                <w:sz w:val="22"/>
                <w:szCs w:val="22"/>
              </w:rPr>
              <w:t xml:space="preserve"> </w:t>
            </w:r>
          </w:p>
        </w:tc>
        <w:tc>
          <w:tcPr>
            <w:tcW w:w="8956" w:type="dxa"/>
            <w:gridSpan w:val="24"/>
            <w:shd w:val="clear" w:color="auto" w:fill="FFFFFF"/>
            <w:vAlign w:val="center"/>
          </w:tcPr>
          <w:p w:rsidR="00D25AAB" w:rsidRPr="00E72936" w:rsidRDefault="00D25AAB" w:rsidP="00E72936">
            <w:pPr>
              <w:widowControl/>
              <w:autoSpaceDE/>
              <w:autoSpaceDN/>
              <w:adjustRightInd/>
              <w:spacing w:line="240" w:lineRule="auto"/>
              <w:ind w:left="60"/>
              <w:rPr>
                <w:rFonts w:eastAsia="Calibri" w:cs="Times New Roman"/>
                <w:color w:val="000000"/>
                <w:sz w:val="21"/>
                <w:szCs w:val="21"/>
                <w:lang w:eastAsia="en-US"/>
              </w:rPr>
            </w:pPr>
            <w:r w:rsidRPr="00E72936">
              <w:rPr>
                <w:rFonts w:eastAsia="Calibri" w:cs="Times New Roman"/>
                <w:color w:val="000000"/>
                <w:sz w:val="21"/>
                <w:szCs w:val="21"/>
                <w:lang w:eastAsia="en-US"/>
              </w:rPr>
              <w:t>Projektowana regulacja zabezpiecza interesy właścicieli przedmiotów, którzy nie przewidywali i nie mogli przewidzieć przy zachowaniu ostrożności wymaganej w danych okolicznościach, że przedmiot ten może służyć do popełnienia przestępstwa lub wykroczenia.</w:t>
            </w:r>
          </w:p>
          <w:p w:rsidR="00D25AAB" w:rsidRPr="00E72936" w:rsidRDefault="00D25AAB" w:rsidP="00E72936">
            <w:pPr>
              <w:widowControl/>
              <w:autoSpaceDE/>
              <w:autoSpaceDN/>
              <w:adjustRightInd/>
              <w:spacing w:before="120" w:line="240" w:lineRule="auto"/>
              <w:ind w:left="60"/>
              <w:rPr>
                <w:rFonts w:eastAsia="Calibri" w:cs="Times New Roman"/>
                <w:color w:val="000000"/>
                <w:sz w:val="21"/>
                <w:szCs w:val="21"/>
                <w:lang w:eastAsia="en-US"/>
              </w:rPr>
            </w:pPr>
            <w:r w:rsidRPr="00E72936">
              <w:rPr>
                <w:rFonts w:eastAsia="Calibri" w:cs="Times New Roman"/>
                <w:color w:val="000000"/>
                <w:sz w:val="21"/>
                <w:szCs w:val="21"/>
                <w:lang w:eastAsia="en-US"/>
              </w:rPr>
              <w:t>Przykładem może być sytuacja, która stała się podstawą skargi konstytucyjnej do TK.</w:t>
            </w:r>
          </w:p>
          <w:p w:rsidR="00D25AAB" w:rsidRPr="00E72936" w:rsidRDefault="00D25AAB" w:rsidP="00E72936">
            <w:pPr>
              <w:widowControl/>
              <w:autoSpaceDE/>
              <w:autoSpaceDN/>
              <w:adjustRightInd/>
              <w:spacing w:before="120" w:line="240" w:lineRule="auto"/>
              <w:ind w:left="60"/>
              <w:rPr>
                <w:rFonts w:eastAsia="Calibri" w:cs="Times New Roman"/>
                <w:color w:val="000000"/>
                <w:sz w:val="21"/>
                <w:szCs w:val="21"/>
                <w:lang w:eastAsia="en-US"/>
              </w:rPr>
            </w:pPr>
            <w:r w:rsidRPr="00E72936">
              <w:rPr>
                <w:rFonts w:eastAsia="Calibri" w:cs="Times New Roman"/>
                <w:color w:val="000000"/>
                <w:sz w:val="21"/>
                <w:szCs w:val="21"/>
                <w:lang w:eastAsia="en-US"/>
              </w:rPr>
              <w:t>Wyrokiem z 9 maja 2012 r. Sąd Okręgowy w Olsztynie uznał trzy osoby za winne popełnienia przestępstwa polegającego na przemycie narkotyków, wymierzając im kary pozbawienia wolności. Ponadto sąd orzekł przepadek wykorzystanego do popełnienia przestępstwa samochodu osobowego marki Audi A6, należącego do osoby trzeciej. Samochód został dostosowany i wykorzystany do przemytu środków odurzających bez zgody właściciela.</w:t>
            </w:r>
          </w:p>
          <w:p w:rsidR="00D25AAB" w:rsidRPr="00D25AAB" w:rsidRDefault="00D25AAB" w:rsidP="00E72936">
            <w:pPr>
              <w:widowControl/>
              <w:autoSpaceDE/>
              <w:autoSpaceDN/>
              <w:adjustRightInd/>
              <w:spacing w:before="120" w:line="240" w:lineRule="auto"/>
              <w:ind w:left="60"/>
              <w:rPr>
                <w:color w:val="000000"/>
                <w:sz w:val="22"/>
                <w:szCs w:val="22"/>
              </w:rPr>
            </w:pPr>
            <w:r w:rsidRPr="00E72936">
              <w:rPr>
                <w:rFonts w:eastAsia="Calibri" w:cs="Times New Roman"/>
                <w:color w:val="000000"/>
                <w:sz w:val="21"/>
                <w:szCs w:val="21"/>
                <w:lang w:eastAsia="en-US"/>
              </w:rPr>
              <w:t xml:space="preserve">W projektowanym stanie prawnym sąd </w:t>
            </w:r>
            <w:r w:rsidRPr="00E72936">
              <w:rPr>
                <w:rFonts w:eastAsia="Calibri" w:cs="Times New Roman"/>
                <w:b/>
                <w:color w:val="000000"/>
                <w:sz w:val="21"/>
                <w:szCs w:val="21"/>
                <w:lang w:eastAsia="en-US"/>
              </w:rPr>
              <w:t>nie będzie mógł orzec przepadku przedmiotu</w:t>
            </w:r>
            <w:r w:rsidRPr="00E72936">
              <w:rPr>
                <w:rFonts w:eastAsia="Calibri" w:cs="Times New Roman"/>
                <w:color w:val="000000"/>
                <w:sz w:val="21"/>
                <w:szCs w:val="21"/>
                <w:lang w:eastAsia="en-US"/>
              </w:rPr>
              <w:t xml:space="preserve"> w podobnej sytuacji.</w:t>
            </w:r>
          </w:p>
        </w:tc>
      </w:tr>
      <w:tr w:rsidR="00D25AAB" w:rsidRPr="008B4FE6" w:rsidTr="00995A21">
        <w:trPr>
          <w:trHeight w:val="342"/>
        </w:trPr>
        <w:tc>
          <w:tcPr>
            <w:tcW w:w="11199" w:type="dxa"/>
            <w:gridSpan w:val="26"/>
            <w:shd w:val="clear" w:color="auto" w:fill="99CCFF"/>
            <w:vAlign w:val="center"/>
          </w:tcPr>
          <w:p w:rsidR="00D25AAB" w:rsidRPr="00D25AAB" w:rsidRDefault="00D25AAB" w:rsidP="00D25AAB">
            <w:pPr>
              <w:widowControl/>
              <w:numPr>
                <w:ilvl w:val="0"/>
                <w:numId w:val="47"/>
              </w:numPr>
              <w:autoSpaceDE/>
              <w:autoSpaceDN/>
              <w:adjustRightInd/>
              <w:spacing w:before="60" w:after="60" w:line="240" w:lineRule="auto"/>
              <w:ind w:left="318" w:hanging="284"/>
              <w:rPr>
                <w:b/>
                <w:color w:val="000000"/>
                <w:sz w:val="22"/>
                <w:szCs w:val="22"/>
              </w:rPr>
            </w:pPr>
            <w:r w:rsidRPr="00D25AAB">
              <w:rPr>
                <w:b/>
                <w:color w:val="000000"/>
                <w:sz w:val="22"/>
                <w:szCs w:val="22"/>
              </w:rPr>
              <w:t xml:space="preserve"> Zmiana obciążeń regulacyjnych (w tym obowiązków informacyjnych) wynikających z projektu</w:t>
            </w:r>
          </w:p>
        </w:tc>
      </w:tr>
      <w:tr w:rsidR="00D25AAB" w:rsidRPr="008B4FE6" w:rsidTr="00995A21">
        <w:trPr>
          <w:trHeight w:val="151"/>
        </w:trPr>
        <w:tc>
          <w:tcPr>
            <w:tcW w:w="11199" w:type="dxa"/>
            <w:gridSpan w:val="26"/>
            <w:shd w:val="clear" w:color="auto" w:fill="FFFFFF"/>
          </w:tcPr>
          <w:p w:rsidR="00D25AAB" w:rsidRPr="00D25AAB" w:rsidRDefault="00D25AAB" w:rsidP="004F4E17">
            <w:pPr>
              <w:spacing w:line="240" w:lineRule="auto"/>
              <w:rPr>
                <w:color w:val="000000"/>
                <w:sz w:val="22"/>
                <w:szCs w:val="22"/>
              </w:rPr>
            </w:pPr>
            <w:r w:rsidRPr="00D25AAB">
              <w:rPr>
                <w:color w:val="000000"/>
                <w:sz w:val="22"/>
                <w:szCs w:val="22"/>
              </w:rPr>
              <w:fldChar w:fldCharType="begin">
                <w:ffData>
                  <w:name w:val=""/>
                  <w:enabled/>
                  <w:calcOnExit w:val="0"/>
                  <w:checkBox>
                    <w:sizeAuto/>
                    <w:default w:val="1"/>
                  </w:checkBox>
                </w:ffData>
              </w:fldChar>
            </w:r>
            <w:r w:rsidRPr="00D25AAB">
              <w:rPr>
                <w:color w:val="000000"/>
                <w:sz w:val="22"/>
                <w:szCs w:val="22"/>
              </w:rPr>
              <w:instrText xml:space="preserve"> FORMCHECKBOX </w:instrText>
            </w:r>
            <w:r w:rsidR="005E1FF9">
              <w:rPr>
                <w:color w:val="000000"/>
                <w:sz w:val="22"/>
                <w:szCs w:val="22"/>
              </w:rPr>
            </w:r>
            <w:r w:rsidR="005E1FF9">
              <w:rPr>
                <w:color w:val="000000"/>
                <w:sz w:val="22"/>
                <w:szCs w:val="22"/>
              </w:rPr>
              <w:fldChar w:fldCharType="separate"/>
            </w:r>
            <w:r w:rsidRPr="00D25AAB">
              <w:rPr>
                <w:color w:val="000000"/>
                <w:sz w:val="22"/>
                <w:szCs w:val="22"/>
              </w:rPr>
              <w:fldChar w:fldCharType="end"/>
            </w:r>
            <w:r w:rsidRPr="00D25AAB">
              <w:rPr>
                <w:color w:val="000000"/>
                <w:sz w:val="22"/>
                <w:szCs w:val="22"/>
              </w:rPr>
              <w:t xml:space="preserve"> </w:t>
            </w:r>
            <w:r w:rsidRPr="00D25AAB">
              <w:rPr>
                <w:color w:val="000000"/>
                <w:spacing w:val="-2"/>
                <w:sz w:val="22"/>
                <w:szCs w:val="22"/>
              </w:rPr>
              <w:t>nie dotyczy</w:t>
            </w:r>
          </w:p>
        </w:tc>
      </w:tr>
      <w:tr w:rsidR="00D25AAB" w:rsidRPr="008B4FE6" w:rsidTr="00995A21">
        <w:trPr>
          <w:trHeight w:val="142"/>
        </w:trPr>
        <w:tc>
          <w:tcPr>
            <w:tcW w:w="11199" w:type="dxa"/>
            <w:gridSpan w:val="26"/>
            <w:shd w:val="clear" w:color="auto" w:fill="99CCFF"/>
          </w:tcPr>
          <w:p w:rsidR="00D25AAB" w:rsidRPr="00D25AAB" w:rsidRDefault="00D25AAB" w:rsidP="00D25AAB">
            <w:pPr>
              <w:widowControl/>
              <w:numPr>
                <w:ilvl w:val="0"/>
                <w:numId w:val="47"/>
              </w:numPr>
              <w:autoSpaceDE/>
              <w:autoSpaceDN/>
              <w:adjustRightInd/>
              <w:spacing w:before="60" w:after="60" w:line="240" w:lineRule="auto"/>
              <w:rPr>
                <w:b/>
                <w:color w:val="000000"/>
                <w:sz w:val="22"/>
                <w:szCs w:val="22"/>
              </w:rPr>
            </w:pPr>
            <w:r w:rsidRPr="00D25AAB">
              <w:rPr>
                <w:b/>
                <w:color w:val="000000"/>
                <w:sz w:val="22"/>
                <w:szCs w:val="22"/>
              </w:rPr>
              <w:t xml:space="preserve">Wpływ na rynek pracy </w:t>
            </w:r>
          </w:p>
        </w:tc>
      </w:tr>
      <w:tr w:rsidR="00D25AAB" w:rsidRPr="008B4FE6" w:rsidTr="00995A21">
        <w:trPr>
          <w:trHeight w:val="142"/>
        </w:trPr>
        <w:tc>
          <w:tcPr>
            <w:tcW w:w="11199" w:type="dxa"/>
            <w:gridSpan w:val="26"/>
            <w:shd w:val="clear" w:color="auto" w:fill="auto"/>
          </w:tcPr>
          <w:p w:rsidR="00D25AAB" w:rsidRPr="00D25AAB" w:rsidRDefault="00D25AAB" w:rsidP="00B37C80">
            <w:pPr>
              <w:spacing w:line="240" w:lineRule="auto"/>
              <w:rPr>
                <w:color w:val="000000"/>
                <w:sz w:val="22"/>
                <w:szCs w:val="22"/>
              </w:rPr>
            </w:pPr>
            <w:r w:rsidRPr="00D25AAB">
              <w:rPr>
                <w:color w:val="000000"/>
                <w:sz w:val="22"/>
                <w:szCs w:val="22"/>
              </w:rPr>
              <w:t>Nie dotyczy.</w:t>
            </w:r>
          </w:p>
        </w:tc>
      </w:tr>
      <w:tr w:rsidR="00D25AAB" w:rsidRPr="008B4FE6" w:rsidTr="00995A21">
        <w:trPr>
          <w:trHeight w:val="142"/>
        </w:trPr>
        <w:tc>
          <w:tcPr>
            <w:tcW w:w="11199" w:type="dxa"/>
            <w:gridSpan w:val="26"/>
            <w:shd w:val="clear" w:color="auto" w:fill="99CCFF"/>
          </w:tcPr>
          <w:p w:rsidR="00D25AAB" w:rsidRPr="00D25AAB" w:rsidRDefault="00D25AAB" w:rsidP="00D25AAB">
            <w:pPr>
              <w:widowControl/>
              <w:numPr>
                <w:ilvl w:val="0"/>
                <w:numId w:val="47"/>
              </w:numPr>
              <w:autoSpaceDE/>
              <w:autoSpaceDN/>
              <w:adjustRightInd/>
              <w:spacing w:before="60" w:after="60" w:line="240" w:lineRule="auto"/>
              <w:rPr>
                <w:b/>
                <w:color w:val="000000"/>
                <w:sz w:val="22"/>
                <w:szCs w:val="22"/>
              </w:rPr>
            </w:pPr>
            <w:r w:rsidRPr="00D25AAB">
              <w:rPr>
                <w:b/>
                <w:color w:val="000000"/>
                <w:sz w:val="22"/>
                <w:szCs w:val="22"/>
              </w:rPr>
              <w:t>Wpływ na pozostałe obszary</w:t>
            </w:r>
          </w:p>
        </w:tc>
      </w:tr>
      <w:tr w:rsidR="00D25AAB" w:rsidRPr="008B4FE6" w:rsidTr="00995A21">
        <w:trPr>
          <w:trHeight w:val="189"/>
        </w:trPr>
        <w:tc>
          <w:tcPr>
            <w:tcW w:w="2243" w:type="dxa"/>
            <w:gridSpan w:val="2"/>
            <w:shd w:val="clear" w:color="auto" w:fill="FFFFFF"/>
            <w:vAlign w:val="center"/>
          </w:tcPr>
          <w:p w:rsidR="00D25AAB" w:rsidRPr="00D25AAB" w:rsidRDefault="00D25AAB" w:rsidP="00254DED">
            <w:pPr>
              <w:spacing w:line="240" w:lineRule="auto"/>
              <w:rPr>
                <w:color w:val="000000"/>
                <w:sz w:val="22"/>
                <w:szCs w:val="22"/>
              </w:rPr>
            </w:pPr>
            <w:r w:rsidRPr="00D25AAB">
              <w:rPr>
                <w:color w:val="000000"/>
                <w:sz w:val="22"/>
                <w:szCs w:val="22"/>
              </w:rPr>
              <w:t>Omówienie wpływu</w:t>
            </w:r>
          </w:p>
        </w:tc>
        <w:tc>
          <w:tcPr>
            <w:tcW w:w="8956" w:type="dxa"/>
            <w:gridSpan w:val="24"/>
            <w:shd w:val="clear" w:color="auto" w:fill="FFFFFF"/>
            <w:vAlign w:val="center"/>
          </w:tcPr>
          <w:p w:rsidR="00D25AAB" w:rsidRPr="00D25AAB" w:rsidRDefault="00D25AAB" w:rsidP="00E22E5E">
            <w:pPr>
              <w:spacing w:line="240" w:lineRule="auto"/>
              <w:rPr>
                <w:color w:val="000000"/>
                <w:spacing w:val="-2"/>
                <w:sz w:val="22"/>
                <w:szCs w:val="22"/>
              </w:rPr>
            </w:pPr>
            <w:r w:rsidRPr="00D25AAB">
              <w:rPr>
                <w:color w:val="000000"/>
                <w:spacing w:val="-2"/>
                <w:sz w:val="22"/>
                <w:szCs w:val="22"/>
              </w:rPr>
              <w:t>Nie dotyczy.</w:t>
            </w:r>
          </w:p>
        </w:tc>
      </w:tr>
      <w:tr w:rsidR="00D25AAB" w:rsidRPr="008B4FE6" w:rsidTr="00995A21">
        <w:trPr>
          <w:trHeight w:val="142"/>
        </w:trPr>
        <w:tc>
          <w:tcPr>
            <w:tcW w:w="11199" w:type="dxa"/>
            <w:gridSpan w:val="26"/>
            <w:shd w:val="clear" w:color="auto" w:fill="99CCFF"/>
          </w:tcPr>
          <w:p w:rsidR="00D25AAB" w:rsidRPr="00D25AAB" w:rsidRDefault="00D25AAB" w:rsidP="00D25AAB">
            <w:pPr>
              <w:widowControl/>
              <w:numPr>
                <w:ilvl w:val="0"/>
                <w:numId w:val="47"/>
              </w:numPr>
              <w:autoSpaceDE/>
              <w:autoSpaceDN/>
              <w:adjustRightInd/>
              <w:spacing w:before="60" w:after="60" w:line="240" w:lineRule="auto"/>
              <w:ind w:left="318" w:hanging="284"/>
              <w:rPr>
                <w:b/>
                <w:sz w:val="22"/>
                <w:szCs w:val="22"/>
              </w:rPr>
            </w:pPr>
            <w:r w:rsidRPr="00D25AAB">
              <w:rPr>
                <w:b/>
                <w:spacing w:val="-2"/>
                <w:sz w:val="22"/>
                <w:szCs w:val="22"/>
              </w:rPr>
              <w:t>Planowane wykonanie przepisów aktu prawnego</w:t>
            </w:r>
          </w:p>
        </w:tc>
      </w:tr>
      <w:tr w:rsidR="00D25AAB" w:rsidRPr="008B4FE6" w:rsidTr="00995A21">
        <w:trPr>
          <w:trHeight w:val="142"/>
        </w:trPr>
        <w:tc>
          <w:tcPr>
            <w:tcW w:w="11199" w:type="dxa"/>
            <w:gridSpan w:val="26"/>
            <w:shd w:val="clear" w:color="auto" w:fill="FFFFFF"/>
          </w:tcPr>
          <w:p w:rsidR="00D25AAB" w:rsidRPr="00D25AAB" w:rsidRDefault="00D25AAB" w:rsidP="00265069">
            <w:pPr>
              <w:spacing w:line="240" w:lineRule="auto"/>
              <w:rPr>
                <w:spacing w:val="-2"/>
                <w:sz w:val="22"/>
                <w:szCs w:val="22"/>
              </w:rPr>
            </w:pPr>
            <w:r w:rsidRPr="00D25AAB">
              <w:rPr>
                <w:spacing w:val="-2"/>
                <w:sz w:val="22"/>
                <w:szCs w:val="22"/>
              </w:rPr>
              <w:lastRenderedPageBreak/>
              <w:t>Przepisy projektu będą miały zastosowanie od dnia jego wejścia w życie.</w:t>
            </w:r>
          </w:p>
        </w:tc>
      </w:tr>
      <w:tr w:rsidR="00D25AAB" w:rsidRPr="008B4FE6" w:rsidTr="00995A21">
        <w:trPr>
          <w:trHeight w:val="142"/>
        </w:trPr>
        <w:tc>
          <w:tcPr>
            <w:tcW w:w="11199" w:type="dxa"/>
            <w:gridSpan w:val="26"/>
            <w:shd w:val="clear" w:color="auto" w:fill="99CCFF"/>
          </w:tcPr>
          <w:p w:rsidR="00D25AAB" w:rsidRPr="00D25AAB" w:rsidRDefault="00D25AAB" w:rsidP="00D25AAB">
            <w:pPr>
              <w:widowControl/>
              <w:numPr>
                <w:ilvl w:val="0"/>
                <w:numId w:val="47"/>
              </w:numPr>
              <w:autoSpaceDE/>
              <w:autoSpaceDN/>
              <w:adjustRightInd/>
              <w:spacing w:before="60" w:after="60" w:line="240" w:lineRule="auto"/>
              <w:ind w:left="318" w:hanging="284"/>
              <w:rPr>
                <w:b/>
                <w:color w:val="000000"/>
                <w:sz w:val="22"/>
                <w:szCs w:val="22"/>
              </w:rPr>
            </w:pPr>
            <w:r w:rsidRPr="00D25AAB">
              <w:rPr>
                <w:b/>
                <w:color w:val="000000"/>
                <w:sz w:val="22"/>
                <w:szCs w:val="22"/>
              </w:rPr>
              <w:t xml:space="preserve"> </w:t>
            </w:r>
            <w:r w:rsidRPr="00D25AAB">
              <w:rPr>
                <w:b/>
                <w:spacing w:val="-2"/>
                <w:sz w:val="22"/>
                <w:szCs w:val="22"/>
              </w:rPr>
              <w:t>W jaki sposób i kiedy nastąpi ewaluacja efektów projektu oraz jakie mierniki zostaną zastosowane?</w:t>
            </w:r>
          </w:p>
        </w:tc>
      </w:tr>
      <w:tr w:rsidR="00D25AAB" w:rsidRPr="008B4FE6" w:rsidTr="00995A21">
        <w:trPr>
          <w:trHeight w:val="142"/>
        </w:trPr>
        <w:tc>
          <w:tcPr>
            <w:tcW w:w="11199" w:type="dxa"/>
            <w:gridSpan w:val="26"/>
            <w:shd w:val="clear" w:color="auto" w:fill="FFFFFF"/>
          </w:tcPr>
          <w:p w:rsidR="00D25AAB" w:rsidRPr="00D25AAB" w:rsidRDefault="00D25AAB" w:rsidP="00AF22C8">
            <w:pPr>
              <w:spacing w:line="240" w:lineRule="auto"/>
              <w:rPr>
                <w:color w:val="000000"/>
                <w:spacing w:val="-2"/>
                <w:sz w:val="22"/>
                <w:szCs w:val="22"/>
              </w:rPr>
            </w:pPr>
            <w:r w:rsidRPr="00D25AAB">
              <w:rPr>
                <w:spacing w:val="-2"/>
                <w:sz w:val="22"/>
                <w:szCs w:val="22"/>
              </w:rPr>
              <w:t>Nie przewidziano.</w:t>
            </w:r>
          </w:p>
        </w:tc>
      </w:tr>
      <w:tr w:rsidR="00D25AAB" w:rsidRPr="008B4FE6" w:rsidTr="00995A21">
        <w:trPr>
          <w:trHeight w:val="142"/>
        </w:trPr>
        <w:tc>
          <w:tcPr>
            <w:tcW w:w="11199" w:type="dxa"/>
            <w:gridSpan w:val="26"/>
            <w:shd w:val="clear" w:color="auto" w:fill="99CCFF"/>
          </w:tcPr>
          <w:p w:rsidR="00D25AAB" w:rsidRPr="00D25AAB" w:rsidRDefault="00D25AAB" w:rsidP="00D25AAB">
            <w:pPr>
              <w:widowControl/>
              <w:numPr>
                <w:ilvl w:val="0"/>
                <w:numId w:val="47"/>
              </w:numPr>
              <w:autoSpaceDE/>
              <w:autoSpaceDN/>
              <w:adjustRightInd/>
              <w:spacing w:before="60" w:after="60" w:line="240" w:lineRule="auto"/>
              <w:ind w:left="318" w:hanging="284"/>
              <w:rPr>
                <w:b/>
                <w:color w:val="000000"/>
                <w:spacing w:val="-2"/>
                <w:sz w:val="22"/>
                <w:szCs w:val="22"/>
              </w:rPr>
            </w:pPr>
            <w:r w:rsidRPr="00D25AAB">
              <w:rPr>
                <w:b/>
                <w:color w:val="000000"/>
                <w:spacing w:val="-2"/>
                <w:sz w:val="22"/>
                <w:szCs w:val="22"/>
              </w:rPr>
              <w:t xml:space="preserve">Załączniki </w:t>
            </w:r>
            <w:r w:rsidRPr="00D25AAB">
              <w:rPr>
                <w:b/>
                <w:spacing w:val="-2"/>
                <w:sz w:val="22"/>
                <w:szCs w:val="22"/>
              </w:rPr>
              <w:t>(istotne dokumenty źródłowe, badania, analizy itp.</w:t>
            </w:r>
            <w:r w:rsidRPr="00D25AAB">
              <w:rPr>
                <w:b/>
                <w:color w:val="000000"/>
                <w:spacing w:val="-2"/>
                <w:sz w:val="22"/>
                <w:szCs w:val="22"/>
              </w:rPr>
              <w:t xml:space="preserve">) </w:t>
            </w:r>
          </w:p>
        </w:tc>
      </w:tr>
      <w:tr w:rsidR="00D25AAB" w:rsidRPr="008B4FE6" w:rsidTr="00995A21">
        <w:trPr>
          <w:trHeight w:val="142"/>
        </w:trPr>
        <w:tc>
          <w:tcPr>
            <w:tcW w:w="11199" w:type="dxa"/>
            <w:gridSpan w:val="26"/>
            <w:shd w:val="clear" w:color="auto" w:fill="FFFFFF"/>
          </w:tcPr>
          <w:p w:rsidR="00D25AAB" w:rsidRPr="00D25AAB" w:rsidRDefault="00D25AAB" w:rsidP="00E22E5E">
            <w:pPr>
              <w:spacing w:line="240" w:lineRule="auto"/>
              <w:rPr>
                <w:color w:val="000000"/>
                <w:spacing w:val="-2"/>
                <w:sz w:val="22"/>
                <w:szCs w:val="22"/>
              </w:rPr>
            </w:pPr>
            <w:r w:rsidRPr="00D25AAB">
              <w:rPr>
                <w:color w:val="000000"/>
                <w:spacing w:val="-2"/>
                <w:sz w:val="22"/>
                <w:szCs w:val="22"/>
              </w:rPr>
              <w:t>Brak.</w:t>
            </w:r>
          </w:p>
        </w:tc>
      </w:tr>
    </w:tbl>
    <w:p w:rsidR="00C41045" w:rsidRPr="001B342E" w:rsidRDefault="00C41045" w:rsidP="00C70646"/>
    <w:sectPr w:rsidR="00C41045" w:rsidRPr="001B342E" w:rsidSect="00E637F0">
      <w:headerReference w:type="default" r:id="rId12"/>
      <w:pgSz w:w="11906" w:h="16838"/>
      <w:pgMar w:top="94" w:right="707" w:bottom="568" w:left="720" w:header="136" w:footer="2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8BA" w:rsidRDefault="00FF38BA">
      <w:r>
        <w:separator/>
      </w:r>
    </w:p>
  </w:endnote>
  <w:endnote w:type="continuationSeparator" w:id="0">
    <w:p w:rsidR="00FF38BA" w:rsidRDefault="00FF3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8BA" w:rsidRDefault="00FF38BA">
      <w:r>
        <w:separator/>
      </w:r>
    </w:p>
  </w:footnote>
  <w:footnote w:type="continuationSeparator" w:id="0">
    <w:p w:rsidR="00FF38BA" w:rsidRDefault="00FF38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sidR="00EC1BC2">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730A12"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682" w:rsidRPr="00B371CC" w:rsidRDefault="00730A12" w:rsidP="00B371CC">
    <w:pPr>
      <w:pStyle w:val="Nagwek"/>
      <w:jc w:val="center"/>
    </w:pPr>
    <w:r>
      <w:t xml:space="preserve">– </w:t>
    </w:r>
    <w:r>
      <w:fldChar w:fldCharType="begin"/>
    </w:r>
    <w:r>
      <w:instrText xml:space="preserve"> PAGE  \* MERGEFORMAT </w:instrText>
    </w:r>
    <w:r>
      <w:fldChar w:fldCharType="separate"/>
    </w:r>
    <w:r w:rsidR="005E1FF9">
      <w:rPr>
        <w:noProof/>
      </w:rPr>
      <w:t>9</w:t>
    </w:r>
    <w:r>
      <w:rPr>
        <w:noProof/>
      </w:rPr>
      <w:fldChar w:fldCharType="end"/>
    </w: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AAB" w:rsidRPr="00D25AAB" w:rsidRDefault="00D25AAB" w:rsidP="00D25AA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CAD414"/>
    <w:lvl w:ilvl="0">
      <w:start w:val="1"/>
      <w:numFmt w:val="decimal"/>
      <w:lvlText w:val="%1."/>
      <w:lvlJc w:val="left"/>
      <w:pPr>
        <w:tabs>
          <w:tab w:val="num" w:pos="1492"/>
        </w:tabs>
        <w:ind w:left="1492" w:hanging="360"/>
      </w:pPr>
    </w:lvl>
  </w:abstractNum>
  <w:abstractNum w:abstractNumId="1">
    <w:nsid w:val="FFFFFF7D"/>
    <w:multiLevelType w:val="singleLevel"/>
    <w:tmpl w:val="538C87BC"/>
    <w:lvl w:ilvl="0">
      <w:start w:val="1"/>
      <w:numFmt w:val="decimal"/>
      <w:lvlText w:val="%1."/>
      <w:lvlJc w:val="left"/>
      <w:pPr>
        <w:tabs>
          <w:tab w:val="num" w:pos="1209"/>
        </w:tabs>
        <w:ind w:left="1209" w:hanging="360"/>
      </w:pPr>
    </w:lvl>
  </w:abstractNum>
  <w:abstractNum w:abstractNumId="2">
    <w:nsid w:val="FFFFFF7E"/>
    <w:multiLevelType w:val="singleLevel"/>
    <w:tmpl w:val="A6BE7AC6"/>
    <w:lvl w:ilvl="0">
      <w:start w:val="1"/>
      <w:numFmt w:val="decimal"/>
      <w:lvlText w:val="%1."/>
      <w:lvlJc w:val="left"/>
      <w:pPr>
        <w:tabs>
          <w:tab w:val="num" w:pos="926"/>
        </w:tabs>
        <w:ind w:left="926" w:hanging="360"/>
      </w:pPr>
    </w:lvl>
  </w:abstractNum>
  <w:abstractNum w:abstractNumId="3">
    <w:nsid w:val="FFFFFF7F"/>
    <w:multiLevelType w:val="singleLevel"/>
    <w:tmpl w:val="897E3DDE"/>
    <w:lvl w:ilvl="0">
      <w:start w:val="1"/>
      <w:numFmt w:val="decimal"/>
      <w:lvlText w:val="%1."/>
      <w:lvlJc w:val="left"/>
      <w:pPr>
        <w:tabs>
          <w:tab w:val="num" w:pos="643"/>
        </w:tabs>
        <w:ind w:left="643" w:hanging="360"/>
      </w:pPr>
    </w:lvl>
  </w:abstractNum>
  <w:abstractNum w:abstractNumId="4">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605644"/>
    <w:lvl w:ilvl="0">
      <w:start w:val="1"/>
      <w:numFmt w:val="decimal"/>
      <w:lvlText w:val="%1."/>
      <w:lvlJc w:val="left"/>
      <w:pPr>
        <w:tabs>
          <w:tab w:val="num" w:pos="360"/>
        </w:tabs>
        <w:ind w:left="360" w:hanging="360"/>
      </w:pPr>
    </w:lvl>
  </w:abstractNum>
  <w:abstractNum w:abstractNumId="9">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97C6F68"/>
    <w:multiLevelType w:val="hybridMultilevel"/>
    <w:tmpl w:val="7DDAAB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6">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9">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9"/>
  </w:num>
  <w:num w:numId="6">
    <w:abstractNumId w:val="35"/>
  </w:num>
  <w:num w:numId="7">
    <w:abstractNumId w:val="39"/>
  </w:num>
  <w:num w:numId="8">
    <w:abstractNumId w:val="35"/>
  </w:num>
  <w:num w:numId="9">
    <w:abstractNumId w:val="39"/>
  </w:num>
  <w:num w:numId="10">
    <w:abstractNumId w:val="35"/>
  </w:num>
  <w:num w:numId="11">
    <w:abstractNumId w:val="15"/>
  </w:num>
  <w:num w:numId="12">
    <w:abstractNumId w:val="11"/>
  </w:num>
  <w:num w:numId="13">
    <w:abstractNumId w:val="16"/>
  </w:num>
  <w:num w:numId="14">
    <w:abstractNumId w:val="28"/>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7"/>
  </w:num>
  <w:num w:numId="28">
    <w:abstractNumId w:val="27"/>
  </w:num>
  <w:num w:numId="29">
    <w:abstractNumId w:val="40"/>
  </w:num>
  <w:num w:numId="30">
    <w:abstractNumId w:val="36"/>
  </w:num>
  <w:num w:numId="31">
    <w:abstractNumId w:val="20"/>
  </w:num>
  <w:num w:numId="32">
    <w:abstractNumId w:val="12"/>
  </w:num>
  <w:num w:numId="33">
    <w:abstractNumId w:val="34"/>
  </w:num>
  <w:num w:numId="34">
    <w:abstractNumId w:val="21"/>
  </w:num>
  <w:num w:numId="35">
    <w:abstractNumId w:val="18"/>
  </w:num>
  <w:num w:numId="36">
    <w:abstractNumId w:val="23"/>
  </w:num>
  <w:num w:numId="37">
    <w:abstractNumId w:val="29"/>
  </w:num>
  <w:num w:numId="38">
    <w:abstractNumId w:val="26"/>
  </w:num>
  <w:num w:numId="39">
    <w:abstractNumId w:val="14"/>
  </w:num>
  <w:num w:numId="40">
    <w:abstractNumId w:val="33"/>
  </w:num>
  <w:num w:numId="41">
    <w:abstractNumId w:val="31"/>
  </w:num>
  <w:num w:numId="42">
    <w:abstractNumId w:val="22"/>
  </w:num>
  <w:num w:numId="43">
    <w:abstractNumId w:val="38"/>
  </w:num>
  <w:num w:numId="44">
    <w:abstractNumId w:val="13"/>
  </w:num>
  <w:num w:numId="45">
    <w:abstractNumId w:val="32"/>
  </w:num>
  <w:num w:numId="46">
    <w:abstractNumId w:val="10"/>
  </w:num>
  <w:num w:numId="47">
    <w:abstractNumId w:val="25"/>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8BA"/>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114EF"/>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1FF9"/>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0BE2"/>
    <w:rsid w:val="0072457F"/>
    <w:rsid w:val="0072621B"/>
    <w:rsid w:val="00730555"/>
    <w:rsid w:val="00730A12"/>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94DDE"/>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323C"/>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96BFD"/>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1045"/>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25AAB"/>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5000"/>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2936"/>
    <w:rsid w:val="00E773E8"/>
    <w:rsid w:val="00E84F38"/>
    <w:rsid w:val="00E85623"/>
    <w:rsid w:val="00E91FAE"/>
    <w:rsid w:val="00E936D1"/>
    <w:rsid w:val="00E96E3F"/>
    <w:rsid w:val="00EA532E"/>
    <w:rsid w:val="00EB19ED"/>
    <w:rsid w:val="00EC1BC2"/>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A28CD"/>
    <w:rsid w:val="00FB121C"/>
    <w:rsid w:val="00FB2C2F"/>
    <w:rsid w:val="00FB305C"/>
    <w:rsid w:val="00FC2E3D"/>
    <w:rsid w:val="00FD27B6"/>
    <w:rsid w:val="00FD3689"/>
    <w:rsid w:val="00FD42A3"/>
    <w:rsid w:val="00FD7468"/>
    <w:rsid w:val="00FD7CE0"/>
    <w:rsid w:val="00FE1BE2"/>
    <w:rsid w:val="00FE730A"/>
    <w:rsid w:val="00FF38B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paragraph" w:styleId="Tekstpodstawowy">
    <w:name w:val="Body Text"/>
    <w:basedOn w:val="Normalny"/>
    <w:link w:val="TekstpodstawowyZnak"/>
    <w:semiHidden/>
    <w:unhideWhenUsed/>
    <w:rsid w:val="00C41045"/>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semiHidden/>
    <w:rsid w:val="00C41045"/>
    <w:rPr>
      <w:rFonts w:ascii="Times New Roman" w:hAnsi="Times New Roman"/>
      <w:szCs w:val="20"/>
    </w:rPr>
  </w:style>
  <w:style w:type="character" w:customStyle="1" w:styleId="IGindeksgrny">
    <w:name w:val="_IG_ – indeks górny"/>
    <w:basedOn w:val="Domylnaczcionkaakapitu"/>
    <w:uiPriority w:val="2"/>
    <w:qFormat/>
    <w:rsid w:val="00EC1BC2"/>
    <w:rPr>
      <w:b w:val="0"/>
      <w:i w:val="0"/>
      <w:vanish w:val="0"/>
      <w:spacing w:val="0"/>
      <w:vertAlign w:val="superscript"/>
    </w:rPr>
  </w:style>
  <w:style w:type="character" w:customStyle="1" w:styleId="Ppogrubienie">
    <w:name w:val="_P_ – pogrubienie"/>
    <w:basedOn w:val="Domylnaczcionkaakapitu"/>
    <w:uiPriority w:val="1"/>
    <w:qFormat/>
    <w:rsid w:val="00EC1BC2"/>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C1BC2"/>
    <w:rPr>
      <w:bCs/>
    </w:rPr>
  </w:style>
  <w:style w:type="character" w:customStyle="1" w:styleId="Kkursywa">
    <w:name w:val="_K_ – kursywa"/>
    <w:basedOn w:val="Domylnaczcionkaakapitu"/>
    <w:uiPriority w:val="1"/>
    <w:qFormat/>
    <w:rsid w:val="00EC1BC2"/>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uiPriority="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34"/>
    <w:qFormat/>
    <w:rsid w:val="00C70646"/>
    <w:pPr>
      <w:ind w:left="720"/>
      <w:contextualSpacing/>
    </w:pPr>
  </w:style>
  <w:style w:type="paragraph" w:styleId="Tekstpodstawowy">
    <w:name w:val="Body Text"/>
    <w:basedOn w:val="Normalny"/>
    <w:link w:val="TekstpodstawowyZnak"/>
    <w:semiHidden/>
    <w:unhideWhenUsed/>
    <w:rsid w:val="00C41045"/>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semiHidden/>
    <w:rsid w:val="00C41045"/>
    <w:rPr>
      <w:rFonts w:ascii="Times New Roman" w:hAnsi="Times New Roman"/>
      <w:szCs w:val="20"/>
    </w:rPr>
  </w:style>
  <w:style w:type="character" w:customStyle="1" w:styleId="IGindeksgrny">
    <w:name w:val="_IG_ – indeks górny"/>
    <w:basedOn w:val="Domylnaczcionkaakapitu"/>
    <w:uiPriority w:val="2"/>
    <w:qFormat/>
    <w:rsid w:val="00EC1BC2"/>
    <w:rPr>
      <w:b w:val="0"/>
      <w:i w:val="0"/>
      <w:vanish w:val="0"/>
      <w:spacing w:val="0"/>
      <w:vertAlign w:val="superscript"/>
    </w:rPr>
  </w:style>
  <w:style w:type="character" w:customStyle="1" w:styleId="Ppogrubienie">
    <w:name w:val="_P_ – pogrubienie"/>
    <w:basedOn w:val="Domylnaczcionkaakapitu"/>
    <w:uiPriority w:val="1"/>
    <w:qFormat/>
    <w:rsid w:val="00EC1BC2"/>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C1BC2"/>
    <w:rPr>
      <w:bCs/>
    </w:rPr>
  </w:style>
  <w:style w:type="character" w:customStyle="1" w:styleId="Kkursywa">
    <w:name w:val="_K_ – kursywa"/>
    <w:basedOn w:val="Domylnaczcionkaakapitu"/>
    <w:uiPriority w:val="1"/>
    <w:qFormat/>
    <w:rsid w:val="00EC1BC2"/>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lament2015.pkw.gov.pl/351_Wyniki_Senat/0/0/3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0</TotalTime>
  <Pages>14</Pages>
  <Words>4355</Words>
  <Characters>26135</Characters>
  <Application>Microsoft Office Word</Application>
  <DocSecurity>0</DocSecurity>
  <Lines>217</Lines>
  <Paragraphs>60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30430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Ewa A. Genert</cp:lastModifiedBy>
  <cp:revision>2</cp:revision>
  <cp:lastPrinted>2017-09-28T14:15:00Z</cp:lastPrinted>
  <dcterms:created xsi:type="dcterms:W3CDTF">2017-10-12T08:25:00Z</dcterms:created>
  <dcterms:modified xsi:type="dcterms:W3CDTF">2017-10-12T08:25:00Z</dcterms:modified>
</cp:coreProperties>
</file>