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FAE" w:rsidRDefault="003B65D3">
      <w:pPr>
        <w:suppressAutoHyphens/>
        <w:jc w:val="right"/>
        <w:rPr>
          <w:rFonts w:ascii="Times New Roman" w:eastAsia="Times New Roman" w:hAnsi="Times New Roman" w:cs="Times New Roman"/>
          <w:sz w:val="24"/>
          <w:szCs w:val="24"/>
        </w:rPr>
      </w:pPr>
      <w:bookmarkStart w:id="0" w:name="_GoBack"/>
      <w:bookmarkEnd w:id="0"/>
      <w:r>
        <w:rPr>
          <w:rFonts w:ascii="Times New Roman" w:hAnsi="Times New Roman"/>
          <w:i/>
          <w:iCs/>
          <w:sz w:val="24"/>
          <w:szCs w:val="24"/>
        </w:rPr>
        <w:t>Projekt</w:t>
      </w:r>
      <w:r>
        <w:rPr>
          <w:rFonts w:ascii="Times New Roman" w:hAnsi="Times New Roman"/>
          <w:b/>
          <w:bCs/>
          <w:sz w:val="24"/>
          <w:szCs w:val="24"/>
        </w:rPr>
        <w:t xml:space="preserve"> </w:t>
      </w:r>
    </w:p>
    <w:p w:rsidR="002C4FAE" w:rsidRDefault="002C4FAE">
      <w:pPr>
        <w:suppressAutoHyphens/>
        <w:jc w:val="center"/>
        <w:rPr>
          <w:rFonts w:ascii="Times New Roman" w:eastAsia="Times New Roman" w:hAnsi="Times New Roman" w:cs="Times New Roman"/>
          <w:sz w:val="24"/>
          <w:szCs w:val="24"/>
        </w:rPr>
      </w:pPr>
    </w:p>
    <w:p w:rsidR="002C4FAE" w:rsidRDefault="003B65D3">
      <w:pPr>
        <w:suppressAutoHyphens/>
        <w:jc w:val="center"/>
        <w:rPr>
          <w:rFonts w:ascii="Times New Roman" w:eastAsia="Times New Roman" w:hAnsi="Times New Roman" w:cs="Times New Roman"/>
          <w:sz w:val="30"/>
          <w:szCs w:val="30"/>
        </w:rPr>
      </w:pPr>
      <w:r>
        <w:rPr>
          <w:rFonts w:ascii="Times New Roman" w:hAnsi="Times New Roman"/>
          <w:sz w:val="30"/>
          <w:szCs w:val="30"/>
        </w:rPr>
        <w:t>Ustawa</w:t>
      </w:r>
    </w:p>
    <w:p w:rsidR="002C4FAE" w:rsidRDefault="003B65D3">
      <w:pPr>
        <w:suppressAutoHyphens/>
        <w:jc w:val="center"/>
        <w:rPr>
          <w:rFonts w:ascii="Times New Roman" w:eastAsia="Times New Roman" w:hAnsi="Times New Roman" w:cs="Times New Roman"/>
          <w:b/>
          <w:bCs/>
          <w:sz w:val="24"/>
          <w:szCs w:val="24"/>
        </w:rPr>
      </w:pPr>
      <w:r>
        <w:rPr>
          <w:rFonts w:ascii="Times New Roman" w:hAnsi="Times New Roman"/>
          <w:sz w:val="30"/>
          <w:szCs w:val="30"/>
        </w:rPr>
        <w:t>z dnia … 2017 r.</w:t>
      </w:r>
    </w:p>
    <w:p w:rsidR="002C4FAE" w:rsidRDefault="003B65D3">
      <w:pPr>
        <w:suppressAutoHyphens/>
        <w:jc w:val="center"/>
        <w:rPr>
          <w:rFonts w:ascii="Times New Roman" w:eastAsia="Times New Roman" w:hAnsi="Times New Roman" w:cs="Times New Roman"/>
          <w:b/>
          <w:bCs/>
          <w:sz w:val="30"/>
          <w:szCs w:val="30"/>
        </w:rPr>
      </w:pPr>
      <w:r>
        <w:rPr>
          <w:rFonts w:ascii="Times New Roman" w:hAnsi="Times New Roman"/>
          <w:b/>
          <w:bCs/>
          <w:sz w:val="30"/>
          <w:szCs w:val="30"/>
        </w:rPr>
        <w:t>o zmianie ustawy o podatku</w:t>
      </w:r>
    </w:p>
    <w:p w:rsidR="002C4FAE" w:rsidRDefault="003B65D3">
      <w:pPr>
        <w:suppressAutoHyphens/>
        <w:jc w:val="center"/>
        <w:rPr>
          <w:rFonts w:ascii="Times New Roman" w:eastAsia="Times New Roman" w:hAnsi="Times New Roman" w:cs="Times New Roman"/>
          <w:b/>
          <w:bCs/>
        </w:rPr>
      </w:pPr>
      <w:r>
        <w:rPr>
          <w:rFonts w:ascii="Times New Roman" w:hAnsi="Times New Roman"/>
          <w:b/>
          <w:bCs/>
          <w:sz w:val="30"/>
          <w:szCs w:val="30"/>
        </w:rPr>
        <w:t>dochodowym od os</w:t>
      </w:r>
      <w:r>
        <w:rPr>
          <w:rFonts w:ascii="Times New Roman" w:hAnsi="Times New Roman"/>
          <w:b/>
          <w:bCs/>
          <w:sz w:val="30"/>
          <w:szCs w:val="30"/>
          <w:lang w:val="es-ES_tradnl"/>
        </w:rPr>
        <w:t>ó</w:t>
      </w:r>
      <w:r>
        <w:rPr>
          <w:rFonts w:ascii="Times New Roman" w:hAnsi="Times New Roman"/>
          <w:b/>
          <w:bCs/>
          <w:sz w:val="30"/>
          <w:szCs w:val="30"/>
        </w:rPr>
        <w:t>b fizycznych</w:t>
      </w:r>
    </w:p>
    <w:p w:rsidR="002C4FAE" w:rsidRDefault="002C4FAE">
      <w:pPr>
        <w:jc w:val="center"/>
        <w:rPr>
          <w:rFonts w:ascii="Times New Roman" w:eastAsia="Times New Roman" w:hAnsi="Times New Roman" w:cs="Times New Roman"/>
          <w:b/>
          <w:bCs/>
        </w:rPr>
      </w:pP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t xml:space="preserve">Art. 1. </w:t>
      </w:r>
      <w:r>
        <w:rPr>
          <w:rFonts w:ascii="Times New Roman" w:hAnsi="Times New Roman"/>
          <w:sz w:val="24"/>
          <w:szCs w:val="24"/>
        </w:rPr>
        <w:t>W ustawie z dnia 26 lipca 1991 r. o podatku dochodowym od os</w:t>
      </w:r>
      <w:r>
        <w:rPr>
          <w:rFonts w:ascii="Times New Roman" w:hAnsi="Times New Roman"/>
          <w:sz w:val="24"/>
          <w:szCs w:val="24"/>
          <w:lang w:val="es-ES_tradnl"/>
        </w:rPr>
        <w:t>ó</w:t>
      </w:r>
      <w:r>
        <w:rPr>
          <w:rFonts w:ascii="Times New Roman" w:hAnsi="Times New Roman"/>
          <w:sz w:val="24"/>
          <w:szCs w:val="24"/>
        </w:rPr>
        <w:t>b fizycznych (</w:t>
      </w:r>
      <w:proofErr w:type="spellStart"/>
      <w:r>
        <w:rPr>
          <w:rFonts w:ascii="Times New Roman" w:hAnsi="Times New Roman"/>
          <w:sz w:val="24"/>
          <w:szCs w:val="24"/>
        </w:rPr>
        <w:t>t.j</w:t>
      </w:r>
      <w:proofErr w:type="spellEnd"/>
      <w:r>
        <w:rPr>
          <w:rFonts w:ascii="Times New Roman" w:hAnsi="Times New Roman"/>
          <w:sz w:val="24"/>
          <w:szCs w:val="24"/>
        </w:rPr>
        <w:t>.: Dz.U. z 2016 r. poz. 2032 ze zm.) w art. 22 ust. 2 otrzymuje brzmienie:</w:t>
      </w:r>
    </w:p>
    <w:p w:rsidR="002C4FAE" w:rsidRDefault="003B65D3">
      <w:pPr>
        <w:pStyle w:val="Akapitzlist"/>
        <w:spacing w:before="120" w:after="120" w:line="320" w:lineRule="exact"/>
        <w:ind w:left="567"/>
        <w:jc w:val="both"/>
        <w:rPr>
          <w:sz w:val="24"/>
          <w:szCs w:val="24"/>
        </w:rPr>
      </w:pPr>
      <w:r>
        <w:rPr>
          <w:sz w:val="24"/>
          <w:szCs w:val="24"/>
        </w:rPr>
        <w:t xml:space="preserve">„2. Koszty uzyskania </w:t>
      </w:r>
      <w:proofErr w:type="spellStart"/>
      <w:r>
        <w:rPr>
          <w:sz w:val="24"/>
          <w:szCs w:val="24"/>
        </w:rPr>
        <w:t>przychod</w:t>
      </w:r>
      <w:proofErr w:type="spellEnd"/>
      <w:r>
        <w:rPr>
          <w:sz w:val="24"/>
          <w:szCs w:val="24"/>
          <w:lang w:val="es-ES_tradnl"/>
        </w:rPr>
        <w:t>ó</w:t>
      </w:r>
      <w:r>
        <w:rPr>
          <w:sz w:val="24"/>
          <w:szCs w:val="24"/>
        </w:rPr>
        <w:t>w z tytułu stosunku służbowego, stosunku pracy, spółdzielczego stosunku pracy oraz pracy nakładczej:</w:t>
      </w:r>
    </w:p>
    <w:p w:rsidR="002C4FAE" w:rsidRDefault="003B65D3">
      <w:pPr>
        <w:pStyle w:val="Akapitzlist"/>
        <w:spacing w:before="120" w:after="120" w:line="320" w:lineRule="exact"/>
        <w:ind w:left="567"/>
        <w:jc w:val="both"/>
        <w:rPr>
          <w:rFonts w:ascii="Times New Roman" w:eastAsia="Times New Roman" w:hAnsi="Times New Roman" w:cs="Times New Roman"/>
          <w:sz w:val="24"/>
          <w:szCs w:val="24"/>
        </w:rPr>
      </w:pPr>
      <w:r>
        <w:rPr>
          <w:rFonts w:ascii="Times New Roman" w:hAnsi="Times New Roman"/>
          <w:sz w:val="24"/>
          <w:szCs w:val="24"/>
        </w:rPr>
        <w:t xml:space="preserve">1) wynoszą 132 zł 33 gr miesięcznie, a za rok podatkowy nie więcej niż </w:t>
      </w:r>
      <w:r>
        <w:rPr>
          <w:rFonts w:ascii="Times New Roman" w:hAnsi="Times New Roman"/>
          <w:sz w:val="24"/>
          <w:szCs w:val="24"/>
          <w:lang w:val="nl-NL"/>
        </w:rPr>
        <w:t>1588 z</w:t>
      </w:r>
      <w:r>
        <w:rPr>
          <w:rFonts w:ascii="Times New Roman" w:hAnsi="Times New Roman"/>
          <w:sz w:val="24"/>
          <w:szCs w:val="24"/>
        </w:rPr>
        <w:t>ł, w przypadku gdy podatnik uzyskuje przychody z tytułu jednego stosunku służbowego, stosunku pracy, spółdzielczego stosunku pracy oraz pracy nakładczej;</w:t>
      </w:r>
    </w:p>
    <w:p w:rsidR="002C4FAE" w:rsidRDefault="003B65D3">
      <w:pPr>
        <w:pStyle w:val="Akapitzlist"/>
        <w:spacing w:before="120" w:after="120" w:line="320" w:lineRule="exact"/>
        <w:ind w:left="567"/>
        <w:jc w:val="both"/>
        <w:rPr>
          <w:rFonts w:ascii="Times New Roman" w:eastAsia="Times New Roman" w:hAnsi="Times New Roman" w:cs="Times New Roman"/>
          <w:sz w:val="24"/>
          <w:szCs w:val="24"/>
        </w:rPr>
      </w:pPr>
      <w:r>
        <w:rPr>
          <w:rFonts w:ascii="Times New Roman" w:hAnsi="Times New Roman"/>
          <w:sz w:val="24"/>
          <w:szCs w:val="24"/>
        </w:rPr>
        <w:t>2) nie mogą przekroczyć łącznie 2381</w:t>
      </w:r>
      <w:r>
        <w:rPr>
          <w:rFonts w:ascii="Times New Roman" w:hAnsi="Times New Roman"/>
          <w:sz w:val="24"/>
          <w:szCs w:val="24"/>
          <w:lang w:val="nl-NL"/>
        </w:rPr>
        <w:t xml:space="preserve"> z</w:t>
      </w:r>
      <w:r>
        <w:rPr>
          <w:rFonts w:ascii="Times New Roman" w:hAnsi="Times New Roman"/>
          <w:sz w:val="24"/>
          <w:szCs w:val="24"/>
        </w:rPr>
        <w:t>ł 47 gr za rok podatkowy, w przypadku gdy podatnik uzyskuje przychody r</w:t>
      </w:r>
      <w:r>
        <w:rPr>
          <w:rFonts w:ascii="Times New Roman" w:hAnsi="Times New Roman"/>
          <w:sz w:val="24"/>
          <w:szCs w:val="24"/>
          <w:lang w:val="es-ES_tradnl"/>
        </w:rPr>
        <w:t>ó</w:t>
      </w:r>
      <w:proofErr w:type="spellStart"/>
      <w:r>
        <w:rPr>
          <w:rFonts w:ascii="Times New Roman" w:hAnsi="Times New Roman"/>
          <w:sz w:val="24"/>
          <w:szCs w:val="24"/>
        </w:rPr>
        <w:t>wnocześnie</w:t>
      </w:r>
      <w:proofErr w:type="spellEnd"/>
      <w:r>
        <w:rPr>
          <w:rFonts w:ascii="Times New Roman" w:hAnsi="Times New Roman"/>
          <w:sz w:val="24"/>
          <w:szCs w:val="24"/>
        </w:rPr>
        <w:t xml:space="preserve"> z tytułu więcej niż jednego stosunku służbowego, stosunku pracy, spółdzielczego stosunku pracy oraz pracy nakładczej;</w:t>
      </w:r>
    </w:p>
    <w:p w:rsidR="002C4FAE" w:rsidRDefault="003B65D3">
      <w:pPr>
        <w:pStyle w:val="Akapitzlist"/>
        <w:spacing w:before="120" w:after="120" w:line="320" w:lineRule="exact"/>
        <w:ind w:left="567"/>
        <w:jc w:val="both"/>
        <w:rPr>
          <w:rFonts w:ascii="Times New Roman" w:eastAsia="Times New Roman" w:hAnsi="Times New Roman" w:cs="Times New Roman"/>
          <w:sz w:val="24"/>
          <w:szCs w:val="24"/>
        </w:rPr>
      </w:pPr>
      <w:r>
        <w:rPr>
          <w:rFonts w:ascii="Times New Roman" w:hAnsi="Times New Roman"/>
          <w:sz w:val="24"/>
          <w:szCs w:val="24"/>
        </w:rPr>
        <w:t xml:space="preserve">3) wynoszą 165 zł 41 gr miesięcznie, a za rok podatkowy łącznie nie więcej niż </w:t>
      </w:r>
      <w:r>
        <w:rPr>
          <w:rFonts w:ascii="Times New Roman" w:hAnsi="Times New Roman"/>
          <w:sz w:val="24"/>
          <w:szCs w:val="24"/>
          <w:lang w:val="nl-NL"/>
        </w:rPr>
        <w:t>1984 z</w:t>
      </w:r>
      <w:r>
        <w:rPr>
          <w:rFonts w:ascii="Times New Roman" w:hAnsi="Times New Roman"/>
          <w:sz w:val="24"/>
          <w:szCs w:val="24"/>
        </w:rPr>
        <w:t xml:space="preserve">ł 97 gr, w przypadku gdy miejsce stałego lub czasowego zamieszkania podatnika jest położone poza miejscowością, w </w:t>
      </w:r>
      <w:proofErr w:type="spellStart"/>
      <w:r>
        <w:rPr>
          <w:rFonts w:ascii="Times New Roman" w:hAnsi="Times New Roman"/>
          <w:sz w:val="24"/>
          <w:szCs w:val="24"/>
        </w:rPr>
        <w:t>kt</w:t>
      </w:r>
      <w:proofErr w:type="spellEnd"/>
      <w:r>
        <w:rPr>
          <w:rFonts w:ascii="Times New Roman" w:hAnsi="Times New Roman"/>
          <w:sz w:val="24"/>
          <w:szCs w:val="24"/>
          <w:lang w:val="es-ES_tradnl"/>
        </w:rPr>
        <w:t>ó</w:t>
      </w:r>
      <w:r>
        <w:rPr>
          <w:rFonts w:ascii="Times New Roman" w:hAnsi="Times New Roman"/>
          <w:sz w:val="24"/>
          <w:szCs w:val="24"/>
        </w:rPr>
        <w:t>rej znajduje się zakład pracy, a podatnik nie uzyskuje dodatku za rozłąkę;</w:t>
      </w:r>
    </w:p>
    <w:p w:rsidR="002C4FAE" w:rsidRDefault="003B65D3">
      <w:pPr>
        <w:pStyle w:val="Akapitzlist"/>
        <w:spacing w:before="120" w:after="120" w:line="320" w:lineRule="exact"/>
        <w:ind w:left="567"/>
        <w:jc w:val="both"/>
        <w:rPr>
          <w:rFonts w:ascii="Times New Roman" w:eastAsia="Times New Roman" w:hAnsi="Times New Roman" w:cs="Times New Roman"/>
          <w:sz w:val="24"/>
          <w:szCs w:val="24"/>
        </w:rPr>
      </w:pPr>
      <w:r>
        <w:rPr>
          <w:rFonts w:ascii="Times New Roman" w:hAnsi="Times New Roman"/>
          <w:sz w:val="24"/>
          <w:szCs w:val="24"/>
        </w:rPr>
        <w:t>4) nie mogą przekroczyć łącznie 2976 zł 83 gr za rok podatkowy, w przypadku gdy podatnik uzyskuje przychody r</w:t>
      </w:r>
      <w:r>
        <w:rPr>
          <w:rFonts w:ascii="Times New Roman" w:hAnsi="Times New Roman"/>
          <w:sz w:val="24"/>
          <w:szCs w:val="24"/>
          <w:lang w:val="es-ES_tradnl"/>
        </w:rPr>
        <w:t>ó</w:t>
      </w:r>
      <w:proofErr w:type="spellStart"/>
      <w:r>
        <w:rPr>
          <w:rFonts w:ascii="Times New Roman" w:hAnsi="Times New Roman"/>
          <w:sz w:val="24"/>
          <w:szCs w:val="24"/>
        </w:rPr>
        <w:t>wnocześnie</w:t>
      </w:r>
      <w:proofErr w:type="spellEnd"/>
      <w:r>
        <w:rPr>
          <w:rFonts w:ascii="Times New Roman" w:hAnsi="Times New Roman"/>
          <w:sz w:val="24"/>
          <w:szCs w:val="24"/>
        </w:rPr>
        <w:t xml:space="preserve"> z tytułu więcej niż jednego stosunku służbowego, stosunku pracy, spółdzielczego stosunku pracy oraz pracy nakładczej, a miejsce stałego lub czasowego zamieszkania podatnika jest położone poza miejscowością, w </w:t>
      </w:r>
      <w:proofErr w:type="spellStart"/>
      <w:r>
        <w:rPr>
          <w:rFonts w:ascii="Times New Roman" w:hAnsi="Times New Roman"/>
          <w:sz w:val="24"/>
          <w:szCs w:val="24"/>
        </w:rPr>
        <w:t>kt</w:t>
      </w:r>
      <w:proofErr w:type="spellEnd"/>
      <w:r>
        <w:rPr>
          <w:rFonts w:ascii="Times New Roman" w:hAnsi="Times New Roman"/>
          <w:sz w:val="24"/>
          <w:szCs w:val="24"/>
          <w:lang w:val="es-ES_tradnl"/>
        </w:rPr>
        <w:t>ó</w:t>
      </w:r>
      <w:r>
        <w:rPr>
          <w:rFonts w:ascii="Times New Roman" w:hAnsi="Times New Roman"/>
          <w:sz w:val="24"/>
          <w:szCs w:val="24"/>
        </w:rPr>
        <w:t>rej znajduje się zakład pracy, a podatnik nie uzyskuje dodatku za rozłąkę.”</w:t>
      </w:r>
    </w:p>
    <w:p w:rsidR="002C4FAE" w:rsidRDefault="002C4FAE">
      <w:pPr>
        <w:pStyle w:val="Akapitzlist"/>
        <w:spacing w:before="120" w:after="120" w:line="320" w:lineRule="exact"/>
        <w:ind w:left="567"/>
        <w:jc w:val="both"/>
        <w:rPr>
          <w:rFonts w:ascii="Times New Roman" w:eastAsia="Times New Roman" w:hAnsi="Times New Roman" w:cs="Times New Roman"/>
          <w:sz w:val="24"/>
          <w:szCs w:val="24"/>
        </w:rPr>
      </w:pPr>
    </w:p>
    <w:p w:rsidR="002C4FAE" w:rsidRDefault="003B65D3">
      <w:pPr>
        <w:suppressAutoHyphens/>
        <w:jc w:val="both"/>
        <w:rPr>
          <w:sz w:val="24"/>
          <w:szCs w:val="24"/>
        </w:rPr>
      </w:pPr>
      <w:r>
        <w:rPr>
          <w:sz w:val="24"/>
          <w:szCs w:val="24"/>
        </w:rPr>
        <w:tab/>
      </w:r>
      <w:r>
        <w:rPr>
          <w:b/>
          <w:bCs/>
          <w:sz w:val="24"/>
          <w:szCs w:val="24"/>
        </w:rPr>
        <w:t xml:space="preserve">Art. 2. </w:t>
      </w:r>
      <w:r>
        <w:rPr>
          <w:sz w:val="24"/>
          <w:szCs w:val="24"/>
        </w:rPr>
        <w:t xml:space="preserve">Ustawa ma zastosowanie do uzyskanych </w:t>
      </w:r>
      <w:proofErr w:type="spellStart"/>
      <w:r>
        <w:rPr>
          <w:sz w:val="24"/>
          <w:szCs w:val="24"/>
        </w:rPr>
        <w:t>dochod</w:t>
      </w:r>
      <w:proofErr w:type="spellEnd"/>
      <w:r>
        <w:rPr>
          <w:sz w:val="24"/>
          <w:szCs w:val="24"/>
          <w:lang w:val="es-ES_tradnl"/>
        </w:rPr>
        <w:t>ó</w:t>
      </w:r>
      <w:r>
        <w:rPr>
          <w:sz w:val="24"/>
          <w:szCs w:val="24"/>
        </w:rPr>
        <w:t>w (poniesionych strat) od dnia 1 stycznia 2017 r.</w:t>
      </w:r>
    </w:p>
    <w:p w:rsidR="002C4FAE" w:rsidRDefault="002C4FAE">
      <w:pPr>
        <w:suppressAutoHyphens/>
        <w:jc w:val="both"/>
        <w:rPr>
          <w:sz w:val="24"/>
          <w:szCs w:val="24"/>
        </w:rPr>
      </w:pPr>
    </w:p>
    <w:p w:rsidR="002C4FAE" w:rsidRDefault="003B65D3">
      <w:pPr>
        <w:spacing w:before="120" w:after="120" w:line="320" w:lineRule="exact"/>
        <w:jc w:val="both"/>
        <w:rPr>
          <w:sz w:val="24"/>
          <w:szCs w:val="24"/>
        </w:rPr>
      </w:pPr>
      <w:r>
        <w:rPr>
          <w:sz w:val="24"/>
          <w:szCs w:val="24"/>
        </w:rPr>
        <w:tab/>
      </w:r>
      <w:r>
        <w:rPr>
          <w:b/>
          <w:bCs/>
          <w:sz w:val="24"/>
          <w:szCs w:val="24"/>
        </w:rPr>
        <w:t xml:space="preserve">Art. 3. </w:t>
      </w:r>
      <w:r>
        <w:rPr>
          <w:sz w:val="24"/>
          <w:szCs w:val="24"/>
        </w:rPr>
        <w:t xml:space="preserve">Ustawa wchodzi w życie po upływie 30 dni od jej ogłoszenia. </w:t>
      </w:r>
    </w:p>
    <w:p w:rsidR="002C4FAE" w:rsidRDefault="002C4FAE">
      <w:pPr>
        <w:spacing w:before="120" w:after="120" w:line="320" w:lineRule="exact"/>
        <w:jc w:val="both"/>
        <w:rPr>
          <w:rFonts w:ascii="Times New Roman" w:eastAsia="Times New Roman" w:hAnsi="Times New Roman" w:cs="Times New Roman"/>
          <w:sz w:val="24"/>
          <w:szCs w:val="24"/>
        </w:rPr>
      </w:pPr>
    </w:p>
    <w:p w:rsidR="002C4FAE" w:rsidRDefault="002C4FAE">
      <w:pPr>
        <w:spacing w:before="120" w:after="120" w:line="320" w:lineRule="exact"/>
        <w:rPr>
          <w:rFonts w:ascii="Times New Roman" w:eastAsia="Times New Roman" w:hAnsi="Times New Roman" w:cs="Times New Roman"/>
          <w:sz w:val="24"/>
          <w:szCs w:val="24"/>
        </w:rPr>
      </w:pPr>
    </w:p>
    <w:p w:rsidR="002C4FAE" w:rsidRDefault="002C4FAE">
      <w:pPr>
        <w:spacing w:before="120" w:after="120" w:line="320" w:lineRule="exact"/>
        <w:rPr>
          <w:rFonts w:ascii="Times New Roman" w:eastAsia="Times New Roman" w:hAnsi="Times New Roman" w:cs="Times New Roman"/>
          <w:sz w:val="24"/>
          <w:szCs w:val="24"/>
        </w:rPr>
      </w:pPr>
    </w:p>
    <w:p w:rsidR="002C4FAE" w:rsidRDefault="003B65D3">
      <w:pPr>
        <w:spacing w:before="120" w:after="120" w:line="320" w:lineRule="exact"/>
        <w:jc w:val="center"/>
        <w:rPr>
          <w:rFonts w:ascii="Times New Roman" w:eastAsia="Times New Roman" w:hAnsi="Times New Roman" w:cs="Times New Roman"/>
          <w:b/>
          <w:bCs/>
          <w:sz w:val="24"/>
          <w:szCs w:val="24"/>
        </w:rPr>
      </w:pPr>
      <w:r>
        <w:rPr>
          <w:rFonts w:ascii="Times New Roman" w:hAnsi="Times New Roman"/>
          <w:b/>
          <w:bCs/>
          <w:sz w:val="24"/>
          <w:szCs w:val="24"/>
        </w:rPr>
        <w:lastRenderedPageBreak/>
        <w:t>UZASADNIENIE</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Celem projektu ustawy jest waloryzacja o wartość inflacji kwoty kosztów uzyskania przychodów w PIT przysługującej pracownikom. Wysokość kosztów uzyskania przychodu dla pracowników jest zamrożona od 2007 r. W warunkach inflacji, która za ostatnie 10 lat wynosiła ok. 22%, zamrożenie kwoty kosztów uzyskania przychodów, w praktyce, skutkuje podwyżką podatku dla pracowników. Brak waloryzacji tego parametru PIT od 2007 r. kosztował polskich podatników ok. 4 mld zł.</w:t>
      </w:r>
    </w:p>
    <w:p w:rsidR="002C4FAE" w:rsidRDefault="002C4FAE">
      <w:pPr>
        <w:spacing w:before="120" w:after="120" w:line="320" w:lineRule="exact"/>
        <w:jc w:val="both"/>
        <w:rPr>
          <w:rFonts w:ascii="Times New Roman" w:eastAsia="Times New Roman" w:hAnsi="Times New Roman" w:cs="Times New Roman"/>
          <w:sz w:val="24"/>
          <w:szCs w:val="24"/>
        </w:rPr>
      </w:pPr>
    </w:p>
    <w:p w:rsidR="002C4FAE" w:rsidRDefault="003B65D3">
      <w:pPr>
        <w:spacing w:before="120" w:after="120" w:line="320" w:lineRule="exact"/>
        <w:jc w:val="both"/>
        <w:rPr>
          <w:rFonts w:ascii="Times New Roman" w:eastAsia="Times New Roman" w:hAnsi="Times New Roman" w:cs="Times New Roman"/>
          <w:b/>
          <w:bCs/>
          <w:i/>
          <w:iCs/>
          <w:sz w:val="24"/>
          <w:szCs w:val="24"/>
        </w:rPr>
      </w:pPr>
      <w:r>
        <w:rPr>
          <w:rFonts w:ascii="Times New Roman" w:hAnsi="Times New Roman"/>
          <w:b/>
          <w:bCs/>
          <w:i/>
          <w:iCs/>
          <w:sz w:val="24"/>
          <w:szCs w:val="24"/>
        </w:rPr>
        <w:t>Aktualny stan prawny i jego negatywne konsekwencje</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 xml:space="preserve">Kwota kosztów uzyskania </w:t>
      </w:r>
      <w:proofErr w:type="spellStart"/>
      <w:r>
        <w:rPr>
          <w:rFonts w:ascii="Times New Roman" w:hAnsi="Times New Roman"/>
          <w:sz w:val="24"/>
          <w:szCs w:val="24"/>
        </w:rPr>
        <w:t>przychod</w:t>
      </w:r>
      <w:proofErr w:type="spellEnd"/>
      <w:r>
        <w:rPr>
          <w:rFonts w:ascii="Times New Roman" w:hAnsi="Times New Roman"/>
          <w:sz w:val="24"/>
          <w:szCs w:val="24"/>
          <w:lang w:val="es-ES_tradnl"/>
        </w:rPr>
        <w:t>ó</w:t>
      </w:r>
      <w:r>
        <w:rPr>
          <w:rFonts w:ascii="Times New Roman" w:hAnsi="Times New Roman"/>
          <w:sz w:val="24"/>
          <w:szCs w:val="24"/>
          <w:lang w:val="en-US"/>
        </w:rPr>
        <w:t>w</w:t>
      </w:r>
      <w:r>
        <w:rPr>
          <w:rFonts w:ascii="Times New Roman" w:hAnsi="Times New Roman"/>
          <w:sz w:val="24"/>
          <w:szCs w:val="24"/>
        </w:rPr>
        <w:t xml:space="preserve"> przysługujących pracownikom pozostaje na niezmienionym poziomie od 2007 roku i wynosi dziś odpowiednio: </w:t>
      </w:r>
    </w:p>
    <w:p w:rsidR="002C4FAE" w:rsidRDefault="003B65D3">
      <w:pPr>
        <w:numPr>
          <w:ilvl w:val="0"/>
          <w:numId w:val="2"/>
        </w:num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do 1.</w:t>
      </w:r>
      <w:r>
        <w:rPr>
          <w:rFonts w:ascii="Times New Roman" w:hAnsi="Times New Roman"/>
          <w:sz w:val="24"/>
          <w:szCs w:val="24"/>
          <w:lang w:val="nl-NL"/>
        </w:rPr>
        <w:t>335 z</w:t>
      </w:r>
      <w:r>
        <w:rPr>
          <w:rFonts w:ascii="Times New Roman" w:hAnsi="Times New Roman"/>
          <w:sz w:val="24"/>
          <w:szCs w:val="24"/>
        </w:rPr>
        <w:t>ł rocznie dla pracowników z jedną umową o pracę,</w:t>
      </w:r>
    </w:p>
    <w:p w:rsidR="002C4FAE" w:rsidRDefault="003B65D3">
      <w:pPr>
        <w:numPr>
          <w:ilvl w:val="0"/>
          <w:numId w:val="2"/>
        </w:num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 xml:space="preserve">do 2.002 zł </w:t>
      </w:r>
      <w:r>
        <w:rPr>
          <w:rFonts w:ascii="Times New Roman" w:hAnsi="Times New Roman"/>
          <w:sz w:val="24"/>
          <w:szCs w:val="24"/>
          <w:lang w:val="it-IT"/>
        </w:rPr>
        <w:t xml:space="preserve">5 gr </w:t>
      </w:r>
      <w:r>
        <w:rPr>
          <w:rFonts w:ascii="Times New Roman" w:hAnsi="Times New Roman"/>
          <w:sz w:val="24"/>
          <w:szCs w:val="24"/>
        </w:rPr>
        <w:t>dla pracowników zatrudnionych na więcej niż jednej umowie o pracę,</w:t>
      </w:r>
    </w:p>
    <w:p w:rsidR="002C4FAE" w:rsidRDefault="003B65D3">
      <w:pPr>
        <w:numPr>
          <w:ilvl w:val="0"/>
          <w:numId w:val="2"/>
        </w:num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 xml:space="preserve">do </w:t>
      </w:r>
      <w:r>
        <w:rPr>
          <w:rFonts w:ascii="Times New Roman" w:hAnsi="Times New Roman"/>
          <w:sz w:val="24"/>
          <w:szCs w:val="24"/>
          <w:lang w:val="nl-NL"/>
        </w:rPr>
        <w:t>1668 z</w:t>
      </w:r>
      <w:r>
        <w:rPr>
          <w:rFonts w:ascii="Times New Roman" w:hAnsi="Times New Roman"/>
          <w:sz w:val="24"/>
          <w:szCs w:val="24"/>
        </w:rPr>
        <w:t>ł 72 gr dla pracowników dojeżdżających do miejsca zatrudnienia i którzy nie otrzymują tzw. dodatku za rozłąkę,</w:t>
      </w:r>
    </w:p>
    <w:p w:rsidR="002C4FAE" w:rsidRDefault="003B65D3">
      <w:pPr>
        <w:numPr>
          <w:ilvl w:val="0"/>
          <w:numId w:val="2"/>
        </w:num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do 2502 zł 56 gr dla pracowników zatrudnionych na więcej niż jednej umowie o pracę, dojeżdżających do miejsca zatrudnienia, którzy nie otrzymują tzw. dodatku za rozłąkę.</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 xml:space="preserve">Kwota pracowniczych kosztów uzyskania </w:t>
      </w:r>
      <w:proofErr w:type="spellStart"/>
      <w:r>
        <w:rPr>
          <w:rFonts w:ascii="Times New Roman" w:hAnsi="Times New Roman"/>
          <w:sz w:val="24"/>
          <w:szCs w:val="24"/>
        </w:rPr>
        <w:t>przychod</w:t>
      </w:r>
      <w:proofErr w:type="spellEnd"/>
      <w:r>
        <w:rPr>
          <w:rFonts w:ascii="Times New Roman" w:hAnsi="Times New Roman"/>
          <w:sz w:val="24"/>
          <w:szCs w:val="24"/>
          <w:lang w:val="es-ES_tradnl"/>
        </w:rPr>
        <w:t>ó</w:t>
      </w:r>
      <w:r>
        <w:rPr>
          <w:rFonts w:ascii="Times New Roman" w:hAnsi="Times New Roman"/>
          <w:sz w:val="24"/>
          <w:szCs w:val="24"/>
          <w:lang w:val="en-US"/>
        </w:rPr>
        <w:t>w</w:t>
      </w:r>
      <w:r>
        <w:rPr>
          <w:rFonts w:ascii="Times New Roman" w:hAnsi="Times New Roman"/>
          <w:sz w:val="24"/>
          <w:szCs w:val="24"/>
        </w:rPr>
        <w:t xml:space="preserve"> pozostaje „zamrożona” dłużej niż kwota wolna od podatku. Zmieniona w tym roku kwota wolna pozostawała zamrożona od 2009 roku. Wysokość pracowniczych kosztów uzyskania przychodów pozostaje natomiast niezmieniona od 2007 roku. W praktyce, biorąc pod uwagę inflację, a więc wzrost cen, realnie oznacza to dla pracowników podwyżkę opodatkowania z każdym rokiem przez okres 10 lat.</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Zamrożenie kwoty pracowniczych kosztów uzyskania przychodów w ustawie o PIT to wymierne korzyści dla budżetu oraz - odpowiednio - straty dla polskich rodzin. Skumulowana strata dla polskich podatników w wyniku zamrożenia kwoty pracowniczych kosztów uzyskania na okres 10 lat wynosi ok. 4 mld zł. W tym zakresie, polityka podatkowa rządu PiS niestety w żaden sposób nie różni się od polityki podatkowej rządu PO-PSL.</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Jak wynika z obliczeń Centrum Analiz Ekonomicznych (</w:t>
      </w:r>
      <w:proofErr w:type="spellStart"/>
      <w:r>
        <w:rPr>
          <w:rFonts w:ascii="Times New Roman" w:hAnsi="Times New Roman"/>
          <w:sz w:val="24"/>
          <w:szCs w:val="24"/>
        </w:rPr>
        <w:t>CenEA</w:t>
      </w:r>
      <w:proofErr w:type="spellEnd"/>
      <w:r>
        <w:rPr>
          <w:rFonts w:ascii="Times New Roman" w:hAnsi="Times New Roman"/>
          <w:sz w:val="24"/>
          <w:szCs w:val="24"/>
        </w:rPr>
        <w:t xml:space="preserve">), zamrożenie wszystkich </w:t>
      </w:r>
      <w:r>
        <w:rPr>
          <w:rFonts w:ascii="Times New Roman" w:hAnsi="Times New Roman"/>
          <w:sz w:val="24"/>
          <w:szCs w:val="24"/>
          <w:lang w:val="pt-PT"/>
        </w:rPr>
        <w:t>parametr</w:t>
      </w:r>
      <w:r>
        <w:rPr>
          <w:rFonts w:ascii="Times New Roman" w:hAnsi="Times New Roman"/>
          <w:sz w:val="24"/>
          <w:szCs w:val="24"/>
          <w:lang w:val="es-ES_tradnl"/>
        </w:rPr>
        <w:t>ó</w:t>
      </w:r>
      <w:r>
        <w:rPr>
          <w:rFonts w:ascii="Times New Roman" w:hAnsi="Times New Roman"/>
          <w:sz w:val="24"/>
          <w:szCs w:val="24"/>
        </w:rPr>
        <w:t xml:space="preserve">w systemu PIT, w tym pracowniczych kosztów uzyskania przychodów, tylko w latach 2016-2017 oznaczało spadek </w:t>
      </w:r>
      <w:proofErr w:type="spellStart"/>
      <w:r>
        <w:rPr>
          <w:rFonts w:ascii="Times New Roman" w:hAnsi="Times New Roman"/>
          <w:sz w:val="24"/>
          <w:szCs w:val="24"/>
        </w:rPr>
        <w:t>dochod</w:t>
      </w:r>
      <w:proofErr w:type="spellEnd"/>
      <w:r>
        <w:rPr>
          <w:rFonts w:ascii="Times New Roman" w:hAnsi="Times New Roman"/>
          <w:sz w:val="24"/>
          <w:szCs w:val="24"/>
          <w:lang w:val="es-ES_tradnl"/>
        </w:rPr>
        <w:t>ó</w:t>
      </w:r>
      <w:r>
        <w:rPr>
          <w:rFonts w:ascii="Times New Roman" w:hAnsi="Times New Roman"/>
          <w:sz w:val="24"/>
          <w:szCs w:val="24"/>
        </w:rPr>
        <w:t>w gospodarstw domowych o 2,3 mld złotych rocznie. Co więcej, negatywne konsekwencje dla domowych budżet</w:t>
      </w:r>
      <w:r>
        <w:rPr>
          <w:rFonts w:ascii="Times New Roman" w:hAnsi="Times New Roman"/>
          <w:sz w:val="24"/>
          <w:szCs w:val="24"/>
          <w:lang w:val="es-ES_tradnl"/>
        </w:rPr>
        <w:t>ó</w:t>
      </w:r>
      <w:r>
        <w:rPr>
          <w:rFonts w:ascii="Times New Roman" w:hAnsi="Times New Roman"/>
          <w:sz w:val="24"/>
          <w:szCs w:val="24"/>
        </w:rPr>
        <w:t>w uderzają najdotkliwiej w najuboższe 10% rodzin.</w:t>
      </w:r>
    </w:p>
    <w:p w:rsidR="002C4FAE" w:rsidRDefault="002C4FAE">
      <w:pPr>
        <w:spacing w:before="120" w:after="120" w:line="320" w:lineRule="exact"/>
        <w:jc w:val="both"/>
        <w:rPr>
          <w:rFonts w:ascii="Times New Roman" w:eastAsia="Times New Roman" w:hAnsi="Times New Roman" w:cs="Times New Roman"/>
          <w:sz w:val="24"/>
          <w:szCs w:val="24"/>
        </w:rPr>
      </w:pPr>
    </w:p>
    <w:p w:rsidR="002C4FAE" w:rsidRDefault="003B65D3">
      <w:pPr>
        <w:spacing w:before="120" w:after="120" w:line="320" w:lineRule="exact"/>
        <w:jc w:val="both"/>
        <w:rPr>
          <w:rFonts w:ascii="Times New Roman" w:eastAsia="Times New Roman" w:hAnsi="Times New Roman" w:cs="Times New Roman"/>
          <w:b/>
          <w:bCs/>
          <w:i/>
          <w:iCs/>
          <w:sz w:val="24"/>
          <w:szCs w:val="24"/>
        </w:rPr>
      </w:pPr>
      <w:r>
        <w:rPr>
          <w:rFonts w:ascii="Times New Roman" w:hAnsi="Times New Roman"/>
          <w:b/>
          <w:bCs/>
          <w:i/>
          <w:iCs/>
          <w:sz w:val="24"/>
          <w:szCs w:val="24"/>
        </w:rPr>
        <w:t>Waloryzacja pracowniczych kosztów uzyskania przychodów</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 xml:space="preserve">Projekt ustawy przewiduje waloryzację pracowniczych kosztów uzyskania o skumulowaną wartość inflacji za okres od 2008 do 2016 r. Zamrożenie kwoty kosztów uzyskania przychodów w tym okresie oznaczało dla rodzin faktyczną podwyżkę podatku w każdym </w:t>
      </w:r>
      <w:r>
        <w:rPr>
          <w:rFonts w:ascii="Times New Roman" w:hAnsi="Times New Roman"/>
          <w:sz w:val="24"/>
          <w:szCs w:val="24"/>
        </w:rPr>
        <w:lastRenderedPageBreak/>
        <w:t xml:space="preserve">roku podatkowym. Projektodawca uważa, że dalsze mrożenie kwoty kosztów uzyskania przychodów jest niezasadne. Poniższa tabela przedstawia w jaki sposób z każdym rokiem powinna była wzrastać </w:t>
      </w:r>
      <w:r w:rsidR="008E03B6">
        <w:rPr>
          <w:noProof/>
        </w:rPr>
        <mc:AlternateContent>
          <mc:Choice Requires="wps">
            <w:drawing>
              <wp:anchor distT="152400" distB="152400" distL="152400" distR="152400" simplePos="0" relativeHeight="251659264" behindDoc="0" locked="0" layoutInCell="1" allowOverlap="1">
                <wp:simplePos x="0" y="0"/>
                <wp:positionH relativeFrom="margin">
                  <wp:align>left</wp:align>
                </wp:positionH>
                <wp:positionV relativeFrom="page">
                  <wp:posOffset>1676400</wp:posOffset>
                </wp:positionV>
                <wp:extent cx="6105525" cy="158877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SpPr/>
                      <wps:spPr>
                        <a:xfrm>
                          <a:off x="0" y="0"/>
                          <a:ext cx="6105525" cy="1588770"/>
                        </a:xfrm>
                        <a:prstGeom prst="rect">
                          <a:avLst/>
                        </a:prstGeom>
                      </wps:spPr>
                      <wps:txbx>
                        <w:txbxContent>
                          <w:tbl>
                            <w:tblPr>
                              <w:tblStyle w:val="TableNormal"/>
                              <w:tblW w:w="936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99"/>
                              <w:gridCol w:w="916"/>
                              <w:gridCol w:w="1174"/>
                              <w:gridCol w:w="1740"/>
                              <w:gridCol w:w="2023"/>
                              <w:gridCol w:w="2908"/>
                            </w:tblGrid>
                            <w:tr w:rsidR="002C4FAE">
                              <w:trPr>
                                <w:trHeight w:val="262"/>
                              </w:trPr>
                              <w:tc>
                                <w:tcPr>
                                  <w:tcW w:w="599"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jc w:val="center"/>
                                  </w:pPr>
                                  <w:r>
                                    <w:rPr>
                                      <w:rFonts w:ascii="Calibri" w:eastAsia="Calibri" w:hAnsi="Calibri" w:cs="Calibri"/>
                                      <w:b/>
                                      <w:bCs/>
                                      <w:sz w:val="22"/>
                                      <w:szCs w:val="22"/>
                                    </w:rPr>
                                    <w:t>Rok</w:t>
                                  </w:r>
                                </w:p>
                              </w:tc>
                              <w:tc>
                                <w:tcPr>
                                  <w:tcW w:w="916"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s>
                                    <w:jc w:val="center"/>
                                  </w:pPr>
                                  <w:r>
                                    <w:rPr>
                                      <w:rFonts w:ascii="Calibri" w:eastAsia="Calibri" w:hAnsi="Calibri" w:cs="Calibri"/>
                                      <w:b/>
                                      <w:bCs/>
                                      <w:sz w:val="22"/>
                                      <w:szCs w:val="22"/>
                                    </w:rPr>
                                    <w:t>Wskaźnik inflacji</w:t>
                                  </w:r>
                                </w:p>
                              </w:tc>
                              <w:tc>
                                <w:tcPr>
                                  <w:tcW w:w="7845"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 w:val="left" w:pos="1440"/>
                                      <w:tab w:val="left" w:pos="2160"/>
                                      <w:tab w:val="left" w:pos="2880"/>
                                      <w:tab w:val="left" w:pos="3600"/>
                                      <w:tab w:val="left" w:pos="4320"/>
                                      <w:tab w:val="left" w:pos="5040"/>
                                      <w:tab w:val="left" w:pos="5760"/>
                                      <w:tab w:val="left" w:pos="6480"/>
                                      <w:tab w:val="left" w:pos="7200"/>
                                    </w:tabs>
                                    <w:jc w:val="center"/>
                                  </w:pPr>
                                  <w:r>
                                    <w:rPr>
                                      <w:rFonts w:ascii="Calibri" w:eastAsia="Calibri" w:hAnsi="Calibri" w:cs="Calibri"/>
                                      <w:b/>
                                      <w:bCs/>
                                      <w:sz w:val="22"/>
                                      <w:szCs w:val="22"/>
                                    </w:rPr>
                                    <w:t>Pracownicze koszty uzyskania przychodów po rocznej waloryzacji</w:t>
                                  </w:r>
                                </w:p>
                              </w:tc>
                            </w:tr>
                            <w:tr w:rsidR="002C4FAE">
                              <w:trPr>
                                <w:trHeight w:val="487"/>
                              </w:trPr>
                              <w:tc>
                                <w:tcPr>
                                  <w:tcW w:w="599" w:type="dxa"/>
                                  <w:vMerge/>
                                  <w:tcBorders>
                                    <w:top w:val="single" w:sz="2" w:space="0" w:color="000000"/>
                                    <w:left w:val="single" w:sz="2" w:space="0" w:color="000000"/>
                                    <w:bottom w:val="single" w:sz="2" w:space="0" w:color="000000"/>
                                    <w:right w:val="single" w:sz="2" w:space="0" w:color="000000"/>
                                  </w:tcBorders>
                                  <w:shd w:val="clear" w:color="auto" w:fill="auto"/>
                                </w:tcPr>
                                <w:p w:rsidR="002C4FAE" w:rsidRDefault="002C4FAE"/>
                              </w:tc>
                              <w:tc>
                                <w:tcPr>
                                  <w:tcW w:w="916" w:type="dxa"/>
                                  <w:vMerge/>
                                  <w:tcBorders>
                                    <w:top w:val="single" w:sz="2" w:space="0" w:color="000000"/>
                                    <w:left w:val="single" w:sz="2" w:space="0" w:color="000000"/>
                                    <w:bottom w:val="single" w:sz="2" w:space="0" w:color="000000"/>
                                    <w:right w:val="single" w:sz="2" w:space="0" w:color="000000"/>
                                  </w:tcBorders>
                                  <w:shd w:val="clear" w:color="auto" w:fill="auto"/>
                                </w:tcPr>
                                <w:p w:rsidR="002C4FAE" w:rsidRDefault="002C4FAE"/>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s>
                                    <w:jc w:val="center"/>
                                  </w:pPr>
                                  <w:r>
                                    <w:rPr>
                                      <w:rFonts w:ascii="Calibri" w:eastAsia="Calibri" w:hAnsi="Calibri" w:cs="Calibri"/>
                                      <w:b/>
                                      <w:bCs/>
                                      <w:sz w:val="22"/>
                                      <w:szCs w:val="22"/>
                                    </w:rPr>
                                    <w:t>pracownik z 1 umową</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 w:val="left" w:pos="1440"/>
                                    </w:tabs>
                                    <w:jc w:val="center"/>
                                  </w:pPr>
                                  <w:r>
                                    <w:rPr>
                                      <w:rFonts w:ascii="Calibri" w:eastAsia="Calibri" w:hAnsi="Calibri" w:cs="Calibri"/>
                                      <w:b/>
                                      <w:bCs/>
                                      <w:sz w:val="22"/>
                                      <w:szCs w:val="22"/>
                                    </w:rPr>
                                    <w:t>pracownik z więcej niż 1 umową</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 w:val="left" w:pos="1440"/>
                                    </w:tabs>
                                    <w:jc w:val="center"/>
                                  </w:pPr>
                                  <w:r>
                                    <w:rPr>
                                      <w:rFonts w:ascii="Calibri" w:eastAsia="Calibri" w:hAnsi="Calibri" w:cs="Calibri"/>
                                      <w:b/>
                                      <w:bCs/>
                                      <w:sz w:val="22"/>
                                      <w:szCs w:val="22"/>
                                    </w:rPr>
                                    <w:t>pracownik z 1 umową dojeżdżający do pracy</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 w:val="left" w:pos="1440"/>
                                      <w:tab w:val="left" w:pos="2160"/>
                                      <w:tab w:val="left" w:pos="2880"/>
                                    </w:tabs>
                                    <w:jc w:val="center"/>
                                  </w:pPr>
                                  <w:r>
                                    <w:rPr>
                                      <w:rFonts w:ascii="Calibri" w:eastAsia="Calibri" w:hAnsi="Calibri" w:cs="Calibri"/>
                                      <w:b/>
                                      <w:bCs/>
                                      <w:sz w:val="22"/>
                                      <w:szCs w:val="22"/>
                                    </w:rPr>
                                    <w:t>pracownik z więcej niż 1 umową dojeżdżający do pracy</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2007</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2,5%</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b/>
                                      <w:bCs/>
                                      <w:sz w:val="22"/>
                                      <w:szCs w:val="22"/>
                                    </w:rPr>
                                    <w:t>1 335,00</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b/>
                                      <w:bCs/>
                                      <w:sz w:val="22"/>
                                      <w:szCs w:val="22"/>
                                    </w:rPr>
                                    <w:t>2 002,05</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b/>
                                      <w:bCs/>
                                      <w:sz w:val="22"/>
                                      <w:szCs w:val="22"/>
                                    </w:rPr>
                                    <w:t>1 668,72</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b/>
                                      <w:bCs/>
                                      <w:sz w:val="22"/>
                                      <w:szCs w:val="22"/>
                                    </w:rPr>
                                    <w:t>2 502,56</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2008</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4,2%</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1 391,07</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2 086,14</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1 738,81</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2 607,67</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2009</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3,5%</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1 439,76</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2 159,15</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1 799,66</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2 698,94</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2010</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2,6%</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1 477,19</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2 215,29</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1 846,46</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2 769,11</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2011</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4,3%</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1 540,71</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2 310,55</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1 925,85</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2 888,18</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2012</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3,7%</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1 597,72</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2 396,04</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1 997,11</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2 995,04</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2013</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0,9%</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1 612,10</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2 417,60</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2 015,08</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3 022,00</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2014</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0,0%</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1 612,10</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2 417,60</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2 015,08</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3 022,00</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2015</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-0,9%</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1 597,59</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2 395,84</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1 996,95</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2 994,80</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2016</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-0,6%</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b/>
                                      <w:bCs/>
                                      <w:sz w:val="22"/>
                                      <w:szCs w:val="22"/>
                                    </w:rPr>
                                    <w:t>1 588,00</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b/>
                                      <w:bCs/>
                                      <w:sz w:val="22"/>
                                      <w:szCs w:val="22"/>
                                    </w:rPr>
                                    <w:t>2 381,47</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b/>
                                      <w:bCs/>
                                      <w:sz w:val="22"/>
                                      <w:szCs w:val="22"/>
                                    </w:rPr>
                                    <w:t>1 984,97</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b/>
                                      <w:bCs/>
                                      <w:sz w:val="22"/>
                                      <w:szCs w:val="22"/>
                                    </w:rPr>
                                    <w:t>2 976,83</w:t>
                                  </w:r>
                                </w:p>
                              </w:tc>
                            </w:tr>
                          </w:tbl>
                          <w:p w:rsidR="0002675D" w:rsidRDefault="0002675D"/>
                        </w:txbxContent>
                      </wps:txbx>
                      <wps:bodyPr wrap="square" lIns="0" tIns="0" rIns="0" bIns="0">
                        <a:spAutoFit/>
                      </wps:bodyPr>
                    </wps:wsp>
                  </a:graphicData>
                </a:graphic>
                <wp14:sizeRelH relativeFrom="margin">
                  <wp14:pctWidth>0</wp14:pctWidth>
                </wp14:sizeRelH>
              </wp:anchor>
            </w:drawing>
          </mc:Choice>
          <mc:Fallback>
            <w:pict>
              <v:rect id="officeArt object" o:spid="_x0000_s1026" style="position:absolute;left:0;text-align:left;margin-left:0;margin-top:132pt;width:480.75pt;height:125.1pt;z-index:251659264;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" filled="f" stroked="f">
                <v:textbox style="mso-fit-shape-to-text:t" inset="0,0,0,0">
                  <w:txbxContent>
                    <w:tbl>
                      <w:tblPr>
                        <w:tblStyle w:val="TableNormal"/>
                        <w:tblW w:w="936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99"/>
                        <w:gridCol w:w="916"/>
                        <w:gridCol w:w="1174"/>
                        <w:gridCol w:w="1740"/>
                        <w:gridCol w:w="2023"/>
                        <w:gridCol w:w="2908"/>
                      </w:tblGrid>
                      <w:tr w:rsidR="002C4FAE">
                        <w:trPr>
                          <w:trHeight w:val="262"/>
                        </w:trPr>
                        <w:tc>
                          <w:tcPr>
                            <w:tcW w:w="599"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jc w:val="center"/>
                            </w:pPr>
                            <w:r>
                              <w:rPr>
                                <w:rFonts w:ascii="Calibri" w:eastAsia="Calibri" w:hAnsi="Calibri" w:cs="Calibri"/>
                                <w:b/>
                                <w:bCs/>
                                <w:sz w:val="22"/>
                                <w:szCs w:val="22"/>
                              </w:rPr>
                              <w:t>Rok</w:t>
                            </w:r>
                          </w:p>
                        </w:tc>
                        <w:tc>
                          <w:tcPr>
                            <w:tcW w:w="916" w:type="dxa"/>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s>
                              <w:jc w:val="center"/>
                            </w:pPr>
                            <w:r>
                              <w:rPr>
                                <w:rFonts w:ascii="Calibri" w:eastAsia="Calibri" w:hAnsi="Calibri" w:cs="Calibri"/>
                                <w:b/>
                                <w:bCs/>
                                <w:sz w:val="22"/>
                                <w:szCs w:val="22"/>
                              </w:rPr>
                              <w:t>Wskaźnik inflacji</w:t>
                            </w:r>
                          </w:p>
                        </w:tc>
                        <w:tc>
                          <w:tcPr>
                            <w:tcW w:w="7845"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 w:val="left" w:pos="1440"/>
                                <w:tab w:val="left" w:pos="2160"/>
                                <w:tab w:val="left" w:pos="2880"/>
                                <w:tab w:val="left" w:pos="3600"/>
                                <w:tab w:val="left" w:pos="4320"/>
                                <w:tab w:val="left" w:pos="5040"/>
                                <w:tab w:val="left" w:pos="5760"/>
                                <w:tab w:val="left" w:pos="6480"/>
                                <w:tab w:val="left" w:pos="7200"/>
                              </w:tabs>
                              <w:jc w:val="center"/>
                            </w:pPr>
                            <w:r>
                              <w:rPr>
                                <w:rFonts w:ascii="Calibri" w:eastAsia="Calibri" w:hAnsi="Calibri" w:cs="Calibri"/>
                                <w:b/>
                                <w:bCs/>
                                <w:sz w:val="22"/>
                                <w:szCs w:val="22"/>
                              </w:rPr>
                              <w:t>Pracownicze koszty uzyskania przychodów po rocznej waloryzacji</w:t>
                            </w:r>
                          </w:p>
                        </w:tc>
                      </w:tr>
                      <w:tr w:rsidR="002C4FAE">
                        <w:trPr>
                          <w:trHeight w:val="487"/>
                        </w:trPr>
                        <w:tc>
                          <w:tcPr>
                            <w:tcW w:w="599" w:type="dxa"/>
                            <w:vMerge/>
                            <w:tcBorders>
                              <w:top w:val="single" w:sz="2" w:space="0" w:color="000000"/>
                              <w:left w:val="single" w:sz="2" w:space="0" w:color="000000"/>
                              <w:bottom w:val="single" w:sz="2" w:space="0" w:color="000000"/>
                              <w:right w:val="single" w:sz="2" w:space="0" w:color="000000"/>
                            </w:tcBorders>
                            <w:shd w:val="clear" w:color="auto" w:fill="auto"/>
                          </w:tcPr>
                          <w:p w:rsidR="002C4FAE" w:rsidRDefault="002C4FAE"/>
                        </w:tc>
                        <w:tc>
                          <w:tcPr>
                            <w:tcW w:w="916" w:type="dxa"/>
                            <w:vMerge/>
                            <w:tcBorders>
                              <w:top w:val="single" w:sz="2" w:space="0" w:color="000000"/>
                              <w:left w:val="single" w:sz="2" w:space="0" w:color="000000"/>
                              <w:bottom w:val="single" w:sz="2" w:space="0" w:color="000000"/>
                              <w:right w:val="single" w:sz="2" w:space="0" w:color="000000"/>
                            </w:tcBorders>
                            <w:shd w:val="clear" w:color="auto" w:fill="auto"/>
                          </w:tcPr>
                          <w:p w:rsidR="002C4FAE" w:rsidRDefault="002C4FAE"/>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s>
                              <w:jc w:val="center"/>
                            </w:pPr>
                            <w:r>
                              <w:rPr>
                                <w:rFonts w:ascii="Calibri" w:eastAsia="Calibri" w:hAnsi="Calibri" w:cs="Calibri"/>
                                <w:b/>
                                <w:bCs/>
                                <w:sz w:val="22"/>
                                <w:szCs w:val="22"/>
                              </w:rPr>
                              <w:t>pracownik z 1 umową</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 w:val="left" w:pos="1440"/>
                              </w:tabs>
                              <w:jc w:val="center"/>
                            </w:pPr>
                            <w:r>
                              <w:rPr>
                                <w:rFonts w:ascii="Calibri" w:eastAsia="Calibri" w:hAnsi="Calibri" w:cs="Calibri"/>
                                <w:b/>
                                <w:bCs/>
                                <w:sz w:val="22"/>
                                <w:szCs w:val="22"/>
                              </w:rPr>
                              <w:t>pracownik z więcej niż 1 umową</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 w:val="left" w:pos="1440"/>
                              </w:tabs>
                              <w:jc w:val="center"/>
                            </w:pPr>
                            <w:r>
                              <w:rPr>
                                <w:rFonts w:ascii="Calibri" w:eastAsia="Calibri" w:hAnsi="Calibri" w:cs="Calibri"/>
                                <w:b/>
                                <w:bCs/>
                                <w:sz w:val="22"/>
                                <w:szCs w:val="22"/>
                              </w:rPr>
                              <w:t>pracownik z 1 umową dojeżdżający do pracy</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center"/>
                          </w:tcPr>
                          <w:p w:rsidR="002C4FAE" w:rsidRDefault="003B65D3">
                            <w:pPr>
                              <w:pStyle w:val="Styltabeli2"/>
                              <w:tabs>
                                <w:tab w:val="left" w:pos="720"/>
                                <w:tab w:val="left" w:pos="1440"/>
                                <w:tab w:val="left" w:pos="2160"/>
                                <w:tab w:val="left" w:pos="2880"/>
                              </w:tabs>
                              <w:jc w:val="center"/>
                            </w:pPr>
                            <w:r>
                              <w:rPr>
                                <w:rFonts w:ascii="Calibri" w:eastAsia="Calibri" w:hAnsi="Calibri" w:cs="Calibri"/>
                                <w:b/>
                                <w:bCs/>
                                <w:sz w:val="22"/>
                                <w:szCs w:val="22"/>
                              </w:rPr>
                              <w:t>pracownik z więcej niż 1 umową dojeżdżający do pracy</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2007</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2,5%</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b/>
                                <w:bCs/>
                                <w:sz w:val="22"/>
                                <w:szCs w:val="22"/>
                              </w:rPr>
                              <w:t>1 335,00</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b/>
                                <w:bCs/>
                                <w:sz w:val="22"/>
                                <w:szCs w:val="22"/>
                              </w:rPr>
                              <w:t>2 002,05</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b/>
                                <w:bCs/>
                                <w:sz w:val="22"/>
                                <w:szCs w:val="22"/>
                              </w:rPr>
                              <w:t>1 668,72</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b/>
                                <w:bCs/>
                                <w:sz w:val="22"/>
                                <w:szCs w:val="22"/>
                              </w:rPr>
                              <w:t>2 502,56</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2008</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4,2%</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1 391,07</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2 086,14</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1 738,81</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2 607,67</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2009</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3,5%</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1 439,76</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2 159,15</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1 799,66</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2 698,94</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2010</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2,6%</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1 477,19</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2 215,29</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1 846,46</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2 769,11</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2011</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4,3%</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1 540,71</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2 310,55</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1 925,85</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2 888,18</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2012</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3,7%</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1 597,72</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2 396,04</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1 997,11</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2 995,04</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2013</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0,9%</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1 612,10</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2 417,60</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2 015,08</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3 022,00</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2014</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0,0%</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1 612,10</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2 417,60</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2 015,08</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3 022,00</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2015</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-0,9%</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1 597,59</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2 395,84</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sz w:val="22"/>
                                <w:szCs w:val="22"/>
                              </w:rPr>
                              <w:t>1 996,95</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sz w:val="22"/>
                                <w:szCs w:val="22"/>
                              </w:rPr>
                              <w:t>2 994,80</w:t>
                            </w:r>
                          </w:p>
                        </w:tc>
                      </w:tr>
                      <w:tr w:rsidR="002C4FAE">
                        <w:trPr>
                          <w:trHeight w:val="262"/>
                        </w:trPr>
                        <w:tc>
                          <w:tcPr>
                            <w:tcW w:w="599"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jc w:val="center"/>
                            </w:pPr>
                            <w:r>
                              <w:rPr>
                                <w:rFonts w:ascii="Calibri" w:eastAsia="Calibri" w:hAnsi="Calibri" w:cs="Calibri"/>
                                <w:sz w:val="22"/>
                                <w:szCs w:val="22"/>
                              </w:rPr>
                              <w:t>2016</w:t>
                            </w:r>
                          </w:p>
                        </w:tc>
                        <w:tc>
                          <w:tcPr>
                            <w:tcW w:w="91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sz w:val="22"/>
                                <w:szCs w:val="22"/>
                              </w:rPr>
                              <w:t>-0,6%</w:t>
                            </w:r>
                          </w:p>
                        </w:tc>
                        <w:tc>
                          <w:tcPr>
                            <w:tcW w:w="1174"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s>
                              <w:jc w:val="center"/>
                            </w:pPr>
                            <w:r>
                              <w:rPr>
                                <w:rFonts w:ascii="Calibri" w:eastAsia="Calibri" w:hAnsi="Calibri" w:cs="Calibri"/>
                                <w:b/>
                                <w:bCs/>
                                <w:sz w:val="22"/>
                                <w:szCs w:val="22"/>
                              </w:rPr>
                              <w:t>1 588,00</w:t>
                            </w:r>
                          </w:p>
                        </w:tc>
                        <w:tc>
                          <w:tcPr>
                            <w:tcW w:w="1740"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b/>
                                <w:bCs/>
                                <w:sz w:val="22"/>
                                <w:szCs w:val="22"/>
                              </w:rPr>
                              <w:t>2 381,47</w:t>
                            </w:r>
                          </w:p>
                        </w:tc>
                        <w:tc>
                          <w:tcPr>
                            <w:tcW w:w="2023"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s>
                              <w:jc w:val="center"/>
                            </w:pPr>
                            <w:r>
                              <w:rPr>
                                <w:rFonts w:ascii="Calibri" w:eastAsia="Calibri" w:hAnsi="Calibri" w:cs="Calibri"/>
                                <w:b/>
                                <w:bCs/>
                                <w:sz w:val="22"/>
                                <w:szCs w:val="22"/>
                              </w:rPr>
                              <w:t>1 984,97</w:t>
                            </w:r>
                          </w:p>
                        </w:tc>
                        <w:tc>
                          <w:tcPr>
                            <w:tcW w:w="2906" w:type="dxa"/>
                            <w:tcBorders>
                              <w:top w:val="single" w:sz="2" w:space="0" w:color="000000"/>
                              <w:left w:val="single" w:sz="2" w:space="0" w:color="000000"/>
                              <w:bottom w:val="single" w:sz="2" w:space="0" w:color="000000"/>
                              <w:right w:val="single" w:sz="2" w:space="0" w:color="000000"/>
                            </w:tcBorders>
                            <w:shd w:val="clear" w:color="auto" w:fill="auto"/>
                            <w:tcMar>
                              <w:top w:w="0" w:type="dxa"/>
                              <w:left w:w="40" w:type="dxa"/>
                              <w:bottom w:w="40" w:type="dxa"/>
                              <w:right w:w="40" w:type="dxa"/>
                            </w:tcMar>
                            <w:vAlign w:val="bottom"/>
                          </w:tcPr>
                          <w:p w:rsidR="002C4FAE" w:rsidRDefault="003B65D3">
                            <w:pPr>
                              <w:pStyle w:val="Styltabeli2"/>
                              <w:tabs>
                                <w:tab w:val="left" w:pos="720"/>
                                <w:tab w:val="left" w:pos="1440"/>
                                <w:tab w:val="left" w:pos="2160"/>
                                <w:tab w:val="left" w:pos="2880"/>
                              </w:tabs>
                              <w:jc w:val="center"/>
                            </w:pPr>
                            <w:r>
                              <w:rPr>
                                <w:rFonts w:ascii="Calibri" w:eastAsia="Calibri" w:hAnsi="Calibri" w:cs="Calibri"/>
                                <w:b/>
                                <w:bCs/>
                                <w:sz w:val="22"/>
                                <w:szCs w:val="22"/>
                              </w:rPr>
                              <w:t>2 976,83</w:t>
                            </w:r>
                          </w:p>
                        </w:tc>
                      </w:tr>
                    </w:tbl>
                    <w:p w:rsidR="0002675D" w:rsidRDefault="0002675D"/>
                  </w:txbxContent>
                </v:textbox>
                <w10:wrap type="topAndBottom" anchorx="margin" anchory="page"/>
              </v:rect>
            </w:pict>
          </mc:Fallback>
        </mc:AlternateContent>
      </w:r>
      <w:r>
        <w:rPr>
          <w:rFonts w:ascii="Times New Roman" w:hAnsi="Times New Roman"/>
          <w:sz w:val="24"/>
          <w:szCs w:val="24"/>
        </w:rPr>
        <w:t>kwota pracowniczych kosztów uzyskania przychodów:</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Dodatkowo projektodawca postuluje, niezależnie od projektu niniejszej ustawy, wypracowanie przez Ministerstwo Finansów trwałego mechanizmu waloryzacji parametrów PIT o zmieniający się wskaźnik cen.</w:t>
      </w:r>
    </w:p>
    <w:p w:rsidR="002C4FAE" w:rsidRDefault="002C4FAE">
      <w:pPr>
        <w:spacing w:before="120" w:after="120" w:line="320" w:lineRule="exact"/>
        <w:jc w:val="both"/>
        <w:rPr>
          <w:rFonts w:ascii="Times New Roman" w:eastAsia="Times New Roman" w:hAnsi="Times New Roman" w:cs="Times New Roman"/>
          <w:sz w:val="24"/>
          <w:szCs w:val="24"/>
        </w:rPr>
      </w:pPr>
    </w:p>
    <w:p w:rsidR="002C4FAE" w:rsidRDefault="003B65D3">
      <w:pPr>
        <w:spacing w:before="120" w:after="120" w:line="320" w:lineRule="exact"/>
        <w:jc w:val="both"/>
        <w:rPr>
          <w:rFonts w:ascii="Times New Roman" w:eastAsia="Times New Roman" w:hAnsi="Times New Roman" w:cs="Times New Roman"/>
          <w:b/>
          <w:bCs/>
          <w:i/>
          <w:iCs/>
          <w:sz w:val="24"/>
          <w:szCs w:val="24"/>
        </w:rPr>
      </w:pPr>
      <w:r>
        <w:rPr>
          <w:rFonts w:ascii="Times New Roman" w:hAnsi="Times New Roman"/>
          <w:b/>
          <w:bCs/>
          <w:i/>
          <w:iCs/>
          <w:sz w:val="24"/>
          <w:szCs w:val="24"/>
        </w:rPr>
        <w:t xml:space="preserve">Korzyści z proponowanej zmiany </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 xml:space="preserve">Projektowana zmiana </w:t>
      </w:r>
      <w:proofErr w:type="spellStart"/>
      <w:r>
        <w:rPr>
          <w:rFonts w:ascii="Times New Roman" w:hAnsi="Times New Roman"/>
          <w:sz w:val="24"/>
          <w:szCs w:val="24"/>
        </w:rPr>
        <w:t>zakł</w:t>
      </w:r>
      <w:proofErr w:type="spellEnd"/>
      <w:r>
        <w:rPr>
          <w:rFonts w:ascii="Times New Roman" w:hAnsi="Times New Roman"/>
          <w:sz w:val="24"/>
          <w:szCs w:val="24"/>
          <w:lang w:val="es-ES_tradnl"/>
        </w:rPr>
        <w:t xml:space="preserve">ada </w:t>
      </w:r>
      <w:r>
        <w:rPr>
          <w:rFonts w:ascii="Times New Roman" w:hAnsi="Times New Roman"/>
          <w:sz w:val="24"/>
          <w:szCs w:val="24"/>
        </w:rPr>
        <w:t xml:space="preserve">waloryzację w stosunku do wskaźnika inflacji kwoty pracowniczych kosztów uzyskania </w:t>
      </w:r>
      <w:proofErr w:type="spellStart"/>
      <w:r>
        <w:rPr>
          <w:rFonts w:ascii="Times New Roman" w:hAnsi="Times New Roman"/>
          <w:sz w:val="24"/>
          <w:szCs w:val="24"/>
        </w:rPr>
        <w:t>przychod</w:t>
      </w:r>
      <w:proofErr w:type="spellEnd"/>
      <w:r>
        <w:rPr>
          <w:rFonts w:ascii="Times New Roman" w:hAnsi="Times New Roman"/>
          <w:sz w:val="24"/>
          <w:szCs w:val="24"/>
          <w:lang w:val="es-ES_tradnl"/>
        </w:rPr>
        <w:t>ó</w:t>
      </w:r>
      <w:r>
        <w:rPr>
          <w:rFonts w:ascii="Times New Roman" w:hAnsi="Times New Roman"/>
          <w:sz w:val="24"/>
          <w:szCs w:val="24"/>
        </w:rPr>
        <w:t xml:space="preserve">w, </w:t>
      </w:r>
      <w:proofErr w:type="spellStart"/>
      <w:r>
        <w:rPr>
          <w:rFonts w:ascii="Times New Roman" w:hAnsi="Times New Roman"/>
          <w:sz w:val="24"/>
          <w:szCs w:val="24"/>
        </w:rPr>
        <w:t>kt</w:t>
      </w:r>
      <w:proofErr w:type="spellEnd"/>
      <w:r>
        <w:rPr>
          <w:rFonts w:ascii="Times New Roman" w:hAnsi="Times New Roman"/>
          <w:sz w:val="24"/>
          <w:szCs w:val="24"/>
          <w:lang w:val="es-ES_tradnl"/>
        </w:rPr>
        <w:t>ó</w:t>
      </w:r>
      <w:proofErr w:type="spellStart"/>
      <w:r>
        <w:rPr>
          <w:rFonts w:ascii="Times New Roman" w:hAnsi="Times New Roman"/>
          <w:sz w:val="24"/>
          <w:szCs w:val="24"/>
        </w:rPr>
        <w:t>ra</w:t>
      </w:r>
      <w:proofErr w:type="spellEnd"/>
      <w:r>
        <w:rPr>
          <w:rFonts w:ascii="Times New Roman" w:hAnsi="Times New Roman"/>
          <w:sz w:val="24"/>
          <w:szCs w:val="24"/>
        </w:rPr>
        <w:t xml:space="preserve"> pozostaje na niezmienionym poziomie od blisko dekady. Pozostawienie kwoty kosztów uzyskania przychodów w warunkach inflacji w praktyce oznacza podwyżkę dla pracowników. Praktycznym efektem projektowanej zmiany będzie więc uniknięcie ukrytej podwyżki PIT. Zmiana ta przyczyni się do zwiększenia dochodu rozporządzalnego polskich rodzin. Projektowana zmiana przede wszystkim stanowiłaby korzyść dla rodzin najuboższych oraz małżeństw z dziećmi.</w:t>
      </w:r>
    </w:p>
    <w:p w:rsidR="002C4FAE" w:rsidRDefault="002C4FAE">
      <w:pPr>
        <w:spacing w:before="120" w:after="120" w:line="320" w:lineRule="exact"/>
        <w:jc w:val="both"/>
        <w:rPr>
          <w:rFonts w:ascii="Times New Roman" w:eastAsia="Times New Roman" w:hAnsi="Times New Roman" w:cs="Times New Roman"/>
          <w:sz w:val="24"/>
          <w:szCs w:val="24"/>
        </w:rPr>
      </w:pPr>
    </w:p>
    <w:p w:rsidR="002C4FAE" w:rsidRDefault="003B65D3">
      <w:pPr>
        <w:spacing w:before="120" w:after="120" w:line="320" w:lineRule="exact"/>
        <w:jc w:val="both"/>
        <w:rPr>
          <w:rFonts w:ascii="Times New Roman" w:eastAsia="Times New Roman" w:hAnsi="Times New Roman" w:cs="Times New Roman"/>
          <w:b/>
          <w:bCs/>
          <w:i/>
          <w:iCs/>
          <w:sz w:val="24"/>
          <w:szCs w:val="24"/>
        </w:rPr>
      </w:pPr>
      <w:r>
        <w:rPr>
          <w:rFonts w:ascii="Times New Roman" w:hAnsi="Times New Roman"/>
          <w:b/>
          <w:bCs/>
          <w:i/>
          <w:iCs/>
          <w:sz w:val="24"/>
          <w:szCs w:val="24"/>
        </w:rPr>
        <w:t>Przewidywane skutki finansowe</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 xml:space="preserve">Szacujemy łączny koszt obciążeń dla budżetu państwa i jednostek samorządu terytorialnego z tytułu projektowanej zmiany w wysokości ok. 520 mln zł rocznie (dokładny rozkład tego obciążenia między </w:t>
      </w:r>
      <w:proofErr w:type="spellStart"/>
      <w:r>
        <w:rPr>
          <w:rFonts w:ascii="Times New Roman" w:hAnsi="Times New Roman"/>
          <w:sz w:val="24"/>
          <w:szCs w:val="24"/>
        </w:rPr>
        <w:t>budż</w:t>
      </w:r>
      <w:proofErr w:type="spellEnd"/>
      <w:r>
        <w:rPr>
          <w:rFonts w:ascii="Times New Roman" w:hAnsi="Times New Roman"/>
          <w:sz w:val="24"/>
          <w:szCs w:val="24"/>
          <w:lang w:val="pt-PT"/>
        </w:rPr>
        <w:t>etem pa</w:t>
      </w:r>
      <w:proofErr w:type="spellStart"/>
      <w:r>
        <w:rPr>
          <w:rFonts w:ascii="Times New Roman" w:hAnsi="Times New Roman"/>
          <w:sz w:val="24"/>
          <w:szCs w:val="24"/>
        </w:rPr>
        <w:t>ństwa</w:t>
      </w:r>
      <w:proofErr w:type="spellEnd"/>
      <w:r>
        <w:rPr>
          <w:rFonts w:ascii="Times New Roman" w:hAnsi="Times New Roman"/>
          <w:sz w:val="24"/>
          <w:szCs w:val="24"/>
        </w:rPr>
        <w:t xml:space="preserve"> a budżetem samorząd</w:t>
      </w:r>
      <w:r>
        <w:rPr>
          <w:rFonts w:ascii="Times New Roman" w:hAnsi="Times New Roman"/>
          <w:sz w:val="24"/>
          <w:szCs w:val="24"/>
          <w:lang w:val="es-ES_tradnl"/>
        </w:rPr>
        <w:t>ó</w:t>
      </w:r>
      <w:r>
        <w:rPr>
          <w:rFonts w:ascii="Times New Roman" w:hAnsi="Times New Roman"/>
          <w:sz w:val="24"/>
          <w:szCs w:val="24"/>
        </w:rPr>
        <w:t>w zależeć będzie od proporcji podziału wpływ</w:t>
      </w:r>
      <w:r>
        <w:rPr>
          <w:rFonts w:ascii="Times New Roman" w:hAnsi="Times New Roman"/>
          <w:sz w:val="24"/>
          <w:szCs w:val="24"/>
          <w:lang w:val="es-ES_tradnl"/>
        </w:rPr>
        <w:t>ó</w:t>
      </w:r>
      <w:r>
        <w:rPr>
          <w:rFonts w:ascii="Times New Roman" w:hAnsi="Times New Roman"/>
          <w:sz w:val="24"/>
          <w:szCs w:val="24"/>
        </w:rPr>
        <w:t>w z podatku dochodowego od os</w:t>
      </w:r>
      <w:r>
        <w:rPr>
          <w:rFonts w:ascii="Times New Roman" w:hAnsi="Times New Roman"/>
          <w:sz w:val="24"/>
          <w:szCs w:val="24"/>
          <w:lang w:val="es-ES_tradnl"/>
        </w:rPr>
        <w:t>ó</w:t>
      </w:r>
      <w:r>
        <w:rPr>
          <w:rFonts w:ascii="Times New Roman" w:hAnsi="Times New Roman"/>
          <w:sz w:val="24"/>
          <w:szCs w:val="24"/>
        </w:rPr>
        <w:t xml:space="preserve">b fizycznych na 2018 r. określonej w obwieszczeniu Ministra </w:t>
      </w:r>
      <w:proofErr w:type="spellStart"/>
      <w:r>
        <w:rPr>
          <w:rFonts w:ascii="Times New Roman" w:hAnsi="Times New Roman"/>
          <w:sz w:val="24"/>
          <w:szCs w:val="24"/>
        </w:rPr>
        <w:t>Finans</w:t>
      </w:r>
      <w:proofErr w:type="spellEnd"/>
      <w:r>
        <w:rPr>
          <w:rFonts w:ascii="Times New Roman" w:hAnsi="Times New Roman"/>
          <w:sz w:val="24"/>
          <w:szCs w:val="24"/>
          <w:lang w:val="es-ES_tradnl"/>
        </w:rPr>
        <w:t>ó</w:t>
      </w:r>
      <w:r>
        <w:rPr>
          <w:rFonts w:ascii="Times New Roman" w:hAnsi="Times New Roman"/>
          <w:sz w:val="24"/>
          <w:szCs w:val="24"/>
        </w:rPr>
        <w:t>w).</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lastRenderedPageBreak/>
        <w:t xml:space="preserve">Koszt ten zostanie sfinansowany z dodatkowych </w:t>
      </w:r>
      <w:proofErr w:type="spellStart"/>
      <w:r>
        <w:rPr>
          <w:rFonts w:ascii="Times New Roman" w:hAnsi="Times New Roman"/>
          <w:sz w:val="24"/>
          <w:szCs w:val="24"/>
        </w:rPr>
        <w:t>środk</w:t>
      </w:r>
      <w:proofErr w:type="spellEnd"/>
      <w:r>
        <w:rPr>
          <w:rFonts w:ascii="Times New Roman" w:hAnsi="Times New Roman"/>
          <w:sz w:val="24"/>
          <w:szCs w:val="24"/>
          <w:lang w:val="es-ES_tradnl"/>
        </w:rPr>
        <w:t>ó</w:t>
      </w:r>
      <w:r>
        <w:rPr>
          <w:rFonts w:ascii="Times New Roman" w:hAnsi="Times New Roman"/>
          <w:sz w:val="24"/>
          <w:szCs w:val="24"/>
        </w:rPr>
        <w:t>w pozyskanych przez rząd w związku z zapowiedzianym uszczelnieniem systemu podatkowego VAT, większymi wpływami podatkowymi w związku z wyższą dynamiką konsumpcji prywatnej z uwagi na wzrost wynagrodzeń pracowników oraz w związku z lepszymi wynikami przedsiębiorstw w związku ze zmniejszeniem klina podatkowego.</w:t>
      </w:r>
    </w:p>
    <w:p w:rsidR="002C4FAE" w:rsidRDefault="002C4FAE">
      <w:pPr>
        <w:spacing w:before="120" w:after="120" w:line="320" w:lineRule="exact"/>
        <w:jc w:val="both"/>
        <w:rPr>
          <w:rFonts w:ascii="Times New Roman" w:eastAsia="Times New Roman" w:hAnsi="Times New Roman" w:cs="Times New Roman"/>
          <w:sz w:val="24"/>
          <w:szCs w:val="24"/>
        </w:rPr>
      </w:pPr>
    </w:p>
    <w:p w:rsidR="002C4FAE" w:rsidRDefault="003B65D3">
      <w:pPr>
        <w:spacing w:before="120" w:after="120" w:line="320" w:lineRule="exact"/>
        <w:jc w:val="both"/>
        <w:rPr>
          <w:rFonts w:ascii="Times New Roman" w:eastAsia="Times New Roman" w:hAnsi="Times New Roman" w:cs="Times New Roman"/>
          <w:b/>
          <w:bCs/>
          <w:i/>
          <w:iCs/>
          <w:sz w:val="24"/>
          <w:szCs w:val="24"/>
        </w:rPr>
      </w:pPr>
      <w:r>
        <w:rPr>
          <w:rFonts w:ascii="Times New Roman" w:hAnsi="Times New Roman"/>
          <w:b/>
          <w:bCs/>
          <w:i/>
          <w:iCs/>
          <w:sz w:val="24"/>
          <w:szCs w:val="24"/>
        </w:rPr>
        <w:t>Wpływ na mikro, małe i średnie przedsiębiorstwa</w:t>
      </w: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sz w:val="24"/>
          <w:szCs w:val="24"/>
        </w:rPr>
        <w:t>Projektowana zmiana będzie miała pozytywny wpływ na sytuację mikro, małych i średnich przedsiębiorstw zatrudniających pracowników, ponieważ zmiana ta prowadzi do zmniejszenia opodatkowania pracy. Mniejsze koszty pracy oznaczają z perspektywy pracownika podwyżkę, natomiast dla firm lepszy dostęp do pracowników.</w:t>
      </w:r>
    </w:p>
    <w:p w:rsidR="002C4FAE" w:rsidRDefault="002C4FAE">
      <w:pPr>
        <w:spacing w:before="120" w:after="120" w:line="320" w:lineRule="exact"/>
        <w:jc w:val="both"/>
        <w:rPr>
          <w:rFonts w:ascii="Times New Roman" w:eastAsia="Times New Roman" w:hAnsi="Times New Roman" w:cs="Times New Roman"/>
          <w:sz w:val="24"/>
          <w:szCs w:val="24"/>
        </w:rPr>
      </w:pPr>
    </w:p>
    <w:p w:rsidR="002C4FAE" w:rsidRDefault="003B65D3">
      <w:pPr>
        <w:spacing w:before="120" w:after="120" w:line="320" w:lineRule="exact"/>
        <w:jc w:val="both"/>
        <w:rPr>
          <w:rFonts w:ascii="Times New Roman" w:eastAsia="Times New Roman" w:hAnsi="Times New Roman" w:cs="Times New Roman"/>
          <w:sz w:val="24"/>
          <w:szCs w:val="24"/>
        </w:rPr>
      </w:pPr>
      <w:r>
        <w:rPr>
          <w:rFonts w:ascii="Times New Roman" w:hAnsi="Times New Roman"/>
          <w:b/>
          <w:bCs/>
          <w:i/>
          <w:iCs/>
          <w:sz w:val="24"/>
          <w:szCs w:val="24"/>
        </w:rPr>
        <w:t>Ocena zgodności projektu z prawem Unii Europejskiej</w:t>
      </w:r>
    </w:p>
    <w:p w:rsidR="002C4FAE" w:rsidRDefault="003B65D3">
      <w:pPr>
        <w:spacing w:before="120" w:after="120" w:line="320" w:lineRule="exact"/>
        <w:jc w:val="both"/>
      </w:pPr>
      <w:r>
        <w:rPr>
          <w:rFonts w:ascii="Times New Roman" w:hAnsi="Times New Roman"/>
          <w:sz w:val="24"/>
          <w:szCs w:val="24"/>
        </w:rPr>
        <w:t xml:space="preserve">Projekt ustawy jest zgodny z prawem Unii Europejskiej. </w:t>
      </w:r>
    </w:p>
    <w:sectPr w:rsidR="002C4FAE">
      <w:headerReference w:type="default" r:id="rId8"/>
      <w:foot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61B" w:rsidRDefault="002B761B">
      <w:pPr>
        <w:spacing w:after="0" w:line="240" w:lineRule="auto"/>
      </w:pPr>
      <w:r>
        <w:separator/>
      </w:r>
    </w:p>
  </w:endnote>
  <w:endnote w:type="continuationSeparator" w:id="0">
    <w:p w:rsidR="002B761B" w:rsidRDefault="002B7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FAE" w:rsidRDefault="002C4FAE">
    <w:pPr>
      <w:pStyle w:val="Nagweki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61B" w:rsidRDefault="002B761B">
      <w:pPr>
        <w:spacing w:after="0" w:line="240" w:lineRule="auto"/>
      </w:pPr>
      <w:r>
        <w:separator/>
      </w:r>
    </w:p>
  </w:footnote>
  <w:footnote w:type="continuationSeparator" w:id="0">
    <w:p w:rsidR="002B761B" w:rsidRDefault="002B76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FAE" w:rsidRDefault="002C4FAE">
    <w:pPr>
      <w:pStyle w:val="Nagwekistop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91BD5"/>
    <w:multiLevelType w:val="hybridMultilevel"/>
    <w:tmpl w:val="FEDE5200"/>
    <w:styleLink w:val="Punktory"/>
    <w:lvl w:ilvl="0" w:tplc="2D92B40E">
      <w:start w:val="1"/>
      <w:numFmt w:val="bullet"/>
      <w:lvlText w:val="-"/>
      <w:lvlJc w:val="left"/>
      <w:pPr>
        <w:ind w:left="457"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1654EBA0">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EE5490B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CA8CF9F6">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E7EAAA6E">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CDF02F6A">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4C7213F6">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345E434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5DA86AFC">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6E131775"/>
    <w:multiLevelType w:val="hybridMultilevel"/>
    <w:tmpl w:val="FEDE5200"/>
    <w:numStyleLink w:val="Punktory"/>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FAE"/>
    <w:rsid w:val="0002675D"/>
    <w:rsid w:val="002B761B"/>
    <w:rsid w:val="002C4FAE"/>
    <w:rsid w:val="003B65D3"/>
    <w:rsid w:val="00712D1D"/>
    <w:rsid w:val="008E03B6"/>
    <w:rsid w:val="009B60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pacing w:after="160" w:line="259" w:lineRule="auto"/>
    </w:pPr>
    <w:rPr>
      <w:rFonts w:ascii="Calibri" w:eastAsia="Calibri" w:hAnsi="Calibri" w:cs="Calibri"/>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styleId="Akapitzlist">
    <w:name w:val="List Paragraph"/>
    <w:pPr>
      <w:spacing w:after="160" w:line="259" w:lineRule="auto"/>
      <w:ind w:left="720"/>
    </w:pPr>
    <w:rPr>
      <w:rFonts w:ascii="Calibri" w:eastAsia="Calibri" w:hAnsi="Calibri" w:cs="Calibri"/>
      <w:color w:val="000000"/>
      <w:sz w:val="22"/>
      <w:szCs w:val="22"/>
      <w:u w:color="000000"/>
    </w:rPr>
  </w:style>
  <w:style w:type="numbering" w:customStyle="1" w:styleId="Punktory">
    <w:name w:val="Punktory"/>
    <w:pPr>
      <w:numPr>
        <w:numId w:val="1"/>
      </w:numPr>
    </w:pPr>
  </w:style>
  <w:style w:type="paragraph" w:customStyle="1" w:styleId="Styltabeli2">
    <w:name w:val="Styl tabeli 2"/>
    <w:rPr>
      <w:rFonts w:ascii="Helvetica" w:eastAsia="Helvetica" w:hAnsi="Helvetica" w:cs="Helvetica"/>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pacing w:after="160" w:line="259" w:lineRule="auto"/>
    </w:pPr>
    <w:rPr>
      <w:rFonts w:ascii="Calibri" w:eastAsia="Calibri" w:hAnsi="Calibri" w:cs="Calibri"/>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styleId="Akapitzlist">
    <w:name w:val="List Paragraph"/>
    <w:pPr>
      <w:spacing w:after="160" w:line="259" w:lineRule="auto"/>
      <w:ind w:left="720"/>
    </w:pPr>
    <w:rPr>
      <w:rFonts w:ascii="Calibri" w:eastAsia="Calibri" w:hAnsi="Calibri" w:cs="Calibri"/>
      <w:color w:val="000000"/>
      <w:sz w:val="22"/>
      <w:szCs w:val="22"/>
      <w:u w:color="000000"/>
    </w:rPr>
  </w:style>
  <w:style w:type="numbering" w:customStyle="1" w:styleId="Punktory">
    <w:name w:val="Punktory"/>
    <w:pPr>
      <w:numPr>
        <w:numId w:val="1"/>
      </w:numPr>
    </w:pPr>
  </w:style>
  <w:style w:type="paragraph" w:customStyle="1" w:styleId="Styltabeli2">
    <w:name w:val="Styl tabeli 2"/>
    <w:rPr>
      <w:rFonts w:ascii="Helvetica" w:eastAsia="Helvetica" w:hAnsi="Helvetica" w:cs="Helvetic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944</Words>
  <Characters>5665</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Prostko</dc:creator>
  <cp:lastModifiedBy>Ewa A. Genert</cp:lastModifiedBy>
  <cp:revision>2</cp:revision>
  <dcterms:created xsi:type="dcterms:W3CDTF">2017-10-12T08:54:00Z</dcterms:created>
  <dcterms:modified xsi:type="dcterms:W3CDTF">2017-10-12T08:54:00Z</dcterms:modified>
</cp:coreProperties>
</file>