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33E" w:rsidRPr="00DE2ECE" w:rsidRDefault="0044533E" w:rsidP="007776B3">
      <w:pPr>
        <w:spacing w:after="0" w:line="360" w:lineRule="auto"/>
        <w:jc w:val="center"/>
        <w:rPr>
          <w:rFonts w:ascii="Times New Roman" w:eastAsia="Times New Roman" w:hAnsi="Times New Roman" w:cs="Times New Roman"/>
          <w:sz w:val="24"/>
          <w:szCs w:val="24"/>
          <w:lang w:eastAsia="pl-PL"/>
        </w:rPr>
      </w:pPr>
      <w:bookmarkStart w:id="0" w:name="_GoBack"/>
      <w:bookmarkEnd w:id="0"/>
      <w:r w:rsidRPr="00DE2ECE">
        <w:rPr>
          <w:rFonts w:ascii="Times New Roman" w:eastAsia="Times New Roman" w:hAnsi="Times New Roman" w:cs="Times New Roman"/>
          <w:sz w:val="24"/>
          <w:szCs w:val="24"/>
          <w:lang w:eastAsia="pl-PL"/>
        </w:rPr>
        <w:t>UZASADNIENIE</w:t>
      </w:r>
    </w:p>
    <w:p w:rsidR="0044533E" w:rsidRPr="00DE2ECE" w:rsidRDefault="0044533E" w:rsidP="007776B3">
      <w:pPr>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Projekt nowelizacji ustawy z dnia 25 sierpnia 2006 r. </w:t>
      </w:r>
      <w:r w:rsidRPr="00DE2ECE">
        <w:rPr>
          <w:rFonts w:ascii="Times New Roman" w:eastAsia="Times New Roman" w:hAnsi="Times New Roman" w:cs="Times New Roman"/>
          <w:i/>
          <w:sz w:val="24"/>
          <w:szCs w:val="24"/>
          <w:lang w:eastAsia="pl-PL"/>
        </w:rPr>
        <w:t>o biokomponentach</w:t>
      </w:r>
      <w:r w:rsidR="007761CC">
        <w:rPr>
          <w:rFonts w:ascii="Times New Roman" w:eastAsia="Times New Roman" w:hAnsi="Times New Roman" w:cs="Times New Roman"/>
          <w:i/>
          <w:sz w:val="24"/>
          <w:szCs w:val="24"/>
          <w:lang w:eastAsia="pl-PL"/>
        </w:rPr>
        <w:t xml:space="preserve"> </w:t>
      </w:r>
      <w:r w:rsidRPr="00DE2ECE">
        <w:rPr>
          <w:rFonts w:ascii="Times New Roman" w:eastAsia="Times New Roman" w:hAnsi="Times New Roman" w:cs="Times New Roman"/>
          <w:i/>
          <w:sz w:val="24"/>
          <w:szCs w:val="24"/>
          <w:lang w:eastAsia="pl-PL"/>
        </w:rPr>
        <w:t xml:space="preserve">i biopaliwach ciekłych </w:t>
      </w:r>
      <w:r w:rsidRPr="00DE2ECE">
        <w:rPr>
          <w:rFonts w:ascii="Times New Roman" w:eastAsia="Times New Roman" w:hAnsi="Times New Roman" w:cs="Times New Roman"/>
          <w:sz w:val="24"/>
          <w:szCs w:val="24"/>
          <w:lang w:eastAsia="pl-PL"/>
        </w:rPr>
        <w:t>(Dz. U. z 2017 r. poz. 285, z późn.</w:t>
      </w:r>
      <w:r w:rsidR="006B564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zm.) (dalej</w:t>
      </w:r>
      <w:r w:rsidR="006B564E">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i/>
          <w:sz w:val="24"/>
          <w:szCs w:val="24"/>
          <w:lang w:eastAsia="pl-PL"/>
        </w:rPr>
        <w:t>ustawa</w:t>
      </w:r>
      <w:r w:rsidRPr="00DE2ECE">
        <w:rPr>
          <w:rFonts w:ascii="Times New Roman" w:eastAsia="Times New Roman" w:hAnsi="Times New Roman" w:cs="Times New Roman"/>
          <w:sz w:val="24"/>
          <w:szCs w:val="24"/>
          <w:lang w:eastAsia="pl-PL"/>
        </w:rPr>
        <w:t>”) został przygotowany, w szczególności w związku z</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koniecznością wdrożenia do polskiego porządku prawnego przepisów dyrektywy 2015/1513/WE Pa</w:t>
      </w:r>
      <w:r w:rsidR="004E2365">
        <w:rPr>
          <w:rFonts w:ascii="Times New Roman" w:eastAsia="Times New Roman" w:hAnsi="Times New Roman" w:cs="Times New Roman"/>
          <w:sz w:val="24"/>
          <w:szCs w:val="24"/>
          <w:lang w:eastAsia="pl-PL"/>
        </w:rPr>
        <w:t>rlamentu Europejskiego i Rady z </w:t>
      </w:r>
      <w:r w:rsidRPr="00DE2ECE">
        <w:rPr>
          <w:rFonts w:ascii="Times New Roman" w:eastAsia="Times New Roman" w:hAnsi="Times New Roman" w:cs="Times New Roman"/>
          <w:sz w:val="24"/>
          <w:szCs w:val="24"/>
          <w:lang w:eastAsia="pl-PL"/>
        </w:rPr>
        <w:t xml:space="preserve">dnia 9 września 2015 r. </w:t>
      </w:r>
      <w:r w:rsidRPr="00DE2ECE">
        <w:rPr>
          <w:rFonts w:ascii="Times New Roman" w:eastAsia="Times New Roman" w:hAnsi="Times New Roman" w:cs="Times New Roman"/>
          <w:i/>
          <w:sz w:val="24"/>
          <w:szCs w:val="24"/>
          <w:lang w:eastAsia="pl-PL"/>
        </w:rPr>
        <w:t>zmieniającej dyrektywę 98/70/WE odnoszącą się do jakości benzyny i olejów napędowych oraz zmieniającej dyrektywę 2009/28/WE w</w:t>
      </w:r>
      <w:r w:rsidR="007761CC">
        <w:rPr>
          <w:rFonts w:ascii="Times New Roman" w:eastAsia="Times New Roman" w:hAnsi="Times New Roman" w:cs="Times New Roman"/>
          <w:i/>
          <w:sz w:val="24"/>
          <w:szCs w:val="24"/>
          <w:lang w:eastAsia="pl-PL"/>
        </w:rPr>
        <w:t xml:space="preserve"> </w:t>
      </w:r>
      <w:r w:rsidRPr="00DE2ECE">
        <w:rPr>
          <w:rFonts w:ascii="Times New Roman" w:eastAsia="Times New Roman" w:hAnsi="Times New Roman" w:cs="Times New Roman"/>
          <w:i/>
          <w:sz w:val="24"/>
          <w:szCs w:val="24"/>
          <w:lang w:eastAsia="pl-PL"/>
        </w:rPr>
        <w:t>sprawie promowania stosowania energii ze źródeł odnawialnych</w:t>
      </w:r>
      <w:r w:rsidRPr="00DE2ECE">
        <w:rPr>
          <w:rFonts w:ascii="Times New Roman" w:eastAsia="Times New Roman" w:hAnsi="Times New Roman" w:cs="Times New Roman"/>
          <w:sz w:val="24"/>
          <w:szCs w:val="24"/>
          <w:lang w:eastAsia="pl-PL"/>
        </w:rPr>
        <w:t xml:space="preserve"> (Dz. Urz. UE L 239 z</w:t>
      </w:r>
      <w:r w:rsidR="004E2365">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15.09.2015, str. 1) (dalej: „</w:t>
      </w:r>
      <w:r w:rsidRPr="00DE2ECE">
        <w:rPr>
          <w:rFonts w:ascii="Times New Roman" w:eastAsia="Times New Roman" w:hAnsi="Times New Roman" w:cs="Times New Roman"/>
          <w:i/>
          <w:sz w:val="24"/>
          <w:szCs w:val="24"/>
          <w:lang w:eastAsia="pl-PL"/>
        </w:rPr>
        <w:t>dyrektywa 2015/1513</w:t>
      </w:r>
      <w:r w:rsidRPr="00DE2ECE">
        <w:rPr>
          <w:rFonts w:ascii="Times New Roman" w:eastAsia="Times New Roman" w:hAnsi="Times New Roman" w:cs="Times New Roman"/>
          <w:sz w:val="24"/>
          <w:szCs w:val="24"/>
          <w:lang w:eastAsia="pl-PL"/>
        </w:rPr>
        <w:t xml:space="preserve">”). Ustawa </w:t>
      </w:r>
      <w:r w:rsidR="004E2365">
        <w:rPr>
          <w:rFonts w:ascii="Times New Roman" w:eastAsia="Times New Roman" w:hAnsi="Times New Roman" w:cs="Times New Roman"/>
          <w:i/>
          <w:sz w:val="24"/>
          <w:szCs w:val="24"/>
          <w:lang w:eastAsia="pl-PL"/>
        </w:rPr>
        <w:t>o zmianie ustawy o </w:t>
      </w:r>
      <w:r w:rsidRPr="00DE2ECE">
        <w:rPr>
          <w:rFonts w:ascii="Times New Roman" w:eastAsia="Times New Roman" w:hAnsi="Times New Roman" w:cs="Times New Roman"/>
          <w:i/>
          <w:sz w:val="24"/>
          <w:szCs w:val="24"/>
          <w:lang w:eastAsia="pl-PL"/>
        </w:rPr>
        <w:t>biokomponentach i biopaliwach ciekłych oraz niektórych innych ustaw</w:t>
      </w:r>
      <w:r w:rsidRPr="00DE2ECE">
        <w:rPr>
          <w:rFonts w:ascii="Times New Roman" w:eastAsia="Times New Roman" w:hAnsi="Times New Roman" w:cs="Times New Roman"/>
          <w:sz w:val="24"/>
          <w:szCs w:val="24"/>
          <w:lang w:eastAsia="pl-PL"/>
        </w:rPr>
        <w:t xml:space="preserve"> dokonuje zmian w ustawach: </w:t>
      </w:r>
    </w:p>
    <w:p w:rsidR="0044533E" w:rsidRPr="00DE2ECE" w:rsidRDefault="0044533E" w:rsidP="007776B3">
      <w:pPr>
        <w:numPr>
          <w:ilvl w:val="0"/>
          <w:numId w:val="18"/>
        </w:numPr>
        <w:tabs>
          <w:tab w:val="clear" w:pos="720"/>
          <w:tab w:val="num" w:pos="322"/>
        </w:tabs>
        <w:autoSpaceDE w:val="0"/>
        <w:autoSpaceDN w:val="0"/>
        <w:adjustRightInd w:val="0"/>
        <w:spacing w:after="0" w:line="360" w:lineRule="auto"/>
        <w:ind w:left="322" w:hanging="322"/>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z dnia 27 kwietnia 2001 r. </w:t>
      </w:r>
      <w:r w:rsidR="007761CC">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i/>
          <w:sz w:val="24"/>
          <w:szCs w:val="24"/>
          <w:lang w:eastAsia="pl-PL"/>
        </w:rPr>
        <w:t xml:space="preserve"> Prawo ochrony środowiska</w:t>
      </w:r>
      <w:r w:rsidRPr="00DE2ECE">
        <w:rPr>
          <w:rFonts w:ascii="Times New Roman" w:eastAsia="Times New Roman" w:hAnsi="Times New Roman" w:cs="Times New Roman"/>
          <w:sz w:val="24"/>
          <w:szCs w:val="24"/>
          <w:lang w:eastAsia="pl-PL"/>
        </w:rPr>
        <w:t xml:space="preserve"> (Dz. U. z 2017 r. poz. 519, 785, 898, 1089, 1529, 1566 i 1888),</w:t>
      </w:r>
    </w:p>
    <w:p w:rsidR="0044533E" w:rsidRPr="00DE2ECE" w:rsidRDefault="0044533E" w:rsidP="007776B3">
      <w:pPr>
        <w:numPr>
          <w:ilvl w:val="0"/>
          <w:numId w:val="18"/>
        </w:numPr>
        <w:tabs>
          <w:tab w:val="clear" w:pos="720"/>
          <w:tab w:val="num" w:pos="322"/>
        </w:tabs>
        <w:autoSpaceDE w:val="0"/>
        <w:autoSpaceDN w:val="0"/>
        <w:adjustRightInd w:val="0"/>
        <w:spacing w:after="0" w:line="360" w:lineRule="auto"/>
        <w:ind w:left="322" w:hanging="322"/>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z dnia 2 lipca 2004 r. </w:t>
      </w:r>
      <w:r w:rsidRPr="00DE2ECE">
        <w:rPr>
          <w:rFonts w:ascii="Times New Roman" w:eastAsia="Times New Roman" w:hAnsi="Times New Roman" w:cs="Times New Roman"/>
          <w:i/>
          <w:sz w:val="24"/>
          <w:szCs w:val="24"/>
          <w:lang w:eastAsia="pl-PL"/>
        </w:rPr>
        <w:t>o swobodzie działalności gospodarczej</w:t>
      </w:r>
      <w:r w:rsidRPr="00DE2ECE">
        <w:rPr>
          <w:rFonts w:ascii="Times New Roman" w:eastAsia="Times New Roman" w:hAnsi="Times New Roman" w:cs="Times New Roman"/>
          <w:sz w:val="24"/>
          <w:szCs w:val="24"/>
          <w:lang w:eastAsia="pl-PL"/>
        </w:rPr>
        <w:t xml:space="preserve"> (Dz. U. </w:t>
      </w:r>
      <w:r w:rsidR="004E2365">
        <w:rPr>
          <w:rFonts w:ascii="Times New Roman" w:eastAsia="Times New Roman" w:hAnsi="Times New Roman" w:cs="Times New Roman"/>
          <w:sz w:val="24"/>
          <w:szCs w:val="24"/>
          <w:lang w:eastAsia="pl-PL"/>
        </w:rPr>
        <w:t>z 2016 r. poz. </w:t>
      </w:r>
      <w:r w:rsidRPr="00DE2ECE">
        <w:rPr>
          <w:rFonts w:ascii="Times New Roman" w:eastAsia="Times New Roman" w:hAnsi="Times New Roman" w:cs="Times New Roman"/>
          <w:sz w:val="24"/>
          <w:szCs w:val="24"/>
          <w:lang w:eastAsia="pl-PL"/>
        </w:rPr>
        <w:t>1829, 1948, 1997 i 2255 oraz z 2017 r. poz. 460 i 819),</w:t>
      </w:r>
    </w:p>
    <w:p w:rsidR="0044533E" w:rsidRPr="00DE2ECE" w:rsidRDefault="0044533E" w:rsidP="007776B3">
      <w:pPr>
        <w:numPr>
          <w:ilvl w:val="0"/>
          <w:numId w:val="18"/>
        </w:numPr>
        <w:tabs>
          <w:tab w:val="clear" w:pos="720"/>
          <w:tab w:val="num" w:pos="322"/>
        </w:tabs>
        <w:autoSpaceDE w:val="0"/>
        <w:autoSpaceDN w:val="0"/>
        <w:adjustRightInd w:val="0"/>
        <w:spacing w:after="0" w:line="360" w:lineRule="auto"/>
        <w:ind w:left="322" w:hanging="322"/>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z dnia 25 sierpnia 2006 r. </w:t>
      </w:r>
      <w:r w:rsidRPr="00DE2ECE">
        <w:rPr>
          <w:rFonts w:ascii="Times New Roman" w:eastAsia="Times New Roman" w:hAnsi="Times New Roman" w:cs="Times New Roman"/>
          <w:i/>
          <w:sz w:val="24"/>
          <w:szCs w:val="24"/>
          <w:lang w:eastAsia="pl-PL"/>
        </w:rPr>
        <w:t>o systemie monitorowania i kontrolowania jakości paliw</w:t>
      </w:r>
      <w:r w:rsidRPr="00DE2ECE">
        <w:rPr>
          <w:rFonts w:ascii="Times New Roman" w:eastAsia="Times New Roman" w:hAnsi="Times New Roman" w:cs="Times New Roman"/>
          <w:sz w:val="24"/>
          <w:szCs w:val="24"/>
          <w:lang w:eastAsia="pl-PL"/>
        </w:rPr>
        <w:t xml:space="preserve"> (Dz.</w:t>
      </w:r>
      <w:r w:rsidR="00C109F9"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U. z 2016 r. poz. 1928, z późn. zm.) (dalej: „</w:t>
      </w:r>
      <w:r w:rsidRPr="00DE2ECE">
        <w:rPr>
          <w:rFonts w:ascii="Times New Roman" w:eastAsia="Times New Roman" w:hAnsi="Times New Roman" w:cs="Times New Roman"/>
          <w:i/>
          <w:sz w:val="24"/>
          <w:szCs w:val="24"/>
          <w:lang w:eastAsia="pl-PL"/>
        </w:rPr>
        <w:t>ustawa o systemie monitorowania</w:t>
      </w:r>
      <w:r w:rsidRPr="00DE2ECE">
        <w:rPr>
          <w:rFonts w:ascii="Times New Roman" w:eastAsia="Times New Roman" w:hAnsi="Times New Roman" w:cs="Times New Roman"/>
          <w:sz w:val="24"/>
          <w:szCs w:val="24"/>
          <w:lang w:eastAsia="pl-PL"/>
        </w:rPr>
        <w:t>”), co wynika m.in. z zakresu dyrektywy 2015/1513,</w:t>
      </w:r>
    </w:p>
    <w:p w:rsidR="0044533E" w:rsidRPr="00DE2ECE" w:rsidRDefault="0044533E" w:rsidP="007776B3">
      <w:pPr>
        <w:numPr>
          <w:ilvl w:val="0"/>
          <w:numId w:val="18"/>
        </w:numPr>
        <w:tabs>
          <w:tab w:val="clear" w:pos="720"/>
          <w:tab w:val="num" w:pos="322"/>
        </w:tabs>
        <w:autoSpaceDE w:val="0"/>
        <w:autoSpaceDN w:val="0"/>
        <w:adjustRightInd w:val="0"/>
        <w:spacing w:after="0" w:line="360" w:lineRule="auto"/>
        <w:ind w:left="322" w:hanging="322"/>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z dnia 11 lipca 2014 r. o zmianie ustawy o systemie monitorowania i kontrolowania jakości paliw oraz niektórych innych ustaw (Dz. U. 2014 r. poz. 1088).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Obowiązująca ustawa </w:t>
      </w:r>
      <w:r w:rsidRPr="00DE2ECE">
        <w:rPr>
          <w:rFonts w:ascii="Times New Roman" w:eastAsia="Times New Roman" w:hAnsi="Times New Roman" w:cs="Times New Roman"/>
          <w:i/>
          <w:sz w:val="24"/>
          <w:szCs w:val="24"/>
          <w:lang w:eastAsia="pl-PL"/>
        </w:rPr>
        <w:t>o biokomponentach i biopaliwach ciekłych</w:t>
      </w:r>
      <w:r w:rsidRPr="00DE2ECE">
        <w:rPr>
          <w:rFonts w:ascii="Times New Roman" w:eastAsia="Times New Roman" w:hAnsi="Times New Roman" w:cs="Times New Roman"/>
          <w:sz w:val="24"/>
          <w:szCs w:val="24"/>
          <w:lang w:eastAsia="pl-PL"/>
        </w:rPr>
        <w:t xml:space="preserve"> reguluje sposób funkcjonowania rynku biokomponentów i biopaliw </w:t>
      </w:r>
      <w:r w:rsidR="004E2365">
        <w:rPr>
          <w:rFonts w:ascii="Times New Roman" w:eastAsia="Times New Roman" w:hAnsi="Times New Roman" w:cs="Times New Roman"/>
          <w:sz w:val="24"/>
          <w:szCs w:val="24"/>
          <w:lang w:eastAsia="pl-PL"/>
        </w:rPr>
        <w:t>ciekłych w Polsce. Przepisy ww. </w:t>
      </w:r>
      <w:r w:rsidRPr="00DE2ECE">
        <w:rPr>
          <w:rFonts w:ascii="Times New Roman" w:eastAsia="Times New Roman" w:hAnsi="Times New Roman" w:cs="Times New Roman"/>
          <w:sz w:val="24"/>
          <w:szCs w:val="24"/>
          <w:lang w:eastAsia="pl-PL"/>
        </w:rPr>
        <w:t xml:space="preserve">ustawy implementują do krajowego systemu prawnego przepisy dyrektywy 2009/28/WE Parlamentu Europejskiego i Rady z dnia 23 kwietnia 2009 r. </w:t>
      </w:r>
      <w:r w:rsidRPr="00DE2ECE">
        <w:rPr>
          <w:rFonts w:ascii="Times New Roman" w:eastAsia="Times New Roman" w:hAnsi="Times New Roman" w:cs="Times New Roman"/>
          <w:i/>
          <w:sz w:val="24"/>
          <w:szCs w:val="24"/>
          <w:lang w:eastAsia="pl-PL"/>
        </w:rPr>
        <w:t>w sprawie promowania stosowania energii ze źródeł odnawialnych zmieniającej i w następstwie uchylającej dyrektywy 2001/77/WE oraz 2003/30/WE</w:t>
      </w:r>
      <w:r w:rsidRPr="00DE2ECE">
        <w:rPr>
          <w:rFonts w:ascii="Times New Roman" w:eastAsia="Times New Roman" w:hAnsi="Times New Roman" w:cs="Times New Roman"/>
          <w:sz w:val="24"/>
          <w:szCs w:val="24"/>
          <w:lang w:eastAsia="pl-PL"/>
        </w:rPr>
        <w:t xml:space="preserve"> (Dz. Urz. UE L 140 z </w:t>
      </w:r>
      <w:r w:rsidR="006B564E">
        <w:rPr>
          <w:rFonts w:ascii="Times New Roman" w:eastAsia="Times New Roman" w:hAnsi="Times New Roman" w:cs="Times New Roman"/>
          <w:sz w:val="24"/>
          <w:szCs w:val="24"/>
          <w:lang w:eastAsia="pl-PL"/>
        </w:rPr>
        <w:t>0</w:t>
      </w:r>
      <w:r w:rsidRPr="00DE2ECE">
        <w:rPr>
          <w:rFonts w:ascii="Times New Roman" w:eastAsia="Times New Roman" w:hAnsi="Times New Roman" w:cs="Times New Roman"/>
          <w:sz w:val="24"/>
          <w:szCs w:val="24"/>
          <w:lang w:eastAsia="pl-PL"/>
        </w:rPr>
        <w:t>5.06.2009, str. 16, z późn. zm.) (dalej: „</w:t>
      </w:r>
      <w:r w:rsidRPr="00DE2ECE">
        <w:rPr>
          <w:rFonts w:ascii="Times New Roman" w:eastAsia="Times New Roman" w:hAnsi="Times New Roman" w:cs="Times New Roman"/>
          <w:i/>
          <w:sz w:val="24"/>
          <w:szCs w:val="24"/>
          <w:lang w:eastAsia="pl-PL"/>
        </w:rPr>
        <w:t>dyrektywa 2009/28/WE</w:t>
      </w:r>
      <w:r w:rsidRPr="00DE2ECE">
        <w:rPr>
          <w:rFonts w:ascii="Times New Roman" w:eastAsia="Times New Roman" w:hAnsi="Times New Roman" w:cs="Times New Roman"/>
          <w:sz w:val="24"/>
          <w:szCs w:val="24"/>
          <w:lang w:eastAsia="pl-PL"/>
        </w:rPr>
        <w:t>”) w zakresie odnoszącym się do biokomponentów. Dotyczą one przede wszystkim realizacji, na poziomie Unii Europejskiej, celu w zakresie udziału energii odnawi</w:t>
      </w:r>
      <w:r w:rsidR="004E2365">
        <w:rPr>
          <w:rFonts w:ascii="Times New Roman" w:eastAsia="Times New Roman" w:hAnsi="Times New Roman" w:cs="Times New Roman"/>
          <w:sz w:val="24"/>
          <w:szCs w:val="24"/>
          <w:lang w:eastAsia="pl-PL"/>
        </w:rPr>
        <w:t>alnej w transporcie w 2020 r. w </w:t>
      </w:r>
      <w:r w:rsidRPr="00DE2ECE">
        <w:rPr>
          <w:rFonts w:ascii="Times New Roman" w:eastAsia="Times New Roman" w:hAnsi="Times New Roman" w:cs="Times New Roman"/>
          <w:sz w:val="24"/>
          <w:szCs w:val="24"/>
          <w:lang w:eastAsia="pl-PL"/>
        </w:rPr>
        <w:t xml:space="preserve">wysokości 10%, jak również spełnienia kryteriów zrównoważonego rozwoju przez biokomponenty wykorzystane do realizacji ww. celu. Zaliczanie na poczet realizacji celów określonych w dyrektywie 2009/28/WE oraz możliwość ich zakwalifikowania do </w:t>
      </w:r>
      <w:r w:rsidRPr="00DE2ECE">
        <w:rPr>
          <w:rFonts w:ascii="Times New Roman" w:eastAsia="Times New Roman" w:hAnsi="Times New Roman" w:cs="Times New Roman"/>
          <w:sz w:val="24"/>
          <w:szCs w:val="24"/>
          <w:lang w:eastAsia="pl-PL"/>
        </w:rPr>
        <w:lastRenderedPageBreak/>
        <w:t>objęcia systemami wsparcia publicznego jest ściśle uzależnione od spełnienia przez biokomponenty kryteriów zrównoważonego rozwoju. Kryteria te obe</w:t>
      </w:r>
      <w:r w:rsidR="004E2365">
        <w:rPr>
          <w:rFonts w:ascii="Times New Roman" w:eastAsia="Times New Roman" w:hAnsi="Times New Roman" w:cs="Times New Roman"/>
          <w:sz w:val="24"/>
          <w:szCs w:val="24"/>
          <w:lang w:eastAsia="pl-PL"/>
        </w:rPr>
        <w:t>jmują m.in. </w:t>
      </w:r>
      <w:r w:rsidRPr="00DE2ECE">
        <w:rPr>
          <w:rFonts w:ascii="Times New Roman" w:eastAsia="Times New Roman" w:hAnsi="Times New Roman" w:cs="Times New Roman"/>
          <w:sz w:val="24"/>
          <w:szCs w:val="24"/>
          <w:lang w:eastAsia="pl-PL"/>
        </w:rPr>
        <w:t xml:space="preserve">wymagane minimalne ograniczenie emisji gazów cieplarnianych uzyskane dzięki zastosowaniu biokomponentów w stosunku do emisji, których źródłem byłyby paliwa kopalne, jak również wskazanie terenów, z których nie należy pozyskiwać surowców służących do wytwarzania biokomponentów.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Przepisy dyrektywy 2015/1513 wprowadzają zmiany w dyrektywie 98/70/WE Parlamentu Europejskiego i Rady z dnia 13 października 1998 r. </w:t>
      </w:r>
      <w:r w:rsidRPr="00DE2ECE">
        <w:rPr>
          <w:rFonts w:ascii="Times New Roman" w:eastAsia="Times New Roman" w:hAnsi="Times New Roman" w:cs="Times New Roman"/>
          <w:i/>
          <w:sz w:val="24"/>
          <w:szCs w:val="24"/>
          <w:lang w:eastAsia="pl-PL"/>
        </w:rPr>
        <w:t xml:space="preserve">odnoszącej się do jakości benzyny i olejów napędowych oraz zmieniającej dyrektywę Rady 93/12/EWG </w:t>
      </w:r>
      <w:r w:rsidRPr="00DE2ECE">
        <w:rPr>
          <w:rFonts w:ascii="Times New Roman" w:eastAsia="Times New Roman" w:hAnsi="Times New Roman" w:cs="Times New Roman"/>
          <w:sz w:val="24"/>
          <w:szCs w:val="24"/>
          <w:lang w:eastAsia="pl-PL"/>
        </w:rPr>
        <w:t>(Dz. U</w:t>
      </w:r>
      <w:r w:rsidR="00C92C8A">
        <w:rPr>
          <w:rFonts w:ascii="Times New Roman" w:eastAsia="Times New Roman" w:hAnsi="Times New Roman" w:cs="Times New Roman"/>
          <w:sz w:val="24"/>
          <w:szCs w:val="24"/>
          <w:lang w:eastAsia="pl-PL"/>
        </w:rPr>
        <w:t>rz</w:t>
      </w:r>
      <w:r w:rsidRPr="00DE2ECE">
        <w:rPr>
          <w:rFonts w:ascii="Times New Roman" w:eastAsia="Times New Roman" w:hAnsi="Times New Roman" w:cs="Times New Roman"/>
          <w:sz w:val="24"/>
          <w:szCs w:val="24"/>
          <w:lang w:eastAsia="pl-PL"/>
        </w:rPr>
        <w:t>. L 350 z 28.12.1998, s</w:t>
      </w:r>
      <w:r w:rsidR="00C92C8A">
        <w:rPr>
          <w:rFonts w:ascii="Times New Roman" w:eastAsia="Times New Roman" w:hAnsi="Times New Roman" w:cs="Times New Roman"/>
          <w:sz w:val="24"/>
          <w:szCs w:val="24"/>
          <w:lang w:eastAsia="pl-PL"/>
        </w:rPr>
        <w:t>tr</w:t>
      </w:r>
      <w:r w:rsidRPr="00DE2ECE">
        <w:rPr>
          <w:rFonts w:ascii="Times New Roman" w:eastAsia="Times New Roman" w:hAnsi="Times New Roman" w:cs="Times New Roman"/>
          <w:sz w:val="24"/>
          <w:szCs w:val="24"/>
          <w:lang w:eastAsia="pl-PL"/>
        </w:rPr>
        <w:t>. 58) (dalej: „dyre</w:t>
      </w:r>
      <w:r w:rsidR="004E2365">
        <w:rPr>
          <w:rFonts w:ascii="Times New Roman" w:eastAsia="Times New Roman" w:hAnsi="Times New Roman" w:cs="Times New Roman"/>
          <w:sz w:val="24"/>
          <w:szCs w:val="24"/>
          <w:lang w:eastAsia="pl-PL"/>
        </w:rPr>
        <w:t>ktywa 98/70/WE”), jak również w </w:t>
      </w:r>
      <w:r w:rsidRPr="00DE2ECE">
        <w:rPr>
          <w:rFonts w:ascii="Times New Roman" w:eastAsia="Times New Roman" w:hAnsi="Times New Roman" w:cs="Times New Roman"/>
          <w:sz w:val="24"/>
          <w:szCs w:val="24"/>
          <w:lang w:eastAsia="pl-PL"/>
        </w:rPr>
        <w:t xml:space="preserve">dyrektywie 2009/28/WE w zakresie dotyczącym m.in. stosowania biokomponentów w paliwach ciekłych i biopaliwach ciekłych. Najważniejsze zmiany, jakie wprowadza dyrektywa 2015/1513 związane są z (1) ograniczeniem stosowania biokomponentów produkowanych z roślin zbożowych i innych roślin wysokoskrobiowych, roślin cukrowych i oleistych oraz roślin uprawianych przede wszystkim do celów energetycznych na użytkach rolnych jako uprawy główne, oraz ze (2) wzrostem wykorzystania tzw. biopaliw zaawansowanych (z ang. </w:t>
      </w:r>
      <w:r w:rsidRPr="00DE2ECE">
        <w:rPr>
          <w:rFonts w:ascii="Times New Roman" w:eastAsia="Times New Roman" w:hAnsi="Times New Roman" w:cs="Times New Roman"/>
          <w:i/>
          <w:sz w:val="24"/>
          <w:szCs w:val="24"/>
          <w:lang w:eastAsia="pl-PL"/>
        </w:rPr>
        <w:t>advansed biofuels</w:t>
      </w:r>
      <w:r w:rsidRPr="00DE2ECE">
        <w:rPr>
          <w:rFonts w:ascii="Times New Roman" w:eastAsia="Times New Roman" w:hAnsi="Times New Roman" w:cs="Times New Roman"/>
          <w:sz w:val="24"/>
          <w:szCs w:val="24"/>
          <w:lang w:eastAsia="pl-PL"/>
        </w:rPr>
        <w:t xml:space="preserve">). Istotnym elementem dyrektywy 2015/1513 jest także kwestia </w:t>
      </w:r>
      <w:r w:rsidR="00DB57BB">
        <w:rPr>
          <w:rFonts w:ascii="Times New Roman" w:eastAsia="Times New Roman" w:hAnsi="Times New Roman" w:cs="Times New Roman"/>
          <w:sz w:val="24"/>
          <w:szCs w:val="24"/>
          <w:lang w:eastAsia="pl-PL"/>
        </w:rPr>
        <w:t>kalkulacji emisji wynikającej z </w:t>
      </w:r>
      <w:r w:rsidRPr="00DE2ECE">
        <w:rPr>
          <w:rFonts w:ascii="Times New Roman" w:eastAsia="Times New Roman" w:hAnsi="Times New Roman" w:cs="Times New Roman"/>
          <w:sz w:val="24"/>
          <w:szCs w:val="24"/>
          <w:lang w:eastAsia="pl-PL"/>
        </w:rPr>
        <w:t xml:space="preserve">pośredniej zmiany użytkowania gruntów, tzw. ILUC (z ang. </w:t>
      </w:r>
      <w:r w:rsidRPr="00DE2ECE">
        <w:rPr>
          <w:rFonts w:ascii="Times New Roman" w:eastAsia="Times New Roman" w:hAnsi="Times New Roman" w:cs="Times New Roman"/>
          <w:i/>
          <w:sz w:val="24"/>
          <w:szCs w:val="24"/>
          <w:lang w:eastAsia="pl-PL"/>
        </w:rPr>
        <w:t>Indirect Land Use Change</w:t>
      </w:r>
      <w:r w:rsidRPr="00DE2ECE">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preambule dyrektywy 2015/1513 wskazano, że w ramach przygotowania procesu przestawiania się na biopaliwa zaawansowane oraz minimalizowania całkowitych skutków pośredniej zmiany użytkowania gruntów, właściwe jest ograniczenie ilości biokomponentów produkowanych z roślin zbożowych i innych roślin wysokoskrobiowych, roślin cukrowych i oleistych oraz roślin uprawianych przede wszystkim do celów energetycznych na użytkach rolnych jako uprawy główne, które to biokomponenty mogą być zaliczane na poczet</w:t>
      </w:r>
      <w:r w:rsidR="00DB57BB">
        <w:rPr>
          <w:rFonts w:ascii="Times New Roman" w:eastAsia="Times New Roman" w:hAnsi="Times New Roman" w:cs="Times New Roman"/>
          <w:sz w:val="24"/>
          <w:szCs w:val="24"/>
          <w:lang w:eastAsia="pl-PL"/>
        </w:rPr>
        <w:t xml:space="preserve"> realizacji celów określonych w </w:t>
      </w:r>
      <w:r w:rsidRPr="00DE2ECE">
        <w:rPr>
          <w:rFonts w:ascii="Times New Roman" w:eastAsia="Times New Roman" w:hAnsi="Times New Roman" w:cs="Times New Roman"/>
          <w:sz w:val="24"/>
          <w:szCs w:val="24"/>
          <w:lang w:eastAsia="pl-PL"/>
        </w:rPr>
        <w:t xml:space="preserve">dyrektywie 2009/28/WE, bez ograniczania całkowitego zużycia tych biokomponentów. Zgodnie z art. 193 Traktatu o funkcjonowaniu Unii Europejskiej (TFUE) ustalenie limitu na poziomie Unii pozostaje bez uszczerbku dla możliwości ustanowienia przez państwa członkowskie niższych limitów w odniesieniu do ilości biokomponentów wytwarzanych z roślin zbożowych i innych roślin wysokoskrobiowych, roślin cukrowych i oleistych oraz roślin uprawianych przede </w:t>
      </w:r>
      <w:r w:rsidRPr="00DE2ECE">
        <w:rPr>
          <w:rFonts w:ascii="Times New Roman" w:eastAsia="Times New Roman" w:hAnsi="Times New Roman" w:cs="Times New Roman"/>
          <w:sz w:val="24"/>
          <w:szCs w:val="24"/>
          <w:lang w:eastAsia="pl-PL"/>
        </w:rPr>
        <w:lastRenderedPageBreak/>
        <w:t>wszystkim do celów energetycznych na użytkach rolnych jako uprawy główne, które mogą być zaliczane na poziomie krajowym na poczet</w:t>
      </w:r>
      <w:r w:rsidR="00DB57BB">
        <w:rPr>
          <w:rFonts w:ascii="Times New Roman" w:eastAsia="Times New Roman" w:hAnsi="Times New Roman" w:cs="Times New Roman"/>
          <w:sz w:val="24"/>
          <w:szCs w:val="24"/>
          <w:lang w:eastAsia="pl-PL"/>
        </w:rPr>
        <w:t xml:space="preserve"> realizacji celów określonych w </w:t>
      </w:r>
      <w:r w:rsidRPr="00DE2ECE">
        <w:rPr>
          <w:rFonts w:ascii="Times New Roman" w:eastAsia="Times New Roman" w:hAnsi="Times New Roman" w:cs="Times New Roman"/>
          <w:sz w:val="24"/>
          <w:szCs w:val="24"/>
          <w:lang w:eastAsia="pl-PL"/>
        </w:rPr>
        <w:t>dyrektywie 2009/28/WE.</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Ograniczenie ilości biokomponentów produkowanych z roślin zbożowych i innych roślin wysokoskrobiowych, roślin cukrowych i oleistych oraz roślin uprawianych przede wszystkim do celów energetycznych na użytkach rolnych jako uprawy główne, które mogą być zaliczane na poczet realizacji celu określonego w dyrektywie 2009/28/WE nie ma wpływu na swobodę ustalania przez państwa członkowskie własnej ścieżki osiągnięcia wymaganego udziału konwencjonalnych biokomponentów stosowanych w paliwach i biopaliwach ciekłych w ramach łącznego celu wynoszącego 10% w 2020 r. W ten sposób biokomponenty wytwarzane przez instalacje działające przed końcem 2013 r. mają w dalszym ciągu pełny dostęp do rynku.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Ponadto, zgodnie z postanowieniami preambuły do dyrektywy 2015/1513, pożądane jest osiągnięcie do 2020 r. wysokiego poziomu zu</w:t>
      </w:r>
      <w:r w:rsidR="00DB57BB">
        <w:rPr>
          <w:rFonts w:ascii="Times New Roman" w:eastAsia="Times New Roman" w:hAnsi="Times New Roman" w:cs="Times New Roman"/>
          <w:sz w:val="24"/>
          <w:szCs w:val="24"/>
          <w:lang w:eastAsia="pl-PL"/>
        </w:rPr>
        <w:t>życia biopaliw zaawansowanych w </w:t>
      </w:r>
      <w:r w:rsidRPr="00DE2ECE">
        <w:rPr>
          <w:rFonts w:ascii="Times New Roman" w:eastAsia="Times New Roman" w:hAnsi="Times New Roman" w:cs="Times New Roman"/>
          <w:sz w:val="24"/>
          <w:szCs w:val="24"/>
          <w:lang w:eastAsia="pl-PL"/>
        </w:rPr>
        <w:t>Unii Europejskiej. W związku z powyższym, każde państwo członkowskie powinno promować stosowanie biopaliw zaawansowanych oraz dążyć do osiągnięcia minimalnego poziomu ich zużycia na swoim terytorium przez ustalenie niewiążących celów krajowych, zmierzając do ich osiągnięcia w ramach obowiązku zapewnienia, by udział energii ze źródeł odnawialnych we wszystkich</w:t>
      </w:r>
      <w:r w:rsidR="00DB57BB">
        <w:rPr>
          <w:rFonts w:ascii="Times New Roman" w:eastAsia="Times New Roman" w:hAnsi="Times New Roman" w:cs="Times New Roman"/>
          <w:sz w:val="24"/>
          <w:szCs w:val="24"/>
          <w:lang w:eastAsia="pl-PL"/>
        </w:rPr>
        <w:t xml:space="preserve"> rodzajach transportu wynosił w </w:t>
      </w:r>
      <w:r w:rsidRPr="00DE2ECE">
        <w:rPr>
          <w:rFonts w:ascii="Times New Roman" w:eastAsia="Times New Roman" w:hAnsi="Times New Roman" w:cs="Times New Roman"/>
          <w:sz w:val="24"/>
          <w:szCs w:val="24"/>
          <w:lang w:eastAsia="pl-PL"/>
        </w:rPr>
        <w:t>2020 r. co najmniej 10% końcowego zużycia energii w transporcie w tym państwie członkowskim. Je</w:t>
      </w:r>
      <w:r w:rsidR="00C92C8A">
        <w:rPr>
          <w:rFonts w:ascii="Times New Roman" w:eastAsia="Times New Roman" w:hAnsi="Times New Roman" w:cs="Times New Roman"/>
          <w:sz w:val="24"/>
          <w:szCs w:val="24"/>
          <w:lang w:eastAsia="pl-PL"/>
        </w:rPr>
        <w:t>że</w:t>
      </w:r>
      <w:r w:rsidRPr="00DE2ECE">
        <w:rPr>
          <w:rFonts w:ascii="Times New Roman" w:eastAsia="Times New Roman" w:hAnsi="Times New Roman" w:cs="Times New Roman"/>
          <w:sz w:val="24"/>
          <w:szCs w:val="24"/>
          <w:lang w:eastAsia="pl-PL"/>
        </w:rPr>
        <w:t>li są dostępne, plany państw członkowskich dotyczące osiągnięcia ich krajowych celów powinny zostać opublikowane</w:t>
      </w:r>
      <w:r w:rsidR="00DB57BB">
        <w:rPr>
          <w:rFonts w:ascii="Times New Roman" w:eastAsia="Times New Roman" w:hAnsi="Times New Roman" w:cs="Times New Roman"/>
          <w:sz w:val="24"/>
          <w:szCs w:val="24"/>
          <w:lang w:eastAsia="pl-PL"/>
        </w:rPr>
        <w:t>, aby zwiększyć przejrzystość i </w:t>
      </w:r>
      <w:r w:rsidRPr="00DE2ECE">
        <w:rPr>
          <w:rFonts w:ascii="Times New Roman" w:eastAsia="Times New Roman" w:hAnsi="Times New Roman" w:cs="Times New Roman"/>
          <w:sz w:val="24"/>
          <w:szCs w:val="24"/>
          <w:lang w:eastAsia="pl-PL"/>
        </w:rPr>
        <w:t xml:space="preserve">przewidywalność rynku.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Dyrektywa 2015/1513 rozszerza także obowiązki sprawozdawcze względem państw członkowskich, jak również względem uznanych systemów dobrowolnych (uznanych przez Komisję Europejską</w:t>
      </w:r>
      <w:r w:rsidR="00C80790">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t>
      </w:r>
      <w:r w:rsidR="00C92C8A">
        <w:rPr>
          <w:rFonts w:ascii="Times New Roman" w:eastAsia="Times New Roman" w:hAnsi="Times New Roman" w:cs="Times New Roman"/>
          <w:sz w:val="24"/>
          <w:szCs w:val="24"/>
          <w:lang w:eastAsia="pl-PL"/>
        </w:rPr>
        <w:t>w</w:t>
      </w:r>
      <w:r w:rsidR="00C92C8A"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drodze decyzji</w:t>
      </w:r>
      <w:r w:rsidR="00C80790">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systemów certyfikacji gwarantujących spełnienie kryteriów zrównoważonego rozwoju). W sytuacji gdy uznane systemy dobrowolne odgrywają coraz ważniejszą rolę w dostarczaniu dow</w:t>
      </w:r>
      <w:r w:rsidR="00DB57BB">
        <w:rPr>
          <w:rFonts w:ascii="Times New Roman" w:eastAsia="Times New Roman" w:hAnsi="Times New Roman" w:cs="Times New Roman"/>
          <w:sz w:val="24"/>
          <w:szCs w:val="24"/>
          <w:lang w:eastAsia="pl-PL"/>
        </w:rPr>
        <w:t>odów zgodności z </w:t>
      </w:r>
      <w:r w:rsidRPr="00DE2ECE">
        <w:rPr>
          <w:rFonts w:ascii="Times New Roman" w:eastAsia="Times New Roman" w:hAnsi="Times New Roman" w:cs="Times New Roman"/>
          <w:sz w:val="24"/>
          <w:szCs w:val="24"/>
          <w:lang w:eastAsia="pl-PL"/>
        </w:rPr>
        <w:t>wymogami zrównoważonego rozwoju okreś</w:t>
      </w:r>
      <w:r w:rsidR="00DB57BB">
        <w:rPr>
          <w:rFonts w:ascii="Times New Roman" w:eastAsia="Times New Roman" w:hAnsi="Times New Roman" w:cs="Times New Roman"/>
          <w:sz w:val="24"/>
          <w:szCs w:val="24"/>
          <w:lang w:eastAsia="pl-PL"/>
        </w:rPr>
        <w:t>lonymi w dyrektywach 98/70/WE i </w:t>
      </w:r>
      <w:r w:rsidRPr="00DE2ECE">
        <w:rPr>
          <w:rFonts w:ascii="Times New Roman" w:eastAsia="Times New Roman" w:hAnsi="Times New Roman" w:cs="Times New Roman"/>
          <w:sz w:val="24"/>
          <w:szCs w:val="24"/>
          <w:lang w:eastAsia="pl-PL"/>
        </w:rPr>
        <w:t xml:space="preserve">2009/28/WE, zmiana ta ma na celu zwiększenie przejrzystości oraz poprawę nadzoru nad tymi systemami sprawowanego przez Komisję Europejską.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 xml:space="preserve">Ponadto nowelizacja ustawy ma na celu dostosowanie przepisów prawa krajowego do aktualnej sytuacji na rynku biokomponentów i biopaliw ciekłych w Polsce. Potrzeba wprowadzenia zmian wynika z uwag i propozycji zgłoszonych przez organy administracji państwowej, inne instytucje związane z funkcjonowaniem rynku, jak również podmioty funkcjonujące na tym rynku. Są to w szczególności zmiany, których celem jest dostosowanie lub doprecyzowanie przepisów, optymalizację dotychczasowych obowiązków sprawozdawczych lub ułatwienie realizacji obowiązków nałożonych na podmioty zobowiązane.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celu prawidłowego wdrożenia przepisów dyrektywy 2015/1513 niezbędne jest wprowadzenie w ustawie o biokomponentach i biopaliwach ciekłych nowych definicji, takich jak:</w:t>
      </w:r>
      <w:r w:rsidRPr="00DE2ECE">
        <w:rPr>
          <w:rFonts w:ascii="Times New Roman" w:eastAsia="Times New Roman" w:hAnsi="Times New Roman" w:cs="Times New Roman"/>
          <w:i/>
          <w:sz w:val="24"/>
          <w:szCs w:val="24"/>
          <w:lang w:eastAsia="pl-PL"/>
        </w:rPr>
        <w:t xml:space="preserve"> rośliny wysokoskrobiowe, pozostałości z rolnictwa, akwakultury, rybołówstwa lub leśnictwa, pozostałość z przetwarzania, materiał lignocelulozowy</w:t>
      </w:r>
      <w:r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i/>
          <w:sz w:val="24"/>
          <w:szCs w:val="24"/>
          <w:lang w:eastAsia="pl-PL"/>
        </w:rPr>
        <w:t xml:space="preserve">niespożywczy materiał celulozowy, zużyty olej kuchenny </w:t>
      </w:r>
      <w:r w:rsidRPr="00DE2ECE">
        <w:rPr>
          <w:rFonts w:ascii="Times New Roman" w:eastAsia="Times New Roman" w:hAnsi="Times New Roman" w:cs="Times New Roman"/>
          <w:sz w:val="24"/>
          <w:szCs w:val="24"/>
          <w:lang w:eastAsia="pl-PL"/>
        </w:rPr>
        <w:t xml:space="preserve">oraz </w:t>
      </w:r>
      <w:r w:rsidRPr="00DE2ECE">
        <w:rPr>
          <w:rFonts w:ascii="Times New Roman" w:eastAsia="Times New Roman" w:hAnsi="Times New Roman" w:cs="Times New Roman"/>
          <w:i/>
          <w:sz w:val="24"/>
          <w:szCs w:val="24"/>
          <w:lang w:eastAsia="pl-PL"/>
        </w:rPr>
        <w:t>tłuszcze zwierzęce</w:t>
      </w:r>
      <w:r w:rsidRPr="00DE2ECE">
        <w:rPr>
          <w:rFonts w:ascii="Times New Roman" w:eastAsia="Times New Roman" w:hAnsi="Times New Roman" w:cs="Times New Roman"/>
          <w:sz w:val="24"/>
          <w:szCs w:val="24"/>
          <w:lang w:eastAsia="pl-PL"/>
        </w:rPr>
        <w:t xml:space="preserve">. Należy wskazać, że pozostałości z rolnictwa, akwakultury, rybołówstwa lub leśnictwa oraz pozostałości z przetwarzania to dwa rozłączne zbiory substancji, co oznacza, że substancja zawarta w jednym zbiorze nie mieści się w zakresie drugiego zbioru.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Ponadto dokonano zmiany definicji </w:t>
      </w:r>
      <w:r w:rsidRPr="00DE2ECE">
        <w:rPr>
          <w:rFonts w:ascii="Times New Roman" w:eastAsia="Times New Roman" w:hAnsi="Times New Roman" w:cs="Times New Roman"/>
          <w:i/>
          <w:sz w:val="24"/>
          <w:szCs w:val="24"/>
          <w:lang w:eastAsia="pl-PL"/>
        </w:rPr>
        <w:t>innych paliw odnawialnych.</w:t>
      </w:r>
      <w:r w:rsidRPr="00DE2ECE">
        <w:rPr>
          <w:rFonts w:ascii="Times New Roman" w:eastAsia="Times New Roman" w:hAnsi="Times New Roman" w:cs="Times New Roman"/>
          <w:sz w:val="24"/>
          <w:szCs w:val="24"/>
          <w:lang w:eastAsia="pl-PL"/>
        </w:rPr>
        <w:t xml:space="preserve"> Dotychczasowa definicja w brzmieniu: „inne paliwa odnawialne </w:t>
      </w:r>
      <w:r w:rsidR="007761CC">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paliwa pochodzące z odnawialnych źródeł energii w rozumieniu ustawy z dnia 20 lutego 2015 r. o odnawialnych źródłach energii (Dz. U. z 2017 r. poz. 1148, z późn. zm.), stosowane w silnikach;” została zastąpiona następującą definicją: „inne paliwa odnawialne </w:t>
      </w:r>
      <w:r w:rsidR="007761CC">
        <w:rPr>
          <w:rFonts w:ascii="Times New Roman" w:eastAsia="Times New Roman" w:hAnsi="Times New Roman" w:cs="Times New Roman"/>
          <w:sz w:val="24"/>
          <w:szCs w:val="24"/>
          <w:lang w:eastAsia="pl-PL"/>
        </w:rPr>
        <w:t>–</w:t>
      </w:r>
      <w:r w:rsidR="00DB57BB">
        <w:rPr>
          <w:rFonts w:ascii="Times New Roman" w:eastAsia="Times New Roman" w:hAnsi="Times New Roman" w:cs="Times New Roman"/>
          <w:sz w:val="24"/>
          <w:szCs w:val="24"/>
          <w:lang w:eastAsia="pl-PL"/>
        </w:rPr>
        <w:t xml:space="preserve"> paliwa pochodzące z </w:t>
      </w:r>
      <w:r w:rsidRPr="00DE2ECE">
        <w:rPr>
          <w:rFonts w:ascii="Times New Roman" w:eastAsia="Times New Roman" w:hAnsi="Times New Roman" w:cs="Times New Roman"/>
          <w:sz w:val="24"/>
          <w:szCs w:val="24"/>
          <w:lang w:eastAsia="pl-PL"/>
        </w:rPr>
        <w:t>odnawialnych źródeł energii w rozumieniu us</w:t>
      </w:r>
      <w:r w:rsidR="00DB57BB">
        <w:rPr>
          <w:rFonts w:ascii="Times New Roman" w:eastAsia="Times New Roman" w:hAnsi="Times New Roman" w:cs="Times New Roman"/>
          <w:sz w:val="24"/>
          <w:szCs w:val="24"/>
          <w:lang w:eastAsia="pl-PL"/>
        </w:rPr>
        <w:t>tawy z dnia 20 lutego 2015 r. o </w:t>
      </w:r>
      <w:r w:rsidRPr="00DE2ECE">
        <w:rPr>
          <w:rFonts w:ascii="Times New Roman" w:eastAsia="Times New Roman" w:hAnsi="Times New Roman" w:cs="Times New Roman"/>
          <w:sz w:val="24"/>
          <w:szCs w:val="24"/>
          <w:lang w:eastAsia="pl-PL"/>
        </w:rPr>
        <w:t>odnawialnych źródłach energii (Dz. U. z 2017 r. poz. 1148, z późn. z</w:t>
      </w:r>
      <w:r w:rsidR="00DB57BB">
        <w:rPr>
          <w:rFonts w:ascii="Times New Roman" w:eastAsia="Times New Roman" w:hAnsi="Times New Roman" w:cs="Times New Roman"/>
          <w:sz w:val="24"/>
          <w:szCs w:val="24"/>
          <w:lang w:eastAsia="pl-PL"/>
        </w:rPr>
        <w:t>m.), z </w:t>
      </w:r>
      <w:r w:rsidRPr="00DE2ECE">
        <w:rPr>
          <w:rFonts w:ascii="Times New Roman" w:eastAsia="Times New Roman" w:hAnsi="Times New Roman" w:cs="Times New Roman"/>
          <w:sz w:val="24"/>
          <w:szCs w:val="24"/>
          <w:lang w:eastAsia="pl-PL"/>
        </w:rPr>
        <w:t>wyłączeniem paliw pochodzących z biomasy, stosowane w transporcie;”. Zmiana ma na celu wyłączenie z zakresu tej definicji p</w:t>
      </w:r>
      <w:r w:rsidR="00DB57BB">
        <w:rPr>
          <w:rFonts w:ascii="Times New Roman" w:eastAsia="Times New Roman" w:hAnsi="Times New Roman" w:cs="Times New Roman"/>
          <w:sz w:val="24"/>
          <w:szCs w:val="24"/>
          <w:lang w:eastAsia="pl-PL"/>
        </w:rPr>
        <w:t>aliw odnawialnych stosowanych w </w:t>
      </w:r>
      <w:r w:rsidRPr="00DE2ECE">
        <w:rPr>
          <w:rFonts w:ascii="Times New Roman" w:eastAsia="Times New Roman" w:hAnsi="Times New Roman" w:cs="Times New Roman"/>
          <w:sz w:val="24"/>
          <w:szCs w:val="24"/>
          <w:lang w:eastAsia="pl-PL"/>
        </w:rPr>
        <w:t xml:space="preserve">transporcie pochodzących z biomasy – w celu dostosowania brzmienia definicji do treści definicji zawartej w dyrektywie 2015/1513. Z biomasy wytwarzane są biokomponenty, które przeznaczone są do wytwarzania paliw ciekłych lub biopaliw ciekłych oraz biokomponenty stanowiące samoistne paliwa, które zostały już zdefiniowane w przepisach ustawy.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shd w:val="clear" w:color="auto" w:fill="FFFFFF"/>
          <w:lang w:eastAsia="pl-PL"/>
        </w:rPr>
      </w:pPr>
      <w:r w:rsidRPr="00DE2ECE">
        <w:rPr>
          <w:rFonts w:ascii="Times New Roman" w:eastAsia="Times New Roman" w:hAnsi="Times New Roman" w:cs="Times New Roman"/>
          <w:color w:val="000000"/>
          <w:sz w:val="24"/>
          <w:szCs w:val="24"/>
          <w:shd w:val="clear" w:color="auto" w:fill="FFFFFF"/>
          <w:lang w:eastAsia="pl-PL"/>
        </w:rPr>
        <w:t xml:space="preserve">Niniejszy projekt ustawy wprowadza zmiany w art. 23 ust. 4a ustawy. Dotychczasowe brzmienie tego przepisu oparte było na art. 21 ust. 2 dyrektywy 2009/28/WE, zgodnie </w:t>
      </w:r>
      <w:r w:rsidRPr="00DE2ECE">
        <w:rPr>
          <w:rFonts w:ascii="Times New Roman" w:eastAsia="Times New Roman" w:hAnsi="Times New Roman" w:cs="Times New Roman"/>
          <w:color w:val="000000"/>
          <w:sz w:val="24"/>
          <w:szCs w:val="24"/>
          <w:shd w:val="clear" w:color="auto" w:fill="FFFFFF"/>
          <w:lang w:eastAsia="pl-PL"/>
        </w:rPr>
        <w:lastRenderedPageBreak/>
        <w:t>z</w:t>
      </w:r>
      <w:r w:rsidR="00DB57BB">
        <w:rPr>
          <w:rFonts w:ascii="Times New Roman" w:eastAsia="Times New Roman" w:hAnsi="Times New Roman" w:cs="Times New Roman"/>
          <w:color w:val="000000"/>
          <w:sz w:val="24"/>
          <w:szCs w:val="24"/>
          <w:shd w:val="clear" w:color="auto" w:fill="FFFFFF"/>
          <w:lang w:eastAsia="pl-PL"/>
        </w:rPr>
        <w:t> </w:t>
      </w:r>
      <w:r w:rsidRPr="00DE2ECE">
        <w:rPr>
          <w:rFonts w:ascii="Times New Roman" w:eastAsia="Times New Roman" w:hAnsi="Times New Roman" w:cs="Times New Roman"/>
          <w:color w:val="000000"/>
          <w:sz w:val="24"/>
          <w:szCs w:val="24"/>
          <w:shd w:val="clear" w:color="auto" w:fill="FFFFFF"/>
          <w:lang w:eastAsia="pl-PL"/>
        </w:rPr>
        <w:t>którym dla celów wykazania spełnienia krajowych o</w:t>
      </w:r>
      <w:r w:rsidR="00DB5C1C">
        <w:rPr>
          <w:rFonts w:ascii="Times New Roman" w:eastAsia="Times New Roman" w:hAnsi="Times New Roman" w:cs="Times New Roman"/>
          <w:color w:val="000000"/>
          <w:sz w:val="24"/>
          <w:szCs w:val="24"/>
          <w:shd w:val="clear" w:color="auto" w:fill="FFFFFF"/>
          <w:lang w:eastAsia="pl-PL"/>
        </w:rPr>
        <w:t>bowiązków stosowania energii ze </w:t>
      </w:r>
      <w:r w:rsidRPr="00DE2ECE">
        <w:rPr>
          <w:rFonts w:ascii="Times New Roman" w:eastAsia="Times New Roman" w:hAnsi="Times New Roman" w:cs="Times New Roman"/>
          <w:color w:val="000000"/>
          <w:sz w:val="24"/>
          <w:szCs w:val="24"/>
          <w:shd w:val="clear" w:color="auto" w:fill="FFFFFF"/>
          <w:lang w:eastAsia="pl-PL"/>
        </w:rPr>
        <w:t>źródeł odnawialnych nałożonych na operatorów oraz osiągnięcia celu w</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zakresie stosowania energii ze źródeł odnawialnych we wszystkich formach transportu, o</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którym mowa w</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art.</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3 ust.</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4 dyrektywy 2009/28/WE, wkład biopaliw wytworzonych z</w:t>
      </w:r>
      <w:r w:rsidR="00DB5C1C">
        <w:rPr>
          <w:rFonts w:ascii="Times New Roman" w:eastAsia="Times New Roman" w:hAnsi="Times New Roman" w:cs="Times New Roman"/>
          <w:color w:val="000000"/>
          <w:sz w:val="24"/>
          <w:szCs w:val="24"/>
          <w:shd w:val="clear" w:color="auto" w:fill="FFFFFF"/>
          <w:lang w:eastAsia="pl-PL"/>
        </w:rPr>
        <w:t> </w:t>
      </w:r>
      <w:r w:rsidRPr="00DE2ECE">
        <w:rPr>
          <w:rFonts w:ascii="Times New Roman" w:eastAsia="Times New Roman" w:hAnsi="Times New Roman" w:cs="Times New Roman"/>
          <w:color w:val="000000"/>
          <w:sz w:val="24"/>
          <w:szCs w:val="24"/>
          <w:shd w:val="clear" w:color="auto" w:fill="FFFFFF"/>
          <w:lang w:eastAsia="pl-PL"/>
        </w:rPr>
        <w:t xml:space="preserve">odpadów, pozostałości, niespożywczego materiału celulozowego oraz materiału lignocelulozowego uznaje się za dwukrotnie większy od wkładu innych biopaliw.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color w:val="000000"/>
          <w:sz w:val="24"/>
          <w:szCs w:val="24"/>
          <w:shd w:val="clear" w:color="auto" w:fill="FFFFFF"/>
          <w:lang w:eastAsia="pl-PL"/>
        </w:rPr>
        <w:t>W dyrektywie 2015/1513 uchylono powyższy przepis</w:t>
      </w:r>
      <w:r w:rsidR="007121D1">
        <w:rPr>
          <w:rFonts w:ascii="Times New Roman" w:eastAsia="Times New Roman" w:hAnsi="Times New Roman" w:cs="Times New Roman"/>
          <w:color w:val="000000"/>
          <w:sz w:val="24"/>
          <w:szCs w:val="24"/>
          <w:shd w:val="clear" w:color="auto" w:fill="FFFFFF"/>
          <w:lang w:eastAsia="pl-PL"/>
        </w:rPr>
        <w:t>,</w:t>
      </w:r>
      <w:r w:rsidRPr="00DE2ECE">
        <w:rPr>
          <w:rFonts w:ascii="Times New Roman" w:eastAsia="Times New Roman" w:hAnsi="Times New Roman" w:cs="Times New Roman"/>
          <w:color w:val="000000"/>
          <w:sz w:val="24"/>
          <w:szCs w:val="24"/>
          <w:shd w:val="clear" w:color="auto" w:fill="FFFFFF"/>
          <w:lang w:eastAsia="pl-PL"/>
        </w:rPr>
        <w:t xml:space="preserve"> jednocześnie wprowadzając</w:t>
      </w:r>
      <w:r w:rsidRPr="00DE2ECE">
        <w:rPr>
          <w:rFonts w:ascii="Times New Roman" w:eastAsia="Times New Roman" w:hAnsi="Times New Roman" w:cs="Times New Roman"/>
          <w:sz w:val="24"/>
          <w:szCs w:val="24"/>
          <w:lang w:eastAsia="pl-PL"/>
        </w:rPr>
        <w:t xml:space="preserve"> załącznik IX do dyrektywy 2009/28/WE. Załącznik ten został podzielony na dwie części: A i B. Część A określa surowce i paliwa</w:t>
      </w:r>
      <w:r w:rsidRPr="00DE2ECE">
        <w:rPr>
          <w:rFonts w:ascii="Times New Roman" w:eastAsia="Times New Roman" w:hAnsi="Times New Roman" w:cs="Times New Roman"/>
          <w:color w:val="000000"/>
          <w:sz w:val="24"/>
          <w:szCs w:val="24"/>
          <w:shd w:val="clear" w:color="auto" w:fill="FFFFFF"/>
          <w:lang w:eastAsia="pl-PL"/>
        </w:rPr>
        <w:t>, których wkład w realizację celu określonego w art.</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3 ust.</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4 akapit pierwszy dyrekt</w:t>
      </w:r>
      <w:r w:rsidR="00CE7201">
        <w:rPr>
          <w:rFonts w:ascii="Times New Roman" w:eastAsia="Times New Roman" w:hAnsi="Times New Roman" w:cs="Times New Roman"/>
          <w:color w:val="000000"/>
          <w:sz w:val="24"/>
          <w:szCs w:val="24"/>
          <w:shd w:val="clear" w:color="auto" w:fill="FFFFFF"/>
          <w:lang w:eastAsia="pl-PL"/>
        </w:rPr>
        <w:t>ywy 2009/28/WE jest uznawany za </w:t>
      </w:r>
      <w:r w:rsidRPr="00DE2ECE">
        <w:rPr>
          <w:rFonts w:ascii="Times New Roman" w:eastAsia="Times New Roman" w:hAnsi="Times New Roman" w:cs="Times New Roman"/>
          <w:color w:val="000000"/>
          <w:sz w:val="24"/>
          <w:szCs w:val="24"/>
          <w:shd w:val="clear" w:color="auto" w:fill="FFFFFF"/>
          <w:lang w:eastAsia="pl-PL"/>
        </w:rPr>
        <w:t>dwukrotność ich wartości energetycznej, natomiast część B określa surowce, których wkład w realizację celu określonego w art.</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3 ust.</w:t>
      </w:r>
      <w:r w:rsidR="007761CC">
        <w:rPr>
          <w:rFonts w:ascii="Times New Roman" w:eastAsia="Times New Roman" w:hAnsi="Times New Roman" w:cs="Times New Roman"/>
          <w:color w:val="000000"/>
          <w:sz w:val="24"/>
          <w:szCs w:val="24"/>
          <w:shd w:val="clear" w:color="auto" w:fill="FFFFFF"/>
          <w:lang w:eastAsia="pl-PL"/>
        </w:rPr>
        <w:t xml:space="preserve"> </w:t>
      </w:r>
      <w:r w:rsidRPr="00DE2ECE">
        <w:rPr>
          <w:rFonts w:ascii="Times New Roman" w:eastAsia="Times New Roman" w:hAnsi="Times New Roman" w:cs="Times New Roman"/>
          <w:color w:val="000000"/>
          <w:sz w:val="24"/>
          <w:szCs w:val="24"/>
          <w:shd w:val="clear" w:color="auto" w:fill="FFFFFF"/>
          <w:lang w:eastAsia="pl-PL"/>
        </w:rPr>
        <w:t xml:space="preserve">4 akapit pierwszy dyrektywy 2009/28/WE jest uznawany za dwukrotność ich wartości energetycznej. Treść załącznika IX dyrektywy 2009/28/WE zostanie wdrożona do prawodawstwa krajowego przez dodanie do ustawy załącznika nr 1. Natomiast art. 23 ust. 4a </w:t>
      </w:r>
      <w:r w:rsidRPr="00DE2ECE">
        <w:rPr>
          <w:rFonts w:ascii="Times New Roman" w:eastAsia="Times New Roman" w:hAnsi="Times New Roman" w:cs="Times New Roman"/>
          <w:sz w:val="24"/>
          <w:szCs w:val="24"/>
          <w:lang w:eastAsia="pl-PL"/>
        </w:rPr>
        <w:t xml:space="preserve">(który stanowił wdrożenie art. 21 ust. 2 dyrektywy 2009/28/WE, który został uchylony dyrektywą 2015/1513) </w:t>
      </w:r>
      <w:r w:rsidRPr="00DE2ECE">
        <w:rPr>
          <w:rFonts w:ascii="Times New Roman" w:eastAsia="Times New Roman" w:hAnsi="Times New Roman" w:cs="Times New Roman"/>
          <w:color w:val="000000"/>
          <w:sz w:val="24"/>
          <w:szCs w:val="24"/>
          <w:shd w:val="clear" w:color="auto" w:fill="FFFFFF"/>
          <w:lang w:eastAsia="pl-PL"/>
        </w:rPr>
        <w:t>otrzymał nowe brzmienie:</w:t>
      </w:r>
      <w:r w:rsidRPr="00DE2ECE">
        <w:rPr>
          <w:rFonts w:ascii="Times New Roman" w:eastAsia="Times New Roman" w:hAnsi="Times New Roman" w:cs="Times New Roman"/>
          <w:sz w:val="24"/>
          <w:szCs w:val="24"/>
          <w:lang w:eastAsia="pl-PL"/>
        </w:rPr>
        <w:t xml:space="preserve"> </w:t>
      </w:r>
    </w:p>
    <w:p w:rsidR="0044533E" w:rsidRPr="00DE2ECE" w:rsidRDefault="0044533E" w:rsidP="00DB5C1C">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i/>
          <w:sz w:val="24"/>
          <w:szCs w:val="24"/>
          <w:lang w:eastAsia="pl-PL"/>
        </w:rPr>
        <w:t xml:space="preserve">4a. Udział biokomponentów wytworzonych z surowców określonych w </w:t>
      </w:r>
      <w:r w:rsidR="00DB5C1C">
        <w:rPr>
          <w:rFonts w:ascii="Times New Roman" w:eastAsia="Times New Roman" w:hAnsi="Times New Roman" w:cs="Times New Roman"/>
          <w:i/>
          <w:sz w:val="24"/>
          <w:szCs w:val="24"/>
          <w:lang w:eastAsia="pl-PL"/>
        </w:rPr>
        <w:t>załączniku nr 1 </w:t>
      </w:r>
      <w:r w:rsidRPr="00DE2ECE">
        <w:rPr>
          <w:rFonts w:ascii="Times New Roman" w:eastAsia="Times New Roman" w:hAnsi="Times New Roman" w:cs="Times New Roman"/>
          <w:i/>
          <w:sz w:val="24"/>
          <w:szCs w:val="24"/>
          <w:lang w:eastAsia="pl-PL"/>
        </w:rPr>
        <w:t xml:space="preserve">do ustawy, liczony według wartości opałowej, w </w:t>
      </w:r>
      <w:r w:rsidR="00DB5C1C">
        <w:rPr>
          <w:rFonts w:ascii="Times New Roman" w:eastAsia="Times New Roman" w:hAnsi="Times New Roman" w:cs="Times New Roman"/>
          <w:i/>
          <w:sz w:val="24"/>
          <w:szCs w:val="24"/>
          <w:lang w:eastAsia="pl-PL"/>
        </w:rPr>
        <w:t>ogólnej ilości paliw ciekłych i </w:t>
      </w:r>
      <w:r w:rsidRPr="00DE2ECE">
        <w:rPr>
          <w:rFonts w:ascii="Times New Roman" w:eastAsia="Times New Roman" w:hAnsi="Times New Roman" w:cs="Times New Roman"/>
          <w:i/>
          <w:sz w:val="24"/>
          <w:szCs w:val="24"/>
          <w:lang w:eastAsia="pl-PL"/>
        </w:rPr>
        <w:t>biopaliw ciekłych stosowanych w transporcie drogowym i kolejowym, rozporządzanych przez dokonanie jakiejkolwiek czynności prawnej lub faktycznej na terytorium Rzeczypospolitej Polskiej przez podmiot realizujący Narodowy Cel Wskaźnikowy, lub zużywanych przez ten podmiot na potrzeby własne na tym terytorium uznaje się za dwukrotnie wyższy,</w:t>
      </w:r>
      <w:r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i/>
          <w:sz w:val="24"/>
          <w:szCs w:val="24"/>
          <w:lang w:eastAsia="pl-PL"/>
        </w:rPr>
        <w:t>w części, w jakiej zostały one wytworzone z surowców określonych w załączniku nr 1 do ustawy.</w:t>
      </w:r>
      <w:r w:rsidRPr="00DE2ECE">
        <w:rPr>
          <w:rFonts w:ascii="Times New Roman" w:eastAsia="Times New Roman" w:hAnsi="Times New Roman" w:cs="Times New Roman"/>
          <w:sz w:val="24"/>
          <w:szCs w:val="24"/>
          <w:lang w:eastAsia="pl-PL"/>
        </w:rPr>
        <w:t xml:space="preserve">”. Jednocześnie wprowadzono przepis, na mocy którego ww. udział nie może być wyższy niż 1,5%. Wprowadzenie powyższego limitu jest związane z brakiem, na etapie procedowania niniejszej ustawy, pełnej wiedzy odnośnie </w:t>
      </w:r>
      <w:r w:rsidR="007121D1">
        <w:rPr>
          <w:rFonts w:ascii="Times New Roman" w:eastAsia="Times New Roman" w:hAnsi="Times New Roman" w:cs="Times New Roman"/>
          <w:sz w:val="24"/>
          <w:szCs w:val="24"/>
          <w:lang w:eastAsia="pl-PL"/>
        </w:rPr>
        <w:t xml:space="preserve">do </w:t>
      </w:r>
      <w:r w:rsidRPr="00DE2ECE">
        <w:rPr>
          <w:rFonts w:ascii="Times New Roman" w:eastAsia="Times New Roman" w:hAnsi="Times New Roman" w:cs="Times New Roman"/>
          <w:sz w:val="24"/>
          <w:szCs w:val="24"/>
          <w:lang w:eastAsia="pl-PL"/>
        </w:rPr>
        <w:t xml:space="preserve">możliwości surowcowych oraz technologicznych branży. Według aktualnego stanu wiedzy nie przewiduje się możliwości stosowania podwójnego zaliczania określonych biokomponentów do realizacji NCW w ilości wyższej niż wskazana powyżej wartość.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Projektowana ustawa przewiduje, że minister właściwy do spraw energii może określić</w:t>
      </w:r>
      <w:r w:rsidR="007121D1">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 drodze rozporządzenia, niższy niż wynikający z ust. 4ba ustawy, udział </w:t>
      </w:r>
      <w:r w:rsidRPr="00DE2ECE">
        <w:rPr>
          <w:rFonts w:ascii="Times New Roman" w:eastAsia="Times New Roman" w:hAnsi="Times New Roman" w:cs="Times New Roman"/>
          <w:sz w:val="24"/>
          <w:szCs w:val="24"/>
          <w:lang w:eastAsia="pl-PL"/>
        </w:rPr>
        <w:lastRenderedPageBreak/>
        <w:t>biokomponentów, o których mowa w art. 23 ust. 4a ustawy, biorąc pod uwagę stan wiedzy technicznej w zakresie możliwości wykorzystania tych surowców do wytwarzania biokomponentów oraz ich dostępność.</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Art. 10 projektowanej ustawy wskazuje, że udzia</w:t>
      </w:r>
      <w:r w:rsidR="00DB5C1C">
        <w:rPr>
          <w:rFonts w:ascii="Times New Roman" w:eastAsia="Times New Roman" w:hAnsi="Times New Roman" w:cs="Times New Roman"/>
          <w:sz w:val="24"/>
          <w:szCs w:val="24"/>
          <w:lang w:eastAsia="pl-PL"/>
        </w:rPr>
        <w:t>ł biokomponentów wytworzonych z </w:t>
      </w:r>
      <w:r w:rsidRPr="00DE2ECE">
        <w:rPr>
          <w:rFonts w:ascii="Times New Roman" w:eastAsia="Times New Roman" w:hAnsi="Times New Roman" w:cs="Times New Roman"/>
          <w:sz w:val="24"/>
          <w:szCs w:val="24"/>
          <w:lang w:eastAsia="pl-PL"/>
        </w:rPr>
        <w:t xml:space="preserve">surowców określonych w załączniku nr 1 do ustawy, liczony według wartości opałowej, w ogólnej ilości paliw ciekłych i biopaliw ciekłych </w:t>
      </w:r>
      <w:r w:rsidR="00DB5C1C">
        <w:rPr>
          <w:rFonts w:ascii="Times New Roman" w:eastAsia="Times New Roman" w:hAnsi="Times New Roman" w:cs="Times New Roman"/>
          <w:sz w:val="24"/>
          <w:szCs w:val="24"/>
        </w:rPr>
        <w:t>stosowanych w </w:t>
      </w:r>
      <w:r w:rsidRPr="00DE2ECE">
        <w:rPr>
          <w:rFonts w:ascii="Times New Roman" w:eastAsia="Times New Roman" w:hAnsi="Times New Roman" w:cs="Times New Roman"/>
          <w:sz w:val="24"/>
          <w:szCs w:val="24"/>
        </w:rPr>
        <w:t>transporcie drogowym i kolejowym,</w:t>
      </w:r>
      <w:r w:rsidRPr="00DE2ECE">
        <w:rPr>
          <w:rFonts w:ascii="Times New Roman" w:eastAsia="Times New Roman" w:hAnsi="Times New Roman" w:cs="Times New Roman"/>
          <w:sz w:val="24"/>
          <w:szCs w:val="24"/>
          <w:lang w:eastAsia="pl-PL"/>
        </w:rPr>
        <w:t xml:space="preserve"> rozporządzanych przez dokonanie jakiejkolwiek czynności prawnej lub faktycznej na terytorium Rzeczypospolitej Polskiej przez podmiot realizujący NCW lub zużywanych przez ten podmiot na potrzeby własne na tym terytorium, nie może przekroczyć:</w:t>
      </w:r>
    </w:p>
    <w:p w:rsidR="0044533E" w:rsidRPr="00DE2ECE" w:rsidRDefault="007776B3" w:rsidP="007776B3">
      <w:pPr>
        <w:tabs>
          <w:tab w:val="left" w:pos="42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44533E" w:rsidRPr="00DE2ECE">
        <w:rPr>
          <w:rFonts w:ascii="Times New Roman" w:eastAsia="Times New Roman" w:hAnsi="Times New Roman" w:cs="Times New Roman"/>
          <w:sz w:val="24"/>
          <w:szCs w:val="24"/>
          <w:lang w:eastAsia="pl-PL"/>
        </w:rPr>
        <w:t>0,3% w 2018 r.;</w:t>
      </w:r>
    </w:p>
    <w:p w:rsidR="0044533E" w:rsidRPr="00DE2ECE" w:rsidRDefault="007776B3" w:rsidP="007776B3">
      <w:pPr>
        <w:tabs>
          <w:tab w:val="left" w:pos="426"/>
        </w:tabs>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44533E" w:rsidRPr="00DE2ECE">
        <w:rPr>
          <w:rFonts w:ascii="Times New Roman" w:eastAsia="Times New Roman" w:hAnsi="Times New Roman" w:cs="Times New Roman"/>
          <w:sz w:val="24"/>
          <w:szCs w:val="24"/>
          <w:lang w:eastAsia="pl-PL"/>
        </w:rPr>
        <w:t>0,5% w 2019 r.</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Udziały wskazane powyżej odnoszą się do wartości energetycznej tych biokomponentów przed ich podwójnym zaliczeniem do realizacji celu, o którym mowa w art. 23 ust. 1 ustawy.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Zgodnie z art. 11 projektowanej ustawy minister właściwy do spraw energii może wydać po raz pierwszy rozporządzenie na podstawie art. 23 ust. 4c ustawy, na okres począwszy od 2020 r. Limit ten może zostać ustalony wyłącznie na poziomie niższym niż określony w projektowanym art. 23 ust. 4ba ustawy, czyli nie więcej niż 1,5%.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przypadku niewydania przez ministra właściwego do spraw energii rozporządzenia na podstawie delegacji z art. 23 ust. 4c, obowiązujący jest poziom określony w art. 23 ust. 4ba ustawy.</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Dyrektywa 2015/1513 wprowadza także ograniczenie stosowania biopaliw produkowanych z roślin zbożowych i innych roślin wysokoskrobiowych, roślin cukrowych i oleistych oraz roślin uprawianych przede wszystkim do celów energetycznych na użytkach rolnych jako uprawy główne, które to biopaliwa mogą być zaliczane na poczet realizacji celu określonego w d</w:t>
      </w:r>
      <w:r w:rsidR="00DB5C1C">
        <w:rPr>
          <w:rFonts w:ascii="Times New Roman" w:eastAsia="Times New Roman" w:hAnsi="Times New Roman" w:cs="Times New Roman"/>
          <w:sz w:val="24"/>
          <w:szCs w:val="24"/>
          <w:lang w:eastAsia="pl-PL"/>
        </w:rPr>
        <w:t>yrektywie 2009/28/WE. Zgodnie z </w:t>
      </w:r>
      <w:r w:rsidRPr="00DE2ECE">
        <w:rPr>
          <w:rFonts w:ascii="Times New Roman" w:eastAsia="Times New Roman" w:hAnsi="Times New Roman" w:cs="Times New Roman"/>
          <w:sz w:val="24"/>
          <w:szCs w:val="24"/>
          <w:lang w:eastAsia="pl-PL"/>
        </w:rPr>
        <w:t>dodaną w art. 3 ust. 4 dyrektywy 2009/28/WE lit</w:t>
      </w:r>
      <w:r w:rsidR="00300732">
        <w:rPr>
          <w:rFonts w:ascii="Times New Roman" w:eastAsia="Times New Roman" w:hAnsi="Times New Roman" w:cs="Times New Roman"/>
          <w:sz w:val="24"/>
          <w:szCs w:val="24"/>
          <w:lang w:eastAsia="pl-PL"/>
        </w:rPr>
        <w:t>.</w:t>
      </w:r>
      <w:r w:rsidR="00DB5C1C">
        <w:rPr>
          <w:rFonts w:ascii="Times New Roman" w:eastAsia="Times New Roman" w:hAnsi="Times New Roman" w:cs="Times New Roman"/>
          <w:sz w:val="24"/>
          <w:szCs w:val="24"/>
          <w:lang w:eastAsia="pl-PL"/>
        </w:rPr>
        <w:t xml:space="preserve"> d, do obliczenia biopaliw w </w:t>
      </w:r>
      <w:r w:rsidRPr="00DE2ECE">
        <w:rPr>
          <w:rFonts w:ascii="Times New Roman" w:eastAsia="Times New Roman" w:hAnsi="Times New Roman" w:cs="Times New Roman"/>
          <w:sz w:val="24"/>
          <w:szCs w:val="24"/>
          <w:lang w:eastAsia="pl-PL"/>
        </w:rPr>
        <w:t>liczniku, udział energii z biopaliw wyprodukowanych z roślin zbożowych i innych roślin wysokoskrobiowych, roślin cukrowych i oleistych oraz roślin uprawianych przede wszystkim do celów energetycznych na użytkach rolnych jako uprawy główne nie może przekraczać 7% końcowego zużycia energii w sektorze transpo</w:t>
      </w:r>
      <w:r w:rsidR="00DB5C1C">
        <w:rPr>
          <w:rFonts w:ascii="Times New Roman" w:eastAsia="Times New Roman" w:hAnsi="Times New Roman" w:cs="Times New Roman"/>
          <w:sz w:val="24"/>
          <w:szCs w:val="24"/>
          <w:lang w:eastAsia="pl-PL"/>
        </w:rPr>
        <w:t xml:space="preserve">rtu </w:t>
      </w:r>
      <w:r w:rsidR="00DB5C1C">
        <w:rPr>
          <w:rFonts w:ascii="Times New Roman" w:eastAsia="Times New Roman" w:hAnsi="Times New Roman" w:cs="Times New Roman"/>
          <w:sz w:val="24"/>
          <w:szCs w:val="24"/>
          <w:lang w:eastAsia="pl-PL"/>
        </w:rPr>
        <w:lastRenderedPageBreak/>
        <w:t>w </w:t>
      </w:r>
      <w:r w:rsidRPr="00DE2ECE">
        <w:rPr>
          <w:rFonts w:ascii="Times New Roman" w:eastAsia="Times New Roman" w:hAnsi="Times New Roman" w:cs="Times New Roman"/>
          <w:sz w:val="24"/>
          <w:szCs w:val="24"/>
          <w:lang w:eastAsia="pl-PL"/>
        </w:rPr>
        <w:t xml:space="preserve">państwach członkowskich w 2020 r. Biopaliw produkowanych z surowców wymienionych w załączniku IX nie wlicza się do limitu określonego w akapicie pierwszym niniejszej litery.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Ponadto dyrektywa 2015/1513 zakłada wzrost wykorzystania tzw. biopaliw zaawansowanych. Zgodnie z dodaną w art. 3 ust. </w:t>
      </w:r>
      <w:r w:rsidR="00DB5C1C">
        <w:rPr>
          <w:rFonts w:ascii="Times New Roman" w:eastAsia="Times New Roman" w:hAnsi="Times New Roman" w:cs="Times New Roman"/>
          <w:sz w:val="24"/>
          <w:szCs w:val="24"/>
          <w:lang w:eastAsia="pl-PL"/>
        </w:rPr>
        <w:t>4 dyrektywy 2009/28/WE li</w:t>
      </w:r>
      <w:r w:rsidR="00300732">
        <w:rPr>
          <w:rFonts w:ascii="Times New Roman" w:eastAsia="Times New Roman" w:hAnsi="Times New Roman" w:cs="Times New Roman"/>
          <w:sz w:val="24"/>
          <w:szCs w:val="24"/>
          <w:lang w:eastAsia="pl-PL"/>
        </w:rPr>
        <w:t>t.</w:t>
      </w:r>
      <w:r w:rsidR="00DB5C1C">
        <w:rPr>
          <w:rFonts w:ascii="Times New Roman" w:eastAsia="Times New Roman" w:hAnsi="Times New Roman" w:cs="Times New Roman"/>
          <w:sz w:val="24"/>
          <w:szCs w:val="24"/>
          <w:lang w:eastAsia="pl-PL"/>
        </w:rPr>
        <w:t> e </w:t>
      </w:r>
      <w:r w:rsidRPr="00DE2ECE">
        <w:rPr>
          <w:rFonts w:ascii="Times New Roman" w:eastAsia="Times New Roman" w:hAnsi="Times New Roman" w:cs="Times New Roman"/>
          <w:sz w:val="24"/>
          <w:szCs w:val="24"/>
          <w:lang w:eastAsia="pl-PL"/>
        </w:rPr>
        <w:t>każde państwo członkowskie dąży do osiągnięcia celu, jakim jest minimalny poziom zużycia na ich terytorium biopaliw wyprodukowanych z surowców i innych paliw wyszczególnionych w części A załącznika</w:t>
      </w:r>
      <w:r w:rsidR="00DB5C1C">
        <w:rPr>
          <w:rFonts w:ascii="Times New Roman" w:eastAsia="Times New Roman" w:hAnsi="Times New Roman" w:cs="Times New Roman"/>
          <w:sz w:val="24"/>
          <w:szCs w:val="24"/>
          <w:lang w:eastAsia="pl-PL"/>
        </w:rPr>
        <w:t xml:space="preserve"> IX. W związku z tym, do dnia 6 </w:t>
      </w:r>
      <w:r w:rsidRPr="00DE2ECE">
        <w:rPr>
          <w:rFonts w:ascii="Times New Roman" w:eastAsia="Times New Roman" w:hAnsi="Times New Roman" w:cs="Times New Roman"/>
          <w:sz w:val="24"/>
          <w:szCs w:val="24"/>
          <w:lang w:eastAsia="pl-PL"/>
        </w:rPr>
        <w:t>kwietnia 2017 r., każde państwo członkowskie ustala krajowy cel, do którego osiągnięcia dąży. Wartością referencyjną dla tego celu</w:t>
      </w:r>
      <w:r w:rsidR="00DB5C1C">
        <w:rPr>
          <w:rFonts w:ascii="Times New Roman" w:eastAsia="Times New Roman" w:hAnsi="Times New Roman" w:cs="Times New Roman"/>
          <w:sz w:val="24"/>
          <w:szCs w:val="24"/>
          <w:lang w:eastAsia="pl-PL"/>
        </w:rPr>
        <w:t xml:space="preserve"> jest 0,5 punktu procentowego w </w:t>
      </w:r>
      <w:r w:rsidRPr="00DE2ECE">
        <w:rPr>
          <w:rFonts w:ascii="Times New Roman" w:eastAsia="Times New Roman" w:hAnsi="Times New Roman" w:cs="Times New Roman"/>
          <w:sz w:val="24"/>
          <w:szCs w:val="24"/>
          <w:lang w:eastAsia="pl-PL"/>
        </w:rPr>
        <w:t xml:space="preserve">wartości energetycznej udziału energii ze źródeł odnawialnych we wszystkich rodzajach transportu w roku 2020, o którym mowa w akapicie pierwszym, zaspokajane z biopaliw wyprodukowanych z surowców i innych paliw wyszczególnionych w części A załącznika IX.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Mając na uwadze powyższe</w:t>
      </w:r>
      <w:r w:rsidR="007121D1">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zmieniono tytuł rozdziału 9 (wskazano również przepisy epizody</w:t>
      </w:r>
      <w:r w:rsidR="00300732">
        <w:rPr>
          <w:rFonts w:ascii="Times New Roman" w:eastAsia="Times New Roman" w:hAnsi="Times New Roman" w:cs="Times New Roman"/>
          <w:sz w:val="24"/>
          <w:szCs w:val="24"/>
          <w:lang w:eastAsia="pl-PL"/>
        </w:rPr>
        <w:t>czne) oraz dodano w rozdziale 9</w:t>
      </w:r>
      <w:r w:rsidRPr="00DE2ECE">
        <w:rPr>
          <w:rFonts w:ascii="Times New Roman" w:eastAsia="Times New Roman" w:hAnsi="Times New Roman" w:cs="Times New Roman"/>
          <w:sz w:val="24"/>
          <w:szCs w:val="24"/>
          <w:lang w:eastAsia="pl-PL"/>
        </w:rPr>
        <w:t xml:space="preserve"> nowy art. 35a w brzmieniu: </w:t>
      </w:r>
    </w:p>
    <w:p w:rsidR="0044533E" w:rsidRPr="00DE2ECE" w:rsidRDefault="0044533E" w:rsidP="00E44823">
      <w:pPr>
        <w:autoSpaceDE w:val="0"/>
        <w:autoSpaceDN w:val="0"/>
        <w:adjustRightInd w:val="0"/>
        <w:spacing w:after="0" w:line="360" w:lineRule="auto"/>
        <w:jc w:val="both"/>
        <w:rPr>
          <w:rFonts w:ascii="Times New Roman" w:eastAsia="Times New Roman" w:hAnsi="Times New Roman" w:cs="Times New Roman"/>
          <w:i/>
          <w:sz w:val="24"/>
          <w:szCs w:val="24"/>
          <w:lang w:eastAsia="pl-PL"/>
        </w:rPr>
      </w:pPr>
      <w:r w:rsidRPr="00DE2ECE">
        <w:rPr>
          <w:rFonts w:ascii="Times New Roman" w:eastAsia="Times New Roman" w:hAnsi="Times New Roman" w:cs="Times New Roman"/>
          <w:i/>
          <w:sz w:val="24"/>
          <w:szCs w:val="24"/>
          <w:lang w:eastAsia="pl-PL"/>
        </w:rPr>
        <w:t>„</w:t>
      </w:r>
      <w:r w:rsidR="00300732">
        <w:rPr>
          <w:rFonts w:ascii="Times New Roman" w:eastAsia="Times New Roman" w:hAnsi="Times New Roman" w:cs="Times New Roman"/>
          <w:i/>
          <w:sz w:val="24"/>
          <w:szCs w:val="24"/>
          <w:lang w:eastAsia="pl-PL"/>
        </w:rPr>
        <w:t xml:space="preserve">Art. </w:t>
      </w:r>
      <w:r w:rsidRPr="00DE2ECE">
        <w:rPr>
          <w:rFonts w:ascii="Times New Roman" w:eastAsia="Times New Roman" w:hAnsi="Times New Roman" w:cs="Times New Roman"/>
          <w:i/>
          <w:sz w:val="24"/>
          <w:szCs w:val="24"/>
          <w:lang w:eastAsia="pl-PL"/>
        </w:rPr>
        <w:t>35a. 1. Udział biokomponentów wytworzonych ze zbóż i innych roślin wysokoskrobiowych, roślin cukrowych i oleistych oraz roślin uprawianych do celów energetycznych na użytkach rolnych jako uprawy główne, liczony według wartości opałowej, nie może przekroczyć w 2020 r. 7% ogólnej ilości paliw ciekłych i biopaliw ciekłych stosowanych w transporcie drogowym i kolejowym, rozporządzanych przez dokonanie jakiejkolwiek czynności prawnej lub faktycznej na terytorium Rzeczypospolitej Polskiej przez podmiot realizujący Narodowy Cel Wskaźnikowy, lub zużywanych przez ten podmiot na potrzeby własne na tym terytorium.</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i/>
          <w:sz w:val="24"/>
          <w:szCs w:val="24"/>
          <w:lang w:eastAsia="pl-PL"/>
        </w:rPr>
      </w:pPr>
      <w:r w:rsidRPr="00DE2ECE">
        <w:rPr>
          <w:rFonts w:ascii="Times New Roman" w:eastAsia="Times New Roman" w:hAnsi="Times New Roman" w:cs="Times New Roman"/>
          <w:i/>
          <w:sz w:val="24"/>
          <w:szCs w:val="24"/>
          <w:lang w:eastAsia="pl-PL"/>
        </w:rPr>
        <w:t>2. Do biokomponentów, o których mowa w ust. 1, nie zalicza się biokomponentów wytworzonych z surowców określonych w załączniku nr 1 do ustawy.</w:t>
      </w:r>
      <w:r w:rsidRPr="00DE2ECE">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i/>
          <w:sz w:val="24"/>
          <w:szCs w:val="24"/>
          <w:lang w:eastAsia="pl-PL"/>
        </w:rPr>
      </w:pPr>
      <w:r w:rsidRPr="00DE2ECE">
        <w:rPr>
          <w:rFonts w:ascii="Times New Roman" w:eastAsia="Times New Roman" w:hAnsi="Times New Roman" w:cs="Times New Roman"/>
          <w:i/>
          <w:sz w:val="24"/>
          <w:szCs w:val="24"/>
          <w:lang w:eastAsia="pl-PL"/>
        </w:rPr>
        <w:t>3. W 2020 roku udział biokomponentów wytwor</w:t>
      </w:r>
      <w:r w:rsidR="00E44823">
        <w:rPr>
          <w:rFonts w:ascii="Times New Roman" w:eastAsia="Times New Roman" w:hAnsi="Times New Roman" w:cs="Times New Roman"/>
          <w:i/>
          <w:sz w:val="24"/>
          <w:szCs w:val="24"/>
          <w:lang w:eastAsia="pl-PL"/>
        </w:rPr>
        <w:t>zonych z surowców określonych w </w:t>
      </w:r>
      <w:r w:rsidRPr="00DE2ECE">
        <w:rPr>
          <w:rFonts w:ascii="Times New Roman" w:eastAsia="Times New Roman" w:hAnsi="Times New Roman" w:cs="Times New Roman"/>
          <w:i/>
          <w:sz w:val="24"/>
          <w:szCs w:val="24"/>
          <w:lang w:eastAsia="pl-PL"/>
        </w:rPr>
        <w:t>części A załącznika nr 1 do ustawy, liczony według wartości opałowej, nie może być mniejszy niż 0,1% ogólnej ilości paliw ciekłych i biopaliw ciekłych</w:t>
      </w:r>
      <w:r w:rsidRPr="00DE2ECE">
        <w:rPr>
          <w:rFonts w:ascii="Times New Roman" w:eastAsia="Times New Roman" w:hAnsi="Times New Roman" w:cs="Times New Roman"/>
          <w:sz w:val="24"/>
          <w:szCs w:val="24"/>
          <w:lang w:eastAsia="pl-PL"/>
        </w:rPr>
        <w:t xml:space="preserve"> </w:t>
      </w:r>
      <w:r w:rsidR="00E44823">
        <w:rPr>
          <w:rFonts w:ascii="Times New Roman" w:eastAsia="Times New Roman" w:hAnsi="Times New Roman" w:cs="Times New Roman"/>
          <w:i/>
          <w:sz w:val="24"/>
          <w:szCs w:val="24"/>
          <w:lang w:eastAsia="pl-PL"/>
        </w:rPr>
        <w:t>stosowanych w </w:t>
      </w:r>
      <w:r w:rsidRPr="00DE2ECE">
        <w:rPr>
          <w:rFonts w:ascii="Times New Roman" w:eastAsia="Times New Roman" w:hAnsi="Times New Roman" w:cs="Times New Roman"/>
          <w:i/>
          <w:sz w:val="24"/>
          <w:szCs w:val="24"/>
          <w:lang w:eastAsia="pl-PL"/>
        </w:rPr>
        <w:t xml:space="preserve">transporcie drogowym i kolejowym, rozporządzanych przez dokonanie jakiejkolwiek czynności prawnej lub faktycznej na terytorium Rzeczypospolitej Polskiej przez podmiot </w:t>
      </w:r>
      <w:r w:rsidRPr="00DE2ECE">
        <w:rPr>
          <w:rFonts w:ascii="Times New Roman" w:eastAsia="Times New Roman" w:hAnsi="Times New Roman" w:cs="Times New Roman"/>
          <w:i/>
          <w:sz w:val="24"/>
          <w:szCs w:val="24"/>
          <w:lang w:eastAsia="pl-PL"/>
        </w:rPr>
        <w:lastRenderedPageBreak/>
        <w:t>realizujący Narodowy Cel Wskaźnikowy, lub zużywanych przez ten podmiot na potrzeby własne na tym terytorium.</w:t>
      </w:r>
      <w:r w:rsidR="00826D36">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i/>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dyrektywie 2015/1513 dokonano zmiany w art. 17 ust. 2 dyrektywy 2008/29/WE odnoszącym się do kryterium, jakim jest ograniczeni</w:t>
      </w:r>
      <w:r w:rsidR="00E44823">
        <w:rPr>
          <w:rFonts w:ascii="Times New Roman" w:eastAsia="Times New Roman" w:hAnsi="Times New Roman" w:cs="Times New Roman"/>
          <w:sz w:val="24"/>
          <w:szCs w:val="24"/>
          <w:lang w:eastAsia="pl-PL"/>
        </w:rPr>
        <w:t>e emisji gazów cieplarnianych w </w:t>
      </w:r>
      <w:r w:rsidRPr="00DE2ECE">
        <w:rPr>
          <w:rFonts w:ascii="Times New Roman" w:eastAsia="Times New Roman" w:hAnsi="Times New Roman" w:cs="Times New Roman"/>
          <w:sz w:val="24"/>
          <w:szCs w:val="24"/>
          <w:lang w:eastAsia="pl-PL"/>
        </w:rPr>
        <w:t>związku z wykorzystaniem biopaliw. Zgodnie z dotychczasowym brzmieniem tego przepisu,</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począwszy od dnia 1</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stycznia</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2017</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r., ograniczenie emisji gazów cieplarnianych wynikających z</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wykorzystania biopaliw</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i</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biopłynów uwzględnionych do celów, o</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których</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mowa w art. 17</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ust.</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1 lit.</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a, b</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i</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c, wynosi co najmniej</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50%. Od dnia 1</w:t>
      </w:r>
      <w:r w:rsidR="00E44823">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stycznia</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2018</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r. ograniczenie emisji gazów cieplarnianych wynosi co najmniej</w:t>
      </w:r>
      <w:r w:rsidR="007761CC">
        <w:rPr>
          <w:rFonts w:ascii="Times New Roman" w:eastAsia="Times New Roman" w:hAnsi="Times New Roman" w:cs="Times New Roman"/>
          <w:sz w:val="24"/>
          <w:szCs w:val="24"/>
          <w:lang w:eastAsia="pl-PL"/>
        </w:rPr>
        <w:t xml:space="preserve"> </w:t>
      </w:r>
      <w:r w:rsidR="00E44823">
        <w:rPr>
          <w:rFonts w:ascii="Times New Roman" w:eastAsia="Times New Roman" w:hAnsi="Times New Roman" w:cs="Times New Roman"/>
          <w:sz w:val="24"/>
          <w:szCs w:val="24"/>
          <w:lang w:eastAsia="pl-PL"/>
        </w:rPr>
        <w:t>60% </w:t>
      </w:r>
      <w:r w:rsidRPr="00DE2ECE">
        <w:rPr>
          <w:rFonts w:ascii="Times New Roman" w:eastAsia="Times New Roman" w:hAnsi="Times New Roman" w:cs="Times New Roman"/>
          <w:sz w:val="24"/>
          <w:szCs w:val="24"/>
          <w:lang w:eastAsia="pl-PL"/>
        </w:rPr>
        <w:t>dla biopaliw</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i</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biopłynów wytworzonych w</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instalacjach, które rozpoczęły produkcję w</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dniu 1</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stycznia</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2017</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r. lub później. Zgodnie ze zmienionym przepisem, ograniczenie emisji gazów cieplarnianych, które wynika z wykorzystania biopaliw</w:t>
      </w:r>
      <w:r w:rsidR="00E44823">
        <w:rPr>
          <w:rFonts w:ascii="Times New Roman" w:eastAsia="Times New Roman" w:hAnsi="Times New Roman" w:cs="Times New Roman"/>
          <w:sz w:val="24"/>
          <w:szCs w:val="24"/>
          <w:lang w:eastAsia="pl-PL"/>
        </w:rPr>
        <w:t xml:space="preserve"> i </w:t>
      </w:r>
      <w:r w:rsidRPr="00DE2ECE">
        <w:rPr>
          <w:rFonts w:ascii="Times New Roman" w:eastAsia="Times New Roman" w:hAnsi="Times New Roman" w:cs="Times New Roman"/>
          <w:sz w:val="24"/>
          <w:szCs w:val="24"/>
          <w:lang w:eastAsia="pl-PL"/>
        </w:rPr>
        <w:t>biopłynów</w:t>
      </w:r>
      <w:r w:rsidR="00300732">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uwzględnionych do celów, o których mowa w art. 17 ust. </w:t>
      </w:r>
      <w:r w:rsidR="00826D36">
        <w:rPr>
          <w:rFonts w:ascii="Times New Roman" w:eastAsia="Times New Roman" w:hAnsi="Times New Roman" w:cs="Times New Roman"/>
          <w:sz w:val="24"/>
          <w:szCs w:val="24"/>
          <w:lang w:eastAsia="pl-PL"/>
        </w:rPr>
        <w:t>1 ustawy, wynosi co najmniej 60</w:t>
      </w:r>
      <w:r w:rsidRPr="00DE2ECE">
        <w:rPr>
          <w:rFonts w:ascii="Times New Roman" w:eastAsia="Times New Roman" w:hAnsi="Times New Roman" w:cs="Times New Roman"/>
          <w:sz w:val="24"/>
          <w:szCs w:val="24"/>
          <w:lang w:eastAsia="pl-PL"/>
        </w:rPr>
        <w:t>% w przypadku biopali</w:t>
      </w:r>
      <w:r w:rsidR="00E44823">
        <w:rPr>
          <w:rFonts w:ascii="Times New Roman" w:eastAsia="Times New Roman" w:hAnsi="Times New Roman" w:cs="Times New Roman"/>
          <w:sz w:val="24"/>
          <w:szCs w:val="24"/>
          <w:lang w:eastAsia="pl-PL"/>
        </w:rPr>
        <w:t>w i biopłynów wyprodukowanych w </w:t>
      </w:r>
      <w:r w:rsidRPr="00DE2ECE">
        <w:rPr>
          <w:rFonts w:ascii="Times New Roman" w:eastAsia="Times New Roman" w:hAnsi="Times New Roman" w:cs="Times New Roman"/>
          <w:sz w:val="24"/>
          <w:szCs w:val="24"/>
          <w:lang w:eastAsia="pl-PL"/>
        </w:rPr>
        <w:t>instalacjach, które rozpoczęły działalność p</w:t>
      </w:r>
      <w:r w:rsidR="00E44823">
        <w:rPr>
          <w:rFonts w:ascii="Times New Roman" w:eastAsia="Times New Roman" w:hAnsi="Times New Roman" w:cs="Times New Roman"/>
          <w:sz w:val="24"/>
          <w:szCs w:val="24"/>
          <w:lang w:eastAsia="pl-PL"/>
        </w:rPr>
        <w:t>o dniu 5 października 2015 r. W </w:t>
      </w:r>
      <w:r w:rsidRPr="00DE2ECE">
        <w:rPr>
          <w:rFonts w:ascii="Times New Roman" w:eastAsia="Times New Roman" w:hAnsi="Times New Roman" w:cs="Times New Roman"/>
          <w:sz w:val="24"/>
          <w:szCs w:val="24"/>
          <w:lang w:eastAsia="pl-PL"/>
        </w:rPr>
        <w:t xml:space="preserve">przypadku instalacji, które działały w dniu 5 października 2015 r. lub przed tą datą, do celów określonych w ust. 1 biopaliwa zapewniają ograniczenie emisji gazów </w:t>
      </w:r>
      <w:r w:rsidR="00826D36">
        <w:rPr>
          <w:rFonts w:ascii="Times New Roman" w:eastAsia="Times New Roman" w:hAnsi="Times New Roman" w:cs="Times New Roman"/>
          <w:sz w:val="24"/>
          <w:szCs w:val="24"/>
          <w:lang w:eastAsia="pl-PL"/>
        </w:rPr>
        <w:t>cieplarnianych o co najmniej 35</w:t>
      </w:r>
      <w:r w:rsidRPr="00DE2ECE">
        <w:rPr>
          <w:rFonts w:ascii="Times New Roman" w:eastAsia="Times New Roman" w:hAnsi="Times New Roman" w:cs="Times New Roman"/>
          <w:sz w:val="24"/>
          <w:szCs w:val="24"/>
          <w:lang w:eastAsia="pl-PL"/>
        </w:rPr>
        <w:t>% do dnia 31 grudnia 2017 r. i o co najmniej 50% od dnia 1 stycznia 2018 r. Powyższe zobowiązanie zost</w:t>
      </w:r>
      <w:r w:rsidR="00E44823">
        <w:rPr>
          <w:rFonts w:ascii="Times New Roman" w:eastAsia="Times New Roman" w:hAnsi="Times New Roman" w:cs="Times New Roman"/>
          <w:sz w:val="24"/>
          <w:szCs w:val="24"/>
          <w:lang w:eastAsia="pl-PL"/>
        </w:rPr>
        <w:t>ało już wprowadzone w ustawie z </w:t>
      </w:r>
      <w:r w:rsidRPr="00DE2ECE">
        <w:rPr>
          <w:rFonts w:ascii="Times New Roman" w:eastAsia="Times New Roman" w:hAnsi="Times New Roman" w:cs="Times New Roman"/>
          <w:sz w:val="24"/>
          <w:szCs w:val="24"/>
          <w:lang w:eastAsia="pl-PL"/>
        </w:rPr>
        <w:t>dnia 30 listopada 2016 r. o zmianie ustawy – Prawo energetyczne oraz niektórych innych ustaw (Dz. U. poz. 1986).</w:t>
      </w:r>
      <w:r w:rsidR="007761CC">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dyrektywie 2015/1513, w załączniku II, dokonano z</w:t>
      </w:r>
      <w:r w:rsidR="00E44823">
        <w:rPr>
          <w:rFonts w:ascii="Times New Roman" w:eastAsia="Times New Roman" w:hAnsi="Times New Roman" w:cs="Times New Roman"/>
          <w:sz w:val="24"/>
          <w:szCs w:val="24"/>
          <w:lang w:eastAsia="pl-PL"/>
        </w:rPr>
        <w:t>mian w załączniku V część C pkt </w:t>
      </w:r>
      <w:r w:rsidRPr="00DE2ECE">
        <w:rPr>
          <w:rFonts w:ascii="Times New Roman" w:eastAsia="Times New Roman" w:hAnsi="Times New Roman" w:cs="Times New Roman"/>
          <w:sz w:val="24"/>
          <w:szCs w:val="24"/>
          <w:lang w:eastAsia="pl-PL"/>
        </w:rPr>
        <w:t xml:space="preserve">7 dyrektywy 2009/28/WE. Zmiany te zostały implementowane przez wprowadzenie zmian w pkt II.3. </w:t>
      </w:r>
      <w:r w:rsidR="00300732">
        <w:rPr>
          <w:rFonts w:ascii="Times New Roman" w:eastAsia="Times New Roman" w:hAnsi="Times New Roman" w:cs="Times New Roman"/>
          <w:sz w:val="24"/>
          <w:szCs w:val="24"/>
          <w:lang w:eastAsia="pl-PL"/>
        </w:rPr>
        <w:t>pkt 7 załącznika nr 2 do ustawy (</w:t>
      </w:r>
      <w:r w:rsidRPr="00DE2ECE">
        <w:rPr>
          <w:rFonts w:ascii="Times New Roman" w:eastAsia="Times New Roman" w:hAnsi="Times New Roman" w:cs="Times New Roman"/>
          <w:sz w:val="24"/>
          <w:szCs w:val="24"/>
          <w:lang w:eastAsia="pl-PL"/>
        </w:rPr>
        <w:t>dotychczasowy załącznik do ustawy oznaczono jako „załącznik nr 2”</w:t>
      </w:r>
      <w:r w:rsidR="00300732">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Uchylono także pkt I.2 załącznika do ustawy (po zmianie ustawy </w:t>
      </w:r>
      <w:r w:rsidR="00300732">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 xml:space="preserve">załącznik 2). Zmiana ta nie wynika ze zmian wprowadzonych w załączniku do dyrektywy 2009/28/WE. Wynika ona natomiast ze zmiany brzmienia art. 19 ust. 3 tej dyrektywy, który do ustawy został wdrożony w pkt I.2 dotychczas obowiązującego załącznika do ustawy. Dyrektywa 2015/1513 nadaje ww. przepisowi nowe </w:t>
      </w:r>
      <w:r w:rsidR="00E44823">
        <w:rPr>
          <w:rFonts w:ascii="Times New Roman" w:eastAsia="Times New Roman" w:hAnsi="Times New Roman" w:cs="Times New Roman"/>
          <w:sz w:val="24"/>
          <w:szCs w:val="24"/>
          <w:lang w:eastAsia="pl-PL"/>
        </w:rPr>
        <w:t>brzmienie, w związku z</w:t>
      </w:r>
      <w:r w:rsidR="00D60E15">
        <w:rPr>
          <w:rFonts w:ascii="Times New Roman" w:eastAsia="Times New Roman" w:hAnsi="Times New Roman" w:cs="Times New Roman"/>
          <w:sz w:val="24"/>
          <w:szCs w:val="24"/>
          <w:lang w:eastAsia="pl-PL"/>
        </w:rPr>
        <w:t> </w:t>
      </w:r>
      <w:r w:rsidR="00E44823">
        <w:rPr>
          <w:rFonts w:ascii="Times New Roman" w:eastAsia="Times New Roman" w:hAnsi="Times New Roman" w:cs="Times New Roman"/>
          <w:sz w:val="24"/>
          <w:szCs w:val="24"/>
          <w:lang w:eastAsia="pl-PL"/>
        </w:rPr>
        <w:t>czym pkt </w:t>
      </w:r>
      <w:r w:rsidRPr="00DE2ECE">
        <w:rPr>
          <w:rFonts w:ascii="Times New Roman" w:eastAsia="Times New Roman" w:hAnsi="Times New Roman" w:cs="Times New Roman"/>
          <w:sz w:val="24"/>
          <w:szCs w:val="24"/>
          <w:lang w:eastAsia="pl-PL"/>
        </w:rPr>
        <w:t>I.2</w:t>
      </w:r>
      <w:r w:rsidR="00300732">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dotychczas obowiązującego załącznika do ustawy traci aktualność.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 xml:space="preserve">W dyrektywie 2015/1513 wprowadzono także dwa nowe załączniki do dyrektywy 2009/28/WE: załącznik VIII oraz załącznik IX. Załącznik VIII został wprowadzony do ustawy przez dodanie załącznika nr 3, natomiast załącznik IX przez dodanie załącznika nr 1.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Załącznik nr 3, w c</w:t>
      </w:r>
      <w:r w:rsidRPr="00DE2ECE">
        <w:rPr>
          <w:rFonts w:ascii="Times New Roman" w:eastAsia="Times New Roman" w:hAnsi="Times New Roman" w:cs="Times New Roman"/>
          <w:bCs/>
          <w:sz w:val="24"/>
          <w:szCs w:val="24"/>
          <w:lang w:eastAsia="pl-PL"/>
        </w:rPr>
        <w:t>zęści A, określa tymczasowe szacowane emisje surowców dla biopaliw i biopłynów, wynikające z pośredniej zmiany użytkowania gruntów (gCO</w:t>
      </w:r>
      <w:r w:rsidR="00300732">
        <w:rPr>
          <w:vertAlign w:val="subscript"/>
        </w:rPr>
        <w:t>2eq</w:t>
      </w:r>
      <w:r w:rsidRPr="00DE2ECE">
        <w:rPr>
          <w:rFonts w:ascii="Times New Roman" w:eastAsia="Times New Roman" w:hAnsi="Times New Roman" w:cs="Times New Roman"/>
          <w:bCs/>
          <w:sz w:val="24"/>
          <w:szCs w:val="24"/>
          <w:lang w:eastAsia="pl-PL"/>
        </w:rPr>
        <w:t>/MJ) (</w:t>
      </w:r>
      <w:r w:rsidRPr="00DE2ECE">
        <w:rPr>
          <w:rFonts w:ascii="Times New Roman" w:eastAsia="Times New Roman" w:hAnsi="Times New Roman" w:cs="Times New Roman"/>
          <w:sz w:val="24"/>
          <w:szCs w:val="24"/>
          <w:lang w:eastAsia="pl-PL"/>
        </w:rPr>
        <w:t>dla zbóż i innych roślin wysokoskrobiowych, roślin cukrowych oraz roślin oleistych), natomiast w części B biopaliwa i biopłyny, w przypadku których szacowane emisje wynikające z pośredniej zmiany sposobu użytkowania gruntów są uznawane za zerowe.</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Załącznik nr 1 w części A określa natomiast su</w:t>
      </w:r>
      <w:r w:rsidR="00E44823">
        <w:rPr>
          <w:rFonts w:ascii="Times New Roman" w:eastAsia="Times New Roman" w:hAnsi="Times New Roman" w:cs="Times New Roman"/>
          <w:sz w:val="24"/>
          <w:szCs w:val="24"/>
          <w:lang w:eastAsia="pl-PL"/>
        </w:rPr>
        <w:t>rowce i paliwa, których wkład w </w:t>
      </w:r>
      <w:r w:rsidRPr="00DE2ECE">
        <w:rPr>
          <w:rFonts w:ascii="Times New Roman" w:eastAsia="Times New Roman" w:hAnsi="Times New Roman" w:cs="Times New Roman"/>
          <w:sz w:val="24"/>
          <w:szCs w:val="24"/>
          <w:lang w:eastAsia="pl-PL"/>
        </w:rPr>
        <w:t>realizację celu określonego w art. 23 ust. 1 ustawy jest uznawany za dwukrotność ich wartości energetycznej oraz, w części B surowce, których wkład w realizację celu określonego w art. 23 ust. 1 ustawy jest uznawany za dwukrotność ich wartości energetycznej. Część A załącznika nr 1 jest ściśle powiązana z nowym art. 35a ust. 3 ustawy, zgodnie z którym w 2020 r</w:t>
      </w:r>
      <w:r w:rsidR="00CE4514">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udział biokomp</w:t>
      </w:r>
      <w:r w:rsidR="00E44823">
        <w:rPr>
          <w:rFonts w:ascii="Times New Roman" w:eastAsia="Times New Roman" w:hAnsi="Times New Roman" w:cs="Times New Roman"/>
          <w:sz w:val="24"/>
          <w:szCs w:val="24"/>
          <w:lang w:eastAsia="pl-PL"/>
        </w:rPr>
        <w:t>onentów wytworzonych z </w:t>
      </w:r>
      <w:r w:rsidRPr="00DE2ECE">
        <w:rPr>
          <w:rFonts w:ascii="Times New Roman" w:eastAsia="Times New Roman" w:hAnsi="Times New Roman" w:cs="Times New Roman"/>
          <w:sz w:val="24"/>
          <w:szCs w:val="24"/>
          <w:lang w:eastAsia="pl-PL"/>
        </w:rPr>
        <w:t xml:space="preserve">surowców określonych w części A załącznika nr 1 do ustawy, liczony według wartości opałowej, nie może być mniejszy niż 0,1% </w:t>
      </w:r>
      <w:r w:rsidR="00E44823">
        <w:rPr>
          <w:rFonts w:ascii="Times New Roman" w:eastAsia="Times New Roman" w:hAnsi="Times New Roman" w:cs="Times New Roman"/>
          <w:sz w:val="24"/>
          <w:szCs w:val="24"/>
          <w:lang w:eastAsia="pl-PL"/>
        </w:rPr>
        <w:t>ogólnej ilości paliw ciekłych i </w:t>
      </w:r>
      <w:r w:rsidRPr="00DE2ECE">
        <w:rPr>
          <w:rFonts w:ascii="Times New Roman" w:eastAsia="Times New Roman" w:hAnsi="Times New Roman" w:cs="Times New Roman"/>
          <w:sz w:val="24"/>
          <w:szCs w:val="24"/>
          <w:lang w:eastAsia="pl-PL"/>
        </w:rPr>
        <w:t xml:space="preserve">biopaliw ciekłych rozporządzanych przez dokonanie jakiejkolwiek czynności prawnej lub faktycznej na terytorium Rzeczypospolitej Polskiej przez podmiot realizujący Narodowy Cel Wskaźnikowy (NCW), lub zużywanych przez ten podmiot na potrzeby własne na tym terytorium.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Dyrektywa, na podstawie uzasadnionych czynników wymienionych w art. 3 ust. 4 lit. e, umożliwia ustalenie wartości udziału biokomponentów wytworzonych z surowców określonych w części A załącznika IX niższej niż referencyjna 0,5%. Opierając się na czynnikach obiektywnych, takich jak ograniczony potencjał zrównoważonej produkcji biopaliw wyprodukowanych z surowców i innych paliw, wyszczególnionych w części A załącznika IX, oraz ograniczona dostępność na rynku takich biopaliw po racjonalnych cenach</w:t>
      </w:r>
      <w:r w:rsidR="00982BFF">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podjęto decyzję o obniżeniu minimalnego udziału do poziomu 0,1%. Podyktowane to jest obecnym brakiem w Polsce wytwórni biokomponentów opartych na nowatorskich technologiach oraz ograniczonym potencjałem surowcowym dla wytwórni bazujących na istniejących instalacjach. Szacuje się, że wymagany udział </w:t>
      </w:r>
      <w:r w:rsidRPr="00DE2ECE">
        <w:rPr>
          <w:rFonts w:ascii="Times New Roman" w:eastAsia="Times New Roman" w:hAnsi="Times New Roman" w:cs="Times New Roman"/>
          <w:sz w:val="24"/>
          <w:szCs w:val="24"/>
          <w:lang w:eastAsia="pl-PL"/>
        </w:rPr>
        <w:lastRenderedPageBreak/>
        <w:t>energii pochodzącej z biokomponentów zaawansowanych, wytworzonych z dostępnych aktualnie odpadów na istniejących instalacjach, w przypadku ustalenia celu na poziomie referencyjnym, spełniony byłby zaledwie w zakresie około 6,5% punktu procentowego z założonego udziału 0,5%.</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Przepisy projektu ustawy wprowadzają również zmiany będące wynikiem postulatów organów administracji państwowej, mających na celu ujednolicenie funkcjonowania dotychczasowych przepisów i nadanie im jednoznacznego charakteru.</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Poza zmianami definicji w art. 2 ust. 1 ustawy wynikającymi z konieczności wdrożenia przepisów dyrektywy 2015/1513, dokonano także zmian m.in. w definicjach </w:t>
      </w:r>
      <w:r w:rsidR="00982BFF">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importu</w:t>
      </w:r>
      <w:r w:rsidR="00982BFF">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oraz </w:t>
      </w:r>
      <w:r w:rsidR="00982BFF">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nabycia wewnątrzwspólnotowego</w:t>
      </w:r>
      <w:r w:rsidR="00982BFF">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co wynika z konieczności zmiany wyrażenia „Wspólnoty Europejskiej” na wyrażenie „Unia Europejska”. Wprowadzono również zmianę w definicji składu podatkowego przywołując us</w:t>
      </w:r>
      <w:r w:rsidR="00E44823">
        <w:rPr>
          <w:rFonts w:ascii="Times New Roman" w:eastAsia="Times New Roman" w:hAnsi="Times New Roman" w:cs="Times New Roman"/>
          <w:sz w:val="24"/>
          <w:szCs w:val="24"/>
          <w:lang w:eastAsia="pl-PL"/>
        </w:rPr>
        <w:t>tawę z dnia 6 grudnia 2008 r. o </w:t>
      </w:r>
      <w:r w:rsidRPr="00DE2ECE">
        <w:rPr>
          <w:rFonts w:ascii="Times New Roman" w:eastAsia="Times New Roman" w:hAnsi="Times New Roman" w:cs="Times New Roman"/>
          <w:sz w:val="24"/>
          <w:szCs w:val="24"/>
          <w:lang w:eastAsia="pl-PL"/>
        </w:rPr>
        <w:t>podatku akcyzowym (Dz. U. z 2017 r. poz.</w:t>
      </w:r>
      <w:r w:rsidR="00CE4514">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43, z późn. zm.) – art. 2 ust. 1 pkt 10 tej ustawy.</w:t>
      </w:r>
      <w:r w:rsidR="007761CC">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art. 2 </w:t>
      </w:r>
      <w:r w:rsidR="00982BFF">
        <w:rPr>
          <w:rFonts w:ascii="Times New Roman" w:eastAsia="Times New Roman" w:hAnsi="Times New Roman" w:cs="Times New Roman"/>
          <w:sz w:val="24"/>
          <w:szCs w:val="24"/>
          <w:lang w:eastAsia="pl-PL"/>
        </w:rPr>
        <w:t xml:space="preserve">w </w:t>
      </w:r>
      <w:r w:rsidRPr="00DE2ECE">
        <w:rPr>
          <w:rFonts w:ascii="Times New Roman" w:eastAsia="Times New Roman" w:hAnsi="Times New Roman" w:cs="Times New Roman"/>
          <w:sz w:val="24"/>
          <w:szCs w:val="24"/>
          <w:lang w:eastAsia="pl-PL"/>
        </w:rPr>
        <w:t xml:space="preserve">ust. 1 w pkt 11 </w:t>
      </w:r>
      <w:r w:rsidR="00982BFF">
        <w:rPr>
          <w:rFonts w:ascii="Times New Roman" w:eastAsia="Times New Roman" w:hAnsi="Times New Roman" w:cs="Times New Roman"/>
          <w:sz w:val="24"/>
          <w:szCs w:val="24"/>
          <w:lang w:eastAsia="pl-PL"/>
        </w:rPr>
        <w:t>ustawy</w:t>
      </w:r>
      <w:r w:rsidRPr="00DE2ECE">
        <w:rPr>
          <w:rFonts w:ascii="Times New Roman" w:eastAsia="Times New Roman" w:hAnsi="Times New Roman" w:cs="Times New Roman"/>
          <w:sz w:val="24"/>
          <w:szCs w:val="24"/>
          <w:lang w:eastAsia="pl-PL"/>
        </w:rPr>
        <w:t xml:space="preserve"> dokonano zmiany definicji biopaliw ciekłych, która jest konsekwencją zmian wprowadzonych w definicji paliw ciekłych</w:t>
      </w:r>
      <w:r w:rsidR="006C00A1">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oraz dodano definicję terminów: </w:t>
      </w:r>
      <w:r w:rsidRPr="00DE2ECE">
        <w:rPr>
          <w:rFonts w:ascii="Times New Roman" w:eastAsia="Times New Roman" w:hAnsi="Times New Roman" w:cs="Times New Roman"/>
          <w:i/>
          <w:sz w:val="24"/>
          <w:szCs w:val="24"/>
          <w:lang w:eastAsia="pl-PL"/>
        </w:rPr>
        <w:t>paliwa</w:t>
      </w:r>
      <w:r w:rsidR="007761CC">
        <w:rPr>
          <w:rFonts w:ascii="Times New Roman" w:eastAsia="Times New Roman" w:hAnsi="Times New Roman" w:cs="Times New Roman"/>
          <w:i/>
          <w:sz w:val="24"/>
          <w:szCs w:val="24"/>
          <w:lang w:eastAsia="pl-PL"/>
        </w:rPr>
        <w:t xml:space="preserve"> </w:t>
      </w:r>
      <w:r w:rsidRPr="00DE2ECE">
        <w:rPr>
          <w:rFonts w:ascii="Times New Roman" w:eastAsia="Times New Roman" w:hAnsi="Times New Roman" w:cs="Times New Roman"/>
          <w:sz w:val="24"/>
          <w:szCs w:val="24"/>
          <w:lang w:eastAsia="pl-PL"/>
        </w:rPr>
        <w:t>i</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i/>
          <w:sz w:val="24"/>
          <w:szCs w:val="24"/>
          <w:lang w:eastAsia="pl-PL"/>
        </w:rPr>
        <w:t>współuwodornienie</w:t>
      </w:r>
      <w:r w:rsidRPr="00DE2ECE">
        <w:rPr>
          <w:rFonts w:ascii="Times New Roman" w:eastAsia="Times New Roman" w:hAnsi="Times New Roman" w:cs="Times New Roman"/>
          <w:sz w:val="24"/>
          <w:szCs w:val="24"/>
          <w:lang w:eastAsia="pl-PL"/>
        </w:rPr>
        <w:t xml:space="preserve"> w celu umożliwienia </w:t>
      </w:r>
      <w:r w:rsidR="00982BFF" w:rsidRPr="00DE2ECE">
        <w:rPr>
          <w:rFonts w:ascii="Times New Roman" w:eastAsia="Times New Roman" w:hAnsi="Times New Roman" w:cs="Times New Roman"/>
          <w:sz w:val="24"/>
          <w:szCs w:val="24"/>
          <w:lang w:eastAsia="pl-PL"/>
        </w:rPr>
        <w:t xml:space="preserve">stosowania </w:t>
      </w:r>
      <w:r w:rsidRPr="00DE2ECE">
        <w:rPr>
          <w:rFonts w:ascii="Times New Roman" w:eastAsia="Times New Roman" w:hAnsi="Times New Roman" w:cs="Times New Roman"/>
          <w:sz w:val="24"/>
          <w:szCs w:val="24"/>
          <w:lang w:eastAsia="pl-PL"/>
        </w:rPr>
        <w:t xml:space="preserve">do realizacji NCW produktów (tj. biokomponentów) powstających w procesach jednoczesnej </w:t>
      </w:r>
      <w:r w:rsidRPr="00DE2ECE">
        <w:rPr>
          <w:rFonts w:ascii="Times New Roman" w:eastAsia="Calibri" w:hAnsi="Times New Roman" w:cs="Times New Roman"/>
          <w:sz w:val="24"/>
          <w:szCs w:val="24"/>
        </w:rPr>
        <w:t>hydrorafinacji frakcji pochodzących z prze</w:t>
      </w:r>
      <w:r w:rsidR="00E44823">
        <w:rPr>
          <w:rFonts w:ascii="Times New Roman" w:eastAsia="Calibri" w:hAnsi="Times New Roman" w:cs="Times New Roman"/>
          <w:sz w:val="24"/>
          <w:szCs w:val="24"/>
        </w:rPr>
        <w:t>robu ropy naftowej i biomasy, z </w:t>
      </w:r>
      <w:r w:rsidRPr="00DE2ECE">
        <w:rPr>
          <w:rFonts w:ascii="Times New Roman" w:eastAsia="Calibri" w:hAnsi="Times New Roman" w:cs="Times New Roman"/>
          <w:sz w:val="24"/>
          <w:szCs w:val="24"/>
        </w:rPr>
        <w:t>których następnie powstają paliwa</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 xml:space="preserve">(szczegółowo ta kwestia została opisana w dalszej części uzasadnienia).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2ECE">
        <w:rPr>
          <w:rFonts w:ascii="Times New Roman" w:eastAsia="Times New Roman" w:hAnsi="Times New Roman" w:cs="Times New Roman"/>
          <w:sz w:val="24"/>
          <w:szCs w:val="24"/>
          <w:lang w:eastAsia="pl-PL"/>
        </w:rPr>
        <w:t xml:space="preserve">W art. 2 ust. 1 pkt 20a ustawy wprowadzono także zmianę w definicji podmiotu sprowadzającego. Dotychczas zakres prowadzonej przez ten podmiot działalności obejmował takie czynności jak import lub nabycie wewnątrzwspólnotowe biokomponentów, a następnie ich sprzedaż lub zbycie w innej formie. W niniejszym projekcie ustawy zmieniono definicję w taki sposób, aby możliwe było uwzględnienie sytuacji, w której biokomponenty są importowane lub nabywane wewnątrzwspólnotowo przez wyspecjalizowany podmiot. Nowelizowana definicja podmiotu sprowadzającego uwzględnia również przepisy ustawy z dnia 22 lipca 2016 r. o zmianie ustawy – </w:t>
      </w:r>
      <w:r w:rsidRPr="00DE2ECE">
        <w:rPr>
          <w:rFonts w:ascii="Times New Roman" w:eastAsia="Times New Roman" w:hAnsi="Times New Roman" w:cs="Times New Roman"/>
          <w:i/>
          <w:sz w:val="24"/>
          <w:szCs w:val="24"/>
          <w:lang w:eastAsia="pl-PL"/>
        </w:rPr>
        <w:t>Prawo energetyczne oraz niektórych innych ustaw</w:t>
      </w:r>
      <w:r w:rsidRPr="00DE2ECE">
        <w:rPr>
          <w:rFonts w:ascii="Times New Roman" w:eastAsia="Times New Roman" w:hAnsi="Times New Roman" w:cs="Times New Roman"/>
          <w:sz w:val="24"/>
          <w:szCs w:val="24"/>
          <w:lang w:eastAsia="pl-PL"/>
        </w:rPr>
        <w:t xml:space="preserve"> (Dz. U. poz. 1156) (dalej: „</w:t>
      </w:r>
      <w:r w:rsidRPr="00DE2ECE">
        <w:rPr>
          <w:rFonts w:ascii="Times New Roman" w:eastAsia="Times New Roman" w:hAnsi="Times New Roman" w:cs="Times New Roman"/>
          <w:i/>
          <w:sz w:val="24"/>
          <w:szCs w:val="24"/>
          <w:lang w:eastAsia="pl-PL"/>
        </w:rPr>
        <w:t>ustawie pakiet energetyczny</w:t>
      </w:r>
      <w:r w:rsidRPr="00DE2ECE">
        <w:rPr>
          <w:rFonts w:ascii="Times New Roman" w:eastAsia="Times New Roman" w:hAnsi="Times New Roman" w:cs="Times New Roman"/>
          <w:sz w:val="24"/>
          <w:szCs w:val="24"/>
          <w:lang w:eastAsia="pl-PL"/>
        </w:rPr>
        <w:t xml:space="preserve">”), wprowadzające w miejsce pojęcia: „sprzedaż lub zbycie w innej </w:t>
      </w:r>
      <w:r w:rsidRPr="00DE2ECE">
        <w:rPr>
          <w:rFonts w:ascii="Times New Roman" w:eastAsia="Times New Roman" w:hAnsi="Times New Roman" w:cs="Times New Roman"/>
          <w:sz w:val="24"/>
          <w:szCs w:val="24"/>
          <w:lang w:eastAsia="pl-PL"/>
        </w:rPr>
        <w:lastRenderedPageBreak/>
        <w:t xml:space="preserve">formie” sformułowanie: „rozporządzenie przez dokonanie jakiejkolwiek czynności prawnej lub faktycznej”.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konsekwencji wprowadzonych zmian w definicji podmiotu sprowadzającego niezbędne było wprowadzenie zmian w pozostałych przepisach ustawy odnoszących się do działalności tego podmiotu, mających na celu dostosowanie ich brzmienia do treści nowelizowanej definicji. W związku z powyższ</w:t>
      </w:r>
      <w:r w:rsidR="00E44823">
        <w:rPr>
          <w:rFonts w:ascii="Times New Roman" w:eastAsia="Times New Roman" w:hAnsi="Times New Roman" w:cs="Times New Roman"/>
          <w:sz w:val="24"/>
          <w:szCs w:val="24"/>
          <w:lang w:eastAsia="pl-PL"/>
        </w:rPr>
        <w:t>ym zmiany zostały wprowadzone w </w:t>
      </w:r>
      <w:r w:rsidRPr="00DE2ECE">
        <w:rPr>
          <w:rFonts w:ascii="Times New Roman" w:eastAsia="Times New Roman" w:hAnsi="Times New Roman" w:cs="Times New Roman"/>
          <w:sz w:val="24"/>
          <w:szCs w:val="24"/>
          <w:lang w:eastAsia="pl-PL"/>
        </w:rPr>
        <w:t xml:space="preserve">następujących przepisach ustawy: art. 12a, art. 12b pkt 2 i </w:t>
      </w:r>
      <w:r w:rsidR="00E44823">
        <w:rPr>
          <w:rFonts w:ascii="Times New Roman" w:eastAsia="Times New Roman" w:hAnsi="Times New Roman" w:cs="Times New Roman"/>
          <w:sz w:val="24"/>
          <w:szCs w:val="24"/>
          <w:lang w:eastAsia="pl-PL"/>
        </w:rPr>
        <w:t>4, art. 12c ust. 1 i ust. 4 pkt </w:t>
      </w:r>
      <w:r w:rsidRPr="00DE2ECE">
        <w:rPr>
          <w:rFonts w:ascii="Times New Roman" w:eastAsia="Times New Roman" w:hAnsi="Times New Roman" w:cs="Times New Roman"/>
          <w:sz w:val="24"/>
          <w:szCs w:val="24"/>
          <w:lang w:eastAsia="pl-PL"/>
        </w:rPr>
        <w:t xml:space="preserve">1, art. 30 oraz art. 33. Ponadto, m.in. na skutek zmiany wprowadzonej w art. 2 ust. 1 pkt 20a ustawy, </w:t>
      </w:r>
      <w:r w:rsidR="00982BFF">
        <w:rPr>
          <w:rFonts w:ascii="Times New Roman" w:eastAsia="Times New Roman" w:hAnsi="Times New Roman" w:cs="Times New Roman"/>
          <w:sz w:val="24"/>
          <w:szCs w:val="24"/>
          <w:lang w:eastAsia="pl-PL"/>
        </w:rPr>
        <w:t>dokonano zmian w art. 30 ustawy</w:t>
      </w:r>
      <w:r w:rsidRPr="00DE2ECE">
        <w:rPr>
          <w:rFonts w:ascii="Times New Roman" w:eastAsia="Times New Roman" w:hAnsi="Times New Roman" w:cs="Times New Roman"/>
          <w:sz w:val="24"/>
          <w:szCs w:val="24"/>
          <w:lang w:eastAsia="pl-PL"/>
        </w:rPr>
        <w:t xml:space="preserve"> ust. 1b, dokonano zmiany w ust. 4a </w:t>
      </w:r>
      <w:r w:rsidR="00982BFF">
        <w:rPr>
          <w:rFonts w:ascii="Times New Roman" w:eastAsia="Times New Roman" w:hAnsi="Times New Roman" w:cs="Times New Roman"/>
          <w:sz w:val="24"/>
          <w:szCs w:val="24"/>
          <w:lang w:eastAsia="pl-PL"/>
        </w:rPr>
        <w:t>tego artykułu oraz dodano nowy ust.</w:t>
      </w:r>
      <w:r w:rsidRPr="00DE2ECE">
        <w:rPr>
          <w:rFonts w:ascii="Times New Roman" w:eastAsia="Times New Roman" w:hAnsi="Times New Roman" w:cs="Times New Roman"/>
          <w:sz w:val="24"/>
          <w:szCs w:val="24"/>
          <w:lang w:eastAsia="pl-PL"/>
        </w:rPr>
        <w:t xml:space="preserve"> 4b.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Ponadto w art. 14 projektu ustawy wprowadzono przepis, na mocy którego podmioty, które przed dniem wejścia w życie tej ustawy uzyskały wpis do rejestru podmiotów sprowadzających w zakresie wykonywania działalności gospodarczej w zakresie importu lub nabycia wewnątrzwspólnotowego biokomponentów, a następnie ich rozporządzenia przez dokonanie jakiejkolwiek czynności prawnej lub faktycznej stają się podmiotami sprowadzającymi w rozumieniu</w:t>
      </w:r>
      <w:r w:rsidR="00E44823">
        <w:rPr>
          <w:rFonts w:ascii="Times New Roman" w:eastAsia="Times New Roman" w:hAnsi="Times New Roman" w:cs="Times New Roman"/>
          <w:sz w:val="24"/>
          <w:szCs w:val="24"/>
          <w:lang w:eastAsia="pl-PL"/>
        </w:rPr>
        <w:t xml:space="preserve"> art. 2 ust. 1 pkt 20a ustawy o </w:t>
      </w:r>
      <w:r w:rsidRPr="00DE2ECE">
        <w:rPr>
          <w:rFonts w:ascii="Times New Roman" w:eastAsia="Times New Roman" w:hAnsi="Times New Roman" w:cs="Times New Roman"/>
          <w:sz w:val="24"/>
          <w:szCs w:val="24"/>
          <w:lang w:eastAsia="pl-PL"/>
        </w:rPr>
        <w:t>biokomponentach i biopaliwach ciekłych w brzmieniu nadanym niniejszą ustawą (przepis wprowadzony w związku ze zmianą zakresu działalności podmiotu sprowadzającego).</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Wprowadzono również zmianę w art. 2 ust. 1 pkt 24</w:t>
      </w:r>
      <w:r w:rsidR="00982BFF">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 definicji NCW, przez wskazanie, że do realizacji celu zalicza się biokomponenty zawarte w paliwach ciekłych i biopaliwach ciekłych, co pozwala uniknąć niepożądanej interpretacji, że do tego celu zalicza się również biokomponenty, które nie zos</w:t>
      </w:r>
      <w:r w:rsidR="00E44823">
        <w:rPr>
          <w:rFonts w:ascii="Times New Roman" w:eastAsia="Times New Roman" w:hAnsi="Times New Roman" w:cs="Times New Roman"/>
          <w:sz w:val="24"/>
          <w:szCs w:val="24"/>
          <w:lang w:eastAsia="pl-PL"/>
        </w:rPr>
        <w:t>tały dodane do paliw ciekłych i </w:t>
      </w:r>
      <w:r w:rsidRPr="00DE2ECE">
        <w:rPr>
          <w:rFonts w:ascii="Times New Roman" w:eastAsia="Times New Roman" w:hAnsi="Times New Roman" w:cs="Times New Roman"/>
          <w:sz w:val="24"/>
          <w:szCs w:val="24"/>
          <w:lang w:eastAsia="pl-PL"/>
        </w:rPr>
        <w:t xml:space="preserve">biopaliw ciekłych, a jedynie zostały rozporządzone przez podmiot realizujący NCW.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Dokonano także zmiany w art. 6 ustawy, w związku z faktem, że obecne brzmienie tego przepisu powoduje, że Dyrektor Generalny Krajowego Ośrodka Wsparcia Rolnictwa (KOWR) prowadzi jednocześnie dwa rejestry wytwórców – jeden zawierający dane teleadresowe oraz drugi niezawierający tych danych, przeznaczony do publikacji na stronie internetowej KOWR. Ponadto, zgodnie z art. 7 ustawy</w:t>
      </w:r>
      <w:r w:rsidR="00B03C33">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t>
      </w:r>
      <w:r w:rsidR="00B03C33">
        <w:rPr>
          <w:rFonts w:ascii="Times New Roman" w:eastAsia="Times New Roman" w:hAnsi="Times New Roman" w:cs="Times New Roman"/>
          <w:sz w:val="24"/>
          <w:szCs w:val="24"/>
          <w:lang w:eastAsia="pl-PL"/>
        </w:rPr>
        <w:t xml:space="preserve">w brzmieniu obecnie obowiązującym, </w:t>
      </w:r>
      <w:r w:rsidRPr="00DE2ECE">
        <w:rPr>
          <w:rFonts w:ascii="Times New Roman" w:eastAsia="Times New Roman" w:hAnsi="Times New Roman" w:cs="Times New Roman"/>
          <w:sz w:val="24"/>
          <w:szCs w:val="24"/>
          <w:lang w:eastAsia="pl-PL"/>
        </w:rPr>
        <w:t xml:space="preserve">wytwórca wpisany do rejestru wytwórców jest obowiązany informować organ rejestrowy o każdej zmianie danych zawartych </w:t>
      </w:r>
      <w:r w:rsidR="00FD55D9">
        <w:rPr>
          <w:rFonts w:ascii="Times New Roman" w:eastAsia="Times New Roman" w:hAnsi="Times New Roman" w:cs="Times New Roman"/>
          <w:sz w:val="24"/>
          <w:szCs w:val="24"/>
          <w:lang w:eastAsia="pl-PL"/>
        </w:rPr>
        <w:t xml:space="preserve">w </w:t>
      </w:r>
      <w:r w:rsidRPr="00DE2ECE">
        <w:rPr>
          <w:rFonts w:ascii="Times New Roman" w:eastAsia="Times New Roman" w:hAnsi="Times New Roman" w:cs="Times New Roman"/>
          <w:sz w:val="24"/>
          <w:szCs w:val="24"/>
          <w:lang w:eastAsia="pl-PL"/>
        </w:rPr>
        <w:t xml:space="preserve">rejestrze wytwórców, w szczególności o zakończeniu lub zawieszeniu wykonywania działalności </w:t>
      </w:r>
      <w:r w:rsidRPr="00DE2ECE">
        <w:rPr>
          <w:rFonts w:ascii="Times New Roman" w:eastAsia="Times New Roman" w:hAnsi="Times New Roman" w:cs="Times New Roman"/>
          <w:sz w:val="24"/>
          <w:szCs w:val="24"/>
          <w:lang w:eastAsia="pl-PL"/>
        </w:rPr>
        <w:lastRenderedPageBreak/>
        <w:t>gospodarczej, w terminie 14 dni od dnia zmiany tych danych, pod rygorem wykreślenia z rejestru wytwórców. Przepis powoduje, że Dyrektor Generalny KOWR może, w</w:t>
      </w:r>
      <w:r w:rsidR="00D60E15">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uzasadnionyc</w:t>
      </w:r>
      <w:r w:rsidR="00E44823">
        <w:rPr>
          <w:rFonts w:ascii="Times New Roman" w:eastAsia="Times New Roman" w:hAnsi="Times New Roman" w:cs="Times New Roman"/>
          <w:sz w:val="24"/>
          <w:szCs w:val="24"/>
          <w:lang w:eastAsia="pl-PL"/>
        </w:rPr>
        <w:t>h przypadkach, podjąć decyzję o </w:t>
      </w:r>
      <w:r w:rsidRPr="00DE2ECE">
        <w:rPr>
          <w:rFonts w:ascii="Times New Roman" w:eastAsia="Times New Roman" w:hAnsi="Times New Roman" w:cs="Times New Roman"/>
          <w:sz w:val="24"/>
          <w:szCs w:val="24"/>
          <w:lang w:eastAsia="pl-PL"/>
        </w:rPr>
        <w:t>wykreśleniu wytwórcy z rejestru w</w:t>
      </w:r>
      <w:r w:rsidR="00D60E15">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sytuacji nieprzeka</w:t>
      </w:r>
      <w:r w:rsidR="00E44823">
        <w:rPr>
          <w:rFonts w:ascii="Times New Roman" w:eastAsia="Times New Roman" w:hAnsi="Times New Roman" w:cs="Times New Roman"/>
          <w:sz w:val="24"/>
          <w:szCs w:val="24"/>
          <w:lang w:eastAsia="pl-PL"/>
        </w:rPr>
        <w:t>zania w terminie informacji np. </w:t>
      </w:r>
      <w:r w:rsidRPr="00DE2ECE">
        <w:rPr>
          <w:rFonts w:ascii="Times New Roman" w:eastAsia="Times New Roman" w:hAnsi="Times New Roman" w:cs="Times New Roman"/>
          <w:sz w:val="24"/>
          <w:szCs w:val="24"/>
          <w:lang w:eastAsia="pl-PL"/>
        </w:rPr>
        <w:t xml:space="preserve">o zmianie numeru telefonu lub adresu poczty elektronicznej.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celu uniknięcia konieczności dokonywania zbędnych czynności w postaci jednoczesnego prowadzenia dwóch rejestrów (mając na uwadze fakt, że inne dane teleadresowe znajdują się we wniosku o wpis do rejestru, który to wniosek znajduje się w aktach sprawy danego przedsiębiorcy), jak również w celu uniknięcia możliwości wykreślenia wytwórcy z rejestru z powodu niepoinf</w:t>
      </w:r>
      <w:r w:rsidR="00E44823">
        <w:rPr>
          <w:rFonts w:ascii="Times New Roman" w:eastAsia="Times New Roman" w:hAnsi="Times New Roman" w:cs="Times New Roman"/>
          <w:sz w:val="24"/>
          <w:szCs w:val="24"/>
          <w:lang w:eastAsia="pl-PL"/>
        </w:rPr>
        <w:t>ormowania organu rejestrowego o </w:t>
      </w:r>
      <w:r w:rsidRPr="00DE2ECE">
        <w:rPr>
          <w:rFonts w:ascii="Times New Roman" w:eastAsia="Times New Roman" w:hAnsi="Times New Roman" w:cs="Times New Roman"/>
          <w:sz w:val="24"/>
          <w:szCs w:val="24"/>
          <w:lang w:eastAsia="pl-PL"/>
        </w:rPr>
        <w:t>zmianie innych danych teleadresowych (np. numer telefonu, adres e</w:t>
      </w:r>
      <w:r w:rsidR="00FD55D9">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mail) dokonano zmiany w art. 6 ustawy, któremu nadano brzmienie: „</w:t>
      </w:r>
      <w:r w:rsidRPr="00DE2ECE">
        <w:rPr>
          <w:rFonts w:ascii="Times New Roman" w:eastAsia="Times New Roman" w:hAnsi="Times New Roman" w:cs="Times New Roman"/>
          <w:i/>
          <w:sz w:val="24"/>
          <w:szCs w:val="24"/>
          <w:lang w:eastAsia="pl-PL"/>
        </w:rPr>
        <w:t>Art. 6. 1. Wpisowi do rejestru wytwórców podlegają dane, o których mowa w art. 5 ust. 4 pkt 1</w:t>
      </w:r>
      <w:r w:rsidR="007761CC">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i/>
          <w:sz w:val="24"/>
          <w:szCs w:val="24"/>
          <w:lang w:eastAsia="pl-PL"/>
        </w:rPr>
        <w:t>3, z wyłączeniem innych danych teleadresowych</w:t>
      </w:r>
      <w:r w:rsidRPr="00DE2ECE">
        <w:rPr>
          <w:rFonts w:ascii="Times New Roman" w:eastAsia="Times New Roman" w:hAnsi="Times New Roman" w:cs="Times New Roman"/>
          <w:sz w:val="24"/>
          <w:szCs w:val="24"/>
          <w:lang w:eastAsia="pl-PL"/>
        </w:rPr>
        <w:t xml:space="preserve">.”. W konsekwencji dokonano zmian w art. 6 ust. 3 ustawy.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celu ujednolicenia przepisów dotyczących rejestrów prowadzonych przez Dyrektora Generalnego KOWR analogiczna zmiana z</w:t>
      </w:r>
      <w:r w:rsidR="00E44823">
        <w:rPr>
          <w:rFonts w:ascii="Times New Roman" w:eastAsia="Times New Roman" w:hAnsi="Times New Roman" w:cs="Times New Roman"/>
          <w:sz w:val="24"/>
          <w:szCs w:val="24"/>
          <w:lang w:eastAsia="pl-PL"/>
        </w:rPr>
        <w:t xml:space="preserve">ostała wprowadzona w przepisach </w:t>
      </w:r>
      <w:r w:rsidRPr="00DE2ECE">
        <w:rPr>
          <w:rFonts w:ascii="Times New Roman" w:eastAsia="Times New Roman" w:hAnsi="Times New Roman" w:cs="Times New Roman"/>
          <w:sz w:val="24"/>
          <w:szCs w:val="24"/>
          <w:lang w:eastAsia="pl-PL"/>
        </w:rPr>
        <w:t>dotyczących rejestrów: podmiotów sprowadzających (ar</w:t>
      </w:r>
      <w:r w:rsidR="00E44823">
        <w:rPr>
          <w:rFonts w:ascii="Times New Roman" w:eastAsia="Times New Roman" w:hAnsi="Times New Roman" w:cs="Times New Roman"/>
          <w:sz w:val="24"/>
          <w:szCs w:val="24"/>
          <w:lang w:eastAsia="pl-PL"/>
        </w:rPr>
        <w:t xml:space="preserve">t. 12d ustawy), administratorów </w:t>
      </w:r>
      <w:r w:rsidRPr="00DE2ECE">
        <w:rPr>
          <w:rFonts w:ascii="Times New Roman" w:eastAsia="Times New Roman" w:hAnsi="Times New Roman" w:cs="Times New Roman"/>
          <w:sz w:val="24"/>
          <w:szCs w:val="24"/>
          <w:lang w:eastAsia="pl-PL"/>
        </w:rPr>
        <w:t>systemów certyfikacji (art. 28m ustawy) oraz jedn</w:t>
      </w:r>
      <w:r w:rsidR="00E44823">
        <w:rPr>
          <w:rFonts w:ascii="Times New Roman" w:eastAsia="Times New Roman" w:hAnsi="Times New Roman" w:cs="Times New Roman"/>
          <w:sz w:val="24"/>
          <w:szCs w:val="24"/>
          <w:lang w:eastAsia="pl-PL"/>
        </w:rPr>
        <w:t>ostek certyfikujących (art. 28s </w:t>
      </w:r>
      <w:r w:rsidRPr="00DE2ECE">
        <w:rPr>
          <w:rFonts w:ascii="Times New Roman" w:eastAsia="Times New Roman" w:hAnsi="Times New Roman" w:cs="Times New Roman"/>
          <w:sz w:val="24"/>
          <w:szCs w:val="24"/>
          <w:lang w:eastAsia="pl-PL"/>
        </w:rPr>
        <w:t xml:space="preserve">ustawy).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artykule 12b pkt 2 i 4 ustawy wprowadzono zmiany wynikające ze zmiany definicji podmiotu sprowadzającego – dostosowanie do zakresu prowadzonej działalności gospodarczej. Ponadto w art. 12b pkt 3 ustawy dokonano zmiany, zgodnie z którą podmiot sprowadzający powinien posiadać zezwoleni</w:t>
      </w:r>
      <w:r w:rsidR="00BD6EE0">
        <w:rPr>
          <w:rFonts w:ascii="Times New Roman" w:eastAsia="Times New Roman" w:hAnsi="Times New Roman" w:cs="Times New Roman"/>
          <w:sz w:val="24"/>
          <w:szCs w:val="24"/>
          <w:lang w:eastAsia="pl-PL"/>
        </w:rPr>
        <w:t>a na wykonywanie działalności w </w:t>
      </w:r>
      <w:r w:rsidRPr="00DE2ECE">
        <w:rPr>
          <w:rFonts w:ascii="Times New Roman" w:eastAsia="Times New Roman" w:hAnsi="Times New Roman" w:cs="Times New Roman"/>
          <w:sz w:val="24"/>
          <w:szCs w:val="24"/>
          <w:lang w:eastAsia="pl-PL"/>
        </w:rPr>
        <w:t>zakresie podatku akcyzowego, o ile taki obowiązek wynika z odrębnych przepisów. Powyższa zmiana wynika z faktu, że ustawa o podatku akcyzowym przewiduje szereg zezwoleń na prowadzenie działalności z wykorzystaniem wyrobów akcyzowych. Oprócz zezwoleń na prowadzenie składu podatkowego podmiot może również posiadać np. zezwolenie na nabywanie wewnątrzwspólnotowe wyrobów akcyzowych wysłanych z zastosowaniem procedury zawieszenia poboru akcyzy jako zarejestrowany odbiorca lub na wysyłanie importowanych wyrobów</w:t>
      </w:r>
      <w:r w:rsidR="00BD6EE0">
        <w:rPr>
          <w:rFonts w:ascii="Times New Roman" w:eastAsia="Times New Roman" w:hAnsi="Times New Roman" w:cs="Times New Roman"/>
          <w:sz w:val="24"/>
          <w:szCs w:val="24"/>
          <w:lang w:eastAsia="pl-PL"/>
        </w:rPr>
        <w:t xml:space="preserve"> akcyzowych z miejsca importu z </w:t>
      </w:r>
      <w:r w:rsidRPr="00DE2ECE">
        <w:rPr>
          <w:rFonts w:ascii="Times New Roman" w:eastAsia="Times New Roman" w:hAnsi="Times New Roman" w:cs="Times New Roman"/>
          <w:sz w:val="24"/>
          <w:szCs w:val="24"/>
          <w:lang w:eastAsia="pl-PL"/>
        </w:rPr>
        <w:t xml:space="preserve">zastosowaniem procedury zawieszenia poboru akcyzy jako zarejestrowany </w:t>
      </w:r>
      <w:r w:rsidRPr="00DE2ECE">
        <w:rPr>
          <w:rFonts w:ascii="Times New Roman" w:eastAsia="Times New Roman" w:hAnsi="Times New Roman" w:cs="Times New Roman"/>
          <w:sz w:val="24"/>
          <w:szCs w:val="24"/>
          <w:lang w:eastAsia="pl-PL"/>
        </w:rPr>
        <w:lastRenderedPageBreak/>
        <w:t>wysyłający. Zasadn</w:t>
      </w:r>
      <w:r w:rsidR="006745F4">
        <w:rPr>
          <w:rFonts w:ascii="Times New Roman" w:eastAsia="Times New Roman" w:hAnsi="Times New Roman" w:cs="Times New Roman"/>
          <w:sz w:val="24"/>
          <w:szCs w:val="24"/>
          <w:lang w:eastAsia="pl-PL"/>
        </w:rPr>
        <w:t>e</w:t>
      </w:r>
      <w:r w:rsidRPr="00DE2ECE">
        <w:rPr>
          <w:rFonts w:ascii="Times New Roman" w:eastAsia="Times New Roman" w:hAnsi="Times New Roman" w:cs="Times New Roman"/>
          <w:sz w:val="24"/>
          <w:szCs w:val="24"/>
          <w:lang w:eastAsia="pl-PL"/>
        </w:rPr>
        <w:t xml:space="preserve"> jest zatem rozszerzenie przepisu ustanawiającego warunki, które powinien spełnić podmiot sprowadzający i uwzględnienie wszystkich możliwych zezwoleń wymaganych przez ustawę o podatku akcyzowym.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art. 22 ust. 3 ustawy wprowadzono zmianę, na podstawie której akredytowane jednostki certyfikujące będą zobowiązane do inf</w:t>
      </w:r>
      <w:r w:rsidR="00BD6EE0">
        <w:rPr>
          <w:rFonts w:ascii="Times New Roman" w:eastAsia="Times New Roman" w:hAnsi="Times New Roman" w:cs="Times New Roman"/>
          <w:sz w:val="24"/>
          <w:szCs w:val="24"/>
          <w:lang w:eastAsia="pl-PL"/>
        </w:rPr>
        <w:t>ormowania organu rejestrowego o </w:t>
      </w:r>
      <w:r w:rsidRPr="00DE2ECE">
        <w:rPr>
          <w:rFonts w:ascii="Times New Roman" w:eastAsia="Times New Roman" w:hAnsi="Times New Roman" w:cs="Times New Roman"/>
          <w:sz w:val="24"/>
          <w:szCs w:val="24"/>
          <w:lang w:eastAsia="pl-PL"/>
        </w:rPr>
        <w:t xml:space="preserve">wydaniu lub cofnięciu certyfikatu jakości, w terminie 14 dni od dnia jego wydania lub cofnięcia. Powyższa zmiana wynika z dotychczasowych doświadczeń – akredytowane jednostki certyfikujące przekazywały organowi rejestrowemu powyższe informacje nieregularnie, zazwyczaj jako informacje zbiorcze z dłuższego okresu lub w ogóle ich nie przekazywały.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art. 27 ust. 1 ustawy dokonano zmiany w pkt 1, który dotychczas ma następujące brzmienie: „1) jakości biokomponentów wprowadzanych do obrotu”. Przepis ten został uzupełniony o fragment „lub wykorzystywanych przez producentów do wytwarzania paliw ciekłych lub biopaliw ciekłych” i otrzymał brzmienie: </w:t>
      </w:r>
      <w:r w:rsidRPr="00DE2ECE">
        <w:rPr>
          <w:rFonts w:ascii="Times New Roman" w:eastAsia="Times New Roman" w:hAnsi="Times New Roman" w:cs="Times New Roman"/>
          <w:i/>
          <w:sz w:val="24"/>
          <w:szCs w:val="24"/>
          <w:lang w:eastAsia="pl-PL"/>
        </w:rPr>
        <w:t>„1) jakości biokomponentów wprowadzanych do obrotu lub wykorzystywanych przez producentów do wytwarzania paliw ciekłych lub biopaliw ciekłych”.</w:t>
      </w:r>
      <w:r w:rsidR="00BD6EE0">
        <w:rPr>
          <w:rFonts w:ascii="Times New Roman" w:eastAsia="Times New Roman" w:hAnsi="Times New Roman" w:cs="Times New Roman"/>
          <w:sz w:val="24"/>
          <w:szCs w:val="24"/>
          <w:lang w:eastAsia="pl-PL"/>
        </w:rPr>
        <w:t xml:space="preserve"> Powyższa zmiana wynika z </w:t>
      </w:r>
      <w:r w:rsidRPr="00DE2ECE">
        <w:rPr>
          <w:rFonts w:ascii="Times New Roman" w:eastAsia="Times New Roman" w:hAnsi="Times New Roman" w:cs="Times New Roman"/>
          <w:sz w:val="24"/>
          <w:szCs w:val="24"/>
          <w:lang w:eastAsia="pl-PL"/>
        </w:rPr>
        <w:t>faktu, że zgodnie z art. 22 ust. 1 ustawy biokomponenty wprowadzane do obrotu lub wykorzystywane przez producentów do wytwarzania paliw ciekłych lub biopaliw ciekłych powinny spełniać wymagania jakościowe potwierdzone certyfikatem jakości wydanym przez akredytowane jednostki certyfikujące. Obecne brzmienie art. 27 ust. 1 pkt 1 ustawy nie jest spójne z brzmieniem art. 22 ust. 1 ustawy. W konsekwencji, obecne przepisy nie umożliwiają Inspekcji Handlowej przeprowadzania kontroli jakości biokomponentów wykorzystywanych przez producentów do wytwarzania paliw ciekłych lub biopaliw ciekłych.</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celu uporządkowania przepisów ustawy wprowadzono także zmiany w art. 28y ustawy. Zgodnie z tym przepisem jednostka certyfikująca niezwłocznie informuje organ rejestrowy o wydaniu lub cofnięciu certyfikatu podmiotowi certyfikowanemu. Jednocześnie, zgodnie z art. 33 ust. 1 pkt 1e ustawy, karze pieniężnej podlega ten, kto będąc przedsiębiorcą wykonującym działalność, o której mowa w art. 28q ust. 1 ustawy, nie przekazał organowi rejestrowemu informacji, o której mowa w art. 28y tej ustawy.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Z uwagi na fakt, iż pojęcie „niezwłocznie” użyte w art. 28y ustawy nie jest pojęciem precyzyjnym, ustalenie czy przedsiębiorca w prawidłowy sposób wypełnił </w:t>
      </w:r>
      <w:r w:rsidRPr="00DE2ECE">
        <w:rPr>
          <w:rFonts w:ascii="Times New Roman" w:eastAsia="Times New Roman" w:hAnsi="Times New Roman" w:cs="Times New Roman"/>
          <w:sz w:val="24"/>
          <w:szCs w:val="24"/>
          <w:lang w:eastAsia="pl-PL"/>
        </w:rPr>
        <w:lastRenderedPageBreak/>
        <w:t>przedmiotowy obowiązek jest możliwe dopiero w trakcie post</w:t>
      </w:r>
      <w:r w:rsidR="00664846">
        <w:rPr>
          <w:rFonts w:ascii="Times New Roman" w:eastAsia="Times New Roman" w:hAnsi="Times New Roman" w:cs="Times New Roman"/>
          <w:sz w:val="24"/>
          <w:szCs w:val="24"/>
          <w:lang w:eastAsia="pl-PL"/>
        </w:rPr>
        <w:t>ę</w:t>
      </w:r>
      <w:r w:rsidRPr="00DE2ECE">
        <w:rPr>
          <w:rFonts w:ascii="Times New Roman" w:eastAsia="Times New Roman" w:hAnsi="Times New Roman" w:cs="Times New Roman"/>
          <w:sz w:val="24"/>
          <w:szCs w:val="24"/>
          <w:lang w:eastAsia="pl-PL"/>
        </w:rPr>
        <w:t xml:space="preserve">powania wyjaśniającego. W celu uniknięcia wątpliwości dotyczących złożenia ww. informacji nadano nowe brzmienie art. 28y ustawy: </w:t>
      </w:r>
      <w:r w:rsidRPr="00DE2ECE">
        <w:rPr>
          <w:rFonts w:ascii="Times New Roman" w:eastAsia="Times New Roman" w:hAnsi="Times New Roman" w:cs="Times New Roman"/>
          <w:i/>
          <w:sz w:val="24"/>
          <w:szCs w:val="24"/>
          <w:lang w:eastAsia="pl-PL"/>
        </w:rPr>
        <w:t>„Art. 28y. Jednostka certyfikująca informuje organ rejestrowy o wydaniu lub cofnięciu certyfikatu podmiotowi certyfikowanemu, w terminie 14 dni od jego wydania lub cofnięcia.”.</w:t>
      </w:r>
      <w:r w:rsidRPr="00DE2ECE">
        <w:rPr>
          <w:rFonts w:ascii="Times New Roman" w:eastAsia="Times New Roman" w:hAnsi="Times New Roman" w:cs="Times New Roman"/>
          <w:sz w:val="24"/>
          <w:szCs w:val="24"/>
          <w:lang w:eastAsia="pl-PL"/>
        </w:rPr>
        <w:t xml:space="preserve"> Jednocześnie, w celu umożliwienia weryfikacji przez Dyrektora Generalnego KOWR prawidłowości i terminowości wykonania ww. obowiązku, wprowadzono zmianę w art. 33 ust. 1 pkt 1e ustawy, który otrzymał brzmienie: </w:t>
      </w:r>
      <w:r w:rsidR="00826D36">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i/>
          <w:sz w:val="24"/>
          <w:szCs w:val="24"/>
          <w:lang w:eastAsia="pl-PL"/>
        </w:rPr>
        <w:t>1e) będąc przedsiębiorcą wykonującym dz</w:t>
      </w:r>
      <w:r w:rsidR="00BD6EE0">
        <w:rPr>
          <w:rFonts w:ascii="Times New Roman" w:eastAsia="Times New Roman" w:hAnsi="Times New Roman" w:cs="Times New Roman"/>
          <w:i/>
          <w:sz w:val="24"/>
          <w:szCs w:val="24"/>
          <w:lang w:eastAsia="pl-PL"/>
        </w:rPr>
        <w:t>iałalność, o której mowa w art. </w:t>
      </w:r>
      <w:r w:rsidRPr="00DE2ECE">
        <w:rPr>
          <w:rFonts w:ascii="Times New Roman" w:eastAsia="Times New Roman" w:hAnsi="Times New Roman" w:cs="Times New Roman"/>
          <w:i/>
          <w:sz w:val="24"/>
          <w:szCs w:val="24"/>
          <w:lang w:eastAsia="pl-PL"/>
        </w:rPr>
        <w:t>28q ust. 1, nie przekazał w terminie organowi rejestrowemu informacji, o której mowa w art. 28y,</w:t>
      </w:r>
      <w:r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i/>
          <w:sz w:val="24"/>
          <w:szCs w:val="24"/>
          <w:lang w:eastAsia="pl-PL"/>
        </w:rPr>
        <w:t>lub podał w tej informacji nieprawdziwe dane;</w:t>
      </w:r>
      <w:r w:rsidR="00826D36">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sz w:val="24"/>
          <w:szCs w:val="24"/>
          <w:lang w:eastAsia="pl-PL"/>
        </w:rPr>
        <w:t xml:space="preserve"> Analogiczne zmiany zostały wprowadzone w przepisach dotyczących adminis</w:t>
      </w:r>
      <w:r w:rsidR="00BD6EE0">
        <w:rPr>
          <w:rFonts w:ascii="Times New Roman" w:eastAsia="Times New Roman" w:hAnsi="Times New Roman" w:cs="Times New Roman"/>
          <w:sz w:val="24"/>
          <w:szCs w:val="24"/>
          <w:lang w:eastAsia="pl-PL"/>
        </w:rPr>
        <w:t>tratora systemu certyfikacji (w </w:t>
      </w:r>
      <w:r w:rsidRPr="00DE2ECE">
        <w:rPr>
          <w:rFonts w:ascii="Times New Roman" w:eastAsia="Times New Roman" w:hAnsi="Times New Roman" w:cs="Times New Roman"/>
          <w:sz w:val="24"/>
          <w:szCs w:val="24"/>
          <w:lang w:eastAsia="pl-PL"/>
        </w:rPr>
        <w:t>art. 28p ust. 2 ustawy, zgodnie z którym</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 xml:space="preserve">administrator systemu certyfikacji niezwłocznie informuje organ rejestrowy o cofnięciu zgody na korzystanie z uznanego systemu certyfikacji jednostce certyfikującej, jak również w przepisach karnych </w:t>
      </w:r>
      <w:r w:rsidR="007761CC">
        <w:rPr>
          <w:rFonts w:ascii="Times New Roman" w:eastAsia="Times New Roman" w:hAnsi="Times New Roman" w:cs="Times New Roman"/>
          <w:sz w:val="24"/>
          <w:szCs w:val="24"/>
          <w:lang w:eastAsia="pl-PL"/>
        </w:rPr>
        <w:t>–</w:t>
      </w:r>
      <w:r w:rsidR="00BD6EE0">
        <w:rPr>
          <w:rFonts w:ascii="Times New Roman" w:eastAsia="Times New Roman" w:hAnsi="Times New Roman" w:cs="Times New Roman"/>
          <w:sz w:val="24"/>
          <w:szCs w:val="24"/>
          <w:lang w:eastAsia="pl-PL"/>
        </w:rPr>
        <w:t xml:space="preserve"> art. </w:t>
      </w:r>
      <w:r w:rsidRPr="00DE2ECE">
        <w:rPr>
          <w:rFonts w:ascii="Times New Roman" w:eastAsia="Times New Roman" w:hAnsi="Times New Roman" w:cs="Times New Roman"/>
          <w:sz w:val="24"/>
          <w:szCs w:val="24"/>
          <w:lang w:eastAsia="pl-PL"/>
        </w:rPr>
        <w:t xml:space="preserve">33 ust. 1 pkt 1d ustawy).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Zmiana dokonana w art. 28b ust. 4 ma na celu zaprezentowanie w sposób usystematyzowany wszystkich możliwości, jakie są dostępne w celu wskazania wartości emisji gazów cieplarnianych wynikających z uprawy surowców rolniczych przeznaczonych do wytworzenia biokomponentó</w:t>
      </w:r>
      <w:r w:rsidR="00BD6EE0">
        <w:rPr>
          <w:rFonts w:ascii="Times New Roman" w:eastAsia="Times New Roman" w:hAnsi="Times New Roman" w:cs="Times New Roman"/>
          <w:sz w:val="24"/>
          <w:szCs w:val="24"/>
          <w:lang w:eastAsia="pl-PL"/>
        </w:rPr>
        <w:t>w. Wprowadzona zmiana, zgodna z </w:t>
      </w:r>
      <w:r w:rsidRPr="00DE2ECE">
        <w:rPr>
          <w:rFonts w:ascii="Times New Roman" w:eastAsia="Times New Roman" w:hAnsi="Times New Roman" w:cs="Times New Roman"/>
          <w:sz w:val="24"/>
          <w:szCs w:val="24"/>
          <w:lang w:eastAsia="pl-PL"/>
        </w:rPr>
        <w:t xml:space="preserve">przepisami dyrektywy 2009/28/WE oraz zasadami obowiązującymi w uznanych systemach certyfikacji, umożliwia wykorzystanie w tym celu: (1) wartości standardowych emisji gazów cieplarnianych zawartych w załączniku nr 2 do ustawy, (2) wartości emisji gazów cieplarnianych umieszczonych w wykazie, który został wydany w drodze obwieszczenia przez Ministra </w:t>
      </w:r>
      <w:r w:rsidR="00BD6EE0">
        <w:rPr>
          <w:rFonts w:ascii="Times New Roman" w:eastAsia="Times New Roman" w:hAnsi="Times New Roman" w:cs="Times New Roman"/>
          <w:sz w:val="24"/>
          <w:szCs w:val="24"/>
          <w:lang w:eastAsia="pl-PL"/>
        </w:rPr>
        <w:t>Rolnictwa i Rozwoju Wsi lub (3) </w:t>
      </w:r>
      <w:r w:rsidRPr="00DE2ECE">
        <w:rPr>
          <w:rFonts w:ascii="Times New Roman" w:eastAsia="Times New Roman" w:hAnsi="Times New Roman" w:cs="Times New Roman"/>
          <w:sz w:val="24"/>
          <w:szCs w:val="24"/>
          <w:lang w:eastAsia="pl-PL"/>
        </w:rPr>
        <w:t>wartości rzeczywistych dla tych upraw, pod warunkiem ich wyznaczenia (oblicza się je zgodnie z metodyką określoną w części II</w:t>
      </w:r>
      <w:r w:rsidR="00BD6EE0">
        <w:rPr>
          <w:rFonts w:ascii="Times New Roman" w:eastAsia="Times New Roman" w:hAnsi="Times New Roman" w:cs="Times New Roman"/>
          <w:sz w:val="24"/>
          <w:szCs w:val="24"/>
          <w:lang w:eastAsia="pl-PL"/>
        </w:rPr>
        <w:t>.3 załącznika nr 2 do ustawy. W </w:t>
      </w:r>
      <w:r w:rsidR="00B03C33">
        <w:rPr>
          <w:rFonts w:ascii="Times New Roman" w:eastAsia="Times New Roman" w:hAnsi="Times New Roman" w:cs="Times New Roman"/>
          <w:sz w:val="24"/>
          <w:szCs w:val="24"/>
          <w:lang w:eastAsia="pl-PL"/>
        </w:rPr>
        <w:t>szczególności</w:t>
      </w:r>
      <w:r w:rsidRPr="00DE2ECE">
        <w:rPr>
          <w:rFonts w:ascii="Times New Roman" w:eastAsia="Times New Roman" w:hAnsi="Times New Roman" w:cs="Times New Roman"/>
          <w:sz w:val="24"/>
          <w:szCs w:val="24"/>
          <w:lang w:eastAsia="pl-PL"/>
        </w:rPr>
        <w:t xml:space="preserve"> dwa ostatnie punkty wymienione w tym zestawieniu pozwalają producentom rolnym lub podmiotom certyfikowanym na wskazanie korzystniejszych wartości emisji. Zaproponowane rozwiązanie jest </w:t>
      </w:r>
      <w:r w:rsidR="00BD6EE0">
        <w:rPr>
          <w:rFonts w:ascii="Times New Roman" w:eastAsia="Times New Roman" w:hAnsi="Times New Roman" w:cs="Times New Roman"/>
          <w:sz w:val="24"/>
          <w:szCs w:val="24"/>
          <w:lang w:eastAsia="pl-PL"/>
        </w:rPr>
        <w:t>zgodne z dyrektywą 2009/28/WE i </w:t>
      </w:r>
      <w:r w:rsidRPr="00DE2ECE">
        <w:rPr>
          <w:rFonts w:ascii="Times New Roman" w:eastAsia="Times New Roman" w:hAnsi="Times New Roman" w:cs="Times New Roman"/>
          <w:sz w:val="24"/>
          <w:szCs w:val="24"/>
          <w:lang w:eastAsia="pl-PL"/>
        </w:rPr>
        <w:t xml:space="preserve">jednocześnie poprawia konkurencyjność krajowych producentów rolnych, zajmujących się wytwarzaniem surowców rolnych przeznaczonych do wytwarzania biokomponentów.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 xml:space="preserve">W art. 28b ust. 6 ustawy zawarto upoważnienie dla ministra właściwego do spraw rolnictwa do ogłoszenia, w drodze obwieszczenia, wykazu wartości emisji gazów cieplarnianych wynikających z uprawy surowców rolniczych na obszarach województw, niższych od wartości standardowych emisji gazów cieplarnianych określonych w załączniku nr 2 do ustawy – przy uwzględnieniu wykazu wartości zatwierdzonego przez Komisję Europejską w drodze decyzji. Wykaz ten może zostać, na podstawie art. 19 ust. 2 dyrektywy 2009/28/WE, opracowany i przedstawiony Komisji Europejskiej w formie sprawozdania. Komisja może, na podstawie znowelizowanego dyrektywą 2015/1513 art. 19 ust. 4 dyrektywy 2009/28/WE, zaakceptować ww. sprawozdanie w drodze decyzji. Zaakceptowane sprawozdanie jest następnie publikowane na oficjalnej stronie Komisji Europejskiej, a wartości w nim wskazane mogą być stosowane przez podmioty funkcjonujące na rynku.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Ogłoszenie przez Ministra Rolnictwa i Rozwoju Wsi wykazu wartości emisji gazów cieplarnianych wynikających z uprawy surowców rolniczych na obszarach województw, niższych od wartości standardowych emisji gazów cieplarnianych określonych w załączniku nr 2 do ustawy jest za</w:t>
      </w:r>
      <w:r w:rsidR="00BD6EE0">
        <w:rPr>
          <w:rFonts w:ascii="Times New Roman" w:eastAsia="Times New Roman" w:hAnsi="Times New Roman" w:cs="Times New Roman"/>
          <w:sz w:val="24"/>
          <w:szCs w:val="24"/>
          <w:lang w:eastAsia="pl-PL"/>
        </w:rPr>
        <w:t>tem wyłącznie poinformowaniem o </w:t>
      </w:r>
      <w:r w:rsidRPr="00DE2ECE">
        <w:rPr>
          <w:rFonts w:ascii="Times New Roman" w:eastAsia="Times New Roman" w:hAnsi="Times New Roman" w:cs="Times New Roman"/>
          <w:sz w:val="24"/>
          <w:szCs w:val="24"/>
          <w:lang w:eastAsia="pl-PL"/>
        </w:rPr>
        <w:t xml:space="preserve">wysokości wartości zawartych w sprawozdaniu zaakceptowanym przez Komisję Europejską. W związku z tym nie jest zasadne ogłaszanie ww. wykazu w drodze aktu prawnego powszechnie obowiązującego. Obwieszczenie służy wyłącznie poinformowaniu o stanie istniejącym.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Poza ww. zmianami postulowanymi przez organy administracji publicznej, projekt zawiera również pakiet rozwiązań mających na celu zwiększenie skuteczności eliminowania lub identyfikowania nieuczciwych przedsiębiorców, jak również poprawiających skuteczność działania organów administracji państwowej w celu zapobiegania nieuczciwym praktykom związa</w:t>
      </w:r>
      <w:r w:rsidR="00BD6EE0">
        <w:rPr>
          <w:rFonts w:ascii="Times New Roman" w:eastAsia="Times New Roman" w:hAnsi="Times New Roman" w:cs="Times New Roman"/>
          <w:sz w:val="24"/>
          <w:szCs w:val="24"/>
          <w:lang w:eastAsia="pl-PL"/>
        </w:rPr>
        <w:t>nym z obrotem biokomponentami i </w:t>
      </w:r>
      <w:r w:rsidRPr="00DE2ECE">
        <w:rPr>
          <w:rFonts w:ascii="Times New Roman" w:eastAsia="Times New Roman" w:hAnsi="Times New Roman" w:cs="Times New Roman"/>
          <w:sz w:val="24"/>
          <w:szCs w:val="24"/>
          <w:lang w:eastAsia="pl-PL"/>
        </w:rPr>
        <w:t>paliwami objętymi obowiązkiem NCW.</w:t>
      </w:r>
    </w:p>
    <w:p w:rsidR="0044533E" w:rsidRPr="00DE2ECE" w:rsidRDefault="0044533E" w:rsidP="007776B3">
      <w:p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Należy również mieć na uwadze, iż niezależnie od przyjętych rozwiązań prawnych, dających dodatkowe narzędzia prawne organom administracji publicznej, celowe jest również skoordynowanie działań tych resortów oraz organów administracji, które współuczestniczą w procesie monitorowania prawidłowości realizacji NCW oraz właściwości przepisów prawnych w tym zakresie, w celu poszerzania wymiany informacji oraz poprawy skuteczności prowadzonych działań. Szczególna rola spoczywa w tym kontekście na działaniach ministra właściwego do spraw energii, który </w:t>
      </w:r>
      <w:r w:rsidRPr="00DE2ECE">
        <w:rPr>
          <w:rFonts w:ascii="Times New Roman" w:eastAsia="Times New Roman" w:hAnsi="Times New Roman" w:cs="Times New Roman"/>
          <w:sz w:val="24"/>
          <w:szCs w:val="24"/>
          <w:lang w:eastAsia="pl-PL"/>
        </w:rPr>
        <w:lastRenderedPageBreak/>
        <w:t>zgodnie z art. 128 ust. 2 pkt 2 ustawy z dnia 20 lutego 2015 r. o odnawialnych źródłach energii (Dz. U. z 2017 r. poz. 1148, z późn. zm.), monitoruje funkcjonowanie instrumentów wspierających pozyskiwanie i wykorzystanie energii ze źródeł odnawialnych i działań mających na celu ich wykorzystanie oraz (pkt 3 ww. art.) podejmuje działania mające na celu usprawnienie procedur mogących ograniczać wzrost pozyskiwania energii ze źródeł odnawialnych. Powyższe przepisy, w powiązaniu z tym, że biokomponenty są jedną ze składowych odnawialnych źródeł energii, wskazują na wiodącą rolę Ministra Energii jako inicjatora mających na celu koordynację mechanizmów monitorujących funkcjonowanie tego rynku.</w:t>
      </w:r>
      <w:r w:rsidR="007761CC">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Projekt ustawy wprowadza również szereg zmian prawnych mających na celu usprawnienie procesu monitorowania prawidłowości realizacji NCW oraz zwiększenie efektywności eliminowania nadużyć w tym obszarze. W związku z powyższym, wprowadzono szereg rozwiązań prawnych mających na celu realizację ww. celów, jak również zapewnienie większej przejrzystości rynku, szczególnie w zakresie tych podmiotów, które obowiązkiem NCW są w danym roku kalendarzowym objęte. Dodano nowy art. 11a, zgodnie z którym do wytwarzania biokomponentów przez wytwórców nie będzie można stosować biomasy będącej produktami działów powiązanych z rolnictwem (zgodnie z definicją biomasy zawartą w przepisach ustawy), przy dostawie której została zastosowana stawka podatku VAT wyższa niż 5%. Wprowadzone ograniczenie nie odnosi się natomiast do pozostałych rodzajów biomasy, tj. odpadów lub pozostałości pochodzenia biologicznego z rolnictwa, a także ulegających biodegradacji części odpadów przemysłowych i komunalnych.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praktyce funkcjonowania przedsiębiorców i z uwagi na obowiązujące przepisy ustawy o podatku od towarów i usług, do wytwar</w:t>
      </w:r>
      <w:r w:rsidR="00BD6EE0">
        <w:rPr>
          <w:rFonts w:ascii="Times New Roman" w:eastAsia="Times New Roman" w:hAnsi="Times New Roman" w:cs="Times New Roman"/>
          <w:sz w:val="24"/>
          <w:szCs w:val="24"/>
          <w:lang w:eastAsia="pl-PL"/>
        </w:rPr>
        <w:t>zania biokomponentów (estrów) w </w:t>
      </w:r>
      <w:r w:rsidRPr="00DE2ECE">
        <w:rPr>
          <w:rFonts w:ascii="Times New Roman" w:eastAsia="Times New Roman" w:hAnsi="Times New Roman" w:cs="Times New Roman"/>
          <w:sz w:val="24"/>
          <w:szCs w:val="24"/>
          <w:lang w:eastAsia="pl-PL"/>
        </w:rPr>
        <w:t>oparciu o biomasę będącą produktami działów powiązanych z rolnictwem będzie można w tej kategorii surowców stosować jedynie te, o k</w:t>
      </w:r>
      <w:r w:rsidR="00BD6EE0">
        <w:rPr>
          <w:rFonts w:ascii="Times New Roman" w:eastAsia="Times New Roman" w:hAnsi="Times New Roman" w:cs="Times New Roman"/>
          <w:sz w:val="24"/>
          <w:szCs w:val="24"/>
          <w:lang w:eastAsia="pl-PL"/>
        </w:rPr>
        <w:t>tórych jest mowa w art. 41 ust. </w:t>
      </w:r>
      <w:r w:rsidRPr="00DE2ECE">
        <w:rPr>
          <w:rFonts w:ascii="Times New Roman" w:eastAsia="Times New Roman" w:hAnsi="Times New Roman" w:cs="Times New Roman"/>
          <w:sz w:val="24"/>
          <w:szCs w:val="24"/>
          <w:lang w:eastAsia="pl-PL"/>
        </w:rPr>
        <w:t>2a w związku z pozycją 20 załącznika nr 10 do tej ustawy (a więc jedynie sklasyfikowane według PKWiU w grupowaniu 10.4 oleje i tłuszcze roślinne – wyłącznie jadalne, podlegające opodatkowani</w:t>
      </w:r>
      <w:r w:rsidR="00BD6EE0">
        <w:rPr>
          <w:rFonts w:ascii="Times New Roman" w:eastAsia="Times New Roman" w:hAnsi="Times New Roman" w:cs="Times New Roman"/>
          <w:sz w:val="24"/>
          <w:szCs w:val="24"/>
          <w:lang w:eastAsia="pl-PL"/>
        </w:rPr>
        <w:t>u podatkiem VAT według stawki w </w:t>
      </w:r>
      <w:r w:rsidRPr="00DE2ECE">
        <w:rPr>
          <w:rFonts w:ascii="Times New Roman" w:eastAsia="Times New Roman" w:hAnsi="Times New Roman" w:cs="Times New Roman"/>
          <w:sz w:val="24"/>
          <w:szCs w:val="24"/>
          <w:lang w:eastAsia="pl-PL"/>
        </w:rPr>
        <w:t>wysokości 5%).</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Wprowadzone rozwiązanie ma na celu wyeliminowanie sytuacji, w której nieuczciwe podmioty działające na rynku pośrednictwa obrotu olejami roślinnymi w sposób </w:t>
      </w:r>
      <w:r w:rsidRPr="00DE2ECE">
        <w:rPr>
          <w:rFonts w:ascii="Times New Roman" w:eastAsia="Times New Roman" w:hAnsi="Times New Roman" w:cs="Times New Roman"/>
          <w:sz w:val="24"/>
          <w:szCs w:val="24"/>
          <w:lang w:eastAsia="pl-PL"/>
        </w:rPr>
        <w:lastRenderedPageBreak/>
        <w:t>sztuczny kreują rynek olejów technicznych, tj. olejów roślinnych, dla których zastosowano stawkę VAT 23%. Możliwość dokonania przekwalifikowania towaru zakupionego w zakładzie produkującym czysty olej roślinny objęty 5% stawką VAT, na olej niebędący olejem jadalnym, dla którego VAT wynosi 23%</w:t>
      </w:r>
      <w:r w:rsidR="00DD26C1">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sprzyja powstawaniu działalności przestępczej</w:t>
      </w:r>
      <w:r w:rsidR="00664846">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zwiększając jej opłacalność.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związku z faktem, że oleje nabywane do produkcji estrów zasadniczo są olejami jadalnymi (posiadają cechę jadalności), wprowadzenie rozwiązania, zgodnie z którym olej roślinny (tj. olej rzepakowy, olej sojowy lub inne oleje roślinne), do którego zastosowana byłaby 23% stawka VAT, nie będzie mógł być wykorzystywany do produkcji estrów przyczyni się w praktyce do wyeliminowania procederu polegającego na fikcyjnej zamianie rodzaju sprzedawanego oleju na olej o charakterze niespożywczym objętym wyższą stawką VAT, a w ef</w:t>
      </w:r>
      <w:r w:rsidR="00BD6EE0">
        <w:rPr>
          <w:rFonts w:ascii="Times New Roman" w:eastAsia="Times New Roman" w:hAnsi="Times New Roman" w:cs="Times New Roman"/>
          <w:sz w:val="24"/>
          <w:szCs w:val="24"/>
          <w:lang w:eastAsia="pl-PL"/>
        </w:rPr>
        <w:t>ekcie do ograniczenia nadużyć w </w:t>
      </w:r>
      <w:r w:rsidRPr="00DE2ECE">
        <w:rPr>
          <w:rFonts w:ascii="Times New Roman" w:eastAsia="Times New Roman" w:hAnsi="Times New Roman" w:cs="Times New Roman"/>
          <w:sz w:val="24"/>
          <w:szCs w:val="24"/>
          <w:lang w:eastAsia="pl-PL"/>
        </w:rPr>
        <w:t>tym obszarze.</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Zgodnie z zaproponowanymi przepisami, do wytwarzania biokomponentów nie będzie można stosować innej biomasy będącej produktami działów powiązanych z rolnictwem</w:t>
      </w:r>
      <w:r w:rsidRPr="00DE2ECE" w:rsidDel="008B0444">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(zgodnie z definicją biomasy z ustawy o biokomponentach i biopaliwach ciekłych) niż tej, która została oznaczona stawką 5% VAT. W praktyce funkcjonowania przedsiębiorców i z uwagi na obowiązujące przepis</w:t>
      </w:r>
      <w:r w:rsidR="00BD6EE0">
        <w:rPr>
          <w:rFonts w:ascii="Times New Roman" w:eastAsia="Times New Roman" w:hAnsi="Times New Roman" w:cs="Times New Roman"/>
          <w:sz w:val="24"/>
          <w:szCs w:val="24"/>
          <w:lang w:eastAsia="pl-PL"/>
        </w:rPr>
        <w:t>y ustawy o podatku od towarów i </w:t>
      </w:r>
      <w:r w:rsidRPr="00DE2ECE">
        <w:rPr>
          <w:rFonts w:ascii="Times New Roman" w:eastAsia="Times New Roman" w:hAnsi="Times New Roman" w:cs="Times New Roman"/>
          <w:sz w:val="24"/>
          <w:szCs w:val="24"/>
          <w:lang w:eastAsia="pl-PL"/>
        </w:rPr>
        <w:t>usług, do wytwarzania biokomponentów w</w:t>
      </w:r>
      <w:r w:rsidR="00DD26C1">
        <w:rPr>
          <w:rFonts w:ascii="Times New Roman" w:eastAsia="Times New Roman" w:hAnsi="Times New Roman" w:cs="Times New Roman"/>
          <w:sz w:val="24"/>
          <w:szCs w:val="24"/>
          <w:lang w:eastAsia="pl-PL"/>
        </w:rPr>
        <w:t xml:space="preserve"> oparciu o ten surowiec (a więc</w:t>
      </w:r>
      <w:r w:rsidRPr="00DE2ECE">
        <w:rPr>
          <w:rFonts w:ascii="Times New Roman" w:eastAsia="Times New Roman" w:hAnsi="Times New Roman" w:cs="Times New Roman"/>
          <w:sz w:val="24"/>
          <w:szCs w:val="24"/>
          <w:lang w:eastAsia="pl-PL"/>
        </w:rPr>
        <w:t xml:space="preserve"> olej roślinny, wyższe kwasy tłuszczowe, oleiny, itp.) będzie można w tej kategorii surowców stosować jedynie te, które posiadają cechy produktów jadalnych i w związku z tym objęte są stawką 5% VAT.</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Jednocześnie, przepisy dotyczące sankcji z tytułu niezastosowania się do art. 11a nie uwzględniają przypadku karania z tytułu wykorzystywania do wytwarzania biokomponentów odpadów mimo, iż będą objęte stawką 23% VAT. Definicja biomasy dopuszcza bowiem również stosowanie odpadów – zatem po uzyskaniu dokumentów potwierdzających odpadowy charakter tego surowca, będą </w:t>
      </w:r>
      <w:r w:rsidR="00DD26C1">
        <w:rPr>
          <w:rFonts w:ascii="Times New Roman" w:eastAsia="Times New Roman" w:hAnsi="Times New Roman" w:cs="Times New Roman"/>
          <w:sz w:val="24"/>
          <w:szCs w:val="24"/>
          <w:lang w:eastAsia="pl-PL"/>
        </w:rPr>
        <w:t xml:space="preserve">one </w:t>
      </w:r>
      <w:r w:rsidRPr="00DE2ECE">
        <w:rPr>
          <w:rFonts w:ascii="Times New Roman" w:eastAsia="Times New Roman" w:hAnsi="Times New Roman" w:cs="Times New Roman"/>
          <w:sz w:val="24"/>
          <w:szCs w:val="24"/>
          <w:lang w:eastAsia="pl-PL"/>
        </w:rPr>
        <w:t>mogły mieć nadal zastosowanie w produkcji. Ich stosowanie przez wytwórców będzie je</w:t>
      </w:r>
      <w:r w:rsidR="00BD6EE0">
        <w:rPr>
          <w:rFonts w:ascii="Times New Roman" w:eastAsia="Times New Roman" w:hAnsi="Times New Roman" w:cs="Times New Roman"/>
          <w:sz w:val="24"/>
          <w:szCs w:val="24"/>
          <w:lang w:eastAsia="pl-PL"/>
        </w:rPr>
        <w:t>dnak w </w:t>
      </w:r>
      <w:r w:rsidRPr="00DE2ECE">
        <w:rPr>
          <w:rFonts w:ascii="Times New Roman" w:eastAsia="Times New Roman" w:hAnsi="Times New Roman" w:cs="Times New Roman"/>
          <w:sz w:val="24"/>
          <w:szCs w:val="24"/>
          <w:lang w:eastAsia="pl-PL"/>
        </w:rPr>
        <w:t>praktyce istotnie ograniczone, ponieważ p</w:t>
      </w:r>
      <w:r w:rsidR="00BD6EE0">
        <w:rPr>
          <w:rFonts w:ascii="Times New Roman" w:eastAsia="Times New Roman" w:hAnsi="Times New Roman" w:cs="Times New Roman"/>
          <w:sz w:val="24"/>
          <w:szCs w:val="24"/>
          <w:lang w:eastAsia="pl-PL"/>
        </w:rPr>
        <w:t>rojekt ustawy wprowadza limit w </w:t>
      </w:r>
      <w:r w:rsidRPr="00DE2ECE">
        <w:rPr>
          <w:rFonts w:ascii="Times New Roman" w:eastAsia="Times New Roman" w:hAnsi="Times New Roman" w:cs="Times New Roman"/>
          <w:sz w:val="24"/>
          <w:szCs w:val="24"/>
          <w:lang w:eastAsia="pl-PL"/>
        </w:rPr>
        <w:t>przypadku stosowania surowców uprawniają</w:t>
      </w:r>
      <w:r w:rsidR="00BD6EE0">
        <w:rPr>
          <w:rFonts w:ascii="Times New Roman" w:eastAsia="Times New Roman" w:hAnsi="Times New Roman" w:cs="Times New Roman"/>
          <w:sz w:val="24"/>
          <w:szCs w:val="24"/>
          <w:lang w:eastAsia="pl-PL"/>
        </w:rPr>
        <w:t>cych do podwójnego naliczania w </w:t>
      </w:r>
      <w:r w:rsidRPr="00DE2ECE">
        <w:rPr>
          <w:rFonts w:ascii="Times New Roman" w:eastAsia="Times New Roman" w:hAnsi="Times New Roman" w:cs="Times New Roman"/>
          <w:sz w:val="24"/>
          <w:szCs w:val="24"/>
          <w:lang w:eastAsia="pl-PL"/>
        </w:rPr>
        <w:t>wysokości: 0,3% w</w:t>
      </w:r>
      <w:r w:rsidR="00D60E15">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 xml:space="preserve">2018 r. oraz 0,5% w 2019 r. – zgodnie z art. </w:t>
      </w:r>
      <w:r w:rsidR="00DD26C1">
        <w:rPr>
          <w:rFonts w:ascii="Times New Roman" w:eastAsia="Times New Roman" w:hAnsi="Times New Roman" w:cs="Times New Roman"/>
          <w:sz w:val="24"/>
          <w:szCs w:val="24"/>
          <w:lang w:eastAsia="pl-PL"/>
        </w:rPr>
        <w:t>10</w:t>
      </w:r>
      <w:r w:rsidRPr="00DE2ECE">
        <w:rPr>
          <w:rFonts w:ascii="Times New Roman" w:eastAsia="Times New Roman" w:hAnsi="Times New Roman" w:cs="Times New Roman"/>
          <w:sz w:val="24"/>
          <w:szCs w:val="24"/>
          <w:lang w:eastAsia="pl-PL"/>
        </w:rPr>
        <w:t xml:space="preserve"> projektu ustawy.</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Zaproponowane rozwiązanie zawiera również przepisy, zgodnie z którymi Dyrektor Generalny KOWR wymierza karę pieniężną wytwórcy, który nie zastosował się do wskazanego w art. 11a ograniczenia. Ponadto w dodawanym art. 29 ust. 9 wprowadzono przepis, na podstawie którego Dyrektor Generalny KOWR został uprawniony do przekazywania pozyskiwanych w trakcie prowadzonych kontroli informacji na temat biomasy wykorzystywanej do produkcji biokomponentów, dla której zastosowano 23% stawkę VAT oraz dane dostawców tej biomasy. Wprowadzone rozwiązanie ma na celu umożliwienie organom kontrolnym podległym ministrowi właściwemu do spraw finansów publicznych skuteczniejszego sprawowania monitoringu rynku pośredników zajmujących się dostawami biomasy wykorzystywanej do wytwarzania estrów.</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Proponowane rozwiązanie eliminuje mechanizm oszustw z praktyki gospodarczej oraz wprowadza instrumenty pozwalające na skuteczniejsze sprawowanie nadzory nad rynkiem.</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Projekt ustawy przewiduje także wprowadzenie zmian w art. 14 ustawy, który reguluje zasady wytwarzania przez rolników biopaliw na w</w:t>
      </w:r>
      <w:r w:rsidR="00BD6EE0">
        <w:rPr>
          <w:rFonts w:ascii="Times New Roman" w:eastAsia="Times New Roman" w:hAnsi="Times New Roman" w:cs="Times New Roman"/>
          <w:sz w:val="24"/>
          <w:szCs w:val="24"/>
          <w:lang w:eastAsia="pl-PL"/>
        </w:rPr>
        <w:t>łasny użytek. Dokonano zmiany w </w:t>
      </w:r>
      <w:r w:rsidRPr="00DE2ECE">
        <w:rPr>
          <w:rFonts w:ascii="Times New Roman" w:eastAsia="Times New Roman" w:hAnsi="Times New Roman" w:cs="Times New Roman"/>
          <w:sz w:val="24"/>
          <w:szCs w:val="24"/>
          <w:lang w:eastAsia="pl-PL"/>
        </w:rPr>
        <w:t>art. 14 ust.</w:t>
      </w:r>
      <w:r w:rsidR="00C95081">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1 pkt 2 ustawy, która umożliwi rolnikom wykonywanie ww. czynności bez konieczności posiadania składu podatkowego. Będą oni mogli prowadzić produkcję biopaliw ciekłych na własny użytek poza składem podatkowym z zastosowaniem przedpłaty akcyzy, o której mowa w ustawie z dnia 6 grudnia 2008 r. o podatku akcyzowym. Działanie takie ma uprościć prowadzenie działalności w ww. zakresie przez rolników.</w:t>
      </w:r>
      <w:r w:rsidR="007761CC">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Projekt ustawy zakłada, przez wprowadzenie nowego art. 22a, obowiąz</w:t>
      </w:r>
      <w:r w:rsidR="00DD26C1">
        <w:rPr>
          <w:rFonts w:ascii="Times New Roman" w:eastAsia="Times New Roman" w:hAnsi="Times New Roman" w:cs="Times New Roman"/>
          <w:sz w:val="24"/>
          <w:szCs w:val="24"/>
          <w:lang w:eastAsia="pl-PL"/>
        </w:rPr>
        <w:t>ek</w:t>
      </w:r>
      <w:r w:rsidRPr="00DE2ECE">
        <w:rPr>
          <w:rFonts w:ascii="Times New Roman" w:eastAsia="Times New Roman" w:hAnsi="Times New Roman" w:cs="Times New Roman"/>
          <w:sz w:val="24"/>
          <w:szCs w:val="24"/>
          <w:lang w:eastAsia="pl-PL"/>
        </w:rPr>
        <w:t xml:space="preserve"> corocznego informowania Prezesa Urzędu Regulacji Energetyki (URE) o dokonaniu czynności powodujących, że dany podmiot został objęty obowiązkiem realizacji NCW. Obowiązkiem tym zostały objęte wszystkie podmioty, które w trakcie roku kalendarzowego po raz pierwszy dokonały czynności, o których mowa w definicji podmiotu realizującego NCW, powodujących, iż stały się one podmiotami zobowiązanymi do realizacji obowiązku, o którym mowa w art. 23 ust. 1 ustawy. Nowy obowiązek dotyczy również tych podmiotów, które prowadziły działalność gospodarczą jedynie przez część roku kalendarzowego oraz podmiotów, które wykonały co najmniej jedną z ww. czynności jednokrotnie w ciągu</w:t>
      </w:r>
      <w:r w:rsidR="00BD6EE0">
        <w:rPr>
          <w:rFonts w:ascii="Times New Roman" w:eastAsia="Times New Roman" w:hAnsi="Times New Roman" w:cs="Times New Roman"/>
          <w:sz w:val="24"/>
          <w:szCs w:val="24"/>
          <w:lang w:eastAsia="pl-PL"/>
        </w:rPr>
        <w:t xml:space="preserve"> roku kalendarzowego. Zgodnie </w:t>
      </w:r>
      <w:r w:rsidR="00BD6EE0">
        <w:rPr>
          <w:rFonts w:ascii="Times New Roman" w:eastAsia="Times New Roman" w:hAnsi="Times New Roman" w:cs="Times New Roman"/>
          <w:sz w:val="24"/>
          <w:szCs w:val="24"/>
          <w:lang w:eastAsia="pl-PL"/>
        </w:rPr>
        <w:lastRenderedPageBreak/>
        <w:t>z </w:t>
      </w:r>
      <w:r w:rsidRPr="00DE2ECE">
        <w:rPr>
          <w:rFonts w:ascii="Times New Roman" w:eastAsia="Times New Roman" w:hAnsi="Times New Roman" w:cs="Times New Roman"/>
          <w:sz w:val="24"/>
          <w:szCs w:val="24"/>
          <w:lang w:eastAsia="pl-PL"/>
        </w:rPr>
        <w:t>przepisami projektu ustawy, informacje wskazujące na fakt objęcia obowiązkiem realizacji NCW należy przekazywać Prezesowi URE corocznie, przedkładając stosowną informację Prezesowi URE pisemnie, w postaci papierowej lub elektronicznej, w</w:t>
      </w:r>
      <w:r w:rsidR="00BD6EE0">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terminie 14 dni od dnia wykonania czynności, które powodują objęcie obowiązkiem NCW. Należy wskazać, że istnieje również moż</w:t>
      </w:r>
      <w:r w:rsidR="00BD6EE0">
        <w:rPr>
          <w:rFonts w:ascii="Times New Roman" w:eastAsia="Times New Roman" w:hAnsi="Times New Roman" w:cs="Times New Roman"/>
          <w:sz w:val="24"/>
          <w:szCs w:val="24"/>
          <w:lang w:eastAsia="pl-PL"/>
        </w:rPr>
        <w:t>liwość dokonywania zgłoszenia w </w:t>
      </w:r>
      <w:r w:rsidRPr="00DE2ECE">
        <w:rPr>
          <w:rFonts w:ascii="Times New Roman" w:eastAsia="Times New Roman" w:hAnsi="Times New Roman" w:cs="Times New Roman"/>
          <w:sz w:val="24"/>
          <w:szCs w:val="24"/>
          <w:lang w:eastAsia="pl-PL"/>
        </w:rPr>
        <w:t xml:space="preserve">formie elektronicznej. Brak przekazania informacji zgodnie z wymogami art. 22a ustawy lub przekazanie ww. informacji Prezesowi URE po ustawowym terminie będzie powodowało nałożenie kary pieniężnej na taki podmiot (dodano w art. 33 ustawy nowy przepis karny odnoszący się do ww. obowiązku).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Dzięki wprowadzeniu obowiązku informowania Prezesa URE o objęciu obowiązkiem realizacji NCW, organ administracji będzie uzyskiwał na bieżąco (jeszcze w trakcie roku kalendarzowego) informację na temat liczby i rodzajów podmiotów realizujących NCW. Zestawiając wykaz podmiotów realizujących</w:t>
      </w:r>
      <w:r w:rsidR="00BD6EE0">
        <w:rPr>
          <w:rFonts w:ascii="Times New Roman" w:eastAsia="Times New Roman" w:hAnsi="Times New Roman" w:cs="Times New Roman"/>
          <w:sz w:val="24"/>
          <w:szCs w:val="24"/>
          <w:lang w:eastAsia="pl-PL"/>
        </w:rPr>
        <w:t xml:space="preserve"> NCW, powstały w oparciu o art. </w:t>
      </w:r>
      <w:r w:rsidRPr="00DE2ECE">
        <w:rPr>
          <w:rFonts w:ascii="Times New Roman" w:eastAsia="Times New Roman" w:hAnsi="Times New Roman" w:cs="Times New Roman"/>
          <w:sz w:val="24"/>
          <w:szCs w:val="24"/>
          <w:lang w:eastAsia="pl-PL"/>
        </w:rPr>
        <w:t xml:space="preserve">22a ustawy, z danymi otrzymywanymi od ministra właściwego do spraw finansów publicznych (zmieniany art. 30 ust. 3 ustawy) w ramach kwartalnej sprawozdawczości dotyczącej zaimportowanych lub nabytych wewnątrzwspólnotowo paliw ciekłych lub biopaliw ciekłych lub informacjami rynkowymi, Prezes URE będzie dysponował istotnym narzędziem zmierzającym do właściwego identyfikowania podmiotów zobowiązanych do realizacji NCW.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Prezes URE będzie ponadto prowadził, na podstawie informacji przekazanych na podstawie art. 22a ust. 1 oraz sprawozdań, o których mowa w art. 30b ust. 3 ustawy, wykaz podmiotów realizujących NCW i udostępniał go w Biuletynie Informacji Publicznej URE (dodane ust. 4 i 5 w art. 22 ustawy) – co jest zgodne z uwagami sektora i wpłynie na poprawę przejrzystości rynku w tym obszarze.</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Jednocześnie</w:t>
      </w:r>
      <w:r w:rsidR="00DD26C1">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uchylone zostały przepisy art. </w:t>
      </w:r>
      <w:r w:rsidRPr="00DE2ECE">
        <w:rPr>
          <w:rFonts w:ascii="Times New Roman" w:eastAsia="Times New Roman" w:hAnsi="Times New Roman" w:cs="Times New Roman"/>
          <w:sz w:val="24"/>
          <w:szCs w:val="24"/>
        </w:rPr>
        <w:t>28</w:t>
      </w:r>
      <w:r w:rsidRPr="00DE2ECE">
        <w:rPr>
          <w:rFonts w:ascii="Times New Roman" w:eastAsia="Times New Roman" w:hAnsi="Times New Roman" w:cs="Times New Roman"/>
          <w:sz w:val="24"/>
          <w:szCs w:val="24"/>
          <w:vertAlign w:val="superscript"/>
        </w:rPr>
        <w:t xml:space="preserve">1 </w:t>
      </w:r>
      <w:r w:rsidRPr="00DE2ECE">
        <w:rPr>
          <w:rFonts w:ascii="Times New Roman" w:eastAsia="Times New Roman" w:hAnsi="Times New Roman" w:cs="Times New Roman"/>
          <w:sz w:val="24"/>
          <w:szCs w:val="24"/>
        </w:rPr>
        <w:t>ustawy, wprowadzone zmianami dokonywanymi pakietem energetycznym. Zgodnie z tymi przepisami, wpisu do wykazu podmiotów realizujących NCW Prezes</w:t>
      </w:r>
      <w:r w:rsidR="00BD6EE0">
        <w:rPr>
          <w:rFonts w:ascii="Times New Roman" w:eastAsia="Times New Roman" w:hAnsi="Times New Roman" w:cs="Times New Roman"/>
          <w:sz w:val="24"/>
          <w:szCs w:val="24"/>
        </w:rPr>
        <w:t xml:space="preserve"> URE miał dokonywać w oparciu o </w:t>
      </w:r>
      <w:r w:rsidRPr="00DE2ECE">
        <w:rPr>
          <w:rFonts w:ascii="Times New Roman" w:eastAsia="Times New Roman" w:hAnsi="Times New Roman" w:cs="Times New Roman"/>
          <w:sz w:val="24"/>
          <w:szCs w:val="24"/>
        </w:rPr>
        <w:t>sprawozdania pozyskiwane na podstawie ustawy – Prawo energetyczne.</w:t>
      </w:r>
      <w:r w:rsidRPr="00DE2ECE">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Projekt ustawy nakłada również dodatkowe obowiązki na Dyrektora Generalnego KOWR związane w szczególności z działaniami związanymi z monitorowaniem prawidłowości funkcjonowania wytwórców o</w:t>
      </w:r>
      <w:r w:rsidR="00BD6EE0">
        <w:rPr>
          <w:rFonts w:ascii="Times New Roman" w:eastAsia="Times New Roman" w:hAnsi="Times New Roman" w:cs="Times New Roman"/>
          <w:sz w:val="24"/>
          <w:szCs w:val="24"/>
          <w:lang w:eastAsia="pl-PL"/>
        </w:rPr>
        <w:t>raz podmiotów sprowadzających w </w:t>
      </w:r>
      <w:r w:rsidRPr="00DE2ECE">
        <w:rPr>
          <w:rFonts w:ascii="Times New Roman" w:eastAsia="Times New Roman" w:hAnsi="Times New Roman" w:cs="Times New Roman"/>
          <w:sz w:val="24"/>
          <w:szCs w:val="24"/>
          <w:lang w:eastAsia="pl-PL"/>
        </w:rPr>
        <w:t xml:space="preserve">zakresie stosowanych surowców oraz ich rodzajów uprawniających do zastosowania </w:t>
      </w:r>
      <w:r w:rsidRPr="00DE2ECE">
        <w:rPr>
          <w:rFonts w:ascii="Times New Roman" w:eastAsia="Times New Roman" w:hAnsi="Times New Roman" w:cs="Times New Roman"/>
          <w:sz w:val="24"/>
          <w:szCs w:val="24"/>
          <w:lang w:eastAsia="pl-PL"/>
        </w:rPr>
        <w:lastRenderedPageBreak/>
        <w:t>podwójnego naliczenia lub uwzględnienia ich do real</w:t>
      </w:r>
      <w:r w:rsidR="00BD6EE0">
        <w:rPr>
          <w:rFonts w:ascii="Times New Roman" w:eastAsia="Times New Roman" w:hAnsi="Times New Roman" w:cs="Times New Roman"/>
          <w:sz w:val="24"/>
          <w:szCs w:val="24"/>
          <w:lang w:eastAsia="pl-PL"/>
        </w:rPr>
        <w:t>izacji obowiązkowego udziału, o </w:t>
      </w:r>
      <w:r w:rsidRPr="00DE2ECE">
        <w:rPr>
          <w:rFonts w:ascii="Times New Roman" w:eastAsia="Times New Roman" w:hAnsi="Times New Roman" w:cs="Times New Roman"/>
          <w:sz w:val="24"/>
          <w:szCs w:val="24"/>
          <w:lang w:eastAsia="pl-PL"/>
        </w:rPr>
        <w:t>którym mowa w art. 35a ust. 3. Ponadto Dyrektor Generalny KOWR będzie monitorował informacje przekazywane przez podmioty realizujące NCW, które w</w:t>
      </w:r>
      <w:r w:rsidR="00BD6EE0">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ramach swojej działalności dokonały importu lub nabycia wewnątrzwspólnotowego biokomponentów wykorzystanych do produkcji paliw lub biopaliw ciekłych lub zaimportowały paliwa lub biopaliwa ciekłe zawierające w swoim składzie biokomponenty (nowy art. 30 ust. 2b).</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Projekt ustawy przewiduje także zmiany w sposobie realizacji NCW, które są związane z wdrożeniem przepisów dyrektywy 2015/1513 (o czym mowa w pierwszej części uzasadnienia), jak również wynikają z konieczności dostosowania sposobu realizacji tego obowiązku do sytuacji rynkowej. </w:t>
      </w:r>
    </w:p>
    <w:p w:rsidR="0044533E" w:rsidRPr="00DE2ECE" w:rsidRDefault="0044533E" w:rsidP="007776B3">
      <w:pPr>
        <w:autoSpaceDE w:val="0"/>
        <w:autoSpaceDN w:val="0"/>
        <w:adjustRightInd w:val="0"/>
        <w:spacing w:before="120" w:after="0" w:line="360" w:lineRule="auto"/>
        <w:jc w:val="both"/>
        <w:rPr>
          <w:rFonts w:ascii="Times New Roman" w:eastAsia="Calibri" w:hAnsi="Times New Roman" w:cs="Times New Roman"/>
          <w:sz w:val="24"/>
          <w:szCs w:val="24"/>
        </w:rPr>
      </w:pPr>
      <w:r w:rsidRPr="00DE2ECE">
        <w:rPr>
          <w:rFonts w:ascii="Times New Roman" w:eastAsia="Calibri" w:hAnsi="Times New Roman" w:cs="Times New Roman"/>
          <w:sz w:val="24"/>
          <w:szCs w:val="24"/>
        </w:rPr>
        <w:t>Analizy dotyczące konsumpcji paliw wykonane przez Ministerstwo Energii</w:t>
      </w:r>
      <w:r w:rsidR="007761CC">
        <w:rPr>
          <w:rFonts w:ascii="Times New Roman" w:eastAsia="Calibri" w:hAnsi="Times New Roman" w:cs="Times New Roman"/>
          <w:sz w:val="24"/>
          <w:szCs w:val="24"/>
        </w:rPr>
        <w:t xml:space="preserve"> </w:t>
      </w:r>
      <w:r w:rsidRPr="00DE2ECE">
        <w:rPr>
          <w:rFonts w:ascii="Times New Roman" w:eastAsia="Calibri" w:hAnsi="Times New Roman" w:cs="Times New Roman"/>
          <w:sz w:val="24"/>
          <w:szCs w:val="24"/>
        </w:rPr>
        <w:t>wykazują, że realizacja w 2020 r. NCW na poziomie 8,5%, może wymagać, poza zastosowaniem estrów metylowych w oleju napędowym oraz bioet</w:t>
      </w:r>
      <w:r w:rsidR="00BD6EE0">
        <w:rPr>
          <w:rFonts w:ascii="Times New Roman" w:eastAsia="Calibri" w:hAnsi="Times New Roman" w:cs="Times New Roman"/>
          <w:sz w:val="24"/>
          <w:szCs w:val="24"/>
        </w:rPr>
        <w:t>anolu w benzynach silnikowych w </w:t>
      </w:r>
      <w:r w:rsidRPr="00DE2ECE">
        <w:rPr>
          <w:rFonts w:ascii="Times New Roman" w:eastAsia="Calibri" w:hAnsi="Times New Roman" w:cs="Times New Roman"/>
          <w:sz w:val="24"/>
          <w:szCs w:val="24"/>
        </w:rPr>
        <w:t xml:space="preserve">ilości dopuszczalnej w normach w tym zakresie, wykorzystania dodatkowo ok. 1 mln ton biokomponentów (oszacowane według wartości energetycznej estrów metylowych) w postaci biopaliw ciekłych lub biowęglowodorów ciekłych dodawanych do paliw ciekłych. </w:t>
      </w:r>
    </w:p>
    <w:p w:rsidR="0044533E" w:rsidRPr="00DE2ECE" w:rsidRDefault="0044533E" w:rsidP="007776B3">
      <w:pPr>
        <w:autoSpaceDE w:val="0"/>
        <w:autoSpaceDN w:val="0"/>
        <w:adjustRightInd w:val="0"/>
        <w:spacing w:before="120" w:after="0" w:line="360" w:lineRule="auto"/>
        <w:jc w:val="both"/>
        <w:rPr>
          <w:rFonts w:ascii="Times New Roman" w:eastAsia="Calibri" w:hAnsi="Times New Roman" w:cs="Times New Roman"/>
          <w:sz w:val="24"/>
          <w:szCs w:val="24"/>
        </w:rPr>
      </w:pPr>
      <w:r w:rsidRPr="00DE2ECE">
        <w:rPr>
          <w:rFonts w:ascii="Times New Roman" w:eastAsia="Calibri" w:hAnsi="Times New Roman" w:cs="Times New Roman"/>
          <w:sz w:val="24"/>
          <w:szCs w:val="24"/>
        </w:rPr>
        <w:t>Aby sprostać temu wyzwaniu niezbędne jest zapewnienie dopuszczenia wszelkich potencjalnych technologii pozwalających efektywnie zrealizować unijne zobowiązania. Stąd, m.in. uznano za konieczne zintensyfikowanie działań mających na celu wykorzystanie do realizacji NCW od 2020 r. również technologii współuwodornienia tzn. procesu polegającego na jednoczesnej hydror</w:t>
      </w:r>
      <w:r w:rsidR="00BD6EE0">
        <w:rPr>
          <w:rFonts w:ascii="Times New Roman" w:eastAsia="Calibri" w:hAnsi="Times New Roman" w:cs="Times New Roman"/>
          <w:sz w:val="24"/>
          <w:szCs w:val="24"/>
        </w:rPr>
        <w:t>afinacji frakcji pochodzących z </w:t>
      </w:r>
      <w:r w:rsidRPr="00DE2ECE">
        <w:rPr>
          <w:rFonts w:ascii="Times New Roman" w:eastAsia="Calibri" w:hAnsi="Times New Roman" w:cs="Times New Roman"/>
          <w:sz w:val="24"/>
          <w:szCs w:val="24"/>
        </w:rPr>
        <w:t xml:space="preserve">przerobu ropy naftowej i biomasy, w wyniku którego powstają biowęglowodory ciekłe oraz bio propan-butan w mieszaninie z węglowodorami z przerobu ropy naftowej. W procesie współuwodornienia powstają m.in. mieszaniny biowęglowodorów ciekłych z paliwami ciekłymi, bio propan-butanu z LPG, które zostaną zaliczone do realizacji NCW. Należy mieć również na uwadze, że w procesie współuwodornienia powstają mieszaniny </w:t>
      </w:r>
      <w:r w:rsidR="00826D36">
        <w:rPr>
          <w:rFonts w:ascii="Times New Roman" w:eastAsia="Calibri" w:hAnsi="Times New Roman" w:cs="Times New Roman"/>
          <w:sz w:val="24"/>
          <w:szCs w:val="24"/>
        </w:rPr>
        <w:t>„</w:t>
      </w:r>
      <w:r w:rsidRPr="00DE2ECE">
        <w:rPr>
          <w:rFonts w:ascii="Times New Roman" w:eastAsia="Calibri" w:hAnsi="Times New Roman" w:cs="Times New Roman"/>
          <w:sz w:val="24"/>
          <w:szCs w:val="24"/>
        </w:rPr>
        <w:t>bio</w:t>
      </w:r>
      <w:r w:rsidR="00826D36">
        <w:rPr>
          <w:rFonts w:ascii="Times New Roman" w:eastAsia="Calibri" w:hAnsi="Times New Roman" w:cs="Times New Roman"/>
          <w:sz w:val="24"/>
          <w:szCs w:val="24"/>
        </w:rPr>
        <w:t>”</w:t>
      </w:r>
      <w:r w:rsidRPr="00DE2ECE">
        <w:rPr>
          <w:rFonts w:ascii="Times New Roman" w:eastAsia="Calibri" w:hAnsi="Times New Roman" w:cs="Times New Roman"/>
          <w:sz w:val="24"/>
          <w:szCs w:val="24"/>
        </w:rPr>
        <w:t xml:space="preserve"> z innymi frakcjami pochodzącymi z przeroby ropy naftowej, które nie zostaną wliczone do realizacji NCW. Należy mieć na uwadze, że dotychczasowy brak uregulowań prawnych w tym zakresie jest konsekwencją braku doświadczeń pozwalających na opracowanie metodyki pozwalającej na określenie </w:t>
      </w:r>
      <w:r w:rsidRPr="00DE2ECE">
        <w:rPr>
          <w:rFonts w:ascii="Times New Roman" w:eastAsia="Calibri" w:hAnsi="Times New Roman" w:cs="Times New Roman"/>
          <w:sz w:val="24"/>
          <w:szCs w:val="24"/>
        </w:rPr>
        <w:lastRenderedPageBreak/>
        <w:t xml:space="preserve">zawartości biokomponentów powstałych w procesie współuwodornienia i tym samym uwzględnienie tychże biokomponentów do realizacji NCW. Producenci paliw podnosili z kolei, iż w ich opinii prowadzenie prac badawczych oraz wdrożenie w rafineriach procesu współuwodornienia może okazać się niezasadne w przypadku braku wprowadzenia w przyszłości zmian prawnych umożliwiających zaliczenie produktów pochodzących ze współuwodornienia na poczet realizacji NCW. </w:t>
      </w:r>
    </w:p>
    <w:p w:rsidR="0044533E" w:rsidRPr="00DE2ECE" w:rsidRDefault="0044533E" w:rsidP="007776B3">
      <w:pPr>
        <w:autoSpaceDE w:val="0"/>
        <w:autoSpaceDN w:val="0"/>
        <w:adjustRightInd w:val="0"/>
        <w:spacing w:before="120" w:after="0" w:line="360" w:lineRule="auto"/>
        <w:jc w:val="both"/>
        <w:rPr>
          <w:rFonts w:ascii="Times New Roman" w:eastAsia="Calibri" w:hAnsi="Times New Roman" w:cs="Times New Roman"/>
          <w:sz w:val="24"/>
          <w:szCs w:val="24"/>
        </w:rPr>
      </w:pPr>
      <w:r w:rsidRPr="00DE2ECE">
        <w:rPr>
          <w:rFonts w:ascii="Times New Roman" w:eastAsia="Calibri" w:hAnsi="Times New Roman" w:cs="Times New Roman"/>
          <w:sz w:val="24"/>
          <w:szCs w:val="24"/>
        </w:rPr>
        <w:t>Mając na uwadze powyższe, w projekcie ustawy wprowadzono przepisy dające możliwość zaliczenia produktów współuwodornienia do NCW, co powinno wpłynąć na podjęcie decyzji inwestorskich po stronie producentów paliw oraz przyśpieszenie prac badawczych. Jednocześnie określono delegację ustawową dla Ministra Energii do wydania rozporządzenia w sprawie metodyki obliczania zawartości biokomponentów powstałych w wyniku współuwodornienia biomasy i produktów</w:t>
      </w:r>
      <w:r w:rsidR="00BD6EE0">
        <w:rPr>
          <w:rFonts w:ascii="Times New Roman" w:eastAsia="Calibri" w:hAnsi="Times New Roman" w:cs="Times New Roman"/>
          <w:sz w:val="24"/>
          <w:szCs w:val="24"/>
        </w:rPr>
        <w:t xml:space="preserve"> pochodzących z </w:t>
      </w:r>
      <w:r w:rsidRPr="00DE2ECE">
        <w:rPr>
          <w:rFonts w:ascii="Times New Roman" w:eastAsia="Calibri" w:hAnsi="Times New Roman" w:cs="Times New Roman"/>
          <w:sz w:val="24"/>
          <w:szCs w:val="24"/>
        </w:rPr>
        <w:t>przerobu ropy naftowej. Utworzono także w Ministerstwie Energii zespół roboczy, którego celem będzie opracowanie rozwiązań prawnych w zakresie m.in. metodyki obliczania zawartości powstałych w wyniku proce</w:t>
      </w:r>
      <w:r w:rsidR="00BD6EE0">
        <w:rPr>
          <w:rFonts w:ascii="Times New Roman" w:eastAsia="Calibri" w:hAnsi="Times New Roman" w:cs="Times New Roman"/>
          <w:sz w:val="24"/>
          <w:szCs w:val="24"/>
        </w:rPr>
        <w:t>su współuwodornienia. Do prac w </w:t>
      </w:r>
      <w:r w:rsidRPr="00DE2ECE">
        <w:rPr>
          <w:rFonts w:ascii="Times New Roman" w:eastAsia="Calibri" w:hAnsi="Times New Roman" w:cs="Times New Roman"/>
          <w:sz w:val="24"/>
          <w:szCs w:val="24"/>
        </w:rPr>
        <w:t>zespole zaproszeni zostaną przedstawiciele: Ministerstwa Rolnictwa i Rozwoju Wsi, Ministerstwa Rozwoju, KOWR, URE oraz producentów paliw.</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Calibri" w:hAnsi="Times New Roman" w:cs="Times New Roman"/>
          <w:sz w:val="24"/>
          <w:szCs w:val="24"/>
        </w:rPr>
        <w:t>Ponadto wprowadzono w ustawie ograniczenie dla podmiotów realizujących Narodowy Cel Wskaźnikowy stosowania w latach 2018</w:t>
      </w:r>
      <w:r w:rsidR="007761CC">
        <w:rPr>
          <w:rFonts w:ascii="Times New Roman" w:eastAsia="Calibri" w:hAnsi="Times New Roman" w:cs="Times New Roman"/>
          <w:sz w:val="24"/>
          <w:szCs w:val="24"/>
        </w:rPr>
        <w:t>–</w:t>
      </w:r>
      <w:r w:rsidRPr="00DE2ECE">
        <w:rPr>
          <w:rFonts w:ascii="Times New Roman" w:eastAsia="Calibri" w:hAnsi="Times New Roman" w:cs="Times New Roman"/>
          <w:sz w:val="24"/>
          <w:szCs w:val="24"/>
        </w:rPr>
        <w:t>2019 biowęglowodorów do realizacji NCW. Dodano nowy przepis, zgodnie z którym u</w:t>
      </w:r>
      <w:r w:rsidRPr="00DE2ECE">
        <w:rPr>
          <w:rFonts w:ascii="Times New Roman" w:eastAsia="Times New Roman" w:hAnsi="Times New Roman" w:cs="Times New Roman"/>
          <w:color w:val="000000"/>
          <w:sz w:val="24"/>
          <w:szCs w:val="24"/>
          <w:lang w:eastAsia="pl-PL"/>
        </w:rPr>
        <w:t xml:space="preserve">dział biowęglowodorów ciekłych wykorzystanych przez podmiot realizujący Narodowy Cel Wskaźnikowy do realizacji obowiązku, o którym mowa w art. 23 ust. 1 ustawy, w udziale energetycznym ogólnej ilości paliw ciekłych, biopaliw ciekłych i biokomponentów stosowanych w transporcie drogowym i kolejowym, rozporządzanych przez dokonanie jakiejkolwiek czynności prawnej lub faktycznej na terytorium Rzeczypospolitej Polskiej przez podmiot realizujący NCW, lub zużywanych przez ten podmiot na potrzeby własne na tym terytorium nie może przekroczyć 0,3% w 2018 r. oraz 0,5% w 2019 r. Wprowadzone rozwiązanie ma na celu ograniczenie potencjalnych nieprawidłowości w realizacji NCW przez podmioty zobowiązane. Brak możliwości pełnej weryfikacji zawartości biowęglowodorów ciekłych w paliwach zwiększa ryzyko wystąpienia na rynku działań niepożądanych, w tym poważnych nadużyć.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 xml:space="preserve">W art. 23 ustawy wprowadzono mechanizm opłaty zastępczej polegający na tym, że podmiot realizujący NCW, który udokumentował realizację tego obowiązku na określonym minimalnym poziomie NCW ustalonego na dany rok kalendarzowy może uiścić opłatę zastępczą. Uiszczenie opłaty zastępczej </w:t>
      </w:r>
      <w:r w:rsidR="00BD6EE0">
        <w:rPr>
          <w:rFonts w:ascii="Times New Roman" w:eastAsia="Times New Roman" w:hAnsi="Times New Roman" w:cs="Times New Roman"/>
          <w:sz w:val="24"/>
          <w:szCs w:val="24"/>
          <w:lang w:eastAsia="pl-PL"/>
        </w:rPr>
        <w:t>zgodnie z zasadami wskazanymi w </w:t>
      </w:r>
      <w:r w:rsidRPr="00DE2ECE">
        <w:rPr>
          <w:rFonts w:ascii="Times New Roman" w:eastAsia="Times New Roman" w:hAnsi="Times New Roman" w:cs="Times New Roman"/>
          <w:sz w:val="24"/>
          <w:szCs w:val="24"/>
          <w:lang w:eastAsia="pl-PL"/>
        </w:rPr>
        <w:t xml:space="preserve">przepisach projektu ustawy powoduje wykonanie NCW w danym roku kalendarzowym.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Podmiot realizujący NCW może zrealizować obowiąze</w:t>
      </w:r>
      <w:r w:rsidR="00BD6EE0">
        <w:rPr>
          <w:rFonts w:ascii="Times New Roman" w:eastAsia="Times New Roman" w:hAnsi="Times New Roman" w:cs="Times New Roman"/>
          <w:sz w:val="24"/>
          <w:szCs w:val="24"/>
          <w:lang w:eastAsia="pl-PL"/>
        </w:rPr>
        <w:t>k, o którym mowa w art. 23 ust. </w:t>
      </w:r>
      <w:r w:rsidRPr="00DE2ECE">
        <w:rPr>
          <w:rFonts w:ascii="Times New Roman" w:eastAsia="Times New Roman" w:hAnsi="Times New Roman" w:cs="Times New Roman"/>
          <w:sz w:val="24"/>
          <w:szCs w:val="24"/>
          <w:lang w:eastAsia="pl-PL"/>
        </w:rPr>
        <w:t xml:space="preserve">1 ustawy, uiszczając opłatę zastępczą w wysokości określonej w art. 23 ust. 6 ustawy, jeżeli wykaże, że w roku kalendarzowym, którego dotyczył ten obowiązek, zrealizował NCW na minimalnym określonym poziomie. Zgodnie z dodanym art. 23 ust. 1b ustawy minimalny poziom realizacji NCW, o którym mowa powyżej wynosi co najmniej 85% poziomu obowiązku, o którym mowa w art. 23 ust. 1 ustawy. Minister właściwy do spraw energii może określić, w drodze rozporządzenia, minimalny poziom realizacji NCW, o którym mowa w art. 23 ust. 1a ustawy, uwzględniając minimalny poziom realizacji tego obowiązku określony w art. 23 ust. 1b, a także biorąc pod uwagę sytuację na rynku biokomponentów, paliw ciekłych i biopaliw ciekłych. W art. 7 projektowanej ustawy wskazano, że minimalny poziom realizacji NCW, o którym mowa w art. 23 ust. 1a ustawy, na lata 2018 i 2019 wynosi 85%.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Ponadto w art. 8 projektowanej ustawy wskazano, że minister właściwy do spraw energii może wydać po raz pierwszy rozporządzenie na podstawie art. 23 ust. 1c ustawy na okres począwszy od 2020 r.</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Należy wskazać, że regulacja dotycząca określenia w rozporządzeniu ministra energii minimalnego poziomu realizacji NCW będzie obowiązywała po 2020 r., pod warunkiem że rozporządzenie takie zostanie wydane. Wartość minimalnego poziomu realizacji NCW, jaki będzie musiał osiągnąć podmiot realizujący NCW, aby mógł skorzystać z opłaty zastępczej, będzie mogła zostać ustalona, w drodze rozporządzenia Ministra Energii, wyłącznie w wysokości co najmnie</w:t>
      </w:r>
      <w:r w:rsidR="000548A0">
        <w:rPr>
          <w:rFonts w:ascii="Times New Roman" w:eastAsia="Times New Roman" w:hAnsi="Times New Roman" w:cs="Times New Roman"/>
          <w:sz w:val="24"/>
          <w:szCs w:val="24"/>
          <w:lang w:eastAsia="pl-PL"/>
        </w:rPr>
        <w:t>j 85%. Minister będzie zatem, w </w:t>
      </w:r>
      <w:r w:rsidRPr="00DE2ECE">
        <w:rPr>
          <w:rFonts w:ascii="Times New Roman" w:eastAsia="Times New Roman" w:hAnsi="Times New Roman" w:cs="Times New Roman"/>
          <w:sz w:val="24"/>
          <w:szCs w:val="24"/>
          <w:lang w:eastAsia="pl-PL"/>
        </w:rPr>
        <w:t>drodze rozporządzenia, zmniejszał poziom ulgi wprowadzonej w ustawie w zakresie możliwości częściowego zrealizowania NCW</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przez uiszczenie opłaty zastępczej.</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Calibri" w:hAnsi="Times New Roman" w:cs="Times New Roman"/>
          <w:sz w:val="24"/>
          <w:szCs w:val="24"/>
          <w:shd w:val="clear" w:color="auto" w:fill="FFFFFF"/>
          <w:lang w:eastAsia="pl-PL"/>
        </w:rPr>
        <w:t>W przypadku niewydania ww. rozporządzenia</w:t>
      </w:r>
      <w:r w:rsidRPr="00DE2ECE">
        <w:rPr>
          <w:rFonts w:ascii="Times New Roman" w:eastAsia="Times New Roman" w:hAnsi="Times New Roman" w:cs="Times New Roman"/>
          <w:sz w:val="24"/>
          <w:szCs w:val="24"/>
          <w:lang w:eastAsia="pl-PL"/>
        </w:rPr>
        <w:t xml:space="preserve"> na podstawie art. 23 ust. 1c ustawy</w:t>
      </w:r>
      <w:r w:rsidRPr="00DE2ECE">
        <w:rPr>
          <w:rFonts w:ascii="Times New Roman" w:eastAsia="Calibri" w:hAnsi="Times New Roman" w:cs="Times New Roman"/>
          <w:sz w:val="24"/>
          <w:szCs w:val="24"/>
          <w:shd w:val="clear" w:color="auto" w:fill="FFFFFF"/>
          <w:lang w:eastAsia="pl-PL"/>
        </w:rPr>
        <w:t>, obowiązujący będzie</w:t>
      </w:r>
      <w:r w:rsidRPr="00DE2ECE">
        <w:rPr>
          <w:rFonts w:ascii="Times New Roman" w:eastAsia="Times New Roman" w:hAnsi="Times New Roman" w:cs="Times New Roman"/>
          <w:sz w:val="24"/>
          <w:szCs w:val="24"/>
          <w:lang w:eastAsia="pl-PL"/>
        </w:rPr>
        <w:t xml:space="preserve"> minimalny poziom realizacji NCW</w:t>
      </w:r>
      <w:r w:rsidRPr="00DE2ECE">
        <w:rPr>
          <w:rFonts w:ascii="Times New Roman" w:eastAsia="Calibri" w:hAnsi="Times New Roman" w:cs="Times New Roman"/>
          <w:sz w:val="24"/>
          <w:szCs w:val="24"/>
          <w:shd w:val="clear" w:color="auto" w:fill="FFFFFF"/>
          <w:lang w:eastAsia="pl-PL"/>
        </w:rPr>
        <w:t xml:space="preserve"> określony w art. 23 ust. 1b ustawy </w:t>
      </w:r>
      <w:r w:rsidRPr="00DE2ECE">
        <w:rPr>
          <w:rFonts w:ascii="Times New Roman" w:eastAsia="Calibri" w:hAnsi="Times New Roman" w:cs="Times New Roman"/>
          <w:i/>
          <w:sz w:val="24"/>
          <w:szCs w:val="24"/>
          <w:shd w:val="clear" w:color="auto" w:fill="FFFFFF"/>
          <w:lang w:eastAsia="pl-PL"/>
        </w:rPr>
        <w:t>o biokomponentach i biopaliwach ciekłych</w:t>
      </w:r>
      <w:r w:rsidRPr="00DE2ECE">
        <w:rPr>
          <w:rFonts w:ascii="Times New Roman" w:eastAsia="Calibri" w:hAnsi="Times New Roman" w:cs="Times New Roman"/>
          <w:sz w:val="24"/>
          <w:szCs w:val="24"/>
          <w:shd w:val="clear" w:color="auto" w:fill="FFFFFF"/>
          <w:lang w:eastAsia="pl-PL"/>
        </w:rPr>
        <w:t>.</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 xml:space="preserve">Wysokość opłaty zastępczej będzie obliczana według wzoru określonego w ustawie. Wpływy z tytułu opłaty zastępczej </w:t>
      </w:r>
      <w:r w:rsidRPr="00DE2ECE">
        <w:rPr>
          <w:rFonts w:ascii="Times New Roman" w:eastAsia="Times New Roman" w:hAnsi="Times New Roman" w:cs="Times New Roman"/>
          <w:sz w:val="24"/>
          <w:szCs w:val="24"/>
        </w:rPr>
        <w:t>stanowią przychód Narodowego Funduszu Ochrony Środowiska i Gospodarki Wodnej.</w:t>
      </w:r>
      <w:r w:rsidRPr="00DE2ECE">
        <w:rPr>
          <w:rFonts w:ascii="Times New Roman" w:eastAsia="Times New Roman" w:hAnsi="Times New Roman" w:cs="Times New Roman"/>
          <w:sz w:val="24"/>
          <w:szCs w:val="24"/>
          <w:lang w:eastAsia="pl-PL"/>
        </w:rPr>
        <w:t xml:space="preserve"> Opłata zastępcza będzie uiszczana przez podmiot realizujący NCW w terminie do dnia 31 stycznia każdego roku, za poprzedni rok kalendarzowy. </w:t>
      </w:r>
      <w:r w:rsidRPr="00DE2ECE">
        <w:rPr>
          <w:rFonts w:ascii="Times New Roman" w:eastAsia="Times New Roman" w:hAnsi="Times New Roman" w:cs="Times New Roman"/>
          <w:sz w:val="24"/>
          <w:szCs w:val="24"/>
        </w:rPr>
        <w:t>Narodowy Fundusz Ochrony Środowiska i Gospodarki Wodnej będzie przedstawiał ministrowi właściwemu do spraw energii oraz Prezesowi URE informację o wpłatach z tytułu opłat zastępczych dokonywanych za dany rok kalendarzowy na rachunek bankowy Narodowego Funduszu Ochrony Środowiska i Gospodarki Wodnej, do końca lutego roku następującego po roku, którego dotyczy obowiązek.</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sz w:val="24"/>
          <w:szCs w:val="24"/>
          <w:lang w:eastAsia="pl-PL"/>
        </w:rPr>
        <w:t>W nowym art. 23b ustawy wprowadzono nowy mechanizm tzw. obligatoryjnego blendingu biokomponentów w paliwach ciekłych. Dotychczasowa praktyka postępowania przedsiębiorców</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 xml:space="preserve">powodowała, że od 2007 r. (wraz z wprowadzeniem obowiązku w art. 23 ust. 1 ustawy) NCW realizowane było przez podmioty do tego zobowiązane w pierwszej kolejności przez dodawanie biokomponentów do paliw ciekłych, w drugiej kolejności przez sprzedaż biopaliw ciekłych, głównie </w:t>
      </w:r>
      <w:r w:rsidRPr="00DE2ECE">
        <w:rPr>
          <w:rFonts w:ascii="Times New Roman" w:eastAsia="Times New Roman" w:hAnsi="Times New Roman" w:cs="Times New Roman"/>
          <w:color w:val="000000"/>
          <w:sz w:val="24"/>
          <w:szCs w:val="24"/>
          <w:lang w:eastAsia="pl-PL"/>
        </w:rPr>
        <w:t xml:space="preserve">estrów metylowych stanowiących samoistne paliwo </w:t>
      </w:r>
      <w:r w:rsidR="007761CC">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 B100</w:t>
      </w:r>
      <w:r w:rsidRPr="00DE2ECE">
        <w:rPr>
          <w:rFonts w:ascii="Times New Roman" w:eastAsia="Times New Roman" w:hAnsi="Times New Roman" w:cs="Times New Roman"/>
          <w:sz w:val="24"/>
          <w:szCs w:val="24"/>
          <w:lang w:eastAsia="pl-PL"/>
        </w:rPr>
        <w:t xml:space="preserve">. Jednocześnie w ostatnim okresie zaobserwowano występowanie na rynku coraz większych ilości paliw ciekłych nie zawierających biokomponentów, głównie w postaci B0. </w:t>
      </w:r>
      <w:r w:rsidRPr="00DE2ECE">
        <w:rPr>
          <w:rFonts w:ascii="Times New Roman" w:eastAsia="Times New Roman" w:hAnsi="Times New Roman" w:cs="Times New Roman"/>
          <w:color w:val="000000"/>
          <w:sz w:val="24"/>
          <w:szCs w:val="24"/>
          <w:lang w:eastAsia="pl-PL"/>
        </w:rPr>
        <w:t xml:space="preserve">Zgodnie z opinią Polskiej Izby Paliw Płynnych, występowanie na rynku detalicznym paliw ciekłych B0, mimo formalnego obowiązku realizacji NCW, może świadczyć m.in. o nielegalnym obrocie paliwami w ramach tzw. </w:t>
      </w:r>
      <w:r w:rsidR="00826D36">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szarej strefy”. Dlatego też, w początkowej fazie prac nad nowelizacją ustawy, propozycja obligatoryjnego blendingu miała na celu zredukowanie ilości B0 na rynku oraz liczby podmiotów nimi operujących, z uwagi na obowiązek dodawania biokomponentów do paliw ciekłych.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Jednocześnie, w trakcie procedowania projektu usta</w:t>
      </w:r>
      <w:r w:rsidR="000548A0">
        <w:rPr>
          <w:rFonts w:ascii="Times New Roman" w:eastAsia="Times New Roman" w:hAnsi="Times New Roman" w:cs="Times New Roman"/>
          <w:color w:val="000000"/>
          <w:sz w:val="24"/>
          <w:szCs w:val="24"/>
          <w:lang w:eastAsia="pl-PL"/>
        </w:rPr>
        <w:t>wy, analizowano wpływ wejścia w </w:t>
      </w:r>
      <w:r w:rsidRPr="00DE2ECE">
        <w:rPr>
          <w:rFonts w:ascii="Times New Roman" w:eastAsia="Times New Roman" w:hAnsi="Times New Roman" w:cs="Times New Roman"/>
          <w:color w:val="000000"/>
          <w:sz w:val="24"/>
          <w:szCs w:val="24"/>
          <w:lang w:eastAsia="pl-PL"/>
        </w:rPr>
        <w:t>życie „pakietu paliwowego”</w:t>
      </w:r>
      <w:r w:rsidR="0052333B">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 tj. pakietu ustaw mających na celu ograniczenie funkcjonowania „szarej strefy”, w tym w szczególności zmianami przepisów dotyczących podatku VAT. Dostępne w tym zakresie dane rynkowe, w tym poziom oficjalnej konsumpcji paliw, wskazuje, </w:t>
      </w:r>
      <w:r w:rsidRPr="00DE2ECE">
        <w:rPr>
          <w:rFonts w:ascii="Times New Roman" w:eastAsia="Times New Roman" w:hAnsi="Times New Roman" w:cs="Times New Roman"/>
          <w:sz w:val="24"/>
          <w:szCs w:val="24"/>
          <w:lang w:eastAsia="pl-PL"/>
        </w:rPr>
        <w:t xml:space="preserve">że od sierpnia 2016 r. utrzymuje się dynamika wzrostu zużycia oleju napędowego średnio o ok. 20% w stosunku do analogicznych miesięcy roku poprzedzającego wprowadzenie zmian w zakresie uszczelnienia rynku obrotu paliwami. Zaobserwowany trend potwierdzają </w:t>
      </w:r>
      <w:r w:rsidR="000548A0">
        <w:rPr>
          <w:rFonts w:ascii="Times New Roman" w:eastAsia="Times New Roman" w:hAnsi="Times New Roman" w:cs="Times New Roman"/>
          <w:sz w:val="24"/>
          <w:szCs w:val="24"/>
          <w:lang w:eastAsia="pl-PL"/>
        </w:rPr>
        <w:t xml:space="preserve">również organizacje branżowe, </w:t>
      </w:r>
      <w:r w:rsidR="000548A0">
        <w:rPr>
          <w:rFonts w:ascii="Times New Roman" w:eastAsia="Times New Roman" w:hAnsi="Times New Roman" w:cs="Times New Roman"/>
          <w:sz w:val="24"/>
          <w:szCs w:val="24"/>
          <w:lang w:eastAsia="pl-PL"/>
        </w:rPr>
        <w:lastRenderedPageBreak/>
        <w:t>w </w:t>
      </w:r>
      <w:r w:rsidRPr="00DE2ECE">
        <w:rPr>
          <w:rFonts w:ascii="Times New Roman" w:eastAsia="Times New Roman" w:hAnsi="Times New Roman" w:cs="Times New Roman"/>
          <w:sz w:val="24"/>
          <w:szCs w:val="24"/>
          <w:lang w:eastAsia="pl-PL"/>
        </w:rPr>
        <w:t>tym Polska Organizacja Przemysłu i Handlu Naftowego, która dokonała aktualizacji scenariuszy dotyczących prognozowanej konsumpcji paliw do roku 2020.</w:t>
      </w:r>
    </w:p>
    <w:p w:rsidR="0044533E" w:rsidRPr="00DE2ECE" w:rsidRDefault="0044533E" w:rsidP="007776B3">
      <w:pPr>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Dynamicznie zmieniająca się struktura rynku paliw, w szczególności intensywny wzrost konsumpcji oleju napędowego, powoduje gwałtowne zmiany zarówno w</w:t>
      </w:r>
      <w:r w:rsidR="000548A0">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zapotrzebowaniu na biokomponenty zgłaszanym przez podmioty realizujące NCW</w:t>
      </w:r>
      <w:r w:rsidR="004D7DF1">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jak i w samej strukturze realizacji tego obowiązku. </w:t>
      </w:r>
    </w:p>
    <w:p w:rsidR="0044533E" w:rsidRPr="00DE2ECE" w:rsidRDefault="0044533E" w:rsidP="007776B3">
      <w:pPr>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Zgodnie ze dotychczasowymi scenariuszami przyjętymi na lata 2018 i 2019 zapotrzebowanie na paliwa ciekłe kształtowało się następująco:</w:t>
      </w:r>
    </w:p>
    <w:p w:rsidR="0044533E" w:rsidRPr="00DE2ECE" w:rsidRDefault="007761CC" w:rsidP="007776B3">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4533E" w:rsidRPr="00DE2ECE">
        <w:rPr>
          <w:rFonts w:ascii="Times New Roman" w:eastAsia="Times New Roman" w:hAnsi="Times New Roman" w:cs="Times New Roman"/>
          <w:sz w:val="24"/>
          <w:szCs w:val="24"/>
          <w:lang w:eastAsia="pl-PL"/>
        </w:rPr>
        <w:t xml:space="preserve"> 3,5 mln ton benzyn silnikowych oraz 12 mln ton oleju napędowego w 2018 r.</w:t>
      </w:r>
      <w:r w:rsidR="0052333B">
        <w:rPr>
          <w:rFonts w:ascii="Times New Roman" w:eastAsia="Times New Roman" w:hAnsi="Times New Roman" w:cs="Times New Roman"/>
          <w:sz w:val="24"/>
          <w:szCs w:val="24"/>
          <w:lang w:eastAsia="pl-PL"/>
        </w:rPr>
        <w:t>,</w:t>
      </w:r>
    </w:p>
    <w:p w:rsidR="0044533E" w:rsidRPr="00DE2ECE" w:rsidRDefault="007761CC" w:rsidP="007776B3">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4533E" w:rsidRPr="00DE2ECE">
        <w:rPr>
          <w:rFonts w:ascii="Times New Roman" w:eastAsia="Times New Roman" w:hAnsi="Times New Roman" w:cs="Times New Roman"/>
          <w:sz w:val="24"/>
          <w:szCs w:val="24"/>
          <w:lang w:eastAsia="pl-PL"/>
        </w:rPr>
        <w:t xml:space="preserve"> 3,5 mln ton benzyn silnikowych oraz 12,2 mln ton oleju napędowego w 2019 r.</w:t>
      </w:r>
    </w:p>
    <w:p w:rsidR="0044533E" w:rsidRPr="00DE2ECE" w:rsidRDefault="0044533E" w:rsidP="007776B3">
      <w:pPr>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Natomiast zaktualizowane scenariusze dotyczące konsumpcji paliw wskazują na istotny wzrost wolumenu paliw ciekłych, szczególnie w odniesieniu do oleju napędowego. Prognozowane obecnie zużycie paliw ciekłych wygląda następująco:</w:t>
      </w:r>
    </w:p>
    <w:p w:rsidR="0044533E" w:rsidRPr="00DE2ECE" w:rsidRDefault="007761CC" w:rsidP="007776B3">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4533E" w:rsidRPr="00DE2ECE">
        <w:rPr>
          <w:rFonts w:ascii="Times New Roman" w:eastAsia="Times New Roman" w:hAnsi="Times New Roman" w:cs="Times New Roman"/>
          <w:sz w:val="24"/>
          <w:szCs w:val="24"/>
          <w:lang w:eastAsia="pl-PL"/>
        </w:rPr>
        <w:t xml:space="preserve"> 4 mln ton benzyn silnikowych oraz 14,5 mln ton oleju napędowego w 2018 r.</w:t>
      </w:r>
      <w:r w:rsidR="0052333B">
        <w:rPr>
          <w:rFonts w:ascii="Times New Roman" w:eastAsia="Times New Roman" w:hAnsi="Times New Roman" w:cs="Times New Roman"/>
          <w:sz w:val="24"/>
          <w:szCs w:val="24"/>
          <w:lang w:eastAsia="pl-PL"/>
        </w:rPr>
        <w:t>,</w:t>
      </w:r>
      <w:r w:rsidR="0044533E" w:rsidRPr="00DE2ECE">
        <w:rPr>
          <w:rFonts w:ascii="Times New Roman" w:eastAsia="Times New Roman" w:hAnsi="Times New Roman" w:cs="Times New Roman"/>
          <w:sz w:val="24"/>
          <w:szCs w:val="24"/>
          <w:lang w:eastAsia="pl-PL"/>
        </w:rPr>
        <w:t xml:space="preserve"> </w:t>
      </w:r>
    </w:p>
    <w:p w:rsidR="0044533E" w:rsidRPr="00DE2ECE" w:rsidRDefault="007761CC" w:rsidP="007776B3">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4533E" w:rsidRPr="00DE2ECE">
        <w:rPr>
          <w:rFonts w:ascii="Times New Roman" w:eastAsia="Times New Roman" w:hAnsi="Times New Roman" w:cs="Times New Roman"/>
          <w:sz w:val="24"/>
          <w:szCs w:val="24"/>
          <w:lang w:eastAsia="pl-PL"/>
        </w:rPr>
        <w:t xml:space="preserve"> 4 mln ton benzyn silnikowych oraz 14,7 mln ton oleju napędowego w 2019 r. </w:t>
      </w:r>
    </w:p>
    <w:p w:rsidR="0044533E" w:rsidRPr="00DE2ECE" w:rsidRDefault="0044533E" w:rsidP="007776B3">
      <w:pPr>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Pociąga to za sobą istotny wzrost wolumenu biokomponentów niezbędnych do realizacji NCW w stosunku do dotychczasowych założeń. Dlatego też w przepisach ustawy dokonano korekty przepisów dotyczących opłaty zastępczej poprzez zmniejszenie minimalnego poziomu realizacji NCW, k</w:t>
      </w:r>
      <w:r w:rsidR="000548A0">
        <w:rPr>
          <w:rFonts w:ascii="Times New Roman" w:eastAsia="Times New Roman" w:hAnsi="Times New Roman" w:cs="Times New Roman"/>
          <w:sz w:val="24"/>
          <w:szCs w:val="24"/>
          <w:lang w:eastAsia="pl-PL"/>
        </w:rPr>
        <w:t>tóry uprawnia do skorzystania z </w:t>
      </w:r>
      <w:r w:rsidRPr="00DE2ECE">
        <w:rPr>
          <w:rFonts w:ascii="Times New Roman" w:eastAsia="Times New Roman" w:hAnsi="Times New Roman" w:cs="Times New Roman"/>
          <w:sz w:val="24"/>
          <w:szCs w:val="24"/>
          <w:lang w:eastAsia="pl-PL"/>
        </w:rPr>
        <w:t>mechanizmu opłaty zastępczej, z 90% do 85%.</w:t>
      </w:r>
    </w:p>
    <w:p w:rsidR="0044533E" w:rsidRPr="00DE2ECE" w:rsidRDefault="0044533E" w:rsidP="007776B3">
      <w:pPr>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Należy mieć na uwadze, że kolejną, niekorzystną konsekwencją nagłego wzrostu zapotrzebowania na paliwa jest zmiana samej struktury realizacji NCW objawiająca się przede wszystkim zwiększonym zainteresowaniem podmiotów realizujących ten obowiązek przez obrót biopaliwem ciekłym (B100)</w:t>
      </w:r>
      <w:r w:rsidR="000548A0">
        <w:rPr>
          <w:rFonts w:ascii="Times New Roman" w:eastAsia="Times New Roman" w:hAnsi="Times New Roman" w:cs="Times New Roman"/>
          <w:sz w:val="24"/>
          <w:szCs w:val="24"/>
          <w:lang w:eastAsia="pl-PL"/>
        </w:rPr>
        <w:t xml:space="preserve"> przy jednoczesnej rezygnacji z </w:t>
      </w:r>
      <w:r w:rsidRPr="00DE2ECE">
        <w:rPr>
          <w:rFonts w:ascii="Times New Roman" w:eastAsia="Times New Roman" w:hAnsi="Times New Roman" w:cs="Times New Roman"/>
          <w:sz w:val="24"/>
          <w:szCs w:val="24"/>
          <w:lang w:eastAsia="pl-PL"/>
        </w:rPr>
        <w:t xml:space="preserve">dodawania biokomponentów do paliw ciekłych – oleju napędowego oraz benzyn silnikowych. Stąd też wprowadzenie obligatoryjnego blendingu, w obliczu ww. zmian rynkowych, uzyskało dodatkowe uzasadnienie.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Przepisy ustawy stanowią, że podmiot realizują</w:t>
      </w:r>
      <w:r w:rsidR="000548A0">
        <w:rPr>
          <w:rFonts w:ascii="Times New Roman" w:eastAsia="Times New Roman" w:hAnsi="Times New Roman" w:cs="Times New Roman"/>
          <w:color w:val="000000"/>
          <w:sz w:val="24"/>
          <w:szCs w:val="24"/>
          <w:lang w:eastAsia="pl-PL"/>
        </w:rPr>
        <w:t>cy NCW będzie odpowiedzialny za </w:t>
      </w:r>
      <w:r w:rsidRPr="00DE2ECE">
        <w:rPr>
          <w:rFonts w:ascii="Times New Roman" w:eastAsia="Times New Roman" w:hAnsi="Times New Roman" w:cs="Times New Roman"/>
          <w:color w:val="000000"/>
          <w:sz w:val="24"/>
          <w:szCs w:val="24"/>
          <w:lang w:eastAsia="pl-PL"/>
        </w:rPr>
        <w:t>realizację obligatoryjnego blendingu. Obowiązkiem z</w:t>
      </w:r>
      <w:r w:rsidR="000548A0">
        <w:rPr>
          <w:rFonts w:ascii="Times New Roman" w:eastAsia="Times New Roman" w:hAnsi="Times New Roman" w:cs="Times New Roman"/>
          <w:color w:val="000000"/>
          <w:sz w:val="24"/>
          <w:szCs w:val="24"/>
          <w:lang w:eastAsia="pl-PL"/>
        </w:rPr>
        <w:t>ostały objęte paliwa ciekłe</w:t>
      </w:r>
      <w:r w:rsidR="0052333B">
        <w:rPr>
          <w:rFonts w:ascii="Times New Roman" w:eastAsia="Times New Roman" w:hAnsi="Times New Roman" w:cs="Times New Roman"/>
          <w:color w:val="000000"/>
          <w:sz w:val="24"/>
          <w:szCs w:val="24"/>
          <w:lang w:eastAsia="pl-PL"/>
        </w:rPr>
        <w:t>,</w:t>
      </w:r>
      <w:r w:rsidR="000548A0">
        <w:rPr>
          <w:rFonts w:ascii="Times New Roman" w:eastAsia="Times New Roman" w:hAnsi="Times New Roman" w:cs="Times New Roman"/>
          <w:color w:val="000000"/>
          <w:sz w:val="24"/>
          <w:szCs w:val="24"/>
          <w:lang w:eastAsia="pl-PL"/>
        </w:rPr>
        <w:t xml:space="preserve"> tj. </w:t>
      </w:r>
      <w:r w:rsidRPr="00DE2ECE">
        <w:rPr>
          <w:rFonts w:ascii="Times New Roman" w:eastAsia="Times New Roman" w:hAnsi="Times New Roman" w:cs="Times New Roman"/>
          <w:color w:val="000000"/>
          <w:sz w:val="24"/>
          <w:szCs w:val="24"/>
          <w:lang w:eastAsia="pl-PL"/>
        </w:rPr>
        <w:t xml:space="preserve">olej napędowy oraz benzyny silnikowe kwalifikujące się do rozliczenia NCW. Blending, liczony według wartości opałowej (energetycznie), będzie obowiązywał przez cały rok kalendarzowy, jednakże rozliczany będzie kwartalnie.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color w:val="000000"/>
          <w:sz w:val="24"/>
          <w:szCs w:val="24"/>
          <w:lang w:eastAsia="pl-PL"/>
        </w:rPr>
        <w:lastRenderedPageBreak/>
        <w:t xml:space="preserve">Z obowiązku blendingu zostały wyłączone </w:t>
      </w:r>
      <w:r w:rsidRPr="00DE2ECE">
        <w:rPr>
          <w:rFonts w:ascii="Times New Roman" w:eastAsia="Times New Roman" w:hAnsi="Times New Roman" w:cs="Times New Roman"/>
          <w:sz w:val="24"/>
          <w:szCs w:val="24"/>
          <w:lang w:eastAsia="pl-PL"/>
        </w:rPr>
        <w:t>podmioty realizujące NCW, które wytwarzają paliwa ciekłe wyłącznie w procesie mieszania komponentów lub dodatków z paliwami ciekłymi w ilości stanowiącej nie więcej niż 0,2% objętości wytworzonego w ten sposób paliwa ciekłego. Zgodnie z obowiązującymi przepisami podmiot, który dodaje do zakupionego paliwa ciekłego jakiekolwi</w:t>
      </w:r>
      <w:r w:rsidR="000548A0">
        <w:rPr>
          <w:rFonts w:ascii="Times New Roman" w:eastAsia="Times New Roman" w:hAnsi="Times New Roman" w:cs="Times New Roman"/>
          <w:sz w:val="24"/>
          <w:szCs w:val="24"/>
          <w:lang w:eastAsia="pl-PL"/>
        </w:rPr>
        <w:t>ek dodatki lub komponenty, np. </w:t>
      </w:r>
      <w:r w:rsidRPr="00DE2ECE">
        <w:rPr>
          <w:rFonts w:ascii="Times New Roman" w:eastAsia="Times New Roman" w:hAnsi="Times New Roman" w:cs="Times New Roman"/>
          <w:sz w:val="24"/>
          <w:szCs w:val="24"/>
          <w:lang w:eastAsia="pl-PL"/>
        </w:rPr>
        <w:t xml:space="preserve">dodatki uszlachetniające, jest obowiązany zrealizować NCW (przetwarzanie paliw przez mieszanie komponentów z paliwami ciekłymi mieści się w definicji wytwarzania określonej w art. 3 pkt. 45 ustawy z dnia 10 kwietnia 1997 r. – Prawo energetyczne (Dz. U. z 2017 r. poz. 220, z późn. zm.).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przypadku dozowania dodatków i komponentów w małych ilościach (do 0,2%), jak to ma miejsce np. w przypadku uszlachetniania paliw ciekłych, powodowałoby to również konieczność realizacji obowiązku obligator</w:t>
      </w:r>
      <w:r w:rsidR="000548A0">
        <w:rPr>
          <w:rFonts w:ascii="Times New Roman" w:eastAsia="Times New Roman" w:hAnsi="Times New Roman" w:cs="Times New Roman"/>
          <w:sz w:val="24"/>
          <w:szCs w:val="24"/>
          <w:lang w:eastAsia="pl-PL"/>
        </w:rPr>
        <w:t>yjnego blendingu kwartalnego. Z </w:t>
      </w:r>
      <w:r w:rsidRPr="00DE2ECE">
        <w:rPr>
          <w:rFonts w:ascii="Times New Roman" w:eastAsia="Times New Roman" w:hAnsi="Times New Roman" w:cs="Times New Roman"/>
          <w:sz w:val="24"/>
          <w:szCs w:val="24"/>
          <w:lang w:eastAsia="pl-PL"/>
        </w:rPr>
        <w:t>uwagi na konieczność dodawania w takich przypadkach znikomej ilości biokomponentu, zadanie to staje się technicznie bardzo skomplikowane, co uzasadnia rozwiązanie pozwalające na wyłączenie z obowiązku, o któr</w:t>
      </w:r>
      <w:r w:rsidR="000548A0">
        <w:rPr>
          <w:rFonts w:ascii="Times New Roman" w:eastAsia="Times New Roman" w:hAnsi="Times New Roman" w:cs="Times New Roman"/>
          <w:sz w:val="24"/>
          <w:szCs w:val="24"/>
          <w:lang w:eastAsia="pl-PL"/>
        </w:rPr>
        <w:t>ym mowa w art. 23b</w:t>
      </w:r>
      <w:r w:rsidR="004D7DF1">
        <w:rPr>
          <w:rFonts w:ascii="Times New Roman" w:eastAsia="Times New Roman" w:hAnsi="Times New Roman" w:cs="Times New Roman"/>
          <w:sz w:val="24"/>
          <w:szCs w:val="24"/>
          <w:lang w:eastAsia="pl-PL"/>
        </w:rPr>
        <w:t>,</w:t>
      </w:r>
      <w:r w:rsidR="000548A0">
        <w:rPr>
          <w:rFonts w:ascii="Times New Roman" w:eastAsia="Times New Roman" w:hAnsi="Times New Roman" w:cs="Times New Roman"/>
          <w:sz w:val="24"/>
          <w:szCs w:val="24"/>
          <w:lang w:eastAsia="pl-PL"/>
        </w:rPr>
        <w:t xml:space="preserve"> z </w:t>
      </w:r>
      <w:r w:rsidRPr="00DE2ECE">
        <w:rPr>
          <w:rFonts w:ascii="Times New Roman" w:eastAsia="Times New Roman" w:hAnsi="Times New Roman" w:cs="Times New Roman"/>
          <w:sz w:val="24"/>
          <w:szCs w:val="24"/>
          <w:lang w:eastAsia="pl-PL"/>
        </w:rPr>
        <w:t>jednoczesnym zachowaniem obowiązku realizacji NCW.</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projektowanej ustawie wprowadzono przepis, zgodnie z którym podmiot realizujący NCW jest obowiązany zapewnić w danym kwartale minimalny udział</w:t>
      </w:r>
      <w:r w:rsidRPr="00DE2ECE">
        <w:rPr>
          <w:rFonts w:ascii="Times New Roman" w:eastAsia="Times New Roman" w:hAnsi="Times New Roman" w:cs="Times New Roman"/>
          <w:sz w:val="24"/>
          <w:szCs w:val="24"/>
        </w:rPr>
        <w:t xml:space="preserve"> biokomponentów,</w:t>
      </w:r>
      <w:r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rPr>
        <w:t xml:space="preserve">liczony według wartości opałowej, zawartych w paliwach ciekłych stosowanych we wszystkich rodzajach transportu, wykorzystanych przez niego do realizacji obowiązku, o którym mowa w art. 23 ust. 1 ustawy, które zostały przez ten podmiot </w:t>
      </w:r>
      <w:r w:rsidRPr="00DE2ECE">
        <w:rPr>
          <w:rFonts w:ascii="Times New Roman" w:eastAsia="Times New Roman" w:hAnsi="Times New Roman" w:cs="Times New Roman"/>
          <w:sz w:val="24"/>
          <w:szCs w:val="24"/>
          <w:lang w:eastAsia="pl-PL"/>
        </w:rPr>
        <w:t>rozporządzone przez dokonanie jakiejkolwiek czynności prawnej lub faktycznej</w:t>
      </w:r>
      <w:r w:rsidRPr="00DE2ECE" w:rsidDel="00286292">
        <w:rPr>
          <w:rFonts w:ascii="Times New Roman" w:eastAsia="Times New Roman" w:hAnsi="Times New Roman" w:cs="Times New Roman"/>
          <w:sz w:val="24"/>
          <w:szCs w:val="24"/>
        </w:rPr>
        <w:t xml:space="preserve"> </w:t>
      </w:r>
      <w:r w:rsidRPr="00DE2ECE">
        <w:rPr>
          <w:rFonts w:ascii="Times New Roman" w:eastAsia="Times New Roman" w:hAnsi="Times New Roman" w:cs="Times New Roman"/>
          <w:sz w:val="24"/>
          <w:szCs w:val="24"/>
        </w:rPr>
        <w:t xml:space="preserve">na terytorium Rzeczypospolitej Polskiej, lub zużyte przez niego na potrzeby własne na tym terytorium. Projekt ustawy określa poziomy obligatoryjnego blendingu. W </w:t>
      </w:r>
      <w:r w:rsidRPr="00DE2ECE">
        <w:rPr>
          <w:rFonts w:ascii="Times New Roman" w:eastAsia="Times New Roman" w:hAnsi="Times New Roman" w:cs="Times New Roman"/>
          <w:sz w:val="24"/>
          <w:szCs w:val="24"/>
          <w:lang w:eastAsia="pl-PL"/>
        </w:rPr>
        <w:t>projekcie ustawy określono, że blending biokomponentów w benzynach silnikowych będzie wynosił 3,20% w każdym kwartale (co odp</w:t>
      </w:r>
      <w:r w:rsidR="000548A0">
        <w:rPr>
          <w:rFonts w:ascii="Times New Roman" w:eastAsia="Times New Roman" w:hAnsi="Times New Roman" w:cs="Times New Roman"/>
          <w:sz w:val="24"/>
          <w:szCs w:val="24"/>
          <w:lang w:eastAsia="pl-PL"/>
        </w:rPr>
        <w:t>owiada 4,8% (v/v)). Natomiast w </w:t>
      </w:r>
      <w:r w:rsidRPr="00DE2ECE">
        <w:rPr>
          <w:rFonts w:ascii="Times New Roman" w:eastAsia="Times New Roman" w:hAnsi="Times New Roman" w:cs="Times New Roman"/>
          <w:sz w:val="24"/>
          <w:szCs w:val="24"/>
          <w:lang w:eastAsia="pl-PL"/>
        </w:rPr>
        <w:t>oleju napędowym w zależności od kwartału będz</w:t>
      </w:r>
      <w:r w:rsidR="000548A0">
        <w:rPr>
          <w:rFonts w:ascii="Times New Roman" w:eastAsia="Times New Roman" w:hAnsi="Times New Roman" w:cs="Times New Roman"/>
          <w:sz w:val="24"/>
          <w:szCs w:val="24"/>
          <w:lang w:eastAsia="pl-PL"/>
        </w:rPr>
        <w:t>ie wynosił odpowiednio: 3,22% w </w:t>
      </w:r>
      <w:r w:rsidRPr="00DE2ECE">
        <w:rPr>
          <w:rFonts w:ascii="Times New Roman" w:eastAsia="Times New Roman" w:hAnsi="Times New Roman" w:cs="Times New Roman"/>
          <w:sz w:val="24"/>
          <w:szCs w:val="24"/>
          <w:lang w:eastAsia="pl-PL"/>
        </w:rPr>
        <w:t>pierwszym kwartale (3,5% (v/v)), 5,53% w drugim i trzecim kwartale, (6% (v/v)) oraz 3,68% w czwartym kwartale (4% (v/v)).</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rPr>
        <w:t xml:space="preserve">Poziomy te są możliwe do zrealizowania przez podmioty realizujące ww. obowiązek.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i/>
          <w:sz w:val="24"/>
          <w:szCs w:val="24"/>
          <w:lang w:eastAsia="pl-PL"/>
        </w:rPr>
      </w:pPr>
      <w:r w:rsidRPr="00DE2ECE">
        <w:rPr>
          <w:rFonts w:ascii="Times New Roman" w:eastAsia="Times New Roman" w:hAnsi="Times New Roman" w:cs="Times New Roman"/>
          <w:sz w:val="24"/>
          <w:szCs w:val="24"/>
          <w:lang w:eastAsia="pl-PL"/>
        </w:rPr>
        <w:t xml:space="preserve">Jednocześnie poziomy obligatoryjnego blendingu będą mogły być określone na niższym poziomie. Projekt ustawy w art. 23b ust. 4 zawiera delegację ustawową dla ministra </w:t>
      </w:r>
      <w:r w:rsidRPr="00DE2ECE">
        <w:rPr>
          <w:rFonts w:ascii="Times New Roman" w:eastAsia="Times New Roman" w:hAnsi="Times New Roman" w:cs="Times New Roman"/>
          <w:sz w:val="24"/>
          <w:szCs w:val="24"/>
          <w:lang w:eastAsia="pl-PL"/>
        </w:rPr>
        <w:lastRenderedPageBreak/>
        <w:t>właściwego do spraw energii, zgodnie z którą minister ten może określić, w drodze rozporządzenia, niższy niż określony w ust. 3, minimalny udział biokomponentów,</w:t>
      </w:r>
      <w:r w:rsidR="000548A0">
        <w:rPr>
          <w:rFonts w:ascii="Times New Roman" w:eastAsia="Times New Roman" w:hAnsi="Times New Roman" w:cs="Times New Roman"/>
          <w:bCs/>
          <w:sz w:val="24"/>
          <w:szCs w:val="24"/>
        </w:rPr>
        <w:t xml:space="preserve"> o </w:t>
      </w:r>
      <w:r w:rsidRPr="00DE2ECE">
        <w:rPr>
          <w:rFonts w:ascii="Times New Roman" w:eastAsia="Times New Roman" w:hAnsi="Times New Roman" w:cs="Times New Roman"/>
          <w:bCs/>
          <w:sz w:val="24"/>
          <w:szCs w:val="24"/>
        </w:rPr>
        <w:t>którym mowa w ust. 1</w:t>
      </w:r>
      <w:r w:rsidRPr="00DE2ECE">
        <w:rPr>
          <w:rFonts w:ascii="Times New Roman" w:eastAsia="Times New Roman" w:hAnsi="Times New Roman" w:cs="Times New Roman"/>
          <w:sz w:val="24"/>
          <w:szCs w:val="24"/>
          <w:lang w:eastAsia="pl-PL"/>
        </w:rPr>
        <w:t>, biorąc pod uwagę techniczne możliwości branży paliwowej w</w:t>
      </w:r>
      <w:r w:rsidR="000548A0">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zakresie dodawania biokomponentów do paliw ciekłych w poszczególnych kwartałach roku kalendarzowego</w:t>
      </w:r>
      <w:r w:rsidRPr="00DE2ECE">
        <w:rPr>
          <w:rFonts w:ascii="Times New Roman" w:eastAsia="Times New Roman" w:hAnsi="Times New Roman" w:cs="Times New Roman"/>
          <w:i/>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 xml:space="preserve">Ponadto podmioty zobowiązane do realizacji obligatoryjnego blendingu będą równocześnie obowiązane do przekazywania Prezesowi URE kwartalnych sprawozdań dotyczących realizacji tego obowiązku (w terminie do 30 dni po zakończeniu kwartału). Projekt ustawy ustanawia również kary pieniężne za brak realizacji obowiązku obligatoryjnego blendingu oraz brak sprawozdawczości w tym zakresie. </w:t>
      </w:r>
      <w:r w:rsidRPr="00DE2ECE">
        <w:rPr>
          <w:rFonts w:ascii="Times New Roman" w:eastAsia="Times New Roman" w:hAnsi="Times New Roman" w:cs="Times New Roman"/>
          <w:sz w:val="24"/>
          <w:szCs w:val="24"/>
        </w:rPr>
        <w:t>W przypadku gdy podmioty realizujące NCW dokonują importu lub nabycia wewnątrzwspólnotowego biokomponentów, w</w:t>
      </w:r>
      <w:r w:rsidR="000548A0">
        <w:rPr>
          <w:rFonts w:ascii="Times New Roman" w:eastAsia="Times New Roman" w:hAnsi="Times New Roman" w:cs="Times New Roman"/>
          <w:sz w:val="24"/>
          <w:szCs w:val="24"/>
        </w:rPr>
        <w:t xml:space="preserve"> tym biokomponentów zawartych w </w:t>
      </w:r>
      <w:r w:rsidRPr="00DE2ECE">
        <w:rPr>
          <w:rFonts w:ascii="Times New Roman" w:eastAsia="Times New Roman" w:hAnsi="Times New Roman" w:cs="Times New Roman"/>
          <w:sz w:val="24"/>
          <w:szCs w:val="24"/>
        </w:rPr>
        <w:t>paliwach ciekłych i biopaliwach ciekłych, podmioty te będą obowiązane do przekazywania, wraz z tymi sprawozdaniami, informacji dotyczących importowanych lub nabytych wewnątrzwspólnotowo biokomponentów, w tym biokomponentów zawartych w paliwach ciekłych i biopaliwach ciekłych.</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Wysokość kar została ustanowiona na takim poziomie, aby zniechęcać do stosowania na potrzeby realizacji NCW biopaliw ciekłych w</w:t>
      </w:r>
      <w:r w:rsidR="007761CC">
        <w:rPr>
          <w:rFonts w:ascii="Times New Roman" w:eastAsia="Times New Roman" w:hAnsi="Times New Roman" w:cs="Times New Roman"/>
          <w:color w:val="000000"/>
          <w:sz w:val="24"/>
          <w:szCs w:val="24"/>
          <w:lang w:eastAsia="pl-PL"/>
        </w:rPr>
        <w:t xml:space="preserve"> </w:t>
      </w:r>
      <w:r w:rsidRPr="00DE2ECE">
        <w:rPr>
          <w:rFonts w:ascii="Times New Roman" w:eastAsia="Times New Roman" w:hAnsi="Times New Roman" w:cs="Times New Roman"/>
          <w:color w:val="000000"/>
          <w:sz w:val="24"/>
          <w:szCs w:val="24"/>
          <w:lang w:eastAsia="pl-PL"/>
        </w:rPr>
        <w:t>miejs</w:t>
      </w:r>
      <w:r w:rsidR="000548A0">
        <w:rPr>
          <w:rFonts w:ascii="Times New Roman" w:eastAsia="Times New Roman" w:hAnsi="Times New Roman" w:cs="Times New Roman"/>
          <w:color w:val="000000"/>
          <w:sz w:val="24"/>
          <w:szCs w:val="24"/>
          <w:lang w:eastAsia="pl-PL"/>
        </w:rPr>
        <w:t>ce blendowania paliw ciekłych z </w:t>
      </w:r>
      <w:r w:rsidRPr="00DE2ECE">
        <w:rPr>
          <w:rFonts w:ascii="Times New Roman" w:eastAsia="Times New Roman" w:hAnsi="Times New Roman" w:cs="Times New Roman"/>
          <w:color w:val="000000"/>
          <w:sz w:val="24"/>
          <w:szCs w:val="24"/>
          <w:lang w:eastAsia="pl-PL"/>
        </w:rPr>
        <w:t>biokomponentami. Ponadto przepisy ustawy rozsze</w:t>
      </w:r>
      <w:r w:rsidR="000548A0">
        <w:rPr>
          <w:rFonts w:ascii="Times New Roman" w:eastAsia="Times New Roman" w:hAnsi="Times New Roman" w:cs="Times New Roman"/>
          <w:color w:val="000000"/>
          <w:sz w:val="24"/>
          <w:szCs w:val="24"/>
          <w:lang w:eastAsia="pl-PL"/>
        </w:rPr>
        <w:t>rzają uprawnienia Prezesa URE o </w:t>
      </w:r>
      <w:r w:rsidRPr="00DE2ECE">
        <w:rPr>
          <w:rFonts w:ascii="Times New Roman" w:eastAsia="Times New Roman" w:hAnsi="Times New Roman" w:cs="Times New Roman"/>
          <w:color w:val="000000"/>
          <w:sz w:val="24"/>
          <w:szCs w:val="24"/>
          <w:lang w:eastAsia="pl-PL"/>
        </w:rPr>
        <w:t xml:space="preserve">możliwość kontrolowania podmiotów realizujących NCW w zakresie </w:t>
      </w:r>
      <w:r w:rsidRPr="00DE2ECE">
        <w:rPr>
          <w:rFonts w:ascii="Times New Roman" w:eastAsia="Times New Roman" w:hAnsi="Times New Roman" w:cs="Times New Roman"/>
          <w:sz w:val="24"/>
          <w:szCs w:val="24"/>
          <w:lang w:eastAsia="pl-PL"/>
        </w:rPr>
        <w:t>wykonania obowiązku obligatoryjnego blendingu (art. 26a ust. 1 ustawy).</w:t>
      </w:r>
      <w:r w:rsidR="007761CC">
        <w:rPr>
          <w:rFonts w:ascii="Times New Roman" w:eastAsia="Times New Roman" w:hAnsi="Times New Roman" w:cs="Times New Roman"/>
          <w:sz w:val="24"/>
          <w:szCs w:val="24"/>
          <w:lang w:eastAsia="pl-PL"/>
        </w:rPr>
        <w:t xml:space="preserve"> </w:t>
      </w:r>
    </w:p>
    <w:p w:rsidR="0044533E" w:rsidRPr="00DE2ECE" w:rsidRDefault="0044533E" w:rsidP="007776B3">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Rozwiązanie polegające na zastosowaniu obowiązkowego blendingu zostało zastosowane w wielu krajach UE, co zobrazowano w poniższej tabeli:</w:t>
      </w:r>
    </w:p>
    <w:tbl>
      <w:tblPr>
        <w:tblpPr w:leftFromText="141" w:rightFromText="141" w:vertAnchor="text" w:horzAnchor="page" w:tblpX="358" w:tblpY="310"/>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08"/>
        <w:gridCol w:w="993"/>
        <w:gridCol w:w="992"/>
        <w:gridCol w:w="1134"/>
        <w:gridCol w:w="992"/>
        <w:gridCol w:w="1276"/>
        <w:gridCol w:w="1276"/>
        <w:gridCol w:w="1134"/>
        <w:gridCol w:w="1134"/>
        <w:gridCol w:w="708"/>
      </w:tblGrid>
      <w:tr w:rsidR="0044533E" w:rsidRPr="0044533E" w:rsidTr="00DB5C1C">
        <w:tc>
          <w:tcPr>
            <w:tcW w:w="1101" w:type="dxa"/>
            <w:vMerge w:val="restart"/>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kraj</w:t>
            </w:r>
          </w:p>
        </w:tc>
        <w:tc>
          <w:tcPr>
            <w:tcW w:w="1701" w:type="dxa"/>
            <w:gridSpan w:val="2"/>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Minimalny udział biokomponentów w 2015 r.</w:t>
            </w:r>
          </w:p>
        </w:tc>
        <w:tc>
          <w:tcPr>
            <w:tcW w:w="992" w:type="dxa"/>
            <w:vMerge w:val="restart"/>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En./Obj.</w:t>
            </w:r>
          </w:p>
        </w:tc>
        <w:tc>
          <w:tcPr>
            <w:tcW w:w="1134" w:type="dxa"/>
            <w:vMerge w:val="restart"/>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Cel biopaliwowy %</w:t>
            </w:r>
          </w:p>
        </w:tc>
        <w:tc>
          <w:tcPr>
            <w:tcW w:w="992" w:type="dxa"/>
            <w:vMerge w:val="restart"/>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En./Obj.</w:t>
            </w:r>
          </w:p>
        </w:tc>
        <w:tc>
          <w:tcPr>
            <w:tcW w:w="2552" w:type="dxa"/>
            <w:gridSpan w:val="2"/>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Minimalny udział biokomponentów w 2016 r.</w:t>
            </w:r>
          </w:p>
        </w:tc>
        <w:tc>
          <w:tcPr>
            <w:tcW w:w="1134" w:type="dxa"/>
            <w:vMerge w:val="restart"/>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En./Obj.</w:t>
            </w:r>
          </w:p>
        </w:tc>
        <w:tc>
          <w:tcPr>
            <w:tcW w:w="1134" w:type="dxa"/>
            <w:vMerge w:val="restart"/>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Cel biopaliwowy %</w:t>
            </w:r>
          </w:p>
        </w:tc>
        <w:tc>
          <w:tcPr>
            <w:tcW w:w="708" w:type="dxa"/>
            <w:vMerge w:val="restart"/>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En./Obj.</w:t>
            </w:r>
          </w:p>
        </w:tc>
      </w:tr>
      <w:tr w:rsidR="0044533E" w:rsidRPr="0044533E" w:rsidTr="00DB5C1C">
        <w:trPr>
          <w:trHeight w:val="667"/>
        </w:trPr>
        <w:tc>
          <w:tcPr>
            <w:tcW w:w="1101" w:type="dxa"/>
            <w:vMerge/>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Benzyna</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Olej napędowy</w:t>
            </w:r>
          </w:p>
        </w:tc>
        <w:tc>
          <w:tcPr>
            <w:tcW w:w="992" w:type="dxa"/>
            <w:vMerge/>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134" w:type="dxa"/>
            <w:vMerge/>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992" w:type="dxa"/>
            <w:vMerge/>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Benzyna</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Olej napędowy</w:t>
            </w:r>
          </w:p>
        </w:tc>
        <w:tc>
          <w:tcPr>
            <w:tcW w:w="1134" w:type="dxa"/>
            <w:vMerge/>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134" w:type="dxa"/>
            <w:vMerge/>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708" w:type="dxa"/>
            <w:vMerge/>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Austria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3,4</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6,3</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5,75</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3,4</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6,3</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5,75</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Belgia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b.d</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b.d</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b.d.</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Bułgaria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Czechy</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4,1</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4,1</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Francja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7,7</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7,7</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Grecja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Węgry</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4,9</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4,9</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4,9</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4,9</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Litwa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Portugalia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2,5</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7,5</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2,5</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7,5</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lastRenderedPageBreak/>
              <w:t>Rumunia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4,5</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4,5</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6,5</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Słowacja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4,5</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6,8</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5,5</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4,6</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6,9</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Obj.</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5,5</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r>
      <w:tr w:rsidR="0044533E" w:rsidRPr="0044533E" w:rsidTr="00DB5C1C">
        <w:tc>
          <w:tcPr>
            <w:tcW w:w="1101" w:type="dxa"/>
          </w:tcPr>
          <w:p w:rsidR="0044533E" w:rsidRPr="0044533E" w:rsidRDefault="0044533E" w:rsidP="007776B3">
            <w:pPr>
              <w:autoSpaceDE w:val="0"/>
              <w:autoSpaceDN w:val="0"/>
              <w:adjustRightInd w:val="0"/>
              <w:spacing w:after="0" w:line="240" w:lineRule="auto"/>
              <w:jc w:val="both"/>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Hiszpania</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3,9</w:t>
            </w:r>
          </w:p>
        </w:tc>
        <w:tc>
          <w:tcPr>
            <w:tcW w:w="993"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4,1</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4,1</w:t>
            </w:r>
          </w:p>
        </w:tc>
        <w:tc>
          <w:tcPr>
            <w:tcW w:w="992"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1276"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w:t>
            </w: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p>
        </w:tc>
        <w:tc>
          <w:tcPr>
            <w:tcW w:w="1134"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4,3</w:t>
            </w:r>
          </w:p>
        </w:tc>
        <w:tc>
          <w:tcPr>
            <w:tcW w:w="708" w:type="dxa"/>
          </w:tcPr>
          <w:p w:rsidR="0044533E" w:rsidRPr="0044533E" w:rsidRDefault="0044533E" w:rsidP="007776B3">
            <w:pPr>
              <w:autoSpaceDE w:val="0"/>
              <w:autoSpaceDN w:val="0"/>
              <w:adjustRightInd w:val="0"/>
              <w:spacing w:after="0" w:line="240" w:lineRule="auto"/>
              <w:jc w:val="center"/>
              <w:rPr>
                <w:rFonts w:ascii="Times New Roman" w:eastAsia="Times New Roman" w:hAnsi="Times New Roman" w:cs="Times New Roman"/>
                <w:color w:val="000000"/>
                <w:sz w:val="20"/>
                <w:szCs w:val="20"/>
                <w:lang w:eastAsia="pl-PL"/>
              </w:rPr>
            </w:pPr>
            <w:r w:rsidRPr="0044533E">
              <w:rPr>
                <w:rFonts w:ascii="Times New Roman" w:eastAsia="Times New Roman" w:hAnsi="Times New Roman" w:cs="Times New Roman"/>
                <w:color w:val="000000"/>
                <w:sz w:val="20"/>
                <w:szCs w:val="20"/>
                <w:lang w:eastAsia="pl-PL"/>
              </w:rPr>
              <w:t>En.</w:t>
            </w:r>
          </w:p>
        </w:tc>
      </w:tr>
    </w:tbl>
    <w:p w:rsidR="0044533E" w:rsidRPr="0044533E" w:rsidRDefault="0044533E" w:rsidP="00564A04">
      <w:pPr>
        <w:autoSpaceDE w:val="0"/>
        <w:autoSpaceDN w:val="0"/>
        <w:adjustRightInd w:val="0"/>
        <w:spacing w:before="120" w:after="0" w:line="240" w:lineRule="auto"/>
        <w:rPr>
          <w:rFonts w:ascii="Times New Roman" w:eastAsia="Times New Roman" w:hAnsi="Times New Roman" w:cs="Times New Roman"/>
          <w:i/>
          <w:color w:val="000000"/>
          <w:sz w:val="20"/>
          <w:szCs w:val="20"/>
          <w:lang w:val="en-US" w:eastAsia="pl-PL"/>
        </w:rPr>
      </w:pPr>
      <w:r w:rsidRPr="0044533E">
        <w:rPr>
          <w:rFonts w:ascii="Times New Roman" w:eastAsia="Times New Roman" w:hAnsi="Times New Roman" w:cs="Times New Roman"/>
          <w:i/>
          <w:color w:val="000000"/>
          <w:sz w:val="20"/>
          <w:szCs w:val="20"/>
          <w:lang w:val="en-US" w:eastAsia="pl-PL"/>
        </w:rPr>
        <w:t xml:space="preserve">Źródło: </w:t>
      </w:r>
      <w:r w:rsidRPr="0044533E">
        <w:rPr>
          <w:rFonts w:ascii="Times New Roman" w:eastAsia="Calibri-Bold" w:hAnsi="Times New Roman" w:cs="Times New Roman"/>
          <w:bCs/>
          <w:i/>
          <w:sz w:val="20"/>
          <w:szCs w:val="20"/>
          <w:lang w:val="en-US" w:eastAsia="pl-PL"/>
        </w:rPr>
        <w:t>Overview of the biofuel policies and markets across the EU-28, E-PURE.</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Pierwotnie projekt ustawy zakładał, że mechanizm kwartalnego blendingu będzie liczony objętościowo. Jednakże mając na uwadze fakt, że jest to instrument mający na celu doprecyzowanie istniejącego mechanizmu realizacji NCW, który rozliczany jest według wartości energetycznych</w:t>
      </w:r>
      <w:r w:rsidR="00284328">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uznano, że należy ujednolić sposób liczenia. Równocześnie, mając na uwadze, że procedowanie projektu ustawy zostanie z</w:t>
      </w:r>
      <w:r w:rsidR="004D7DF1">
        <w:rPr>
          <w:rFonts w:ascii="Times New Roman" w:eastAsia="Times New Roman" w:hAnsi="Times New Roman" w:cs="Times New Roman"/>
          <w:sz w:val="24"/>
          <w:szCs w:val="24"/>
          <w:lang w:eastAsia="pl-PL"/>
        </w:rPr>
        <w:t>akończone w IV kwartale 2017 r.</w:t>
      </w:r>
      <w:r w:rsidRPr="00DE2ECE">
        <w:rPr>
          <w:rFonts w:ascii="Times New Roman" w:eastAsia="Times New Roman" w:hAnsi="Times New Roman" w:cs="Times New Roman"/>
          <w:sz w:val="24"/>
          <w:szCs w:val="24"/>
          <w:lang w:eastAsia="pl-PL"/>
        </w:rPr>
        <w:t xml:space="preserve"> a przepisy ustawy wejdą w życie z dniem 1 stycznia 2018 r.</w:t>
      </w:r>
      <w:r w:rsidR="00284328">
        <w:rPr>
          <w:rFonts w:ascii="Times New Roman" w:eastAsia="Times New Roman" w:hAnsi="Times New Roman" w:cs="Times New Roman"/>
          <w:sz w:val="24"/>
          <w:szCs w:val="24"/>
          <w:lang w:eastAsia="pl-PL"/>
        </w:rPr>
        <w:t>,</w:t>
      </w:r>
      <w:r w:rsidR="00C97C5F">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 xml:space="preserve">wysokości obligatoryjnego blendingu zostały określone w projekcie ustawy.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Udziały biokomponentów w paliwach ciekłych zostały ustalone na poziomie technicznie możliwym do wykonania przez przedsiębiorców zobowiązanych do realizacji NCW, szczególnie w kontekście zmiany definicji paliw ciekłych, rozszerzającej możliwości stosowania biowęglowodorów ciekłych w paliwach ciekłych.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Jednocześnie, oczekiwanym efektem wprowadzonego rozwiązania będzie wyeliminowanie z praktyki gospodarczej sytuacji, w której podmioty realizujące NCW oferują na stacjach paliwa ciekłe bez zawartości biokomponentów (tzw. B0) mimo konieczności dokonania blendingu, a obowiązek, o którym mowa w art. 23 ust. 1 ustawy, realizują przez sprzedaż biopaliwa cie</w:t>
      </w:r>
      <w:r w:rsidR="000548A0">
        <w:rPr>
          <w:rFonts w:ascii="Times New Roman" w:eastAsia="Times New Roman" w:hAnsi="Times New Roman" w:cs="Times New Roman"/>
          <w:sz w:val="24"/>
          <w:szCs w:val="24"/>
          <w:lang w:eastAsia="pl-PL"/>
        </w:rPr>
        <w:t>kłego B100 – ponieważ zgodnie z </w:t>
      </w:r>
      <w:r w:rsidRPr="00DE2ECE">
        <w:rPr>
          <w:rFonts w:ascii="Times New Roman" w:eastAsia="Times New Roman" w:hAnsi="Times New Roman" w:cs="Times New Roman"/>
          <w:sz w:val="24"/>
          <w:szCs w:val="24"/>
          <w:lang w:eastAsia="pl-PL"/>
        </w:rPr>
        <w:t>pozyskanymi informacjami paliwo to oferowane jest przede wszystkim za granicę, po jego zaliczeniu w kraju na poczet realizacji NCW.</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rPr>
      </w:pPr>
      <w:r w:rsidRPr="00DE2ECE">
        <w:rPr>
          <w:rFonts w:ascii="Times New Roman" w:eastAsia="Times New Roman" w:hAnsi="Times New Roman" w:cs="Times New Roman"/>
          <w:sz w:val="24"/>
          <w:szCs w:val="24"/>
        </w:rPr>
        <w:t xml:space="preserve">W celu wyeliminowania tego zjawiska wprowadzono również, poza mechanizmem obligatoryjnego blendingu, przepis, na podstawie którego zabrania się podmiotowi realizującemu NCW wystawiania poświadczeń dla biokomponentów, które zostały wykorzystane przez ten podmiot do realizacji NCW. Tym samym łańcuch potwierdzania spełnienia przez biokomponenty kryteriów zrównoważonego rozwoju zostanie zamknięty na etapie wykorzystania tych biokomponentów do realizacji NCW. Należy się spodziewać, że partia biokomponentu, który nie posiada dokumentów potwierdzających spełnienie kryteriów zrównoważonego rozwoju nie zostanie sprzedana w ramach nabycia wewnątrzwspólnotowego lub wyeksportowana, w związku z brakiem zapotrzebowania na tego typu biokomponenty (biokomponenty te funkcjonowałyby jako niespełniające kryteriów zrównoważonego rozwoju).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rPr>
      </w:pPr>
      <w:r w:rsidRPr="00DE2ECE">
        <w:rPr>
          <w:rFonts w:ascii="Times New Roman" w:eastAsia="Times New Roman" w:hAnsi="Times New Roman" w:cs="Times New Roman"/>
          <w:sz w:val="24"/>
          <w:szCs w:val="24"/>
        </w:rPr>
        <w:lastRenderedPageBreak/>
        <w:t>Wystawienie poświadczenia przez podmiot realizujący NCW dla biokomponentów, które zostały wykorzystane przez ten podmiot do realizacji NCW</w:t>
      </w:r>
      <w:r w:rsidR="009A3D10">
        <w:rPr>
          <w:rFonts w:ascii="Times New Roman" w:eastAsia="Times New Roman" w:hAnsi="Times New Roman" w:cs="Times New Roman"/>
          <w:sz w:val="24"/>
          <w:szCs w:val="24"/>
        </w:rPr>
        <w:t>,</w:t>
      </w:r>
      <w:r w:rsidRPr="00DE2ECE">
        <w:rPr>
          <w:rFonts w:ascii="Times New Roman" w:eastAsia="Times New Roman" w:hAnsi="Times New Roman" w:cs="Times New Roman"/>
          <w:sz w:val="24"/>
          <w:szCs w:val="24"/>
        </w:rPr>
        <w:t xml:space="preserve"> będzie skutkowało nałożeniem kary finansowej (dodano w art. 33 ust. 1 nowy punkt 6a).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projekcie ustawy dokonano także zmian dotyczących sposobu określania współczynnika redukcyjnego, o którym mowa w a</w:t>
      </w:r>
      <w:r w:rsidR="000548A0">
        <w:rPr>
          <w:rFonts w:ascii="Times New Roman" w:eastAsia="Times New Roman" w:hAnsi="Times New Roman" w:cs="Times New Roman"/>
          <w:sz w:val="24"/>
          <w:szCs w:val="24"/>
          <w:lang w:eastAsia="pl-PL"/>
        </w:rPr>
        <w:t>rt. 23 ust. 4 ustawy. Zgodnie z </w:t>
      </w:r>
      <w:r w:rsidRPr="00DE2ECE">
        <w:rPr>
          <w:rFonts w:ascii="Times New Roman" w:eastAsia="Times New Roman" w:hAnsi="Times New Roman" w:cs="Times New Roman"/>
          <w:sz w:val="24"/>
          <w:szCs w:val="24"/>
          <w:lang w:eastAsia="pl-PL"/>
        </w:rPr>
        <w:t>obowiązującą delegacją (art. 23 ust. 5 ustawy) Rada Ministrów, co dwa lata do dnia 15 czerwca, określa</w:t>
      </w:r>
      <w:r w:rsidR="009A3D10">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w drodze rozporządzenia, wysokość współczynników redukcyjnych, o których mowa w ust. 4, na kolejne dwa lata, biorąc pod uwagę warunki zaopatrzenia w biokomponenty i relacje cenowe na rynku biokomponentów i paliw ciekłych. Obowiązujące rozporządzenie określa wysokość współczynników na lata 2016</w:t>
      </w:r>
      <w:r w:rsidR="007761CC">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2017 (rozporządzenie Rady Ministrów z dnia 20 kwietnia 2015 r. w sprawie wysokości współczynników redukcyjnych na lata 2016 i 2017 (Dz. U. poz. 631)). Projekt ustawy przewiduje określenie współczynni</w:t>
      </w:r>
      <w:r w:rsidR="000548A0">
        <w:rPr>
          <w:rFonts w:ascii="Times New Roman" w:eastAsia="Times New Roman" w:hAnsi="Times New Roman" w:cs="Times New Roman"/>
          <w:sz w:val="24"/>
          <w:szCs w:val="24"/>
          <w:lang w:eastAsia="pl-PL"/>
        </w:rPr>
        <w:t>ków redukcyjnych na lata 2018 i </w:t>
      </w:r>
      <w:r w:rsidRPr="00DE2ECE">
        <w:rPr>
          <w:rFonts w:ascii="Times New Roman" w:eastAsia="Times New Roman" w:hAnsi="Times New Roman" w:cs="Times New Roman"/>
          <w:sz w:val="24"/>
          <w:szCs w:val="24"/>
          <w:lang w:eastAsia="pl-PL"/>
        </w:rPr>
        <w:t xml:space="preserve">2019.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Zarówno wartości współczynników redukcyjnych, jak również poziom, w jakim może mieć ona udział w realizacji NCW i limit dotyczący podwójnego naliczania wskazane zostały w ustawie do roku 2019. Wszystkie z ww. parametrów mają bowiem istotny wpływ na ostateczny kształt rynku wykorzystania biokomponentów w paliwach ciekłych i biopaliwach ciekłych i decydują o końcowym zapotrzebowaniu na biokomponenty (kondycji sektora rolnego i przetwórczego) oraz kosztach realizacji NCW (konkurencyjności podmiotów zobowiązanych do realizacji NCW).</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Przyjęte rozwiązania determinujące określoną strukturę rynkową w perspektywie najbliższych lat oraz dające instrumenty pozwalają</w:t>
      </w:r>
      <w:r w:rsidR="000548A0">
        <w:rPr>
          <w:rFonts w:ascii="Times New Roman" w:eastAsia="Times New Roman" w:hAnsi="Times New Roman" w:cs="Times New Roman"/>
          <w:sz w:val="24"/>
          <w:szCs w:val="24"/>
          <w:lang w:eastAsia="pl-PL"/>
        </w:rPr>
        <w:t>ce na zarządzanie tym rynkiem w </w:t>
      </w:r>
      <w:r w:rsidRPr="00DE2ECE">
        <w:rPr>
          <w:rFonts w:ascii="Times New Roman" w:eastAsia="Times New Roman" w:hAnsi="Times New Roman" w:cs="Times New Roman"/>
          <w:sz w:val="24"/>
          <w:szCs w:val="24"/>
          <w:lang w:eastAsia="pl-PL"/>
        </w:rPr>
        <w:t>latach kolejnych były przedmiotem prezentacji na Komitecie Ekonomicznym Rady Ministrów i zostały zaakceptowane.</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ustawie dokonano także szeregu zmian w przepisach sprawozdawczych. Mają one charakter głównie porządkowy lub są związane z wprowadzeniem nowych obowiązków. W art. 30 ustawy, w związku z wejściem w życie rozporządzenia Parlamentu Europejskiego i Rady (UE) </w:t>
      </w:r>
      <w:r w:rsidR="005D230E">
        <w:rPr>
          <w:rFonts w:ascii="Times New Roman" w:eastAsia="Times New Roman" w:hAnsi="Times New Roman" w:cs="Times New Roman"/>
          <w:sz w:val="24"/>
          <w:szCs w:val="24"/>
          <w:lang w:eastAsia="pl-PL"/>
        </w:rPr>
        <w:t>n</w:t>
      </w:r>
      <w:r w:rsidRPr="00DE2ECE">
        <w:rPr>
          <w:rFonts w:ascii="Times New Roman" w:eastAsia="Times New Roman" w:hAnsi="Times New Roman" w:cs="Times New Roman"/>
          <w:sz w:val="24"/>
          <w:szCs w:val="24"/>
          <w:lang w:eastAsia="pl-PL"/>
        </w:rPr>
        <w:t>r 256/2014 z dnia 26 lutego 2014 r. w sprawie zgłaszania Komisji projektów inwestycyjnych dotyczących infrastruktury energetycznej w Unii Europejskiej, zastępującego rozporządzenie Rady (UE, Euratom) nr 617/2010 oraz uchylającego rozporządzenie Rady (WE) nr 736/96 (Dz. U</w:t>
      </w:r>
      <w:r w:rsidR="005D230E">
        <w:rPr>
          <w:rFonts w:ascii="Times New Roman" w:eastAsia="Times New Roman" w:hAnsi="Times New Roman" w:cs="Times New Roman"/>
          <w:sz w:val="24"/>
          <w:szCs w:val="24"/>
          <w:lang w:eastAsia="pl-PL"/>
        </w:rPr>
        <w:t>rz</w:t>
      </w:r>
      <w:r w:rsidRPr="00DE2ECE">
        <w:rPr>
          <w:rFonts w:ascii="Times New Roman" w:eastAsia="Times New Roman" w:hAnsi="Times New Roman" w:cs="Times New Roman"/>
          <w:sz w:val="24"/>
          <w:szCs w:val="24"/>
          <w:lang w:eastAsia="pl-PL"/>
        </w:rPr>
        <w:t xml:space="preserve">. UE L 2014.84.61), </w:t>
      </w:r>
      <w:r w:rsidRPr="00DE2ECE">
        <w:rPr>
          <w:rFonts w:ascii="Times New Roman" w:eastAsia="Times New Roman" w:hAnsi="Times New Roman" w:cs="Times New Roman"/>
          <w:sz w:val="24"/>
          <w:szCs w:val="24"/>
          <w:lang w:eastAsia="pl-PL"/>
        </w:rPr>
        <w:lastRenderedPageBreak/>
        <w:t>dokonano zmian w ust. 1a oraz ust. 2a ustawy, polegającej na aktualizacji przepisów dotyczących ww. rozporządzenia jako źródła obowiązku informacyjnego dotyczącego infrastruktury energetycznej służącej do wytwarzania biokomponentów (wytwórcy) oraz biopaliw ciekłych (producenci).</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art. 30 ustawy dokonano niewielkich zmian w sprawozdawczości podmiotów sprowadzających, jak również zlikwidowano sprawozdawczość producentów (w art. 30 ust. 1b). Uchylono jednocześnie sprawozdawczość producentów do Dyrektora Generalnego KOWR (art. 30 ust. 2b)</w:t>
      </w:r>
      <w:r w:rsidR="006144DE">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zastępując ją sprawozdawczością podmiotów realizujących NCW, które </w:t>
      </w:r>
      <w:r w:rsidRPr="00DE2ECE">
        <w:rPr>
          <w:rFonts w:ascii="Times New Roman" w:eastAsia="Times New Roman" w:hAnsi="Times New Roman" w:cs="Times New Roman"/>
          <w:sz w:val="24"/>
          <w:szCs w:val="24"/>
        </w:rPr>
        <w:t>w danym kwartale dokonał</w:t>
      </w:r>
      <w:r w:rsidR="000548A0">
        <w:rPr>
          <w:rFonts w:ascii="Times New Roman" w:eastAsia="Times New Roman" w:hAnsi="Times New Roman" w:cs="Times New Roman"/>
          <w:sz w:val="24"/>
          <w:szCs w:val="24"/>
        </w:rPr>
        <w:t>y samodzielnie lub za </w:t>
      </w:r>
      <w:r w:rsidRPr="00DE2ECE">
        <w:rPr>
          <w:rFonts w:ascii="Times New Roman" w:eastAsia="Times New Roman" w:hAnsi="Times New Roman" w:cs="Times New Roman"/>
          <w:sz w:val="24"/>
          <w:szCs w:val="24"/>
        </w:rPr>
        <w:t xml:space="preserve">pośrednictwem innego podmiotu importu lub nabycia wewnątrzwspólnotowego biokomponentów, w tym biokomponentów </w:t>
      </w:r>
      <w:r w:rsidR="000548A0">
        <w:rPr>
          <w:rFonts w:ascii="Times New Roman" w:eastAsia="Times New Roman" w:hAnsi="Times New Roman" w:cs="Times New Roman"/>
          <w:sz w:val="24"/>
          <w:szCs w:val="24"/>
        </w:rPr>
        <w:t>zawartych w paliwach ciekłych i </w:t>
      </w:r>
      <w:r w:rsidRPr="00DE2ECE">
        <w:rPr>
          <w:rFonts w:ascii="Times New Roman" w:eastAsia="Times New Roman" w:hAnsi="Times New Roman" w:cs="Times New Roman"/>
          <w:sz w:val="24"/>
          <w:szCs w:val="24"/>
        </w:rPr>
        <w:t>biopaliwach ciekłych,</w:t>
      </w:r>
      <w:r w:rsidRPr="00DE2ECE" w:rsidDel="00231B6C">
        <w:rPr>
          <w:rFonts w:ascii="Times New Roman" w:eastAsia="Times New Roman" w:hAnsi="Times New Roman" w:cs="Times New Roman"/>
          <w:sz w:val="24"/>
          <w:szCs w:val="24"/>
        </w:rPr>
        <w:t xml:space="preserve"> </w:t>
      </w:r>
      <w:r w:rsidRPr="00DE2ECE">
        <w:rPr>
          <w:rFonts w:ascii="Times New Roman" w:eastAsia="Times New Roman" w:hAnsi="Times New Roman" w:cs="Times New Roman"/>
          <w:sz w:val="24"/>
          <w:szCs w:val="24"/>
        </w:rPr>
        <w:t xml:space="preserve">lub dokonały rozporządzenia tymi biokomponentami lub zużycia ich na potrzeby własne. </w:t>
      </w:r>
      <w:r w:rsidRPr="00DE2ECE">
        <w:rPr>
          <w:rFonts w:ascii="Times New Roman" w:eastAsia="Times New Roman" w:hAnsi="Times New Roman" w:cs="Times New Roman"/>
          <w:sz w:val="24"/>
          <w:szCs w:val="24"/>
          <w:lang w:eastAsia="pl-PL"/>
        </w:rPr>
        <w:t xml:space="preserve">Uchylenie w art. </w:t>
      </w:r>
      <w:r w:rsidR="000548A0">
        <w:rPr>
          <w:rFonts w:ascii="Times New Roman" w:eastAsia="Times New Roman" w:hAnsi="Times New Roman" w:cs="Times New Roman"/>
          <w:sz w:val="24"/>
          <w:szCs w:val="24"/>
          <w:lang w:eastAsia="pl-PL"/>
        </w:rPr>
        <w:t>30 ust. 2 ustawy wynika m.in. z </w:t>
      </w:r>
      <w:r w:rsidRPr="00DE2ECE">
        <w:rPr>
          <w:rFonts w:ascii="Times New Roman" w:eastAsia="Times New Roman" w:hAnsi="Times New Roman" w:cs="Times New Roman"/>
          <w:sz w:val="24"/>
          <w:szCs w:val="24"/>
          <w:lang w:eastAsia="pl-PL"/>
        </w:rPr>
        <w:t xml:space="preserve">przeniesienia części sprawozdawczości realizowanej przez producentów do sprawozdawczości podmiotów sprowadzających. Ponadto uchylenie tego przepisu jest związane z niewielką użytecznością danych przekazywanych przez producentów dla zadań wykonywanych przez Prezesa URE w zakresie monitorowania realizacji NCW – większość danych dotyczących rynku paliw ciekłych i biopaliw ciekłych jest pozyskiwana w ramach sprawozdawczości realizowanej na podstawie art. 30b ustawy, który również został zmodyfikowany w ramach niniejszej ustawy. W konsekwencji uchylenia ust. 2 uchylono także ust. 2d oraz ust. 4.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Dokonano zmian w art. 30 ust. 3, zgodnie z którym minister właściwy do spraw finansów publicznych przekazywał, w terminie do 45 dni po zakończeniu kwartału, Prezesowi URE oraz Dyrektorowi Generalnemu KOWR, sporządzone według kodów CN, na podstawie danych z systemów administracji celnej prowadzonych na podstawie odrębnych przepisów, sprawozdanie kwartalne zawierające informacje dotyczące ilości i rodzajów biokomponentów, paliw ciekłych i biopaliw ciekłych importowanych oraz sprowadzonych w ramach nabycia wewnątrzws</w:t>
      </w:r>
      <w:r w:rsidR="000548A0">
        <w:rPr>
          <w:rFonts w:ascii="Times New Roman" w:eastAsia="Times New Roman" w:hAnsi="Times New Roman" w:cs="Times New Roman"/>
          <w:sz w:val="24"/>
          <w:szCs w:val="24"/>
          <w:lang w:eastAsia="pl-PL"/>
        </w:rPr>
        <w:t>pólnotowego przez producentów i </w:t>
      </w:r>
      <w:r w:rsidRPr="00DE2ECE">
        <w:rPr>
          <w:rFonts w:ascii="Times New Roman" w:eastAsia="Times New Roman" w:hAnsi="Times New Roman" w:cs="Times New Roman"/>
          <w:sz w:val="24"/>
          <w:szCs w:val="24"/>
          <w:lang w:eastAsia="pl-PL"/>
        </w:rPr>
        <w:t xml:space="preserve">podmioty sprowadzające. W ww. przepisie dokonano zmian polegających na wykreśleniu Dyrektora Generalnego KOWR jako adresata sprawozdań przekazywanych przez ministra właściwego do spraw finansów publicznych, pozostawiając w tym zakresie jedynie Prezesa URE. Ponadto, z zakresu sprawozdawczości przekazywanej przez Ministra Finansów wykreślono informacje dotyczące ilości i rodzajów </w:t>
      </w:r>
      <w:r w:rsidRPr="00DE2ECE">
        <w:rPr>
          <w:rFonts w:ascii="Times New Roman" w:eastAsia="Times New Roman" w:hAnsi="Times New Roman" w:cs="Times New Roman"/>
          <w:sz w:val="24"/>
          <w:szCs w:val="24"/>
          <w:lang w:eastAsia="pl-PL"/>
        </w:rPr>
        <w:lastRenderedPageBreak/>
        <w:t>biokomponentów importowanych oraz sprowadzanych wewnątrzwspólnotowo przez producentów i podmioty sprowadzające, ponieważ zgodnie z przekazywanymi informacjami sporządzone według kodów CN informacje zawarte w ww. sprawozdaniu nie w pełni uwzględniają podział na biokomponenty, paliwa ciekłe i biopaliwa ciekłe, zdefiniowane w art. 2 ust. 1 pkt 3</w:t>
      </w:r>
      <w:r w:rsidR="007761CC">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11 i pkt 23 oraz ust. 2 ustawy. Taki stan rzeczy uniemożliwia Prezesowi URE złożenie kompletnych raportów kwartalnych oraz utrudnia wykonywanie jego zadań wynikających z przepisów ustawy.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Dokonano także zmian w art. 30 ust. 4a oraz dodano nowy ustęp 4b. Dyrektor Generalny KOWR będzie sporządzał zbiorczy raport kwartalny dotyczący rynku wytworzonych, importowanych lub nabytych wewnątrzwspólnotowo biokomponentów na podstawie sprawozdań kwartalnych wytwórców, podmiotów sprowadzających oraz informacji od podmiotów realizujących NCW.</w:t>
      </w:r>
      <w:r w:rsidR="007761CC">
        <w:rPr>
          <w:rFonts w:ascii="Times New Roman" w:eastAsia="Times New Roman" w:hAnsi="Times New Roman" w:cs="Times New Roman"/>
          <w:sz w:val="24"/>
          <w:szCs w:val="24"/>
          <w:lang w:eastAsia="pl-PL"/>
        </w:rPr>
        <w:t xml:space="preserve">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Odnośnie do zmian w art. 30b, dokonano zmian w przepisach dotyczących sprawozdania rocznego podmiotu realizującego NCW. Skrócono termin, w jakim powinno ono zostać przekazane do Prezes</w:t>
      </w:r>
      <w:r w:rsidR="000548A0">
        <w:rPr>
          <w:rFonts w:ascii="Times New Roman" w:eastAsia="Times New Roman" w:hAnsi="Times New Roman" w:cs="Times New Roman"/>
          <w:sz w:val="24"/>
          <w:szCs w:val="24"/>
          <w:lang w:eastAsia="pl-PL"/>
        </w:rPr>
        <w:t>a URE. Powyższe jest związane z </w:t>
      </w:r>
      <w:r w:rsidRPr="00DE2ECE">
        <w:rPr>
          <w:rFonts w:ascii="Times New Roman" w:eastAsia="Times New Roman" w:hAnsi="Times New Roman" w:cs="Times New Roman"/>
          <w:sz w:val="24"/>
          <w:szCs w:val="24"/>
          <w:lang w:eastAsia="pl-PL"/>
        </w:rPr>
        <w:t>wprowadzeniem raportu Prezesa URE dotyczącego rynku paliw ciekłych i biopaliw ciekłych, w tym realizacji obowiązków, o których mowa</w:t>
      </w:r>
      <w:r w:rsidR="000548A0">
        <w:rPr>
          <w:rFonts w:ascii="Times New Roman" w:eastAsia="Times New Roman" w:hAnsi="Times New Roman" w:cs="Times New Roman"/>
          <w:sz w:val="24"/>
          <w:szCs w:val="24"/>
          <w:lang w:eastAsia="pl-PL"/>
        </w:rPr>
        <w:t xml:space="preserve"> w art. 23, </w:t>
      </w:r>
      <w:r w:rsidR="006D43C5">
        <w:rPr>
          <w:rFonts w:ascii="Times New Roman" w:eastAsia="Times New Roman" w:hAnsi="Times New Roman" w:cs="Times New Roman"/>
          <w:sz w:val="24"/>
          <w:szCs w:val="24"/>
          <w:lang w:eastAsia="pl-PL"/>
        </w:rPr>
        <w:t xml:space="preserve">art. </w:t>
      </w:r>
      <w:r w:rsidR="000548A0">
        <w:rPr>
          <w:rFonts w:ascii="Times New Roman" w:eastAsia="Times New Roman" w:hAnsi="Times New Roman" w:cs="Times New Roman"/>
          <w:sz w:val="24"/>
          <w:szCs w:val="24"/>
          <w:lang w:eastAsia="pl-PL"/>
        </w:rPr>
        <w:t xml:space="preserve">23a i </w:t>
      </w:r>
      <w:r w:rsidR="006D43C5">
        <w:rPr>
          <w:rFonts w:ascii="Times New Roman" w:eastAsia="Times New Roman" w:hAnsi="Times New Roman" w:cs="Times New Roman"/>
          <w:sz w:val="24"/>
          <w:szCs w:val="24"/>
          <w:lang w:eastAsia="pl-PL"/>
        </w:rPr>
        <w:t xml:space="preserve">art. </w:t>
      </w:r>
      <w:r w:rsidR="000548A0">
        <w:rPr>
          <w:rFonts w:ascii="Times New Roman" w:eastAsia="Times New Roman" w:hAnsi="Times New Roman" w:cs="Times New Roman"/>
          <w:sz w:val="24"/>
          <w:szCs w:val="24"/>
          <w:lang w:eastAsia="pl-PL"/>
        </w:rPr>
        <w:t>23b ustawy (o </w:t>
      </w:r>
      <w:r w:rsidRPr="00DE2ECE">
        <w:rPr>
          <w:rFonts w:ascii="Times New Roman" w:eastAsia="Times New Roman" w:hAnsi="Times New Roman" w:cs="Times New Roman"/>
          <w:sz w:val="24"/>
          <w:szCs w:val="24"/>
          <w:lang w:eastAsia="pl-PL"/>
        </w:rPr>
        <w:t>raporcie mowa w dalszej części uzasadnienia). Skrócenie ww. terminu umożliwi Prezesowi URE opracowanie raportu w terminie 90 dni po zakończeniu roku kalendarzowego. Zakres sprawozdania rocznego podmiotu realizującego NCW został uzupełniony o informację dotyczącą ilości i rodzajów biokomponentów, w tym wytworzonych z surowców określonych w zał</w:t>
      </w:r>
      <w:r w:rsidR="000548A0">
        <w:rPr>
          <w:rFonts w:ascii="Times New Roman" w:eastAsia="Times New Roman" w:hAnsi="Times New Roman" w:cs="Times New Roman"/>
          <w:sz w:val="24"/>
          <w:szCs w:val="24"/>
          <w:lang w:eastAsia="pl-PL"/>
        </w:rPr>
        <w:t>ączniku nr 1 do ustawy, wraz ze </w:t>
      </w:r>
      <w:r w:rsidRPr="00DE2ECE">
        <w:rPr>
          <w:rFonts w:ascii="Times New Roman" w:eastAsia="Times New Roman" w:hAnsi="Times New Roman" w:cs="Times New Roman"/>
          <w:sz w:val="24"/>
          <w:szCs w:val="24"/>
          <w:lang w:eastAsia="pl-PL"/>
        </w:rPr>
        <w:t xml:space="preserve">wskazaniem tych surowców. Ponadto podmioty zobowiązane będą się sprawozdawały z informacji dotyczących metod wytworzenia biokomponentów wykorzystanych w paliwach ciekłych, biopaliwach ciekłych i innych paliwach odnawialnych wykorzystanych do realizacji celu oraz z informacji dotyczących ilości biokomponentów wykorzystanych w paliwach ciekłych, biopaliwach ciekłych i innych paliwach odnawialnych, wykorzystanych do realizacji celu, wytworzonych z surowców określonych w załączniku nr 2 do ustawy. </w:t>
      </w:r>
      <w:r w:rsidR="000548A0">
        <w:rPr>
          <w:rFonts w:ascii="Times New Roman" w:eastAsia="Times New Roman" w:hAnsi="Times New Roman" w:cs="Times New Roman"/>
          <w:sz w:val="24"/>
          <w:szCs w:val="24"/>
          <w:lang w:eastAsia="pl-PL"/>
        </w:rPr>
        <w:t>Powyższe wynika bezpośrednio ze </w:t>
      </w:r>
      <w:r w:rsidRPr="00DE2ECE">
        <w:rPr>
          <w:rFonts w:ascii="Times New Roman" w:eastAsia="Times New Roman" w:hAnsi="Times New Roman" w:cs="Times New Roman"/>
          <w:sz w:val="24"/>
          <w:szCs w:val="24"/>
          <w:lang w:eastAsia="pl-PL"/>
        </w:rPr>
        <w:t xml:space="preserve">zobowiązań nałożonych dyrektywą 2015/1513.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Ponadto podmioty te zostały zobowiązane do prz</w:t>
      </w:r>
      <w:r w:rsidR="000548A0">
        <w:rPr>
          <w:rFonts w:ascii="Times New Roman" w:eastAsia="Times New Roman" w:hAnsi="Times New Roman" w:cs="Times New Roman"/>
          <w:sz w:val="24"/>
          <w:szCs w:val="24"/>
          <w:lang w:eastAsia="pl-PL"/>
        </w:rPr>
        <w:t>ekazania Prezesowi URE wraz ze </w:t>
      </w:r>
      <w:r w:rsidRPr="00DE2ECE">
        <w:rPr>
          <w:rFonts w:ascii="Times New Roman" w:eastAsia="Times New Roman" w:hAnsi="Times New Roman" w:cs="Times New Roman"/>
          <w:sz w:val="24"/>
          <w:szCs w:val="24"/>
          <w:lang w:eastAsia="pl-PL"/>
        </w:rPr>
        <w:t>sprawozdaniami rocznymi, oprócz wystawionych świadectw</w:t>
      </w:r>
      <w:r w:rsidR="00B76B5E">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również kopii </w:t>
      </w:r>
      <w:r w:rsidRPr="00DE2ECE">
        <w:rPr>
          <w:rFonts w:ascii="Times New Roman" w:eastAsia="Times New Roman" w:hAnsi="Times New Roman" w:cs="Times New Roman"/>
          <w:sz w:val="24"/>
          <w:szCs w:val="24"/>
          <w:lang w:eastAsia="pl-PL"/>
        </w:rPr>
        <w:lastRenderedPageBreak/>
        <w:t xml:space="preserve">dowodów wpłaty z tytułu opłaty zastępczej, o czym mowa </w:t>
      </w:r>
      <w:r w:rsidR="000548A0">
        <w:rPr>
          <w:rFonts w:ascii="Times New Roman" w:eastAsia="Times New Roman" w:hAnsi="Times New Roman" w:cs="Times New Roman"/>
          <w:sz w:val="24"/>
          <w:szCs w:val="24"/>
          <w:lang w:eastAsia="pl-PL"/>
        </w:rPr>
        <w:t>wcześniej. Należy zaznaczyć, że </w:t>
      </w:r>
      <w:r w:rsidRPr="00DE2ECE">
        <w:rPr>
          <w:rFonts w:ascii="Times New Roman" w:eastAsia="Times New Roman" w:hAnsi="Times New Roman" w:cs="Times New Roman"/>
          <w:sz w:val="24"/>
          <w:szCs w:val="24"/>
          <w:lang w:eastAsia="pl-PL"/>
        </w:rPr>
        <w:t>zmiana art. 30b ust. 1b pkt 1, w którym usunięto słowo „oryginał” przed słowem „świadectwa” nie wprowadza zmiany w rozumieniu pr</w:t>
      </w:r>
      <w:r w:rsidR="000548A0">
        <w:rPr>
          <w:rFonts w:ascii="Times New Roman" w:eastAsia="Times New Roman" w:hAnsi="Times New Roman" w:cs="Times New Roman"/>
          <w:sz w:val="24"/>
          <w:szCs w:val="24"/>
          <w:lang w:eastAsia="pl-PL"/>
        </w:rPr>
        <w:t>zepisu. Wymaga się, aby wraz ze </w:t>
      </w:r>
      <w:r w:rsidRPr="00DE2ECE">
        <w:rPr>
          <w:rFonts w:ascii="Times New Roman" w:eastAsia="Times New Roman" w:hAnsi="Times New Roman" w:cs="Times New Roman"/>
          <w:sz w:val="24"/>
          <w:szCs w:val="24"/>
          <w:lang w:eastAsia="pl-PL"/>
        </w:rPr>
        <w:t xml:space="preserve">sprawozdaniem rocznym podmioty realizujące NCW przekazywały oryginały świadectwa.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art. 30b wprowadzono także nowe zobowiązanie dla podmiotów realizujących NCW dotyczące konieczności składania sprawozdania kwartalnego obejmującego ogólne informacje na temat zrealizowanego w danym okresie NCW. Sprawozdania, o których mowa powyżej, będą opracowywane przez podmioty zobowiązane do realizacji NCW w oparciu o szereg dokumentów, w tym w szcze</w:t>
      </w:r>
      <w:r w:rsidR="000548A0">
        <w:rPr>
          <w:rFonts w:ascii="Times New Roman" w:eastAsia="Times New Roman" w:hAnsi="Times New Roman" w:cs="Times New Roman"/>
          <w:sz w:val="24"/>
          <w:szCs w:val="24"/>
          <w:lang w:eastAsia="pl-PL"/>
        </w:rPr>
        <w:t>gólności dokumenty wymienione w </w:t>
      </w:r>
      <w:r w:rsidRPr="00DE2ECE">
        <w:rPr>
          <w:rFonts w:ascii="Times New Roman" w:eastAsia="Times New Roman" w:hAnsi="Times New Roman" w:cs="Times New Roman"/>
          <w:sz w:val="24"/>
          <w:szCs w:val="24"/>
          <w:lang w:eastAsia="pl-PL"/>
        </w:rPr>
        <w:t xml:space="preserve">dodanym do art. 30b ust. 5. Podmiot realizujący NCW jest zobowiązany dysponować ww. dokumentami i udostępniać je Prezesowi URE w </w:t>
      </w:r>
      <w:r w:rsidR="00B76B5E">
        <w:rPr>
          <w:rFonts w:ascii="Times New Roman" w:eastAsia="Times New Roman" w:hAnsi="Times New Roman" w:cs="Times New Roman"/>
          <w:sz w:val="24"/>
          <w:szCs w:val="24"/>
          <w:lang w:eastAsia="pl-PL"/>
        </w:rPr>
        <w:t>przy</w:t>
      </w:r>
      <w:r w:rsidR="00B76B5E" w:rsidRPr="00DE2ECE">
        <w:rPr>
          <w:rFonts w:ascii="Times New Roman" w:eastAsia="Times New Roman" w:hAnsi="Times New Roman" w:cs="Times New Roman"/>
          <w:sz w:val="24"/>
          <w:szCs w:val="24"/>
          <w:lang w:eastAsia="pl-PL"/>
        </w:rPr>
        <w:t xml:space="preserve">padku </w:t>
      </w:r>
      <w:r w:rsidRPr="00DE2ECE">
        <w:rPr>
          <w:rFonts w:ascii="Times New Roman" w:eastAsia="Times New Roman" w:hAnsi="Times New Roman" w:cs="Times New Roman"/>
          <w:sz w:val="24"/>
          <w:szCs w:val="24"/>
          <w:lang w:eastAsia="pl-PL"/>
        </w:rPr>
        <w:t xml:space="preserve">prowadzenia kontroli prawidłowości realizacji obowiązku. Wzór sprawozdania kwartalnego podmiotu realizującego NCW zostanie określony, w drodze rozporządzenia, przez ministra właściwego do spraw energii.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przypadku gdy podmioty realizujące NCW dokonują importu lub nabycia wewnątrzwspólnotowego biokomponentów, w</w:t>
      </w:r>
      <w:r w:rsidR="000548A0">
        <w:rPr>
          <w:rFonts w:ascii="Times New Roman" w:eastAsia="Times New Roman" w:hAnsi="Times New Roman" w:cs="Times New Roman"/>
          <w:sz w:val="24"/>
          <w:szCs w:val="24"/>
          <w:lang w:eastAsia="pl-PL"/>
        </w:rPr>
        <w:t xml:space="preserve"> tym biokomponentów zawartych w </w:t>
      </w:r>
      <w:r w:rsidRPr="00DE2ECE">
        <w:rPr>
          <w:rFonts w:ascii="Times New Roman" w:eastAsia="Times New Roman" w:hAnsi="Times New Roman" w:cs="Times New Roman"/>
          <w:sz w:val="24"/>
          <w:szCs w:val="24"/>
          <w:lang w:eastAsia="pl-PL"/>
        </w:rPr>
        <w:t xml:space="preserve">paliwach ciekłych i biopaliwach ciekłych, podmioty te będą obowiązane do przekazywania, wraz ze sprawozdaniem, o którym mowa powyżej, informacji dotyczących ilości i rodzajów importowanych lub nabytych wewnątrzwspólnotowo biokomponentów, w tym biokomponentów </w:t>
      </w:r>
      <w:r w:rsidR="000548A0">
        <w:rPr>
          <w:rFonts w:ascii="Times New Roman" w:eastAsia="Times New Roman" w:hAnsi="Times New Roman" w:cs="Times New Roman"/>
          <w:sz w:val="24"/>
          <w:szCs w:val="24"/>
          <w:lang w:eastAsia="pl-PL"/>
        </w:rPr>
        <w:t>zawartych w paliwach ciekłych i </w:t>
      </w:r>
      <w:r w:rsidRPr="00DE2ECE">
        <w:rPr>
          <w:rFonts w:ascii="Times New Roman" w:eastAsia="Times New Roman" w:hAnsi="Times New Roman" w:cs="Times New Roman"/>
          <w:sz w:val="24"/>
          <w:szCs w:val="24"/>
          <w:lang w:eastAsia="pl-PL"/>
        </w:rPr>
        <w:t xml:space="preserve">biopaliwach ciekłych, które potem zostaną wykorzystane przez Dyrektora Generalnego KOWR do sporządzenia raportu, o którym mowa w art. 30 ust. 4a ustawy (informacje te będą przekazywane Dyrektorowi Generalnemu KOWR przez Prezesa URE).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art. 30b ust. 7 wprowadzono również nowy przepis, zgodnie z którym Prezes URE, na podstawie sprawozdań rocznych oraz sprawozdań kwartalnych, będzie opracowywał zbiorczy raport roczny dotyczący rynku paliw ciekłych i biopaliw ciekłych, w tym realizacji obowiązków, o których mowa w art. 23, </w:t>
      </w:r>
      <w:r w:rsidR="00DC5327">
        <w:rPr>
          <w:rFonts w:ascii="Times New Roman" w:eastAsia="Times New Roman" w:hAnsi="Times New Roman" w:cs="Times New Roman"/>
          <w:sz w:val="24"/>
          <w:szCs w:val="24"/>
          <w:lang w:eastAsia="pl-PL"/>
        </w:rPr>
        <w:t xml:space="preserve">art. </w:t>
      </w:r>
      <w:r w:rsidRPr="00DE2ECE">
        <w:rPr>
          <w:rFonts w:ascii="Times New Roman" w:eastAsia="Times New Roman" w:hAnsi="Times New Roman" w:cs="Times New Roman"/>
          <w:sz w:val="24"/>
          <w:szCs w:val="24"/>
          <w:lang w:eastAsia="pl-PL"/>
        </w:rPr>
        <w:t xml:space="preserve">23a oraz </w:t>
      </w:r>
      <w:r w:rsidR="00DC5327">
        <w:rPr>
          <w:rFonts w:ascii="Times New Roman" w:eastAsia="Times New Roman" w:hAnsi="Times New Roman" w:cs="Times New Roman"/>
          <w:sz w:val="24"/>
          <w:szCs w:val="24"/>
          <w:lang w:eastAsia="pl-PL"/>
        </w:rPr>
        <w:t xml:space="preserve">art. </w:t>
      </w:r>
      <w:r w:rsidRPr="00DE2ECE">
        <w:rPr>
          <w:rFonts w:ascii="Times New Roman" w:eastAsia="Times New Roman" w:hAnsi="Times New Roman" w:cs="Times New Roman"/>
          <w:sz w:val="24"/>
          <w:szCs w:val="24"/>
          <w:lang w:eastAsia="pl-PL"/>
        </w:rPr>
        <w:t>23b ustawy</w:t>
      </w:r>
      <w:r w:rsidR="002B4A60">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i będzie przekazywał go ministrom właściwym do spraw: finansów publicznych, energii, rynków rolnych oraz Dyrektorowi Generalnemu KOWR, w terminie do 90 dni po zakończeniu roku kalendarzowego. Wprowadzenie powyższego raportu pozwoli na </w:t>
      </w:r>
      <w:r w:rsidRPr="00DE2ECE">
        <w:rPr>
          <w:rFonts w:ascii="Times New Roman" w:eastAsia="Times New Roman" w:hAnsi="Times New Roman" w:cs="Times New Roman"/>
          <w:sz w:val="24"/>
          <w:szCs w:val="24"/>
          <w:lang w:eastAsia="pl-PL"/>
        </w:rPr>
        <w:lastRenderedPageBreak/>
        <w:t>lepsze monitorowanie realizacji NCW oraz umożliwi monitoring obowiązku blendingu. Za brak realizacji obowiązków sprawozdawczych lub ich nieprawidłową realizację przewidziane są kary finansowe – zmiany w art. 33 ustawy.</w:t>
      </w:r>
      <w:r w:rsidR="007761CC">
        <w:rPr>
          <w:rFonts w:ascii="Times New Roman" w:eastAsia="Times New Roman" w:hAnsi="Times New Roman" w:cs="Times New Roman"/>
          <w:sz w:val="24"/>
          <w:szCs w:val="24"/>
          <w:lang w:eastAsia="pl-PL"/>
        </w:rPr>
        <w:t xml:space="preserve">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związku z wprowadzeniem zmian w sprawozdawczości równolegle wprowadzono przepisy porządkujące ww. obowiązki. W celu uniknięcia sytuacji, w której podmioty nie przekazałyby sprawozdań za ostatni kwartał 2017 r</w:t>
      </w:r>
      <w:r w:rsidR="000548A0">
        <w:rPr>
          <w:rFonts w:ascii="Times New Roman" w:eastAsia="Times New Roman" w:hAnsi="Times New Roman" w:cs="Times New Roman"/>
          <w:sz w:val="24"/>
          <w:szCs w:val="24"/>
          <w:lang w:eastAsia="pl-PL"/>
        </w:rPr>
        <w:t>. wskazano, że do sprawozdań, o </w:t>
      </w:r>
      <w:r w:rsidRPr="00DE2ECE">
        <w:rPr>
          <w:rFonts w:ascii="Times New Roman" w:eastAsia="Times New Roman" w:hAnsi="Times New Roman" w:cs="Times New Roman"/>
          <w:sz w:val="24"/>
          <w:szCs w:val="24"/>
          <w:lang w:eastAsia="pl-PL"/>
        </w:rPr>
        <w:t>których mowa w art. 30 ust. 1</w:t>
      </w:r>
      <w:r w:rsidR="007761CC">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1b, 2</w:t>
      </w:r>
      <w:r w:rsidR="007761CC">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2b i ust. 3 ustawy składanych za okresy do ostatniego kwartału 2017 r. włącznie, oraz do kar pieniężnych za niezrealizowanie obowiązków, o których mowa w art. 30 ust. 1, 1b, 2 i 2b, za okresy do ostatniego kwartału 2017 r. włącznie, stosuje się przepisy dotychczasowe. Takie samo rozwiązanie zastosowano w odniesieniu do raportów kwartalnych Dyrektora Generalnego KOWR oraz Prezesa URE, o których mowa w art. 30 ust. 4 i 4a ustawy. Doprecyzowano również, iż sprawozdania w zakresie nadanym w niniejszym projekcie ustawy powinny zostać złożone po raz pierwszy za pierwszy kwartał 2018 r.</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Na takiej samej zasadzie wprowadzono uszczegółowienie w odniesieniu do sprawozdań rocznych, o których mowa w art. 30b ust. 1 ustawy</w:t>
      </w:r>
      <w:r w:rsidR="00DC5327">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składanych za lata do 2017 r. Wskazano, że w tym przypadku stosuje się przepisy dotychczasowe, natomiast sprawozdania, o których mowa w art. 30b ust. </w:t>
      </w:r>
      <w:r w:rsidR="000548A0">
        <w:rPr>
          <w:rFonts w:ascii="Times New Roman" w:eastAsia="Times New Roman" w:hAnsi="Times New Roman" w:cs="Times New Roman"/>
          <w:sz w:val="24"/>
          <w:szCs w:val="24"/>
          <w:lang w:eastAsia="pl-PL"/>
        </w:rPr>
        <w:t>1 ustawy zmienianej w art. 1, w </w:t>
      </w:r>
      <w:r w:rsidRPr="00DE2ECE">
        <w:rPr>
          <w:rFonts w:ascii="Times New Roman" w:eastAsia="Times New Roman" w:hAnsi="Times New Roman" w:cs="Times New Roman"/>
          <w:sz w:val="24"/>
          <w:szCs w:val="24"/>
          <w:lang w:eastAsia="pl-PL"/>
        </w:rPr>
        <w:t>brzmieniu nadanym niniejszą ustawą, składa się po raz pierwszy za 2018 r.</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przepisach art. 33 wprowadzono następujące zmiany:</w:t>
      </w:r>
    </w:p>
    <w:p w:rsidR="0044533E" w:rsidRPr="00DE2ECE" w:rsidRDefault="0044533E" w:rsidP="00564A04">
      <w:pPr>
        <w:numPr>
          <w:ilvl w:val="0"/>
          <w:numId w:val="19"/>
        </w:numPr>
        <w:tabs>
          <w:tab w:val="clear" w:pos="720"/>
          <w:tab w:val="num" w:pos="364"/>
        </w:tabs>
        <w:autoSpaceDE w:val="0"/>
        <w:autoSpaceDN w:val="0"/>
        <w:adjustRightInd w:val="0"/>
        <w:spacing w:after="0" w:line="360" w:lineRule="auto"/>
        <w:ind w:left="28" w:hanging="28"/>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1a – w związku ze zmianą definicji podmiotu sprowadzającego;</w:t>
      </w:r>
    </w:p>
    <w:p w:rsidR="0044533E" w:rsidRPr="00DE2ECE" w:rsidRDefault="0044533E" w:rsidP="00564A04">
      <w:pPr>
        <w:numPr>
          <w:ilvl w:val="0"/>
          <w:numId w:val="19"/>
        </w:numPr>
        <w:tabs>
          <w:tab w:val="clear" w:pos="720"/>
          <w:tab w:val="num" w:pos="364"/>
        </w:tabs>
        <w:autoSpaceDE w:val="0"/>
        <w:autoSpaceDN w:val="0"/>
        <w:adjustRightInd w:val="0"/>
        <w:spacing w:after="0" w:line="360" w:lineRule="auto"/>
        <w:ind w:left="28" w:hanging="28"/>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ust. 1 pkt 1d i 1e – w związku ze zmianami w art. 28p oraz </w:t>
      </w:r>
      <w:r w:rsidR="00DC5327">
        <w:rPr>
          <w:rFonts w:ascii="Times New Roman" w:eastAsia="Times New Roman" w:hAnsi="Times New Roman" w:cs="Times New Roman"/>
          <w:sz w:val="24"/>
          <w:szCs w:val="24"/>
          <w:lang w:eastAsia="pl-PL"/>
        </w:rPr>
        <w:t xml:space="preserve">art. </w:t>
      </w:r>
      <w:r w:rsidRPr="00DE2ECE">
        <w:rPr>
          <w:rFonts w:ascii="Times New Roman" w:eastAsia="Times New Roman" w:hAnsi="Times New Roman" w:cs="Times New Roman"/>
          <w:sz w:val="24"/>
          <w:szCs w:val="24"/>
          <w:lang w:eastAsia="pl-PL"/>
        </w:rPr>
        <w:t>28y;</w:t>
      </w:r>
    </w:p>
    <w:p w:rsidR="0044533E" w:rsidRPr="00DE2ECE" w:rsidRDefault="0044533E" w:rsidP="00564A04">
      <w:pPr>
        <w:numPr>
          <w:ilvl w:val="0"/>
          <w:numId w:val="19"/>
        </w:numPr>
        <w:tabs>
          <w:tab w:val="clear" w:pos="720"/>
          <w:tab w:val="num" w:pos="364"/>
        </w:tabs>
        <w:autoSpaceDE w:val="0"/>
        <w:autoSpaceDN w:val="0"/>
        <w:adjustRightInd w:val="0"/>
        <w:spacing w:after="0" w:line="360" w:lineRule="auto"/>
        <w:ind w:left="28" w:hanging="28"/>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3b – przepis dodany w związku z wprowadzeniem art. 11a;</w:t>
      </w:r>
    </w:p>
    <w:p w:rsidR="0044533E" w:rsidRPr="00DE2ECE" w:rsidRDefault="0044533E" w:rsidP="00564A04">
      <w:pPr>
        <w:numPr>
          <w:ilvl w:val="0"/>
          <w:numId w:val="19"/>
        </w:numPr>
        <w:tabs>
          <w:tab w:val="clear" w:pos="720"/>
          <w:tab w:val="num" w:pos="364"/>
        </w:tabs>
        <w:autoSpaceDE w:val="0"/>
        <w:autoSpaceDN w:val="0"/>
        <w:adjustRightInd w:val="0"/>
        <w:spacing w:after="0" w:line="360" w:lineRule="auto"/>
        <w:ind w:left="364" w:hanging="364"/>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4a – przepis dodany w związku z wprowadzeniem obowiązku informowania Prezesa URE o objęciu obowiązkiem realizacji NCW;</w:t>
      </w:r>
    </w:p>
    <w:p w:rsidR="0044533E" w:rsidRPr="00DE2ECE" w:rsidRDefault="0044533E" w:rsidP="00564A04">
      <w:pPr>
        <w:numPr>
          <w:ilvl w:val="0"/>
          <w:numId w:val="19"/>
        </w:numPr>
        <w:tabs>
          <w:tab w:val="clear" w:pos="720"/>
          <w:tab w:val="num" w:pos="364"/>
        </w:tabs>
        <w:autoSpaceDE w:val="0"/>
        <w:autoSpaceDN w:val="0"/>
        <w:adjustRightInd w:val="0"/>
        <w:spacing w:after="0" w:line="360" w:lineRule="auto"/>
        <w:ind w:left="28" w:hanging="28"/>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5a – uchylono w związku z uchyleniem art. 23a;</w:t>
      </w:r>
    </w:p>
    <w:p w:rsidR="0044533E" w:rsidRPr="00DE2ECE" w:rsidRDefault="0044533E" w:rsidP="00564A04">
      <w:pPr>
        <w:numPr>
          <w:ilvl w:val="0"/>
          <w:numId w:val="19"/>
        </w:numPr>
        <w:tabs>
          <w:tab w:val="clear" w:pos="720"/>
          <w:tab w:val="num" w:pos="364"/>
        </w:tabs>
        <w:autoSpaceDE w:val="0"/>
        <w:autoSpaceDN w:val="0"/>
        <w:adjustRightInd w:val="0"/>
        <w:spacing w:after="0" w:line="360" w:lineRule="auto"/>
        <w:ind w:left="28" w:hanging="28"/>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5b – dodano w związku z wprowadzeniem art. 23b;</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6a – przepis dodany w związku z wprowadzeniem zakazu dla podmiotów realizujących Narodowy Cel Wskaźnikowy wystawiania poświadczeń dla biokomponentów, które zostały wykorzystane przez ten podmiot do realizacji obowiązku, o którym mowa w art. 23 ust. 1 ustawy;</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lastRenderedPageBreak/>
        <w:t>ust. 1 pkt 7a – w związku z uchyleniem art. 30 ust. 2 ustawy – sprawozdanie producenta;</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ust. 1 pkt 8 – w związku z uchyleniem art. 30 ust. 2b – sprawozdanie producenta oraz wprowadzeniem obowiązku przekazywania </w:t>
      </w:r>
      <w:r w:rsidRPr="00DE2ECE">
        <w:rPr>
          <w:rFonts w:ascii="Times New Roman" w:eastAsia="Times New Roman" w:hAnsi="Times New Roman" w:cs="Times New Roman"/>
          <w:sz w:val="24"/>
          <w:szCs w:val="24"/>
        </w:rPr>
        <w:t xml:space="preserve">oświadczenia, </w:t>
      </w:r>
      <w:r w:rsidR="000548A0">
        <w:rPr>
          <w:rFonts w:ascii="Times New Roman" w:eastAsia="Times New Roman" w:hAnsi="Times New Roman" w:cs="Times New Roman"/>
          <w:sz w:val="24"/>
          <w:szCs w:val="24"/>
        </w:rPr>
        <w:t>o którym mowa w </w:t>
      </w:r>
      <w:r w:rsidRPr="00DE2ECE">
        <w:rPr>
          <w:rFonts w:ascii="Times New Roman" w:eastAsia="Times New Roman" w:hAnsi="Times New Roman" w:cs="Times New Roman"/>
          <w:sz w:val="24"/>
          <w:szCs w:val="24"/>
        </w:rPr>
        <w:t>art. 30 ust. 2c ustawy;”</w:t>
      </w:r>
      <w:r w:rsidRPr="00DE2ECE">
        <w:rPr>
          <w:rFonts w:ascii="Times New Roman" w:eastAsia="Times New Roman" w:hAnsi="Times New Roman" w:cs="Times New Roman"/>
          <w:sz w:val="24"/>
          <w:szCs w:val="24"/>
          <w:lang w:eastAsia="pl-PL"/>
        </w:rPr>
        <w:t>;</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1 pkt 8aa – przepis dodany w związku z wprowadzeniem obowiązku przekazania sprawozdania kwartalnego przez podmiot realizujący NCW (art. 30b ust. 3 ustawy);</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ust. 4 – w związku z koniecznością ujednolicenia przepisu z art. 22 ust. 1, art. 27 ust. 1 pkt 1 oraz art. 33 ust. 1 pkt </w:t>
      </w:r>
      <w:r w:rsidR="000548A0">
        <w:rPr>
          <w:rFonts w:ascii="Times New Roman" w:eastAsia="Times New Roman" w:hAnsi="Times New Roman" w:cs="Times New Roman"/>
          <w:sz w:val="24"/>
          <w:szCs w:val="24"/>
          <w:lang w:eastAsia="pl-PL"/>
        </w:rPr>
        <w:t>4 ustawy, w których mowa jest o </w:t>
      </w:r>
      <w:r w:rsidRPr="00DE2ECE">
        <w:rPr>
          <w:rFonts w:ascii="Times New Roman" w:eastAsia="Times New Roman" w:hAnsi="Times New Roman" w:cs="Times New Roman"/>
          <w:sz w:val="24"/>
          <w:szCs w:val="24"/>
          <w:lang w:eastAsia="pl-PL"/>
        </w:rPr>
        <w:t xml:space="preserve">biokomponentach wprowadzanych do obrotu lub wykorzystywanych przez producentów do wytwarzania paliw ciekłych lub biopaliw ciekłych. Dotychczasowe brzmienie art. 33 ust. 4 nie obejmowało natomiast biokomponentów wykorzystywanych przez producentów do wytwarzania paliw ciekłych lub biopaliw ciekłych. Ponadto doprecyzowano, że podstawą określenia kary jest wartość netto biokomponentów. </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ust. 5 – w związku ze zmianą sposobu wyliczania kary za brak realizacji NCW; </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5b – uchylono w związku z uchyleniem art. 23a;</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5c – wprowadzono w związku z art. 23b;</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5d – przepis dodany w związku z wprowadzeniem zakazu dla podmiotów realizujących Narodowy Cel Wskaźnikowy wystawiania poświadczeń dla biokomponentów, które zostały wykorzystane przez ten podmiot do realizacji obowiązku, o którym mowa w art. 23 ust. 1 ustawy;</w:t>
      </w:r>
    </w:p>
    <w:p w:rsidR="0044533E" w:rsidRPr="00DE2ECE" w:rsidRDefault="0044533E" w:rsidP="00564A04">
      <w:pPr>
        <w:numPr>
          <w:ilvl w:val="0"/>
          <w:numId w:val="19"/>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ust. 9 – w związku z wprowadzeniem dodatkowych czynności objętych karą administracyjną, wskazując Dyrektora Generalnego KOWR oraz Prezesa URE jako organ</w:t>
      </w:r>
      <w:r w:rsidR="00B513DE">
        <w:rPr>
          <w:rFonts w:ascii="Times New Roman" w:eastAsia="Times New Roman" w:hAnsi="Times New Roman" w:cs="Times New Roman"/>
          <w:sz w:val="24"/>
          <w:szCs w:val="24"/>
          <w:lang w:eastAsia="pl-PL"/>
        </w:rPr>
        <w:t>y</w:t>
      </w:r>
      <w:r w:rsidRPr="00DE2ECE">
        <w:rPr>
          <w:rFonts w:ascii="Times New Roman" w:eastAsia="Times New Roman" w:hAnsi="Times New Roman" w:cs="Times New Roman"/>
          <w:sz w:val="24"/>
          <w:szCs w:val="24"/>
          <w:lang w:eastAsia="pl-PL"/>
        </w:rPr>
        <w:t xml:space="preserve"> odpowiedzialn</w:t>
      </w:r>
      <w:r w:rsidR="00B513DE">
        <w:rPr>
          <w:rFonts w:ascii="Times New Roman" w:eastAsia="Times New Roman" w:hAnsi="Times New Roman" w:cs="Times New Roman"/>
          <w:sz w:val="24"/>
          <w:szCs w:val="24"/>
          <w:lang w:eastAsia="pl-PL"/>
        </w:rPr>
        <w:t>e</w:t>
      </w:r>
      <w:r w:rsidRPr="00DE2ECE">
        <w:rPr>
          <w:rFonts w:ascii="Times New Roman" w:eastAsia="Times New Roman" w:hAnsi="Times New Roman" w:cs="Times New Roman"/>
          <w:sz w:val="24"/>
          <w:szCs w:val="24"/>
          <w:lang w:eastAsia="pl-PL"/>
        </w:rPr>
        <w:t xml:space="preserve"> za wymierzenie, w drodze decyzji administracyjnej, kary pieniężnej. </w:t>
      </w:r>
    </w:p>
    <w:p w:rsidR="0044533E" w:rsidRPr="00DE2ECE" w:rsidRDefault="0044533E" w:rsidP="00564A0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Niniejszą ustawą wprowadza się zmiany w następujących ustawach:</w:t>
      </w:r>
    </w:p>
    <w:p w:rsidR="0044533E" w:rsidRPr="00DE2ECE" w:rsidRDefault="0044533E" w:rsidP="000548A0">
      <w:pPr>
        <w:numPr>
          <w:ilvl w:val="0"/>
          <w:numId w:val="5"/>
        </w:numPr>
        <w:autoSpaceDE w:val="0"/>
        <w:autoSpaceDN w:val="0"/>
        <w:adjustRightInd w:val="0"/>
        <w:spacing w:before="120" w:after="0" w:line="360" w:lineRule="auto"/>
        <w:ind w:left="357" w:hanging="357"/>
        <w:jc w:val="both"/>
        <w:rPr>
          <w:rFonts w:ascii="Times New Roman" w:eastAsia="Times New Roman" w:hAnsi="Times New Roman" w:cs="Times New Roman"/>
          <w:b/>
          <w:sz w:val="24"/>
          <w:szCs w:val="24"/>
          <w:lang w:eastAsia="pl-PL"/>
        </w:rPr>
      </w:pPr>
      <w:r w:rsidRPr="00DE2ECE">
        <w:rPr>
          <w:rFonts w:ascii="Times New Roman" w:eastAsia="Times New Roman" w:hAnsi="Times New Roman" w:cs="Times New Roman"/>
          <w:b/>
          <w:sz w:val="24"/>
          <w:szCs w:val="24"/>
          <w:lang w:eastAsia="pl-PL"/>
        </w:rPr>
        <w:t xml:space="preserve">Ustawa z dnia 27 kwietnia 2001 r. </w:t>
      </w:r>
      <w:r w:rsidR="007761CC">
        <w:rPr>
          <w:rFonts w:ascii="Times New Roman" w:eastAsia="Times New Roman" w:hAnsi="Times New Roman" w:cs="Times New Roman"/>
          <w:b/>
          <w:sz w:val="24"/>
          <w:szCs w:val="24"/>
          <w:lang w:eastAsia="pl-PL"/>
        </w:rPr>
        <w:t>–</w:t>
      </w:r>
      <w:r w:rsidRPr="00DE2ECE">
        <w:rPr>
          <w:rFonts w:ascii="Times New Roman" w:eastAsia="Times New Roman" w:hAnsi="Times New Roman" w:cs="Times New Roman"/>
          <w:b/>
          <w:sz w:val="24"/>
          <w:szCs w:val="24"/>
          <w:lang w:eastAsia="pl-PL"/>
        </w:rPr>
        <w:t xml:space="preserve"> </w:t>
      </w:r>
      <w:r w:rsidRPr="00DE2ECE">
        <w:rPr>
          <w:rFonts w:ascii="Times New Roman" w:eastAsia="Times New Roman" w:hAnsi="Times New Roman" w:cs="Times New Roman"/>
          <w:b/>
          <w:i/>
          <w:sz w:val="24"/>
          <w:szCs w:val="24"/>
          <w:lang w:eastAsia="pl-PL"/>
        </w:rPr>
        <w:t>Prawo ochrony środowiska</w:t>
      </w:r>
      <w:r w:rsidRPr="00DE2ECE">
        <w:rPr>
          <w:rFonts w:ascii="Times New Roman" w:eastAsia="Times New Roman" w:hAnsi="Times New Roman" w:cs="Times New Roman"/>
          <w:b/>
          <w:sz w:val="24"/>
          <w:szCs w:val="24"/>
          <w:lang w:eastAsia="pl-PL"/>
        </w:rPr>
        <w:t xml:space="preserve"> (Dz. U. z 2017 r. poz. 519, z późn. zm.) – art. 401 w ust. 7 oraz art. 401 c</w:t>
      </w:r>
    </w:p>
    <w:p w:rsidR="0044533E" w:rsidRPr="00DE2ECE" w:rsidRDefault="0044533E" w:rsidP="00564A04">
      <w:pPr>
        <w:spacing w:before="120" w:after="0" w:line="360" w:lineRule="auto"/>
        <w:contextualSpacing/>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 xml:space="preserve">Zmiana wprowadzona w ustawie z dnia 27 kwietnia 2001 r. </w:t>
      </w:r>
      <w:r w:rsidR="007761CC">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 </w:t>
      </w:r>
      <w:r w:rsidRPr="00DE2ECE">
        <w:rPr>
          <w:rFonts w:ascii="Times New Roman" w:eastAsia="Times New Roman" w:hAnsi="Times New Roman" w:cs="Times New Roman"/>
          <w:i/>
          <w:color w:val="000000"/>
          <w:sz w:val="24"/>
          <w:szCs w:val="24"/>
          <w:lang w:eastAsia="pl-PL"/>
        </w:rPr>
        <w:t>Prawo ochrony środowiska</w:t>
      </w:r>
      <w:r w:rsidRPr="00DE2ECE">
        <w:rPr>
          <w:rFonts w:ascii="Times New Roman" w:eastAsia="Times New Roman" w:hAnsi="Times New Roman" w:cs="Times New Roman"/>
          <w:color w:val="000000"/>
          <w:sz w:val="24"/>
          <w:szCs w:val="24"/>
          <w:lang w:eastAsia="pl-PL"/>
        </w:rPr>
        <w:t xml:space="preserve"> wynika z wprowadzenia mechanizmu opłaty zastępczej w art. 23 ust. 1a ustawy oraz wskazania, że wpływy z tytułu tej opłaty stanowią przychód </w:t>
      </w:r>
      <w:r w:rsidRPr="00DE2ECE">
        <w:rPr>
          <w:rFonts w:ascii="Times New Roman" w:eastAsia="Times New Roman" w:hAnsi="Times New Roman" w:cs="Times New Roman"/>
          <w:sz w:val="24"/>
          <w:szCs w:val="24"/>
          <w:lang w:eastAsia="pl-PL"/>
        </w:rPr>
        <w:t xml:space="preserve">Narodowego </w:t>
      </w:r>
      <w:r w:rsidRPr="00DE2ECE">
        <w:rPr>
          <w:rFonts w:ascii="Times New Roman" w:eastAsia="Times New Roman" w:hAnsi="Times New Roman" w:cs="Times New Roman"/>
          <w:sz w:val="24"/>
          <w:szCs w:val="24"/>
          <w:lang w:eastAsia="pl-PL"/>
        </w:rPr>
        <w:lastRenderedPageBreak/>
        <w:t xml:space="preserve">Funduszu Ochrony Środowiska i Gospodarki Wodnej i będą przeznaczone na wspieranie rozwoju wykorzystania energii elektrycznej w transporcie oraz biokomponentów stosowanych w paliwach ciekłych i biopaliwach ciekłych. </w:t>
      </w:r>
    </w:p>
    <w:p w:rsidR="0044533E" w:rsidRPr="00DE2ECE" w:rsidRDefault="0044533E" w:rsidP="000548A0">
      <w:pPr>
        <w:numPr>
          <w:ilvl w:val="0"/>
          <w:numId w:val="5"/>
        </w:numPr>
        <w:autoSpaceDE w:val="0"/>
        <w:autoSpaceDN w:val="0"/>
        <w:adjustRightInd w:val="0"/>
        <w:spacing w:before="120" w:after="0" w:line="360" w:lineRule="auto"/>
        <w:ind w:left="357" w:hanging="357"/>
        <w:jc w:val="both"/>
        <w:rPr>
          <w:rFonts w:ascii="Times New Roman" w:eastAsia="Times New Roman" w:hAnsi="Times New Roman" w:cs="Times New Roman"/>
          <w:b/>
          <w:sz w:val="24"/>
          <w:szCs w:val="24"/>
          <w:lang w:eastAsia="pl-PL"/>
        </w:rPr>
      </w:pPr>
      <w:r w:rsidRPr="00DE2ECE">
        <w:rPr>
          <w:rFonts w:ascii="Times New Roman" w:eastAsia="Times New Roman" w:hAnsi="Times New Roman" w:cs="Times New Roman"/>
          <w:b/>
          <w:sz w:val="24"/>
          <w:szCs w:val="24"/>
          <w:lang w:eastAsia="pl-PL"/>
        </w:rPr>
        <w:t xml:space="preserve">Ustawa z dnia 2 lipca 2004 r. </w:t>
      </w:r>
      <w:r w:rsidRPr="00DE2ECE">
        <w:rPr>
          <w:rFonts w:ascii="Times New Roman" w:eastAsia="Times New Roman" w:hAnsi="Times New Roman" w:cs="Times New Roman"/>
          <w:b/>
          <w:i/>
          <w:sz w:val="24"/>
          <w:szCs w:val="24"/>
          <w:lang w:eastAsia="pl-PL"/>
        </w:rPr>
        <w:t>o swobodzie działalności gospodarczej</w:t>
      </w:r>
      <w:r w:rsidR="000548A0">
        <w:rPr>
          <w:rFonts w:ascii="Times New Roman" w:eastAsia="Times New Roman" w:hAnsi="Times New Roman" w:cs="Times New Roman"/>
          <w:b/>
          <w:sz w:val="24"/>
          <w:szCs w:val="24"/>
          <w:lang w:eastAsia="pl-PL"/>
        </w:rPr>
        <w:t xml:space="preserve"> (Dz. U. z </w:t>
      </w:r>
      <w:r w:rsidRPr="00DE2ECE">
        <w:rPr>
          <w:rFonts w:ascii="Times New Roman" w:eastAsia="Times New Roman" w:hAnsi="Times New Roman" w:cs="Times New Roman"/>
          <w:b/>
          <w:sz w:val="24"/>
          <w:szCs w:val="24"/>
          <w:lang w:eastAsia="pl-PL"/>
        </w:rPr>
        <w:t xml:space="preserve">2016 r. poz. 1829, z późn. </w:t>
      </w:r>
      <w:r w:rsidR="00B513DE">
        <w:rPr>
          <w:rFonts w:ascii="Times New Roman" w:eastAsia="Times New Roman" w:hAnsi="Times New Roman" w:cs="Times New Roman"/>
          <w:b/>
          <w:sz w:val="24"/>
          <w:szCs w:val="24"/>
          <w:lang w:eastAsia="pl-PL"/>
        </w:rPr>
        <w:t>zm.) – art. 3 niniejszej ustawy</w:t>
      </w:r>
    </w:p>
    <w:p w:rsidR="0044533E" w:rsidRPr="00DE2ECE" w:rsidRDefault="0044533E" w:rsidP="00564A04">
      <w:pPr>
        <w:spacing w:before="120" w:after="0" w:line="360" w:lineRule="auto"/>
        <w:contextualSpacing/>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 xml:space="preserve">Zmiana wprowadzona w ustawie z dnia 2 lipca 2004 r. </w:t>
      </w:r>
      <w:r w:rsidRPr="00DE2ECE">
        <w:rPr>
          <w:rFonts w:ascii="Times New Roman" w:eastAsia="Times New Roman" w:hAnsi="Times New Roman" w:cs="Times New Roman"/>
          <w:i/>
          <w:color w:val="000000"/>
          <w:sz w:val="24"/>
          <w:szCs w:val="24"/>
          <w:lang w:eastAsia="pl-PL"/>
        </w:rPr>
        <w:t>o swobodzie działalności gospodarczej</w:t>
      </w:r>
      <w:r w:rsidRPr="00DE2ECE">
        <w:rPr>
          <w:rFonts w:ascii="Times New Roman" w:eastAsia="Times New Roman" w:hAnsi="Times New Roman" w:cs="Times New Roman"/>
          <w:color w:val="000000"/>
          <w:sz w:val="24"/>
          <w:szCs w:val="24"/>
          <w:lang w:eastAsia="pl-PL"/>
        </w:rPr>
        <w:t xml:space="preserve"> polega na wprowadzeniu przepisu, zgodnie z którym kontrola działalności gospodarczej może zostać przeprowadzona przez organ</w:t>
      </w:r>
      <w:r w:rsidR="000548A0">
        <w:rPr>
          <w:rFonts w:ascii="Times New Roman" w:eastAsia="Times New Roman" w:hAnsi="Times New Roman" w:cs="Times New Roman"/>
          <w:color w:val="000000"/>
          <w:sz w:val="24"/>
          <w:szCs w:val="24"/>
          <w:lang w:eastAsia="pl-PL"/>
        </w:rPr>
        <w:t xml:space="preserve"> rejestrowy bez zawiadomienia o </w:t>
      </w:r>
      <w:r w:rsidRPr="00DE2ECE">
        <w:rPr>
          <w:rFonts w:ascii="Times New Roman" w:eastAsia="Times New Roman" w:hAnsi="Times New Roman" w:cs="Times New Roman"/>
          <w:color w:val="000000"/>
          <w:sz w:val="24"/>
          <w:szCs w:val="24"/>
          <w:lang w:eastAsia="pl-PL"/>
        </w:rPr>
        <w:t>zamiarze wszczęcia kontroli</w:t>
      </w:r>
      <w:r w:rsidR="00DC5327">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 w przypadku gdy kontrola jest przeprowadzana na podstawie przepisów ustawy o biokomponentach i biopaliwach ciekłych.</w:t>
      </w:r>
    </w:p>
    <w:p w:rsidR="0044533E" w:rsidRPr="00DE2ECE" w:rsidRDefault="0044533E" w:rsidP="000548A0">
      <w:pPr>
        <w:numPr>
          <w:ilvl w:val="0"/>
          <w:numId w:val="5"/>
        </w:numPr>
        <w:autoSpaceDE w:val="0"/>
        <w:autoSpaceDN w:val="0"/>
        <w:adjustRightInd w:val="0"/>
        <w:spacing w:before="120" w:after="0" w:line="360" w:lineRule="auto"/>
        <w:ind w:left="357" w:hanging="357"/>
        <w:jc w:val="both"/>
        <w:rPr>
          <w:rFonts w:ascii="Times New Roman" w:eastAsia="Times New Roman" w:hAnsi="Times New Roman" w:cs="Times New Roman"/>
          <w:b/>
          <w:sz w:val="24"/>
          <w:szCs w:val="24"/>
          <w:lang w:eastAsia="pl-PL"/>
        </w:rPr>
      </w:pPr>
      <w:r w:rsidRPr="00DE2ECE">
        <w:rPr>
          <w:rFonts w:ascii="Times New Roman" w:eastAsia="Times New Roman" w:hAnsi="Times New Roman" w:cs="Times New Roman"/>
          <w:b/>
          <w:sz w:val="24"/>
          <w:szCs w:val="24"/>
          <w:lang w:eastAsia="pl-PL"/>
        </w:rPr>
        <w:t xml:space="preserve">Ustawa z dnia 25 sierpnia 2006 r. </w:t>
      </w:r>
      <w:r w:rsidRPr="00DE2ECE">
        <w:rPr>
          <w:rFonts w:ascii="Times New Roman" w:eastAsia="Times New Roman" w:hAnsi="Times New Roman" w:cs="Times New Roman"/>
          <w:b/>
          <w:i/>
          <w:sz w:val="24"/>
          <w:szCs w:val="24"/>
          <w:lang w:eastAsia="pl-PL"/>
        </w:rPr>
        <w:t xml:space="preserve">o systemie monitorowania i kontrolowania jakości paliw </w:t>
      </w:r>
      <w:r w:rsidRPr="00DE2ECE">
        <w:rPr>
          <w:rFonts w:ascii="Times New Roman" w:eastAsia="Times New Roman" w:hAnsi="Times New Roman" w:cs="Times New Roman"/>
          <w:b/>
          <w:sz w:val="24"/>
          <w:szCs w:val="24"/>
          <w:lang w:eastAsia="pl-PL"/>
        </w:rPr>
        <w:t>(Dz. U. z 2016 r. poz. 1928, z późn. zm. )</w:t>
      </w:r>
      <w:r w:rsidR="00DC5327">
        <w:rPr>
          <w:rFonts w:ascii="Times New Roman" w:eastAsia="Times New Roman" w:hAnsi="Times New Roman" w:cs="Times New Roman"/>
          <w:b/>
          <w:sz w:val="24"/>
          <w:szCs w:val="24"/>
          <w:lang w:eastAsia="pl-PL"/>
        </w:rPr>
        <w:t xml:space="preserve"> </w:t>
      </w:r>
      <w:r w:rsidR="00B513DE">
        <w:rPr>
          <w:rFonts w:ascii="Times New Roman" w:eastAsia="Times New Roman" w:hAnsi="Times New Roman" w:cs="Times New Roman"/>
          <w:b/>
          <w:sz w:val="24"/>
          <w:szCs w:val="24"/>
          <w:lang w:eastAsia="pl-PL"/>
        </w:rPr>
        <w:t>– art. 3 niniejszej ustawy</w:t>
      </w:r>
      <w:r w:rsidRPr="00DE2ECE">
        <w:rPr>
          <w:rFonts w:ascii="Times New Roman" w:eastAsia="Times New Roman" w:hAnsi="Times New Roman" w:cs="Times New Roman"/>
          <w:b/>
          <w:sz w:val="24"/>
          <w:szCs w:val="24"/>
          <w:lang w:eastAsia="pl-PL"/>
        </w:rPr>
        <w:t xml:space="preserve"> </w:t>
      </w:r>
    </w:p>
    <w:p w:rsidR="0044533E" w:rsidRPr="00DE2ECE" w:rsidRDefault="0044533E" w:rsidP="00564A04">
      <w:pPr>
        <w:autoSpaceDE w:val="0"/>
        <w:autoSpaceDN w:val="0"/>
        <w:adjustRightInd w:val="0"/>
        <w:spacing w:before="120" w:afterLines="60" w:after="144" w:line="360" w:lineRule="auto"/>
        <w:contextualSpacing/>
        <w:jc w:val="both"/>
        <w:rPr>
          <w:rFonts w:ascii="Times New Roman" w:eastAsia="Times New Roman" w:hAnsi="Times New Roman" w:cs="Times New Roman"/>
          <w:iCs/>
          <w:color w:val="000000"/>
          <w:sz w:val="24"/>
          <w:szCs w:val="24"/>
          <w:lang w:eastAsia="pl-PL"/>
        </w:rPr>
      </w:pPr>
      <w:r w:rsidRPr="00DE2ECE">
        <w:rPr>
          <w:rFonts w:ascii="Times New Roman" w:eastAsia="Times New Roman" w:hAnsi="Times New Roman" w:cs="Times New Roman"/>
          <w:iCs/>
          <w:color w:val="000000"/>
          <w:sz w:val="24"/>
          <w:szCs w:val="24"/>
          <w:lang w:eastAsia="pl-PL"/>
        </w:rPr>
        <w:t xml:space="preserve">Projekt ustawy wprowadza zmiany w definicji paliw ciekłych, zgodnie z którymi dotychczasowe ograniczenia ilościowe w zakresie dodawania biokomponentów do paliw ciekłych zostaje zniesione wobec biowęglowodorów ciekłych. </w:t>
      </w:r>
      <w:r w:rsidR="000548A0">
        <w:rPr>
          <w:rFonts w:ascii="Times New Roman" w:eastAsia="Times New Roman" w:hAnsi="Times New Roman" w:cs="Times New Roman"/>
          <w:sz w:val="24"/>
          <w:szCs w:val="24"/>
          <w:lang w:eastAsia="pl-PL"/>
        </w:rPr>
        <w:t>Jeżeli chodzi o </w:t>
      </w:r>
      <w:r w:rsidRPr="00DE2ECE">
        <w:rPr>
          <w:rFonts w:ascii="Times New Roman" w:eastAsia="Times New Roman" w:hAnsi="Times New Roman" w:cs="Times New Roman"/>
          <w:sz w:val="24"/>
          <w:szCs w:val="24"/>
          <w:lang w:eastAsia="pl-PL"/>
        </w:rPr>
        <w:t>pozostałe biokomponenty (w tym bioetanol i estry) aktualne pozostaje dotychczasowe ograniczenie</w:t>
      </w:r>
      <w:r w:rsidR="00DC5327">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tj. do 7% w olejach napędowych i do 10% objętościowo w benzynach silnikowych (oraz do 22% objętościowo eteru etylo-tert-butylowego lub eteru etylo-tert-</w:t>
      </w:r>
      <w:r w:rsidR="003E62CB">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amylowego</w:t>
      </w:r>
      <w:r w:rsidRPr="00DE2ECE">
        <w:rPr>
          <w:rFonts w:ascii="Times New Roman" w:eastAsia="Times New Roman" w:hAnsi="Times New Roman" w:cs="Times New Roman"/>
          <w:iCs/>
          <w:color w:val="000000"/>
          <w:sz w:val="24"/>
          <w:szCs w:val="24"/>
          <w:lang w:eastAsia="pl-PL"/>
        </w:rPr>
        <w:t>).</w:t>
      </w:r>
      <w:r w:rsidR="007761CC">
        <w:rPr>
          <w:rFonts w:ascii="Times New Roman" w:eastAsia="Times New Roman" w:hAnsi="Times New Roman" w:cs="Times New Roman"/>
          <w:iCs/>
          <w:color w:val="000000"/>
          <w:sz w:val="24"/>
          <w:szCs w:val="24"/>
          <w:lang w:eastAsia="pl-PL"/>
        </w:rPr>
        <w:t xml:space="preserve"> </w:t>
      </w:r>
    </w:p>
    <w:p w:rsidR="0044533E" w:rsidRPr="00DE2ECE" w:rsidRDefault="0044533E" w:rsidP="00564A04">
      <w:pPr>
        <w:spacing w:before="120" w:after="0" w:line="360" w:lineRule="auto"/>
        <w:jc w:val="both"/>
        <w:rPr>
          <w:rFonts w:ascii="Times New Roman" w:eastAsia="Times New Roman" w:hAnsi="Times New Roman" w:cs="Times New Roman"/>
          <w:iCs/>
          <w:color w:val="000000"/>
          <w:sz w:val="24"/>
          <w:szCs w:val="24"/>
          <w:lang w:eastAsia="pl-PL"/>
        </w:rPr>
      </w:pPr>
      <w:r w:rsidRPr="00DE2ECE">
        <w:rPr>
          <w:rFonts w:ascii="Times New Roman" w:eastAsia="Times New Roman" w:hAnsi="Times New Roman" w:cs="Times New Roman"/>
          <w:iCs/>
          <w:color w:val="000000"/>
          <w:sz w:val="24"/>
          <w:szCs w:val="24"/>
          <w:lang w:eastAsia="pl-PL"/>
        </w:rPr>
        <w:t>Doprecyzowanie definicji paliw ciekłych i w konsekwencji biopaliw ciekłych ma na celu usunięcie ewentualnych wątpliwości interpretacyjnych i jednoznaczne rozdzielenie definicyjne paliw ciekłych od</w:t>
      </w:r>
      <w:r w:rsidR="007761CC">
        <w:rPr>
          <w:rFonts w:ascii="Times New Roman" w:eastAsia="Times New Roman" w:hAnsi="Times New Roman" w:cs="Times New Roman"/>
          <w:iCs/>
          <w:color w:val="000000"/>
          <w:sz w:val="24"/>
          <w:szCs w:val="24"/>
          <w:lang w:eastAsia="pl-PL"/>
        </w:rPr>
        <w:t xml:space="preserve"> </w:t>
      </w:r>
      <w:r w:rsidRPr="00DE2ECE">
        <w:rPr>
          <w:rFonts w:ascii="Times New Roman" w:eastAsia="Times New Roman" w:hAnsi="Times New Roman" w:cs="Times New Roman"/>
          <w:iCs/>
          <w:color w:val="000000"/>
          <w:sz w:val="24"/>
          <w:szCs w:val="24"/>
          <w:lang w:eastAsia="pl-PL"/>
        </w:rPr>
        <w:t>biopaliw ciekłych.</w:t>
      </w:r>
    </w:p>
    <w:p w:rsidR="0044533E" w:rsidRPr="00DE2ECE" w:rsidRDefault="0044533E" w:rsidP="00564A04">
      <w:pPr>
        <w:autoSpaceDE w:val="0"/>
        <w:autoSpaceDN w:val="0"/>
        <w:adjustRightInd w:val="0"/>
        <w:spacing w:before="120" w:afterLines="60" w:after="144" w:line="360" w:lineRule="auto"/>
        <w:contextualSpacing/>
        <w:jc w:val="both"/>
        <w:rPr>
          <w:rFonts w:ascii="Times New Roman" w:eastAsia="Times New Roman" w:hAnsi="Times New Roman" w:cs="Times New Roman"/>
          <w:iCs/>
          <w:color w:val="000000"/>
          <w:sz w:val="24"/>
          <w:szCs w:val="24"/>
          <w:lang w:eastAsia="pl-PL"/>
        </w:rPr>
      </w:pPr>
      <w:r w:rsidRPr="00DE2ECE">
        <w:rPr>
          <w:rFonts w:ascii="Times New Roman" w:eastAsia="Times New Roman" w:hAnsi="Times New Roman" w:cs="Times New Roman"/>
          <w:iCs/>
          <w:color w:val="000000"/>
          <w:sz w:val="24"/>
          <w:szCs w:val="24"/>
          <w:lang w:eastAsia="pl-PL"/>
        </w:rPr>
        <w:t>Zmiana definicji paliw ciekłych polega na umożliwieniu stosowania biowęglowodorów ciekłych w paliwach ciekłych dowolnych proporcjach</w:t>
      </w:r>
      <w:r w:rsidR="00DC5327">
        <w:rPr>
          <w:rFonts w:ascii="Times New Roman" w:eastAsia="Times New Roman" w:hAnsi="Times New Roman" w:cs="Times New Roman"/>
          <w:iCs/>
          <w:color w:val="000000"/>
          <w:sz w:val="24"/>
          <w:szCs w:val="24"/>
          <w:lang w:eastAsia="pl-PL"/>
        </w:rPr>
        <w:t>,</w:t>
      </w:r>
      <w:r w:rsidRPr="00DE2ECE">
        <w:rPr>
          <w:rFonts w:ascii="Times New Roman" w:eastAsia="Times New Roman" w:hAnsi="Times New Roman" w:cs="Times New Roman"/>
          <w:iCs/>
          <w:color w:val="000000"/>
          <w:sz w:val="24"/>
          <w:szCs w:val="24"/>
          <w:lang w:eastAsia="pl-PL"/>
        </w:rPr>
        <w:t xml:space="preserve"> pod warunkiem że finalne paliwa ciekłe spełniają wymagania jakościowe określone w ro</w:t>
      </w:r>
      <w:r w:rsidR="003E62CB">
        <w:rPr>
          <w:rFonts w:ascii="Times New Roman" w:eastAsia="Times New Roman" w:hAnsi="Times New Roman" w:cs="Times New Roman"/>
          <w:iCs/>
          <w:color w:val="000000"/>
          <w:sz w:val="24"/>
          <w:szCs w:val="24"/>
          <w:lang w:eastAsia="pl-PL"/>
        </w:rPr>
        <w:t>zporządzeniu Ministra Energii z </w:t>
      </w:r>
      <w:r w:rsidRPr="00DE2ECE">
        <w:rPr>
          <w:rFonts w:ascii="Times New Roman" w:eastAsia="Times New Roman" w:hAnsi="Times New Roman" w:cs="Times New Roman"/>
          <w:iCs/>
          <w:color w:val="000000"/>
          <w:sz w:val="24"/>
          <w:szCs w:val="24"/>
          <w:lang w:eastAsia="pl-PL"/>
        </w:rPr>
        <w:t xml:space="preserve">dnia 23 października 2015 r. w sprawie wymagań jakościowych dla paliw ciekłych (Dz. U. poz. 1680). </w:t>
      </w:r>
    </w:p>
    <w:p w:rsidR="0044533E" w:rsidRPr="00DE2ECE" w:rsidRDefault="0044533E" w:rsidP="00564A04">
      <w:pPr>
        <w:tabs>
          <w:tab w:val="left" w:pos="0"/>
        </w:tabs>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 xml:space="preserve">Zgodnie bowiem z art. 3 ust. 1 ustawy </w:t>
      </w:r>
      <w:r w:rsidRPr="00DE2ECE">
        <w:rPr>
          <w:rFonts w:ascii="Times New Roman" w:eastAsia="Times New Roman" w:hAnsi="Times New Roman" w:cs="Times New Roman"/>
          <w:i/>
          <w:iCs/>
          <w:color w:val="000000"/>
          <w:sz w:val="24"/>
          <w:szCs w:val="24"/>
          <w:lang w:eastAsia="pl-PL"/>
        </w:rPr>
        <w:t xml:space="preserve">o systemie monitorowania i kontrolowania jakości paliw </w:t>
      </w:r>
      <w:r w:rsidRPr="00DE2ECE">
        <w:rPr>
          <w:rFonts w:ascii="Times New Roman" w:eastAsia="Times New Roman" w:hAnsi="Times New Roman" w:cs="Times New Roman"/>
          <w:color w:val="000000"/>
          <w:sz w:val="24"/>
          <w:szCs w:val="24"/>
          <w:lang w:eastAsia="pl-PL"/>
        </w:rPr>
        <w:t>paliwa transportowane, magazynowane, wprowadzane do obrotu oraz gromadzone w stacjach zakładowych powinny spełniać wymagania jakościowe, określone w rozporządzeniu Ministra Energii. Podkreś</w:t>
      </w:r>
      <w:r w:rsidR="003E62CB">
        <w:rPr>
          <w:rFonts w:ascii="Times New Roman" w:eastAsia="Times New Roman" w:hAnsi="Times New Roman" w:cs="Times New Roman"/>
          <w:color w:val="000000"/>
          <w:sz w:val="24"/>
          <w:szCs w:val="24"/>
          <w:lang w:eastAsia="pl-PL"/>
        </w:rPr>
        <w:t>lić należy, że rozporządzenie w </w:t>
      </w:r>
      <w:r w:rsidRPr="00DE2ECE">
        <w:rPr>
          <w:rFonts w:ascii="Times New Roman" w:eastAsia="Times New Roman" w:hAnsi="Times New Roman" w:cs="Times New Roman"/>
          <w:color w:val="000000"/>
          <w:sz w:val="24"/>
          <w:szCs w:val="24"/>
          <w:lang w:eastAsia="pl-PL"/>
        </w:rPr>
        <w:t>sprawie wymagań jakościowych określa maksymalną</w:t>
      </w:r>
      <w:r w:rsidR="003E62CB">
        <w:rPr>
          <w:rFonts w:ascii="Times New Roman" w:eastAsia="Times New Roman" w:hAnsi="Times New Roman" w:cs="Times New Roman"/>
          <w:color w:val="000000"/>
          <w:sz w:val="24"/>
          <w:szCs w:val="24"/>
          <w:lang w:eastAsia="pl-PL"/>
        </w:rPr>
        <w:t xml:space="preserve"> zawartość jedynie dla estrów w </w:t>
      </w:r>
      <w:r w:rsidRPr="00DE2ECE">
        <w:rPr>
          <w:rFonts w:ascii="Times New Roman" w:eastAsia="Times New Roman" w:hAnsi="Times New Roman" w:cs="Times New Roman"/>
          <w:color w:val="000000"/>
          <w:sz w:val="24"/>
          <w:szCs w:val="24"/>
          <w:lang w:eastAsia="pl-PL"/>
        </w:rPr>
        <w:t xml:space="preserve">oleju napędowym oraz bioetanolu i eterów w benzynach silnikowych. Zawartość </w:t>
      </w:r>
      <w:r w:rsidRPr="00DE2ECE">
        <w:rPr>
          <w:rFonts w:ascii="Times New Roman" w:eastAsia="Times New Roman" w:hAnsi="Times New Roman" w:cs="Times New Roman"/>
          <w:color w:val="000000"/>
          <w:sz w:val="24"/>
          <w:szCs w:val="24"/>
          <w:lang w:eastAsia="pl-PL"/>
        </w:rPr>
        <w:lastRenderedPageBreak/>
        <w:t>innych biokomponentów, m.in. biowęglowodorów ciekłych, ni</w:t>
      </w:r>
      <w:r w:rsidR="003E62CB">
        <w:rPr>
          <w:rFonts w:ascii="Times New Roman" w:eastAsia="Times New Roman" w:hAnsi="Times New Roman" w:cs="Times New Roman"/>
          <w:color w:val="000000"/>
          <w:sz w:val="24"/>
          <w:szCs w:val="24"/>
          <w:lang w:eastAsia="pl-PL"/>
        </w:rPr>
        <w:t>e została określona w </w:t>
      </w:r>
      <w:r w:rsidRPr="00DE2ECE">
        <w:rPr>
          <w:rFonts w:ascii="Times New Roman" w:eastAsia="Times New Roman" w:hAnsi="Times New Roman" w:cs="Times New Roman"/>
          <w:color w:val="000000"/>
          <w:sz w:val="24"/>
          <w:szCs w:val="24"/>
          <w:lang w:eastAsia="pl-PL"/>
        </w:rPr>
        <w:t xml:space="preserve">przedmiotowym rozporządzeniu. </w:t>
      </w:r>
    </w:p>
    <w:p w:rsidR="0044533E" w:rsidRPr="00DE2ECE" w:rsidRDefault="0044533E" w:rsidP="007776B3">
      <w:pPr>
        <w:tabs>
          <w:tab w:val="left" w:pos="408"/>
        </w:tabs>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Mając na uwadze powyższe, po wejściu w życie nowej definicji paliw ciekłych,</w:t>
      </w:r>
      <w:r w:rsidR="007761CC">
        <w:rPr>
          <w:rFonts w:ascii="Times New Roman" w:eastAsia="Times New Roman" w:hAnsi="Times New Roman" w:cs="Times New Roman"/>
          <w:color w:val="000000"/>
          <w:sz w:val="24"/>
          <w:szCs w:val="24"/>
          <w:lang w:eastAsia="pl-PL"/>
        </w:rPr>
        <w:t xml:space="preserve"> </w:t>
      </w:r>
      <w:r w:rsidR="003E62CB">
        <w:rPr>
          <w:rFonts w:ascii="Times New Roman" w:eastAsia="Times New Roman" w:hAnsi="Times New Roman" w:cs="Times New Roman"/>
          <w:color w:val="000000"/>
          <w:sz w:val="24"/>
          <w:szCs w:val="24"/>
          <w:lang w:eastAsia="pl-PL"/>
        </w:rPr>
        <w:t>w </w:t>
      </w:r>
      <w:r w:rsidRPr="00DE2ECE">
        <w:rPr>
          <w:rFonts w:ascii="Times New Roman" w:eastAsia="Times New Roman" w:hAnsi="Times New Roman" w:cs="Times New Roman"/>
          <w:color w:val="000000"/>
          <w:sz w:val="24"/>
          <w:szCs w:val="24"/>
          <w:lang w:eastAsia="pl-PL"/>
        </w:rPr>
        <w:t>przypadku oleju napędowego możliwe będzie, przykładowo, stosowanie następujących mieszanek biokomponentów z paliwem bazowym, zawierających:</w:t>
      </w:r>
    </w:p>
    <w:p w:rsidR="0044533E" w:rsidRPr="00465091" w:rsidRDefault="0044533E" w:rsidP="00465091">
      <w:pPr>
        <w:pStyle w:val="Akapitzlist"/>
        <w:numPr>
          <w:ilvl w:val="0"/>
          <w:numId w:val="26"/>
        </w:numPr>
        <w:tabs>
          <w:tab w:val="left" w:pos="280"/>
        </w:tabs>
        <w:ind w:left="42" w:hanging="28"/>
        <w:contextualSpacing w:val="0"/>
        <w:jc w:val="both"/>
        <w:rPr>
          <w:rFonts w:cs="Times New Roman"/>
          <w:color w:val="000000"/>
          <w:szCs w:val="24"/>
        </w:rPr>
      </w:pPr>
      <w:r w:rsidRPr="00465091">
        <w:rPr>
          <w:rFonts w:cs="Times New Roman"/>
          <w:color w:val="000000"/>
          <w:szCs w:val="24"/>
        </w:rPr>
        <w:t xml:space="preserve">tylko i wyłącznie estry </w:t>
      </w:r>
      <w:r w:rsidR="007761CC" w:rsidRPr="00465091">
        <w:rPr>
          <w:rFonts w:cs="Times New Roman"/>
          <w:color w:val="000000"/>
          <w:szCs w:val="24"/>
        </w:rPr>
        <w:t>–</w:t>
      </w:r>
      <w:r w:rsidRPr="00465091">
        <w:rPr>
          <w:rFonts w:cs="Times New Roman"/>
          <w:color w:val="000000"/>
          <w:szCs w:val="24"/>
        </w:rPr>
        <w:t xml:space="preserve"> do 7%,</w:t>
      </w:r>
    </w:p>
    <w:p w:rsidR="0044533E" w:rsidRPr="00DE2ECE" w:rsidRDefault="0044533E" w:rsidP="00465091">
      <w:pPr>
        <w:pStyle w:val="Akapitzlist"/>
        <w:numPr>
          <w:ilvl w:val="0"/>
          <w:numId w:val="26"/>
        </w:numPr>
        <w:tabs>
          <w:tab w:val="left" w:pos="284"/>
        </w:tabs>
        <w:ind w:left="284" w:hanging="270"/>
        <w:contextualSpacing w:val="0"/>
        <w:jc w:val="both"/>
        <w:rPr>
          <w:rFonts w:cs="Times New Roman"/>
          <w:color w:val="000000"/>
          <w:szCs w:val="24"/>
        </w:rPr>
      </w:pPr>
      <w:r w:rsidRPr="00DE2ECE">
        <w:rPr>
          <w:rFonts w:cs="Times New Roman"/>
          <w:color w:val="000000"/>
          <w:szCs w:val="24"/>
        </w:rPr>
        <w:t xml:space="preserve">tylko i wyłącznie biowęglowodory ciekłe </w:t>
      </w:r>
      <w:r w:rsidR="007761CC">
        <w:rPr>
          <w:rFonts w:cs="Times New Roman"/>
          <w:color w:val="000000"/>
          <w:szCs w:val="24"/>
        </w:rPr>
        <w:t>–</w:t>
      </w:r>
      <w:r w:rsidRPr="00DE2ECE">
        <w:rPr>
          <w:rFonts w:cs="Times New Roman"/>
          <w:color w:val="000000"/>
          <w:szCs w:val="24"/>
        </w:rPr>
        <w:t xml:space="preserve"> w ilości powodującej, że paliwo finalne będzie spełniało wymagania jakościowe określone w rozporządzeniu Ministra Energii</w:t>
      </w:r>
      <w:r w:rsidR="007761CC">
        <w:rPr>
          <w:rFonts w:cs="Times New Roman"/>
          <w:color w:val="000000"/>
          <w:szCs w:val="24"/>
        </w:rPr>
        <w:t xml:space="preserve"> </w:t>
      </w:r>
      <w:r w:rsidRPr="00DE2ECE">
        <w:rPr>
          <w:rFonts w:cs="Times New Roman"/>
          <w:color w:val="000000"/>
          <w:szCs w:val="24"/>
        </w:rPr>
        <w:t xml:space="preserve">z dnia 23 października 2015 r. </w:t>
      </w:r>
      <w:r w:rsidRPr="00DE2ECE">
        <w:rPr>
          <w:rFonts w:cs="Times New Roman"/>
          <w:i/>
          <w:iCs/>
          <w:color w:val="000000"/>
          <w:szCs w:val="24"/>
        </w:rPr>
        <w:t>w sprawie wymagań jakościowych dla paliw ciekłych</w:t>
      </w:r>
      <w:r w:rsidRPr="00DE2ECE">
        <w:rPr>
          <w:rFonts w:cs="Times New Roman"/>
          <w:color w:val="000000"/>
          <w:szCs w:val="24"/>
        </w:rPr>
        <w:t>,</w:t>
      </w:r>
    </w:p>
    <w:p w:rsidR="0044533E" w:rsidRPr="00DE2ECE" w:rsidRDefault="0044533E" w:rsidP="00465091">
      <w:pPr>
        <w:pStyle w:val="Akapitzlist"/>
        <w:numPr>
          <w:ilvl w:val="0"/>
          <w:numId w:val="26"/>
        </w:numPr>
        <w:tabs>
          <w:tab w:val="left" w:pos="284"/>
        </w:tabs>
        <w:ind w:left="284" w:hanging="270"/>
        <w:contextualSpacing w:val="0"/>
        <w:jc w:val="both"/>
        <w:rPr>
          <w:rFonts w:cs="Times New Roman"/>
          <w:color w:val="000000"/>
          <w:szCs w:val="24"/>
        </w:rPr>
      </w:pPr>
      <w:r w:rsidRPr="00DE2ECE">
        <w:rPr>
          <w:rFonts w:cs="Times New Roman"/>
          <w:color w:val="000000"/>
          <w:szCs w:val="24"/>
        </w:rPr>
        <w:t xml:space="preserve">zarówno estry </w:t>
      </w:r>
      <w:r w:rsidR="007761CC">
        <w:rPr>
          <w:rFonts w:cs="Times New Roman"/>
          <w:color w:val="000000"/>
          <w:szCs w:val="24"/>
        </w:rPr>
        <w:t>–</w:t>
      </w:r>
      <w:r w:rsidRPr="00DE2ECE">
        <w:rPr>
          <w:rFonts w:cs="Times New Roman"/>
          <w:color w:val="000000"/>
          <w:szCs w:val="24"/>
        </w:rPr>
        <w:t xml:space="preserve"> do 7%, jak i biowęglowodory ciekłe w oleju napędowym </w:t>
      </w:r>
      <w:r w:rsidR="007761CC">
        <w:rPr>
          <w:rFonts w:cs="Times New Roman"/>
          <w:color w:val="000000"/>
          <w:szCs w:val="24"/>
        </w:rPr>
        <w:t xml:space="preserve">– </w:t>
      </w:r>
      <w:r w:rsidRPr="00DE2ECE">
        <w:rPr>
          <w:rFonts w:cs="Times New Roman"/>
          <w:color w:val="000000"/>
          <w:szCs w:val="24"/>
        </w:rPr>
        <w:t>w ilości powodującej, że paliwo finalne będzie spełniało wymagania jakościowe określone</w:t>
      </w:r>
      <w:r w:rsidR="007761CC">
        <w:rPr>
          <w:rFonts w:cs="Times New Roman"/>
          <w:color w:val="000000"/>
          <w:szCs w:val="24"/>
        </w:rPr>
        <w:t xml:space="preserve"> </w:t>
      </w:r>
      <w:r w:rsidR="003E62CB">
        <w:rPr>
          <w:rFonts w:cs="Times New Roman"/>
          <w:color w:val="000000"/>
          <w:szCs w:val="24"/>
        </w:rPr>
        <w:t>w </w:t>
      </w:r>
      <w:r w:rsidRPr="00DE2ECE">
        <w:rPr>
          <w:rFonts w:cs="Times New Roman"/>
          <w:color w:val="000000"/>
          <w:szCs w:val="24"/>
        </w:rPr>
        <w:t>rozporządzeniu Ministra Energii dla oleju napędowego.</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iCs/>
          <w:color w:val="000000"/>
          <w:sz w:val="24"/>
          <w:szCs w:val="24"/>
          <w:lang w:eastAsia="pl-PL"/>
        </w:rPr>
      </w:pPr>
      <w:r w:rsidRPr="00DE2ECE">
        <w:rPr>
          <w:rFonts w:ascii="Times New Roman" w:eastAsia="Times New Roman" w:hAnsi="Times New Roman" w:cs="Times New Roman"/>
          <w:color w:val="000000"/>
          <w:sz w:val="24"/>
          <w:szCs w:val="24"/>
          <w:lang w:eastAsia="pl-PL"/>
        </w:rPr>
        <w:t>Analogiczna sytuacja będzie miała miejsce w przypadku benzyn silnikowych mieszanych z bioetanolem albo biowęglowodorami ciekłymi.</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iCs/>
          <w:color w:val="000000"/>
          <w:sz w:val="24"/>
          <w:szCs w:val="24"/>
          <w:lang w:eastAsia="pl-PL"/>
        </w:rPr>
        <w:t xml:space="preserve">Przypomnieć należy również, że </w:t>
      </w:r>
      <w:r w:rsidRPr="00DE2ECE">
        <w:rPr>
          <w:rFonts w:ascii="Times New Roman" w:eastAsia="Times New Roman" w:hAnsi="Times New Roman" w:cs="Times New Roman"/>
          <w:sz w:val="24"/>
          <w:szCs w:val="24"/>
          <w:lang w:eastAsia="pl-PL"/>
        </w:rPr>
        <w:t xml:space="preserve">w celu umożliwienia stosowania w paliwach ciekłych wszystkich rodzajów dostępnych biokomponentów, w ustawie z dnia 11 lipca 2014 r. </w:t>
      </w:r>
      <w:r w:rsidR="003E62CB">
        <w:rPr>
          <w:rFonts w:ascii="Times New Roman" w:eastAsia="Times New Roman" w:hAnsi="Times New Roman" w:cs="Times New Roman"/>
          <w:i/>
          <w:sz w:val="24"/>
          <w:szCs w:val="24"/>
          <w:lang w:eastAsia="pl-PL"/>
        </w:rPr>
        <w:t>o </w:t>
      </w:r>
      <w:r w:rsidRPr="00DE2ECE">
        <w:rPr>
          <w:rFonts w:ascii="Times New Roman" w:eastAsia="Times New Roman" w:hAnsi="Times New Roman" w:cs="Times New Roman"/>
          <w:i/>
          <w:sz w:val="24"/>
          <w:szCs w:val="24"/>
          <w:lang w:eastAsia="pl-PL"/>
        </w:rPr>
        <w:t xml:space="preserve">zmianie ustawy o systemie monitorowania i kontrolowania jakości paliw oraz niektórych innych ustaw </w:t>
      </w:r>
      <w:r w:rsidRPr="00DE2ECE">
        <w:rPr>
          <w:rFonts w:ascii="Times New Roman" w:eastAsia="Times New Roman" w:hAnsi="Times New Roman" w:cs="Times New Roman"/>
          <w:sz w:val="24"/>
          <w:szCs w:val="24"/>
          <w:lang w:eastAsia="pl-PL"/>
        </w:rPr>
        <w:t xml:space="preserve">(Dz. U. poz. 1088), w definicji benzyn silnikowych oraz oleju napędowego zamiast dotychczas stosowanych pojęć </w:t>
      </w:r>
      <w:r w:rsidRPr="00DE2ECE">
        <w:rPr>
          <w:rFonts w:ascii="Times New Roman" w:eastAsia="Times New Roman" w:hAnsi="Times New Roman" w:cs="Times New Roman"/>
          <w:i/>
          <w:sz w:val="24"/>
          <w:szCs w:val="24"/>
          <w:lang w:eastAsia="pl-PL"/>
        </w:rPr>
        <w:t>bioetanol</w:t>
      </w:r>
      <w:r w:rsidRPr="00DE2ECE">
        <w:rPr>
          <w:rFonts w:ascii="Times New Roman" w:eastAsia="Times New Roman" w:hAnsi="Times New Roman" w:cs="Times New Roman"/>
          <w:sz w:val="24"/>
          <w:szCs w:val="24"/>
          <w:lang w:eastAsia="pl-PL"/>
        </w:rPr>
        <w:t xml:space="preserve"> (art. 2 ust. 1 pkt 4a) oraz </w:t>
      </w:r>
      <w:r w:rsidRPr="00DE2ECE">
        <w:rPr>
          <w:rFonts w:ascii="Times New Roman" w:eastAsia="Times New Roman" w:hAnsi="Times New Roman" w:cs="Times New Roman"/>
          <w:i/>
          <w:sz w:val="24"/>
          <w:szCs w:val="24"/>
          <w:lang w:eastAsia="pl-PL"/>
        </w:rPr>
        <w:t>estry metylowe</w:t>
      </w:r>
      <w:r w:rsidRPr="00DE2ECE">
        <w:rPr>
          <w:rFonts w:ascii="Times New Roman" w:eastAsia="Times New Roman" w:hAnsi="Times New Roman" w:cs="Times New Roman"/>
          <w:sz w:val="24"/>
          <w:szCs w:val="24"/>
          <w:lang w:eastAsia="pl-PL"/>
        </w:rPr>
        <w:t xml:space="preserve"> (art. 2 ust. 1 pkt 4b) wprowadzony został termin </w:t>
      </w:r>
      <w:r w:rsidR="00B513DE">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biokomponenty</w:t>
      </w:r>
      <w:r w:rsidR="00B513DE">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Wówczas projektodawca podjął decyzję o</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ograniczeniu zawartości wszystkich biokomponentów na takim samym poziomie</w:t>
      </w:r>
      <w:r w:rsidR="00194094">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tj. do 10% w przypadku benzyn silnikowych oraz do 7% w przypadku oleju napędowego.</w:t>
      </w:r>
      <w:r w:rsidRPr="00DE2ECE">
        <w:rPr>
          <w:rFonts w:ascii="Times New Roman" w:eastAsia="Times New Roman" w:hAnsi="Times New Roman" w:cs="Times New Roman"/>
          <w:b/>
          <w:sz w:val="24"/>
          <w:szCs w:val="24"/>
          <w:lang w:eastAsia="pl-PL"/>
        </w:rPr>
        <w:t xml:space="preserve"> </w:t>
      </w:r>
      <w:r w:rsidR="003E62CB">
        <w:rPr>
          <w:rFonts w:ascii="Times New Roman" w:eastAsia="Times New Roman" w:hAnsi="Times New Roman" w:cs="Times New Roman"/>
          <w:sz w:val="24"/>
          <w:szCs w:val="24"/>
          <w:lang w:eastAsia="pl-PL"/>
        </w:rPr>
        <w:t>Jednocześnie podkreślano, że </w:t>
      </w:r>
      <w:r w:rsidRPr="00DE2ECE">
        <w:rPr>
          <w:rFonts w:ascii="Times New Roman" w:eastAsia="Times New Roman" w:hAnsi="Times New Roman" w:cs="Times New Roman"/>
          <w:sz w:val="24"/>
          <w:szCs w:val="24"/>
          <w:lang w:eastAsia="pl-PL"/>
        </w:rPr>
        <w:t>przedmiotowe rozwiązanie należy uznać za przejściowe, do momentu zapewnienia, że w praktyce rozwiązanie takie nie wpłynie negatywnie na funkcjonowanie rynku paliw, w tym bezpieczeństwo konsumentów.</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czerwcu 2016 r. przeprowadzono kolejne konsultacje z instytutami zajmującymi się problematyką jakości paliw oraz organizacj</w:t>
      </w:r>
      <w:r w:rsidR="003E62CB">
        <w:rPr>
          <w:rFonts w:ascii="Times New Roman" w:eastAsia="Times New Roman" w:hAnsi="Times New Roman" w:cs="Times New Roman"/>
          <w:sz w:val="24"/>
          <w:szCs w:val="24"/>
          <w:lang w:eastAsia="pl-PL"/>
        </w:rPr>
        <w:t>ami sektora paliwowego, w tym w </w:t>
      </w:r>
      <w:r w:rsidRPr="00DE2ECE">
        <w:rPr>
          <w:rFonts w:ascii="Times New Roman" w:eastAsia="Times New Roman" w:hAnsi="Times New Roman" w:cs="Times New Roman"/>
          <w:sz w:val="24"/>
          <w:szCs w:val="24"/>
          <w:lang w:eastAsia="pl-PL"/>
        </w:rPr>
        <w:t xml:space="preserve">szczególności organizacjami reprezentującymi podmioty realizujące NCW. Na podstawie pozyskanych informacji ustalono, iż część jednostek badawczych przeprowadziła w ostatnich latach w Polsce badania dotyczące właściwości fizykochemicznych mieszanin zawierających ponad 7% udział biowęglowodorów </w:t>
      </w:r>
      <w:r w:rsidRPr="00DE2ECE">
        <w:rPr>
          <w:rFonts w:ascii="Times New Roman" w:eastAsia="Times New Roman" w:hAnsi="Times New Roman" w:cs="Times New Roman"/>
          <w:sz w:val="24"/>
          <w:szCs w:val="24"/>
          <w:lang w:eastAsia="pl-PL"/>
        </w:rPr>
        <w:lastRenderedPageBreak/>
        <w:t xml:space="preserve">ciekłych w oleju napędowym oraz, jedynie w ograniczonym zakresie, badania eksploatacyjne w warunkach stanowiskowych testów silnikowych oraz krótkoterminowego przechowywania tego rodzaju mieszanek. W przeprowadzonych badaniach właściwości mieszaniny oleju napędowego i biowęglowodorów ciekłych mieściły się w granicach rozporządzenia w sprawie wymagań jakościowych dla paliw ciekłych. W zakresie przeprowadzonych dotychczas analiz nie wskazano przesłanek, które wskazywałyby na istnienie problemów natury technicznej (osiągi, walory eksploatacyjne, trwałość silników w pojazdach) związanych ze zniesieniem limitu dla zawartości biowęglowodorów ciekłych w paliwach ciekłych. </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Konsultowane instytuty badawcze wskazują również na brak przeprowadzonych badań dotyczących wpływu paliw zawierających podwyższoną zawartość biokomponentów (biowęglowodorów ciekłych) na wszystkich ogniwach</w:t>
      </w:r>
      <w:r w:rsidR="003E62CB">
        <w:rPr>
          <w:rFonts w:ascii="Times New Roman" w:eastAsia="Times New Roman" w:hAnsi="Times New Roman" w:cs="Times New Roman"/>
          <w:sz w:val="24"/>
          <w:szCs w:val="24"/>
          <w:lang w:eastAsia="pl-PL"/>
        </w:rPr>
        <w:t xml:space="preserve"> łańcucha logistycznego paliw w </w:t>
      </w:r>
      <w:r w:rsidRPr="00DE2ECE">
        <w:rPr>
          <w:rFonts w:ascii="Times New Roman" w:eastAsia="Times New Roman" w:hAnsi="Times New Roman" w:cs="Times New Roman"/>
          <w:sz w:val="24"/>
          <w:szCs w:val="24"/>
          <w:lang w:eastAsia="pl-PL"/>
        </w:rPr>
        <w:t>Polsce – od momentu wytworzenia paliwa ciekłego do chwili sprzedaży go na stacji paliw. Jednocześnie Instytut Nafty i Gazu wyraża przekonanie, iż nawet mimo braku ww. informacji oraz doświadczeń w kraju, nie ma przesłanek, które wskazywałyby na istnienie problemów natury technicznej związanych ze zniesieniem ograniczenia dla zawartości biowęglowodorów ciekłych w paliwach silnikowych. Zdaniem INiG „</w:t>
      </w:r>
      <w:r w:rsidRPr="00DE2ECE">
        <w:rPr>
          <w:rFonts w:ascii="Times New Roman" w:eastAsia="Times New Roman" w:hAnsi="Times New Roman" w:cs="Times New Roman"/>
          <w:i/>
          <w:sz w:val="24"/>
          <w:szCs w:val="24"/>
          <w:lang w:eastAsia="pl-PL"/>
        </w:rPr>
        <w:t>wyznacznikiem wysokiej jakości biowęglowodorów ciekłych oraz bezpieczeństwa ich stosowania jest również fakt, że biokomponent węglowodorowy z procesu HVO i BTL został dopuszczony do wytwarzania paliwa do turbinowych silników lotniczych. Paliwo lotnicze A-1, z biokomponentem węglowodorowym w ilości do 50% (v/v), jest eksploatowane w lotnictwie pasażerskim.</w:t>
      </w:r>
      <w:r w:rsidRPr="00DE2ECE">
        <w:rPr>
          <w:rFonts w:ascii="Times New Roman" w:eastAsia="Times New Roman" w:hAnsi="Times New Roman" w:cs="Times New Roman"/>
          <w:sz w:val="24"/>
          <w:szCs w:val="24"/>
          <w:lang w:eastAsia="pl-PL"/>
        </w:rPr>
        <w:t>”</w:t>
      </w:r>
      <w:r w:rsidR="00EB2E10">
        <w:rPr>
          <w:rFonts w:ascii="Times New Roman" w:eastAsia="Times New Roman" w:hAnsi="Times New Roman" w:cs="Times New Roman"/>
          <w:sz w:val="24"/>
          <w:szCs w:val="24"/>
          <w:lang w:eastAsia="pl-PL"/>
        </w:rPr>
        <w:t>.</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Poza aspektami technicznymi związanymi z umożliwieniem stosowania wyższego dodatku biowęglowodorów ciekłych, podmioty realizujące NCW zrzeszone w Polskiej Organizacji Przemysłu i Handlu Naftowego zwracają uwagę na ryzyka rynkowe związane z szerszym stosowaniem biowęglowodorów ciekłych w paliwach ciekłych. Biorąc pod uwagę fakt, iż biowęglowodory ciekłe posiadają niemal identyczny skład fizyko-chemiczny jak olej napędowy lub benzyny</w:t>
      </w:r>
      <w:r w:rsidR="003E62CB">
        <w:rPr>
          <w:rFonts w:ascii="Times New Roman" w:eastAsia="Times New Roman" w:hAnsi="Times New Roman" w:cs="Times New Roman"/>
          <w:sz w:val="24"/>
          <w:szCs w:val="24"/>
          <w:lang w:eastAsia="pl-PL"/>
        </w:rPr>
        <w:t xml:space="preserve"> silnikowe, ich identyfikacja w </w:t>
      </w:r>
      <w:r w:rsidRPr="00DE2ECE">
        <w:rPr>
          <w:rFonts w:ascii="Times New Roman" w:eastAsia="Times New Roman" w:hAnsi="Times New Roman" w:cs="Times New Roman"/>
          <w:sz w:val="24"/>
          <w:szCs w:val="24"/>
          <w:lang w:eastAsia="pl-PL"/>
        </w:rPr>
        <w:t>paliwach będzie wymagała zastosowania specjalistycznych metod badawczych koniecznych na wczesnych etapach łańcucha dystrybucji (np. na etapie wytwarzania lub importu/nabyć wewnątrzwspólnotowych).</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Ponadto, z uwagi na brak praktycznych doś</w:t>
      </w:r>
      <w:r w:rsidR="003E62CB">
        <w:rPr>
          <w:rFonts w:ascii="Times New Roman" w:eastAsia="Times New Roman" w:hAnsi="Times New Roman" w:cs="Times New Roman"/>
          <w:sz w:val="24"/>
          <w:szCs w:val="24"/>
          <w:lang w:eastAsia="pl-PL"/>
        </w:rPr>
        <w:t>wiadczeń w komponowaniu paliw z </w:t>
      </w:r>
      <w:r w:rsidRPr="00DE2ECE">
        <w:rPr>
          <w:rFonts w:ascii="Times New Roman" w:eastAsia="Times New Roman" w:hAnsi="Times New Roman" w:cs="Times New Roman"/>
          <w:sz w:val="24"/>
          <w:szCs w:val="24"/>
          <w:lang w:eastAsia="pl-PL"/>
        </w:rPr>
        <w:t xml:space="preserve">dodatkiem biowęglowodorów ciekłych, wejście w życie przepisów tej ustawy </w:t>
      </w:r>
      <w:r w:rsidRPr="00DE2ECE">
        <w:rPr>
          <w:rFonts w:ascii="Times New Roman" w:eastAsia="Times New Roman" w:hAnsi="Times New Roman" w:cs="Times New Roman"/>
          <w:sz w:val="24"/>
          <w:szCs w:val="24"/>
          <w:lang w:eastAsia="pl-PL"/>
        </w:rPr>
        <w:lastRenderedPageBreak/>
        <w:t>przyczyni się do</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opracowania przez przedsiębiorców szczegółowych planów w zakresie metod stosowania biowęglowodorów ciekłych i d</w:t>
      </w:r>
      <w:r w:rsidR="003E62CB">
        <w:rPr>
          <w:rFonts w:ascii="Times New Roman" w:eastAsia="Times New Roman" w:hAnsi="Times New Roman" w:cs="Times New Roman"/>
          <w:sz w:val="24"/>
          <w:szCs w:val="24"/>
          <w:lang w:eastAsia="pl-PL"/>
        </w:rPr>
        <w:t>okonania szczegółowej analizy w </w:t>
      </w:r>
      <w:r w:rsidRPr="00DE2ECE">
        <w:rPr>
          <w:rFonts w:ascii="Times New Roman" w:eastAsia="Times New Roman" w:hAnsi="Times New Roman" w:cs="Times New Roman"/>
          <w:sz w:val="24"/>
          <w:szCs w:val="24"/>
          <w:lang w:eastAsia="pl-PL"/>
        </w:rPr>
        <w:t>zakresie ewentualnej konieczności dostosowania istniejącej infrastruktury magazynowej i transportowej na potrzeby nowych rodzajów biokomponentów.</w:t>
      </w:r>
    </w:p>
    <w:p w:rsidR="0044533E" w:rsidRPr="00DE2ECE" w:rsidRDefault="0044533E" w:rsidP="00465091">
      <w:pPr>
        <w:autoSpaceDE w:val="0"/>
        <w:autoSpaceDN w:val="0"/>
        <w:adjustRightInd w:val="0"/>
        <w:spacing w:before="120" w:afterLines="60" w:after="144" w:line="360" w:lineRule="auto"/>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Niezależnie od wskazanych powyżej, nierozstrzygniętych wyzwań związanyc</w:t>
      </w:r>
      <w:r w:rsidR="003E62CB">
        <w:rPr>
          <w:rFonts w:ascii="Times New Roman" w:eastAsia="Times New Roman" w:hAnsi="Times New Roman" w:cs="Times New Roman"/>
          <w:sz w:val="24"/>
          <w:szCs w:val="24"/>
          <w:lang w:eastAsia="pl-PL"/>
        </w:rPr>
        <w:t>h z </w:t>
      </w:r>
      <w:r w:rsidRPr="00DE2ECE">
        <w:rPr>
          <w:rFonts w:ascii="Times New Roman" w:eastAsia="Times New Roman" w:hAnsi="Times New Roman" w:cs="Times New Roman"/>
          <w:sz w:val="24"/>
          <w:szCs w:val="24"/>
          <w:lang w:eastAsia="pl-PL"/>
        </w:rPr>
        <w:t>logistycznym aspektem stosowania biowęglowodorów ciekłych w paliwach ciekłych ustawodawca podjął decyzję o umożliwieniu s</w:t>
      </w:r>
      <w:r w:rsidR="003E62CB">
        <w:rPr>
          <w:rFonts w:ascii="Times New Roman" w:eastAsia="Times New Roman" w:hAnsi="Times New Roman" w:cs="Times New Roman"/>
          <w:sz w:val="24"/>
          <w:szCs w:val="24"/>
          <w:lang w:eastAsia="pl-PL"/>
        </w:rPr>
        <w:t>tosowania tych biokomponentów w </w:t>
      </w:r>
      <w:r w:rsidRPr="00DE2ECE">
        <w:rPr>
          <w:rFonts w:ascii="Times New Roman" w:eastAsia="Times New Roman" w:hAnsi="Times New Roman" w:cs="Times New Roman"/>
          <w:sz w:val="24"/>
          <w:szCs w:val="24"/>
          <w:lang w:eastAsia="pl-PL"/>
        </w:rPr>
        <w:t>ilościach przekraczających limity dla bioetanolu i estrów metylowych. Za przyjętym rozwiązaniem przemawiają zarówno doświadczenia innych krajów UE, jak również wyzwania stojące przed krajowym rynkiem paliwowym w zakresie konieczności wykonania NCW w roku 2020 na poziomie 8,5% według wartości energetycznej. Kwestie dotyczące ryzyk wskazywania przez przedsiębiorców niewłaściwego poziomu biowęglowodorów ciekłych w paliwach ciekłych należy monitorować w ramach procesu rozliczania podmiotów realizujących NCW. Służyć temu może również wprowadzenie obowiązku kwartalnego sprawozdawania się Prezesowi URE przez te podmioty, który wchodzi w życie od 1 stycznia 2018 r.</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stosunku do wersji projektu ustawy przyjętego przez Komitet do Spraw Europejskich, dokonano zmiany w definicji benzyn silnikowych, polegającej na usunięciu odwołania do eterów – tym samym zaproponowano powrót do dotychczasowej definicji w tym zakresie. Wprowadzona zmiana jest efektem dodatkowych konsultacji z przedstawicielami branży, wskazujących na konieczność zachowania eterów w definicji paliw ciekłych z </w:t>
      </w:r>
      <w:r w:rsidR="003E62CB">
        <w:rPr>
          <w:rFonts w:ascii="Times New Roman" w:eastAsia="Times New Roman" w:hAnsi="Times New Roman" w:cs="Times New Roman"/>
          <w:sz w:val="24"/>
          <w:szCs w:val="24"/>
          <w:lang w:eastAsia="pl-PL"/>
        </w:rPr>
        <w:t>uwagi na fakt, że: (1) paliwa z </w:t>
      </w:r>
      <w:r w:rsidRPr="00DE2ECE">
        <w:rPr>
          <w:rFonts w:ascii="Times New Roman" w:eastAsia="Times New Roman" w:hAnsi="Times New Roman" w:cs="Times New Roman"/>
          <w:sz w:val="24"/>
          <w:szCs w:val="24"/>
          <w:lang w:eastAsia="pl-PL"/>
        </w:rPr>
        <w:t>dodatkiem eterów są dość powszechnie stosowane</w:t>
      </w:r>
      <w:r w:rsidR="003E62CB">
        <w:rPr>
          <w:rFonts w:ascii="Times New Roman" w:eastAsia="Times New Roman" w:hAnsi="Times New Roman" w:cs="Times New Roman"/>
          <w:sz w:val="24"/>
          <w:szCs w:val="24"/>
          <w:lang w:eastAsia="pl-PL"/>
        </w:rPr>
        <w:t xml:space="preserve"> na rynku, (2) eter występuje w </w:t>
      </w:r>
      <w:r w:rsidRPr="00DE2ECE">
        <w:rPr>
          <w:rFonts w:ascii="Times New Roman" w:eastAsia="Times New Roman" w:hAnsi="Times New Roman" w:cs="Times New Roman"/>
          <w:sz w:val="24"/>
          <w:szCs w:val="24"/>
          <w:lang w:eastAsia="pl-PL"/>
        </w:rPr>
        <w:t>zasadzie niezależnie od dodatku bioetanolu w benzynach silnikowych oraz (3) eter zawiera w sw</w:t>
      </w:r>
      <w:r w:rsidR="00194094">
        <w:rPr>
          <w:rFonts w:ascii="Times New Roman" w:eastAsia="Times New Roman" w:hAnsi="Times New Roman" w:cs="Times New Roman"/>
          <w:sz w:val="24"/>
          <w:szCs w:val="24"/>
          <w:lang w:eastAsia="pl-PL"/>
        </w:rPr>
        <w:t>oi</w:t>
      </w:r>
      <w:r w:rsidRPr="00DE2ECE">
        <w:rPr>
          <w:rFonts w:ascii="Times New Roman" w:eastAsia="Times New Roman" w:hAnsi="Times New Roman" w:cs="Times New Roman"/>
          <w:sz w:val="24"/>
          <w:szCs w:val="24"/>
          <w:lang w:eastAsia="pl-PL"/>
        </w:rPr>
        <w:t>m składzie bioetanol. Wykreślenie eterów spowodowałoby zatem komplikacje w kontekście prawidłowego oznakowa</w:t>
      </w:r>
      <w:r w:rsidR="003E62CB">
        <w:rPr>
          <w:rFonts w:ascii="Times New Roman" w:eastAsia="Times New Roman" w:hAnsi="Times New Roman" w:cs="Times New Roman"/>
          <w:sz w:val="24"/>
          <w:szCs w:val="24"/>
          <w:lang w:eastAsia="pl-PL"/>
        </w:rPr>
        <w:t>nia paliw E5 i E10, powodując w </w:t>
      </w:r>
      <w:r w:rsidRPr="00DE2ECE">
        <w:rPr>
          <w:rFonts w:ascii="Times New Roman" w:eastAsia="Times New Roman" w:hAnsi="Times New Roman" w:cs="Times New Roman"/>
          <w:sz w:val="24"/>
          <w:szCs w:val="24"/>
          <w:lang w:eastAsia="pl-PL"/>
        </w:rPr>
        <w:t>praktyce ograniczenie możliwości stosowania ete</w:t>
      </w:r>
      <w:r w:rsidR="003E62CB">
        <w:rPr>
          <w:rFonts w:ascii="Times New Roman" w:eastAsia="Times New Roman" w:hAnsi="Times New Roman" w:cs="Times New Roman"/>
          <w:sz w:val="24"/>
          <w:szCs w:val="24"/>
          <w:lang w:eastAsia="pl-PL"/>
        </w:rPr>
        <w:t>rów w powszechnie stosowanych w </w:t>
      </w:r>
      <w:r w:rsidRPr="00DE2ECE">
        <w:rPr>
          <w:rFonts w:ascii="Times New Roman" w:eastAsia="Times New Roman" w:hAnsi="Times New Roman" w:cs="Times New Roman"/>
          <w:sz w:val="24"/>
          <w:szCs w:val="24"/>
          <w:lang w:eastAsia="pl-PL"/>
        </w:rPr>
        <w:t>kraju paliwach E5 – co mogłoby mieć niekorzystne konsekwencje w kontekście kosztów realizacji NCW przez tych przedsiębiorców.</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Projekt ustawy rozszerza definicję gazu skroplonego (LPG) o mieszaniny skroplonych gazów węglowodorowych o kodzie CN 2711 19 00. Konieczność wprowadzenia przedmiotowej zmiany wynika z treści wyroku Trybunału Sprawiedliwości Unii Europejskiej z dnia 26 maja 2016 r. w sprawie nr C-286/15, dotyczącej wykładni </w:t>
      </w:r>
      <w:r w:rsidRPr="00DE2ECE">
        <w:rPr>
          <w:rFonts w:ascii="Times New Roman" w:eastAsia="Times New Roman" w:hAnsi="Times New Roman" w:cs="Times New Roman"/>
          <w:sz w:val="24"/>
          <w:szCs w:val="24"/>
          <w:lang w:eastAsia="pl-PL"/>
        </w:rPr>
        <w:lastRenderedPageBreak/>
        <w:t>Nomenklatury Scalonej (dalej „CN”), na podstawie</w:t>
      </w:r>
      <w:r w:rsidR="003E62CB">
        <w:rPr>
          <w:rFonts w:ascii="Times New Roman" w:eastAsia="Times New Roman" w:hAnsi="Times New Roman" w:cs="Times New Roman"/>
          <w:sz w:val="24"/>
          <w:szCs w:val="24"/>
          <w:lang w:eastAsia="pl-PL"/>
        </w:rPr>
        <w:t xml:space="preserve"> wniosku o wydanie orzeczenia w </w:t>
      </w:r>
      <w:r w:rsidRPr="00DE2ECE">
        <w:rPr>
          <w:rFonts w:ascii="Times New Roman" w:eastAsia="Times New Roman" w:hAnsi="Times New Roman" w:cs="Times New Roman"/>
          <w:sz w:val="24"/>
          <w:szCs w:val="24"/>
          <w:lang w:eastAsia="pl-PL"/>
        </w:rPr>
        <w:t xml:space="preserve">trybie prejudycjalnym złożonym przez Wydział Spraw Administracyjnych Sądu Najwyższego na Łotwie. Zgodnie z ogólną regułą interpretacyjną dotyczącą CN, </w:t>
      </w:r>
      <w:r w:rsidR="007761CC">
        <w:rPr>
          <w:rFonts w:ascii="Times New Roman" w:eastAsia="Times New Roman" w:hAnsi="Times New Roman" w:cs="Times New Roman"/>
          <w:sz w:val="24"/>
          <w:szCs w:val="24"/>
          <w:lang w:eastAsia="pl-PL"/>
        </w:rPr>
        <w:t>–</w:t>
      </w:r>
      <w:r w:rsidRPr="00DE2ECE">
        <w:rPr>
          <w:rFonts w:ascii="Times New Roman" w:eastAsia="Times New Roman" w:hAnsi="Times New Roman" w:cs="Times New Roman"/>
          <w:sz w:val="24"/>
          <w:szCs w:val="24"/>
          <w:lang w:eastAsia="pl-PL"/>
        </w:rPr>
        <w:t xml:space="preserve"> mieszaniny, czyli wyroby złożone składające się z różnych materiałów lub wytworzone z różnych składników należy klasyfikować, tak jak gdyby składały się one z materiału lub składnika, który nadaje im ich zasadniczy charakter, o ile takie kryterium jest możliwe do zastosowania. Dotychczasowe podejście zakładało klasyfikację gazu płynnego LPG:</w:t>
      </w:r>
    </w:p>
    <w:p w:rsidR="0044533E" w:rsidRPr="00DE2ECE" w:rsidRDefault="0044533E" w:rsidP="00465091">
      <w:pPr>
        <w:numPr>
          <w:ilvl w:val="0"/>
          <w:numId w:val="8"/>
        </w:numPr>
        <w:autoSpaceDE w:val="0"/>
        <w:autoSpaceDN w:val="0"/>
        <w:adjustRightInd w:val="0"/>
        <w:spacing w:before="120" w:after="0" w:line="360" w:lineRule="auto"/>
        <w:ind w:left="336" w:hanging="322"/>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jako propan o kodzie CN 2711 12 97, w stosunku do gazu o czystości mniejszej niż 90% (przeważająca ilość propanu)</w:t>
      </w:r>
      <w:r w:rsidR="00A77296">
        <w:rPr>
          <w:rFonts w:ascii="Times New Roman" w:eastAsia="Times New Roman" w:hAnsi="Times New Roman" w:cs="Times New Roman"/>
          <w:sz w:val="24"/>
          <w:szCs w:val="24"/>
          <w:lang w:eastAsia="pl-PL"/>
        </w:rPr>
        <w:t>,</w:t>
      </w:r>
    </w:p>
    <w:p w:rsidR="0044533E" w:rsidRPr="00DE2ECE" w:rsidRDefault="0044533E" w:rsidP="00465091">
      <w:pPr>
        <w:numPr>
          <w:ilvl w:val="0"/>
          <w:numId w:val="8"/>
        </w:numPr>
        <w:autoSpaceDE w:val="0"/>
        <w:autoSpaceDN w:val="0"/>
        <w:adjustRightInd w:val="0"/>
        <w:spacing w:before="120" w:after="0" w:line="360" w:lineRule="auto"/>
        <w:ind w:left="336" w:hanging="322"/>
        <w:contextualSpacing/>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jako butan o kodzie CN 2711 13 97, w stosunku do gazu o czystości mniejszej niż 90% (przeważająca ilość butanu).</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W analizowanym przypadku Trybunału Sprawiedliwo</w:t>
      </w:r>
      <w:r w:rsidR="003E62CB">
        <w:rPr>
          <w:rFonts w:ascii="Times New Roman" w:eastAsia="Times New Roman" w:hAnsi="Times New Roman" w:cs="Times New Roman"/>
          <w:sz w:val="24"/>
          <w:szCs w:val="24"/>
          <w:lang w:eastAsia="pl-PL"/>
        </w:rPr>
        <w:t>ści Unii Europejskiej uznał, iż </w:t>
      </w:r>
      <w:r w:rsidRPr="00DE2ECE">
        <w:rPr>
          <w:rFonts w:ascii="Times New Roman" w:eastAsia="Times New Roman" w:hAnsi="Times New Roman" w:cs="Times New Roman"/>
          <w:sz w:val="24"/>
          <w:szCs w:val="24"/>
          <w:lang w:eastAsia="pl-PL"/>
        </w:rPr>
        <w:t>CN należy interpretować w ten sposób, że gaz płynny LPG o składzie 0, 32% metanu, etanu i etylenu, 58, 32% propanu i propylenu oraz</w:t>
      </w:r>
      <w:r w:rsidR="003E62CB">
        <w:rPr>
          <w:rFonts w:ascii="Times New Roman" w:eastAsia="Times New Roman" w:hAnsi="Times New Roman" w:cs="Times New Roman"/>
          <w:sz w:val="24"/>
          <w:szCs w:val="24"/>
          <w:lang w:eastAsia="pl-PL"/>
        </w:rPr>
        <w:t xml:space="preserve"> nie więcej niż 39,99% butanu i </w:t>
      </w:r>
      <w:r w:rsidRPr="00DE2ECE">
        <w:rPr>
          <w:rFonts w:ascii="Times New Roman" w:eastAsia="Times New Roman" w:hAnsi="Times New Roman" w:cs="Times New Roman"/>
          <w:sz w:val="24"/>
          <w:szCs w:val="24"/>
          <w:lang w:eastAsia="pl-PL"/>
        </w:rPr>
        <w:t xml:space="preserve">butylenu, w stosunku do którego nie można ustalić, która ze składających się na niego substancji nadaje mu jego zasadniczy charakter, objęty jest pozycją w CN 2711 19 00 jako „Gaz ziemny (mokry) i pozostałe węglowodory gazowe, skroplone, pozostałe”. Analizując wpływ przedmiotowego orzeczenia Trybunału Sprawiedliwości Unii Europejskiej w ww. sprawie na polski porządek prawny należy wskazać iż, orzeczenie prejudycjalne jest wiążące dla sądów krajowych, </w:t>
      </w:r>
      <w:r w:rsidR="003E62CB">
        <w:rPr>
          <w:rFonts w:ascii="Times New Roman" w:eastAsia="Times New Roman" w:hAnsi="Times New Roman" w:cs="Times New Roman"/>
          <w:sz w:val="24"/>
          <w:szCs w:val="24"/>
          <w:lang w:eastAsia="pl-PL"/>
        </w:rPr>
        <w:t>który przy wydaniu orzeczenia w </w:t>
      </w:r>
      <w:r w:rsidRPr="00DE2ECE">
        <w:rPr>
          <w:rFonts w:ascii="Times New Roman" w:eastAsia="Times New Roman" w:hAnsi="Times New Roman" w:cs="Times New Roman"/>
          <w:sz w:val="24"/>
          <w:szCs w:val="24"/>
          <w:lang w:eastAsia="pl-PL"/>
        </w:rPr>
        <w:t>postępowaniu przed nim się toczącym stosuje interpretację dokonaną przez sąd unijny.</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Rozszerzenie katalogu kodów CN dotyczącej ww. definicji gazu skroplonego (LPG) jest niezbędne w celu skutecznej realizacji obowiązku monitorowania jakości gazu płynnego (LPG) o kodzie CN 2711 19 00.</w:t>
      </w:r>
    </w:p>
    <w:p w:rsidR="0044533E" w:rsidRPr="00DE2ECE" w:rsidRDefault="00B513D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Ponadto</w:t>
      </w:r>
      <w:r w:rsidR="0044533E" w:rsidRPr="00DE2ECE">
        <w:rPr>
          <w:rFonts w:ascii="Times New Roman" w:eastAsia="Times New Roman" w:hAnsi="Times New Roman" w:cs="Times New Roman"/>
          <w:sz w:val="24"/>
          <w:szCs w:val="24"/>
          <w:lang w:eastAsia="pl-PL"/>
        </w:rPr>
        <w:t xml:space="preserve"> w wyniku konsultacji projektu ustawy rozstrzygnięta została kwestia dotycząca konieczności doprecyzowania przepisów odnoszących się do olejów rozpałkowych w</w:t>
      </w:r>
      <w:r>
        <w:rPr>
          <w:rFonts w:ascii="Times New Roman" w:eastAsia="Times New Roman" w:hAnsi="Times New Roman" w:cs="Times New Roman"/>
          <w:sz w:val="24"/>
          <w:szCs w:val="24"/>
          <w:lang w:eastAsia="pl-PL"/>
        </w:rPr>
        <w:t> </w:t>
      </w:r>
      <w:r w:rsidR="0044533E" w:rsidRPr="00DE2ECE">
        <w:rPr>
          <w:rFonts w:ascii="Times New Roman" w:eastAsia="Times New Roman" w:hAnsi="Times New Roman" w:cs="Times New Roman"/>
          <w:sz w:val="24"/>
          <w:szCs w:val="24"/>
          <w:lang w:eastAsia="pl-PL"/>
        </w:rPr>
        <w:t xml:space="preserve">zakresie pojęcia „cele opałowe”. Proponowana zmiana dotyczy wyłącznie uzupełnienia definicji ciężkiego oleju opałowego (w której występuje określenie „cele opałowe”) w sposób wskazujący, że zgodnie z tą definicją uznanie paliwa ciekłego za </w:t>
      </w:r>
      <w:r w:rsidR="0044533E" w:rsidRPr="00DE2ECE">
        <w:rPr>
          <w:rFonts w:ascii="Times New Roman" w:eastAsia="Times New Roman" w:hAnsi="Times New Roman" w:cs="Times New Roman"/>
          <w:sz w:val="24"/>
          <w:szCs w:val="24"/>
          <w:lang w:eastAsia="pl-PL"/>
        </w:rPr>
        <w:lastRenderedPageBreak/>
        <w:t>ciężki olej opałowy nie zależy od etapu lub celu w jakim jest on spalany w instalacjach energetycznego spalania paliw.</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Przepisy ustawy wprowadzają regulacje umożliwiające podmiotom realizującym Narodowy Cel Redukcyjny (NCR) zaliczenia biokomponentów spełniających kryteria zrównoważonego rozwoju stosowanych w lotnictwie do re</w:t>
      </w:r>
      <w:r w:rsidR="003E62CB">
        <w:rPr>
          <w:rFonts w:ascii="Times New Roman" w:eastAsia="Times New Roman" w:hAnsi="Times New Roman" w:cs="Times New Roman"/>
          <w:sz w:val="24"/>
          <w:szCs w:val="24"/>
          <w:lang w:eastAsia="pl-PL"/>
        </w:rPr>
        <w:t>alizacji NCR. Art. 1 pkt 2 lit</w:t>
      </w:r>
      <w:r w:rsidR="00B513DE">
        <w:rPr>
          <w:rFonts w:ascii="Times New Roman" w:eastAsia="Times New Roman" w:hAnsi="Times New Roman" w:cs="Times New Roman"/>
          <w:sz w:val="24"/>
          <w:szCs w:val="24"/>
          <w:lang w:eastAsia="pl-PL"/>
        </w:rPr>
        <w:t>.</w:t>
      </w:r>
      <w:r w:rsidR="003E62CB">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 xml:space="preserve">a </w:t>
      </w:r>
      <w:r w:rsidR="00A77296">
        <w:rPr>
          <w:rFonts w:ascii="Times New Roman" w:eastAsia="Times New Roman" w:hAnsi="Times New Roman" w:cs="Times New Roman"/>
          <w:sz w:val="24"/>
          <w:szCs w:val="24"/>
          <w:lang w:eastAsia="pl-PL"/>
        </w:rPr>
        <w:t>d</w:t>
      </w:r>
      <w:r w:rsidRPr="00DE2ECE">
        <w:rPr>
          <w:rFonts w:ascii="Times New Roman" w:eastAsia="Times New Roman" w:hAnsi="Times New Roman" w:cs="Times New Roman"/>
          <w:sz w:val="24"/>
          <w:szCs w:val="24"/>
          <w:lang w:eastAsia="pl-PL"/>
        </w:rPr>
        <w:t>yrektywy 2015/1513 stanowi bowiem, że: „</w:t>
      </w:r>
      <w:r w:rsidRPr="00DE2ECE">
        <w:rPr>
          <w:rFonts w:ascii="Times New Roman" w:eastAsia="Times New Roman" w:hAnsi="Times New Roman" w:cs="Times New Roman"/>
          <w:i/>
          <w:sz w:val="24"/>
          <w:szCs w:val="24"/>
          <w:lang w:eastAsia="pl-PL"/>
        </w:rPr>
        <w:t>W przypadku dostawców biopaliw przeznaczonych do użytku w lotnictwie państwa członkowskie mogą zezwolić takim dostawcom na podjęcie decyzji o ich udziale w wypełnianiu obowiązku zmniejszenia emisji określonego w ust. 2 niniejszego artykułu, o</w:t>
      </w:r>
      <w:r w:rsidR="003E62CB">
        <w:rPr>
          <w:rFonts w:ascii="Times New Roman" w:eastAsia="Times New Roman" w:hAnsi="Times New Roman" w:cs="Times New Roman"/>
          <w:i/>
          <w:sz w:val="24"/>
          <w:szCs w:val="24"/>
          <w:lang w:eastAsia="pl-PL"/>
        </w:rPr>
        <w:t xml:space="preserve"> ile te biopaliwa będą zgodne z </w:t>
      </w:r>
      <w:r w:rsidRPr="00DE2ECE">
        <w:rPr>
          <w:rFonts w:ascii="Times New Roman" w:eastAsia="Times New Roman" w:hAnsi="Times New Roman" w:cs="Times New Roman"/>
          <w:i/>
          <w:sz w:val="24"/>
          <w:szCs w:val="24"/>
          <w:lang w:eastAsia="pl-PL"/>
        </w:rPr>
        <w:t>kryteriami zrównoważonego rozwoju określonymi w art. 7b.”</w:t>
      </w:r>
      <w:r w:rsidRPr="00DE2ECE">
        <w:rPr>
          <w:rFonts w:ascii="Times New Roman" w:eastAsia="Times New Roman" w:hAnsi="Times New Roman" w:cs="Times New Roman"/>
          <w:sz w:val="24"/>
          <w:szCs w:val="24"/>
          <w:lang w:eastAsia="pl-PL"/>
        </w:rPr>
        <w:t>. Wdrożenie przedmiotowego przepisu do polskiego porządku prawnego daje możliwość podmiotom realizującym NCR zaliczenia biokomponentów spełniających kryteria zrównoważonego rozwoju stosowanych w lotnictwie do realizacji NCR, po poinformowaniu o tym</w:t>
      </w:r>
      <w:r w:rsidRPr="00DE2ECE">
        <w:rPr>
          <w:rFonts w:ascii="Times New Roman" w:eastAsia="Times New Roman" w:hAnsi="Times New Roman" w:cs="Times New Roman"/>
          <w:bCs/>
          <w:sz w:val="24"/>
          <w:szCs w:val="24"/>
          <w:lang w:eastAsia="pl-PL"/>
        </w:rPr>
        <w:t xml:space="preserve"> Prezesa </w:t>
      </w:r>
      <w:r w:rsidRPr="00DE2ECE">
        <w:rPr>
          <w:rFonts w:ascii="Times New Roman" w:eastAsia="Times New Roman" w:hAnsi="Times New Roman" w:cs="Times New Roman"/>
          <w:sz w:val="24"/>
          <w:szCs w:val="24"/>
          <w:lang w:eastAsia="pl-PL"/>
        </w:rPr>
        <w:t xml:space="preserve">URE. </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W celu transponowania przedmiotowego przepisu dokonano zmiany definicji podmiotu realizującego NCR (art. 2 pkt 29) oraz dokonano zmian w art. 30b, </w:t>
      </w:r>
      <w:r w:rsidR="004D393E">
        <w:rPr>
          <w:rFonts w:ascii="Times New Roman" w:eastAsia="Times New Roman" w:hAnsi="Times New Roman" w:cs="Times New Roman"/>
          <w:sz w:val="24"/>
          <w:szCs w:val="24"/>
          <w:lang w:eastAsia="pl-PL"/>
        </w:rPr>
        <w:t xml:space="preserve">art. </w:t>
      </w:r>
      <w:r w:rsidRPr="00DE2ECE">
        <w:rPr>
          <w:rFonts w:ascii="Times New Roman" w:eastAsia="Times New Roman" w:hAnsi="Times New Roman" w:cs="Times New Roman"/>
          <w:sz w:val="24"/>
          <w:szCs w:val="24"/>
          <w:lang w:eastAsia="pl-PL"/>
        </w:rPr>
        <w:t xml:space="preserve">30e oraz </w:t>
      </w:r>
      <w:r w:rsidR="004D393E">
        <w:rPr>
          <w:rFonts w:ascii="Times New Roman" w:eastAsia="Times New Roman" w:hAnsi="Times New Roman" w:cs="Times New Roman"/>
          <w:sz w:val="24"/>
          <w:szCs w:val="24"/>
          <w:lang w:eastAsia="pl-PL"/>
        </w:rPr>
        <w:t>art.</w:t>
      </w:r>
      <w:r w:rsidR="00B513DE">
        <w:rPr>
          <w:rFonts w:ascii="Times New Roman" w:eastAsia="Times New Roman" w:hAnsi="Times New Roman" w:cs="Times New Roman"/>
          <w:sz w:val="24"/>
          <w:szCs w:val="24"/>
          <w:lang w:eastAsia="pl-PL"/>
        </w:rPr>
        <w:t> </w:t>
      </w:r>
      <w:r w:rsidRPr="00DE2ECE">
        <w:rPr>
          <w:rFonts w:ascii="Times New Roman" w:eastAsia="Times New Roman" w:hAnsi="Times New Roman" w:cs="Times New Roman"/>
          <w:sz w:val="24"/>
          <w:szCs w:val="24"/>
          <w:lang w:eastAsia="pl-PL"/>
        </w:rPr>
        <w:t>30g.</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Podkreślić należy, że definicja podmiotu realizującego NCR (art. 2 pkt 29) została dostosowana do brzmienia definicji podmiotu realizującego NCW, która z kolei została zmieniona </w:t>
      </w:r>
      <w:r w:rsidRPr="00DE2ECE">
        <w:rPr>
          <w:rFonts w:ascii="Times New Roman" w:eastAsia="Times New Roman" w:hAnsi="Times New Roman" w:cs="Times New Roman"/>
          <w:i/>
          <w:sz w:val="24"/>
          <w:szCs w:val="24"/>
          <w:lang w:eastAsia="pl-PL"/>
        </w:rPr>
        <w:t>ustawą pakiet energetyczny.</w:t>
      </w:r>
      <w:r w:rsidRPr="00DE2ECE">
        <w:rPr>
          <w:rFonts w:ascii="Times New Roman" w:eastAsia="Times New Roman" w:hAnsi="Times New Roman" w:cs="Times New Roman"/>
          <w:sz w:val="24"/>
          <w:szCs w:val="24"/>
          <w:lang w:eastAsia="pl-PL"/>
        </w:rPr>
        <w:t xml:space="preserve"> Ponadto</w:t>
      </w:r>
      <w:r w:rsidRPr="00DE2ECE">
        <w:rPr>
          <w:rFonts w:ascii="Times New Roman" w:eastAsia="Times New Roman" w:hAnsi="Times New Roman" w:cs="Times New Roman"/>
          <w:i/>
          <w:sz w:val="24"/>
          <w:szCs w:val="24"/>
          <w:lang w:eastAsia="pl-PL"/>
        </w:rPr>
        <w:t xml:space="preserve"> ustawa pakiet energetyczny </w:t>
      </w:r>
      <w:r w:rsidRPr="00DE2ECE">
        <w:rPr>
          <w:rFonts w:ascii="Times New Roman" w:eastAsia="Times New Roman" w:hAnsi="Times New Roman" w:cs="Times New Roman"/>
          <w:sz w:val="24"/>
          <w:szCs w:val="24"/>
          <w:lang w:eastAsia="pl-PL"/>
        </w:rPr>
        <w:t xml:space="preserve">dokonała zmian w zakresie terminologii paliw lotniczych (benzyn lotnicze, paliwa typu benzyny lub nafty do silników odrzutowych), co zostało uwzględnione w niniejszym projekcie ustawy. Ponadto należało dostosować definicję wprowadzenia do obrotu do </w:t>
      </w:r>
      <w:r w:rsidRPr="00DE2ECE">
        <w:rPr>
          <w:rFonts w:ascii="Times New Roman" w:eastAsia="Times New Roman" w:hAnsi="Times New Roman" w:cs="Times New Roman"/>
          <w:i/>
          <w:sz w:val="24"/>
          <w:szCs w:val="24"/>
          <w:lang w:eastAsia="pl-PL"/>
        </w:rPr>
        <w:t>ustawy pakiet energetyczny</w:t>
      </w:r>
      <w:r w:rsidRPr="00DE2ECE">
        <w:rPr>
          <w:rFonts w:ascii="Times New Roman" w:eastAsia="Times New Roman" w:hAnsi="Times New Roman" w:cs="Times New Roman"/>
          <w:sz w:val="24"/>
          <w:szCs w:val="24"/>
          <w:lang w:eastAsia="pl-PL"/>
        </w:rPr>
        <w:t>.</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iCs/>
          <w:color w:val="000000"/>
          <w:sz w:val="24"/>
          <w:szCs w:val="24"/>
          <w:lang w:eastAsia="pl-PL"/>
        </w:rPr>
      </w:pPr>
      <w:r w:rsidRPr="00DE2ECE">
        <w:rPr>
          <w:rFonts w:ascii="Times New Roman" w:eastAsia="Times New Roman" w:hAnsi="Times New Roman" w:cs="Times New Roman"/>
          <w:iCs/>
          <w:color w:val="000000"/>
          <w:sz w:val="24"/>
          <w:szCs w:val="24"/>
          <w:lang w:eastAsia="pl-PL"/>
        </w:rPr>
        <w:t>Ponadto art. 8 ust. 3</w:t>
      </w:r>
      <w:r w:rsidRPr="00DE2ECE">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iCs/>
          <w:color w:val="000000"/>
          <w:sz w:val="24"/>
          <w:szCs w:val="24"/>
          <w:lang w:eastAsia="pl-PL"/>
        </w:rPr>
        <w:t xml:space="preserve">dyrektywy 2015/1513 zmienia termin przekazywania raportów dotyczących jakości paliw do Komisji Europejskiej na 31 sierpnia (wcześniej termin był ustalony na 30 czerwca). W związku z powyższym, w projekcie ustawy dostosowano terminy przekazywania zbiorczych raportów dotyczących jakości paliw w Polsce Radzie Ministrów (do </w:t>
      </w:r>
      <w:r w:rsidR="00B513DE">
        <w:rPr>
          <w:rFonts w:ascii="Times New Roman" w:eastAsia="Times New Roman" w:hAnsi="Times New Roman" w:cs="Times New Roman"/>
          <w:iCs/>
          <w:color w:val="000000"/>
          <w:sz w:val="24"/>
          <w:szCs w:val="24"/>
          <w:lang w:eastAsia="pl-PL"/>
        </w:rPr>
        <w:t xml:space="preserve">dnia </w:t>
      </w:r>
      <w:r w:rsidRPr="00DE2ECE">
        <w:rPr>
          <w:rFonts w:ascii="Times New Roman" w:eastAsia="Times New Roman" w:hAnsi="Times New Roman" w:cs="Times New Roman"/>
          <w:iCs/>
          <w:color w:val="000000"/>
          <w:sz w:val="24"/>
          <w:szCs w:val="24"/>
          <w:lang w:eastAsia="pl-PL"/>
        </w:rPr>
        <w:t>31 lipca) oraz KE (</w:t>
      </w:r>
      <w:r w:rsidR="00B513DE">
        <w:rPr>
          <w:rFonts w:ascii="Times New Roman" w:eastAsia="Times New Roman" w:hAnsi="Times New Roman" w:cs="Times New Roman"/>
          <w:iCs/>
          <w:color w:val="000000"/>
          <w:sz w:val="24"/>
          <w:szCs w:val="24"/>
          <w:lang w:eastAsia="pl-PL"/>
        </w:rPr>
        <w:t xml:space="preserve">do dnia </w:t>
      </w:r>
      <w:r w:rsidRPr="00DE2ECE">
        <w:rPr>
          <w:rFonts w:ascii="Times New Roman" w:eastAsia="Times New Roman" w:hAnsi="Times New Roman" w:cs="Times New Roman"/>
          <w:iCs/>
          <w:color w:val="000000"/>
          <w:sz w:val="24"/>
          <w:szCs w:val="24"/>
          <w:lang w:eastAsia="pl-PL"/>
        </w:rPr>
        <w:t xml:space="preserve">30 sierpnia). Przepisy projektu ustawy dokonują zmiany definicji paliw ciekłych polegające na umożliwieniu dodawania pozostałych rodzajów biokomponentów, w tym m.in. biowęglowodorów </w:t>
      </w:r>
      <w:r w:rsidRPr="00DE2ECE">
        <w:rPr>
          <w:rFonts w:ascii="Times New Roman" w:eastAsia="Times New Roman" w:hAnsi="Times New Roman" w:cs="Times New Roman"/>
          <w:iCs/>
          <w:color w:val="000000"/>
          <w:sz w:val="24"/>
          <w:szCs w:val="24"/>
          <w:lang w:eastAsia="pl-PL"/>
        </w:rPr>
        <w:lastRenderedPageBreak/>
        <w:t>ciekłych powyżej 10% w przypadku benzyn silnikowych oraz 7% w przypadku oleju napędowego.</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iCs/>
          <w:color w:val="000000"/>
          <w:sz w:val="24"/>
          <w:szCs w:val="24"/>
          <w:lang w:eastAsia="pl-PL"/>
        </w:rPr>
      </w:pPr>
      <w:r w:rsidRPr="00DE2ECE">
        <w:rPr>
          <w:rFonts w:ascii="Times New Roman" w:eastAsia="Times New Roman" w:hAnsi="Times New Roman" w:cs="Times New Roman"/>
          <w:iCs/>
          <w:color w:val="000000"/>
          <w:sz w:val="24"/>
          <w:szCs w:val="24"/>
          <w:lang w:eastAsia="pl-PL"/>
        </w:rPr>
        <w:t xml:space="preserve">W art. 30g w ust. 2 i 3 dostosowano terminy przekazywania raportów dotyczących ograniczenia emisji gazów cieplarnianych w cyklu życia paliw i energii elektrycznej Radzie Ministrów (z 30 września na 15 lipca) oraz KE (z 31 grudnia na 31 sierpnia). Ponadto w ust. 3 doprecyzowano, że raport przekazywany jest Komisji Europejskiej </w:t>
      </w:r>
      <w:r w:rsidRPr="00DE2ECE">
        <w:rPr>
          <w:rFonts w:ascii="Times New Roman" w:eastAsia="Times New Roman" w:hAnsi="Times New Roman" w:cs="Times New Roman"/>
          <w:i/>
          <w:sz w:val="24"/>
          <w:szCs w:val="24"/>
          <w:lang w:eastAsia="pl-PL"/>
        </w:rPr>
        <w:t>„za pośrednictwem Europejskiej Agencji Środowiska</w:t>
      </w:r>
      <w:r w:rsidR="00826D36">
        <w:rPr>
          <w:rFonts w:ascii="Times New Roman" w:eastAsia="Times New Roman" w:hAnsi="Times New Roman" w:cs="Times New Roman"/>
          <w:i/>
          <w:sz w:val="24"/>
          <w:szCs w:val="24"/>
          <w:lang w:eastAsia="pl-PL"/>
        </w:rPr>
        <w:t>”</w:t>
      </w:r>
      <w:r w:rsidRPr="00DE2ECE">
        <w:rPr>
          <w:rFonts w:ascii="Times New Roman" w:eastAsia="Times New Roman" w:hAnsi="Times New Roman" w:cs="Times New Roman"/>
          <w:i/>
          <w:sz w:val="24"/>
          <w:szCs w:val="24"/>
          <w:lang w:eastAsia="pl-PL"/>
        </w:rPr>
        <w:t>.</w:t>
      </w:r>
      <w:r w:rsidR="003E62CB">
        <w:rPr>
          <w:rFonts w:ascii="Times New Roman" w:eastAsia="Times New Roman" w:hAnsi="Times New Roman" w:cs="Times New Roman"/>
          <w:iCs/>
          <w:color w:val="000000"/>
          <w:sz w:val="24"/>
          <w:szCs w:val="24"/>
          <w:lang w:eastAsia="pl-PL"/>
        </w:rPr>
        <w:t xml:space="preserve"> Powyższa zmiana wynika z </w:t>
      </w:r>
      <w:r w:rsidRPr="00DE2ECE">
        <w:rPr>
          <w:rFonts w:ascii="Times New Roman" w:eastAsia="Times New Roman" w:hAnsi="Times New Roman" w:cs="Times New Roman"/>
          <w:iCs/>
          <w:color w:val="000000"/>
          <w:sz w:val="24"/>
          <w:szCs w:val="24"/>
          <w:lang w:eastAsia="pl-PL"/>
        </w:rPr>
        <w:t xml:space="preserve">konieczności prawidłowej implementacji art. 5 ust. 2 dyrektywy 2015/652 </w:t>
      </w:r>
      <w:r w:rsidR="003E62CB">
        <w:rPr>
          <w:rFonts w:ascii="Times New Roman" w:eastAsia="Times New Roman" w:hAnsi="Times New Roman" w:cs="Times New Roman"/>
          <w:color w:val="000000"/>
          <w:sz w:val="24"/>
          <w:szCs w:val="24"/>
          <w:lang w:eastAsia="pl-PL"/>
        </w:rPr>
        <w:t>z dnia 20 </w:t>
      </w:r>
      <w:r w:rsidRPr="00DE2ECE">
        <w:rPr>
          <w:rFonts w:ascii="Times New Roman" w:eastAsia="Times New Roman" w:hAnsi="Times New Roman" w:cs="Times New Roman"/>
          <w:color w:val="000000"/>
          <w:sz w:val="24"/>
          <w:szCs w:val="24"/>
          <w:lang w:eastAsia="pl-PL"/>
        </w:rPr>
        <w:t xml:space="preserve">kwietnia 2015 r. </w:t>
      </w:r>
      <w:r w:rsidRPr="00DE2ECE">
        <w:rPr>
          <w:rFonts w:ascii="Times New Roman" w:eastAsia="Times New Roman" w:hAnsi="Times New Roman" w:cs="Times New Roman"/>
          <w:i/>
          <w:sz w:val="24"/>
          <w:szCs w:val="24"/>
          <w:lang w:eastAsia="pl-PL"/>
        </w:rPr>
        <w:t>ustanawiającej metody obliczania i wymogi w zakresie sprawozdawczości zgodnie z dyrektywą 98/70/WE Parlamentu Europejskiego i Rady odnoszącą się do jakości benzyny i olejów napędowych.</w:t>
      </w:r>
    </w:p>
    <w:p w:rsidR="0044533E" w:rsidRPr="00DE2ECE" w:rsidRDefault="0044533E" w:rsidP="003E62CB">
      <w:pPr>
        <w:numPr>
          <w:ilvl w:val="0"/>
          <w:numId w:val="5"/>
        </w:numPr>
        <w:autoSpaceDE w:val="0"/>
        <w:autoSpaceDN w:val="0"/>
        <w:adjustRightInd w:val="0"/>
        <w:spacing w:before="120" w:after="0" w:line="360" w:lineRule="auto"/>
        <w:ind w:left="357" w:hanging="357"/>
        <w:jc w:val="both"/>
        <w:rPr>
          <w:rFonts w:ascii="Times New Roman" w:eastAsia="Times New Roman" w:hAnsi="Times New Roman" w:cs="Times New Roman"/>
          <w:b/>
          <w:color w:val="000000"/>
          <w:sz w:val="24"/>
          <w:szCs w:val="24"/>
          <w:lang w:eastAsia="pl-PL"/>
        </w:rPr>
      </w:pPr>
      <w:r w:rsidRPr="00DE2ECE">
        <w:rPr>
          <w:rFonts w:ascii="Times New Roman" w:eastAsia="Times New Roman" w:hAnsi="Times New Roman" w:cs="Times New Roman"/>
          <w:b/>
          <w:color w:val="000000"/>
          <w:sz w:val="24"/>
          <w:szCs w:val="24"/>
          <w:lang w:eastAsia="pl-PL"/>
        </w:rPr>
        <w:t xml:space="preserve">Ustawa z dnia 11 lipca 2014 r. </w:t>
      </w:r>
      <w:r w:rsidRPr="00DE2ECE">
        <w:rPr>
          <w:rFonts w:ascii="Times New Roman" w:eastAsia="Times New Roman" w:hAnsi="Times New Roman" w:cs="Times New Roman"/>
          <w:b/>
          <w:i/>
          <w:color w:val="000000"/>
          <w:sz w:val="24"/>
          <w:szCs w:val="24"/>
          <w:lang w:eastAsia="pl-PL"/>
        </w:rPr>
        <w:t>o zmianie us</w:t>
      </w:r>
      <w:r w:rsidR="003E62CB">
        <w:rPr>
          <w:rFonts w:ascii="Times New Roman" w:eastAsia="Times New Roman" w:hAnsi="Times New Roman" w:cs="Times New Roman"/>
          <w:b/>
          <w:i/>
          <w:color w:val="000000"/>
          <w:sz w:val="24"/>
          <w:szCs w:val="24"/>
          <w:lang w:eastAsia="pl-PL"/>
        </w:rPr>
        <w:t>tawy o systemie monitorowania i </w:t>
      </w:r>
      <w:r w:rsidRPr="00DE2ECE">
        <w:rPr>
          <w:rFonts w:ascii="Times New Roman" w:eastAsia="Times New Roman" w:hAnsi="Times New Roman" w:cs="Times New Roman"/>
          <w:b/>
          <w:i/>
          <w:color w:val="000000"/>
          <w:sz w:val="24"/>
          <w:szCs w:val="24"/>
          <w:lang w:eastAsia="pl-PL"/>
        </w:rPr>
        <w:t>kontrolowania jakości paliw oraz niektórych innych ustaw</w:t>
      </w:r>
      <w:r w:rsidR="003E62CB">
        <w:rPr>
          <w:rFonts w:ascii="Times New Roman" w:eastAsia="Times New Roman" w:hAnsi="Times New Roman" w:cs="Times New Roman"/>
          <w:b/>
          <w:color w:val="000000"/>
          <w:sz w:val="24"/>
          <w:szCs w:val="24"/>
          <w:lang w:eastAsia="pl-PL"/>
        </w:rPr>
        <w:t xml:space="preserve"> (Dz. U. </w:t>
      </w:r>
      <w:r w:rsidR="004D393E">
        <w:rPr>
          <w:rFonts w:ascii="Times New Roman" w:eastAsia="Times New Roman" w:hAnsi="Times New Roman" w:cs="Times New Roman"/>
          <w:b/>
          <w:color w:val="000000"/>
          <w:sz w:val="24"/>
          <w:szCs w:val="24"/>
          <w:lang w:eastAsia="pl-PL"/>
        </w:rPr>
        <w:t xml:space="preserve">z </w:t>
      </w:r>
      <w:r w:rsidR="003E62CB">
        <w:rPr>
          <w:rFonts w:ascii="Times New Roman" w:eastAsia="Times New Roman" w:hAnsi="Times New Roman" w:cs="Times New Roman"/>
          <w:b/>
          <w:color w:val="000000"/>
          <w:sz w:val="24"/>
          <w:szCs w:val="24"/>
          <w:lang w:eastAsia="pl-PL"/>
        </w:rPr>
        <w:t>2014 r. poz. </w:t>
      </w:r>
      <w:r w:rsidRPr="00DE2ECE">
        <w:rPr>
          <w:rFonts w:ascii="Times New Roman" w:eastAsia="Times New Roman" w:hAnsi="Times New Roman" w:cs="Times New Roman"/>
          <w:b/>
          <w:color w:val="000000"/>
          <w:sz w:val="24"/>
          <w:szCs w:val="24"/>
          <w:lang w:eastAsia="pl-PL"/>
        </w:rPr>
        <w:t>1088)</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 xml:space="preserve">Projekt ustawy dokonuje zmiany przepisów art. 5 i </w:t>
      </w:r>
      <w:r w:rsidR="004D393E">
        <w:rPr>
          <w:rFonts w:ascii="Times New Roman" w:eastAsia="Times New Roman" w:hAnsi="Times New Roman" w:cs="Times New Roman"/>
          <w:color w:val="000000"/>
          <w:sz w:val="24"/>
          <w:szCs w:val="24"/>
          <w:lang w:eastAsia="pl-PL"/>
        </w:rPr>
        <w:t xml:space="preserve">art. </w:t>
      </w:r>
      <w:r w:rsidRPr="00DE2ECE">
        <w:rPr>
          <w:rFonts w:ascii="Times New Roman" w:eastAsia="Times New Roman" w:hAnsi="Times New Roman" w:cs="Times New Roman"/>
          <w:color w:val="000000"/>
          <w:sz w:val="24"/>
          <w:szCs w:val="24"/>
          <w:lang w:eastAsia="pl-PL"/>
        </w:rPr>
        <w:t>7 ustawy z dnia 11 lipca 2014 r.</w:t>
      </w:r>
      <w:r w:rsidR="007761CC">
        <w:rPr>
          <w:rFonts w:ascii="Times New Roman" w:eastAsia="Times New Roman" w:hAnsi="Times New Roman" w:cs="Times New Roman"/>
          <w:color w:val="000000"/>
          <w:sz w:val="24"/>
          <w:szCs w:val="24"/>
          <w:lang w:eastAsia="pl-PL"/>
        </w:rPr>
        <w:t xml:space="preserve"> </w:t>
      </w:r>
      <w:r w:rsidR="003E62CB">
        <w:rPr>
          <w:rFonts w:ascii="Times New Roman" w:eastAsia="Times New Roman" w:hAnsi="Times New Roman" w:cs="Times New Roman"/>
          <w:color w:val="000000"/>
          <w:sz w:val="24"/>
          <w:szCs w:val="24"/>
          <w:lang w:eastAsia="pl-PL"/>
        </w:rPr>
        <w:t>o </w:t>
      </w:r>
      <w:r w:rsidRPr="00DE2ECE">
        <w:rPr>
          <w:rFonts w:ascii="Times New Roman" w:eastAsia="Times New Roman" w:hAnsi="Times New Roman" w:cs="Times New Roman"/>
          <w:color w:val="000000"/>
          <w:sz w:val="24"/>
          <w:szCs w:val="24"/>
          <w:lang w:eastAsia="pl-PL"/>
        </w:rPr>
        <w:t>zmianie ustawy o systemie monitorowania i kontrolowania jakości paliw oraz niektórych innych ustaw (Dz. U. poz. 1088). Zg</w:t>
      </w:r>
      <w:r w:rsidR="003E62CB">
        <w:rPr>
          <w:rFonts w:ascii="Times New Roman" w:eastAsia="Times New Roman" w:hAnsi="Times New Roman" w:cs="Times New Roman"/>
          <w:color w:val="000000"/>
          <w:sz w:val="24"/>
          <w:szCs w:val="24"/>
          <w:lang w:eastAsia="pl-PL"/>
        </w:rPr>
        <w:t>odnie z art. 5 ustawy z dnia 11 </w:t>
      </w:r>
      <w:r w:rsidRPr="00DE2ECE">
        <w:rPr>
          <w:rFonts w:ascii="Times New Roman" w:eastAsia="Times New Roman" w:hAnsi="Times New Roman" w:cs="Times New Roman"/>
          <w:color w:val="000000"/>
          <w:sz w:val="24"/>
          <w:szCs w:val="24"/>
          <w:lang w:eastAsia="pl-PL"/>
        </w:rPr>
        <w:t>lipca z</w:t>
      </w:r>
      <w:r w:rsidR="00440207">
        <w:rPr>
          <w:rFonts w:ascii="Times New Roman" w:eastAsia="Times New Roman" w:hAnsi="Times New Roman" w:cs="Times New Roman"/>
          <w:color w:val="000000"/>
          <w:sz w:val="24"/>
          <w:szCs w:val="24"/>
          <w:lang w:eastAsia="pl-PL"/>
        </w:rPr>
        <w:t> </w:t>
      </w:r>
      <w:r w:rsidRPr="00DE2ECE">
        <w:rPr>
          <w:rFonts w:ascii="Times New Roman" w:eastAsia="Times New Roman" w:hAnsi="Times New Roman" w:cs="Times New Roman"/>
          <w:color w:val="000000"/>
          <w:sz w:val="24"/>
          <w:szCs w:val="24"/>
          <w:lang w:eastAsia="pl-PL"/>
        </w:rPr>
        <w:t>2014 r. sprawozdanie roczne opracowywane przez podmioty realizujące NCR jest przekazywane po raz pierwszy Prezesowi Urzędu Regulacji Energetyki za rok kalendarzowy następujący po roku wejścia w</w:t>
      </w:r>
      <w:r w:rsidR="007761CC">
        <w:rPr>
          <w:rFonts w:ascii="Times New Roman" w:eastAsia="Times New Roman" w:hAnsi="Times New Roman" w:cs="Times New Roman"/>
          <w:color w:val="000000"/>
          <w:sz w:val="24"/>
          <w:szCs w:val="24"/>
          <w:lang w:eastAsia="pl-PL"/>
        </w:rPr>
        <w:t xml:space="preserve"> </w:t>
      </w:r>
      <w:r w:rsidRPr="00DE2ECE">
        <w:rPr>
          <w:rFonts w:ascii="Times New Roman" w:eastAsia="Times New Roman" w:hAnsi="Times New Roman" w:cs="Times New Roman"/>
          <w:color w:val="000000"/>
          <w:sz w:val="24"/>
          <w:szCs w:val="24"/>
          <w:lang w:eastAsia="pl-PL"/>
        </w:rPr>
        <w:t>życie przepisów wydanych na podstawie art. 30h ustawy</w:t>
      </w:r>
      <w:r w:rsidRPr="00DE2ECE">
        <w:rPr>
          <w:rFonts w:ascii="Times New Roman" w:eastAsia="Times New Roman" w:hAnsi="Times New Roman" w:cs="Times New Roman"/>
          <w:sz w:val="24"/>
          <w:szCs w:val="24"/>
          <w:lang w:eastAsia="pl-PL"/>
        </w:rPr>
        <w:t xml:space="preserve"> z dnia 25 sierpnia 2006 r. o systemie monitorowania i kontrolowania jakości paliw (Dz. U. </w:t>
      </w:r>
      <w:r w:rsidR="004D393E">
        <w:rPr>
          <w:rFonts w:ascii="Times New Roman" w:eastAsia="Times New Roman" w:hAnsi="Times New Roman" w:cs="Times New Roman"/>
          <w:sz w:val="24"/>
          <w:szCs w:val="24"/>
          <w:lang w:eastAsia="pl-PL"/>
        </w:rPr>
        <w:t xml:space="preserve">z </w:t>
      </w:r>
      <w:r w:rsidRPr="00DE2ECE">
        <w:rPr>
          <w:rFonts w:ascii="Times New Roman" w:eastAsia="Times New Roman" w:hAnsi="Times New Roman" w:cs="Times New Roman"/>
          <w:sz w:val="24"/>
          <w:szCs w:val="24"/>
          <w:lang w:eastAsia="pl-PL"/>
        </w:rPr>
        <w:t>2016 r. poz. 1982). Natomiast zg</w:t>
      </w:r>
      <w:r w:rsidR="003E62CB">
        <w:rPr>
          <w:rFonts w:ascii="Times New Roman" w:eastAsia="Times New Roman" w:hAnsi="Times New Roman" w:cs="Times New Roman"/>
          <w:sz w:val="24"/>
          <w:szCs w:val="24"/>
          <w:lang w:eastAsia="pl-PL"/>
        </w:rPr>
        <w:t xml:space="preserve">odnie z art. 7 </w:t>
      </w:r>
      <w:r w:rsidR="00440207">
        <w:rPr>
          <w:rFonts w:ascii="Times New Roman" w:eastAsia="Times New Roman" w:hAnsi="Times New Roman" w:cs="Times New Roman"/>
          <w:sz w:val="24"/>
          <w:szCs w:val="24"/>
          <w:lang w:eastAsia="pl-PL"/>
        </w:rPr>
        <w:t xml:space="preserve">ww. </w:t>
      </w:r>
      <w:r w:rsidR="003E62CB">
        <w:rPr>
          <w:rFonts w:ascii="Times New Roman" w:eastAsia="Times New Roman" w:hAnsi="Times New Roman" w:cs="Times New Roman"/>
          <w:sz w:val="24"/>
          <w:szCs w:val="24"/>
          <w:lang w:eastAsia="pl-PL"/>
        </w:rPr>
        <w:t xml:space="preserve">ustawy </w:t>
      </w:r>
      <w:r w:rsidRPr="00DE2ECE">
        <w:rPr>
          <w:rFonts w:ascii="Times New Roman" w:eastAsia="Times New Roman" w:hAnsi="Times New Roman" w:cs="Times New Roman"/>
          <w:sz w:val="24"/>
          <w:szCs w:val="24"/>
          <w:lang w:eastAsia="pl-PL"/>
        </w:rPr>
        <w:t>zbiorczy raport roczny Prezes Urzędu Regulacji Energetyki po raz pierwszy przekazuje za rok kalendarzowy następujący po roku wejścia w życie przepisów wydanych na podstawie art. 30h</w:t>
      </w:r>
      <w:r w:rsidRPr="00DE2ECE">
        <w:rPr>
          <w:rFonts w:ascii="Times New Roman" w:eastAsia="Times New Roman" w:hAnsi="Times New Roman" w:cs="Times New Roman"/>
          <w:color w:val="000000"/>
          <w:sz w:val="24"/>
          <w:szCs w:val="24"/>
          <w:lang w:eastAsia="pl-PL"/>
        </w:rPr>
        <w:t xml:space="preserve">. </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Odpowiednie rozporządzenia wynikające z delegacji zawa</w:t>
      </w:r>
      <w:r w:rsidR="003E62CB">
        <w:rPr>
          <w:rFonts w:ascii="Times New Roman" w:eastAsia="Times New Roman" w:hAnsi="Times New Roman" w:cs="Times New Roman"/>
          <w:color w:val="000000"/>
          <w:sz w:val="24"/>
          <w:szCs w:val="24"/>
          <w:lang w:eastAsia="pl-PL"/>
        </w:rPr>
        <w:t>rtych w art. 30h, art. 30i ust. </w:t>
      </w:r>
      <w:r w:rsidRPr="00DE2ECE">
        <w:rPr>
          <w:rFonts w:ascii="Times New Roman" w:eastAsia="Times New Roman" w:hAnsi="Times New Roman" w:cs="Times New Roman"/>
          <w:color w:val="000000"/>
          <w:sz w:val="24"/>
          <w:szCs w:val="24"/>
          <w:lang w:eastAsia="pl-PL"/>
        </w:rPr>
        <w:t xml:space="preserve">3 oraz art. 30g ust. 4 ustawy </w:t>
      </w:r>
      <w:r w:rsidRPr="00DE2ECE">
        <w:rPr>
          <w:rFonts w:ascii="Times New Roman" w:eastAsia="Times New Roman" w:hAnsi="Times New Roman" w:cs="Times New Roman"/>
          <w:sz w:val="24"/>
          <w:szCs w:val="24"/>
          <w:lang w:eastAsia="pl-PL"/>
        </w:rPr>
        <w:t xml:space="preserve">z dnia 25 sierpnia 2006 r. </w:t>
      </w:r>
      <w:r w:rsidRPr="00DE2ECE">
        <w:rPr>
          <w:rFonts w:ascii="Times New Roman" w:eastAsia="Times New Roman" w:hAnsi="Times New Roman" w:cs="Times New Roman"/>
          <w:color w:val="000000"/>
          <w:sz w:val="24"/>
          <w:szCs w:val="24"/>
          <w:lang w:eastAsia="pl-PL"/>
        </w:rPr>
        <w:t>o</w:t>
      </w:r>
      <w:r w:rsidR="007761CC">
        <w:rPr>
          <w:rFonts w:ascii="Times New Roman" w:eastAsia="Times New Roman" w:hAnsi="Times New Roman" w:cs="Times New Roman"/>
          <w:color w:val="000000"/>
          <w:sz w:val="24"/>
          <w:szCs w:val="24"/>
          <w:lang w:eastAsia="pl-PL"/>
        </w:rPr>
        <w:t xml:space="preserve"> </w:t>
      </w:r>
      <w:r w:rsidRPr="00DE2ECE">
        <w:rPr>
          <w:rFonts w:ascii="Times New Roman" w:eastAsia="Times New Roman" w:hAnsi="Times New Roman" w:cs="Times New Roman"/>
          <w:color w:val="000000"/>
          <w:sz w:val="24"/>
          <w:szCs w:val="24"/>
          <w:lang w:eastAsia="pl-PL"/>
        </w:rPr>
        <w:t>systemie monitorowania</w:t>
      </w:r>
      <w:r w:rsidR="007761CC">
        <w:rPr>
          <w:rFonts w:ascii="Times New Roman" w:eastAsia="Times New Roman" w:hAnsi="Times New Roman" w:cs="Times New Roman"/>
          <w:color w:val="000000"/>
          <w:sz w:val="24"/>
          <w:szCs w:val="24"/>
          <w:lang w:eastAsia="pl-PL"/>
        </w:rPr>
        <w:t xml:space="preserve"> </w:t>
      </w:r>
      <w:r w:rsidR="003E62CB">
        <w:rPr>
          <w:rFonts w:ascii="Times New Roman" w:eastAsia="Times New Roman" w:hAnsi="Times New Roman" w:cs="Times New Roman"/>
          <w:color w:val="000000"/>
          <w:sz w:val="24"/>
          <w:szCs w:val="24"/>
          <w:lang w:eastAsia="pl-PL"/>
        </w:rPr>
        <w:t>i </w:t>
      </w:r>
      <w:r w:rsidRPr="00DE2ECE">
        <w:rPr>
          <w:rFonts w:ascii="Times New Roman" w:eastAsia="Times New Roman" w:hAnsi="Times New Roman" w:cs="Times New Roman"/>
          <w:color w:val="000000"/>
          <w:sz w:val="24"/>
          <w:szCs w:val="24"/>
          <w:lang w:eastAsia="pl-PL"/>
        </w:rPr>
        <w:t xml:space="preserve">kontrolowania jakości paliw zostały wydane w lipcu 2017 r. W przypadku braku proponowanych zmian, ww. sprawozdania roczne po raz pierwszy zostałyby przekazane do Prezesa URE z danymi za 2018 r., w terminie do dnia 31 marca w 2019 r. Natomiast zgodnie z art. 7 </w:t>
      </w:r>
      <w:r w:rsidR="00440207">
        <w:rPr>
          <w:rFonts w:ascii="Times New Roman" w:eastAsia="Times New Roman" w:hAnsi="Times New Roman" w:cs="Times New Roman"/>
          <w:color w:val="000000"/>
          <w:sz w:val="24"/>
          <w:szCs w:val="24"/>
          <w:lang w:eastAsia="pl-PL"/>
        </w:rPr>
        <w:t>ww. ustawy</w:t>
      </w:r>
      <w:r w:rsidRPr="00DE2ECE">
        <w:rPr>
          <w:rFonts w:ascii="Times New Roman" w:eastAsia="Times New Roman" w:hAnsi="Times New Roman" w:cs="Times New Roman"/>
          <w:color w:val="000000"/>
          <w:sz w:val="24"/>
          <w:szCs w:val="24"/>
          <w:lang w:eastAsia="pl-PL"/>
        </w:rPr>
        <w:t xml:space="preserve"> Prezes URE przesłałby zbiorczy raport przygotowany na podstawie sprawozdań rocznych do</w:t>
      </w:r>
      <w:r w:rsidR="003E62CB">
        <w:rPr>
          <w:rFonts w:ascii="Times New Roman" w:eastAsia="Times New Roman" w:hAnsi="Times New Roman" w:cs="Times New Roman"/>
          <w:color w:val="000000"/>
          <w:sz w:val="24"/>
          <w:szCs w:val="24"/>
          <w:lang w:eastAsia="pl-PL"/>
        </w:rPr>
        <w:t xml:space="preserve"> Komisji Europejskiej również w </w:t>
      </w:r>
      <w:r w:rsidRPr="00DE2ECE">
        <w:rPr>
          <w:rFonts w:ascii="Times New Roman" w:eastAsia="Times New Roman" w:hAnsi="Times New Roman" w:cs="Times New Roman"/>
          <w:color w:val="000000"/>
          <w:sz w:val="24"/>
          <w:szCs w:val="24"/>
          <w:lang w:eastAsia="pl-PL"/>
        </w:rPr>
        <w:t>2019 r.</w:t>
      </w:r>
      <w:r w:rsidR="007761CC">
        <w:rPr>
          <w:rFonts w:ascii="Times New Roman" w:eastAsia="Times New Roman" w:hAnsi="Times New Roman" w:cs="Times New Roman"/>
          <w:color w:val="000000"/>
          <w:sz w:val="24"/>
          <w:szCs w:val="24"/>
          <w:lang w:eastAsia="pl-PL"/>
        </w:rPr>
        <w:t xml:space="preserve"> </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bCs/>
          <w:color w:val="000000"/>
          <w:sz w:val="24"/>
          <w:szCs w:val="24"/>
          <w:lang w:eastAsia="pl-PL"/>
        </w:rPr>
      </w:pPr>
      <w:r w:rsidRPr="00DE2ECE">
        <w:rPr>
          <w:rFonts w:ascii="Times New Roman" w:eastAsia="Times New Roman" w:hAnsi="Times New Roman" w:cs="Times New Roman"/>
          <w:color w:val="000000"/>
          <w:sz w:val="24"/>
          <w:szCs w:val="24"/>
          <w:lang w:eastAsia="pl-PL"/>
        </w:rPr>
        <w:lastRenderedPageBreak/>
        <w:t xml:space="preserve">Rozporządzenia wydane na podstawie art. 30h, art. 30i ust. 3 oraz art. 30g ust. 4 ustawy </w:t>
      </w:r>
      <w:r w:rsidRPr="00DE2ECE">
        <w:rPr>
          <w:rFonts w:ascii="Times New Roman" w:eastAsia="Times New Roman" w:hAnsi="Times New Roman" w:cs="Times New Roman"/>
          <w:sz w:val="24"/>
          <w:szCs w:val="24"/>
          <w:lang w:eastAsia="pl-PL"/>
        </w:rPr>
        <w:t>z</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 xml:space="preserve">dnia 25 sierpnia 2006 r. </w:t>
      </w:r>
      <w:r w:rsidRPr="00DE2ECE">
        <w:rPr>
          <w:rFonts w:ascii="Times New Roman" w:eastAsia="Times New Roman" w:hAnsi="Times New Roman" w:cs="Times New Roman"/>
          <w:color w:val="000000"/>
          <w:sz w:val="24"/>
          <w:szCs w:val="24"/>
          <w:lang w:eastAsia="pl-PL"/>
        </w:rPr>
        <w:t>o</w:t>
      </w:r>
      <w:r w:rsidR="007761CC">
        <w:rPr>
          <w:rFonts w:ascii="Times New Roman" w:eastAsia="Times New Roman" w:hAnsi="Times New Roman" w:cs="Times New Roman"/>
          <w:color w:val="000000"/>
          <w:sz w:val="24"/>
          <w:szCs w:val="24"/>
          <w:lang w:eastAsia="pl-PL"/>
        </w:rPr>
        <w:t xml:space="preserve"> </w:t>
      </w:r>
      <w:r w:rsidRPr="00DE2ECE">
        <w:rPr>
          <w:rFonts w:ascii="Times New Roman" w:eastAsia="Times New Roman" w:hAnsi="Times New Roman" w:cs="Times New Roman"/>
          <w:color w:val="000000"/>
          <w:sz w:val="24"/>
          <w:szCs w:val="24"/>
          <w:lang w:eastAsia="pl-PL"/>
        </w:rPr>
        <w:t xml:space="preserve">systemie monitorowania i kontrolowania jakości paliw implementują przepisy dyrektywy 2015/652 </w:t>
      </w:r>
      <w:r w:rsidRPr="00DE2ECE">
        <w:rPr>
          <w:rFonts w:ascii="Times New Roman" w:eastAsia="Times New Roman" w:hAnsi="Times New Roman" w:cs="Times New Roman"/>
          <w:sz w:val="24"/>
          <w:szCs w:val="24"/>
          <w:lang w:eastAsia="pl-PL"/>
        </w:rPr>
        <w:t>z dnia 20 kwietnia 2015 r. ustanawiającej metody obliczania i wymogi w zakresie sprawozdawczości zgodnie z</w:t>
      </w:r>
      <w:r w:rsidR="007761CC">
        <w:rPr>
          <w:rFonts w:ascii="Times New Roman" w:eastAsia="Times New Roman" w:hAnsi="Times New Roman" w:cs="Times New Roman"/>
          <w:sz w:val="24"/>
          <w:szCs w:val="24"/>
          <w:lang w:eastAsia="pl-PL"/>
        </w:rPr>
        <w:t xml:space="preserve"> </w:t>
      </w:r>
      <w:r w:rsidRPr="00DE2ECE">
        <w:rPr>
          <w:rFonts w:ascii="Times New Roman" w:eastAsia="Times New Roman" w:hAnsi="Times New Roman" w:cs="Times New Roman"/>
          <w:sz w:val="24"/>
          <w:szCs w:val="24"/>
          <w:lang w:eastAsia="pl-PL"/>
        </w:rPr>
        <w:t>dyrektywą 98/70/WE Parlamentu Europejskiego i Rady odnoszącej się do jakości benzyny i olejów napędowych (Dz. Urz. UE L 107 z 25.04.2015, s</w:t>
      </w:r>
      <w:r w:rsidR="003E62CB">
        <w:rPr>
          <w:rFonts w:ascii="Times New Roman" w:eastAsia="Times New Roman" w:hAnsi="Times New Roman" w:cs="Times New Roman"/>
          <w:sz w:val="24"/>
          <w:szCs w:val="24"/>
          <w:lang w:eastAsia="pl-PL"/>
        </w:rPr>
        <w:t>tr. 26 oraz Dz. Urz. UE L 129 z </w:t>
      </w:r>
      <w:r w:rsidRPr="00DE2ECE">
        <w:rPr>
          <w:rFonts w:ascii="Times New Roman" w:eastAsia="Times New Roman" w:hAnsi="Times New Roman" w:cs="Times New Roman"/>
          <w:sz w:val="24"/>
          <w:szCs w:val="24"/>
          <w:lang w:eastAsia="pl-PL"/>
        </w:rPr>
        <w:t xml:space="preserve">27.05.2015, str. 53). </w:t>
      </w:r>
      <w:r w:rsidRPr="00DE2ECE">
        <w:rPr>
          <w:rFonts w:ascii="Times New Roman" w:eastAsia="Times New Roman" w:hAnsi="Times New Roman" w:cs="Times New Roman"/>
          <w:color w:val="000000"/>
          <w:sz w:val="24"/>
          <w:szCs w:val="24"/>
          <w:lang w:eastAsia="pl-PL"/>
        </w:rPr>
        <w:t>Dyrektywa 2015/652 określiła metod</w:t>
      </w:r>
      <w:r w:rsidR="003E62CB">
        <w:rPr>
          <w:rFonts w:ascii="Times New Roman" w:eastAsia="Times New Roman" w:hAnsi="Times New Roman" w:cs="Times New Roman"/>
          <w:color w:val="000000"/>
          <w:sz w:val="24"/>
          <w:szCs w:val="24"/>
          <w:lang w:eastAsia="pl-PL"/>
        </w:rPr>
        <w:t>y obliczania i wymogi w </w:t>
      </w:r>
      <w:r w:rsidRPr="00DE2ECE">
        <w:rPr>
          <w:rFonts w:ascii="Times New Roman" w:eastAsia="Times New Roman" w:hAnsi="Times New Roman" w:cs="Times New Roman"/>
          <w:color w:val="000000"/>
          <w:sz w:val="24"/>
          <w:szCs w:val="24"/>
          <w:lang w:eastAsia="pl-PL"/>
        </w:rPr>
        <w:t>zakresie sprawozdawczości dla podmiotów realizujących NCR oraz państw członkowskich, lecz nie wskazała terminu przygotowania pierwszego raportu. Komisja Europejska oczekuje od państw członkowskich przekazania pierwszego raportu zbiorczego za rok 2017 r., do dnia 31 sierpnia 2018 r. Powyższy termin wynika z art</w:t>
      </w:r>
      <w:r w:rsidRPr="00DE2ECE">
        <w:rPr>
          <w:rFonts w:ascii="Times New Roman" w:eastAsia="Times New Roman" w:hAnsi="Times New Roman" w:cs="Times New Roman"/>
          <w:bCs/>
          <w:color w:val="000000"/>
          <w:sz w:val="24"/>
          <w:szCs w:val="24"/>
          <w:lang w:eastAsia="pl-PL"/>
        </w:rPr>
        <w:t>.</w:t>
      </w:r>
      <w:r w:rsidR="007761CC">
        <w:rPr>
          <w:rFonts w:ascii="Times New Roman" w:eastAsia="Times New Roman" w:hAnsi="Times New Roman" w:cs="Times New Roman"/>
          <w:b/>
          <w:bCs/>
          <w:color w:val="000000"/>
          <w:sz w:val="24"/>
          <w:szCs w:val="24"/>
          <w:lang w:eastAsia="pl-PL"/>
        </w:rPr>
        <w:t xml:space="preserve"> </w:t>
      </w:r>
      <w:r w:rsidRPr="00DE2ECE">
        <w:rPr>
          <w:rFonts w:ascii="Times New Roman" w:eastAsia="Times New Roman" w:hAnsi="Times New Roman" w:cs="Times New Roman"/>
          <w:bCs/>
          <w:color w:val="000000"/>
          <w:sz w:val="24"/>
          <w:szCs w:val="24"/>
          <w:lang w:eastAsia="pl-PL"/>
        </w:rPr>
        <w:t>5</w:t>
      </w:r>
      <w:r w:rsidRPr="00DE2ECE">
        <w:rPr>
          <w:rFonts w:ascii="Times New Roman" w:eastAsia="Times New Roman" w:hAnsi="Times New Roman" w:cs="Times New Roman"/>
          <w:color w:val="000000"/>
          <w:sz w:val="24"/>
          <w:szCs w:val="24"/>
          <w:lang w:eastAsia="pl-PL"/>
        </w:rPr>
        <w:t xml:space="preserve"> dyrektywy 2015/652</w:t>
      </w:r>
      <w:r w:rsidR="00444DD2">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 zgodnie z którym państwa członkowskie przedkładają Komisji Europejskiej zbiorczy raport zgodnie z art. 8 ust. 3 dyrektywy 98/70/WE</w:t>
      </w:r>
      <w:r w:rsidRPr="00DE2ECE">
        <w:rPr>
          <w:rFonts w:ascii="Times New Roman" w:hAnsi="Times New Roman" w:cs="Times New Roman"/>
          <w:b/>
          <w:bCs/>
          <w:sz w:val="24"/>
          <w:szCs w:val="24"/>
        </w:rPr>
        <w:t xml:space="preserve"> </w:t>
      </w:r>
      <w:r w:rsidRPr="00DE2ECE">
        <w:rPr>
          <w:rFonts w:ascii="Times New Roman" w:eastAsia="Times New Roman" w:hAnsi="Times New Roman" w:cs="Times New Roman"/>
          <w:bCs/>
          <w:color w:val="000000"/>
          <w:sz w:val="24"/>
          <w:szCs w:val="24"/>
          <w:lang w:eastAsia="pl-PL"/>
        </w:rPr>
        <w:t xml:space="preserve">Parlamentu Europejskiego i Rady </w:t>
      </w:r>
      <w:r w:rsidRPr="00DE2ECE">
        <w:rPr>
          <w:rFonts w:ascii="Times New Roman" w:eastAsia="Times New Roman" w:hAnsi="Times New Roman" w:cs="Times New Roman"/>
          <w:color w:val="000000"/>
          <w:sz w:val="24"/>
          <w:szCs w:val="24"/>
          <w:lang w:eastAsia="pl-PL"/>
        </w:rPr>
        <w:t xml:space="preserve">z dnia 13 października 1998 r. </w:t>
      </w:r>
      <w:r w:rsidRPr="00DE2ECE">
        <w:rPr>
          <w:rFonts w:ascii="Times New Roman" w:eastAsia="Times New Roman" w:hAnsi="Times New Roman" w:cs="Times New Roman"/>
          <w:bCs/>
          <w:color w:val="000000"/>
          <w:sz w:val="24"/>
          <w:szCs w:val="24"/>
          <w:lang w:eastAsia="pl-PL"/>
        </w:rPr>
        <w:t>odnoszącej się do jakości benzyny i olejów napędowych oraz zmieniającej dyrektywę Rady 93/12/EWG, dostarczając Komisji dane potwierdzające zgodność z art. 7a tej dyrektywy.</w:t>
      </w:r>
      <w:r w:rsidR="007761CC">
        <w:rPr>
          <w:rFonts w:ascii="Times New Roman" w:eastAsia="Times New Roman" w:hAnsi="Times New Roman" w:cs="Times New Roman"/>
          <w:bCs/>
          <w:color w:val="000000"/>
          <w:sz w:val="24"/>
          <w:szCs w:val="24"/>
          <w:lang w:eastAsia="pl-PL"/>
        </w:rPr>
        <w:t xml:space="preserve"> </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bCs/>
          <w:color w:val="000000"/>
          <w:sz w:val="24"/>
          <w:szCs w:val="24"/>
          <w:lang w:eastAsia="pl-PL"/>
        </w:rPr>
      </w:pPr>
      <w:r w:rsidRPr="00DE2ECE">
        <w:rPr>
          <w:rFonts w:ascii="Times New Roman" w:eastAsia="Times New Roman" w:hAnsi="Times New Roman" w:cs="Times New Roman"/>
          <w:color w:val="000000"/>
          <w:sz w:val="24"/>
          <w:szCs w:val="24"/>
          <w:lang w:eastAsia="pl-PL"/>
        </w:rPr>
        <w:t xml:space="preserve">Art. 8 ust. 3 dyrektywy 98/70/WE mówi, że </w:t>
      </w:r>
      <w:r w:rsidRPr="00DE2ECE">
        <w:rPr>
          <w:rFonts w:ascii="Times New Roman" w:hAnsi="Times New Roman" w:cs="Times New Roman"/>
          <w:sz w:val="24"/>
          <w:szCs w:val="24"/>
        </w:rPr>
        <w:t>do dnia 31 sierpnia każdego roku państwa członkowskie składają sprawozdanie zawierające krajowe dane dotyczące jakości paliw</w:t>
      </w:r>
      <w:r w:rsidR="007761CC">
        <w:rPr>
          <w:rFonts w:ascii="Times New Roman" w:hAnsi="Times New Roman" w:cs="Times New Roman"/>
          <w:sz w:val="24"/>
          <w:szCs w:val="24"/>
        </w:rPr>
        <w:t xml:space="preserve"> </w:t>
      </w:r>
      <w:r w:rsidRPr="00DE2ECE">
        <w:rPr>
          <w:rFonts w:ascii="Times New Roman" w:hAnsi="Times New Roman" w:cs="Times New Roman"/>
          <w:sz w:val="24"/>
          <w:szCs w:val="24"/>
        </w:rPr>
        <w:t>za poprzedni rok kalendarzowy</w:t>
      </w:r>
      <w:r w:rsidRPr="00DE2ECE">
        <w:rPr>
          <w:rFonts w:ascii="Times New Roman" w:eastAsia="Times New Roman" w:hAnsi="Times New Roman" w:cs="Times New Roman"/>
          <w:color w:val="000000"/>
          <w:sz w:val="24"/>
          <w:szCs w:val="24"/>
          <w:lang w:eastAsia="pl-PL"/>
        </w:rPr>
        <w:t xml:space="preserve">. Natomiast zgodnie z </w:t>
      </w:r>
      <w:r w:rsidRPr="00DE2ECE">
        <w:rPr>
          <w:rFonts w:ascii="Times New Roman" w:eastAsia="Times New Roman" w:hAnsi="Times New Roman" w:cs="Times New Roman"/>
          <w:bCs/>
          <w:color w:val="000000"/>
          <w:sz w:val="24"/>
          <w:szCs w:val="24"/>
          <w:lang w:eastAsia="pl-PL"/>
        </w:rPr>
        <w:t>art. 7a ust. 1 tej dyrektywy</w:t>
      </w:r>
      <w:r w:rsidRPr="00DE2ECE">
        <w:rPr>
          <w:rFonts w:ascii="Times New Roman" w:hAnsi="Times New Roman" w:cs="Times New Roman"/>
          <w:sz w:val="24"/>
          <w:szCs w:val="24"/>
        </w:rPr>
        <w:t>, z</w:t>
      </w:r>
      <w:r w:rsidR="003E62CB">
        <w:rPr>
          <w:rFonts w:ascii="Times New Roman" w:eastAsia="Times New Roman" w:hAnsi="Times New Roman" w:cs="Times New Roman"/>
          <w:bCs/>
          <w:color w:val="000000"/>
          <w:sz w:val="24"/>
          <w:szCs w:val="24"/>
          <w:lang w:eastAsia="pl-PL"/>
        </w:rPr>
        <w:t>e </w:t>
      </w:r>
      <w:r w:rsidRPr="00DE2ECE">
        <w:rPr>
          <w:rFonts w:ascii="Times New Roman" w:eastAsia="Times New Roman" w:hAnsi="Times New Roman" w:cs="Times New Roman"/>
          <w:bCs/>
          <w:color w:val="000000"/>
          <w:sz w:val="24"/>
          <w:szCs w:val="24"/>
          <w:lang w:eastAsia="pl-PL"/>
        </w:rPr>
        <w:t>skutkiem od dnia 1 stycznia 2011 r., dostawcy corocznie przekazują organowi wyznaczonemu przez państwo członkowskie sprawozdania na temat natężenia emisji gazów cieplarnianych dla paliw i energii dostarczanej w każdym państwie członkowskim. Należy jednak zauważyć, że przepisy wykonawcze do wspomnianej dyrektywy Rady w postaci dyrektywy Komisji Europejskiej 2015/652 zostały wydane dopiero w 2015 r., dlatego też Komisja Europejska nie wymagała od państw członkowskich wcześniejszego raportowania.</w:t>
      </w:r>
    </w:p>
    <w:p w:rsidR="0044533E" w:rsidRPr="00DE2ECE" w:rsidRDefault="0044533E" w:rsidP="00465091">
      <w:pPr>
        <w:autoSpaceDE w:val="0"/>
        <w:autoSpaceDN w:val="0"/>
        <w:adjustRightInd w:val="0"/>
        <w:spacing w:before="120" w:after="0" w:line="360" w:lineRule="auto"/>
        <w:jc w:val="both"/>
        <w:rPr>
          <w:rFonts w:ascii="Times New Roman" w:eastAsia="Calibri" w:hAnsi="Times New Roman" w:cs="Times New Roman"/>
          <w:sz w:val="24"/>
          <w:szCs w:val="24"/>
        </w:rPr>
      </w:pPr>
      <w:r w:rsidRPr="00DE2ECE">
        <w:rPr>
          <w:rFonts w:ascii="Times New Roman" w:eastAsia="Calibri" w:hAnsi="Times New Roman" w:cs="Times New Roman"/>
          <w:sz w:val="24"/>
          <w:szCs w:val="24"/>
        </w:rPr>
        <w:t>Przygotowanie sprawozdań przez podmioty realizujące NCR obejmuje dane, które powinny znajdować się w ich posiadaniu i dotyczą m.in. rodzajów paliw, ich ilości, miejsc zakupów i ich wytworzenia. W związku z tym, projektowana zmiana nie powoduje dodatkowego obciążenia dla podmiotów, które musz</w:t>
      </w:r>
      <w:r w:rsidR="00F1119C">
        <w:rPr>
          <w:rFonts w:ascii="Times New Roman" w:eastAsia="Calibri" w:hAnsi="Times New Roman" w:cs="Times New Roman"/>
          <w:sz w:val="24"/>
          <w:szCs w:val="24"/>
        </w:rPr>
        <w:t>ą</w:t>
      </w:r>
      <w:r w:rsidRPr="00DE2ECE">
        <w:rPr>
          <w:rFonts w:ascii="Times New Roman" w:eastAsia="Calibri" w:hAnsi="Times New Roman" w:cs="Times New Roman"/>
          <w:sz w:val="24"/>
          <w:szCs w:val="24"/>
        </w:rPr>
        <w:t xml:space="preserve"> składać sprawozdanie, natomiast pozwoli ona wypełnić zobowiązania wynikające z prawa europejskiego. </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Calibri" w:hAnsi="Times New Roman" w:cs="Times New Roman"/>
          <w:sz w:val="24"/>
          <w:szCs w:val="24"/>
        </w:rPr>
        <w:lastRenderedPageBreak/>
        <w:t>Komisja Europejska</w:t>
      </w:r>
      <w:r w:rsidR="00F1119C">
        <w:rPr>
          <w:rFonts w:ascii="Times New Roman" w:eastAsia="Calibri" w:hAnsi="Times New Roman" w:cs="Times New Roman"/>
          <w:sz w:val="24"/>
          <w:szCs w:val="24"/>
        </w:rPr>
        <w:t>,</w:t>
      </w:r>
      <w:r w:rsidRPr="00DE2ECE">
        <w:rPr>
          <w:rFonts w:ascii="Times New Roman" w:eastAsia="Calibri" w:hAnsi="Times New Roman" w:cs="Times New Roman"/>
          <w:sz w:val="24"/>
          <w:szCs w:val="24"/>
        </w:rPr>
        <w:t xml:space="preserve"> zobowiązując państwa członkowskie do przygotowania zbiorczego raportu za 2017 r., bierze pod uwagę fakt, iż mogą być to dane niepełne. Termin realizacji ograniczenia emisji gazów cieplarnianych w cyklu życia paliw i</w:t>
      </w:r>
      <w:r w:rsidR="00440207">
        <w:rPr>
          <w:rFonts w:ascii="Times New Roman" w:eastAsia="Calibri" w:hAnsi="Times New Roman" w:cs="Times New Roman"/>
          <w:sz w:val="24"/>
          <w:szCs w:val="24"/>
        </w:rPr>
        <w:t> </w:t>
      </w:r>
      <w:r w:rsidRPr="00DE2ECE">
        <w:rPr>
          <w:rFonts w:ascii="Times New Roman" w:eastAsia="Calibri" w:hAnsi="Times New Roman" w:cs="Times New Roman"/>
          <w:sz w:val="24"/>
          <w:szCs w:val="24"/>
        </w:rPr>
        <w:t>energii elektrycznej wynoszący 6% w stosunku do emisji gazów cieplarnianych w</w:t>
      </w:r>
      <w:r w:rsidR="00440207">
        <w:rPr>
          <w:rFonts w:ascii="Times New Roman" w:eastAsia="Calibri" w:hAnsi="Times New Roman" w:cs="Times New Roman"/>
          <w:sz w:val="24"/>
          <w:szCs w:val="24"/>
        </w:rPr>
        <w:t> </w:t>
      </w:r>
      <w:r w:rsidRPr="00DE2ECE">
        <w:rPr>
          <w:rFonts w:ascii="Times New Roman" w:eastAsia="Calibri" w:hAnsi="Times New Roman" w:cs="Times New Roman"/>
          <w:sz w:val="24"/>
          <w:szCs w:val="24"/>
        </w:rPr>
        <w:t>przeliczeniu na jednostkę energii z 2010 r. upływa w 2020 r. Niemn</w:t>
      </w:r>
      <w:r w:rsidR="003E62CB">
        <w:rPr>
          <w:rFonts w:ascii="Times New Roman" w:eastAsia="Calibri" w:hAnsi="Times New Roman" w:cs="Times New Roman"/>
          <w:sz w:val="24"/>
          <w:szCs w:val="24"/>
        </w:rPr>
        <w:t>iej KE</w:t>
      </w:r>
      <w:r w:rsidR="00F1119C">
        <w:rPr>
          <w:rFonts w:ascii="Times New Roman" w:eastAsia="Calibri" w:hAnsi="Times New Roman" w:cs="Times New Roman"/>
          <w:sz w:val="24"/>
          <w:szCs w:val="24"/>
        </w:rPr>
        <w:t>,</w:t>
      </w:r>
      <w:r w:rsidR="003E62CB">
        <w:rPr>
          <w:rFonts w:ascii="Times New Roman" w:eastAsia="Calibri" w:hAnsi="Times New Roman" w:cs="Times New Roman"/>
          <w:sz w:val="24"/>
          <w:szCs w:val="24"/>
        </w:rPr>
        <w:t xml:space="preserve"> otrzymując dane roczne z </w:t>
      </w:r>
      <w:r w:rsidRPr="00DE2ECE">
        <w:rPr>
          <w:rFonts w:ascii="Times New Roman" w:eastAsia="Calibri" w:hAnsi="Times New Roman" w:cs="Times New Roman"/>
          <w:sz w:val="24"/>
          <w:szCs w:val="24"/>
        </w:rPr>
        <w:t>państw członkowskich</w:t>
      </w:r>
      <w:r w:rsidR="00F1119C">
        <w:rPr>
          <w:rFonts w:ascii="Times New Roman" w:eastAsia="Calibri" w:hAnsi="Times New Roman" w:cs="Times New Roman"/>
          <w:sz w:val="24"/>
          <w:szCs w:val="24"/>
        </w:rPr>
        <w:t>,</w:t>
      </w:r>
      <w:r w:rsidRPr="00DE2ECE">
        <w:rPr>
          <w:rFonts w:ascii="Times New Roman" w:eastAsia="Calibri" w:hAnsi="Times New Roman" w:cs="Times New Roman"/>
          <w:sz w:val="24"/>
          <w:szCs w:val="24"/>
        </w:rPr>
        <w:t xml:space="preserve"> będzie mogła przewidzieć stopień realizacji ograniczenia emisji i wyznaczyć trendy na kolejne lata.</w:t>
      </w:r>
    </w:p>
    <w:p w:rsidR="0044533E" w:rsidRPr="00DE2ECE" w:rsidRDefault="0044533E" w:rsidP="0046509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E2ECE">
        <w:rPr>
          <w:rFonts w:ascii="Times New Roman" w:eastAsia="Times New Roman" w:hAnsi="Times New Roman" w:cs="Times New Roman"/>
          <w:color w:val="000000"/>
          <w:sz w:val="24"/>
          <w:szCs w:val="24"/>
          <w:lang w:eastAsia="pl-PL"/>
        </w:rPr>
        <w:t>W art. 6 projektu ustawy prowadzono przepis, który jest niezbędny w związku z faktem, iż od 2018 r. na podmioty realizujące NCW nałożony został obowiązek blendingu kwartalnego i tym samym uchylono przepis art. 23a ustawy, zgodnie z którym podmiot realizujący NCW realizuje ten obowiązek w co najmniej 50% za pomocą biokomponentów zawartych w paliwach ciekłych oraz zobowiązany jest to udokumentować. Wraz z uchyleniem ww. obowiązku uchylono przepisy określające karę administracyjną za brak wykonania obowiązku zawart</w:t>
      </w:r>
      <w:r w:rsidR="003E62CB">
        <w:rPr>
          <w:rFonts w:ascii="Times New Roman" w:eastAsia="Times New Roman" w:hAnsi="Times New Roman" w:cs="Times New Roman"/>
          <w:color w:val="000000"/>
          <w:sz w:val="24"/>
          <w:szCs w:val="24"/>
          <w:lang w:eastAsia="pl-PL"/>
        </w:rPr>
        <w:t>ego w art. 23a ustawy, tj. art. </w:t>
      </w:r>
      <w:r w:rsidRPr="00DE2ECE">
        <w:rPr>
          <w:rFonts w:ascii="Times New Roman" w:eastAsia="Times New Roman" w:hAnsi="Times New Roman" w:cs="Times New Roman"/>
          <w:color w:val="000000"/>
          <w:sz w:val="24"/>
          <w:szCs w:val="24"/>
          <w:lang w:eastAsia="pl-PL"/>
        </w:rPr>
        <w:t>33 ust. 1 pkt 5a oraz art. 33 ust. 5b. Jednocześnie w związku z tym, że ocena realizacji NCW za 2017 r. w zakresie wypełni</w:t>
      </w:r>
      <w:r w:rsidR="003E62CB">
        <w:rPr>
          <w:rFonts w:ascii="Times New Roman" w:eastAsia="Times New Roman" w:hAnsi="Times New Roman" w:cs="Times New Roman"/>
          <w:color w:val="000000"/>
          <w:sz w:val="24"/>
          <w:szCs w:val="24"/>
          <w:lang w:eastAsia="pl-PL"/>
        </w:rPr>
        <w:t>enia obowiązku, o którym mowa w </w:t>
      </w:r>
      <w:r w:rsidRPr="00DE2ECE">
        <w:rPr>
          <w:rFonts w:ascii="Times New Roman" w:eastAsia="Times New Roman" w:hAnsi="Times New Roman" w:cs="Times New Roman"/>
          <w:color w:val="000000"/>
          <w:sz w:val="24"/>
          <w:szCs w:val="24"/>
          <w:lang w:eastAsia="pl-PL"/>
        </w:rPr>
        <w:t>uchylanym art. 23a</w:t>
      </w:r>
      <w:r w:rsidR="00440207">
        <w:rPr>
          <w:rFonts w:ascii="Times New Roman" w:eastAsia="Times New Roman" w:hAnsi="Times New Roman" w:cs="Times New Roman"/>
          <w:color w:val="000000"/>
          <w:sz w:val="24"/>
          <w:szCs w:val="24"/>
          <w:lang w:eastAsia="pl-PL"/>
        </w:rPr>
        <w:t>,</w:t>
      </w:r>
      <w:r w:rsidRPr="00DE2ECE">
        <w:rPr>
          <w:rFonts w:ascii="Times New Roman" w:eastAsia="Times New Roman" w:hAnsi="Times New Roman" w:cs="Times New Roman"/>
          <w:color w:val="000000"/>
          <w:sz w:val="24"/>
          <w:szCs w:val="24"/>
          <w:lang w:eastAsia="pl-PL"/>
        </w:rPr>
        <w:t xml:space="preserve"> będzie możliwa dopiero w 2018 r. zaistniała konieczność wprowadzenia przepisu umożliwiającego rozliczenie dotychczasowego obowiązku, określonego w art. 23a, oraz umożliwiającego ewentualne nałożenie administracyjnych kar pieniężnych na podmioty, które tego obowiązku nie wykonały – na zasadach obowiązujących przed dniem wejścia w życie niniejszej ustawy. </w:t>
      </w:r>
    </w:p>
    <w:p w:rsidR="0044533E" w:rsidRPr="00DE2ECE" w:rsidRDefault="0044533E" w:rsidP="0046509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2ECE">
        <w:rPr>
          <w:rFonts w:ascii="Times New Roman" w:eastAsia="Times New Roman" w:hAnsi="Times New Roman" w:cs="Times New Roman"/>
          <w:bCs/>
          <w:sz w:val="24"/>
          <w:szCs w:val="24"/>
          <w:lang w:eastAsia="pl-PL"/>
        </w:rPr>
        <w:t>Projektowana ustawa zgodnie z § 4 ust. 1 pkt 1 rozporządzenia Rady Ministrów z dnia 23 grudnia 2002 r. w sprawie sposobu funkcjonowania krajowego systemu notyfikacji norm i aktów prawnych (Dz. U. poz. 2039 oraz z 200</w:t>
      </w:r>
      <w:r w:rsidR="003E62CB">
        <w:rPr>
          <w:rFonts w:ascii="Times New Roman" w:eastAsia="Times New Roman" w:hAnsi="Times New Roman" w:cs="Times New Roman"/>
          <w:bCs/>
          <w:sz w:val="24"/>
          <w:szCs w:val="24"/>
          <w:lang w:eastAsia="pl-PL"/>
        </w:rPr>
        <w:t>4 r. poz. 597) jest zwolniona z </w:t>
      </w:r>
      <w:r w:rsidRPr="00DE2ECE">
        <w:rPr>
          <w:rFonts w:ascii="Times New Roman" w:eastAsia="Times New Roman" w:hAnsi="Times New Roman" w:cs="Times New Roman"/>
          <w:bCs/>
          <w:sz w:val="24"/>
          <w:szCs w:val="24"/>
          <w:lang w:eastAsia="pl-PL"/>
        </w:rPr>
        <w:t xml:space="preserve">procedury notyfikacji. </w:t>
      </w:r>
    </w:p>
    <w:p w:rsidR="0044533E" w:rsidRPr="00DE2ECE" w:rsidRDefault="0044533E" w:rsidP="0046509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2ECE">
        <w:rPr>
          <w:rFonts w:ascii="Times New Roman" w:eastAsia="Times New Roman" w:hAnsi="Times New Roman" w:cs="Times New Roman"/>
          <w:bCs/>
          <w:sz w:val="24"/>
          <w:szCs w:val="24"/>
          <w:lang w:eastAsia="pl-PL"/>
        </w:rPr>
        <w:t>Projektowana ustawa nie wymaga notyfikacji programu pomocowego, zgodnie</w:t>
      </w:r>
      <w:r w:rsidR="007761CC">
        <w:rPr>
          <w:rFonts w:ascii="Times New Roman" w:eastAsia="Times New Roman" w:hAnsi="Times New Roman" w:cs="Times New Roman"/>
          <w:bCs/>
          <w:sz w:val="24"/>
          <w:szCs w:val="24"/>
          <w:lang w:eastAsia="pl-PL"/>
        </w:rPr>
        <w:t xml:space="preserve"> </w:t>
      </w:r>
      <w:r w:rsidR="003E62CB">
        <w:rPr>
          <w:rFonts w:ascii="Times New Roman" w:eastAsia="Times New Roman" w:hAnsi="Times New Roman" w:cs="Times New Roman"/>
          <w:bCs/>
          <w:sz w:val="24"/>
          <w:szCs w:val="24"/>
          <w:lang w:eastAsia="pl-PL"/>
        </w:rPr>
        <w:t>z </w:t>
      </w:r>
      <w:r w:rsidRPr="00DE2ECE">
        <w:rPr>
          <w:rFonts w:ascii="Times New Roman" w:eastAsia="Times New Roman" w:hAnsi="Times New Roman" w:cs="Times New Roman"/>
          <w:bCs/>
          <w:sz w:val="24"/>
          <w:szCs w:val="24"/>
          <w:lang w:eastAsia="pl-PL"/>
        </w:rPr>
        <w:t xml:space="preserve">przepisami ustawy z dnia 30 kwietnia 2004 r. o postępowaniu w sprawach dotyczących pomocy publicznej (Dz. U. z 2016 r. poz. 1808, z późn. zm.). Projekt ustawy został udostępniony w Biuletynie Informacji Publicznej Rządowego Centrum Legislacji w zakładce Rządowy Proces Legislacyjny oraz na stronie podmiotowej Ministerstwa Energii, zgodnie z § 52 ust. 1 uchwały </w:t>
      </w:r>
      <w:r w:rsidR="00EF791D">
        <w:rPr>
          <w:rFonts w:ascii="Times New Roman" w:eastAsia="Times New Roman" w:hAnsi="Times New Roman" w:cs="Times New Roman"/>
          <w:bCs/>
          <w:sz w:val="24"/>
          <w:szCs w:val="24"/>
          <w:lang w:eastAsia="pl-PL"/>
        </w:rPr>
        <w:t>n</w:t>
      </w:r>
      <w:r w:rsidR="003E62CB">
        <w:rPr>
          <w:rFonts w:ascii="Times New Roman" w:eastAsia="Times New Roman" w:hAnsi="Times New Roman" w:cs="Times New Roman"/>
          <w:bCs/>
          <w:sz w:val="24"/>
          <w:szCs w:val="24"/>
          <w:lang w:eastAsia="pl-PL"/>
        </w:rPr>
        <w:t>r 190 Rady Ministrów z dnia 29 </w:t>
      </w:r>
      <w:r w:rsidRPr="00DE2ECE">
        <w:rPr>
          <w:rFonts w:ascii="Times New Roman" w:eastAsia="Times New Roman" w:hAnsi="Times New Roman" w:cs="Times New Roman"/>
          <w:bCs/>
          <w:sz w:val="24"/>
          <w:szCs w:val="24"/>
          <w:lang w:eastAsia="pl-PL"/>
        </w:rPr>
        <w:t>października 2013 r. – Regulamin pracy Rady Minist</w:t>
      </w:r>
      <w:r w:rsidR="003E62CB">
        <w:rPr>
          <w:rFonts w:ascii="Times New Roman" w:eastAsia="Times New Roman" w:hAnsi="Times New Roman" w:cs="Times New Roman"/>
          <w:bCs/>
          <w:sz w:val="24"/>
          <w:szCs w:val="24"/>
          <w:lang w:eastAsia="pl-PL"/>
        </w:rPr>
        <w:t xml:space="preserve">rów (M.P. z 2016 r. poz. 1006 </w:t>
      </w:r>
      <w:r w:rsidR="003E62CB">
        <w:rPr>
          <w:rFonts w:ascii="Times New Roman" w:eastAsia="Times New Roman" w:hAnsi="Times New Roman" w:cs="Times New Roman"/>
          <w:bCs/>
          <w:sz w:val="24"/>
          <w:szCs w:val="24"/>
          <w:lang w:eastAsia="pl-PL"/>
        </w:rPr>
        <w:lastRenderedPageBreak/>
        <w:t>i </w:t>
      </w:r>
      <w:r w:rsidRPr="00DE2ECE">
        <w:rPr>
          <w:rFonts w:ascii="Times New Roman" w:eastAsia="Times New Roman" w:hAnsi="Times New Roman" w:cs="Times New Roman"/>
          <w:bCs/>
          <w:sz w:val="24"/>
          <w:szCs w:val="24"/>
          <w:lang w:eastAsia="pl-PL"/>
        </w:rPr>
        <w:t>1204) oraz art. 5 ustawy z dnia 7 lipca 2005 r. o działalności lobbingowej w procesie stanowienia prawa (Dz. U. z 2017 r. poz. 248).</w:t>
      </w:r>
      <w:r w:rsidRPr="00DE2ECE">
        <w:rPr>
          <w:rFonts w:ascii="Times New Roman" w:eastAsia="Calibri" w:hAnsi="Times New Roman" w:cs="Times New Roman"/>
          <w:sz w:val="24"/>
          <w:szCs w:val="24"/>
          <w:lang w:eastAsia="pl-PL"/>
        </w:rPr>
        <w:t xml:space="preserve"> W ramach konsultacji publicznych żaden z podmiotów nie zgłosił zainteresowania pracami nad projektem w trybie przepisów o działalności lobbingowej w procesie stanowienia prawa. </w:t>
      </w:r>
      <w:r w:rsidRPr="00DE2ECE">
        <w:rPr>
          <w:rFonts w:ascii="Times New Roman" w:eastAsia="Times New Roman" w:hAnsi="Times New Roman" w:cs="Times New Roman"/>
          <w:bCs/>
          <w:sz w:val="24"/>
          <w:szCs w:val="24"/>
          <w:lang w:eastAsia="pl-PL"/>
        </w:rPr>
        <w:t>W Biuletynie Informacji Publicznej Rządowego Centrum Legislacji zamieszczone zostaną także zgłoszenia zainteresowania pracami nad projektem ustawy.</w:t>
      </w:r>
    </w:p>
    <w:p w:rsidR="0044533E" w:rsidRPr="00DE2ECE" w:rsidRDefault="0044533E" w:rsidP="0046509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2ECE">
        <w:rPr>
          <w:rFonts w:ascii="Times New Roman" w:eastAsia="Times New Roman" w:hAnsi="Times New Roman" w:cs="Times New Roman"/>
          <w:bCs/>
          <w:sz w:val="24"/>
          <w:szCs w:val="24"/>
          <w:lang w:eastAsia="pl-PL"/>
        </w:rPr>
        <w:t xml:space="preserve">Projektowana ustawa jest zgodna z prawem Unii Europejskiej. </w:t>
      </w:r>
    </w:p>
    <w:p w:rsidR="0044533E" w:rsidRPr="00DE2ECE" w:rsidRDefault="0044533E" w:rsidP="0046509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2ECE">
        <w:rPr>
          <w:rFonts w:ascii="Times New Roman" w:eastAsia="Calibri" w:hAnsi="Times New Roman" w:cs="Times New Roman"/>
          <w:sz w:val="24"/>
          <w:szCs w:val="24"/>
          <w:lang w:eastAsia="pl-PL"/>
        </w:rPr>
        <w:t xml:space="preserve">Nie przewiduje się znaczącego wpływu projektowanej regulacji na sektor mikro-, małych i średnich przedsiębiorstw. Ustawa nie wprowadza nowych dodatkowych obowiązków na tego typu przedsiębiorstwa. </w:t>
      </w:r>
    </w:p>
    <w:p w:rsidR="00465091" w:rsidRDefault="0044533E" w:rsidP="00475025">
      <w:pPr>
        <w:spacing w:before="120" w:after="0" w:line="360" w:lineRule="auto"/>
        <w:jc w:val="both"/>
        <w:rPr>
          <w:rFonts w:ascii="Times New Roman" w:eastAsia="Times New Roman" w:hAnsi="Times New Roman" w:cs="Times New Roman"/>
          <w:sz w:val="24"/>
          <w:szCs w:val="24"/>
          <w:lang w:eastAsia="pl-PL"/>
        </w:rPr>
      </w:pPr>
      <w:r w:rsidRPr="00DE2ECE">
        <w:rPr>
          <w:rFonts w:ascii="Times New Roman" w:eastAsia="Times New Roman" w:hAnsi="Times New Roman" w:cs="Times New Roman"/>
          <w:sz w:val="24"/>
          <w:szCs w:val="24"/>
          <w:lang w:eastAsia="pl-PL"/>
        </w:rPr>
        <w:t xml:space="preserve">Ustawa wejdzie w życie z dniem 1 stycznia 2018 r., co jest zgodne z przepisami ustawy z dnia 20 lipca 2000 r. o ogłaszaniu aktów normatywnych i niektórych innych aktów prawnych (Dz. U. z 2016 r. poz. 296, z późn. zm.), jak również z przepisami uchwały </w:t>
      </w:r>
      <w:r w:rsidR="00EF791D">
        <w:rPr>
          <w:rFonts w:ascii="Times New Roman" w:eastAsia="Times New Roman" w:hAnsi="Times New Roman" w:cs="Times New Roman"/>
          <w:sz w:val="24"/>
          <w:szCs w:val="24"/>
          <w:lang w:eastAsia="pl-PL"/>
        </w:rPr>
        <w:t>n</w:t>
      </w:r>
      <w:r w:rsidRPr="00DE2ECE">
        <w:rPr>
          <w:rFonts w:ascii="Times New Roman" w:eastAsia="Times New Roman" w:hAnsi="Times New Roman" w:cs="Times New Roman"/>
          <w:sz w:val="24"/>
          <w:szCs w:val="24"/>
          <w:lang w:eastAsia="pl-PL"/>
        </w:rPr>
        <w:t>r 20 Rady Ministrów z dnia 18 lutego 2014 r. w sprawie zaleceń ujednolicenia terminów wejścia w życie niektórych aktów normatywnych (M.P. poz. 205). Wyjątek stanowi przepis art. 1 pkt 11 lit. b w zakresie dodawanego art. 23 ust. 1c i 1d, dotyczącego możliwości zaliczania produktów współuwodornienia do NCW, który wchodzi w życie z dniem 1 stycznia 2020 r.</w:t>
      </w:r>
    </w:p>
    <w:sectPr w:rsidR="00465091" w:rsidSect="00DE2ECE">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A60" w:rsidRDefault="002B4A60" w:rsidP="00DE2ECE">
      <w:pPr>
        <w:spacing w:after="0" w:line="240" w:lineRule="auto"/>
      </w:pPr>
      <w:r>
        <w:separator/>
      </w:r>
    </w:p>
  </w:endnote>
  <w:endnote w:type="continuationSeparator" w:id="0">
    <w:p w:rsidR="002B4A60" w:rsidRDefault="002B4A60" w:rsidP="00DE2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A60" w:rsidRDefault="002B4A6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3580756"/>
      <w:docPartObj>
        <w:docPartGallery w:val="Page Numbers (Bottom of Page)"/>
        <w:docPartUnique/>
      </w:docPartObj>
    </w:sdtPr>
    <w:sdtEndPr/>
    <w:sdtContent>
      <w:p w:rsidR="002B4A60" w:rsidRPr="00DE2ECE" w:rsidRDefault="002B4A60" w:rsidP="00DE2ECE">
        <w:pPr>
          <w:pStyle w:val="Stopka"/>
          <w:tabs>
            <w:tab w:val="left" w:pos="4020"/>
            <w:tab w:val="center" w:pos="4251"/>
          </w:tabs>
          <w:jc w:val="center"/>
          <w:rPr>
            <w:rFonts w:ascii="Times New Roman" w:hAnsi="Times New Roman" w:cs="Times New Roman"/>
            <w:sz w:val="24"/>
            <w:szCs w:val="24"/>
          </w:rPr>
        </w:pPr>
        <w:r w:rsidRPr="00DE2ECE">
          <w:rPr>
            <w:rFonts w:ascii="Times New Roman" w:hAnsi="Times New Roman" w:cs="Times New Roman"/>
            <w:sz w:val="24"/>
            <w:szCs w:val="24"/>
          </w:rPr>
          <w:fldChar w:fldCharType="begin"/>
        </w:r>
        <w:r w:rsidRPr="00DE2ECE">
          <w:rPr>
            <w:rFonts w:ascii="Times New Roman" w:hAnsi="Times New Roman" w:cs="Times New Roman"/>
            <w:sz w:val="24"/>
            <w:szCs w:val="24"/>
          </w:rPr>
          <w:instrText>PAGE   \* MERGEFORMAT</w:instrText>
        </w:r>
        <w:r w:rsidRPr="00DE2ECE">
          <w:rPr>
            <w:rFonts w:ascii="Times New Roman" w:hAnsi="Times New Roman" w:cs="Times New Roman"/>
            <w:sz w:val="24"/>
            <w:szCs w:val="24"/>
          </w:rPr>
          <w:fldChar w:fldCharType="separate"/>
        </w:r>
        <w:r w:rsidR="00EB5E0E">
          <w:rPr>
            <w:rFonts w:ascii="Times New Roman" w:hAnsi="Times New Roman" w:cs="Times New Roman"/>
            <w:noProof/>
            <w:sz w:val="24"/>
            <w:szCs w:val="24"/>
          </w:rPr>
          <w:t>21</w:t>
        </w:r>
        <w:r w:rsidRPr="00DE2ECE">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A60" w:rsidRDefault="002B4A6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A60" w:rsidRDefault="002B4A60" w:rsidP="00DE2ECE">
      <w:pPr>
        <w:spacing w:after="0" w:line="240" w:lineRule="auto"/>
      </w:pPr>
      <w:r>
        <w:separator/>
      </w:r>
    </w:p>
  </w:footnote>
  <w:footnote w:type="continuationSeparator" w:id="0">
    <w:p w:rsidR="002B4A60" w:rsidRDefault="002B4A60" w:rsidP="00DE2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A60" w:rsidRDefault="002B4A6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A60" w:rsidRDefault="002B4A6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A60" w:rsidRDefault="002B4A6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76649"/>
    <w:multiLevelType w:val="hybridMultilevel"/>
    <w:tmpl w:val="9E4A0A96"/>
    <w:lvl w:ilvl="0" w:tplc="B832F12C">
      <w:start w:val="1"/>
      <w:numFmt w:val="bullet"/>
      <w:lvlText w:val=""/>
      <w:lvlJc w:val="left"/>
      <w:pPr>
        <w:ind w:left="1380" w:hanging="360"/>
      </w:pPr>
      <w:rPr>
        <w:rFonts w:ascii="Symbol" w:hAnsi="Symbol" w:hint="default"/>
      </w:rPr>
    </w:lvl>
    <w:lvl w:ilvl="1" w:tplc="04150003" w:tentative="1">
      <w:start w:val="1"/>
      <w:numFmt w:val="bullet"/>
      <w:lvlText w:val="o"/>
      <w:lvlJc w:val="left"/>
      <w:pPr>
        <w:ind w:left="2100" w:hanging="360"/>
      </w:pPr>
      <w:rPr>
        <w:rFonts w:ascii="Courier New" w:hAnsi="Courier New" w:cs="Courier New" w:hint="default"/>
      </w:rPr>
    </w:lvl>
    <w:lvl w:ilvl="2" w:tplc="04150005" w:tentative="1">
      <w:start w:val="1"/>
      <w:numFmt w:val="bullet"/>
      <w:lvlText w:val=""/>
      <w:lvlJc w:val="left"/>
      <w:pPr>
        <w:ind w:left="2820" w:hanging="360"/>
      </w:pPr>
      <w:rPr>
        <w:rFonts w:ascii="Wingdings" w:hAnsi="Wingdings" w:hint="default"/>
      </w:rPr>
    </w:lvl>
    <w:lvl w:ilvl="3" w:tplc="04150001" w:tentative="1">
      <w:start w:val="1"/>
      <w:numFmt w:val="bullet"/>
      <w:lvlText w:val=""/>
      <w:lvlJc w:val="left"/>
      <w:pPr>
        <w:ind w:left="3540" w:hanging="360"/>
      </w:pPr>
      <w:rPr>
        <w:rFonts w:ascii="Symbol" w:hAnsi="Symbol" w:hint="default"/>
      </w:rPr>
    </w:lvl>
    <w:lvl w:ilvl="4" w:tplc="04150003" w:tentative="1">
      <w:start w:val="1"/>
      <w:numFmt w:val="bullet"/>
      <w:lvlText w:val="o"/>
      <w:lvlJc w:val="left"/>
      <w:pPr>
        <w:ind w:left="4260" w:hanging="360"/>
      </w:pPr>
      <w:rPr>
        <w:rFonts w:ascii="Courier New" w:hAnsi="Courier New" w:cs="Courier New" w:hint="default"/>
      </w:rPr>
    </w:lvl>
    <w:lvl w:ilvl="5" w:tplc="04150005" w:tentative="1">
      <w:start w:val="1"/>
      <w:numFmt w:val="bullet"/>
      <w:lvlText w:val=""/>
      <w:lvlJc w:val="left"/>
      <w:pPr>
        <w:ind w:left="4980" w:hanging="360"/>
      </w:pPr>
      <w:rPr>
        <w:rFonts w:ascii="Wingdings" w:hAnsi="Wingdings" w:hint="default"/>
      </w:rPr>
    </w:lvl>
    <w:lvl w:ilvl="6" w:tplc="04150001" w:tentative="1">
      <w:start w:val="1"/>
      <w:numFmt w:val="bullet"/>
      <w:lvlText w:val=""/>
      <w:lvlJc w:val="left"/>
      <w:pPr>
        <w:ind w:left="5700" w:hanging="360"/>
      </w:pPr>
      <w:rPr>
        <w:rFonts w:ascii="Symbol" w:hAnsi="Symbol" w:hint="default"/>
      </w:rPr>
    </w:lvl>
    <w:lvl w:ilvl="7" w:tplc="04150003" w:tentative="1">
      <w:start w:val="1"/>
      <w:numFmt w:val="bullet"/>
      <w:lvlText w:val="o"/>
      <w:lvlJc w:val="left"/>
      <w:pPr>
        <w:ind w:left="6420" w:hanging="360"/>
      </w:pPr>
      <w:rPr>
        <w:rFonts w:ascii="Courier New" w:hAnsi="Courier New" w:cs="Courier New" w:hint="default"/>
      </w:rPr>
    </w:lvl>
    <w:lvl w:ilvl="8" w:tplc="04150005" w:tentative="1">
      <w:start w:val="1"/>
      <w:numFmt w:val="bullet"/>
      <w:lvlText w:val=""/>
      <w:lvlJc w:val="left"/>
      <w:pPr>
        <w:ind w:left="7140" w:hanging="360"/>
      </w:pPr>
      <w:rPr>
        <w:rFonts w:ascii="Wingdings" w:hAnsi="Wingdings" w:hint="default"/>
      </w:rPr>
    </w:lvl>
  </w:abstractNum>
  <w:abstractNum w:abstractNumId="1" w15:restartNumberingAfterBreak="0">
    <w:nsid w:val="06B909F0"/>
    <w:multiLevelType w:val="hybridMultilevel"/>
    <w:tmpl w:val="D31203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21CA8"/>
    <w:multiLevelType w:val="multilevel"/>
    <w:tmpl w:val="090EA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7E08E7"/>
    <w:multiLevelType w:val="hybridMultilevel"/>
    <w:tmpl w:val="4D286C40"/>
    <w:lvl w:ilvl="0" w:tplc="3E4E89A0">
      <w:start w:val="1"/>
      <w:numFmt w:val="lowerLetter"/>
      <w:lvlText w:val="%1)"/>
      <w:lvlJc w:val="left"/>
      <w:pPr>
        <w:ind w:left="1778" w:hanging="36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4" w15:restartNumberingAfterBreak="0">
    <w:nsid w:val="29C40FEC"/>
    <w:multiLevelType w:val="hybridMultilevel"/>
    <w:tmpl w:val="C8CA86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006AED"/>
    <w:multiLevelType w:val="hybridMultilevel"/>
    <w:tmpl w:val="8506C0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9C0ECF"/>
    <w:multiLevelType w:val="hybridMultilevel"/>
    <w:tmpl w:val="88DE1094"/>
    <w:lvl w:ilvl="0" w:tplc="B832F12C">
      <w:start w:val="1"/>
      <w:numFmt w:val="bullet"/>
      <w:lvlText w:val=""/>
      <w:lvlJc w:val="left"/>
      <w:pPr>
        <w:ind w:left="2060" w:hanging="360"/>
      </w:pPr>
      <w:rPr>
        <w:rFonts w:ascii="Symbol" w:hAnsi="Symbol" w:hint="default"/>
      </w:rPr>
    </w:lvl>
    <w:lvl w:ilvl="1" w:tplc="04150003" w:tentative="1">
      <w:start w:val="1"/>
      <w:numFmt w:val="bullet"/>
      <w:lvlText w:val="o"/>
      <w:lvlJc w:val="left"/>
      <w:pPr>
        <w:ind w:left="2780" w:hanging="360"/>
      </w:pPr>
      <w:rPr>
        <w:rFonts w:ascii="Courier New" w:hAnsi="Courier New" w:hint="default"/>
      </w:rPr>
    </w:lvl>
    <w:lvl w:ilvl="2" w:tplc="04150005" w:tentative="1">
      <w:start w:val="1"/>
      <w:numFmt w:val="bullet"/>
      <w:lvlText w:val=""/>
      <w:lvlJc w:val="left"/>
      <w:pPr>
        <w:ind w:left="3500" w:hanging="360"/>
      </w:pPr>
      <w:rPr>
        <w:rFonts w:ascii="Wingdings" w:hAnsi="Wingdings" w:hint="default"/>
      </w:rPr>
    </w:lvl>
    <w:lvl w:ilvl="3" w:tplc="04150001" w:tentative="1">
      <w:start w:val="1"/>
      <w:numFmt w:val="bullet"/>
      <w:lvlText w:val=""/>
      <w:lvlJc w:val="left"/>
      <w:pPr>
        <w:ind w:left="4220" w:hanging="360"/>
      </w:pPr>
      <w:rPr>
        <w:rFonts w:ascii="Symbol" w:hAnsi="Symbol" w:hint="default"/>
      </w:rPr>
    </w:lvl>
    <w:lvl w:ilvl="4" w:tplc="04150003" w:tentative="1">
      <w:start w:val="1"/>
      <w:numFmt w:val="bullet"/>
      <w:lvlText w:val="o"/>
      <w:lvlJc w:val="left"/>
      <w:pPr>
        <w:ind w:left="4940" w:hanging="360"/>
      </w:pPr>
      <w:rPr>
        <w:rFonts w:ascii="Courier New" w:hAnsi="Courier New" w:hint="default"/>
      </w:rPr>
    </w:lvl>
    <w:lvl w:ilvl="5" w:tplc="04150005" w:tentative="1">
      <w:start w:val="1"/>
      <w:numFmt w:val="bullet"/>
      <w:lvlText w:val=""/>
      <w:lvlJc w:val="left"/>
      <w:pPr>
        <w:ind w:left="5660" w:hanging="360"/>
      </w:pPr>
      <w:rPr>
        <w:rFonts w:ascii="Wingdings" w:hAnsi="Wingdings" w:hint="default"/>
      </w:rPr>
    </w:lvl>
    <w:lvl w:ilvl="6" w:tplc="04150001" w:tentative="1">
      <w:start w:val="1"/>
      <w:numFmt w:val="bullet"/>
      <w:lvlText w:val=""/>
      <w:lvlJc w:val="left"/>
      <w:pPr>
        <w:ind w:left="6380" w:hanging="360"/>
      </w:pPr>
      <w:rPr>
        <w:rFonts w:ascii="Symbol" w:hAnsi="Symbol" w:hint="default"/>
      </w:rPr>
    </w:lvl>
    <w:lvl w:ilvl="7" w:tplc="04150003" w:tentative="1">
      <w:start w:val="1"/>
      <w:numFmt w:val="bullet"/>
      <w:lvlText w:val="o"/>
      <w:lvlJc w:val="left"/>
      <w:pPr>
        <w:ind w:left="7100" w:hanging="360"/>
      </w:pPr>
      <w:rPr>
        <w:rFonts w:ascii="Courier New" w:hAnsi="Courier New" w:hint="default"/>
      </w:rPr>
    </w:lvl>
    <w:lvl w:ilvl="8" w:tplc="04150005" w:tentative="1">
      <w:start w:val="1"/>
      <w:numFmt w:val="bullet"/>
      <w:lvlText w:val=""/>
      <w:lvlJc w:val="left"/>
      <w:pPr>
        <w:ind w:left="7820" w:hanging="360"/>
      </w:pPr>
      <w:rPr>
        <w:rFonts w:ascii="Wingdings" w:hAnsi="Wingdings" w:hint="default"/>
      </w:rPr>
    </w:lvl>
  </w:abstractNum>
  <w:abstractNum w:abstractNumId="7" w15:restartNumberingAfterBreak="0">
    <w:nsid w:val="425E5374"/>
    <w:multiLevelType w:val="hybridMultilevel"/>
    <w:tmpl w:val="C56AF6F2"/>
    <w:lvl w:ilvl="0" w:tplc="0415000F">
      <w:start w:val="1"/>
      <w:numFmt w:val="decimal"/>
      <w:lvlText w:val="%1."/>
      <w:lvlJc w:val="left"/>
      <w:pPr>
        <w:ind w:left="360" w:hanging="360"/>
      </w:p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483C5A09"/>
    <w:multiLevelType w:val="hybridMultilevel"/>
    <w:tmpl w:val="B11E62A4"/>
    <w:lvl w:ilvl="0" w:tplc="B832F12C">
      <w:start w:val="1"/>
      <w:numFmt w:val="bullet"/>
      <w:lvlText w:val=""/>
      <w:lvlJc w:val="left"/>
      <w:pPr>
        <w:ind w:left="2060" w:hanging="360"/>
      </w:pPr>
      <w:rPr>
        <w:rFonts w:ascii="Symbol" w:hAnsi="Symbol" w:hint="default"/>
      </w:rPr>
    </w:lvl>
    <w:lvl w:ilvl="1" w:tplc="04150003" w:tentative="1">
      <w:start w:val="1"/>
      <w:numFmt w:val="bullet"/>
      <w:lvlText w:val="o"/>
      <w:lvlJc w:val="left"/>
      <w:pPr>
        <w:ind w:left="2780" w:hanging="360"/>
      </w:pPr>
      <w:rPr>
        <w:rFonts w:ascii="Courier New" w:hAnsi="Courier New" w:hint="default"/>
      </w:rPr>
    </w:lvl>
    <w:lvl w:ilvl="2" w:tplc="04150005" w:tentative="1">
      <w:start w:val="1"/>
      <w:numFmt w:val="bullet"/>
      <w:lvlText w:val=""/>
      <w:lvlJc w:val="left"/>
      <w:pPr>
        <w:ind w:left="3500" w:hanging="360"/>
      </w:pPr>
      <w:rPr>
        <w:rFonts w:ascii="Wingdings" w:hAnsi="Wingdings" w:hint="default"/>
      </w:rPr>
    </w:lvl>
    <w:lvl w:ilvl="3" w:tplc="04150001" w:tentative="1">
      <w:start w:val="1"/>
      <w:numFmt w:val="bullet"/>
      <w:lvlText w:val=""/>
      <w:lvlJc w:val="left"/>
      <w:pPr>
        <w:ind w:left="4220" w:hanging="360"/>
      </w:pPr>
      <w:rPr>
        <w:rFonts w:ascii="Symbol" w:hAnsi="Symbol" w:hint="default"/>
      </w:rPr>
    </w:lvl>
    <w:lvl w:ilvl="4" w:tplc="04150003" w:tentative="1">
      <w:start w:val="1"/>
      <w:numFmt w:val="bullet"/>
      <w:lvlText w:val="o"/>
      <w:lvlJc w:val="left"/>
      <w:pPr>
        <w:ind w:left="4940" w:hanging="360"/>
      </w:pPr>
      <w:rPr>
        <w:rFonts w:ascii="Courier New" w:hAnsi="Courier New" w:hint="default"/>
      </w:rPr>
    </w:lvl>
    <w:lvl w:ilvl="5" w:tplc="04150005" w:tentative="1">
      <w:start w:val="1"/>
      <w:numFmt w:val="bullet"/>
      <w:lvlText w:val=""/>
      <w:lvlJc w:val="left"/>
      <w:pPr>
        <w:ind w:left="5660" w:hanging="360"/>
      </w:pPr>
      <w:rPr>
        <w:rFonts w:ascii="Wingdings" w:hAnsi="Wingdings" w:hint="default"/>
      </w:rPr>
    </w:lvl>
    <w:lvl w:ilvl="6" w:tplc="04150001" w:tentative="1">
      <w:start w:val="1"/>
      <w:numFmt w:val="bullet"/>
      <w:lvlText w:val=""/>
      <w:lvlJc w:val="left"/>
      <w:pPr>
        <w:ind w:left="6380" w:hanging="360"/>
      </w:pPr>
      <w:rPr>
        <w:rFonts w:ascii="Symbol" w:hAnsi="Symbol" w:hint="default"/>
      </w:rPr>
    </w:lvl>
    <w:lvl w:ilvl="7" w:tplc="04150003" w:tentative="1">
      <w:start w:val="1"/>
      <w:numFmt w:val="bullet"/>
      <w:lvlText w:val="o"/>
      <w:lvlJc w:val="left"/>
      <w:pPr>
        <w:ind w:left="7100" w:hanging="360"/>
      </w:pPr>
      <w:rPr>
        <w:rFonts w:ascii="Courier New" w:hAnsi="Courier New" w:hint="default"/>
      </w:rPr>
    </w:lvl>
    <w:lvl w:ilvl="8" w:tplc="04150005" w:tentative="1">
      <w:start w:val="1"/>
      <w:numFmt w:val="bullet"/>
      <w:lvlText w:val=""/>
      <w:lvlJc w:val="left"/>
      <w:pPr>
        <w:ind w:left="7820" w:hanging="360"/>
      </w:pPr>
      <w:rPr>
        <w:rFonts w:ascii="Wingdings" w:hAnsi="Wingdings" w:hint="default"/>
      </w:rPr>
    </w:lvl>
  </w:abstractNum>
  <w:abstractNum w:abstractNumId="9" w15:restartNumberingAfterBreak="0">
    <w:nsid w:val="48D711EE"/>
    <w:multiLevelType w:val="hybridMultilevel"/>
    <w:tmpl w:val="3324372A"/>
    <w:lvl w:ilvl="0" w:tplc="02BE8D7C">
      <w:numFmt w:val="bullet"/>
      <w:lvlText w:val=""/>
      <w:lvlJc w:val="left"/>
      <w:pPr>
        <w:ind w:left="704" w:hanging="420"/>
      </w:pPr>
      <w:rPr>
        <w:rFonts w:ascii="Times New Roman" w:eastAsia="Times New Roman"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0" w15:restartNumberingAfterBreak="0">
    <w:nsid w:val="562927D5"/>
    <w:multiLevelType w:val="hybridMultilevel"/>
    <w:tmpl w:val="8DBE592C"/>
    <w:lvl w:ilvl="0" w:tplc="D54675AA">
      <w:start w:val="1"/>
      <w:numFmt w:val="lowerLetter"/>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1" w15:restartNumberingAfterBreak="0">
    <w:nsid w:val="5FB32D0B"/>
    <w:multiLevelType w:val="hybridMultilevel"/>
    <w:tmpl w:val="9A203BB8"/>
    <w:lvl w:ilvl="0" w:tplc="B832F12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71952CE6"/>
    <w:multiLevelType w:val="hybridMultilevel"/>
    <w:tmpl w:val="414695C4"/>
    <w:lvl w:ilvl="0" w:tplc="F2C0328E">
      <w:start w:val="1"/>
      <w:numFmt w:val="bullet"/>
      <w:lvlText w:val=""/>
      <w:lvlJc w:val="left"/>
      <w:pPr>
        <w:ind w:left="1004" w:hanging="360"/>
      </w:pPr>
      <w:rPr>
        <w:rFonts w:ascii="Symbol" w:hAnsi="Symbol" w:hint="default"/>
        <w:sz w:val="24"/>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 w15:restartNumberingAfterBreak="0">
    <w:nsid w:val="728E7B8F"/>
    <w:multiLevelType w:val="hybridMultilevel"/>
    <w:tmpl w:val="0AFCB02E"/>
    <w:lvl w:ilvl="0" w:tplc="04150011">
      <w:start w:val="1"/>
      <w:numFmt w:val="decimal"/>
      <w:lvlText w:val="%1)"/>
      <w:lvlJc w:val="left"/>
      <w:pPr>
        <w:ind w:left="870" w:hanging="360"/>
      </w:pPr>
      <w:rPr>
        <w:rFonts w:cs="Times New Roman" w:hint="default"/>
      </w:rPr>
    </w:lvl>
    <w:lvl w:ilvl="1" w:tplc="04150019">
      <w:start w:val="1"/>
      <w:numFmt w:val="lowerLetter"/>
      <w:lvlText w:val="%2."/>
      <w:lvlJc w:val="left"/>
      <w:pPr>
        <w:ind w:left="1590" w:hanging="360"/>
      </w:pPr>
      <w:rPr>
        <w:rFonts w:cs="Times New Roman"/>
      </w:rPr>
    </w:lvl>
    <w:lvl w:ilvl="2" w:tplc="0415001B" w:tentative="1">
      <w:start w:val="1"/>
      <w:numFmt w:val="lowerRoman"/>
      <w:lvlText w:val="%3."/>
      <w:lvlJc w:val="right"/>
      <w:pPr>
        <w:ind w:left="2310" w:hanging="180"/>
      </w:pPr>
      <w:rPr>
        <w:rFonts w:cs="Times New Roman"/>
      </w:rPr>
    </w:lvl>
    <w:lvl w:ilvl="3" w:tplc="0415000F" w:tentative="1">
      <w:start w:val="1"/>
      <w:numFmt w:val="decimal"/>
      <w:lvlText w:val="%4."/>
      <w:lvlJc w:val="left"/>
      <w:pPr>
        <w:ind w:left="3030" w:hanging="360"/>
      </w:pPr>
      <w:rPr>
        <w:rFonts w:cs="Times New Roman"/>
      </w:rPr>
    </w:lvl>
    <w:lvl w:ilvl="4" w:tplc="04150019" w:tentative="1">
      <w:start w:val="1"/>
      <w:numFmt w:val="lowerLetter"/>
      <w:lvlText w:val="%5."/>
      <w:lvlJc w:val="left"/>
      <w:pPr>
        <w:ind w:left="3750" w:hanging="360"/>
      </w:pPr>
      <w:rPr>
        <w:rFonts w:cs="Times New Roman"/>
      </w:rPr>
    </w:lvl>
    <w:lvl w:ilvl="5" w:tplc="0415001B" w:tentative="1">
      <w:start w:val="1"/>
      <w:numFmt w:val="lowerRoman"/>
      <w:lvlText w:val="%6."/>
      <w:lvlJc w:val="right"/>
      <w:pPr>
        <w:ind w:left="4470" w:hanging="180"/>
      </w:pPr>
      <w:rPr>
        <w:rFonts w:cs="Times New Roman"/>
      </w:rPr>
    </w:lvl>
    <w:lvl w:ilvl="6" w:tplc="0415000F" w:tentative="1">
      <w:start w:val="1"/>
      <w:numFmt w:val="decimal"/>
      <w:lvlText w:val="%7."/>
      <w:lvlJc w:val="left"/>
      <w:pPr>
        <w:ind w:left="5190" w:hanging="360"/>
      </w:pPr>
      <w:rPr>
        <w:rFonts w:cs="Times New Roman"/>
      </w:rPr>
    </w:lvl>
    <w:lvl w:ilvl="7" w:tplc="04150019" w:tentative="1">
      <w:start w:val="1"/>
      <w:numFmt w:val="lowerLetter"/>
      <w:lvlText w:val="%8."/>
      <w:lvlJc w:val="left"/>
      <w:pPr>
        <w:ind w:left="5910" w:hanging="360"/>
      </w:pPr>
      <w:rPr>
        <w:rFonts w:cs="Times New Roman"/>
      </w:rPr>
    </w:lvl>
    <w:lvl w:ilvl="8" w:tplc="0415001B" w:tentative="1">
      <w:start w:val="1"/>
      <w:numFmt w:val="lowerRoman"/>
      <w:lvlText w:val="%9."/>
      <w:lvlJc w:val="right"/>
      <w:pPr>
        <w:ind w:left="6630" w:hanging="180"/>
      </w:pPr>
      <w:rPr>
        <w:rFonts w:cs="Times New Roman"/>
      </w:rPr>
    </w:lvl>
  </w:abstractNum>
  <w:abstractNum w:abstractNumId="14" w15:restartNumberingAfterBreak="0">
    <w:nsid w:val="7B5B2992"/>
    <w:multiLevelType w:val="hybridMultilevel"/>
    <w:tmpl w:val="1C264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C144FB6"/>
    <w:multiLevelType w:val="hybridMultilevel"/>
    <w:tmpl w:val="8E1A03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EC23CE7"/>
    <w:multiLevelType w:val="hybridMultilevel"/>
    <w:tmpl w:val="8C8EA85E"/>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3"/>
  </w:num>
  <w:num w:numId="2">
    <w:abstractNumId w:val="6"/>
  </w:num>
  <w:num w:numId="3">
    <w:abstractNumId w:val="8"/>
  </w:num>
  <w:num w:numId="4">
    <w:abstractNumId w:val="11"/>
  </w:num>
  <w:num w:numId="5">
    <w:abstractNumId w:val="7"/>
  </w:num>
  <w:num w:numId="6">
    <w:abstractNumId w:val="15"/>
  </w:num>
  <w:num w:numId="7">
    <w:abstractNumId w:val="10"/>
  </w:num>
  <w:num w:numId="8">
    <w:abstractNumId w:val="14"/>
  </w:num>
  <w:num w:numId="9">
    <w:abstractNumId w:val="16"/>
  </w:num>
  <w:num w:numId="10">
    <w:abstractNumId w:val="3"/>
  </w:num>
  <w:num w:numId="11">
    <w:abstractNumId w:val="0"/>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5"/>
  </w:num>
  <w:num w:numId="25">
    <w:abstractNumId w:val="1"/>
  </w:num>
  <w:num w:numId="26">
    <w:abstractNumId w:val="12"/>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33E"/>
    <w:rsid w:val="000548A0"/>
    <w:rsid w:val="000F5E14"/>
    <w:rsid w:val="00132EFB"/>
    <w:rsid w:val="00194094"/>
    <w:rsid w:val="001C158E"/>
    <w:rsid w:val="002049EF"/>
    <w:rsid w:val="00261BE5"/>
    <w:rsid w:val="00284328"/>
    <w:rsid w:val="00294916"/>
    <w:rsid w:val="002B4A60"/>
    <w:rsid w:val="002F75AE"/>
    <w:rsid w:val="00300732"/>
    <w:rsid w:val="00397FB0"/>
    <w:rsid w:val="003E62CB"/>
    <w:rsid w:val="00440207"/>
    <w:rsid w:val="00444DD2"/>
    <w:rsid w:val="0044533E"/>
    <w:rsid w:val="00445590"/>
    <w:rsid w:val="00465091"/>
    <w:rsid w:val="00475025"/>
    <w:rsid w:val="004D393E"/>
    <w:rsid w:val="004D7DF1"/>
    <w:rsid w:val="004E2365"/>
    <w:rsid w:val="0052333B"/>
    <w:rsid w:val="00564A04"/>
    <w:rsid w:val="005D230E"/>
    <w:rsid w:val="005E456A"/>
    <w:rsid w:val="006144DE"/>
    <w:rsid w:val="00664846"/>
    <w:rsid w:val="006745F4"/>
    <w:rsid w:val="006B564E"/>
    <w:rsid w:val="006C00A1"/>
    <w:rsid w:val="006D43C5"/>
    <w:rsid w:val="007121D1"/>
    <w:rsid w:val="00756558"/>
    <w:rsid w:val="007761CC"/>
    <w:rsid w:val="007776B3"/>
    <w:rsid w:val="007A3A07"/>
    <w:rsid w:val="00826D36"/>
    <w:rsid w:val="00982BFF"/>
    <w:rsid w:val="009A3D10"/>
    <w:rsid w:val="009D77A1"/>
    <w:rsid w:val="00A77296"/>
    <w:rsid w:val="00B03C33"/>
    <w:rsid w:val="00B10A8C"/>
    <w:rsid w:val="00B513DE"/>
    <w:rsid w:val="00B64C55"/>
    <w:rsid w:val="00B76B5E"/>
    <w:rsid w:val="00BD6EE0"/>
    <w:rsid w:val="00BF2101"/>
    <w:rsid w:val="00C109F9"/>
    <w:rsid w:val="00C80790"/>
    <w:rsid w:val="00C8407E"/>
    <w:rsid w:val="00C92C8A"/>
    <w:rsid w:val="00C95081"/>
    <w:rsid w:val="00C97C5F"/>
    <w:rsid w:val="00CB224F"/>
    <w:rsid w:val="00CB5ACF"/>
    <w:rsid w:val="00CE4514"/>
    <w:rsid w:val="00CE7201"/>
    <w:rsid w:val="00D45FBB"/>
    <w:rsid w:val="00D60E15"/>
    <w:rsid w:val="00DB57BB"/>
    <w:rsid w:val="00DB5C1C"/>
    <w:rsid w:val="00DC5327"/>
    <w:rsid w:val="00DD26C1"/>
    <w:rsid w:val="00DE2ECE"/>
    <w:rsid w:val="00E44823"/>
    <w:rsid w:val="00EB2E10"/>
    <w:rsid w:val="00EB5E0E"/>
    <w:rsid w:val="00EC05FB"/>
    <w:rsid w:val="00EC76EB"/>
    <w:rsid w:val="00EF791D"/>
    <w:rsid w:val="00F1119C"/>
    <w:rsid w:val="00F12967"/>
    <w:rsid w:val="00F775A8"/>
    <w:rsid w:val="00FD361A"/>
    <w:rsid w:val="00FD55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A149378F-01B5-477C-B0B5-B1B4F60D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rsid w:val="0044533E"/>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character" w:customStyle="1" w:styleId="Nagwek1Znak">
    <w:name w:val="Nagłówek 1 Znak"/>
    <w:basedOn w:val="Domylnaczcionkaakapitu"/>
    <w:link w:val="Nagwek1"/>
    <w:uiPriority w:val="99"/>
    <w:rsid w:val="0044533E"/>
    <w:rPr>
      <w:rFonts w:ascii="Cambria" w:eastAsia="Times New Roman" w:hAnsi="Cambria" w:cs="Times New Roman"/>
      <w:b/>
      <w:bCs/>
      <w:color w:val="365F91"/>
      <w:kern w:val="1"/>
      <w:sz w:val="28"/>
      <w:szCs w:val="28"/>
      <w:lang w:eastAsia="ar-SA"/>
    </w:rPr>
  </w:style>
  <w:style w:type="numbering" w:customStyle="1" w:styleId="Bezlisty1">
    <w:name w:val="Bez listy1"/>
    <w:next w:val="Bezlisty"/>
    <w:uiPriority w:val="99"/>
    <w:semiHidden/>
    <w:unhideWhenUsed/>
    <w:rsid w:val="0044533E"/>
  </w:style>
  <w:style w:type="paragraph" w:customStyle="1" w:styleId="ZLITwPKTzmlitwpktartykuempunktem">
    <w:name w:val="Z/LIT_w_PKT – zm. lit. w pkt artykułem (punktem)"/>
    <w:basedOn w:val="LITlitera"/>
    <w:uiPriority w:val="32"/>
    <w:qFormat/>
    <w:rsid w:val="0044533E"/>
    <w:pPr>
      <w:ind w:left="1497"/>
    </w:pPr>
  </w:style>
  <w:style w:type="paragraph" w:customStyle="1" w:styleId="ZTIRwPKTzmtirwpktartykuempunktem">
    <w:name w:val="Z/TIR_w_PKT – zm. tir. w pkt artykułem (punktem)"/>
    <w:basedOn w:val="TIRtiret"/>
    <w:uiPriority w:val="33"/>
    <w:qFormat/>
    <w:rsid w:val="0044533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44533E"/>
    <w:pPr>
      <w:ind w:left="1021"/>
    </w:pPr>
  </w:style>
  <w:style w:type="paragraph" w:customStyle="1" w:styleId="2TIRpodwjnytiret">
    <w:name w:val="2TIR – podwójny tiret"/>
    <w:basedOn w:val="TIRtiret"/>
    <w:uiPriority w:val="73"/>
    <w:qFormat/>
    <w:rsid w:val="0044533E"/>
    <w:pPr>
      <w:ind w:left="1780"/>
    </w:pPr>
  </w:style>
  <w:style w:type="character" w:styleId="Odwoanieprzypisudolnego">
    <w:name w:val="footnote reference"/>
    <w:semiHidden/>
    <w:rsid w:val="0044533E"/>
    <w:rPr>
      <w:vertAlign w:val="superscript"/>
    </w:rPr>
  </w:style>
  <w:style w:type="paragraph" w:styleId="Nagwek">
    <w:name w:val="header"/>
    <w:basedOn w:val="Normalny"/>
    <w:link w:val="NagwekZnak"/>
    <w:uiPriority w:val="99"/>
    <w:rsid w:val="0044533E"/>
    <w:pPr>
      <w:widowControl w:val="0"/>
      <w:tabs>
        <w:tab w:val="center" w:pos="4536"/>
        <w:tab w:val="right" w:pos="9072"/>
      </w:tabs>
      <w:suppressAutoHyphens/>
      <w:spacing w:after="0" w:line="360" w:lineRule="auto"/>
    </w:pPr>
    <w:rPr>
      <w:rFonts w:ascii="Times" w:eastAsia="Times New Roman" w:hAnsi="Times" w:cs="Times"/>
      <w:kern w:val="1"/>
      <w:sz w:val="20"/>
      <w:szCs w:val="20"/>
      <w:lang w:eastAsia="ar-SA"/>
    </w:rPr>
  </w:style>
  <w:style w:type="character" w:customStyle="1" w:styleId="NagwekZnak">
    <w:name w:val="Nagłówek Znak"/>
    <w:basedOn w:val="Domylnaczcionkaakapitu"/>
    <w:link w:val="Nagwek"/>
    <w:uiPriority w:val="99"/>
    <w:rsid w:val="0044533E"/>
    <w:rPr>
      <w:rFonts w:ascii="Times" w:eastAsia="Times New Roman" w:hAnsi="Times" w:cs="Times"/>
      <w:kern w:val="1"/>
      <w:sz w:val="20"/>
      <w:szCs w:val="20"/>
      <w:lang w:eastAsia="ar-SA"/>
    </w:rPr>
  </w:style>
  <w:style w:type="paragraph" w:styleId="Stopka">
    <w:name w:val="footer"/>
    <w:basedOn w:val="Normalny"/>
    <w:link w:val="StopkaZnak"/>
    <w:uiPriority w:val="99"/>
    <w:rsid w:val="0044533E"/>
    <w:pPr>
      <w:widowControl w:val="0"/>
      <w:tabs>
        <w:tab w:val="center" w:pos="4536"/>
        <w:tab w:val="right" w:pos="9072"/>
      </w:tabs>
      <w:suppressAutoHyphens/>
      <w:spacing w:after="0" w:line="360" w:lineRule="auto"/>
    </w:pPr>
    <w:rPr>
      <w:rFonts w:ascii="Times" w:eastAsia="Times New Roman" w:hAnsi="Times" w:cs="Times"/>
      <w:kern w:val="1"/>
      <w:sz w:val="20"/>
      <w:szCs w:val="20"/>
      <w:lang w:eastAsia="ar-SA"/>
    </w:rPr>
  </w:style>
  <w:style w:type="character" w:customStyle="1" w:styleId="StopkaZnak">
    <w:name w:val="Stopka Znak"/>
    <w:basedOn w:val="Domylnaczcionkaakapitu"/>
    <w:link w:val="Stopka"/>
    <w:uiPriority w:val="99"/>
    <w:rsid w:val="0044533E"/>
    <w:rPr>
      <w:rFonts w:ascii="Times" w:eastAsia="Times New Roman" w:hAnsi="Times" w:cs="Times"/>
      <w:kern w:val="1"/>
      <w:sz w:val="20"/>
      <w:szCs w:val="20"/>
      <w:lang w:eastAsia="ar-SA"/>
    </w:rPr>
  </w:style>
  <w:style w:type="paragraph" w:styleId="Tekstdymka">
    <w:name w:val="Balloon Text"/>
    <w:basedOn w:val="Normalny"/>
    <w:link w:val="TekstdymkaZnak"/>
    <w:uiPriority w:val="99"/>
    <w:semiHidden/>
    <w:rsid w:val="0044533E"/>
    <w:pPr>
      <w:widowControl w:val="0"/>
      <w:suppressAutoHyphens/>
      <w:spacing w:after="0" w:line="360" w:lineRule="auto"/>
    </w:pPr>
    <w:rPr>
      <w:rFonts w:ascii="Tahoma" w:eastAsia="Times New Roman" w:hAnsi="Tahoma" w:cs="Times"/>
      <w:kern w:val="1"/>
      <w:sz w:val="16"/>
      <w:szCs w:val="20"/>
      <w:lang w:eastAsia="ar-SA"/>
    </w:rPr>
  </w:style>
  <w:style w:type="character" w:customStyle="1" w:styleId="TekstdymkaZnak">
    <w:name w:val="Tekst dymka Znak"/>
    <w:basedOn w:val="Domylnaczcionkaakapitu"/>
    <w:link w:val="Tekstdymka"/>
    <w:uiPriority w:val="99"/>
    <w:semiHidden/>
    <w:rsid w:val="0044533E"/>
    <w:rPr>
      <w:rFonts w:ascii="Tahoma" w:eastAsia="Times New Roman" w:hAnsi="Tahoma" w:cs="Times"/>
      <w:kern w:val="1"/>
      <w:sz w:val="16"/>
      <w:szCs w:val="20"/>
      <w:lang w:eastAsia="ar-SA"/>
    </w:rPr>
  </w:style>
  <w:style w:type="paragraph" w:customStyle="1" w:styleId="ARTartustawynprozporzdzenia">
    <w:name w:val="ART(§) – art. ustawy (§ np. rozporządzenia)"/>
    <w:uiPriority w:val="11"/>
    <w:qFormat/>
    <w:rsid w:val="0044533E"/>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44533E"/>
    <w:pPr>
      <w:ind w:left="1497"/>
    </w:pPr>
  </w:style>
  <w:style w:type="paragraph" w:customStyle="1" w:styleId="ZTIRwLITzmtirwlitartykuempunktem">
    <w:name w:val="Z/TIR_w_LIT – zm. tir. w lit. artykułem (punktem)"/>
    <w:basedOn w:val="TIRtiret"/>
    <w:uiPriority w:val="33"/>
    <w:qFormat/>
    <w:rsid w:val="0044533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44533E"/>
  </w:style>
  <w:style w:type="paragraph" w:styleId="Bezodstpw">
    <w:name w:val="No Spacing"/>
    <w:uiPriority w:val="99"/>
    <w:rsid w:val="0044533E"/>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44533E"/>
    <w:pPr>
      <w:ind w:left="1020"/>
    </w:pPr>
  </w:style>
  <w:style w:type="paragraph" w:customStyle="1" w:styleId="ZARTzmartartykuempunktem">
    <w:name w:val="Z/ART(§) – zm. art. (§) artykułem (punktem)"/>
    <w:basedOn w:val="ARTartustawynprozporzdzenia"/>
    <w:uiPriority w:val="30"/>
    <w:qFormat/>
    <w:rsid w:val="0044533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44533E"/>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44533E"/>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44533E"/>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4533E"/>
    <w:rPr>
      <w:bCs/>
    </w:rPr>
  </w:style>
  <w:style w:type="paragraph" w:customStyle="1" w:styleId="OZNRODZAKTUtznustawalubrozporzdzenieiorganwydajcy">
    <w:name w:val="OZN_RODZ_AKTU – tzn. ustawa lub rozporządzenie i organ wydający"/>
    <w:next w:val="DATAAKTUdatauchwalenialubwydaniaaktu"/>
    <w:uiPriority w:val="5"/>
    <w:qFormat/>
    <w:rsid w:val="0044533E"/>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44533E"/>
    <w:pPr>
      <w:spacing w:before="0"/>
    </w:pPr>
    <w:rPr>
      <w:bCs/>
    </w:rPr>
  </w:style>
  <w:style w:type="paragraph" w:customStyle="1" w:styleId="PKTpunkt">
    <w:name w:val="PKT – punkt"/>
    <w:uiPriority w:val="13"/>
    <w:qFormat/>
    <w:rsid w:val="0044533E"/>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44533E"/>
    <w:pPr>
      <w:ind w:left="0" w:firstLine="0"/>
    </w:pPr>
  </w:style>
  <w:style w:type="paragraph" w:customStyle="1" w:styleId="LITlitera">
    <w:name w:val="LIT – litera"/>
    <w:basedOn w:val="PKTpunkt"/>
    <w:uiPriority w:val="14"/>
    <w:qFormat/>
    <w:rsid w:val="0044533E"/>
    <w:pPr>
      <w:ind w:left="986" w:hanging="476"/>
    </w:pPr>
  </w:style>
  <w:style w:type="paragraph" w:customStyle="1" w:styleId="CZWSPLITczwsplnaliter">
    <w:name w:val="CZ_WSP_LIT – część wspólna liter"/>
    <w:basedOn w:val="LITlitera"/>
    <w:next w:val="USTustnpkodeksu"/>
    <w:uiPriority w:val="17"/>
    <w:qFormat/>
    <w:rsid w:val="0044533E"/>
    <w:pPr>
      <w:ind w:left="510" w:firstLine="0"/>
    </w:pPr>
    <w:rPr>
      <w:szCs w:val="24"/>
    </w:rPr>
  </w:style>
  <w:style w:type="paragraph" w:customStyle="1" w:styleId="TIRtiret">
    <w:name w:val="TIR – tiret"/>
    <w:basedOn w:val="LITlitera"/>
    <w:uiPriority w:val="15"/>
    <w:qFormat/>
    <w:rsid w:val="0044533E"/>
    <w:pPr>
      <w:ind w:left="1384" w:hanging="397"/>
    </w:pPr>
  </w:style>
  <w:style w:type="paragraph" w:customStyle="1" w:styleId="CZWSPTIRczwsplnatiret">
    <w:name w:val="CZ_WSP_TIR – część wspólna tiret"/>
    <w:basedOn w:val="TIRtiret"/>
    <w:next w:val="USTustnpkodeksu"/>
    <w:uiPriority w:val="17"/>
    <w:qFormat/>
    <w:rsid w:val="0044533E"/>
    <w:pPr>
      <w:ind w:left="987" w:firstLine="0"/>
    </w:pPr>
  </w:style>
  <w:style w:type="paragraph" w:customStyle="1" w:styleId="CYTcytatnpprzysigi">
    <w:name w:val="CYT – cytat np. przysięgi"/>
    <w:basedOn w:val="USTustnpkodeksu"/>
    <w:next w:val="USTustnpkodeksu"/>
    <w:uiPriority w:val="18"/>
    <w:qFormat/>
    <w:rsid w:val="0044533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44533E"/>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44533E"/>
  </w:style>
  <w:style w:type="paragraph" w:customStyle="1" w:styleId="ZLITCZWSPTIRwLITzmczciwsptirwlitliter">
    <w:name w:val="Z_LIT/CZ_WSP_TIR_w_LIT – zm. części wsp. tir. w lit. literą"/>
    <w:basedOn w:val="CZWSPTIRczwsplnatiret"/>
    <w:next w:val="LITlitera"/>
    <w:uiPriority w:val="51"/>
    <w:qFormat/>
    <w:rsid w:val="0044533E"/>
    <w:pPr>
      <w:ind w:left="1463"/>
    </w:pPr>
  </w:style>
  <w:style w:type="paragraph" w:customStyle="1" w:styleId="ZLITTIRwLITzmtirwlitliter">
    <w:name w:val="Z_LIT/TIR_w_LIT – zm. tir. w lit. literą"/>
    <w:basedOn w:val="TIRtiret"/>
    <w:uiPriority w:val="49"/>
    <w:qFormat/>
    <w:rsid w:val="0044533E"/>
    <w:pPr>
      <w:ind w:left="1860"/>
    </w:pPr>
  </w:style>
  <w:style w:type="paragraph" w:customStyle="1" w:styleId="TYTDZOZNoznaczenietytuulubdziau">
    <w:name w:val="TYT(DZ)_OZN – oznaczenie tytułu lub działu"/>
    <w:next w:val="Normalny"/>
    <w:uiPriority w:val="9"/>
    <w:qFormat/>
    <w:rsid w:val="0044533E"/>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44533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44533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44533E"/>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44533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44533E"/>
    <w:pPr>
      <w:ind w:left="510"/>
    </w:pPr>
  </w:style>
  <w:style w:type="paragraph" w:customStyle="1" w:styleId="ZZLITzmianazmlit">
    <w:name w:val="ZZ/LIT – zmiana zm. lit."/>
    <w:basedOn w:val="ZZPKTzmianazmpkt"/>
    <w:uiPriority w:val="67"/>
    <w:qFormat/>
    <w:rsid w:val="0044533E"/>
    <w:pPr>
      <w:ind w:left="2370" w:hanging="476"/>
    </w:pPr>
  </w:style>
  <w:style w:type="paragraph" w:customStyle="1" w:styleId="ZZTIRzmianazmtir">
    <w:name w:val="ZZ/TIR – zmiana zm. tir."/>
    <w:basedOn w:val="ZZLITzmianazmlit"/>
    <w:uiPriority w:val="67"/>
    <w:qFormat/>
    <w:rsid w:val="0044533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44533E"/>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44533E"/>
    <w:pPr>
      <w:ind w:left="987"/>
    </w:pPr>
  </w:style>
  <w:style w:type="paragraph" w:customStyle="1" w:styleId="ZLITPKTzmpktliter">
    <w:name w:val="Z_LIT/PKT – zm. pkt literą"/>
    <w:basedOn w:val="PKTpunkt"/>
    <w:uiPriority w:val="47"/>
    <w:qFormat/>
    <w:rsid w:val="0044533E"/>
    <w:pPr>
      <w:ind w:left="1497"/>
    </w:pPr>
  </w:style>
  <w:style w:type="paragraph" w:customStyle="1" w:styleId="ZZCZWSPPKTzmianazmczciwsppkt">
    <w:name w:val="ZZ/CZ_WSP_PKT – zmiana. zm. części wsp. pkt"/>
    <w:basedOn w:val="ZZARTzmianazmart"/>
    <w:next w:val="ZPKTzmpktartykuempunktem"/>
    <w:uiPriority w:val="68"/>
    <w:qFormat/>
    <w:rsid w:val="0044533E"/>
    <w:pPr>
      <w:ind w:firstLine="0"/>
    </w:pPr>
  </w:style>
  <w:style w:type="paragraph" w:customStyle="1" w:styleId="ZLITLITzmlitliter">
    <w:name w:val="Z_LIT/LIT – zm. lit. literą"/>
    <w:basedOn w:val="LITlitera"/>
    <w:uiPriority w:val="48"/>
    <w:qFormat/>
    <w:rsid w:val="0044533E"/>
    <w:pPr>
      <w:ind w:left="1463"/>
    </w:pPr>
  </w:style>
  <w:style w:type="paragraph" w:customStyle="1" w:styleId="ZLITCZWSPPKTzmczciwsppktliter">
    <w:name w:val="Z_LIT/CZ_WSP_PKT – zm. części wsp. pkt literą"/>
    <w:basedOn w:val="CZWSPLITczwsplnaliter"/>
    <w:next w:val="LITlitera"/>
    <w:uiPriority w:val="50"/>
    <w:qFormat/>
    <w:rsid w:val="0044533E"/>
    <w:pPr>
      <w:ind w:left="987"/>
    </w:pPr>
  </w:style>
  <w:style w:type="paragraph" w:customStyle="1" w:styleId="ZLITTIRzmtirliter">
    <w:name w:val="Z_LIT/TIR – zm. tir. literą"/>
    <w:basedOn w:val="TIRtiret"/>
    <w:uiPriority w:val="49"/>
    <w:qFormat/>
    <w:rsid w:val="0044533E"/>
  </w:style>
  <w:style w:type="paragraph" w:customStyle="1" w:styleId="ZZCZWSPLITwPKTzmianazmczciwsplitwpkt">
    <w:name w:val="ZZ/CZ_WSP_LIT_w_PKT – zmiana zm. części wsp. lit. w pkt"/>
    <w:basedOn w:val="ZZLITwPKTzmianazmlitwpkt"/>
    <w:uiPriority w:val="69"/>
    <w:qFormat/>
    <w:rsid w:val="0044533E"/>
    <w:pPr>
      <w:ind w:left="2404" w:firstLine="0"/>
    </w:pPr>
  </w:style>
  <w:style w:type="paragraph" w:customStyle="1" w:styleId="ZLITLITwPKTzmlitwpktliter">
    <w:name w:val="Z_LIT/LIT_w_PKT – zm. lit. w pkt literą"/>
    <w:basedOn w:val="LITlitera"/>
    <w:uiPriority w:val="99"/>
    <w:qFormat/>
    <w:rsid w:val="0044533E"/>
    <w:pPr>
      <w:ind w:left="1973"/>
    </w:pPr>
  </w:style>
  <w:style w:type="paragraph" w:customStyle="1" w:styleId="ZLITCZWSPLITwPKTzmczciwsplitwpktliter">
    <w:name w:val="Z_LIT/CZ_WSP_LIT_w_PKT – zm. części wsp. lit. w pkt literą"/>
    <w:basedOn w:val="CZWSPLITczwsplnaliter"/>
    <w:next w:val="LITlitera"/>
    <w:uiPriority w:val="51"/>
    <w:qFormat/>
    <w:rsid w:val="0044533E"/>
    <w:pPr>
      <w:ind w:left="1497"/>
    </w:pPr>
  </w:style>
  <w:style w:type="paragraph" w:customStyle="1" w:styleId="ZLITTIRwPKTzmtirwpktliter">
    <w:name w:val="Z_LIT/TIR_w_PKT – zm. tir. w pkt literą"/>
    <w:basedOn w:val="TIRtiret"/>
    <w:uiPriority w:val="49"/>
    <w:qFormat/>
    <w:rsid w:val="0044533E"/>
    <w:pPr>
      <w:ind w:left="2370"/>
    </w:pPr>
  </w:style>
  <w:style w:type="paragraph" w:customStyle="1" w:styleId="ZLITCZWSPTIRwPKTzmczciwsptirwpktliter">
    <w:name w:val="Z_LIT/CZ_WSP_TIR_w_PKT – zm. części wsp. tir. w pkt literą"/>
    <w:basedOn w:val="CZWSPTIRczwsplnatiret"/>
    <w:next w:val="LITlitera"/>
    <w:uiPriority w:val="51"/>
    <w:qFormat/>
    <w:rsid w:val="0044533E"/>
    <w:pPr>
      <w:ind w:left="1973"/>
    </w:pPr>
  </w:style>
  <w:style w:type="paragraph" w:styleId="Tekstprzypisudolnego">
    <w:name w:val="footnote text"/>
    <w:basedOn w:val="Normalny"/>
    <w:link w:val="TekstprzypisudolnegoZnak"/>
    <w:uiPriority w:val="99"/>
    <w:qFormat/>
    <w:rsid w:val="0044533E"/>
    <w:pPr>
      <w:widowControl w:val="0"/>
      <w:autoSpaceDE w:val="0"/>
      <w:autoSpaceDN w:val="0"/>
      <w:adjustRightInd w:val="0"/>
      <w:spacing w:after="0" w:line="360" w:lineRule="auto"/>
    </w:pPr>
    <w:rPr>
      <w:rFonts w:ascii="Times" w:eastAsia="Times New Roman" w:hAnsi="Times"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44533E"/>
    <w:rPr>
      <w:rFonts w:ascii="Times" w:eastAsia="Times New Roman" w:hAnsi="Times" w:cs="Times New Roman"/>
      <w:sz w:val="20"/>
      <w:szCs w:val="20"/>
      <w:lang w:eastAsia="pl-PL"/>
    </w:rPr>
  </w:style>
  <w:style w:type="paragraph" w:customStyle="1" w:styleId="ZTIRLITzmlittiret">
    <w:name w:val="Z_TIR/LIT – zm. lit. tiret"/>
    <w:basedOn w:val="LITlitera"/>
    <w:uiPriority w:val="57"/>
    <w:qFormat/>
    <w:rsid w:val="0044533E"/>
    <w:pPr>
      <w:ind w:left="1859"/>
    </w:pPr>
  </w:style>
  <w:style w:type="paragraph" w:customStyle="1" w:styleId="ZTIRCZWSPPKTzmczciwsppkttiret">
    <w:name w:val="Z_TIR/CZ_WSP_PKT – zm. części wsp. pkt tiret"/>
    <w:basedOn w:val="CZWSPLITczwsplnaliter"/>
    <w:next w:val="TIRtiret"/>
    <w:uiPriority w:val="58"/>
    <w:qFormat/>
    <w:rsid w:val="0044533E"/>
    <w:pPr>
      <w:ind w:left="1383"/>
    </w:pPr>
  </w:style>
  <w:style w:type="paragraph" w:customStyle="1" w:styleId="ZTIRTIRzmtirtiret">
    <w:name w:val="Z_TIR/TIR – zm. tir. tiret"/>
    <w:basedOn w:val="TIRtiret"/>
    <w:uiPriority w:val="57"/>
    <w:qFormat/>
    <w:rsid w:val="0044533E"/>
    <w:pPr>
      <w:ind w:left="1780"/>
    </w:pPr>
  </w:style>
  <w:style w:type="paragraph" w:customStyle="1" w:styleId="ZZCZWSPTIRwPKTzmianazmczciwsptirwpkt">
    <w:name w:val="ZZ/CZ_WSP_TIR_w_PKT – zmiana zm. części wsp. tir. w pkt"/>
    <w:basedOn w:val="ZZTIRwPKTzmianazmtirwpkt"/>
    <w:uiPriority w:val="70"/>
    <w:qFormat/>
    <w:rsid w:val="0044533E"/>
    <w:pPr>
      <w:ind w:left="2880" w:firstLine="0"/>
    </w:pPr>
  </w:style>
  <w:style w:type="paragraph" w:customStyle="1" w:styleId="ZZTIRwLITzmianazmtirwlit">
    <w:name w:val="ZZ/TIR_w_LIT – zmiana zm. tir. w lit."/>
    <w:basedOn w:val="ZZTIRzmianazmtir"/>
    <w:uiPriority w:val="67"/>
    <w:qFormat/>
    <w:rsid w:val="0044533E"/>
    <w:pPr>
      <w:ind w:left="2767"/>
    </w:pPr>
  </w:style>
  <w:style w:type="paragraph" w:customStyle="1" w:styleId="ZTIRTIRwLITzmtirwlittiret">
    <w:name w:val="Z_TIR/TIR_w_LIT – zm. tir. w lit. tiret"/>
    <w:basedOn w:val="TIRtiret"/>
    <w:uiPriority w:val="57"/>
    <w:qFormat/>
    <w:rsid w:val="0044533E"/>
    <w:pPr>
      <w:ind w:left="2257"/>
    </w:pPr>
  </w:style>
  <w:style w:type="paragraph" w:customStyle="1" w:styleId="ZTIRCZWSPTIRwLITzmczciwsptirwlittiret">
    <w:name w:val="Z_TIR/CZ_WSP_TIR_w_LIT – zm. części wsp. tir. w lit. tiret"/>
    <w:basedOn w:val="CZWSPTIRczwsplnatiret"/>
    <w:next w:val="TIRtiret"/>
    <w:uiPriority w:val="60"/>
    <w:qFormat/>
    <w:rsid w:val="0044533E"/>
    <w:pPr>
      <w:ind w:left="1860"/>
    </w:pPr>
  </w:style>
  <w:style w:type="paragraph" w:customStyle="1" w:styleId="CZWSP2TIRczwsplnapodwjnychtiret">
    <w:name w:val="CZ_WSP_2TIR – część wspólna podwójnych tiret"/>
    <w:basedOn w:val="CZWSPTIRczwsplnatiret"/>
    <w:next w:val="TIRtiret"/>
    <w:uiPriority w:val="73"/>
    <w:qFormat/>
    <w:rsid w:val="0044533E"/>
    <w:pPr>
      <w:ind w:left="1780"/>
    </w:pPr>
  </w:style>
  <w:style w:type="paragraph" w:customStyle="1" w:styleId="Z2TIRzmpodwtirartykuempunktem">
    <w:name w:val="Z/2TIR – zm. podw. tir. artykułem (punktem)"/>
    <w:basedOn w:val="TIRtiret"/>
    <w:uiPriority w:val="73"/>
    <w:qFormat/>
    <w:rsid w:val="0044533E"/>
    <w:pPr>
      <w:ind w:left="907"/>
    </w:pPr>
  </w:style>
  <w:style w:type="paragraph" w:customStyle="1" w:styleId="ZZCZWSPTIRwLITzmianazmczciwsptirwlit">
    <w:name w:val="ZZ/CZ_WSP_TIR_w_LIT – zmiana zm. części wsp. tir. w lit."/>
    <w:basedOn w:val="ZZTIRwLITzmianazmtirwlit"/>
    <w:uiPriority w:val="70"/>
    <w:qFormat/>
    <w:rsid w:val="0044533E"/>
    <w:pPr>
      <w:ind w:left="2370" w:firstLine="0"/>
    </w:pPr>
  </w:style>
  <w:style w:type="paragraph" w:customStyle="1" w:styleId="ZLIT2TIRzmpodwtirliter">
    <w:name w:val="Z_LIT/2TIR – zm. podw. tir. literą"/>
    <w:basedOn w:val="TIRtiret"/>
    <w:uiPriority w:val="75"/>
    <w:qFormat/>
    <w:rsid w:val="0044533E"/>
  </w:style>
  <w:style w:type="paragraph" w:customStyle="1" w:styleId="ZTIR2TIRzmpodwtirtiret">
    <w:name w:val="Z_TIR/2TIR – zm. podw. tir. tiret"/>
    <w:basedOn w:val="TIRtiret"/>
    <w:uiPriority w:val="78"/>
    <w:qFormat/>
    <w:rsid w:val="0044533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44533E"/>
    <w:pPr>
      <w:ind w:left="1780"/>
    </w:pPr>
  </w:style>
  <w:style w:type="paragraph" w:customStyle="1" w:styleId="Z2TIRwPKTzmpodwtirwpktartykuempunktem">
    <w:name w:val="Z/2TIR_w_PKT – zm. podw. tir. w pkt artykułem (punktem)"/>
    <w:basedOn w:val="TIRtiret"/>
    <w:next w:val="ZPKTzmpktartykuempunktem"/>
    <w:uiPriority w:val="74"/>
    <w:qFormat/>
    <w:rsid w:val="0044533E"/>
    <w:pPr>
      <w:ind w:left="2291"/>
    </w:pPr>
  </w:style>
  <w:style w:type="paragraph" w:customStyle="1" w:styleId="ZTIRPKTzmpkttiret">
    <w:name w:val="Z_TIR/PKT – zm. pkt tiret"/>
    <w:basedOn w:val="PKTpunkt"/>
    <w:uiPriority w:val="56"/>
    <w:qFormat/>
    <w:rsid w:val="0044533E"/>
    <w:pPr>
      <w:ind w:left="1893"/>
    </w:pPr>
  </w:style>
  <w:style w:type="paragraph" w:customStyle="1" w:styleId="ZTIRLITwPKTzmlitwpkttiret">
    <w:name w:val="Z_TIR/LIT_w_PKT – zm. lit. w pkt tiret"/>
    <w:basedOn w:val="LITlitera"/>
    <w:uiPriority w:val="57"/>
    <w:qFormat/>
    <w:rsid w:val="0044533E"/>
    <w:pPr>
      <w:ind w:left="2336"/>
    </w:pPr>
  </w:style>
  <w:style w:type="paragraph" w:customStyle="1" w:styleId="ZTIRCZWSPLITwPKTzmczciwsplitwpkttiret">
    <w:name w:val="Z_TIR/CZ_WSP_LIT_w_PKT – zm. części wsp. lit. w pkt tiret"/>
    <w:basedOn w:val="CZWSPLITczwsplnaliter"/>
    <w:uiPriority w:val="59"/>
    <w:qFormat/>
    <w:rsid w:val="0044533E"/>
    <w:pPr>
      <w:ind w:left="1860"/>
    </w:pPr>
  </w:style>
  <w:style w:type="paragraph" w:customStyle="1" w:styleId="ZTIR2TIRwLITzmpodwtirwlittiret">
    <w:name w:val="Z_TIR/2TIR_w_LIT – zm. podw. tir. w lit. tiret"/>
    <w:basedOn w:val="TIRtiret"/>
    <w:uiPriority w:val="79"/>
    <w:qFormat/>
    <w:rsid w:val="0044533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44533E"/>
    <w:pPr>
      <w:ind w:left="2257"/>
    </w:pPr>
  </w:style>
  <w:style w:type="paragraph" w:customStyle="1" w:styleId="ZTIR2TIRwTIRzmpodwtirwtirtiret">
    <w:name w:val="Z_TIR/2TIR_w_TIR – zm. podw. tir. w tir. tiret"/>
    <w:basedOn w:val="TIRtiret"/>
    <w:uiPriority w:val="78"/>
    <w:qFormat/>
    <w:rsid w:val="0044533E"/>
    <w:pPr>
      <w:ind w:left="2177"/>
    </w:pPr>
  </w:style>
  <w:style w:type="paragraph" w:customStyle="1" w:styleId="ZTIRCZWSP2TIRwTIRzmczciwsppodwtirwtirtiret">
    <w:name w:val="Z_TIR/CZ_WSP_2TIR_w_TIR – zm. części wsp. podw. tir. w tir. tiret"/>
    <w:basedOn w:val="CZWSPTIRczwsplnatiret"/>
    <w:uiPriority w:val="79"/>
    <w:qFormat/>
    <w:rsid w:val="0044533E"/>
    <w:pPr>
      <w:ind w:left="1780"/>
    </w:pPr>
  </w:style>
  <w:style w:type="paragraph" w:customStyle="1" w:styleId="Z2TIRLITzmlitpodwjnymtiret">
    <w:name w:val="Z_2TIR/LIT – zm. lit. podwójnym tiret"/>
    <w:basedOn w:val="LITlitera"/>
    <w:uiPriority w:val="84"/>
    <w:qFormat/>
    <w:rsid w:val="0044533E"/>
    <w:pPr>
      <w:ind w:left="2256"/>
    </w:pPr>
  </w:style>
  <w:style w:type="paragraph" w:customStyle="1" w:styleId="ZZ2TIRwTIRzmianazmpodwtirwtir">
    <w:name w:val="ZZ/2TIR_w_TIR – zmiana zm. podw. tir. w tir."/>
    <w:basedOn w:val="ZZCZWSP2TIRzmianazmczciwsppodwtir"/>
    <w:uiPriority w:val="93"/>
    <w:qFormat/>
    <w:rsid w:val="0044533E"/>
    <w:pPr>
      <w:ind w:left="2688" w:hanging="397"/>
    </w:pPr>
  </w:style>
  <w:style w:type="paragraph" w:customStyle="1" w:styleId="ZZ2TIRwLITzmianazmpodwtirwlit">
    <w:name w:val="ZZ/2TIR_w_LIT – zmiana zm. podw. tir. w lit."/>
    <w:basedOn w:val="ZZ2TIRwTIRzmianazmpodwtirwtir"/>
    <w:uiPriority w:val="94"/>
    <w:qFormat/>
    <w:rsid w:val="0044533E"/>
    <w:pPr>
      <w:ind w:left="3164"/>
    </w:pPr>
  </w:style>
  <w:style w:type="paragraph" w:customStyle="1" w:styleId="Z2TIRTIRwLITzmtirwlitpodwjnymtiret">
    <w:name w:val="Z_2TIR/TIR_w_LIT – zm. tir. w lit. podwójnym tiret"/>
    <w:basedOn w:val="TIRtiret"/>
    <w:uiPriority w:val="84"/>
    <w:qFormat/>
    <w:rsid w:val="0044533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44533E"/>
    <w:pPr>
      <w:ind w:left="2257"/>
    </w:pPr>
  </w:style>
  <w:style w:type="paragraph" w:customStyle="1" w:styleId="ZZ2TIRwPKTzmianazmpodwtirwpkt">
    <w:name w:val="ZZ/2TIR_w_PKT – zmiana zm. podw. tir. w pkt"/>
    <w:basedOn w:val="ZZ2TIRwLITzmianazmpodwtirwlit"/>
    <w:uiPriority w:val="94"/>
    <w:qFormat/>
    <w:rsid w:val="0044533E"/>
    <w:pPr>
      <w:ind w:left="3674"/>
    </w:pPr>
  </w:style>
  <w:style w:type="paragraph" w:customStyle="1" w:styleId="ZZCZWSP2TIRwTIRzmianazmczciwsppodwtirwtir">
    <w:name w:val="ZZ/CZ_WSP_2TIR_w_TIR – zmiana zm. części wsp. podw. tir. w tir."/>
    <w:basedOn w:val="ZZ2TIRwLITzmianazmpodwtirwlit"/>
    <w:uiPriority w:val="94"/>
    <w:qFormat/>
    <w:rsid w:val="0044533E"/>
    <w:pPr>
      <w:ind w:left="2291" w:firstLine="0"/>
    </w:pPr>
  </w:style>
  <w:style w:type="paragraph" w:customStyle="1" w:styleId="Z2TIR2TIRwTIRzmpodwtirwtirpodwjnymtiret">
    <w:name w:val="Z_2TIR/2TIR_w_TIR – zm. podw. tir. w tir. podwójnym tiret"/>
    <w:basedOn w:val="TIRtiret"/>
    <w:uiPriority w:val="85"/>
    <w:qFormat/>
    <w:rsid w:val="0044533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44533E"/>
    <w:pPr>
      <w:ind w:left="2177"/>
    </w:pPr>
  </w:style>
  <w:style w:type="paragraph" w:customStyle="1" w:styleId="Z2TIR2TIRwLITzmpodwtirwlitpodwjnymtiret">
    <w:name w:val="Z_2TIR/2TIR_w_LIT – zm. podw. tir. w lit. podwójnym tiret"/>
    <w:basedOn w:val="TIRtiret"/>
    <w:uiPriority w:val="86"/>
    <w:qFormat/>
    <w:rsid w:val="0044533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44533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44533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44533E"/>
    <w:pPr>
      <w:spacing w:after="120"/>
      <w:ind w:left="510"/>
    </w:pPr>
    <w:rPr>
      <w:b w:val="0"/>
    </w:rPr>
  </w:style>
  <w:style w:type="character" w:styleId="Odwoaniedokomentarza">
    <w:name w:val="annotation reference"/>
    <w:uiPriority w:val="99"/>
    <w:semiHidden/>
    <w:rsid w:val="0044533E"/>
    <w:rPr>
      <w:rFonts w:cs="Times New Roman"/>
      <w:sz w:val="16"/>
      <w:szCs w:val="16"/>
    </w:rPr>
  </w:style>
  <w:style w:type="paragraph" w:styleId="Tekstkomentarza">
    <w:name w:val="annotation text"/>
    <w:basedOn w:val="Normalny"/>
    <w:link w:val="TekstkomentarzaZnak"/>
    <w:uiPriority w:val="99"/>
    <w:semiHidden/>
    <w:rsid w:val="0044533E"/>
    <w:pPr>
      <w:widowControl w:val="0"/>
      <w:autoSpaceDE w:val="0"/>
      <w:autoSpaceDN w:val="0"/>
      <w:adjustRightInd w:val="0"/>
      <w:spacing w:after="0" w:line="360" w:lineRule="auto"/>
    </w:pPr>
    <w:rPr>
      <w:rFonts w:ascii="Times" w:eastAsia="Times New Roman" w:hAnsi="Times" w:cs="Times New Roman"/>
      <w:sz w:val="20"/>
      <w:szCs w:val="20"/>
      <w:lang w:eastAsia="pl-PL"/>
    </w:rPr>
  </w:style>
  <w:style w:type="character" w:customStyle="1" w:styleId="TekstkomentarzaZnak">
    <w:name w:val="Tekst komentarza Znak"/>
    <w:basedOn w:val="Domylnaczcionkaakapitu"/>
    <w:link w:val="Tekstkomentarza"/>
    <w:uiPriority w:val="99"/>
    <w:semiHidden/>
    <w:rsid w:val="0044533E"/>
    <w:rPr>
      <w:rFonts w:ascii="Times" w:eastAsia="Times New Roman" w:hAnsi="Times" w:cs="Times New Roman"/>
      <w:sz w:val="20"/>
      <w:szCs w:val="20"/>
      <w:lang w:eastAsia="pl-PL"/>
    </w:rPr>
  </w:style>
  <w:style w:type="paragraph" w:styleId="Tematkomentarza">
    <w:name w:val="annotation subject"/>
    <w:basedOn w:val="Tekstkomentarza"/>
    <w:next w:val="Tekstkomentarza"/>
    <w:link w:val="TematkomentarzaZnak"/>
    <w:uiPriority w:val="99"/>
    <w:semiHidden/>
    <w:rsid w:val="0044533E"/>
    <w:rPr>
      <w:b/>
      <w:bCs/>
    </w:rPr>
  </w:style>
  <w:style w:type="character" w:customStyle="1" w:styleId="TematkomentarzaZnak">
    <w:name w:val="Temat komentarza Znak"/>
    <w:basedOn w:val="TekstkomentarzaZnak"/>
    <w:link w:val="Tematkomentarza"/>
    <w:uiPriority w:val="99"/>
    <w:semiHidden/>
    <w:rsid w:val="0044533E"/>
    <w:rPr>
      <w:rFonts w:ascii="Times" w:eastAsia="Times New Roman" w:hAnsi="Times" w:cs="Times New Roman"/>
      <w:b/>
      <w:bCs/>
      <w:sz w:val="20"/>
      <w:szCs w:val="20"/>
      <w:lang w:eastAsia="pl-PL"/>
    </w:rPr>
  </w:style>
  <w:style w:type="paragraph" w:customStyle="1" w:styleId="ZZARTzmianazmart">
    <w:name w:val="ZZ/ART(§) – zmiana zm. art. (§)"/>
    <w:basedOn w:val="ZARTzmartartykuempunktem"/>
    <w:uiPriority w:val="65"/>
    <w:qFormat/>
    <w:rsid w:val="0044533E"/>
    <w:pPr>
      <w:ind w:left="1894"/>
    </w:pPr>
  </w:style>
  <w:style w:type="paragraph" w:customStyle="1" w:styleId="ZZPKTzmianazmpkt">
    <w:name w:val="ZZ/PKT – zmiana zm. pkt"/>
    <w:basedOn w:val="ZPKTzmpktartykuempunktem"/>
    <w:uiPriority w:val="66"/>
    <w:qFormat/>
    <w:rsid w:val="0044533E"/>
    <w:pPr>
      <w:ind w:left="2404"/>
    </w:pPr>
  </w:style>
  <w:style w:type="paragraph" w:customStyle="1" w:styleId="ZZLITwPKTzmianazmlitwpkt">
    <w:name w:val="ZZ/LIT_w_PKT – zmiana zm. lit. w pkt"/>
    <w:basedOn w:val="ZLITwPKTzmlitwpktartykuempunktem"/>
    <w:uiPriority w:val="67"/>
    <w:qFormat/>
    <w:rsid w:val="0044533E"/>
    <w:pPr>
      <w:ind w:left="2880"/>
    </w:pPr>
  </w:style>
  <w:style w:type="paragraph" w:customStyle="1" w:styleId="ZZTIRwPKTzmianazmtirwpkt">
    <w:name w:val="ZZ/TIR_w_PKT – zmiana zm. tir. w pkt"/>
    <w:basedOn w:val="ZTIRwPKTzmtirwpktartykuempunktem"/>
    <w:uiPriority w:val="67"/>
    <w:qFormat/>
    <w:rsid w:val="0044533E"/>
    <w:pPr>
      <w:ind w:left="3277"/>
    </w:pPr>
  </w:style>
  <w:style w:type="paragraph" w:customStyle="1" w:styleId="ZZWMATFIZCHEMzmwzorumatfizlubchem">
    <w:name w:val="ZZ/W_MAT(FIZ|CHEM) – zm. wzoru mat. (fiz. lub chem.)"/>
    <w:basedOn w:val="ZWMATFIZCHEMzmwzorumatfizlubchemartykuempunktem"/>
    <w:uiPriority w:val="71"/>
    <w:qFormat/>
    <w:rsid w:val="0044533E"/>
    <w:pPr>
      <w:ind w:left="2404"/>
    </w:pPr>
  </w:style>
  <w:style w:type="paragraph" w:customStyle="1" w:styleId="ODNONIKtreodnonika">
    <w:name w:val="ODNOŚNIK – treść odnośnika"/>
    <w:uiPriority w:val="19"/>
    <w:qFormat/>
    <w:rsid w:val="0044533E"/>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44533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44533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44533E"/>
    <w:rPr>
      <w:rFonts w:ascii="Times New Roman" w:hAnsi="Times New Roman"/>
    </w:rPr>
  </w:style>
  <w:style w:type="paragraph" w:customStyle="1" w:styleId="ZTIRTIRwPKTzmtirwpkttiret">
    <w:name w:val="Z_TIR/TIR_w_PKT – zm. tir. w pkt tiret"/>
    <w:basedOn w:val="ZTIRTIRwLITzmtirwlittiret"/>
    <w:uiPriority w:val="57"/>
    <w:qFormat/>
    <w:rsid w:val="0044533E"/>
    <w:pPr>
      <w:ind w:left="2733"/>
    </w:pPr>
  </w:style>
  <w:style w:type="paragraph" w:customStyle="1" w:styleId="ZTIRCZWSPTIRwPKTzmczciwsptirtiret">
    <w:name w:val="Z_TIR/CZ_WSP_TIR_w_PKT – zm. części wsp. tir. tiret"/>
    <w:basedOn w:val="ZTIRTIRwPKTzmtirwpkttiret"/>
    <w:next w:val="TIRtiret"/>
    <w:uiPriority w:val="60"/>
    <w:qFormat/>
    <w:rsid w:val="0044533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44533E"/>
    <w:pPr>
      <w:ind w:left="510" w:firstLine="0"/>
    </w:pPr>
  </w:style>
  <w:style w:type="paragraph" w:customStyle="1" w:styleId="ROZDZODDZOZNoznaczenierozdziauluboddziau">
    <w:name w:val="ROZDZ(ODDZ)_OZN – oznaczenie rozdziału lub oddziału"/>
    <w:next w:val="ARTartustawynprozporzdzenia"/>
    <w:uiPriority w:val="10"/>
    <w:qFormat/>
    <w:rsid w:val="0044533E"/>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44533E"/>
    <w:pPr>
      <w:ind w:left="2177"/>
    </w:pPr>
  </w:style>
  <w:style w:type="paragraph" w:customStyle="1" w:styleId="Z2TIRTIRzmtirpodwjnymtiret">
    <w:name w:val="Z_2TIR/TIR – zm. tir. podwójnym tiret"/>
    <w:basedOn w:val="TIRtiret"/>
    <w:uiPriority w:val="84"/>
    <w:qFormat/>
    <w:rsid w:val="0044533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44533E"/>
    <w:pPr>
      <w:ind w:left="1021"/>
    </w:pPr>
  </w:style>
  <w:style w:type="paragraph" w:customStyle="1" w:styleId="ZLITSKARNzmsankcjikarnejliter">
    <w:name w:val="Z_LIT/S_KARN – zm. sankcji karnej literą"/>
    <w:basedOn w:val="ZSKARNzmsankcjikarnejwszczeglnociwKodeksiekarnym"/>
    <w:uiPriority w:val="53"/>
    <w:qFormat/>
    <w:rsid w:val="0044533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44533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44533E"/>
    <w:pPr>
      <w:ind w:left="1894" w:firstLine="0"/>
    </w:pPr>
  </w:style>
  <w:style w:type="paragraph" w:customStyle="1" w:styleId="Z2TIRwLITzmpodwtirwlitartykuempunktem">
    <w:name w:val="Z/2TIR_w_LIT – zm. podw. tir. w lit. artykułem (punktem)"/>
    <w:basedOn w:val="Z2TIRwPKTzmpodwtirwpktartykuempunktem"/>
    <w:uiPriority w:val="74"/>
    <w:qFormat/>
    <w:rsid w:val="0044533E"/>
    <w:pPr>
      <w:ind w:left="1780"/>
    </w:pPr>
  </w:style>
  <w:style w:type="paragraph" w:customStyle="1" w:styleId="Z2TIRwTIRzmpodwtirwtirartykuempunktem">
    <w:name w:val="Z/2TIR_w_TIR – zm. podw. tir. w tir. artykułem (punktem)"/>
    <w:basedOn w:val="Z2TIRwLITzmpodwtirwlitartykuempunktem"/>
    <w:uiPriority w:val="73"/>
    <w:qFormat/>
    <w:rsid w:val="0044533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44533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44533E"/>
    <w:pPr>
      <w:ind w:left="1383" w:firstLine="0"/>
    </w:pPr>
  </w:style>
  <w:style w:type="paragraph" w:customStyle="1" w:styleId="ZZCZWSP2TIRzmianazmczciwsppodwtir">
    <w:name w:val="ZZ/CZ_WSP_2TIR – zmiana zm. części wsp. podw. tir."/>
    <w:basedOn w:val="ZZTIRzmianazmtir"/>
    <w:next w:val="ZZUSTzmianazmust"/>
    <w:uiPriority w:val="94"/>
    <w:qFormat/>
    <w:rsid w:val="0044533E"/>
    <w:pPr>
      <w:ind w:left="1894" w:firstLine="0"/>
    </w:pPr>
  </w:style>
  <w:style w:type="paragraph" w:customStyle="1" w:styleId="PKTODNONIKApunktodnonika">
    <w:name w:val="PKT_ODNOŚNIKA – punkt odnośnika"/>
    <w:basedOn w:val="ODNONIKtreodnonika"/>
    <w:uiPriority w:val="19"/>
    <w:qFormat/>
    <w:rsid w:val="0044533E"/>
    <w:pPr>
      <w:ind w:left="568"/>
    </w:pPr>
  </w:style>
  <w:style w:type="paragraph" w:customStyle="1" w:styleId="ZODNONIKAzmtekstuodnonikaartykuempunktem">
    <w:name w:val="Z/ODNOŚNIKA – zm. tekstu odnośnika artykułem (punktem)"/>
    <w:basedOn w:val="ODNONIKtreodnonika"/>
    <w:uiPriority w:val="39"/>
    <w:qFormat/>
    <w:rsid w:val="0044533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44533E"/>
    <w:pPr>
      <w:ind w:left="1304"/>
    </w:pPr>
  </w:style>
  <w:style w:type="paragraph" w:customStyle="1" w:styleId="ZPKTODNONIKAzmpktodnonikaartykuempunktem">
    <w:name w:val="Z/PKT_ODNOŚNIKA – zm. pkt odnośnika artykułem (punktem)"/>
    <w:basedOn w:val="ZODNONIKAzmtekstuodnonikaartykuempunktem"/>
    <w:uiPriority w:val="39"/>
    <w:qFormat/>
    <w:rsid w:val="0044533E"/>
  </w:style>
  <w:style w:type="paragraph" w:customStyle="1" w:styleId="ZLIT2TIRwTIRzmpodwtirwtirliter">
    <w:name w:val="Z_LIT/2TIR_w_TIR – zm. podw. tir. w tir. literą"/>
    <w:basedOn w:val="ZLIT2TIRzmpodwtirliter"/>
    <w:uiPriority w:val="75"/>
    <w:qFormat/>
    <w:rsid w:val="0044533E"/>
    <w:pPr>
      <w:ind w:left="1780"/>
    </w:pPr>
  </w:style>
  <w:style w:type="paragraph" w:customStyle="1" w:styleId="ZLIT2TIRwLITzmpodwtirwlitliter">
    <w:name w:val="Z_LIT/2TIR_w_LIT – zm. podw. tir. w lit. literą"/>
    <w:basedOn w:val="ZLIT2TIRwTIRzmpodwtirwtirliter"/>
    <w:uiPriority w:val="76"/>
    <w:qFormat/>
    <w:rsid w:val="0044533E"/>
    <w:pPr>
      <w:ind w:left="2257"/>
    </w:pPr>
  </w:style>
  <w:style w:type="paragraph" w:customStyle="1" w:styleId="ZLIT2TIRwPKTzmpodwtirwpktliter">
    <w:name w:val="Z_LIT/2TIR_w_PKT – zm. podw. tir. w pkt literą"/>
    <w:basedOn w:val="ZLIT2TIRwLITzmpodwtirwlitliter"/>
    <w:uiPriority w:val="76"/>
    <w:qFormat/>
    <w:rsid w:val="0044533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44533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44533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44533E"/>
    <w:pPr>
      <w:ind w:left="2370" w:firstLine="0"/>
    </w:pPr>
  </w:style>
  <w:style w:type="paragraph" w:customStyle="1" w:styleId="ZTIR2TIRwPKTzmpodwtirwpkttiret">
    <w:name w:val="Z_TIR/2TIR_w_PKT – zm. podw. tir. w pkt tiret"/>
    <w:basedOn w:val="ZTIR2TIRwLITzmpodwtirwlittiret"/>
    <w:uiPriority w:val="79"/>
    <w:qFormat/>
    <w:rsid w:val="0044533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44533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44533E"/>
    <w:pPr>
      <w:ind w:left="2767"/>
    </w:pPr>
  </w:style>
  <w:style w:type="paragraph" w:customStyle="1" w:styleId="ZZCZWSP2TIRwPKTzmianazmczciwsppodwtirwpkt">
    <w:name w:val="ZZ/CZ_WSP_2TIR_w_PKT – zmiana zm. części wsp. podw. tir. w pkt"/>
    <w:basedOn w:val="ZZ2TIRwLITzmianazmpodwtirwlit"/>
    <w:uiPriority w:val="95"/>
    <w:qFormat/>
    <w:rsid w:val="0044533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44533E"/>
  </w:style>
  <w:style w:type="paragraph" w:customStyle="1" w:styleId="ZLITCZWSP2TIRzmczciwsppodwtirliter">
    <w:name w:val="Z_LIT/CZ_WSP_2TIR – zm. części wsp. podw. tir. literą"/>
    <w:basedOn w:val="ZLITCZWSPPKTzmczciwsppktliter"/>
    <w:next w:val="LITlitera"/>
    <w:uiPriority w:val="76"/>
    <w:qFormat/>
    <w:rsid w:val="0044533E"/>
  </w:style>
  <w:style w:type="paragraph" w:customStyle="1" w:styleId="ZTIRCZWSP2TIRzmczciwsppodwtirtiret">
    <w:name w:val="Z_TIR/CZ_WSP_2TIR – zm. części wsp. podw. tir. tiret"/>
    <w:basedOn w:val="ZLITCZWSP2TIRzmczciwsppodwtirliter"/>
    <w:next w:val="TIRtiret"/>
    <w:uiPriority w:val="79"/>
    <w:qFormat/>
    <w:rsid w:val="0044533E"/>
  </w:style>
  <w:style w:type="paragraph" w:customStyle="1" w:styleId="ZZ2TIRzmianazmpodwtir">
    <w:name w:val="ZZ/2TIR – zmiana zm. podw. tir."/>
    <w:basedOn w:val="ZZCZWSP2TIRzmianazmczciwsppodwtir"/>
    <w:uiPriority w:val="93"/>
    <w:qFormat/>
    <w:rsid w:val="0044533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44533E"/>
  </w:style>
  <w:style w:type="paragraph" w:customStyle="1" w:styleId="ZCZWSPTIRzmczciwsptirartykuempunktem">
    <w:name w:val="Z/CZ_WSP_TIR – zm. części wsp. tir. artykułem (punktem)"/>
    <w:basedOn w:val="ZCZWSPPKTzmczciwsppktartykuempunktem"/>
    <w:next w:val="PKTpunkt"/>
    <w:uiPriority w:val="35"/>
    <w:qFormat/>
    <w:rsid w:val="0044533E"/>
  </w:style>
  <w:style w:type="paragraph" w:customStyle="1" w:styleId="ZLITCZWSPLITzmczciwsplitliter">
    <w:name w:val="Z_LIT/CZ_WSP_LIT – zm. części wsp. lit. literą"/>
    <w:basedOn w:val="ZLITCZWSPPKTzmczciwsppktliter"/>
    <w:next w:val="LITlitera"/>
    <w:uiPriority w:val="51"/>
    <w:qFormat/>
    <w:rsid w:val="0044533E"/>
  </w:style>
  <w:style w:type="paragraph" w:customStyle="1" w:styleId="ZLITCZWSPTIRzmczciwsptirliter">
    <w:name w:val="Z_LIT/CZ_WSP_TIR – zm. części wsp. tir. literą"/>
    <w:basedOn w:val="ZLITCZWSPPKTzmczciwsppktliter"/>
    <w:next w:val="LITlitera"/>
    <w:uiPriority w:val="51"/>
    <w:qFormat/>
    <w:rsid w:val="0044533E"/>
  </w:style>
  <w:style w:type="paragraph" w:customStyle="1" w:styleId="ZTIRCZWSPLITzmczciwsplittiret">
    <w:name w:val="Z_TIR/CZ_WSP_LIT – zm. części wsp. lit. tiret"/>
    <w:basedOn w:val="ZTIRCZWSPPKTzmczciwsppkttiret"/>
    <w:next w:val="TIRtiret"/>
    <w:uiPriority w:val="59"/>
    <w:qFormat/>
    <w:rsid w:val="0044533E"/>
  </w:style>
  <w:style w:type="paragraph" w:customStyle="1" w:styleId="ZTIRCZWSPTIRzmczciwsptirtiret">
    <w:name w:val="Z_TIR/CZ_WSP_TIR – zm. części wsp. tir. tiret"/>
    <w:basedOn w:val="ZTIRCZWSPPKTzmczciwsppkttiret"/>
    <w:next w:val="TIRtiret"/>
    <w:uiPriority w:val="60"/>
    <w:qFormat/>
    <w:rsid w:val="0044533E"/>
  </w:style>
  <w:style w:type="paragraph" w:customStyle="1" w:styleId="ZZCZWSPLITzmianazmczciwsplit">
    <w:name w:val="ZZ/CZ_WSP_LIT – zmiana. zm. części wsp. lit."/>
    <w:basedOn w:val="ZZCZWSPPKTzmianazmczciwsppkt"/>
    <w:uiPriority w:val="69"/>
    <w:qFormat/>
    <w:rsid w:val="0044533E"/>
  </w:style>
  <w:style w:type="paragraph" w:customStyle="1" w:styleId="ZZCZWSPTIRzmianazmczciwsptir">
    <w:name w:val="ZZ/CZ_WSP_TIR – zmiana. zm. części wsp. tir."/>
    <w:basedOn w:val="ZZCZWSPPKTzmianazmczciwsppkt"/>
    <w:uiPriority w:val="69"/>
    <w:qFormat/>
    <w:rsid w:val="0044533E"/>
  </w:style>
  <w:style w:type="paragraph" w:customStyle="1" w:styleId="Z2TIRCZWSPTIRzmczciwsptirpodwjnymtiret">
    <w:name w:val="Z_2TIR/CZ_WSP_TIR – zm. części wsp. tir. podwójnym tiret"/>
    <w:basedOn w:val="Z2TIRCZWSPLITzmczciwsplitpodwjnymtiret"/>
    <w:next w:val="2TIRpodwjnytiret"/>
    <w:uiPriority w:val="87"/>
    <w:qFormat/>
    <w:rsid w:val="0044533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44533E"/>
  </w:style>
  <w:style w:type="paragraph" w:customStyle="1" w:styleId="ZUSTzmustartykuempunktem">
    <w:name w:val="Z/UST(§) – zm. ust. (§) artykułem (punktem)"/>
    <w:basedOn w:val="ZARTzmartartykuempunktem"/>
    <w:uiPriority w:val="30"/>
    <w:qFormat/>
    <w:rsid w:val="0044533E"/>
  </w:style>
  <w:style w:type="paragraph" w:customStyle="1" w:styleId="ZZUSTzmianazmust">
    <w:name w:val="ZZ/UST(§) – zmiana zm. ust. (§)"/>
    <w:basedOn w:val="ZZARTzmianazmart"/>
    <w:uiPriority w:val="65"/>
    <w:qFormat/>
    <w:rsid w:val="0044533E"/>
  </w:style>
  <w:style w:type="paragraph" w:customStyle="1" w:styleId="TYTDZPRZEDMprzedmiotregulacjitytuulubdziau">
    <w:name w:val="TYT(DZ)_PRZEDM – przedmiot regulacji tytułu lub działu"/>
    <w:next w:val="ARTartustawynprozporzdzenia"/>
    <w:uiPriority w:val="9"/>
    <w:qFormat/>
    <w:rsid w:val="0044533E"/>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44533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44533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44533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44533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44533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44533E"/>
    <w:pPr>
      <w:ind w:left="1894"/>
    </w:pPr>
  </w:style>
  <w:style w:type="paragraph" w:customStyle="1" w:styleId="P1wTABELIpoziom1numeracjiwtabeli">
    <w:name w:val="P1_w_TABELI – poziom 1 numeracji w tabeli"/>
    <w:basedOn w:val="PKTpunkt"/>
    <w:uiPriority w:val="24"/>
    <w:qFormat/>
    <w:rsid w:val="0044533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44533E"/>
    <w:pPr>
      <w:ind w:left="0" w:firstLine="0"/>
    </w:pPr>
  </w:style>
  <w:style w:type="paragraph" w:customStyle="1" w:styleId="P2wTABELIpoziom2numeracjiwtabeli">
    <w:name w:val="P2_w_TABELI – poziom 2 numeracji w tabeli"/>
    <w:basedOn w:val="P1wTABELIpoziom1numeracjiwtabeli"/>
    <w:uiPriority w:val="24"/>
    <w:qFormat/>
    <w:rsid w:val="0044533E"/>
    <w:pPr>
      <w:ind w:left="794"/>
    </w:pPr>
  </w:style>
  <w:style w:type="paragraph" w:customStyle="1" w:styleId="P3wTABELIpoziom3numeracjiwtabeli">
    <w:name w:val="P3_w_TABELI – poziom 3 numeracji w tabeli"/>
    <w:basedOn w:val="P2wTABELIpoziom2numeracjiwtabeli"/>
    <w:uiPriority w:val="24"/>
    <w:qFormat/>
    <w:rsid w:val="0044533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44533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44533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44533E"/>
    <w:pPr>
      <w:ind w:left="1191"/>
    </w:pPr>
  </w:style>
  <w:style w:type="paragraph" w:customStyle="1" w:styleId="P4wTABELIpoziom4numeracjiwtabeli">
    <w:name w:val="P4_w_TABELI – poziom 4 numeracji w tabeli"/>
    <w:basedOn w:val="P3wTABELIpoziom3numeracjiwtabeli"/>
    <w:uiPriority w:val="24"/>
    <w:qFormat/>
    <w:rsid w:val="0044533E"/>
    <w:pPr>
      <w:ind w:left="1588"/>
    </w:pPr>
  </w:style>
  <w:style w:type="paragraph" w:customStyle="1" w:styleId="TYTTABELItytutabeli">
    <w:name w:val="TYT_TABELI – tytuł tabeli"/>
    <w:basedOn w:val="TYTDZOZNoznaczenietytuulubdziau"/>
    <w:uiPriority w:val="22"/>
    <w:qFormat/>
    <w:rsid w:val="0044533E"/>
    <w:rPr>
      <w:b/>
    </w:rPr>
  </w:style>
  <w:style w:type="paragraph" w:customStyle="1" w:styleId="OZNPROJEKTUwskazaniedatylubwersjiprojektu">
    <w:name w:val="OZN_PROJEKTU – wskazanie daty lub wersji projektu"/>
    <w:next w:val="OZNRODZAKTUtznustawalubrozporzdzenieiorganwydajcy"/>
    <w:uiPriority w:val="5"/>
    <w:qFormat/>
    <w:rsid w:val="0044533E"/>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44533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44533E"/>
    <w:pPr>
      <w:ind w:left="0" w:right="4820"/>
      <w:jc w:val="left"/>
    </w:pPr>
  </w:style>
  <w:style w:type="paragraph" w:customStyle="1" w:styleId="TEKSTwporozumieniu">
    <w:name w:val="TEKST&quot;w porozumieniu:&quot;"/>
    <w:next w:val="NAZORGWPOROZUMIENIUnazwaorganuwporozumieniuzktrymaktjestwydawany"/>
    <w:uiPriority w:val="27"/>
    <w:qFormat/>
    <w:rsid w:val="0044533E"/>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44533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44533E"/>
    <w:pPr>
      <w:ind w:left="510" w:firstLine="0"/>
    </w:pPr>
  </w:style>
  <w:style w:type="paragraph" w:customStyle="1" w:styleId="NOTATKILEGISLATORA">
    <w:name w:val="NOTATKI_LEGISLATORA"/>
    <w:basedOn w:val="Normalny"/>
    <w:uiPriority w:val="5"/>
    <w:qFormat/>
    <w:rsid w:val="0044533E"/>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44533E"/>
    <w:pPr>
      <w:keepNext/>
    </w:pPr>
    <w:rPr>
      <w:b/>
      <w:u w:val="none"/>
    </w:rPr>
  </w:style>
  <w:style w:type="paragraph" w:customStyle="1" w:styleId="OZNPARAFYADNOTACJE">
    <w:name w:val="OZN_PARAFY(ADNOTACJE)"/>
    <w:basedOn w:val="ODNONIKtreodnonika"/>
    <w:uiPriority w:val="26"/>
    <w:qFormat/>
    <w:rsid w:val="0044533E"/>
  </w:style>
  <w:style w:type="paragraph" w:customStyle="1" w:styleId="TEKSTZacznikido">
    <w:name w:val="TEKST&quot;Załącznik(i) do ...&quot;"/>
    <w:uiPriority w:val="99"/>
    <w:qFormat/>
    <w:rsid w:val="0044533E"/>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44533E"/>
    <w:pPr>
      <w:ind w:left="851"/>
    </w:pPr>
  </w:style>
  <w:style w:type="paragraph" w:customStyle="1" w:styleId="CZWSPLITODNONIKAczwspliterodnonika">
    <w:name w:val="CZ_WSP_LIT_ODNOŚNIKA – część wsp. liter odnośnika"/>
    <w:basedOn w:val="LITODNONIKAliteraodnonika"/>
    <w:uiPriority w:val="22"/>
    <w:qFormat/>
    <w:rsid w:val="0044533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44533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44533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44533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44533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44533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44533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44533E"/>
  </w:style>
  <w:style w:type="paragraph" w:customStyle="1" w:styleId="ZLITwPKTODNONIKAzmlitwpktodnonikaartykuempunktem">
    <w:name w:val="Z/LIT_w_PKT_ODNOŚNIKA – zm. lit. w pkt odnośnika artykułem (punktem)"/>
    <w:basedOn w:val="ZLITODNONIKAzmlitodnonikaartykuempunktem"/>
    <w:uiPriority w:val="40"/>
    <w:qFormat/>
    <w:rsid w:val="0044533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44533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44533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44533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44533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44533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44533E"/>
  </w:style>
  <w:style w:type="paragraph" w:customStyle="1" w:styleId="ZZFRAGzmianazmfragmentunpzdania">
    <w:name w:val="ZZ/FRAG – zmiana zm. fragmentu (np. zdania)"/>
    <w:basedOn w:val="ZZCZWSPPKTzmianazmczciwsppkt"/>
    <w:uiPriority w:val="70"/>
    <w:qFormat/>
    <w:rsid w:val="0044533E"/>
  </w:style>
  <w:style w:type="paragraph" w:customStyle="1" w:styleId="Z2TIRPKTzmpktpodwjnymtiret">
    <w:name w:val="Z_2TIR/PKT – zm. pkt podwójnym tiret"/>
    <w:basedOn w:val="Z2TIRLITzmlitpodwjnymtiret"/>
    <w:uiPriority w:val="83"/>
    <w:qFormat/>
    <w:rsid w:val="0044533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44533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44533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44533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44533E"/>
    <w:pPr>
      <w:ind w:left="1780" w:firstLine="510"/>
    </w:pPr>
  </w:style>
  <w:style w:type="paragraph" w:customStyle="1" w:styleId="Z2TIRUSTzmustpodwjnymtiret">
    <w:name w:val="Z_2TIR/UST(§) – zm. ust. (§) podwójnym tiret"/>
    <w:basedOn w:val="Z2TIRPKTzmpktpodwjnymtiret"/>
    <w:uiPriority w:val="82"/>
    <w:qFormat/>
    <w:rsid w:val="0044533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44533E"/>
    <w:pPr>
      <w:ind w:left="3164" w:firstLine="0"/>
    </w:pPr>
  </w:style>
  <w:style w:type="paragraph" w:customStyle="1" w:styleId="Z2TIRCZWSPPKTzmczciwsppktpodwjnymtiret">
    <w:name w:val="Z_2TIR/CZ_WSP_PKT – zm. części wsp. pkt podwójnym tiret"/>
    <w:basedOn w:val="Z2TIRPKTzmpktpodwjnymtiret"/>
    <w:uiPriority w:val="86"/>
    <w:qFormat/>
    <w:rsid w:val="0044533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44533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44533E"/>
    <w:pPr>
      <w:ind w:left="2767" w:firstLine="0"/>
    </w:pPr>
  </w:style>
  <w:style w:type="paragraph" w:customStyle="1" w:styleId="ZLITARTzmartliter">
    <w:name w:val="Z_LIT/ART(§) – zm. art. (§) literą"/>
    <w:basedOn w:val="ZLITUSTzmustliter"/>
    <w:uiPriority w:val="46"/>
    <w:qFormat/>
    <w:rsid w:val="0044533E"/>
    <w:rPr>
      <w:rFonts w:ascii="Times New Roman" w:hAnsi="Times New Roman"/>
    </w:rPr>
  </w:style>
  <w:style w:type="paragraph" w:customStyle="1" w:styleId="ZTIRARTzmarttiret">
    <w:name w:val="Z_TIR/ART(§) – zm. art. (§) tiret"/>
    <w:basedOn w:val="ZTIRPKTzmpkttiret"/>
    <w:uiPriority w:val="55"/>
    <w:qFormat/>
    <w:rsid w:val="0044533E"/>
    <w:pPr>
      <w:ind w:left="1383" w:firstLine="510"/>
    </w:pPr>
    <w:rPr>
      <w:rFonts w:ascii="Times New Roman" w:hAnsi="Times New Roman"/>
    </w:rPr>
  </w:style>
  <w:style w:type="paragraph" w:customStyle="1" w:styleId="ZTIRUSTzmusttiret">
    <w:name w:val="Z_TIR/UST(§) – zm. ust. (§) tiret"/>
    <w:basedOn w:val="ZTIRARTzmarttiret"/>
    <w:uiPriority w:val="55"/>
    <w:qFormat/>
    <w:rsid w:val="0044533E"/>
  </w:style>
  <w:style w:type="paragraph" w:customStyle="1" w:styleId="ZLITKSIGIzmozniprzedmksigiliter">
    <w:name w:val="Z_LIT/KSIĘGI – zm. ozn. i przedm. księgi literą"/>
    <w:basedOn w:val="ZCZCIKSIGIzmozniprzedmczciksigiartykuempunktem"/>
    <w:uiPriority w:val="44"/>
    <w:qFormat/>
    <w:rsid w:val="0044533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44533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44533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44533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44533E"/>
    <w:pPr>
      <w:ind w:left="987"/>
    </w:pPr>
  </w:style>
  <w:style w:type="paragraph" w:customStyle="1" w:styleId="ZTIRDZOZNzmozndziautiret">
    <w:name w:val="Z_TIR/DZ_OZN – zm. ozn. działu tiret"/>
    <w:basedOn w:val="ZLITTYTDZOZNzmozntytuudziauliter"/>
    <w:next w:val="ZTIRDZPRZEDMzmprzedmdziautiret"/>
    <w:uiPriority w:val="54"/>
    <w:qFormat/>
    <w:rsid w:val="0044533E"/>
    <w:pPr>
      <w:ind w:left="1383"/>
    </w:pPr>
  </w:style>
  <w:style w:type="paragraph" w:customStyle="1" w:styleId="ZTIRDZPRZEDMzmprzedmdziautiret">
    <w:name w:val="Z_TIR/DZ_PRZEDM – zm. przedm. działu tiret"/>
    <w:basedOn w:val="ZLITTYTDZPRZEDMzmprzedmtytuudziauliter"/>
    <w:uiPriority w:val="54"/>
    <w:qFormat/>
    <w:rsid w:val="0044533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44533E"/>
    <w:pPr>
      <w:ind w:left="1383"/>
    </w:pPr>
  </w:style>
  <w:style w:type="paragraph" w:customStyle="1" w:styleId="ZTIRROZDZODDZPRZEDMzmprzedmrozdzoddztiret">
    <w:name w:val="Z_TIR/ROZDZ(ODDZ)_PRZEDM – zm. przedm. rozdz. (oddz.) tiret"/>
    <w:basedOn w:val="ZLITROZDZODDZPRZEDMzmprzedmrozdzoddzliter"/>
    <w:uiPriority w:val="54"/>
    <w:qFormat/>
    <w:rsid w:val="0044533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44533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44533E"/>
    <w:pPr>
      <w:ind w:left="1780"/>
    </w:pPr>
  </w:style>
  <w:style w:type="character" w:customStyle="1" w:styleId="IGindeksgrny">
    <w:name w:val="_IG_ – indeks górny"/>
    <w:uiPriority w:val="2"/>
    <w:qFormat/>
    <w:rsid w:val="0044533E"/>
    <w:rPr>
      <w:rFonts w:cs="Times New Roman"/>
      <w:spacing w:val="0"/>
      <w:vertAlign w:val="superscript"/>
    </w:rPr>
  </w:style>
  <w:style w:type="character" w:customStyle="1" w:styleId="IDindeksdolny">
    <w:name w:val="_ID_ – indeks dolny"/>
    <w:uiPriority w:val="3"/>
    <w:qFormat/>
    <w:rsid w:val="0044533E"/>
    <w:rPr>
      <w:rFonts w:cs="Times New Roman"/>
      <w:spacing w:val="0"/>
      <w:vertAlign w:val="subscript"/>
    </w:rPr>
  </w:style>
  <w:style w:type="character" w:customStyle="1" w:styleId="IDPindeksdolnyipogrubienie">
    <w:name w:val="_ID_P_ – indeks dolny i pogrubienie"/>
    <w:uiPriority w:val="3"/>
    <w:qFormat/>
    <w:rsid w:val="0044533E"/>
    <w:rPr>
      <w:rFonts w:cs="Times New Roman"/>
      <w:b/>
      <w:spacing w:val="0"/>
      <w:vertAlign w:val="subscript"/>
    </w:rPr>
  </w:style>
  <w:style w:type="character" w:customStyle="1" w:styleId="IDKindeksdolnyikursywa">
    <w:name w:val="_ID_K_ – indeks dolny i kursywa"/>
    <w:uiPriority w:val="3"/>
    <w:qFormat/>
    <w:rsid w:val="0044533E"/>
    <w:rPr>
      <w:rFonts w:cs="Times New Roman"/>
      <w:i/>
      <w:spacing w:val="0"/>
      <w:vertAlign w:val="subscript"/>
    </w:rPr>
  </w:style>
  <w:style w:type="character" w:customStyle="1" w:styleId="IGPindeksgrnyipogrubienie">
    <w:name w:val="_IG_P_ – indeks górny i pogrubienie"/>
    <w:uiPriority w:val="2"/>
    <w:qFormat/>
    <w:rsid w:val="0044533E"/>
    <w:rPr>
      <w:rFonts w:cs="Times New Roman"/>
      <w:b/>
      <w:spacing w:val="0"/>
      <w:vertAlign w:val="superscript"/>
    </w:rPr>
  </w:style>
  <w:style w:type="character" w:customStyle="1" w:styleId="IGKindeksgrnyikursywa">
    <w:name w:val="_IG_K_ – indeks górny i kursywa"/>
    <w:uiPriority w:val="2"/>
    <w:qFormat/>
    <w:rsid w:val="0044533E"/>
    <w:rPr>
      <w:rFonts w:cs="Times New Roman"/>
      <w:i/>
      <w:spacing w:val="0"/>
      <w:vertAlign w:val="superscript"/>
    </w:rPr>
  </w:style>
  <w:style w:type="character" w:customStyle="1" w:styleId="IGPKindeksgrnyipogrubieniekursywa">
    <w:name w:val="_IG_P_K_ – indeks górny i pogrubienie kursywa"/>
    <w:uiPriority w:val="2"/>
    <w:qFormat/>
    <w:rsid w:val="0044533E"/>
    <w:rPr>
      <w:rFonts w:cs="Times New Roman"/>
      <w:b/>
      <w:i/>
      <w:spacing w:val="0"/>
      <w:vertAlign w:val="superscript"/>
    </w:rPr>
  </w:style>
  <w:style w:type="character" w:customStyle="1" w:styleId="IDPKindeksdolnyipogrugieniekursywa">
    <w:name w:val="_ID_P_K_ – indeks dolny i pogrugienie kursywa"/>
    <w:uiPriority w:val="3"/>
    <w:qFormat/>
    <w:rsid w:val="0044533E"/>
    <w:rPr>
      <w:rFonts w:cs="Times New Roman"/>
      <w:b/>
      <w:i/>
      <w:spacing w:val="0"/>
      <w:vertAlign w:val="subscript"/>
    </w:rPr>
  </w:style>
  <w:style w:type="character" w:customStyle="1" w:styleId="Ppogrubienie">
    <w:name w:val="_P_ – pogrubienie"/>
    <w:uiPriority w:val="1"/>
    <w:qFormat/>
    <w:rsid w:val="0044533E"/>
    <w:rPr>
      <w:rFonts w:cs="Times New Roman"/>
      <w:b/>
    </w:rPr>
  </w:style>
  <w:style w:type="character" w:customStyle="1" w:styleId="Kkursywa">
    <w:name w:val="_K_ – kursywa"/>
    <w:uiPriority w:val="99"/>
    <w:qFormat/>
    <w:rsid w:val="0044533E"/>
    <w:rPr>
      <w:rFonts w:cs="Times New Roman"/>
      <w:i/>
    </w:rPr>
  </w:style>
  <w:style w:type="character" w:customStyle="1" w:styleId="PKpogrubieniekursywa">
    <w:name w:val="_P_K_ – pogrubienie kursywa"/>
    <w:uiPriority w:val="1"/>
    <w:qFormat/>
    <w:rsid w:val="0044533E"/>
    <w:rPr>
      <w:rFonts w:cs="Times New Roman"/>
      <w:b/>
      <w:i/>
    </w:rPr>
  </w:style>
  <w:style w:type="character" w:customStyle="1" w:styleId="TEKSTOZNACZONYWDOKUMENCIERDOWYMJAKOUKRYTY">
    <w:name w:val="_TEKST_OZNACZONY_W_DOKUMENCIE_ŹRÓDŁOWYM_JAKO_UKRYTY_"/>
    <w:uiPriority w:val="4"/>
    <w:unhideWhenUsed/>
    <w:qFormat/>
    <w:rsid w:val="0044533E"/>
    <w:rPr>
      <w:rFonts w:cs="Times New Roman"/>
      <w:color w:val="FF0000"/>
      <w:u w:val="single" w:color="FF0000"/>
    </w:rPr>
  </w:style>
  <w:style w:type="character" w:customStyle="1" w:styleId="IIGPindeksgrnyindeksugrnegoipogrubienie">
    <w:name w:val="_IIG_P_ – indeks górny indeksu górnego i pogrubienie"/>
    <w:uiPriority w:val="3"/>
    <w:qFormat/>
    <w:rsid w:val="0044533E"/>
    <w:rPr>
      <w:rFonts w:cs="Times New Roman"/>
      <w:b/>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44533E"/>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19"/>
    <w:qFormat/>
    <w:rsid w:val="0044533E"/>
    <w:pPr>
      <w:spacing w:after="0" w:line="240" w:lineRule="auto"/>
      <w:ind w:left="283" w:hanging="170"/>
    </w:pPr>
    <w:rPr>
      <w:rFonts w:ascii="Times New Roman" w:eastAsia="Times New Roman"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44533E"/>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44533E"/>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44533E"/>
    <w:pPr>
      <w:ind w:left="1894"/>
    </w:pPr>
  </w:style>
  <w:style w:type="paragraph" w:customStyle="1" w:styleId="ZZSKARNzmianazmsankcjikarnej">
    <w:name w:val="ZZ/S_KARN – zmiana zm. sankcji karnej"/>
    <w:basedOn w:val="ZZFRAGzmianazmfragmentunpzdania"/>
    <w:uiPriority w:val="71"/>
    <w:qFormat/>
    <w:rsid w:val="0044533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44533E"/>
    <w:pPr>
      <w:ind w:left="2291" w:firstLine="0"/>
    </w:pPr>
  </w:style>
  <w:style w:type="paragraph" w:customStyle="1" w:styleId="WMATFIZCHEMwzrmatfizlubchem">
    <w:name w:val="W_MAT(FIZ|CHEM) – wzór mat. (fiz. lub chem.)"/>
    <w:uiPriority w:val="18"/>
    <w:qFormat/>
    <w:rsid w:val="0044533E"/>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44533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44533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44533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44533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44533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44533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44533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44533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44533E"/>
    <w:pPr>
      <w:ind w:left="3085"/>
    </w:pPr>
  </w:style>
  <w:style w:type="paragraph" w:customStyle="1" w:styleId="ZLITCYTzmcytatunpprzysigiliter">
    <w:name w:val="Z_LIT/CYT – zm. cytatu np. przysięgi literą"/>
    <w:basedOn w:val="ZCYTzmcytatunpprzysigiartykuempunktem"/>
    <w:uiPriority w:val="53"/>
    <w:qFormat/>
    <w:rsid w:val="0044533E"/>
    <w:pPr>
      <w:ind w:left="1497"/>
    </w:pPr>
  </w:style>
  <w:style w:type="paragraph" w:customStyle="1" w:styleId="ZTIRCYTzmcytatunpprzysigitiret">
    <w:name w:val="Z_TIR/CYT – zm. cytatu np. przysięgi tiret"/>
    <w:basedOn w:val="ZLITCYTzmcytatunpprzysigiliter"/>
    <w:next w:val="ZTIRUSTzmusttiret"/>
    <w:uiPriority w:val="61"/>
    <w:qFormat/>
    <w:rsid w:val="0044533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44533E"/>
    <w:pPr>
      <w:ind w:left="2291"/>
    </w:pPr>
  </w:style>
  <w:style w:type="paragraph" w:customStyle="1" w:styleId="ZZCYTzmianazmcytatunpprzysigi">
    <w:name w:val="ZZ/CYT – zmiana zm. cytatu np. przysięgi"/>
    <w:basedOn w:val="ZZFRAGzmianazmfragmentunpzdania"/>
    <w:next w:val="ZZUSTzmianazmust"/>
    <w:uiPriority w:val="71"/>
    <w:qFormat/>
    <w:rsid w:val="0044533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44533E"/>
    <w:pPr>
      <w:ind w:left="1780"/>
    </w:pPr>
  </w:style>
  <w:style w:type="table" w:styleId="Tabela-Siatka">
    <w:name w:val="Table Grid"/>
    <w:basedOn w:val="Standardowy"/>
    <w:uiPriority w:val="59"/>
    <w:rsid w:val="0044533E"/>
    <w:pPr>
      <w:spacing w:after="0" w:line="240" w:lineRule="auto"/>
    </w:pPr>
    <w:rPr>
      <w:rFonts w:ascii="Times" w:eastAsia="Times New Roman" w:hAnsi="Times"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rsid w:val="0044533E"/>
    <w:pPr>
      <w:widowControl w:val="0"/>
      <w:autoSpaceDE w:val="0"/>
      <w:autoSpaceDN w:val="0"/>
      <w:adjustRightInd w:val="0"/>
      <w:spacing w:after="0" w:line="240" w:lineRule="auto"/>
      <w:jc w:val="both"/>
    </w:pPr>
    <w:rPr>
      <w:rFonts w:ascii="Times" w:eastAsia="Times New Roman" w:hAnsi="Times" w:cs="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44533E"/>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44533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44533E"/>
    <w:tbl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44533E"/>
    <w:rPr>
      <w:rFonts w:cs="Times New Roman"/>
      <w:color w:val="808080"/>
    </w:rPr>
  </w:style>
  <w:style w:type="paragraph" w:styleId="Tekstprzypisukocowego">
    <w:name w:val="endnote text"/>
    <w:basedOn w:val="Normalny"/>
    <w:link w:val="TekstprzypisukocowegoZnak"/>
    <w:uiPriority w:val="99"/>
    <w:unhideWhenUsed/>
    <w:rsid w:val="0044533E"/>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rsid w:val="0044533E"/>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44533E"/>
    <w:rPr>
      <w:rFonts w:cs="Times New Roman"/>
      <w:vertAlign w:val="superscript"/>
    </w:rPr>
  </w:style>
  <w:style w:type="paragraph" w:styleId="Poprawka">
    <w:name w:val="Revision"/>
    <w:hidden/>
    <w:uiPriority w:val="99"/>
    <w:semiHidden/>
    <w:rsid w:val="0044533E"/>
    <w:pPr>
      <w:spacing w:after="0" w:line="240" w:lineRule="auto"/>
    </w:pPr>
    <w:rPr>
      <w:rFonts w:ascii="Times New Roman" w:eastAsia="Times New Roman" w:hAnsi="Times New Roman" w:cs="Arial"/>
      <w:sz w:val="24"/>
      <w:szCs w:val="20"/>
      <w:lang w:eastAsia="pl-PL"/>
    </w:rPr>
  </w:style>
  <w:style w:type="paragraph" w:styleId="Akapitzlist">
    <w:name w:val="List Paragraph"/>
    <w:basedOn w:val="Normalny"/>
    <w:uiPriority w:val="34"/>
    <w:qFormat/>
    <w:rsid w:val="0044533E"/>
    <w:pPr>
      <w:widowControl w:val="0"/>
      <w:autoSpaceDE w:val="0"/>
      <w:autoSpaceDN w:val="0"/>
      <w:adjustRightInd w:val="0"/>
      <w:spacing w:after="0" w:line="360" w:lineRule="auto"/>
      <w:ind w:left="720"/>
      <w:contextualSpacing/>
    </w:pPr>
    <w:rPr>
      <w:rFonts w:ascii="Times New Roman" w:eastAsia="Times New Roman" w:hAnsi="Times New Roman" w:cs="Arial"/>
      <w:sz w:val="24"/>
      <w:szCs w:val="20"/>
      <w:lang w:eastAsia="pl-PL"/>
    </w:rPr>
  </w:style>
  <w:style w:type="paragraph" w:customStyle="1" w:styleId="trescpisma">
    <w:name w:val="tresc.pisma"/>
    <w:basedOn w:val="Normalny"/>
    <w:autoRedefine/>
    <w:qFormat/>
    <w:rsid w:val="0044533E"/>
    <w:pPr>
      <w:spacing w:before="120" w:after="0" w:line="360" w:lineRule="auto"/>
      <w:ind w:firstLine="709"/>
      <w:jc w:val="both"/>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14346</Words>
  <Characters>86078</Characters>
  <Application>Microsoft Office Word</Application>
  <DocSecurity>0</DocSecurity>
  <Lines>717</Lines>
  <Paragraphs>200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Grażyna D. Grabowska</cp:lastModifiedBy>
  <cp:revision>2</cp:revision>
  <cp:lastPrinted>2017-10-25T18:07:00Z</cp:lastPrinted>
  <dcterms:created xsi:type="dcterms:W3CDTF">2017-11-03T14:03:00Z</dcterms:created>
  <dcterms:modified xsi:type="dcterms:W3CDTF">2017-11-03T14:03:00Z</dcterms:modified>
</cp:coreProperties>
</file>