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67" w:rsidRPr="00B200CE" w:rsidRDefault="006E6867" w:rsidP="00207D04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B200CE">
        <w:rPr>
          <w:rFonts w:ascii="Arial" w:hAnsi="Arial" w:cs="Arial"/>
          <w:szCs w:val="24"/>
        </w:rPr>
        <w:t>PROJEKT</w:t>
      </w:r>
    </w:p>
    <w:p w:rsidR="006E6867" w:rsidRPr="00B200CE" w:rsidRDefault="006E6867" w:rsidP="00207D04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B200CE" w:rsidRDefault="006E6867" w:rsidP="00207D04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B200CE" w:rsidRDefault="006E6867" w:rsidP="00207D04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6E6867" w:rsidRPr="00B200CE" w:rsidRDefault="006E6867" w:rsidP="00207D04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B200CE">
        <w:rPr>
          <w:rFonts w:ascii="Arial" w:hAnsi="Arial" w:cs="Arial"/>
          <w:b w:val="0"/>
          <w:bCs/>
          <w:szCs w:val="24"/>
        </w:rPr>
        <w:t>USTAWA</w:t>
      </w:r>
    </w:p>
    <w:p w:rsidR="006E6867" w:rsidRPr="00B200CE" w:rsidRDefault="006E6867" w:rsidP="00207D04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B200CE">
        <w:rPr>
          <w:rFonts w:ascii="Arial" w:hAnsi="Arial" w:cs="Arial"/>
          <w:b w:val="0"/>
          <w:bCs/>
          <w:szCs w:val="24"/>
        </w:rPr>
        <w:t>z dnia                         201</w:t>
      </w:r>
      <w:r w:rsidR="00891B32" w:rsidRPr="00B200CE">
        <w:rPr>
          <w:rFonts w:ascii="Arial" w:hAnsi="Arial" w:cs="Arial"/>
          <w:b w:val="0"/>
          <w:bCs/>
          <w:szCs w:val="24"/>
        </w:rPr>
        <w:t>7</w:t>
      </w:r>
      <w:r w:rsidRPr="00B200CE">
        <w:rPr>
          <w:rFonts w:ascii="Arial" w:hAnsi="Arial" w:cs="Arial"/>
          <w:b w:val="0"/>
          <w:bCs/>
          <w:szCs w:val="24"/>
        </w:rPr>
        <w:t xml:space="preserve"> r.</w:t>
      </w:r>
    </w:p>
    <w:p w:rsidR="006E6867" w:rsidRPr="00B200CE" w:rsidRDefault="00B200CE" w:rsidP="00207D0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200CE">
        <w:rPr>
          <w:rFonts w:ascii="Arial" w:hAnsi="Arial" w:cs="Arial"/>
          <w:sz w:val="24"/>
          <w:szCs w:val="24"/>
        </w:rPr>
        <w:t>o zmianie ustawy – Kodeks wykroczeń</w:t>
      </w:r>
    </w:p>
    <w:p w:rsidR="006E6867" w:rsidRDefault="006E6867" w:rsidP="00207D0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200CE" w:rsidRDefault="00B200CE" w:rsidP="00207D0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200CE" w:rsidRPr="00B200CE" w:rsidRDefault="00B200CE" w:rsidP="00207D0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200CE" w:rsidRPr="004050AA" w:rsidRDefault="00B200CE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050AA">
        <w:rPr>
          <w:rFonts w:ascii="Arial" w:hAnsi="Arial" w:cs="Arial"/>
          <w:b/>
          <w:sz w:val="24"/>
          <w:szCs w:val="24"/>
        </w:rPr>
        <w:t>Art. 1.</w:t>
      </w:r>
      <w:r w:rsidRPr="004050AA">
        <w:rPr>
          <w:rFonts w:ascii="Arial" w:hAnsi="Arial" w:cs="Arial"/>
          <w:sz w:val="24"/>
          <w:szCs w:val="24"/>
        </w:rPr>
        <w:t xml:space="preserve"> W ustawie z dnia 20 maja 1971 r. </w:t>
      </w:r>
      <w:r w:rsidR="003B3C7A" w:rsidRPr="004050AA">
        <w:rPr>
          <w:rFonts w:ascii="Arial" w:hAnsi="Arial" w:cs="Arial"/>
          <w:sz w:val="24"/>
          <w:szCs w:val="24"/>
        </w:rPr>
        <w:t xml:space="preserve">– </w:t>
      </w:r>
      <w:r w:rsidRPr="004050AA">
        <w:rPr>
          <w:rFonts w:ascii="Arial" w:hAnsi="Arial" w:cs="Arial"/>
          <w:sz w:val="24"/>
          <w:szCs w:val="24"/>
        </w:rPr>
        <w:t>Kodeks wykroczeń (Dz. U. z 2015 r. poz. 1094,</w:t>
      </w:r>
      <w:r w:rsidR="004050AA" w:rsidRPr="004050AA">
        <w:rPr>
          <w:rFonts w:ascii="Arial" w:hAnsi="Arial" w:cs="Arial"/>
          <w:sz w:val="24"/>
          <w:szCs w:val="24"/>
        </w:rPr>
        <w:t xml:space="preserve"> 1485, 1634, 1707 </w:t>
      </w:r>
      <w:r w:rsidR="00CD766D">
        <w:rPr>
          <w:rFonts w:ascii="Arial" w:hAnsi="Arial" w:cs="Arial"/>
          <w:sz w:val="24"/>
          <w:szCs w:val="24"/>
        </w:rPr>
        <w:t>oraz</w:t>
      </w:r>
      <w:r w:rsidR="004050AA" w:rsidRPr="004050AA">
        <w:rPr>
          <w:rFonts w:ascii="Arial" w:hAnsi="Arial" w:cs="Arial"/>
          <w:sz w:val="24"/>
          <w:szCs w:val="24"/>
        </w:rPr>
        <w:t xml:space="preserve"> z 2017 r. poz. 966</w:t>
      </w:r>
      <w:r w:rsidRPr="004050AA">
        <w:rPr>
          <w:rFonts w:ascii="Arial" w:hAnsi="Arial" w:cs="Arial"/>
          <w:sz w:val="24"/>
          <w:szCs w:val="24"/>
        </w:rPr>
        <w:t>) wprowadza się następujące zmiany:</w:t>
      </w:r>
    </w:p>
    <w:p w:rsidR="00B200CE" w:rsidRDefault="00B200CE" w:rsidP="00207D0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200CE">
        <w:rPr>
          <w:rFonts w:ascii="Arial" w:hAnsi="Arial" w:cs="Arial"/>
          <w:sz w:val="24"/>
          <w:szCs w:val="24"/>
        </w:rPr>
        <w:t>w ar</w:t>
      </w:r>
      <w:r>
        <w:rPr>
          <w:rFonts w:ascii="Arial" w:hAnsi="Arial" w:cs="Arial"/>
          <w:sz w:val="24"/>
          <w:szCs w:val="24"/>
        </w:rPr>
        <w:t xml:space="preserve">t. 130 </w:t>
      </w:r>
      <w:r w:rsidR="004050AA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 xml:space="preserve">§ 1 </w:t>
      </w:r>
      <w:r w:rsidR="004050AA">
        <w:rPr>
          <w:rFonts w:ascii="Arial" w:hAnsi="Arial" w:cs="Arial"/>
          <w:sz w:val="24"/>
          <w:szCs w:val="24"/>
        </w:rPr>
        <w:t xml:space="preserve">wprowadzenie do wyliczenia </w:t>
      </w:r>
      <w:r>
        <w:rPr>
          <w:rFonts w:ascii="Arial" w:hAnsi="Arial" w:cs="Arial"/>
          <w:sz w:val="24"/>
          <w:szCs w:val="24"/>
        </w:rPr>
        <w:t>otrzymuje brzmienie:</w:t>
      </w:r>
    </w:p>
    <w:p w:rsidR="00B200CE" w:rsidRPr="00B200CE" w:rsidRDefault="00B200CE" w:rsidP="00207D04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200CE">
        <w:rPr>
          <w:rFonts w:ascii="Arial" w:hAnsi="Arial" w:cs="Arial"/>
          <w:sz w:val="24"/>
          <w:szCs w:val="24"/>
        </w:rPr>
        <w:t xml:space="preserve">„§ 1. Przepisów art. 119, </w:t>
      </w:r>
      <w:r w:rsidR="00CD766D">
        <w:rPr>
          <w:rFonts w:ascii="Arial" w:hAnsi="Arial" w:cs="Arial"/>
          <w:sz w:val="24"/>
          <w:szCs w:val="24"/>
        </w:rPr>
        <w:t xml:space="preserve">art. </w:t>
      </w:r>
      <w:r w:rsidRPr="00B200CE">
        <w:rPr>
          <w:rFonts w:ascii="Arial" w:hAnsi="Arial" w:cs="Arial"/>
          <w:sz w:val="24"/>
          <w:szCs w:val="24"/>
        </w:rPr>
        <w:t xml:space="preserve">122 i </w:t>
      </w:r>
      <w:r w:rsidR="00CD766D">
        <w:rPr>
          <w:rFonts w:ascii="Arial" w:hAnsi="Arial" w:cs="Arial"/>
          <w:sz w:val="24"/>
          <w:szCs w:val="24"/>
        </w:rPr>
        <w:t xml:space="preserve">art. </w:t>
      </w:r>
      <w:r w:rsidRPr="00B200CE">
        <w:rPr>
          <w:rFonts w:ascii="Arial" w:hAnsi="Arial" w:cs="Arial"/>
          <w:sz w:val="24"/>
          <w:szCs w:val="24"/>
        </w:rPr>
        <w:t>124 nie stosuje się</w:t>
      </w:r>
      <w:r w:rsidR="004050AA">
        <w:rPr>
          <w:rFonts w:ascii="Arial" w:hAnsi="Arial" w:cs="Arial"/>
          <w:sz w:val="24"/>
          <w:szCs w:val="24"/>
        </w:rPr>
        <w:t>:”</w:t>
      </w:r>
      <w:r w:rsidRPr="00B200CE">
        <w:rPr>
          <w:rFonts w:ascii="Arial" w:hAnsi="Arial" w:cs="Arial"/>
          <w:sz w:val="24"/>
          <w:szCs w:val="24"/>
        </w:rPr>
        <w:t>;</w:t>
      </w:r>
    </w:p>
    <w:p w:rsidR="00B200CE" w:rsidRDefault="00B200CE" w:rsidP="00207D0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200CE">
        <w:rPr>
          <w:rFonts w:ascii="Arial" w:hAnsi="Arial" w:cs="Arial"/>
          <w:sz w:val="24"/>
          <w:szCs w:val="24"/>
        </w:rPr>
        <w:t>w art. 147a § 1 otrzymuje brzmienie:</w:t>
      </w:r>
    </w:p>
    <w:p w:rsidR="00B200CE" w:rsidRPr="00B200CE" w:rsidRDefault="00B200CE" w:rsidP="00207D04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B200CE">
        <w:rPr>
          <w:rFonts w:ascii="Arial" w:hAnsi="Arial" w:cs="Arial"/>
          <w:sz w:val="24"/>
          <w:szCs w:val="24"/>
        </w:rPr>
        <w:t>„§ 1. Kto prowadzi podmiot leczniczy lub zakład leczniczy dla zwierząt albo wykonuje działalność leczniczą bez wymaganego wpisu do rejestru lub ewidencji, podlega karze aresztu, ograniczenia wolności albo grzywny.”.</w:t>
      </w:r>
    </w:p>
    <w:p w:rsidR="00B200CE" w:rsidRPr="00B200CE" w:rsidRDefault="00B200CE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00CE" w:rsidRPr="00B200CE" w:rsidRDefault="00B200CE" w:rsidP="00207D0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200CE">
        <w:rPr>
          <w:rFonts w:ascii="Arial" w:hAnsi="Arial" w:cs="Arial"/>
          <w:b/>
          <w:sz w:val="24"/>
          <w:szCs w:val="24"/>
        </w:rPr>
        <w:t>Art. 2.</w:t>
      </w:r>
      <w:r w:rsidRPr="00B200CE">
        <w:rPr>
          <w:rFonts w:ascii="Arial" w:hAnsi="Arial" w:cs="Arial"/>
          <w:sz w:val="24"/>
          <w:szCs w:val="24"/>
        </w:rPr>
        <w:t xml:space="preserve"> Ustawa wchodzi w życie po upływie 14 dni od dnia ogłoszenia.</w:t>
      </w:r>
    </w:p>
    <w:p w:rsidR="00207D04" w:rsidRDefault="00207D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E6867" w:rsidRPr="003A5507" w:rsidRDefault="006E6867" w:rsidP="00207D04">
      <w:pPr>
        <w:pStyle w:val="OZNRODZAKTUtznustawalubrozporzdzenieiorganwydajcy"/>
        <w:spacing w:after="0"/>
        <w:rPr>
          <w:rFonts w:ascii="Arial" w:hAnsi="Arial" w:cs="Arial"/>
        </w:rPr>
      </w:pPr>
      <w:r w:rsidRPr="003A5507">
        <w:rPr>
          <w:rFonts w:ascii="Arial" w:hAnsi="Arial" w:cs="Arial"/>
        </w:rPr>
        <w:lastRenderedPageBreak/>
        <w:t>Uzasadnienie</w:t>
      </w:r>
    </w:p>
    <w:p w:rsidR="006E6867" w:rsidRPr="003A5507" w:rsidRDefault="006E6867" w:rsidP="00207D04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6E6867" w:rsidRPr="003A5507" w:rsidRDefault="006E6867" w:rsidP="00207D04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1.</w:t>
      </w:r>
      <w:r w:rsidRPr="003A5507">
        <w:rPr>
          <w:rStyle w:val="Ppogrubienie"/>
          <w:rFonts w:ascii="Arial" w:hAnsi="Arial"/>
          <w:szCs w:val="24"/>
        </w:rPr>
        <w:tab/>
        <w:t>Potrzeba i cel uchwalenia ustawy</w:t>
      </w:r>
    </w:p>
    <w:p w:rsidR="006E6867" w:rsidRPr="003A5507" w:rsidRDefault="006E6867" w:rsidP="00207D04">
      <w:pPr>
        <w:pStyle w:val="Default"/>
        <w:spacing w:line="360" w:lineRule="auto"/>
        <w:ind w:firstLine="708"/>
        <w:jc w:val="both"/>
        <w:rPr>
          <w:rFonts w:ascii="Arial" w:hAnsi="Arial" w:cs="Arial"/>
          <w:lang w:val="pl-PL"/>
        </w:rPr>
      </w:pPr>
      <w:r w:rsidRPr="003A5507">
        <w:rPr>
          <w:rFonts w:ascii="Arial" w:hAnsi="Arial"/>
          <w:lang w:val="pl-PL"/>
        </w:rPr>
        <w:t>Projektowana ustawa jest reakcją Komisji do Spraw Petycji Sejmu RP na petycję  skierowaną do Sejmu RP przez</w:t>
      </w:r>
      <w:r w:rsidR="003D626E" w:rsidRPr="003A5507">
        <w:rPr>
          <w:rFonts w:ascii="Arial" w:hAnsi="Arial"/>
          <w:lang w:val="pl-PL"/>
        </w:rPr>
        <w:t xml:space="preserve"> </w:t>
      </w:r>
      <w:r w:rsidR="00DB0055" w:rsidRPr="003A5507">
        <w:rPr>
          <w:rFonts w:ascii="Arial" w:eastAsiaTheme="minorHAnsi" w:hAnsi="Arial" w:cs="Arial"/>
          <w:lang w:val="pl-PL"/>
        </w:rPr>
        <w:t xml:space="preserve"> </w:t>
      </w:r>
      <w:r w:rsidR="00DB0624">
        <w:rPr>
          <w:rFonts w:ascii="Arial" w:eastAsiaTheme="minorHAnsi" w:hAnsi="Arial" w:cs="Arial"/>
          <w:lang w:val="pl-PL"/>
        </w:rPr>
        <w:t>p. Sebastiana Adamowicza</w:t>
      </w:r>
      <w:r w:rsidR="00027FAC" w:rsidRPr="003A5507">
        <w:rPr>
          <w:rFonts w:ascii="Arial" w:hAnsi="Arial" w:cs="Arial"/>
          <w:lang w:val="pl-PL"/>
        </w:rPr>
        <w:t>. Komisja uznała przedłożon</w:t>
      </w:r>
      <w:r w:rsidR="00DB0624">
        <w:rPr>
          <w:rFonts w:ascii="Arial" w:hAnsi="Arial" w:cs="Arial"/>
          <w:lang w:val="pl-PL"/>
        </w:rPr>
        <w:t>ą</w:t>
      </w:r>
      <w:r w:rsidR="00027FAC" w:rsidRPr="003A5507">
        <w:rPr>
          <w:rFonts w:ascii="Arial" w:hAnsi="Arial" w:cs="Arial"/>
          <w:lang w:val="pl-PL"/>
        </w:rPr>
        <w:t xml:space="preserve"> petycj</w:t>
      </w:r>
      <w:r w:rsidR="00DB0624">
        <w:rPr>
          <w:rFonts w:ascii="Arial" w:hAnsi="Arial" w:cs="Arial"/>
          <w:lang w:val="pl-PL"/>
        </w:rPr>
        <w:t xml:space="preserve">ę </w:t>
      </w:r>
      <w:r w:rsidR="00027FAC" w:rsidRPr="003A5507">
        <w:rPr>
          <w:rFonts w:ascii="Arial" w:hAnsi="Arial" w:cs="Arial"/>
          <w:lang w:val="pl-PL"/>
        </w:rPr>
        <w:t>za zasadną.</w:t>
      </w:r>
    </w:p>
    <w:p w:rsidR="00DB0624" w:rsidRDefault="003F65C3" w:rsidP="00207D0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A5507">
        <w:rPr>
          <w:rFonts w:ascii="Arial" w:hAnsi="Arial" w:cs="Arial"/>
          <w:sz w:val="24"/>
          <w:szCs w:val="24"/>
          <w:lang w:eastAsia="pl-PL"/>
        </w:rPr>
        <w:t xml:space="preserve">Celem projektowanej ustawy jest </w:t>
      </w:r>
      <w:r w:rsidR="00626D2F" w:rsidRPr="003A5507">
        <w:rPr>
          <w:rFonts w:ascii="Arial" w:hAnsi="Arial" w:cs="Arial"/>
          <w:sz w:val="24"/>
          <w:szCs w:val="24"/>
          <w:lang w:eastAsia="pl-PL"/>
        </w:rPr>
        <w:t xml:space="preserve">zmiana </w:t>
      </w:r>
      <w:r w:rsidR="00DB0624">
        <w:rPr>
          <w:rFonts w:ascii="Arial" w:hAnsi="Arial" w:cs="Arial"/>
          <w:sz w:val="24"/>
          <w:szCs w:val="24"/>
          <w:lang w:eastAsia="pl-PL"/>
        </w:rPr>
        <w:t xml:space="preserve">dwóch </w:t>
      </w:r>
      <w:r w:rsidR="00626D2F" w:rsidRPr="003A5507">
        <w:rPr>
          <w:rFonts w:ascii="Arial" w:hAnsi="Arial" w:cs="Arial"/>
          <w:sz w:val="24"/>
          <w:szCs w:val="24"/>
        </w:rPr>
        <w:t xml:space="preserve">przepisów </w:t>
      </w:r>
      <w:r w:rsidR="00DB0624">
        <w:rPr>
          <w:rFonts w:ascii="Arial" w:hAnsi="Arial" w:cs="Arial"/>
          <w:sz w:val="24"/>
          <w:szCs w:val="24"/>
        </w:rPr>
        <w:t>Kodeksu wykroczeń, które w obecnym brzmieniu nie spełniają zasady prawidłowej legislacji wskazanej w art. 2 Konstytucji RP. Pierwszy ze zmienianych przepisów (</w:t>
      </w:r>
      <w:r w:rsidR="00DB0624" w:rsidRPr="00B200CE">
        <w:rPr>
          <w:rFonts w:ascii="Arial" w:hAnsi="Arial" w:cs="Arial"/>
          <w:sz w:val="24"/>
          <w:szCs w:val="24"/>
        </w:rPr>
        <w:t>ar</w:t>
      </w:r>
      <w:r w:rsidR="00DB0624">
        <w:rPr>
          <w:rFonts w:ascii="Arial" w:hAnsi="Arial" w:cs="Arial"/>
          <w:sz w:val="24"/>
          <w:szCs w:val="24"/>
        </w:rPr>
        <w:t>t. 130 § 1) jest w obecnym brzmieniu w oczywisty sposób nielogiczny, drugi (</w:t>
      </w:r>
      <w:r w:rsidR="00DB0624" w:rsidRPr="00B200CE">
        <w:rPr>
          <w:rFonts w:ascii="Arial" w:hAnsi="Arial" w:cs="Arial"/>
          <w:sz w:val="24"/>
          <w:szCs w:val="24"/>
        </w:rPr>
        <w:t>art. 147a § 1</w:t>
      </w:r>
      <w:r w:rsidR="00DB0624">
        <w:rPr>
          <w:rFonts w:ascii="Arial" w:hAnsi="Arial" w:cs="Arial"/>
          <w:sz w:val="24"/>
          <w:szCs w:val="24"/>
        </w:rPr>
        <w:t>) można uznać za pusty, nie wywołujący żadnych skutków prawnych.</w:t>
      </w:r>
    </w:p>
    <w:p w:rsidR="003A5507" w:rsidRPr="003A5507" w:rsidRDefault="003A5507" w:rsidP="00207D0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E6867" w:rsidRPr="003A5507" w:rsidRDefault="002D35A4" w:rsidP="00207D04">
      <w:pPr>
        <w:spacing w:after="0" w:line="360" w:lineRule="auto"/>
        <w:jc w:val="both"/>
        <w:rPr>
          <w:rStyle w:val="Ppogrubienie"/>
          <w:rFonts w:ascii="Arial" w:hAnsi="Arial"/>
          <w:sz w:val="24"/>
          <w:szCs w:val="24"/>
        </w:rPr>
      </w:pPr>
      <w:r w:rsidRPr="003A5507">
        <w:rPr>
          <w:rFonts w:ascii="Arial" w:hAnsi="Arial" w:cs="Arial"/>
          <w:sz w:val="24"/>
          <w:szCs w:val="24"/>
        </w:rPr>
        <w:t xml:space="preserve"> </w:t>
      </w:r>
      <w:r w:rsidR="006E6867" w:rsidRPr="003A5507">
        <w:rPr>
          <w:rStyle w:val="Ppogrubienie"/>
          <w:rFonts w:ascii="Arial" w:hAnsi="Arial"/>
          <w:sz w:val="24"/>
          <w:szCs w:val="24"/>
        </w:rPr>
        <w:t>2.</w:t>
      </w:r>
      <w:r w:rsidR="006E6867" w:rsidRPr="003A5507">
        <w:rPr>
          <w:rStyle w:val="Ppogrubienie"/>
          <w:rFonts w:ascii="Arial" w:hAnsi="Arial"/>
          <w:sz w:val="24"/>
          <w:szCs w:val="24"/>
        </w:rPr>
        <w:tab/>
        <w:t>Rzeczywisty stan w dziedzinie, która ma być unormowana</w:t>
      </w:r>
    </w:p>
    <w:p w:rsidR="000E4F01" w:rsidRPr="000E4F01" w:rsidRDefault="00E93FBA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93FBA">
        <w:rPr>
          <w:rFonts w:ascii="Arial" w:hAnsi="Arial" w:cs="Arial"/>
          <w:sz w:val="24"/>
          <w:szCs w:val="24"/>
          <w:lang w:eastAsia="pl-PL"/>
        </w:rPr>
        <w:tab/>
      </w:r>
      <w:r>
        <w:rPr>
          <w:rFonts w:ascii="Arial" w:hAnsi="Arial" w:cs="Arial"/>
          <w:sz w:val="24"/>
          <w:szCs w:val="24"/>
          <w:lang w:eastAsia="pl-PL"/>
        </w:rPr>
        <w:t>A</w:t>
      </w:r>
      <w:r w:rsidRPr="00B200CE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t. </w:t>
      </w:r>
      <w:r w:rsidRPr="000E4F01">
        <w:rPr>
          <w:rFonts w:ascii="Arial" w:hAnsi="Arial" w:cs="Arial"/>
          <w:sz w:val="24"/>
          <w:szCs w:val="24"/>
        </w:rPr>
        <w:t>130 § 1 Kodeksu wykroczeń wyłącza stosowanie przepisu o kradzieży, kradzieży leśnej, paserstwie i zniszczeniu mienia, jeżeli przedmiotem czynu jest broń, amunicja, materiały lub przyrządy wybuchowe</w:t>
      </w:r>
      <w:r w:rsidR="000E4F01" w:rsidRPr="000E4F01">
        <w:rPr>
          <w:rFonts w:ascii="Arial" w:hAnsi="Arial" w:cs="Arial"/>
          <w:sz w:val="24"/>
          <w:szCs w:val="24"/>
        </w:rPr>
        <w:t xml:space="preserve"> („Przepisów art. 119, 120, 122 i 124 nie stosuje się: 1) (uchylony) 2) jeżeli przedmiotem czynu jest broń, amunicja, materiały lub przyrządy wybuchowe.”)</w:t>
      </w:r>
      <w:r w:rsidRPr="000E4F01">
        <w:rPr>
          <w:rFonts w:ascii="Arial" w:hAnsi="Arial" w:cs="Arial"/>
          <w:sz w:val="24"/>
          <w:szCs w:val="24"/>
        </w:rPr>
        <w:t xml:space="preserve">. W takiej sytuacji sprawca popełnia przestępstwo. </w:t>
      </w:r>
    </w:p>
    <w:p w:rsidR="00626D2F" w:rsidRDefault="000E4F01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Przywołanie w omawianym przepisie art. 120 należy uznać za wadliwe. Przepis ten dotyczy bowiem </w:t>
      </w:r>
      <w:r w:rsidR="00E93FBA" w:rsidRPr="00E93FBA">
        <w:rPr>
          <w:rFonts w:ascii="Arial" w:hAnsi="Arial" w:cs="Arial"/>
          <w:sz w:val="24"/>
          <w:szCs w:val="24"/>
        </w:rPr>
        <w:t xml:space="preserve">drzewa rosnącego w lesie, wyrąbanego albo powalonego. W żadnym wypadku nie można zakwalifikować drzewa jako broni, amunicji czy materiału albo przyrządu wybuchowego. Dotyczy to zarówno definicji legalnych zawartych w ustawie z dnia 21 maja 1999 r. o broni </w:t>
      </w:r>
      <w:r w:rsidR="009B2C02">
        <w:rPr>
          <w:rFonts w:ascii="Arial" w:hAnsi="Arial" w:cs="Arial"/>
          <w:sz w:val="24"/>
          <w:szCs w:val="24"/>
        </w:rPr>
        <w:t>i amunicji (Dz. U. z </w:t>
      </w:r>
      <w:r w:rsidR="00E93FBA" w:rsidRPr="00E93FBA">
        <w:rPr>
          <w:rFonts w:ascii="Arial" w:hAnsi="Arial" w:cs="Arial"/>
          <w:sz w:val="24"/>
          <w:szCs w:val="24"/>
        </w:rPr>
        <w:t xml:space="preserve">2012 r. poz. 576, z </w:t>
      </w:r>
      <w:proofErr w:type="spellStart"/>
      <w:r w:rsidR="00E93FBA" w:rsidRPr="00E93FBA">
        <w:rPr>
          <w:rFonts w:ascii="Arial" w:hAnsi="Arial" w:cs="Arial"/>
          <w:sz w:val="24"/>
          <w:szCs w:val="24"/>
        </w:rPr>
        <w:t>późn</w:t>
      </w:r>
      <w:proofErr w:type="spellEnd"/>
      <w:r w:rsidR="00E93FBA" w:rsidRPr="00E93FBA">
        <w:rPr>
          <w:rFonts w:ascii="Arial" w:hAnsi="Arial" w:cs="Arial"/>
          <w:sz w:val="24"/>
          <w:szCs w:val="24"/>
        </w:rPr>
        <w:t xml:space="preserve">. zm.), ustawie z dnia 22 czerwca 2001 r. o wykonywaniu działalności gospodarczej w zakresie wytwarzania i obrotu materiałami wybuchowymi, bronią, amunicją oraz wyrobami i technologią o przeznaczeniu wojskowym lub policyjnym (Dz. U. z 2012 r. poz. 1017, z </w:t>
      </w:r>
      <w:proofErr w:type="spellStart"/>
      <w:r w:rsidR="00E93FBA" w:rsidRPr="00E93FBA">
        <w:rPr>
          <w:rFonts w:ascii="Arial" w:hAnsi="Arial" w:cs="Arial"/>
          <w:sz w:val="24"/>
          <w:szCs w:val="24"/>
        </w:rPr>
        <w:t>późn</w:t>
      </w:r>
      <w:proofErr w:type="spellEnd"/>
      <w:r w:rsidR="00E93FBA" w:rsidRPr="00E93FBA">
        <w:rPr>
          <w:rFonts w:ascii="Arial" w:hAnsi="Arial" w:cs="Arial"/>
          <w:sz w:val="24"/>
          <w:szCs w:val="24"/>
        </w:rPr>
        <w:t xml:space="preserve">. zm.) i ustawie z dnia 21 czerwca 2002 r. o materiałach wybuchowych przeznaczonych do użytku cywilnego (Dz. U. z 2015 r. poz. 1100, z </w:t>
      </w:r>
      <w:proofErr w:type="spellStart"/>
      <w:r w:rsidR="00E93FBA" w:rsidRPr="00E93FBA">
        <w:rPr>
          <w:rFonts w:ascii="Arial" w:hAnsi="Arial" w:cs="Arial"/>
          <w:sz w:val="24"/>
          <w:szCs w:val="24"/>
        </w:rPr>
        <w:t>późn</w:t>
      </w:r>
      <w:proofErr w:type="spellEnd"/>
      <w:r w:rsidR="00E93FBA" w:rsidRPr="00E93FBA">
        <w:rPr>
          <w:rFonts w:ascii="Arial" w:hAnsi="Arial" w:cs="Arial"/>
          <w:sz w:val="24"/>
          <w:szCs w:val="24"/>
        </w:rPr>
        <w:t xml:space="preserve">. zm.), które są w tym wypadku wiążące, jak i rozumienia potocznego. </w:t>
      </w:r>
      <w:r>
        <w:rPr>
          <w:rFonts w:ascii="Arial" w:hAnsi="Arial" w:cs="Arial"/>
          <w:sz w:val="24"/>
          <w:szCs w:val="24"/>
        </w:rPr>
        <w:t>Ustawy nie definiują jedynie pojęcia</w:t>
      </w:r>
      <w:r w:rsidR="00E93FBA" w:rsidRPr="00E93FBA">
        <w:rPr>
          <w:rFonts w:ascii="Arial" w:hAnsi="Arial" w:cs="Arial"/>
          <w:sz w:val="24"/>
          <w:szCs w:val="24"/>
        </w:rPr>
        <w:t xml:space="preserve"> przyrządu wybuchowego, chociaż </w:t>
      </w:r>
      <w:r>
        <w:rPr>
          <w:rFonts w:ascii="Arial" w:hAnsi="Arial" w:cs="Arial"/>
          <w:sz w:val="24"/>
          <w:szCs w:val="24"/>
        </w:rPr>
        <w:t>podanie jego definicji nie stanowi problemu</w:t>
      </w:r>
      <w:r w:rsidR="00E93FBA" w:rsidRPr="00E93FBA">
        <w:rPr>
          <w:rFonts w:ascii="Arial" w:hAnsi="Arial" w:cs="Arial"/>
          <w:sz w:val="24"/>
          <w:szCs w:val="24"/>
        </w:rPr>
        <w:t>.</w:t>
      </w:r>
    </w:p>
    <w:p w:rsidR="00FF6A9E" w:rsidRPr="009D456D" w:rsidRDefault="00FF6A9E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F6A9E">
        <w:rPr>
          <w:rFonts w:ascii="Arial" w:hAnsi="Arial" w:cs="Arial"/>
          <w:sz w:val="24"/>
          <w:szCs w:val="24"/>
        </w:rPr>
        <w:t xml:space="preserve">Aktualne brzmienie art. 147a § 1 („Kto prowadzi zakład opieki zdrowotnej lub zakład leczniczy dla zwierząt bez wymaganego wpisu do rejestru lub ewidencji, </w:t>
      </w:r>
      <w:r w:rsidRPr="00FF6A9E">
        <w:rPr>
          <w:rFonts w:ascii="Arial" w:hAnsi="Arial" w:cs="Arial"/>
          <w:sz w:val="24"/>
          <w:szCs w:val="24"/>
        </w:rPr>
        <w:lastRenderedPageBreak/>
        <w:t xml:space="preserve">podlega karze aresztu, ograniczenia wolności albo grzywny.”) należy uznać za przepis nie </w:t>
      </w:r>
      <w:r w:rsidRPr="009D456D">
        <w:rPr>
          <w:rFonts w:ascii="Arial" w:hAnsi="Arial" w:cs="Arial"/>
          <w:sz w:val="24"/>
          <w:szCs w:val="24"/>
        </w:rPr>
        <w:t>wywołujący skutków prawnych, gdyż jest w nim użyty termin „zakład opieki zdrowotnej”, który został wyeliminowany z obrotu prawnego po wejściu w życie ustawy z dnia 15 kwietnia 2011 r. o działalności leczniczej (</w:t>
      </w:r>
      <w:proofErr w:type="spellStart"/>
      <w:r w:rsidRPr="009D456D">
        <w:rPr>
          <w:rFonts w:ascii="Arial" w:hAnsi="Arial" w:cs="Arial"/>
          <w:sz w:val="24"/>
          <w:szCs w:val="24"/>
        </w:rPr>
        <w:t>t.j</w:t>
      </w:r>
      <w:proofErr w:type="spellEnd"/>
      <w:r w:rsidRPr="009D456D">
        <w:rPr>
          <w:rFonts w:ascii="Arial" w:hAnsi="Arial" w:cs="Arial"/>
          <w:sz w:val="24"/>
          <w:szCs w:val="24"/>
        </w:rPr>
        <w:t xml:space="preserve">. Dz. U. z 2016 r., poz. 1638, z </w:t>
      </w:r>
      <w:proofErr w:type="spellStart"/>
      <w:r w:rsidRPr="009D456D">
        <w:rPr>
          <w:rFonts w:ascii="Arial" w:hAnsi="Arial" w:cs="Arial"/>
          <w:sz w:val="24"/>
          <w:szCs w:val="24"/>
        </w:rPr>
        <w:t>późn</w:t>
      </w:r>
      <w:proofErr w:type="spellEnd"/>
      <w:r w:rsidRPr="009D456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D456D">
        <w:rPr>
          <w:rFonts w:ascii="Arial" w:hAnsi="Arial" w:cs="Arial"/>
          <w:sz w:val="24"/>
          <w:szCs w:val="24"/>
        </w:rPr>
        <w:t>zm</w:t>
      </w:r>
      <w:proofErr w:type="spellEnd"/>
      <w:r w:rsidRPr="009D456D">
        <w:rPr>
          <w:rFonts w:ascii="Arial" w:hAnsi="Arial" w:cs="Arial"/>
          <w:sz w:val="24"/>
          <w:szCs w:val="24"/>
        </w:rPr>
        <w:t>).</w:t>
      </w:r>
      <w:r w:rsidR="009D456D" w:rsidRPr="009D456D">
        <w:rPr>
          <w:rFonts w:ascii="Arial" w:hAnsi="Arial" w:cs="Arial"/>
          <w:sz w:val="24"/>
          <w:szCs w:val="24"/>
        </w:rPr>
        <w:t xml:space="preserve"> </w:t>
      </w:r>
      <w:r w:rsidR="009D456D">
        <w:rPr>
          <w:rFonts w:ascii="Arial" w:hAnsi="Arial" w:cs="Arial"/>
          <w:sz w:val="24"/>
          <w:szCs w:val="24"/>
        </w:rPr>
        <w:t xml:space="preserve">Nie jest możliwe dokonanie </w:t>
      </w:r>
      <w:r w:rsidR="009D456D" w:rsidRPr="009D456D">
        <w:rPr>
          <w:rFonts w:ascii="Arial" w:hAnsi="Arial" w:cs="Arial"/>
          <w:sz w:val="24"/>
          <w:szCs w:val="24"/>
        </w:rPr>
        <w:t>takiej reinterpretacji pojęcia „zakładów opieki zdrowotnej”, aby w jego ramy wtłoczyć treść nowego pojęcia „podmiotów leczniczych”, w rozumieniu nadanym mu u</w:t>
      </w:r>
      <w:r w:rsidR="009D456D">
        <w:rPr>
          <w:rFonts w:ascii="Arial" w:hAnsi="Arial" w:cs="Arial"/>
          <w:sz w:val="24"/>
          <w:szCs w:val="24"/>
        </w:rPr>
        <w:t>stawą o działalności leczniczej.</w:t>
      </w:r>
    </w:p>
    <w:p w:rsidR="00FF6A9E" w:rsidRPr="00FF6A9E" w:rsidRDefault="00FF6A9E" w:rsidP="00207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E6867" w:rsidRPr="003A5507" w:rsidRDefault="006E6867" w:rsidP="00207D04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3.</w:t>
      </w:r>
      <w:r w:rsidRPr="003A550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4050AA" w:rsidRDefault="001B56EA" w:rsidP="00207D04">
      <w:pPr>
        <w:pStyle w:val="PKTpunkt"/>
        <w:ind w:left="0"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ab/>
        <w:t>Projektowana ustawa eliminuje z a</w:t>
      </w:r>
      <w:r w:rsidRPr="00B200CE">
        <w:rPr>
          <w:rFonts w:ascii="Arial" w:hAnsi="Arial"/>
          <w:szCs w:val="24"/>
        </w:rPr>
        <w:t>r</w:t>
      </w:r>
      <w:r>
        <w:rPr>
          <w:rFonts w:ascii="Arial" w:hAnsi="Arial"/>
          <w:szCs w:val="24"/>
        </w:rPr>
        <w:t xml:space="preserve">t. </w:t>
      </w:r>
      <w:r w:rsidRPr="000E4F01">
        <w:rPr>
          <w:rFonts w:ascii="Arial" w:hAnsi="Arial"/>
          <w:szCs w:val="24"/>
        </w:rPr>
        <w:t>130 § 1 Kodeksu wykroczeń</w:t>
      </w:r>
      <w:r>
        <w:rPr>
          <w:rFonts w:ascii="Arial" w:hAnsi="Arial"/>
          <w:szCs w:val="24"/>
        </w:rPr>
        <w:t xml:space="preserve"> wadliwe przywołanie art. 120.</w:t>
      </w:r>
    </w:p>
    <w:p w:rsidR="001B56EA" w:rsidRDefault="001B56EA" w:rsidP="00207D04">
      <w:pPr>
        <w:pStyle w:val="PKTpunkt"/>
        <w:ind w:left="0" w:firstLin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ab/>
        <w:t xml:space="preserve">Projektowana ustawa zmierza do nadania takiego brzmienia </w:t>
      </w:r>
      <w:r w:rsidR="00EA52BB">
        <w:rPr>
          <w:rFonts w:ascii="Arial" w:hAnsi="Arial"/>
          <w:szCs w:val="24"/>
        </w:rPr>
        <w:t xml:space="preserve">art. </w:t>
      </w:r>
      <w:r w:rsidRPr="00FF6A9E">
        <w:rPr>
          <w:rFonts w:ascii="Arial" w:hAnsi="Arial"/>
          <w:szCs w:val="24"/>
        </w:rPr>
        <w:t>147a § 1</w:t>
      </w:r>
      <w:r>
        <w:rPr>
          <w:rFonts w:ascii="Arial" w:hAnsi="Arial"/>
          <w:szCs w:val="24"/>
        </w:rPr>
        <w:t>, które będzie zbieżne z pierwotną intencją ustawodawcy. W tym celu zamiast posługiwania się nieistniejącym już w obrocie prawnym pojęciem „</w:t>
      </w:r>
      <w:r w:rsidR="00B674BD">
        <w:rPr>
          <w:rFonts w:ascii="Arial" w:hAnsi="Arial"/>
          <w:szCs w:val="24"/>
        </w:rPr>
        <w:t xml:space="preserve">prowadzenia </w:t>
      </w:r>
      <w:r>
        <w:rPr>
          <w:rFonts w:ascii="Arial" w:hAnsi="Arial"/>
          <w:szCs w:val="24"/>
        </w:rPr>
        <w:t>zakładu leczniczego” wprowadza się dwa pojęcia: „</w:t>
      </w:r>
      <w:r w:rsidR="00B674BD">
        <w:rPr>
          <w:rFonts w:ascii="Arial" w:hAnsi="Arial"/>
          <w:szCs w:val="24"/>
        </w:rPr>
        <w:t xml:space="preserve">prowadzenia </w:t>
      </w:r>
      <w:r w:rsidRPr="00B200CE">
        <w:rPr>
          <w:rFonts w:ascii="Arial" w:hAnsi="Arial"/>
          <w:szCs w:val="24"/>
        </w:rPr>
        <w:t>podmiot</w:t>
      </w:r>
      <w:r>
        <w:rPr>
          <w:rFonts w:ascii="Arial" w:hAnsi="Arial"/>
          <w:szCs w:val="24"/>
        </w:rPr>
        <w:t>u leczniczego” oraz „</w:t>
      </w:r>
      <w:r w:rsidRPr="00B200CE">
        <w:rPr>
          <w:rFonts w:ascii="Arial" w:hAnsi="Arial"/>
          <w:szCs w:val="24"/>
        </w:rPr>
        <w:t>wykon</w:t>
      </w:r>
      <w:r>
        <w:rPr>
          <w:rFonts w:ascii="Arial" w:hAnsi="Arial"/>
          <w:szCs w:val="24"/>
        </w:rPr>
        <w:t>ywania</w:t>
      </w:r>
      <w:r w:rsidRPr="00B200CE">
        <w:rPr>
          <w:rFonts w:ascii="Arial" w:hAnsi="Arial"/>
          <w:szCs w:val="24"/>
        </w:rPr>
        <w:t xml:space="preserve"> działalnoś</w:t>
      </w:r>
      <w:r>
        <w:rPr>
          <w:rFonts w:ascii="Arial" w:hAnsi="Arial"/>
          <w:szCs w:val="24"/>
        </w:rPr>
        <w:t>ci</w:t>
      </w:r>
      <w:r w:rsidRPr="00B200CE">
        <w:rPr>
          <w:rFonts w:ascii="Arial" w:hAnsi="Arial"/>
          <w:szCs w:val="24"/>
        </w:rPr>
        <w:t xml:space="preserve"> lecznicz</w:t>
      </w:r>
      <w:r>
        <w:rPr>
          <w:rFonts w:ascii="Arial" w:hAnsi="Arial"/>
          <w:szCs w:val="24"/>
        </w:rPr>
        <w:t>ej”.</w:t>
      </w:r>
      <w:r w:rsidR="00B674BD">
        <w:rPr>
          <w:rFonts w:ascii="Arial" w:hAnsi="Arial"/>
          <w:szCs w:val="24"/>
        </w:rPr>
        <w:t xml:space="preserve"> Oba wprowadzane rodzaje działalności, bez </w:t>
      </w:r>
      <w:r w:rsidR="00B674BD" w:rsidRPr="00B200CE">
        <w:rPr>
          <w:rFonts w:ascii="Arial" w:hAnsi="Arial"/>
          <w:szCs w:val="24"/>
        </w:rPr>
        <w:t>wymaganego wpisu do rejestru lub ewidencji</w:t>
      </w:r>
      <w:r w:rsidR="00B674BD">
        <w:rPr>
          <w:rFonts w:ascii="Arial" w:hAnsi="Arial"/>
          <w:szCs w:val="24"/>
        </w:rPr>
        <w:t xml:space="preserve"> będą</w:t>
      </w:r>
      <w:r w:rsidR="00B674BD" w:rsidRPr="00B200CE">
        <w:rPr>
          <w:rFonts w:ascii="Arial" w:hAnsi="Arial"/>
          <w:szCs w:val="24"/>
        </w:rPr>
        <w:t xml:space="preserve"> podlega</w:t>
      </w:r>
      <w:r w:rsidR="00B674BD">
        <w:rPr>
          <w:rFonts w:ascii="Arial" w:hAnsi="Arial"/>
          <w:szCs w:val="24"/>
        </w:rPr>
        <w:t>ły</w:t>
      </w:r>
      <w:r w:rsidR="00B674BD" w:rsidRPr="00B200CE">
        <w:rPr>
          <w:rFonts w:ascii="Arial" w:hAnsi="Arial"/>
          <w:szCs w:val="24"/>
        </w:rPr>
        <w:t xml:space="preserve"> karze aresztu, ogra</w:t>
      </w:r>
      <w:r w:rsidR="00B674BD">
        <w:rPr>
          <w:rFonts w:ascii="Arial" w:hAnsi="Arial"/>
          <w:szCs w:val="24"/>
        </w:rPr>
        <w:t xml:space="preserve">niczenia wolności albo grzywny – tak jak w pierwotnym przepisie prowadzenia zakładu leczniczego bez </w:t>
      </w:r>
      <w:r w:rsidR="00B674BD" w:rsidRPr="00B200CE">
        <w:rPr>
          <w:rFonts w:ascii="Arial" w:hAnsi="Arial"/>
          <w:szCs w:val="24"/>
        </w:rPr>
        <w:t>wymaganego wpisu do rejestru lub ewidencji</w:t>
      </w:r>
      <w:r w:rsidR="00B674BD">
        <w:rPr>
          <w:rFonts w:ascii="Arial" w:hAnsi="Arial"/>
          <w:szCs w:val="24"/>
        </w:rPr>
        <w:t>.</w:t>
      </w:r>
    </w:p>
    <w:p w:rsidR="00B674BD" w:rsidRPr="003A5507" w:rsidRDefault="00B674BD" w:rsidP="00207D04">
      <w:pPr>
        <w:pStyle w:val="PKTpunkt"/>
        <w:ind w:left="0" w:firstLine="0"/>
        <w:rPr>
          <w:rFonts w:ascii="Arial" w:hAnsi="Arial"/>
          <w:szCs w:val="24"/>
        </w:rPr>
      </w:pPr>
    </w:p>
    <w:p w:rsidR="006E6867" w:rsidRPr="003A5507" w:rsidRDefault="006E6867" w:rsidP="00207D04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4.</w:t>
      </w:r>
      <w:r w:rsidRPr="003A5507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DD2489" w:rsidRPr="00DD2489" w:rsidRDefault="00DD2489" w:rsidP="00207D04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DD2489" w:rsidRPr="00DD2489" w:rsidRDefault="00DD2489" w:rsidP="00207D04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DD2489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 dla sektora finansów publicznych.</w:t>
      </w:r>
    </w:p>
    <w:p w:rsidR="0077386A" w:rsidRPr="003A5507" w:rsidRDefault="0077386A" w:rsidP="00207D04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6E6867" w:rsidRPr="003A5507" w:rsidRDefault="006E6867" w:rsidP="00207D04">
      <w:pPr>
        <w:pStyle w:val="PKTpunkt"/>
        <w:rPr>
          <w:rStyle w:val="Ppogrubienie"/>
          <w:rFonts w:ascii="Arial" w:hAnsi="Arial"/>
          <w:szCs w:val="24"/>
        </w:rPr>
      </w:pPr>
      <w:r w:rsidRPr="003A5507">
        <w:rPr>
          <w:rStyle w:val="Ppogrubienie"/>
          <w:rFonts w:ascii="Arial" w:hAnsi="Arial"/>
          <w:szCs w:val="24"/>
        </w:rPr>
        <w:t>5.</w:t>
      </w:r>
      <w:r w:rsidRPr="003A550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6E6867" w:rsidRPr="003A5507" w:rsidRDefault="006E6867" w:rsidP="00207D04">
      <w:pPr>
        <w:spacing w:after="0" w:line="360" w:lineRule="auto"/>
        <w:ind w:firstLine="708"/>
        <w:rPr>
          <w:sz w:val="24"/>
          <w:szCs w:val="24"/>
        </w:rPr>
      </w:pPr>
      <w:r w:rsidRPr="003A5507">
        <w:rPr>
          <w:rFonts w:ascii="Arial" w:hAnsi="Arial"/>
          <w:sz w:val="24"/>
          <w:szCs w:val="24"/>
        </w:rPr>
        <w:t>Przedmiot projektowanej regulacji nie jest objęty prawem Unii Europejskiej</w:t>
      </w:r>
      <w:r w:rsidR="00D243B1">
        <w:rPr>
          <w:rFonts w:ascii="Arial" w:hAnsi="Arial"/>
          <w:sz w:val="24"/>
          <w:szCs w:val="24"/>
        </w:rPr>
        <w:t>.</w:t>
      </w:r>
    </w:p>
    <w:p w:rsidR="008F5797" w:rsidRPr="003A5507" w:rsidRDefault="008F5797" w:rsidP="00207D04">
      <w:pPr>
        <w:spacing w:after="0" w:line="360" w:lineRule="auto"/>
        <w:rPr>
          <w:sz w:val="24"/>
          <w:szCs w:val="24"/>
        </w:rPr>
      </w:pPr>
    </w:p>
    <w:sectPr w:rsidR="008F5797" w:rsidRPr="003A5507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2C8" w:rsidRDefault="006842C8" w:rsidP="006E6867">
      <w:pPr>
        <w:spacing w:after="0" w:line="240" w:lineRule="auto"/>
      </w:pPr>
      <w:r>
        <w:separator/>
      </w:r>
    </w:p>
  </w:endnote>
  <w:endnote w:type="continuationSeparator" w:id="0">
    <w:p w:rsidR="006842C8" w:rsidRDefault="006842C8" w:rsidP="006E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2C8" w:rsidRDefault="006842C8" w:rsidP="006E6867">
      <w:pPr>
        <w:spacing w:after="0" w:line="240" w:lineRule="auto"/>
      </w:pPr>
      <w:r>
        <w:separator/>
      </w:r>
    </w:p>
  </w:footnote>
  <w:footnote w:type="continuationSeparator" w:id="0">
    <w:p w:rsidR="006842C8" w:rsidRDefault="006842C8" w:rsidP="006E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8BD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E3470"/>
    <w:multiLevelType w:val="hybridMultilevel"/>
    <w:tmpl w:val="9FCE488E"/>
    <w:lvl w:ilvl="0" w:tplc="7A2684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0602A1"/>
    <w:multiLevelType w:val="hybridMultilevel"/>
    <w:tmpl w:val="835604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105E1"/>
    <w:multiLevelType w:val="hybridMultilevel"/>
    <w:tmpl w:val="7BE47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BC2F8F"/>
    <w:multiLevelType w:val="hybridMultilevel"/>
    <w:tmpl w:val="8C80AA50"/>
    <w:lvl w:ilvl="0" w:tplc="82300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F514B"/>
    <w:multiLevelType w:val="hybridMultilevel"/>
    <w:tmpl w:val="FF82C0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8A3487"/>
    <w:multiLevelType w:val="hybridMultilevel"/>
    <w:tmpl w:val="6134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B390E"/>
    <w:multiLevelType w:val="hybridMultilevel"/>
    <w:tmpl w:val="1B3410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F4D14"/>
    <w:multiLevelType w:val="hybridMultilevel"/>
    <w:tmpl w:val="945E89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C4A10A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850D5"/>
    <w:multiLevelType w:val="hybridMultilevel"/>
    <w:tmpl w:val="8EDC03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5464F"/>
    <w:multiLevelType w:val="hybridMultilevel"/>
    <w:tmpl w:val="12A0F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B79F6"/>
    <w:multiLevelType w:val="hybridMultilevel"/>
    <w:tmpl w:val="5A887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BF29F5"/>
    <w:multiLevelType w:val="hybridMultilevel"/>
    <w:tmpl w:val="91C49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1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67"/>
    <w:rsid w:val="00023E6E"/>
    <w:rsid w:val="00027FAC"/>
    <w:rsid w:val="000C319A"/>
    <w:rsid w:val="000E4F01"/>
    <w:rsid w:val="000F4A16"/>
    <w:rsid w:val="001616ED"/>
    <w:rsid w:val="00183443"/>
    <w:rsid w:val="001B283A"/>
    <w:rsid w:val="001B56EA"/>
    <w:rsid w:val="00201CB6"/>
    <w:rsid w:val="00207D04"/>
    <w:rsid w:val="00216338"/>
    <w:rsid w:val="00227A41"/>
    <w:rsid w:val="00261E8E"/>
    <w:rsid w:val="00277B8E"/>
    <w:rsid w:val="00280D7A"/>
    <w:rsid w:val="0029048F"/>
    <w:rsid w:val="0029774B"/>
    <w:rsid w:val="002A02D6"/>
    <w:rsid w:val="002C7A97"/>
    <w:rsid w:val="002D35A4"/>
    <w:rsid w:val="002E0B55"/>
    <w:rsid w:val="003020CE"/>
    <w:rsid w:val="00363988"/>
    <w:rsid w:val="003A5507"/>
    <w:rsid w:val="003B200E"/>
    <w:rsid w:val="003B3C7A"/>
    <w:rsid w:val="003D067A"/>
    <w:rsid w:val="003D626E"/>
    <w:rsid w:val="003E4221"/>
    <w:rsid w:val="003F65C3"/>
    <w:rsid w:val="004050AA"/>
    <w:rsid w:val="00406458"/>
    <w:rsid w:val="004279F2"/>
    <w:rsid w:val="00454EB0"/>
    <w:rsid w:val="004659EF"/>
    <w:rsid w:val="004A1D47"/>
    <w:rsid w:val="004B2BCC"/>
    <w:rsid w:val="004D18CF"/>
    <w:rsid w:val="004E1E4D"/>
    <w:rsid w:val="004E29A3"/>
    <w:rsid w:val="004F2924"/>
    <w:rsid w:val="0059785A"/>
    <w:rsid w:val="005D4F17"/>
    <w:rsid w:val="00626D2F"/>
    <w:rsid w:val="006417A6"/>
    <w:rsid w:val="00663E1C"/>
    <w:rsid w:val="006842C8"/>
    <w:rsid w:val="006B3406"/>
    <w:rsid w:val="006D01BE"/>
    <w:rsid w:val="006E6867"/>
    <w:rsid w:val="007007F5"/>
    <w:rsid w:val="00714F00"/>
    <w:rsid w:val="0077386A"/>
    <w:rsid w:val="00773D38"/>
    <w:rsid w:val="0078499F"/>
    <w:rsid w:val="00787B2A"/>
    <w:rsid w:val="007D1583"/>
    <w:rsid w:val="007D759B"/>
    <w:rsid w:val="007E01A4"/>
    <w:rsid w:val="007E2BBB"/>
    <w:rsid w:val="007F4DD6"/>
    <w:rsid w:val="00832EED"/>
    <w:rsid w:val="008333E2"/>
    <w:rsid w:val="00851674"/>
    <w:rsid w:val="00861B51"/>
    <w:rsid w:val="00864E97"/>
    <w:rsid w:val="00883173"/>
    <w:rsid w:val="00891B32"/>
    <w:rsid w:val="00894674"/>
    <w:rsid w:val="008F5797"/>
    <w:rsid w:val="00902F8B"/>
    <w:rsid w:val="0091767C"/>
    <w:rsid w:val="009576E9"/>
    <w:rsid w:val="00967129"/>
    <w:rsid w:val="00972E70"/>
    <w:rsid w:val="00973427"/>
    <w:rsid w:val="0098437E"/>
    <w:rsid w:val="009B2C02"/>
    <w:rsid w:val="009C1D92"/>
    <w:rsid w:val="009D456D"/>
    <w:rsid w:val="009F5972"/>
    <w:rsid w:val="00A242B5"/>
    <w:rsid w:val="00A75B86"/>
    <w:rsid w:val="00AE699A"/>
    <w:rsid w:val="00B016BC"/>
    <w:rsid w:val="00B04230"/>
    <w:rsid w:val="00B044CA"/>
    <w:rsid w:val="00B200CE"/>
    <w:rsid w:val="00B674BD"/>
    <w:rsid w:val="00B77032"/>
    <w:rsid w:val="00BA31E8"/>
    <w:rsid w:val="00BB2B2B"/>
    <w:rsid w:val="00BC6D00"/>
    <w:rsid w:val="00C23801"/>
    <w:rsid w:val="00C43041"/>
    <w:rsid w:val="00C56073"/>
    <w:rsid w:val="00C7295D"/>
    <w:rsid w:val="00CC12B3"/>
    <w:rsid w:val="00CC6869"/>
    <w:rsid w:val="00CD766D"/>
    <w:rsid w:val="00CE03B9"/>
    <w:rsid w:val="00CF65B0"/>
    <w:rsid w:val="00D01FE4"/>
    <w:rsid w:val="00D16E58"/>
    <w:rsid w:val="00D243B1"/>
    <w:rsid w:val="00D6651C"/>
    <w:rsid w:val="00D72BF8"/>
    <w:rsid w:val="00DB0055"/>
    <w:rsid w:val="00DB0624"/>
    <w:rsid w:val="00DC2767"/>
    <w:rsid w:val="00DD2489"/>
    <w:rsid w:val="00DF1106"/>
    <w:rsid w:val="00E11E0A"/>
    <w:rsid w:val="00E41895"/>
    <w:rsid w:val="00E43D55"/>
    <w:rsid w:val="00E93FBA"/>
    <w:rsid w:val="00EA52BB"/>
    <w:rsid w:val="00EB76BD"/>
    <w:rsid w:val="00ED4872"/>
    <w:rsid w:val="00F00D39"/>
    <w:rsid w:val="00F118C1"/>
    <w:rsid w:val="00F44334"/>
    <w:rsid w:val="00F71613"/>
    <w:rsid w:val="00FB7A57"/>
    <w:rsid w:val="00FF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68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86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6E686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E686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rsid w:val="006E686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aliases w:val="Odwołanie przypisu,FZ,(Voetnootmarkering),OZNAKA OPOMBE,przypisy dolne"/>
    <w:basedOn w:val="Domylnaczcionkaakapitu"/>
    <w:uiPriority w:val="99"/>
    <w:rsid w:val="006E6867"/>
    <w:rPr>
      <w:rFonts w:cs="Times New Roman"/>
      <w:vertAlign w:val="superscript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6E686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6E686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E686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E686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E6867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E686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CB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6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6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65B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6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65B0"/>
    <w:rPr>
      <w:rFonts w:ascii="Calibri" w:eastAsia="Calibri" w:hAnsi="Calibri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00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00CE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C7E7C-4F3C-4069-87BD-C8A8EC7F0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Ewa A. Genert</cp:lastModifiedBy>
  <cp:revision>2</cp:revision>
  <dcterms:created xsi:type="dcterms:W3CDTF">2017-11-09T09:53:00Z</dcterms:created>
  <dcterms:modified xsi:type="dcterms:W3CDTF">2017-11-09T09:53:00Z</dcterms:modified>
</cp:coreProperties>
</file>