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B4DCD" w14:textId="25BF0B40" w:rsidR="00F73632" w:rsidRPr="00E53FC3" w:rsidRDefault="0027633E" w:rsidP="00E53FC3">
      <w:pPr>
        <w:widowControl/>
        <w:jc w:val="center"/>
        <w:rPr>
          <w:rFonts w:ascii="Times New Roman" w:hAnsi="Times New Roman" w:cs="Times New Roman"/>
          <w:szCs w:val="24"/>
        </w:rPr>
      </w:pPr>
      <w:bookmarkStart w:id="0" w:name="_GoBack"/>
      <w:bookmarkEnd w:id="0"/>
      <w:r w:rsidRPr="00E53FC3">
        <w:rPr>
          <w:rFonts w:ascii="Times New Roman" w:hAnsi="Times New Roman" w:cs="Times New Roman"/>
          <w:szCs w:val="24"/>
        </w:rPr>
        <w:t>UZASADNIENIE</w:t>
      </w:r>
    </w:p>
    <w:p w14:paraId="20A439E9" w14:textId="77777777"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związku z wejściem w życie:</w:t>
      </w:r>
    </w:p>
    <w:p w14:paraId="574E5D16" w14:textId="2CE5BCE0" w:rsidR="00F73632" w:rsidRPr="00E53FC3" w:rsidRDefault="0027633E" w:rsidP="00E53FC3">
      <w:pPr>
        <w:pStyle w:val="PKTpunkt"/>
        <w:numPr>
          <w:ilvl w:val="0"/>
          <w:numId w:val="25"/>
        </w:numPr>
        <w:ind w:left="406" w:hanging="392"/>
        <w:rPr>
          <w:rFonts w:ascii="Times New Roman" w:hAnsi="Times New Roman" w:cs="Times New Roman"/>
          <w:szCs w:val="24"/>
        </w:rPr>
      </w:pPr>
      <w:r w:rsidRPr="00E53FC3">
        <w:rPr>
          <w:rFonts w:ascii="Times New Roman" w:hAnsi="Times New Roman" w:cs="Times New Roman"/>
          <w:szCs w:val="24"/>
        </w:rPr>
        <w:t xml:space="preserve"> dyrektywy Komisji (UE) 2015/1127 z dnia 10 lipca 2015 r. zmieniającej załącznik II do dyrektywy Parlamentu Europejskiego i Rady 2008/98/WE w</w:t>
      </w:r>
      <w:r w:rsidR="00E53FC3">
        <w:rPr>
          <w:rFonts w:ascii="Times New Roman" w:hAnsi="Times New Roman" w:cs="Times New Roman"/>
          <w:szCs w:val="24"/>
        </w:rPr>
        <w:t xml:space="preserve"> </w:t>
      </w:r>
      <w:r w:rsidRPr="00E53FC3">
        <w:rPr>
          <w:rFonts w:ascii="Times New Roman" w:hAnsi="Times New Roman" w:cs="Times New Roman"/>
          <w:szCs w:val="24"/>
        </w:rPr>
        <w:t xml:space="preserve">sprawie odpadów oraz uchylającej niektóre dyrektywy (Dz. </w:t>
      </w:r>
      <w:r w:rsidR="00E53FC3">
        <w:rPr>
          <w:rFonts w:ascii="Times New Roman" w:hAnsi="Times New Roman" w:cs="Times New Roman"/>
          <w:szCs w:val="24"/>
        </w:rPr>
        <w:t>Urz. UE L 184 z 11.07.2015</w:t>
      </w:r>
      <w:r w:rsidR="007B336E">
        <w:rPr>
          <w:rFonts w:ascii="Times New Roman" w:hAnsi="Times New Roman" w:cs="Times New Roman"/>
          <w:szCs w:val="24"/>
        </w:rPr>
        <w:t>,</w:t>
      </w:r>
      <w:r w:rsidR="00E53FC3">
        <w:rPr>
          <w:rFonts w:ascii="Times New Roman" w:hAnsi="Times New Roman" w:cs="Times New Roman"/>
          <w:szCs w:val="24"/>
        </w:rPr>
        <w:t xml:space="preserve"> str. </w:t>
      </w:r>
      <w:r w:rsidRPr="00E53FC3">
        <w:rPr>
          <w:rFonts w:ascii="Times New Roman" w:hAnsi="Times New Roman" w:cs="Times New Roman"/>
          <w:szCs w:val="24"/>
        </w:rPr>
        <w:t>13, z</w:t>
      </w:r>
      <w:r w:rsidR="00587BFB">
        <w:rPr>
          <w:rFonts w:ascii="Times New Roman" w:hAnsi="Times New Roman" w:cs="Times New Roman"/>
          <w:szCs w:val="24"/>
        </w:rPr>
        <w:t> </w:t>
      </w:r>
      <w:proofErr w:type="spellStart"/>
      <w:r w:rsidRPr="00E53FC3">
        <w:rPr>
          <w:rFonts w:ascii="Times New Roman" w:hAnsi="Times New Roman" w:cs="Times New Roman"/>
          <w:szCs w:val="24"/>
        </w:rPr>
        <w:t>późn</w:t>
      </w:r>
      <w:proofErr w:type="spellEnd"/>
      <w:r w:rsidRPr="00E53FC3">
        <w:rPr>
          <w:rFonts w:ascii="Times New Roman" w:hAnsi="Times New Roman" w:cs="Times New Roman"/>
          <w:szCs w:val="24"/>
        </w:rPr>
        <w:t>. zm.), dalej jako „dyrektywa 2015/1127”,</w:t>
      </w:r>
    </w:p>
    <w:p w14:paraId="7455ECBB" w14:textId="7AC1FB89" w:rsidR="00F73632" w:rsidRPr="00E53FC3" w:rsidRDefault="0027633E" w:rsidP="00E53FC3">
      <w:pPr>
        <w:pStyle w:val="PKTpunkt"/>
        <w:numPr>
          <w:ilvl w:val="0"/>
          <w:numId w:val="25"/>
        </w:numPr>
        <w:ind w:left="406" w:hanging="392"/>
        <w:rPr>
          <w:rFonts w:ascii="Times New Roman" w:hAnsi="Times New Roman" w:cs="Times New Roman"/>
          <w:szCs w:val="24"/>
        </w:rPr>
      </w:pPr>
      <w:r w:rsidRPr="00E53FC3">
        <w:rPr>
          <w:rFonts w:ascii="Times New Roman" w:hAnsi="Times New Roman" w:cs="Times New Roman"/>
          <w:szCs w:val="24"/>
        </w:rPr>
        <w:t xml:space="preserve"> rozporządzenia Komisji (UE) nr 1357/2014 z dnia 18 grudnia 2014 r. zastępującego załącznik III do dyrektywy Parlamentu Europejskiego i Rady 2008/98/WE w sprawie odpadów oraz uchylającej</w:t>
      </w:r>
      <w:r w:rsidR="00F50AFD">
        <w:rPr>
          <w:rFonts w:ascii="Times New Roman" w:hAnsi="Times New Roman" w:cs="Times New Roman"/>
          <w:szCs w:val="24"/>
        </w:rPr>
        <w:t xml:space="preserve"> niektóre dyrektywy (Dz. Urz.</w:t>
      </w:r>
      <w:r w:rsidR="007B336E">
        <w:rPr>
          <w:rFonts w:ascii="Times New Roman" w:hAnsi="Times New Roman" w:cs="Times New Roman"/>
          <w:szCs w:val="24"/>
        </w:rPr>
        <w:t xml:space="preserve"> UE</w:t>
      </w:r>
      <w:r w:rsidR="00F50AFD">
        <w:rPr>
          <w:rFonts w:ascii="Times New Roman" w:hAnsi="Times New Roman" w:cs="Times New Roman"/>
          <w:szCs w:val="24"/>
        </w:rPr>
        <w:t xml:space="preserve"> L </w:t>
      </w:r>
      <w:r w:rsidRPr="00E53FC3">
        <w:rPr>
          <w:rFonts w:ascii="Times New Roman" w:hAnsi="Times New Roman" w:cs="Times New Roman"/>
          <w:szCs w:val="24"/>
        </w:rPr>
        <w:t>365 z 19.12.2014, str.</w:t>
      </w:r>
      <w:r w:rsidR="00587BFB">
        <w:rPr>
          <w:rFonts w:ascii="Times New Roman" w:hAnsi="Times New Roman" w:cs="Times New Roman"/>
          <w:szCs w:val="24"/>
        </w:rPr>
        <w:t> </w:t>
      </w:r>
      <w:r w:rsidRPr="00E53FC3">
        <w:rPr>
          <w:rFonts w:ascii="Times New Roman" w:hAnsi="Times New Roman" w:cs="Times New Roman"/>
          <w:szCs w:val="24"/>
        </w:rPr>
        <w:t xml:space="preserve">89, z </w:t>
      </w:r>
      <w:proofErr w:type="spellStart"/>
      <w:r w:rsidRPr="00E53FC3">
        <w:rPr>
          <w:rFonts w:ascii="Times New Roman" w:hAnsi="Times New Roman" w:cs="Times New Roman"/>
          <w:szCs w:val="24"/>
        </w:rPr>
        <w:t>późn</w:t>
      </w:r>
      <w:proofErr w:type="spellEnd"/>
      <w:r w:rsidRPr="00E53FC3">
        <w:rPr>
          <w:rFonts w:ascii="Times New Roman" w:hAnsi="Times New Roman" w:cs="Times New Roman"/>
          <w:szCs w:val="24"/>
        </w:rPr>
        <w:t>. zm.), dal</w:t>
      </w:r>
      <w:r w:rsidR="00F50AFD">
        <w:rPr>
          <w:rFonts w:ascii="Times New Roman" w:hAnsi="Times New Roman" w:cs="Times New Roman"/>
          <w:szCs w:val="24"/>
        </w:rPr>
        <w:t>ej jako „rozporządzenie (UE) nr </w:t>
      </w:r>
      <w:r w:rsidRPr="00E53FC3">
        <w:rPr>
          <w:rFonts w:ascii="Times New Roman" w:hAnsi="Times New Roman" w:cs="Times New Roman"/>
          <w:szCs w:val="24"/>
        </w:rPr>
        <w:t xml:space="preserve">1357/2014”, </w:t>
      </w:r>
    </w:p>
    <w:p w14:paraId="1F67B6AD" w14:textId="5715B3F1" w:rsidR="00F73632" w:rsidRPr="00E53FC3" w:rsidRDefault="0027633E" w:rsidP="00E53FC3">
      <w:pPr>
        <w:pStyle w:val="PKTpunkt"/>
        <w:numPr>
          <w:ilvl w:val="0"/>
          <w:numId w:val="25"/>
        </w:numPr>
        <w:ind w:left="406" w:hanging="392"/>
        <w:rPr>
          <w:rFonts w:ascii="Times New Roman" w:hAnsi="Times New Roman" w:cs="Times New Roman"/>
          <w:szCs w:val="24"/>
        </w:rPr>
      </w:pPr>
      <w:r w:rsidRPr="00E53FC3">
        <w:rPr>
          <w:rFonts w:ascii="Times New Roman" w:hAnsi="Times New Roman" w:cs="Times New Roman"/>
          <w:szCs w:val="24"/>
        </w:rPr>
        <w:t>rozporządzenia Rady (UE) 2017/997 z dnia 8 czerwca 2017 r. zmieniającego załącznik III do dyrektywy Parlamentu Europejskiego i Rady 20</w:t>
      </w:r>
      <w:r w:rsidR="00F50AFD">
        <w:rPr>
          <w:rFonts w:ascii="Times New Roman" w:hAnsi="Times New Roman" w:cs="Times New Roman"/>
          <w:szCs w:val="24"/>
        </w:rPr>
        <w:t>08/98/WE w </w:t>
      </w:r>
      <w:r w:rsidRPr="00E53FC3">
        <w:rPr>
          <w:rFonts w:ascii="Times New Roman" w:hAnsi="Times New Roman" w:cs="Times New Roman"/>
          <w:szCs w:val="24"/>
        </w:rPr>
        <w:t>odniesieniu do niebezpiecznej właściwości HP 14 „</w:t>
      </w:r>
      <w:proofErr w:type="spellStart"/>
      <w:r w:rsidRPr="00E53FC3">
        <w:rPr>
          <w:rFonts w:ascii="Times New Roman" w:hAnsi="Times New Roman" w:cs="Times New Roman"/>
          <w:szCs w:val="24"/>
        </w:rPr>
        <w:t>Ekotoksyczne</w:t>
      </w:r>
      <w:proofErr w:type="spellEnd"/>
      <w:r w:rsidRPr="00E53FC3">
        <w:rPr>
          <w:rFonts w:ascii="Times New Roman" w:hAnsi="Times New Roman" w:cs="Times New Roman"/>
          <w:szCs w:val="24"/>
        </w:rPr>
        <w:t>” (Dz. Urz. UE L 150 z 14.06.2017, str. 1), dalej jako „rozporządzenie (UE) 2017/997</w:t>
      </w:r>
      <w:r w:rsidR="007B336E">
        <w:rPr>
          <w:rFonts w:ascii="Times New Roman" w:hAnsi="Times New Roman" w:cs="Times New Roman"/>
          <w:szCs w:val="24"/>
        </w:rPr>
        <w:t>”</w:t>
      </w:r>
    </w:p>
    <w:p w14:paraId="68D7BE52" w14:textId="4095ACA0" w:rsidR="00F73632" w:rsidRPr="00E53FC3" w:rsidRDefault="00E53FC3" w:rsidP="00E53FC3">
      <w:pPr>
        <w:pStyle w:val="PKTpunkt"/>
        <w:ind w:left="0" w:firstLine="0"/>
        <w:rPr>
          <w:rFonts w:ascii="Times New Roman" w:hAnsi="Times New Roman" w:cs="Times New Roman"/>
          <w:szCs w:val="24"/>
        </w:rPr>
      </w:pPr>
      <w:r>
        <w:rPr>
          <w:rFonts w:ascii="Times New Roman" w:hAnsi="Times New Roman" w:cs="Times New Roman"/>
          <w:szCs w:val="24"/>
        </w:rPr>
        <w:t>–</w:t>
      </w:r>
      <w:r w:rsidR="0027633E" w:rsidRPr="00E53FC3">
        <w:rPr>
          <w:rFonts w:ascii="Times New Roman" w:hAnsi="Times New Roman" w:cs="Times New Roman"/>
          <w:szCs w:val="24"/>
        </w:rPr>
        <w:t xml:space="preserve"> konieczne jest niezwłoczne wprowadzenie odpowie</w:t>
      </w:r>
      <w:r w:rsidR="00F50AFD">
        <w:rPr>
          <w:rFonts w:ascii="Times New Roman" w:hAnsi="Times New Roman" w:cs="Times New Roman"/>
          <w:szCs w:val="24"/>
        </w:rPr>
        <w:t>dnich zmian w ustawie z dnia 14 </w:t>
      </w:r>
      <w:r w:rsidR="0027633E" w:rsidRPr="00E53FC3">
        <w:rPr>
          <w:rFonts w:ascii="Times New Roman" w:hAnsi="Times New Roman" w:cs="Times New Roman"/>
          <w:szCs w:val="24"/>
        </w:rPr>
        <w:t>grudnia 2012</w:t>
      </w:r>
      <w:r>
        <w:rPr>
          <w:rFonts w:ascii="Times New Roman" w:hAnsi="Times New Roman" w:cs="Times New Roman"/>
          <w:szCs w:val="24"/>
        </w:rPr>
        <w:t xml:space="preserve"> </w:t>
      </w:r>
      <w:r w:rsidR="0027633E" w:rsidRPr="00E53FC3">
        <w:rPr>
          <w:rFonts w:ascii="Times New Roman" w:hAnsi="Times New Roman" w:cs="Times New Roman"/>
          <w:szCs w:val="24"/>
        </w:rPr>
        <w:t>r. o</w:t>
      </w:r>
      <w:r>
        <w:rPr>
          <w:rFonts w:ascii="Times New Roman" w:hAnsi="Times New Roman" w:cs="Times New Roman"/>
          <w:szCs w:val="24"/>
        </w:rPr>
        <w:t xml:space="preserve"> </w:t>
      </w:r>
      <w:r w:rsidR="0027633E" w:rsidRPr="00E53FC3">
        <w:rPr>
          <w:rFonts w:ascii="Times New Roman" w:hAnsi="Times New Roman" w:cs="Times New Roman"/>
          <w:szCs w:val="24"/>
        </w:rPr>
        <w:t>odpadach (Dz. U. z 2016</w:t>
      </w:r>
      <w:r>
        <w:rPr>
          <w:rFonts w:ascii="Times New Roman" w:hAnsi="Times New Roman" w:cs="Times New Roman"/>
          <w:szCs w:val="24"/>
        </w:rPr>
        <w:t xml:space="preserve"> </w:t>
      </w:r>
      <w:r w:rsidR="0027633E" w:rsidRPr="00E53FC3">
        <w:rPr>
          <w:rFonts w:ascii="Times New Roman" w:hAnsi="Times New Roman" w:cs="Times New Roman"/>
          <w:szCs w:val="24"/>
        </w:rPr>
        <w:t>r. poz.</w:t>
      </w:r>
      <w:r>
        <w:rPr>
          <w:rFonts w:ascii="Times New Roman" w:hAnsi="Times New Roman" w:cs="Times New Roman"/>
          <w:szCs w:val="24"/>
        </w:rPr>
        <w:t xml:space="preserve"> </w:t>
      </w:r>
      <w:r w:rsidR="0027633E" w:rsidRPr="00E53FC3">
        <w:rPr>
          <w:rFonts w:ascii="Times New Roman" w:hAnsi="Times New Roman" w:cs="Times New Roman"/>
          <w:szCs w:val="24"/>
        </w:rPr>
        <w:t xml:space="preserve">1987, z </w:t>
      </w:r>
      <w:proofErr w:type="spellStart"/>
      <w:r w:rsidR="0027633E" w:rsidRPr="00E53FC3">
        <w:rPr>
          <w:rFonts w:ascii="Times New Roman" w:hAnsi="Times New Roman" w:cs="Times New Roman"/>
          <w:szCs w:val="24"/>
        </w:rPr>
        <w:t>późn</w:t>
      </w:r>
      <w:proofErr w:type="spellEnd"/>
      <w:r w:rsidR="0027633E" w:rsidRPr="00E53FC3">
        <w:rPr>
          <w:rFonts w:ascii="Times New Roman" w:hAnsi="Times New Roman" w:cs="Times New Roman"/>
          <w:szCs w:val="24"/>
        </w:rPr>
        <w:t>. zm.), dalej jako „ustawa o odpadach”.</w:t>
      </w:r>
    </w:p>
    <w:p w14:paraId="37AD47D3" w14:textId="768159D0" w:rsidR="00F73632" w:rsidRPr="00E53FC3" w:rsidRDefault="0027633E" w:rsidP="00E53FC3">
      <w:pPr>
        <w:widowControl/>
        <w:spacing w:before="120"/>
        <w:rPr>
          <w:rFonts w:ascii="Times New Roman" w:hAnsi="Times New Roman" w:cs="Times New Roman"/>
          <w:iCs/>
          <w:szCs w:val="24"/>
        </w:rPr>
      </w:pPr>
      <w:r w:rsidRPr="00E53FC3">
        <w:rPr>
          <w:rFonts w:ascii="Times New Roman" w:hAnsi="Times New Roman" w:cs="Times New Roman"/>
          <w:iCs/>
          <w:szCs w:val="24"/>
        </w:rPr>
        <w:t>Konsekwencją wejścia w życie wprost obowiązujących rozporządzenia (UE) nr</w:t>
      </w:r>
      <w:r w:rsidR="00F50AFD">
        <w:rPr>
          <w:rFonts w:ascii="Times New Roman" w:hAnsi="Times New Roman" w:cs="Times New Roman"/>
          <w:iCs/>
          <w:szCs w:val="24"/>
        </w:rPr>
        <w:t> </w:t>
      </w:r>
      <w:r w:rsidRPr="00E53FC3">
        <w:rPr>
          <w:rFonts w:ascii="Times New Roman" w:hAnsi="Times New Roman" w:cs="Times New Roman"/>
          <w:iCs/>
          <w:szCs w:val="24"/>
        </w:rPr>
        <w:t>1357/2014 i rozporządzenia 2017/997 jest uchyle</w:t>
      </w:r>
      <w:r w:rsidR="00F50AFD">
        <w:rPr>
          <w:rFonts w:ascii="Times New Roman" w:hAnsi="Times New Roman" w:cs="Times New Roman"/>
          <w:iCs/>
          <w:szCs w:val="24"/>
        </w:rPr>
        <w:t>nie załącznika nr 3 do ustawy o </w:t>
      </w:r>
      <w:r w:rsidRPr="00E53FC3">
        <w:rPr>
          <w:rFonts w:ascii="Times New Roman" w:hAnsi="Times New Roman" w:cs="Times New Roman"/>
          <w:iCs/>
          <w:szCs w:val="24"/>
        </w:rPr>
        <w:t xml:space="preserve">odpadach i wprowadzenie odesłania bezpośrednio do ww. aktów UE oraz naniesienie zmian w przepisach odsyłających do tego załącznika – zmiany dotyczące definicji odpadów niebezpiecznych oraz zmiany klasyfikacji odpadów niebezpiecznych na inne niż niebezpieczne (zmiany art. 3, art. 4, art. 7 oraz art. 8 ustawy o odpadach </w:t>
      </w:r>
      <w:r w:rsidR="00E53FC3">
        <w:rPr>
          <w:rFonts w:ascii="Times New Roman" w:hAnsi="Times New Roman" w:cs="Times New Roman"/>
          <w:iCs/>
          <w:szCs w:val="24"/>
        </w:rPr>
        <w:t>–</w:t>
      </w:r>
      <w:r w:rsidRPr="00E53FC3">
        <w:rPr>
          <w:rFonts w:ascii="Times New Roman" w:hAnsi="Times New Roman" w:cs="Times New Roman"/>
          <w:iCs/>
          <w:szCs w:val="24"/>
        </w:rPr>
        <w:t xml:space="preserve"> odpowiednio art. 1 pkt 1</w:t>
      </w:r>
      <w:r w:rsidR="00E53FC3">
        <w:rPr>
          <w:rFonts w:ascii="Times New Roman" w:hAnsi="Times New Roman" w:cs="Times New Roman"/>
          <w:iCs/>
          <w:szCs w:val="24"/>
        </w:rPr>
        <w:t>–</w:t>
      </w:r>
      <w:r w:rsidRPr="00E53FC3">
        <w:rPr>
          <w:rFonts w:ascii="Times New Roman" w:hAnsi="Times New Roman" w:cs="Times New Roman"/>
          <w:iCs/>
          <w:szCs w:val="24"/>
        </w:rPr>
        <w:t xml:space="preserve">4 projektowanej ustawy). </w:t>
      </w:r>
    </w:p>
    <w:p w14:paraId="0DA9430C" w14:textId="4FBC9D75"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Dodatkowo w celu zapewnienia spójności prawa pol</w:t>
      </w:r>
      <w:r w:rsidR="00F50AFD">
        <w:rPr>
          <w:rFonts w:ascii="Times New Roman" w:hAnsi="Times New Roman" w:cs="Times New Roman"/>
          <w:szCs w:val="24"/>
        </w:rPr>
        <w:t>skiego z dyrektywą 2008/68/WE z </w:t>
      </w:r>
      <w:r w:rsidRPr="00E53FC3">
        <w:rPr>
          <w:rFonts w:ascii="Times New Roman" w:hAnsi="Times New Roman" w:cs="Times New Roman"/>
          <w:szCs w:val="24"/>
        </w:rPr>
        <w:t>dnia 24 września 2008 r. Parlamentu Europejskiego i Rady</w:t>
      </w:r>
      <w:r w:rsidR="00E53FC3">
        <w:rPr>
          <w:rFonts w:ascii="Times New Roman" w:hAnsi="Times New Roman" w:cs="Times New Roman"/>
          <w:szCs w:val="24"/>
        </w:rPr>
        <w:t xml:space="preserve"> </w:t>
      </w:r>
      <w:r w:rsidRPr="00E53FC3">
        <w:rPr>
          <w:rFonts w:ascii="Times New Roman" w:hAnsi="Times New Roman" w:cs="Times New Roman"/>
          <w:szCs w:val="24"/>
        </w:rPr>
        <w:t xml:space="preserve">w sprawie transportu lądowego towarów niebezpiecznych (Dz. Urz. </w:t>
      </w:r>
      <w:r w:rsidR="007B336E">
        <w:rPr>
          <w:rFonts w:ascii="Times New Roman" w:hAnsi="Times New Roman" w:cs="Times New Roman"/>
          <w:szCs w:val="24"/>
        </w:rPr>
        <w:t xml:space="preserve">UE </w:t>
      </w:r>
      <w:r w:rsidRPr="00E53FC3">
        <w:rPr>
          <w:rFonts w:ascii="Times New Roman" w:hAnsi="Times New Roman" w:cs="Times New Roman"/>
          <w:szCs w:val="24"/>
        </w:rPr>
        <w:t xml:space="preserve">L 260 z 30.09.2008, str. 13, z </w:t>
      </w:r>
      <w:proofErr w:type="spellStart"/>
      <w:r w:rsidRPr="00E53FC3">
        <w:rPr>
          <w:rFonts w:ascii="Times New Roman" w:hAnsi="Times New Roman" w:cs="Times New Roman"/>
          <w:szCs w:val="24"/>
        </w:rPr>
        <w:t>późn</w:t>
      </w:r>
      <w:proofErr w:type="spellEnd"/>
      <w:r w:rsidRPr="00E53FC3">
        <w:rPr>
          <w:rFonts w:ascii="Times New Roman" w:hAnsi="Times New Roman" w:cs="Times New Roman"/>
          <w:szCs w:val="24"/>
        </w:rPr>
        <w:t>. zm.), implementowaną ustawą z dnia 19 sierpnia 2011 r. o</w:t>
      </w:r>
      <w:r w:rsidR="00E53FC3">
        <w:rPr>
          <w:rFonts w:ascii="Times New Roman" w:hAnsi="Times New Roman" w:cs="Times New Roman"/>
          <w:szCs w:val="24"/>
        </w:rPr>
        <w:t xml:space="preserve"> </w:t>
      </w:r>
      <w:r w:rsidRPr="00E53FC3">
        <w:rPr>
          <w:rFonts w:ascii="Times New Roman" w:hAnsi="Times New Roman" w:cs="Times New Roman"/>
          <w:szCs w:val="24"/>
        </w:rPr>
        <w:t>przewozie towarów niebezpiecznych (Dz. U. z 2016 r. poz. 1834</w:t>
      </w:r>
      <w:r w:rsidR="002A27A7">
        <w:rPr>
          <w:rFonts w:ascii="Times New Roman" w:hAnsi="Times New Roman" w:cs="Times New Roman"/>
          <w:szCs w:val="24"/>
        </w:rPr>
        <w:t xml:space="preserve">, z </w:t>
      </w:r>
      <w:proofErr w:type="spellStart"/>
      <w:r w:rsidR="002A27A7">
        <w:rPr>
          <w:rFonts w:ascii="Times New Roman" w:hAnsi="Times New Roman" w:cs="Times New Roman"/>
          <w:szCs w:val="24"/>
        </w:rPr>
        <w:t>późn</w:t>
      </w:r>
      <w:proofErr w:type="spellEnd"/>
      <w:r w:rsidR="002A27A7">
        <w:rPr>
          <w:rFonts w:ascii="Times New Roman" w:hAnsi="Times New Roman" w:cs="Times New Roman"/>
          <w:szCs w:val="24"/>
        </w:rPr>
        <w:t>. zm.</w:t>
      </w:r>
      <w:r w:rsidRPr="00E53FC3">
        <w:rPr>
          <w:rFonts w:ascii="Times New Roman" w:hAnsi="Times New Roman" w:cs="Times New Roman"/>
          <w:szCs w:val="24"/>
        </w:rPr>
        <w:t>), dokonan</w:t>
      </w:r>
      <w:r w:rsidR="00F50AFD">
        <w:rPr>
          <w:rFonts w:ascii="Times New Roman" w:hAnsi="Times New Roman" w:cs="Times New Roman"/>
          <w:szCs w:val="24"/>
        </w:rPr>
        <w:t>o zmian art. 24 ust. 2 ustawy o </w:t>
      </w:r>
      <w:r w:rsidRPr="00E53FC3">
        <w:rPr>
          <w:rFonts w:ascii="Times New Roman" w:hAnsi="Times New Roman" w:cs="Times New Roman"/>
          <w:szCs w:val="24"/>
        </w:rPr>
        <w:t xml:space="preserve">odpadach (art. 1 pkt 5 projektowanej ustawy). Ma to na celu uregulowanie przewozu odpadów niebezpiecznych. Odpady niebezpieczne, będące jednocześnie towarami niebezpiecznymi, będą podlegać przepisom regulującym transport towarów </w:t>
      </w:r>
      <w:r w:rsidRPr="00E53FC3">
        <w:rPr>
          <w:rFonts w:ascii="Times New Roman" w:hAnsi="Times New Roman" w:cs="Times New Roman"/>
          <w:szCs w:val="24"/>
        </w:rPr>
        <w:lastRenderedPageBreak/>
        <w:t>niebezpiecznych, a pozostałe (niespełniające kryteriów towarów niebezpiecznych) przepisom ustawy o odpadach.</w:t>
      </w:r>
      <w:r w:rsidR="00E53FC3">
        <w:rPr>
          <w:rFonts w:ascii="Times New Roman" w:hAnsi="Times New Roman" w:cs="Times New Roman"/>
          <w:szCs w:val="24"/>
        </w:rPr>
        <w:t xml:space="preserve"> </w:t>
      </w:r>
      <w:r w:rsidRPr="00E53FC3">
        <w:rPr>
          <w:rFonts w:ascii="Times New Roman" w:hAnsi="Times New Roman" w:cs="Times New Roman"/>
          <w:szCs w:val="24"/>
        </w:rPr>
        <w:t>Z uwagi na fakt, że projektowany przepis art. 24 ust. 2 ustawy o odpadach nie wprowadza nowych rozwiązań w stosunku do rozporządzenia Ministra Środowiska z dnia 7 października 2016 r. w sprawie szczegółowych wymagań dla transportu odpadów (Dz. U. poz. 1742), wydanego na podstawie art. 24 ust. 7 ustawy o odpadach</w:t>
      </w:r>
      <w:r w:rsidR="002A27A7">
        <w:rPr>
          <w:rFonts w:ascii="Times New Roman" w:hAnsi="Times New Roman" w:cs="Times New Roman"/>
          <w:szCs w:val="24"/>
        </w:rPr>
        <w:t>,</w:t>
      </w:r>
      <w:r w:rsidRPr="00E53FC3">
        <w:rPr>
          <w:rFonts w:ascii="Times New Roman" w:hAnsi="Times New Roman" w:cs="Times New Roman"/>
          <w:szCs w:val="24"/>
        </w:rPr>
        <w:t xml:space="preserve"> oraz nie zmienia zakresu merytorycznego upoważnienia zawartego w art. 24 ust. 7, nie zachodzi konieczność wydania nowego rozporządzenia w sprawie szczegółowych wymagań transportu odpadów po wejściu w życie ww. przepisu art. 24 ust. 2 ustawy</w:t>
      </w:r>
      <w:r w:rsidR="00E53FC3">
        <w:rPr>
          <w:rFonts w:ascii="Times New Roman" w:hAnsi="Times New Roman" w:cs="Times New Roman"/>
          <w:szCs w:val="24"/>
        </w:rPr>
        <w:t xml:space="preserve"> </w:t>
      </w:r>
      <w:r w:rsidRPr="00E53FC3">
        <w:rPr>
          <w:rFonts w:ascii="Times New Roman" w:hAnsi="Times New Roman" w:cs="Times New Roman"/>
          <w:szCs w:val="24"/>
        </w:rPr>
        <w:t>odpadach.</w:t>
      </w:r>
    </w:p>
    <w:p w14:paraId="317DCB39" w14:textId="23D4F630"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projektowanym art. 50 ustawy o odpadach (art</w:t>
      </w:r>
      <w:r w:rsidR="002A27A7">
        <w:rPr>
          <w:rFonts w:ascii="Times New Roman" w:hAnsi="Times New Roman" w:cs="Times New Roman"/>
          <w:szCs w:val="24"/>
        </w:rPr>
        <w:t>. 1 pkt 6 projektowanej ustawy)</w:t>
      </w:r>
      <w:r w:rsidRPr="00E53FC3">
        <w:rPr>
          <w:rFonts w:ascii="Times New Roman" w:hAnsi="Times New Roman" w:cs="Times New Roman"/>
          <w:szCs w:val="24"/>
        </w:rPr>
        <w:t xml:space="preserve"> wskazano, że marszałek województwa dokonuje wpisu do rejes</w:t>
      </w:r>
      <w:r w:rsidR="00F50AFD">
        <w:rPr>
          <w:rFonts w:ascii="Times New Roman" w:hAnsi="Times New Roman" w:cs="Times New Roman"/>
          <w:szCs w:val="24"/>
        </w:rPr>
        <w:t>tru na wniosek m.in. </w:t>
      </w:r>
      <w:r w:rsidRPr="00E53FC3">
        <w:rPr>
          <w:rFonts w:ascii="Times New Roman" w:hAnsi="Times New Roman" w:cs="Times New Roman"/>
          <w:szCs w:val="24"/>
        </w:rPr>
        <w:t>wytwórców odpadów obowiązanych do prowadzenia ewidencji odpadów, z</w:t>
      </w:r>
      <w:r w:rsidR="00F50AFD">
        <w:rPr>
          <w:rFonts w:ascii="Times New Roman" w:hAnsi="Times New Roman" w:cs="Times New Roman"/>
          <w:szCs w:val="24"/>
        </w:rPr>
        <w:t> </w:t>
      </w:r>
      <w:r w:rsidRPr="00E53FC3">
        <w:rPr>
          <w:rFonts w:ascii="Times New Roman" w:hAnsi="Times New Roman" w:cs="Times New Roman"/>
          <w:szCs w:val="24"/>
        </w:rPr>
        <w:t>wyłączeniem posiadaczy odpadów, którzy uzyskali pozwolenie zintegrowane lub pozwolenie na wytwarzanie odpadów – którzy są zgodnie z obowiązującymi przepisami wpisywani do rejestru z urzędu. Wytwórcy odpadów są zobowiązani na podstawie przepisów ustawy o</w:t>
      </w:r>
      <w:r w:rsidR="00E53FC3">
        <w:rPr>
          <w:rFonts w:ascii="Times New Roman" w:hAnsi="Times New Roman" w:cs="Times New Roman"/>
          <w:szCs w:val="24"/>
        </w:rPr>
        <w:t xml:space="preserve"> </w:t>
      </w:r>
      <w:r w:rsidRPr="00E53FC3">
        <w:rPr>
          <w:rFonts w:ascii="Times New Roman" w:hAnsi="Times New Roman" w:cs="Times New Roman"/>
          <w:szCs w:val="24"/>
        </w:rPr>
        <w:t>odpadach do prowadzenia ewid</w:t>
      </w:r>
      <w:r w:rsidR="00F50AFD">
        <w:rPr>
          <w:rFonts w:ascii="Times New Roman" w:hAnsi="Times New Roman" w:cs="Times New Roman"/>
          <w:szCs w:val="24"/>
        </w:rPr>
        <w:t>encji i składania sprawozdań za </w:t>
      </w:r>
      <w:r w:rsidRPr="00E53FC3">
        <w:rPr>
          <w:rFonts w:ascii="Times New Roman" w:hAnsi="Times New Roman" w:cs="Times New Roman"/>
          <w:szCs w:val="24"/>
        </w:rPr>
        <w:t xml:space="preserve">pośrednictwem </w:t>
      </w:r>
      <w:r w:rsidR="00375728" w:rsidRPr="00E53FC3">
        <w:rPr>
          <w:rFonts w:ascii="Times New Roman" w:hAnsi="Times New Roman" w:cs="Times New Roman"/>
          <w:szCs w:val="24"/>
        </w:rPr>
        <w:t>Bazy danych o</w:t>
      </w:r>
      <w:r w:rsidR="00375728">
        <w:rPr>
          <w:rFonts w:ascii="Times New Roman" w:hAnsi="Times New Roman" w:cs="Times New Roman"/>
          <w:szCs w:val="24"/>
        </w:rPr>
        <w:t xml:space="preserve"> </w:t>
      </w:r>
      <w:r w:rsidR="00375728" w:rsidRPr="00E53FC3">
        <w:rPr>
          <w:rFonts w:ascii="Times New Roman" w:hAnsi="Times New Roman" w:cs="Times New Roman"/>
          <w:szCs w:val="24"/>
        </w:rPr>
        <w:t>produktach i opakowaniach oraz o gospodarce odpadami</w:t>
      </w:r>
      <w:r w:rsidR="007B336E">
        <w:rPr>
          <w:rFonts w:ascii="Times New Roman" w:hAnsi="Times New Roman" w:cs="Times New Roman"/>
          <w:szCs w:val="24"/>
        </w:rPr>
        <w:t>, dalej</w:t>
      </w:r>
      <w:r w:rsidR="00430953">
        <w:rPr>
          <w:rFonts w:ascii="Times New Roman" w:hAnsi="Times New Roman" w:cs="Times New Roman"/>
          <w:szCs w:val="24"/>
        </w:rPr>
        <w:t xml:space="preserve"> jako</w:t>
      </w:r>
      <w:r w:rsidR="007B336E">
        <w:rPr>
          <w:rFonts w:ascii="Times New Roman" w:hAnsi="Times New Roman" w:cs="Times New Roman"/>
          <w:szCs w:val="24"/>
        </w:rPr>
        <w:t xml:space="preserve"> „</w:t>
      </w:r>
      <w:r w:rsidRPr="00E53FC3">
        <w:rPr>
          <w:rFonts w:ascii="Times New Roman" w:hAnsi="Times New Roman" w:cs="Times New Roman"/>
          <w:szCs w:val="24"/>
        </w:rPr>
        <w:t>BDO</w:t>
      </w:r>
      <w:r w:rsidR="007B336E">
        <w:rPr>
          <w:rFonts w:ascii="Times New Roman" w:hAnsi="Times New Roman" w:cs="Times New Roman"/>
          <w:szCs w:val="24"/>
        </w:rPr>
        <w:t>”</w:t>
      </w:r>
      <w:r w:rsidRPr="00E53FC3">
        <w:rPr>
          <w:rFonts w:ascii="Times New Roman" w:hAnsi="Times New Roman" w:cs="Times New Roman"/>
          <w:szCs w:val="24"/>
        </w:rPr>
        <w:t>. Jednakże</w:t>
      </w:r>
      <w:r w:rsidR="002A27A7">
        <w:rPr>
          <w:rFonts w:ascii="Times New Roman" w:hAnsi="Times New Roman" w:cs="Times New Roman"/>
          <w:szCs w:val="24"/>
        </w:rPr>
        <w:t>,</w:t>
      </w:r>
      <w:r w:rsidRPr="00E53FC3">
        <w:rPr>
          <w:rFonts w:ascii="Times New Roman" w:hAnsi="Times New Roman" w:cs="Times New Roman"/>
          <w:szCs w:val="24"/>
        </w:rPr>
        <w:t xml:space="preserve"> aby takie sprawozdanie mogło zostać złożone</w:t>
      </w:r>
      <w:r w:rsidR="00375728">
        <w:rPr>
          <w:rFonts w:ascii="Times New Roman" w:hAnsi="Times New Roman" w:cs="Times New Roman"/>
          <w:szCs w:val="24"/>
        </w:rPr>
        <w:t>,</w:t>
      </w:r>
      <w:r w:rsidRPr="00E53FC3">
        <w:rPr>
          <w:rFonts w:ascii="Times New Roman" w:hAnsi="Times New Roman" w:cs="Times New Roman"/>
          <w:szCs w:val="24"/>
        </w:rPr>
        <w:t xml:space="preserve"> wytwórcy odpadów musi zostać przydzielony login i hasło dostępu do BDO. Zatem konieczne jest wprowadzenie procedury rejestrującej wytwórców odpadów, aby mogli oni wywiązywać się ze swoich obowiązków sprawozdawczych. Podmioty te nie będą również objęte opłatą rejestrową i roczną</w:t>
      </w:r>
      <w:r w:rsidR="007B336E">
        <w:rPr>
          <w:rFonts w:ascii="Times New Roman" w:hAnsi="Times New Roman" w:cs="Times New Roman"/>
          <w:szCs w:val="24"/>
        </w:rPr>
        <w:t>,</w:t>
      </w:r>
      <w:r w:rsidRPr="00E53FC3">
        <w:rPr>
          <w:rFonts w:ascii="Times New Roman" w:hAnsi="Times New Roman" w:cs="Times New Roman"/>
          <w:szCs w:val="24"/>
        </w:rPr>
        <w:t xml:space="preserve"> podobnie jak inne podmioty, o których mowa w art. 51 ust. 1 ustawy o odpadach (opłatami objęte są tylko podmioty wprowadzające na rynek produkty – art. 57 ust. 1 ustawy o odpadach). </w:t>
      </w:r>
    </w:p>
    <w:p w14:paraId="41EA1576" w14:textId="4BB15B1A"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Projektowana zmiana art. 58 ustawy o odpadach (art.</w:t>
      </w:r>
      <w:r w:rsidR="00E53FC3">
        <w:rPr>
          <w:rFonts w:ascii="Times New Roman" w:hAnsi="Times New Roman" w:cs="Times New Roman"/>
          <w:szCs w:val="24"/>
        </w:rPr>
        <w:t xml:space="preserve"> </w:t>
      </w:r>
      <w:r w:rsidRPr="00E53FC3">
        <w:rPr>
          <w:rFonts w:ascii="Times New Roman" w:hAnsi="Times New Roman" w:cs="Times New Roman"/>
          <w:szCs w:val="24"/>
        </w:rPr>
        <w:t>1 pkt</w:t>
      </w:r>
      <w:r w:rsidR="00E53FC3">
        <w:rPr>
          <w:rFonts w:ascii="Times New Roman" w:hAnsi="Times New Roman" w:cs="Times New Roman"/>
          <w:szCs w:val="24"/>
        </w:rPr>
        <w:t xml:space="preserve"> </w:t>
      </w:r>
      <w:r w:rsidRPr="00E53FC3">
        <w:rPr>
          <w:rFonts w:ascii="Times New Roman" w:hAnsi="Times New Roman" w:cs="Times New Roman"/>
          <w:szCs w:val="24"/>
        </w:rPr>
        <w:t>8 projektowanej ustawy) jest konsekwencją zmiany reguły wydatkowej w projekcie ustawy i dotyczy aktualizacji proporcji podziału wpływów z opłaty rejestrowe</w:t>
      </w:r>
      <w:r w:rsidR="00F50AFD">
        <w:rPr>
          <w:rFonts w:ascii="Times New Roman" w:hAnsi="Times New Roman" w:cs="Times New Roman"/>
          <w:szCs w:val="24"/>
        </w:rPr>
        <w:t>j i opłaty rocznej (związanej z </w:t>
      </w:r>
      <w:r w:rsidRPr="00E53FC3">
        <w:rPr>
          <w:rFonts w:ascii="Times New Roman" w:hAnsi="Times New Roman" w:cs="Times New Roman"/>
          <w:szCs w:val="24"/>
        </w:rPr>
        <w:t>wpisaniem podmiotu do rejestru, o którym mowa w art.</w:t>
      </w:r>
      <w:r w:rsidR="00E53FC3">
        <w:rPr>
          <w:rFonts w:ascii="Times New Roman" w:hAnsi="Times New Roman" w:cs="Times New Roman"/>
          <w:szCs w:val="24"/>
        </w:rPr>
        <w:t xml:space="preserve"> </w:t>
      </w:r>
      <w:r w:rsidRPr="00E53FC3">
        <w:rPr>
          <w:rFonts w:ascii="Times New Roman" w:hAnsi="Times New Roman" w:cs="Times New Roman"/>
          <w:szCs w:val="24"/>
        </w:rPr>
        <w:t>49 ust. 1 ustawy o odpadach) do budżetu województwa oraz do budżetu państwa. Konieczność wprowadzenia tej zmiany wynika ze zwiększenia w procedowanym projekcie wydatków budżetu państwa o</w:t>
      </w:r>
      <w:r w:rsidR="00587BFB">
        <w:rPr>
          <w:rFonts w:ascii="Times New Roman" w:hAnsi="Times New Roman" w:cs="Times New Roman"/>
          <w:szCs w:val="24"/>
        </w:rPr>
        <w:t> </w:t>
      </w:r>
      <w:r w:rsidRPr="00E53FC3">
        <w:rPr>
          <w:rFonts w:ascii="Times New Roman" w:hAnsi="Times New Roman" w:cs="Times New Roman"/>
          <w:szCs w:val="24"/>
        </w:rPr>
        <w:t>około 1 mln zł oraz zmniejszenia wydatków samorz</w:t>
      </w:r>
      <w:r w:rsidR="00F50AFD">
        <w:rPr>
          <w:rFonts w:ascii="Times New Roman" w:hAnsi="Times New Roman" w:cs="Times New Roman"/>
          <w:szCs w:val="24"/>
        </w:rPr>
        <w:t>ądu o tę samą kwotę, a także ze </w:t>
      </w:r>
      <w:r w:rsidRPr="00E53FC3">
        <w:rPr>
          <w:rFonts w:ascii="Times New Roman" w:hAnsi="Times New Roman" w:cs="Times New Roman"/>
          <w:szCs w:val="24"/>
        </w:rPr>
        <w:t xml:space="preserve">zmniejszenia nakładu pracy potrzebnego do realizacji przez samorządy przy prowadzeniu BDO. Korekta podziału środków zawarta w projekcie ustawy zmienia </w:t>
      </w:r>
      <w:r w:rsidRPr="00E53FC3">
        <w:rPr>
          <w:rFonts w:ascii="Times New Roman" w:hAnsi="Times New Roman" w:cs="Times New Roman"/>
          <w:szCs w:val="24"/>
        </w:rPr>
        <w:lastRenderedPageBreak/>
        <w:t xml:space="preserve">dotychczasowy podział (50%/50%) w następujący sposób: dla budżetu państwa </w:t>
      </w:r>
      <w:r w:rsidR="00E53FC3">
        <w:rPr>
          <w:rFonts w:ascii="Times New Roman" w:hAnsi="Times New Roman" w:cs="Times New Roman"/>
          <w:szCs w:val="24"/>
        </w:rPr>
        <w:t>–</w:t>
      </w:r>
      <w:r w:rsidRPr="00E53FC3">
        <w:rPr>
          <w:rFonts w:ascii="Times New Roman" w:hAnsi="Times New Roman" w:cs="Times New Roman"/>
          <w:szCs w:val="24"/>
        </w:rPr>
        <w:t xml:space="preserve"> 64,35%, a dla samorządu terytorialnego </w:t>
      </w:r>
      <w:r w:rsidR="00E53FC3">
        <w:rPr>
          <w:rFonts w:ascii="Times New Roman" w:hAnsi="Times New Roman" w:cs="Times New Roman"/>
          <w:szCs w:val="24"/>
        </w:rPr>
        <w:t>–</w:t>
      </w:r>
      <w:r w:rsidRPr="00E53FC3">
        <w:rPr>
          <w:rFonts w:ascii="Times New Roman" w:hAnsi="Times New Roman" w:cs="Times New Roman"/>
          <w:szCs w:val="24"/>
        </w:rPr>
        <w:t xml:space="preserve"> 35,65%.</w:t>
      </w:r>
    </w:p>
    <w:p w14:paraId="4C461BD8" w14:textId="26F84C23"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Zmiany zaproponowane w art. 67, </w:t>
      </w:r>
      <w:r w:rsidR="007B336E">
        <w:rPr>
          <w:rFonts w:ascii="Times New Roman" w:hAnsi="Times New Roman" w:cs="Times New Roman"/>
          <w:szCs w:val="24"/>
        </w:rPr>
        <w:t xml:space="preserve">art. </w:t>
      </w:r>
      <w:r w:rsidRPr="00E53FC3">
        <w:rPr>
          <w:rFonts w:ascii="Times New Roman" w:hAnsi="Times New Roman" w:cs="Times New Roman"/>
          <w:szCs w:val="24"/>
        </w:rPr>
        <w:t xml:space="preserve">69, </w:t>
      </w:r>
      <w:r w:rsidR="007B336E">
        <w:rPr>
          <w:rFonts w:ascii="Times New Roman" w:hAnsi="Times New Roman" w:cs="Times New Roman"/>
          <w:szCs w:val="24"/>
        </w:rPr>
        <w:t xml:space="preserve">art. </w:t>
      </w:r>
      <w:r w:rsidRPr="00E53FC3">
        <w:rPr>
          <w:rFonts w:ascii="Times New Roman" w:hAnsi="Times New Roman" w:cs="Times New Roman"/>
          <w:szCs w:val="24"/>
        </w:rPr>
        <w:t xml:space="preserve">71a, </w:t>
      </w:r>
      <w:r w:rsidR="007B336E">
        <w:rPr>
          <w:rFonts w:ascii="Times New Roman" w:hAnsi="Times New Roman" w:cs="Times New Roman"/>
          <w:szCs w:val="24"/>
        </w:rPr>
        <w:t xml:space="preserve">art. </w:t>
      </w:r>
      <w:r w:rsidRPr="00E53FC3">
        <w:rPr>
          <w:rFonts w:ascii="Times New Roman" w:hAnsi="Times New Roman" w:cs="Times New Roman"/>
          <w:szCs w:val="24"/>
        </w:rPr>
        <w:t>76</w:t>
      </w:r>
      <w:r w:rsidR="007B336E">
        <w:rPr>
          <w:rFonts w:ascii="Times New Roman" w:hAnsi="Times New Roman" w:cs="Times New Roman"/>
          <w:szCs w:val="24"/>
        </w:rPr>
        <w:t xml:space="preserve"> i art.</w:t>
      </w:r>
      <w:r w:rsidRPr="00E53FC3">
        <w:rPr>
          <w:rFonts w:ascii="Times New Roman" w:hAnsi="Times New Roman" w:cs="Times New Roman"/>
          <w:szCs w:val="24"/>
        </w:rPr>
        <w:t xml:space="preserve"> 79 ustawy o odpadach (art. 1 pkt 9,</w:t>
      </w:r>
      <w:r w:rsidR="007B336E">
        <w:rPr>
          <w:rFonts w:ascii="Times New Roman" w:hAnsi="Times New Roman" w:cs="Times New Roman"/>
          <w:szCs w:val="24"/>
        </w:rPr>
        <w:t xml:space="preserve"> </w:t>
      </w:r>
      <w:r w:rsidRPr="00E53FC3">
        <w:rPr>
          <w:rFonts w:ascii="Times New Roman" w:hAnsi="Times New Roman" w:cs="Times New Roman"/>
          <w:szCs w:val="24"/>
        </w:rPr>
        <w:t>11</w:t>
      </w:r>
      <w:r w:rsidR="00E53FC3">
        <w:rPr>
          <w:rFonts w:ascii="Times New Roman" w:hAnsi="Times New Roman" w:cs="Times New Roman"/>
          <w:szCs w:val="24"/>
        </w:rPr>
        <w:t>–</w:t>
      </w:r>
      <w:r w:rsidRPr="00E53FC3">
        <w:rPr>
          <w:rFonts w:ascii="Times New Roman" w:hAnsi="Times New Roman" w:cs="Times New Roman"/>
          <w:szCs w:val="24"/>
        </w:rPr>
        <w:t>14 projektowanej ustawy) dotyczące dokumentów ewidencji odpadów mają na celu ściślejszą kontrolę przekazywania odpadów, a</w:t>
      </w:r>
      <w:r w:rsidR="00E53FC3">
        <w:rPr>
          <w:rFonts w:ascii="Times New Roman" w:hAnsi="Times New Roman" w:cs="Times New Roman"/>
          <w:szCs w:val="24"/>
        </w:rPr>
        <w:t xml:space="preserve"> </w:t>
      </w:r>
      <w:r w:rsidRPr="00E53FC3">
        <w:rPr>
          <w:rFonts w:ascii="Times New Roman" w:hAnsi="Times New Roman" w:cs="Times New Roman"/>
          <w:szCs w:val="24"/>
        </w:rPr>
        <w:t>w</w:t>
      </w:r>
      <w:r w:rsidR="00E53FC3">
        <w:rPr>
          <w:rFonts w:ascii="Times New Roman" w:hAnsi="Times New Roman" w:cs="Times New Roman"/>
          <w:szCs w:val="24"/>
        </w:rPr>
        <w:t xml:space="preserve"> </w:t>
      </w:r>
      <w:r w:rsidRPr="00E53FC3">
        <w:rPr>
          <w:rFonts w:ascii="Times New Roman" w:hAnsi="Times New Roman" w:cs="Times New Roman"/>
          <w:szCs w:val="24"/>
        </w:rPr>
        <w:t>szczególności odpadów komunalnych odbieranych od właścicieli nieruchomości. W</w:t>
      </w:r>
      <w:r w:rsidR="00E53FC3">
        <w:rPr>
          <w:rFonts w:ascii="Times New Roman" w:hAnsi="Times New Roman" w:cs="Times New Roman"/>
          <w:szCs w:val="24"/>
        </w:rPr>
        <w:t xml:space="preserve"> </w:t>
      </w:r>
      <w:r w:rsidRPr="00E53FC3">
        <w:rPr>
          <w:rFonts w:ascii="Times New Roman" w:hAnsi="Times New Roman" w:cs="Times New Roman"/>
          <w:szCs w:val="24"/>
        </w:rPr>
        <w:t xml:space="preserve">obecnym systemie nie jest wymagane, aby karta przekazania odpadów towarzyszyła transportowi odpadów i była okazywana przez kierowcę w trakcie wykonywania transportu </w:t>
      </w:r>
      <w:r w:rsidR="00F50AFD">
        <w:rPr>
          <w:rFonts w:ascii="Times New Roman" w:hAnsi="Times New Roman" w:cs="Times New Roman"/>
          <w:szCs w:val="24"/>
        </w:rPr>
        <w:t>odpadów uprawnionym służbom. Co </w:t>
      </w:r>
      <w:r w:rsidRPr="00E53FC3">
        <w:rPr>
          <w:rFonts w:ascii="Times New Roman" w:hAnsi="Times New Roman" w:cs="Times New Roman"/>
          <w:szCs w:val="24"/>
        </w:rPr>
        <w:t>więcej, przepisy zezwalają na sporządzanie zbiorczej karty przekazania odpadów obejmującej odpady danego rodzaju przekazywane w okresie jednego miesiąca. Prowadzi to do licznych patologii w zakresie przekazywania odpadów. Projektowane zmiany wymagają posiadania potwierdzenia utworzenia ww. karty wyg</w:t>
      </w:r>
      <w:r w:rsidR="00F50AFD">
        <w:rPr>
          <w:rFonts w:ascii="Times New Roman" w:hAnsi="Times New Roman" w:cs="Times New Roman"/>
          <w:szCs w:val="24"/>
        </w:rPr>
        <w:t>enerowanego z </w:t>
      </w:r>
      <w:r w:rsidRPr="00E53FC3">
        <w:rPr>
          <w:rFonts w:ascii="Times New Roman" w:hAnsi="Times New Roman" w:cs="Times New Roman"/>
          <w:szCs w:val="24"/>
        </w:rPr>
        <w:t xml:space="preserve">BDO przez kierowcę w trakcie wykonywania transportu, w związku z powyższym zrezygnowano ze zbiorczej karty przekazania odpadów. Umożliwi to weryfikację informacji zawartych w karcie przekazania odpadów utworzonej w tej </w:t>
      </w:r>
      <w:r w:rsidR="002A27A7">
        <w:rPr>
          <w:rFonts w:ascii="Times New Roman" w:hAnsi="Times New Roman" w:cs="Times New Roman"/>
          <w:szCs w:val="24"/>
        </w:rPr>
        <w:t>BDO</w:t>
      </w:r>
      <w:r w:rsidRPr="00E53FC3">
        <w:rPr>
          <w:rFonts w:ascii="Times New Roman" w:hAnsi="Times New Roman" w:cs="Times New Roman"/>
          <w:szCs w:val="24"/>
        </w:rPr>
        <w:t xml:space="preserve"> dotyczących transportowanych odpadów ze stanem rzeczywistym. </w:t>
      </w:r>
    </w:p>
    <w:p w14:paraId="38A70E5A" w14:textId="3A442A5E" w:rsidR="00F73632" w:rsidRPr="00E53FC3" w:rsidRDefault="0027633E" w:rsidP="00E53FC3">
      <w:pPr>
        <w:pStyle w:val="Nagwek4"/>
        <w:numPr>
          <w:ilvl w:val="0"/>
          <w:numId w:val="0"/>
        </w:numPr>
        <w:spacing w:after="0" w:line="360" w:lineRule="auto"/>
        <w:rPr>
          <w:rFonts w:ascii="Times New Roman" w:hAnsi="Times New Roman"/>
          <w:szCs w:val="24"/>
        </w:rPr>
      </w:pPr>
      <w:r w:rsidRPr="00E53FC3">
        <w:rPr>
          <w:rFonts w:ascii="Times New Roman" w:hAnsi="Times New Roman"/>
          <w:szCs w:val="24"/>
        </w:rPr>
        <w:t>W stosunku do obowiązujących przepisów w zakresie prowadzenia ewidencji odpadów, w tym w szczególności kart przekazania odpadów, sposób utworzenia i</w:t>
      </w:r>
      <w:r w:rsidR="00F50AFD">
        <w:rPr>
          <w:rFonts w:ascii="Times New Roman" w:hAnsi="Times New Roman"/>
          <w:szCs w:val="24"/>
        </w:rPr>
        <w:t> </w:t>
      </w:r>
      <w:r w:rsidRPr="00E53FC3">
        <w:rPr>
          <w:rFonts w:ascii="Times New Roman" w:hAnsi="Times New Roman"/>
          <w:szCs w:val="24"/>
        </w:rPr>
        <w:t>prowadzenia tych kart ulegnie znaczącym zmianom. Należy wskazać, że w przypadku karty przekazania odpadów zalogowany podmiot będzie obowiązany wprowadzić wymagane informacje za pośrednictwem BDO, wsk</w:t>
      </w:r>
      <w:r w:rsidR="00F50AFD">
        <w:rPr>
          <w:rFonts w:ascii="Times New Roman" w:hAnsi="Times New Roman"/>
          <w:szCs w:val="24"/>
        </w:rPr>
        <w:t>azując podmiot transportujący i </w:t>
      </w:r>
      <w:r w:rsidRPr="00E53FC3">
        <w:rPr>
          <w:rFonts w:ascii="Times New Roman" w:hAnsi="Times New Roman"/>
          <w:szCs w:val="24"/>
        </w:rPr>
        <w:t>podmiot przyjmujący odpady. Wypełniona karta przekazania odpadów zapisywana będzie przez podmiot w BDO z</w:t>
      </w:r>
      <w:r w:rsidR="00587BFB">
        <w:rPr>
          <w:rFonts w:ascii="Times New Roman" w:hAnsi="Times New Roman"/>
          <w:szCs w:val="24"/>
        </w:rPr>
        <w:t> </w:t>
      </w:r>
      <w:r w:rsidRPr="00E53FC3">
        <w:rPr>
          <w:rFonts w:ascii="Times New Roman" w:hAnsi="Times New Roman"/>
          <w:szCs w:val="24"/>
        </w:rPr>
        <w:t>możliwością edycji i wydruku. W momencie akceptacji przez przekazującego odpady karta przekazania odpadów będzie w obrocie formalnym w BDO, co oznacza, że dostęp do tego dokumentu będzie miał zarówno transportujący, jak i przyjmujący odpady. W przypadku edycji karty przekazania odpadów przez przyjmującego (np. w</w:t>
      </w:r>
      <w:r w:rsidR="00E53FC3">
        <w:rPr>
          <w:rFonts w:ascii="Times New Roman" w:hAnsi="Times New Roman"/>
          <w:szCs w:val="24"/>
        </w:rPr>
        <w:t xml:space="preserve"> </w:t>
      </w:r>
      <w:r w:rsidRPr="00E53FC3">
        <w:rPr>
          <w:rFonts w:ascii="Times New Roman" w:hAnsi="Times New Roman"/>
          <w:szCs w:val="24"/>
        </w:rPr>
        <w:t>przypadku potrzeby kor</w:t>
      </w:r>
      <w:r w:rsidR="00F50AFD">
        <w:rPr>
          <w:rFonts w:ascii="Times New Roman" w:hAnsi="Times New Roman"/>
          <w:szCs w:val="24"/>
        </w:rPr>
        <w:t>ekty masy odpadów wynikającej z </w:t>
      </w:r>
      <w:r w:rsidRPr="00E53FC3">
        <w:rPr>
          <w:rFonts w:ascii="Times New Roman" w:hAnsi="Times New Roman"/>
          <w:szCs w:val="24"/>
        </w:rPr>
        <w:t>czynników zewnętrznych, m.in. z</w:t>
      </w:r>
      <w:r w:rsidR="00587BFB">
        <w:rPr>
          <w:rFonts w:ascii="Times New Roman" w:hAnsi="Times New Roman"/>
          <w:szCs w:val="24"/>
        </w:rPr>
        <w:t> </w:t>
      </w:r>
      <w:r w:rsidRPr="00E53FC3">
        <w:rPr>
          <w:rFonts w:ascii="Times New Roman" w:hAnsi="Times New Roman"/>
          <w:szCs w:val="24"/>
        </w:rPr>
        <w:t>opadów atmosferycznych przyczyniających się do zwiększenia masy odpadów bądź susz lub parowania, powodujących z kolei jej ubytek, albo z różnic dokładności pomiarów mas na wagach przekazującego i</w:t>
      </w:r>
      <w:r w:rsidR="00E53FC3">
        <w:rPr>
          <w:rFonts w:ascii="Times New Roman" w:hAnsi="Times New Roman"/>
          <w:szCs w:val="24"/>
        </w:rPr>
        <w:t xml:space="preserve"> </w:t>
      </w:r>
      <w:r w:rsidRPr="00E53FC3">
        <w:rPr>
          <w:rFonts w:ascii="Times New Roman" w:hAnsi="Times New Roman"/>
          <w:szCs w:val="24"/>
        </w:rPr>
        <w:t>przyjmującego odpady) i zapisania tych zmian w BDO poprzez ich akceptację, przekazujący odpady otrzyma informację z</w:t>
      </w:r>
      <w:r w:rsidR="00587BFB">
        <w:rPr>
          <w:rFonts w:ascii="Times New Roman" w:hAnsi="Times New Roman"/>
          <w:szCs w:val="24"/>
        </w:rPr>
        <w:t> </w:t>
      </w:r>
      <w:r w:rsidRPr="00E53FC3">
        <w:rPr>
          <w:rFonts w:ascii="Times New Roman" w:hAnsi="Times New Roman"/>
          <w:szCs w:val="24"/>
        </w:rPr>
        <w:t xml:space="preserve">systemu o zmianach wprowadzonych w karcie przekazania odpadów. Dopiero po </w:t>
      </w:r>
      <w:r w:rsidRPr="00E53FC3">
        <w:rPr>
          <w:rFonts w:ascii="Times New Roman" w:hAnsi="Times New Roman"/>
          <w:szCs w:val="24"/>
        </w:rPr>
        <w:lastRenderedPageBreak/>
        <w:t>ponownej akceptacji karty przekazania odpadów przez przekazującego karta stanie się ostateczna.</w:t>
      </w:r>
    </w:p>
    <w:p w14:paraId="7BDE6736" w14:textId="5C66E3CC"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przypadku odpadów komunalnych istnieje potrzeba wprowadzenia systemu pozwalającego na każdorazowe potwierdzenie przejęcia tych odpadów przez uprawnione podmioty i</w:t>
      </w:r>
      <w:r w:rsidR="00E53FC3">
        <w:rPr>
          <w:rFonts w:ascii="Times New Roman" w:hAnsi="Times New Roman" w:cs="Times New Roman"/>
          <w:szCs w:val="24"/>
        </w:rPr>
        <w:t xml:space="preserve"> </w:t>
      </w:r>
      <w:r w:rsidRPr="00E53FC3">
        <w:rPr>
          <w:rFonts w:ascii="Times New Roman" w:hAnsi="Times New Roman" w:cs="Times New Roman"/>
          <w:szCs w:val="24"/>
        </w:rPr>
        <w:t>rozliczenie mas odpadów komunalnych odebranych z terenów poszczególnych gmin w systemie dziennym, stąd wprowadzenie karty przekazania odpadów komunalnych. Prowadzenie karty przekazania odpadów komunalnych będzie polegało na tym, że zalogowany podmiot będący odbierającym odpady komunalne od właścicieli nieruchomości będzie obowiązany do wprowadzenia wymaganych informacji za pośrednictwem BDO. Wypełniona karta przekazania odpadów komunalnych zapisywana będzie przez podmiot odbierający odpady komunalne w BDO z</w:t>
      </w:r>
      <w:r w:rsidR="00E53FC3">
        <w:rPr>
          <w:rFonts w:ascii="Times New Roman" w:hAnsi="Times New Roman" w:cs="Times New Roman"/>
          <w:szCs w:val="24"/>
        </w:rPr>
        <w:t xml:space="preserve"> </w:t>
      </w:r>
      <w:r w:rsidRPr="00E53FC3">
        <w:rPr>
          <w:rFonts w:ascii="Times New Roman" w:hAnsi="Times New Roman" w:cs="Times New Roman"/>
          <w:szCs w:val="24"/>
        </w:rPr>
        <w:t>możliwością jej edycji i</w:t>
      </w:r>
      <w:r w:rsidR="00E53FC3">
        <w:rPr>
          <w:rFonts w:ascii="Times New Roman" w:hAnsi="Times New Roman" w:cs="Times New Roman"/>
          <w:szCs w:val="24"/>
        </w:rPr>
        <w:t xml:space="preserve"> </w:t>
      </w:r>
      <w:r w:rsidRPr="00E53FC3">
        <w:rPr>
          <w:rFonts w:ascii="Times New Roman" w:hAnsi="Times New Roman" w:cs="Times New Roman"/>
          <w:szCs w:val="24"/>
        </w:rPr>
        <w:t>wydruku. W momencie akceptacji wprowadzonych przez odbierającego odpady komunalne danych karta przekazania odpadów komunalnych będzie w obrocie formalnym w BDO. Karta przekazania odpadów będzie sporządzana odrębnie dla każdego transportu odpadów komunalnych. Dostęp do tego dokumentu będzie posiadał także przyjmujący odpady komunalne (z</w:t>
      </w:r>
      <w:r w:rsidR="00E53FC3">
        <w:rPr>
          <w:rFonts w:ascii="Times New Roman" w:hAnsi="Times New Roman" w:cs="Times New Roman"/>
          <w:szCs w:val="24"/>
        </w:rPr>
        <w:t xml:space="preserve"> </w:t>
      </w:r>
      <w:r w:rsidRPr="00E53FC3">
        <w:rPr>
          <w:rFonts w:ascii="Times New Roman" w:hAnsi="Times New Roman" w:cs="Times New Roman"/>
          <w:szCs w:val="24"/>
        </w:rPr>
        <w:t xml:space="preserve">możliwością edycji, która będzie umożliwiała wprowadzanie odpowiednich danych przez następnego posiadacza odpadów </w:t>
      </w:r>
      <w:r w:rsidR="00E53FC3">
        <w:rPr>
          <w:rFonts w:ascii="Times New Roman" w:hAnsi="Times New Roman" w:cs="Times New Roman"/>
          <w:szCs w:val="24"/>
        </w:rPr>
        <w:t>–</w:t>
      </w:r>
      <w:r w:rsidRPr="00E53FC3">
        <w:rPr>
          <w:rFonts w:ascii="Times New Roman" w:hAnsi="Times New Roman" w:cs="Times New Roman"/>
          <w:szCs w:val="24"/>
        </w:rPr>
        <w:t xml:space="preserve"> np.</w:t>
      </w:r>
      <w:r w:rsidR="00E53FC3">
        <w:rPr>
          <w:rFonts w:ascii="Times New Roman" w:hAnsi="Times New Roman" w:cs="Times New Roman"/>
          <w:szCs w:val="24"/>
        </w:rPr>
        <w:t xml:space="preserve"> </w:t>
      </w:r>
      <w:r w:rsidRPr="00E53FC3">
        <w:rPr>
          <w:rFonts w:ascii="Times New Roman" w:hAnsi="Times New Roman" w:cs="Times New Roman"/>
          <w:szCs w:val="24"/>
        </w:rPr>
        <w:t>wprowadzenie korekty w masie odpadów). W</w:t>
      </w:r>
      <w:r w:rsidR="00E53FC3">
        <w:rPr>
          <w:rFonts w:ascii="Times New Roman" w:hAnsi="Times New Roman" w:cs="Times New Roman"/>
          <w:szCs w:val="24"/>
        </w:rPr>
        <w:t xml:space="preserve"> </w:t>
      </w:r>
      <w:r w:rsidRPr="00E53FC3">
        <w:rPr>
          <w:rFonts w:ascii="Times New Roman" w:hAnsi="Times New Roman" w:cs="Times New Roman"/>
          <w:szCs w:val="24"/>
        </w:rPr>
        <w:t>przypadku edycji karty przekazania odpadów komunalnych przez przyjmu</w:t>
      </w:r>
      <w:r w:rsidR="00F50AFD">
        <w:rPr>
          <w:rFonts w:ascii="Times New Roman" w:hAnsi="Times New Roman" w:cs="Times New Roman"/>
          <w:szCs w:val="24"/>
        </w:rPr>
        <w:t>jącego i zapisania tych zmian w </w:t>
      </w:r>
      <w:r w:rsidRPr="00E53FC3">
        <w:rPr>
          <w:rFonts w:ascii="Times New Roman" w:hAnsi="Times New Roman" w:cs="Times New Roman"/>
          <w:szCs w:val="24"/>
        </w:rPr>
        <w:t>BDO poprzez ich akceptację, podmiot odbierający odpady komunalne otrzyma informację z</w:t>
      </w:r>
      <w:r w:rsidR="00E53FC3">
        <w:rPr>
          <w:rFonts w:ascii="Times New Roman" w:hAnsi="Times New Roman" w:cs="Times New Roman"/>
          <w:szCs w:val="24"/>
        </w:rPr>
        <w:t xml:space="preserve"> </w:t>
      </w:r>
      <w:r w:rsidRPr="00E53FC3">
        <w:rPr>
          <w:rFonts w:ascii="Times New Roman" w:hAnsi="Times New Roman" w:cs="Times New Roman"/>
          <w:szCs w:val="24"/>
        </w:rPr>
        <w:t>systemu o</w:t>
      </w:r>
      <w:r w:rsidR="00587BFB">
        <w:rPr>
          <w:rFonts w:ascii="Times New Roman" w:hAnsi="Times New Roman" w:cs="Times New Roman"/>
          <w:szCs w:val="24"/>
        </w:rPr>
        <w:t> </w:t>
      </w:r>
      <w:r w:rsidRPr="00E53FC3">
        <w:rPr>
          <w:rFonts w:ascii="Times New Roman" w:hAnsi="Times New Roman" w:cs="Times New Roman"/>
          <w:szCs w:val="24"/>
        </w:rPr>
        <w:t xml:space="preserve">zmianach wprowadzonych w karcie przekazania odpadów komunalnych. Dopiero po ponownej akceptacji karty przekazania odpadów komunalnych przez podmiot odbierający odpady komunalne karta stanie się ostateczna. </w:t>
      </w:r>
    </w:p>
    <w:p w14:paraId="1E2A7EA0" w14:textId="3C356661"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art. 67 dodany zostaje ust</w:t>
      </w:r>
      <w:r w:rsidR="002A27A7">
        <w:rPr>
          <w:rFonts w:ascii="Times New Roman" w:hAnsi="Times New Roman" w:cs="Times New Roman"/>
          <w:szCs w:val="24"/>
        </w:rPr>
        <w:t>.</w:t>
      </w:r>
      <w:r w:rsidRPr="00E53FC3">
        <w:rPr>
          <w:rFonts w:ascii="Times New Roman" w:hAnsi="Times New Roman" w:cs="Times New Roman"/>
          <w:szCs w:val="24"/>
        </w:rPr>
        <w:t xml:space="preserve"> 4b, który stanowi, że posiadacz odpadów zamieszcza informacje w karcie przekazania odpadów oraz karcie przekazania odpadów komunalnych w zakresie prowadzonej działalności. Oznacza to, że posiadacze odpadów, którzy kolejno będą przekazywali sobie karty przekazania odpadów lub karty przekazania odpadów komunalnych, będą zobowiązani do ich uzupełniania w zakresie wykonywanych przez siebie czynności. Inne informacje będzie wprowadzać podmiot wytwarzający odpady, inne podmiot je transportujący, a jeszcze inne podmiot zbierający lub przetwarzający odpady. Zakres tych informacji będzie determinowany zakresem wykonywanych czynności.</w:t>
      </w:r>
      <w:r w:rsidR="007235DD" w:rsidRPr="00E53FC3">
        <w:rPr>
          <w:rFonts w:ascii="Times New Roman" w:hAnsi="Times New Roman" w:cs="Times New Roman"/>
          <w:szCs w:val="24"/>
        </w:rPr>
        <w:t xml:space="preserve"> Ponadto to</w:t>
      </w:r>
      <w:r w:rsidR="007B336E">
        <w:rPr>
          <w:rFonts w:ascii="Times New Roman" w:hAnsi="Times New Roman" w:cs="Times New Roman"/>
          <w:szCs w:val="24"/>
        </w:rPr>
        <w:t>,</w:t>
      </w:r>
      <w:r w:rsidR="007235DD" w:rsidRPr="00E53FC3">
        <w:rPr>
          <w:rFonts w:ascii="Times New Roman" w:hAnsi="Times New Roman" w:cs="Times New Roman"/>
          <w:szCs w:val="24"/>
        </w:rPr>
        <w:t xml:space="preserve"> który posiadacz odpadów i na jakim etapie będzie zamieszczał informacje w kartach, będzie wynikało ze wzorów dokumentów określonych </w:t>
      </w:r>
      <w:r w:rsidR="007235DD" w:rsidRPr="00E53FC3">
        <w:rPr>
          <w:rFonts w:ascii="Times New Roman" w:hAnsi="Times New Roman" w:cs="Times New Roman"/>
          <w:szCs w:val="24"/>
        </w:rPr>
        <w:lastRenderedPageBreak/>
        <w:t xml:space="preserve">w rozporządzeniu. </w:t>
      </w:r>
      <w:r w:rsidRPr="00E53FC3">
        <w:rPr>
          <w:rFonts w:ascii="Times New Roman" w:hAnsi="Times New Roman" w:cs="Times New Roman"/>
          <w:szCs w:val="24"/>
        </w:rPr>
        <w:t>Ponadto posiadacz odpadów, w tym transportujący</w:t>
      </w:r>
      <w:r w:rsidR="007B336E">
        <w:rPr>
          <w:rFonts w:ascii="Times New Roman" w:hAnsi="Times New Roman" w:cs="Times New Roman"/>
          <w:szCs w:val="24"/>
        </w:rPr>
        <w:t>,</w:t>
      </w:r>
      <w:r w:rsidRPr="00E53FC3">
        <w:rPr>
          <w:rFonts w:ascii="Times New Roman" w:hAnsi="Times New Roman" w:cs="Times New Roman"/>
          <w:szCs w:val="24"/>
        </w:rPr>
        <w:t xml:space="preserve"> będzie zobowiązany odpowiednio do </w:t>
      </w:r>
      <w:r w:rsidR="007235DD" w:rsidRPr="00E53FC3">
        <w:rPr>
          <w:rFonts w:ascii="Times New Roman" w:hAnsi="Times New Roman" w:cs="Times New Roman"/>
          <w:szCs w:val="24"/>
        </w:rPr>
        <w:t xml:space="preserve">potwierdzenia </w:t>
      </w:r>
      <w:r w:rsidRPr="00E53FC3">
        <w:rPr>
          <w:rFonts w:ascii="Times New Roman" w:hAnsi="Times New Roman" w:cs="Times New Roman"/>
          <w:szCs w:val="24"/>
        </w:rPr>
        <w:t>przejęci</w:t>
      </w:r>
      <w:r w:rsidR="007235DD" w:rsidRPr="00E53FC3">
        <w:rPr>
          <w:rFonts w:ascii="Times New Roman" w:hAnsi="Times New Roman" w:cs="Times New Roman"/>
          <w:szCs w:val="24"/>
        </w:rPr>
        <w:t>a</w:t>
      </w:r>
      <w:r w:rsidRPr="00E53FC3">
        <w:rPr>
          <w:rFonts w:ascii="Times New Roman" w:hAnsi="Times New Roman" w:cs="Times New Roman"/>
          <w:szCs w:val="24"/>
        </w:rPr>
        <w:t xml:space="preserve"> odpadów (również w ramach działalności danego posiadacza odpadów) lub transportu odpadów. </w:t>
      </w:r>
    </w:p>
    <w:p w14:paraId="7D1403BF" w14:textId="6FB0049C"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W art. 68 </w:t>
      </w:r>
      <w:r w:rsidR="002A27A7">
        <w:rPr>
          <w:rFonts w:ascii="Times New Roman" w:hAnsi="Times New Roman" w:cs="Times New Roman"/>
          <w:szCs w:val="24"/>
        </w:rPr>
        <w:t>u</w:t>
      </w:r>
      <w:r w:rsidRPr="00E53FC3">
        <w:rPr>
          <w:rFonts w:ascii="Times New Roman" w:hAnsi="Times New Roman" w:cs="Times New Roman"/>
          <w:szCs w:val="24"/>
        </w:rPr>
        <w:t>st</w:t>
      </w:r>
      <w:r w:rsidR="007B336E">
        <w:rPr>
          <w:rFonts w:ascii="Times New Roman" w:hAnsi="Times New Roman" w:cs="Times New Roman"/>
          <w:szCs w:val="24"/>
        </w:rPr>
        <w:t>.</w:t>
      </w:r>
      <w:r w:rsidRPr="00E53FC3">
        <w:rPr>
          <w:rFonts w:ascii="Times New Roman" w:hAnsi="Times New Roman" w:cs="Times New Roman"/>
          <w:szCs w:val="24"/>
        </w:rPr>
        <w:t xml:space="preserve"> 1 zaproponowano nowe brzmienie upoważnienia do wydania rozporządzenia dotyczącego wzorów dokumentów ewidencji odpadów oraz możliwości uwzględnienia</w:t>
      </w:r>
      <w:r w:rsidR="00E53FC3">
        <w:rPr>
          <w:rFonts w:ascii="Times New Roman" w:hAnsi="Times New Roman" w:cs="Times New Roman"/>
          <w:szCs w:val="24"/>
        </w:rPr>
        <w:t xml:space="preserve"> </w:t>
      </w:r>
      <w:r w:rsidRPr="00E53FC3">
        <w:rPr>
          <w:rFonts w:ascii="Times New Roman" w:hAnsi="Times New Roman" w:cs="Times New Roman"/>
          <w:szCs w:val="24"/>
        </w:rPr>
        <w:t>informacji dotyczących identyfikacji posiadacza odpadów i miejsca prowadzenia działalności w zakresie wytwarzania lub gospodarowania odpadami, ustalenia ilości i jakości odpadów, środków transportu oraz prawidłowego postępowania z odpadami zawartych w dokumentach ewidencji. Proponowana zmiana ma na celu umożliwienie wprowadzenia we wzorach dokumentów ewidencyjnych odpadów dodatkowych informacji</w:t>
      </w:r>
      <w:r w:rsidR="007B336E">
        <w:rPr>
          <w:rFonts w:ascii="Times New Roman" w:hAnsi="Times New Roman" w:cs="Times New Roman"/>
          <w:szCs w:val="24"/>
        </w:rPr>
        <w:t>,</w:t>
      </w:r>
      <w:r w:rsidRPr="00E53FC3">
        <w:rPr>
          <w:rFonts w:ascii="Times New Roman" w:hAnsi="Times New Roman" w:cs="Times New Roman"/>
          <w:szCs w:val="24"/>
        </w:rPr>
        <w:t xml:space="preserve"> np. dotyczących środków transportu odpadów, co ma zapewnić więcej przydatnych informacji dla organów kontrolnych. </w:t>
      </w:r>
    </w:p>
    <w:p w14:paraId="03E0B83E" w14:textId="4B4C750B"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Aktualnie obserwuje się zjawisko rozwoju tzw. szarej strefy w działalności związanej z</w:t>
      </w:r>
      <w:r w:rsidR="00587BFB">
        <w:rPr>
          <w:rFonts w:ascii="Times New Roman" w:hAnsi="Times New Roman" w:cs="Times New Roman"/>
          <w:szCs w:val="24"/>
        </w:rPr>
        <w:t> </w:t>
      </w:r>
      <w:r w:rsidRPr="00E53FC3">
        <w:rPr>
          <w:rFonts w:ascii="Times New Roman" w:hAnsi="Times New Roman" w:cs="Times New Roman"/>
          <w:szCs w:val="24"/>
        </w:rPr>
        <w:t>gospodarką odpadami w kraju. W szczególności dotyczy ono problemów w</w:t>
      </w:r>
      <w:r w:rsidR="00E53FC3">
        <w:rPr>
          <w:rFonts w:ascii="Times New Roman" w:hAnsi="Times New Roman" w:cs="Times New Roman"/>
          <w:szCs w:val="24"/>
        </w:rPr>
        <w:t xml:space="preserve"> </w:t>
      </w:r>
      <w:r w:rsidRPr="00E53FC3">
        <w:rPr>
          <w:rFonts w:ascii="Times New Roman" w:hAnsi="Times New Roman" w:cs="Times New Roman"/>
          <w:szCs w:val="24"/>
        </w:rPr>
        <w:t>zakresie gospodarki odpadami komunalnymi, gdzie zaobserwowano szereg patologicznych działalności podmiotów odbierających odpady komunalne od właścicieli nieruchomości oraz przetwarzających</w:t>
      </w:r>
      <w:r w:rsidR="007B336E" w:rsidRPr="007B336E">
        <w:rPr>
          <w:rFonts w:ascii="Times New Roman" w:hAnsi="Times New Roman" w:cs="Times New Roman"/>
          <w:szCs w:val="24"/>
        </w:rPr>
        <w:t xml:space="preserve"> </w:t>
      </w:r>
      <w:r w:rsidR="007B336E" w:rsidRPr="00E53FC3">
        <w:rPr>
          <w:rFonts w:ascii="Times New Roman" w:hAnsi="Times New Roman" w:cs="Times New Roman"/>
          <w:szCs w:val="24"/>
        </w:rPr>
        <w:t>je</w:t>
      </w:r>
      <w:r w:rsidRPr="00E53FC3">
        <w:rPr>
          <w:rFonts w:ascii="Times New Roman" w:hAnsi="Times New Roman" w:cs="Times New Roman"/>
          <w:szCs w:val="24"/>
        </w:rPr>
        <w:t>. Niektóre podmioty praktykują fikcyjne przetwarzanie zmieszanych odpadów komunalnych, w</w:t>
      </w:r>
      <w:r w:rsidR="00E53FC3">
        <w:rPr>
          <w:rFonts w:ascii="Times New Roman" w:hAnsi="Times New Roman" w:cs="Times New Roman"/>
          <w:szCs w:val="24"/>
        </w:rPr>
        <w:t xml:space="preserve"> </w:t>
      </w:r>
      <w:r w:rsidRPr="00E53FC3">
        <w:rPr>
          <w:rFonts w:ascii="Times New Roman" w:hAnsi="Times New Roman" w:cs="Times New Roman"/>
          <w:szCs w:val="24"/>
        </w:rPr>
        <w:t>efekcie czego porzucane są</w:t>
      </w:r>
      <w:r w:rsidR="00E53FC3">
        <w:rPr>
          <w:rFonts w:ascii="Times New Roman" w:hAnsi="Times New Roman" w:cs="Times New Roman"/>
          <w:szCs w:val="24"/>
        </w:rPr>
        <w:t xml:space="preserve"> </w:t>
      </w:r>
      <w:r w:rsidRPr="00E53FC3">
        <w:rPr>
          <w:rFonts w:ascii="Times New Roman" w:hAnsi="Times New Roman" w:cs="Times New Roman"/>
          <w:szCs w:val="24"/>
        </w:rPr>
        <w:t>coraz większe ilości odpadów w</w:t>
      </w:r>
      <w:r w:rsidR="00E53FC3">
        <w:rPr>
          <w:rFonts w:ascii="Times New Roman" w:hAnsi="Times New Roman" w:cs="Times New Roman"/>
          <w:szCs w:val="24"/>
        </w:rPr>
        <w:t xml:space="preserve"> </w:t>
      </w:r>
      <w:r w:rsidRPr="00E53FC3">
        <w:rPr>
          <w:rFonts w:ascii="Times New Roman" w:hAnsi="Times New Roman" w:cs="Times New Roman"/>
          <w:szCs w:val="24"/>
        </w:rPr>
        <w:t>lasach i</w:t>
      </w:r>
      <w:r w:rsidR="00E53FC3">
        <w:rPr>
          <w:rFonts w:ascii="Times New Roman" w:hAnsi="Times New Roman" w:cs="Times New Roman"/>
          <w:szCs w:val="24"/>
        </w:rPr>
        <w:t xml:space="preserve"> </w:t>
      </w:r>
      <w:r w:rsidRPr="00E53FC3">
        <w:rPr>
          <w:rFonts w:ascii="Times New Roman" w:hAnsi="Times New Roman" w:cs="Times New Roman"/>
          <w:szCs w:val="24"/>
        </w:rPr>
        <w:t>wyrobiskach. Bieżący dostęp do informacji dotyczących transportu odpadów za pomocą BDO pozwoli na nadzór nad strumieniem odpadów oraz sprawne reagowanie w przypadkach stwierdzenia podejrzenia naruszeń. Narzędzie to usprawni pracę zarówno organów Inspekcji Ochrony Środowiska oraz organów ochrony środowiska, jak i organów ścigania, Inspekcji Transportu Drogowego i</w:t>
      </w:r>
      <w:r w:rsidR="00E53FC3">
        <w:rPr>
          <w:rFonts w:ascii="Times New Roman" w:hAnsi="Times New Roman" w:cs="Times New Roman"/>
          <w:szCs w:val="24"/>
        </w:rPr>
        <w:t xml:space="preserve"> </w:t>
      </w:r>
      <w:r w:rsidRPr="00E53FC3">
        <w:rPr>
          <w:rFonts w:ascii="Times New Roman" w:hAnsi="Times New Roman" w:cs="Times New Roman"/>
          <w:szCs w:val="24"/>
        </w:rPr>
        <w:t xml:space="preserve">innych służb. Nowe wymagania w zakresie prowadzenia ewidencji odpadów zaczną obowiązywać od </w:t>
      </w:r>
      <w:r w:rsidR="007B336E">
        <w:rPr>
          <w:rFonts w:ascii="Times New Roman" w:hAnsi="Times New Roman" w:cs="Times New Roman"/>
          <w:szCs w:val="24"/>
        </w:rPr>
        <w:t xml:space="preserve">dnia </w:t>
      </w:r>
      <w:r w:rsidRPr="00E53FC3">
        <w:rPr>
          <w:rFonts w:ascii="Times New Roman" w:hAnsi="Times New Roman" w:cs="Times New Roman"/>
          <w:szCs w:val="24"/>
        </w:rPr>
        <w:t>1 stycznia 2020 r.</w:t>
      </w:r>
    </w:p>
    <w:p w14:paraId="5F08CDC1" w14:textId="40295A4F"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Zgodnie z obowiązującymi przepisami ustawy o odpadach wytwórcy odpadów nie podlegają wpisowi do rejestru ani na wniosek, ani z urzędu (poza wytwórcami odpadów podlegającymi obowiązkowi uzyskania pozwolenia na wytwarzanie odpadów lub pozwolenia zintegrowanego wydawanych na podstawie ustawy </w:t>
      </w:r>
      <w:r w:rsidR="002A27A7">
        <w:rPr>
          <w:rFonts w:ascii="Times New Roman" w:hAnsi="Times New Roman" w:cs="Times New Roman"/>
          <w:szCs w:val="24"/>
        </w:rPr>
        <w:t>z dnia 27 kwietnia 20</w:t>
      </w:r>
      <w:r w:rsidR="00084AC5">
        <w:rPr>
          <w:rFonts w:ascii="Times New Roman" w:hAnsi="Times New Roman" w:cs="Times New Roman"/>
          <w:szCs w:val="24"/>
        </w:rPr>
        <w:t>0</w:t>
      </w:r>
      <w:r w:rsidR="002A27A7">
        <w:rPr>
          <w:rFonts w:ascii="Times New Roman" w:hAnsi="Times New Roman" w:cs="Times New Roman"/>
          <w:szCs w:val="24"/>
        </w:rPr>
        <w:t>1</w:t>
      </w:r>
      <w:r w:rsidR="00084AC5">
        <w:rPr>
          <w:rFonts w:ascii="Times New Roman" w:hAnsi="Times New Roman" w:cs="Times New Roman"/>
          <w:szCs w:val="24"/>
        </w:rPr>
        <w:t> </w:t>
      </w:r>
      <w:r w:rsidR="002A27A7">
        <w:rPr>
          <w:rFonts w:ascii="Times New Roman" w:hAnsi="Times New Roman" w:cs="Times New Roman"/>
          <w:szCs w:val="24"/>
        </w:rPr>
        <w:t xml:space="preserve">r. </w:t>
      </w:r>
      <w:r w:rsidRPr="00E53FC3">
        <w:rPr>
          <w:rFonts w:ascii="Times New Roman" w:hAnsi="Times New Roman" w:cs="Times New Roman"/>
          <w:szCs w:val="24"/>
        </w:rPr>
        <w:t>– Prawo ochrony środowiska</w:t>
      </w:r>
      <w:r w:rsidR="00084AC5">
        <w:rPr>
          <w:rFonts w:ascii="Times New Roman" w:hAnsi="Times New Roman" w:cs="Times New Roman"/>
          <w:szCs w:val="24"/>
        </w:rPr>
        <w:t xml:space="preserve"> (Dz. U. z 2017 r. poz. 519, z </w:t>
      </w:r>
      <w:proofErr w:type="spellStart"/>
      <w:r w:rsidR="00084AC5">
        <w:rPr>
          <w:rFonts w:ascii="Times New Roman" w:hAnsi="Times New Roman" w:cs="Times New Roman"/>
          <w:szCs w:val="24"/>
        </w:rPr>
        <w:t>późn</w:t>
      </w:r>
      <w:proofErr w:type="spellEnd"/>
      <w:r w:rsidR="00084AC5">
        <w:rPr>
          <w:rFonts w:ascii="Times New Roman" w:hAnsi="Times New Roman" w:cs="Times New Roman"/>
          <w:szCs w:val="24"/>
        </w:rPr>
        <w:t>. zm.</w:t>
      </w:r>
      <w:r w:rsidRPr="00E53FC3">
        <w:rPr>
          <w:rFonts w:ascii="Times New Roman" w:hAnsi="Times New Roman" w:cs="Times New Roman"/>
          <w:szCs w:val="24"/>
        </w:rPr>
        <w:t xml:space="preserve">). Podmioty te są obowiązane jednak do prowadzenia ewidencji odpadów oraz do składania sprawozdań z zakresu gospodarki odpadami. </w:t>
      </w:r>
    </w:p>
    <w:p w14:paraId="6FCA5DE5" w14:textId="3A2652DA"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lastRenderedPageBreak/>
        <w:t>Ze względu na fakt, że złożenie sprawozdania wymaga uzyskania dostępu do indywidualnego konta w</w:t>
      </w:r>
      <w:r w:rsidR="00E53FC3">
        <w:rPr>
          <w:rFonts w:ascii="Times New Roman" w:hAnsi="Times New Roman" w:cs="Times New Roman"/>
          <w:szCs w:val="24"/>
        </w:rPr>
        <w:t xml:space="preserve"> </w:t>
      </w:r>
      <w:r w:rsidRPr="00E53FC3">
        <w:rPr>
          <w:rFonts w:ascii="Times New Roman" w:hAnsi="Times New Roman" w:cs="Times New Roman"/>
          <w:szCs w:val="24"/>
        </w:rPr>
        <w:t>BDO, które tworzy marszałek województwa</w:t>
      </w:r>
      <w:r w:rsidR="007B336E">
        <w:rPr>
          <w:rFonts w:ascii="Times New Roman" w:hAnsi="Times New Roman" w:cs="Times New Roman"/>
          <w:szCs w:val="24"/>
        </w:rPr>
        <w:t>,</w:t>
      </w:r>
      <w:r w:rsidRPr="00E53FC3">
        <w:rPr>
          <w:rFonts w:ascii="Times New Roman" w:hAnsi="Times New Roman" w:cs="Times New Roman"/>
          <w:szCs w:val="24"/>
        </w:rPr>
        <w:t xml:space="preserve"> dokonując wpisu do rejestru, dla wspomnianych podmiotów wprowadzono obowiązek uzyskania wpisu do BDO na wniosek, jeżeli są obowiązane do prowadzenia ewidencji odpadów (a tym samym do składania rocznych sprawozdań), z wyjątkiem wytwórców odpadów podlegających wpisowi z urzędu. </w:t>
      </w:r>
    </w:p>
    <w:p w14:paraId="418112E7" w14:textId="0D7A65C3" w:rsidR="00F73632" w:rsidRPr="00E53FC3" w:rsidRDefault="0027633E" w:rsidP="00E53FC3">
      <w:pPr>
        <w:pStyle w:val="PKTpunkt"/>
        <w:spacing w:before="120"/>
        <w:ind w:left="0" w:firstLine="0"/>
        <w:rPr>
          <w:rFonts w:ascii="Times New Roman" w:hAnsi="Times New Roman" w:cs="Times New Roman"/>
          <w:szCs w:val="24"/>
        </w:rPr>
      </w:pPr>
      <w:r w:rsidRPr="00E53FC3">
        <w:rPr>
          <w:rFonts w:ascii="Times New Roman" w:hAnsi="Times New Roman" w:cs="Times New Roman"/>
          <w:szCs w:val="24"/>
        </w:rPr>
        <w:t>W projektowanym art. 83 ust. 2a (art. 1 pkt 15</w:t>
      </w:r>
      <w:r w:rsidR="00F50AFD">
        <w:rPr>
          <w:rFonts w:ascii="Times New Roman" w:hAnsi="Times New Roman" w:cs="Times New Roman"/>
          <w:szCs w:val="24"/>
        </w:rPr>
        <w:t xml:space="preserve"> projektowanej ustawy) ustawy o </w:t>
      </w:r>
      <w:r w:rsidRPr="00E53FC3">
        <w:rPr>
          <w:rFonts w:ascii="Times New Roman" w:hAnsi="Times New Roman" w:cs="Times New Roman"/>
          <w:szCs w:val="24"/>
        </w:rPr>
        <w:t>odpadach zapewnia się użytkownikom, tj. ministrowi właściwemu do spraw środowiska, administratorowi, jeżeli nie jest nim minister właściwy do spraw środowiska, Generalnemu Dyrektorowi Ochrony Środowiska i regionalnym dyrektorom ochrony środowiska, a także marszałkom województw, wojewodom, starostom, wójtom, burmistrzom lub prezydentom miast</w:t>
      </w:r>
      <w:r w:rsidR="00084AC5">
        <w:rPr>
          <w:rFonts w:ascii="Times New Roman" w:hAnsi="Times New Roman" w:cs="Times New Roman"/>
          <w:szCs w:val="24"/>
        </w:rPr>
        <w:t>,</w:t>
      </w:r>
      <w:r w:rsidRPr="00E53FC3">
        <w:rPr>
          <w:rFonts w:ascii="Times New Roman" w:hAnsi="Times New Roman" w:cs="Times New Roman"/>
          <w:szCs w:val="24"/>
        </w:rPr>
        <w:t xml:space="preserve"> organom Inspekcji Ochrony Środowiska, organom Państwowej Inspekcji Sanitarnej oraz zarządom związków międzygminnych, ciągły dostęp do systemu BDO oraz możliwości weryfikacji zgodności ze stanem rzeczywistym prowadzonej przez posiadaczy odpadów ewidencji odpadów, co ma ułatwić korzystanie z bazy danych i</w:t>
      </w:r>
      <w:r w:rsidR="00E53FC3">
        <w:rPr>
          <w:rFonts w:ascii="Times New Roman" w:hAnsi="Times New Roman" w:cs="Times New Roman"/>
          <w:szCs w:val="24"/>
        </w:rPr>
        <w:t xml:space="preserve"> </w:t>
      </w:r>
      <w:r w:rsidRPr="00E53FC3">
        <w:rPr>
          <w:rFonts w:ascii="Times New Roman" w:hAnsi="Times New Roman" w:cs="Times New Roman"/>
          <w:szCs w:val="24"/>
        </w:rPr>
        <w:t xml:space="preserve">wykonywanie obowiązków, np. kontroli przez Inspekcję Ochrony Środowiska. </w:t>
      </w:r>
    </w:p>
    <w:p w14:paraId="0FBEF360" w14:textId="6B454178"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Ponadto w art. 180 ustawy o odpadach dodano ust 2 (art. 1 pkt 19 projektowanej ustawy), który wprowadza przepisy dające możl</w:t>
      </w:r>
      <w:r w:rsidR="00F50AFD">
        <w:rPr>
          <w:rFonts w:ascii="Times New Roman" w:hAnsi="Times New Roman" w:cs="Times New Roman"/>
          <w:szCs w:val="24"/>
        </w:rPr>
        <w:t>iwość nałożenia kary grzywny za </w:t>
      </w:r>
      <w:r w:rsidRPr="00E53FC3">
        <w:rPr>
          <w:rFonts w:ascii="Times New Roman" w:hAnsi="Times New Roman" w:cs="Times New Roman"/>
          <w:szCs w:val="24"/>
        </w:rPr>
        <w:t>niedopełnienie ciążących na transportujących obowiązków w zakresie:</w:t>
      </w:r>
    </w:p>
    <w:p w14:paraId="2B8B59FB" w14:textId="0228743C" w:rsidR="00F73632" w:rsidRPr="00E53FC3" w:rsidRDefault="0027633E" w:rsidP="00E53FC3">
      <w:pPr>
        <w:pStyle w:val="ZPKTzmpktartykuempunktem"/>
        <w:numPr>
          <w:ilvl w:val="0"/>
          <w:numId w:val="22"/>
        </w:numPr>
        <w:ind w:left="420" w:hanging="420"/>
        <w:rPr>
          <w:szCs w:val="24"/>
        </w:rPr>
      </w:pPr>
      <w:r w:rsidRPr="00E53FC3">
        <w:rPr>
          <w:szCs w:val="24"/>
        </w:rPr>
        <w:t xml:space="preserve">posiadania w trakcie transportu </w:t>
      </w:r>
      <w:r w:rsidR="00084AC5">
        <w:rPr>
          <w:szCs w:val="24"/>
        </w:rPr>
        <w:t xml:space="preserve">odpadów </w:t>
      </w:r>
      <w:r w:rsidRPr="00E53FC3">
        <w:rPr>
          <w:iCs/>
          <w:szCs w:val="24"/>
        </w:rPr>
        <w:t>potwierdzenia wygenerowanego z BDO</w:t>
      </w:r>
      <w:r w:rsidR="00084AC5">
        <w:rPr>
          <w:iCs/>
          <w:szCs w:val="24"/>
        </w:rPr>
        <w:t>,</w:t>
      </w:r>
      <w:r w:rsidRPr="00E53FC3">
        <w:rPr>
          <w:iCs/>
          <w:szCs w:val="24"/>
        </w:rPr>
        <w:t xml:space="preserve"> zgodnie</w:t>
      </w:r>
      <w:r w:rsidR="00E53FC3">
        <w:rPr>
          <w:iCs/>
          <w:szCs w:val="24"/>
        </w:rPr>
        <w:t xml:space="preserve"> </w:t>
      </w:r>
      <w:r w:rsidR="00F50AFD">
        <w:rPr>
          <w:iCs/>
          <w:szCs w:val="24"/>
        </w:rPr>
        <w:t>z </w:t>
      </w:r>
      <w:r w:rsidRPr="00E53FC3">
        <w:rPr>
          <w:szCs w:val="24"/>
        </w:rPr>
        <w:t>art. 69 ust. 1a</w:t>
      </w:r>
      <w:r w:rsidRPr="00E53FC3">
        <w:rPr>
          <w:iCs/>
          <w:szCs w:val="24"/>
        </w:rPr>
        <w:t xml:space="preserve">, </w:t>
      </w:r>
    </w:p>
    <w:p w14:paraId="1C07BD30" w14:textId="1B23446A" w:rsidR="00F73632" w:rsidRPr="00E53FC3" w:rsidRDefault="0027633E" w:rsidP="00E53FC3">
      <w:pPr>
        <w:pStyle w:val="ZPKTzmpktartykuempunktem"/>
        <w:numPr>
          <w:ilvl w:val="0"/>
          <w:numId w:val="22"/>
        </w:numPr>
        <w:ind w:left="420" w:hanging="420"/>
        <w:rPr>
          <w:szCs w:val="24"/>
        </w:rPr>
      </w:pPr>
      <w:r w:rsidRPr="00E53FC3">
        <w:rPr>
          <w:szCs w:val="24"/>
        </w:rPr>
        <w:t xml:space="preserve">posiadania w trakcie transportu </w:t>
      </w:r>
      <w:r w:rsidR="00084AC5">
        <w:rPr>
          <w:szCs w:val="24"/>
        </w:rPr>
        <w:t xml:space="preserve">odpadów </w:t>
      </w:r>
      <w:r w:rsidRPr="00E53FC3">
        <w:rPr>
          <w:iCs/>
          <w:szCs w:val="24"/>
        </w:rPr>
        <w:t>potwierdzenia wygenerowanego z BDO</w:t>
      </w:r>
      <w:r w:rsidR="00084AC5">
        <w:rPr>
          <w:iCs/>
          <w:szCs w:val="24"/>
        </w:rPr>
        <w:t>,</w:t>
      </w:r>
      <w:r w:rsidRPr="00E53FC3">
        <w:rPr>
          <w:iCs/>
          <w:szCs w:val="24"/>
        </w:rPr>
        <w:t xml:space="preserve"> zgodnie</w:t>
      </w:r>
      <w:r w:rsidR="00E53FC3">
        <w:rPr>
          <w:iCs/>
          <w:szCs w:val="24"/>
        </w:rPr>
        <w:t xml:space="preserve"> </w:t>
      </w:r>
      <w:r w:rsidR="00F50AFD">
        <w:rPr>
          <w:iCs/>
          <w:szCs w:val="24"/>
        </w:rPr>
        <w:t>z </w:t>
      </w:r>
      <w:r w:rsidRPr="00E53FC3">
        <w:rPr>
          <w:szCs w:val="24"/>
        </w:rPr>
        <w:t>art. 71a ust. 3.</w:t>
      </w:r>
    </w:p>
    <w:p w14:paraId="6FF1AD75" w14:textId="741293A2"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Naruszenia dotyczące nowych obowiązków związanych z prowadzeniem karty przekazania odpadów i karty przekazania odpadów komunalnych przez posiadaczy odpadów podlega penalizacji na podstawie obowiązującego art. 180 ustawy o odpadach (w wyniku zmian dotychczasowa treść art. 180 zostanie oznaczona jako ust. 1). Stanowi on bowiem, że kto wbrew obowiązkowi nie prowadzi ewidencji odpadów albo prowadzi tę ewidencję w sposób nieterminowy lub niezgodnie ze stanem rzeczywistym, podlega karze grzywny. Przez prowadzenie ewidencji odpadów należy rozumieć wszystkie obowiązki określone w dziale V Ewidencja odpadów i sprawozdawczość </w:t>
      </w:r>
      <w:r w:rsidR="007B336E">
        <w:rPr>
          <w:rFonts w:ascii="Times New Roman" w:hAnsi="Times New Roman" w:cs="Times New Roman"/>
          <w:szCs w:val="24"/>
        </w:rPr>
        <w:t>r</w:t>
      </w:r>
      <w:r w:rsidRPr="00E53FC3">
        <w:rPr>
          <w:rFonts w:ascii="Times New Roman" w:hAnsi="Times New Roman" w:cs="Times New Roman"/>
          <w:szCs w:val="24"/>
        </w:rPr>
        <w:t xml:space="preserve">ozdziale 1 </w:t>
      </w:r>
      <w:r w:rsidRPr="00E53FC3">
        <w:rPr>
          <w:rFonts w:ascii="Times New Roman" w:hAnsi="Times New Roman" w:cs="Times New Roman"/>
          <w:szCs w:val="24"/>
        </w:rPr>
        <w:lastRenderedPageBreak/>
        <w:t>Ewidencja odpadów ustawy o odpadach. A zatem także i niewypełnienie obowiązków, o</w:t>
      </w:r>
      <w:r w:rsidR="00587BFB">
        <w:rPr>
          <w:rFonts w:ascii="Times New Roman" w:hAnsi="Times New Roman" w:cs="Times New Roman"/>
          <w:szCs w:val="24"/>
        </w:rPr>
        <w:t> </w:t>
      </w:r>
      <w:r w:rsidRPr="00E53FC3">
        <w:rPr>
          <w:rFonts w:ascii="Times New Roman" w:hAnsi="Times New Roman" w:cs="Times New Roman"/>
          <w:szCs w:val="24"/>
        </w:rPr>
        <w:t>których mowa w projektowanym art. 69 ust</w:t>
      </w:r>
      <w:r w:rsidR="00F50AFD">
        <w:rPr>
          <w:rFonts w:ascii="Times New Roman" w:hAnsi="Times New Roman" w:cs="Times New Roman"/>
          <w:szCs w:val="24"/>
        </w:rPr>
        <w:t>. 3, 3a i 3b oraz art. 71a ust. </w:t>
      </w:r>
      <w:r w:rsidRPr="00E53FC3">
        <w:rPr>
          <w:rFonts w:ascii="Times New Roman" w:hAnsi="Times New Roman" w:cs="Times New Roman"/>
          <w:szCs w:val="24"/>
        </w:rPr>
        <w:t>1, 2 i 4</w:t>
      </w:r>
      <w:r w:rsidR="00E53FC3">
        <w:rPr>
          <w:rFonts w:ascii="Times New Roman" w:hAnsi="Times New Roman" w:cs="Times New Roman"/>
          <w:szCs w:val="24"/>
        </w:rPr>
        <w:t>–</w:t>
      </w:r>
      <w:r w:rsidRPr="00E53FC3">
        <w:rPr>
          <w:rFonts w:ascii="Times New Roman" w:hAnsi="Times New Roman" w:cs="Times New Roman"/>
          <w:szCs w:val="24"/>
        </w:rPr>
        <w:t>6 ustawy o odpadach, będzie wypełniało znamiona wykroczenia określone w art. 180 ustawy o odpadach.</w:t>
      </w:r>
    </w:p>
    <w:p w14:paraId="2598453C" w14:textId="2AFB1FD1" w:rsidR="00F73632" w:rsidRPr="00E53FC3" w:rsidRDefault="0027633E" w:rsidP="00E53FC3">
      <w:pPr>
        <w:pStyle w:val="ZPKTzmpktartykuempunktem"/>
        <w:spacing w:before="120"/>
        <w:ind w:left="0" w:firstLine="0"/>
        <w:rPr>
          <w:iCs/>
          <w:szCs w:val="24"/>
        </w:rPr>
      </w:pPr>
      <w:r w:rsidRPr="00E53FC3">
        <w:rPr>
          <w:szCs w:val="24"/>
        </w:rPr>
        <w:t>Przepis ten nie obejmuje natomiast naruszenia obowiązku posiadania przez kierowcę</w:t>
      </w:r>
      <w:r w:rsidR="00E53FC3">
        <w:rPr>
          <w:szCs w:val="24"/>
        </w:rPr>
        <w:t xml:space="preserve"> </w:t>
      </w:r>
      <w:r w:rsidR="00F50AFD">
        <w:rPr>
          <w:szCs w:val="24"/>
        </w:rPr>
        <w:t>w </w:t>
      </w:r>
      <w:r w:rsidRPr="00E53FC3">
        <w:rPr>
          <w:szCs w:val="24"/>
        </w:rPr>
        <w:t xml:space="preserve">trakcie transportu odpadów potwierdzenia </w:t>
      </w:r>
      <w:r w:rsidRPr="00E53FC3">
        <w:rPr>
          <w:iCs/>
          <w:szCs w:val="24"/>
        </w:rPr>
        <w:t xml:space="preserve">wygenerowanego z BDO zgodnie z </w:t>
      </w:r>
      <w:r w:rsidRPr="00E53FC3">
        <w:rPr>
          <w:szCs w:val="24"/>
        </w:rPr>
        <w:t>art. 69 ust. 1a albo art. 71a ust. 3</w:t>
      </w:r>
      <w:r w:rsidRPr="00E53FC3">
        <w:rPr>
          <w:iCs/>
          <w:szCs w:val="24"/>
        </w:rPr>
        <w:t xml:space="preserve">, umożliwiającego weryfikację informacji zawartych w karcie przekazania odpadów ze stanem rzeczywistym. </w:t>
      </w:r>
    </w:p>
    <w:p w14:paraId="5DA4DFA5" w14:textId="32509CE9" w:rsidR="00F73632" w:rsidRPr="00E53FC3" w:rsidRDefault="0027633E" w:rsidP="00E53FC3">
      <w:pPr>
        <w:pStyle w:val="ZPKTzmpktartykuempunktem"/>
        <w:spacing w:before="120"/>
        <w:ind w:left="0" w:firstLine="0"/>
        <w:rPr>
          <w:szCs w:val="24"/>
        </w:rPr>
      </w:pPr>
      <w:r w:rsidRPr="00E53FC3">
        <w:rPr>
          <w:szCs w:val="24"/>
        </w:rPr>
        <w:t>W art. 71a ust. 4 uwzględniono przypadek, w którym odpady komunalne są przewożone w ramach działalności jednego posiadacza odpadów (z miejsc odbioru do stacji przeładunkowej)</w:t>
      </w:r>
      <w:r w:rsidR="007235DD" w:rsidRPr="00E53FC3">
        <w:rPr>
          <w:szCs w:val="24"/>
        </w:rPr>
        <w:t xml:space="preserve"> – oznacza to, że </w:t>
      </w:r>
      <w:r w:rsidRPr="00E53FC3">
        <w:rPr>
          <w:szCs w:val="24"/>
        </w:rPr>
        <w:t>podmiot</w:t>
      </w:r>
      <w:r w:rsidR="00F50AFD">
        <w:rPr>
          <w:szCs w:val="24"/>
        </w:rPr>
        <w:t xml:space="preserve"> odbierający odpady komunalne i </w:t>
      </w:r>
      <w:r w:rsidRPr="00E53FC3">
        <w:rPr>
          <w:szCs w:val="24"/>
        </w:rPr>
        <w:t xml:space="preserve">jednocześnie prowadzący stację przeładunkową jest </w:t>
      </w:r>
      <w:r w:rsidR="007235DD" w:rsidRPr="00E53FC3">
        <w:rPr>
          <w:szCs w:val="24"/>
        </w:rPr>
        <w:t xml:space="preserve">również </w:t>
      </w:r>
      <w:r w:rsidRPr="00E53FC3">
        <w:rPr>
          <w:szCs w:val="24"/>
        </w:rPr>
        <w:t>zobowiązany do potwierdzania przejęcia odpadów w BDO</w:t>
      </w:r>
      <w:r w:rsidR="007235DD" w:rsidRPr="00E53FC3">
        <w:rPr>
          <w:szCs w:val="24"/>
        </w:rPr>
        <w:t xml:space="preserve"> </w:t>
      </w:r>
      <w:r w:rsidR="00814CED" w:rsidRPr="00E53FC3">
        <w:rPr>
          <w:szCs w:val="24"/>
        </w:rPr>
        <w:t>(</w:t>
      </w:r>
      <w:r w:rsidR="007235DD" w:rsidRPr="00E53FC3">
        <w:rPr>
          <w:szCs w:val="24"/>
        </w:rPr>
        <w:t>mimo braku</w:t>
      </w:r>
      <w:r w:rsidRPr="00E53FC3">
        <w:rPr>
          <w:szCs w:val="24"/>
        </w:rPr>
        <w:t xml:space="preserve"> zmian</w:t>
      </w:r>
      <w:r w:rsidR="007235DD" w:rsidRPr="00E53FC3">
        <w:rPr>
          <w:szCs w:val="24"/>
        </w:rPr>
        <w:t>y</w:t>
      </w:r>
      <w:r w:rsidRPr="00E53FC3">
        <w:rPr>
          <w:szCs w:val="24"/>
        </w:rPr>
        <w:t xml:space="preserve"> posiadacza odpadów</w:t>
      </w:r>
      <w:r w:rsidR="00814CED" w:rsidRPr="00E53FC3">
        <w:rPr>
          <w:szCs w:val="24"/>
        </w:rPr>
        <w:t>)</w:t>
      </w:r>
      <w:r w:rsidRPr="00E53FC3">
        <w:rPr>
          <w:szCs w:val="24"/>
        </w:rPr>
        <w:t xml:space="preserve">. </w:t>
      </w:r>
    </w:p>
    <w:p w14:paraId="3BB9AB22" w14:textId="33045FF0" w:rsidR="00F73632" w:rsidRPr="00E53FC3" w:rsidRDefault="0027633E" w:rsidP="00E53FC3">
      <w:pPr>
        <w:pStyle w:val="NormalnyWeb"/>
        <w:spacing w:before="120" w:beforeAutospacing="0" w:after="0" w:afterAutospacing="0" w:line="360" w:lineRule="auto"/>
        <w:jc w:val="both"/>
        <w:rPr>
          <w:b/>
        </w:rPr>
      </w:pPr>
      <w:r w:rsidRPr="00E53FC3">
        <w:rPr>
          <w:rStyle w:val="Pogrubienie"/>
          <w:b w:val="0"/>
          <w:bCs/>
        </w:rPr>
        <w:t xml:space="preserve">Zmiana art. 158 i załącznika nr 1 do ustawy o odpadach (art. 1 pkt 16 </w:t>
      </w:r>
      <w:r w:rsidR="00084AC5">
        <w:rPr>
          <w:rStyle w:val="Pogrubienie"/>
          <w:b w:val="0"/>
          <w:bCs/>
        </w:rPr>
        <w:t xml:space="preserve">i 25 </w:t>
      </w:r>
      <w:r w:rsidRPr="00E53FC3">
        <w:rPr>
          <w:rStyle w:val="Pogrubienie"/>
          <w:b w:val="0"/>
          <w:bCs/>
        </w:rPr>
        <w:t>projektowanej ustawy) ma</w:t>
      </w:r>
      <w:r w:rsidRPr="00E53FC3">
        <w:rPr>
          <w:rStyle w:val="Pogrubienie"/>
          <w:bCs/>
        </w:rPr>
        <w:t xml:space="preserve"> </w:t>
      </w:r>
      <w:r w:rsidRPr="00E53FC3">
        <w:t>na celu zapewnienie spójności z</w:t>
      </w:r>
      <w:r w:rsidR="00E53FC3">
        <w:t xml:space="preserve"> </w:t>
      </w:r>
      <w:r w:rsidRPr="00E53FC3">
        <w:t xml:space="preserve">przepisami dyrektywy 2015/1127. Przepisy </w:t>
      </w:r>
      <w:r w:rsidRPr="00E53FC3">
        <w:rPr>
          <w:iCs/>
        </w:rPr>
        <w:t xml:space="preserve">dyrektywy 2015/1127 </w:t>
      </w:r>
      <w:r w:rsidRPr="00E53FC3">
        <w:t xml:space="preserve">wprowadzają współczynnik korygujący do wzoru na wyliczanie efektywności energetycznej instalacji termicznego przekształcania stałych odpadów komunalnych. W praktyce przepisy te będą wykorzystywane raczej w krajach </w:t>
      </w:r>
      <w:r w:rsidR="00F50AFD">
        <w:t>o </w:t>
      </w:r>
      <w:r w:rsidRPr="00E53FC3">
        <w:t>stosunkowo ciepłym klimacie, do których Polska nie należy.</w:t>
      </w:r>
    </w:p>
    <w:p w14:paraId="5CE71DA1" w14:textId="7AA72F98" w:rsidR="00F73632" w:rsidRPr="00E53FC3" w:rsidRDefault="006941E7" w:rsidP="00E53FC3">
      <w:pPr>
        <w:widowControl/>
        <w:spacing w:before="120"/>
        <w:rPr>
          <w:rStyle w:val="Pogrubienie"/>
          <w:b w:val="0"/>
          <w:bCs/>
          <w:szCs w:val="24"/>
        </w:rPr>
      </w:pPr>
      <w:r w:rsidRPr="00E53FC3">
        <w:rPr>
          <w:rStyle w:val="Pogrubienie"/>
          <w:b w:val="0"/>
          <w:bCs/>
          <w:szCs w:val="24"/>
        </w:rPr>
        <w:t xml:space="preserve">W związku z planowanym sposobem utworzenia oraz uruchomienia BDO </w:t>
      </w:r>
      <w:r w:rsidR="0027633E" w:rsidRPr="00E53FC3">
        <w:rPr>
          <w:rStyle w:val="Pogrubienie"/>
          <w:b w:val="0"/>
          <w:bCs/>
          <w:szCs w:val="24"/>
        </w:rPr>
        <w:t>konieczne jest dostosowanie przepisów przejściowych w zakresie obowiązków sprawozdawczych przedsiębiorców. Proponuje się zatem przedłużenie obowiązywania obecnych przepisów z</w:t>
      </w:r>
      <w:r w:rsidR="00E53FC3">
        <w:rPr>
          <w:rStyle w:val="Pogrubienie"/>
          <w:b w:val="0"/>
          <w:bCs/>
          <w:szCs w:val="24"/>
        </w:rPr>
        <w:t xml:space="preserve"> </w:t>
      </w:r>
      <w:r w:rsidR="00084AC5">
        <w:rPr>
          <w:rStyle w:val="Pogrubienie"/>
          <w:b w:val="0"/>
          <w:bCs/>
          <w:szCs w:val="24"/>
        </w:rPr>
        <w:t>zakresu sprawozdawczości</w:t>
      </w:r>
      <w:r w:rsidR="0027633E" w:rsidRPr="00E53FC3">
        <w:rPr>
          <w:rStyle w:val="Pogrubienie"/>
          <w:b w:val="0"/>
          <w:bCs/>
          <w:szCs w:val="24"/>
        </w:rPr>
        <w:t xml:space="preserve"> tak</w:t>
      </w:r>
      <w:r w:rsidR="00084AC5">
        <w:rPr>
          <w:rStyle w:val="Pogrubienie"/>
          <w:b w:val="0"/>
          <w:bCs/>
          <w:szCs w:val="24"/>
        </w:rPr>
        <w:t>,</w:t>
      </w:r>
      <w:r w:rsidR="0027633E" w:rsidRPr="00E53FC3">
        <w:rPr>
          <w:rStyle w:val="Pogrubienie"/>
          <w:b w:val="0"/>
          <w:bCs/>
          <w:szCs w:val="24"/>
        </w:rPr>
        <w:t xml:space="preserve"> aby rów</w:t>
      </w:r>
      <w:r w:rsidR="00F50AFD">
        <w:rPr>
          <w:rStyle w:val="Pogrubienie"/>
          <w:b w:val="0"/>
          <w:bCs/>
          <w:szCs w:val="24"/>
        </w:rPr>
        <w:t>nież sprawozdania za rok 2017 i </w:t>
      </w:r>
      <w:r w:rsidR="0027633E" w:rsidRPr="00E53FC3">
        <w:rPr>
          <w:rStyle w:val="Pogrubienie"/>
          <w:b w:val="0"/>
          <w:bCs/>
          <w:szCs w:val="24"/>
        </w:rPr>
        <w:t xml:space="preserve">2018 były składane na dotychczasowych zasadach. </w:t>
      </w:r>
      <w:r w:rsidR="00830421" w:rsidRPr="00E53FC3">
        <w:rPr>
          <w:rStyle w:val="Pogrubienie"/>
          <w:b w:val="0"/>
          <w:bCs/>
          <w:szCs w:val="24"/>
        </w:rPr>
        <w:t>N</w:t>
      </w:r>
      <w:r w:rsidR="0027633E" w:rsidRPr="00E53FC3">
        <w:rPr>
          <w:rStyle w:val="Pogrubienie"/>
          <w:b w:val="0"/>
          <w:bCs/>
          <w:szCs w:val="24"/>
        </w:rPr>
        <w:t xml:space="preserve">ależy </w:t>
      </w:r>
      <w:r w:rsidR="00830421" w:rsidRPr="00E53FC3">
        <w:rPr>
          <w:rStyle w:val="Pogrubienie"/>
          <w:b w:val="0"/>
          <w:bCs/>
          <w:szCs w:val="24"/>
        </w:rPr>
        <w:t xml:space="preserve">bowiem </w:t>
      </w:r>
      <w:r w:rsidR="0027633E" w:rsidRPr="00E53FC3">
        <w:rPr>
          <w:rStyle w:val="Pogrubienie"/>
          <w:b w:val="0"/>
          <w:bCs/>
          <w:szCs w:val="24"/>
        </w:rPr>
        <w:t>uwzględnić fakt, że podmioty i</w:t>
      </w:r>
      <w:r w:rsidR="00587BFB">
        <w:rPr>
          <w:rStyle w:val="Pogrubienie"/>
          <w:b w:val="0"/>
          <w:bCs/>
          <w:szCs w:val="24"/>
        </w:rPr>
        <w:t> </w:t>
      </w:r>
      <w:r w:rsidR="0027633E" w:rsidRPr="00E53FC3">
        <w:rPr>
          <w:rStyle w:val="Pogrubienie"/>
          <w:b w:val="0"/>
          <w:bCs/>
          <w:szCs w:val="24"/>
        </w:rPr>
        <w:t>marszałkowie województw mają półroczny okres od utworzenia BDO do odpowiednio złożenia wniosków o wpis do rejestru i</w:t>
      </w:r>
      <w:r w:rsidR="00E53FC3">
        <w:rPr>
          <w:rStyle w:val="Pogrubienie"/>
          <w:b w:val="0"/>
          <w:bCs/>
          <w:szCs w:val="24"/>
        </w:rPr>
        <w:t xml:space="preserve"> </w:t>
      </w:r>
      <w:r w:rsidR="0027633E" w:rsidRPr="00E53FC3">
        <w:rPr>
          <w:rStyle w:val="Pogrubienie"/>
          <w:b w:val="0"/>
          <w:bCs/>
          <w:szCs w:val="24"/>
        </w:rPr>
        <w:t>dokonania takich wpisów na wniosek lub z</w:t>
      </w:r>
      <w:r w:rsidR="00587BFB">
        <w:rPr>
          <w:rStyle w:val="Pogrubienie"/>
          <w:b w:val="0"/>
          <w:bCs/>
          <w:szCs w:val="24"/>
        </w:rPr>
        <w:t> </w:t>
      </w:r>
      <w:r w:rsidR="0027633E" w:rsidRPr="00E53FC3">
        <w:rPr>
          <w:rStyle w:val="Pogrubienie"/>
          <w:b w:val="0"/>
          <w:bCs/>
          <w:szCs w:val="24"/>
        </w:rPr>
        <w:t>urzędu. Z chwilą wpisu zostanie utworzone dla podmiotu indywidualne konto, nadany numer rejestrowy, wygenerowany login i hasło umożliwiające składanie sprawozdań za pośrednictwem BDO. Należy podkreślić, że obowiązek rejestracji w</w:t>
      </w:r>
      <w:r w:rsidR="00F50AFD">
        <w:rPr>
          <w:rStyle w:val="Pogrubienie"/>
          <w:b w:val="0"/>
          <w:bCs/>
          <w:szCs w:val="24"/>
        </w:rPr>
        <w:t> </w:t>
      </w:r>
      <w:r w:rsidR="0027633E" w:rsidRPr="00E53FC3">
        <w:rPr>
          <w:rStyle w:val="Pogrubienie"/>
          <w:b w:val="0"/>
          <w:bCs/>
          <w:szCs w:val="24"/>
        </w:rPr>
        <w:t>BDO będą miał</w:t>
      </w:r>
      <w:r w:rsidR="00DE1A6F" w:rsidRPr="00E53FC3">
        <w:rPr>
          <w:rStyle w:val="Pogrubienie"/>
          <w:b w:val="0"/>
          <w:bCs/>
          <w:szCs w:val="24"/>
        </w:rPr>
        <w:t>y</w:t>
      </w:r>
      <w:r w:rsidR="0027633E" w:rsidRPr="00E53FC3">
        <w:rPr>
          <w:rStyle w:val="Pogrubienie"/>
          <w:b w:val="0"/>
          <w:bCs/>
          <w:szCs w:val="24"/>
        </w:rPr>
        <w:t xml:space="preserve"> nie tylko podmioty do tego obowiązane aktualnym brzmieniem przepisów, lecz również wszystkie inne podmioty, na których ciąży obowiązek sprawozdawczy bądź prowadzenia ewidencji odpadów. Oznacza to, że liczba podmiotów objętych BDO ulegnie </w:t>
      </w:r>
      <w:r w:rsidR="0027633E" w:rsidRPr="00E53FC3">
        <w:rPr>
          <w:rStyle w:val="Pogrubienie"/>
          <w:b w:val="0"/>
          <w:bCs/>
          <w:szCs w:val="24"/>
        </w:rPr>
        <w:lastRenderedPageBreak/>
        <w:t xml:space="preserve">zwiększeniu. Ponadto co istotne, nie tylko rejestracja w BDO będzie przebiegać drogą elektroniczną, ale również każde zmiany zakresu danych w indywidualnym koncie zarejestrowanego podmiotu oraz wygaszenie konta. </w:t>
      </w:r>
    </w:p>
    <w:p w14:paraId="29688EA5" w14:textId="137A88F4" w:rsidR="00F73632" w:rsidRPr="00E53FC3" w:rsidRDefault="0027633E" w:rsidP="00E53FC3">
      <w:pPr>
        <w:widowControl/>
        <w:spacing w:before="120"/>
        <w:rPr>
          <w:rFonts w:ascii="Times New Roman" w:hAnsi="Times New Roman" w:cs="Times New Roman"/>
          <w:szCs w:val="24"/>
        </w:rPr>
      </w:pPr>
      <w:r w:rsidRPr="00E53FC3">
        <w:rPr>
          <w:rStyle w:val="Pogrubienie"/>
          <w:b w:val="0"/>
          <w:bCs/>
          <w:szCs w:val="24"/>
        </w:rPr>
        <w:t>W związku z powyższym złożenie sprawozdań wg nowych przepisów będzie możliwe w</w:t>
      </w:r>
      <w:r w:rsidR="00587BFB">
        <w:rPr>
          <w:rStyle w:val="Pogrubienie"/>
          <w:b w:val="0"/>
          <w:bCs/>
          <w:szCs w:val="24"/>
        </w:rPr>
        <w:t> </w:t>
      </w:r>
      <w:r w:rsidRPr="00E53FC3">
        <w:rPr>
          <w:rStyle w:val="Pogrubienie"/>
          <w:b w:val="0"/>
          <w:bCs/>
          <w:szCs w:val="24"/>
        </w:rPr>
        <w:t xml:space="preserve">terminie do 15 marca 2020 r. za 2019 r. Za rok 2017 i 2018 </w:t>
      </w:r>
      <w:r w:rsidRPr="00E53FC3">
        <w:rPr>
          <w:rFonts w:ascii="Times New Roman" w:hAnsi="Times New Roman" w:cs="Times New Roman"/>
          <w:szCs w:val="24"/>
        </w:rPr>
        <w:t xml:space="preserve">sprawozdania będą składane wg przepisów dotychczasowych. Analogiczne zmiany zostały zaproponowane w art. 237b ustawy o odpadach. </w:t>
      </w:r>
    </w:p>
    <w:p w14:paraId="2B350BA9" w14:textId="77D56C38"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Jednocześnie w art. 237b ustawy o odpadach dodano ust. </w:t>
      </w:r>
      <w:r w:rsidR="00084AC5">
        <w:rPr>
          <w:rFonts w:ascii="Times New Roman" w:hAnsi="Times New Roman" w:cs="Times New Roman"/>
          <w:szCs w:val="24"/>
        </w:rPr>
        <w:t>3</w:t>
      </w:r>
      <w:r w:rsidRPr="00E53FC3">
        <w:rPr>
          <w:rFonts w:ascii="Times New Roman" w:hAnsi="Times New Roman" w:cs="Times New Roman"/>
          <w:szCs w:val="24"/>
        </w:rPr>
        <w:t>a, zgodnie z którym sprawozdanie w zakresie opakowań i odpadów opak</w:t>
      </w:r>
      <w:r w:rsidR="00F50AFD">
        <w:rPr>
          <w:rFonts w:ascii="Times New Roman" w:hAnsi="Times New Roman" w:cs="Times New Roman"/>
          <w:szCs w:val="24"/>
        </w:rPr>
        <w:t>owaniowych składane za rok 2018 </w:t>
      </w:r>
      <w:r w:rsidRPr="00E53FC3">
        <w:rPr>
          <w:rFonts w:ascii="Times New Roman" w:hAnsi="Times New Roman" w:cs="Times New Roman"/>
          <w:szCs w:val="24"/>
        </w:rPr>
        <w:t xml:space="preserve">zawierać będzie dodatkowo informacje o toksyczności lub zagrożeniach ze strony materiałów opakowaniowych lub składników stosowanych do produkcji opakowań. Powyższa zmiana jest związana z dodatkową uzasadnioną opinią Komisji Europejskiej do </w:t>
      </w:r>
      <w:r w:rsidR="00084AC5">
        <w:rPr>
          <w:rFonts w:ascii="Times New Roman" w:hAnsi="Times New Roman" w:cs="Times New Roman"/>
          <w:szCs w:val="24"/>
        </w:rPr>
        <w:t>u</w:t>
      </w:r>
      <w:r w:rsidRPr="00E53FC3">
        <w:rPr>
          <w:rFonts w:ascii="Times New Roman" w:hAnsi="Times New Roman" w:cs="Times New Roman"/>
          <w:szCs w:val="24"/>
        </w:rPr>
        <w:t>chybienia nr 2011/2025, tj. zarzutem niepełnej transpozycji dyrektywy 94/62/WE Parlamentu Europejskiego i Rady z dnia 20 grudn</w:t>
      </w:r>
      <w:r w:rsidR="00F50AFD">
        <w:rPr>
          <w:rFonts w:ascii="Times New Roman" w:hAnsi="Times New Roman" w:cs="Times New Roman"/>
          <w:szCs w:val="24"/>
        </w:rPr>
        <w:t>ia 1994 r. w sprawie opakowań i </w:t>
      </w:r>
      <w:r w:rsidRPr="00E53FC3">
        <w:rPr>
          <w:rFonts w:ascii="Times New Roman" w:hAnsi="Times New Roman" w:cs="Times New Roman"/>
          <w:szCs w:val="24"/>
        </w:rPr>
        <w:t xml:space="preserve">odpadów opakowaniowych (Dz. Urz. WE L 365 z 31.12.1994, str. 10, z </w:t>
      </w:r>
      <w:proofErr w:type="spellStart"/>
      <w:r w:rsidRPr="00E53FC3">
        <w:rPr>
          <w:rFonts w:ascii="Times New Roman" w:hAnsi="Times New Roman" w:cs="Times New Roman"/>
          <w:szCs w:val="24"/>
        </w:rPr>
        <w:t>późn</w:t>
      </w:r>
      <w:proofErr w:type="spellEnd"/>
      <w:r w:rsidRPr="00E53FC3">
        <w:rPr>
          <w:rFonts w:ascii="Times New Roman" w:hAnsi="Times New Roman" w:cs="Times New Roman"/>
          <w:szCs w:val="24"/>
        </w:rPr>
        <w:t xml:space="preserve">. zm.). Przepis ten ma na celu dostosowanie polskiego prawa do przepisów dyrektywy 94/62/WE Parlamentu Europejskiego i Rady w sprawie opakowań i odpadów opakowaniowych. </w:t>
      </w:r>
    </w:p>
    <w:p w14:paraId="2D0D2352" w14:textId="040DDF32" w:rsidR="00F73632" w:rsidRPr="00E53FC3" w:rsidRDefault="006941E7" w:rsidP="00E53FC3">
      <w:pPr>
        <w:widowControl/>
        <w:spacing w:before="120"/>
        <w:rPr>
          <w:rFonts w:ascii="Times New Roman" w:hAnsi="Times New Roman" w:cs="Times New Roman"/>
          <w:szCs w:val="24"/>
        </w:rPr>
      </w:pPr>
      <w:r w:rsidRPr="00E53FC3">
        <w:rPr>
          <w:rFonts w:ascii="Times New Roman" w:hAnsi="Times New Roman" w:cs="Times New Roman"/>
          <w:szCs w:val="24"/>
        </w:rPr>
        <w:t>W związku z planowanym sposobem utworzenia oraz uruchomienia BDO</w:t>
      </w:r>
      <w:r w:rsidRPr="00E53FC3" w:rsidDel="006941E7">
        <w:rPr>
          <w:rFonts w:ascii="Times New Roman" w:hAnsi="Times New Roman" w:cs="Times New Roman"/>
          <w:szCs w:val="24"/>
        </w:rPr>
        <w:t xml:space="preserve"> </w:t>
      </w:r>
      <w:r w:rsidR="0027633E" w:rsidRPr="00E53FC3">
        <w:rPr>
          <w:rFonts w:ascii="Times New Roman" w:hAnsi="Times New Roman" w:cs="Times New Roman"/>
          <w:szCs w:val="24"/>
        </w:rPr>
        <w:t>konieczna stała się również zmiana przepisów dotyczących sprawozdawczości podmiotów gospodarujących sprzętem elektrycznym i elektronicznym oraz zużytym sprzętem. Mając jednocześnie na uwadze, że od 2018 r. zmieniają się przepisy ustawy z</w:t>
      </w:r>
      <w:r w:rsidR="00E53FC3">
        <w:rPr>
          <w:rFonts w:ascii="Times New Roman" w:hAnsi="Times New Roman" w:cs="Times New Roman"/>
          <w:szCs w:val="24"/>
        </w:rPr>
        <w:t xml:space="preserve"> </w:t>
      </w:r>
      <w:r w:rsidR="00F50AFD">
        <w:rPr>
          <w:rFonts w:ascii="Times New Roman" w:hAnsi="Times New Roman" w:cs="Times New Roman"/>
          <w:szCs w:val="24"/>
        </w:rPr>
        <w:t>dnia 11 </w:t>
      </w:r>
      <w:r w:rsidR="0027633E" w:rsidRPr="00E53FC3">
        <w:rPr>
          <w:rFonts w:ascii="Times New Roman" w:hAnsi="Times New Roman" w:cs="Times New Roman"/>
          <w:szCs w:val="24"/>
        </w:rPr>
        <w:t>września 2015 r. o</w:t>
      </w:r>
      <w:r w:rsidR="00E53FC3">
        <w:rPr>
          <w:rFonts w:ascii="Times New Roman" w:hAnsi="Times New Roman" w:cs="Times New Roman"/>
          <w:szCs w:val="24"/>
        </w:rPr>
        <w:t xml:space="preserve"> </w:t>
      </w:r>
      <w:r w:rsidR="0027633E" w:rsidRPr="00E53FC3">
        <w:rPr>
          <w:rFonts w:ascii="Times New Roman" w:hAnsi="Times New Roman" w:cs="Times New Roman"/>
          <w:szCs w:val="24"/>
        </w:rPr>
        <w:t>zużytym sprzęcie elektryczny</w:t>
      </w:r>
      <w:r w:rsidR="00F50AFD">
        <w:rPr>
          <w:rFonts w:ascii="Times New Roman" w:hAnsi="Times New Roman" w:cs="Times New Roman"/>
          <w:szCs w:val="24"/>
        </w:rPr>
        <w:t>m i elektronicznym (Dz. U. poz. </w:t>
      </w:r>
      <w:r w:rsidR="0027633E" w:rsidRPr="00E53FC3">
        <w:rPr>
          <w:rFonts w:ascii="Times New Roman" w:hAnsi="Times New Roman" w:cs="Times New Roman"/>
          <w:szCs w:val="24"/>
        </w:rPr>
        <w:t>1688</w:t>
      </w:r>
      <w:r w:rsidR="00084AC5">
        <w:rPr>
          <w:rFonts w:ascii="Times New Roman" w:hAnsi="Times New Roman" w:cs="Times New Roman"/>
          <w:szCs w:val="24"/>
        </w:rPr>
        <w:t xml:space="preserve">, z </w:t>
      </w:r>
      <w:proofErr w:type="spellStart"/>
      <w:r w:rsidR="00084AC5">
        <w:rPr>
          <w:rFonts w:ascii="Times New Roman" w:hAnsi="Times New Roman" w:cs="Times New Roman"/>
          <w:szCs w:val="24"/>
        </w:rPr>
        <w:t>późn</w:t>
      </w:r>
      <w:proofErr w:type="spellEnd"/>
      <w:r w:rsidR="00084AC5">
        <w:rPr>
          <w:rFonts w:ascii="Times New Roman" w:hAnsi="Times New Roman" w:cs="Times New Roman"/>
          <w:szCs w:val="24"/>
        </w:rPr>
        <w:t>. zm.</w:t>
      </w:r>
      <w:r w:rsidR="0027633E" w:rsidRPr="00E53FC3">
        <w:rPr>
          <w:rFonts w:ascii="Times New Roman" w:hAnsi="Times New Roman" w:cs="Times New Roman"/>
          <w:szCs w:val="24"/>
        </w:rPr>
        <w:t>) w zakresie grup sprzętu, zaproponowano pozostawienie do końca 2017 r. dotychczasowych zasad sporządzania i prz</w:t>
      </w:r>
      <w:r w:rsidR="00F50AFD">
        <w:rPr>
          <w:rFonts w:ascii="Times New Roman" w:hAnsi="Times New Roman" w:cs="Times New Roman"/>
          <w:szCs w:val="24"/>
        </w:rPr>
        <w:t>ekazywania sprawozdań przez ww. </w:t>
      </w:r>
      <w:r w:rsidR="0027633E" w:rsidRPr="00E53FC3">
        <w:rPr>
          <w:rFonts w:ascii="Times New Roman" w:hAnsi="Times New Roman" w:cs="Times New Roman"/>
          <w:szCs w:val="24"/>
        </w:rPr>
        <w:t>podmioty. Oznacza to tym samym, że sprawozdanie za rok 2017 wspomniane powyżej podmioty będ</w:t>
      </w:r>
      <w:r w:rsidR="00EE2B32">
        <w:rPr>
          <w:rFonts w:ascii="Times New Roman" w:hAnsi="Times New Roman" w:cs="Times New Roman"/>
          <w:szCs w:val="24"/>
        </w:rPr>
        <w:t>ą</w:t>
      </w:r>
      <w:r w:rsidR="0027633E" w:rsidRPr="00E53FC3">
        <w:rPr>
          <w:rFonts w:ascii="Times New Roman" w:hAnsi="Times New Roman" w:cs="Times New Roman"/>
          <w:szCs w:val="24"/>
        </w:rPr>
        <w:t xml:space="preserve"> sporządzać i przekazywać do Głównego Inspektora Ochrony Środowiska (GIOŚ) zgodnie z</w:t>
      </w:r>
      <w:r w:rsidR="00E53FC3">
        <w:rPr>
          <w:rFonts w:ascii="Times New Roman" w:hAnsi="Times New Roman" w:cs="Times New Roman"/>
          <w:szCs w:val="24"/>
        </w:rPr>
        <w:t xml:space="preserve"> </w:t>
      </w:r>
      <w:r w:rsidR="0027633E" w:rsidRPr="00E53FC3">
        <w:rPr>
          <w:rFonts w:ascii="Times New Roman" w:hAnsi="Times New Roman" w:cs="Times New Roman"/>
          <w:szCs w:val="24"/>
        </w:rPr>
        <w:t>przepisami ustawy z dnia 29 lipca 2005 r. o zużytym sprzęcie elektrycznym i</w:t>
      </w:r>
      <w:r w:rsidR="00587BFB">
        <w:rPr>
          <w:rFonts w:ascii="Times New Roman" w:hAnsi="Times New Roman" w:cs="Times New Roman"/>
          <w:szCs w:val="24"/>
        </w:rPr>
        <w:t> </w:t>
      </w:r>
      <w:r w:rsidR="0027633E" w:rsidRPr="00E53FC3">
        <w:rPr>
          <w:rFonts w:ascii="Times New Roman" w:hAnsi="Times New Roman" w:cs="Times New Roman"/>
          <w:szCs w:val="24"/>
        </w:rPr>
        <w:t xml:space="preserve">elektronicznym (Dz. U. poz. 1495, z </w:t>
      </w:r>
      <w:proofErr w:type="spellStart"/>
      <w:r w:rsidR="0027633E" w:rsidRPr="00E53FC3">
        <w:rPr>
          <w:rFonts w:ascii="Times New Roman" w:hAnsi="Times New Roman" w:cs="Times New Roman"/>
          <w:szCs w:val="24"/>
        </w:rPr>
        <w:t>późn</w:t>
      </w:r>
      <w:proofErr w:type="spellEnd"/>
      <w:r w:rsidR="0027633E" w:rsidRPr="00E53FC3">
        <w:rPr>
          <w:rFonts w:ascii="Times New Roman" w:hAnsi="Times New Roman" w:cs="Times New Roman"/>
          <w:szCs w:val="24"/>
        </w:rPr>
        <w:t>. zm.). Jednocze</w:t>
      </w:r>
      <w:r w:rsidR="00201A9B" w:rsidRPr="00E53FC3">
        <w:rPr>
          <w:rFonts w:ascii="Times New Roman" w:hAnsi="Times New Roman" w:cs="Times New Roman"/>
          <w:szCs w:val="24"/>
        </w:rPr>
        <w:t>ś</w:t>
      </w:r>
      <w:r w:rsidR="0027633E" w:rsidRPr="00E53FC3">
        <w:rPr>
          <w:rFonts w:ascii="Times New Roman" w:hAnsi="Times New Roman" w:cs="Times New Roman"/>
          <w:szCs w:val="24"/>
        </w:rPr>
        <w:t>nie ze względu na termin wejścia w życie przepisów projektowanej ustawy zaproponowano, że sprawozdania składane zgodnie z dotychczasowymi przepisami za pierwsze półrocze danego roku zostaną złożone w odni</w:t>
      </w:r>
      <w:r w:rsidR="00F50AFD">
        <w:rPr>
          <w:rFonts w:ascii="Times New Roman" w:hAnsi="Times New Roman" w:cs="Times New Roman"/>
          <w:szCs w:val="24"/>
        </w:rPr>
        <w:t>esieniu do roku 2017 r. wraz ze </w:t>
      </w:r>
      <w:r w:rsidR="0027633E" w:rsidRPr="00E53FC3">
        <w:rPr>
          <w:rFonts w:ascii="Times New Roman" w:hAnsi="Times New Roman" w:cs="Times New Roman"/>
          <w:szCs w:val="24"/>
        </w:rPr>
        <w:t xml:space="preserve">sprawozdaniem za drugie </w:t>
      </w:r>
      <w:r w:rsidR="0027633E" w:rsidRPr="00E53FC3">
        <w:rPr>
          <w:rFonts w:ascii="Times New Roman" w:hAnsi="Times New Roman" w:cs="Times New Roman"/>
          <w:szCs w:val="24"/>
        </w:rPr>
        <w:lastRenderedPageBreak/>
        <w:t>półrocze tego roku, cz</w:t>
      </w:r>
      <w:r w:rsidR="00F50AFD">
        <w:rPr>
          <w:rFonts w:ascii="Times New Roman" w:hAnsi="Times New Roman" w:cs="Times New Roman"/>
          <w:szCs w:val="24"/>
        </w:rPr>
        <w:t xml:space="preserve">yli w terminie do </w:t>
      </w:r>
      <w:r w:rsidR="00EE2B32">
        <w:rPr>
          <w:rFonts w:ascii="Times New Roman" w:hAnsi="Times New Roman" w:cs="Times New Roman"/>
          <w:szCs w:val="24"/>
        </w:rPr>
        <w:t xml:space="preserve">dnia </w:t>
      </w:r>
      <w:r w:rsidR="00F50AFD">
        <w:rPr>
          <w:rFonts w:ascii="Times New Roman" w:hAnsi="Times New Roman" w:cs="Times New Roman"/>
          <w:szCs w:val="24"/>
        </w:rPr>
        <w:t>15 marca 2018 </w:t>
      </w:r>
      <w:r w:rsidR="0027633E" w:rsidRPr="00E53FC3">
        <w:rPr>
          <w:rFonts w:ascii="Times New Roman" w:hAnsi="Times New Roman" w:cs="Times New Roman"/>
          <w:szCs w:val="24"/>
        </w:rPr>
        <w:t>r. Natomiast regulacje zawarte w art. 237e ustawy o odpadach określają zasady sporządzenia i</w:t>
      </w:r>
      <w:r w:rsidR="00E53FC3">
        <w:rPr>
          <w:rFonts w:ascii="Times New Roman" w:hAnsi="Times New Roman" w:cs="Times New Roman"/>
          <w:szCs w:val="24"/>
        </w:rPr>
        <w:t xml:space="preserve"> </w:t>
      </w:r>
      <w:r w:rsidR="0027633E" w:rsidRPr="00E53FC3">
        <w:rPr>
          <w:rFonts w:ascii="Times New Roman" w:hAnsi="Times New Roman" w:cs="Times New Roman"/>
          <w:szCs w:val="24"/>
        </w:rPr>
        <w:t>złożenia do GIOŚ sprawozdani</w:t>
      </w:r>
      <w:r w:rsidR="00F50AFD">
        <w:rPr>
          <w:rFonts w:ascii="Times New Roman" w:hAnsi="Times New Roman" w:cs="Times New Roman"/>
          <w:szCs w:val="24"/>
        </w:rPr>
        <w:t>a za rok 2018. Dodatkowo w art. </w:t>
      </w:r>
      <w:r w:rsidR="0027633E" w:rsidRPr="00E53FC3">
        <w:rPr>
          <w:rFonts w:ascii="Times New Roman" w:hAnsi="Times New Roman" w:cs="Times New Roman"/>
          <w:szCs w:val="24"/>
        </w:rPr>
        <w:t>237f ustawy o odpadach wskazano, że podmioty składające sprawozdanie za rok 2017 będ</w:t>
      </w:r>
      <w:r w:rsidR="00EE2B32">
        <w:rPr>
          <w:rFonts w:ascii="Times New Roman" w:hAnsi="Times New Roman" w:cs="Times New Roman"/>
          <w:szCs w:val="24"/>
        </w:rPr>
        <w:t>ą</w:t>
      </w:r>
      <w:r w:rsidR="0027633E" w:rsidRPr="00E53FC3">
        <w:rPr>
          <w:rFonts w:ascii="Times New Roman" w:hAnsi="Times New Roman" w:cs="Times New Roman"/>
          <w:szCs w:val="24"/>
        </w:rPr>
        <w:t xml:space="preserve"> obowiązane dołączać do nich informacje o lampach LED, które będą niezbędne do obliczenia poziomów odzysku oraz przygotowania do ponownego użycia i recyklingu sprzętu oświetleniowego. Dane te będą przekazywane za rok 2017 na podstawie informacji zawartych w obecnie prowadzonej przez przedsiębiorców, zgodnie z obowiązującymi przepisami, ewidencji wprowadzonego sprzętu, która obejmuje także informacje dotyczące wprowadzanych lamp LED. Przedsiębiorcy będą więc posiadać niezbędne informacje konieczne do złożenia sprawozdania w zakresie wprowadzanych</w:t>
      </w:r>
      <w:r w:rsidR="00E53FC3">
        <w:rPr>
          <w:rFonts w:ascii="Times New Roman" w:hAnsi="Times New Roman" w:cs="Times New Roman"/>
          <w:szCs w:val="24"/>
        </w:rPr>
        <w:t xml:space="preserve"> </w:t>
      </w:r>
      <w:r w:rsidR="0027633E" w:rsidRPr="00E53FC3">
        <w:rPr>
          <w:rFonts w:ascii="Times New Roman" w:hAnsi="Times New Roman" w:cs="Times New Roman"/>
          <w:szCs w:val="24"/>
        </w:rPr>
        <w:t>w 2017 r. lamp LED.</w:t>
      </w:r>
      <w:r w:rsidR="00E53FC3">
        <w:rPr>
          <w:rFonts w:ascii="Times New Roman" w:hAnsi="Times New Roman" w:cs="Times New Roman"/>
          <w:szCs w:val="24"/>
        </w:rPr>
        <w:t xml:space="preserve"> </w:t>
      </w:r>
    </w:p>
    <w:p w14:paraId="6C10BADB" w14:textId="7CFA91B9"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projekcie ustawy zaproponowano zmiany w</w:t>
      </w:r>
      <w:r w:rsidR="00E53FC3">
        <w:rPr>
          <w:rFonts w:ascii="Times New Roman" w:hAnsi="Times New Roman" w:cs="Times New Roman"/>
          <w:szCs w:val="24"/>
        </w:rPr>
        <w:t xml:space="preserve"> </w:t>
      </w:r>
      <w:r w:rsidRPr="00E53FC3">
        <w:rPr>
          <w:rFonts w:ascii="Times New Roman" w:hAnsi="Times New Roman" w:cs="Times New Roman"/>
          <w:szCs w:val="24"/>
        </w:rPr>
        <w:t>regule finansowej określającej wysokość środków finansowych niezbędnych do</w:t>
      </w:r>
      <w:r w:rsidR="00E53FC3">
        <w:rPr>
          <w:rFonts w:ascii="Times New Roman" w:hAnsi="Times New Roman" w:cs="Times New Roman"/>
          <w:szCs w:val="24"/>
        </w:rPr>
        <w:t xml:space="preserve"> </w:t>
      </w:r>
      <w:r w:rsidRPr="00E53FC3">
        <w:rPr>
          <w:rFonts w:ascii="Times New Roman" w:hAnsi="Times New Roman" w:cs="Times New Roman"/>
          <w:szCs w:val="24"/>
        </w:rPr>
        <w:t>utworzenia oraz obsługi BDO. BDO będzie nie tylko pełniła rolę rejestru, ale także będzie dodatkowym narzędziem dla Inspekcji Ochrony Środowiska oraz organów ochrony środowiska, jak i organów ścigania, Inspekcji Transportu Drogowego i</w:t>
      </w:r>
      <w:r w:rsidR="00E53FC3">
        <w:rPr>
          <w:rFonts w:ascii="Times New Roman" w:hAnsi="Times New Roman" w:cs="Times New Roman"/>
          <w:szCs w:val="24"/>
        </w:rPr>
        <w:t xml:space="preserve"> </w:t>
      </w:r>
      <w:r w:rsidRPr="00E53FC3">
        <w:rPr>
          <w:rFonts w:ascii="Times New Roman" w:hAnsi="Times New Roman" w:cs="Times New Roman"/>
          <w:szCs w:val="24"/>
        </w:rPr>
        <w:t>innych służb w walce z</w:t>
      </w:r>
      <w:r w:rsidR="00E53FC3">
        <w:rPr>
          <w:rFonts w:ascii="Times New Roman" w:hAnsi="Times New Roman" w:cs="Times New Roman"/>
          <w:szCs w:val="24"/>
        </w:rPr>
        <w:t xml:space="preserve"> </w:t>
      </w:r>
      <w:r w:rsidRPr="00E53FC3">
        <w:rPr>
          <w:rFonts w:ascii="Times New Roman" w:hAnsi="Times New Roman" w:cs="Times New Roman"/>
          <w:szCs w:val="24"/>
        </w:rPr>
        <w:t>szarą strefą w gospodarce odpadami. W związku z tym niezbędne jest przesunięcie części środków przeznaczonych dla samorządu terytorialnego w celu ich przeznaczenia na obsługę BDO przez organy Inspekcji Ochrony Środowiska. Wsparcie kadrowe do obsługi BDO w tym zakresie jest niezbędne do skutecznej walki z szarą strefą. Natomiast ogólny poziom wydatków nie uległ zwiększeniu.</w:t>
      </w:r>
    </w:p>
    <w:p w14:paraId="58DD5AFE" w14:textId="24066FED"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Należy podkreślić, że BDO będzie stanowiło cenne narzędzie pracy dla organów administracji samorządowej, jak i Inspekcji Ochrony Środowiska, które ułatwi wykonywanie czynności i przyspieszy dostęp do danych dotyczących gospodarowania odpadami przez posiadaczy odpadów. </w:t>
      </w:r>
    </w:p>
    <w:p w14:paraId="3EF8B0CB" w14:textId="40E8EAFD"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Zmiany harmonogramu maksymalnych limitów wydatków związanych z utworzeniem BDO wynikają bezpośrednio ze zmiany harmonogramu wdrażania systemu (w kwietniu 2016</w:t>
      </w:r>
      <w:r w:rsidR="00E53FC3">
        <w:rPr>
          <w:rFonts w:ascii="Times New Roman" w:hAnsi="Times New Roman" w:cs="Times New Roman"/>
          <w:szCs w:val="24"/>
        </w:rPr>
        <w:t xml:space="preserve"> </w:t>
      </w:r>
      <w:r w:rsidRPr="00E53FC3">
        <w:rPr>
          <w:rFonts w:ascii="Times New Roman" w:hAnsi="Times New Roman" w:cs="Times New Roman"/>
          <w:szCs w:val="24"/>
        </w:rPr>
        <w:t>r. Minister Środowiska podjął decyzję o przen</w:t>
      </w:r>
      <w:r w:rsidR="00F50AFD">
        <w:rPr>
          <w:rFonts w:ascii="Times New Roman" w:hAnsi="Times New Roman" w:cs="Times New Roman"/>
          <w:szCs w:val="24"/>
        </w:rPr>
        <w:t>iesieniu obowiązku utworzenia i </w:t>
      </w:r>
      <w:r w:rsidRPr="00E53FC3">
        <w:rPr>
          <w:rFonts w:ascii="Times New Roman" w:hAnsi="Times New Roman" w:cs="Times New Roman"/>
          <w:szCs w:val="24"/>
        </w:rPr>
        <w:t>administrowania BDO na GIOŚ, a w dniu 19 lipca 2017</w:t>
      </w:r>
      <w:r w:rsidR="00E53FC3">
        <w:rPr>
          <w:rFonts w:ascii="Times New Roman" w:hAnsi="Times New Roman" w:cs="Times New Roman"/>
          <w:szCs w:val="24"/>
        </w:rPr>
        <w:t xml:space="preserve"> </w:t>
      </w:r>
      <w:r w:rsidRPr="00E53FC3">
        <w:rPr>
          <w:rFonts w:ascii="Times New Roman" w:hAnsi="Times New Roman" w:cs="Times New Roman"/>
          <w:szCs w:val="24"/>
        </w:rPr>
        <w:t>r. zadecydował, że to Minister Środowiska będzie koordynował utworzenie BDO) oraz zmiany zakresu informacyjnego, którą wprowadzi projektowana usta</w:t>
      </w:r>
      <w:r w:rsidR="00F50AFD">
        <w:rPr>
          <w:rFonts w:ascii="Times New Roman" w:hAnsi="Times New Roman" w:cs="Times New Roman"/>
          <w:szCs w:val="24"/>
        </w:rPr>
        <w:t>wa. Zmieniono podział środków w </w:t>
      </w:r>
      <w:r w:rsidRPr="00E53FC3">
        <w:rPr>
          <w:rFonts w:ascii="Times New Roman" w:hAnsi="Times New Roman" w:cs="Times New Roman"/>
          <w:szCs w:val="24"/>
        </w:rPr>
        <w:t xml:space="preserve">poszczególnych latach z uwagi na wymóg opracowania i wykonania dodatkowych modułów do BDO </w:t>
      </w:r>
      <w:r w:rsidRPr="00E53FC3">
        <w:rPr>
          <w:rFonts w:ascii="Times New Roman" w:hAnsi="Times New Roman" w:cs="Times New Roman"/>
          <w:szCs w:val="24"/>
        </w:rPr>
        <w:lastRenderedPageBreak/>
        <w:t>(m.in. moduł dotyczący śledzenia strumienia odpadów – ewidencja odpadów, w tym karty przekazania odpadów) oraz konieczność rozbudowy infrastruktury sprzętowo</w:t>
      </w:r>
      <w:r w:rsidR="00587BFB">
        <w:rPr>
          <w:rFonts w:ascii="Times New Roman" w:hAnsi="Times New Roman" w:cs="Times New Roman"/>
          <w:szCs w:val="24"/>
        </w:rPr>
        <w:noBreakHyphen/>
      </w:r>
      <w:r w:rsidRPr="00E53FC3">
        <w:rPr>
          <w:rFonts w:ascii="Times New Roman" w:hAnsi="Times New Roman" w:cs="Times New Roman"/>
          <w:szCs w:val="24"/>
        </w:rPr>
        <w:t>programowej. Zatem organem właściwym do monitorowania wydatków z budżetu państwa przeznaczonych na B</w:t>
      </w:r>
      <w:r w:rsidR="00F50AFD">
        <w:rPr>
          <w:rFonts w:ascii="Times New Roman" w:hAnsi="Times New Roman" w:cs="Times New Roman"/>
          <w:szCs w:val="24"/>
        </w:rPr>
        <w:t>DO będzie Minister Środowiska i </w:t>
      </w:r>
      <w:r w:rsidRPr="00E53FC3">
        <w:rPr>
          <w:rFonts w:ascii="Times New Roman" w:hAnsi="Times New Roman" w:cs="Times New Roman"/>
          <w:szCs w:val="24"/>
        </w:rPr>
        <w:t>G</w:t>
      </w:r>
      <w:r w:rsidR="00084AC5">
        <w:rPr>
          <w:rFonts w:ascii="Times New Roman" w:hAnsi="Times New Roman" w:cs="Times New Roman"/>
          <w:szCs w:val="24"/>
        </w:rPr>
        <w:t>IOŚ</w:t>
      </w:r>
      <w:r w:rsidRPr="00E53FC3">
        <w:rPr>
          <w:rFonts w:ascii="Times New Roman" w:hAnsi="Times New Roman" w:cs="Times New Roman"/>
          <w:szCs w:val="24"/>
        </w:rPr>
        <w:t xml:space="preserve">. </w:t>
      </w:r>
    </w:p>
    <w:p w14:paraId="65A33283" w14:textId="62389910"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W regule wydatkowej określonej w art. 251 ustawy o odpadach, mimo wprowadzanych zmian, całkowity poziom wydatków sektora finansów publicznych nie ulega zmianie. Zmianie ulega jedynie poziom wydatków w</w:t>
      </w:r>
      <w:r w:rsidR="00E53FC3">
        <w:rPr>
          <w:rFonts w:ascii="Times New Roman" w:hAnsi="Times New Roman" w:cs="Times New Roman"/>
          <w:szCs w:val="24"/>
        </w:rPr>
        <w:t xml:space="preserve"> </w:t>
      </w:r>
      <w:r w:rsidRPr="00E53FC3">
        <w:rPr>
          <w:rFonts w:ascii="Times New Roman" w:hAnsi="Times New Roman" w:cs="Times New Roman"/>
          <w:szCs w:val="24"/>
        </w:rPr>
        <w:t>poszczególnych latach. Zmiana poziomu wydatków w</w:t>
      </w:r>
      <w:r w:rsidR="00E53FC3">
        <w:rPr>
          <w:rFonts w:ascii="Times New Roman" w:hAnsi="Times New Roman" w:cs="Times New Roman"/>
          <w:szCs w:val="24"/>
        </w:rPr>
        <w:t xml:space="preserve"> </w:t>
      </w:r>
      <w:r w:rsidRPr="00E53FC3">
        <w:rPr>
          <w:rFonts w:ascii="Times New Roman" w:hAnsi="Times New Roman" w:cs="Times New Roman"/>
          <w:szCs w:val="24"/>
        </w:rPr>
        <w:t xml:space="preserve">poszczególnych latach podyktowana była faktem powierzenia przez Ministra Środowiska </w:t>
      </w:r>
      <w:r w:rsidR="00084AC5" w:rsidRPr="00E53FC3">
        <w:rPr>
          <w:rFonts w:ascii="Times New Roman" w:hAnsi="Times New Roman" w:cs="Times New Roman"/>
          <w:szCs w:val="24"/>
        </w:rPr>
        <w:t>G</w:t>
      </w:r>
      <w:r w:rsidR="00084AC5">
        <w:rPr>
          <w:rFonts w:ascii="Times New Roman" w:hAnsi="Times New Roman" w:cs="Times New Roman"/>
          <w:szCs w:val="24"/>
        </w:rPr>
        <w:t xml:space="preserve">IOŚ </w:t>
      </w:r>
      <w:r w:rsidR="00F50AFD">
        <w:rPr>
          <w:rFonts w:ascii="Times New Roman" w:hAnsi="Times New Roman" w:cs="Times New Roman"/>
          <w:szCs w:val="24"/>
        </w:rPr>
        <w:t>utworzenia i </w:t>
      </w:r>
      <w:r w:rsidRPr="00E53FC3">
        <w:rPr>
          <w:rFonts w:ascii="Times New Roman" w:hAnsi="Times New Roman" w:cs="Times New Roman"/>
          <w:szCs w:val="24"/>
        </w:rPr>
        <w:t xml:space="preserve">administrowania BDO – decyzja Ministra Środowiska z dnia 5 lutego 2016 r., </w:t>
      </w:r>
      <w:r w:rsidR="00F50AFD">
        <w:rPr>
          <w:rFonts w:ascii="Times New Roman" w:hAnsi="Times New Roman" w:cs="Times New Roman"/>
          <w:szCs w:val="24"/>
        </w:rPr>
        <w:t>a następnie w </w:t>
      </w:r>
      <w:r w:rsidRPr="00E53FC3">
        <w:rPr>
          <w:rFonts w:ascii="Times New Roman" w:hAnsi="Times New Roman" w:cs="Times New Roman"/>
          <w:szCs w:val="24"/>
        </w:rPr>
        <w:t>dniu 19 lipca 2017 r. przeniesienie obowiązku koordynacji utworzenia BDO na Ministra Środowiska.</w:t>
      </w:r>
      <w:r w:rsidR="00E53FC3">
        <w:rPr>
          <w:rFonts w:ascii="Times New Roman" w:hAnsi="Times New Roman" w:cs="Times New Roman"/>
          <w:szCs w:val="24"/>
        </w:rPr>
        <w:t xml:space="preserve"> </w:t>
      </w:r>
    </w:p>
    <w:p w14:paraId="612C6821" w14:textId="734CD6DC"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Powyższe wpłynęło na konieczność zaplanowani</w:t>
      </w:r>
      <w:r w:rsidR="00201A9B" w:rsidRPr="00E53FC3">
        <w:rPr>
          <w:rFonts w:ascii="Times New Roman" w:hAnsi="Times New Roman" w:cs="Times New Roman"/>
          <w:szCs w:val="24"/>
        </w:rPr>
        <w:t>a</w:t>
      </w:r>
      <w:r w:rsidRPr="00E53FC3">
        <w:rPr>
          <w:rFonts w:ascii="Times New Roman" w:hAnsi="Times New Roman" w:cs="Times New Roman"/>
          <w:szCs w:val="24"/>
        </w:rPr>
        <w:t xml:space="preserve"> </w:t>
      </w:r>
      <w:r w:rsidR="00F50AFD">
        <w:rPr>
          <w:rFonts w:ascii="Times New Roman" w:hAnsi="Times New Roman" w:cs="Times New Roman"/>
          <w:szCs w:val="24"/>
        </w:rPr>
        <w:t>środków w określonych kwotach z </w:t>
      </w:r>
      <w:r w:rsidRPr="00E53FC3">
        <w:rPr>
          <w:rFonts w:ascii="Times New Roman" w:hAnsi="Times New Roman" w:cs="Times New Roman"/>
          <w:szCs w:val="24"/>
        </w:rPr>
        <w:t xml:space="preserve">podziałem na poszczególne lata – zgodnie z przyjętym harmonogramem realizacji przedsięwzięcia. Kwoty wskazane w art. 251 ust. 1 ustawy o odpadach obejmują całość finansowania z budżetu państwa, zarówno finansowanie wojewódzkich inspektoratów ochrony środowiska, jak i Głównego Inspektoratu Ochrony Środowiska. </w:t>
      </w:r>
    </w:p>
    <w:p w14:paraId="7FA39F36" w14:textId="481F2ADD"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Zakres zadań związanych z obsługą BDO przez jednostki samorządu terytorialnego nie ulegnie zmianie. Natomiast ze względu na projektowane rozszerzenie BDO o moduł ewidencji odpadów organy Inspekcji Ochrony Środowiska otrzymają dodatkowe zadania związane z</w:t>
      </w:r>
      <w:r w:rsidR="00E53FC3">
        <w:rPr>
          <w:rFonts w:ascii="Times New Roman" w:hAnsi="Times New Roman" w:cs="Times New Roman"/>
          <w:szCs w:val="24"/>
        </w:rPr>
        <w:t xml:space="preserve"> </w:t>
      </w:r>
      <w:r w:rsidRPr="00E53FC3">
        <w:rPr>
          <w:rFonts w:ascii="Times New Roman" w:hAnsi="Times New Roman" w:cs="Times New Roman"/>
          <w:szCs w:val="24"/>
        </w:rPr>
        <w:t>obsługą bazy w zakresie dotyczącym kontroli podmiotów (w tym kontroli krzyżowych) i</w:t>
      </w:r>
      <w:r w:rsidR="00E53FC3">
        <w:rPr>
          <w:rFonts w:ascii="Times New Roman" w:hAnsi="Times New Roman" w:cs="Times New Roman"/>
          <w:szCs w:val="24"/>
        </w:rPr>
        <w:t xml:space="preserve"> </w:t>
      </w:r>
      <w:r w:rsidRPr="00E53FC3">
        <w:rPr>
          <w:rFonts w:ascii="Times New Roman" w:hAnsi="Times New Roman" w:cs="Times New Roman"/>
          <w:szCs w:val="24"/>
        </w:rPr>
        <w:t>walki z szarą strefą w gospodarce odpadami w skali całego kraju. W</w:t>
      </w:r>
      <w:r w:rsidR="00587BFB">
        <w:rPr>
          <w:rFonts w:ascii="Times New Roman" w:hAnsi="Times New Roman" w:cs="Times New Roman"/>
          <w:szCs w:val="24"/>
        </w:rPr>
        <w:t> </w:t>
      </w:r>
      <w:r w:rsidRPr="00E53FC3">
        <w:rPr>
          <w:rFonts w:ascii="Times New Roman" w:hAnsi="Times New Roman" w:cs="Times New Roman"/>
          <w:szCs w:val="24"/>
        </w:rPr>
        <w:t>związku z powyższym, konieczne było rozdysponowanie środków adekwatnie do obciążenia poszczególnych organów zadaniami, co wiązało się z przesunięciem części środków przeznaczonych dla samorządu terytorialnego (art. 251 ust. 2</w:t>
      </w:r>
      <w:r w:rsidR="00084AC5">
        <w:rPr>
          <w:rFonts w:ascii="Times New Roman" w:hAnsi="Times New Roman" w:cs="Times New Roman"/>
          <w:szCs w:val="24"/>
        </w:rPr>
        <w:t xml:space="preserve"> ustawy o</w:t>
      </w:r>
      <w:r w:rsidR="00587BFB">
        <w:rPr>
          <w:rFonts w:ascii="Times New Roman" w:hAnsi="Times New Roman" w:cs="Times New Roman"/>
          <w:szCs w:val="24"/>
        </w:rPr>
        <w:t> </w:t>
      </w:r>
      <w:r w:rsidR="00084AC5">
        <w:rPr>
          <w:rFonts w:ascii="Times New Roman" w:hAnsi="Times New Roman" w:cs="Times New Roman"/>
          <w:szCs w:val="24"/>
        </w:rPr>
        <w:t>odpadach</w:t>
      </w:r>
      <w:r w:rsidRPr="00E53FC3">
        <w:rPr>
          <w:rFonts w:ascii="Times New Roman" w:hAnsi="Times New Roman" w:cs="Times New Roman"/>
          <w:szCs w:val="24"/>
        </w:rPr>
        <w:t xml:space="preserve">) na rzecz budżetu państwa. W ramach przesuniętych środków zostaną wyasygnowane środki na wzmocnienie kadrowe wojewódzkich inspektoratów ochrony środowiska, co oznacza, że w każdym </w:t>
      </w:r>
      <w:r w:rsidR="00084AC5">
        <w:rPr>
          <w:rFonts w:ascii="Times New Roman" w:hAnsi="Times New Roman" w:cs="Times New Roman"/>
          <w:szCs w:val="24"/>
        </w:rPr>
        <w:t>wojewódzkim inspektoracie</w:t>
      </w:r>
      <w:r w:rsidRPr="00E53FC3">
        <w:rPr>
          <w:rFonts w:ascii="Times New Roman" w:hAnsi="Times New Roman" w:cs="Times New Roman"/>
          <w:szCs w:val="24"/>
        </w:rPr>
        <w:t xml:space="preserve"> zostanie zatrudniony jeden pracownik merytoryczny odpowiedzialny za nadzór nad BDO, w</w:t>
      </w:r>
      <w:r w:rsidR="00E53FC3">
        <w:rPr>
          <w:rFonts w:ascii="Times New Roman" w:hAnsi="Times New Roman" w:cs="Times New Roman"/>
          <w:szCs w:val="24"/>
        </w:rPr>
        <w:t xml:space="preserve"> </w:t>
      </w:r>
      <w:r w:rsidRPr="00E53FC3">
        <w:rPr>
          <w:rFonts w:ascii="Times New Roman" w:hAnsi="Times New Roman" w:cs="Times New Roman"/>
          <w:szCs w:val="24"/>
        </w:rPr>
        <w:t>tym stały nadzór nad wprowadzaniem kart przekazania odpadów i niezwłoczne infor</w:t>
      </w:r>
      <w:r w:rsidR="00F50AFD">
        <w:rPr>
          <w:rFonts w:ascii="Times New Roman" w:hAnsi="Times New Roman" w:cs="Times New Roman"/>
          <w:szCs w:val="24"/>
        </w:rPr>
        <w:t>mowanie o</w:t>
      </w:r>
      <w:r w:rsidR="00587BFB">
        <w:rPr>
          <w:rFonts w:ascii="Times New Roman" w:hAnsi="Times New Roman" w:cs="Times New Roman"/>
          <w:szCs w:val="24"/>
        </w:rPr>
        <w:t> </w:t>
      </w:r>
      <w:r w:rsidR="00F50AFD">
        <w:rPr>
          <w:rFonts w:ascii="Times New Roman" w:hAnsi="Times New Roman" w:cs="Times New Roman"/>
          <w:szCs w:val="24"/>
        </w:rPr>
        <w:t>nieprawidłowościach i </w:t>
      </w:r>
      <w:r w:rsidRPr="00E53FC3">
        <w:rPr>
          <w:rFonts w:ascii="Times New Roman" w:hAnsi="Times New Roman" w:cs="Times New Roman"/>
          <w:szCs w:val="24"/>
        </w:rPr>
        <w:t>konieczności podjęcia odpowiednich czynności powodujących zwalczanie szarej strefy.</w:t>
      </w:r>
    </w:p>
    <w:p w14:paraId="431FEA08" w14:textId="20A77602"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lastRenderedPageBreak/>
        <w:t>Podkreślić jednocześnie należy, iż mimo że zakres zadań i obowiązków nałożonych na marszałków województw, wynikających z obowiązujących przepisów prawa</w:t>
      </w:r>
      <w:r w:rsidR="00EE2B32">
        <w:rPr>
          <w:rFonts w:ascii="Times New Roman" w:hAnsi="Times New Roman" w:cs="Times New Roman"/>
          <w:szCs w:val="24"/>
        </w:rPr>
        <w:t>,</w:t>
      </w:r>
      <w:r w:rsidRPr="00E53FC3">
        <w:rPr>
          <w:rFonts w:ascii="Times New Roman" w:hAnsi="Times New Roman" w:cs="Times New Roman"/>
          <w:szCs w:val="24"/>
        </w:rPr>
        <w:t xml:space="preserve"> nie ulegnie zmianie, to wykonywanie tych zadań za pośrednict</w:t>
      </w:r>
      <w:r w:rsidR="00F50AFD">
        <w:rPr>
          <w:rFonts w:ascii="Times New Roman" w:hAnsi="Times New Roman" w:cs="Times New Roman"/>
          <w:szCs w:val="24"/>
        </w:rPr>
        <w:t>wem BDO będzie prostsze, gdyż w </w:t>
      </w:r>
      <w:r w:rsidRPr="00E53FC3">
        <w:rPr>
          <w:rFonts w:ascii="Times New Roman" w:hAnsi="Times New Roman" w:cs="Times New Roman"/>
          <w:szCs w:val="24"/>
        </w:rPr>
        <w:t>wielu przypadkach system automatycznie będzie generował zestawienia danych, wymagane raporty czy czerpał i wykorzystywał informacje już zapisane w BDO. Przykładowo znacznym ułatwieniem i zmniejszeniem nakładu pracy będzie zastosowanie modułu sprawozdawczości w</w:t>
      </w:r>
      <w:r w:rsidR="00E53FC3">
        <w:rPr>
          <w:rFonts w:ascii="Times New Roman" w:hAnsi="Times New Roman" w:cs="Times New Roman"/>
          <w:szCs w:val="24"/>
        </w:rPr>
        <w:t xml:space="preserve"> </w:t>
      </w:r>
      <w:r w:rsidRPr="00E53FC3">
        <w:rPr>
          <w:rFonts w:ascii="Times New Roman" w:hAnsi="Times New Roman" w:cs="Times New Roman"/>
          <w:szCs w:val="24"/>
        </w:rPr>
        <w:t>BDO, a tym samym weryfikacji danych zawartych w sprawozdaniach rocznych w</w:t>
      </w:r>
      <w:r w:rsidR="00E53FC3">
        <w:rPr>
          <w:rFonts w:ascii="Times New Roman" w:hAnsi="Times New Roman" w:cs="Times New Roman"/>
          <w:szCs w:val="24"/>
        </w:rPr>
        <w:t xml:space="preserve"> </w:t>
      </w:r>
      <w:r w:rsidRPr="00E53FC3">
        <w:rPr>
          <w:rFonts w:ascii="Times New Roman" w:hAnsi="Times New Roman" w:cs="Times New Roman"/>
          <w:szCs w:val="24"/>
        </w:rPr>
        <w:t>odniesieniu do ewidencji odpadów zawartej w BDO. Należy wskazać, że zarówno złożenie wniosku o wpis do rejestru, przekazanie sprawozdań, jak i</w:t>
      </w:r>
      <w:r w:rsidR="00587BFB">
        <w:rPr>
          <w:rFonts w:ascii="Times New Roman" w:hAnsi="Times New Roman" w:cs="Times New Roman"/>
          <w:szCs w:val="24"/>
        </w:rPr>
        <w:t> </w:t>
      </w:r>
      <w:r w:rsidRPr="00E53FC3">
        <w:rPr>
          <w:rFonts w:ascii="Times New Roman" w:hAnsi="Times New Roman" w:cs="Times New Roman"/>
          <w:szCs w:val="24"/>
        </w:rPr>
        <w:t xml:space="preserve">ich weryfikacja i wezwania do dokonania korekt czy uzupełnień będą wykonywane wyłącznie za pośrednictwem BDO, co wiąże </w:t>
      </w:r>
      <w:r w:rsidR="00EE2B32" w:rsidRPr="00E53FC3">
        <w:rPr>
          <w:rFonts w:ascii="Times New Roman" w:hAnsi="Times New Roman" w:cs="Times New Roman"/>
          <w:szCs w:val="24"/>
        </w:rPr>
        <w:t xml:space="preserve">się </w:t>
      </w:r>
      <w:r w:rsidRPr="00E53FC3">
        <w:rPr>
          <w:rFonts w:ascii="Times New Roman" w:hAnsi="Times New Roman" w:cs="Times New Roman"/>
          <w:szCs w:val="24"/>
        </w:rPr>
        <w:t>również z oszczędnościami związanymi z wezwaniami dotychczas dokonywanymi w drodze korespondencji papierowej, a także z</w:t>
      </w:r>
      <w:r w:rsidR="00587BFB">
        <w:rPr>
          <w:rFonts w:ascii="Times New Roman" w:hAnsi="Times New Roman" w:cs="Times New Roman"/>
          <w:szCs w:val="24"/>
        </w:rPr>
        <w:t> </w:t>
      </w:r>
      <w:r w:rsidRPr="00E53FC3">
        <w:rPr>
          <w:rFonts w:ascii="Times New Roman" w:hAnsi="Times New Roman" w:cs="Times New Roman"/>
          <w:szCs w:val="24"/>
        </w:rPr>
        <w:t>nakładami pracy na wszelkie obliczenia i</w:t>
      </w:r>
      <w:r w:rsidR="00F50AFD">
        <w:rPr>
          <w:rFonts w:ascii="Times New Roman" w:hAnsi="Times New Roman" w:cs="Times New Roman"/>
          <w:szCs w:val="24"/>
        </w:rPr>
        <w:t> </w:t>
      </w:r>
      <w:r w:rsidRPr="00E53FC3">
        <w:rPr>
          <w:rFonts w:ascii="Times New Roman" w:hAnsi="Times New Roman" w:cs="Times New Roman"/>
          <w:szCs w:val="24"/>
        </w:rPr>
        <w:t>porównania danych przekazanych w</w:t>
      </w:r>
      <w:r w:rsidR="00587BFB">
        <w:rPr>
          <w:rFonts w:ascii="Times New Roman" w:hAnsi="Times New Roman" w:cs="Times New Roman"/>
          <w:szCs w:val="24"/>
        </w:rPr>
        <w:t> </w:t>
      </w:r>
      <w:r w:rsidRPr="00E53FC3">
        <w:rPr>
          <w:rFonts w:ascii="Times New Roman" w:hAnsi="Times New Roman" w:cs="Times New Roman"/>
          <w:szCs w:val="24"/>
        </w:rPr>
        <w:t>sprawozdaniach z danymi ewidencyjnymi. System będzie w znacznej mierze dokonywał automatycznej analizy danych wprowadzanych przez podmioty, jednocześnie porów</w:t>
      </w:r>
      <w:r w:rsidR="00F50AFD">
        <w:rPr>
          <w:rFonts w:ascii="Times New Roman" w:hAnsi="Times New Roman" w:cs="Times New Roman"/>
          <w:szCs w:val="24"/>
        </w:rPr>
        <w:t>nując dane z danymi zawartymi w </w:t>
      </w:r>
      <w:r w:rsidRPr="00E53FC3">
        <w:rPr>
          <w:rFonts w:ascii="Times New Roman" w:hAnsi="Times New Roman" w:cs="Times New Roman"/>
          <w:szCs w:val="24"/>
        </w:rPr>
        <w:t>ewidencji odpadów, a</w:t>
      </w:r>
      <w:r w:rsidR="00E53FC3">
        <w:rPr>
          <w:rFonts w:ascii="Times New Roman" w:hAnsi="Times New Roman" w:cs="Times New Roman"/>
          <w:szCs w:val="24"/>
        </w:rPr>
        <w:t xml:space="preserve"> </w:t>
      </w:r>
      <w:r w:rsidRPr="00E53FC3">
        <w:rPr>
          <w:rFonts w:ascii="Times New Roman" w:hAnsi="Times New Roman" w:cs="Times New Roman"/>
          <w:szCs w:val="24"/>
        </w:rPr>
        <w:t>w</w:t>
      </w:r>
      <w:r w:rsidR="00E53FC3">
        <w:rPr>
          <w:rFonts w:ascii="Times New Roman" w:hAnsi="Times New Roman" w:cs="Times New Roman"/>
          <w:szCs w:val="24"/>
        </w:rPr>
        <w:t xml:space="preserve"> </w:t>
      </w:r>
      <w:r w:rsidRPr="00E53FC3">
        <w:rPr>
          <w:rFonts w:ascii="Times New Roman" w:hAnsi="Times New Roman" w:cs="Times New Roman"/>
          <w:szCs w:val="24"/>
        </w:rPr>
        <w:t xml:space="preserve">przypadku nierzetelności danych czy stwierdzonych nieprawidłowości system będzie wysyłał alert do pracownika dokonującego weryfikacji sprawozdania. </w:t>
      </w:r>
    </w:p>
    <w:p w14:paraId="3A6201DC" w14:textId="4683FA02"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Natomiast praca wykonywana przez pracowników wojewódzkich inspektoratów ochrony środowiska będzie użyteczna również dla marszałków województw ze względu na fakt, iż w wyniku analizy danych dotyczących strumieni odpadów (karty ewidencji odpadów, karty przekazania odpadów, karty przekazania odpadów komunalnych), marszałkowie województw będą również wspie</w:t>
      </w:r>
      <w:r w:rsidR="00F50AFD">
        <w:rPr>
          <w:rFonts w:ascii="Times New Roman" w:hAnsi="Times New Roman" w:cs="Times New Roman"/>
          <w:szCs w:val="24"/>
        </w:rPr>
        <w:t>rani i informowani o</w:t>
      </w:r>
      <w:r w:rsidR="00216CBC">
        <w:rPr>
          <w:rFonts w:ascii="Times New Roman" w:hAnsi="Times New Roman" w:cs="Times New Roman"/>
          <w:szCs w:val="24"/>
        </w:rPr>
        <w:t xml:space="preserve"> </w:t>
      </w:r>
      <w:r w:rsidRPr="00E53FC3">
        <w:rPr>
          <w:rFonts w:ascii="Times New Roman" w:hAnsi="Times New Roman" w:cs="Times New Roman"/>
          <w:szCs w:val="24"/>
        </w:rPr>
        <w:t>wszelkich nieprawidłowościach, celem służbowego wykorzystania uzyskanych informacji (podjęcie działań kontrolnych, wycofanie wydanych decyzji z obrotu prawnego itp.).</w:t>
      </w:r>
    </w:p>
    <w:p w14:paraId="501AE648" w14:textId="48C65000" w:rsidR="00216CBC" w:rsidRDefault="0027633E" w:rsidP="00E53FC3">
      <w:pPr>
        <w:pStyle w:val="NormalnyWeb"/>
        <w:spacing w:before="120" w:beforeAutospacing="0" w:after="0" w:afterAutospacing="0" w:line="360" w:lineRule="auto"/>
        <w:ind w:left="1"/>
        <w:jc w:val="both"/>
      </w:pPr>
      <w:r w:rsidRPr="00E53FC3">
        <w:t>Dodatkowo zmiana alokacji środków z jednostek samorządu terytorialnego na rzecz wojewódzkich inspektorów ochrony środowiska podyktowana jest również tym, że koszty aktualnie ponoszone przez marszałków województw na rzecz utrzymania dotychczas wykorzystywanych systemów po uruchomieniu BDO będą ponoszone przez GIOŚ – administratora tego systemu, natomiast wojewódzkie bazy odpadowe (WSO) nie będą prowadzone, ponieważ wszelkie dane zawarte będą w BDO. Wobec powyższego GIOŚ będzie odpowiedzialny za wprowadzanie aktualizacji wynikających ze zmian w</w:t>
      </w:r>
      <w:r w:rsidR="00587BFB">
        <w:t> </w:t>
      </w:r>
      <w:r w:rsidRPr="00E53FC3">
        <w:t xml:space="preserve">przepisach czy innych, związanych z usprawnieniem działania oprogramowania całego </w:t>
      </w:r>
      <w:r w:rsidRPr="00E53FC3">
        <w:lastRenderedPageBreak/>
        <w:t xml:space="preserve">scentralizowanego systemu </w:t>
      </w:r>
      <w:r w:rsidR="00F50AFD">
        <w:t>BDO. Zatem alokacja środków z </w:t>
      </w:r>
      <w:r w:rsidRPr="00E53FC3">
        <w:t xml:space="preserve">jednostek samorządu terytorialnego na rzecz wojewódzkich inspektorów ochrony środowiska wynika ze zmniejszenia ilości obowiązków związanych z obsługą BDO, wykonywanych przez pracowników urzędów marszałkowskich i związanej z tym redukcji kosztów obsługi BDO i jednocześnie powierzenia dodatkowych obowiązków organom Inspekcji Ochrony Środowiska. </w:t>
      </w:r>
    </w:p>
    <w:p w14:paraId="5CEE1D4D" w14:textId="7FABECF4" w:rsidR="00F73632" w:rsidRPr="00E53FC3" w:rsidRDefault="0027633E" w:rsidP="00E53FC3">
      <w:pPr>
        <w:pStyle w:val="NormalnyWeb"/>
        <w:spacing w:before="120" w:beforeAutospacing="0" w:after="0" w:afterAutospacing="0" w:line="360" w:lineRule="auto"/>
        <w:ind w:left="1"/>
        <w:jc w:val="both"/>
      </w:pPr>
      <w:r w:rsidRPr="00E53FC3">
        <w:t>Do z</w:t>
      </w:r>
      <w:r w:rsidR="00F50AFD">
        <w:t>mian merytorycznych w ustawie o</w:t>
      </w:r>
      <w:r w:rsidR="00216CBC">
        <w:t xml:space="preserve"> </w:t>
      </w:r>
      <w:r w:rsidRPr="00E53FC3">
        <w:t xml:space="preserve">odpadach dostosowane zostały przepisy karne. </w:t>
      </w:r>
    </w:p>
    <w:p w14:paraId="35E6FEA5" w14:textId="4D4379DB" w:rsidR="00F73632" w:rsidRDefault="00547B49" w:rsidP="00E53FC3">
      <w:pPr>
        <w:pStyle w:val="NormalnyWeb"/>
        <w:spacing w:before="120" w:beforeAutospacing="0" w:after="0" w:afterAutospacing="0" w:line="360" w:lineRule="auto"/>
        <w:ind w:left="1"/>
        <w:jc w:val="both"/>
      </w:pPr>
      <w:r w:rsidRPr="00E53FC3">
        <w:t>Natomiast do zgłoszenia zmiany klasyfikacji odpadów niebezpiecznych na odpady inne niż niebezpieczne dokonanego</w:t>
      </w:r>
      <w:r w:rsidRPr="00E53FC3" w:rsidDel="00D91501">
        <w:t xml:space="preserve"> </w:t>
      </w:r>
      <w:r w:rsidR="0027633E" w:rsidRPr="00E53FC3">
        <w:t xml:space="preserve">przed dniem wejścia w życie </w:t>
      </w:r>
      <w:r w:rsidR="00216CBC">
        <w:t>projektowanej</w:t>
      </w:r>
      <w:r w:rsidR="0027633E" w:rsidRPr="00E53FC3">
        <w:t xml:space="preserve"> ustawy stosuje się przepisy </w:t>
      </w:r>
      <w:r w:rsidRPr="00E53FC3">
        <w:t>dotychczasowe,</w:t>
      </w:r>
      <w:r w:rsidR="0027633E" w:rsidRPr="00E53FC3">
        <w:t xml:space="preserve"> </w:t>
      </w:r>
      <w:r w:rsidRPr="00E53FC3">
        <w:t xml:space="preserve">w tym przepisy </w:t>
      </w:r>
      <w:r w:rsidR="0027633E" w:rsidRPr="00E53FC3">
        <w:t>rozporządzenia (UE) nr 1357/2014.</w:t>
      </w:r>
      <w:r w:rsidR="00F50AFD">
        <w:t xml:space="preserve"> W </w:t>
      </w:r>
      <w:r w:rsidRPr="00E53FC3">
        <w:t>związku z tym</w:t>
      </w:r>
      <w:r w:rsidR="007235DD" w:rsidRPr="00E53FC3">
        <w:t>,</w:t>
      </w:r>
      <w:r w:rsidRPr="00E53FC3">
        <w:t xml:space="preserve"> jeżeli do zgłoszenia zmiany klasyfikacji odpadów niebezpiecznych były dołączane wyniki badań</w:t>
      </w:r>
      <w:r w:rsidR="00EE2B32">
        <w:t>,</w:t>
      </w:r>
      <w:r w:rsidRPr="00E53FC3">
        <w:t xml:space="preserve"> to będą one ważne, o</w:t>
      </w:r>
      <w:r w:rsidR="00F50AFD">
        <w:t xml:space="preserve"> ile zostały wykonane zgodnie z </w:t>
      </w:r>
      <w:r w:rsidRPr="00E53FC3">
        <w:t xml:space="preserve">przepisami obowiązującymi przed dniem wejścia w życie </w:t>
      </w:r>
      <w:r w:rsidR="00216CBC">
        <w:t>projektowanej</w:t>
      </w:r>
      <w:r w:rsidRPr="00E53FC3">
        <w:t xml:space="preserve"> ustawy,</w:t>
      </w:r>
      <w:r w:rsidR="0027633E" w:rsidRPr="00E53FC3">
        <w:t xml:space="preserve"> m.in.</w:t>
      </w:r>
      <w:r w:rsidR="00587BFB">
        <w:t> </w:t>
      </w:r>
      <w:r w:rsidR="00F50AFD">
        <w:t>z</w:t>
      </w:r>
      <w:r w:rsidRPr="00E53FC3">
        <w:t xml:space="preserve"> rozporządzeniem </w:t>
      </w:r>
      <w:r w:rsidR="00430953">
        <w:t>(</w:t>
      </w:r>
      <w:r w:rsidR="00216CBC">
        <w:t>UE</w:t>
      </w:r>
      <w:r w:rsidR="00430953">
        <w:t>)</w:t>
      </w:r>
      <w:r w:rsidR="00216CBC">
        <w:t xml:space="preserve"> </w:t>
      </w:r>
      <w:r w:rsidRPr="00E53FC3">
        <w:t>nr 1357/2014, które obowiązuje wprost na obszarze Polski od</w:t>
      </w:r>
      <w:r w:rsidR="00EE2B32">
        <w:t xml:space="preserve"> dnia</w:t>
      </w:r>
      <w:r w:rsidRPr="00E53FC3">
        <w:t xml:space="preserve"> 1</w:t>
      </w:r>
      <w:r w:rsidR="00F50AFD">
        <w:t> </w:t>
      </w:r>
      <w:r w:rsidRPr="00E53FC3">
        <w:t>czerwca 2015 r.</w:t>
      </w:r>
    </w:p>
    <w:p w14:paraId="7FDBEFC5" w14:textId="069775DF" w:rsidR="00216CBC" w:rsidRPr="00216CBC" w:rsidRDefault="00216CBC" w:rsidP="00216CBC">
      <w:pPr>
        <w:spacing w:before="120"/>
        <w:ind w:left="1"/>
        <w:rPr>
          <w:rFonts w:ascii="Times New Roman" w:hAnsi="Times New Roman" w:cs="Times New Roman"/>
          <w:szCs w:val="24"/>
        </w:rPr>
      </w:pPr>
      <w:r>
        <w:rPr>
          <w:rFonts w:ascii="Times New Roman" w:hAnsi="Times New Roman" w:cs="Times New Roman"/>
          <w:szCs w:val="24"/>
        </w:rPr>
        <w:t xml:space="preserve">Natomiast do spraw wszczętych i niezakończonych przed dniem wejścia w życie </w:t>
      </w:r>
      <w:r w:rsidR="00430953">
        <w:rPr>
          <w:rFonts w:ascii="Times New Roman" w:hAnsi="Times New Roman" w:cs="Times New Roman"/>
          <w:szCs w:val="24"/>
        </w:rPr>
        <w:t>projektowane</w:t>
      </w:r>
      <w:r>
        <w:rPr>
          <w:rFonts w:ascii="Times New Roman" w:hAnsi="Times New Roman" w:cs="Times New Roman"/>
          <w:szCs w:val="24"/>
        </w:rPr>
        <w:t>j ustawy stosuje się przepisy ustawy zmienianej w art. 1 w brzmieniu nadanym niniejszą ustawą. Dotyczy to przypadku zmiany klasyfikacji odpadów niebezpiecznych na odpady inne niż niebezpieczne, w związku z wejściem w życie przepisów rozporządzenia (UE) nr 1357/2014 i rozporządzenia Rady (UE) 2017/997.</w:t>
      </w:r>
    </w:p>
    <w:p w14:paraId="79C3DA74" w14:textId="0256FC87"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Przewiduje się zachowanie mocy dotychczasow</w:t>
      </w:r>
      <w:r w:rsidR="00EE2B32">
        <w:rPr>
          <w:rFonts w:ascii="Times New Roman" w:hAnsi="Times New Roman" w:cs="Times New Roman"/>
          <w:szCs w:val="24"/>
        </w:rPr>
        <w:t>ych</w:t>
      </w:r>
      <w:r w:rsidRPr="00E53FC3">
        <w:rPr>
          <w:rFonts w:ascii="Times New Roman" w:hAnsi="Times New Roman" w:cs="Times New Roman"/>
          <w:szCs w:val="24"/>
        </w:rPr>
        <w:t xml:space="preserve"> przepis</w:t>
      </w:r>
      <w:r w:rsidR="00EE2B32">
        <w:rPr>
          <w:rFonts w:ascii="Times New Roman" w:hAnsi="Times New Roman" w:cs="Times New Roman"/>
          <w:szCs w:val="24"/>
        </w:rPr>
        <w:t>ów</w:t>
      </w:r>
      <w:r w:rsidRPr="00E53FC3">
        <w:rPr>
          <w:rFonts w:ascii="Times New Roman" w:hAnsi="Times New Roman" w:cs="Times New Roman"/>
          <w:szCs w:val="24"/>
        </w:rPr>
        <w:t xml:space="preserve"> wykonawcz</w:t>
      </w:r>
      <w:r w:rsidR="00EE2B32">
        <w:rPr>
          <w:rFonts w:ascii="Times New Roman" w:hAnsi="Times New Roman" w:cs="Times New Roman"/>
          <w:szCs w:val="24"/>
        </w:rPr>
        <w:t>ych</w:t>
      </w:r>
      <w:r w:rsidRPr="00E53FC3">
        <w:rPr>
          <w:rFonts w:ascii="Times New Roman" w:hAnsi="Times New Roman" w:cs="Times New Roman"/>
          <w:szCs w:val="24"/>
        </w:rPr>
        <w:t xml:space="preserve"> wydan</w:t>
      </w:r>
      <w:r w:rsidR="00EE2B32">
        <w:rPr>
          <w:rFonts w:ascii="Times New Roman" w:hAnsi="Times New Roman" w:cs="Times New Roman"/>
          <w:szCs w:val="24"/>
        </w:rPr>
        <w:t>ych</w:t>
      </w:r>
      <w:r w:rsidRPr="00E53FC3">
        <w:rPr>
          <w:rFonts w:ascii="Times New Roman" w:hAnsi="Times New Roman" w:cs="Times New Roman"/>
          <w:szCs w:val="24"/>
        </w:rPr>
        <w:t xml:space="preserve"> na podstawie zmienianych upoważnień do czasu wydania nowych przepisów wykonawczych.</w:t>
      </w:r>
    </w:p>
    <w:p w14:paraId="026AE4EB" w14:textId="2EBE43BB" w:rsidR="00216CBC" w:rsidRPr="00E53FC3" w:rsidRDefault="00CF2A43"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W związku z planowanym sposobem utworzenia oraz uruchomienia </w:t>
      </w:r>
      <w:r w:rsidR="00F50AFD">
        <w:rPr>
          <w:rFonts w:ascii="Times New Roman" w:hAnsi="Times New Roman" w:cs="Times New Roman"/>
          <w:szCs w:val="24"/>
        </w:rPr>
        <w:t>BDO i w </w:t>
      </w:r>
      <w:r w:rsidR="00C04E2F" w:rsidRPr="00E53FC3">
        <w:rPr>
          <w:rFonts w:ascii="Times New Roman" w:hAnsi="Times New Roman" w:cs="Times New Roman"/>
          <w:szCs w:val="24"/>
        </w:rPr>
        <w:t>konsekwencji zmianą przepisów dotyczących sprawozdawczości, rozporządzenie Ministra Środowiska z dnia 10 lutego 2016 r. w sprawie wzoru formularza sprawozdania za rok 2015 i</w:t>
      </w:r>
      <w:r w:rsidR="00E53FC3">
        <w:rPr>
          <w:rFonts w:ascii="Times New Roman" w:hAnsi="Times New Roman" w:cs="Times New Roman"/>
          <w:szCs w:val="24"/>
        </w:rPr>
        <w:t xml:space="preserve"> </w:t>
      </w:r>
      <w:r w:rsidR="00C04E2F" w:rsidRPr="00E53FC3">
        <w:rPr>
          <w:rFonts w:ascii="Times New Roman" w:hAnsi="Times New Roman" w:cs="Times New Roman"/>
          <w:szCs w:val="24"/>
        </w:rPr>
        <w:t xml:space="preserve">za rok 2016 (Dz. U. poz. 182) będzie miało zastosowanie również do składanych sprawozdań w zakresie opakowań i odpadów opakowaniowych za rok 2017. </w:t>
      </w:r>
      <w:r w:rsidR="00EE2B32">
        <w:rPr>
          <w:rFonts w:ascii="Times New Roman" w:hAnsi="Times New Roman" w:cs="Times New Roman"/>
          <w:szCs w:val="24"/>
        </w:rPr>
        <w:t>M</w:t>
      </w:r>
      <w:r w:rsidR="00C04E2F" w:rsidRPr="00E53FC3">
        <w:rPr>
          <w:rFonts w:ascii="Times New Roman" w:hAnsi="Times New Roman" w:cs="Times New Roman"/>
          <w:szCs w:val="24"/>
        </w:rPr>
        <w:t>imo że nazwa ww. rozporządzenia odnosi się do sprawozdań składanych za rok 2015 i rok 2016, zakres informacji, jakie przedsiębiorcy podlegający przepisom ustawy z dnia 13 czerwca 2013 r. o</w:t>
      </w:r>
      <w:r w:rsidR="00E53FC3">
        <w:rPr>
          <w:rFonts w:ascii="Times New Roman" w:hAnsi="Times New Roman" w:cs="Times New Roman"/>
          <w:szCs w:val="24"/>
        </w:rPr>
        <w:t xml:space="preserve"> </w:t>
      </w:r>
      <w:r w:rsidR="00C04E2F" w:rsidRPr="00E53FC3">
        <w:rPr>
          <w:rFonts w:ascii="Times New Roman" w:hAnsi="Times New Roman" w:cs="Times New Roman"/>
          <w:szCs w:val="24"/>
        </w:rPr>
        <w:t xml:space="preserve">gospodarce opakowaniami i odpadami opakowaniowym </w:t>
      </w:r>
      <w:r w:rsidR="00216CBC">
        <w:rPr>
          <w:rFonts w:ascii="Times New Roman" w:hAnsi="Times New Roman" w:cs="Times New Roman"/>
          <w:szCs w:val="24"/>
        </w:rPr>
        <w:t>(Dz. U. z</w:t>
      </w:r>
      <w:r w:rsidR="00587BFB">
        <w:rPr>
          <w:rFonts w:ascii="Times New Roman" w:hAnsi="Times New Roman" w:cs="Times New Roman"/>
          <w:szCs w:val="24"/>
        </w:rPr>
        <w:t> </w:t>
      </w:r>
      <w:r w:rsidR="00216CBC">
        <w:rPr>
          <w:rFonts w:ascii="Times New Roman" w:hAnsi="Times New Roman" w:cs="Times New Roman"/>
          <w:szCs w:val="24"/>
        </w:rPr>
        <w:t xml:space="preserve">2016 r. poz. 1863, z </w:t>
      </w:r>
      <w:proofErr w:type="spellStart"/>
      <w:r w:rsidR="00216CBC">
        <w:rPr>
          <w:rFonts w:ascii="Times New Roman" w:hAnsi="Times New Roman" w:cs="Times New Roman"/>
          <w:szCs w:val="24"/>
        </w:rPr>
        <w:t>późn</w:t>
      </w:r>
      <w:proofErr w:type="spellEnd"/>
      <w:r w:rsidR="00216CBC">
        <w:rPr>
          <w:rFonts w:ascii="Times New Roman" w:hAnsi="Times New Roman" w:cs="Times New Roman"/>
          <w:szCs w:val="24"/>
        </w:rPr>
        <w:t xml:space="preserve">. zm.) </w:t>
      </w:r>
      <w:r w:rsidR="00C04E2F" w:rsidRPr="00E53FC3">
        <w:rPr>
          <w:rFonts w:ascii="Times New Roman" w:hAnsi="Times New Roman" w:cs="Times New Roman"/>
          <w:szCs w:val="24"/>
        </w:rPr>
        <w:t>będą obowiązani złożyć za rok 2017</w:t>
      </w:r>
      <w:r w:rsidR="00EE2B32">
        <w:rPr>
          <w:rFonts w:ascii="Times New Roman" w:hAnsi="Times New Roman" w:cs="Times New Roman"/>
          <w:szCs w:val="24"/>
        </w:rPr>
        <w:t>,</w:t>
      </w:r>
      <w:r w:rsidR="00C04E2F" w:rsidRPr="00E53FC3">
        <w:rPr>
          <w:rFonts w:ascii="Times New Roman" w:hAnsi="Times New Roman" w:cs="Times New Roman"/>
          <w:szCs w:val="24"/>
        </w:rPr>
        <w:t xml:space="preserve"> nie zmieni się </w:t>
      </w:r>
      <w:r w:rsidR="00C04E2F" w:rsidRPr="00E53FC3">
        <w:rPr>
          <w:rFonts w:ascii="Times New Roman" w:hAnsi="Times New Roman" w:cs="Times New Roman"/>
          <w:szCs w:val="24"/>
        </w:rPr>
        <w:lastRenderedPageBreak/>
        <w:t>w</w:t>
      </w:r>
      <w:r w:rsidR="00587BFB">
        <w:rPr>
          <w:rFonts w:ascii="Times New Roman" w:hAnsi="Times New Roman" w:cs="Times New Roman"/>
          <w:szCs w:val="24"/>
        </w:rPr>
        <w:t> </w:t>
      </w:r>
      <w:r w:rsidR="00C04E2F" w:rsidRPr="00E53FC3">
        <w:rPr>
          <w:rFonts w:ascii="Times New Roman" w:hAnsi="Times New Roman" w:cs="Times New Roman"/>
          <w:szCs w:val="24"/>
        </w:rPr>
        <w:t>odniesieniu do tych z lat poprzednich</w:t>
      </w:r>
      <w:r w:rsidR="00830421" w:rsidRPr="00E53FC3">
        <w:rPr>
          <w:rFonts w:ascii="Times New Roman" w:hAnsi="Times New Roman" w:cs="Times New Roman"/>
          <w:szCs w:val="24"/>
        </w:rPr>
        <w:t>.</w:t>
      </w:r>
      <w:r w:rsidR="00C04E2F" w:rsidRPr="00E53FC3">
        <w:rPr>
          <w:rFonts w:ascii="Times New Roman" w:hAnsi="Times New Roman" w:cs="Times New Roman"/>
          <w:szCs w:val="24"/>
        </w:rPr>
        <w:t xml:space="preserve"> Natomiast sprawozdania za rok 2018, które będą zawierały dodatkowe informacje w zakresie wprowadzanych opakowań, będą składane na nowych formularzach określonych w nowo</w:t>
      </w:r>
      <w:r w:rsidR="00EE2B32">
        <w:rPr>
          <w:rFonts w:ascii="Times New Roman" w:hAnsi="Times New Roman" w:cs="Times New Roman"/>
          <w:szCs w:val="24"/>
        </w:rPr>
        <w:t xml:space="preserve"> </w:t>
      </w:r>
      <w:r w:rsidR="00C04E2F" w:rsidRPr="00E53FC3">
        <w:rPr>
          <w:rFonts w:ascii="Times New Roman" w:hAnsi="Times New Roman" w:cs="Times New Roman"/>
          <w:szCs w:val="24"/>
        </w:rPr>
        <w:t>wydanym rozpo</w:t>
      </w:r>
      <w:r w:rsidR="00F50AFD">
        <w:rPr>
          <w:rFonts w:ascii="Times New Roman" w:hAnsi="Times New Roman" w:cs="Times New Roman"/>
          <w:szCs w:val="24"/>
        </w:rPr>
        <w:t>rządzeniu Ministra Środowiska w </w:t>
      </w:r>
      <w:r w:rsidR="00C04E2F" w:rsidRPr="00E53FC3">
        <w:rPr>
          <w:rFonts w:ascii="Times New Roman" w:hAnsi="Times New Roman" w:cs="Times New Roman"/>
          <w:szCs w:val="24"/>
        </w:rPr>
        <w:t>tym zakresie.</w:t>
      </w:r>
      <w:r w:rsidR="00216CBC">
        <w:rPr>
          <w:rFonts w:ascii="Times New Roman" w:hAnsi="Times New Roman" w:cs="Times New Roman"/>
          <w:szCs w:val="24"/>
        </w:rPr>
        <w:t xml:space="preserve"> Z tych samych względów rozporządzenie Ministra Środowiska z dnia 7 lipca 2016 r. w sprawie wzoru zbiorczego sprawozdania (Dz. U. poz. 1115) będzie miało zastosowanie do zbiorczych sprawozdań składanych za rok 2017 przez marszałków województw na podstawie art. 237c ust. 1 ustawy o odpadach.</w:t>
      </w:r>
    </w:p>
    <w:p w14:paraId="4D14EBFF" w14:textId="7A7786B8"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Ewidencja odpadów uwzględniająca formularze wypełniane za pośrednictwem BDO zacznie funkcjonować od </w:t>
      </w:r>
      <w:r w:rsidR="00EE2B32">
        <w:rPr>
          <w:rFonts w:ascii="Times New Roman" w:hAnsi="Times New Roman" w:cs="Times New Roman"/>
          <w:szCs w:val="24"/>
        </w:rPr>
        <w:t xml:space="preserve">dnia </w:t>
      </w:r>
      <w:r w:rsidRPr="00E53FC3">
        <w:rPr>
          <w:rFonts w:ascii="Times New Roman" w:hAnsi="Times New Roman" w:cs="Times New Roman"/>
          <w:szCs w:val="24"/>
        </w:rPr>
        <w:t>1 stycznia 2020 r.</w:t>
      </w:r>
    </w:p>
    <w:p w14:paraId="36AE6E34" w14:textId="307D872A"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Planuje się wejście w życie przepisów ustawy nowelizującej po upływie 14 dni od dnia ogłoszenia. Ze względu na fakt, że przepisami niniejszej ustawy transponowane są do prawa polskiego przepisy U</w:t>
      </w:r>
      <w:r w:rsidR="00216CBC">
        <w:rPr>
          <w:rFonts w:ascii="Times New Roman" w:hAnsi="Times New Roman" w:cs="Times New Roman"/>
          <w:szCs w:val="24"/>
        </w:rPr>
        <w:t>nii Europejskiej</w:t>
      </w:r>
      <w:r w:rsidRPr="00E53FC3">
        <w:rPr>
          <w:rFonts w:ascii="Times New Roman" w:hAnsi="Times New Roman" w:cs="Times New Roman"/>
          <w:szCs w:val="24"/>
        </w:rPr>
        <w:t>, jak najszybsze wprowadzenie projektowanych zmian jest niezwykle istotne. W dniu 28 kwietnia 2017 r. w związku z</w:t>
      </w:r>
      <w:r w:rsidR="00587BFB">
        <w:rPr>
          <w:rFonts w:ascii="Times New Roman" w:hAnsi="Times New Roman" w:cs="Times New Roman"/>
          <w:szCs w:val="24"/>
        </w:rPr>
        <w:t> </w:t>
      </w:r>
      <w:r w:rsidRPr="00E53FC3">
        <w:rPr>
          <w:rFonts w:ascii="Times New Roman" w:hAnsi="Times New Roman" w:cs="Times New Roman"/>
          <w:szCs w:val="24"/>
        </w:rPr>
        <w:t>brakiem notyfikacji krajowych środków wykonawczych do dyrektywy 2015/1127 Komisja Europejska wystosowała do Rzeczypospolitej Polskiej uzasadnioną opinię. W</w:t>
      </w:r>
      <w:r w:rsidR="00F50AFD">
        <w:rPr>
          <w:rFonts w:ascii="Times New Roman" w:hAnsi="Times New Roman" w:cs="Times New Roman"/>
          <w:szCs w:val="24"/>
        </w:rPr>
        <w:t> </w:t>
      </w:r>
      <w:r w:rsidRPr="00E53FC3">
        <w:rPr>
          <w:rFonts w:ascii="Times New Roman" w:hAnsi="Times New Roman" w:cs="Times New Roman"/>
          <w:szCs w:val="24"/>
        </w:rPr>
        <w:t>wyznaczonym przez K</w:t>
      </w:r>
      <w:r w:rsidR="00216CBC">
        <w:rPr>
          <w:rFonts w:ascii="Times New Roman" w:hAnsi="Times New Roman" w:cs="Times New Roman"/>
          <w:szCs w:val="24"/>
        </w:rPr>
        <w:t>omisję Europejską</w:t>
      </w:r>
      <w:r w:rsidRPr="00E53FC3">
        <w:rPr>
          <w:rFonts w:ascii="Times New Roman" w:hAnsi="Times New Roman" w:cs="Times New Roman"/>
          <w:szCs w:val="24"/>
        </w:rPr>
        <w:t xml:space="preserve"> terminie Polska udzieliła odpowiedzi na przekazaną opinię, jednakże jeżeli odpowiedź okaże się niezadowalająca, wówczas Komisja </w:t>
      </w:r>
      <w:r w:rsidR="00216CBC">
        <w:rPr>
          <w:rFonts w:ascii="Times New Roman" w:hAnsi="Times New Roman" w:cs="Times New Roman"/>
          <w:szCs w:val="24"/>
        </w:rPr>
        <w:t xml:space="preserve">Europejska </w:t>
      </w:r>
      <w:r w:rsidRPr="00E53FC3">
        <w:rPr>
          <w:rFonts w:ascii="Times New Roman" w:hAnsi="Times New Roman" w:cs="Times New Roman"/>
          <w:szCs w:val="24"/>
        </w:rPr>
        <w:t>zwróci się do Trybunału Sprawiedliwości Unii Europejskiej o</w:t>
      </w:r>
      <w:r w:rsidR="00587BFB">
        <w:rPr>
          <w:rFonts w:ascii="Times New Roman" w:hAnsi="Times New Roman" w:cs="Times New Roman"/>
          <w:szCs w:val="24"/>
        </w:rPr>
        <w:t> </w:t>
      </w:r>
      <w:r w:rsidRPr="00E53FC3">
        <w:rPr>
          <w:rFonts w:ascii="Times New Roman" w:hAnsi="Times New Roman" w:cs="Times New Roman"/>
          <w:szCs w:val="24"/>
        </w:rPr>
        <w:t>wszczęcie postępowania sądowego.</w:t>
      </w:r>
      <w:r w:rsidR="00E53FC3">
        <w:rPr>
          <w:rFonts w:ascii="Times New Roman" w:hAnsi="Times New Roman" w:cs="Times New Roman"/>
          <w:szCs w:val="24"/>
        </w:rPr>
        <w:t xml:space="preserve"> </w:t>
      </w:r>
      <w:r w:rsidRPr="00E53FC3">
        <w:rPr>
          <w:rFonts w:ascii="Times New Roman" w:hAnsi="Times New Roman" w:cs="Times New Roman"/>
          <w:szCs w:val="24"/>
        </w:rPr>
        <w:t>Konieczność jak najszybszego wejścia w życie projektowanej ustawy wynika zatem</w:t>
      </w:r>
      <w:r w:rsidR="00F50AFD">
        <w:rPr>
          <w:rFonts w:ascii="Times New Roman" w:hAnsi="Times New Roman" w:cs="Times New Roman"/>
          <w:szCs w:val="24"/>
        </w:rPr>
        <w:t xml:space="preserve"> z </w:t>
      </w:r>
      <w:r w:rsidRPr="00E53FC3">
        <w:rPr>
          <w:rFonts w:ascii="Times New Roman" w:hAnsi="Times New Roman" w:cs="Times New Roman"/>
          <w:szCs w:val="24"/>
        </w:rPr>
        <w:t xml:space="preserve">ważnych interesów </w:t>
      </w:r>
      <w:r w:rsidR="00EE2B32">
        <w:rPr>
          <w:rFonts w:ascii="Times New Roman" w:hAnsi="Times New Roman" w:cs="Times New Roman"/>
          <w:szCs w:val="24"/>
        </w:rPr>
        <w:t>p</w:t>
      </w:r>
      <w:r w:rsidRPr="00E53FC3">
        <w:rPr>
          <w:rFonts w:ascii="Times New Roman" w:hAnsi="Times New Roman" w:cs="Times New Roman"/>
          <w:szCs w:val="24"/>
        </w:rPr>
        <w:t>aństwa, co</w:t>
      </w:r>
      <w:r w:rsidR="00E53FC3">
        <w:rPr>
          <w:rFonts w:ascii="Times New Roman" w:hAnsi="Times New Roman" w:cs="Times New Roman"/>
          <w:szCs w:val="24"/>
        </w:rPr>
        <w:t xml:space="preserve"> </w:t>
      </w:r>
      <w:r w:rsidRPr="00E53FC3">
        <w:rPr>
          <w:rFonts w:ascii="Times New Roman" w:hAnsi="Times New Roman" w:cs="Times New Roman"/>
          <w:szCs w:val="24"/>
        </w:rPr>
        <w:t>uzasadnia z kolei od</w:t>
      </w:r>
      <w:r w:rsidR="00F50AFD">
        <w:rPr>
          <w:rFonts w:ascii="Times New Roman" w:hAnsi="Times New Roman" w:cs="Times New Roman"/>
          <w:szCs w:val="24"/>
        </w:rPr>
        <w:t>stąpienie od terminów wejścia w </w:t>
      </w:r>
      <w:r w:rsidRPr="00E53FC3">
        <w:rPr>
          <w:rFonts w:ascii="Times New Roman" w:hAnsi="Times New Roman" w:cs="Times New Roman"/>
          <w:szCs w:val="24"/>
        </w:rPr>
        <w:t xml:space="preserve">życie określonych w uchwale </w:t>
      </w:r>
      <w:r w:rsidR="00EE2B32">
        <w:rPr>
          <w:rFonts w:ascii="Times New Roman" w:hAnsi="Times New Roman" w:cs="Times New Roman"/>
          <w:szCs w:val="24"/>
        </w:rPr>
        <w:t>n</w:t>
      </w:r>
      <w:r w:rsidRPr="00E53FC3">
        <w:rPr>
          <w:rFonts w:ascii="Times New Roman" w:hAnsi="Times New Roman" w:cs="Times New Roman"/>
          <w:szCs w:val="24"/>
        </w:rPr>
        <w:t xml:space="preserve">r 20 Rady Ministrów z dnia 18 lutego 2014 r. </w:t>
      </w:r>
      <w:r w:rsidR="00F50AFD">
        <w:rPr>
          <w:rFonts w:ascii="Times New Roman" w:hAnsi="Times New Roman" w:cs="Times New Roman"/>
          <w:bCs/>
          <w:szCs w:val="24"/>
        </w:rPr>
        <w:t>w </w:t>
      </w:r>
      <w:r w:rsidRPr="00E53FC3">
        <w:rPr>
          <w:rFonts w:ascii="Times New Roman" w:hAnsi="Times New Roman" w:cs="Times New Roman"/>
          <w:bCs/>
          <w:szCs w:val="24"/>
        </w:rPr>
        <w:t>sprawie zaleceń ujednolicenia terminów wejścia w życie niektórych aktów normatywnych</w:t>
      </w:r>
      <w:r w:rsidR="00E53FC3">
        <w:rPr>
          <w:rFonts w:ascii="Times New Roman" w:hAnsi="Times New Roman" w:cs="Times New Roman"/>
          <w:szCs w:val="24"/>
        </w:rPr>
        <w:t xml:space="preserve"> </w:t>
      </w:r>
      <w:r w:rsidRPr="00E53FC3">
        <w:rPr>
          <w:rFonts w:ascii="Times New Roman" w:hAnsi="Times New Roman" w:cs="Times New Roman"/>
          <w:szCs w:val="24"/>
        </w:rPr>
        <w:t>(M.P. poz. 205).</w:t>
      </w:r>
    </w:p>
    <w:p w14:paraId="5CC68F30" w14:textId="77777777"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W związku z powyższym projektowana ustawa powinna wejść w życie w jak najwcześniejszym terminie, przy zachowaniu odpowiedniego </w:t>
      </w:r>
      <w:r w:rsidRPr="00EE2B32">
        <w:rPr>
          <w:rFonts w:ascii="Times New Roman" w:hAnsi="Times New Roman" w:cs="Times New Roman"/>
          <w:i/>
          <w:szCs w:val="24"/>
        </w:rPr>
        <w:t>vacatio legis</w:t>
      </w:r>
      <w:r w:rsidRPr="00E53FC3">
        <w:rPr>
          <w:rFonts w:ascii="Times New Roman" w:hAnsi="Times New Roman" w:cs="Times New Roman"/>
          <w:szCs w:val="24"/>
        </w:rPr>
        <w:t xml:space="preserve">, co zapewnia projektowany, 14-dniowy termin. </w:t>
      </w:r>
    </w:p>
    <w:p w14:paraId="48701D85" w14:textId="04A9E1D3" w:rsidR="00F73632" w:rsidRPr="00E53FC3"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Także przepisy dotyczące obowiązku uzyskania (na wniosek) wpisu do rejestru podmiotów wprowadzających produkty, produkty w opakowaniach i gospodarujących odpadami (rejestr, o którym mowa w art. 49 ust. 1 ustawy o odpadach), dla wytwórców odpadów zobowiązanych do prowadzenia ewidencj</w:t>
      </w:r>
      <w:r w:rsidR="00F50AFD">
        <w:rPr>
          <w:rFonts w:ascii="Times New Roman" w:hAnsi="Times New Roman" w:cs="Times New Roman"/>
          <w:szCs w:val="24"/>
        </w:rPr>
        <w:t>i odpadów wejdą w życie razem z </w:t>
      </w:r>
      <w:r w:rsidRPr="00E53FC3">
        <w:rPr>
          <w:rFonts w:ascii="Times New Roman" w:hAnsi="Times New Roman" w:cs="Times New Roman"/>
          <w:szCs w:val="24"/>
        </w:rPr>
        <w:t>całą ustawą, jednakże obowiązek złożenia wniosku o</w:t>
      </w:r>
      <w:r w:rsidR="00E53FC3">
        <w:rPr>
          <w:rFonts w:ascii="Times New Roman" w:hAnsi="Times New Roman" w:cs="Times New Roman"/>
          <w:szCs w:val="24"/>
        </w:rPr>
        <w:t xml:space="preserve"> </w:t>
      </w:r>
      <w:r w:rsidR="00F50AFD">
        <w:rPr>
          <w:rFonts w:ascii="Times New Roman" w:hAnsi="Times New Roman" w:cs="Times New Roman"/>
          <w:szCs w:val="24"/>
        </w:rPr>
        <w:t>wpis do rejestru zgodnie z art. </w:t>
      </w:r>
      <w:r w:rsidRPr="00E53FC3">
        <w:rPr>
          <w:rFonts w:ascii="Times New Roman" w:hAnsi="Times New Roman" w:cs="Times New Roman"/>
          <w:szCs w:val="24"/>
        </w:rPr>
        <w:t xml:space="preserve">234 ust. 2 ustawy o odpadach należy wykonać w terminie 6 miesięcy od dnia </w:t>
      </w:r>
      <w:r w:rsidRPr="00E53FC3">
        <w:rPr>
          <w:rFonts w:ascii="Times New Roman" w:hAnsi="Times New Roman" w:cs="Times New Roman"/>
          <w:szCs w:val="24"/>
        </w:rPr>
        <w:lastRenderedPageBreak/>
        <w:t>utworzenia rejestru (rejestr tworzy się łącznie z BDO, a informację o dacie utworzenia BDO, w tym rejestru, minister właściwy do spraw środowiska ogłasza w Dzienniku Urzędowym R</w:t>
      </w:r>
      <w:r w:rsidR="00216CBC">
        <w:rPr>
          <w:rFonts w:ascii="Times New Roman" w:hAnsi="Times New Roman" w:cs="Times New Roman"/>
          <w:szCs w:val="24"/>
        </w:rPr>
        <w:t>zeczypospolitej Polskiej</w:t>
      </w:r>
      <w:r w:rsidRPr="00E53FC3">
        <w:rPr>
          <w:rFonts w:ascii="Times New Roman" w:hAnsi="Times New Roman" w:cs="Times New Roman"/>
          <w:szCs w:val="24"/>
        </w:rPr>
        <w:t xml:space="preserve"> „Monitor Polski”, zgodnie z art.</w:t>
      </w:r>
      <w:r w:rsidR="00E53FC3">
        <w:rPr>
          <w:rFonts w:ascii="Times New Roman" w:hAnsi="Times New Roman" w:cs="Times New Roman"/>
          <w:szCs w:val="24"/>
        </w:rPr>
        <w:t xml:space="preserve"> </w:t>
      </w:r>
      <w:r w:rsidRPr="00E53FC3">
        <w:rPr>
          <w:rFonts w:ascii="Times New Roman" w:hAnsi="Times New Roman" w:cs="Times New Roman"/>
          <w:szCs w:val="24"/>
        </w:rPr>
        <w:t>238 ust.</w:t>
      </w:r>
      <w:r w:rsidR="00E53FC3">
        <w:rPr>
          <w:rFonts w:ascii="Times New Roman" w:hAnsi="Times New Roman" w:cs="Times New Roman"/>
          <w:szCs w:val="24"/>
        </w:rPr>
        <w:t xml:space="preserve"> </w:t>
      </w:r>
      <w:r w:rsidRPr="00E53FC3">
        <w:rPr>
          <w:rFonts w:ascii="Times New Roman" w:hAnsi="Times New Roman" w:cs="Times New Roman"/>
          <w:szCs w:val="24"/>
        </w:rPr>
        <w:t>2 ustawy o odpadach). Należy podkreślić, że wejści</w:t>
      </w:r>
      <w:r w:rsidR="00830421" w:rsidRPr="00E53FC3">
        <w:rPr>
          <w:rFonts w:ascii="Times New Roman" w:hAnsi="Times New Roman" w:cs="Times New Roman"/>
          <w:szCs w:val="24"/>
        </w:rPr>
        <w:t>e</w:t>
      </w:r>
      <w:r w:rsidRPr="00E53FC3">
        <w:rPr>
          <w:rFonts w:ascii="Times New Roman" w:hAnsi="Times New Roman" w:cs="Times New Roman"/>
          <w:szCs w:val="24"/>
        </w:rPr>
        <w:t xml:space="preserve"> w</w:t>
      </w:r>
      <w:r w:rsidR="00E53FC3">
        <w:rPr>
          <w:rFonts w:ascii="Times New Roman" w:hAnsi="Times New Roman" w:cs="Times New Roman"/>
          <w:szCs w:val="24"/>
        </w:rPr>
        <w:t xml:space="preserve"> </w:t>
      </w:r>
      <w:r w:rsidRPr="00E53FC3">
        <w:rPr>
          <w:rFonts w:ascii="Times New Roman" w:hAnsi="Times New Roman" w:cs="Times New Roman"/>
          <w:szCs w:val="24"/>
        </w:rPr>
        <w:t>życie przepisów dotyczących rejestru wraz z całą ustawą jest niezbędne ze względu na konieczność uwzg</w:t>
      </w:r>
      <w:r w:rsidR="00F50AFD">
        <w:rPr>
          <w:rFonts w:ascii="Times New Roman" w:hAnsi="Times New Roman" w:cs="Times New Roman"/>
          <w:szCs w:val="24"/>
        </w:rPr>
        <w:t>lędnienia proponowanej zmiany w </w:t>
      </w:r>
      <w:r w:rsidRPr="00E53FC3">
        <w:rPr>
          <w:rFonts w:ascii="Times New Roman" w:hAnsi="Times New Roman" w:cs="Times New Roman"/>
          <w:szCs w:val="24"/>
        </w:rPr>
        <w:t xml:space="preserve">projektowanej BDO. </w:t>
      </w:r>
      <w:r w:rsidRPr="00E53FC3">
        <w:rPr>
          <w:rFonts w:ascii="Times New Roman" w:hAnsi="Times New Roman" w:cs="Times New Roman"/>
          <w:bCs/>
          <w:szCs w:val="24"/>
        </w:rPr>
        <w:t>Z kolei upoważnienie do określenia</w:t>
      </w:r>
      <w:r w:rsidR="00E53FC3">
        <w:rPr>
          <w:rFonts w:ascii="Times New Roman" w:hAnsi="Times New Roman" w:cs="Times New Roman"/>
          <w:bCs/>
          <w:szCs w:val="24"/>
        </w:rPr>
        <w:t>`</w:t>
      </w:r>
      <w:r w:rsidR="00F50AFD">
        <w:rPr>
          <w:rFonts w:ascii="Times New Roman" w:hAnsi="Times New Roman" w:cs="Times New Roman"/>
          <w:bCs/>
          <w:szCs w:val="24"/>
        </w:rPr>
        <w:t xml:space="preserve"> wzoru sprawozdania w </w:t>
      </w:r>
      <w:r w:rsidRPr="00E53FC3">
        <w:rPr>
          <w:rFonts w:ascii="Times New Roman" w:hAnsi="Times New Roman" w:cs="Times New Roman"/>
          <w:bCs/>
          <w:szCs w:val="24"/>
        </w:rPr>
        <w:t xml:space="preserve">zakresie sprzętu elektrycznego i elektronicznego oraz zużytego sprzętu powinno zacząć obowiązywać z dniem </w:t>
      </w:r>
      <w:r w:rsidRPr="00E53FC3">
        <w:rPr>
          <w:rFonts w:ascii="Times New Roman" w:hAnsi="Times New Roman" w:cs="Times New Roman"/>
          <w:szCs w:val="24"/>
        </w:rPr>
        <w:t>1 stycznia 2018 r., wcześniej będą bowiem stosowane wzory określone w przepisach dotychczasowych.</w:t>
      </w:r>
    </w:p>
    <w:p w14:paraId="1029658A" w14:textId="59ACCE08" w:rsidR="00F73632" w:rsidRPr="00E53FC3" w:rsidRDefault="0027633E" w:rsidP="00E53FC3">
      <w:pPr>
        <w:widowControl/>
        <w:spacing w:before="120"/>
        <w:rPr>
          <w:rFonts w:ascii="Times New Roman" w:hAnsi="Times New Roman" w:cs="Times New Roman"/>
          <w:b/>
          <w:szCs w:val="24"/>
        </w:rPr>
      </w:pPr>
      <w:r w:rsidRPr="00E53FC3">
        <w:rPr>
          <w:rFonts w:ascii="Times New Roman" w:hAnsi="Times New Roman" w:cs="Times New Roman"/>
          <w:szCs w:val="24"/>
        </w:rPr>
        <w:t xml:space="preserve">Przedsiębiorcy będą mieli pół roku od momentu utworzenia bazy </w:t>
      </w:r>
      <w:r w:rsidR="00830421" w:rsidRPr="00E53FC3">
        <w:rPr>
          <w:rFonts w:ascii="Times New Roman" w:hAnsi="Times New Roman" w:cs="Times New Roman"/>
          <w:szCs w:val="24"/>
        </w:rPr>
        <w:t xml:space="preserve">BDO </w:t>
      </w:r>
      <w:r w:rsidRPr="00E53FC3">
        <w:rPr>
          <w:rFonts w:ascii="Times New Roman" w:hAnsi="Times New Roman" w:cs="Times New Roman"/>
          <w:szCs w:val="24"/>
        </w:rPr>
        <w:t>na złożenie wniosku o wpis do rejestru. Od</w:t>
      </w:r>
      <w:r w:rsidR="00E53FC3">
        <w:rPr>
          <w:rFonts w:ascii="Times New Roman" w:hAnsi="Times New Roman" w:cs="Times New Roman"/>
          <w:szCs w:val="24"/>
        </w:rPr>
        <w:t xml:space="preserve"> </w:t>
      </w:r>
      <w:r w:rsidRPr="00E53FC3">
        <w:rPr>
          <w:rFonts w:ascii="Times New Roman" w:hAnsi="Times New Roman" w:cs="Times New Roman"/>
          <w:szCs w:val="24"/>
        </w:rPr>
        <w:t>1 stycznia 2020 r. będą obowiązywały nowe przepisy dotyczące ewidencji odpadów i przepisy karne w tym zakresie</w:t>
      </w:r>
      <w:r w:rsidR="00CA7307" w:rsidRPr="00E53FC3">
        <w:rPr>
          <w:rFonts w:ascii="Times New Roman" w:hAnsi="Times New Roman" w:cs="Times New Roman"/>
          <w:szCs w:val="24"/>
        </w:rPr>
        <w:t>, a także inne przepisy związane</w:t>
      </w:r>
      <w:r w:rsidR="00E53FC3">
        <w:rPr>
          <w:rFonts w:ascii="Times New Roman" w:hAnsi="Times New Roman" w:cs="Times New Roman"/>
          <w:szCs w:val="24"/>
        </w:rPr>
        <w:t xml:space="preserve"> </w:t>
      </w:r>
      <w:r w:rsidR="00CA7307" w:rsidRPr="00E53FC3">
        <w:rPr>
          <w:rFonts w:ascii="Times New Roman" w:hAnsi="Times New Roman" w:cs="Times New Roman"/>
          <w:szCs w:val="24"/>
        </w:rPr>
        <w:t>z ewidencją</w:t>
      </w:r>
      <w:r w:rsidR="00EE2B32">
        <w:rPr>
          <w:rFonts w:ascii="Times New Roman" w:hAnsi="Times New Roman" w:cs="Times New Roman"/>
          <w:szCs w:val="24"/>
        </w:rPr>
        <w:t>,</w:t>
      </w:r>
      <w:r w:rsidR="00CA7307" w:rsidRPr="00E53FC3">
        <w:rPr>
          <w:rFonts w:ascii="Times New Roman" w:hAnsi="Times New Roman" w:cs="Times New Roman"/>
          <w:szCs w:val="24"/>
        </w:rPr>
        <w:t xml:space="preserve"> tzn. nowy art. 79 ust. 5 </w:t>
      </w:r>
      <w:r w:rsidR="00216CBC">
        <w:rPr>
          <w:rFonts w:ascii="Times New Roman" w:hAnsi="Times New Roman" w:cs="Times New Roman"/>
          <w:szCs w:val="24"/>
        </w:rPr>
        <w:t xml:space="preserve">ustawy o odpadach </w:t>
      </w:r>
      <w:r w:rsidR="00CA7307" w:rsidRPr="00E53FC3">
        <w:rPr>
          <w:rFonts w:ascii="Times New Roman" w:hAnsi="Times New Roman" w:cs="Times New Roman"/>
          <w:szCs w:val="24"/>
        </w:rPr>
        <w:t>(gromadzenie w BDO informacji zawartych</w:t>
      </w:r>
      <w:r w:rsidR="00E53FC3">
        <w:rPr>
          <w:rFonts w:ascii="Times New Roman" w:hAnsi="Times New Roman" w:cs="Times New Roman"/>
          <w:szCs w:val="24"/>
        </w:rPr>
        <w:t xml:space="preserve"> </w:t>
      </w:r>
      <w:r w:rsidR="00CA7307" w:rsidRPr="00E53FC3">
        <w:rPr>
          <w:rFonts w:ascii="Times New Roman" w:hAnsi="Times New Roman" w:cs="Times New Roman"/>
          <w:szCs w:val="24"/>
        </w:rPr>
        <w:t xml:space="preserve">w dokumentach ewidencji) oraz nowy art. 83 ust. 2a </w:t>
      </w:r>
      <w:r w:rsidR="00216CBC">
        <w:rPr>
          <w:rFonts w:ascii="Times New Roman" w:hAnsi="Times New Roman" w:cs="Times New Roman"/>
          <w:szCs w:val="24"/>
        </w:rPr>
        <w:t>ustawy o</w:t>
      </w:r>
      <w:r w:rsidR="00587BFB">
        <w:rPr>
          <w:rFonts w:ascii="Times New Roman" w:hAnsi="Times New Roman" w:cs="Times New Roman"/>
          <w:szCs w:val="24"/>
        </w:rPr>
        <w:t> </w:t>
      </w:r>
      <w:r w:rsidR="00216CBC">
        <w:rPr>
          <w:rFonts w:ascii="Times New Roman" w:hAnsi="Times New Roman" w:cs="Times New Roman"/>
          <w:szCs w:val="24"/>
        </w:rPr>
        <w:t xml:space="preserve">odpadach </w:t>
      </w:r>
      <w:r w:rsidR="00CA7307" w:rsidRPr="00E53FC3">
        <w:rPr>
          <w:rFonts w:ascii="Times New Roman" w:hAnsi="Times New Roman" w:cs="Times New Roman"/>
          <w:szCs w:val="24"/>
        </w:rPr>
        <w:t>(dostęp uprawnionych organów do elektronicznej ewidencji odpadów)</w:t>
      </w:r>
      <w:r w:rsidRPr="00E53FC3">
        <w:rPr>
          <w:rFonts w:ascii="Times New Roman" w:hAnsi="Times New Roman" w:cs="Times New Roman"/>
          <w:szCs w:val="24"/>
        </w:rPr>
        <w:t>. Późniejsze wejści</w:t>
      </w:r>
      <w:r w:rsidR="00CA7307" w:rsidRPr="00E53FC3">
        <w:rPr>
          <w:rFonts w:ascii="Times New Roman" w:hAnsi="Times New Roman" w:cs="Times New Roman"/>
          <w:szCs w:val="24"/>
        </w:rPr>
        <w:t>e w życie tych przepisów wynika</w:t>
      </w:r>
      <w:r w:rsidR="00E53FC3">
        <w:rPr>
          <w:rFonts w:ascii="Times New Roman" w:hAnsi="Times New Roman" w:cs="Times New Roman"/>
          <w:szCs w:val="24"/>
        </w:rPr>
        <w:t xml:space="preserve"> </w:t>
      </w:r>
      <w:r w:rsidRPr="00E53FC3">
        <w:rPr>
          <w:rFonts w:ascii="Times New Roman" w:hAnsi="Times New Roman" w:cs="Times New Roman"/>
          <w:szCs w:val="24"/>
        </w:rPr>
        <w:t>z konieczności zapewnienia w</w:t>
      </w:r>
      <w:r w:rsidR="00587BFB">
        <w:rPr>
          <w:rFonts w:ascii="Times New Roman" w:hAnsi="Times New Roman" w:cs="Times New Roman"/>
          <w:szCs w:val="24"/>
        </w:rPr>
        <w:t> </w:t>
      </w:r>
      <w:r w:rsidRPr="00E53FC3">
        <w:rPr>
          <w:rFonts w:ascii="Times New Roman" w:hAnsi="Times New Roman" w:cs="Times New Roman"/>
          <w:szCs w:val="24"/>
        </w:rPr>
        <w:t xml:space="preserve">pierwszej kolejności sprawnego wdrażania BDO w zakresie rejestru. </w:t>
      </w:r>
    </w:p>
    <w:p w14:paraId="1F291A07" w14:textId="39AEF863" w:rsidR="00F73632" w:rsidRPr="00E53FC3" w:rsidRDefault="0027633E" w:rsidP="00E53FC3">
      <w:pPr>
        <w:widowControl/>
        <w:spacing w:before="120"/>
        <w:ind w:left="11"/>
        <w:rPr>
          <w:rFonts w:ascii="Times New Roman" w:hAnsi="Times New Roman" w:cs="Times New Roman"/>
          <w:szCs w:val="24"/>
        </w:rPr>
      </w:pPr>
      <w:r w:rsidRPr="00E53FC3">
        <w:rPr>
          <w:rFonts w:ascii="Times New Roman" w:hAnsi="Times New Roman" w:cs="Times New Roman"/>
          <w:szCs w:val="24"/>
        </w:rPr>
        <w:t>Projektowana ustawa nie będzie miała wpływu na</w:t>
      </w:r>
      <w:r w:rsidR="00E53FC3">
        <w:rPr>
          <w:rFonts w:ascii="Times New Roman" w:hAnsi="Times New Roman" w:cs="Times New Roman"/>
          <w:szCs w:val="24"/>
        </w:rPr>
        <w:t xml:space="preserve"> </w:t>
      </w:r>
      <w:r w:rsidRPr="00E53FC3">
        <w:rPr>
          <w:rFonts w:ascii="Times New Roman" w:hAnsi="Times New Roman" w:cs="Times New Roman"/>
          <w:szCs w:val="24"/>
        </w:rPr>
        <w:t xml:space="preserve">sektor mikro-, małych i średnich przedsiębiorstw. </w:t>
      </w:r>
    </w:p>
    <w:p w14:paraId="06D84F8B" w14:textId="1F7CA520" w:rsidR="00F73632" w:rsidRPr="00E53FC3" w:rsidRDefault="0027633E" w:rsidP="00E53FC3">
      <w:pPr>
        <w:widowControl/>
        <w:spacing w:before="120"/>
        <w:ind w:left="11"/>
        <w:rPr>
          <w:rFonts w:ascii="Times New Roman" w:hAnsi="Times New Roman" w:cs="Times New Roman"/>
          <w:szCs w:val="24"/>
        </w:rPr>
      </w:pPr>
      <w:r w:rsidRPr="00E53FC3">
        <w:rPr>
          <w:rFonts w:ascii="Times New Roman" w:hAnsi="Times New Roman" w:cs="Times New Roman"/>
          <w:szCs w:val="24"/>
        </w:rPr>
        <w:t xml:space="preserve">Projekt został zamieszczony, zgodnie z art. 5 </w:t>
      </w:r>
      <w:r w:rsidR="00F50AFD">
        <w:rPr>
          <w:rFonts w:ascii="Times New Roman" w:hAnsi="Times New Roman" w:cs="Times New Roman"/>
          <w:szCs w:val="24"/>
        </w:rPr>
        <w:t>ustawy z dnia 7 lipca 2005 r. o </w:t>
      </w:r>
      <w:r w:rsidRPr="00E53FC3">
        <w:rPr>
          <w:rFonts w:ascii="Times New Roman" w:hAnsi="Times New Roman" w:cs="Times New Roman"/>
          <w:szCs w:val="24"/>
        </w:rPr>
        <w:t>działalności lobbingowej w procesie stanowienia prawa</w:t>
      </w:r>
      <w:r w:rsidR="00F50AFD">
        <w:rPr>
          <w:rFonts w:ascii="Times New Roman" w:hAnsi="Times New Roman" w:cs="Times New Roman"/>
          <w:szCs w:val="24"/>
        </w:rPr>
        <w:t xml:space="preserve"> (Dz. U. z 2017 r. poz. 248), w </w:t>
      </w:r>
      <w:r w:rsidRPr="00E53FC3">
        <w:rPr>
          <w:rFonts w:ascii="Times New Roman" w:hAnsi="Times New Roman" w:cs="Times New Roman"/>
          <w:szCs w:val="24"/>
        </w:rPr>
        <w:t>Biuletynie Informacji Publicznej, na stronie podmiotowej Rządowego Centrum Legislacji, w</w:t>
      </w:r>
      <w:r w:rsidR="00587BFB">
        <w:rPr>
          <w:rFonts w:ascii="Times New Roman" w:hAnsi="Times New Roman" w:cs="Times New Roman"/>
          <w:szCs w:val="24"/>
        </w:rPr>
        <w:t> </w:t>
      </w:r>
      <w:r w:rsidRPr="00E53FC3">
        <w:rPr>
          <w:rFonts w:ascii="Times New Roman" w:hAnsi="Times New Roman" w:cs="Times New Roman"/>
          <w:szCs w:val="24"/>
        </w:rPr>
        <w:t>serwisie Rządowy Proces Legislacyjny.</w:t>
      </w:r>
    </w:p>
    <w:p w14:paraId="33704889" w14:textId="6666DF69" w:rsidR="00F73632" w:rsidRPr="00E53FC3" w:rsidRDefault="0027633E" w:rsidP="00E53FC3">
      <w:pPr>
        <w:widowControl/>
        <w:spacing w:before="120"/>
        <w:ind w:left="11"/>
        <w:rPr>
          <w:rFonts w:ascii="Times New Roman" w:hAnsi="Times New Roman" w:cs="Times New Roman"/>
          <w:szCs w:val="24"/>
        </w:rPr>
      </w:pPr>
      <w:r w:rsidRPr="00E53FC3">
        <w:rPr>
          <w:rFonts w:ascii="Times New Roman" w:hAnsi="Times New Roman" w:cs="Times New Roman"/>
          <w:szCs w:val="24"/>
        </w:rPr>
        <w:t>W trakcie prac nad projektem ustawy o zmianie ustawy o odpadach nie zgłoszono zainteresowania pracami nad projektem w trybie przepisów o działalności lobbingowej</w:t>
      </w:r>
      <w:r w:rsidR="00E53FC3">
        <w:rPr>
          <w:rFonts w:ascii="Times New Roman" w:hAnsi="Times New Roman" w:cs="Times New Roman"/>
          <w:szCs w:val="24"/>
        </w:rPr>
        <w:t xml:space="preserve"> </w:t>
      </w:r>
      <w:r w:rsidRPr="00E53FC3">
        <w:rPr>
          <w:rFonts w:ascii="Times New Roman" w:hAnsi="Times New Roman" w:cs="Times New Roman"/>
          <w:szCs w:val="24"/>
        </w:rPr>
        <w:t>w</w:t>
      </w:r>
      <w:r w:rsidR="00587BFB">
        <w:rPr>
          <w:rFonts w:ascii="Times New Roman" w:hAnsi="Times New Roman" w:cs="Times New Roman"/>
          <w:szCs w:val="24"/>
        </w:rPr>
        <w:t> </w:t>
      </w:r>
      <w:r w:rsidRPr="00E53FC3">
        <w:rPr>
          <w:rFonts w:ascii="Times New Roman" w:hAnsi="Times New Roman" w:cs="Times New Roman"/>
          <w:szCs w:val="24"/>
        </w:rPr>
        <w:t>procesie stanowienia prawa.</w:t>
      </w:r>
    </w:p>
    <w:p w14:paraId="690C8D96" w14:textId="3CB82F40" w:rsidR="00F50AFD" w:rsidRDefault="0027633E" w:rsidP="00E53FC3">
      <w:pPr>
        <w:widowControl/>
        <w:spacing w:before="120"/>
        <w:rPr>
          <w:rFonts w:ascii="Times New Roman" w:hAnsi="Times New Roman" w:cs="Times New Roman"/>
          <w:szCs w:val="24"/>
        </w:rPr>
      </w:pPr>
      <w:r w:rsidRPr="00E53FC3">
        <w:rPr>
          <w:rFonts w:ascii="Times New Roman" w:hAnsi="Times New Roman" w:cs="Times New Roman"/>
          <w:szCs w:val="24"/>
        </w:rPr>
        <w:t xml:space="preserve">Projekt jest zgodny z prawem Unii Europejskiej. </w:t>
      </w:r>
    </w:p>
    <w:sectPr w:rsidR="00F50AFD" w:rsidSect="00587BFB">
      <w:footerReference w:type="default" r:id="rId9"/>
      <w:type w:val="continuous"/>
      <w:pgSz w:w="11906" w:h="16838"/>
      <w:pgMar w:top="1588" w:right="1418" w:bottom="1418" w:left="1871"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E6494" w14:textId="77777777" w:rsidR="00E53FC3" w:rsidRDefault="00E53FC3">
      <w:pPr>
        <w:spacing w:line="240" w:lineRule="auto"/>
      </w:pPr>
      <w:r>
        <w:separator/>
      </w:r>
    </w:p>
  </w:endnote>
  <w:endnote w:type="continuationSeparator" w:id="0">
    <w:p w14:paraId="373DAAF6" w14:textId="77777777" w:rsidR="00E53FC3" w:rsidRDefault="00E53FC3">
      <w:pPr>
        <w:spacing w:line="240" w:lineRule="auto"/>
      </w:pPr>
      <w:r>
        <w:continuationSeparator/>
      </w:r>
    </w:p>
  </w:endnote>
  <w:endnote w:type="continuationNotice" w:id="1">
    <w:p w14:paraId="1851E267" w14:textId="77777777" w:rsidR="00E53FC3" w:rsidRDefault="00E53F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219487"/>
      <w:docPartObj>
        <w:docPartGallery w:val="Page Numbers (Bottom of Page)"/>
        <w:docPartUnique/>
      </w:docPartObj>
    </w:sdtPr>
    <w:sdtEndPr/>
    <w:sdtContent>
      <w:p w14:paraId="30EAC4BD" w14:textId="0AB0B6AE" w:rsidR="00E53FC3" w:rsidRDefault="00E53FC3">
        <w:pPr>
          <w:pStyle w:val="Stopka"/>
          <w:jc w:val="center"/>
        </w:pPr>
        <w:r>
          <w:fldChar w:fldCharType="begin"/>
        </w:r>
        <w:r>
          <w:instrText>PAGE   \* MERGEFORMAT</w:instrText>
        </w:r>
        <w:r>
          <w:fldChar w:fldCharType="separate"/>
        </w:r>
        <w:r w:rsidR="009E699F">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F5B7C" w14:textId="77777777" w:rsidR="00E53FC3" w:rsidRDefault="00E53FC3">
      <w:pPr>
        <w:spacing w:line="240" w:lineRule="auto"/>
      </w:pPr>
      <w:r>
        <w:separator/>
      </w:r>
    </w:p>
  </w:footnote>
  <w:footnote w:type="continuationSeparator" w:id="0">
    <w:p w14:paraId="6A2F2C91" w14:textId="77777777" w:rsidR="00E53FC3" w:rsidRDefault="00E53FC3">
      <w:pPr>
        <w:spacing w:line="240" w:lineRule="auto"/>
      </w:pPr>
      <w:r>
        <w:continuationSeparator/>
      </w:r>
    </w:p>
  </w:footnote>
  <w:footnote w:type="continuationNotice" w:id="1">
    <w:p w14:paraId="24D98851" w14:textId="77777777" w:rsidR="00E53FC3" w:rsidRDefault="00E53FC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7A4CC6"/>
    <w:lvl w:ilvl="0" w:tplc="04150011">
      <w:start w:val="1"/>
      <w:numFmt w:val="decimal"/>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1">
    <w:nsid w:val="00000002"/>
    <w:multiLevelType w:val="hybridMultilevel"/>
    <w:tmpl w:val="639607BE"/>
    <w:lvl w:ilvl="0" w:tplc="04150017">
      <w:start w:val="1"/>
      <w:numFmt w:val="lowerLetter"/>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2">
    <w:nsid w:val="00000003"/>
    <w:multiLevelType w:val="hybridMultilevel"/>
    <w:tmpl w:val="383E3290"/>
    <w:lvl w:ilvl="0" w:tplc="1EE81C2C">
      <w:start w:val="1"/>
      <w:numFmt w:val="decimal"/>
      <w:lvlText w:val="%1)"/>
      <w:lvlJc w:val="left"/>
      <w:pPr>
        <w:ind w:left="942" w:hanging="432"/>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3">
    <w:nsid w:val="00000004"/>
    <w:multiLevelType w:val="hybridMultilevel"/>
    <w:tmpl w:val="CBE6DEE4"/>
    <w:lvl w:ilvl="0" w:tplc="5B38DF5E">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4">
    <w:nsid w:val="00000005"/>
    <w:multiLevelType w:val="hybridMultilevel"/>
    <w:tmpl w:val="CA768D22"/>
    <w:lvl w:ilvl="0" w:tplc="9908767A">
      <w:start w:val="1"/>
      <w:numFmt w:val="decimal"/>
      <w:lvlText w:val="%1."/>
      <w:lvlJc w:val="left"/>
      <w:pPr>
        <w:ind w:left="2040" w:hanging="1020"/>
      </w:pPr>
      <w:rPr>
        <w:rFonts w:ascii="Times New Roman" w:hAnsi="Times New Roman" w:cs="Times New Roman" w:hint="default"/>
      </w:rPr>
    </w:lvl>
    <w:lvl w:ilvl="1" w:tplc="04150019">
      <w:start w:val="1"/>
      <w:numFmt w:val="lowerLetter"/>
      <w:lvlText w:val="%2."/>
      <w:lvlJc w:val="left"/>
      <w:pPr>
        <w:ind w:left="2100" w:hanging="360"/>
      </w:pPr>
      <w:rPr>
        <w:rFonts w:ascii="Times New Roman" w:hAnsi="Times New Roman" w:cs="Times New Roman"/>
      </w:rPr>
    </w:lvl>
    <w:lvl w:ilvl="2" w:tplc="0415001B">
      <w:start w:val="1"/>
      <w:numFmt w:val="lowerRoman"/>
      <w:lvlText w:val="%3."/>
      <w:lvlJc w:val="right"/>
      <w:pPr>
        <w:ind w:left="2820" w:hanging="180"/>
      </w:pPr>
      <w:rPr>
        <w:rFonts w:ascii="Times New Roman" w:hAnsi="Times New Roman" w:cs="Times New Roman"/>
      </w:rPr>
    </w:lvl>
    <w:lvl w:ilvl="3" w:tplc="0415000F">
      <w:start w:val="1"/>
      <w:numFmt w:val="decimal"/>
      <w:lvlText w:val="%4."/>
      <w:lvlJc w:val="left"/>
      <w:pPr>
        <w:ind w:left="3540" w:hanging="360"/>
      </w:pPr>
      <w:rPr>
        <w:rFonts w:ascii="Times New Roman" w:hAnsi="Times New Roman" w:cs="Times New Roman"/>
      </w:rPr>
    </w:lvl>
    <w:lvl w:ilvl="4" w:tplc="04150019">
      <w:start w:val="1"/>
      <w:numFmt w:val="lowerLetter"/>
      <w:lvlText w:val="%5."/>
      <w:lvlJc w:val="left"/>
      <w:pPr>
        <w:ind w:left="4260" w:hanging="360"/>
      </w:pPr>
      <w:rPr>
        <w:rFonts w:ascii="Times New Roman" w:hAnsi="Times New Roman" w:cs="Times New Roman"/>
      </w:rPr>
    </w:lvl>
    <w:lvl w:ilvl="5" w:tplc="0415001B">
      <w:start w:val="1"/>
      <w:numFmt w:val="lowerRoman"/>
      <w:lvlText w:val="%6."/>
      <w:lvlJc w:val="right"/>
      <w:pPr>
        <w:ind w:left="4980" w:hanging="180"/>
      </w:pPr>
      <w:rPr>
        <w:rFonts w:ascii="Times New Roman" w:hAnsi="Times New Roman" w:cs="Times New Roman"/>
      </w:rPr>
    </w:lvl>
    <w:lvl w:ilvl="6" w:tplc="0415000F">
      <w:start w:val="1"/>
      <w:numFmt w:val="decimal"/>
      <w:lvlText w:val="%7."/>
      <w:lvlJc w:val="left"/>
      <w:pPr>
        <w:ind w:left="5700" w:hanging="360"/>
      </w:pPr>
      <w:rPr>
        <w:rFonts w:ascii="Times New Roman" w:hAnsi="Times New Roman" w:cs="Times New Roman"/>
      </w:rPr>
    </w:lvl>
    <w:lvl w:ilvl="7" w:tplc="04150019">
      <w:start w:val="1"/>
      <w:numFmt w:val="lowerLetter"/>
      <w:lvlText w:val="%8."/>
      <w:lvlJc w:val="left"/>
      <w:pPr>
        <w:ind w:left="6420" w:hanging="360"/>
      </w:pPr>
      <w:rPr>
        <w:rFonts w:ascii="Times New Roman" w:hAnsi="Times New Roman" w:cs="Times New Roman"/>
      </w:rPr>
    </w:lvl>
    <w:lvl w:ilvl="8" w:tplc="0415001B">
      <w:start w:val="1"/>
      <w:numFmt w:val="lowerRoman"/>
      <w:lvlText w:val="%9."/>
      <w:lvlJc w:val="right"/>
      <w:pPr>
        <w:ind w:left="7140" w:hanging="180"/>
      </w:pPr>
      <w:rPr>
        <w:rFonts w:ascii="Times New Roman" w:hAnsi="Times New Roman" w:cs="Times New Roman"/>
      </w:rPr>
    </w:lvl>
  </w:abstractNum>
  <w:abstractNum w:abstractNumId="5">
    <w:nsid w:val="00000006"/>
    <w:multiLevelType w:val="hybridMultilevel"/>
    <w:tmpl w:val="9C563096"/>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6">
    <w:nsid w:val="00000007"/>
    <w:multiLevelType w:val="multilevel"/>
    <w:tmpl w:val="D65AB5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nsid w:val="00000008"/>
    <w:multiLevelType w:val="hybridMultilevel"/>
    <w:tmpl w:val="9EEEB6D2"/>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nsid w:val="00000009"/>
    <w:multiLevelType w:val="hybridMultilevel"/>
    <w:tmpl w:val="16FC445E"/>
    <w:lvl w:ilvl="0" w:tplc="04150001">
      <w:start w:val="1"/>
      <w:numFmt w:val="bullet"/>
      <w:lvlText w:val=""/>
      <w:lvlJc w:val="left"/>
      <w:pPr>
        <w:ind w:left="1428" w:hanging="360"/>
      </w:pPr>
      <w:rPr>
        <w:rFonts w:ascii="Symbol" w:hAnsi="Symbol"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Times New Roman" w:hint="default"/>
      </w:rPr>
    </w:lvl>
    <w:lvl w:ilvl="3" w:tplc="04150001">
      <w:start w:val="1"/>
      <w:numFmt w:val="bullet"/>
      <w:lvlText w:val=""/>
      <w:lvlJc w:val="left"/>
      <w:pPr>
        <w:ind w:left="3588" w:hanging="360"/>
      </w:pPr>
      <w:rPr>
        <w:rFonts w:ascii="Symbol" w:hAnsi="Symbol" w:cs="Times New Roman"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Times New Roman" w:hint="default"/>
      </w:rPr>
    </w:lvl>
    <w:lvl w:ilvl="6" w:tplc="04150001">
      <w:start w:val="1"/>
      <w:numFmt w:val="bullet"/>
      <w:lvlText w:val=""/>
      <w:lvlJc w:val="left"/>
      <w:pPr>
        <w:ind w:left="5748" w:hanging="360"/>
      </w:pPr>
      <w:rPr>
        <w:rFonts w:ascii="Symbol" w:hAnsi="Symbol" w:cs="Times New Roman"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Times New Roman" w:hint="default"/>
      </w:rPr>
    </w:lvl>
  </w:abstractNum>
  <w:abstractNum w:abstractNumId="9">
    <w:nsid w:val="0000000A"/>
    <w:multiLevelType w:val="multilevel"/>
    <w:tmpl w:val="6CC89F0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0">
    <w:nsid w:val="0000000B"/>
    <w:multiLevelType w:val="hybridMultilevel"/>
    <w:tmpl w:val="5080CD9A"/>
    <w:lvl w:ilvl="0" w:tplc="0415000F">
      <w:start w:val="1"/>
      <w:numFmt w:val="decimal"/>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11">
    <w:nsid w:val="0000000C"/>
    <w:multiLevelType w:val="multilevel"/>
    <w:tmpl w:val="569E54A0"/>
    <w:lvl w:ilvl="0">
      <w:start w:val="1"/>
      <w:numFmt w:val="decimal"/>
      <w:pStyle w:val="Nagwek4"/>
      <w:lvlText w:val="%1)"/>
      <w:lvlJc w:val="left"/>
      <w:pPr>
        <w:ind w:left="955" w:hanging="360"/>
      </w:pPr>
      <w:rPr>
        <w:rFonts w:ascii="Times New Roman" w:hAnsi="Times New Roman" w:cs="Times New Roman" w:hint="default"/>
        <w:b w:val="0"/>
        <w:i w:val="0"/>
        <w:caps w:val="0"/>
        <w:smallCaps w:val="0"/>
        <w:vanish w:val="0"/>
        <w:spacing w:val="0"/>
        <w:kern w:val="0"/>
        <w:position w:val="0"/>
        <w:u w:val="none"/>
        <w:vertAlign w:val="baseline"/>
      </w:rPr>
    </w:lvl>
    <w:lvl w:ilvl="1">
      <w:start w:val="1"/>
      <w:numFmt w:val="lowerLetter"/>
      <w:lvlText w:val="%2."/>
      <w:lvlJc w:val="left"/>
      <w:pPr>
        <w:ind w:left="1042" w:hanging="360"/>
      </w:pPr>
      <w:rPr>
        <w:rFonts w:ascii="Times New Roman" w:hAnsi="Times New Roman" w:cs="Times New Roman" w:hint="default"/>
      </w:rPr>
    </w:lvl>
    <w:lvl w:ilvl="2">
      <w:start w:val="1"/>
      <w:numFmt w:val="lowerRoman"/>
      <w:lvlText w:val="%3."/>
      <w:lvlJc w:val="right"/>
      <w:pPr>
        <w:ind w:left="1762" w:hanging="180"/>
      </w:pPr>
      <w:rPr>
        <w:rFonts w:ascii="Times New Roman" w:hAnsi="Times New Roman" w:cs="Times New Roman" w:hint="default"/>
      </w:rPr>
    </w:lvl>
    <w:lvl w:ilvl="3">
      <w:start w:val="1"/>
      <w:numFmt w:val="decimal"/>
      <w:lvlText w:val="%4."/>
      <w:lvlJc w:val="left"/>
      <w:pPr>
        <w:ind w:left="2482" w:hanging="360"/>
      </w:pPr>
      <w:rPr>
        <w:rFonts w:ascii="Times New Roman" w:hAnsi="Times New Roman" w:cs="Times New Roman" w:hint="default"/>
      </w:rPr>
    </w:lvl>
    <w:lvl w:ilvl="4">
      <w:start w:val="1"/>
      <w:numFmt w:val="lowerLetter"/>
      <w:lvlText w:val="%5."/>
      <w:lvlJc w:val="left"/>
      <w:pPr>
        <w:ind w:left="3202" w:hanging="360"/>
      </w:pPr>
      <w:rPr>
        <w:rFonts w:ascii="Times New Roman" w:hAnsi="Times New Roman" w:cs="Times New Roman" w:hint="default"/>
      </w:rPr>
    </w:lvl>
    <w:lvl w:ilvl="5">
      <w:start w:val="1"/>
      <w:numFmt w:val="lowerRoman"/>
      <w:lvlText w:val="%6."/>
      <w:lvlJc w:val="right"/>
      <w:pPr>
        <w:ind w:left="3922" w:hanging="180"/>
      </w:pPr>
      <w:rPr>
        <w:rFonts w:ascii="Times New Roman" w:hAnsi="Times New Roman" w:cs="Times New Roman" w:hint="default"/>
      </w:rPr>
    </w:lvl>
    <w:lvl w:ilvl="6">
      <w:start w:val="1"/>
      <w:numFmt w:val="decimal"/>
      <w:lvlText w:val="%7."/>
      <w:lvlJc w:val="left"/>
      <w:pPr>
        <w:ind w:left="4642" w:hanging="360"/>
      </w:pPr>
      <w:rPr>
        <w:rFonts w:ascii="Times New Roman" w:hAnsi="Times New Roman" w:cs="Times New Roman" w:hint="default"/>
      </w:rPr>
    </w:lvl>
    <w:lvl w:ilvl="7">
      <w:start w:val="1"/>
      <w:numFmt w:val="lowerLetter"/>
      <w:lvlText w:val="%8."/>
      <w:lvlJc w:val="left"/>
      <w:pPr>
        <w:ind w:left="5362" w:hanging="360"/>
      </w:pPr>
      <w:rPr>
        <w:rFonts w:ascii="Times New Roman" w:hAnsi="Times New Roman" w:cs="Times New Roman" w:hint="default"/>
      </w:rPr>
    </w:lvl>
    <w:lvl w:ilvl="8">
      <w:start w:val="1"/>
      <w:numFmt w:val="lowerRoman"/>
      <w:lvlText w:val="%9."/>
      <w:lvlJc w:val="right"/>
      <w:pPr>
        <w:ind w:left="6082" w:hanging="180"/>
      </w:pPr>
      <w:rPr>
        <w:rFonts w:ascii="Times New Roman" w:hAnsi="Times New Roman" w:cs="Times New Roman" w:hint="default"/>
      </w:rPr>
    </w:lvl>
  </w:abstractNum>
  <w:abstractNum w:abstractNumId="12">
    <w:nsid w:val="0000000D"/>
    <w:multiLevelType w:val="hybridMultilevel"/>
    <w:tmpl w:val="E182DE38"/>
    <w:lvl w:ilvl="0" w:tplc="3C226F94">
      <w:start w:val="1"/>
      <w:numFmt w:val="decimal"/>
      <w:lvlText w:val="%1."/>
      <w:lvlJc w:val="left"/>
      <w:pPr>
        <w:ind w:left="1845" w:hanging="825"/>
      </w:pPr>
      <w:rPr>
        <w:rFonts w:ascii="Times New Roman" w:hAnsi="Times New Roman" w:cs="Times New Roman" w:hint="default"/>
      </w:rPr>
    </w:lvl>
    <w:lvl w:ilvl="1" w:tplc="04150019">
      <w:start w:val="1"/>
      <w:numFmt w:val="lowerLetter"/>
      <w:lvlText w:val="%2."/>
      <w:lvlJc w:val="left"/>
      <w:pPr>
        <w:ind w:left="2100" w:hanging="360"/>
      </w:pPr>
      <w:rPr>
        <w:rFonts w:ascii="Times New Roman" w:hAnsi="Times New Roman" w:cs="Times New Roman"/>
      </w:rPr>
    </w:lvl>
    <w:lvl w:ilvl="2" w:tplc="0415001B">
      <w:start w:val="1"/>
      <w:numFmt w:val="lowerRoman"/>
      <w:lvlText w:val="%3."/>
      <w:lvlJc w:val="right"/>
      <w:pPr>
        <w:ind w:left="2820" w:hanging="180"/>
      </w:pPr>
      <w:rPr>
        <w:rFonts w:ascii="Times New Roman" w:hAnsi="Times New Roman" w:cs="Times New Roman"/>
      </w:rPr>
    </w:lvl>
    <w:lvl w:ilvl="3" w:tplc="0415000F">
      <w:start w:val="1"/>
      <w:numFmt w:val="decimal"/>
      <w:lvlText w:val="%4."/>
      <w:lvlJc w:val="left"/>
      <w:pPr>
        <w:ind w:left="3540" w:hanging="360"/>
      </w:pPr>
      <w:rPr>
        <w:rFonts w:ascii="Times New Roman" w:hAnsi="Times New Roman" w:cs="Times New Roman"/>
      </w:rPr>
    </w:lvl>
    <w:lvl w:ilvl="4" w:tplc="04150019">
      <w:start w:val="1"/>
      <w:numFmt w:val="lowerLetter"/>
      <w:lvlText w:val="%5."/>
      <w:lvlJc w:val="left"/>
      <w:pPr>
        <w:ind w:left="4260" w:hanging="360"/>
      </w:pPr>
      <w:rPr>
        <w:rFonts w:ascii="Times New Roman" w:hAnsi="Times New Roman" w:cs="Times New Roman"/>
      </w:rPr>
    </w:lvl>
    <w:lvl w:ilvl="5" w:tplc="0415001B">
      <w:start w:val="1"/>
      <w:numFmt w:val="lowerRoman"/>
      <w:lvlText w:val="%6."/>
      <w:lvlJc w:val="right"/>
      <w:pPr>
        <w:ind w:left="4980" w:hanging="180"/>
      </w:pPr>
      <w:rPr>
        <w:rFonts w:ascii="Times New Roman" w:hAnsi="Times New Roman" w:cs="Times New Roman"/>
      </w:rPr>
    </w:lvl>
    <w:lvl w:ilvl="6" w:tplc="0415000F">
      <w:start w:val="1"/>
      <w:numFmt w:val="decimal"/>
      <w:lvlText w:val="%7."/>
      <w:lvlJc w:val="left"/>
      <w:pPr>
        <w:ind w:left="5700" w:hanging="360"/>
      </w:pPr>
      <w:rPr>
        <w:rFonts w:ascii="Times New Roman" w:hAnsi="Times New Roman" w:cs="Times New Roman"/>
      </w:rPr>
    </w:lvl>
    <w:lvl w:ilvl="7" w:tplc="04150019">
      <w:start w:val="1"/>
      <w:numFmt w:val="lowerLetter"/>
      <w:lvlText w:val="%8."/>
      <w:lvlJc w:val="left"/>
      <w:pPr>
        <w:ind w:left="6420" w:hanging="360"/>
      </w:pPr>
      <w:rPr>
        <w:rFonts w:ascii="Times New Roman" w:hAnsi="Times New Roman" w:cs="Times New Roman"/>
      </w:rPr>
    </w:lvl>
    <w:lvl w:ilvl="8" w:tplc="0415001B">
      <w:start w:val="1"/>
      <w:numFmt w:val="lowerRoman"/>
      <w:lvlText w:val="%9."/>
      <w:lvlJc w:val="right"/>
      <w:pPr>
        <w:ind w:left="7140" w:hanging="180"/>
      </w:pPr>
      <w:rPr>
        <w:rFonts w:ascii="Times New Roman" w:hAnsi="Times New Roman" w:cs="Times New Roman"/>
      </w:rPr>
    </w:lvl>
  </w:abstractNum>
  <w:abstractNum w:abstractNumId="13">
    <w:nsid w:val="0000000E"/>
    <w:multiLevelType w:val="hybridMultilevel"/>
    <w:tmpl w:val="0396EE6A"/>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14">
    <w:nsid w:val="0000000F"/>
    <w:multiLevelType w:val="hybridMultilevel"/>
    <w:tmpl w:val="45961BF6"/>
    <w:lvl w:ilvl="0" w:tplc="1E38BEAC">
      <w:start w:val="1"/>
      <w:numFmt w:val="lowerLetter"/>
      <w:lvlText w:val="%1)"/>
      <w:lvlJc w:val="left"/>
      <w:pPr>
        <w:ind w:left="990" w:hanging="48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15">
    <w:nsid w:val="00000010"/>
    <w:multiLevelType w:val="hybridMultilevel"/>
    <w:tmpl w:val="5226E63E"/>
    <w:lvl w:ilvl="0" w:tplc="49E084C0">
      <w:start w:val="1"/>
      <w:numFmt w:val="decimal"/>
      <w:lvlText w:val="%1)"/>
      <w:lvlJc w:val="left"/>
      <w:pPr>
        <w:ind w:left="927" w:hanging="360"/>
      </w:pPr>
      <w:rPr>
        <w:rFonts w:ascii="Times New Roman" w:hAnsi="Times New Roman" w:cs="Times New Roman"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6">
    <w:nsid w:val="00000011"/>
    <w:multiLevelType w:val="hybridMultilevel"/>
    <w:tmpl w:val="B2B43E7E"/>
    <w:lvl w:ilvl="0" w:tplc="DF240290">
      <w:start w:val="1"/>
      <w:numFmt w:val="decimal"/>
      <w:lvlText w:val="%1)"/>
      <w:lvlJc w:val="left"/>
      <w:pPr>
        <w:ind w:left="1287"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nsid w:val="00000012"/>
    <w:multiLevelType w:val="hybridMultilevel"/>
    <w:tmpl w:val="1B46A94E"/>
    <w:lvl w:ilvl="0" w:tplc="554CDD4A">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18">
    <w:nsid w:val="00000013"/>
    <w:multiLevelType w:val="hybridMultilevel"/>
    <w:tmpl w:val="0012ECD8"/>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nsid w:val="00000014"/>
    <w:multiLevelType w:val="hybridMultilevel"/>
    <w:tmpl w:val="5A167BCC"/>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20">
    <w:nsid w:val="00000015"/>
    <w:multiLevelType w:val="hybridMultilevel"/>
    <w:tmpl w:val="8A28BA5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00000016"/>
    <w:multiLevelType w:val="hybridMultilevel"/>
    <w:tmpl w:val="1DC8E1F6"/>
    <w:lvl w:ilvl="0" w:tplc="09F44204">
      <w:start w:val="1"/>
      <w:numFmt w:val="decimal"/>
      <w:lvlText w:val="%1)"/>
      <w:lvlJc w:val="left"/>
      <w:pPr>
        <w:ind w:left="1211" w:hanging="360"/>
      </w:pPr>
      <w:rPr>
        <w:rFonts w:ascii="Times New Roman" w:hAnsi="Times New Roman" w:cs="Times New Roman" w:hint="default"/>
      </w:rPr>
    </w:lvl>
    <w:lvl w:ilvl="1" w:tplc="04150019">
      <w:start w:val="1"/>
      <w:numFmt w:val="lowerLetter"/>
      <w:lvlText w:val="%2."/>
      <w:lvlJc w:val="left"/>
      <w:pPr>
        <w:ind w:left="1931" w:hanging="360"/>
      </w:pPr>
      <w:rPr>
        <w:rFonts w:ascii="Times New Roman" w:hAnsi="Times New Roman" w:cs="Times New Roman"/>
      </w:rPr>
    </w:lvl>
    <w:lvl w:ilvl="2" w:tplc="0415001B">
      <w:start w:val="1"/>
      <w:numFmt w:val="lowerRoman"/>
      <w:lvlText w:val="%3."/>
      <w:lvlJc w:val="right"/>
      <w:pPr>
        <w:ind w:left="2651" w:hanging="180"/>
      </w:pPr>
      <w:rPr>
        <w:rFonts w:ascii="Times New Roman" w:hAnsi="Times New Roman" w:cs="Times New Roman"/>
      </w:rPr>
    </w:lvl>
    <w:lvl w:ilvl="3" w:tplc="0415000F">
      <w:start w:val="1"/>
      <w:numFmt w:val="decimal"/>
      <w:lvlText w:val="%4."/>
      <w:lvlJc w:val="left"/>
      <w:pPr>
        <w:ind w:left="3371" w:hanging="360"/>
      </w:pPr>
      <w:rPr>
        <w:rFonts w:ascii="Times New Roman" w:hAnsi="Times New Roman" w:cs="Times New Roman"/>
      </w:rPr>
    </w:lvl>
    <w:lvl w:ilvl="4" w:tplc="04150019">
      <w:start w:val="1"/>
      <w:numFmt w:val="lowerLetter"/>
      <w:lvlText w:val="%5."/>
      <w:lvlJc w:val="left"/>
      <w:pPr>
        <w:ind w:left="4091" w:hanging="360"/>
      </w:pPr>
      <w:rPr>
        <w:rFonts w:ascii="Times New Roman" w:hAnsi="Times New Roman" w:cs="Times New Roman"/>
      </w:rPr>
    </w:lvl>
    <w:lvl w:ilvl="5" w:tplc="0415001B">
      <w:start w:val="1"/>
      <w:numFmt w:val="lowerRoman"/>
      <w:lvlText w:val="%6."/>
      <w:lvlJc w:val="right"/>
      <w:pPr>
        <w:ind w:left="4811" w:hanging="180"/>
      </w:pPr>
      <w:rPr>
        <w:rFonts w:ascii="Times New Roman" w:hAnsi="Times New Roman" w:cs="Times New Roman"/>
      </w:rPr>
    </w:lvl>
    <w:lvl w:ilvl="6" w:tplc="0415000F">
      <w:start w:val="1"/>
      <w:numFmt w:val="decimal"/>
      <w:lvlText w:val="%7."/>
      <w:lvlJc w:val="left"/>
      <w:pPr>
        <w:ind w:left="5531" w:hanging="360"/>
      </w:pPr>
      <w:rPr>
        <w:rFonts w:ascii="Times New Roman" w:hAnsi="Times New Roman" w:cs="Times New Roman"/>
      </w:rPr>
    </w:lvl>
    <w:lvl w:ilvl="7" w:tplc="04150019">
      <w:start w:val="1"/>
      <w:numFmt w:val="lowerLetter"/>
      <w:lvlText w:val="%8."/>
      <w:lvlJc w:val="left"/>
      <w:pPr>
        <w:ind w:left="6251" w:hanging="360"/>
      </w:pPr>
      <w:rPr>
        <w:rFonts w:ascii="Times New Roman" w:hAnsi="Times New Roman" w:cs="Times New Roman"/>
      </w:rPr>
    </w:lvl>
    <w:lvl w:ilvl="8" w:tplc="0415001B">
      <w:start w:val="1"/>
      <w:numFmt w:val="lowerRoman"/>
      <w:lvlText w:val="%9."/>
      <w:lvlJc w:val="right"/>
      <w:pPr>
        <w:ind w:left="6971" w:hanging="180"/>
      </w:pPr>
      <w:rPr>
        <w:rFonts w:ascii="Times New Roman" w:hAnsi="Times New Roman" w:cs="Times New Roman"/>
      </w:rPr>
    </w:lvl>
  </w:abstractNum>
  <w:abstractNum w:abstractNumId="22">
    <w:nsid w:val="00000017"/>
    <w:multiLevelType w:val="hybridMultilevel"/>
    <w:tmpl w:val="EFC8916C"/>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00000018"/>
    <w:multiLevelType w:val="hybridMultilevel"/>
    <w:tmpl w:val="4C746366"/>
    <w:lvl w:ilvl="0" w:tplc="C042174E">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num w:numId="1">
    <w:abstractNumId w:val="21"/>
  </w:num>
  <w:num w:numId="2">
    <w:abstractNumId w:val="8"/>
  </w:num>
  <w:num w:numId="3">
    <w:abstractNumId w:val="18"/>
  </w:num>
  <w:num w:numId="4">
    <w:abstractNumId w:val="17"/>
  </w:num>
  <w:num w:numId="5">
    <w:abstractNumId w:val="9"/>
  </w:num>
  <w:num w:numId="6">
    <w:abstractNumId w:val="6"/>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13"/>
  </w:num>
  <w:num w:numId="12">
    <w:abstractNumId w:val="3"/>
  </w:num>
  <w:num w:numId="13">
    <w:abstractNumId w:val="19"/>
  </w:num>
  <w:num w:numId="14">
    <w:abstractNumId w:val="2"/>
  </w:num>
  <w:num w:numId="15">
    <w:abstractNumId w:val="5"/>
  </w:num>
  <w:num w:numId="16">
    <w:abstractNumId w:val="0"/>
  </w:num>
  <w:num w:numId="17">
    <w:abstractNumId w:val="23"/>
  </w:num>
  <w:num w:numId="18">
    <w:abstractNumId w:val="14"/>
  </w:num>
  <w:num w:numId="19">
    <w:abstractNumId w:val="15"/>
  </w:num>
  <w:num w:numId="20">
    <w:abstractNumId w:val="12"/>
  </w:num>
  <w:num w:numId="21">
    <w:abstractNumId w:val="4"/>
  </w:num>
  <w:num w:numId="22">
    <w:abstractNumId w:val="16"/>
  </w:num>
  <w:num w:numId="23">
    <w:abstractNumId w:val="20"/>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4A9CE3B5"/>
    <w:rsid w:val="4C909E4C"/>
    <w:rsid w:val="4CA1E597"/>
    <w:rsid w:val="4CF5DDCD"/>
    <w:rsid w:val="4D10C75B"/>
    <w:rsid w:val="4E9148A6"/>
    <w:rsid w:val="4FA88594"/>
    <w:rsid w:val="5015E21A"/>
    <w:rsid w:val="513FFE9B"/>
    <w:rsid w:val="543DC259"/>
    <w:rsid w:val="554C8DD3"/>
    <w:rsid w:val="56B69C9F"/>
    <w:rsid w:val="57EE7BC6"/>
    <w:rsid w:val="584639C0"/>
    <w:rsid w:val="5A7CF4A7"/>
    <w:rsid w:val="5A9F43A6"/>
    <w:rsid w:val="5ADBDF98"/>
    <w:rsid w:val="5C59BFF2"/>
    <w:rsid w:val="5DB90400"/>
    <w:rsid w:val="5EE0150A"/>
    <w:rsid w:val="5F0EA31B"/>
    <w:rsid w:val="61E617B6"/>
    <w:rsid w:val="6400CAA1"/>
    <w:rsid w:val="64CFF479"/>
    <w:rsid w:val="64F75775"/>
    <w:rsid w:val="67CEAF0E"/>
    <w:rsid w:val="6922B211"/>
    <w:rsid w:val="697D9E56"/>
    <w:rsid w:val="69C3AF2F"/>
    <w:rsid w:val="6B48B1FB"/>
    <w:rsid w:val="6BC3A6AB"/>
    <w:rsid w:val="6E67B087"/>
    <w:rsid w:val="6EC1E0D4"/>
    <w:rsid w:val="6FA35EBF"/>
    <w:rsid w:val="7020C661"/>
    <w:rsid w:val="7118FA61"/>
    <w:rsid w:val="72713EFD"/>
    <w:rsid w:val="72B4B3A5"/>
    <w:rsid w:val="751AC78D"/>
    <w:rsid w:val="7522C59F"/>
    <w:rsid w:val="780B6954"/>
    <w:rsid w:val="786EC761"/>
    <w:rsid w:val="7870E8D6"/>
    <w:rsid w:val="7EAD59B2"/>
    <w:rsid w:val="7F4980C5"/>
    <w:rsid w:val="8334ACED"/>
    <w:rsid w:val="84AFAF67"/>
    <w:rsid w:val="851DD2BE"/>
    <w:rsid w:val="85430FA2"/>
    <w:rsid w:val="85FE4038"/>
    <w:rsid w:val="865D7A83"/>
    <w:rsid w:val="86EEF2FF"/>
    <w:rsid w:val="899284B8"/>
    <w:rsid w:val="8B0D3935"/>
    <w:rsid w:val="8C5ACDE5"/>
    <w:rsid w:val="8D3390FF"/>
    <w:rsid w:val="8E579129"/>
    <w:rsid w:val="8FB6AC41"/>
    <w:rsid w:val="90F6B5D8"/>
    <w:rsid w:val="919B8C59"/>
    <w:rsid w:val="91E100B2"/>
    <w:rsid w:val="92427B8A"/>
    <w:rsid w:val="93BB9A91"/>
    <w:rsid w:val="94B9FC77"/>
    <w:rsid w:val="95FB90A4"/>
    <w:rsid w:val="9668131E"/>
    <w:rsid w:val="9A727D69"/>
    <w:rsid w:val="9B125CE1"/>
    <w:rsid w:val="9C130C1A"/>
    <w:rsid w:val="9C25E47B"/>
    <w:rsid w:val="9F9BA907"/>
    <w:rsid w:val="A2E06A91"/>
    <w:rsid w:val="A5D341FC"/>
    <w:rsid w:val="A7C0B89A"/>
    <w:rsid w:val="A87441B1"/>
    <w:rsid w:val="AD12ECD8"/>
    <w:rsid w:val="ADF91686"/>
    <w:rsid w:val="AE606701"/>
    <w:rsid w:val="B19F26D3"/>
    <w:rsid w:val="B21198E6"/>
    <w:rsid w:val="B523E711"/>
    <w:rsid w:val="B6FAFE7D"/>
    <w:rsid w:val="B79BD3C3"/>
    <w:rsid w:val="B8414A5F"/>
    <w:rsid w:val="B8B536BE"/>
    <w:rsid w:val="B9854439"/>
    <w:rsid w:val="BA92E48A"/>
    <w:rsid w:val="BC12B77C"/>
    <w:rsid w:val="BCDD6FDA"/>
    <w:rsid w:val="C02DF3A8"/>
    <w:rsid w:val="C0DCC1B8"/>
    <w:rsid w:val="C12D69CC"/>
    <w:rsid w:val="C2A4DB57"/>
    <w:rsid w:val="C2D490BC"/>
    <w:rsid w:val="C32AB999"/>
    <w:rsid w:val="C4455E36"/>
    <w:rsid w:val="C5620502"/>
    <w:rsid w:val="C76F62BE"/>
    <w:rsid w:val="C77ABEE1"/>
    <w:rsid w:val="C792BADE"/>
    <w:rsid w:val="C83624A2"/>
    <w:rsid w:val="C96BA28E"/>
    <w:rsid w:val="CF0E46A0"/>
    <w:rsid w:val="CFD0750A"/>
    <w:rsid w:val="D03E42A2"/>
    <w:rsid w:val="D0B8E7EF"/>
    <w:rsid w:val="D81E59EC"/>
    <w:rsid w:val="DABADF30"/>
    <w:rsid w:val="DCB02866"/>
    <w:rsid w:val="DD8608C4"/>
    <w:rsid w:val="DD88D955"/>
    <w:rsid w:val="DF4E35F0"/>
    <w:rsid w:val="E2175794"/>
    <w:rsid w:val="E2344872"/>
    <w:rsid w:val="E4EC83E0"/>
    <w:rsid w:val="E66609E3"/>
    <w:rsid w:val="E84C5062"/>
    <w:rsid w:val="E8A4E5E6"/>
    <w:rsid w:val="E95E6C44"/>
    <w:rsid w:val="EAABCB71"/>
    <w:rsid w:val="EE0F820A"/>
    <w:rsid w:val="EF52E037"/>
    <w:rsid w:val="F22B8B3E"/>
    <w:rsid w:val="F3A73561"/>
    <w:rsid w:val="F51F0718"/>
    <w:rsid w:val="F77F8127"/>
    <w:rsid w:val="F7D052AB"/>
    <w:rsid w:val="F90496AB"/>
    <w:rsid w:val="FA75C125"/>
    <w:rsid w:val="FC1B03BB"/>
    <w:rsid w:val="FC617ACB"/>
    <w:rsid w:val="FD02058A"/>
    <w:rsid w:val="FD082A11"/>
    <w:rsid w:val="FDA58AEF"/>
    <w:rsid w:val="FE451C89"/>
    <w:rsid w:val="FE790E44"/>
    <w:rsid w:val="FEC01B06"/>
    <w:rsid w:val="00016249"/>
    <w:rsid w:val="00084AC5"/>
    <w:rsid w:val="000A1B54"/>
    <w:rsid w:val="000A7ADE"/>
    <w:rsid w:val="000C092D"/>
    <w:rsid w:val="000E5A60"/>
    <w:rsid w:val="000F732E"/>
    <w:rsid w:val="00172A27"/>
    <w:rsid w:val="00177CCA"/>
    <w:rsid w:val="00185377"/>
    <w:rsid w:val="001C33F1"/>
    <w:rsid w:val="00201A9B"/>
    <w:rsid w:val="00216CBC"/>
    <w:rsid w:val="00235B66"/>
    <w:rsid w:val="0027633E"/>
    <w:rsid w:val="002A1307"/>
    <w:rsid w:val="002A27A7"/>
    <w:rsid w:val="002B00E8"/>
    <w:rsid w:val="002C2CE6"/>
    <w:rsid w:val="002F1DF3"/>
    <w:rsid w:val="00333F53"/>
    <w:rsid w:val="00370510"/>
    <w:rsid w:val="00375728"/>
    <w:rsid w:val="0040055C"/>
    <w:rsid w:val="00430953"/>
    <w:rsid w:val="004C55B1"/>
    <w:rsid w:val="00547B49"/>
    <w:rsid w:val="00587BFB"/>
    <w:rsid w:val="00684103"/>
    <w:rsid w:val="006941E7"/>
    <w:rsid w:val="006F0A27"/>
    <w:rsid w:val="00711F71"/>
    <w:rsid w:val="007235DD"/>
    <w:rsid w:val="00764942"/>
    <w:rsid w:val="007B336E"/>
    <w:rsid w:val="007B4A7F"/>
    <w:rsid w:val="007C289B"/>
    <w:rsid w:val="007D5EAD"/>
    <w:rsid w:val="007F49FB"/>
    <w:rsid w:val="00814CED"/>
    <w:rsid w:val="00830421"/>
    <w:rsid w:val="008344B4"/>
    <w:rsid w:val="008462D8"/>
    <w:rsid w:val="00847C1F"/>
    <w:rsid w:val="009661DA"/>
    <w:rsid w:val="009874F1"/>
    <w:rsid w:val="009902C3"/>
    <w:rsid w:val="009B09CB"/>
    <w:rsid w:val="009D0A30"/>
    <w:rsid w:val="009D5833"/>
    <w:rsid w:val="009E699F"/>
    <w:rsid w:val="00A440CC"/>
    <w:rsid w:val="00A64544"/>
    <w:rsid w:val="00A64757"/>
    <w:rsid w:val="00AC6D64"/>
    <w:rsid w:val="00B22383"/>
    <w:rsid w:val="00B66A1E"/>
    <w:rsid w:val="00BA6653"/>
    <w:rsid w:val="00C04E2F"/>
    <w:rsid w:val="00C113C1"/>
    <w:rsid w:val="00C571F9"/>
    <w:rsid w:val="00CA7307"/>
    <w:rsid w:val="00CE7D73"/>
    <w:rsid w:val="00CF2A43"/>
    <w:rsid w:val="00D91501"/>
    <w:rsid w:val="00DE1A6F"/>
    <w:rsid w:val="00E15E06"/>
    <w:rsid w:val="00E34BAA"/>
    <w:rsid w:val="00E53FC3"/>
    <w:rsid w:val="00EE2B32"/>
    <w:rsid w:val="00EF1B5D"/>
    <w:rsid w:val="00F50AFD"/>
    <w:rsid w:val="00F73632"/>
    <w:rsid w:val="00FE08BA"/>
    <w:rsid w:val="0659B2CE"/>
    <w:rsid w:val="07C992BC"/>
    <w:rsid w:val="07F9612E"/>
    <w:rsid w:val="08B5CF8B"/>
    <w:rsid w:val="0A0953F3"/>
    <w:rsid w:val="0AB2779D"/>
    <w:rsid w:val="0AF9000A"/>
    <w:rsid w:val="0BA62A7E"/>
    <w:rsid w:val="0DD3BDBB"/>
    <w:rsid w:val="0F80BB5E"/>
    <w:rsid w:val="119CAA4B"/>
    <w:rsid w:val="12FBE7DE"/>
    <w:rsid w:val="132FFEA7"/>
    <w:rsid w:val="177F881E"/>
    <w:rsid w:val="17FE17CE"/>
    <w:rsid w:val="1CB842A7"/>
    <w:rsid w:val="1F913EFD"/>
    <w:rsid w:val="2325485D"/>
    <w:rsid w:val="25D281EF"/>
    <w:rsid w:val="27DBDE4F"/>
    <w:rsid w:val="2949C563"/>
    <w:rsid w:val="2AAED005"/>
    <w:rsid w:val="2E27D1B0"/>
    <w:rsid w:val="2FB49759"/>
    <w:rsid w:val="31F6AC2B"/>
    <w:rsid w:val="32437714"/>
    <w:rsid w:val="32572541"/>
    <w:rsid w:val="32B898C1"/>
    <w:rsid w:val="339E4015"/>
    <w:rsid w:val="33BEE86C"/>
    <w:rsid w:val="39BE7DBC"/>
    <w:rsid w:val="3B3E1415"/>
    <w:rsid w:val="3C6151C6"/>
    <w:rsid w:val="4008F86D"/>
    <w:rsid w:val="409E03D8"/>
    <w:rsid w:val="42B37B65"/>
    <w:rsid w:val="4388264B"/>
    <w:rsid w:val="43F11DB1"/>
    <w:rsid w:val="4550F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2EC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line="360" w:lineRule="auto"/>
      <w:jc w:val="both"/>
    </w:pPr>
    <w:rPr>
      <w:rFonts w:ascii="Arial" w:hAnsi="Arial" w:cs="Arial"/>
      <w:sz w:val="24"/>
    </w:rPr>
  </w:style>
  <w:style w:type="paragraph" w:styleId="Nagwek4">
    <w:name w:val="heading 4"/>
    <w:basedOn w:val="Normalny"/>
    <w:next w:val="Normalny"/>
    <w:link w:val="Nagwek4Znak"/>
    <w:qFormat/>
    <w:pPr>
      <w:widowControl/>
      <w:numPr>
        <w:numId w:val="7"/>
      </w:numPr>
      <w:autoSpaceDE/>
      <w:autoSpaceDN/>
      <w:adjustRightInd/>
      <w:spacing w:before="120" w:after="120" w:line="276" w:lineRule="auto"/>
      <w:outlineLvl w:val="3"/>
    </w:pPr>
    <w:rPr>
      <w:rFonts w:ascii="Calibri"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pPr>
      <w:ind w:left="1020" w:hanging="453"/>
    </w:pPr>
    <w:rPr>
      <w:rFonts w:ascii="Times" w:hAnsi="Times" w:cs="Times"/>
      <w:bCs/>
    </w:rPr>
  </w:style>
  <w:style w:type="character" w:customStyle="1" w:styleId="Tekstpodstawowywcity3Znak">
    <w:name w:val="Tekst podstawowy wcięty 3 Znak"/>
    <w:link w:val="Tekstpodstawowywcity3"/>
    <w:rPr>
      <w:rFonts w:ascii="Times" w:eastAsia="Times New Roman" w:hAnsi="Times" w:cs="Times"/>
      <w:b/>
      <w:sz w:val="24"/>
      <w:lang w:val="x-none" w:eastAsia="pl-PL"/>
    </w:rPr>
  </w:style>
  <w:style w:type="character" w:customStyle="1" w:styleId="object">
    <w:name w:val="object"/>
    <w:link w:val="ZUSTzmustartykuempunktem"/>
    <w:rPr>
      <w:rFonts w:ascii="Times New Roman" w:eastAsia="Times New Roman" w:hAnsi="Times New Roman" w:cs="Times New Roman"/>
    </w:rPr>
  </w:style>
  <w:style w:type="paragraph" w:customStyle="1" w:styleId="ARTartustawynprozporzdzenia">
    <w:name w:val="ART(§) – art. ustawy (§ np. rozporządzenia)"/>
    <w:link w:val="Tematkomentarza1"/>
    <w:pPr>
      <w:suppressAutoHyphens/>
      <w:autoSpaceDE w:val="0"/>
      <w:autoSpaceDN w:val="0"/>
      <w:adjustRightInd w:val="0"/>
      <w:spacing w:before="120" w:line="360" w:lineRule="auto"/>
      <w:ind w:firstLine="510"/>
      <w:jc w:val="both"/>
    </w:pPr>
    <w:rPr>
      <w:rFonts w:ascii="Times" w:hAnsi="Times" w:cs="Times"/>
      <w:sz w:val="24"/>
    </w:rPr>
  </w:style>
  <w:style w:type="character" w:styleId="Odwoanieprzypisudolnego">
    <w:name w:val="footnote reference"/>
    <w:aliases w:val="Nagłówek Znak,Tekst komentarza Znak Znak"/>
    <w:rPr>
      <w:rFonts w:ascii="Times New Roman" w:eastAsia="Times New Roman" w:hAnsi="Times New Roman" w:cs="Times New Roman"/>
      <w:vertAlign w:val="superscript"/>
    </w:rPr>
  </w:style>
  <w:style w:type="paragraph" w:styleId="Nagwek">
    <w:name w:val="header"/>
    <w:aliases w:val="Tekst komentarza Znak"/>
    <w:basedOn w:val="Normalny"/>
    <w:link w:val="NagwekZnak1"/>
    <w:pPr>
      <w:tabs>
        <w:tab w:val="center" w:pos="4536"/>
        <w:tab w:val="right" w:pos="9072"/>
      </w:tabs>
      <w:suppressAutoHyphens/>
      <w:autoSpaceDE/>
      <w:autoSpaceDN/>
      <w:adjustRightInd/>
    </w:pPr>
    <w:rPr>
      <w:rFonts w:ascii="Times" w:hAnsi="Times" w:cs="Times"/>
      <w:kern w:val="1"/>
      <w:szCs w:val="24"/>
      <w:lang w:eastAsia="ar-SA"/>
    </w:rPr>
  </w:style>
  <w:style w:type="paragraph" w:styleId="Stopka">
    <w:name w:val="footer"/>
    <w:basedOn w:val="Normalny"/>
    <w:link w:val="StopkaZnak"/>
    <w:uiPriority w:val="99"/>
    <w:pPr>
      <w:tabs>
        <w:tab w:val="center" w:pos="4536"/>
        <w:tab w:val="right" w:pos="9072"/>
      </w:tabs>
      <w:spacing w:line="240" w:lineRule="auto"/>
    </w:pPr>
    <w:rPr>
      <w:rFonts w:ascii="Times New Roman" w:hAnsi="Times New Roman" w:cs="Times New Roman"/>
    </w:rPr>
  </w:style>
  <w:style w:type="paragraph" w:customStyle="1" w:styleId="Tekstdymka1">
    <w:name w:val="Tekst dymka1"/>
    <w:basedOn w:val="Normalny"/>
    <w:pPr>
      <w:spacing w:line="240" w:lineRule="auto"/>
    </w:pPr>
    <w:rPr>
      <w:rFonts w:ascii="Segoe UI" w:hAnsi="Segoe UI" w:cs="Times New Roman"/>
      <w:sz w:val="18"/>
      <w:szCs w:val="18"/>
    </w:rPr>
  </w:style>
  <w:style w:type="character" w:customStyle="1" w:styleId="TekstpodstawowywcityZnak">
    <w:name w:val="Tekst podstawowy wcięty Znak"/>
    <w:link w:val="Tekstpodstawowywcity"/>
    <w:rPr>
      <w:rFonts w:ascii="Times" w:eastAsia="Times New Roman" w:hAnsi="Times" w:cs="Times"/>
      <w:sz w:val="24"/>
      <w:lang w:val="x-none" w:eastAsia="pl-PL"/>
    </w:rPr>
  </w:style>
  <w:style w:type="character" w:styleId="Odwoaniedokomentarza">
    <w:name w:val="annotation reference"/>
    <w:rPr>
      <w:rFonts w:ascii="Times New Roman" w:eastAsia="Times New Roman" w:hAnsi="Times New Roman" w:cs="Times New Roman"/>
      <w:sz w:val="16"/>
    </w:rPr>
  </w:style>
  <w:style w:type="paragraph" w:styleId="Tekstkomentarza">
    <w:name w:val="annotation text"/>
    <w:basedOn w:val="Normalny"/>
    <w:rPr>
      <w:rFonts w:ascii="Times" w:hAnsi="Times" w:cs="Times"/>
      <w:szCs w:val="24"/>
    </w:rPr>
  </w:style>
  <w:style w:type="paragraph" w:customStyle="1" w:styleId="PKTpunkt">
    <w:name w:val="PKT – punkt"/>
    <w:basedOn w:val="Normalny"/>
    <w:pPr>
      <w:widowControl/>
      <w:suppressAutoHyphens/>
      <w:ind w:left="510" w:hanging="510"/>
    </w:pPr>
    <w:rPr>
      <w:rFonts w:ascii="Times" w:hAnsi="Times" w:cs="Times"/>
      <w:bCs/>
    </w:rPr>
  </w:style>
  <w:style w:type="paragraph" w:customStyle="1" w:styleId="ODNONIKtreodnonika">
    <w:name w:val="ODNOŚNIK – treść odnośnika"/>
    <w:pPr>
      <w:ind w:left="284" w:hanging="284"/>
      <w:jc w:val="both"/>
    </w:pPr>
    <w:rPr>
      <w:rFonts w:ascii="Arial" w:hAnsi="Arial" w:cs="Arial"/>
    </w:rPr>
  </w:style>
  <w:style w:type="paragraph" w:styleId="Tekstprzypisudolnego">
    <w:name w:val="footnote text"/>
    <w:basedOn w:val="Normalny"/>
    <w:rPr>
      <w:rFonts w:ascii="Times" w:hAnsi="Times" w:cs="Times"/>
      <w:szCs w:val="24"/>
    </w:rPr>
  </w:style>
  <w:style w:type="paragraph" w:customStyle="1" w:styleId="OZNPROJEKTUwskazaniedatylubwersjiprojektu">
    <w:name w:val="OZN_PROJEKTU – wskazanie daty lub wersji projektu"/>
    <w:next w:val="Normalny"/>
    <w:pPr>
      <w:spacing w:line="360" w:lineRule="auto"/>
      <w:jc w:val="right"/>
    </w:pPr>
    <w:rPr>
      <w:rFonts w:ascii="Arial" w:hAnsi="Arial" w:cs="Arial"/>
      <w:sz w:val="24"/>
      <w:u w:val="single"/>
    </w:rPr>
  </w:style>
  <w:style w:type="character" w:customStyle="1" w:styleId="HeaderChar">
    <w:name w:val="Header Char"/>
    <w:link w:val="BalloonTextChar"/>
    <w:rPr>
      <w:rFonts w:ascii="Times" w:eastAsia="Times New Roman" w:hAnsi="Times" w:cs="Times"/>
      <w:kern w:val="1"/>
      <w:sz w:val="24"/>
      <w:lang w:val="x-none" w:eastAsia="ar-SA" w:bidi="ar-SA"/>
    </w:rPr>
  </w:style>
  <w:style w:type="character" w:customStyle="1" w:styleId="EndnoteTextChar">
    <w:name w:val="Endnote Text Char"/>
    <w:rPr>
      <w:rFonts w:ascii="Times New Roman" w:eastAsia="Times New Roman" w:hAnsi="Times New Roman" w:cs="Times New Roman"/>
    </w:rPr>
  </w:style>
  <w:style w:type="paragraph" w:customStyle="1" w:styleId="TekstprzypisukocowegoZnak">
    <w:name w:val="Tekst przypisu końcowego Znak"/>
    <w:next w:val="ARTartustawynprozporzdzenia"/>
    <w:link w:val="Tekstprzypisukocowego"/>
    <w:pPr>
      <w:keepNext/>
      <w:suppressAutoHyphens/>
      <w:spacing w:before="120" w:after="360" w:line="360" w:lineRule="auto"/>
      <w:jc w:val="center"/>
    </w:pPr>
    <w:rPr>
      <w:rFonts w:ascii="Times" w:hAnsi="Times" w:cs="Times"/>
      <w:b/>
      <w:bCs/>
      <w:sz w:val="24"/>
      <w:szCs w:val="24"/>
    </w:rPr>
  </w:style>
  <w:style w:type="paragraph" w:customStyle="1" w:styleId="pkt">
    <w:name w:val="pkt"/>
    <w:basedOn w:val="Normalny"/>
    <w:pPr>
      <w:widowControl/>
      <w:overflowPunct w:val="0"/>
      <w:spacing w:before="60" w:after="60" w:line="240" w:lineRule="auto"/>
      <w:ind w:left="851" w:hanging="295"/>
      <w:textAlignment w:val="baseline"/>
    </w:pPr>
    <w:rPr>
      <w:rFonts w:ascii="Times New Roman" w:hAnsi="Times New Roman" w:cs="Times New Roman"/>
    </w:rPr>
  </w:style>
  <w:style w:type="paragraph" w:customStyle="1" w:styleId="DATAAKTUdatauchwalenialubwydaniaaktu">
    <w:name w:val="DATA_AKTU – data uchwalenia lub wydania aktu"/>
    <w:next w:val="TekstprzypisukocowegoZnak"/>
    <w:pPr>
      <w:keepNext/>
      <w:suppressAutoHyphens/>
      <w:spacing w:before="120" w:after="120" w:line="360" w:lineRule="auto"/>
      <w:jc w:val="center"/>
    </w:pPr>
    <w:rPr>
      <w:rFonts w:ascii="Times" w:hAnsi="Times" w:cs="Times"/>
      <w:bCs/>
      <w:sz w:val="24"/>
      <w:szCs w:val="24"/>
    </w:rPr>
  </w:style>
  <w:style w:type="paragraph" w:customStyle="1" w:styleId="LITlitera">
    <w:name w:val="LIT – litera"/>
    <w:basedOn w:val="PKTpunkt"/>
    <w:link w:val="Odwoanieprzypisukocowego"/>
    <w:pPr>
      <w:ind w:left="986" w:hanging="476"/>
    </w:pPr>
    <w:rPr>
      <w:rFonts w:ascii="Times New Roman" w:hAnsi="Times New Roman" w:cs="Times New Roman"/>
    </w:rPr>
  </w:style>
  <w:style w:type="paragraph" w:customStyle="1" w:styleId="ZARTzmartartykuempunktem">
    <w:name w:val="Z/ART(§) – zm. art. (§) artykułem (punktem)"/>
    <w:basedOn w:val="ARTartustawynprozporzdzenia"/>
    <w:pPr>
      <w:spacing w:before="0"/>
      <w:ind w:left="510"/>
    </w:pPr>
    <w:rPr>
      <w:rFonts w:ascii="Times New Roman" w:hAnsi="Times New Roman" w:cs="Times New Roman"/>
    </w:rPr>
  </w:style>
  <w:style w:type="paragraph" w:customStyle="1" w:styleId="ZUSTzmustartykuempunktem">
    <w:name w:val="Z/UST(§) – zm. ust. (§) artykułem (punktem)"/>
    <w:basedOn w:val="ZARTzmartartykuempunktem"/>
    <w:link w:val="object"/>
  </w:style>
  <w:style w:type="paragraph" w:customStyle="1" w:styleId="ZPKTzmpktartykuempunktem">
    <w:name w:val="Z/PKT – zm. pkt artykułem (punktem)"/>
    <w:basedOn w:val="PKTpunkt"/>
    <w:link w:val="CommentSubjectChar"/>
    <w:pPr>
      <w:ind w:left="1020"/>
    </w:pPr>
    <w:rPr>
      <w:rFonts w:ascii="Times New Roman" w:hAnsi="Times New Roman" w:cs="Times New Roman"/>
    </w:rPr>
  </w:style>
  <w:style w:type="character" w:customStyle="1" w:styleId="CommentTextChar">
    <w:name w:val="Comment Text Char"/>
    <w:link w:val="ZLITzmlitartykuempunktem"/>
    <w:rPr>
      <w:rFonts w:ascii="Times" w:eastAsia="Times New Roman" w:hAnsi="Times" w:cs="Times"/>
      <w:sz w:val="24"/>
      <w:lang w:val="x-none" w:eastAsia="pl-PL"/>
    </w:rPr>
  </w:style>
  <w:style w:type="paragraph" w:customStyle="1" w:styleId="ZLITzmlitartykuempunktem">
    <w:name w:val="Z/LIT – zm. lit. artykułem (punktem)"/>
    <w:basedOn w:val="LITlitera"/>
    <w:link w:val="CommentTextChar"/>
  </w:style>
  <w:style w:type="paragraph" w:customStyle="1" w:styleId="Akapitzlist1">
    <w:name w:val="Akapit z listą1"/>
    <w:basedOn w:val="Normalny"/>
    <w:pPr>
      <w:ind w:left="720"/>
    </w:pPr>
    <w:rPr>
      <w:rFonts w:ascii="Times New Roman" w:hAnsi="Times New Roman" w:cs="Times New Roman"/>
    </w:rPr>
  </w:style>
  <w:style w:type="paragraph" w:styleId="Tekstpodstawowywcity">
    <w:name w:val="Body Text Indent"/>
    <w:basedOn w:val="Normalny"/>
    <w:link w:val="TekstpodstawowywcityZnak"/>
    <w:pPr>
      <w:ind w:left="408" w:firstLine="585"/>
    </w:pPr>
    <w:rPr>
      <w:rFonts w:ascii="Times New Roman" w:hAnsi="Times New Roman" w:cs="Times New Roman"/>
    </w:rPr>
  </w:style>
  <w:style w:type="paragraph" w:styleId="Tekstpodstawowywcity2">
    <w:name w:val="Body Text Indent 2"/>
    <w:basedOn w:val="Normalny"/>
    <w:pPr>
      <w:widowControl/>
      <w:suppressAutoHyphens/>
      <w:ind w:left="850" w:hanging="425"/>
    </w:pPr>
    <w:rPr>
      <w:rFonts w:ascii="Times New Roman" w:hAnsi="Times New Roman" w:cs="Times New Roman"/>
      <w:szCs w:val="24"/>
    </w:rPr>
  </w:style>
  <w:style w:type="paragraph" w:styleId="NormalnyWeb">
    <w:name w:val="Normal (Web)"/>
    <w:basedOn w:val="Normalny"/>
    <w:link w:val="NormalnyWebZnak"/>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styleId="Pogrubienie">
    <w:name w:val="Strong"/>
    <w:qFormat/>
    <w:rPr>
      <w:rFonts w:ascii="Times New Roman" w:eastAsia="Times New Roman" w:hAnsi="Times New Roman" w:cs="Times New Roman"/>
      <w:b/>
    </w:rPr>
  </w:style>
  <w:style w:type="character" w:styleId="Uwydatnienie">
    <w:name w:val="Emphasis"/>
    <w:link w:val="ARTartustawynprozporzdzeniaZnak"/>
    <w:qFormat/>
    <w:rPr>
      <w:rFonts w:ascii="Times New Roman" w:eastAsia="Times New Roman" w:hAnsi="Times New Roman" w:cs="Times New Roman"/>
      <w:i/>
    </w:rPr>
  </w:style>
  <w:style w:type="character" w:customStyle="1" w:styleId="ARTartustawynprozporzdzeniaZnak">
    <w:name w:val="ART(§) – art. ustawy (§ np. rozporządzenia) Znak"/>
    <w:link w:val="Uwydatnienie"/>
    <w:rPr>
      <w:rFonts w:ascii="Times" w:eastAsia="Times New Roman" w:hAnsi="Times" w:cs="Times"/>
      <w:sz w:val="24"/>
      <w:lang w:val="x-none" w:eastAsia="pl-PL"/>
    </w:rPr>
  </w:style>
  <w:style w:type="character" w:customStyle="1" w:styleId="NagwekZnak1">
    <w:name w:val="Nagłówek Znak1"/>
    <w:aliases w:val="Tekst komentarza Znak Znak1"/>
    <w:link w:val="Nagwek"/>
    <w:rPr>
      <w:rFonts w:ascii="Times" w:eastAsia="Times New Roman" w:hAnsi="Times" w:cs="Times"/>
      <w:sz w:val="20"/>
      <w:lang w:val="x-none" w:eastAsia="pl-PL"/>
    </w:rPr>
  </w:style>
  <w:style w:type="character" w:customStyle="1" w:styleId="LITliteraZnak">
    <w:name w:val="LIT – litera Znak"/>
    <w:rPr>
      <w:rFonts w:ascii="Times New Roman" w:eastAsia="Times New Roman" w:hAnsi="Times New Roman" w:cs="Times New Roman"/>
    </w:rPr>
  </w:style>
  <w:style w:type="character" w:customStyle="1" w:styleId="NormalnyWebZnak">
    <w:name w:val="Normalny (Web) Znak"/>
    <w:link w:val="NormalnyWeb"/>
    <w:rPr>
      <w:rFonts w:ascii="Times" w:eastAsia="Times New Roman" w:hAnsi="Times" w:cs="Times"/>
      <w:sz w:val="20"/>
      <w:lang w:val="x-none" w:eastAsia="pl-PL"/>
    </w:rPr>
  </w:style>
  <w:style w:type="character" w:customStyle="1" w:styleId="FootnoteTextChar">
    <w:name w:val="Footnote Text Char"/>
    <w:rPr>
      <w:rFonts w:ascii="Times" w:eastAsia="Times New Roman" w:hAnsi="Times" w:cs="Times"/>
      <w:sz w:val="24"/>
      <w:lang w:val="x-none" w:eastAsia="pl-PL"/>
    </w:rPr>
  </w:style>
  <w:style w:type="paragraph" w:customStyle="1" w:styleId="ust">
    <w:name w:val="ust"/>
    <w:pPr>
      <w:overflowPunct w:val="0"/>
      <w:autoSpaceDE w:val="0"/>
      <w:autoSpaceDN w:val="0"/>
      <w:adjustRightInd w:val="0"/>
      <w:spacing w:before="60" w:after="60"/>
      <w:ind w:left="426" w:hanging="284"/>
      <w:jc w:val="both"/>
      <w:textAlignment w:val="baseline"/>
    </w:pPr>
    <w:rPr>
      <w:sz w:val="24"/>
    </w:rPr>
  </w:style>
  <w:style w:type="paragraph" w:customStyle="1" w:styleId="Nagwek4Znak">
    <w:name w:val="Nagłówek 4 Znak"/>
    <w:basedOn w:val="ust"/>
    <w:link w:val="Nagwek4"/>
    <w:pPr>
      <w:ind w:left="425" w:hanging="380"/>
    </w:pPr>
  </w:style>
  <w:style w:type="paragraph" w:customStyle="1" w:styleId="tyt">
    <w:name w:val="tyt"/>
    <w:basedOn w:val="Normalny"/>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customStyle="1" w:styleId="BalloonTextChar">
    <w:name w:val="Balloon Text Char"/>
    <w:link w:val="HeaderChar"/>
    <w:rPr>
      <w:rFonts w:ascii="Segoe UI" w:eastAsia="Times New Roman" w:hAnsi="Segoe UI" w:cs="Times New Roman"/>
      <w:sz w:val="18"/>
      <w:lang w:val="x-none" w:eastAsia="pl-PL"/>
    </w:rPr>
  </w:style>
  <w:style w:type="paragraph" w:customStyle="1" w:styleId="Tematkomentarza1">
    <w:name w:val="Temat komentarza1"/>
    <w:basedOn w:val="Tekstkomentarza"/>
    <w:next w:val="Tekstkomentarza"/>
    <w:link w:val="ARTartustawynprozporzdzenia"/>
    <w:rPr>
      <w:rFonts w:ascii="Arial" w:hAnsi="Arial" w:cs="Arial"/>
      <w:b/>
      <w:bCs/>
      <w:sz w:val="20"/>
      <w:szCs w:val="20"/>
    </w:rPr>
  </w:style>
  <w:style w:type="character" w:customStyle="1" w:styleId="CommentSubjectChar">
    <w:name w:val="Comment Subject Char"/>
    <w:link w:val="ZPKTzmpktartykuempunktem"/>
    <w:rPr>
      <w:rFonts w:ascii="Times New Roman" w:eastAsia="Times New Roman" w:hAnsi="Times New Roman" w:cs="Times New Roman"/>
      <w:b/>
      <w:bCs/>
      <w:sz w:val="24"/>
      <w:szCs w:val="24"/>
      <w:lang w:val="x-none" w:eastAsia="pl-PL"/>
    </w:rPr>
  </w:style>
  <w:style w:type="character" w:customStyle="1" w:styleId="FooterChar">
    <w:name w:val="Footer Char"/>
    <w:rPr>
      <w:rFonts w:ascii="Times New Roman" w:eastAsia="Times New Roman" w:hAnsi="Times New Roman" w:cs="Times New Roman"/>
      <w:sz w:val="24"/>
    </w:rPr>
  </w:style>
  <w:style w:type="paragraph" w:customStyle="1" w:styleId="Poprawka1">
    <w:name w:val="Poprawka1"/>
    <w:rPr>
      <w:rFonts w:ascii="Arial" w:hAnsi="Arial" w:cs="Arial"/>
      <w:sz w:val="24"/>
    </w:rPr>
  </w:style>
  <w:style w:type="paragraph" w:styleId="Tekstprzypisukocowego">
    <w:name w:val="endnote text"/>
    <w:basedOn w:val="Normalny"/>
    <w:link w:val="TekstprzypisukocowegoZnak"/>
    <w:pPr>
      <w:spacing w:line="240" w:lineRule="auto"/>
    </w:pPr>
    <w:rPr>
      <w:rFonts w:ascii="Times New Roman" w:hAnsi="Times New Roman" w:cs="Times New Roman"/>
      <w:sz w:val="20"/>
    </w:rPr>
  </w:style>
  <w:style w:type="character" w:styleId="Odwoanieprzypisukocowego">
    <w:name w:val="endnote reference"/>
    <w:link w:val="LITlitera"/>
    <w:rPr>
      <w:rFonts w:ascii="Times New Roman" w:eastAsia="Times New Roman" w:hAnsi="Times New Roman" w:cs="Times New Roman"/>
      <w:vertAlign w:val="superscript"/>
    </w:rPr>
  </w:style>
  <w:style w:type="character" w:customStyle="1" w:styleId="Heading4Char">
    <w:name w:val="Heading 4 Char"/>
    <w:rPr>
      <w:rFonts w:ascii="Calibri" w:eastAsia="Times New Roman" w:hAnsi="Calibri" w:cs="Times New Roman"/>
      <w:bCs/>
      <w:iCs/>
      <w:sz w:val="22"/>
      <w:szCs w:val="22"/>
    </w:rPr>
  </w:style>
  <w:style w:type="paragraph" w:styleId="Tekstdymka">
    <w:name w:val="Balloon Text"/>
    <w:basedOn w:val="Normalny"/>
    <w:link w:val="TekstdymkaZnak"/>
    <w:uiPriority w:val="99"/>
    <w:semiHidden/>
    <w:unhideWhenUsed/>
    <w:rsid w:val="00FE08BA"/>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C113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F732E"/>
    <w:rPr>
      <w:rFonts w:ascii="Arial" w:hAnsi="Arial" w:cs="Arial"/>
      <w:b/>
      <w:bCs/>
      <w:sz w:val="20"/>
      <w:szCs w:val="20"/>
    </w:rPr>
  </w:style>
  <w:style w:type="character" w:customStyle="1" w:styleId="TematkomentarzaZnak">
    <w:name w:val="Temat komentarza Znak"/>
    <w:link w:val="Tematkomentarza"/>
    <w:uiPriority w:val="99"/>
    <w:semiHidden/>
    <w:rsid w:val="000F732E"/>
    <w:rPr>
      <w:rFonts w:ascii="Arial" w:eastAsia="Times New Roman" w:hAnsi="Arial" w:cs="Arial"/>
      <w:b/>
      <w:bCs/>
    </w:rPr>
  </w:style>
  <w:style w:type="character" w:customStyle="1" w:styleId="StopkaZnak">
    <w:name w:val="Stopka Znak"/>
    <w:basedOn w:val="Domylnaczcionkaakapitu"/>
    <w:link w:val="Stopka"/>
    <w:uiPriority w:val="99"/>
    <w:rsid w:val="00E53FC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line="360" w:lineRule="auto"/>
      <w:jc w:val="both"/>
    </w:pPr>
    <w:rPr>
      <w:rFonts w:ascii="Arial" w:hAnsi="Arial" w:cs="Arial"/>
      <w:sz w:val="24"/>
    </w:rPr>
  </w:style>
  <w:style w:type="paragraph" w:styleId="Nagwek4">
    <w:name w:val="heading 4"/>
    <w:basedOn w:val="Normalny"/>
    <w:next w:val="Normalny"/>
    <w:link w:val="Nagwek4Znak"/>
    <w:qFormat/>
    <w:pPr>
      <w:widowControl/>
      <w:numPr>
        <w:numId w:val="7"/>
      </w:numPr>
      <w:autoSpaceDE/>
      <w:autoSpaceDN/>
      <w:adjustRightInd/>
      <w:spacing w:before="120" w:after="120" w:line="276" w:lineRule="auto"/>
      <w:outlineLvl w:val="3"/>
    </w:pPr>
    <w:rPr>
      <w:rFonts w:ascii="Calibri"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pPr>
      <w:ind w:left="1020" w:hanging="453"/>
    </w:pPr>
    <w:rPr>
      <w:rFonts w:ascii="Times" w:hAnsi="Times" w:cs="Times"/>
      <w:bCs/>
    </w:rPr>
  </w:style>
  <w:style w:type="character" w:customStyle="1" w:styleId="Tekstpodstawowywcity3Znak">
    <w:name w:val="Tekst podstawowy wcięty 3 Znak"/>
    <w:link w:val="Tekstpodstawowywcity3"/>
    <w:rPr>
      <w:rFonts w:ascii="Times" w:eastAsia="Times New Roman" w:hAnsi="Times" w:cs="Times"/>
      <w:b/>
      <w:sz w:val="24"/>
      <w:lang w:val="x-none" w:eastAsia="pl-PL"/>
    </w:rPr>
  </w:style>
  <w:style w:type="character" w:customStyle="1" w:styleId="object">
    <w:name w:val="object"/>
    <w:link w:val="ZUSTzmustartykuempunktem"/>
    <w:rPr>
      <w:rFonts w:ascii="Times New Roman" w:eastAsia="Times New Roman" w:hAnsi="Times New Roman" w:cs="Times New Roman"/>
    </w:rPr>
  </w:style>
  <w:style w:type="paragraph" w:customStyle="1" w:styleId="ARTartustawynprozporzdzenia">
    <w:name w:val="ART(§) – art. ustawy (§ np. rozporządzenia)"/>
    <w:link w:val="Tematkomentarza1"/>
    <w:pPr>
      <w:suppressAutoHyphens/>
      <w:autoSpaceDE w:val="0"/>
      <w:autoSpaceDN w:val="0"/>
      <w:adjustRightInd w:val="0"/>
      <w:spacing w:before="120" w:line="360" w:lineRule="auto"/>
      <w:ind w:firstLine="510"/>
      <w:jc w:val="both"/>
    </w:pPr>
    <w:rPr>
      <w:rFonts w:ascii="Times" w:hAnsi="Times" w:cs="Times"/>
      <w:sz w:val="24"/>
    </w:rPr>
  </w:style>
  <w:style w:type="character" w:styleId="Odwoanieprzypisudolnego">
    <w:name w:val="footnote reference"/>
    <w:aliases w:val="Nagłówek Znak,Tekst komentarza Znak Znak"/>
    <w:rPr>
      <w:rFonts w:ascii="Times New Roman" w:eastAsia="Times New Roman" w:hAnsi="Times New Roman" w:cs="Times New Roman"/>
      <w:vertAlign w:val="superscript"/>
    </w:rPr>
  </w:style>
  <w:style w:type="paragraph" w:styleId="Nagwek">
    <w:name w:val="header"/>
    <w:aliases w:val="Tekst komentarza Znak"/>
    <w:basedOn w:val="Normalny"/>
    <w:link w:val="NagwekZnak1"/>
    <w:pPr>
      <w:tabs>
        <w:tab w:val="center" w:pos="4536"/>
        <w:tab w:val="right" w:pos="9072"/>
      </w:tabs>
      <w:suppressAutoHyphens/>
      <w:autoSpaceDE/>
      <w:autoSpaceDN/>
      <w:adjustRightInd/>
    </w:pPr>
    <w:rPr>
      <w:rFonts w:ascii="Times" w:hAnsi="Times" w:cs="Times"/>
      <w:kern w:val="1"/>
      <w:szCs w:val="24"/>
      <w:lang w:eastAsia="ar-SA"/>
    </w:rPr>
  </w:style>
  <w:style w:type="paragraph" w:styleId="Stopka">
    <w:name w:val="footer"/>
    <w:basedOn w:val="Normalny"/>
    <w:link w:val="StopkaZnak"/>
    <w:uiPriority w:val="99"/>
    <w:pPr>
      <w:tabs>
        <w:tab w:val="center" w:pos="4536"/>
        <w:tab w:val="right" w:pos="9072"/>
      </w:tabs>
      <w:spacing w:line="240" w:lineRule="auto"/>
    </w:pPr>
    <w:rPr>
      <w:rFonts w:ascii="Times New Roman" w:hAnsi="Times New Roman" w:cs="Times New Roman"/>
    </w:rPr>
  </w:style>
  <w:style w:type="paragraph" w:customStyle="1" w:styleId="Tekstdymka1">
    <w:name w:val="Tekst dymka1"/>
    <w:basedOn w:val="Normalny"/>
    <w:pPr>
      <w:spacing w:line="240" w:lineRule="auto"/>
    </w:pPr>
    <w:rPr>
      <w:rFonts w:ascii="Segoe UI" w:hAnsi="Segoe UI" w:cs="Times New Roman"/>
      <w:sz w:val="18"/>
      <w:szCs w:val="18"/>
    </w:rPr>
  </w:style>
  <w:style w:type="character" w:customStyle="1" w:styleId="TekstpodstawowywcityZnak">
    <w:name w:val="Tekst podstawowy wcięty Znak"/>
    <w:link w:val="Tekstpodstawowywcity"/>
    <w:rPr>
      <w:rFonts w:ascii="Times" w:eastAsia="Times New Roman" w:hAnsi="Times" w:cs="Times"/>
      <w:sz w:val="24"/>
      <w:lang w:val="x-none" w:eastAsia="pl-PL"/>
    </w:rPr>
  </w:style>
  <w:style w:type="character" w:styleId="Odwoaniedokomentarza">
    <w:name w:val="annotation reference"/>
    <w:rPr>
      <w:rFonts w:ascii="Times New Roman" w:eastAsia="Times New Roman" w:hAnsi="Times New Roman" w:cs="Times New Roman"/>
      <w:sz w:val="16"/>
    </w:rPr>
  </w:style>
  <w:style w:type="paragraph" w:styleId="Tekstkomentarza">
    <w:name w:val="annotation text"/>
    <w:basedOn w:val="Normalny"/>
    <w:rPr>
      <w:rFonts w:ascii="Times" w:hAnsi="Times" w:cs="Times"/>
      <w:szCs w:val="24"/>
    </w:rPr>
  </w:style>
  <w:style w:type="paragraph" w:customStyle="1" w:styleId="PKTpunkt">
    <w:name w:val="PKT – punkt"/>
    <w:basedOn w:val="Normalny"/>
    <w:pPr>
      <w:widowControl/>
      <w:suppressAutoHyphens/>
      <w:ind w:left="510" w:hanging="510"/>
    </w:pPr>
    <w:rPr>
      <w:rFonts w:ascii="Times" w:hAnsi="Times" w:cs="Times"/>
      <w:bCs/>
    </w:rPr>
  </w:style>
  <w:style w:type="paragraph" w:customStyle="1" w:styleId="ODNONIKtreodnonika">
    <w:name w:val="ODNOŚNIK – treść odnośnika"/>
    <w:pPr>
      <w:ind w:left="284" w:hanging="284"/>
      <w:jc w:val="both"/>
    </w:pPr>
    <w:rPr>
      <w:rFonts w:ascii="Arial" w:hAnsi="Arial" w:cs="Arial"/>
    </w:rPr>
  </w:style>
  <w:style w:type="paragraph" w:styleId="Tekstprzypisudolnego">
    <w:name w:val="footnote text"/>
    <w:basedOn w:val="Normalny"/>
    <w:rPr>
      <w:rFonts w:ascii="Times" w:hAnsi="Times" w:cs="Times"/>
      <w:szCs w:val="24"/>
    </w:rPr>
  </w:style>
  <w:style w:type="paragraph" w:customStyle="1" w:styleId="OZNPROJEKTUwskazaniedatylubwersjiprojektu">
    <w:name w:val="OZN_PROJEKTU – wskazanie daty lub wersji projektu"/>
    <w:next w:val="Normalny"/>
    <w:pPr>
      <w:spacing w:line="360" w:lineRule="auto"/>
      <w:jc w:val="right"/>
    </w:pPr>
    <w:rPr>
      <w:rFonts w:ascii="Arial" w:hAnsi="Arial" w:cs="Arial"/>
      <w:sz w:val="24"/>
      <w:u w:val="single"/>
    </w:rPr>
  </w:style>
  <w:style w:type="character" w:customStyle="1" w:styleId="HeaderChar">
    <w:name w:val="Header Char"/>
    <w:link w:val="BalloonTextChar"/>
    <w:rPr>
      <w:rFonts w:ascii="Times" w:eastAsia="Times New Roman" w:hAnsi="Times" w:cs="Times"/>
      <w:kern w:val="1"/>
      <w:sz w:val="24"/>
      <w:lang w:val="x-none" w:eastAsia="ar-SA" w:bidi="ar-SA"/>
    </w:rPr>
  </w:style>
  <w:style w:type="character" w:customStyle="1" w:styleId="EndnoteTextChar">
    <w:name w:val="Endnote Text Char"/>
    <w:rPr>
      <w:rFonts w:ascii="Times New Roman" w:eastAsia="Times New Roman" w:hAnsi="Times New Roman" w:cs="Times New Roman"/>
    </w:rPr>
  </w:style>
  <w:style w:type="paragraph" w:customStyle="1" w:styleId="TekstprzypisukocowegoZnak">
    <w:name w:val="Tekst przypisu końcowego Znak"/>
    <w:next w:val="ARTartustawynprozporzdzenia"/>
    <w:link w:val="Tekstprzypisukocowego"/>
    <w:pPr>
      <w:keepNext/>
      <w:suppressAutoHyphens/>
      <w:spacing w:before="120" w:after="360" w:line="360" w:lineRule="auto"/>
      <w:jc w:val="center"/>
    </w:pPr>
    <w:rPr>
      <w:rFonts w:ascii="Times" w:hAnsi="Times" w:cs="Times"/>
      <w:b/>
      <w:bCs/>
      <w:sz w:val="24"/>
      <w:szCs w:val="24"/>
    </w:rPr>
  </w:style>
  <w:style w:type="paragraph" w:customStyle="1" w:styleId="pkt">
    <w:name w:val="pkt"/>
    <w:basedOn w:val="Normalny"/>
    <w:pPr>
      <w:widowControl/>
      <w:overflowPunct w:val="0"/>
      <w:spacing w:before="60" w:after="60" w:line="240" w:lineRule="auto"/>
      <w:ind w:left="851" w:hanging="295"/>
      <w:textAlignment w:val="baseline"/>
    </w:pPr>
    <w:rPr>
      <w:rFonts w:ascii="Times New Roman" w:hAnsi="Times New Roman" w:cs="Times New Roman"/>
    </w:rPr>
  </w:style>
  <w:style w:type="paragraph" w:customStyle="1" w:styleId="DATAAKTUdatauchwalenialubwydaniaaktu">
    <w:name w:val="DATA_AKTU – data uchwalenia lub wydania aktu"/>
    <w:next w:val="TekstprzypisukocowegoZnak"/>
    <w:pPr>
      <w:keepNext/>
      <w:suppressAutoHyphens/>
      <w:spacing w:before="120" w:after="120" w:line="360" w:lineRule="auto"/>
      <w:jc w:val="center"/>
    </w:pPr>
    <w:rPr>
      <w:rFonts w:ascii="Times" w:hAnsi="Times" w:cs="Times"/>
      <w:bCs/>
      <w:sz w:val="24"/>
      <w:szCs w:val="24"/>
    </w:rPr>
  </w:style>
  <w:style w:type="paragraph" w:customStyle="1" w:styleId="LITlitera">
    <w:name w:val="LIT – litera"/>
    <w:basedOn w:val="PKTpunkt"/>
    <w:link w:val="Odwoanieprzypisukocowego"/>
    <w:pPr>
      <w:ind w:left="986" w:hanging="476"/>
    </w:pPr>
    <w:rPr>
      <w:rFonts w:ascii="Times New Roman" w:hAnsi="Times New Roman" w:cs="Times New Roman"/>
    </w:rPr>
  </w:style>
  <w:style w:type="paragraph" w:customStyle="1" w:styleId="ZARTzmartartykuempunktem">
    <w:name w:val="Z/ART(§) – zm. art. (§) artykułem (punktem)"/>
    <w:basedOn w:val="ARTartustawynprozporzdzenia"/>
    <w:pPr>
      <w:spacing w:before="0"/>
      <w:ind w:left="510"/>
    </w:pPr>
    <w:rPr>
      <w:rFonts w:ascii="Times New Roman" w:hAnsi="Times New Roman" w:cs="Times New Roman"/>
    </w:rPr>
  </w:style>
  <w:style w:type="paragraph" w:customStyle="1" w:styleId="ZUSTzmustartykuempunktem">
    <w:name w:val="Z/UST(§) – zm. ust. (§) artykułem (punktem)"/>
    <w:basedOn w:val="ZARTzmartartykuempunktem"/>
    <w:link w:val="object"/>
  </w:style>
  <w:style w:type="paragraph" w:customStyle="1" w:styleId="ZPKTzmpktartykuempunktem">
    <w:name w:val="Z/PKT – zm. pkt artykułem (punktem)"/>
    <w:basedOn w:val="PKTpunkt"/>
    <w:link w:val="CommentSubjectChar"/>
    <w:pPr>
      <w:ind w:left="1020"/>
    </w:pPr>
    <w:rPr>
      <w:rFonts w:ascii="Times New Roman" w:hAnsi="Times New Roman" w:cs="Times New Roman"/>
    </w:rPr>
  </w:style>
  <w:style w:type="character" w:customStyle="1" w:styleId="CommentTextChar">
    <w:name w:val="Comment Text Char"/>
    <w:link w:val="ZLITzmlitartykuempunktem"/>
    <w:rPr>
      <w:rFonts w:ascii="Times" w:eastAsia="Times New Roman" w:hAnsi="Times" w:cs="Times"/>
      <w:sz w:val="24"/>
      <w:lang w:val="x-none" w:eastAsia="pl-PL"/>
    </w:rPr>
  </w:style>
  <w:style w:type="paragraph" w:customStyle="1" w:styleId="ZLITzmlitartykuempunktem">
    <w:name w:val="Z/LIT – zm. lit. artykułem (punktem)"/>
    <w:basedOn w:val="LITlitera"/>
    <w:link w:val="CommentTextChar"/>
  </w:style>
  <w:style w:type="paragraph" w:customStyle="1" w:styleId="Akapitzlist1">
    <w:name w:val="Akapit z listą1"/>
    <w:basedOn w:val="Normalny"/>
    <w:pPr>
      <w:ind w:left="720"/>
    </w:pPr>
    <w:rPr>
      <w:rFonts w:ascii="Times New Roman" w:hAnsi="Times New Roman" w:cs="Times New Roman"/>
    </w:rPr>
  </w:style>
  <w:style w:type="paragraph" w:styleId="Tekstpodstawowywcity">
    <w:name w:val="Body Text Indent"/>
    <w:basedOn w:val="Normalny"/>
    <w:link w:val="TekstpodstawowywcityZnak"/>
    <w:pPr>
      <w:ind w:left="408" w:firstLine="585"/>
    </w:pPr>
    <w:rPr>
      <w:rFonts w:ascii="Times New Roman" w:hAnsi="Times New Roman" w:cs="Times New Roman"/>
    </w:rPr>
  </w:style>
  <w:style w:type="paragraph" w:styleId="Tekstpodstawowywcity2">
    <w:name w:val="Body Text Indent 2"/>
    <w:basedOn w:val="Normalny"/>
    <w:pPr>
      <w:widowControl/>
      <w:suppressAutoHyphens/>
      <w:ind w:left="850" w:hanging="425"/>
    </w:pPr>
    <w:rPr>
      <w:rFonts w:ascii="Times New Roman" w:hAnsi="Times New Roman" w:cs="Times New Roman"/>
      <w:szCs w:val="24"/>
    </w:rPr>
  </w:style>
  <w:style w:type="paragraph" w:styleId="NormalnyWeb">
    <w:name w:val="Normal (Web)"/>
    <w:basedOn w:val="Normalny"/>
    <w:link w:val="NormalnyWebZnak"/>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styleId="Pogrubienie">
    <w:name w:val="Strong"/>
    <w:qFormat/>
    <w:rPr>
      <w:rFonts w:ascii="Times New Roman" w:eastAsia="Times New Roman" w:hAnsi="Times New Roman" w:cs="Times New Roman"/>
      <w:b/>
    </w:rPr>
  </w:style>
  <w:style w:type="character" w:styleId="Uwydatnienie">
    <w:name w:val="Emphasis"/>
    <w:link w:val="ARTartustawynprozporzdzeniaZnak"/>
    <w:qFormat/>
    <w:rPr>
      <w:rFonts w:ascii="Times New Roman" w:eastAsia="Times New Roman" w:hAnsi="Times New Roman" w:cs="Times New Roman"/>
      <w:i/>
    </w:rPr>
  </w:style>
  <w:style w:type="character" w:customStyle="1" w:styleId="ARTartustawynprozporzdzeniaZnak">
    <w:name w:val="ART(§) – art. ustawy (§ np. rozporządzenia) Znak"/>
    <w:link w:val="Uwydatnienie"/>
    <w:rPr>
      <w:rFonts w:ascii="Times" w:eastAsia="Times New Roman" w:hAnsi="Times" w:cs="Times"/>
      <w:sz w:val="24"/>
      <w:lang w:val="x-none" w:eastAsia="pl-PL"/>
    </w:rPr>
  </w:style>
  <w:style w:type="character" w:customStyle="1" w:styleId="NagwekZnak1">
    <w:name w:val="Nagłówek Znak1"/>
    <w:aliases w:val="Tekst komentarza Znak Znak1"/>
    <w:link w:val="Nagwek"/>
    <w:rPr>
      <w:rFonts w:ascii="Times" w:eastAsia="Times New Roman" w:hAnsi="Times" w:cs="Times"/>
      <w:sz w:val="20"/>
      <w:lang w:val="x-none" w:eastAsia="pl-PL"/>
    </w:rPr>
  </w:style>
  <w:style w:type="character" w:customStyle="1" w:styleId="LITliteraZnak">
    <w:name w:val="LIT – litera Znak"/>
    <w:rPr>
      <w:rFonts w:ascii="Times New Roman" w:eastAsia="Times New Roman" w:hAnsi="Times New Roman" w:cs="Times New Roman"/>
    </w:rPr>
  </w:style>
  <w:style w:type="character" w:customStyle="1" w:styleId="NormalnyWebZnak">
    <w:name w:val="Normalny (Web) Znak"/>
    <w:link w:val="NormalnyWeb"/>
    <w:rPr>
      <w:rFonts w:ascii="Times" w:eastAsia="Times New Roman" w:hAnsi="Times" w:cs="Times"/>
      <w:sz w:val="20"/>
      <w:lang w:val="x-none" w:eastAsia="pl-PL"/>
    </w:rPr>
  </w:style>
  <w:style w:type="character" w:customStyle="1" w:styleId="FootnoteTextChar">
    <w:name w:val="Footnote Text Char"/>
    <w:rPr>
      <w:rFonts w:ascii="Times" w:eastAsia="Times New Roman" w:hAnsi="Times" w:cs="Times"/>
      <w:sz w:val="24"/>
      <w:lang w:val="x-none" w:eastAsia="pl-PL"/>
    </w:rPr>
  </w:style>
  <w:style w:type="paragraph" w:customStyle="1" w:styleId="ust">
    <w:name w:val="ust"/>
    <w:pPr>
      <w:overflowPunct w:val="0"/>
      <w:autoSpaceDE w:val="0"/>
      <w:autoSpaceDN w:val="0"/>
      <w:adjustRightInd w:val="0"/>
      <w:spacing w:before="60" w:after="60"/>
      <w:ind w:left="426" w:hanging="284"/>
      <w:jc w:val="both"/>
      <w:textAlignment w:val="baseline"/>
    </w:pPr>
    <w:rPr>
      <w:sz w:val="24"/>
    </w:rPr>
  </w:style>
  <w:style w:type="paragraph" w:customStyle="1" w:styleId="Nagwek4Znak">
    <w:name w:val="Nagłówek 4 Znak"/>
    <w:basedOn w:val="ust"/>
    <w:link w:val="Nagwek4"/>
    <w:pPr>
      <w:ind w:left="425" w:hanging="380"/>
    </w:pPr>
  </w:style>
  <w:style w:type="paragraph" w:customStyle="1" w:styleId="tyt">
    <w:name w:val="tyt"/>
    <w:basedOn w:val="Normalny"/>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customStyle="1" w:styleId="BalloonTextChar">
    <w:name w:val="Balloon Text Char"/>
    <w:link w:val="HeaderChar"/>
    <w:rPr>
      <w:rFonts w:ascii="Segoe UI" w:eastAsia="Times New Roman" w:hAnsi="Segoe UI" w:cs="Times New Roman"/>
      <w:sz w:val="18"/>
      <w:lang w:val="x-none" w:eastAsia="pl-PL"/>
    </w:rPr>
  </w:style>
  <w:style w:type="paragraph" w:customStyle="1" w:styleId="Tematkomentarza1">
    <w:name w:val="Temat komentarza1"/>
    <w:basedOn w:val="Tekstkomentarza"/>
    <w:next w:val="Tekstkomentarza"/>
    <w:link w:val="ARTartustawynprozporzdzenia"/>
    <w:rPr>
      <w:rFonts w:ascii="Arial" w:hAnsi="Arial" w:cs="Arial"/>
      <w:b/>
      <w:bCs/>
      <w:sz w:val="20"/>
      <w:szCs w:val="20"/>
    </w:rPr>
  </w:style>
  <w:style w:type="character" w:customStyle="1" w:styleId="CommentSubjectChar">
    <w:name w:val="Comment Subject Char"/>
    <w:link w:val="ZPKTzmpktartykuempunktem"/>
    <w:rPr>
      <w:rFonts w:ascii="Times New Roman" w:eastAsia="Times New Roman" w:hAnsi="Times New Roman" w:cs="Times New Roman"/>
      <w:b/>
      <w:bCs/>
      <w:sz w:val="24"/>
      <w:szCs w:val="24"/>
      <w:lang w:val="x-none" w:eastAsia="pl-PL"/>
    </w:rPr>
  </w:style>
  <w:style w:type="character" w:customStyle="1" w:styleId="FooterChar">
    <w:name w:val="Footer Char"/>
    <w:rPr>
      <w:rFonts w:ascii="Times New Roman" w:eastAsia="Times New Roman" w:hAnsi="Times New Roman" w:cs="Times New Roman"/>
      <w:sz w:val="24"/>
    </w:rPr>
  </w:style>
  <w:style w:type="paragraph" w:customStyle="1" w:styleId="Poprawka1">
    <w:name w:val="Poprawka1"/>
    <w:rPr>
      <w:rFonts w:ascii="Arial" w:hAnsi="Arial" w:cs="Arial"/>
      <w:sz w:val="24"/>
    </w:rPr>
  </w:style>
  <w:style w:type="paragraph" w:styleId="Tekstprzypisukocowego">
    <w:name w:val="endnote text"/>
    <w:basedOn w:val="Normalny"/>
    <w:link w:val="TekstprzypisukocowegoZnak"/>
    <w:pPr>
      <w:spacing w:line="240" w:lineRule="auto"/>
    </w:pPr>
    <w:rPr>
      <w:rFonts w:ascii="Times New Roman" w:hAnsi="Times New Roman" w:cs="Times New Roman"/>
      <w:sz w:val="20"/>
    </w:rPr>
  </w:style>
  <w:style w:type="character" w:styleId="Odwoanieprzypisukocowego">
    <w:name w:val="endnote reference"/>
    <w:link w:val="LITlitera"/>
    <w:rPr>
      <w:rFonts w:ascii="Times New Roman" w:eastAsia="Times New Roman" w:hAnsi="Times New Roman" w:cs="Times New Roman"/>
      <w:vertAlign w:val="superscript"/>
    </w:rPr>
  </w:style>
  <w:style w:type="character" w:customStyle="1" w:styleId="Heading4Char">
    <w:name w:val="Heading 4 Char"/>
    <w:rPr>
      <w:rFonts w:ascii="Calibri" w:eastAsia="Times New Roman" w:hAnsi="Calibri" w:cs="Times New Roman"/>
      <w:bCs/>
      <w:iCs/>
      <w:sz w:val="22"/>
      <w:szCs w:val="22"/>
    </w:rPr>
  </w:style>
  <w:style w:type="paragraph" w:styleId="Tekstdymka">
    <w:name w:val="Balloon Text"/>
    <w:basedOn w:val="Normalny"/>
    <w:link w:val="TekstdymkaZnak"/>
    <w:uiPriority w:val="99"/>
    <w:semiHidden/>
    <w:unhideWhenUsed/>
    <w:rsid w:val="00FE08BA"/>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C113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F732E"/>
    <w:rPr>
      <w:rFonts w:ascii="Arial" w:hAnsi="Arial" w:cs="Arial"/>
      <w:b/>
      <w:bCs/>
      <w:sz w:val="20"/>
      <w:szCs w:val="20"/>
    </w:rPr>
  </w:style>
  <w:style w:type="character" w:customStyle="1" w:styleId="TematkomentarzaZnak">
    <w:name w:val="Temat komentarza Znak"/>
    <w:link w:val="Tematkomentarza"/>
    <w:uiPriority w:val="99"/>
    <w:semiHidden/>
    <w:rsid w:val="000F732E"/>
    <w:rPr>
      <w:rFonts w:ascii="Arial" w:eastAsia="Times New Roman" w:hAnsi="Arial" w:cs="Arial"/>
      <w:b/>
      <w:bCs/>
    </w:rPr>
  </w:style>
  <w:style w:type="character" w:customStyle="1" w:styleId="StopkaZnak">
    <w:name w:val="Stopka Znak"/>
    <w:basedOn w:val="Domylnaczcionkaakapitu"/>
    <w:link w:val="Stopka"/>
    <w:uiPriority w:val="99"/>
    <w:rsid w:val="00E53F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3A7E6-B5B6-44CF-8F3D-23B82D07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4524</Words>
  <Characters>28979</Characters>
  <Application>Microsoft Office Word</Application>
  <DocSecurity>0</DocSecurity>
  <Lines>579</Lines>
  <Paragraphs>291</Paragraphs>
  <ScaleCrop>false</ScaleCrop>
  <HeadingPairs>
    <vt:vector size="2" baseType="variant">
      <vt:variant>
        <vt:lpstr>Tytuł</vt:lpstr>
      </vt:variant>
      <vt:variant>
        <vt:i4>1</vt:i4>
      </vt:variant>
    </vt:vector>
  </HeadingPairs>
  <TitlesOfParts>
    <vt:vector size="1" baseType="lpstr">
      <vt:lpstr>Projekt z dnia 9 18 października 2017 r</vt:lpstr>
    </vt:vector>
  </TitlesOfParts>
  <Company>KPRM</Company>
  <LinksUpToDate>false</LinksUpToDate>
  <CharactersWithSpaces>33212</CharactersWithSpaces>
  <SharedDoc>false</SharedDoc>
  <HLinks>
    <vt:vector size="6" baseType="variant">
      <vt:variant>
        <vt:i4>2621489</vt:i4>
      </vt:variant>
      <vt:variant>
        <vt:i4>0</vt:i4>
      </vt:variant>
      <vt:variant>
        <vt:i4>0</vt:i4>
      </vt:variant>
      <vt:variant>
        <vt:i4>5</vt:i4>
      </vt:variant>
      <vt:variant>
        <vt:lpwstr>http://lex/lex/index.rpc</vt:lpwstr>
      </vt:variant>
      <vt:variant>
        <vt:lpwstr>hiperlinkDocsList.rpc?hiperlink=type=merytoryczny:nro=Powszechny.1163443:part=a24u2:nr=1&amp;full=1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9 18 października 2017 r</dc:title>
  <dc:creator>ANDRZEJCZUK-GARBACZ Iwona</dc:creator>
  <cp:lastModifiedBy>Ewa A. Genert</cp:lastModifiedBy>
  <cp:revision>2</cp:revision>
  <cp:lastPrinted>2017-11-09T07:43:00Z</cp:lastPrinted>
  <dcterms:created xsi:type="dcterms:W3CDTF">2017-11-17T11:18:00Z</dcterms:created>
  <dcterms:modified xsi:type="dcterms:W3CDTF">2017-11-17T11:18:00Z</dcterms:modified>
</cp:coreProperties>
</file>