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A10" w:rsidRPr="00F669F3" w:rsidRDefault="00931A10" w:rsidP="00931A10">
      <w:pPr>
        <w:pStyle w:val="TYTDZOZNoznaczenietytuulubdziau"/>
        <w:spacing w:before="0" w:after="240"/>
      </w:pPr>
      <w:bookmarkStart w:id="0" w:name="_GoBack"/>
      <w:bookmarkEnd w:id="0"/>
      <w:r w:rsidRPr="00F669F3">
        <w:t>UZASADNIENIE</w:t>
      </w:r>
    </w:p>
    <w:p w:rsidR="00931A10" w:rsidRDefault="00931A10" w:rsidP="00931A10">
      <w:pPr>
        <w:pStyle w:val="NIEARTTEKSTtekstnieartykuowanynppodstprawnarozplubpreambua"/>
      </w:pPr>
      <w:r w:rsidRPr="00F669F3">
        <w:t xml:space="preserve">Zmiana zaproponowana w niniejszym projekcie ma na celu </w:t>
      </w:r>
      <w:r>
        <w:t xml:space="preserve">zwiększenie ochrony konsumentów i producentów rolnych prowadzących gospodarstwa rodzinne dochodzących </w:t>
      </w:r>
      <w:r w:rsidRPr="00F669F3">
        <w:t>roszcze</w:t>
      </w:r>
      <w:r>
        <w:t>ń</w:t>
      </w:r>
      <w:r w:rsidRPr="00F669F3">
        <w:t xml:space="preserve"> wynikając</w:t>
      </w:r>
      <w:r>
        <w:t>ych</w:t>
      </w:r>
      <w:r w:rsidRPr="00F669F3">
        <w:t xml:space="preserve"> z czynności bankowych, o których mowa w art. 5 ust. 1 i 2 ustawy</w:t>
      </w:r>
      <w:r>
        <w:t xml:space="preserve"> z </w:t>
      </w:r>
      <w:r w:rsidRPr="00F669F3">
        <w:t xml:space="preserve">dnia 29 sierpnia 1997 r. </w:t>
      </w:r>
      <w:r w:rsidR="008E6BCC">
        <w:t>–</w:t>
      </w:r>
      <w:r w:rsidRPr="00F669F3">
        <w:t xml:space="preserve"> Prawo bankowe (Dz. U. z 2015 r. poz. 128, z późn. zm.).</w:t>
      </w:r>
    </w:p>
    <w:p w:rsidR="00931A10" w:rsidRPr="006B449F" w:rsidRDefault="00931A10" w:rsidP="00931A10">
      <w:pPr>
        <w:pStyle w:val="ARTartustawynprozporzdzenia"/>
      </w:pPr>
      <w:r w:rsidRPr="006B449F">
        <w:t>System opłat sądowych w sprawach cywilnych jest bardzo zróżnicowany. Należy podkreślić, że opłaty te pełnią nie tylko funkcję fiskalną, ale również pozafiskalną. Wysokość opłaty w poszczególnych kategoriach spraw jest środkiem polityki państwa w zakresie oddziaływania na podmioty, które zamierzają inicjować postępowanie sądowe. Niskie opłaty oraz ustawowe zwolnienia od opłat w niektórych sprawach świadczą o preferencyjnym traktowaniu tych spraw (np. sprawy z zakresu prawa pracy albo sprawy z zakresu ubezpieczeń społecznych).</w:t>
      </w:r>
    </w:p>
    <w:p w:rsidR="00931A10" w:rsidRPr="006B449F" w:rsidRDefault="00931A10" w:rsidP="00931A10">
      <w:pPr>
        <w:pStyle w:val="ARTartustawynprozporzdzenia"/>
      </w:pPr>
      <w:r w:rsidRPr="006B449F">
        <w:t>Na taką szczególną ochronę zasługują konsumenci doc</w:t>
      </w:r>
      <w:r>
        <w:t>hodzący roszczeń wynikających z </w:t>
      </w:r>
      <w:r w:rsidRPr="006B449F">
        <w:t xml:space="preserve">czynności bankowych. Zazwyczaj podmioty te, w celu zaspokojenia ważnych potrzeb życiowych (np. zakup mieszkania, samochodu), muszą korzystać ze środków pieniężnych oferowanych przez banki. Ich bieżące dochody nie pozwalają bowiem na poczynienie oszczędności wystarczających na zaspokojenie tych potrzeb. To samo należy odnieść do </w:t>
      </w:r>
      <w:r>
        <w:t xml:space="preserve">producentów rolnych </w:t>
      </w:r>
      <w:r w:rsidRPr="006B449F">
        <w:t>prowadząc</w:t>
      </w:r>
      <w:r>
        <w:t>ych gospodarstwa rodzinne, którzy</w:t>
      </w:r>
      <w:r w:rsidRPr="006B449F">
        <w:t xml:space="preserve"> w n</w:t>
      </w:r>
      <w:r>
        <w:t>iektórych sytuacjach są zmuszeni</w:t>
      </w:r>
      <w:r w:rsidRPr="006B449F">
        <w:t xml:space="preserve"> korzystać z usług banków, aby zapewnić ciągłość działalności gospodarstwa rolnego. </w:t>
      </w:r>
    </w:p>
    <w:p w:rsidR="00931A10" w:rsidRPr="006B449F" w:rsidRDefault="00931A10" w:rsidP="00931A10">
      <w:pPr>
        <w:pStyle w:val="ARTartustawynprozporzdzenia"/>
      </w:pPr>
      <w:r w:rsidRPr="006B449F">
        <w:t xml:space="preserve">Podmiotom tym powinny zatem przysługiwać takie uprawnienia, które ułatwiają dochodzenie roszczeń wynikających z czynności bankowych. </w:t>
      </w:r>
      <w:r>
        <w:t>W sporze między konsumentem (</w:t>
      </w:r>
      <w:r w:rsidRPr="006B449F">
        <w:t>producentem rolnym</w:t>
      </w:r>
      <w:r w:rsidR="008929CD">
        <w:t xml:space="preserve"> prowadzącym gospodarstwo rodzinne</w:t>
      </w:r>
      <w:r>
        <w:t>)</w:t>
      </w:r>
      <w:r w:rsidRPr="006B449F">
        <w:t xml:space="preserve"> a bankiem występuje poważna różnica co do sytuacji ekonomicznej stron i to konsument (producent rolny</w:t>
      </w:r>
      <w:r>
        <w:t xml:space="preserve"> prowadzący gospodarstwo rodzinne</w:t>
      </w:r>
      <w:r w:rsidRPr="006B449F">
        <w:t>) znajduje się w mniej dogodnej pozycji. Konieczność uiszczenia stosunkowo wysokiej opłaty sądowej oraz niepewność co do uzyskania i ewentualnego zakresu zwolnienia od tej opłaty (w drodze orzeczenia s</w:t>
      </w:r>
      <w:r w:rsidR="00B14587">
        <w:t>ądu albo referendarza sądowego)</w:t>
      </w:r>
      <w:r w:rsidRPr="006B449F">
        <w:t xml:space="preserve"> stanowi poważny czynnik, który może zniechęcać te podmioty do dochodzenia przysługujących im roszczeń. </w:t>
      </w:r>
    </w:p>
    <w:p w:rsidR="00931A10" w:rsidRPr="00F669F3" w:rsidRDefault="00931A10" w:rsidP="00931A10">
      <w:pPr>
        <w:pStyle w:val="NIEARTTEKSTtekstnieartykuowanynppodstprawnarozplubpreambua"/>
      </w:pPr>
      <w:r>
        <w:t>U</w:t>
      </w:r>
      <w:r w:rsidRPr="00F669F3">
        <w:t>stawą z dnia 25 września 2015 r</w:t>
      </w:r>
      <w:r w:rsidR="00B14587">
        <w:t>.</w:t>
      </w:r>
      <w:r w:rsidRPr="00F669F3">
        <w:t xml:space="preserve"> o zmianie ustawy </w:t>
      </w:r>
      <w:r w:rsidR="00B14587">
        <w:t>–</w:t>
      </w:r>
      <w:r w:rsidRPr="00F669F3">
        <w:t xml:space="preserve"> Prawo bankowe oraz niektórych innych ustaw (Dz. U. poz. 1854), która weszła w życie w dniu 27 listopada 2015 r.</w:t>
      </w:r>
      <w:r>
        <w:t>,</w:t>
      </w:r>
      <w:r w:rsidRPr="00F669F3">
        <w:t xml:space="preserve"> do ustawy </w:t>
      </w:r>
      <w:r w:rsidRPr="00F669F3">
        <w:lastRenderedPageBreak/>
        <w:t>z dnia 28 lipca 2005 r. o kosztach sądowych w sprawach cywilnych (Dz. U. z 2014 r. poz.</w:t>
      </w:r>
      <w:r>
        <w:t> </w:t>
      </w:r>
      <w:r w:rsidRPr="00F669F3">
        <w:t xml:space="preserve">1025, z późn. zm.), dalej: </w:t>
      </w:r>
      <w:r>
        <w:t>„</w:t>
      </w:r>
      <w:proofErr w:type="spellStart"/>
      <w:r w:rsidRPr="00F669F3">
        <w:t>u.k.s.c</w:t>
      </w:r>
      <w:proofErr w:type="spellEnd"/>
      <w:r w:rsidRPr="00F669F3">
        <w:t>.</w:t>
      </w:r>
      <w:r>
        <w:t>”</w:t>
      </w:r>
      <w:r w:rsidRPr="00F669F3">
        <w:t xml:space="preserve">, w art. 13 </w:t>
      </w:r>
      <w:r>
        <w:t xml:space="preserve">dodano </w:t>
      </w:r>
      <w:r w:rsidRPr="00F669F3">
        <w:t>ust</w:t>
      </w:r>
      <w:r w:rsidR="008929CD">
        <w:t>.</w:t>
      </w:r>
      <w:r w:rsidRPr="00F669F3">
        <w:t xml:space="preserve"> 1a</w:t>
      </w:r>
      <w:r>
        <w:t>, zgodnie z którym w </w:t>
      </w:r>
      <w:r w:rsidRPr="00F669F3">
        <w:t xml:space="preserve">sprawach o roszczenia wynikające z czynności bankowych, o których mowa w art. 5 ust. 1 i 2 ustawy z dnia 29 sierpnia 1997 r. </w:t>
      </w:r>
      <w:r w:rsidR="00B14587">
        <w:t>–</w:t>
      </w:r>
      <w:r w:rsidRPr="00F669F3">
        <w:t xml:space="preserve"> Prawo bankowe (Dz. U. z 2015 r. poz. 128, z późn. zm.), opłata stosunkowa wynosi 5% wartości przedmiotu sporu lub przedmiotu zaskarżenia, jednak nie mniej niż 30 złotych i nie więcej niż 1000 złotych</w:t>
      </w:r>
      <w:r>
        <w:t>. Zmiana ta</w:t>
      </w:r>
      <w:r w:rsidRPr="00F669F3">
        <w:t xml:space="preserve"> </w:t>
      </w:r>
      <w:r>
        <w:t xml:space="preserve">oznacza, że </w:t>
      </w:r>
      <w:r w:rsidRPr="00F669F3">
        <w:t>stron</w:t>
      </w:r>
      <w:r>
        <w:t>a</w:t>
      </w:r>
      <w:r w:rsidRPr="00F669F3">
        <w:t xml:space="preserve"> dochodząc</w:t>
      </w:r>
      <w:r>
        <w:t>a</w:t>
      </w:r>
      <w:r w:rsidRPr="00F669F3">
        <w:t xml:space="preserve"> roszczeń (wynikających z czynności bankowych) w sprawach, w których wartość przedmiotu sporu albo przedmiotu z</w:t>
      </w:r>
      <w:r>
        <w:t>askarżenia przekracza 20 000 zł</w:t>
      </w:r>
      <w:r w:rsidR="00B14587">
        <w:t>,</w:t>
      </w:r>
      <w:r w:rsidRPr="00F669F3">
        <w:t xml:space="preserve"> </w:t>
      </w:r>
      <w:r>
        <w:t>ponosi opłatę stosunkową w wysokości maksymalnej. P</w:t>
      </w:r>
      <w:r w:rsidRPr="00F669F3">
        <w:t>owyższe unormowanie odnosi się zarówno do spraw inicjowanych przez banki, jak też spraw inicjowany</w:t>
      </w:r>
      <w:r>
        <w:t>ch przez kontrahentów banków. W </w:t>
      </w:r>
      <w:r w:rsidRPr="00F669F3">
        <w:t xml:space="preserve">tym ostatnim przypadku nie ma znaczenia to, czy kontrahent banku jest konsumentem czy przedsiębiorcą. W rezultacie </w:t>
      </w:r>
      <w:r>
        <w:t xml:space="preserve">niższą opłatę stosunkową ponoszą również </w:t>
      </w:r>
      <w:r w:rsidRPr="00F669F3">
        <w:t xml:space="preserve">takie podmioty, co do których </w:t>
      </w:r>
      <w:r>
        <w:t xml:space="preserve">takie </w:t>
      </w:r>
      <w:r w:rsidRPr="00F669F3">
        <w:t>obniżenie opłaty nie znajduje ż</w:t>
      </w:r>
      <w:r>
        <w:t>a</w:t>
      </w:r>
      <w:r w:rsidRPr="00F669F3">
        <w:t xml:space="preserve">dnego uzasadnienia (np. spółki posiadające znaczny majątek, a nawet inne banki). Tak szeroko określony zakres zastosowania obniżonej, maksymalnej opłaty stosunkowej nie znajduje zatem racjonalnego uzasadnienia aksjologicznego.  </w:t>
      </w:r>
    </w:p>
    <w:p w:rsidR="00931A10" w:rsidRDefault="00931A10" w:rsidP="00931A10">
      <w:pPr>
        <w:pStyle w:val="NIEARTTEKSTtekstnieartykuowanynppodstprawnarozplubpreambua"/>
      </w:pPr>
      <w:r w:rsidRPr="00F669F3">
        <w:t>Z tego względu</w:t>
      </w:r>
      <w:r>
        <w:t>,</w:t>
      </w:r>
      <w:r w:rsidRPr="00F669F3">
        <w:t xml:space="preserve"> w projektowanym przepisie art. 13 ust. 1a </w:t>
      </w:r>
      <w:proofErr w:type="spellStart"/>
      <w:r w:rsidRPr="00F669F3">
        <w:t>u.k.s.c</w:t>
      </w:r>
      <w:proofErr w:type="spellEnd"/>
      <w:r w:rsidRPr="00F669F3">
        <w:t xml:space="preserve">. proponuje się, aby przywilej </w:t>
      </w:r>
      <w:r>
        <w:t xml:space="preserve">ten </w:t>
      </w:r>
      <w:r w:rsidRPr="00F669F3">
        <w:t>obowiązywał wyłącznie w sprawach, w których konsumenci</w:t>
      </w:r>
      <w:r>
        <w:t xml:space="preserve"> albo producenci rolni prowadzący gospodarstwa rodzinne, w rozumieniu przepisów o kształtowaniu ustroju rolnego,</w:t>
      </w:r>
      <w:r w:rsidRPr="00F669F3">
        <w:t xml:space="preserve"> dochodzą roszczeń wynikających z czynności bankowych.</w:t>
      </w:r>
      <w:r>
        <w:t xml:space="preserve"> </w:t>
      </w:r>
      <w:r w:rsidRPr="00F669F3">
        <w:t xml:space="preserve">Jedynie </w:t>
      </w:r>
      <w:r>
        <w:t xml:space="preserve">bowiem </w:t>
      </w:r>
      <w:r w:rsidRPr="00F669F3">
        <w:t>w</w:t>
      </w:r>
      <w:r>
        <w:t> </w:t>
      </w:r>
      <w:r w:rsidRPr="00F669F3">
        <w:t xml:space="preserve">sprawach zainicjowanych przez </w:t>
      </w:r>
      <w:r>
        <w:t>te podmioty znajdu</w:t>
      </w:r>
      <w:r w:rsidRPr="00F669F3">
        <w:t xml:space="preserve">je uzasadnienie obniżenie maksymalnej wysokości opłaty stosunkowej. </w:t>
      </w:r>
    </w:p>
    <w:p w:rsidR="00931A10" w:rsidRDefault="00931A10" w:rsidP="00931A10">
      <w:pPr>
        <w:pStyle w:val="ARTartustawynprozporzdzenia"/>
      </w:pPr>
      <w:r>
        <w:t xml:space="preserve">Należy podkreślić, że w polskim systemie prawnym istnieją regulacje przyznające konsumentowi dodatkowe uprawnienia zarówno w relacjach z podmiotami dysponującymi większymi możliwościami ekonomicznymi (przedsiębiorcami), jak też w relacjach z organami władzy publicznej. Takie uprzywilejowanie występuje także na gruncie przepisów procesowych. Tytułem przykładu można wskazać sprawy o roszczenia wynikające z umowy sprzedaży konsumenckiej, jeżeli wartość przedmiotu umowy nie przekracza 10 000 zł. W sprawach tych pobiera się od pozwu opłaty stałe przewidziane w art. 28 </w:t>
      </w:r>
      <w:proofErr w:type="spellStart"/>
      <w:r>
        <w:t>u.k.s.c</w:t>
      </w:r>
      <w:proofErr w:type="spellEnd"/>
      <w:r>
        <w:t xml:space="preserve">., przy czym ich wysokość jest uzależniona wyłącznie od wartości przedmiotu umowy, a nie od wartości przedmiotu sporu, która może przewyższać wartość przedmiotu umowy. </w:t>
      </w:r>
    </w:p>
    <w:p w:rsidR="00931A10" w:rsidRDefault="00931A10" w:rsidP="00931A10">
      <w:pPr>
        <w:pStyle w:val="ARTartustawynprozporzdzenia"/>
      </w:pPr>
      <w:r>
        <w:lastRenderedPageBreak/>
        <w:t>Jeśli zaś chodzi o ochronę producentów rolnych prowadzących gospodarstwa rodzinne, to należy zwrócić uwagę na przepis art. 23 Konstytucji RP, według którego p</w:t>
      </w:r>
      <w:r w:rsidRPr="001E77BE">
        <w:t>odstawą ustroju rolnego państwa jest gospodarstwo rodzinne</w:t>
      </w:r>
      <w:r>
        <w:t xml:space="preserve">. Przepis ten nakłada na organy władzy publicznej </w:t>
      </w:r>
      <w:r w:rsidRPr="001E77BE">
        <w:t>obowiązek wspiera</w:t>
      </w:r>
      <w:r>
        <w:t xml:space="preserve">nia </w:t>
      </w:r>
      <w:r w:rsidRPr="001E77BE">
        <w:t>gospodarstw rodzinn</w:t>
      </w:r>
      <w:r>
        <w:t>ych</w:t>
      </w:r>
      <w:r w:rsidRPr="001E77BE">
        <w:t xml:space="preserve"> w dziedzinie gospodarczej, społecznej i finansowej</w:t>
      </w:r>
      <w:r>
        <w:t xml:space="preserve"> oraz</w:t>
      </w:r>
      <w:r w:rsidRPr="001E77BE">
        <w:t xml:space="preserve"> wprowadzania </w:t>
      </w:r>
      <w:r>
        <w:t>regulacji</w:t>
      </w:r>
      <w:r w:rsidRPr="001E77BE">
        <w:t xml:space="preserve"> prawnych chroniących interesy właścicieli t</w:t>
      </w:r>
      <w:r>
        <w:t>y</w:t>
      </w:r>
      <w:r w:rsidRPr="001E77BE">
        <w:t>ch gospodarstw.</w:t>
      </w:r>
      <w:r>
        <w:t xml:space="preserve"> Według przepisu art. 5 ust. 1 ustawy z dnia 11 kwietnia 2003</w:t>
      </w:r>
      <w:r w:rsidRPr="00AB4B03">
        <w:t xml:space="preserve"> r.</w:t>
      </w:r>
      <w:r>
        <w:t xml:space="preserve"> </w:t>
      </w:r>
      <w:r w:rsidRPr="00AB4B03">
        <w:t>o kształtowaniu ustroju rolnego</w:t>
      </w:r>
      <w:r>
        <w:t xml:space="preserve"> (Dz. U. z 2012 r. poz. 803), z</w:t>
      </w:r>
      <w:r w:rsidRPr="00AB4B03">
        <w:t>a gospodarstwo rodzinne uważa się gospodarstwo rolne</w:t>
      </w:r>
      <w:r>
        <w:t xml:space="preserve"> </w:t>
      </w:r>
      <w:r w:rsidRPr="00AB4B03">
        <w:t>prowadzone przez rolnika indywidualnego</w:t>
      </w:r>
      <w:r>
        <w:t xml:space="preserve">, </w:t>
      </w:r>
      <w:r w:rsidRPr="00AB4B03">
        <w:t>w którym łączna powierzchnia użytków rolnych jest nie większa niż 300 ha.</w:t>
      </w:r>
      <w:r>
        <w:t xml:space="preserve"> Prowadzenie takiego gospodarstwa nie stanowi działalności gospodarczej.  </w:t>
      </w:r>
    </w:p>
    <w:p w:rsidR="00931A10" w:rsidRPr="00F669F3" w:rsidRDefault="00931A10" w:rsidP="00931A10">
      <w:pPr>
        <w:pStyle w:val="NIEARTTEKSTtekstnieartykuowanynppodstprawnarozplubpreambua"/>
      </w:pPr>
      <w:r w:rsidRPr="00F669F3">
        <w:t xml:space="preserve">W celu zapobieżenia </w:t>
      </w:r>
      <w:r>
        <w:t>powstaniu wątpliwości dotyczących</w:t>
      </w:r>
      <w:r w:rsidRPr="00F669F3">
        <w:t xml:space="preserve"> stosowania proponowanego przepisu w postępowaniach wszczętych przed wejściem w życie ustawy, jest </w:t>
      </w:r>
      <w:r w:rsidR="008929CD" w:rsidRPr="00F669F3">
        <w:t xml:space="preserve">konieczne </w:t>
      </w:r>
      <w:r w:rsidRPr="00F669F3">
        <w:t xml:space="preserve">wprowadzenie przepisu przejściowego. Przepis art. 2 </w:t>
      </w:r>
      <w:r>
        <w:t>statuuje zatem regułę, według której w </w:t>
      </w:r>
      <w:r w:rsidRPr="00F669F3">
        <w:t xml:space="preserve">postępowaniach wszczętych przed wejściem w życie niniejszej ustawy stosuje się dotychczasowe przepisy dotyczące wysokości opłaty stosunkowej. Przewidziana tu reguła </w:t>
      </w:r>
      <w:r w:rsidRPr="007E7958">
        <w:t>„</w:t>
      </w:r>
      <w:r w:rsidRPr="00F669F3">
        <w:t>stadiów procesowych</w:t>
      </w:r>
      <w:r w:rsidRPr="007E7958">
        <w:t>”</w:t>
      </w:r>
      <w:r w:rsidRPr="00F669F3">
        <w:t xml:space="preserve"> nawiązuje do przepisu przejściowego</w:t>
      </w:r>
      <w:r>
        <w:t xml:space="preserve"> zamieszczonego w art. 149 ust. </w:t>
      </w:r>
      <w:r w:rsidRPr="00F669F3">
        <w:t xml:space="preserve">1 </w:t>
      </w:r>
      <w:proofErr w:type="spellStart"/>
      <w:r w:rsidRPr="00F669F3">
        <w:t>u.k.s.c</w:t>
      </w:r>
      <w:proofErr w:type="spellEnd"/>
      <w:r w:rsidRPr="00F669F3">
        <w:t xml:space="preserve">. </w:t>
      </w:r>
    </w:p>
    <w:p w:rsidR="00931A10" w:rsidRPr="00F669F3" w:rsidRDefault="00931A10" w:rsidP="00931A10">
      <w:pPr>
        <w:pStyle w:val="NIEARTTEKSTtekstnieartykuowanynppodstprawnarozplubpreambua"/>
      </w:pPr>
      <w:r w:rsidRPr="00F669F3">
        <w:t>Projekt ustawy nie przewiduje wydania aktów wykonawczych.</w:t>
      </w:r>
    </w:p>
    <w:p w:rsidR="00931A10" w:rsidRDefault="00931A10" w:rsidP="00931A10">
      <w:pPr>
        <w:pStyle w:val="NIEARTTEKSTtekstnieartykuowanynppodstprawnarozplubpreambua"/>
      </w:pPr>
      <w:r w:rsidRPr="00F669F3">
        <w:t xml:space="preserve">Projekt ustawy nie wykonuje prawa Unii Europejskiej, jak również problematyka w nim ujęta nie podlega regulacji na poziomie prawa unijnego. </w:t>
      </w:r>
    </w:p>
    <w:p w:rsidR="005B17CF" w:rsidRDefault="00931A10" w:rsidP="00931A10">
      <w:pPr>
        <w:pStyle w:val="ARTartustawynprozporzdzenia"/>
      </w:pPr>
      <w:r>
        <w:t>Projekt ustawy nie</w:t>
      </w:r>
      <w:r w:rsidRPr="00B267F7">
        <w:t xml:space="preserve"> podlega notyfikacji z</w:t>
      </w:r>
      <w:r>
        <w:t>godnie z trybem przewidzianym w </w:t>
      </w:r>
      <w:r w:rsidRPr="00B267F7">
        <w:t>rozporządzeniu Rady Ministrów z dnia 23 grudnia 2002 r. w sprawie sposobu funkcjonowania krajowego systemu notyfikacji norm i aktó</w:t>
      </w:r>
      <w:r>
        <w:t>w prawnych (Dz. U. Nr 239, poz. </w:t>
      </w:r>
      <w:r w:rsidRPr="00B267F7">
        <w:t xml:space="preserve">2039 </w:t>
      </w:r>
      <w:r>
        <w:t>oraz z 2004 r. Nr 65, poz. 597).</w:t>
      </w:r>
    </w:p>
    <w:p w:rsidR="00931A10" w:rsidRDefault="00931A10" w:rsidP="00931A10">
      <w:pPr>
        <w:pStyle w:val="ARTartustawynprozporzdzenia"/>
        <w:ind w:firstLine="0"/>
        <w:sectPr w:rsidR="00931A10" w:rsidSect="00B14587">
          <w:footerReference w:type="default" r:id="rId8"/>
          <w:footnotePr>
            <w:numRestart w:val="eachSect"/>
          </w:footnotePr>
          <w:pgSz w:w="11906" w:h="16838"/>
          <w:pgMar w:top="1560" w:right="1434" w:bottom="1560" w:left="1418" w:header="709" w:footer="709" w:gutter="0"/>
          <w:cols w:space="708"/>
          <w:titlePg/>
          <w:docGrid w:linePitch="254"/>
        </w:sectPr>
      </w:pPr>
    </w:p>
    <w:tbl>
      <w:tblPr>
        <w:tblW w:w="1094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96"/>
        <w:gridCol w:w="647"/>
        <w:gridCol w:w="425"/>
        <w:gridCol w:w="465"/>
        <w:gridCol w:w="414"/>
        <w:gridCol w:w="155"/>
        <w:gridCol w:w="187"/>
        <w:gridCol w:w="383"/>
        <w:gridCol w:w="554"/>
        <w:gridCol w:w="16"/>
        <w:gridCol w:w="118"/>
        <w:gridCol w:w="151"/>
        <w:gridCol w:w="300"/>
        <w:gridCol w:w="353"/>
        <w:gridCol w:w="217"/>
        <w:gridCol w:w="570"/>
        <w:gridCol w:w="80"/>
        <w:gridCol w:w="71"/>
        <w:gridCol w:w="419"/>
        <w:gridCol w:w="113"/>
        <w:gridCol w:w="405"/>
        <w:gridCol w:w="51"/>
        <w:gridCol w:w="266"/>
        <w:gridCol w:w="304"/>
        <w:gridCol w:w="317"/>
        <w:gridCol w:w="253"/>
        <w:gridCol w:w="526"/>
        <w:gridCol w:w="44"/>
        <w:gridCol w:w="1537"/>
        <w:gridCol w:w="10"/>
      </w:tblGrid>
      <w:tr w:rsidR="00981F2D" w:rsidRPr="00981F2D" w:rsidTr="00B14587">
        <w:trPr>
          <w:gridAfter w:val="1"/>
          <w:wAfter w:w="10" w:type="dxa"/>
          <w:trHeight w:val="1611"/>
        </w:trPr>
        <w:tc>
          <w:tcPr>
            <w:tcW w:w="6631" w:type="dxa"/>
            <w:gridSpan w:val="17"/>
          </w:tcPr>
          <w:p w:rsidR="00981F2D" w:rsidRPr="00981F2D" w:rsidRDefault="00981F2D" w:rsidP="00981F2D">
            <w:pPr>
              <w:widowControl/>
              <w:autoSpaceDE/>
              <w:autoSpaceDN/>
              <w:adjustRightInd/>
              <w:spacing w:before="120" w:line="240" w:lineRule="auto"/>
              <w:ind w:hanging="45"/>
              <w:rPr>
                <w:rFonts w:eastAsia="Calibri" w:cs="Times New Roman"/>
                <w:color w:val="000000"/>
                <w:sz w:val="22"/>
                <w:szCs w:val="22"/>
                <w:lang w:eastAsia="en-US"/>
              </w:rPr>
            </w:pPr>
            <w:bookmarkStart w:id="1" w:name="t1"/>
            <w:r w:rsidRPr="00981F2D">
              <w:rPr>
                <w:rFonts w:eastAsia="Calibri" w:cs="Times New Roman"/>
                <w:b/>
                <w:color w:val="000000"/>
                <w:sz w:val="22"/>
                <w:szCs w:val="22"/>
                <w:lang w:eastAsia="en-US"/>
              </w:rPr>
              <w:lastRenderedPageBreak/>
              <w:t>Nazwa projektu</w:t>
            </w:r>
          </w:p>
          <w:p w:rsidR="00981F2D" w:rsidRPr="00981F2D" w:rsidRDefault="00981F2D" w:rsidP="00981F2D">
            <w:pPr>
              <w:widowControl/>
              <w:autoSpaceDE/>
              <w:autoSpaceDN/>
              <w:adjustRightInd/>
              <w:spacing w:line="240" w:lineRule="auto"/>
              <w:ind w:hanging="34"/>
              <w:rPr>
                <w:rFonts w:eastAsia="Calibri" w:cs="Times New Roman"/>
                <w:color w:val="000000"/>
                <w:sz w:val="22"/>
                <w:szCs w:val="22"/>
                <w:lang w:eastAsia="en-US"/>
              </w:rPr>
            </w:pPr>
            <w:bookmarkStart w:id="2" w:name="t2"/>
            <w:r w:rsidRPr="00981F2D">
              <w:rPr>
                <w:rFonts w:eastAsia="Calibri" w:cs="Times New Roman"/>
                <w:color w:val="000000"/>
                <w:sz w:val="22"/>
                <w:szCs w:val="22"/>
                <w:lang w:eastAsia="en-US"/>
              </w:rPr>
              <w:t xml:space="preserve">Projekt ustawy o </w:t>
            </w:r>
            <w:r w:rsidR="00B14587">
              <w:rPr>
                <w:rFonts w:eastAsia="Calibri" w:cs="Times New Roman"/>
                <w:color w:val="000000"/>
                <w:sz w:val="22"/>
                <w:szCs w:val="22"/>
                <w:lang w:eastAsia="en-US"/>
              </w:rPr>
              <w:t>z</w:t>
            </w:r>
            <w:r w:rsidRPr="00981F2D">
              <w:rPr>
                <w:rFonts w:eastAsia="Calibri" w:cs="Times New Roman"/>
                <w:color w:val="000000"/>
                <w:sz w:val="22"/>
                <w:szCs w:val="22"/>
                <w:lang w:eastAsia="en-US"/>
              </w:rPr>
              <w:t xml:space="preserve">mianie ustawy o kosztach sądowych w sprawach cywilnych </w:t>
            </w:r>
            <w:bookmarkEnd w:id="2"/>
          </w:p>
          <w:p w:rsidR="00981F2D" w:rsidRPr="00981F2D" w:rsidRDefault="00981F2D" w:rsidP="00981F2D">
            <w:pPr>
              <w:widowControl/>
              <w:autoSpaceDE/>
              <w:autoSpaceDN/>
              <w:adjustRightInd/>
              <w:spacing w:before="120" w:line="240" w:lineRule="auto"/>
              <w:ind w:hanging="45"/>
              <w:rPr>
                <w:rFonts w:eastAsia="Calibri" w:cs="Times New Roman"/>
                <w:b/>
                <w:color w:val="000000"/>
                <w:sz w:val="22"/>
                <w:szCs w:val="22"/>
                <w:lang w:eastAsia="en-US"/>
              </w:rPr>
            </w:pPr>
            <w:r w:rsidRPr="00981F2D">
              <w:rPr>
                <w:rFonts w:eastAsia="Calibri" w:cs="Times New Roman"/>
                <w:b/>
                <w:color w:val="000000"/>
                <w:sz w:val="22"/>
                <w:szCs w:val="22"/>
                <w:lang w:eastAsia="en-US"/>
              </w:rPr>
              <w:t>Ministerstwo wiodące i ministerstwa współpracujące</w:t>
            </w:r>
          </w:p>
          <w:bookmarkEnd w:id="1"/>
          <w:p w:rsidR="00981F2D" w:rsidRPr="00981F2D" w:rsidRDefault="00981F2D" w:rsidP="00981F2D">
            <w:pPr>
              <w:widowControl/>
              <w:autoSpaceDE/>
              <w:autoSpaceDN/>
              <w:adjustRightInd/>
              <w:spacing w:line="240" w:lineRule="auto"/>
              <w:ind w:hanging="34"/>
              <w:rPr>
                <w:rFonts w:eastAsia="Calibri" w:cs="Times New Roman"/>
                <w:color w:val="000000"/>
                <w:sz w:val="22"/>
                <w:szCs w:val="22"/>
                <w:lang w:eastAsia="en-US"/>
              </w:rPr>
            </w:pPr>
            <w:r w:rsidRPr="00981F2D">
              <w:rPr>
                <w:rFonts w:eastAsia="Calibri" w:cs="Times New Roman"/>
                <w:color w:val="000000"/>
                <w:sz w:val="22"/>
                <w:szCs w:val="22"/>
                <w:lang w:eastAsia="en-US"/>
              </w:rPr>
              <w:t>Ministerstwo Sprawiedliwości</w:t>
            </w:r>
          </w:p>
          <w:p w:rsidR="00981F2D" w:rsidRPr="00981F2D" w:rsidRDefault="00981F2D" w:rsidP="00981F2D">
            <w:pPr>
              <w:widowControl/>
              <w:autoSpaceDE/>
              <w:autoSpaceDN/>
              <w:adjustRightInd/>
              <w:spacing w:before="120" w:line="240" w:lineRule="auto"/>
              <w:rPr>
                <w:rFonts w:eastAsia="Calibri" w:cs="Times New Roman"/>
                <w:b/>
                <w:sz w:val="21"/>
                <w:szCs w:val="21"/>
                <w:lang w:eastAsia="en-US"/>
              </w:rPr>
            </w:pPr>
            <w:r w:rsidRPr="00981F2D">
              <w:rPr>
                <w:rFonts w:eastAsia="Calibri" w:cs="Times New Roman"/>
                <w:b/>
                <w:sz w:val="21"/>
                <w:szCs w:val="24"/>
                <w:lang w:eastAsia="en-US"/>
              </w:rPr>
              <w:t>Osoba odpowiedzialna za projekt w randze Ministra, Sekretarza Stanu lub Podsekretarza Stanu</w:t>
            </w:r>
            <w:r w:rsidRPr="00981F2D">
              <w:rPr>
                <w:rFonts w:eastAsia="Calibri" w:cs="Times New Roman"/>
                <w:b/>
                <w:sz w:val="21"/>
                <w:szCs w:val="21"/>
                <w:lang w:eastAsia="en-US"/>
              </w:rPr>
              <w:t xml:space="preserve"> </w:t>
            </w:r>
          </w:p>
          <w:p w:rsidR="00981F2D" w:rsidRPr="00981F2D" w:rsidRDefault="00981F2D" w:rsidP="00981F2D">
            <w:pPr>
              <w:widowControl/>
              <w:autoSpaceDE/>
              <w:autoSpaceDN/>
              <w:adjustRightInd/>
              <w:spacing w:line="240" w:lineRule="auto"/>
              <w:rPr>
                <w:rFonts w:eastAsia="Calibri" w:cs="Times New Roman"/>
                <w:sz w:val="21"/>
                <w:szCs w:val="21"/>
                <w:lang w:eastAsia="en-US"/>
              </w:rPr>
            </w:pPr>
            <w:r w:rsidRPr="00981F2D">
              <w:rPr>
                <w:rFonts w:eastAsia="Calibri" w:cs="Times New Roman"/>
                <w:sz w:val="21"/>
                <w:szCs w:val="21"/>
                <w:lang w:eastAsia="en-US"/>
              </w:rPr>
              <w:t>Marcin Warchoł, Podsekretarz Stanu w Ministerstwie Sprawiedliwości</w:t>
            </w:r>
          </w:p>
          <w:p w:rsidR="00981F2D" w:rsidRPr="00981F2D" w:rsidRDefault="00981F2D" w:rsidP="00981F2D">
            <w:pPr>
              <w:widowControl/>
              <w:autoSpaceDE/>
              <w:autoSpaceDN/>
              <w:adjustRightInd/>
              <w:spacing w:before="120" w:line="240" w:lineRule="auto"/>
              <w:ind w:hanging="45"/>
              <w:rPr>
                <w:rFonts w:eastAsia="Calibri" w:cs="Times New Roman"/>
                <w:b/>
                <w:color w:val="000000"/>
                <w:sz w:val="22"/>
                <w:szCs w:val="22"/>
                <w:lang w:eastAsia="en-US"/>
              </w:rPr>
            </w:pPr>
            <w:r w:rsidRPr="00981F2D">
              <w:rPr>
                <w:rFonts w:eastAsia="Calibri" w:cs="Times New Roman"/>
                <w:b/>
                <w:color w:val="000000"/>
                <w:sz w:val="22"/>
                <w:szCs w:val="22"/>
                <w:lang w:eastAsia="en-US"/>
              </w:rPr>
              <w:t>Kontakt do opiekuna merytorycznego projektu</w:t>
            </w:r>
          </w:p>
          <w:p w:rsidR="00981F2D" w:rsidRPr="00981F2D" w:rsidRDefault="00981F2D" w:rsidP="00981F2D">
            <w:pPr>
              <w:widowControl/>
              <w:autoSpaceDE/>
              <w:autoSpaceDN/>
              <w:adjustRightInd/>
              <w:spacing w:line="240" w:lineRule="auto"/>
              <w:ind w:hanging="34"/>
              <w:rPr>
                <w:rFonts w:eastAsia="Calibri" w:cs="Times New Roman"/>
                <w:color w:val="000000"/>
                <w:sz w:val="22"/>
                <w:szCs w:val="22"/>
                <w:lang w:eastAsia="en-US"/>
              </w:rPr>
            </w:pPr>
            <w:r w:rsidRPr="00981F2D">
              <w:rPr>
                <w:rFonts w:eastAsia="Calibri" w:cs="Times New Roman"/>
                <w:color w:val="000000"/>
                <w:sz w:val="22"/>
                <w:szCs w:val="22"/>
                <w:lang w:eastAsia="en-US"/>
              </w:rPr>
              <w:t xml:space="preserve">Marcin </w:t>
            </w:r>
            <w:proofErr w:type="spellStart"/>
            <w:r w:rsidRPr="00981F2D">
              <w:rPr>
                <w:rFonts w:eastAsia="Calibri" w:cs="Times New Roman"/>
                <w:color w:val="000000"/>
                <w:sz w:val="22"/>
                <w:szCs w:val="22"/>
                <w:lang w:eastAsia="en-US"/>
              </w:rPr>
              <w:t>Uliasz</w:t>
            </w:r>
            <w:proofErr w:type="spellEnd"/>
            <w:r w:rsidRPr="00981F2D">
              <w:rPr>
                <w:rFonts w:eastAsia="Calibri" w:cs="Times New Roman"/>
                <w:color w:val="000000"/>
                <w:sz w:val="22"/>
                <w:szCs w:val="22"/>
                <w:lang w:eastAsia="en-US"/>
              </w:rPr>
              <w:t xml:space="preserve"> </w:t>
            </w:r>
            <w:r w:rsidR="00B14587">
              <w:rPr>
                <w:rFonts w:eastAsia="Calibri" w:cs="Times New Roman"/>
                <w:color w:val="000000"/>
                <w:sz w:val="22"/>
                <w:szCs w:val="22"/>
                <w:lang w:eastAsia="en-US"/>
              </w:rPr>
              <w:t>–</w:t>
            </w:r>
            <w:r w:rsidRPr="00981F2D">
              <w:rPr>
                <w:rFonts w:eastAsia="Calibri" w:cs="Times New Roman"/>
                <w:color w:val="000000"/>
                <w:sz w:val="22"/>
                <w:szCs w:val="22"/>
                <w:lang w:eastAsia="en-US"/>
              </w:rPr>
              <w:t xml:space="preserve"> główny specjalista w Departamencie Legislacyjnym Ministerstwo Sprawiedliwości</w:t>
            </w:r>
          </w:p>
          <w:p w:rsidR="00981F2D" w:rsidRPr="00981F2D" w:rsidRDefault="00981F2D" w:rsidP="00981F2D">
            <w:pPr>
              <w:widowControl/>
              <w:autoSpaceDE/>
              <w:autoSpaceDN/>
              <w:adjustRightInd/>
              <w:spacing w:line="240" w:lineRule="auto"/>
              <w:ind w:hanging="34"/>
              <w:rPr>
                <w:rFonts w:eastAsia="Calibri" w:cs="Times New Roman"/>
                <w:color w:val="000000"/>
                <w:sz w:val="22"/>
                <w:szCs w:val="22"/>
                <w:lang w:eastAsia="en-US"/>
              </w:rPr>
            </w:pPr>
            <w:r w:rsidRPr="00981F2D">
              <w:rPr>
                <w:rFonts w:eastAsia="Calibri" w:cs="Times New Roman"/>
                <w:color w:val="000000"/>
                <w:sz w:val="22"/>
                <w:szCs w:val="22"/>
                <w:lang w:eastAsia="en-US"/>
              </w:rPr>
              <w:t>Tel. 22- 52-12-293</w:t>
            </w:r>
          </w:p>
        </w:tc>
        <w:tc>
          <w:tcPr>
            <w:tcW w:w="4306" w:type="dxa"/>
            <w:gridSpan w:val="12"/>
            <w:shd w:val="clear" w:color="auto" w:fill="FFFFFF"/>
          </w:tcPr>
          <w:p w:rsidR="00981F2D" w:rsidRPr="00981F2D" w:rsidRDefault="00981F2D" w:rsidP="00981F2D">
            <w:pPr>
              <w:widowControl/>
              <w:autoSpaceDE/>
              <w:autoSpaceDN/>
              <w:adjustRightInd/>
              <w:spacing w:line="240" w:lineRule="auto"/>
              <w:rPr>
                <w:rFonts w:eastAsia="Calibri" w:cs="Times New Roman"/>
                <w:b/>
                <w:sz w:val="21"/>
                <w:szCs w:val="21"/>
                <w:lang w:eastAsia="en-US"/>
              </w:rPr>
            </w:pPr>
            <w:r w:rsidRPr="00981F2D">
              <w:rPr>
                <w:rFonts w:eastAsia="Calibri" w:cs="Times New Roman"/>
                <w:b/>
                <w:sz w:val="21"/>
                <w:szCs w:val="21"/>
                <w:lang w:eastAsia="en-US"/>
              </w:rPr>
              <w:t>Data sporządzenia</w:t>
            </w:r>
            <w:r w:rsidRPr="00981F2D">
              <w:rPr>
                <w:rFonts w:eastAsia="Calibri" w:cs="Times New Roman"/>
                <w:b/>
                <w:sz w:val="21"/>
                <w:szCs w:val="21"/>
                <w:lang w:eastAsia="en-US"/>
              </w:rPr>
              <w:br/>
            </w:r>
            <w:r w:rsidRPr="00981F2D">
              <w:rPr>
                <w:rFonts w:eastAsia="Calibri" w:cs="Times New Roman"/>
                <w:sz w:val="21"/>
                <w:szCs w:val="21"/>
                <w:lang w:eastAsia="en-US"/>
              </w:rPr>
              <w:t>15.01.2016</w:t>
            </w:r>
          </w:p>
          <w:p w:rsidR="00981F2D" w:rsidRPr="00981F2D" w:rsidRDefault="00981F2D" w:rsidP="00981F2D">
            <w:pPr>
              <w:widowControl/>
              <w:autoSpaceDE/>
              <w:autoSpaceDN/>
              <w:adjustRightInd/>
              <w:spacing w:line="240" w:lineRule="auto"/>
              <w:rPr>
                <w:rFonts w:eastAsia="Calibri" w:cs="Times New Roman"/>
                <w:b/>
                <w:sz w:val="22"/>
                <w:szCs w:val="22"/>
                <w:lang w:eastAsia="en-US"/>
              </w:rPr>
            </w:pPr>
          </w:p>
          <w:p w:rsidR="00981F2D" w:rsidRPr="00981F2D" w:rsidRDefault="00981F2D" w:rsidP="00981F2D">
            <w:pPr>
              <w:widowControl/>
              <w:autoSpaceDE/>
              <w:autoSpaceDN/>
              <w:adjustRightInd/>
              <w:spacing w:line="240" w:lineRule="auto"/>
              <w:rPr>
                <w:rFonts w:eastAsia="Calibri" w:cs="Times New Roman"/>
                <w:b/>
                <w:sz w:val="22"/>
                <w:szCs w:val="22"/>
                <w:lang w:eastAsia="en-US"/>
              </w:rPr>
            </w:pPr>
            <w:bookmarkStart w:id="3" w:name="Lista1"/>
            <w:r w:rsidRPr="00981F2D">
              <w:rPr>
                <w:rFonts w:eastAsia="Calibri" w:cs="Times New Roman"/>
                <w:b/>
                <w:sz w:val="22"/>
                <w:szCs w:val="22"/>
                <w:lang w:eastAsia="en-US"/>
              </w:rPr>
              <w:t>Źródło</w:t>
            </w:r>
          </w:p>
          <w:bookmarkEnd w:id="3"/>
          <w:p w:rsidR="00981F2D" w:rsidRPr="00981F2D" w:rsidRDefault="00981F2D" w:rsidP="00981F2D">
            <w:pPr>
              <w:widowControl/>
              <w:autoSpaceDE/>
              <w:autoSpaceDN/>
              <w:adjustRightInd/>
              <w:spacing w:line="240" w:lineRule="auto"/>
              <w:rPr>
                <w:rFonts w:eastAsia="Calibri" w:cs="Times New Roman"/>
                <w:sz w:val="22"/>
                <w:szCs w:val="22"/>
                <w:lang w:eastAsia="en-US"/>
              </w:rPr>
            </w:pPr>
          </w:p>
          <w:p w:rsidR="00981F2D" w:rsidRPr="00981F2D" w:rsidRDefault="00981F2D" w:rsidP="00981F2D">
            <w:pPr>
              <w:widowControl/>
              <w:autoSpaceDE/>
              <w:autoSpaceDN/>
              <w:adjustRightInd/>
              <w:spacing w:line="240" w:lineRule="auto"/>
              <w:rPr>
                <w:rFonts w:eastAsia="Calibri" w:cs="Times New Roman"/>
                <w:sz w:val="22"/>
                <w:szCs w:val="22"/>
                <w:lang w:eastAsia="en-US"/>
              </w:rPr>
            </w:pPr>
          </w:p>
          <w:p w:rsidR="00981F2D" w:rsidRPr="00981F2D" w:rsidRDefault="00981F2D" w:rsidP="00981F2D">
            <w:pPr>
              <w:widowControl/>
              <w:autoSpaceDE/>
              <w:autoSpaceDN/>
              <w:adjustRightInd/>
              <w:spacing w:before="120" w:line="240" w:lineRule="auto"/>
              <w:rPr>
                <w:rFonts w:eastAsia="Calibri" w:cs="Times New Roman"/>
                <w:b/>
                <w:color w:val="000000"/>
                <w:sz w:val="22"/>
                <w:szCs w:val="22"/>
                <w:lang w:eastAsia="en-US"/>
              </w:rPr>
            </w:pPr>
            <w:r w:rsidRPr="00981F2D">
              <w:rPr>
                <w:rFonts w:eastAsia="Calibri" w:cs="Times New Roman"/>
                <w:b/>
                <w:color w:val="000000"/>
                <w:sz w:val="22"/>
                <w:szCs w:val="22"/>
                <w:lang w:eastAsia="en-US"/>
              </w:rPr>
              <w:t>Nr w wykazie prac ………………….</w:t>
            </w:r>
          </w:p>
          <w:p w:rsidR="00981F2D" w:rsidRPr="00981F2D" w:rsidRDefault="00981F2D" w:rsidP="00981F2D">
            <w:pPr>
              <w:widowControl/>
              <w:autoSpaceDE/>
              <w:autoSpaceDN/>
              <w:adjustRightInd/>
              <w:spacing w:line="240" w:lineRule="auto"/>
              <w:rPr>
                <w:rFonts w:eastAsia="Calibri" w:cs="Times New Roman"/>
                <w:color w:val="000000"/>
                <w:sz w:val="22"/>
                <w:szCs w:val="22"/>
                <w:lang w:eastAsia="en-US"/>
              </w:rPr>
            </w:pPr>
            <w:r w:rsidRPr="00981F2D">
              <w:rPr>
                <w:rFonts w:eastAsia="Calibri" w:cs="Times New Roman"/>
                <w:color w:val="000000"/>
                <w:sz w:val="22"/>
                <w:szCs w:val="22"/>
                <w:lang w:eastAsia="en-US"/>
              </w:rPr>
              <w:fldChar w:fldCharType="begin">
                <w:ffData>
                  <w:name w:val="t5"/>
                  <w:enabled/>
                  <w:calcOnExit w:val="0"/>
                  <w:helpText w:type="text" w:val="W przypadku wyboru Upoważnienie ustawowe, Strategia lub Inne wpisz dokładnie źródła tj. jaka ustawa, tytuł strategii i jaki inny dokument"/>
                  <w:statusText w:type="text" w:val="W przypadku wyboru Upoważnienie ustawowe, Strategia lub Inne wpisz dokładnie źródła tj. jaka ustawa, tytuł strategii i jaki inny dokument"/>
                  <w:textInput/>
                </w:ffData>
              </w:fldChar>
            </w:r>
            <w:r w:rsidRPr="00981F2D">
              <w:rPr>
                <w:rFonts w:eastAsia="Calibri" w:cs="Times New Roman"/>
                <w:color w:val="000000"/>
                <w:sz w:val="22"/>
                <w:szCs w:val="22"/>
                <w:lang w:eastAsia="en-US"/>
              </w:rPr>
              <w:instrText xml:space="preserve"> FORMTEXT </w:instrText>
            </w:r>
            <w:r w:rsidRPr="00981F2D">
              <w:rPr>
                <w:rFonts w:eastAsia="Calibri" w:cs="Times New Roman"/>
                <w:color w:val="000000"/>
                <w:sz w:val="22"/>
                <w:szCs w:val="22"/>
                <w:lang w:eastAsia="en-US"/>
              </w:rPr>
            </w:r>
            <w:r w:rsidRPr="00981F2D">
              <w:rPr>
                <w:rFonts w:eastAsia="Calibri" w:cs="Times New Roman"/>
                <w:color w:val="000000"/>
                <w:sz w:val="22"/>
                <w:szCs w:val="22"/>
                <w:lang w:eastAsia="en-US"/>
              </w:rPr>
              <w:fldChar w:fldCharType="separate"/>
            </w:r>
            <w:r w:rsidRPr="00981F2D">
              <w:rPr>
                <w:rFonts w:eastAsia="Calibri" w:hAnsi="Calibri" w:cs="Times New Roman"/>
                <w:noProof/>
                <w:color w:val="000000"/>
                <w:sz w:val="22"/>
                <w:szCs w:val="22"/>
                <w:lang w:eastAsia="en-US"/>
              </w:rPr>
              <w:t> </w:t>
            </w:r>
            <w:r w:rsidRPr="00981F2D">
              <w:rPr>
                <w:rFonts w:eastAsia="Calibri" w:hAnsi="Calibri" w:cs="Times New Roman"/>
                <w:noProof/>
                <w:color w:val="000000"/>
                <w:sz w:val="22"/>
                <w:szCs w:val="22"/>
                <w:lang w:eastAsia="en-US"/>
              </w:rPr>
              <w:t> </w:t>
            </w:r>
            <w:r w:rsidRPr="00981F2D">
              <w:rPr>
                <w:rFonts w:eastAsia="Calibri" w:hAnsi="Calibri" w:cs="Times New Roman"/>
                <w:noProof/>
                <w:color w:val="000000"/>
                <w:sz w:val="22"/>
                <w:szCs w:val="22"/>
                <w:lang w:eastAsia="en-US"/>
              </w:rPr>
              <w:t> </w:t>
            </w:r>
            <w:r w:rsidRPr="00981F2D">
              <w:rPr>
                <w:rFonts w:eastAsia="Calibri" w:hAnsi="Calibri" w:cs="Times New Roman"/>
                <w:noProof/>
                <w:color w:val="000000"/>
                <w:sz w:val="22"/>
                <w:szCs w:val="22"/>
                <w:lang w:eastAsia="en-US"/>
              </w:rPr>
              <w:t> </w:t>
            </w:r>
            <w:r w:rsidRPr="00981F2D">
              <w:rPr>
                <w:rFonts w:eastAsia="Calibri" w:hAnsi="Calibri" w:cs="Times New Roman"/>
                <w:noProof/>
                <w:color w:val="000000"/>
                <w:sz w:val="22"/>
                <w:szCs w:val="22"/>
                <w:lang w:eastAsia="en-US"/>
              </w:rPr>
              <w:t> </w:t>
            </w:r>
            <w:r w:rsidRPr="00981F2D">
              <w:rPr>
                <w:rFonts w:eastAsia="Calibri" w:cs="Times New Roman"/>
                <w:color w:val="000000"/>
                <w:sz w:val="22"/>
                <w:szCs w:val="22"/>
                <w:lang w:eastAsia="en-US"/>
              </w:rPr>
              <w:fldChar w:fldCharType="end"/>
            </w:r>
          </w:p>
          <w:p w:rsidR="00981F2D" w:rsidRPr="00981F2D" w:rsidRDefault="00981F2D" w:rsidP="00981F2D">
            <w:pPr>
              <w:widowControl/>
              <w:autoSpaceDE/>
              <w:autoSpaceDN/>
              <w:adjustRightInd/>
              <w:spacing w:line="240" w:lineRule="auto"/>
              <w:rPr>
                <w:rFonts w:eastAsia="Calibri" w:cs="Times New Roman"/>
                <w:color w:val="000000"/>
                <w:sz w:val="28"/>
                <w:szCs w:val="28"/>
                <w:lang w:eastAsia="en-US"/>
              </w:rPr>
            </w:pPr>
          </w:p>
        </w:tc>
      </w:tr>
      <w:tr w:rsidR="00981F2D" w:rsidRPr="00981F2D" w:rsidTr="00B14587">
        <w:trPr>
          <w:gridAfter w:val="1"/>
          <w:wAfter w:w="10" w:type="dxa"/>
          <w:trHeight w:val="142"/>
        </w:trPr>
        <w:tc>
          <w:tcPr>
            <w:tcW w:w="10937" w:type="dxa"/>
            <w:gridSpan w:val="29"/>
            <w:shd w:val="clear" w:color="auto" w:fill="99CCFF"/>
          </w:tcPr>
          <w:p w:rsidR="00981F2D" w:rsidRPr="00981F2D" w:rsidRDefault="00981F2D" w:rsidP="00981F2D">
            <w:pPr>
              <w:widowControl/>
              <w:autoSpaceDE/>
              <w:autoSpaceDN/>
              <w:adjustRightInd/>
              <w:spacing w:line="240" w:lineRule="auto"/>
              <w:ind w:left="57"/>
              <w:jc w:val="center"/>
              <w:rPr>
                <w:rFonts w:eastAsia="Calibri" w:cs="Times New Roman"/>
                <w:b/>
                <w:color w:val="FFFFFF"/>
                <w:sz w:val="32"/>
                <w:szCs w:val="32"/>
                <w:lang w:eastAsia="en-US"/>
              </w:rPr>
            </w:pPr>
            <w:r w:rsidRPr="00981F2D">
              <w:rPr>
                <w:rFonts w:eastAsia="Calibri" w:cs="Times New Roman"/>
                <w:b/>
                <w:color w:val="FFFFFF"/>
                <w:sz w:val="32"/>
                <w:szCs w:val="32"/>
                <w:lang w:eastAsia="en-US"/>
              </w:rPr>
              <w:t>OCENA SKUTKÓW REGULACJI</w:t>
            </w:r>
          </w:p>
        </w:tc>
      </w:tr>
      <w:tr w:rsidR="00981F2D" w:rsidRPr="00981F2D" w:rsidTr="00B14587">
        <w:trPr>
          <w:gridAfter w:val="1"/>
          <w:wAfter w:w="10" w:type="dxa"/>
          <w:trHeight w:val="333"/>
        </w:trPr>
        <w:tc>
          <w:tcPr>
            <w:tcW w:w="10937" w:type="dxa"/>
            <w:gridSpan w:val="29"/>
            <w:shd w:val="clear" w:color="auto" w:fill="99CCFF"/>
            <w:vAlign w:val="center"/>
          </w:tcPr>
          <w:p w:rsidR="00981F2D" w:rsidRPr="00981F2D" w:rsidRDefault="00981F2D" w:rsidP="00981F2D">
            <w:pPr>
              <w:widowControl/>
              <w:numPr>
                <w:ilvl w:val="0"/>
                <w:numId w:val="1"/>
              </w:numPr>
              <w:autoSpaceDE/>
              <w:autoSpaceDN/>
              <w:adjustRightInd/>
              <w:spacing w:before="60" w:after="60" w:line="240" w:lineRule="auto"/>
              <w:ind w:left="318" w:hanging="284"/>
              <w:jc w:val="both"/>
              <w:rPr>
                <w:rFonts w:eastAsia="Calibri" w:cs="Times New Roman"/>
                <w:b/>
                <w:color w:val="000000"/>
                <w:sz w:val="22"/>
                <w:szCs w:val="22"/>
                <w:lang w:eastAsia="en-US"/>
              </w:rPr>
            </w:pPr>
            <w:r w:rsidRPr="00981F2D">
              <w:rPr>
                <w:rFonts w:eastAsia="Calibri" w:cs="Times New Roman"/>
                <w:b/>
                <w:sz w:val="22"/>
                <w:szCs w:val="22"/>
                <w:lang w:eastAsia="en-US"/>
              </w:rPr>
              <w:t>Jaki problem jest rozwiązywany?</w:t>
            </w:r>
            <w:bookmarkStart w:id="4" w:name="Wybór1"/>
            <w:bookmarkEnd w:id="4"/>
          </w:p>
        </w:tc>
      </w:tr>
      <w:tr w:rsidR="00981F2D" w:rsidRPr="00981F2D" w:rsidTr="00B14587">
        <w:trPr>
          <w:gridAfter w:val="1"/>
          <w:wAfter w:w="10" w:type="dxa"/>
          <w:trHeight w:val="142"/>
        </w:trPr>
        <w:tc>
          <w:tcPr>
            <w:tcW w:w="10937" w:type="dxa"/>
            <w:gridSpan w:val="29"/>
            <w:shd w:val="clear" w:color="auto" w:fill="FFFFFF"/>
          </w:tcPr>
          <w:p w:rsidR="00981F2D" w:rsidRPr="00981F2D" w:rsidRDefault="00981F2D" w:rsidP="00981F2D">
            <w:pPr>
              <w:widowControl/>
              <w:autoSpaceDE/>
              <w:autoSpaceDN/>
              <w:adjustRightInd/>
              <w:spacing w:line="240" w:lineRule="auto"/>
              <w:jc w:val="both"/>
              <w:rPr>
                <w:rFonts w:eastAsia="Calibri" w:cs="Times New Roman"/>
                <w:color w:val="000000"/>
                <w:sz w:val="22"/>
                <w:szCs w:val="22"/>
                <w:lang w:eastAsia="en-US"/>
              </w:rPr>
            </w:pPr>
            <w:r w:rsidRPr="00981F2D">
              <w:rPr>
                <w:rFonts w:eastAsia="Calibri" w:cs="Times New Roman"/>
                <w:color w:val="000000"/>
                <w:sz w:val="22"/>
                <w:szCs w:val="22"/>
                <w:lang w:eastAsia="en-US"/>
              </w:rPr>
              <w:t>Ustawa z dn</w:t>
            </w:r>
            <w:r w:rsidR="00B14587">
              <w:rPr>
                <w:rFonts w:eastAsia="Calibri" w:cs="Times New Roman"/>
                <w:color w:val="000000"/>
                <w:sz w:val="22"/>
                <w:szCs w:val="22"/>
                <w:lang w:eastAsia="en-US"/>
              </w:rPr>
              <w:t>ia</w:t>
            </w:r>
            <w:r w:rsidRPr="00981F2D">
              <w:rPr>
                <w:rFonts w:eastAsia="Calibri" w:cs="Times New Roman"/>
                <w:color w:val="000000"/>
                <w:sz w:val="22"/>
                <w:szCs w:val="22"/>
                <w:lang w:eastAsia="en-US"/>
              </w:rPr>
              <w:t xml:space="preserve"> 25 września 2015 r. o zmianie ustawy – Prawo bankowe oraz niektórych innych ustaw (Dz. U. poz. 1854) wprowadziła do ustawy o kosztach sądowych w sprawach cywilnych (Dz. U. z 2014 r. poz. 1025, z późn. zm.) </w:t>
            </w:r>
            <w:r w:rsidR="00B14587">
              <w:rPr>
                <w:rFonts w:eastAsia="Calibri" w:cs="Times New Roman"/>
                <w:color w:val="000000"/>
                <w:sz w:val="22"/>
                <w:szCs w:val="22"/>
                <w:lang w:eastAsia="en-US"/>
              </w:rPr>
              <w:t xml:space="preserve">w </w:t>
            </w:r>
            <w:r w:rsidRPr="00981F2D">
              <w:rPr>
                <w:rFonts w:eastAsia="Calibri" w:cs="Times New Roman"/>
                <w:color w:val="000000"/>
                <w:sz w:val="22"/>
                <w:szCs w:val="22"/>
                <w:lang w:eastAsia="en-US"/>
              </w:rPr>
              <w:t>art. 13 ust</w:t>
            </w:r>
            <w:r w:rsidR="008929CD">
              <w:rPr>
                <w:rFonts w:eastAsia="Calibri" w:cs="Times New Roman"/>
                <w:color w:val="000000"/>
                <w:sz w:val="22"/>
                <w:szCs w:val="22"/>
                <w:lang w:eastAsia="en-US"/>
              </w:rPr>
              <w:t>.</w:t>
            </w:r>
            <w:r w:rsidRPr="00981F2D">
              <w:rPr>
                <w:rFonts w:eastAsia="Calibri" w:cs="Times New Roman"/>
                <w:color w:val="000000"/>
                <w:sz w:val="22"/>
                <w:szCs w:val="22"/>
                <w:lang w:eastAsia="en-US"/>
              </w:rPr>
              <w:t xml:space="preserve"> 1a, zgodnie z którym w sprawach o roszczenia wynikające z czynności bankowych, o</w:t>
            </w:r>
            <w:r w:rsidR="008929CD">
              <w:rPr>
                <w:rFonts w:eastAsia="Calibri" w:cs="Times New Roman"/>
                <w:color w:val="000000"/>
                <w:sz w:val="22"/>
                <w:szCs w:val="22"/>
                <w:lang w:eastAsia="en-US"/>
              </w:rPr>
              <w:t xml:space="preserve"> których mowa w art. 5 ust. 1 i </w:t>
            </w:r>
            <w:r w:rsidRPr="00981F2D">
              <w:rPr>
                <w:rFonts w:eastAsia="Calibri" w:cs="Times New Roman"/>
                <w:color w:val="000000"/>
                <w:sz w:val="22"/>
                <w:szCs w:val="22"/>
                <w:lang w:eastAsia="en-US"/>
              </w:rPr>
              <w:t xml:space="preserve">2 ustawy z dnia 29 sierpnia 1997 r. </w:t>
            </w:r>
            <w:r w:rsidR="00B14587">
              <w:rPr>
                <w:rFonts w:eastAsia="Calibri" w:cs="Times New Roman"/>
                <w:color w:val="000000"/>
                <w:sz w:val="22"/>
                <w:szCs w:val="22"/>
                <w:lang w:eastAsia="en-US"/>
              </w:rPr>
              <w:t>–</w:t>
            </w:r>
            <w:r w:rsidRPr="00981F2D">
              <w:rPr>
                <w:rFonts w:eastAsia="Calibri" w:cs="Times New Roman"/>
                <w:color w:val="000000"/>
                <w:sz w:val="22"/>
                <w:szCs w:val="22"/>
                <w:lang w:eastAsia="en-US"/>
              </w:rPr>
              <w:t xml:space="preserve"> Prawo bankowe (Dz. U. z 2015 r. poz. 128, z późn. zm.), opłata stosunkowa wynosi 5% wartości przedmiotu sporu lub przedmiotu zaskarżenia, jednak nie mniej niż 30 złotych i nie więcej niż 1000</w:t>
            </w:r>
            <w:r w:rsidR="00B14587">
              <w:rPr>
                <w:rFonts w:eastAsia="Calibri" w:cs="Times New Roman"/>
                <w:color w:val="000000"/>
                <w:sz w:val="22"/>
                <w:szCs w:val="22"/>
                <w:lang w:eastAsia="en-US"/>
              </w:rPr>
              <w:t> </w:t>
            </w:r>
            <w:r w:rsidRPr="00981F2D">
              <w:rPr>
                <w:rFonts w:eastAsia="Calibri" w:cs="Times New Roman"/>
                <w:color w:val="000000"/>
                <w:sz w:val="22"/>
                <w:szCs w:val="22"/>
                <w:lang w:eastAsia="en-US"/>
              </w:rPr>
              <w:t>złotych.</w:t>
            </w:r>
          </w:p>
          <w:p w:rsidR="00981F2D" w:rsidRPr="00981F2D" w:rsidRDefault="00981F2D" w:rsidP="00981F2D">
            <w:pPr>
              <w:widowControl/>
              <w:autoSpaceDE/>
              <w:autoSpaceDN/>
              <w:adjustRightInd/>
              <w:spacing w:line="240" w:lineRule="auto"/>
              <w:jc w:val="both"/>
              <w:rPr>
                <w:rFonts w:eastAsia="Calibri" w:cs="Times New Roman"/>
                <w:color w:val="000000"/>
                <w:sz w:val="22"/>
                <w:szCs w:val="22"/>
                <w:lang w:eastAsia="en-US"/>
              </w:rPr>
            </w:pPr>
            <w:r w:rsidRPr="00981F2D">
              <w:rPr>
                <w:rFonts w:eastAsia="Calibri" w:cs="Times New Roman"/>
                <w:color w:val="000000"/>
                <w:sz w:val="22"/>
                <w:szCs w:val="22"/>
                <w:lang w:eastAsia="en-US"/>
              </w:rPr>
              <w:t xml:space="preserve">Jest to przepis szczególny wobec ogólnej zasady zawartej w art. 13 </w:t>
            </w:r>
            <w:r w:rsidR="008929CD">
              <w:rPr>
                <w:rFonts w:eastAsia="Calibri" w:cs="Times New Roman"/>
                <w:color w:val="000000"/>
                <w:sz w:val="22"/>
                <w:szCs w:val="22"/>
                <w:lang w:eastAsia="en-US"/>
              </w:rPr>
              <w:t xml:space="preserve">ust. 1 </w:t>
            </w:r>
            <w:r w:rsidRPr="00981F2D">
              <w:rPr>
                <w:rFonts w:eastAsia="Calibri" w:cs="Times New Roman"/>
                <w:color w:val="000000"/>
                <w:sz w:val="22"/>
                <w:szCs w:val="22"/>
                <w:lang w:eastAsia="en-US"/>
              </w:rPr>
              <w:t>przedmiotowej ustawy, stanowiącym, że</w:t>
            </w:r>
            <w:r w:rsidRPr="00981F2D">
              <w:rPr>
                <w:rFonts w:ascii="Calibri" w:eastAsia="Calibri" w:hAnsi="Calibri" w:cs="Times New Roman"/>
                <w:sz w:val="22"/>
                <w:szCs w:val="22"/>
                <w:lang w:eastAsia="en-US"/>
              </w:rPr>
              <w:t xml:space="preserve"> </w:t>
            </w:r>
            <w:r w:rsidRPr="00981F2D">
              <w:rPr>
                <w:rFonts w:eastAsia="Calibri" w:cs="Times New Roman"/>
                <w:color w:val="000000"/>
                <w:sz w:val="22"/>
                <w:szCs w:val="22"/>
                <w:lang w:eastAsia="en-US"/>
              </w:rPr>
              <w:t>opłatę stosunkową pobiera się w sprawach o prawa majątkowe; wynosi ona 5% wartości przedmiotu sporu lub przedmiotu zaskarżenia, jednak nie mniej niż 30 złotych i nie więcej niż 100</w:t>
            </w:r>
            <w:r w:rsidR="00B14587">
              <w:rPr>
                <w:rFonts w:eastAsia="Calibri" w:cs="Times New Roman"/>
                <w:color w:val="000000"/>
                <w:sz w:val="22"/>
                <w:szCs w:val="22"/>
                <w:lang w:eastAsia="en-US"/>
              </w:rPr>
              <w:t> </w:t>
            </w:r>
            <w:r w:rsidRPr="00981F2D">
              <w:rPr>
                <w:rFonts w:eastAsia="Calibri" w:cs="Times New Roman"/>
                <w:color w:val="000000"/>
                <w:sz w:val="22"/>
                <w:szCs w:val="22"/>
                <w:lang w:eastAsia="en-US"/>
              </w:rPr>
              <w:t>000 złotych.</w:t>
            </w:r>
          </w:p>
          <w:p w:rsidR="00981F2D" w:rsidRPr="00981F2D" w:rsidRDefault="00981F2D" w:rsidP="00981F2D">
            <w:pPr>
              <w:widowControl/>
              <w:autoSpaceDE/>
              <w:autoSpaceDN/>
              <w:adjustRightInd/>
              <w:spacing w:line="240" w:lineRule="auto"/>
              <w:jc w:val="both"/>
              <w:rPr>
                <w:rFonts w:eastAsia="Calibri" w:cs="Times New Roman"/>
                <w:color w:val="000000"/>
                <w:sz w:val="22"/>
                <w:szCs w:val="22"/>
                <w:lang w:eastAsia="en-US"/>
              </w:rPr>
            </w:pPr>
          </w:p>
          <w:p w:rsidR="00981F2D" w:rsidRPr="00981F2D" w:rsidRDefault="00981F2D" w:rsidP="00981F2D">
            <w:pPr>
              <w:widowControl/>
              <w:autoSpaceDE/>
              <w:autoSpaceDN/>
              <w:adjustRightInd/>
              <w:spacing w:line="240" w:lineRule="auto"/>
              <w:jc w:val="both"/>
              <w:rPr>
                <w:rFonts w:eastAsia="Calibri" w:cs="Times New Roman"/>
                <w:color w:val="000000"/>
                <w:sz w:val="22"/>
                <w:szCs w:val="22"/>
                <w:lang w:eastAsia="en-US"/>
              </w:rPr>
            </w:pPr>
            <w:r w:rsidRPr="00981F2D">
              <w:rPr>
                <w:rFonts w:eastAsia="Calibri" w:cs="Times New Roman"/>
                <w:color w:val="000000"/>
                <w:sz w:val="22"/>
                <w:szCs w:val="22"/>
                <w:lang w:eastAsia="en-US"/>
              </w:rPr>
              <w:t>Oznacza to, że w przypadku spraw, w których wartość przedmiotu sporu przewyższa 20 000 zł, strona dochodząca roszczeń wynikających z czynności bankowych cieszy się nieuzasadnionym uprzywilejowaniem względem stron dochodzących roszczeń wynikających z innego źródła. Przedmiotowa zmiana oznacza także zmniejszenie wpływów do budżetu państwa, z tytułu opłat sądowych za przedmiotowe sprawy.</w:t>
            </w:r>
          </w:p>
        </w:tc>
      </w:tr>
      <w:tr w:rsidR="00981F2D" w:rsidRPr="00981F2D" w:rsidTr="00B14587">
        <w:trPr>
          <w:gridAfter w:val="1"/>
          <w:wAfter w:w="10" w:type="dxa"/>
          <w:trHeight w:val="142"/>
        </w:trPr>
        <w:tc>
          <w:tcPr>
            <w:tcW w:w="10937" w:type="dxa"/>
            <w:gridSpan w:val="29"/>
            <w:shd w:val="clear" w:color="auto" w:fill="99CCFF"/>
            <w:vAlign w:val="center"/>
          </w:tcPr>
          <w:p w:rsidR="00981F2D" w:rsidRPr="00981F2D" w:rsidRDefault="00981F2D" w:rsidP="00981F2D">
            <w:pPr>
              <w:widowControl/>
              <w:numPr>
                <w:ilvl w:val="0"/>
                <w:numId w:val="1"/>
              </w:numPr>
              <w:autoSpaceDE/>
              <w:autoSpaceDN/>
              <w:adjustRightInd/>
              <w:spacing w:before="60" w:after="60" w:line="240" w:lineRule="auto"/>
              <w:ind w:left="318" w:hanging="284"/>
              <w:jc w:val="both"/>
              <w:rPr>
                <w:rFonts w:eastAsia="Calibri" w:cs="Times New Roman"/>
                <w:b/>
                <w:color w:val="000000"/>
                <w:sz w:val="22"/>
                <w:szCs w:val="22"/>
                <w:lang w:eastAsia="en-US"/>
              </w:rPr>
            </w:pPr>
            <w:r w:rsidRPr="00981F2D">
              <w:rPr>
                <w:rFonts w:eastAsia="Calibri" w:cs="Times New Roman"/>
                <w:b/>
                <w:color w:val="000000"/>
                <w:sz w:val="22"/>
                <w:szCs w:val="22"/>
                <w:lang w:eastAsia="en-US"/>
              </w:rPr>
              <w:t>Rekomendowane rozwiązanie, w tym planowane narzędzia interwencji, i oczekiwany efekt</w:t>
            </w:r>
          </w:p>
        </w:tc>
      </w:tr>
      <w:tr w:rsidR="00981F2D" w:rsidRPr="00981F2D" w:rsidTr="00B14587">
        <w:trPr>
          <w:gridAfter w:val="1"/>
          <w:wAfter w:w="10" w:type="dxa"/>
          <w:trHeight w:val="142"/>
        </w:trPr>
        <w:tc>
          <w:tcPr>
            <w:tcW w:w="10937" w:type="dxa"/>
            <w:gridSpan w:val="29"/>
            <w:shd w:val="clear" w:color="auto" w:fill="auto"/>
          </w:tcPr>
          <w:p w:rsidR="00981F2D" w:rsidRPr="00981F2D" w:rsidRDefault="00981F2D" w:rsidP="00981F2D">
            <w:pPr>
              <w:widowControl/>
              <w:autoSpaceDE/>
              <w:autoSpaceDN/>
              <w:adjustRightInd/>
              <w:spacing w:line="240" w:lineRule="auto"/>
              <w:jc w:val="both"/>
              <w:rPr>
                <w:rFonts w:eastAsia="Calibri" w:cs="Times New Roman"/>
                <w:color w:val="000000"/>
                <w:sz w:val="22"/>
                <w:szCs w:val="22"/>
                <w:lang w:eastAsia="en-US"/>
              </w:rPr>
            </w:pPr>
            <w:r w:rsidRPr="00981F2D">
              <w:rPr>
                <w:rFonts w:eastAsia="Calibri" w:cs="Times New Roman"/>
                <w:color w:val="000000"/>
                <w:sz w:val="22"/>
                <w:szCs w:val="22"/>
                <w:lang w:eastAsia="en-US"/>
              </w:rPr>
              <w:t>Celem projektowanych zmian jest doprowadzenie do stanu, w którym banki i inne podmioty korzystające z obniżonej stosunkowej opłaty sądowej będą uiszczały opłaty według stawek ogólnych.</w:t>
            </w:r>
          </w:p>
          <w:p w:rsidR="00981F2D" w:rsidRPr="00981F2D" w:rsidRDefault="00981F2D" w:rsidP="00981F2D">
            <w:pPr>
              <w:widowControl/>
              <w:autoSpaceDE/>
              <w:autoSpaceDN/>
              <w:adjustRightInd/>
              <w:spacing w:line="240" w:lineRule="auto"/>
              <w:jc w:val="both"/>
              <w:rPr>
                <w:rFonts w:eastAsia="Calibri" w:cs="Times New Roman"/>
                <w:color w:val="000000"/>
                <w:sz w:val="22"/>
                <w:szCs w:val="22"/>
                <w:lang w:eastAsia="en-US"/>
              </w:rPr>
            </w:pPr>
          </w:p>
          <w:p w:rsidR="00981F2D" w:rsidRPr="00981F2D" w:rsidRDefault="00981F2D" w:rsidP="00981F2D">
            <w:pPr>
              <w:widowControl/>
              <w:autoSpaceDE/>
              <w:autoSpaceDN/>
              <w:adjustRightInd/>
              <w:spacing w:line="240" w:lineRule="auto"/>
              <w:jc w:val="both"/>
              <w:rPr>
                <w:rFonts w:eastAsia="Calibri" w:cs="Times New Roman"/>
                <w:color w:val="000000"/>
                <w:sz w:val="22"/>
                <w:szCs w:val="22"/>
                <w:lang w:eastAsia="en-US"/>
              </w:rPr>
            </w:pPr>
            <w:r w:rsidRPr="00981F2D">
              <w:rPr>
                <w:rFonts w:eastAsia="Calibri" w:cs="Times New Roman"/>
                <w:color w:val="000000"/>
                <w:sz w:val="22"/>
                <w:szCs w:val="22"/>
                <w:lang w:eastAsia="en-US"/>
              </w:rPr>
              <w:t>Proponowane zmiany wyeliminują uprzywilejowanie banków i innych podmiotów uprawnionych do dokonywania czynności bankowych w zakresie ciężarów fiskalnych związanych z wnoszeniem pism do sądów w sprawach cywilnych. Wejście w życie projektowanej zmiany spowoduje, że podmioty te będą ponosiły sądowe opłaty stosunkowe według ogólnych stawek opłat. Zachowane zostaną jednak obecne regulacje, które jednak odnosiły się będą do konsumentów oraz producentów rolnych prowadzących gospodarstwa rodzinne, dochodzących roszczeń wynikających z czynności bankowych.</w:t>
            </w:r>
          </w:p>
        </w:tc>
      </w:tr>
      <w:tr w:rsidR="00981F2D" w:rsidRPr="00981F2D" w:rsidTr="00B14587">
        <w:trPr>
          <w:gridAfter w:val="1"/>
          <w:wAfter w:w="10" w:type="dxa"/>
          <w:trHeight w:val="307"/>
        </w:trPr>
        <w:tc>
          <w:tcPr>
            <w:tcW w:w="10937" w:type="dxa"/>
            <w:gridSpan w:val="29"/>
            <w:shd w:val="clear" w:color="auto" w:fill="99CCFF"/>
            <w:vAlign w:val="center"/>
          </w:tcPr>
          <w:p w:rsidR="00981F2D" w:rsidRPr="00981F2D" w:rsidRDefault="00981F2D" w:rsidP="00981F2D">
            <w:pPr>
              <w:widowControl/>
              <w:numPr>
                <w:ilvl w:val="0"/>
                <w:numId w:val="1"/>
              </w:numPr>
              <w:autoSpaceDE/>
              <w:autoSpaceDN/>
              <w:adjustRightInd/>
              <w:spacing w:before="60" w:after="60" w:line="240" w:lineRule="auto"/>
              <w:ind w:left="318" w:hanging="284"/>
              <w:jc w:val="both"/>
              <w:rPr>
                <w:rFonts w:eastAsia="Calibri" w:cs="Times New Roman"/>
                <w:b/>
                <w:color w:val="000000"/>
                <w:sz w:val="22"/>
                <w:szCs w:val="22"/>
                <w:lang w:eastAsia="en-US"/>
              </w:rPr>
            </w:pPr>
            <w:r w:rsidRPr="00981F2D">
              <w:rPr>
                <w:rFonts w:eastAsia="Calibri" w:cs="Times New Roman"/>
                <w:b/>
                <w:sz w:val="22"/>
                <w:szCs w:val="22"/>
                <w:lang w:eastAsia="en-US"/>
              </w:rPr>
              <w:t>Jak problem został rozwiązany w innych krajach, w szczególności krajach członkowskich OECD/UE</w:t>
            </w:r>
            <w:r w:rsidRPr="00981F2D">
              <w:rPr>
                <w:rFonts w:eastAsia="Calibri" w:cs="Times New Roman"/>
                <w:b/>
                <w:color w:val="000000"/>
                <w:sz w:val="22"/>
                <w:szCs w:val="22"/>
                <w:lang w:eastAsia="en-US"/>
              </w:rPr>
              <w:t>?</w:t>
            </w:r>
            <w:r w:rsidRPr="00981F2D">
              <w:rPr>
                <w:rFonts w:eastAsia="Calibri" w:cs="Times New Roman"/>
                <w:i/>
                <w:color w:val="000000"/>
                <w:sz w:val="22"/>
                <w:szCs w:val="22"/>
                <w:lang w:eastAsia="en-US"/>
              </w:rPr>
              <w:t xml:space="preserve"> </w:t>
            </w:r>
          </w:p>
        </w:tc>
      </w:tr>
      <w:tr w:rsidR="00981F2D" w:rsidRPr="00981F2D" w:rsidTr="00B14587">
        <w:trPr>
          <w:gridAfter w:val="1"/>
          <w:wAfter w:w="10" w:type="dxa"/>
          <w:trHeight w:val="142"/>
        </w:trPr>
        <w:tc>
          <w:tcPr>
            <w:tcW w:w="10937" w:type="dxa"/>
            <w:gridSpan w:val="29"/>
            <w:shd w:val="clear" w:color="auto" w:fill="auto"/>
          </w:tcPr>
          <w:p w:rsidR="00981F2D" w:rsidRPr="00981F2D" w:rsidRDefault="00981F2D" w:rsidP="00981F2D">
            <w:pPr>
              <w:widowControl/>
              <w:autoSpaceDE/>
              <w:autoSpaceDN/>
              <w:adjustRightInd/>
              <w:spacing w:line="240" w:lineRule="auto"/>
              <w:jc w:val="both"/>
              <w:rPr>
                <w:rFonts w:eastAsia="Calibri" w:cs="Times New Roman"/>
                <w:color w:val="000000"/>
                <w:sz w:val="22"/>
                <w:szCs w:val="22"/>
                <w:lang w:eastAsia="en-US"/>
              </w:rPr>
            </w:pPr>
            <w:r w:rsidRPr="00981F2D">
              <w:rPr>
                <w:rFonts w:eastAsia="Calibri" w:cs="Times New Roman"/>
                <w:color w:val="000000"/>
                <w:sz w:val="22"/>
                <w:szCs w:val="22"/>
                <w:lang w:eastAsia="en-US"/>
              </w:rPr>
              <w:t xml:space="preserve">Proponowane zmiany dotyczą przepisów procesowych, a ustawodawstwa procesowe poszczególnych państw są niezwykle zróżnicowane. Nie jest zatem możliwe zwięzłe porównanie projektowanych regulacji z przepisami obowiązującymi w innych krajach OECD lub UE. W związku z powyższym odstąpiono od przedstawienia porównań międzynarodowych. </w:t>
            </w:r>
          </w:p>
        </w:tc>
      </w:tr>
      <w:tr w:rsidR="00981F2D" w:rsidRPr="00981F2D" w:rsidTr="00B14587">
        <w:trPr>
          <w:gridAfter w:val="1"/>
          <w:wAfter w:w="10" w:type="dxa"/>
          <w:trHeight w:val="359"/>
        </w:trPr>
        <w:tc>
          <w:tcPr>
            <w:tcW w:w="10937" w:type="dxa"/>
            <w:gridSpan w:val="29"/>
            <w:shd w:val="clear" w:color="auto" w:fill="99CCFF"/>
            <w:vAlign w:val="center"/>
          </w:tcPr>
          <w:p w:rsidR="00981F2D" w:rsidRPr="00981F2D" w:rsidRDefault="00981F2D" w:rsidP="00981F2D">
            <w:pPr>
              <w:widowControl/>
              <w:numPr>
                <w:ilvl w:val="0"/>
                <w:numId w:val="1"/>
              </w:numPr>
              <w:autoSpaceDE/>
              <w:autoSpaceDN/>
              <w:adjustRightInd/>
              <w:spacing w:before="60" w:after="60" w:line="240" w:lineRule="auto"/>
              <w:ind w:left="318" w:hanging="284"/>
              <w:jc w:val="both"/>
              <w:rPr>
                <w:rFonts w:eastAsia="Calibri" w:cs="Times New Roman"/>
                <w:b/>
                <w:color w:val="000000"/>
                <w:sz w:val="22"/>
                <w:szCs w:val="22"/>
                <w:lang w:eastAsia="en-US"/>
              </w:rPr>
            </w:pPr>
            <w:r w:rsidRPr="00981F2D">
              <w:rPr>
                <w:rFonts w:eastAsia="Calibri" w:cs="Times New Roman"/>
                <w:b/>
                <w:color w:val="000000"/>
                <w:sz w:val="22"/>
                <w:szCs w:val="22"/>
                <w:lang w:eastAsia="en-US"/>
              </w:rPr>
              <w:t>Podmioty, na które oddziałuje projekt</w:t>
            </w:r>
          </w:p>
        </w:tc>
      </w:tr>
      <w:tr w:rsidR="00981F2D" w:rsidRPr="00981F2D" w:rsidTr="00B14587">
        <w:trPr>
          <w:gridAfter w:val="1"/>
          <w:wAfter w:w="10" w:type="dxa"/>
          <w:trHeight w:val="142"/>
        </w:trPr>
        <w:tc>
          <w:tcPr>
            <w:tcW w:w="2668" w:type="dxa"/>
            <w:gridSpan w:val="3"/>
            <w:shd w:val="clear" w:color="auto" w:fill="auto"/>
          </w:tcPr>
          <w:p w:rsidR="00981F2D" w:rsidRPr="00981F2D" w:rsidRDefault="00981F2D" w:rsidP="00981F2D">
            <w:pPr>
              <w:widowControl/>
              <w:autoSpaceDE/>
              <w:autoSpaceDN/>
              <w:adjustRightInd/>
              <w:spacing w:before="40" w:line="240" w:lineRule="auto"/>
              <w:jc w:val="center"/>
              <w:rPr>
                <w:rFonts w:eastAsia="Calibri" w:cs="Times New Roman"/>
                <w:color w:val="000000"/>
                <w:sz w:val="22"/>
                <w:szCs w:val="22"/>
                <w:lang w:eastAsia="en-US"/>
              </w:rPr>
            </w:pPr>
            <w:r w:rsidRPr="00981F2D">
              <w:rPr>
                <w:rFonts w:eastAsia="Calibri" w:cs="Times New Roman"/>
                <w:color w:val="000000"/>
                <w:sz w:val="22"/>
                <w:szCs w:val="22"/>
                <w:lang w:eastAsia="en-US"/>
              </w:rPr>
              <w:t>Grupa</w:t>
            </w:r>
          </w:p>
        </w:tc>
        <w:tc>
          <w:tcPr>
            <w:tcW w:w="2292" w:type="dxa"/>
            <w:gridSpan w:val="8"/>
            <w:shd w:val="clear" w:color="auto" w:fill="auto"/>
          </w:tcPr>
          <w:p w:rsidR="00981F2D" w:rsidRPr="00981F2D" w:rsidRDefault="00981F2D" w:rsidP="00981F2D">
            <w:pPr>
              <w:widowControl/>
              <w:autoSpaceDE/>
              <w:autoSpaceDN/>
              <w:adjustRightInd/>
              <w:spacing w:before="40" w:line="240" w:lineRule="auto"/>
              <w:jc w:val="center"/>
              <w:rPr>
                <w:rFonts w:eastAsia="Calibri" w:cs="Times New Roman"/>
                <w:color w:val="000000"/>
                <w:sz w:val="22"/>
                <w:szCs w:val="22"/>
                <w:lang w:eastAsia="en-US"/>
              </w:rPr>
            </w:pPr>
            <w:r w:rsidRPr="00981F2D">
              <w:rPr>
                <w:rFonts w:eastAsia="Calibri" w:cs="Times New Roman"/>
                <w:color w:val="000000"/>
                <w:sz w:val="22"/>
                <w:szCs w:val="22"/>
                <w:lang w:eastAsia="en-US"/>
              </w:rPr>
              <w:t>Wielkość</w:t>
            </w:r>
          </w:p>
        </w:tc>
        <w:tc>
          <w:tcPr>
            <w:tcW w:w="2996" w:type="dxa"/>
            <w:gridSpan w:val="12"/>
            <w:shd w:val="clear" w:color="auto" w:fill="auto"/>
          </w:tcPr>
          <w:p w:rsidR="00981F2D" w:rsidRPr="00981F2D" w:rsidRDefault="00981F2D" w:rsidP="00981F2D">
            <w:pPr>
              <w:widowControl/>
              <w:autoSpaceDE/>
              <w:autoSpaceDN/>
              <w:adjustRightInd/>
              <w:spacing w:before="40" w:line="240" w:lineRule="auto"/>
              <w:jc w:val="center"/>
              <w:rPr>
                <w:rFonts w:eastAsia="Calibri" w:cs="Times New Roman"/>
                <w:color w:val="000000"/>
                <w:sz w:val="22"/>
                <w:szCs w:val="22"/>
                <w:lang w:eastAsia="en-US"/>
              </w:rPr>
            </w:pPr>
            <w:r w:rsidRPr="00981F2D">
              <w:rPr>
                <w:rFonts w:eastAsia="Calibri" w:cs="Times New Roman"/>
                <w:color w:val="000000"/>
                <w:sz w:val="22"/>
                <w:szCs w:val="22"/>
                <w:lang w:eastAsia="en-US"/>
              </w:rPr>
              <w:t>Źródło danych</w:t>
            </w:r>
            <w:r w:rsidRPr="00981F2D" w:rsidDel="00260F33">
              <w:rPr>
                <w:rFonts w:eastAsia="Calibri" w:cs="Times New Roman"/>
                <w:color w:val="000000"/>
                <w:sz w:val="22"/>
                <w:szCs w:val="22"/>
                <w:lang w:eastAsia="en-US"/>
              </w:rPr>
              <w:t xml:space="preserve"> </w:t>
            </w:r>
          </w:p>
        </w:tc>
        <w:tc>
          <w:tcPr>
            <w:tcW w:w="2981" w:type="dxa"/>
            <w:gridSpan w:val="6"/>
            <w:shd w:val="clear" w:color="auto" w:fill="auto"/>
          </w:tcPr>
          <w:p w:rsidR="00981F2D" w:rsidRPr="00981F2D" w:rsidRDefault="00981F2D" w:rsidP="00981F2D">
            <w:pPr>
              <w:widowControl/>
              <w:autoSpaceDE/>
              <w:autoSpaceDN/>
              <w:adjustRightInd/>
              <w:spacing w:before="40" w:line="240" w:lineRule="auto"/>
              <w:jc w:val="center"/>
              <w:rPr>
                <w:rFonts w:eastAsia="Calibri" w:cs="Times New Roman"/>
                <w:color w:val="000000"/>
                <w:sz w:val="22"/>
                <w:szCs w:val="22"/>
                <w:lang w:eastAsia="en-US"/>
              </w:rPr>
            </w:pPr>
            <w:r w:rsidRPr="00981F2D">
              <w:rPr>
                <w:rFonts w:eastAsia="Calibri" w:cs="Times New Roman"/>
                <w:color w:val="000000"/>
                <w:sz w:val="22"/>
                <w:szCs w:val="22"/>
                <w:lang w:eastAsia="en-US"/>
              </w:rPr>
              <w:t>Oddziaływanie</w:t>
            </w:r>
          </w:p>
        </w:tc>
      </w:tr>
      <w:tr w:rsidR="00981F2D" w:rsidRPr="00981F2D" w:rsidTr="00B14587">
        <w:trPr>
          <w:gridAfter w:val="1"/>
          <w:wAfter w:w="10" w:type="dxa"/>
          <w:trHeight w:val="142"/>
        </w:trPr>
        <w:tc>
          <w:tcPr>
            <w:tcW w:w="2668" w:type="dxa"/>
            <w:gridSpan w:val="3"/>
            <w:shd w:val="clear" w:color="auto" w:fill="auto"/>
          </w:tcPr>
          <w:p w:rsidR="00981F2D" w:rsidRPr="00981F2D" w:rsidRDefault="00981F2D" w:rsidP="00981F2D">
            <w:pPr>
              <w:widowControl/>
              <w:autoSpaceDE/>
              <w:autoSpaceDN/>
              <w:adjustRightInd/>
              <w:spacing w:line="240" w:lineRule="auto"/>
              <w:rPr>
                <w:rFonts w:eastAsia="Calibri" w:cs="Times New Roman"/>
                <w:color w:val="000000"/>
                <w:sz w:val="22"/>
                <w:szCs w:val="22"/>
                <w:lang w:eastAsia="en-US"/>
              </w:rPr>
            </w:pPr>
            <w:r w:rsidRPr="00981F2D">
              <w:rPr>
                <w:rFonts w:eastAsia="Calibri" w:cs="Times New Roman"/>
                <w:color w:val="000000"/>
                <w:sz w:val="22"/>
                <w:szCs w:val="22"/>
                <w:lang w:eastAsia="en-US"/>
              </w:rPr>
              <w:t>Krajowe banki komercyjne</w:t>
            </w:r>
          </w:p>
        </w:tc>
        <w:tc>
          <w:tcPr>
            <w:tcW w:w="2292" w:type="dxa"/>
            <w:gridSpan w:val="8"/>
            <w:shd w:val="clear" w:color="auto" w:fill="auto"/>
          </w:tcPr>
          <w:p w:rsidR="00981F2D" w:rsidRPr="00981F2D" w:rsidRDefault="00981F2D" w:rsidP="00981F2D">
            <w:pPr>
              <w:widowControl/>
              <w:autoSpaceDE/>
              <w:autoSpaceDN/>
              <w:adjustRightInd/>
              <w:spacing w:line="240" w:lineRule="auto"/>
              <w:jc w:val="center"/>
              <w:rPr>
                <w:rFonts w:eastAsia="Calibri" w:cs="Times New Roman"/>
                <w:color w:val="000000"/>
                <w:sz w:val="22"/>
                <w:szCs w:val="22"/>
                <w:lang w:eastAsia="en-US"/>
              </w:rPr>
            </w:pPr>
            <w:r w:rsidRPr="00981F2D">
              <w:rPr>
                <w:rFonts w:eastAsia="Calibri" w:cs="Times New Roman"/>
                <w:color w:val="000000"/>
                <w:sz w:val="22"/>
                <w:szCs w:val="22"/>
                <w:lang w:eastAsia="en-US"/>
              </w:rPr>
              <w:t>38</w:t>
            </w:r>
          </w:p>
        </w:tc>
        <w:tc>
          <w:tcPr>
            <w:tcW w:w="2996" w:type="dxa"/>
            <w:gridSpan w:val="12"/>
            <w:shd w:val="clear" w:color="auto" w:fill="auto"/>
          </w:tcPr>
          <w:p w:rsidR="00981F2D" w:rsidRPr="00981F2D" w:rsidRDefault="00981F2D" w:rsidP="00981F2D">
            <w:pPr>
              <w:widowControl/>
              <w:autoSpaceDE/>
              <w:autoSpaceDN/>
              <w:adjustRightInd/>
              <w:spacing w:line="240" w:lineRule="auto"/>
              <w:jc w:val="center"/>
              <w:rPr>
                <w:rFonts w:eastAsia="Calibri" w:cs="Times New Roman"/>
                <w:color w:val="000000"/>
                <w:sz w:val="22"/>
                <w:szCs w:val="22"/>
                <w:lang w:eastAsia="en-US"/>
              </w:rPr>
            </w:pPr>
            <w:r w:rsidRPr="00981F2D">
              <w:rPr>
                <w:rFonts w:eastAsia="Calibri" w:cs="Times New Roman"/>
                <w:color w:val="000000"/>
                <w:sz w:val="22"/>
                <w:szCs w:val="22"/>
                <w:lang w:eastAsia="en-US"/>
              </w:rPr>
              <w:t>Urząd Komisji Nadzoru Finansowego – dane o rynku bankowym (październik 2015</w:t>
            </w:r>
            <w:r w:rsidR="008929CD">
              <w:rPr>
                <w:rFonts w:eastAsia="Calibri" w:cs="Times New Roman"/>
                <w:color w:val="000000"/>
                <w:sz w:val="22"/>
                <w:szCs w:val="22"/>
                <w:lang w:eastAsia="en-US"/>
              </w:rPr>
              <w:t> r.</w:t>
            </w:r>
            <w:r w:rsidRPr="00981F2D">
              <w:rPr>
                <w:rFonts w:eastAsia="Calibri" w:cs="Times New Roman"/>
                <w:color w:val="000000"/>
                <w:sz w:val="22"/>
                <w:szCs w:val="22"/>
                <w:lang w:eastAsia="en-US"/>
              </w:rPr>
              <w:t>)</w:t>
            </w:r>
          </w:p>
        </w:tc>
        <w:tc>
          <w:tcPr>
            <w:tcW w:w="2981" w:type="dxa"/>
            <w:gridSpan w:val="6"/>
            <w:shd w:val="clear" w:color="auto" w:fill="auto"/>
          </w:tcPr>
          <w:p w:rsidR="00981F2D" w:rsidRPr="00981F2D" w:rsidRDefault="00981F2D" w:rsidP="00981F2D">
            <w:pPr>
              <w:widowControl/>
              <w:autoSpaceDE/>
              <w:autoSpaceDN/>
              <w:adjustRightInd/>
              <w:spacing w:line="240" w:lineRule="auto"/>
              <w:rPr>
                <w:rFonts w:eastAsia="Calibri" w:cs="Times New Roman"/>
                <w:color w:val="000000"/>
                <w:sz w:val="22"/>
                <w:szCs w:val="22"/>
                <w:lang w:eastAsia="en-US"/>
              </w:rPr>
            </w:pPr>
            <w:r w:rsidRPr="00981F2D">
              <w:rPr>
                <w:rFonts w:eastAsia="Calibri" w:cs="Times New Roman"/>
                <w:color w:val="000000"/>
                <w:sz w:val="22"/>
                <w:szCs w:val="22"/>
                <w:lang w:eastAsia="en-US"/>
              </w:rPr>
              <w:t xml:space="preserve">Zmiana ust. 1a w art. 13 ustawy o kosztach sądowych w sprawach cywilnych spowoduje, że wskazane podmioty będą uiszczały opłaty według stawek ogólnych. </w:t>
            </w:r>
          </w:p>
        </w:tc>
      </w:tr>
      <w:tr w:rsidR="00981F2D" w:rsidRPr="00981F2D" w:rsidTr="00B14587">
        <w:trPr>
          <w:gridAfter w:val="1"/>
          <w:wAfter w:w="10" w:type="dxa"/>
          <w:trHeight w:val="1410"/>
        </w:trPr>
        <w:tc>
          <w:tcPr>
            <w:tcW w:w="2668" w:type="dxa"/>
            <w:gridSpan w:val="3"/>
            <w:shd w:val="clear" w:color="auto" w:fill="auto"/>
          </w:tcPr>
          <w:p w:rsidR="00981F2D" w:rsidRPr="00981F2D" w:rsidRDefault="00981F2D" w:rsidP="00981F2D">
            <w:pPr>
              <w:widowControl/>
              <w:autoSpaceDE/>
              <w:autoSpaceDN/>
              <w:adjustRightInd/>
              <w:spacing w:line="240" w:lineRule="auto"/>
              <w:rPr>
                <w:rFonts w:eastAsia="Calibri" w:cs="Times New Roman"/>
                <w:color w:val="000000"/>
                <w:sz w:val="22"/>
                <w:szCs w:val="22"/>
                <w:lang w:eastAsia="en-US"/>
              </w:rPr>
            </w:pPr>
            <w:r w:rsidRPr="00981F2D">
              <w:rPr>
                <w:rFonts w:eastAsia="Calibri" w:cs="Times New Roman"/>
                <w:color w:val="000000"/>
                <w:sz w:val="22"/>
                <w:szCs w:val="22"/>
                <w:lang w:eastAsia="en-US"/>
              </w:rPr>
              <w:lastRenderedPageBreak/>
              <w:t>Banki Spółdzielcze</w:t>
            </w:r>
          </w:p>
        </w:tc>
        <w:tc>
          <w:tcPr>
            <w:tcW w:w="2292" w:type="dxa"/>
            <w:gridSpan w:val="8"/>
            <w:shd w:val="clear" w:color="auto" w:fill="auto"/>
          </w:tcPr>
          <w:p w:rsidR="00981F2D" w:rsidRPr="00981F2D" w:rsidRDefault="00981F2D" w:rsidP="00981F2D">
            <w:pPr>
              <w:widowControl/>
              <w:autoSpaceDE/>
              <w:autoSpaceDN/>
              <w:adjustRightInd/>
              <w:spacing w:line="240" w:lineRule="auto"/>
              <w:jc w:val="center"/>
              <w:rPr>
                <w:rFonts w:eastAsia="Calibri" w:cs="Times New Roman"/>
                <w:color w:val="000000"/>
                <w:sz w:val="22"/>
                <w:szCs w:val="22"/>
                <w:lang w:eastAsia="en-US"/>
              </w:rPr>
            </w:pPr>
            <w:r w:rsidRPr="00981F2D">
              <w:rPr>
                <w:rFonts w:eastAsia="Calibri" w:cs="Times New Roman"/>
                <w:color w:val="000000"/>
                <w:sz w:val="22"/>
                <w:szCs w:val="22"/>
                <w:lang w:eastAsia="en-US"/>
              </w:rPr>
              <w:t>562</w:t>
            </w:r>
          </w:p>
        </w:tc>
        <w:tc>
          <w:tcPr>
            <w:tcW w:w="2996" w:type="dxa"/>
            <w:gridSpan w:val="12"/>
            <w:shd w:val="clear" w:color="auto" w:fill="auto"/>
          </w:tcPr>
          <w:p w:rsidR="00981F2D" w:rsidRPr="00981F2D" w:rsidRDefault="00981F2D" w:rsidP="00981F2D">
            <w:pPr>
              <w:widowControl/>
              <w:autoSpaceDE/>
              <w:autoSpaceDN/>
              <w:adjustRightInd/>
              <w:spacing w:line="240" w:lineRule="auto"/>
              <w:jc w:val="center"/>
              <w:rPr>
                <w:rFonts w:eastAsia="Calibri" w:cs="Times New Roman"/>
                <w:color w:val="000000"/>
                <w:sz w:val="22"/>
                <w:szCs w:val="22"/>
                <w:lang w:eastAsia="en-US"/>
              </w:rPr>
            </w:pPr>
            <w:r w:rsidRPr="00981F2D">
              <w:rPr>
                <w:rFonts w:eastAsia="Calibri" w:cs="Times New Roman"/>
                <w:color w:val="000000"/>
                <w:sz w:val="22"/>
                <w:szCs w:val="22"/>
                <w:lang w:eastAsia="en-US"/>
              </w:rPr>
              <w:t>Urząd Komisji Nadzoru Finansowego – dane o rynku bankowym (październik 2015</w:t>
            </w:r>
            <w:r w:rsidR="008929CD">
              <w:rPr>
                <w:rFonts w:eastAsia="Calibri" w:cs="Times New Roman"/>
                <w:color w:val="000000"/>
                <w:sz w:val="22"/>
                <w:szCs w:val="22"/>
                <w:lang w:eastAsia="en-US"/>
              </w:rPr>
              <w:t> r.</w:t>
            </w:r>
            <w:r w:rsidRPr="00981F2D">
              <w:rPr>
                <w:rFonts w:eastAsia="Calibri" w:cs="Times New Roman"/>
                <w:color w:val="000000"/>
                <w:sz w:val="22"/>
                <w:szCs w:val="22"/>
                <w:lang w:eastAsia="en-US"/>
              </w:rPr>
              <w:t>)</w:t>
            </w:r>
          </w:p>
        </w:tc>
        <w:tc>
          <w:tcPr>
            <w:tcW w:w="2981" w:type="dxa"/>
            <w:gridSpan w:val="6"/>
            <w:shd w:val="clear" w:color="auto" w:fill="auto"/>
          </w:tcPr>
          <w:p w:rsidR="00981F2D" w:rsidRPr="00981F2D" w:rsidRDefault="00981F2D" w:rsidP="00981F2D">
            <w:pPr>
              <w:widowControl/>
              <w:autoSpaceDE/>
              <w:autoSpaceDN/>
              <w:adjustRightInd/>
              <w:spacing w:line="240" w:lineRule="auto"/>
              <w:rPr>
                <w:rFonts w:eastAsia="Calibri" w:cs="Times New Roman"/>
                <w:color w:val="000000"/>
                <w:sz w:val="22"/>
                <w:szCs w:val="22"/>
                <w:lang w:eastAsia="en-US"/>
              </w:rPr>
            </w:pPr>
            <w:r w:rsidRPr="00981F2D">
              <w:rPr>
                <w:rFonts w:eastAsia="Calibri" w:cs="Times New Roman"/>
                <w:color w:val="000000"/>
                <w:sz w:val="22"/>
                <w:szCs w:val="22"/>
                <w:lang w:eastAsia="en-US"/>
              </w:rPr>
              <w:t>Zmiana ust. 1a w art. 13 ustawy o kosztach sądowych w sprawach cywilnych spowoduje, że wskazane podmioty będą uiszczały opłaty według stawek ogólnych.</w:t>
            </w:r>
          </w:p>
        </w:tc>
      </w:tr>
      <w:tr w:rsidR="00981F2D" w:rsidRPr="00981F2D" w:rsidTr="00B14587">
        <w:trPr>
          <w:gridAfter w:val="1"/>
          <w:wAfter w:w="10" w:type="dxa"/>
          <w:trHeight w:val="346"/>
        </w:trPr>
        <w:tc>
          <w:tcPr>
            <w:tcW w:w="2668" w:type="dxa"/>
            <w:gridSpan w:val="3"/>
            <w:shd w:val="clear" w:color="auto" w:fill="auto"/>
          </w:tcPr>
          <w:p w:rsidR="00981F2D" w:rsidRPr="00981F2D" w:rsidRDefault="00981F2D" w:rsidP="00B14587">
            <w:pPr>
              <w:widowControl/>
              <w:autoSpaceDE/>
              <w:autoSpaceDN/>
              <w:adjustRightInd/>
              <w:spacing w:line="240" w:lineRule="auto"/>
              <w:rPr>
                <w:rFonts w:eastAsia="Calibri" w:cs="Times New Roman"/>
                <w:color w:val="000000"/>
                <w:sz w:val="22"/>
                <w:szCs w:val="22"/>
                <w:lang w:eastAsia="en-US"/>
              </w:rPr>
            </w:pPr>
            <w:r w:rsidRPr="00981F2D">
              <w:rPr>
                <w:rFonts w:eastAsia="Calibri" w:cs="Times New Roman"/>
                <w:color w:val="000000"/>
                <w:sz w:val="22"/>
                <w:szCs w:val="22"/>
                <w:lang w:eastAsia="en-US"/>
              </w:rPr>
              <w:t xml:space="preserve">Strony spraw o roszczenia z czynności bankowych rozpatrywanych przez wydziały cywilne </w:t>
            </w:r>
            <w:r w:rsidR="00B14587">
              <w:rPr>
                <w:rFonts w:eastAsia="Calibri" w:cs="Times New Roman"/>
                <w:color w:val="000000"/>
                <w:sz w:val="22"/>
                <w:szCs w:val="22"/>
                <w:lang w:eastAsia="en-US"/>
              </w:rPr>
              <w:br/>
            </w:r>
            <w:r w:rsidRPr="00981F2D">
              <w:rPr>
                <w:rFonts w:eastAsia="Calibri" w:cs="Times New Roman"/>
                <w:color w:val="000000"/>
                <w:sz w:val="22"/>
                <w:szCs w:val="22"/>
                <w:lang w:eastAsia="en-US"/>
              </w:rPr>
              <w:t>(bank</w:t>
            </w:r>
            <w:r w:rsidR="00B14587">
              <w:rPr>
                <w:rFonts w:eastAsia="Calibri" w:cs="Times New Roman"/>
                <w:color w:val="000000"/>
                <w:sz w:val="22"/>
                <w:szCs w:val="22"/>
                <w:lang w:eastAsia="en-US"/>
              </w:rPr>
              <w:t xml:space="preserve"> – </w:t>
            </w:r>
            <w:r w:rsidRPr="00981F2D">
              <w:rPr>
                <w:rFonts w:eastAsia="Calibri" w:cs="Times New Roman"/>
                <w:color w:val="000000"/>
                <w:sz w:val="22"/>
                <w:szCs w:val="22"/>
                <w:lang w:eastAsia="en-US"/>
              </w:rPr>
              <w:t>osoba fizyczna) i</w:t>
            </w:r>
            <w:r w:rsidR="00B14587">
              <w:rPr>
                <w:rFonts w:eastAsia="Calibri" w:cs="Times New Roman"/>
                <w:color w:val="000000"/>
                <w:sz w:val="22"/>
                <w:szCs w:val="22"/>
                <w:lang w:eastAsia="en-US"/>
              </w:rPr>
              <w:t> </w:t>
            </w:r>
            <w:r w:rsidRPr="00981F2D">
              <w:rPr>
                <w:rFonts w:eastAsia="Calibri" w:cs="Times New Roman"/>
                <w:color w:val="000000"/>
                <w:sz w:val="22"/>
                <w:szCs w:val="22"/>
                <w:lang w:eastAsia="en-US"/>
              </w:rPr>
              <w:t xml:space="preserve">gospodarcze </w:t>
            </w:r>
            <w:r w:rsidR="00B14587">
              <w:rPr>
                <w:rFonts w:eastAsia="Calibri" w:cs="Times New Roman"/>
                <w:color w:val="000000"/>
                <w:sz w:val="22"/>
                <w:szCs w:val="22"/>
                <w:lang w:eastAsia="en-US"/>
              </w:rPr>
              <w:br/>
            </w:r>
            <w:r w:rsidRPr="00981F2D">
              <w:rPr>
                <w:rFonts w:eastAsia="Calibri" w:cs="Times New Roman"/>
                <w:color w:val="000000"/>
                <w:sz w:val="22"/>
                <w:szCs w:val="22"/>
                <w:lang w:eastAsia="en-US"/>
              </w:rPr>
              <w:t>(bank</w:t>
            </w:r>
            <w:r w:rsidR="00B14587">
              <w:rPr>
                <w:rFonts w:eastAsia="Calibri" w:cs="Times New Roman"/>
                <w:color w:val="000000"/>
                <w:sz w:val="22"/>
                <w:szCs w:val="22"/>
                <w:lang w:eastAsia="en-US"/>
              </w:rPr>
              <w:t xml:space="preserve"> – </w:t>
            </w:r>
            <w:r w:rsidRPr="00981F2D">
              <w:rPr>
                <w:rFonts w:eastAsia="Calibri" w:cs="Times New Roman"/>
                <w:color w:val="000000"/>
                <w:sz w:val="22"/>
                <w:szCs w:val="22"/>
                <w:lang w:eastAsia="en-US"/>
              </w:rPr>
              <w:t>przedsiębiorca) sądów powszechnych</w:t>
            </w:r>
          </w:p>
        </w:tc>
        <w:tc>
          <w:tcPr>
            <w:tcW w:w="2292" w:type="dxa"/>
            <w:gridSpan w:val="8"/>
            <w:shd w:val="clear" w:color="auto" w:fill="auto"/>
          </w:tcPr>
          <w:p w:rsidR="00981F2D" w:rsidRPr="00981F2D" w:rsidRDefault="00981F2D" w:rsidP="00B14587">
            <w:pPr>
              <w:widowControl/>
              <w:autoSpaceDE/>
              <w:autoSpaceDN/>
              <w:adjustRightInd/>
              <w:spacing w:line="240" w:lineRule="auto"/>
              <w:jc w:val="center"/>
              <w:rPr>
                <w:rFonts w:eastAsia="Calibri" w:cs="Times New Roman"/>
                <w:color w:val="000000"/>
                <w:sz w:val="22"/>
                <w:szCs w:val="22"/>
                <w:lang w:eastAsia="en-US"/>
              </w:rPr>
            </w:pPr>
            <w:r w:rsidRPr="00981F2D">
              <w:rPr>
                <w:rFonts w:eastAsia="Calibri" w:cs="Times New Roman"/>
                <w:color w:val="000000"/>
                <w:sz w:val="22"/>
                <w:szCs w:val="22"/>
                <w:lang w:eastAsia="en-US"/>
              </w:rPr>
              <w:t>Patrz dodatkowe informacje w pkt 6 OSR</w:t>
            </w:r>
          </w:p>
        </w:tc>
        <w:tc>
          <w:tcPr>
            <w:tcW w:w="2996" w:type="dxa"/>
            <w:gridSpan w:val="12"/>
            <w:shd w:val="clear" w:color="auto" w:fill="auto"/>
          </w:tcPr>
          <w:p w:rsidR="00981F2D" w:rsidRPr="00981F2D" w:rsidRDefault="00981F2D" w:rsidP="00981F2D">
            <w:pPr>
              <w:widowControl/>
              <w:autoSpaceDE/>
              <w:autoSpaceDN/>
              <w:adjustRightInd/>
              <w:spacing w:line="240" w:lineRule="auto"/>
              <w:jc w:val="center"/>
              <w:rPr>
                <w:rFonts w:eastAsia="Calibri" w:cs="Times New Roman"/>
                <w:color w:val="000000"/>
                <w:sz w:val="22"/>
                <w:szCs w:val="22"/>
                <w:lang w:eastAsia="en-US"/>
              </w:rPr>
            </w:pPr>
          </w:p>
        </w:tc>
        <w:tc>
          <w:tcPr>
            <w:tcW w:w="2981" w:type="dxa"/>
            <w:gridSpan w:val="6"/>
            <w:shd w:val="clear" w:color="auto" w:fill="auto"/>
          </w:tcPr>
          <w:p w:rsidR="00981F2D" w:rsidRPr="00981F2D" w:rsidRDefault="00981F2D" w:rsidP="00981F2D">
            <w:pPr>
              <w:widowControl/>
              <w:autoSpaceDE/>
              <w:autoSpaceDN/>
              <w:adjustRightInd/>
              <w:spacing w:line="240" w:lineRule="auto"/>
              <w:rPr>
                <w:rFonts w:eastAsia="Calibri" w:cs="Times New Roman"/>
                <w:color w:val="000000"/>
                <w:sz w:val="22"/>
                <w:szCs w:val="22"/>
                <w:lang w:eastAsia="en-US"/>
              </w:rPr>
            </w:pPr>
            <w:r w:rsidRPr="00981F2D">
              <w:rPr>
                <w:rFonts w:eastAsia="Calibri" w:cs="Times New Roman"/>
                <w:color w:val="000000"/>
                <w:sz w:val="22"/>
                <w:szCs w:val="22"/>
                <w:lang w:eastAsia="en-US"/>
              </w:rPr>
              <w:t>Zmiana ust. 1a w art. 13 ustawy o kosztach sądowych w sprawach cywilnych spowoduje, że wskazane podmioty – z wyłączeniem konsumentów oraz producentów rolnych prowadzących gospodarstwa rodzinne, dochodzących roszczeń wynikających z czynności bankowych – będą uiszczały opłaty według stawek ogólnych.</w:t>
            </w:r>
          </w:p>
        </w:tc>
      </w:tr>
      <w:tr w:rsidR="00981F2D" w:rsidRPr="00981F2D" w:rsidTr="00B14587">
        <w:trPr>
          <w:gridAfter w:val="1"/>
          <w:wAfter w:w="10" w:type="dxa"/>
          <w:trHeight w:val="302"/>
        </w:trPr>
        <w:tc>
          <w:tcPr>
            <w:tcW w:w="10937" w:type="dxa"/>
            <w:gridSpan w:val="29"/>
            <w:shd w:val="clear" w:color="auto" w:fill="99CCFF"/>
            <w:vAlign w:val="center"/>
          </w:tcPr>
          <w:p w:rsidR="00981F2D" w:rsidRPr="00981F2D" w:rsidRDefault="00981F2D" w:rsidP="00981F2D">
            <w:pPr>
              <w:widowControl/>
              <w:numPr>
                <w:ilvl w:val="0"/>
                <w:numId w:val="1"/>
              </w:numPr>
              <w:autoSpaceDE/>
              <w:autoSpaceDN/>
              <w:adjustRightInd/>
              <w:spacing w:before="60" w:after="60" w:line="240" w:lineRule="auto"/>
              <w:ind w:left="318" w:hanging="284"/>
              <w:jc w:val="both"/>
              <w:rPr>
                <w:rFonts w:eastAsia="Calibri" w:cs="Times New Roman"/>
                <w:b/>
                <w:color w:val="000000"/>
                <w:sz w:val="22"/>
                <w:szCs w:val="22"/>
                <w:lang w:eastAsia="en-US"/>
              </w:rPr>
            </w:pPr>
            <w:r w:rsidRPr="00981F2D">
              <w:rPr>
                <w:rFonts w:eastAsia="Calibri" w:cs="Times New Roman"/>
                <w:b/>
                <w:color w:val="000000"/>
                <w:sz w:val="22"/>
                <w:szCs w:val="22"/>
                <w:lang w:eastAsia="en-US"/>
              </w:rPr>
              <w:t>Informacje na temat zakresu, czasu trwania i podsumowanie wyników konsultacji</w:t>
            </w:r>
          </w:p>
        </w:tc>
      </w:tr>
      <w:tr w:rsidR="00981F2D" w:rsidRPr="00981F2D" w:rsidTr="00B14587">
        <w:trPr>
          <w:gridAfter w:val="1"/>
          <w:wAfter w:w="10" w:type="dxa"/>
          <w:trHeight w:val="342"/>
        </w:trPr>
        <w:tc>
          <w:tcPr>
            <w:tcW w:w="10937" w:type="dxa"/>
            <w:gridSpan w:val="29"/>
            <w:shd w:val="clear" w:color="auto" w:fill="FFFFFF"/>
          </w:tcPr>
          <w:p w:rsidR="00981F2D" w:rsidRPr="00981F2D" w:rsidRDefault="00981F2D" w:rsidP="00981F2D">
            <w:pPr>
              <w:widowControl/>
              <w:autoSpaceDE/>
              <w:autoSpaceDN/>
              <w:adjustRightInd/>
              <w:spacing w:line="240" w:lineRule="auto"/>
              <w:jc w:val="both"/>
              <w:rPr>
                <w:rFonts w:eastAsia="Calibri" w:cs="Times New Roman"/>
                <w:color w:val="000000"/>
                <w:sz w:val="22"/>
                <w:szCs w:val="22"/>
                <w:lang w:eastAsia="en-US"/>
              </w:rPr>
            </w:pPr>
            <w:r w:rsidRPr="00981F2D">
              <w:rPr>
                <w:rFonts w:eastAsia="Calibri" w:cs="Times New Roman"/>
                <w:color w:val="000000"/>
                <w:sz w:val="22"/>
                <w:szCs w:val="22"/>
                <w:lang w:eastAsia="en-US"/>
              </w:rPr>
              <w:t xml:space="preserve">Projekt nie został poddany konsultacjom społecznym. Projekt jest przygotowywany w trybie odrębnym, został przedłożony do rozpatrzenia Komitetowi Stałemu Rady Ministrów. </w:t>
            </w:r>
          </w:p>
        </w:tc>
      </w:tr>
      <w:tr w:rsidR="00981F2D" w:rsidRPr="00981F2D" w:rsidTr="00B14587">
        <w:trPr>
          <w:gridAfter w:val="1"/>
          <w:wAfter w:w="10" w:type="dxa"/>
          <w:trHeight w:val="363"/>
        </w:trPr>
        <w:tc>
          <w:tcPr>
            <w:tcW w:w="10937" w:type="dxa"/>
            <w:gridSpan w:val="29"/>
            <w:shd w:val="clear" w:color="auto" w:fill="99CCFF"/>
            <w:vAlign w:val="center"/>
          </w:tcPr>
          <w:p w:rsidR="00981F2D" w:rsidRPr="00981F2D" w:rsidRDefault="00981F2D" w:rsidP="00981F2D">
            <w:pPr>
              <w:widowControl/>
              <w:numPr>
                <w:ilvl w:val="0"/>
                <w:numId w:val="1"/>
              </w:numPr>
              <w:autoSpaceDE/>
              <w:autoSpaceDN/>
              <w:adjustRightInd/>
              <w:spacing w:before="60" w:after="60" w:line="240" w:lineRule="auto"/>
              <w:ind w:left="318" w:hanging="284"/>
              <w:jc w:val="both"/>
              <w:rPr>
                <w:rFonts w:eastAsia="Calibri" w:cs="Times New Roman"/>
                <w:b/>
                <w:color w:val="000000"/>
                <w:sz w:val="22"/>
                <w:szCs w:val="22"/>
                <w:lang w:eastAsia="en-US"/>
              </w:rPr>
            </w:pPr>
            <w:r w:rsidRPr="00981F2D">
              <w:rPr>
                <w:rFonts w:eastAsia="Calibri" w:cs="Times New Roman"/>
                <w:b/>
                <w:color w:val="000000"/>
                <w:sz w:val="22"/>
                <w:szCs w:val="22"/>
                <w:lang w:eastAsia="en-US"/>
              </w:rPr>
              <w:t xml:space="preserve"> Wpływ na sektor finansów publicznych</w:t>
            </w:r>
          </w:p>
        </w:tc>
      </w:tr>
      <w:tr w:rsidR="00981F2D" w:rsidRPr="00981F2D" w:rsidTr="00B14587">
        <w:trPr>
          <w:gridAfter w:val="1"/>
          <w:wAfter w:w="10" w:type="dxa"/>
          <w:trHeight w:val="142"/>
        </w:trPr>
        <w:tc>
          <w:tcPr>
            <w:tcW w:w="3133" w:type="dxa"/>
            <w:gridSpan w:val="4"/>
            <w:vMerge w:val="restart"/>
            <w:shd w:val="clear" w:color="auto" w:fill="FFFFFF"/>
          </w:tcPr>
          <w:p w:rsidR="00981F2D" w:rsidRPr="00981F2D" w:rsidRDefault="00981F2D" w:rsidP="00981F2D">
            <w:pPr>
              <w:widowControl/>
              <w:autoSpaceDE/>
              <w:autoSpaceDN/>
              <w:adjustRightInd/>
              <w:spacing w:before="40" w:after="40" w:line="276" w:lineRule="auto"/>
              <w:rPr>
                <w:rFonts w:eastAsia="Calibri" w:cs="Times New Roman"/>
                <w:i/>
                <w:color w:val="000000"/>
                <w:sz w:val="21"/>
                <w:szCs w:val="21"/>
                <w:lang w:eastAsia="en-US"/>
              </w:rPr>
            </w:pPr>
            <w:r w:rsidRPr="00981F2D">
              <w:rPr>
                <w:rFonts w:eastAsia="Calibri" w:cs="Times New Roman"/>
                <w:color w:val="000000"/>
                <w:sz w:val="21"/>
                <w:szCs w:val="21"/>
                <w:lang w:eastAsia="en-US"/>
              </w:rPr>
              <w:t>(ceny stałe z 2016 r.)</w:t>
            </w:r>
          </w:p>
        </w:tc>
        <w:tc>
          <w:tcPr>
            <w:tcW w:w="7804" w:type="dxa"/>
            <w:gridSpan w:val="25"/>
            <w:shd w:val="clear" w:color="auto" w:fill="FFFFFF"/>
          </w:tcPr>
          <w:p w:rsidR="00981F2D" w:rsidRPr="00981F2D" w:rsidRDefault="00981F2D" w:rsidP="00981F2D">
            <w:pPr>
              <w:widowControl/>
              <w:autoSpaceDE/>
              <w:autoSpaceDN/>
              <w:adjustRightInd/>
              <w:spacing w:before="40" w:after="40" w:line="240" w:lineRule="auto"/>
              <w:jc w:val="center"/>
              <w:rPr>
                <w:rFonts w:eastAsia="Calibri" w:cs="Times New Roman"/>
                <w:i/>
                <w:color w:val="000000"/>
                <w:sz w:val="21"/>
                <w:szCs w:val="21"/>
                <w:lang w:eastAsia="en-US"/>
              </w:rPr>
            </w:pPr>
            <w:r w:rsidRPr="00981F2D">
              <w:rPr>
                <w:rFonts w:eastAsia="Calibri" w:cs="Times New Roman"/>
                <w:color w:val="000000"/>
                <w:sz w:val="21"/>
                <w:szCs w:val="21"/>
                <w:lang w:eastAsia="en-US"/>
              </w:rPr>
              <w:t>Skutki w okresie 10 lat od wejścia w życie zmian [mln zł]</w:t>
            </w:r>
          </w:p>
        </w:tc>
      </w:tr>
      <w:tr w:rsidR="00981F2D" w:rsidRPr="00981F2D" w:rsidTr="00B14587">
        <w:trPr>
          <w:gridAfter w:val="1"/>
          <w:wAfter w:w="10" w:type="dxa"/>
          <w:trHeight w:val="142"/>
        </w:trPr>
        <w:tc>
          <w:tcPr>
            <w:tcW w:w="3133" w:type="dxa"/>
            <w:gridSpan w:val="4"/>
            <w:vMerge/>
            <w:shd w:val="clear" w:color="auto" w:fill="FFFFFF"/>
          </w:tcPr>
          <w:p w:rsidR="00981F2D" w:rsidRPr="00981F2D" w:rsidRDefault="00981F2D" w:rsidP="00981F2D">
            <w:pPr>
              <w:widowControl/>
              <w:autoSpaceDE/>
              <w:autoSpaceDN/>
              <w:adjustRightInd/>
              <w:spacing w:before="40" w:after="40" w:line="240" w:lineRule="auto"/>
              <w:rPr>
                <w:rFonts w:eastAsia="Calibri" w:cs="Times New Roman"/>
                <w:i/>
                <w:color w:val="000000"/>
                <w:sz w:val="21"/>
                <w:szCs w:val="21"/>
                <w:lang w:eastAsia="en-US"/>
              </w:rPr>
            </w:pPr>
          </w:p>
        </w:tc>
        <w:tc>
          <w:tcPr>
            <w:tcW w:w="569" w:type="dxa"/>
            <w:gridSpan w:val="2"/>
            <w:shd w:val="clear" w:color="auto" w:fill="FFFFFF"/>
          </w:tcPr>
          <w:p w:rsidR="00981F2D" w:rsidRPr="00981F2D" w:rsidRDefault="00981F2D" w:rsidP="00981F2D">
            <w:pPr>
              <w:widowControl/>
              <w:autoSpaceDE/>
              <w:autoSpaceDN/>
              <w:adjustRightInd/>
              <w:spacing w:line="240" w:lineRule="auto"/>
              <w:jc w:val="center"/>
              <w:rPr>
                <w:rFonts w:eastAsia="Calibri" w:cs="Times New Roman"/>
                <w:color w:val="000000"/>
                <w:sz w:val="21"/>
                <w:szCs w:val="21"/>
                <w:lang w:eastAsia="en-US"/>
              </w:rPr>
            </w:pPr>
            <w:r w:rsidRPr="00981F2D">
              <w:rPr>
                <w:rFonts w:eastAsia="Calibri" w:cs="Times New Roman"/>
                <w:color w:val="000000"/>
                <w:sz w:val="21"/>
                <w:szCs w:val="21"/>
                <w:lang w:eastAsia="en-US"/>
              </w:rPr>
              <w:t>0</w:t>
            </w:r>
          </w:p>
        </w:tc>
        <w:tc>
          <w:tcPr>
            <w:tcW w:w="570" w:type="dxa"/>
            <w:gridSpan w:val="2"/>
            <w:shd w:val="clear" w:color="auto" w:fill="FFFFFF"/>
          </w:tcPr>
          <w:p w:rsidR="00981F2D" w:rsidRPr="00981F2D" w:rsidRDefault="00981F2D" w:rsidP="00981F2D">
            <w:pPr>
              <w:widowControl/>
              <w:autoSpaceDE/>
              <w:autoSpaceDN/>
              <w:adjustRightInd/>
              <w:spacing w:line="240" w:lineRule="auto"/>
              <w:jc w:val="center"/>
              <w:rPr>
                <w:rFonts w:eastAsia="Calibri" w:cs="Times New Roman"/>
                <w:color w:val="000000"/>
                <w:sz w:val="21"/>
                <w:szCs w:val="21"/>
                <w:lang w:eastAsia="en-US"/>
              </w:rPr>
            </w:pPr>
            <w:r w:rsidRPr="00981F2D">
              <w:rPr>
                <w:rFonts w:eastAsia="Calibri" w:cs="Times New Roman"/>
                <w:color w:val="000000"/>
                <w:sz w:val="21"/>
                <w:szCs w:val="21"/>
                <w:lang w:eastAsia="en-US"/>
              </w:rPr>
              <w:t>1</w:t>
            </w:r>
          </w:p>
        </w:tc>
        <w:tc>
          <w:tcPr>
            <w:tcW w:w="570" w:type="dxa"/>
            <w:gridSpan w:val="2"/>
            <w:shd w:val="clear" w:color="auto" w:fill="FFFFFF"/>
          </w:tcPr>
          <w:p w:rsidR="00981F2D" w:rsidRPr="00981F2D" w:rsidRDefault="00981F2D" w:rsidP="00981F2D">
            <w:pPr>
              <w:widowControl/>
              <w:autoSpaceDE/>
              <w:autoSpaceDN/>
              <w:adjustRightInd/>
              <w:spacing w:line="240" w:lineRule="auto"/>
              <w:jc w:val="center"/>
              <w:rPr>
                <w:rFonts w:eastAsia="Calibri" w:cs="Times New Roman"/>
                <w:color w:val="000000"/>
                <w:sz w:val="21"/>
                <w:szCs w:val="21"/>
                <w:lang w:eastAsia="en-US"/>
              </w:rPr>
            </w:pPr>
            <w:r w:rsidRPr="00981F2D">
              <w:rPr>
                <w:rFonts w:eastAsia="Calibri" w:cs="Times New Roman"/>
                <w:color w:val="000000"/>
                <w:sz w:val="21"/>
                <w:szCs w:val="21"/>
                <w:lang w:eastAsia="en-US"/>
              </w:rPr>
              <w:t>2</w:t>
            </w:r>
          </w:p>
        </w:tc>
        <w:tc>
          <w:tcPr>
            <w:tcW w:w="569" w:type="dxa"/>
            <w:gridSpan w:val="3"/>
            <w:shd w:val="clear" w:color="auto" w:fill="FFFFFF"/>
          </w:tcPr>
          <w:p w:rsidR="00981F2D" w:rsidRPr="00981F2D" w:rsidRDefault="00981F2D" w:rsidP="00981F2D">
            <w:pPr>
              <w:widowControl/>
              <w:autoSpaceDE/>
              <w:autoSpaceDN/>
              <w:adjustRightInd/>
              <w:spacing w:line="240" w:lineRule="auto"/>
              <w:jc w:val="center"/>
              <w:rPr>
                <w:rFonts w:eastAsia="Calibri" w:cs="Times New Roman"/>
                <w:color w:val="000000"/>
                <w:sz w:val="21"/>
                <w:szCs w:val="21"/>
                <w:lang w:eastAsia="en-US"/>
              </w:rPr>
            </w:pPr>
            <w:r w:rsidRPr="00981F2D">
              <w:rPr>
                <w:rFonts w:eastAsia="Calibri" w:cs="Times New Roman"/>
                <w:color w:val="000000"/>
                <w:sz w:val="21"/>
                <w:szCs w:val="21"/>
                <w:lang w:eastAsia="en-US"/>
              </w:rPr>
              <w:t>3</w:t>
            </w:r>
          </w:p>
        </w:tc>
        <w:tc>
          <w:tcPr>
            <w:tcW w:w="570" w:type="dxa"/>
            <w:gridSpan w:val="2"/>
            <w:shd w:val="clear" w:color="auto" w:fill="FFFFFF"/>
          </w:tcPr>
          <w:p w:rsidR="00981F2D" w:rsidRPr="00981F2D" w:rsidRDefault="00981F2D" w:rsidP="00981F2D">
            <w:pPr>
              <w:widowControl/>
              <w:autoSpaceDE/>
              <w:autoSpaceDN/>
              <w:adjustRightInd/>
              <w:spacing w:line="240" w:lineRule="auto"/>
              <w:jc w:val="center"/>
              <w:rPr>
                <w:rFonts w:eastAsia="Calibri" w:cs="Times New Roman"/>
                <w:color w:val="000000"/>
                <w:sz w:val="21"/>
                <w:szCs w:val="21"/>
                <w:lang w:eastAsia="en-US"/>
              </w:rPr>
            </w:pPr>
            <w:r w:rsidRPr="00981F2D">
              <w:rPr>
                <w:rFonts w:eastAsia="Calibri" w:cs="Times New Roman"/>
                <w:color w:val="000000"/>
                <w:sz w:val="21"/>
                <w:szCs w:val="21"/>
                <w:lang w:eastAsia="en-US"/>
              </w:rPr>
              <w:t>4</w:t>
            </w:r>
          </w:p>
        </w:tc>
        <w:tc>
          <w:tcPr>
            <w:tcW w:w="570" w:type="dxa"/>
            <w:shd w:val="clear" w:color="auto" w:fill="FFFFFF"/>
          </w:tcPr>
          <w:p w:rsidR="00981F2D" w:rsidRPr="00981F2D" w:rsidRDefault="00981F2D" w:rsidP="00981F2D">
            <w:pPr>
              <w:widowControl/>
              <w:autoSpaceDE/>
              <w:autoSpaceDN/>
              <w:adjustRightInd/>
              <w:spacing w:line="240" w:lineRule="auto"/>
              <w:jc w:val="center"/>
              <w:rPr>
                <w:rFonts w:eastAsia="Calibri" w:cs="Times New Roman"/>
                <w:color w:val="000000"/>
                <w:sz w:val="21"/>
                <w:szCs w:val="21"/>
                <w:lang w:eastAsia="en-US"/>
              </w:rPr>
            </w:pPr>
            <w:r w:rsidRPr="00981F2D">
              <w:rPr>
                <w:rFonts w:eastAsia="Calibri" w:cs="Times New Roman"/>
                <w:color w:val="000000"/>
                <w:sz w:val="21"/>
                <w:szCs w:val="21"/>
                <w:lang w:eastAsia="en-US"/>
              </w:rPr>
              <w:t>5</w:t>
            </w:r>
          </w:p>
        </w:tc>
        <w:tc>
          <w:tcPr>
            <w:tcW w:w="570" w:type="dxa"/>
            <w:gridSpan w:val="3"/>
            <w:shd w:val="clear" w:color="auto" w:fill="FFFFFF"/>
          </w:tcPr>
          <w:p w:rsidR="00981F2D" w:rsidRPr="00981F2D" w:rsidRDefault="00981F2D" w:rsidP="00981F2D">
            <w:pPr>
              <w:widowControl/>
              <w:autoSpaceDE/>
              <w:autoSpaceDN/>
              <w:adjustRightInd/>
              <w:spacing w:line="240" w:lineRule="auto"/>
              <w:jc w:val="center"/>
              <w:rPr>
                <w:rFonts w:eastAsia="Calibri" w:cs="Times New Roman"/>
                <w:color w:val="000000"/>
                <w:sz w:val="21"/>
                <w:szCs w:val="21"/>
                <w:lang w:eastAsia="en-US"/>
              </w:rPr>
            </w:pPr>
            <w:r w:rsidRPr="00981F2D">
              <w:rPr>
                <w:rFonts w:eastAsia="Calibri" w:cs="Times New Roman"/>
                <w:color w:val="000000"/>
                <w:sz w:val="21"/>
                <w:szCs w:val="21"/>
                <w:lang w:eastAsia="en-US"/>
              </w:rPr>
              <w:t>6</w:t>
            </w:r>
          </w:p>
        </w:tc>
        <w:tc>
          <w:tcPr>
            <w:tcW w:w="569" w:type="dxa"/>
            <w:gridSpan w:val="3"/>
            <w:shd w:val="clear" w:color="auto" w:fill="FFFFFF"/>
          </w:tcPr>
          <w:p w:rsidR="00981F2D" w:rsidRPr="00981F2D" w:rsidRDefault="00981F2D" w:rsidP="00981F2D">
            <w:pPr>
              <w:widowControl/>
              <w:autoSpaceDE/>
              <w:autoSpaceDN/>
              <w:adjustRightInd/>
              <w:spacing w:line="240" w:lineRule="auto"/>
              <w:jc w:val="center"/>
              <w:rPr>
                <w:rFonts w:eastAsia="Calibri" w:cs="Times New Roman"/>
                <w:color w:val="000000"/>
                <w:sz w:val="21"/>
                <w:szCs w:val="21"/>
                <w:lang w:eastAsia="en-US"/>
              </w:rPr>
            </w:pPr>
            <w:r w:rsidRPr="00981F2D">
              <w:rPr>
                <w:rFonts w:eastAsia="Calibri" w:cs="Times New Roman"/>
                <w:color w:val="000000"/>
                <w:sz w:val="21"/>
                <w:szCs w:val="21"/>
                <w:lang w:eastAsia="en-US"/>
              </w:rPr>
              <w:t>7</w:t>
            </w:r>
          </w:p>
        </w:tc>
        <w:tc>
          <w:tcPr>
            <w:tcW w:w="570" w:type="dxa"/>
            <w:gridSpan w:val="2"/>
            <w:shd w:val="clear" w:color="auto" w:fill="FFFFFF"/>
          </w:tcPr>
          <w:p w:rsidR="00981F2D" w:rsidRPr="00981F2D" w:rsidRDefault="00981F2D" w:rsidP="00981F2D">
            <w:pPr>
              <w:widowControl/>
              <w:autoSpaceDE/>
              <w:autoSpaceDN/>
              <w:adjustRightInd/>
              <w:spacing w:line="240" w:lineRule="auto"/>
              <w:jc w:val="center"/>
              <w:rPr>
                <w:rFonts w:eastAsia="Calibri" w:cs="Times New Roman"/>
                <w:color w:val="000000"/>
                <w:sz w:val="21"/>
                <w:szCs w:val="21"/>
                <w:lang w:eastAsia="en-US"/>
              </w:rPr>
            </w:pPr>
            <w:r w:rsidRPr="00981F2D">
              <w:rPr>
                <w:rFonts w:eastAsia="Calibri" w:cs="Times New Roman"/>
                <w:color w:val="000000"/>
                <w:sz w:val="21"/>
                <w:szCs w:val="21"/>
                <w:lang w:eastAsia="en-US"/>
              </w:rPr>
              <w:t>8</w:t>
            </w:r>
          </w:p>
        </w:tc>
        <w:tc>
          <w:tcPr>
            <w:tcW w:w="570" w:type="dxa"/>
            <w:gridSpan w:val="2"/>
            <w:shd w:val="clear" w:color="auto" w:fill="FFFFFF"/>
          </w:tcPr>
          <w:p w:rsidR="00981F2D" w:rsidRPr="00981F2D" w:rsidRDefault="00981F2D" w:rsidP="00981F2D">
            <w:pPr>
              <w:widowControl/>
              <w:autoSpaceDE/>
              <w:autoSpaceDN/>
              <w:adjustRightInd/>
              <w:spacing w:line="240" w:lineRule="auto"/>
              <w:jc w:val="center"/>
              <w:rPr>
                <w:rFonts w:eastAsia="Calibri" w:cs="Times New Roman"/>
                <w:color w:val="000000"/>
                <w:sz w:val="21"/>
                <w:szCs w:val="21"/>
                <w:lang w:eastAsia="en-US"/>
              </w:rPr>
            </w:pPr>
            <w:r w:rsidRPr="00981F2D">
              <w:rPr>
                <w:rFonts w:eastAsia="Calibri" w:cs="Times New Roman"/>
                <w:color w:val="000000"/>
                <w:sz w:val="21"/>
                <w:szCs w:val="21"/>
                <w:lang w:eastAsia="en-US"/>
              </w:rPr>
              <w:t>9</w:t>
            </w:r>
          </w:p>
        </w:tc>
        <w:tc>
          <w:tcPr>
            <w:tcW w:w="570" w:type="dxa"/>
            <w:gridSpan w:val="2"/>
            <w:shd w:val="clear" w:color="auto" w:fill="FFFFFF"/>
          </w:tcPr>
          <w:p w:rsidR="00981F2D" w:rsidRPr="00981F2D" w:rsidRDefault="00981F2D" w:rsidP="00981F2D">
            <w:pPr>
              <w:widowControl/>
              <w:autoSpaceDE/>
              <w:autoSpaceDN/>
              <w:adjustRightInd/>
              <w:spacing w:line="240" w:lineRule="auto"/>
              <w:jc w:val="center"/>
              <w:rPr>
                <w:rFonts w:eastAsia="Calibri" w:cs="Times New Roman"/>
                <w:color w:val="000000"/>
                <w:sz w:val="21"/>
                <w:szCs w:val="21"/>
                <w:lang w:eastAsia="en-US"/>
              </w:rPr>
            </w:pPr>
            <w:r w:rsidRPr="00981F2D">
              <w:rPr>
                <w:rFonts w:eastAsia="Calibri" w:cs="Times New Roman"/>
                <w:color w:val="000000"/>
                <w:sz w:val="21"/>
                <w:szCs w:val="21"/>
                <w:lang w:eastAsia="en-US"/>
              </w:rPr>
              <w:t>10</w:t>
            </w:r>
          </w:p>
        </w:tc>
        <w:tc>
          <w:tcPr>
            <w:tcW w:w="1537" w:type="dxa"/>
            <w:shd w:val="clear" w:color="auto" w:fill="FFFFFF"/>
          </w:tcPr>
          <w:p w:rsidR="00981F2D" w:rsidRPr="00981F2D" w:rsidRDefault="00981F2D" w:rsidP="00981F2D">
            <w:pPr>
              <w:widowControl/>
              <w:autoSpaceDE/>
              <w:autoSpaceDN/>
              <w:adjustRightInd/>
              <w:spacing w:before="40" w:after="40" w:line="240" w:lineRule="auto"/>
              <w:jc w:val="center"/>
              <w:rPr>
                <w:rFonts w:eastAsia="Calibri" w:cs="Times New Roman"/>
                <w:i/>
                <w:color w:val="000000"/>
                <w:sz w:val="21"/>
                <w:szCs w:val="21"/>
                <w:lang w:eastAsia="en-US"/>
              </w:rPr>
            </w:pPr>
            <w:r w:rsidRPr="00981F2D">
              <w:rPr>
                <w:rFonts w:eastAsia="Calibri" w:cs="Times New Roman"/>
                <w:i/>
                <w:color w:val="000000"/>
                <w:sz w:val="21"/>
                <w:szCs w:val="21"/>
                <w:lang w:eastAsia="en-US"/>
              </w:rPr>
              <w:t>Łącznie (0–10)</w:t>
            </w:r>
          </w:p>
        </w:tc>
      </w:tr>
      <w:tr w:rsidR="00981F2D" w:rsidRPr="00981F2D" w:rsidTr="00B14587">
        <w:trPr>
          <w:trHeight w:val="321"/>
        </w:trPr>
        <w:tc>
          <w:tcPr>
            <w:tcW w:w="3133" w:type="dxa"/>
            <w:gridSpan w:val="4"/>
            <w:shd w:val="clear" w:color="auto" w:fill="FFFFFF"/>
            <w:vAlign w:val="center"/>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r w:rsidRPr="00981F2D">
              <w:rPr>
                <w:rFonts w:eastAsia="Calibri" w:cs="Times New Roman"/>
                <w:b/>
                <w:color w:val="000000"/>
                <w:sz w:val="21"/>
                <w:szCs w:val="21"/>
                <w:lang w:eastAsia="en-US"/>
              </w:rPr>
              <w:t>Dochody ogółem</w:t>
            </w:r>
          </w:p>
        </w:tc>
        <w:tc>
          <w:tcPr>
            <w:tcW w:w="569" w:type="dxa"/>
            <w:gridSpan w:val="2"/>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r w:rsidRPr="00981F2D">
              <w:rPr>
                <w:rFonts w:eastAsia="Calibri" w:cs="Times New Roman"/>
                <w:color w:val="000000"/>
                <w:sz w:val="21"/>
                <w:szCs w:val="21"/>
                <w:lang w:eastAsia="en-US"/>
              </w:rPr>
              <w:t>0</w:t>
            </w:r>
          </w:p>
        </w:tc>
        <w:tc>
          <w:tcPr>
            <w:tcW w:w="570" w:type="dxa"/>
            <w:gridSpan w:val="2"/>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r w:rsidRPr="00981F2D">
              <w:rPr>
                <w:rFonts w:eastAsia="Calibri" w:cs="Times New Roman"/>
                <w:color w:val="000000"/>
                <w:sz w:val="21"/>
                <w:szCs w:val="21"/>
                <w:lang w:eastAsia="en-US"/>
              </w:rPr>
              <w:t>0</w:t>
            </w:r>
          </w:p>
        </w:tc>
        <w:tc>
          <w:tcPr>
            <w:tcW w:w="570" w:type="dxa"/>
            <w:gridSpan w:val="2"/>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r w:rsidRPr="00981F2D">
              <w:rPr>
                <w:rFonts w:eastAsia="Calibri" w:cs="Times New Roman"/>
                <w:color w:val="000000"/>
                <w:sz w:val="21"/>
                <w:szCs w:val="21"/>
                <w:lang w:eastAsia="en-US"/>
              </w:rPr>
              <w:t>0</w:t>
            </w:r>
          </w:p>
        </w:tc>
        <w:tc>
          <w:tcPr>
            <w:tcW w:w="569" w:type="dxa"/>
            <w:gridSpan w:val="3"/>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r w:rsidRPr="00981F2D">
              <w:rPr>
                <w:rFonts w:eastAsia="Calibri" w:cs="Times New Roman"/>
                <w:color w:val="000000"/>
                <w:sz w:val="21"/>
                <w:szCs w:val="21"/>
                <w:lang w:eastAsia="en-US"/>
              </w:rPr>
              <w:t>0</w:t>
            </w:r>
          </w:p>
        </w:tc>
        <w:tc>
          <w:tcPr>
            <w:tcW w:w="570" w:type="dxa"/>
            <w:gridSpan w:val="2"/>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r w:rsidRPr="00981F2D">
              <w:rPr>
                <w:rFonts w:eastAsia="Calibri" w:cs="Times New Roman"/>
                <w:color w:val="000000"/>
                <w:sz w:val="21"/>
                <w:szCs w:val="21"/>
                <w:lang w:eastAsia="en-US"/>
              </w:rPr>
              <w:t>0</w:t>
            </w:r>
          </w:p>
        </w:tc>
        <w:tc>
          <w:tcPr>
            <w:tcW w:w="570" w:type="dxa"/>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r w:rsidRPr="00981F2D">
              <w:rPr>
                <w:rFonts w:eastAsia="Calibri" w:cs="Times New Roman"/>
                <w:color w:val="000000"/>
                <w:sz w:val="21"/>
                <w:szCs w:val="21"/>
                <w:lang w:eastAsia="en-US"/>
              </w:rPr>
              <w:t>0</w:t>
            </w:r>
          </w:p>
        </w:tc>
        <w:tc>
          <w:tcPr>
            <w:tcW w:w="570" w:type="dxa"/>
            <w:gridSpan w:val="3"/>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r w:rsidRPr="00981F2D">
              <w:rPr>
                <w:rFonts w:eastAsia="Calibri" w:cs="Times New Roman"/>
                <w:color w:val="000000"/>
                <w:sz w:val="21"/>
                <w:szCs w:val="21"/>
                <w:lang w:eastAsia="en-US"/>
              </w:rPr>
              <w:t>0</w:t>
            </w:r>
          </w:p>
        </w:tc>
        <w:tc>
          <w:tcPr>
            <w:tcW w:w="569" w:type="dxa"/>
            <w:gridSpan w:val="3"/>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r w:rsidRPr="00981F2D">
              <w:rPr>
                <w:rFonts w:eastAsia="Calibri" w:cs="Times New Roman"/>
                <w:color w:val="000000"/>
                <w:sz w:val="21"/>
                <w:szCs w:val="21"/>
                <w:lang w:eastAsia="en-US"/>
              </w:rPr>
              <w:t>0</w:t>
            </w:r>
          </w:p>
        </w:tc>
        <w:tc>
          <w:tcPr>
            <w:tcW w:w="570" w:type="dxa"/>
            <w:gridSpan w:val="2"/>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r w:rsidRPr="00981F2D">
              <w:rPr>
                <w:rFonts w:eastAsia="Calibri" w:cs="Times New Roman"/>
                <w:color w:val="000000"/>
                <w:sz w:val="21"/>
                <w:szCs w:val="21"/>
                <w:lang w:eastAsia="en-US"/>
              </w:rPr>
              <w:t>0</w:t>
            </w:r>
          </w:p>
        </w:tc>
        <w:tc>
          <w:tcPr>
            <w:tcW w:w="570" w:type="dxa"/>
            <w:gridSpan w:val="2"/>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r w:rsidRPr="00981F2D">
              <w:rPr>
                <w:rFonts w:eastAsia="Calibri" w:cs="Times New Roman"/>
                <w:color w:val="000000"/>
                <w:sz w:val="21"/>
                <w:szCs w:val="21"/>
                <w:lang w:eastAsia="en-US"/>
              </w:rPr>
              <w:t>0</w:t>
            </w:r>
          </w:p>
        </w:tc>
        <w:tc>
          <w:tcPr>
            <w:tcW w:w="570" w:type="dxa"/>
            <w:gridSpan w:val="2"/>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r w:rsidRPr="00981F2D">
              <w:rPr>
                <w:rFonts w:eastAsia="Calibri" w:cs="Times New Roman"/>
                <w:color w:val="000000"/>
                <w:sz w:val="21"/>
                <w:szCs w:val="21"/>
                <w:lang w:eastAsia="en-US"/>
              </w:rPr>
              <w:t>0</w:t>
            </w:r>
          </w:p>
        </w:tc>
        <w:tc>
          <w:tcPr>
            <w:tcW w:w="1547" w:type="dxa"/>
            <w:gridSpan w:val="2"/>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r w:rsidRPr="00981F2D">
              <w:rPr>
                <w:rFonts w:eastAsia="Calibri" w:cs="Times New Roman"/>
                <w:color w:val="000000"/>
                <w:sz w:val="21"/>
                <w:szCs w:val="21"/>
                <w:lang w:eastAsia="en-US"/>
              </w:rPr>
              <w:t>0</w:t>
            </w:r>
          </w:p>
        </w:tc>
      </w:tr>
      <w:tr w:rsidR="00981F2D" w:rsidRPr="00981F2D" w:rsidTr="00B14587">
        <w:trPr>
          <w:trHeight w:val="321"/>
        </w:trPr>
        <w:tc>
          <w:tcPr>
            <w:tcW w:w="3133" w:type="dxa"/>
            <w:gridSpan w:val="4"/>
            <w:shd w:val="clear" w:color="auto" w:fill="FFFFFF"/>
            <w:vAlign w:val="center"/>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r w:rsidRPr="00981F2D">
              <w:rPr>
                <w:rFonts w:eastAsia="Calibri" w:cs="Times New Roman"/>
                <w:color w:val="000000"/>
                <w:sz w:val="21"/>
                <w:szCs w:val="21"/>
                <w:lang w:eastAsia="en-US"/>
              </w:rPr>
              <w:t>budżet państwa</w:t>
            </w:r>
          </w:p>
        </w:tc>
        <w:tc>
          <w:tcPr>
            <w:tcW w:w="569" w:type="dxa"/>
            <w:gridSpan w:val="2"/>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p>
        </w:tc>
        <w:tc>
          <w:tcPr>
            <w:tcW w:w="570" w:type="dxa"/>
            <w:gridSpan w:val="2"/>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p>
        </w:tc>
        <w:tc>
          <w:tcPr>
            <w:tcW w:w="570" w:type="dxa"/>
            <w:gridSpan w:val="2"/>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p>
        </w:tc>
        <w:tc>
          <w:tcPr>
            <w:tcW w:w="569" w:type="dxa"/>
            <w:gridSpan w:val="3"/>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p>
        </w:tc>
        <w:tc>
          <w:tcPr>
            <w:tcW w:w="570" w:type="dxa"/>
            <w:gridSpan w:val="2"/>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p>
        </w:tc>
        <w:tc>
          <w:tcPr>
            <w:tcW w:w="570" w:type="dxa"/>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p>
        </w:tc>
        <w:tc>
          <w:tcPr>
            <w:tcW w:w="570" w:type="dxa"/>
            <w:gridSpan w:val="3"/>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p>
        </w:tc>
        <w:tc>
          <w:tcPr>
            <w:tcW w:w="569" w:type="dxa"/>
            <w:gridSpan w:val="3"/>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p>
        </w:tc>
        <w:tc>
          <w:tcPr>
            <w:tcW w:w="570" w:type="dxa"/>
            <w:gridSpan w:val="2"/>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p>
        </w:tc>
        <w:tc>
          <w:tcPr>
            <w:tcW w:w="570" w:type="dxa"/>
            <w:gridSpan w:val="2"/>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p>
        </w:tc>
        <w:tc>
          <w:tcPr>
            <w:tcW w:w="570" w:type="dxa"/>
            <w:gridSpan w:val="2"/>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p>
        </w:tc>
        <w:tc>
          <w:tcPr>
            <w:tcW w:w="1547" w:type="dxa"/>
            <w:gridSpan w:val="2"/>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p>
        </w:tc>
      </w:tr>
      <w:tr w:rsidR="00981F2D" w:rsidRPr="00981F2D" w:rsidTr="00B14587">
        <w:trPr>
          <w:trHeight w:val="344"/>
        </w:trPr>
        <w:tc>
          <w:tcPr>
            <w:tcW w:w="3133" w:type="dxa"/>
            <w:gridSpan w:val="4"/>
            <w:shd w:val="clear" w:color="auto" w:fill="FFFFFF"/>
            <w:vAlign w:val="center"/>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r w:rsidRPr="00981F2D">
              <w:rPr>
                <w:rFonts w:eastAsia="Calibri" w:cs="Times New Roman"/>
                <w:color w:val="000000"/>
                <w:sz w:val="21"/>
                <w:szCs w:val="21"/>
                <w:lang w:eastAsia="en-US"/>
              </w:rPr>
              <w:t>JST</w:t>
            </w:r>
          </w:p>
        </w:tc>
        <w:tc>
          <w:tcPr>
            <w:tcW w:w="569" w:type="dxa"/>
            <w:gridSpan w:val="2"/>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p>
        </w:tc>
        <w:tc>
          <w:tcPr>
            <w:tcW w:w="570" w:type="dxa"/>
            <w:gridSpan w:val="2"/>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p>
        </w:tc>
        <w:tc>
          <w:tcPr>
            <w:tcW w:w="570" w:type="dxa"/>
            <w:gridSpan w:val="2"/>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p>
        </w:tc>
        <w:tc>
          <w:tcPr>
            <w:tcW w:w="569" w:type="dxa"/>
            <w:gridSpan w:val="3"/>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p>
        </w:tc>
        <w:tc>
          <w:tcPr>
            <w:tcW w:w="570" w:type="dxa"/>
            <w:gridSpan w:val="2"/>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p>
        </w:tc>
        <w:tc>
          <w:tcPr>
            <w:tcW w:w="570" w:type="dxa"/>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p>
        </w:tc>
        <w:tc>
          <w:tcPr>
            <w:tcW w:w="570" w:type="dxa"/>
            <w:gridSpan w:val="3"/>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p>
        </w:tc>
        <w:tc>
          <w:tcPr>
            <w:tcW w:w="569" w:type="dxa"/>
            <w:gridSpan w:val="3"/>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p>
        </w:tc>
        <w:tc>
          <w:tcPr>
            <w:tcW w:w="570" w:type="dxa"/>
            <w:gridSpan w:val="2"/>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p>
        </w:tc>
        <w:tc>
          <w:tcPr>
            <w:tcW w:w="570" w:type="dxa"/>
            <w:gridSpan w:val="2"/>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p>
        </w:tc>
        <w:tc>
          <w:tcPr>
            <w:tcW w:w="570" w:type="dxa"/>
            <w:gridSpan w:val="2"/>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p>
        </w:tc>
        <w:tc>
          <w:tcPr>
            <w:tcW w:w="1547" w:type="dxa"/>
            <w:gridSpan w:val="2"/>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p>
        </w:tc>
      </w:tr>
      <w:tr w:rsidR="00981F2D" w:rsidRPr="00981F2D" w:rsidTr="00B14587">
        <w:trPr>
          <w:trHeight w:val="344"/>
        </w:trPr>
        <w:tc>
          <w:tcPr>
            <w:tcW w:w="3133" w:type="dxa"/>
            <w:gridSpan w:val="4"/>
            <w:shd w:val="clear" w:color="auto" w:fill="FFFFFF"/>
            <w:vAlign w:val="center"/>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r w:rsidRPr="00981F2D">
              <w:rPr>
                <w:rFonts w:eastAsia="Calibri" w:cs="Times New Roman"/>
                <w:color w:val="000000"/>
                <w:sz w:val="21"/>
                <w:szCs w:val="21"/>
                <w:lang w:eastAsia="en-US"/>
              </w:rPr>
              <w:t>pozostałe jednostki (oddzielnie)</w:t>
            </w:r>
          </w:p>
        </w:tc>
        <w:tc>
          <w:tcPr>
            <w:tcW w:w="569" w:type="dxa"/>
            <w:gridSpan w:val="2"/>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p>
        </w:tc>
        <w:tc>
          <w:tcPr>
            <w:tcW w:w="570" w:type="dxa"/>
            <w:gridSpan w:val="2"/>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p>
        </w:tc>
        <w:tc>
          <w:tcPr>
            <w:tcW w:w="570" w:type="dxa"/>
            <w:gridSpan w:val="2"/>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p>
        </w:tc>
        <w:tc>
          <w:tcPr>
            <w:tcW w:w="569" w:type="dxa"/>
            <w:gridSpan w:val="3"/>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p>
        </w:tc>
        <w:tc>
          <w:tcPr>
            <w:tcW w:w="570" w:type="dxa"/>
            <w:gridSpan w:val="2"/>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p>
        </w:tc>
        <w:tc>
          <w:tcPr>
            <w:tcW w:w="570" w:type="dxa"/>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p>
        </w:tc>
        <w:tc>
          <w:tcPr>
            <w:tcW w:w="570" w:type="dxa"/>
            <w:gridSpan w:val="3"/>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p>
        </w:tc>
        <w:tc>
          <w:tcPr>
            <w:tcW w:w="569" w:type="dxa"/>
            <w:gridSpan w:val="3"/>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p>
        </w:tc>
        <w:tc>
          <w:tcPr>
            <w:tcW w:w="570" w:type="dxa"/>
            <w:gridSpan w:val="2"/>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p>
        </w:tc>
        <w:tc>
          <w:tcPr>
            <w:tcW w:w="570" w:type="dxa"/>
            <w:gridSpan w:val="2"/>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p>
        </w:tc>
        <w:tc>
          <w:tcPr>
            <w:tcW w:w="570" w:type="dxa"/>
            <w:gridSpan w:val="2"/>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p>
        </w:tc>
        <w:tc>
          <w:tcPr>
            <w:tcW w:w="1547" w:type="dxa"/>
            <w:gridSpan w:val="2"/>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p>
        </w:tc>
      </w:tr>
      <w:tr w:rsidR="00981F2D" w:rsidRPr="00981F2D" w:rsidTr="00B14587">
        <w:trPr>
          <w:trHeight w:val="330"/>
        </w:trPr>
        <w:tc>
          <w:tcPr>
            <w:tcW w:w="3133" w:type="dxa"/>
            <w:gridSpan w:val="4"/>
            <w:shd w:val="clear" w:color="auto" w:fill="FFFFFF"/>
            <w:vAlign w:val="center"/>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r w:rsidRPr="00981F2D">
              <w:rPr>
                <w:rFonts w:eastAsia="Calibri" w:cs="Times New Roman"/>
                <w:b/>
                <w:color w:val="000000"/>
                <w:sz w:val="21"/>
                <w:szCs w:val="21"/>
                <w:lang w:eastAsia="en-US"/>
              </w:rPr>
              <w:t>Wydatki ogółem</w:t>
            </w:r>
          </w:p>
        </w:tc>
        <w:tc>
          <w:tcPr>
            <w:tcW w:w="569" w:type="dxa"/>
            <w:gridSpan w:val="2"/>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r w:rsidRPr="00981F2D">
              <w:rPr>
                <w:rFonts w:eastAsia="Calibri" w:cs="Times New Roman"/>
                <w:color w:val="000000"/>
                <w:sz w:val="21"/>
                <w:szCs w:val="21"/>
                <w:lang w:eastAsia="en-US"/>
              </w:rPr>
              <w:t>0</w:t>
            </w:r>
          </w:p>
        </w:tc>
        <w:tc>
          <w:tcPr>
            <w:tcW w:w="570" w:type="dxa"/>
            <w:gridSpan w:val="2"/>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r w:rsidRPr="00981F2D">
              <w:rPr>
                <w:rFonts w:eastAsia="Calibri" w:cs="Times New Roman"/>
                <w:color w:val="000000"/>
                <w:sz w:val="21"/>
                <w:szCs w:val="21"/>
                <w:lang w:eastAsia="en-US"/>
              </w:rPr>
              <w:t>0</w:t>
            </w:r>
          </w:p>
        </w:tc>
        <w:tc>
          <w:tcPr>
            <w:tcW w:w="570" w:type="dxa"/>
            <w:gridSpan w:val="2"/>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r w:rsidRPr="00981F2D">
              <w:rPr>
                <w:rFonts w:eastAsia="Calibri" w:cs="Times New Roman"/>
                <w:color w:val="000000"/>
                <w:sz w:val="21"/>
                <w:szCs w:val="21"/>
                <w:lang w:eastAsia="en-US"/>
              </w:rPr>
              <w:t>0</w:t>
            </w:r>
          </w:p>
        </w:tc>
        <w:tc>
          <w:tcPr>
            <w:tcW w:w="569" w:type="dxa"/>
            <w:gridSpan w:val="3"/>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r w:rsidRPr="00981F2D">
              <w:rPr>
                <w:rFonts w:eastAsia="Calibri" w:cs="Times New Roman"/>
                <w:color w:val="000000"/>
                <w:sz w:val="21"/>
                <w:szCs w:val="21"/>
                <w:lang w:eastAsia="en-US"/>
              </w:rPr>
              <w:t>0</w:t>
            </w:r>
          </w:p>
        </w:tc>
        <w:tc>
          <w:tcPr>
            <w:tcW w:w="570" w:type="dxa"/>
            <w:gridSpan w:val="2"/>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r w:rsidRPr="00981F2D">
              <w:rPr>
                <w:rFonts w:eastAsia="Calibri" w:cs="Times New Roman"/>
                <w:color w:val="000000"/>
                <w:sz w:val="21"/>
                <w:szCs w:val="21"/>
                <w:lang w:eastAsia="en-US"/>
              </w:rPr>
              <w:t>0</w:t>
            </w:r>
          </w:p>
        </w:tc>
        <w:tc>
          <w:tcPr>
            <w:tcW w:w="570" w:type="dxa"/>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r w:rsidRPr="00981F2D">
              <w:rPr>
                <w:rFonts w:eastAsia="Calibri" w:cs="Times New Roman"/>
                <w:color w:val="000000"/>
                <w:sz w:val="21"/>
                <w:szCs w:val="21"/>
                <w:lang w:eastAsia="en-US"/>
              </w:rPr>
              <w:t>0</w:t>
            </w:r>
          </w:p>
        </w:tc>
        <w:tc>
          <w:tcPr>
            <w:tcW w:w="570" w:type="dxa"/>
            <w:gridSpan w:val="3"/>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r w:rsidRPr="00981F2D">
              <w:rPr>
                <w:rFonts w:eastAsia="Calibri" w:cs="Times New Roman"/>
                <w:color w:val="000000"/>
                <w:sz w:val="21"/>
                <w:szCs w:val="21"/>
                <w:lang w:eastAsia="en-US"/>
              </w:rPr>
              <w:t>0</w:t>
            </w:r>
          </w:p>
        </w:tc>
        <w:tc>
          <w:tcPr>
            <w:tcW w:w="569" w:type="dxa"/>
            <w:gridSpan w:val="3"/>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r w:rsidRPr="00981F2D">
              <w:rPr>
                <w:rFonts w:eastAsia="Calibri" w:cs="Times New Roman"/>
                <w:color w:val="000000"/>
                <w:sz w:val="21"/>
                <w:szCs w:val="21"/>
                <w:lang w:eastAsia="en-US"/>
              </w:rPr>
              <w:t>0</w:t>
            </w:r>
          </w:p>
        </w:tc>
        <w:tc>
          <w:tcPr>
            <w:tcW w:w="570" w:type="dxa"/>
            <w:gridSpan w:val="2"/>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r w:rsidRPr="00981F2D">
              <w:rPr>
                <w:rFonts w:eastAsia="Calibri" w:cs="Times New Roman"/>
                <w:color w:val="000000"/>
                <w:sz w:val="21"/>
                <w:szCs w:val="21"/>
                <w:lang w:eastAsia="en-US"/>
              </w:rPr>
              <w:t>0</w:t>
            </w:r>
          </w:p>
        </w:tc>
        <w:tc>
          <w:tcPr>
            <w:tcW w:w="570" w:type="dxa"/>
            <w:gridSpan w:val="2"/>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r w:rsidRPr="00981F2D">
              <w:rPr>
                <w:rFonts w:eastAsia="Calibri" w:cs="Times New Roman"/>
                <w:color w:val="000000"/>
                <w:sz w:val="21"/>
                <w:szCs w:val="21"/>
                <w:lang w:eastAsia="en-US"/>
              </w:rPr>
              <w:t>0</w:t>
            </w:r>
          </w:p>
        </w:tc>
        <w:tc>
          <w:tcPr>
            <w:tcW w:w="570" w:type="dxa"/>
            <w:gridSpan w:val="2"/>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r w:rsidRPr="00981F2D">
              <w:rPr>
                <w:rFonts w:eastAsia="Calibri" w:cs="Times New Roman"/>
                <w:color w:val="000000"/>
                <w:sz w:val="21"/>
                <w:szCs w:val="21"/>
                <w:lang w:eastAsia="en-US"/>
              </w:rPr>
              <w:t>0</w:t>
            </w:r>
          </w:p>
        </w:tc>
        <w:tc>
          <w:tcPr>
            <w:tcW w:w="1547" w:type="dxa"/>
            <w:gridSpan w:val="2"/>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r w:rsidRPr="00981F2D">
              <w:rPr>
                <w:rFonts w:eastAsia="Calibri" w:cs="Times New Roman"/>
                <w:color w:val="000000"/>
                <w:sz w:val="21"/>
                <w:szCs w:val="21"/>
                <w:lang w:eastAsia="en-US"/>
              </w:rPr>
              <w:t>0</w:t>
            </w:r>
          </w:p>
        </w:tc>
      </w:tr>
      <w:tr w:rsidR="00981F2D" w:rsidRPr="00981F2D" w:rsidTr="00B14587">
        <w:trPr>
          <w:trHeight w:val="330"/>
        </w:trPr>
        <w:tc>
          <w:tcPr>
            <w:tcW w:w="3133" w:type="dxa"/>
            <w:gridSpan w:val="4"/>
            <w:shd w:val="clear" w:color="auto" w:fill="FFFFFF"/>
            <w:vAlign w:val="center"/>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r w:rsidRPr="00981F2D">
              <w:rPr>
                <w:rFonts w:eastAsia="Calibri" w:cs="Times New Roman"/>
                <w:color w:val="000000"/>
                <w:sz w:val="21"/>
                <w:szCs w:val="21"/>
                <w:lang w:eastAsia="en-US"/>
              </w:rPr>
              <w:t>budżet państwa</w:t>
            </w:r>
          </w:p>
        </w:tc>
        <w:tc>
          <w:tcPr>
            <w:tcW w:w="569" w:type="dxa"/>
            <w:gridSpan w:val="2"/>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p>
        </w:tc>
        <w:tc>
          <w:tcPr>
            <w:tcW w:w="570" w:type="dxa"/>
            <w:gridSpan w:val="2"/>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p>
        </w:tc>
        <w:tc>
          <w:tcPr>
            <w:tcW w:w="570" w:type="dxa"/>
            <w:gridSpan w:val="2"/>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p>
        </w:tc>
        <w:tc>
          <w:tcPr>
            <w:tcW w:w="569" w:type="dxa"/>
            <w:gridSpan w:val="3"/>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p>
        </w:tc>
        <w:tc>
          <w:tcPr>
            <w:tcW w:w="570" w:type="dxa"/>
            <w:gridSpan w:val="2"/>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p>
        </w:tc>
        <w:tc>
          <w:tcPr>
            <w:tcW w:w="570" w:type="dxa"/>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p>
        </w:tc>
        <w:tc>
          <w:tcPr>
            <w:tcW w:w="570" w:type="dxa"/>
            <w:gridSpan w:val="3"/>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p>
        </w:tc>
        <w:tc>
          <w:tcPr>
            <w:tcW w:w="569" w:type="dxa"/>
            <w:gridSpan w:val="3"/>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p>
        </w:tc>
        <w:tc>
          <w:tcPr>
            <w:tcW w:w="570" w:type="dxa"/>
            <w:gridSpan w:val="2"/>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p>
        </w:tc>
        <w:tc>
          <w:tcPr>
            <w:tcW w:w="570" w:type="dxa"/>
            <w:gridSpan w:val="2"/>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p>
        </w:tc>
        <w:tc>
          <w:tcPr>
            <w:tcW w:w="570" w:type="dxa"/>
            <w:gridSpan w:val="2"/>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p>
        </w:tc>
        <w:tc>
          <w:tcPr>
            <w:tcW w:w="1547" w:type="dxa"/>
            <w:gridSpan w:val="2"/>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p>
        </w:tc>
      </w:tr>
      <w:tr w:rsidR="00981F2D" w:rsidRPr="00981F2D" w:rsidTr="00B14587">
        <w:trPr>
          <w:trHeight w:val="351"/>
        </w:trPr>
        <w:tc>
          <w:tcPr>
            <w:tcW w:w="3133" w:type="dxa"/>
            <w:gridSpan w:val="4"/>
            <w:shd w:val="clear" w:color="auto" w:fill="FFFFFF"/>
            <w:vAlign w:val="center"/>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r w:rsidRPr="00981F2D">
              <w:rPr>
                <w:rFonts w:eastAsia="Calibri" w:cs="Times New Roman"/>
                <w:color w:val="000000"/>
                <w:sz w:val="21"/>
                <w:szCs w:val="21"/>
                <w:lang w:eastAsia="en-US"/>
              </w:rPr>
              <w:t>JST</w:t>
            </w:r>
          </w:p>
        </w:tc>
        <w:tc>
          <w:tcPr>
            <w:tcW w:w="569" w:type="dxa"/>
            <w:gridSpan w:val="2"/>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p>
        </w:tc>
        <w:tc>
          <w:tcPr>
            <w:tcW w:w="570" w:type="dxa"/>
            <w:gridSpan w:val="2"/>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p>
        </w:tc>
        <w:tc>
          <w:tcPr>
            <w:tcW w:w="570" w:type="dxa"/>
            <w:gridSpan w:val="2"/>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p>
        </w:tc>
        <w:tc>
          <w:tcPr>
            <w:tcW w:w="569" w:type="dxa"/>
            <w:gridSpan w:val="3"/>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p>
        </w:tc>
        <w:tc>
          <w:tcPr>
            <w:tcW w:w="570" w:type="dxa"/>
            <w:gridSpan w:val="2"/>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p>
        </w:tc>
        <w:tc>
          <w:tcPr>
            <w:tcW w:w="570" w:type="dxa"/>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p>
        </w:tc>
        <w:tc>
          <w:tcPr>
            <w:tcW w:w="570" w:type="dxa"/>
            <w:gridSpan w:val="3"/>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p>
        </w:tc>
        <w:tc>
          <w:tcPr>
            <w:tcW w:w="569" w:type="dxa"/>
            <w:gridSpan w:val="3"/>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p>
        </w:tc>
        <w:tc>
          <w:tcPr>
            <w:tcW w:w="570" w:type="dxa"/>
            <w:gridSpan w:val="2"/>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p>
        </w:tc>
        <w:tc>
          <w:tcPr>
            <w:tcW w:w="570" w:type="dxa"/>
            <w:gridSpan w:val="2"/>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p>
        </w:tc>
        <w:tc>
          <w:tcPr>
            <w:tcW w:w="570" w:type="dxa"/>
            <w:gridSpan w:val="2"/>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p>
        </w:tc>
        <w:tc>
          <w:tcPr>
            <w:tcW w:w="1547" w:type="dxa"/>
            <w:gridSpan w:val="2"/>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p>
        </w:tc>
      </w:tr>
      <w:tr w:rsidR="00981F2D" w:rsidRPr="00981F2D" w:rsidTr="00B14587">
        <w:trPr>
          <w:trHeight w:val="351"/>
        </w:trPr>
        <w:tc>
          <w:tcPr>
            <w:tcW w:w="3133" w:type="dxa"/>
            <w:gridSpan w:val="4"/>
            <w:shd w:val="clear" w:color="auto" w:fill="FFFFFF"/>
            <w:vAlign w:val="center"/>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r w:rsidRPr="00981F2D">
              <w:rPr>
                <w:rFonts w:eastAsia="Calibri" w:cs="Times New Roman"/>
                <w:color w:val="000000"/>
                <w:sz w:val="21"/>
                <w:szCs w:val="21"/>
                <w:lang w:eastAsia="en-US"/>
              </w:rPr>
              <w:t>pozostałe jednostki (oddzielnie)</w:t>
            </w:r>
          </w:p>
        </w:tc>
        <w:tc>
          <w:tcPr>
            <w:tcW w:w="569" w:type="dxa"/>
            <w:gridSpan w:val="2"/>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p>
        </w:tc>
        <w:tc>
          <w:tcPr>
            <w:tcW w:w="570" w:type="dxa"/>
            <w:gridSpan w:val="2"/>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p>
        </w:tc>
        <w:tc>
          <w:tcPr>
            <w:tcW w:w="570" w:type="dxa"/>
            <w:gridSpan w:val="2"/>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p>
        </w:tc>
        <w:tc>
          <w:tcPr>
            <w:tcW w:w="569" w:type="dxa"/>
            <w:gridSpan w:val="3"/>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p>
        </w:tc>
        <w:tc>
          <w:tcPr>
            <w:tcW w:w="570" w:type="dxa"/>
            <w:gridSpan w:val="2"/>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p>
        </w:tc>
        <w:tc>
          <w:tcPr>
            <w:tcW w:w="570" w:type="dxa"/>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p>
        </w:tc>
        <w:tc>
          <w:tcPr>
            <w:tcW w:w="570" w:type="dxa"/>
            <w:gridSpan w:val="3"/>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p>
        </w:tc>
        <w:tc>
          <w:tcPr>
            <w:tcW w:w="569" w:type="dxa"/>
            <w:gridSpan w:val="3"/>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p>
        </w:tc>
        <w:tc>
          <w:tcPr>
            <w:tcW w:w="570" w:type="dxa"/>
            <w:gridSpan w:val="2"/>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p>
        </w:tc>
        <w:tc>
          <w:tcPr>
            <w:tcW w:w="570" w:type="dxa"/>
            <w:gridSpan w:val="2"/>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p>
        </w:tc>
        <w:tc>
          <w:tcPr>
            <w:tcW w:w="570" w:type="dxa"/>
            <w:gridSpan w:val="2"/>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p>
        </w:tc>
        <w:tc>
          <w:tcPr>
            <w:tcW w:w="1547" w:type="dxa"/>
            <w:gridSpan w:val="2"/>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p>
        </w:tc>
      </w:tr>
      <w:tr w:rsidR="00981F2D" w:rsidRPr="00981F2D" w:rsidTr="00B14587">
        <w:trPr>
          <w:trHeight w:val="360"/>
        </w:trPr>
        <w:tc>
          <w:tcPr>
            <w:tcW w:w="3133" w:type="dxa"/>
            <w:gridSpan w:val="4"/>
            <w:shd w:val="clear" w:color="auto" w:fill="FFFFFF"/>
            <w:vAlign w:val="center"/>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r w:rsidRPr="00981F2D">
              <w:rPr>
                <w:rFonts w:eastAsia="Calibri" w:cs="Times New Roman"/>
                <w:b/>
                <w:color w:val="000000"/>
                <w:sz w:val="21"/>
                <w:szCs w:val="21"/>
                <w:lang w:eastAsia="en-US"/>
              </w:rPr>
              <w:t>Saldo ogółem</w:t>
            </w:r>
          </w:p>
        </w:tc>
        <w:tc>
          <w:tcPr>
            <w:tcW w:w="569" w:type="dxa"/>
            <w:gridSpan w:val="2"/>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p>
        </w:tc>
        <w:tc>
          <w:tcPr>
            <w:tcW w:w="570" w:type="dxa"/>
            <w:gridSpan w:val="2"/>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p>
        </w:tc>
        <w:tc>
          <w:tcPr>
            <w:tcW w:w="570" w:type="dxa"/>
            <w:gridSpan w:val="2"/>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p>
        </w:tc>
        <w:tc>
          <w:tcPr>
            <w:tcW w:w="569" w:type="dxa"/>
            <w:gridSpan w:val="3"/>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p>
        </w:tc>
        <w:tc>
          <w:tcPr>
            <w:tcW w:w="570" w:type="dxa"/>
            <w:gridSpan w:val="2"/>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p>
        </w:tc>
        <w:tc>
          <w:tcPr>
            <w:tcW w:w="570" w:type="dxa"/>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p>
        </w:tc>
        <w:tc>
          <w:tcPr>
            <w:tcW w:w="570" w:type="dxa"/>
            <w:gridSpan w:val="3"/>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p>
        </w:tc>
        <w:tc>
          <w:tcPr>
            <w:tcW w:w="569" w:type="dxa"/>
            <w:gridSpan w:val="3"/>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p>
        </w:tc>
        <w:tc>
          <w:tcPr>
            <w:tcW w:w="570" w:type="dxa"/>
            <w:gridSpan w:val="2"/>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p>
        </w:tc>
        <w:tc>
          <w:tcPr>
            <w:tcW w:w="570" w:type="dxa"/>
            <w:gridSpan w:val="2"/>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p>
        </w:tc>
        <w:tc>
          <w:tcPr>
            <w:tcW w:w="570" w:type="dxa"/>
            <w:gridSpan w:val="2"/>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p>
        </w:tc>
        <w:tc>
          <w:tcPr>
            <w:tcW w:w="1547" w:type="dxa"/>
            <w:gridSpan w:val="2"/>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p>
        </w:tc>
      </w:tr>
      <w:tr w:rsidR="00981F2D" w:rsidRPr="00981F2D" w:rsidTr="00B14587">
        <w:trPr>
          <w:trHeight w:val="360"/>
        </w:trPr>
        <w:tc>
          <w:tcPr>
            <w:tcW w:w="3133" w:type="dxa"/>
            <w:gridSpan w:val="4"/>
            <w:shd w:val="clear" w:color="auto" w:fill="FFFFFF"/>
            <w:vAlign w:val="center"/>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r w:rsidRPr="00981F2D">
              <w:rPr>
                <w:rFonts w:eastAsia="Calibri" w:cs="Times New Roman"/>
                <w:color w:val="000000"/>
                <w:sz w:val="21"/>
                <w:szCs w:val="21"/>
                <w:lang w:eastAsia="en-US"/>
              </w:rPr>
              <w:t>budżet państwa</w:t>
            </w:r>
          </w:p>
        </w:tc>
        <w:tc>
          <w:tcPr>
            <w:tcW w:w="569" w:type="dxa"/>
            <w:gridSpan w:val="2"/>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p>
        </w:tc>
        <w:tc>
          <w:tcPr>
            <w:tcW w:w="570" w:type="dxa"/>
            <w:gridSpan w:val="2"/>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p>
        </w:tc>
        <w:tc>
          <w:tcPr>
            <w:tcW w:w="570" w:type="dxa"/>
            <w:gridSpan w:val="2"/>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p>
        </w:tc>
        <w:tc>
          <w:tcPr>
            <w:tcW w:w="569" w:type="dxa"/>
            <w:gridSpan w:val="3"/>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p>
        </w:tc>
        <w:tc>
          <w:tcPr>
            <w:tcW w:w="570" w:type="dxa"/>
            <w:gridSpan w:val="2"/>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p>
        </w:tc>
        <w:tc>
          <w:tcPr>
            <w:tcW w:w="570" w:type="dxa"/>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p>
        </w:tc>
        <w:tc>
          <w:tcPr>
            <w:tcW w:w="570" w:type="dxa"/>
            <w:gridSpan w:val="3"/>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p>
        </w:tc>
        <w:tc>
          <w:tcPr>
            <w:tcW w:w="569" w:type="dxa"/>
            <w:gridSpan w:val="3"/>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p>
        </w:tc>
        <w:tc>
          <w:tcPr>
            <w:tcW w:w="570" w:type="dxa"/>
            <w:gridSpan w:val="2"/>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p>
        </w:tc>
        <w:tc>
          <w:tcPr>
            <w:tcW w:w="570" w:type="dxa"/>
            <w:gridSpan w:val="2"/>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p>
        </w:tc>
        <w:tc>
          <w:tcPr>
            <w:tcW w:w="570" w:type="dxa"/>
            <w:gridSpan w:val="2"/>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p>
        </w:tc>
        <w:tc>
          <w:tcPr>
            <w:tcW w:w="1547" w:type="dxa"/>
            <w:gridSpan w:val="2"/>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p>
        </w:tc>
      </w:tr>
      <w:tr w:rsidR="00981F2D" w:rsidRPr="00981F2D" w:rsidTr="00B14587">
        <w:trPr>
          <w:trHeight w:val="357"/>
        </w:trPr>
        <w:tc>
          <w:tcPr>
            <w:tcW w:w="3133" w:type="dxa"/>
            <w:gridSpan w:val="4"/>
            <w:shd w:val="clear" w:color="auto" w:fill="FFFFFF"/>
            <w:vAlign w:val="center"/>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r w:rsidRPr="00981F2D">
              <w:rPr>
                <w:rFonts w:eastAsia="Calibri" w:cs="Times New Roman"/>
                <w:color w:val="000000"/>
                <w:sz w:val="21"/>
                <w:szCs w:val="21"/>
                <w:lang w:eastAsia="en-US"/>
              </w:rPr>
              <w:t>JST</w:t>
            </w:r>
          </w:p>
        </w:tc>
        <w:tc>
          <w:tcPr>
            <w:tcW w:w="569" w:type="dxa"/>
            <w:gridSpan w:val="2"/>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p>
        </w:tc>
        <w:tc>
          <w:tcPr>
            <w:tcW w:w="570" w:type="dxa"/>
            <w:gridSpan w:val="2"/>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p>
        </w:tc>
        <w:tc>
          <w:tcPr>
            <w:tcW w:w="570" w:type="dxa"/>
            <w:gridSpan w:val="2"/>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p>
        </w:tc>
        <w:tc>
          <w:tcPr>
            <w:tcW w:w="569" w:type="dxa"/>
            <w:gridSpan w:val="3"/>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p>
        </w:tc>
        <w:tc>
          <w:tcPr>
            <w:tcW w:w="570" w:type="dxa"/>
            <w:gridSpan w:val="2"/>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p>
        </w:tc>
        <w:tc>
          <w:tcPr>
            <w:tcW w:w="570" w:type="dxa"/>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p>
        </w:tc>
        <w:tc>
          <w:tcPr>
            <w:tcW w:w="570" w:type="dxa"/>
            <w:gridSpan w:val="3"/>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p>
        </w:tc>
        <w:tc>
          <w:tcPr>
            <w:tcW w:w="569" w:type="dxa"/>
            <w:gridSpan w:val="3"/>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p>
        </w:tc>
        <w:tc>
          <w:tcPr>
            <w:tcW w:w="570" w:type="dxa"/>
            <w:gridSpan w:val="2"/>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p>
        </w:tc>
        <w:tc>
          <w:tcPr>
            <w:tcW w:w="570" w:type="dxa"/>
            <w:gridSpan w:val="2"/>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p>
        </w:tc>
        <w:tc>
          <w:tcPr>
            <w:tcW w:w="570" w:type="dxa"/>
            <w:gridSpan w:val="2"/>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p>
        </w:tc>
        <w:tc>
          <w:tcPr>
            <w:tcW w:w="1547" w:type="dxa"/>
            <w:gridSpan w:val="2"/>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p>
        </w:tc>
      </w:tr>
      <w:tr w:rsidR="00981F2D" w:rsidRPr="00981F2D" w:rsidTr="00B14587">
        <w:trPr>
          <w:trHeight w:val="357"/>
        </w:trPr>
        <w:tc>
          <w:tcPr>
            <w:tcW w:w="3133" w:type="dxa"/>
            <w:gridSpan w:val="4"/>
            <w:shd w:val="clear" w:color="auto" w:fill="FFFFFF"/>
            <w:vAlign w:val="center"/>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r w:rsidRPr="00981F2D">
              <w:rPr>
                <w:rFonts w:eastAsia="Calibri" w:cs="Times New Roman"/>
                <w:color w:val="000000"/>
                <w:sz w:val="21"/>
                <w:szCs w:val="21"/>
                <w:lang w:eastAsia="en-US"/>
              </w:rPr>
              <w:t>pozostałe jednostki (oddzielnie)</w:t>
            </w:r>
          </w:p>
        </w:tc>
        <w:tc>
          <w:tcPr>
            <w:tcW w:w="569" w:type="dxa"/>
            <w:gridSpan w:val="2"/>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p>
        </w:tc>
        <w:tc>
          <w:tcPr>
            <w:tcW w:w="570" w:type="dxa"/>
            <w:gridSpan w:val="2"/>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p>
        </w:tc>
        <w:tc>
          <w:tcPr>
            <w:tcW w:w="570" w:type="dxa"/>
            <w:gridSpan w:val="2"/>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p>
        </w:tc>
        <w:tc>
          <w:tcPr>
            <w:tcW w:w="569" w:type="dxa"/>
            <w:gridSpan w:val="3"/>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p>
        </w:tc>
        <w:tc>
          <w:tcPr>
            <w:tcW w:w="570" w:type="dxa"/>
            <w:gridSpan w:val="2"/>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p>
        </w:tc>
        <w:tc>
          <w:tcPr>
            <w:tcW w:w="570" w:type="dxa"/>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p>
        </w:tc>
        <w:tc>
          <w:tcPr>
            <w:tcW w:w="570" w:type="dxa"/>
            <w:gridSpan w:val="3"/>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p>
        </w:tc>
        <w:tc>
          <w:tcPr>
            <w:tcW w:w="569" w:type="dxa"/>
            <w:gridSpan w:val="3"/>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p>
        </w:tc>
        <w:tc>
          <w:tcPr>
            <w:tcW w:w="570" w:type="dxa"/>
            <w:gridSpan w:val="2"/>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p>
        </w:tc>
        <w:tc>
          <w:tcPr>
            <w:tcW w:w="570" w:type="dxa"/>
            <w:gridSpan w:val="2"/>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p>
        </w:tc>
        <w:tc>
          <w:tcPr>
            <w:tcW w:w="570" w:type="dxa"/>
            <w:gridSpan w:val="2"/>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p>
        </w:tc>
        <w:tc>
          <w:tcPr>
            <w:tcW w:w="1547" w:type="dxa"/>
            <w:gridSpan w:val="2"/>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p>
        </w:tc>
      </w:tr>
      <w:tr w:rsidR="00981F2D" w:rsidRPr="00981F2D" w:rsidTr="00B14587">
        <w:tblPrEx>
          <w:tblCellMar>
            <w:left w:w="70" w:type="dxa"/>
            <w:right w:w="70" w:type="dxa"/>
          </w:tblCellMar>
        </w:tblPrEx>
        <w:trPr>
          <w:gridAfter w:val="1"/>
          <w:wAfter w:w="10" w:type="dxa"/>
          <w:trHeight w:val="348"/>
        </w:trPr>
        <w:tc>
          <w:tcPr>
            <w:tcW w:w="2243" w:type="dxa"/>
            <w:gridSpan w:val="2"/>
            <w:shd w:val="clear" w:color="auto" w:fill="FFFFFF"/>
            <w:vAlign w:val="center"/>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r w:rsidRPr="00981F2D">
              <w:rPr>
                <w:rFonts w:eastAsia="Calibri" w:cs="Times New Roman"/>
                <w:color w:val="000000"/>
                <w:sz w:val="21"/>
                <w:szCs w:val="21"/>
                <w:lang w:eastAsia="en-US"/>
              </w:rPr>
              <w:t xml:space="preserve">Źródła finansowania </w:t>
            </w:r>
          </w:p>
        </w:tc>
        <w:tc>
          <w:tcPr>
            <w:tcW w:w="8694" w:type="dxa"/>
            <w:gridSpan w:val="27"/>
            <w:shd w:val="clear" w:color="auto" w:fill="FFFFFF"/>
            <w:vAlign w:val="center"/>
          </w:tcPr>
          <w:p w:rsidR="00981F2D" w:rsidRPr="00981F2D" w:rsidRDefault="00981F2D" w:rsidP="00981F2D">
            <w:pPr>
              <w:widowControl/>
              <w:autoSpaceDE/>
              <w:autoSpaceDN/>
              <w:adjustRightInd/>
              <w:spacing w:line="240" w:lineRule="auto"/>
              <w:jc w:val="both"/>
              <w:rPr>
                <w:rFonts w:eastAsia="Calibri" w:cs="Times New Roman"/>
                <w:color w:val="000000"/>
                <w:sz w:val="21"/>
                <w:szCs w:val="21"/>
                <w:lang w:eastAsia="en-US"/>
              </w:rPr>
            </w:pPr>
            <w:r w:rsidRPr="00981F2D">
              <w:rPr>
                <w:rFonts w:eastAsia="Calibri" w:cs="Times New Roman"/>
                <w:color w:val="000000"/>
                <w:sz w:val="21"/>
                <w:szCs w:val="21"/>
                <w:lang w:eastAsia="en-US"/>
              </w:rPr>
              <w:t>Projektowane zmiany nie spowodują wzrostu wydatków z budżetu państwa.</w:t>
            </w:r>
          </w:p>
        </w:tc>
      </w:tr>
      <w:tr w:rsidR="00981F2D" w:rsidRPr="00981F2D" w:rsidTr="00B14587">
        <w:trPr>
          <w:gridAfter w:val="1"/>
          <w:wAfter w:w="10" w:type="dxa"/>
          <w:trHeight w:val="3818"/>
        </w:trPr>
        <w:tc>
          <w:tcPr>
            <w:tcW w:w="2243" w:type="dxa"/>
            <w:gridSpan w:val="2"/>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r w:rsidRPr="00981F2D">
              <w:rPr>
                <w:rFonts w:eastAsia="Calibri" w:cs="Times New Roman"/>
                <w:color w:val="000000"/>
                <w:sz w:val="21"/>
                <w:szCs w:val="21"/>
                <w:lang w:eastAsia="en-US"/>
              </w:rPr>
              <w:t>Dodatkowe informacje, w tym wskazanie źródeł danych i przyjętych do obliczeń założeń</w:t>
            </w:r>
          </w:p>
        </w:tc>
        <w:tc>
          <w:tcPr>
            <w:tcW w:w="8694" w:type="dxa"/>
            <w:gridSpan w:val="27"/>
            <w:shd w:val="clear" w:color="auto" w:fill="FFFFFF"/>
          </w:tcPr>
          <w:p w:rsidR="00981F2D" w:rsidRPr="00981F2D" w:rsidRDefault="00981F2D" w:rsidP="00981F2D">
            <w:pPr>
              <w:widowControl/>
              <w:autoSpaceDE/>
              <w:autoSpaceDN/>
              <w:adjustRightInd/>
              <w:spacing w:line="240" w:lineRule="auto"/>
              <w:jc w:val="both"/>
              <w:rPr>
                <w:rFonts w:eastAsia="Calibri" w:cs="Times New Roman"/>
                <w:color w:val="000000"/>
                <w:sz w:val="21"/>
                <w:szCs w:val="21"/>
                <w:lang w:eastAsia="en-US"/>
              </w:rPr>
            </w:pPr>
            <w:r w:rsidRPr="00981F2D">
              <w:rPr>
                <w:rFonts w:eastAsia="Calibri" w:cs="Times New Roman"/>
                <w:color w:val="000000"/>
                <w:sz w:val="21"/>
                <w:szCs w:val="21"/>
                <w:lang w:eastAsia="en-US"/>
              </w:rPr>
              <w:t>Czynnościami bankowymi są:</w:t>
            </w:r>
          </w:p>
          <w:p w:rsidR="00981F2D" w:rsidRPr="00981F2D" w:rsidRDefault="00981F2D" w:rsidP="00981F2D">
            <w:pPr>
              <w:widowControl/>
              <w:numPr>
                <w:ilvl w:val="0"/>
                <w:numId w:val="2"/>
              </w:numPr>
              <w:autoSpaceDE/>
              <w:autoSpaceDN/>
              <w:adjustRightInd/>
              <w:spacing w:line="240" w:lineRule="auto"/>
              <w:jc w:val="both"/>
              <w:rPr>
                <w:rFonts w:eastAsia="Calibri" w:cs="Times New Roman"/>
                <w:color w:val="000000"/>
                <w:sz w:val="21"/>
                <w:szCs w:val="21"/>
                <w:lang w:eastAsia="en-US"/>
              </w:rPr>
            </w:pPr>
            <w:r w:rsidRPr="00981F2D">
              <w:rPr>
                <w:rFonts w:eastAsia="Calibri" w:cs="Times New Roman"/>
                <w:color w:val="000000"/>
                <w:sz w:val="21"/>
                <w:szCs w:val="21"/>
                <w:lang w:eastAsia="en-US"/>
              </w:rPr>
              <w:t>przyjmowanie wkładów pieniężnych płatnych na żądanie lub z nadejściem oznaczonego terminu oraz prowadzenie rachunków tych wkładów;</w:t>
            </w:r>
          </w:p>
          <w:p w:rsidR="00981F2D" w:rsidRPr="00981F2D" w:rsidRDefault="00981F2D" w:rsidP="00981F2D">
            <w:pPr>
              <w:widowControl/>
              <w:numPr>
                <w:ilvl w:val="0"/>
                <w:numId w:val="2"/>
              </w:numPr>
              <w:autoSpaceDE/>
              <w:autoSpaceDN/>
              <w:adjustRightInd/>
              <w:spacing w:line="240" w:lineRule="auto"/>
              <w:jc w:val="both"/>
              <w:rPr>
                <w:rFonts w:eastAsia="Calibri" w:cs="Times New Roman"/>
                <w:color w:val="000000"/>
                <w:sz w:val="21"/>
                <w:szCs w:val="21"/>
                <w:lang w:eastAsia="en-US"/>
              </w:rPr>
            </w:pPr>
            <w:r w:rsidRPr="00981F2D">
              <w:rPr>
                <w:rFonts w:eastAsia="Calibri" w:cs="Times New Roman"/>
                <w:color w:val="000000"/>
                <w:sz w:val="21"/>
                <w:szCs w:val="21"/>
                <w:lang w:eastAsia="en-US"/>
              </w:rPr>
              <w:t>prowadzenie innych rachunków bankowych;</w:t>
            </w:r>
          </w:p>
          <w:p w:rsidR="00981F2D" w:rsidRPr="00981F2D" w:rsidRDefault="00981F2D" w:rsidP="00981F2D">
            <w:pPr>
              <w:widowControl/>
              <w:numPr>
                <w:ilvl w:val="0"/>
                <w:numId w:val="2"/>
              </w:numPr>
              <w:autoSpaceDE/>
              <w:autoSpaceDN/>
              <w:adjustRightInd/>
              <w:spacing w:line="240" w:lineRule="auto"/>
              <w:jc w:val="both"/>
              <w:rPr>
                <w:rFonts w:eastAsia="Calibri" w:cs="Times New Roman"/>
                <w:color w:val="000000"/>
                <w:sz w:val="21"/>
                <w:szCs w:val="21"/>
                <w:lang w:eastAsia="en-US"/>
              </w:rPr>
            </w:pPr>
            <w:r w:rsidRPr="00981F2D">
              <w:rPr>
                <w:rFonts w:eastAsia="Calibri" w:cs="Times New Roman"/>
                <w:color w:val="000000"/>
                <w:sz w:val="21"/>
                <w:szCs w:val="21"/>
                <w:lang w:eastAsia="en-US"/>
              </w:rPr>
              <w:t>udzielanie kredytów;</w:t>
            </w:r>
          </w:p>
          <w:p w:rsidR="00981F2D" w:rsidRPr="00981F2D" w:rsidRDefault="00981F2D" w:rsidP="00981F2D">
            <w:pPr>
              <w:widowControl/>
              <w:numPr>
                <w:ilvl w:val="0"/>
                <w:numId w:val="2"/>
              </w:numPr>
              <w:autoSpaceDE/>
              <w:autoSpaceDN/>
              <w:adjustRightInd/>
              <w:spacing w:line="240" w:lineRule="auto"/>
              <w:jc w:val="both"/>
              <w:rPr>
                <w:rFonts w:eastAsia="Calibri" w:cs="Times New Roman"/>
                <w:color w:val="000000"/>
                <w:sz w:val="21"/>
                <w:szCs w:val="21"/>
                <w:lang w:eastAsia="en-US"/>
              </w:rPr>
            </w:pPr>
            <w:r w:rsidRPr="00981F2D">
              <w:rPr>
                <w:rFonts w:eastAsia="Calibri" w:cs="Times New Roman"/>
                <w:color w:val="000000"/>
                <w:sz w:val="21"/>
                <w:szCs w:val="21"/>
                <w:lang w:eastAsia="en-US"/>
              </w:rPr>
              <w:t>udzielanie i potwierdzanie gwarancji bankowych oraz otwieranie i potwierdzanie akredytyw;</w:t>
            </w:r>
          </w:p>
          <w:p w:rsidR="00981F2D" w:rsidRPr="00981F2D" w:rsidRDefault="00981F2D" w:rsidP="00981F2D">
            <w:pPr>
              <w:widowControl/>
              <w:numPr>
                <w:ilvl w:val="0"/>
                <w:numId w:val="2"/>
              </w:numPr>
              <w:autoSpaceDE/>
              <w:autoSpaceDN/>
              <w:adjustRightInd/>
              <w:spacing w:line="240" w:lineRule="auto"/>
              <w:jc w:val="both"/>
              <w:rPr>
                <w:rFonts w:eastAsia="Calibri" w:cs="Times New Roman"/>
                <w:color w:val="000000"/>
                <w:sz w:val="21"/>
                <w:szCs w:val="21"/>
                <w:lang w:eastAsia="en-US"/>
              </w:rPr>
            </w:pPr>
            <w:r w:rsidRPr="00981F2D">
              <w:rPr>
                <w:rFonts w:eastAsia="Calibri" w:cs="Times New Roman"/>
                <w:color w:val="000000"/>
                <w:sz w:val="21"/>
                <w:szCs w:val="21"/>
                <w:lang w:eastAsia="en-US"/>
              </w:rPr>
              <w:t>emitowanie bankowych papierów wartościowych;</w:t>
            </w:r>
          </w:p>
          <w:p w:rsidR="00981F2D" w:rsidRPr="00981F2D" w:rsidRDefault="00981F2D" w:rsidP="00981F2D">
            <w:pPr>
              <w:widowControl/>
              <w:numPr>
                <w:ilvl w:val="0"/>
                <w:numId w:val="2"/>
              </w:numPr>
              <w:autoSpaceDE/>
              <w:autoSpaceDN/>
              <w:adjustRightInd/>
              <w:spacing w:line="240" w:lineRule="auto"/>
              <w:jc w:val="both"/>
              <w:rPr>
                <w:rFonts w:eastAsia="Calibri" w:cs="Times New Roman"/>
                <w:color w:val="000000"/>
                <w:sz w:val="21"/>
                <w:szCs w:val="21"/>
                <w:lang w:eastAsia="en-US"/>
              </w:rPr>
            </w:pPr>
            <w:r w:rsidRPr="00981F2D">
              <w:rPr>
                <w:rFonts w:eastAsia="Calibri" w:cs="Times New Roman"/>
                <w:color w:val="000000"/>
                <w:sz w:val="21"/>
                <w:szCs w:val="21"/>
                <w:lang w:eastAsia="en-US"/>
              </w:rPr>
              <w:t>przeprowadzanie bankowych rozliczeń pieniężnych;</w:t>
            </w:r>
          </w:p>
          <w:p w:rsidR="00981F2D" w:rsidRPr="00981F2D" w:rsidRDefault="00981F2D" w:rsidP="00981F2D">
            <w:pPr>
              <w:widowControl/>
              <w:numPr>
                <w:ilvl w:val="0"/>
                <w:numId w:val="2"/>
              </w:numPr>
              <w:autoSpaceDE/>
              <w:autoSpaceDN/>
              <w:adjustRightInd/>
              <w:spacing w:line="240" w:lineRule="auto"/>
              <w:jc w:val="both"/>
              <w:rPr>
                <w:rFonts w:eastAsia="Calibri" w:cs="Times New Roman"/>
                <w:color w:val="000000"/>
                <w:sz w:val="21"/>
                <w:szCs w:val="21"/>
                <w:lang w:eastAsia="en-US"/>
              </w:rPr>
            </w:pPr>
            <w:r w:rsidRPr="00981F2D">
              <w:rPr>
                <w:rFonts w:eastAsia="Calibri" w:cs="Times New Roman"/>
                <w:color w:val="000000"/>
                <w:sz w:val="21"/>
                <w:szCs w:val="21"/>
                <w:lang w:eastAsia="en-US"/>
              </w:rPr>
              <w:t>wykonywanie innych czynności przewidzianych wyłącznie dla banku w odrębnych ustawach.</w:t>
            </w:r>
          </w:p>
          <w:p w:rsidR="00981F2D" w:rsidRPr="00981F2D" w:rsidRDefault="00981F2D" w:rsidP="00981F2D">
            <w:pPr>
              <w:widowControl/>
              <w:autoSpaceDE/>
              <w:autoSpaceDN/>
              <w:adjustRightInd/>
              <w:spacing w:line="240" w:lineRule="auto"/>
              <w:jc w:val="both"/>
              <w:rPr>
                <w:rFonts w:eastAsia="Calibri" w:cs="Times New Roman"/>
                <w:color w:val="000000"/>
                <w:sz w:val="21"/>
                <w:szCs w:val="21"/>
                <w:lang w:eastAsia="en-US"/>
              </w:rPr>
            </w:pPr>
            <w:r w:rsidRPr="00981F2D">
              <w:rPr>
                <w:rFonts w:eastAsia="Calibri" w:cs="Times New Roman"/>
                <w:color w:val="000000"/>
                <w:sz w:val="21"/>
                <w:szCs w:val="21"/>
                <w:lang w:eastAsia="en-US"/>
              </w:rPr>
              <w:t>Czynnościami bankowymi są również następujące czynności, o ile są one wykonywane przez banki:</w:t>
            </w:r>
          </w:p>
          <w:p w:rsidR="00981F2D" w:rsidRPr="00981F2D" w:rsidRDefault="00981F2D" w:rsidP="00981F2D">
            <w:pPr>
              <w:widowControl/>
              <w:numPr>
                <w:ilvl w:val="0"/>
                <w:numId w:val="3"/>
              </w:numPr>
              <w:autoSpaceDE/>
              <w:autoSpaceDN/>
              <w:adjustRightInd/>
              <w:spacing w:line="240" w:lineRule="auto"/>
              <w:jc w:val="both"/>
              <w:rPr>
                <w:rFonts w:eastAsia="Calibri" w:cs="Times New Roman"/>
                <w:color w:val="000000"/>
                <w:sz w:val="21"/>
                <w:szCs w:val="21"/>
                <w:lang w:eastAsia="en-US"/>
              </w:rPr>
            </w:pPr>
            <w:r w:rsidRPr="00981F2D">
              <w:rPr>
                <w:rFonts w:eastAsia="Calibri" w:cs="Times New Roman"/>
                <w:color w:val="000000"/>
                <w:sz w:val="21"/>
                <w:szCs w:val="21"/>
                <w:lang w:eastAsia="en-US"/>
              </w:rPr>
              <w:t>udzielanie pożyczek pieniężnych;</w:t>
            </w:r>
          </w:p>
          <w:p w:rsidR="00981F2D" w:rsidRPr="00981F2D" w:rsidRDefault="00981F2D" w:rsidP="00981F2D">
            <w:pPr>
              <w:widowControl/>
              <w:numPr>
                <w:ilvl w:val="0"/>
                <w:numId w:val="3"/>
              </w:numPr>
              <w:autoSpaceDE/>
              <w:autoSpaceDN/>
              <w:adjustRightInd/>
              <w:spacing w:line="240" w:lineRule="auto"/>
              <w:jc w:val="both"/>
              <w:rPr>
                <w:rFonts w:eastAsia="Calibri" w:cs="Times New Roman"/>
                <w:color w:val="000000"/>
                <w:sz w:val="21"/>
                <w:szCs w:val="21"/>
                <w:lang w:eastAsia="en-US"/>
              </w:rPr>
            </w:pPr>
            <w:r w:rsidRPr="00981F2D">
              <w:rPr>
                <w:rFonts w:eastAsia="Calibri" w:cs="Times New Roman"/>
                <w:color w:val="000000"/>
                <w:sz w:val="21"/>
                <w:szCs w:val="21"/>
                <w:lang w:eastAsia="en-US"/>
              </w:rPr>
              <w:t>operacje czekowe i wekslowe oraz operacje, których przedmiotem są warranty;</w:t>
            </w:r>
          </w:p>
          <w:p w:rsidR="00981F2D" w:rsidRPr="00981F2D" w:rsidRDefault="00981F2D" w:rsidP="00981F2D">
            <w:pPr>
              <w:widowControl/>
              <w:numPr>
                <w:ilvl w:val="0"/>
                <w:numId w:val="3"/>
              </w:numPr>
              <w:autoSpaceDE/>
              <w:autoSpaceDN/>
              <w:adjustRightInd/>
              <w:spacing w:line="240" w:lineRule="auto"/>
              <w:jc w:val="both"/>
              <w:rPr>
                <w:rFonts w:eastAsia="Calibri" w:cs="Times New Roman"/>
                <w:color w:val="000000"/>
                <w:sz w:val="21"/>
                <w:szCs w:val="21"/>
                <w:lang w:eastAsia="en-US"/>
              </w:rPr>
            </w:pPr>
            <w:r w:rsidRPr="00981F2D">
              <w:rPr>
                <w:rFonts w:eastAsia="Calibri" w:cs="Times New Roman"/>
                <w:color w:val="000000"/>
                <w:sz w:val="21"/>
                <w:szCs w:val="21"/>
                <w:lang w:eastAsia="en-US"/>
              </w:rPr>
              <w:t>świadczenie usług płatniczych oraz wydawanie pieniądza elektronicznego;</w:t>
            </w:r>
          </w:p>
          <w:p w:rsidR="00981F2D" w:rsidRPr="00981F2D" w:rsidRDefault="00981F2D" w:rsidP="00981F2D">
            <w:pPr>
              <w:widowControl/>
              <w:numPr>
                <w:ilvl w:val="0"/>
                <w:numId w:val="3"/>
              </w:numPr>
              <w:autoSpaceDE/>
              <w:autoSpaceDN/>
              <w:adjustRightInd/>
              <w:spacing w:line="240" w:lineRule="auto"/>
              <w:jc w:val="both"/>
              <w:rPr>
                <w:rFonts w:eastAsia="Calibri" w:cs="Times New Roman"/>
                <w:color w:val="000000"/>
                <w:sz w:val="21"/>
                <w:szCs w:val="21"/>
                <w:lang w:eastAsia="en-US"/>
              </w:rPr>
            </w:pPr>
            <w:r w:rsidRPr="00981F2D">
              <w:rPr>
                <w:rFonts w:eastAsia="Calibri" w:cs="Times New Roman"/>
                <w:color w:val="000000"/>
                <w:sz w:val="21"/>
                <w:szCs w:val="21"/>
                <w:lang w:eastAsia="en-US"/>
              </w:rPr>
              <w:t>terminowe operacje finansowe;</w:t>
            </w:r>
          </w:p>
          <w:p w:rsidR="00981F2D" w:rsidRPr="00981F2D" w:rsidRDefault="00981F2D" w:rsidP="00981F2D">
            <w:pPr>
              <w:widowControl/>
              <w:numPr>
                <w:ilvl w:val="0"/>
                <w:numId w:val="3"/>
              </w:numPr>
              <w:autoSpaceDE/>
              <w:autoSpaceDN/>
              <w:adjustRightInd/>
              <w:spacing w:line="240" w:lineRule="auto"/>
              <w:jc w:val="both"/>
              <w:rPr>
                <w:rFonts w:eastAsia="Calibri" w:cs="Times New Roman"/>
                <w:color w:val="000000"/>
                <w:sz w:val="21"/>
                <w:szCs w:val="21"/>
                <w:lang w:eastAsia="en-US"/>
              </w:rPr>
            </w:pPr>
            <w:r w:rsidRPr="00981F2D">
              <w:rPr>
                <w:rFonts w:eastAsia="Calibri" w:cs="Times New Roman"/>
                <w:color w:val="000000"/>
                <w:sz w:val="21"/>
                <w:szCs w:val="21"/>
                <w:lang w:eastAsia="en-US"/>
              </w:rPr>
              <w:lastRenderedPageBreak/>
              <w:t>nabywanie i zbywanie wierzytelności pieniężnych;</w:t>
            </w:r>
          </w:p>
          <w:p w:rsidR="00981F2D" w:rsidRPr="00981F2D" w:rsidRDefault="00981F2D" w:rsidP="00981F2D">
            <w:pPr>
              <w:widowControl/>
              <w:numPr>
                <w:ilvl w:val="0"/>
                <w:numId w:val="3"/>
              </w:numPr>
              <w:autoSpaceDE/>
              <w:autoSpaceDN/>
              <w:adjustRightInd/>
              <w:spacing w:line="240" w:lineRule="auto"/>
              <w:jc w:val="both"/>
              <w:rPr>
                <w:rFonts w:eastAsia="Calibri" w:cs="Times New Roman"/>
                <w:color w:val="000000"/>
                <w:sz w:val="21"/>
                <w:szCs w:val="21"/>
                <w:lang w:eastAsia="en-US"/>
              </w:rPr>
            </w:pPr>
            <w:r w:rsidRPr="00981F2D">
              <w:rPr>
                <w:rFonts w:eastAsia="Calibri" w:cs="Times New Roman"/>
                <w:color w:val="000000"/>
                <w:sz w:val="21"/>
                <w:szCs w:val="21"/>
                <w:lang w:eastAsia="en-US"/>
              </w:rPr>
              <w:t>przechowywanie przedmiotów i papierów wartościowych oraz udostępnianie skrytek sejfowych;</w:t>
            </w:r>
          </w:p>
          <w:p w:rsidR="00981F2D" w:rsidRPr="00981F2D" w:rsidRDefault="00981F2D" w:rsidP="00981F2D">
            <w:pPr>
              <w:widowControl/>
              <w:numPr>
                <w:ilvl w:val="0"/>
                <w:numId w:val="3"/>
              </w:numPr>
              <w:autoSpaceDE/>
              <w:autoSpaceDN/>
              <w:adjustRightInd/>
              <w:spacing w:line="240" w:lineRule="auto"/>
              <w:jc w:val="both"/>
              <w:rPr>
                <w:rFonts w:eastAsia="Calibri" w:cs="Times New Roman"/>
                <w:color w:val="000000"/>
                <w:sz w:val="21"/>
                <w:szCs w:val="21"/>
                <w:lang w:eastAsia="en-US"/>
              </w:rPr>
            </w:pPr>
            <w:r w:rsidRPr="00981F2D">
              <w:rPr>
                <w:rFonts w:eastAsia="Calibri" w:cs="Times New Roman"/>
                <w:color w:val="000000"/>
                <w:sz w:val="21"/>
                <w:szCs w:val="21"/>
                <w:lang w:eastAsia="en-US"/>
              </w:rPr>
              <w:t>prowadzenie skupu i sprzedaży wartości dewizowych;</w:t>
            </w:r>
          </w:p>
          <w:p w:rsidR="00981F2D" w:rsidRPr="00981F2D" w:rsidRDefault="00981F2D" w:rsidP="00981F2D">
            <w:pPr>
              <w:widowControl/>
              <w:numPr>
                <w:ilvl w:val="0"/>
                <w:numId w:val="3"/>
              </w:numPr>
              <w:autoSpaceDE/>
              <w:autoSpaceDN/>
              <w:adjustRightInd/>
              <w:spacing w:line="240" w:lineRule="auto"/>
              <w:jc w:val="both"/>
              <w:rPr>
                <w:rFonts w:eastAsia="Calibri" w:cs="Times New Roman"/>
                <w:color w:val="000000"/>
                <w:sz w:val="21"/>
                <w:szCs w:val="21"/>
                <w:lang w:eastAsia="en-US"/>
              </w:rPr>
            </w:pPr>
            <w:r w:rsidRPr="00981F2D">
              <w:rPr>
                <w:rFonts w:eastAsia="Calibri" w:cs="Times New Roman"/>
                <w:color w:val="000000"/>
                <w:sz w:val="21"/>
                <w:szCs w:val="21"/>
                <w:lang w:eastAsia="en-US"/>
              </w:rPr>
              <w:t>udzielanie i potwierdzanie poręczeń;</w:t>
            </w:r>
          </w:p>
          <w:p w:rsidR="00981F2D" w:rsidRPr="00981F2D" w:rsidRDefault="00981F2D" w:rsidP="00981F2D">
            <w:pPr>
              <w:widowControl/>
              <w:numPr>
                <w:ilvl w:val="0"/>
                <w:numId w:val="3"/>
              </w:numPr>
              <w:autoSpaceDE/>
              <w:autoSpaceDN/>
              <w:adjustRightInd/>
              <w:spacing w:line="240" w:lineRule="auto"/>
              <w:jc w:val="both"/>
              <w:rPr>
                <w:rFonts w:eastAsia="Calibri" w:cs="Times New Roman"/>
                <w:color w:val="000000"/>
                <w:sz w:val="21"/>
                <w:szCs w:val="21"/>
                <w:lang w:eastAsia="en-US"/>
              </w:rPr>
            </w:pPr>
            <w:r w:rsidRPr="00981F2D">
              <w:rPr>
                <w:rFonts w:eastAsia="Calibri" w:cs="Times New Roman"/>
                <w:color w:val="000000"/>
                <w:sz w:val="21"/>
                <w:szCs w:val="21"/>
                <w:lang w:eastAsia="en-US"/>
              </w:rPr>
              <w:t>wykonywanie czynności zleconych, związanych z emisją papierów wartościowych;</w:t>
            </w:r>
          </w:p>
          <w:p w:rsidR="00981F2D" w:rsidRPr="00981F2D" w:rsidRDefault="00981F2D" w:rsidP="00981F2D">
            <w:pPr>
              <w:widowControl/>
              <w:numPr>
                <w:ilvl w:val="0"/>
                <w:numId w:val="3"/>
              </w:numPr>
              <w:autoSpaceDE/>
              <w:autoSpaceDN/>
              <w:adjustRightInd/>
              <w:spacing w:line="240" w:lineRule="auto"/>
              <w:jc w:val="both"/>
              <w:rPr>
                <w:rFonts w:eastAsia="Calibri" w:cs="Times New Roman"/>
                <w:color w:val="000000"/>
                <w:sz w:val="21"/>
                <w:szCs w:val="21"/>
                <w:lang w:eastAsia="en-US"/>
              </w:rPr>
            </w:pPr>
            <w:r w:rsidRPr="00981F2D">
              <w:rPr>
                <w:rFonts w:eastAsia="Calibri" w:cs="Times New Roman"/>
                <w:color w:val="000000"/>
                <w:sz w:val="21"/>
                <w:szCs w:val="21"/>
                <w:lang w:eastAsia="en-US"/>
              </w:rPr>
              <w:t>pośrednictwo w dokonywaniu przekazów pieniężnych oraz rozliczeń w obrocie dewizowym.</w:t>
            </w:r>
          </w:p>
          <w:p w:rsidR="00981F2D" w:rsidRPr="00981F2D" w:rsidRDefault="00981F2D" w:rsidP="00981F2D">
            <w:pPr>
              <w:widowControl/>
              <w:autoSpaceDE/>
              <w:autoSpaceDN/>
              <w:adjustRightInd/>
              <w:spacing w:before="60" w:line="240" w:lineRule="auto"/>
              <w:jc w:val="both"/>
              <w:rPr>
                <w:rFonts w:eastAsia="Calibri" w:cs="Times New Roman"/>
                <w:color w:val="000000"/>
                <w:sz w:val="21"/>
                <w:szCs w:val="21"/>
                <w:lang w:eastAsia="en-US"/>
              </w:rPr>
            </w:pPr>
            <w:r w:rsidRPr="00981F2D">
              <w:rPr>
                <w:rFonts w:eastAsia="Calibri" w:cs="Times New Roman"/>
                <w:color w:val="000000"/>
                <w:sz w:val="21"/>
                <w:szCs w:val="21"/>
                <w:lang w:eastAsia="en-US"/>
              </w:rPr>
              <w:t xml:space="preserve">Sprawy, do których odnosi się nowelizowany przepis, mogą – w zależności od tego, kto jest ich stroną i jaka jest wartość przedmiotu sporu – wpływać do wydziałów: cywilnych SR (spór </w:t>
            </w:r>
            <w:r w:rsidRPr="00981F2D">
              <w:rPr>
                <w:rFonts w:eastAsia="Calibri" w:cs="Times New Roman"/>
                <w:color w:val="000000"/>
                <w:sz w:val="21"/>
                <w:szCs w:val="21"/>
                <w:lang w:eastAsia="en-US"/>
              </w:rPr>
              <w:br/>
              <w:t>bank – osoba fizyczna, przedmiot sporu do 75 000 zł), cywilnych SO (spór bank – osoba fizyczna, przedmiot sporu powyżej 75 000 zł), gospodarczych SR (spór bank</w:t>
            </w:r>
            <w:r w:rsidR="00B14587" w:rsidRPr="00B14587">
              <w:rPr>
                <w:rFonts w:eastAsia="Calibri" w:cs="Times New Roman"/>
                <w:color w:val="000000"/>
                <w:sz w:val="21"/>
                <w:szCs w:val="21"/>
                <w:lang w:eastAsia="en-US"/>
              </w:rPr>
              <w:t xml:space="preserve"> – </w:t>
            </w:r>
            <w:r w:rsidRPr="00981F2D">
              <w:rPr>
                <w:rFonts w:eastAsia="Calibri" w:cs="Times New Roman"/>
                <w:color w:val="000000"/>
                <w:sz w:val="21"/>
                <w:szCs w:val="21"/>
                <w:lang w:eastAsia="en-US"/>
              </w:rPr>
              <w:t>przedsiębiorca, przedmiot sporu do 75 000 zł) lub gospodarczych SO (spór bank – przedsiębiorca, przedmiot sporu powyżej 75 000 zł). Strukturę wpływu spraw dotyczących „roszczeń z umów bankowych” za 3 kwartały 2015 r. prezentuje poniższy wykres:</w:t>
            </w:r>
          </w:p>
          <w:p w:rsidR="00981F2D" w:rsidRPr="00981F2D" w:rsidRDefault="00981F2D" w:rsidP="00981F2D">
            <w:pPr>
              <w:widowControl/>
              <w:autoSpaceDE/>
              <w:autoSpaceDN/>
              <w:adjustRightInd/>
              <w:spacing w:line="240" w:lineRule="auto"/>
              <w:jc w:val="center"/>
              <w:rPr>
                <w:rFonts w:eastAsia="Calibri" w:cs="Times New Roman"/>
                <w:color w:val="000000"/>
                <w:sz w:val="21"/>
                <w:szCs w:val="21"/>
                <w:lang w:eastAsia="en-US"/>
              </w:rPr>
            </w:pPr>
            <w:r w:rsidRPr="00981F2D">
              <w:rPr>
                <w:rFonts w:ascii="Calibri" w:eastAsia="Calibri" w:hAnsi="Calibri" w:cs="Times New Roman"/>
                <w:noProof/>
                <w:sz w:val="22"/>
                <w:szCs w:val="22"/>
              </w:rPr>
              <w:drawing>
                <wp:inline distT="0" distB="0" distL="0" distR="0" wp14:anchorId="5A196DD7" wp14:editId="1C97C206">
                  <wp:extent cx="3384645" cy="1733265"/>
                  <wp:effectExtent l="0" t="0" r="6350" b="635"/>
                  <wp:docPr id="4" name="Wykres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81F2D" w:rsidRPr="00981F2D" w:rsidRDefault="00981F2D" w:rsidP="00981F2D">
            <w:pPr>
              <w:widowControl/>
              <w:autoSpaceDE/>
              <w:autoSpaceDN/>
              <w:adjustRightInd/>
              <w:spacing w:line="240" w:lineRule="auto"/>
              <w:jc w:val="both"/>
              <w:rPr>
                <w:rFonts w:eastAsia="Calibri" w:cs="Times New Roman"/>
                <w:color w:val="000000"/>
                <w:sz w:val="21"/>
                <w:szCs w:val="21"/>
                <w:lang w:eastAsia="en-US"/>
              </w:rPr>
            </w:pPr>
            <w:r w:rsidRPr="00981F2D">
              <w:rPr>
                <w:rFonts w:eastAsia="Calibri" w:cs="Times New Roman"/>
                <w:color w:val="000000"/>
                <w:sz w:val="21"/>
                <w:szCs w:val="21"/>
                <w:lang w:eastAsia="en-US"/>
              </w:rPr>
              <w:t xml:space="preserve">Ze względu na fakt, że nowelizowany przepis zaczął obowiązywać </w:t>
            </w:r>
            <w:r w:rsidR="008929CD">
              <w:rPr>
                <w:rFonts w:eastAsia="Calibri" w:cs="Times New Roman"/>
                <w:color w:val="000000"/>
                <w:sz w:val="21"/>
                <w:szCs w:val="21"/>
                <w:lang w:eastAsia="en-US"/>
              </w:rPr>
              <w:t xml:space="preserve">w </w:t>
            </w:r>
            <w:r w:rsidRPr="00981F2D">
              <w:rPr>
                <w:rFonts w:eastAsia="Calibri" w:cs="Times New Roman"/>
                <w:color w:val="000000"/>
                <w:sz w:val="21"/>
                <w:szCs w:val="21"/>
                <w:lang w:eastAsia="en-US"/>
              </w:rPr>
              <w:t>dn</w:t>
            </w:r>
            <w:r w:rsidR="00B14587">
              <w:rPr>
                <w:rFonts w:eastAsia="Calibri" w:cs="Times New Roman"/>
                <w:color w:val="000000"/>
                <w:sz w:val="21"/>
                <w:szCs w:val="21"/>
                <w:lang w:eastAsia="en-US"/>
              </w:rPr>
              <w:t>i</w:t>
            </w:r>
            <w:r w:rsidR="008929CD">
              <w:rPr>
                <w:rFonts w:eastAsia="Calibri" w:cs="Times New Roman"/>
                <w:color w:val="000000"/>
                <w:sz w:val="21"/>
                <w:szCs w:val="21"/>
                <w:lang w:eastAsia="en-US"/>
              </w:rPr>
              <w:t>u</w:t>
            </w:r>
            <w:r w:rsidRPr="00981F2D">
              <w:rPr>
                <w:rFonts w:eastAsia="Calibri" w:cs="Times New Roman"/>
                <w:color w:val="000000"/>
                <w:sz w:val="21"/>
                <w:szCs w:val="21"/>
                <w:lang w:eastAsia="en-US"/>
              </w:rPr>
              <w:t xml:space="preserve"> 27 listopada 2015 r. – nie jest możliwe zilustrowanie skutków jego wprowadzenia. Przedmiotowy projekt – w zakresie sporów banku i przedsiębiorcy oraz banku i osoby fizycznej, gdy powodem jest bank – przywraca rozwiązania obowiązujące przed </w:t>
            </w:r>
            <w:r w:rsidR="00B14587">
              <w:rPr>
                <w:rFonts w:eastAsia="Calibri" w:cs="Times New Roman"/>
                <w:color w:val="000000"/>
                <w:sz w:val="21"/>
                <w:szCs w:val="21"/>
                <w:lang w:eastAsia="en-US"/>
              </w:rPr>
              <w:t xml:space="preserve">dniem </w:t>
            </w:r>
            <w:r w:rsidRPr="00981F2D">
              <w:rPr>
                <w:rFonts w:eastAsia="Calibri" w:cs="Times New Roman"/>
                <w:color w:val="000000"/>
                <w:sz w:val="21"/>
                <w:szCs w:val="21"/>
                <w:lang w:eastAsia="en-US"/>
              </w:rPr>
              <w:t>27 listop</w:t>
            </w:r>
            <w:r w:rsidR="00B95F73">
              <w:rPr>
                <w:rFonts w:eastAsia="Calibri" w:cs="Times New Roman"/>
                <w:color w:val="000000"/>
                <w:sz w:val="21"/>
                <w:szCs w:val="21"/>
                <w:lang w:eastAsia="en-US"/>
              </w:rPr>
              <w:t>ada 2015 r.</w:t>
            </w:r>
          </w:p>
          <w:p w:rsidR="00981F2D" w:rsidRPr="00981F2D" w:rsidRDefault="00981F2D" w:rsidP="00981F2D">
            <w:pPr>
              <w:widowControl/>
              <w:autoSpaceDE/>
              <w:autoSpaceDN/>
              <w:adjustRightInd/>
              <w:spacing w:line="240" w:lineRule="auto"/>
              <w:jc w:val="both"/>
              <w:rPr>
                <w:rFonts w:eastAsia="Calibri" w:cs="Times New Roman"/>
                <w:color w:val="000000"/>
                <w:sz w:val="21"/>
                <w:szCs w:val="21"/>
                <w:lang w:eastAsia="en-US"/>
              </w:rPr>
            </w:pPr>
          </w:p>
          <w:p w:rsidR="00981F2D" w:rsidRPr="00981F2D" w:rsidRDefault="00981F2D" w:rsidP="00981F2D">
            <w:pPr>
              <w:widowControl/>
              <w:autoSpaceDE/>
              <w:autoSpaceDN/>
              <w:adjustRightInd/>
              <w:spacing w:line="240" w:lineRule="auto"/>
              <w:jc w:val="both"/>
              <w:rPr>
                <w:rFonts w:eastAsia="Calibri" w:cs="Times New Roman"/>
                <w:color w:val="000000"/>
                <w:sz w:val="21"/>
                <w:szCs w:val="21"/>
                <w:lang w:eastAsia="en-US"/>
              </w:rPr>
            </w:pPr>
            <w:r w:rsidRPr="00981F2D">
              <w:rPr>
                <w:rFonts w:eastAsia="Calibri" w:cs="Times New Roman"/>
                <w:color w:val="000000"/>
                <w:sz w:val="21"/>
                <w:szCs w:val="21"/>
                <w:lang w:eastAsia="en-US"/>
              </w:rPr>
              <w:t>Poniższy wykres przedstawia wpływ spraw bank – osoba fizyczna, dotyczących „roszczeń z umów bankowych” do SR w latach 2014–2015:</w:t>
            </w:r>
          </w:p>
          <w:p w:rsidR="00981F2D" w:rsidRPr="00981F2D" w:rsidRDefault="00981F2D" w:rsidP="00981F2D">
            <w:pPr>
              <w:widowControl/>
              <w:autoSpaceDE/>
              <w:autoSpaceDN/>
              <w:adjustRightInd/>
              <w:spacing w:line="240" w:lineRule="auto"/>
              <w:jc w:val="both"/>
              <w:rPr>
                <w:rFonts w:eastAsia="Calibri" w:cs="Times New Roman"/>
                <w:color w:val="000000"/>
                <w:sz w:val="21"/>
                <w:szCs w:val="21"/>
                <w:lang w:eastAsia="en-US"/>
              </w:rPr>
            </w:pPr>
          </w:p>
          <w:p w:rsidR="00981F2D" w:rsidRPr="00981F2D" w:rsidRDefault="00981F2D" w:rsidP="00981F2D">
            <w:pPr>
              <w:widowControl/>
              <w:autoSpaceDE/>
              <w:autoSpaceDN/>
              <w:adjustRightInd/>
              <w:spacing w:line="240" w:lineRule="auto"/>
              <w:jc w:val="both"/>
              <w:rPr>
                <w:rFonts w:eastAsia="Calibri" w:cs="Times New Roman"/>
                <w:color w:val="000000"/>
                <w:sz w:val="21"/>
                <w:szCs w:val="21"/>
                <w:lang w:eastAsia="en-US"/>
              </w:rPr>
            </w:pPr>
            <w:r w:rsidRPr="00981F2D">
              <w:rPr>
                <w:rFonts w:ascii="Calibri" w:eastAsia="Calibri" w:hAnsi="Calibri" w:cs="Times New Roman"/>
                <w:noProof/>
                <w:sz w:val="22"/>
                <w:szCs w:val="22"/>
              </w:rPr>
              <w:drawing>
                <wp:inline distT="0" distB="0" distL="0" distR="0" wp14:anchorId="6E388973" wp14:editId="09FDEDA7">
                  <wp:extent cx="5008728" cy="1924334"/>
                  <wp:effectExtent l="0" t="0" r="1905" b="0"/>
                  <wp:docPr id="5" name="Wykres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81F2D" w:rsidRPr="00981F2D" w:rsidRDefault="00981F2D" w:rsidP="00981F2D">
            <w:pPr>
              <w:widowControl/>
              <w:autoSpaceDE/>
              <w:autoSpaceDN/>
              <w:adjustRightInd/>
              <w:spacing w:line="240" w:lineRule="auto"/>
              <w:jc w:val="both"/>
              <w:rPr>
                <w:rFonts w:eastAsia="Calibri" w:cs="Times New Roman"/>
                <w:i/>
                <w:color w:val="000000"/>
                <w:sz w:val="21"/>
                <w:szCs w:val="21"/>
                <w:lang w:eastAsia="en-US"/>
              </w:rPr>
            </w:pPr>
            <w:r w:rsidRPr="00981F2D">
              <w:rPr>
                <w:rFonts w:eastAsia="Calibri" w:cs="Times New Roman"/>
                <w:i/>
                <w:color w:val="000000"/>
                <w:sz w:val="21"/>
                <w:szCs w:val="21"/>
                <w:lang w:eastAsia="en-US"/>
              </w:rPr>
              <w:t>* – Szacunek na podstawie danych ze 153 SR</w:t>
            </w:r>
          </w:p>
          <w:p w:rsidR="00981F2D" w:rsidRPr="00981F2D" w:rsidRDefault="00981F2D" w:rsidP="00981F2D">
            <w:pPr>
              <w:widowControl/>
              <w:autoSpaceDE/>
              <w:autoSpaceDN/>
              <w:adjustRightInd/>
              <w:spacing w:line="240" w:lineRule="auto"/>
              <w:jc w:val="both"/>
              <w:rPr>
                <w:rFonts w:eastAsia="Calibri" w:cs="Times New Roman"/>
                <w:color w:val="000000"/>
                <w:sz w:val="21"/>
                <w:szCs w:val="21"/>
                <w:lang w:eastAsia="en-US"/>
              </w:rPr>
            </w:pPr>
            <w:r w:rsidRPr="00981F2D">
              <w:rPr>
                <w:rFonts w:eastAsia="Calibri" w:cs="Times New Roman"/>
                <w:color w:val="000000"/>
                <w:sz w:val="21"/>
                <w:szCs w:val="21"/>
                <w:lang w:eastAsia="en-US"/>
              </w:rPr>
              <w:t>Ich wpływ utrzymywał się na relatywnie stabilnym poziomie ok. 23 tys. spraw na kwartał. Z kolei wpływ spraw bank – osoba fizyczna, dotyczących „roszczeń z umów bankowych” do SO w latach 2014–2015</w:t>
            </w:r>
            <w:r w:rsidR="00B14587">
              <w:rPr>
                <w:rFonts w:eastAsia="Calibri" w:cs="Times New Roman"/>
                <w:color w:val="000000"/>
                <w:sz w:val="21"/>
                <w:szCs w:val="21"/>
                <w:lang w:eastAsia="en-US"/>
              </w:rPr>
              <w:t>,</w:t>
            </w:r>
            <w:r w:rsidRPr="00981F2D">
              <w:rPr>
                <w:rFonts w:eastAsia="Calibri" w:cs="Times New Roman"/>
                <w:color w:val="000000"/>
                <w:sz w:val="21"/>
                <w:szCs w:val="21"/>
                <w:lang w:eastAsia="en-US"/>
              </w:rPr>
              <w:t xml:space="preserve"> podlegał znacznie większym fluktuacjom:</w:t>
            </w:r>
          </w:p>
          <w:p w:rsidR="00981F2D" w:rsidRPr="00981F2D" w:rsidRDefault="00981F2D" w:rsidP="00981F2D">
            <w:pPr>
              <w:widowControl/>
              <w:autoSpaceDE/>
              <w:autoSpaceDN/>
              <w:adjustRightInd/>
              <w:spacing w:line="240" w:lineRule="auto"/>
              <w:jc w:val="both"/>
              <w:rPr>
                <w:rFonts w:eastAsia="Calibri" w:cs="Times New Roman"/>
                <w:color w:val="000000"/>
                <w:sz w:val="21"/>
                <w:szCs w:val="21"/>
                <w:lang w:eastAsia="en-US"/>
              </w:rPr>
            </w:pPr>
            <w:r w:rsidRPr="00981F2D">
              <w:rPr>
                <w:rFonts w:ascii="Calibri" w:eastAsia="Calibri" w:hAnsi="Calibri" w:cs="Times New Roman"/>
                <w:noProof/>
                <w:sz w:val="22"/>
                <w:szCs w:val="22"/>
              </w:rPr>
              <w:drawing>
                <wp:inline distT="0" distB="0" distL="0" distR="0" wp14:anchorId="752B5B9D" wp14:editId="1B669AE3">
                  <wp:extent cx="5143500" cy="1943100"/>
                  <wp:effectExtent l="0" t="0" r="0" b="0"/>
                  <wp:docPr id="6" name="Wykres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81F2D" w:rsidRPr="00981F2D" w:rsidRDefault="00981F2D" w:rsidP="00981F2D">
            <w:pPr>
              <w:widowControl/>
              <w:autoSpaceDE/>
              <w:autoSpaceDN/>
              <w:adjustRightInd/>
              <w:spacing w:line="240" w:lineRule="auto"/>
              <w:jc w:val="both"/>
              <w:rPr>
                <w:rFonts w:eastAsia="Calibri" w:cs="Times New Roman"/>
                <w:color w:val="000000"/>
                <w:sz w:val="21"/>
                <w:szCs w:val="21"/>
                <w:lang w:eastAsia="en-US"/>
              </w:rPr>
            </w:pPr>
            <w:r w:rsidRPr="00981F2D">
              <w:rPr>
                <w:rFonts w:ascii="Calibri" w:eastAsia="Calibri" w:hAnsi="Calibri" w:cs="Times New Roman"/>
                <w:noProof/>
                <w:sz w:val="22"/>
                <w:szCs w:val="22"/>
              </w:rPr>
              <w:t xml:space="preserve">* – </w:t>
            </w:r>
            <w:r w:rsidRPr="00981F2D">
              <w:rPr>
                <w:rFonts w:eastAsia="Calibri" w:cs="Times New Roman"/>
                <w:color w:val="000000"/>
                <w:sz w:val="21"/>
                <w:szCs w:val="21"/>
                <w:lang w:eastAsia="en-US"/>
              </w:rPr>
              <w:t>Szacunek na podstawie danych z 19 SO</w:t>
            </w:r>
          </w:p>
          <w:p w:rsidR="00981F2D" w:rsidRPr="00981F2D" w:rsidRDefault="00981F2D" w:rsidP="00981F2D">
            <w:pPr>
              <w:widowControl/>
              <w:autoSpaceDE/>
              <w:autoSpaceDN/>
              <w:adjustRightInd/>
              <w:spacing w:line="240" w:lineRule="auto"/>
              <w:jc w:val="both"/>
              <w:rPr>
                <w:rFonts w:eastAsia="Calibri" w:cs="Times New Roman"/>
                <w:color w:val="000000"/>
                <w:sz w:val="21"/>
                <w:szCs w:val="21"/>
                <w:lang w:eastAsia="en-US"/>
              </w:rPr>
            </w:pPr>
            <w:r w:rsidRPr="00981F2D">
              <w:rPr>
                <w:rFonts w:eastAsia="Calibri" w:cs="Times New Roman"/>
                <w:color w:val="000000"/>
                <w:sz w:val="21"/>
                <w:szCs w:val="21"/>
                <w:lang w:eastAsia="en-US"/>
              </w:rPr>
              <w:lastRenderedPageBreak/>
              <w:t>Niestety, dane gromadzone w ramach sprawozdawczości statystycznej Ministerstwa Sprawiedliwości nie pozwalają ustalić, jaki odsetek tych postępowań jest inicjowany przez osoby fizyczne, a zatem w jakiej części postępowań znajdzie zastosowanie ograniczenie maksymalnej wysokości opłaty stosunkowej z 100 000 zł do 1000 zł.</w:t>
            </w:r>
          </w:p>
          <w:p w:rsidR="00981F2D" w:rsidRPr="00981F2D" w:rsidRDefault="00981F2D" w:rsidP="00981F2D">
            <w:pPr>
              <w:widowControl/>
              <w:autoSpaceDE/>
              <w:autoSpaceDN/>
              <w:adjustRightInd/>
              <w:spacing w:line="240" w:lineRule="auto"/>
              <w:jc w:val="both"/>
              <w:rPr>
                <w:rFonts w:eastAsia="Calibri" w:cs="Times New Roman"/>
                <w:color w:val="000000"/>
                <w:sz w:val="21"/>
                <w:szCs w:val="21"/>
                <w:lang w:eastAsia="en-US"/>
              </w:rPr>
            </w:pPr>
          </w:p>
          <w:p w:rsidR="00981F2D" w:rsidRPr="00981F2D" w:rsidRDefault="00981F2D" w:rsidP="00981F2D">
            <w:pPr>
              <w:widowControl/>
              <w:autoSpaceDE/>
              <w:autoSpaceDN/>
              <w:adjustRightInd/>
              <w:spacing w:line="240" w:lineRule="auto"/>
              <w:jc w:val="both"/>
              <w:rPr>
                <w:rFonts w:eastAsia="Calibri" w:cs="Times New Roman"/>
                <w:color w:val="000000"/>
                <w:sz w:val="21"/>
                <w:szCs w:val="21"/>
                <w:lang w:eastAsia="en-US"/>
              </w:rPr>
            </w:pPr>
            <w:r w:rsidRPr="00981F2D">
              <w:rPr>
                <w:rFonts w:eastAsia="Calibri" w:cs="Times New Roman"/>
                <w:color w:val="000000"/>
                <w:sz w:val="21"/>
                <w:szCs w:val="21"/>
                <w:lang w:eastAsia="en-US"/>
              </w:rPr>
              <w:t>W oparciu o dostępne sprawozdania statystyczne i dane finansowe, nie jest też możliwe oszacowanie typowej wartości przedmiotu sporu w analizowanych sprawach (ani oszacowanie wpływów z opłat sądowych, uiszczonych w tych postępowaniach). Także sprawozdania z działalności banków – choć zawierają informacje o „postępowaniach toczących się przed sądem, organem właściwym dla postępowania arbitrażowego lub organem administracji publicznej”</w:t>
            </w:r>
            <w:r w:rsidR="00B14587">
              <w:rPr>
                <w:rFonts w:eastAsia="Calibri" w:cs="Times New Roman"/>
                <w:color w:val="000000"/>
                <w:sz w:val="21"/>
                <w:szCs w:val="21"/>
                <w:lang w:eastAsia="en-US"/>
              </w:rPr>
              <w:t xml:space="preserve"> –</w:t>
            </w:r>
            <w:r w:rsidRPr="00981F2D">
              <w:rPr>
                <w:rFonts w:eastAsia="Calibri" w:cs="Times New Roman"/>
                <w:color w:val="000000"/>
                <w:sz w:val="21"/>
                <w:szCs w:val="21"/>
                <w:lang w:eastAsia="en-US"/>
              </w:rPr>
              <w:t xml:space="preserve"> dostarczają ograniczonej wiedzy o analizowanych sprawach – ze względu na stopień agregacji danych. Ilustruje to poniższa tabela, podsumowująca zakres danych opublikowanych w sprawozdaniach trzech największych banków:</w:t>
            </w:r>
          </w:p>
          <w:p w:rsidR="00981F2D" w:rsidRPr="00981F2D" w:rsidRDefault="00981F2D" w:rsidP="00981F2D">
            <w:pPr>
              <w:widowControl/>
              <w:autoSpaceDE/>
              <w:autoSpaceDN/>
              <w:adjustRightInd/>
              <w:spacing w:line="240" w:lineRule="auto"/>
              <w:jc w:val="both"/>
              <w:rPr>
                <w:rFonts w:eastAsia="Calibri" w:cs="Times New Roman"/>
                <w:color w:val="000000"/>
                <w:sz w:val="21"/>
                <w:szCs w:val="21"/>
                <w:lang w:eastAsia="en-US"/>
              </w:rPr>
            </w:pPr>
          </w:p>
          <w:tbl>
            <w:tblPr>
              <w:tblStyle w:val="Jasnecieniowanieakcent5"/>
              <w:tblW w:w="7469" w:type="dxa"/>
              <w:jc w:val="center"/>
              <w:tblLayout w:type="fixed"/>
              <w:tblLook w:val="04A0" w:firstRow="1" w:lastRow="0" w:firstColumn="1" w:lastColumn="0" w:noHBand="0" w:noVBand="1"/>
            </w:tblPr>
            <w:tblGrid>
              <w:gridCol w:w="2082"/>
              <w:gridCol w:w="992"/>
              <w:gridCol w:w="709"/>
              <w:gridCol w:w="992"/>
              <w:gridCol w:w="993"/>
              <w:gridCol w:w="850"/>
              <w:gridCol w:w="851"/>
            </w:tblGrid>
            <w:tr w:rsidR="00981F2D" w:rsidRPr="00981F2D" w:rsidTr="00B14587">
              <w:trPr>
                <w:cnfStyle w:val="100000000000" w:firstRow="1" w:lastRow="0" w:firstColumn="0" w:lastColumn="0" w:oddVBand="0" w:evenVBand="0" w:oddHBand="0"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2082" w:type="dxa"/>
                  <w:vMerge w:val="restart"/>
                  <w:noWrap/>
                  <w:vAlign w:val="center"/>
                  <w:hideMark/>
                </w:tcPr>
                <w:p w:rsidR="00981F2D" w:rsidRPr="00981F2D" w:rsidRDefault="00981F2D" w:rsidP="00981F2D">
                  <w:pPr>
                    <w:widowControl/>
                    <w:autoSpaceDE/>
                    <w:autoSpaceDN/>
                    <w:adjustRightInd/>
                    <w:spacing w:line="240" w:lineRule="auto"/>
                    <w:jc w:val="center"/>
                    <w:rPr>
                      <w:rFonts w:eastAsia="Times New Roman" w:cs="Times New Roman"/>
                      <w:color w:val="000000"/>
                      <w:sz w:val="20"/>
                    </w:rPr>
                  </w:pPr>
                  <w:r w:rsidRPr="00981F2D">
                    <w:rPr>
                      <w:rFonts w:eastAsia="Times New Roman" w:cs="Times New Roman"/>
                      <w:color w:val="000000"/>
                      <w:sz w:val="20"/>
                    </w:rPr>
                    <w:t>Bank (rok)</w:t>
                  </w:r>
                </w:p>
              </w:tc>
              <w:tc>
                <w:tcPr>
                  <w:tcW w:w="2693" w:type="dxa"/>
                  <w:gridSpan w:val="3"/>
                  <w:vAlign w:val="center"/>
                  <w:hideMark/>
                </w:tcPr>
                <w:p w:rsidR="00981F2D" w:rsidRPr="00981F2D" w:rsidRDefault="00981F2D" w:rsidP="00981F2D">
                  <w:pPr>
                    <w:widowControl/>
                    <w:autoSpaceDE/>
                    <w:autoSpaceDN/>
                    <w:adjustRightInd/>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20"/>
                    </w:rPr>
                  </w:pPr>
                  <w:r w:rsidRPr="00981F2D">
                    <w:rPr>
                      <w:rFonts w:eastAsia="Times New Roman" w:cs="Times New Roman"/>
                      <w:color w:val="000000"/>
                      <w:sz w:val="20"/>
                    </w:rPr>
                    <w:t>Postępowania, w których bank jest pozwanym</w:t>
                  </w:r>
                </w:p>
              </w:tc>
              <w:tc>
                <w:tcPr>
                  <w:tcW w:w="2694" w:type="dxa"/>
                  <w:gridSpan w:val="3"/>
                  <w:vAlign w:val="center"/>
                  <w:hideMark/>
                </w:tcPr>
                <w:p w:rsidR="00981F2D" w:rsidRPr="00981F2D" w:rsidRDefault="00981F2D" w:rsidP="00981F2D">
                  <w:pPr>
                    <w:widowControl/>
                    <w:autoSpaceDE/>
                    <w:autoSpaceDN/>
                    <w:adjustRightInd/>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20"/>
                    </w:rPr>
                  </w:pPr>
                  <w:r w:rsidRPr="00981F2D">
                    <w:rPr>
                      <w:rFonts w:eastAsia="Times New Roman" w:cs="Times New Roman"/>
                      <w:color w:val="000000"/>
                      <w:sz w:val="20"/>
                    </w:rPr>
                    <w:t>Postępowania, z powództwa</w:t>
                  </w:r>
                  <w:r w:rsidRPr="00981F2D">
                    <w:rPr>
                      <w:rFonts w:eastAsia="Times New Roman" w:cs="Times New Roman"/>
                      <w:color w:val="000000"/>
                      <w:sz w:val="20"/>
                    </w:rPr>
                    <w:br/>
                    <w:t xml:space="preserve"> banku</w:t>
                  </w:r>
                </w:p>
              </w:tc>
            </w:tr>
            <w:tr w:rsidR="00981F2D" w:rsidRPr="00981F2D" w:rsidTr="00B14587">
              <w:trPr>
                <w:cnfStyle w:val="000000100000" w:firstRow="0" w:lastRow="0" w:firstColumn="0" w:lastColumn="0" w:oddVBand="0" w:evenVBand="0" w:oddHBand="1"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2082" w:type="dxa"/>
                  <w:vMerge/>
                  <w:tcBorders>
                    <w:bottom w:val="single" w:sz="4" w:space="0" w:color="auto"/>
                  </w:tcBorders>
                  <w:hideMark/>
                </w:tcPr>
                <w:p w:rsidR="00981F2D" w:rsidRPr="00981F2D" w:rsidRDefault="00981F2D" w:rsidP="00981F2D">
                  <w:pPr>
                    <w:widowControl/>
                    <w:autoSpaceDE/>
                    <w:autoSpaceDN/>
                    <w:adjustRightInd/>
                    <w:spacing w:line="240" w:lineRule="auto"/>
                    <w:rPr>
                      <w:rFonts w:eastAsia="Times New Roman" w:cs="Times New Roman"/>
                      <w:color w:val="000000"/>
                      <w:sz w:val="20"/>
                    </w:rPr>
                  </w:pPr>
                </w:p>
              </w:tc>
              <w:tc>
                <w:tcPr>
                  <w:tcW w:w="992" w:type="dxa"/>
                  <w:tcBorders>
                    <w:bottom w:val="single" w:sz="4" w:space="0" w:color="auto"/>
                  </w:tcBorders>
                  <w:vAlign w:val="center"/>
                  <w:hideMark/>
                </w:tcPr>
                <w:p w:rsidR="00981F2D" w:rsidRPr="00981F2D" w:rsidRDefault="00981F2D" w:rsidP="00981F2D">
                  <w:pPr>
                    <w:widowControl/>
                    <w:autoSpaceDE/>
                    <w:autoSpaceDN/>
                    <w:adjustRightInd/>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981F2D">
                    <w:rPr>
                      <w:rFonts w:eastAsia="Times New Roman" w:cs="Times New Roman"/>
                      <w:color w:val="000000"/>
                      <w:sz w:val="20"/>
                    </w:rPr>
                    <w:t>łączna wartość</w:t>
                  </w:r>
                </w:p>
                <w:p w:rsidR="00981F2D" w:rsidRPr="00981F2D" w:rsidRDefault="00981F2D" w:rsidP="00981F2D">
                  <w:pPr>
                    <w:widowControl/>
                    <w:autoSpaceDE/>
                    <w:autoSpaceDN/>
                    <w:adjustRightInd/>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981F2D">
                    <w:rPr>
                      <w:rFonts w:eastAsia="Times New Roman" w:cs="Times New Roman"/>
                      <w:color w:val="000000"/>
                      <w:sz w:val="20"/>
                    </w:rPr>
                    <w:t>[mln zł]</w:t>
                  </w:r>
                </w:p>
              </w:tc>
              <w:tc>
                <w:tcPr>
                  <w:tcW w:w="709" w:type="dxa"/>
                  <w:tcBorders>
                    <w:bottom w:val="single" w:sz="4" w:space="0" w:color="auto"/>
                  </w:tcBorders>
                  <w:vAlign w:val="center"/>
                  <w:hideMark/>
                </w:tcPr>
                <w:p w:rsidR="00981F2D" w:rsidRPr="00981F2D" w:rsidRDefault="00981F2D" w:rsidP="00981F2D">
                  <w:pPr>
                    <w:widowControl/>
                    <w:autoSpaceDE/>
                    <w:autoSpaceDN/>
                    <w:adjustRightInd/>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981F2D">
                    <w:rPr>
                      <w:rFonts w:eastAsia="Times New Roman" w:cs="Times New Roman"/>
                      <w:color w:val="000000"/>
                      <w:sz w:val="20"/>
                    </w:rPr>
                    <w:t>liczba</w:t>
                  </w:r>
                </w:p>
              </w:tc>
              <w:tc>
                <w:tcPr>
                  <w:tcW w:w="992" w:type="dxa"/>
                  <w:tcBorders>
                    <w:bottom w:val="single" w:sz="4" w:space="0" w:color="auto"/>
                    <w:right w:val="single" w:sz="4" w:space="0" w:color="auto"/>
                  </w:tcBorders>
                  <w:vAlign w:val="center"/>
                  <w:hideMark/>
                </w:tcPr>
                <w:p w:rsidR="00981F2D" w:rsidRPr="00981F2D" w:rsidRDefault="00981F2D" w:rsidP="00981F2D">
                  <w:pPr>
                    <w:widowControl/>
                    <w:autoSpaceDE/>
                    <w:autoSpaceDN/>
                    <w:adjustRightInd/>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981F2D">
                    <w:rPr>
                      <w:rFonts w:eastAsia="Times New Roman" w:cs="Times New Roman"/>
                      <w:color w:val="000000"/>
                      <w:sz w:val="20"/>
                    </w:rPr>
                    <w:t xml:space="preserve">średnia wartość </w:t>
                  </w:r>
                  <w:r w:rsidRPr="00981F2D">
                    <w:rPr>
                      <w:rFonts w:eastAsia="Times New Roman" w:cs="Times New Roman"/>
                      <w:color w:val="000000"/>
                      <w:sz w:val="20"/>
                    </w:rPr>
                    <w:br/>
                    <w:t>[mln zł]</w:t>
                  </w:r>
                </w:p>
              </w:tc>
              <w:tc>
                <w:tcPr>
                  <w:tcW w:w="993" w:type="dxa"/>
                  <w:tcBorders>
                    <w:top w:val="nil"/>
                    <w:left w:val="single" w:sz="4" w:space="0" w:color="auto"/>
                    <w:bottom w:val="single" w:sz="4" w:space="0" w:color="auto"/>
                  </w:tcBorders>
                  <w:vAlign w:val="center"/>
                  <w:hideMark/>
                </w:tcPr>
                <w:p w:rsidR="00981F2D" w:rsidRPr="00981F2D" w:rsidRDefault="00981F2D" w:rsidP="00981F2D">
                  <w:pPr>
                    <w:widowControl/>
                    <w:autoSpaceDE/>
                    <w:autoSpaceDN/>
                    <w:adjustRightInd/>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981F2D">
                    <w:rPr>
                      <w:rFonts w:eastAsia="Times New Roman" w:cs="Times New Roman"/>
                      <w:color w:val="000000"/>
                      <w:sz w:val="20"/>
                    </w:rPr>
                    <w:t>łączna wartość</w:t>
                  </w:r>
                  <w:r w:rsidRPr="00981F2D">
                    <w:rPr>
                      <w:rFonts w:eastAsia="Times New Roman" w:cs="Times New Roman"/>
                      <w:color w:val="000000"/>
                      <w:sz w:val="20"/>
                    </w:rPr>
                    <w:br/>
                    <w:t>[mln zł]</w:t>
                  </w:r>
                </w:p>
              </w:tc>
              <w:tc>
                <w:tcPr>
                  <w:tcW w:w="850" w:type="dxa"/>
                  <w:tcBorders>
                    <w:bottom w:val="single" w:sz="4" w:space="0" w:color="auto"/>
                  </w:tcBorders>
                  <w:vAlign w:val="center"/>
                  <w:hideMark/>
                </w:tcPr>
                <w:p w:rsidR="00981F2D" w:rsidRPr="00981F2D" w:rsidRDefault="00981F2D" w:rsidP="00981F2D">
                  <w:pPr>
                    <w:widowControl/>
                    <w:autoSpaceDE/>
                    <w:autoSpaceDN/>
                    <w:adjustRightInd/>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981F2D">
                    <w:rPr>
                      <w:rFonts w:eastAsia="Times New Roman" w:cs="Times New Roman"/>
                      <w:color w:val="000000"/>
                      <w:sz w:val="20"/>
                    </w:rPr>
                    <w:t>liczba</w:t>
                  </w:r>
                </w:p>
              </w:tc>
              <w:tc>
                <w:tcPr>
                  <w:tcW w:w="851" w:type="dxa"/>
                  <w:tcBorders>
                    <w:bottom w:val="single" w:sz="4" w:space="0" w:color="auto"/>
                  </w:tcBorders>
                  <w:vAlign w:val="center"/>
                  <w:hideMark/>
                </w:tcPr>
                <w:p w:rsidR="00981F2D" w:rsidRPr="00981F2D" w:rsidRDefault="00981F2D" w:rsidP="00981F2D">
                  <w:pPr>
                    <w:widowControl/>
                    <w:autoSpaceDE/>
                    <w:autoSpaceDN/>
                    <w:adjustRightInd/>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981F2D">
                    <w:rPr>
                      <w:rFonts w:eastAsia="Times New Roman" w:cs="Times New Roman"/>
                      <w:color w:val="000000"/>
                      <w:sz w:val="20"/>
                    </w:rPr>
                    <w:t>średnia wartość [mln zł]</w:t>
                  </w:r>
                </w:p>
              </w:tc>
            </w:tr>
            <w:tr w:rsidR="00981F2D" w:rsidRPr="00981F2D" w:rsidTr="00B14587">
              <w:trPr>
                <w:trHeight w:val="300"/>
                <w:jc w:val="center"/>
              </w:trPr>
              <w:tc>
                <w:tcPr>
                  <w:cnfStyle w:val="001000000000" w:firstRow="0" w:lastRow="0" w:firstColumn="1" w:lastColumn="0" w:oddVBand="0" w:evenVBand="0" w:oddHBand="0" w:evenHBand="0" w:firstRowFirstColumn="0" w:firstRowLastColumn="0" w:lastRowFirstColumn="0" w:lastRowLastColumn="0"/>
                  <w:tcW w:w="2082" w:type="dxa"/>
                  <w:tcBorders>
                    <w:top w:val="single" w:sz="4" w:space="0" w:color="auto"/>
                    <w:bottom w:val="nil"/>
                  </w:tcBorders>
                  <w:noWrap/>
                  <w:hideMark/>
                </w:tcPr>
                <w:p w:rsidR="00981F2D" w:rsidRPr="00981F2D" w:rsidRDefault="00981F2D" w:rsidP="00981F2D">
                  <w:pPr>
                    <w:widowControl/>
                    <w:autoSpaceDE/>
                    <w:autoSpaceDN/>
                    <w:adjustRightInd/>
                    <w:spacing w:line="240" w:lineRule="auto"/>
                    <w:rPr>
                      <w:rFonts w:eastAsia="Times New Roman" w:cs="Times New Roman"/>
                      <w:color w:val="000000"/>
                      <w:sz w:val="20"/>
                    </w:rPr>
                  </w:pPr>
                  <w:r w:rsidRPr="00981F2D">
                    <w:rPr>
                      <w:rFonts w:eastAsia="Times New Roman" w:cs="Times New Roman"/>
                      <w:color w:val="000000"/>
                      <w:sz w:val="20"/>
                    </w:rPr>
                    <w:t>Pekao S.A. (2014)</w:t>
                  </w:r>
                </w:p>
              </w:tc>
              <w:tc>
                <w:tcPr>
                  <w:tcW w:w="992" w:type="dxa"/>
                  <w:tcBorders>
                    <w:top w:val="single" w:sz="4" w:space="0" w:color="auto"/>
                    <w:bottom w:val="nil"/>
                  </w:tcBorders>
                  <w:noWrap/>
                  <w:hideMark/>
                </w:tcPr>
                <w:p w:rsidR="00981F2D" w:rsidRPr="00981F2D" w:rsidRDefault="00981F2D" w:rsidP="00981F2D">
                  <w:pPr>
                    <w:widowControl/>
                    <w:autoSpaceDE/>
                    <w:autoSpaceDN/>
                    <w:adjustRightInd/>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981F2D">
                    <w:rPr>
                      <w:rFonts w:eastAsia="Times New Roman" w:cs="Times New Roman"/>
                      <w:color w:val="000000"/>
                      <w:sz w:val="20"/>
                    </w:rPr>
                    <w:t>1 201</w:t>
                  </w:r>
                </w:p>
              </w:tc>
              <w:tc>
                <w:tcPr>
                  <w:tcW w:w="709" w:type="dxa"/>
                  <w:tcBorders>
                    <w:top w:val="single" w:sz="4" w:space="0" w:color="auto"/>
                    <w:bottom w:val="nil"/>
                  </w:tcBorders>
                  <w:noWrap/>
                  <w:hideMark/>
                </w:tcPr>
                <w:p w:rsidR="00981F2D" w:rsidRPr="00981F2D" w:rsidRDefault="00981F2D" w:rsidP="00981F2D">
                  <w:pPr>
                    <w:widowControl/>
                    <w:autoSpaceDE/>
                    <w:autoSpaceDN/>
                    <w:adjustRightInd/>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981F2D">
                    <w:rPr>
                      <w:rFonts w:eastAsia="Times New Roman" w:cs="Times New Roman"/>
                      <w:color w:val="000000"/>
                      <w:sz w:val="20"/>
                    </w:rPr>
                    <w:t>657</w:t>
                  </w:r>
                </w:p>
              </w:tc>
              <w:tc>
                <w:tcPr>
                  <w:tcW w:w="992" w:type="dxa"/>
                  <w:tcBorders>
                    <w:top w:val="single" w:sz="4" w:space="0" w:color="auto"/>
                    <w:bottom w:val="nil"/>
                    <w:right w:val="single" w:sz="4" w:space="0" w:color="auto"/>
                  </w:tcBorders>
                  <w:noWrap/>
                  <w:hideMark/>
                </w:tcPr>
                <w:p w:rsidR="00981F2D" w:rsidRPr="00981F2D" w:rsidRDefault="00981F2D" w:rsidP="00981F2D">
                  <w:pPr>
                    <w:widowControl/>
                    <w:autoSpaceDE/>
                    <w:autoSpaceDN/>
                    <w:adjustRightInd/>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981F2D">
                    <w:rPr>
                      <w:rFonts w:eastAsia="Times New Roman" w:cs="Times New Roman"/>
                      <w:color w:val="000000"/>
                      <w:sz w:val="20"/>
                    </w:rPr>
                    <w:t>1,83</w:t>
                  </w:r>
                </w:p>
              </w:tc>
              <w:tc>
                <w:tcPr>
                  <w:tcW w:w="993" w:type="dxa"/>
                  <w:tcBorders>
                    <w:top w:val="single" w:sz="4" w:space="0" w:color="auto"/>
                    <w:left w:val="single" w:sz="4" w:space="0" w:color="auto"/>
                    <w:bottom w:val="nil"/>
                  </w:tcBorders>
                  <w:noWrap/>
                  <w:hideMark/>
                </w:tcPr>
                <w:p w:rsidR="00981F2D" w:rsidRPr="00981F2D" w:rsidRDefault="00981F2D" w:rsidP="00981F2D">
                  <w:pPr>
                    <w:widowControl/>
                    <w:autoSpaceDE/>
                    <w:autoSpaceDN/>
                    <w:adjustRightInd/>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981F2D">
                    <w:rPr>
                      <w:rFonts w:eastAsia="Times New Roman" w:cs="Times New Roman"/>
                      <w:color w:val="000000"/>
                      <w:sz w:val="20"/>
                    </w:rPr>
                    <w:t>1 177</w:t>
                  </w:r>
                </w:p>
              </w:tc>
              <w:tc>
                <w:tcPr>
                  <w:tcW w:w="850" w:type="dxa"/>
                  <w:tcBorders>
                    <w:top w:val="single" w:sz="4" w:space="0" w:color="auto"/>
                    <w:bottom w:val="nil"/>
                  </w:tcBorders>
                  <w:noWrap/>
                  <w:hideMark/>
                </w:tcPr>
                <w:p w:rsidR="00981F2D" w:rsidRPr="00981F2D" w:rsidRDefault="00981F2D" w:rsidP="00981F2D">
                  <w:pPr>
                    <w:widowControl/>
                    <w:autoSpaceDE/>
                    <w:autoSpaceDN/>
                    <w:adjustRightInd/>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981F2D">
                    <w:rPr>
                      <w:rFonts w:eastAsia="Times New Roman" w:cs="Times New Roman"/>
                      <w:color w:val="000000"/>
                      <w:sz w:val="20"/>
                    </w:rPr>
                    <w:t>13 708</w:t>
                  </w:r>
                </w:p>
              </w:tc>
              <w:tc>
                <w:tcPr>
                  <w:tcW w:w="851" w:type="dxa"/>
                  <w:tcBorders>
                    <w:top w:val="single" w:sz="4" w:space="0" w:color="auto"/>
                    <w:bottom w:val="nil"/>
                  </w:tcBorders>
                  <w:noWrap/>
                  <w:hideMark/>
                </w:tcPr>
                <w:p w:rsidR="00981F2D" w:rsidRPr="00981F2D" w:rsidRDefault="00981F2D" w:rsidP="00981F2D">
                  <w:pPr>
                    <w:widowControl/>
                    <w:autoSpaceDE/>
                    <w:autoSpaceDN/>
                    <w:adjustRightInd/>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981F2D">
                    <w:rPr>
                      <w:rFonts w:eastAsia="Times New Roman" w:cs="Times New Roman"/>
                      <w:color w:val="000000"/>
                      <w:sz w:val="20"/>
                    </w:rPr>
                    <w:t>0,086</w:t>
                  </w:r>
                </w:p>
              </w:tc>
            </w:tr>
            <w:tr w:rsidR="00981F2D" w:rsidRPr="00981F2D" w:rsidTr="00B1458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082" w:type="dxa"/>
                  <w:tcBorders>
                    <w:top w:val="nil"/>
                  </w:tcBorders>
                  <w:noWrap/>
                  <w:hideMark/>
                </w:tcPr>
                <w:p w:rsidR="00981F2D" w:rsidRPr="00981F2D" w:rsidRDefault="00981F2D" w:rsidP="00981F2D">
                  <w:pPr>
                    <w:widowControl/>
                    <w:autoSpaceDE/>
                    <w:autoSpaceDN/>
                    <w:adjustRightInd/>
                    <w:spacing w:line="240" w:lineRule="auto"/>
                    <w:rPr>
                      <w:rFonts w:eastAsia="Times New Roman" w:cs="Times New Roman"/>
                      <w:color w:val="000000"/>
                      <w:sz w:val="20"/>
                    </w:rPr>
                  </w:pPr>
                  <w:r w:rsidRPr="00981F2D">
                    <w:rPr>
                      <w:rFonts w:eastAsia="Times New Roman" w:cs="Times New Roman"/>
                      <w:color w:val="000000"/>
                      <w:sz w:val="20"/>
                    </w:rPr>
                    <w:t>Pekao S.A. (2013)</w:t>
                  </w:r>
                </w:p>
              </w:tc>
              <w:tc>
                <w:tcPr>
                  <w:tcW w:w="992" w:type="dxa"/>
                  <w:tcBorders>
                    <w:top w:val="nil"/>
                  </w:tcBorders>
                  <w:noWrap/>
                  <w:hideMark/>
                </w:tcPr>
                <w:p w:rsidR="00981F2D" w:rsidRPr="00981F2D" w:rsidRDefault="00981F2D" w:rsidP="00981F2D">
                  <w:pPr>
                    <w:widowControl/>
                    <w:autoSpaceDE/>
                    <w:autoSpaceDN/>
                    <w:adjustRightInd/>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981F2D">
                    <w:rPr>
                      <w:rFonts w:eastAsia="Times New Roman" w:cs="Times New Roman"/>
                      <w:color w:val="000000"/>
                      <w:sz w:val="20"/>
                    </w:rPr>
                    <w:t>19 052,8</w:t>
                  </w:r>
                </w:p>
              </w:tc>
              <w:tc>
                <w:tcPr>
                  <w:tcW w:w="709" w:type="dxa"/>
                  <w:tcBorders>
                    <w:top w:val="nil"/>
                  </w:tcBorders>
                  <w:noWrap/>
                  <w:hideMark/>
                </w:tcPr>
                <w:p w:rsidR="00981F2D" w:rsidRPr="00981F2D" w:rsidRDefault="00981F2D" w:rsidP="00981F2D">
                  <w:pPr>
                    <w:widowControl/>
                    <w:autoSpaceDE/>
                    <w:autoSpaceDN/>
                    <w:adjustRightInd/>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981F2D">
                    <w:rPr>
                      <w:rFonts w:eastAsia="Times New Roman" w:cs="Times New Roman"/>
                      <w:color w:val="000000"/>
                      <w:sz w:val="20"/>
                    </w:rPr>
                    <w:t>1 234</w:t>
                  </w:r>
                </w:p>
              </w:tc>
              <w:tc>
                <w:tcPr>
                  <w:tcW w:w="992" w:type="dxa"/>
                  <w:tcBorders>
                    <w:top w:val="nil"/>
                    <w:right w:val="single" w:sz="4" w:space="0" w:color="auto"/>
                  </w:tcBorders>
                  <w:noWrap/>
                  <w:hideMark/>
                </w:tcPr>
                <w:p w:rsidR="00981F2D" w:rsidRPr="00981F2D" w:rsidRDefault="00981F2D" w:rsidP="00981F2D">
                  <w:pPr>
                    <w:widowControl/>
                    <w:autoSpaceDE/>
                    <w:autoSpaceDN/>
                    <w:adjustRightInd/>
                    <w:spacing w:line="240" w:lineRule="auto"/>
                    <w:ind w:left="-533" w:firstLine="533"/>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981F2D">
                    <w:rPr>
                      <w:rFonts w:eastAsia="Times New Roman" w:cs="Times New Roman"/>
                      <w:color w:val="000000"/>
                      <w:sz w:val="20"/>
                    </w:rPr>
                    <w:t>15,44</w:t>
                  </w:r>
                </w:p>
              </w:tc>
              <w:tc>
                <w:tcPr>
                  <w:tcW w:w="993" w:type="dxa"/>
                  <w:tcBorders>
                    <w:top w:val="nil"/>
                    <w:left w:val="single" w:sz="4" w:space="0" w:color="auto"/>
                    <w:bottom w:val="nil"/>
                  </w:tcBorders>
                  <w:noWrap/>
                  <w:hideMark/>
                </w:tcPr>
                <w:p w:rsidR="00981F2D" w:rsidRPr="00981F2D" w:rsidRDefault="00981F2D" w:rsidP="00981F2D">
                  <w:pPr>
                    <w:widowControl/>
                    <w:autoSpaceDE/>
                    <w:autoSpaceDN/>
                    <w:adjustRightInd/>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981F2D">
                    <w:rPr>
                      <w:rFonts w:eastAsia="Times New Roman" w:cs="Times New Roman"/>
                      <w:color w:val="000000"/>
                      <w:sz w:val="20"/>
                    </w:rPr>
                    <w:t>1 263</w:t>
                  </w:r>
                </w:p>
              </w:tc>
              <w:tc>
                <w:tcPr>
                  <w:tcW w:w="850" w:type="dxa"/>
                  <w:tcBorders>
                    <w:top w:val="nil"/>
                  </w:tcBorders>
                  <w:noWrap/>
                  <w:hideMark/>
                </w:tcPr>
                <w:p w:rsidR="00981F2D" w:rsidRPr="00981F2D" w:rsidRDefault="00981F2D" w:rsidP="00981F2D">
                  <w:pPr>
                    <w:widowControl/>
                    <w:autoSpaceDE/>
                    <w:autoSpaceDN/>
                    <w:adjustRightInd/>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981F2D">
                    <w:rPr>
                      <w:rFonts w:eastAsia="Times New Roman" w:cs="Times New Roman"/>
                      <w:color w:val="000000"/>
                      <w:sz w:val="20"/>
                    </w:rPr>
                    <w:t>14 675</w:t>
                  </w:r>
                </w:p>
              </w:tc>
              <w:tc>
                <w:tcPr>
                  <w:tcW w:w="851" w:type="dxa"/>
                  <w:tcBorders>
                    <w:top w:val="nil"/>
                  </w:tcBorders>
                  <w:noWrap/>
                  <w:hideMark/>
                </w:tcPr>
                <w:p w:rsidR="00981F2D" w:rsidRPr="00981F2D" w:rsidRDefault="00981F2D" w:rsidP="00981F2D">
                  <w:pPr>
                    <w:widowControl/>
                    <w:autoSpaceDE/>
                    <w:autoSpaceDN/>
                    <w:adjustRightInd/>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981F2D">
                    <w:rPr>
                      <w:rFonts w:eastAsia="Times New Roman" w:cs="Times New Roman"/>
                      <w:color w:val="000000"/>
                      <w:sz w:val="20"/>
                    </w:rPr>
                    <w:t>0,086</w:t>
                  </w:r>
                </w:p>
              </w:tc>
            </w:tr>
            <w:tr w:rsidR="00981F2D" w:rsidRPr="00981F2D" w:rsidTr="00B14587">
              <w:trPr>
                <w:trHeight w:val="300"/>
                <w:jc w:val="center"/>
              </w:trPr>
              <w:tc>
                <w:tcPr>
                  <w:cnfStyle w:val="001000000000" w:firstRow="0" w:lastRow="0" w:firstColumn="1" w:lastColumn="0" w:oddVBand="0" w:evenVBand="0" w:oddHBand="0" w:evenHBand="0" w:firstRowFirstColumn="0" w:firstRowLastColumn="0" w:lastRowFirstColumn="0" w:lastRowLastColumn="0"/>
                  <w:tcW w:w="2082" w:type="dxa"/>
                  <w:noWrap/>
                  <w:hideMark/>
                </w:tcPr>
                <w:p w:rsidR="00981F2D" w:rsidRPr="00981F2D" w:rsidRDefault="00981F2D" w:rsidP="00981F2D">
                  <w:pPr>
                    <w:widowControl/>
                    <w:autoSpaceDE/>
                    <w:autoSpaceDN/>
                    <w:adjustRightInd/>
                    <w:spacing w:line="240" w:lineRule="auto"/>
                    <w:rPr>
                      <w:rFonts w:eastAsia="Times New Roman" w:cs="Times New Roman"/>
                      <w:color w:val="000000"/>
                      <w:sz w:val="20"/>
                    </w:rPr>
                  </w:pPr>
                  <w:r w:rsidRPr="00981F2D">
                    <w:rPr>
                      <w:rFonts w:eastAsia="Times New Roman" w:cs="Times New Roman"/>
                      <w:color w:val="000000"/>
                      <w:sz w:val="20"/>
                    </w:rPr>
                    <w:t>PKO BP S.A. (2014)</w:t>
                  </w:r>
                </w:p>
              </w:tc>
              <w:tc>
                <w:tcPr>
                  <w:tcW w:w="992" w:type="dxa"/>
                  <w:noWrap/>
                  <w:hideMark/>
                </w:tcPr>
                <w:p w:rsidR="00981F2D" w:rsidRPr="00981F2D" w:rsidRDefault="00981F2D" w:rsidP="00981F2D">
                  <w:pPr>
                    <w:widowControl/>
                    <w:autoSpaceDE/>
                    <w:autoSpaceDN/>
                    <w:adjustRightInd/>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981F2D">
                    <w:rPr>
                      <w:rFonts w:eastAsia="Times New Roman" w:cs="Times New Roman"/>
                      <w:color w:val="000000"/>
                      <w:sz w:val="20"/>
                    </w:rPr>
                    <w:t>411,2</w:t>
                  </w:r>
                </w:p>
              </w:tc>
              <w:tc>
                <w:tcPr>
                  <w:tcW w:w="709" w:type="dxa"/>
                  <w:noWrap/>
                  <w:hideMark/>
                </w:tcPr>
                <w:p w:rsidR="00981F2D" w:rsidRPr="00981F2D" w:rsidRDefault="00981F2D" w:rsidP="00981F2D">
                  <w:pPr>
                    <w:widowControl/>
                    <w:autoSpaceDE/>
                    <w:autoSpaceDN/>
                    <w:adjustRightInd/>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981F2D">
                    <w:rPr>
                      <w:rFonts w:eastAsia="Times New Roman" w:cs="Times New Roman"/>
                      <w:color w:val="000000"/>
                      <w:sz w:val="20"/>
                    </w:rPr>
                    <w:t>-</w:t>
                  </w:r>
                </w:p>
              </w:tc>
              <w:tc>
                <w:tcPr>
                  <w:tcW w:w="992" w:type="dxa"/>
                  <w:tcBorders>
                    <w:right w:val="single" w:sz="4" w:space="0" w:color="auto"/>
                  </w:tcBorders>
                  <w:noWrap/>
                  <w:hideMark/>
                </w:tcPr>
                <w:p w:rsidR="00981F2D" w:rsidRPr="00981F2D" w:rsidRDefault="00981F2D" w:rsidP="00981F2D">
                  <w:pPr>
                    <w:widowControl/>
                    <w:autoSpaceDE/>
                    <w:autoSpaceDN/>
                    <w:adjustRightInd/>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981F2D">
                    <w:rPr>
                      <w:rFonts w:eastAsia="Times New Roman" w:cs="Times New Roman"/>
                      <w:color w:val="000000"/>
                      <w:sz w:val="20"/>
                    </w:rPr>
                    <w:t>-</w:t>
                  </w:r>
                </w:p>
              </w:tc>
              <w:tc>
                <w:tcPr>
                  <w:tcW w:w="993" w:type="dxa"/>
                  <w:tcBorders>
                    <w:top w:val="nil"/>
                    <w:left w:val="single" w:sz="4" w:space="0" w:color="auto"/>
                    <w:bottom w:val="nil"/>
                  </w:tcBorders>
                  <w:noWrap/>
                  <w:hideMark/>
                </w:tcPr>
                <w:p w:rsidR="00981F2D" w:rsidRPr="00981F2D" w:rsidRDefault="00981F2D" w:rsidP="00981F2D">
                  <w:pPr>
                    <w:widowControl/>
                    <w:autoSpaceDE/>
                    <w:autoSpaceDN/>
                    <w:adjustRightInd/>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981F2D">
                    <w:rPr>
                      <w:rFonts w:eastAsia="Times New Roman" w:cs="Times New Roman"/>
                      <w:color w:val="000000"/>
                      <w:sz w:val="20"/>
                    </w:rPr>
                    <w:t>553,4</w:t>
                  </w:r>
                </w:p>
              </w:tc>
              <w:tc>
                <w:tcPr>
                  <w:tcW w:w="850" w:type="dxa"/>
                  <w:noWrap/>
                  <w:hideMark/>
                </w:tcPr>
                <w:p w:rsidR="00981F2D" w:rsidRPr="00981F2D" w:rsidRDefault="00981F2D" w:rsidP="00981F2D">
                  <w:pPr>
                    <w:widowControl/>
                    <w:autoSpaceDE/>
                    <w:autoSpaceDN/>
                    <w:adjustRightInd/>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981F2D">
                    <w:rPr>
                      <w:rFonts w:eastAsia="Times New Roman" w:cs="Times New Roman"/>
                      <w:color w:val="000000"/>
                      <w:sz w:val="20"/>
                    </w:rPr>
                    <w:t>-</w:t>
                  </w:r>
                </w:p>
              </w:tc>
              <w:tc>
                <w:tcPr>
                  <w:tcW w:w="851" w:type="dxa"/>
                  <w:noWrap/>
                  <w:hideMark/>
                </w:tcPr>
                <w:p w:rsidR="00981F2D" w:rsidRPr="00981F2D" w:rsidRDefault="00981F2D" w:rsidP="00981F2D">
                  <w:pPr>
                    <w:widowControl/>
                    <w:autoSpaceDE/>
                    <w:autoSpaceDN/>
                    <w:adjustRightInd/>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981F2D">
                    <w:rPr>
                      <w:rFonts w:eastAsia="Times New Roman" w:cs="Times New Roman"/>
                      <w:color w:val="000000"/>
                      <w:sz w:val="20"/>
                    </w:rPr>
                    <w:t>-</w:t>
                  </w:r>
                </w:p>
              </w:tc>
            </w:tr>
            <w:tr w:rsidR="00981F2D" w:rsidRPr="00981F2D" w:rsidTr="00B1458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082" w:type="dxa"/>
                  <w:noWrap/>
                  <w:hideMark/>
                </w:tcPr>
                <w:p w:rsidR="00981F2D" w:rsidRPr="00981F2D" w:rsidRDefault="00981F2D" w:rsidP="00981F2D">
                  <w:pPr>
                    <w:widowControl/>
                    <w:autoSpaceDE/>
                    <w:autoSpaceDN/>
                    <w:adjustRightInd/>
                    <w:spacing w:line="240" w:lineRule="auto"/>
                    <w:rPr>
                      <w:rFonts w:eastAsia="Times New Roman" w:cs="Times New Roman"/>
                      <w:color w:val="000000"/>
                      <w:sz w:val="20"/>
                    </w:rPr>
                  </w:pPr>
                  <w:r w:rsidRPr="00981F2D">
                    <w:rPr>
                      <w:rFonts w:eastAsia="Times New Roman" w:cs="Times New Roman"/>
                      <w:color w:val="000000"/>
                      <w:sz w:val="20"/>
                    </w:rPr>
                    <w:t>PKO BP S.A. (2013)</w:t>
                  </w:r>
                </w:p>
              </w:tc>
              <w:tc>
                <w:tcPr>
                  <w:tcW w:w="992" w:type="dxa"/>
                  <w:noWrap/>
                  <w:hideMark/>
                </w:tcPr>
                <w:p w:rsidR="00981F2D" w:rsidRPr="00981F2D" w:rsidRDefault="00981F2D" w:rsidP="00981F2D">
                  <w:pPr>
                    <w:widowControl/>
                    <w:autoSpaceDE/>
                    <w:autoSpaceDN/>
                    <w:adjustRightInd/>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981F2D">
                    <w:rPr>
                      <w:rFonts w:eastAsia="Times New Roman" w:cs="Times New Roman"/>
                      <w:color w:val="000000"/>
                      <w:sz w:val="20"/>
                    </w:rPr>
                    <w:t>308,7</w:t>
                  </w:r>
                </w:p>
              </w:tc>
              <w:tc>
                <w:tcPr>
                  <w:tcW w:w="709" w:type="dxa"/>
                  <w:noWrap/>
                  <w:hideMark/>
                </w:tcPr>
                <w:p w:rsidR="00981F2D" w:rsidRPr="00981F2D" w:rsidRDefault="00981F2D" w:rsidP="00981F2D">
                  <w:pPr>
                    <w:widowControl/>
                    <w:autoSpaceDE/>
                    <w:autoSpaceDN/>
                    <w:adjustRightInd/>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981F2D">
                    <w:rPr>
                      <w:rFonts w:eastAsia="Times New Roman" w:cs="Times New Roman"/>
                      <w:color w:val="000000"/>
                      <w:sz w:val="20"/>
                    </w:rPr>
                    <w:t>-</w:t>
                  </w:r>
                </w:p>
              </w:tc>
              <w:tc>
                <w:tcPr>
                  <w:tcW w:w="992" w:type="dxa"/>
                  <w:tcBorders>
                    <w:right w:val="single" w:sz="4" w:space="0" w:color="auto"/>
                  </w:tcBorders>
                  <w:noWrap/>
                  <w:hideMark/>
                </w:tcPr>
                <w:p w:rsidR="00981F2D" w:rsidRPr="00981F2D" w:rsidRDefault="00981F2D" w:rsidP="00981F2D">
                  <w:pPr>
                    <w:widowControl/>
                    <w:autoSpaceDE/>
                    <w:autoSpaceDN/>
                    <w:adjustRightInd/>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981F2D">
                    <w:rPr>
                      <w:rFonts w:eastAsia="Times New Roman" w:cs="Times New Roman"/>
                      <w:color w:val="000000"/>
                      <w:sz w:val="20"/>
                    </w:rPr>
                    <w:t>-</w:t>
                  </w:r>
                </w:p>
              </w:tc>
              <w:tc>
                <w:tcPr>
                  <w:tcW w:w="993" w:type="dxa"/>
                  <w:tcBorders>
                    <w:top w:val="nil"/>
                    <w:left w:val="single" w:sz="4" w:space="0" w:color="auto"/>
                    <w:bottom w:val="nil"/>
                  </w:tcBorders>
                  <w:noWrap/>
                  <w:hideMark/>
                </w:tcPr>
                <w:p w:rsidR="00981F2D" w:rsidRPr="00981F2D" w:rsidRDefault="00981F2D" w:rsidP="00981F2D">
                  <w:pPr>
                    <w:widowControl/>
                    <w:autoSpaceDE/>
                    <w:autoSpaceDN/>
                    <w:adjustRightInd/>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981F2D">
                    <w:rPr>
                      <w:rFonts w:eastAsia="Times New Roman" w:cs="Times New Roman"/>
                      <w:color w:val="000000"/>
                      <w:sz w:val="20"/>
                    </w:rPr>
                    <w:t>266,6</w:t>
                  </w:r>
                </w:p>
              </w:tc>
              <w:tc>
                <w:tcPr>
                  <w:tcW w:w="850" w:type="dxa"/>
                  <w:noWrap/>
                  <w:hideMark/>
                </w:tcPr>
                <w:p w:rsidR="00981F2D" w:rsidRPr="00981F2D" w:rsidRDefault="00981F2D" w:rsidP="00981F2D">
                  <w:pPr>
                    <w:widowControl/>
                    <w:autoSpaceDE/>
                    <w:autoSpaceDN/>
                    <w:adjustRightInd/>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981F2D">
                    <w:rPr>
                      <w:rFonts w:eastAsia="Times New Roman" w:cs="Times New Roman"/>
                      <w:color w:val="000000"/>
                      <w:sz w:val="20"/>
                    </w:rPr>
                    <w:t>-</w:t>
                  </w:r>
                </w:p>
              </w:tc>
              <w:tc>
                <w:tcPr>
                  <w:tcW w:w="851" w:type="dxa"/>
                  <w:noWrap/>
                  <w:hideMark/>
                </w:tcPr>
                <w:p w:rsidR="00981F2D" w:rsidRPr="00981F2D" w:rsidRDefault="00981F2D" w:rsidP="00981F2D">
                  <w:pPr>
                    <w:widowControl/>
                    <w:autoSpaceDE/>
                    <w:autoSpaceDN/>
                    <w:adjustRightInd/>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981F2D">
                    <w:rPr>
                      <w:rFonts w:eastAsia="Times New Roman" w:cs="Times New Roman"/>
                      <w:color w:val="000000"/>
                      <w:sz w:val="20"/>
                    </w:rPr>
                    <w:t>-</w:t>
                  </w:r>
                </w:p>
              </w:tc>
            </w:tr>
            <w:tr w:rsidR="00981F2D" w:rsidRPr="00981F2D" w:rsidTr="00B14587">
              <w:trPr>
                <w:trHeight w:val="300"/>
                <w:jc w:val="center"/>
              </w:trPr>
              <w:tc>
                <w:tcPr>
                  <w:cnfStyle w:val="001000000000" w:firstRow="0" w:lastRow="0" w:firstColumn="1" w:lastColumn="0" w:oddVBand="0" w:evenVBand="0" w:oddHBand="0" w:evenHBand="0" w:firstRowFirstColumn="0" w:firstRowLastColumn="0" w:lastRowFirstColumn="0" w:lastRowLastColumn="0"/>
                  <w:tcW w:w="2082" w:type="dxa"/>
                  <w:noWrap/>
                  <w:hideMark/>
                </w:tcPr>
                <w:p w:rsidR="00981F2D" w:rsidRPr="00981F2D" w:rsidRDefault="00981F2D" w:rsidP="00981F2D">
                  <w:pPr>
                    <w:widowControl/>
                    <w:autoSpaceDE/>
                    <w:autoSpaceDN/>
                    <w:adjustRightInd/>
                    <w:spacing w:line="240" w:lineRule="auto"/>
                    <w:rPr>
                      <w:rFonts w:eastAsia="Times New Roman" w:cs="Times New Roman"/>
                      <w:color w:val="000000"/>
                      <w:sz w:val="20"/>
                    </w:rPr>
                  </w:pPr>
                  <w:r w:rsidRPr="00981F2D">
                    <w:rPr>
                      <w:rFonts w:eastAsia="Times New Roman" w:cs="Times New Roman"/>
                      <w:color w:val="000000"/>
                      <w:sz w:val="20"/>
                    </w:rPr>
                    <w:t>BZ WBK S.A. (2014)</w:t>
                  </w:r>
                </w:p>
              </w:tc>
              <w:tc>
                <w:tcPr>
                  <w:tcW w:w="992" w:type="dxa"/>
                  <w:noWrap/>
                  <w:hideMark/>
                </w:tcPr>
                <w:p w:rsidR="00981F2D" w:rsidRPr="00981F2D" w:rsidRDefault="00981F2D" w:rsidP="00981F2D">
                  <w:pPr>
                    <w:widowControl/>
                    <w:autoSpaceDE/>
                    <w:autoSpaceDN/>
                    <w:adjustRightInd/>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981F2D">
                    <w:rPr>
                      <w:rFonts w:eastAsia="Times New Roman" w:cs="Times New Roman"/>
                      <w:color w:val="000000"/>
                      <w:sz w:val="20"/>
                    </w:rPr>
                    <w:t>170,2</w:t>
                  </w:r>
                </w:p>
              </w:tc>
              <w:tc>
                <w:tcPr>
                  <w:tcW w:w="709" w:type="dxa"/>
                  <w:noWrap/>
                  <w:hideMark/>
                </w:tcPr>
                <w:p w:rsidR="00981F2D" w:rsidRPr="00981F2D" w:rsidRDefault="00981F2D" w:rsidP="00981F2D">
                  <w:pPr>
                    <w:widowControl/>
                    <w:autoSpaceDE/>
                    <w:autoSpaceDN/>
                    <w:adjustRightInd/>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981F2D">
                    <w:rPr>
                      <w:rFonts w:eastAsia="Times New Roman" w:cs="Times New Roman"/>
                      <w:color w:val="000000"/>
                      <w:sz w:val="20"/>
                    </w:rPr>
                    <w:t>-</w:t>
                  </w:r>
                </w:p>
              </w:tc>
              <w:tc>
                <w:tcPr>
                  <w:tcW w:w="992" w:type="dxa"/>
                  <w:tcBorders>
                    <w:right w:val="single" w:sz="4" w:space="0" w:color="auto"/>
                  </w:tcBorders>
                  <w:noWrap/>
                  <w:hideMark/>
                </w:tcPr>
                <w:p w:rsidR="00981F2D" w:rsidRPr="00981F2D" w:rsidRDefault="00981F2D" w:rsidP="00981F2D">
                  <w:pPr>
                    <w:widowControl/>
                    <w:autoSpaceDE/>
                    <w:autoSpaceDN/>
                    <w:adjustRightInd/>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981F2D">
                    <w:rPr>
                      <w:rFonts w:eastAsia="Times New Roman" w:cs="Times New Roman"/>
                      <w:color w:val="000000"/>
                      <w:sz w:val="20"/>
                    </w:rPr>
                    <w:t>-</w:t>
                  </w:r>
                </w:p>
              </w:tc>
              <w:tc>
                <w:tcPr>
                  <w:tcW w:w="993" w:type="dxa"/>
                  <w:tcBorders>
                    <w:top w:val="nil"/>
                    <w:left w:val="single" w:sz="4" w:space="0" w:color="auto"/>
                    <w:bottom w:val="nil"/>
                  </w:tcBorders>
                  <w:noWrap/>
                  <w:hideMark/>
                </w:tcPr>
                <w:p w:rsidR="00981F2D" w:rsidRPr="00981F2D" w:rsidRDefault="00981F2D" w:rsidP="00981F2D">
                  <w:pPr>
                    <w:widowControl/>
                    <w:autoSpaceDE/>
                    <w:autoSpaceDN/>
                    <w:adjustRightInd/>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981F2D">
                    <w:rPr>
                      <w:rFonts w:eastAsia="Times New Roman" w:cs="Times New Roman"/>
                      <w:color w:val="000000"/>
                      <w:sz w:val="20"/>
                    </w:rPr>
                    <w:t>63,9</w:t>
                  </w:r>
                </w:p>
              </w:tc>
              <w:tc>
                <w:tcPr>
                  <w:tcW w:w="850" w:type="dxa"/>
                  <w:noWrap/>
                  <w:hideMark/>
                </w:tcPr>
                <w:p w:rsidR="00981F2D" w:rsidRPr="00981F2D" w:rsidRDefault="00981F2D" w:rsidP="00981F2D">
                  <w:pPr>
                    <w:widowControl/>
                    <w:autoSpaceDE/>
                    <w:autoSpaceDN/>
                    <w:adjustRightInd/>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981F2D">
                    <w:rPr>
                      <w:rFonts w:eastAsia="Times New Roman" w:cs="Times New Roman"/>
                      <w:color w:val="000000"/>
                      <w:sz w:val="20"/>
                    </w:rPr>
                    <w:t>-</w:t>
                  </w:r>
                </w:p>
              </w:tc>
              <w:tc>
                <w:tcPr>
                  <w:tcW w:w="851" w:type="dxa"/>
                  <w:noWrap/>
                  <w:hideMark/>
                </w:tcPr>
                <w:p w:rsidR="00981F2D" w:rsidRPr="00981F2D" w:rsidRDefault="00981F2D" w:rsidP="00981F2D">
                  <w:pPr>
                    <w:widowControl/>
                    <w:autoSpaceDE/>
                    <w:autoSpaceDN/>
                    <w:adjustRightInd/>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981F2D">
                    <w:rPr>
                      <w:rFonts w:eastAsia="Times New Roman" w:cs="Times New Roman"/>
                      <w:color w:val="000000"/>
                      <w:sz w:val="20"/>
                    </w:rPr>
                    <w:t>-</w:t>
                  </w:r>
                </w:p>
              </w:tc>
            </w:tr>
            <w:tr w:rsidR="00981F2D" w:rsidRPr="00981F2D" w:rsidTr="00B1458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082" w:type="dxa"/>
                  <w:noWrap/>
                  <w:hideMark/>
                </w:tcPr>
                <w:p w:rsidR="00981F2D" w:rsidRPr="00981F2D" w:rsidRDefault="00981F2D" w:rsidP="00981F2D">
                  <w:pPr>
                    <w:widowControl/>
                    <w:autoSpaceDE/>
                    <w:autoSpaceDN/>
                    <w:adjustRightInd/>
                    <w:spacing w:line="240" w:lineRule="auto"/>
                    <w:rPr>
                      <w:rFonts w:eastAsia="Times New Roman" w:cs="Times New Roman"/>
                      <w:color w:val="000000"/>
                      <w:sz w:val="20"/>
                    </w:rPr>
                  </w:pPr>
                  <w:r w:rsidRPr="00981F2D">
                    <w:rPr>
                      <w:rFonts w:eastAsia="Times New Roman" w:cs="Times New Roman"/>
                      <w:color w:val="000000"/>
                      <w:sz w:val="20"/>
                    </w:rPr>
                    <w:t>BZ WBK S.A. (2013)</w:t>
                  </w:r>
                </w:p>
              </w:tc>
              <w:tc>
                <w:tcPr>
                  <w:tcW w:w="992" w:type="dxa"/>
                  <w:noWrap/>
                  <w:hideMark/>
                </w:tcPr>
                <w:p w:rsidR="00981F2D" w:rsidRPr="00981F2D" w:rsidRDefault="00981F2D" w:rsidP="00981F2D">
                  <w:pPr>
                    <w:widowControl/>
                    <w:autoSpaceDE/>
                    <w:autoSpaceDN/>
                    <w:adjustRightInd/>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981F2D">
                    <w:rPr>
                      <w:rFonts w:eastAsia="Times New Roman" w:cs="Times New Roman"/>
                      <w:color w:val="000000"/>
                      <w:sz w:val="20"/>
                    </w:rPr>
                    <w:t>197,8</w:t>
                  </w:r>
                </w:p>
              </w:tc>
              <w:tc>
                <w:tcPr>
                  <w:tcW w:w="709" w:type="dxa"/>
                  <w:noWrap/>
                  <w:hideMark/>
                </w:tcPr>
                <w:p w:rsidR="00981F2D" w:rsidRPr="00981F2D" w:rsidRDefault="00981F2D" w:rsidP="00981F2D">
                  <w:pPr>
                    <w:widowControl/>
                    <w:autoSpaceDE/>
                    <w:autoSpaceDN/>
                    <w:adjustRightInd/>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981F2D">
                    <w:rPr>
                      <w:rFonts w:eastAsia="Times New Roman" w:cs="Times New Roman"/>
                      <w:color w:val="000000"/>
                      <w:sz w:val="20"/>
                    </w:rPr>
                    <w:t>-</w:t>
                  </w:r>
                </w:p>
              </w:tc>
              <w:tc>
                <w:tcPr>
                  <w:tcW w:w="992" w:type="dxa"/>
                  <w:tcBorders>
                    <w:right w:val="single" w:sz="4" w:space="0" w:color="auto"/>
                  </w:tcBorders>
                  <w:noWrap/>
                  <w:hideMark/>
                </w:tcPr>
                <w:p w:rsidR="00981F2D" w:rsidRPr="00981F2D" w:rsidRDefault="00981F2D" w:rsidP="00981F2D">
                  <w:pPr>
                    <w:widowControl/>
                    <w:autoSpaceDE/>
                    <w:autoSpaceDN/>
                    <w:adjustRightInd/>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981F2D">
                    <w:rPr>
                      <w:rFonts w:eastAsia="Times New Roman" w:cs="Times New Roman"/>
                      <w:color w:val="000000"/>
                      <w:sz w:val="20"/>
                    </w:rPr>
                    <w:t>-</w:t>
                  </w:r>
                </w:p>
              </w:tc>
              <w:tc>
                <w:tcPr>
                  <w:tcW w:w="993" w:type="dxa"/>
                  <w:tcBorders>
                    <w:top w:val="nil"/>
                    <w:left w:val="single" w:sz="4" w:space="0" w:color="auto"/>
                    <w:bottom w:val="single" w:sz="8" w:space="0" w:color="4BACC6" w:themeColor="accent5"/>
                  </w:tcBorders>
                  <w:noWrap/>
                  <w:hideMark/>
                </w:tcPr>
                <w:p w:rsidR="00981F2D" w:rsidRPr="00981F2D" w:rsidRDefault="00981F2D" w:rsidP="00981F2D">
                  <w:pPr>
                    <w:widowControl/>
                    <w:autoSpaceDE/>
                    <w:autoSpaceDN/>
                    <w:adjustRightInd/>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981F2D">
                    <w:rPr>
                      <w:rFonts w:eastAsia="Times New Roman" w:cs="Times New Roman"/>
                      <w:color w:val="000000"/>
                      <w:sz w:val="20"/>
                    </w:rPr>
                    <w:t>66,5</w:t>
                  </w:r>
                </w:p>
              </w:tc>
              <w:tc>
                <w:tcPr>
                  <w:tcW w:w="850" w:type="dxa"/>
                  <w:noWrap/>
                  <w:hideMark/>
                </w:tcPr>
                <w:p w:rsidR="00981F2D" w:rsidRPr="00981F2D" w:rsidRDefault="00981F2D" w:rsidP="00981F2D">
                  <w:pPr>
                    <w:widowControl/>
                    <w:autoSpaceDE/>
                    <w:autoSpaceDN/>
                    <w:adjustRightInd/>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981F2D">
                    <w:rPr>
                      <w:rFonts w:eastAsia="Times New Roman" w:cs="Times New Roman"/>
                      <w:color w:val="000000"/>
                      <w:sz w:val="20"/>
                    </w:rPr>
                    <w:t>-</w:t>
                  </w:r>
                </w:p>
              </w:tc>
              <w:tc>
                <w:tcPr>
                  <w:tcW w:w="851" w:type="dxa"/>
                  <w:noWrap/>
                  <w:hideMark/>
                </w:tcPr>
                <w:p w:rsidR="00981F2D" w:rsidRPr="00981F2D" w:rsidRDefault="00981F2D" w:rsidP="00981F2D">
                  <w:pPr>
                    <w:widowControl/>
                    <w:autoSpaceDE/>
                    <w:autoSpaceDN/>
                    <w:adjustRightInd/>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981F2D">
                    <w:rPr>
                      <w:rFonts w:eastAsia="Times New Roman" w:cs="Times New Roman"/>
                      <w:color w:val="000000"/>
                      <w:sz w:val="20"/>
                    </w:rPr>
                    <w:t>-</w:t>
                  </w:r>
                </w:p>
              </w:tc>
            </w:tr>
          </w:tbl>
          <w:p w:rsidR="00981F2D" w:rsidRPr="00981F2D" w:rsidRDefault="00981F2D" w:rsidP="00981F2D">
            <w:pPr>
              <w:widowControl/>
              <w:autoSpaceDE/>
              <w:autoSpaceDN/>
              <w:adjustRightInd/>
              <w:spacing w:line="240" w:lineRule="auto"/>
              <w:jc w:val="both"/>
              <w:rPr>
                <w:rFonts w:eastAsia="Calibri" w:cs="Times New Roman"/>
                <w:color w:val="000000"/>
                <w:sz w:val="21"/>
                <w:szCs w:val="21"/>
                <w:lang w:eastAsia="en-US"/>
              </w:rPr>
            </w:pPr>
          </w:p>
          <w:p w:rsidR="00981F2D" w:rsidRPr="00981F2D" w:rsidRDefault="00981F2D" w:rsidP="00981F2D">
            <w:pPr>
              <w:widowControl/>
              <w:autoSpaceDE/>
              <w:autoSpaceDN/>
              <w:adjustRightInd/>
              <w:spacing w:line="240" w:lineRule="auto"/>
              <w:jc w:val="both"/>
              <w:rPr>
                <w:rFonts w:eastAsia="Calibri" w:cs="Times New Roman"/>
                <w:color w:val="000000"/>
                <w:sz w:val="21"/>
                <w:szCs w:val="21"/>
                <w:lang w:eastAsia="en-US"/>
              </w:rPr>
            </w:pPr>
            <w:r w:rsidRPr="00981F2D">
              <w:rPr>
                <w:rFonts w:eastAsia="Calibri" w:cs="Times New Roman"/>
                <w:color w:val="000000"/>
                <w:sz w:val="21"/>
                <w:szCs w:val="21"/>
                <w:lang w:eastAsia="en-US"/>
              </w:rPr>
              <w:t>W oparc</w:t>
            </w:r>
            <w:r w:rsidR="00B14587" w:rsidRPr="00B14587">
              <w:rPr>
                <w:rFonts w:eastAsia="Calibri" w:cs="Times New Roman"/>
                <w:color w:val="000000"/>
                <w:sz w:val="21"/>
                <w:szCs w:val="21"/>
                <w:lang w:eastAsia="en-US"/>
              </w:rPr>
              <w:t>iu o przedstawione powyżej dane</w:t>
            </w:r>
            <w:r w:rsidRPr="00981F2D">
              <w:rPr>
                <w:rFonts w:eastAsia="Calibri" w:cs="Times New Roman"/>
                <w:color w:val="000000"/>
                <w:sz w:val="21"/>
                <w:szCs w:val="21"/>
                <w:lang w:eastAsia="en-US"/>
              </w:rPr>
              <w:t xml:space="preserve"> oraz przez analogię do struktury spraw o nadanie klauzuli wykonalności BTE (dla tej kategorii spraw dane ze sprawozdań z działalności banków są dużo bardziej szczegółowe), można przyjąć, że:</w:t>
            </w:r>
          </w:p>
          <w:p w:rsidR="00981F2D" w:rsidRPr="00981F2D" w:rsidRDefault="00981F2D" w:rsidP="00981F2D">
            <w:pPr>
              <w:widowControl/>
              <w:autoSpaceDE/>
              <w:autoSpaceDN/>
              <w:adjustRightInd/>
              <w:spacing w:line="240" w:lineRule="auto"/>
              <w:jc w:val="both"/>
              <w:rPr>
                <w:rFonts w:eastAsia="Calibri" w:cs="Times New Roman"/>
                <w:color w:val="000000"/>
                <w:sz w:val="21"/>
                <w:szCs w:val="21"/>
                <w:lang w:eastAsia="en-US"/>
              </w:rPr>
            </w:pPr>
          </w:p>
          <w:p w:rsidR="00981F2D" w:rsidRPr="00981F2D" w:rsidRDefault="00981F2D" w:rsidP="00981F2D">
            <w:pPr>
              <w:widowControl/>
              <w:autoSpaceDE/>
              <w:autoSpaceDN/>
              <w:adjustRightInd/>
              <w:spacing w:line="240" w:lineRule="auto"/>
              <w:jc w:val="both"/>
              <w:rPr>
                <w:rFonts w:eastAsia="Calibri" w:cs="Times New Roman"/>
                <w:color w:val="000000"/>
                <w:sz w:val="21"/>
                <w:szCs w:val="21"/>
                <w:lang w:eastAsia="en-US"/>
              </w:rPr>
            </w:pPr>
            <w:r w:rsidRPr="00981F2D">
              <w:rPr>
                <w:rFonts w:eastAsia="Calibri" w:cs="Times New Roman"/>
                <w:color w:val="000000"/>
                <w:sz w:val="21"/>
                <w:szCs w:val="21"/>
                <w:lang w:eastAsia="en-US"/>
              </w:rPr>
              <w:t>– sprawy dotyczące „roszczeń z umów bankowych” w relacji bank</w:t>
            </w:r>
            <w:r w:rsidR="00B14587" w:rsidRPr="00B14587">
              <w:rPr>
                <w:rFonts w:eastAsia="Calibri" w:cs="Times New Roman"/>
                <w:color w:val="000000"/>
                <w:sz w:val="21"/>
                <w:szCs w:val="21"/>
                <w:lang w:eastAsia="en-US"/>
              </w:rPr>
              <w:t xml:space="preserve"> – </w:t>
            </w:r>
            <w:r w:rsidRPr="00981F2D">
              <w:rPr>
                <w:rFonts w:eastAsia="Calibri" w:cs="Times New Roman"/>
                <w:color w:val="000000"/>
                <w:sz w:val="21"/>
                <w:szCs w:val="21"/>
                <w:lang w:eastAsia="en-US"/>
              </w:rPr>
              <w:t xml:space="preserve">przedsiębiorca (w tym </w:t>
            </w:r>
            <w:r w:rsidR="00B14587" w:rsidRPr="00B14587">
              <w:rPr>
                <w:rFonts w:eastAsia="Calibri" w:cs="Times New Roman"/>
                <w:color w:val="000000"/>
                <w:sz w:val="21"/>
                <w:szCs w:val="21"/>
                <w:lang w:eastAsia="en-US"/>
              </w:rPr>
              <w:br/>
            </w:r>
            <w:r w:rsidRPr="00981F2D">
              <w:rPr>
                <w:rFonts w:eastAsia="Calibri" w:cs="Times New Roman"/>
                <w:color w:val="000000"/>
                <w:sz w:val="21"/>
                <w:szCs w:val="21"/>
                <w:lang w:eastAsia="en-US"/>
              </w:rPr>
              <w:t>bank</w:t>
            </w:r>
            <w:r w:rsidR="00B14587" w:rsidRPr="00B14587">
              <w:rPr>
                <w:rFonts w:eastAsia="Calibri" w:cs="Times New Roman"/>
                <w:color w:val="000000"/>
                <w:sz w:val="21"/>
                <w:szCs w:val="21"/>
                <w:lang w:eastAsia="en-US"/>
              </w:rPr>
              <w:t xml:space="preserve"> – </w:t>
            </w:r>
            <w:r w:rsidRPr="00981F2D">
              <w:rPr>
                <w:rFonts w:eastAsia="Calibri" w:cs="Times New Roman"/>
                <w:color w:val="000000"/>
                <w:sz w:val="21"/>
                <w:szCs w:val="21"/>
                <w:lang w:eastAsia="en-US"/>
              </w:rPr>
              <w:t xml:space="preserve">bank), pomimo niewielkiej liczby, odpowiadają prawdopodobnie za gros łącznej wartości sporów (a zatem także gros wpływów do budżetu państwa z tytułu opłat sądowych w tych sprawach). W tej kategorii spraw przedmiotowy projekt przywraca wysokość opłat obowiązującą przed </w:t>
            </w:r>
            <w:r w:rsidR="00B14587" w:rsidRPr="00B14587">
              <w:rPr>
                <w:rFonts w:eastAsia="Calibri" w:cs="Times New Roman"/>
                <w:color w:val="000000"/>
                <w:sz w:val="21"/>
                <w:szCs w:val="21"/>
                <w:lang w:eastAsia="en-US"/>
              </w:rPr>
              <w:t xml:space="preserve">dniem </w:t>
            </w:r>
            <w:r w:rsidRPr="00981F2D">
              <w:rPr>
                <w:rFonts w:eastAsia="Calibri" w:cs="Times New Roman"/>
                <w:color w:val="000000"/>
                <w:sz w:val="21"/>
                <w:szCs w:val="21"/>
                <w:lang w:eastAsia="en-US"/>
              </w:rPr>
              <w:t>27 listopada 2015 r. – tym samym niwelując zmniejszenie wpływów z tytułu opłat sądowych, będące skutkiem wprowadzenia art. 13 ust</w:t>
            </w:r>
            <w:r w:rsidR="008929CD">
              <w:rPr>
                <w:rFonts w:eastAsia="Calibri" w:cs="Times New Roman"/>
                <w:color w:val="000000"/>
                <w:sz w:val="21"/>
                <w:szCs w:val="21"/>
                <w:lang w:eastAsia="en-US"/>
              </w:rPr>
              <w:t>.</w:t>
            </w:r>
            <w:r w:rsidRPr="00981F2D">
              <w:rPr>
                <w:rFonts w:eastAsia="Calibri" w:cs="Times New Roman"/>
                <w:color w:val="000000"/>
                <w:sz w:val="21"/>
                <w:szCs w:val="21"/>
                <w:lang w:eastAsia="en-US"/>
              </w:rPr>
              <w:t xml:space="preserve"> 1a w 2015 r.</w:t>
            </w:r>
            <w:r w:rsidR="00B14587" w:rsidRPr="00B14587">
              <w:rPr>
                <w:rFonts w:eastAsia="Calibri" w:cs="Times New Roman"/>
                <w:color w:val="000000"/>
                <w:sz w:val="21"/>
                <w:szCs w:val="21"/>
                <w:lang w:eastAsia="en-US"/>
              </w:rPr>
              <w:t>,</w:t>
            </w:r>
          </w:p>
          <w:p w:rsidR="00981F2D" w:rsidRPr="00981F2D" w:rsidRDefault="00981F2D" w:rsidP="00981F2D">
            <w:pPr>
              <w:widowControl/>
              <w:autoSpaceDE/>
              <w:autoSpaceDN/>
              <w:adjustRightInd/>
              <w:spacing w:line="240" w:lineRule="auto"/>
              <w:jc w:val="both"/>
              <w:rPr>
                <w:rFonts w:eastAsia="Calibri" w:cs="Times New Roman"/>
                <w:color w:val="000000"/>
                <w:sz w:val="21"/>
                <w:szCs w:val="21"/>
                <w:lang w:eastAsia="en-US"/>
              </w:rPr>
            </w:pPr>
          </w:p>
          <w:p w:rsidR="00981F2D" w:rsidRPr="00981F2D" w:rsidRDefault="00981F2D" w:rsidP="00981F2D">
            <w:pPr>
              <w:widowControl/>
              <w:autoSpaceDE/>
              <w:autoSpaceDN/>
              <w:adjustRightInd/>
              <w:spacing w:line="240" w:lineRule="auto"/>
              <w:jc w:val="both"/>
              <w:rPr>
                <w:rFonts w:eastAsia="Calibri" w:cs="Times New Roman"/>
                <w:color w:val="000000"/>
                <w:sz w:val="21"/>
                <w:szCs w:val="21"/>
                <w:lang w:eastAsia="en-US"/>
              </w:rPr>
            </w:pPr>
            <w:r w:rsidRPr="00981F2D">
              <w:rPr>
                <w:rFonts w:eastAsia="Calibri" w:cs="Times New Roman"/>
                <w:color w:val="000000"/>
                <w:sz w:val="21"/>
                <w:szCs w:val="21"/>
                <w:lang w:eastAsia="en-US"/>
              </w:rPr>
              <w:t xml:space="preserve">– prawdopodobnie w większości spraw dotyczących „roszczeń z umów bankowych” między bankiem a osobą fizyczną powodem jest bank. W tej kategorii spraw przedmiotowy projekt przywraca wysokość opłat obowiązującą przed </w:t>
            </w:r>
            <w:r w:rsidR="00B14587">
              <w:rPr>
                <w:rFonts w:eastAsia="Calibri" w:cs="Times New Roman"/>
                <w:color w:val="000000"/>
                <w:sz w:val="21"/>
                <w:szCs w:val="21"/>
                <w:lang w:eastAsia="en-US"/>
              </w:rPr>
              <w:t xml:space="preserve">dniem </w:t>
            </w:r>
            <w:r w:rsidRPr="00981F2D">
              <w:rPr>
                <w:rFonts w:eastAsia="Calibri" w:cs="Times New Roman"/>
                <w:color w:val="000000"/>
                <w:sz w:val="21"/>
                <w:szCs w:val="21"/>
                <w:lang w:eastAsia="en-US"/>
              </w:rPr>
              <w:t>27 listopada 2015 r. – tym samym niwelując zmniejszenie wpływów z tytułu opłat sądowych, będące skutkiem wprowadzenia art. 13 ustęp 1a w 2015 r.</w:t>
            </w:r>
            <w:r w:rsidR="00B14587">
              <w:rPr>
                <w:rFonts w:eastAsia="Calibri" w:cs="Times New Roman"/>
                <w:color w:val="000000"/>
                <w:sz w:val="21"/>
                <w:szCs w:val="21"/>
                <w:lang w:eastAsia="en-US"/>
              </w:rPr>
              <w:t>,</w:t>
            </w:r>
          </w:p>
          <w:p w:rsidR="00981F2D" w:rsidRPr="00981F2D" w:rsidRDefault="00981F2D" w:rsidP="00981F2D">
            <w:pPr>
              <w:widowControl/>
              <w:autoSpaceDE/>
              <w:autoSpaceDN/>
              <w:adjustRightInd/>
              <w:spacing w:line="240" w:lineRule="auto"/>
              <w:jc w:val="both"/>
              <w:rPr>
                <w:rFonts w:eastAsia="Calibri" w:cs="Times New Roman"/>
                <w:color w:val="000000"/>
                <w:sz w:val="21"/>
                <w:szCs w:val="21"/>
                <w:lang w:eastAsia="en-US"/>
              </w:rPr>
            </w:pPr>
          </w:p>
          <w:p w:rsidR="00981F2D" w:rsidRPr="00981F2D" w:rsidRDefault="00981F2D" w:rsidP="00981F2D">
            <w:pPr>
              <w:widowControl/>
              <w:autoSpaceDE/>
              <w:autoSpaceDN/>
              <w:adjustRightInd/>
              <w:spacing w:line="240" w:lineRule="auto"/>
              <w:jc w:val="both"/>
              <w:rPr>
                <w:rFonts w:eastAsia="Calibri" w:cs="Times New Roman"/>
                <w:color w:val="000000"/>
                <w:sz w:val="21"/>
                <w:szCs w:val="21"/>
                <w:lang w:eastAsia="en-US"/>
              </w:rPr>
            </w:pPr>
            <w:r w:rsidRPr="00981F2D">
              <w:rPr>
                <w:rFonts w:eastAsia="Calibri" w:cs="Times New Roman"/>
                <w:color w:val="000000"/>
                <w:sz w:val="21"/>
                <w:szCs w:val="21"/>
                <w:lang w:eastAsia="en-US"/>
              </w:rPr>
              <w:t>– prawdopodobnie w wielu sprawach dotyczących „roszczeń z umów bankowych,” gdzie powodem jest osoba fizyczna, wartość przedmiotu sporu nie przewyższa 20</w:t>
            </w:r>
            <w:r w:rsidR="00B14587">
              <w:rPr>
                <w:rFonts w:eastAsia="Calibri" w:cs="Times New Roman"/>
                <w:color w:val="000000"/>
                <w:sz w:val="21"/>
                <w:szCs w:val="21"/>
                <w:lang w:eastAsia="en-US"/>
              </w:rPr>
              <w:t> </w:t>
            </w:r>
            <w:r w:rsidRPr="00981F2D">
              <w:rPr>
                <w:rFonts w:eastAsia="Calibri" w:cs="Times New Roman"/>
                <w:color w:val="000000"/>
                <w:sz w:val="21"/>
                <w:szCs w:val="21"/>
                <w:lang w:eastAsia="en-US"/>
              </w:rPr>
              <w:t>000</w:t>
            </w:r>
            <w:r w:rsidR="00B14587">
              <w:rPr>
                <w:rFonts w:eastAsia="Calibri" w:cs="Times New Roman"/>
                <w:color w:val="000000"/>
                <w:sz w:val="21"/>
                <w:szCs w:val="21"/>
                <w:lang w:eastAsia="en-US"/>
              </w:rPr>
              <w:t xml:space="preserve"> zł</w:t>
            </w:r>
            <w:r w:rsidRPr="00981F2D">
              <w:rPr>
                <w:rFonts w:eastAsia="Calibri" w:cs="Times New Roman"/>
                <w:color w:val="000000"/>
                <w:sz w:val="21"/>
                <w:szCs w:val="21"/>
                <w:lang w:eastAsia="en-US"/>
              </w:rPr>
              <w:t>, zatem projektowane przepisy nie zmieniają sytuacji powoda (ani nie wpływają na wysokość wpływów z opłat sądowych).</w:t>
            </w:r>
          </w:p>
          <w:p w:rsidR="00981F2D" w:rsidRPr="00981F2D" w:rsidRDefault="00981F2D" w:rsidP="00981F2D">
            <w:pPr>
              <w:widowControl/>
              <w:autoSpaceDE/>
              <w:autoSpaceDN/>
              <w:adjustRightInd/>
              <w:spacing w:line="240" w:lineRule="auto"/>
              <w:jc w:val="both"/>
              <w:rPr>
                <w:rFonts w:eastAsia="Calibri" w:cs="Times New Roman"/>
                <w:color w:val="000000"/>
                <w:sz w:val="21"/>
                <w:szCs w:val="21"/>
                <w:lang w:eastAsia="en-US"/>
              </w:rPr>
            </w:pPr>
          </w:p>
          <w:p w:rsidR="00981F2D" w:rsidRPr="00981F2D" w:rsidRDefault="00981F2D" w:rsidP="00981F2D">
            <w:pPr>
              <w:widowControl/>
              <w:autoSpaceDE/>
              <w:autoSpaceDN/>
              <w:adjustRightInd/>
              <w:spacing w:line="240" w:lineRule="auto"/>
              <w:jc w:val="both"/>
              <w:rPr>
                <w:rFonts w:eastAsia="Calibri" w:cs="Times New Roman"/>
                <w:color w:val="000000"/>
                <w:sz w:val="21"/>
                <w:szCs w:val="21"/>
                <w:lang w:eastAsia="en-US"/>
              </w:rPr>
            </w:pPr>
            <w:r w:rsidRPr="00981F2D">
              <w:rPr>
                <w:rFonts w:eastAsia="Calibri" w:cs="Times New Roman"/>
                <w:color w:val="000000"/>
                <w:sz w:val="21"/>
                <w:szCs w:val="21"/>
                <w:lang w:eastAsia="en-US"/>
              </w:rPr>
              <w:t>Reasumując, projektowane regulacje, co do zasady</w:t>
            </w:r>
            <w:r w:rsidR="00B14587">
              <w:rPr>
                <w:rFonts w:eastAsia="Calibri" w:cs="Times New Roman"/>
                <w:color w:val="000000"/>
                <w:sz w:val="21"/>
                <w:szCs w:val="21"/>
                <w:lang w:eastAsia="en-US"/>
              </w:rPr>
              <w:t>,</w:t>
            </w:r>
            <w:r w:rsidRPr="00981F2D">
              <w:rPr>
                <w:rFonts w:eastAsia="Calibri" w:cs="Times New Roman"/>
                <w:color w:val="000000"/>
                <w:sz w:val="21"/>
                <w:szCs w:val="21"/>
                <w:lang w:eastAsia="en-US"/>
              </w:rPr>
              <w:t xml:space="preserve"> niwelują niekorzystny wpływ wprowadzenia art. 13 ust</w:t>
            </w:r>
            <w:r w:rsidR="008929CD">
              <w:rPr>
                <w:rFonts w:eastAsia="Calibri" w:cs="Times New Roman"/>
                <w:color w:val="000000"/>
                <w:sz w:val="21"/>
                <w:szCs w:val="21"/>
                <w:lang w:eastAsia="en-US"/>
              </w:rPr>
              <w:t>.</w:t>
            </w:r>
            <w:r w:rsidRPr="00981F2D">
              <w:rPr>
                <w:rFonts w:eastAsia="Calibri" w:cs="Times New Roman"/>
                <w:color w:val="000000"/>
                <w:sz w:val="21"/>
                <w:szCs w:val="21"/>
                <w:lang w:eastAsia="en-US"/>
              </w:rPr>
              <w:t xml:space="preserve"> 1a ustawy o kosztach sądowych w sprawach cywilnych w 2015 r. – przywracając wysokość opłat </w:t>
            </w:r>
            <w:r w:rsidR="008929CD">
              <w:rPr>
                <w:rFonts w:eastAsia="Calibri" w:cs="Times New Roman"/>
                <w:color w:val="000000"/>
                <w:sz w:val="21"/>
                <w:szCs w:val="21"/>
                <w:lang w:eastAsia="en-US"/>
              </w:rPr>
              <w:t>obowiązującą przed dniem</w:t>
            </w:r>
            <w:r w:rsidR="00A306AB">
              <w:rPr>
                <w:rFonts w:eastAsia="Calibri" w:cs="Times New Roman"/>
                <w:color w:val="000000"/>
                <w:sz w:val="21"/>
                <w:szCs w:val="21"/>
                <w:lang w:eastAsia="en-US"/>
              </w:rPr>
              <w:t xml:space="preserve"> </w:t>
            </w:r>
            <w:r w:rsidRPr="00981F2D">
              <w:rPr>
                <w:rFonts w:eastAsia="Calibri" w:cs="Times New Roman"/>
                <w:color w:val="000000"/>
                <w:sz w:val="21"/>
                <w:szCs w:val="21"/>
                <w:lang w:eastAsia="en-US"/>
              </w:rPr>
              <w:t>27 listopada 2015 r.</w:t>
            </w:r>
          </w:p>
          <w:p w:rsidR="00981F2D" w:rsidRPr="00981F2D" w:rsidRDefault="00981F2D" w:rsidP="00981F2D">
            <w:pPr>
              <w:widowControl/>
              <w:autoSpaceDE/>
              <w:autoSpaceDN/>
              <w:adjustRightInd/>
              <w:spacing w:line="240" w:lineRule="auto"/>
              <w:jc w:val="both"/>
              <w:rPr>
                <w:rFonts w:eastAsia="Calibri" w:cs="Times New Roman"/>
                <w:color w:val="000000"/>
                <w:sz w:val="21"/>
                <w:szCs w:val="21"/>
                <w:lang w:eastAsia="en-US"/>
              </w:rPr>
            </w:pPr>
          </w:p>
          <w:p w:rsidR="00981F2D" w:rsidRPr="00981F2D" w:rsidRDefault="00981F2D" w:rsidP="00981F2D">
            <w:pPr>
              <w:widowControl/>
              <w:autoSpaceDE/>
              <w:autoSpaceDN/>
              <w:adjustRightInd/>
              <w:spacing w:line="240" w:lineRule="auto"/>
              <w:jc w:val="both"/>
              <w:rPr>
                <w:rFonts w:eastAsia="Calibri" w:cs="Times New Roman"/>
                <w:color w:val="000000"/>
                <w:sz w:val="21"/>
                <w:szCs w:val="21"/>
                <w:lang w:eastAsia="en-US"/>
              </w:rPr>
            </w:pPr>
            <w:r w:rsidRPr="00981F2D">
              <w:rPr>
                <w:rFonts w:eastAsia="Calibri" w:cs="Times New Roman"/>
                <w:color w:val="000000"/>
                <w:sz w:val="21"/>
                <w:szCs w:val="21"/>
                <w:lang w:eastAsia="en-US"/>
              </w:rPr>
              <w:t xml:space="preserve">W przypadku roszczeń konsumentów oraz producentów rolnych prowadzących gospodarstwa rodzinne, wynikających z czynności bankowych, projektowana regulacja pozostawia wysokość opłat sądowych obowiązującą po </w:t>
            </w:r>
            <w:r w:rsidR="008929CD">
              <w:rPr>
                <w:rFonts w:eastAsia="Calibri" w:cs="Times New Roman"/>
                <w:color w:val="000000"/>
                <w:sz w:val="21"/>
                <w:szCs w:val="21"/>
                <w:lang w:eastAsia="en-US"/>
              </w:rPr>
              <w:t xml:space="preserve">dniu </w:t>
            </w:r>
            <w:r w:rsidRPr="00981F2D">
              <w:rPr>
                <w:rFonts w:eastAsia="Calibri" w:cs="Times New Roman"/>
                <w:color w:val="000000"/>
                <w:sz w:val="21"/>
                <w:szCs w:val="21"/>
                <w:lang w:eastAsia="en-US"/>
              </w:rPr>
              <w:t>27 listopada 2015 r. Należy oczekiwać, że wpływ tej decyzji na wysokość wpływów do budżetu państwa będzie jednak niewielki, co uzasadnia zastosowanie kryterium aksjologicznego – przemawiającego za przyjęciem projektowanej regulacji w proponowanym brzmieniu.</w:t>
            </w:r>
          </w:p>
        </w:tc>
      </w:tr>
      <w:tr w:rsidR="00981F2D" w:rsidRPr="00981F2D" w:rsidTr="00B14587">
        <w:trPr>
          <w:gridAfter w:val="1"/>
          <w:wAfter w:w="10" w:type="dxa"/>
          <w:trHeight w:val="345"/>
        </w:trPr>
        <w:tc>
          <w:tcPr>
            <w:tcW w:w="10937" w:type="dxa"/>
            <w:gridSpan w:val="29"/>
            <w:shd w:val="clear" w:color="auto" w:fill="99CCFF"/>
          </w:tcPr>
          <w:p w:rsidR="00981F2D" w:rsidRPr="00981F2D" w:rsidRDefault="00981F2D" w:rsidP="00981F2D">
            <w:pPr>
              <w:keepNext/>
              <w:widowControl/>
              <w:numPr>
                <w:ilvl w:val="0"/>
                <w:numId w:val="1"/>
              </w:numPr>
              <w:autoSpaceDE/>
              <w:autoSpaceDN/>
              <w:adjustRightInd/>
              <w:spacing w:before="120" w:after="120" w:line="240" w:lineRule="auto"/>
              <w:ind w:left="357" w:hanging="357"/>
              <w:jc w:val="both"/>
              <w:rPr>
                <w:rFonts w:eastAsia="Calibri" w:cs="Times New Roman"/>
                <w:b/>
                <w:color w:val="000000"/>
                <w:sz w:val="22"/>
                <w:szCs w:val="22"/>
                <w:lang w:eastAsia="en-US"/>
              </w:rPr>
            </w:pPr>
            <w:r w:rsidRPr="00981F2D">
              <w:rPr>
                <w:rFonts w:eastAsia="Calibri" w:cs="Times New Roman"/>
                <w:b/>
                <w:color w:val="000000"/>
                <w:sz w:val="22"/>
                <w:szCs w:val="22"/>
                <w:lang w:eastAsia="en-US"/>
              </w:rPr>
              <w:lastRenderedPageBreak/>
              <w:t xml:space="preserve">Wpływ na konkurencyjność gospodarki i przedsiębiorczość, w tym funkcjonowanie przedsiębiorców oraz na rodzinę, obywateli i gospodarstwa domowe </w:t>
            </w:r>
          </w:p>
        </w:tc>
      </w:tr>
      <w:tr w:rsidR="00981F2D" w:rsidRPr="00981F2D" w:rsidTr="00B14587">
        <w:trPr>
          <w:gridAfter w:val="1"/>
          <w:wAfter w:w="10" w:type="dxa"/>
          <w:trHeight w:val="142"/>
        </w:trPr>
        <w:tc>
          <w:tcPr>
            <w:tcW w:w="10937" w:type="dxa"/>
            <w:gridSpan w:val="29"/>
            <w:shd w:val="clear" w:color="auto" w:fill="FFFFFF"/>
          </w:tcPr>
          <w:p w:rsidR="00981F2D" w:rsidRPr="00981F2D" w:rsidRDefault="00981F2D" w:rsidP="00B14587">
            <w:pPr>
              <w:keepNext/>
              <w:widowControl/>
              <w:autoSpaceDE/>
              <w:autoSpaceDN/>
              <w:adjustRightInd/>
              <w:spacing w:line="240" w:lineRule="auto"/>
              <w:jc w:val="center"/>
              <w:rPr>
                <w:rFonts w:eastAsia="Calibri" w:cs="Times New Roman"/>
                <w:color w:val="000000"/>
                <w:sz w:val="21"/>
                <w:szCs w:val="21"/>
                <w:lang w:eastAsia="en-US"/>
              </w:rPr>
            </w:pPr>
            <w:r w:rsidRPr="00981F2D">
              <w:rPr>
                <w:rFonts w:eastAsia="Calibri" w:cs="Times New Roman"/>
                <w:color w:val="000000"/>
                <w:sz w:val="21"/>
                <w:szCs w:val="21"/>
                <w:lang w:eastAsia="en-US"/>
              </w:rPr>
              <w:t>Skutki</w:t>
            </w:r>
          </w:p>
        </w:tc>
      </w:tr>
      <w:tr w:rsidR="00981F2D" w:rsidRPr="00981F2D" w:rsidTr="00B14587">
        <w:trPr>
          <w:gridAfter w:val="1"/>
          <w:wAfter w:w="10" w:type="dxa"/>
          <w:trHeight w:val="142"/>
        </w:trPr>
        <w:tc>
          <w:tcPr>
            <w:tcW w:w="3889" w:type="dxa"/>
            <w:gridSpan w:val="7"/>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r w:rsidRPr="00981F2D">
              <w:rPr>
                <w:rFonts w:eastAsia="Calibri" w:cs="Times New Roman"/>
                <w:color w:val="000000"/>
                <w:sz w:val="21"/>
                <w:szCs w:val="21"/>
                <w:lang w:eastAsia="en-US"/>
              </w:rPr>
              <w:t>Czas w latach od wejścia w życie zmian</w:t>
            </w:r>
          </w:p>
        </w:tc>
        <w:tc>
          <w:tcPr>
            <w:tcW w:w="937" w:type="dxa"/>
            <w:gridSpan w:val="2"/>
            <w:shd w:val="clear" w:color="auto" w:fill="FFFFFF"/>
          </w:tcPr>
          <w:p w:rsidR="00981F2D" w:rsidRPr="00981F2D" w:rsidRDefault="00981F2D" w:rsidP="00981F2D">
            <w:pPr>
              <w:widowControl/>
              <w:autoSpaceDE/>
              <w:autoSpaceDN/>
              <w:adjustRightInd/>
              <w:spacing w:line="240" w:lineRule="auto"/>
              <w:jc w:val="center"/>
              <w:rPr>
                <w:rFonts w:eastAsia="Calibri" w:cs="Times New Roman"/>
                <w:color w:val="000000"/>
                <w:sz w:val="21"/>
                <w:szCs w:val="21"/>
                <w:lang w:eastAsia="en-US"/>
              </w:rPr>
            </w:pPr>
            <w:r w:rsidRPr="00981F2D">
              <w:rPr>
                <w:rFonts w:eastAsia="Calibri" w:cs="Times New Roman"/>
                <w:color w:val="000000"/>
                <w:sz w:val="21"/>
                <w:szCs w:val="21"/>
                <w:lang w:eastAsia="en-US"/>
              </w:rPr>
              <w:t>0</w:t>
            </w:r>
          </w:p>
        </w:tc>
        <w:tc>
          <w:tcPr>
            <w:tcW w:w="938" w:type="dxa"/>
            <w:gridSpan w:val="5"/>
            <w:shd w:val="clear" w:color="auto" w:fill="FFFFFF"/>
          </w:tcPr>
          <w:p w:rsidR="00981F2D" w:rsidRPr="00981F2D" w:rsidRDefault="00981F2D" w:rsidP="00981F2D">
            <w:pPr>
              <w:widowControl/>
              <w:autoSpaceDE/>
              <w:autoSpaceDN/>
              <w:adjustRightInd/>
              <w:spacing w:line="240" w:lineRule="auto"/>
              <w:jc w:val="center"/>
              <w:rPr>
                <w:rFonts w:eastAsia="Calibri" w:cs="Times New Roman"/>
                <w:color w:val="000000"/>
                <w:sz w:val="21"/>
                <w:szCs w:val="21"/>
                <w:lang w:eastAsia="en-US"/>
              </w:rPr>
            </w:pPr>
            <w:r w:rsidRPr="00981F2D">
              <w:rPr>
                <w:rFonts w:eastAsia="Calibri" w:cs="Times New Roman"/>
                <w:color w:val="000000"/>
                <w:sz w:val="21"/>
                <w:szCs w:val="21"/>
                <w:lang w:eastAsia="en-US"/>
              </w:rPr>
              <w:t>1</w:t>
            </w:r>
          </w:p>
        </w:tc>
        <w:tc>
          <w:tcPr>
            <w:tcW w:w="938" w:type="dxa"/>
            <w:gridSpan w:val="4"/>
            <w:shd w:val="clear" w:color="auto" w:fill="FFFFFF"/>
          </w:tcPr>
          <w:p w:rsidR="00981F2D" w:rsidRPr="00981F2D" w:rsidRDefault="00981F2D" w:rsidP="00981F2D">
            <w:pPr>
              <w:widowControl/>
              <w:autoSpaceDE/>
              <w:autoSpaceDN/>
              <w:adjustRightInd/>
              <w:spacing w:line="240" w:lineRule="auto"/>
              <w:jc w:val="center"/>
              <w:rPr>
                <w:rFonts w:eastAsia="Calibri" w:cs="Times New Roman"/>
                <w:color w:val="000000"/>
                <w:sz w:val="21"/>
                <w:szCs w:val="21"/>
                <w:lang w:eastAsia="en-US"/>
              </w:rPr>
            </w:pPr>
            <w:r w:rsidRPr="00981F2D">
              <w:rPr>
                <w:rFonts w:eastAsia="Calibri" w:cs="Times New Roman"/>
                <w:color w:val="000000"/>
                <w:sz w:val="21"/>
                <w:szCs w:val="21"/>
                <w:lang w:eastAsia="en-US"/>
              </w:rPr>
              <w:t>2</w:t>
            </w:r>
          </w:p>
        </w:tc>
        <w:tc>
          <w:tcPr>
            <w:tcW w:w="937" w:type="dxa"/>
            <w:gridSpan w:val="3"/>
            <w:shd w:val="clear" w:color="auto" w:fill="FFFFFF"/>
          </w:tcPr>
          <w:p w:rsidR="00981F2D" w:rsidRPr="00981F2D" w:rsidRDefault="00981F2D" w:rsidP="00981F2D">
            <w:pPr>
              <w:widowControl/>
              <w:autoSpaceDE/>
              <w:autoSpaceDN/>
              <w:adjustRightInd/>
              <w:spacing w:line="240" w:lineRule="auto"/>
              <w:jc w:val="center"/>
              <w:rPr>
                <w:rFonts w:eastAsia="Calibri" w:cs="Times New Roman"/>
                <w:color w:val="000000"/>
                <w:sz w:val="21"/>
                <w:szCs w:val="21"/>
                <w:lang w:eastAsia="en-US"/>
              </w:rPr>
            </w:pPr>
            <w:r w:rsidRPr="00981F2D">
              <w:rPr>
                <w:rFonts w:eastAsia="Calibri" w:cs="Times New Roman"/>
                <w:color w:val="000000"/>
                <w:sz w:val="21"/>
                <w:szCs w:val="21"/>
                <w:lang w:eastAsia="en-US"/>
              </w:rPr>
              <w:t>3</w:t>
            </w:r>
          </w:p>
        </w:tc>
        <w:tc>
          <w:tcPr>
            <w:tcW w:w="938" w:type="dxa"/>
            <w:gridSpan w:val="4"/>
            <w:shd w:val="clear" w:color="auto" w:fill="FFFFFF"/>
          </w:tcPr>
          <w:p w:rsidR="00981F2D" w:rsidRPr="00981F2D" w:rsidRDefault="00981F2D" w:rsidP="00981F2D">
            <w:pPr>
              <w:widowControl/>
              <w:autoSpaceDE/>
              <w:autoSpaceDN/>
              <w:adjustRightInd/>
              <w:spacing w:line="240" w:lineRule="auto"/>
              <w:jc w:val="center"/>
              <w:rPr>
                <w:rFonts w:eastAsia="Calibri" w:cs="Times New Roman"/>
                <w:color w:val="000000"/>
                <w:sz w:val="21"/>
                <w:szCs w:val="21"/>
                <w:lang w:eastAsia="en-US"/>
              </w:rPr>
            </w:pPr>
            <w:r w:rsidRPr="00981F2D">
              <w:rPr>
                <w:rFonts w:eastAsia="Calibri" w:cs="Times New Roman"/>
                <w:color w:val="000000"/>
                <w:sz w:val="21"/>
                <w:szCs w:val="21"/>
                <w:lang w:eastAsia="en-US"/>
              </w:rPr>
              <w:t>5</w:t>
            </w:r>
          </w:p>
        </w:tc>
        <w:tc>
          <w:tcPr>
            <w:tcW w:w="779" w:type="dxa"/>
            <w:gridSpan w:val="2"/>
            <w:shd w:val="clear" w:color="auto" w:fill="FFFFFF"/>
          </w:tcPr>
          <w:p w:rsidR="00981F2D" w:rsidRPr="00981F2D" w:rsidRDefault="00981F2D" w:rsidP="00981F2D">
            <w:pPr>
              <w:widowControl/>
              <w:autoSpaceDE/>
              <w:autoSpaceDN/>
              <w:adjustRightInd/>
              <w:spacing w:line="240" w:lineRule="auto"/>
              <w:jc w:val="center"/>
              <w:rPr>
                <w:rFonts w:eastAsia="Calibri" w:cs="Times New Roman"/>
                <w:color w:val="000000"/>
                <w:sz w:val="21"/>
                <w:szCs w:val="21"/>
                <w:lang w:eastAsia="en-US"/>
              </w:rPr>
            </w:pPr>
            <w:r w:rsidRPr="00981F2D">
              <w:rPr>
                <w:rFonts w:eastAsia="Calibri" w:cs="Times New Roman"/>
                <w:color w:val="000000"/>
                <w:sz w:val="21"/>
                <w:szCs w:val="21"/>
                <w:lang w:eastAsia="en-US"/>
              </w:rPr>
              <w:t>10</w:t>
            </w:r>
          </w:p>
        </w:tc>
        <w:tc>
          <w:tcPr>
            <w:tcW w:w="1581" w:type="dxa"/>
            <w:gridSpan w:val="2"/>
            <w:shd w:val="clear" w:color="auto" w:fill="FFFFFF"/>
          </w:tcPr>
          <w:p w:rsidR="00981F2D" w:rsidRPr="00981F2D" w:rsidRDefault="00981F2D" w:rsidP="00981F2D">
            <w:pPr>
              <w:widowControl/>
              <w:autoSpaceDE/>
              <w:autoSpaceDN/>
              <w:adjustRightInd/>
              <w:spacing w:line="240" w:lineRule="auto"/>
              <w:jc w:val="center"/>
              <w:rPr>
                <w:rFonts w:eastAsia="Calibri" w:cs="Times New Roman"/>
                <w:i/>
                <w:color w:val="000000"/>
                <w:sz w:val="21"/>
                <w:szCs w:val="21"/>
                <w:lang w:eastAsia="en-US"/>
              </w:rPr>
            </w:pPr>
            <w:r w:rsidRPr="00981F2D">
              <w:rPr>
                <w:rFonts w:eastAsia="Calibri" w:cs="Times New Roman"/>
                <w:i/>
                <w:color w:val="000000"/>
                <w:sz w:val="21"/>
                <w:szCs w:val="21"/>
                <w:lang w:eastAsia="en-US"/>
              </w:rPr>
              <w:t>Łącznie</w:t>
            </w:r>
            <w:r w:rsidRPr="00981F2D" w:rsidDel="0073273A">
              <w:rPr>
                <w:rFonts w:eastAsia="Calibri" w:cs="Times New Roman"/>
                <w:i/>
                <w:color w:val="000000"/>
                <w:sz w:val="21"/>
                <w:szCs w:val="21"/>
                <w:lang w:eastAsia="en-US"/>
              </w:rPr>
              <w:t xml:space="preserve"> </w:t>
            </w:r>
            <w:r w:rsidRPr="00981F2D">
              <w:rPr>
                <w:rFonts w:eastAsia="Calibri" w:cs="Times New Roman"/>
                <w:i/>
                <w:color w:val="000000"/>
                <w:sz w:val="21"/>
                <w:szCs w:val="21"/>
                <w:lang w:eastAsia="en-US"/>
              </w:rPr>
              <w:t>(0–10)</w:t>
            </w:r>
          </w:p>
        </w:tc>
      </w:tr>
      <w:tr w:rsidR="00981F2D" w:rsidRPr="00981F2D" w:rsidTr="00B14587">
        <w:trPr>
          <w:gridAfter w:val="1"/>
          <w:wAfter w:w="10" w:type="dxa"/>
          <w:trHeight w:val="142"/>
        </w:trPr>
        <w:tc>
          <w:tcPr>
            <w:tcW w:w="1596" w:type="dxa"/>
            <w:vMerge w:val="restart"/>
            <w:shd w:val="clear" w:color="auto" w:fill="FFFFFF"/>
          </w:tcPr>
          <w:p w:rsidR="00981F2D" w:rsidRPr="00981F2D" w:rsidRDefault="00981F2D" w:rsidP="00981F2D">
            <w:pPr>
              <w:widowControl/>
              <w:autoSpaceDE/>
              <w:autoSpaceDN/>
              <w:adjustRightInd/>
              <w:spacing w:line="276" w:lineRule="auto"/>
              <w:rPr>
                <w:rFonts w:eastAsia="Calibri" w:cs="Times New Roman"/>
                <w:color w:val="000000"/>
                <w:sz w:val="21"/>
                <w:szCs w:val="21"/>
                <w:lang w:eastAsia="en-US"/>
              </w:rPr>
            </w:pPr>
            <w:r w:rsidRPr="00981F2D">
              <w:rPr>
                <w:rFonts w:eastAsia="Calibri" w:cs="Times New Roman"/>
                <w:color w:val="000000"/>
                <w:sz w:val="21"/>
                <w:szCs w:val="21"/>
                <w:lang w:eastAsia="en-US"/>
              </w:rPr>
              <w:t>W ujęciu pieniężnym</w:t>
            </w:r>
          </w:p>
          <w:p w:rsidR="00981F2D" w:rsidRPr="00981F2D" w:rsidRDefault="00981F2D" w:rsidP="00981F2D">
            <w:pPr>
              <w:widowControl/>
              <w:autoSpaceDE/>
              <w:autoSpaceDN/>
              <w:adjustRightInd/>
              <w:spacing w:line="276" w:lineRule="auto"/>
              <w:rPr>
                <w:rFonts w:eastAsia="Calibri" w:cs="Times New Roman"/>
                <w:sz w:val="21"/>
                <w:szCs w:val="21"/>
                <w:lang w:eastAsia="en-US"/>
              </w:rPr>
            </w:pPr>
            <w:r w:rsidRPr="00981F2D">
              <w:rPr>
                <w:rFonts w:eastAsia="Calibri" w:cs="Times New Roman"/>
                <w:sz w:val="21"/>
                <w:szCs w:val="21"/>
                <w:lang w:eastAsia="en-US"/>
              </w:rPr>
              <w:t xml:space="preserve">(w mln zł, </w:t>
            </w:r>
          </w:p>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r w:rsidRPr="00981F2D">
              <w:rPr>
                <w:rFonts w:eastAsia="Calibri" w:cs="Times New Roman"/>
                <w:sz w:val="21"/>
                <w:szCs w:val="21"/>
                <w:lang w:eastAsia="en-US"/>
              </w:rPr>
              <w:t>ceny stałe</w:t>
            </w:r>
            <w:r>
              <w:rPr>
                <w:rFonts w:eastAsia="Calibri" w:cs="Times New Roman"/>
                <w:sz w:val="21"/>
                <w:szCs w:val="21"/>
                <w:lang w:eastAsia="en-US"/>
              </w:rPr>
              <w:t xml:space="preserve"> z </w:t>
            </w:r>
            <w:r w:rsidRPr="00981F2D">
              <w:rPr>
                <w:rFonts w:eastAsia="Calibri" w:cs="Times New Roman"/>
                <w:sz w:val="21"/>
                <w:szCs w:val="21"/>
                <w:lang w:eastAsia="en-US"/>
              </w:rPr>
              <w:t>…… r.)</w:t>
            </w:r>
          </w:p>
        </w:tc>
        <w:tc>
          <w:tcPr>
            <w:tcW w:w="2293" w:type="dxa"/>
            <w:gridSpan w:val="6"/>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r w:rsidRPr="00981F2D">
              <w:rPr>
                <w:rFonts w:eastAsia="Calibri" w:cs="Times New Roman"/>
                <w:color w:val="000000"/>
                <w:sz w:val="21"/>
                <w:szCs w:val="21"/>
                <w:lang w:eastAsia="en-US"/>
              </w:rPr>
              <w:t>duże przedsiębiorstwa</w:t>
            </w:r>
          </w:p>
        </w:tc>
        <w:tc>
          <w:tcPr>
            <w:tcW w:w="937" w:type="dxa"/>
            <w:gridSpan w:val="2"/>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p>
        </w:tc>
        <w:tc>
          <w:tcPr>
            <w:tcW w:w="938" w:type="dxa"/>
            <w:gridSpan w:val="5"/>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p>
        </w:tc>
        <w:tc>
          <w:tcPr>
            <w:tcW w:w="938" w:type="dxa"/>
            <w:gridSpan w:val="4"/>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p>
        </w:tc>
        <w:tc>
          <w:tcPr>
            <w:tcW w:w="937" w:type="dxa"/>
            <w:gridSpan w:val="3"/>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p>
        </w:tc>
        <w:tc>
          <w:tcPr>
            <w:tcW w:w="938" w:type="dxa"/>
            <w:gridSpan w:val="4"/>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p>
        </w:tc>
        <w:tc>
          <w:tcPr>
            <w:tcW w:w="779" w:type="dxa"/>
            <w:gridSpan w:val="2"/>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p>
        </w:tc>
        <w:tc>
          <w:tcPr>
            <w:tcW w:w="1581" w:type="dxa"/>
            <w:gridSpan w:val="2"/>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p>
        </w:tc>
      </w:tr>
      <w:tr w:rsidR="00981F2D" w:rsidRPr="00981F2D" w:rsidTr="00B14587">
        <w:trPr>
          <w:gridAfter w:val="1"/>
          <w:wAfter w:w="10" w:type="dxa"/>
          <w:trHeight w:val="142"/>
        </w:trPr>
        <w:tc>
          <w:tcPr>
            <w:tcW w:w="1596" w:type="dxa"/>
            <w:vMerge/>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p>
        </w:tc>
        <w:tc>
          <w:tcPr>
            <w:tcW w:w="2293" w:type="dxa"/>
            <w:gridSpan w:val="6"/>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r w:rsidRPr="00981F2D">
              <w:rPr>
                <w:rFonts w:eastAsia="Calibri" w:cs="Times New Roman"/>
                <w:color w:val="000000"/>
                <w:sz w:val="21"/>
                <w:szCs w:val="21"/>
                <w:lang w:eastAsia="en-US"/>
              </w:rPr>
              <w:t>sektor mikro-, małych i średnich przedsiębiorstw</w:t>
            </w:r>
          </w:p>
        </w:tc>
        <w:tc>
          <w:tcPr>
            <w:tcW w:w="937" w:type="dxa"/>
            <w:gridSpan w:val="2"/>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p>
        </w:tc>
        <w:tc>
          <w:tcPr>
            <w:tcW w:w="938" w:type="dxa"/>
            <w:gridSpan w:val="5"/>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p>
        </w:tc>
        <w:tc>
          <w:tcPr>
            <w:tcW w:w="938" w:type="dxa"/>
            <w:gridSpan w:val="4"/>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p>
        </w:tc>
        <w:tc>
          <w:tcPr>
            <w:tcW w:w="937" w:type="dxa"/>
            <w:gridSpan w:val="3"/>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p>
        </w:tc>
        <w:tc>
          <w:tcPr>
            <w:tcW w:w="938" w:type="dxa"/>
            <w:gridSpan w:val="4"/>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p>
        </w:tc>
        <w:tc>
          <w:tcPr>
            <w:tcW w:w="779" w:type="dxa"/>
            <w:gridSpan w:val="2"/>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p>
        </w:tc>
        <w:tc>
          <w:tcPr>
            <w:tcW w:w="1581" w:type="dxa"/>
            <w:gridSpan w:val="2"/>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p>
        </w:tc>
      </w:tr>
      <w:tr w:rsidR="00981F2D" w:rsidRPr="00981F2D" w:rsidTr="00B14587">
        <w:trPr>
          <w:gridAfter w:val="1"/>
          <w:wAfter w:w="10" w:type="dxa"/>
          <w:trHeight w:val="142"/>
        </w:trPr>
        <w:tc>
          <w:tcPr>
            <w:tcW w:w="1596" w:type="dxa"/>
            <w:vMerge/>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p>
        </w:tc>
        <w:tc>
          <w:tcPr>
            <w:tcW w:w="2293" w:type="dxa"/>
            <w:gridSpan w:val="6"/>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r w:rsidRPr="00981F2D">
              <w:rPr>
                <w:rFonts w:eastAsia="Calibri" w:cs="Times New Roman"/>
                <w:sz w:val="21"/>
                <w:szCs w:val="21"/>
                <w:lang w:eastAsia="en-US"/>
              </w:rPr>
              <w:t>rodzina, obywatele oraz gospodarstwa domowe</w:t>
            </w:r>
          </w:p>
        </w:tc>
        <w:tc>
          <w:tcPr>
            <w:tcW w:w="937" w:type="dxa"/>
            <w:gridSpan w:val="2"/>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p>
        </w:tc>
        <w:tc>
          <w:tcPr>
            <w:tcW w:w="938" w:type="dxa"/>
            <w:gridSpan w:val="5"/>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p>
        </w:tc>
        <w:tc>
          <w:tcPr>
            <w:tcW w:w="938" w:type="dxa"/>
            <w:gridSpan w:val="4"/>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p>
        </w:tc>
        <w:tc>
          <w:tcPr>
            <w:tcW w:w="937" w:type="dxa"/>
            <w:gridSpan w:val="3"/>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p>
        </w:tc>
        <w:tc>
          <w:tcPr>
            <w:tcW w:w="938" w:type="dxa"/>
            <w:gridSpan w:val="4"/>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p>
        </w:tc>
        <w:tc>
          <w:tcPr>
            <w:tcW w:w="779" w:type="dxa"/>
            <w:gridSpan w:val="2"/>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p>
        </w:tc>
        <w:tc>
          <w:tcPr>
            <w:tcW w:w="1581" w:type="dxa"/>
            <w:gridSpan w:val="2"/>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p>
        </w:tc>
      </w:tr>
      <w:tr w:rsidR="00981F2D" w:rsidRPr="00981F2D" w:rsidTr="00B14587">
        <w:trPr>
          <w:gridAfter w:val="1"/>
          <w:wAfter w:w="10" w:type="dxa"/>
          <w:trHeight w:val="142"/>
        </w:trPr>
        <w:tc>
          <w:tcPr>
            <w:tcW w:w="1596" w:type="dxa"/>
            <w:vMerge/>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p>
        </w:tc>
        <w:tc>
          <w:tcPr>
            <w:tcW w:w="2293" w:type="dxa"/>
            <w:gridSpan w:val="6"/>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r w:rsidRPr="00981F2D">
              <w:rPr>
                <w:rFonts w:eastAsia="Calibri" w:cs="Times New Roman"/>
                <w:color w:val="000000"/>
                <w:sz w:val="21"/>
                <w:szCs w:val="21"/>
                <w:lang w:eastAsia="en-US"/>
              </w:rPr>
              <w:fldChar w:fldCharType="begin">
                <w:ffData>
                  <w:name w:val=""/>
                  <w:enabled/>
                  <w:calcOnExit/>
                  <w:exitMacro w:val="UpdateHeader"/>
                  <w:helpText w:type="text" w:val="Wpisz na jaką grupę docelową będzie miała wpływ projektowana regulacja. Możesz zawężić zakres grupy przez doprecyzowanie: np &quot;małe i średnie przedsiębiorstwa rozliczające się metodą kasową z podatku VAT&quot;"/>
                  <w:statusText w:type="text" w:val="Wpisz na jaką grupę docelową będzie miała wpływ projektowana regulacja"/>
                  <w:textInput>
                    <w:default w:val="(dodaj/usuń)"/>
                    <w:maxLength w:val="1000"/>
                  </w:textInput>
                </w:ffData>
              </w:fldChar>
            </w:r>
            <w:r w:rsidRPr="00981F2D">
              <w:rPr>
                <w:rFonts w:eastAsia="Calibri" w:cs="Times New Roman"/>
                <w:color w:val="000000"/>
                <w:sz w:val="21"/>
                <w:szCs w:val="21"/>
                <w:lang w:eastAsia="en-US"/>
              </w:rPr>
              <w:instrText xml:space="preserve"> FORMTEXT </w:instrText>
            </w:r>
            <w:r w:rsidRPr="00981F2D">
              <w:rPr>
                <w:rFonts w:eastAsia="Calibri" w:cs="Times New Roman"/>
                <w:color w:val="000000"/>
                <w:sz w:val="21"/>
                <w:szCs w:val="21"/>
                <w:lang w:eastAsia="en-US"/>
              </w:rPr>
            </w:r>
            <w:r w:rsidRPr="00981F2D">
              <w:rPr>
                <w:rFonts w:eastAsia="Calibri" w:cs="Times New Roman"/>
                <w:color w:val="000000"/>
                <w:sz w:val="21"/>
                <w:szCs w:val="21"/>
                <w:lang w:eastAsia="en-US"/>
              </w:rPr>
              <w:fldChar w:fldCharType="separate"/>
            </w:r>
            <w:r w:rsidRPr="00981F2D">
              <w:rPr>
                <w:rFonts w:eastAsia="Calibri" w:cs="Times New Roman"/>
                <w:noProof/>
                <w:color w:val="000000"/>
                <w:sz w:val="21"/>
                <w:szCs w:val="21"/>
                <w:lang w:eastAsia="en-US"/>
              </w:rPr>
              <w:t>(dodaj/usuń)</w:t>
            </w:r>
            <w:r w:rsidRPr="00981F2D">
              <w:rPr>
                <w:rFonts w:eastAsia="Calibri" w:cs="Times New Roman"/>
                <w:color w:val="000000"/>
                <w:sz w:val="21"/>
                <w:szCs w:val="21"/>
                <w:lang w:eastAsia="en-US"/>
              </w:rPr>
              <w:fldChar w:fldCharType="end"/>
            </w:r>
          </w:p>
        </w:tc>
        <w:tc>
          <w:tcPr>
            <w:tcW w:w="937" w:type="dxa"/>
            <w:gridSpan w:val="2"/>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p>
        </w:tc>
        <w:tc>
          <w:tcPr>
            <w:tcW w:w="938" w:type="dxa"/>
            <w:gridSpan w:val="5"/>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p>
        </w:tc>
        <w:tc>
          <w:tcPr>
            <w:tcW w:w="938" w:type="dxa"/>
            <w:gridSpan w:val="4"/>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p>
        </w:tc>
        <w:tc>
          <w:tcPr>
            <w:tcW w:w="937" w:type="dxa"/>
            <w:gridSpan w:val="3"/>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p>
        </w:tc>
        <w:tc>
          <w:tcPr>
            <w:tcW w:w="938" w:type="dxa"/>
            <w:gridSpan w:val="4"/>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p>
        </w:tc>
        <w:tc>
          <w:tcPr>
            <w:tcW w:w="779" w:type="dxa"/>
            <w:gridSpan w:val="2"/>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p>
        </w:tc>
        <w:tc>
          <w:tcPr>
            <w:tcW w:w="1581" w:type="dxa"/>
            <w:gridSpan w:val="2"/>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p>
        </w:tc>
      </w:tr>
      <w:tr w:rsidR="00981F2D" w:rsidRPr="00981F2D" w:rsidTr="00B14587">
        <w:trPr>
          <w:gridAfter w:val="1"/>
          <w:wAfter w:w="10" w:type="dxa"/>
          <w:trHeight w:val="142"/>
        </w:trPr>
        <w:tc>
          <w:tcPr>
            <w:tcW w:w="1596" w:type="dxa"/>
            <w:vMerge w:val="restart"/>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r w:rsidRPr="00981F2D">
              <w:rPr>
                <w:rFonts w:eastAsia="Calibri" w:cs="Times New Roman"/>
                <w:color w:val="000000"/>
                <w:sz w:val="21"/>
                <w:szCs w:val="21"/>
                <w:lang w:eastAsia="en-US"/>
              </w:rPr>
              <w:t>W ujęciu niepieniężnym</w:t>
            </w:r>
          </w:p>
        </w:tc>
        <w:tc>
          <w:tcPr>
            <w:tcW w:w="2293" w:type="dxa"/>
            <w:gridSpan w:val="6"/>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r w:rsidRPr="00981F2D">
              <w:rPr>
                <w:rFonts w:eastAsia="Calibri" w:cs="Times New Roman"/>
                <w:color w:val="000000"/>
                <w:sz w:val="21"/>
                <w:szCs w:val="21"/>
                <w:lang w:eastAsia="en-US"/>
              </w:rPr>
              <w:t>Strony spraw o roszczenia wynikające z czynności bankowych – niebędące konsumentami oraz producentami rolnymi prowadzącymi gospodarstwa rodzinne</w:t>
            </w:r>
          </w:p>
        </w:tc>
        <w:tc>
          <w:tcPr>
            <w:tcW w:w="7048" w:type="dxa"/>
            <w:gridSpan w:val="22"/>
            <w:shd w:val="clear" w:color="auto" w:fill="FFFFFF"/>
          </w:tcPr>
          <w:p w:rsidR="00981F2D" w:rsidRPr="00981F2D" w:rsidRDefault="00981F2D" w:rsidP="00981F2D">
            <w:pPr>
              <w:widowControl/>
              <w:autoSpaceDE/>
              <w:autoSpaceDN/>
              <w:adjustRightInd/>
              <w:spacing w:line="240" w:lineRule="auto"/>
              <w:jc w:val="both"/>
              <w:rPr>
                <w:rFonts w:eastAsia="Calibri" w:cs="Times New Roman"/>
                <w:color w:val="000000"/>
                <w:sz w:val="22"/>
                <w:szCs w:val="22"/>
                <w:lang w:eastAsia="en-US"/>
              </w:rPr>
            </w:pPr>
            <w:r w:rsidRPr="00981F2D">
              <w:rPr>
                <w:rFonts w:eastAsia="Calibri" w:cs="Times New Roman"/>
                <w:color w:val="000000" w:themeColor="text1"/>
                <w:sz w:val="22"/>
                <w:szCs w:val="22"/>
                <w:lang w:eastAsia="en-US"/>
              </w:rPr>
              <w:t xml:space="preserve">Przywrócenie obowiązujących przed </w:t>
            </w:r>
            <w:r w:rsidR="008929CD">
              <w:rPr>
                <w:rFonts w:eastAsia="Calibri" w:cs="Times New Roman"/>
                <w:color w:val="000000" w:themeColor="text1"/>
                <w:sz w:val="22"/>
                <w:szCs w:val="22"/>
                <w:lang w:eastAsia="en-US"/>
              </w:rPr>
              <w:t xml:space="preserve">dniem </w:t>
            </w:r>
            <w:r w:rsidRPr="00981F2D">
              <w:rPr>
                <w:rFonts w:eastAsia="Calibri" w:cs="Times New Roman"/>
                <w:color w:val="000000" w:themeColor="text1"/>
                <w:sz w:val="22"/>
                <w:szCs w:val="22"/>
                <w:lang w:eastAsia="en-US"/>
              </w:rPr>
              <w:t xml:space="preserve">27 listopada 2015 r. stawek opłaty stosunkowej wyeliminuje ich nieuzasadnione uprzywilejowanie </w:t>
            </w:r>
            <w:r w:rsidRPr="00981F2D">
              <w:rPr>
                <w:rFonts w:eastAsia="Calibri" w:cs="Times New Roman"/>
                <w:color w:val="000000"/>
                <w:sz w:val="22"/>
                <w:szCs w:val="22"/>
                <w:lang w:eastAsia="en-US"/>
              </w:rPr>
              <w:t>względem stron dochodzących roszczeń wynikających z innego źródła.</w:t>
            </w:r>
          </w:p>
          <w:p w:rsidR="00981F2D" w:rsidRPr="00981F2D" w:rsidRDefault="00981F2D" w:rsidP="00981F2D">
            <w:pPr>
              <w:widowControl/>
              <w:autoSpaceDE/>
              <w:autoSpaceDN/>
              <w:adjustRightInd/>
              <w:spacing w:line="240" w:lineRule="auto"/>
              <w:jc w:val="both"/>
              <w:rPr>
                <w:rFonts w:eastAsia="Calibri" w:cs="Times New Roman"/>
                <w:color w:val="000000"/>
                <w:sz w:val="22"/>
                <w:szCs w:val="22"/>
                <w:lang w:eastAsia="en-US"/>
              </w:rPr>
            </w:pPr>
          </w:p>
          <w:p w:rsidR="00981F2D" w:rsidRPr="00981F2D" w:rsidRDefault="00981F2D" w:rsidP="00A306AB">
            <w:pPr>
              <w:widowControl/>
              <w:autoSpaceDE/>
              <w:autoSpaceDN/>
              <w:adjustRightInd/>
              <w:spacing w:line="240" w:lineRule="auto"/>
              <w:jc w:val="both"/>
              <w:rPr>
                <w:rFonts w:eastAsia="Calibri" w:cs="Times New Roman"/>
                <w:color w:val="000000"/>
                <w:sz w:val="22"/>
                <w:szCs w:val="22"/>
                <w:lang w:eastAsia="en-US"/>
              </w:rPr>
            </w:pPr>
            <w:r w:rsidRPr="00981F2D">
              <w:rPr>
                <w:rFonts w:eastAsia="Calibri" w:cs="Times New Roman"/>
                <w:color w:val="000000"/>
                <w:sz w:val="22"/>
                <w:szCs w:val="22"/>
                <w:lang w:eastAsia="en-US"/>
              </w:rPr>
              <w:t>W przypadku osób fizycznych, pozwanych przez bank – które przegrały proces – będzie to oznaczało konieczność zwrotu kosztów postępowania (chyba, że sąd zadecyduje o zwolnieniu od kosztów) w wysokości wyższej niż w obecnym stanie prawnym. Nie jest możliwe ustalenie liczby takich przypadków, spośród załatwionych w SR spraw dotyczących „roszczeń z umów bankowych” w niemal 40% przypadków sąd uwzględnił powództwo w całości lub w części.</w:t>
            </w:r>
          </w:p>
        </w:tc>
      </w:tr>
      <w:tr w:rsidR="00981F2D" w:rsidRPr="00981F2D" w:rsidTr="00B14587">
        <w:trPr>
          <w:gridAfter w:val="1"/>
          <w:wAfter w:w="10" w:type="dxa"/>
          <w:trHeight w:val="142"/>
        </w:trPr>
        <w:tc>
          <w:tcPr>
            <w:tcW w:w="1596" w:type="dxa"/>
            <w:vMerge/>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p>
        </w:tc>
        <w:tc>
          <w:tcPr>
            <w:tcW w:w="2293" w:type="dxa"/>
            <w:gridSpan w:val="6"/>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r w:rsidRPr="00981F2D">
              <w:rPr>
                <w:rFonts w:eastAsia="Calibri" w:cs="Times New Roman"/>
                <w:color w:val="000000"/>
                <w:sz w:val="21"/>
                <w:szCs w:val="21"/>
                <w:lang w:eastAsia="en-US"/>
              </w:rPr>
              <w:t>Konsumenci oraz producenci rolni prowadzący gospodarstwa rodzinne, dochodzący roszczeń z czynności bankowych</w:t>
            </w:r>
          </w:p>
        </w:tc>
        <w:tc>
          <w:tcPr>
            <w:tcW w:w="7048" w:type="dxa"/>
            <w:gridSpan w:val="22"/>
            <w:shd w:val="clear" w:color="auto" w:fill="FFFFFF"/>
          </w:tcPr>
          <w:p w:rsidR="00981F2D" w:rsidRPr="00981F2D" w:rsidRDefault="00981F2D" w:rsidP="00A306AB">
            <w:pPr>
              <w:widowControl/>
              <w:autoSpaceDE/>
              <w:autoSpaceDN/>
              <w:adjustRightInd/>
              <w:spacing w:line="240" w:lineRule="auto"/>
              <w:jc w:val="both"/>
              <w:rPr>
                <w:rFonts w:eastAsia="Calibri" w:cs="Times New Roman"/>
                <w:color w:val="000000"/>
                <w:sz w:val="22"/>
                <w:szCs w:val="22"/>
                <w:lang w:eastAsia="en-US"/>
              </w:rPr>
            </w:pPr>
            <w:r w:rsidRPr="00981F2D">
              <w:rPr>
                <w:rFonts w:eastAsia="Calibri" w:cs="Times New Roman"/>
                <w:color w:val="000000"/>
                <w:sz w:val="22"/>
                <w:szCs w:val="22"/>
                <w:lang w:eastAsia="en-US"/>
              </w:rPr>
              <w:t xml:space="preserve">Zachowanie obowiązujących po </w:t>
            </w:r>
            <w:r w:rsidR="00A306AB">
              <w:rPr>
                <w:rFonts w:eastAsia="Calibri" w:cs="Times New Roman"/>
                <w:color w:val="000000"/>
                <w:sz w:val="22"/>
                <w:szCs w:val="22"/>
                <w:lang w:eastAsia="en-US"/>
              </w:rPr>
              <w:t xml:space="preserve">dniu </w:t>
            </w:r>
            <w:r w:rsidRPr="00981F2D">
              <w:rPr>
                <w:rFonts w:eastAsia="Calibri" w:cs="Times New Roman"/>
                <w:color w:val="000000"/>
                <w:sz w:val="22"/>
                <w:szCs w:val="22"/>
                <w:lang w:eastAsia="en-US"/>
              </w:rPr>
              <w:t>27 listopada 20</w:t>
            </w:r>
            <w:r w:rsidR="00A306AB">
              <w:rPr>
                <w:rFonts w:eastAsia="Calibri" w:cs="Times New Roman"/>
                <w:color w:val="000000"/>
                <w:sz w:val="22"/>
                <w:szCs w:val="22"/>
                <w:lang w:eastAsia="en-US"/>
              </w:rPr>
              <w:t>15 r. stawek opłaty stosunkowej</w:t>
            </w:r>
            <w:r w:rsidRPr="00981F2D">
              <w:rPr>
                <w:rFonts w:eastAsia="Calibri" w:cs="Times New Roman"/>
                <w:color w:val="000000"/>
                <w:sz w:val="22"/>
                <w:szCs w:val="22"/>
                <w:lang w:eastAsia="en-US"/>
              </w:rPr>
              <w:t xml:space="preserve"> przyczyni się do ułatwienia dochodzenia roszczeń w stosunku do podmiotów dysponujących większymi możliwościami ekonomicznymi.</w:t>
            </w:r>
          </w:p>
        </w:tc>
      </w:tr>
      <w:tr w:rsidR="00981F2D" w:rsidRPr="00981F2D" w:rsidTr="00B14587">
        <w:trPr>
          <w:gridAfter w:val="1"/>
          <w:wAfter w:w="10" w:type="dxa"/>
          <w:trHeight w:val="596"/>
        </w:trPr>
        <w:tc>
          <w:tcPr>
            <w:tcW w:w="1596" w:type="dxa"/>
            <w:vMerge/>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p>
        </w:tc>
        <w:tc>
          <w:tcPr>
            <w:tcW w:w="2293" w:type="dxa"/>
            <w:gridSpan w:val="6"/>
            <w:shd w:val="clear" w:color="auto" w:fill="FFFFFF"/>
          </w:tcPr>
          <w:p w:rsidR="00981F2D" w:rsidRPr="00981F2D" w:rsidRDefault="00981F2D" w:rsidP="00981F2D">
            <w:pPr>
              <w:widowControl/>
              <w:tabs>
                <w:tab w:val="right" w:pos="1936"/>
              </w:tabs>
              <w:autoSpaceDE/>
              <w:autoSpaceDN/>
              <w:adjustRightInd/>
              <w:spacing w:line="240" w:lineRule="auto"/>
              <w:rPr>
                <w:rFonts w:eastAsia="Calibri" w:cs="Times New Roman"/>
                <w:color w:val="000000"/>
                <w:sz w:val="21"/>
                <w:szCs w:val="21"/>
                <w:lang w:eastAsia="en-US"/>
              </w:rPr>
            </w:pPr>
          </w:p>
        </w:tc>
        <w:tc>
          <w:tcPr>
            <w:tcW w:w="7048" w:type="dxa"/>
            <w:gridSpan w:val="22"/>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p>
        </w:tc>
      </w:tr>
      <w:tr w:rsidR="00981F2D" w:rsidRPr="00981F2D" w:rsidTr="00B14587">
        <w:trPr>
          <w:gridAfter w:val="1"/>
          <w:wAfter w:w="10" w:type="dxa"/>
          <w:trHeight w:val="240"/>
        </w:trPr>
        <w:tc>
          <w:tcPr>
            <w:tcW w:w="1596" w:type="dxa"/>
            <w:vMerge/>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p>
        </w:tc>
        <w:tc>
          <w:tcPr>
            <w:tcW w:w="2293" w:type="dxa"/>
            <w:gridSpan w:val="6"/>
            <w:shd w:val="clear" w:color="auto" w:fill="FFFFFF"/>
          </w:tcPr>
          <w:p w:rsidR="00981F2D" w:rsidRPr="00981F2D" w:rsidRDefault="00981F2D" w:rsidP="00981F2D">
            <w:pPr>
              <w:widowControl/>
              <w:tabs>
                <w:tab w:val="right" w:pos="1936"/>
              </w:tabs>
              <w:autoSpaceDE/>
              <w:autoSpaceDN/>
              <w:adjustRightInd/>
              <w:spacing w:line="276" w:lineRule="auto"/>
              <w:rPr>
                <w:rFonts w:eastAsia="Calibri" w:cs="Times New Roman"/>
                <w:sz w:val="21"/>
                <w:szCs w:val="21"/>
                <w:lang w:eastAsia="en-US"/>
              </w:rPr>
            </w:pPr>
            <w:r w:rsidRPr="00981F2D">
              <w:rPr>
                <w:rFonts w:eastAsia="Calibri" w:cs="Times New Roman"/>
                <w:color w:val="000000"/>
                <w:sz w:val="21"/>
                <w:szCs w:val="21"/>
                <w:lang w:eastAsia="en-US"/>
              </w:rPr>
              <w:fldChar w:fldCharType="begin">
                <w:ffData>
                  <w:name w:val=""/>
                  <w:enabled/>
                  <w:calcOnExit/>
                  <w:exitMacro w:val="UpdateHeader"/>
                  <w:helpText w:type="text" w:val="Wpisz na jaką grupę docelową będzie miała wpływ projektowana regulacja. Możesz zawężić zakres grupy przez doprecyzowanie: np &quot;małe i średnie przedsiębiorstwa rozliczające się metodą kasową z podatku VAT&quot;"/>
                  <w:statusText w:type="text" w:val="Wpisz na jaką grupę docelową będzie miała wpływ projektowana regulacja"/>
                  <w:textInput>
                    <w:default w:val="(dodaj/usuń)"/>
                    <w:maxLength w:val="1000"/>
                  </w:textInput>
                </w:ffData>
              </w:fldChar>
            </w:r>
            <w:r w:rsidRPr="00981F2D">
              <w:rPr>
                <w:rFonts w:eastAsia="Calibri" w:cs="Times New Roman"/>
                <w:color w:val="000000"/>
                <w:sz w:val="21"/>
                <w:szCs w:val="21"/>
                <w:lang w:eastAsia="en-US"/>
              </w:rPr>
              <w:instrText xml:space="preserve"> FORMTEXT </w:instrText>
            </w:r>
            <w:r w:rsidRPr="00981F2D">
              <w:rPr>
                <w:rFonts w:eastAsia="Calibri" w:cs="Times New Roman"/>
                <w:color w:val="000000"/>
                <w:sz w:val="21"/>
                <w:szCs w:val="21"/>
                <w:lang w:eastAsia="en-US"/>
              </w:rPr>
            </w:r>
            <w:r w:rsidRPr="00981F2D">
              <w:rPr>
                <w:rFonts w:eastAsia="Calibri" w:cs="Times New Roman"/>
                <w:color w:val="000000"/>
                <w:sz w:val="21"/>
                <w:szCs w:val="21"/>
                <w:lang w:eastAsia="en-US"/>
              </w:rPr>
              <w:fldChar w:fldCharType="separate"/>
            </w:r>
            <w:r w:rsidRPr="00981F2D">
              <w:rPr>
                <w:rFonts w:eastAsia="Calibri" w:cs="Times New Roman"/>
                <w:noProof/>
                <w:color w:val="000000"/>
                <w:sz w:val="21"/>
                <w:szCs w:val="21"/>
                <w:lang w:eastAsia="en-US"/>
              </w:rPr>
              <w:t>(dodaj/usuń)</w:t>
            </w:r>
            <w:r w:rsidRPr="00981F2D">
              <w:rPr>
                <w:rFonts w:eastAsia="Calibri" w:cs="Times New Roman"/>
                <w:color w:val="000000"/>
                <w:sz w:val="21"/>
                <w:szCs w:val="21"/>
                <w:lang w:eastAsia="en-US"/>
              </w:rPr>
              <w:fldChar w:fldCharType="end"/>
            </w:r>
          </w:p>
        </w:tc>
        <w:tc>
          <w:tcPr>
            <w:tcW w:w="7048" w:type="dxa"/>
            <w:gridSpan w:val="22"/>
            <w:shd w:val="clear" w:color="auto" w:fill="FFFFFF"/>
          </w:tcPr>
          <w:p w:rsidR="00981F2D" w:rsidRPr="00981F2D" w:rsidRDefault="00981F2D" w:rsidP="00981F2D">
            <w:pPr>
              <w:widowControl/>
              <w:tabs>
                <w:tab w:val="left" w:pos="3000"/>
              </w:tabs>
              <w:autoSpaceDE/>
              <w:autoSpaceDN/>
              <w:adjustRightInd/>
              <w:spacing w:line="276" w:lineRule="auto"/>
              <w:rPr>
                <w:rFonts w:eastAsia="Calibri" w:cs="Times New Roman"/>
                <w:color w:val="000000"/>
                <w:sz w:val="21"/>
                <w:szCs w:val="21"/>
                <w:lang w:eastAsia="en-US"/>
              </w:rPr>
            </w:pPr>
          </w:p>
        </w:tc>
      </w:tr>
      <w:tr w:rsidR="00981F2D" w:rsidRPr="00981F2D" w:rsidTr="00B14587">
        <w:trPr>
          <w:gridAfter w:val="1"/>
          <w:wAfter w:w="10" w:type="dxa"/>
          <w:trHeight w:val="142"/>
        </w:trPr>
        <w:tc>
          <w:tcPr>
            <w:tcW w:w="1596" w:type="dxa"/>
            <w:vMerge w:val="restart"/>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r w:rsidRPr="00981F2D">
              <w:rPr>
                <w:rFonts w:eastAsia="Calibri" w:cs="Times New Roman"/>
                <w:color w:val="000000"/>
                <w:sz w:val="21"/>
                <w:szCs w:val="21"/>
                <w:lang w:eastAsia="en-US"/>
              </w:rPr>
              <w:t>Niemierzalne</w:t>
            </w:r>
          </w:p>
        </w:tc>
        <w:tc>
          <w:tcPr>
            <w:tcW w:w="2293" w:type="dxa"/>
            <w:gridSpan w:val="6"/>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r w:rsidRPr="00981F2D">
              <w:rPr>
                <w:rFonts w:eastAsia="Calibri" w:cs="Times New Roman"/>
                <w:color w:val="000000"/>
                <w:sz w:val="21"/>
                <w:szCs w:val="21"/>
                <w:lang w:eastAsia="en-US"/>
              </w:rPr>
              <w:fldChar w:fldCharType="begin">
                <w:ffData>
                  <w:name w:val=""/>
                  <w:enabled/>
                  <w:calcOnExit/>
                  <w:exitMacro w:val="UpdateHeader"/>
                  <w:helpText w:type="text" w:val="Wpisz na jaką grupę docelową będzie miała wpływ projektowana regulacja. Możesz zawężić zakres grupy przez doprecyzowanie: np &quot;małe i średnie przedsiębiorstwa rozliczające się metodą kasową z podatku VAT&quot;"/>
                  <w:statusText w:type="text" w:val="Wpisz na jaką grupę docelową będzie miała wpływ projektowana regulacja"/>
                  <w:textInput>
                    <w:default w:val="(dodaj/usuń)"/>
                    <w:maxLength w:val="1000"/>
                  </w:textInput>
                </w:ffData>
              </w:fldChar>
            </w:r>
            <w:r w:rsidRPr="00981F2D">
              <w:rPr>
                <w:rFonts w:eastAsia="Calibri" w:cs="Times New Roman"/>
                <w:color w:val="000000"/>
                <w:sz w:val="21"/>
                <w:szCs w:val="21"/>
                <w:lang w:eastAsia="en-US"/>
              </w:rPr>
              <w:instrText xml:space="preserve"> FORMTEXT </w:instrText>
            </w:r>
            <w:r w:rsidRPr="00981F2D">
              <w:rPr>
                <w:rFonts w:eastAsia="Calibri" w:cs="Times New Roman"/>
                <w:color w:val="000000"/>
                <w:sz w:val="21"/>
                <w:szCs w:val="21"/>
                <w:lang w:eastAsia="en-US"/>
              </w:rPr>
            </w:r>
            <w:r w:rsidRPr="00981F2D">
              <w:rPr>
                <w:rFonts w:eastAsia="Calibri" w:cs="Times New Roman"/>
                <w:color w:val="000000"/>
                <w:sz w:val="21"/>
                <w:szCs w:val="21"/>
                <w:lang w:eastAsia="en-US"/>
              </w:rPr>
              <w:fldChar w:fldCharType="separate"/>
            </w:r>
            <w:r w:rsidRPr="00981F2D">
              <w:rPr>
                <w:rFonts w:eastAsia="Calibri" w:cs="Times New Roman"/>
                <w:noProof/>
                <w:color w:val="000000"/>
                <w:sz w:val="21"/>
                <w:szCs w:val="21"/>
                <w:lang w:eastAsia="en-US"/>
              </w:rPr>
              <w:t>(dodaj/usuń)</w:t>
            </w:r>
            <w:r w:rsidRPr="00981F2D">
              <w:rPr>
                <w:rFonts w:eastAsia="Calibri" w:cs="Times New Roman"/>
                <w:color w:val="000000"/>
                <w:sz w:val="21"/>
                <w:szCs w:val="21"/>
                <w:lang w:eastAsia="en-US"/>
              </w:rPr>
              <w:fldChar w:fldCharType="end"/>
            </w:r>
          </w:p>
        </w:tc>
        <w:tc>
          <w:tcPr>
            <w:tcW w:w="7048" w:type="dxa"/>
            <w:gridSpan w:val="22"/>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p>
        </w:tc>
      </w:tr>
      <w:tr w:rsidR="00981F2D" w:rsidRPr="00981F2D" w:rsidTr="00B14587">
        <w:trPr>
          <w:gridAfter w:val="1"/>
          <w:wAfter w:w="10" w:type="dxa"/>
          <w:trHeight w:val="142"/>
        </w:trPr>
        <w:tc>
          <w:tcPr>
            <w:tcW w:w="1596" w:type="dxa"/>
            <w:vMerge/>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p>
        </w:tc>
        <w:tc>
          <w:tcPr>
            <w:tcW w:w="2293" w:type="dxa"/>
            <w:gridSpan w:val="6"/>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r w:rsidRPr="00981F2D">
              <w:rPr>
                <w:rFonts w:eastAsia="Calibri" w:cs="Times New Roman"/>
                <w:color w:val="000000"/>
                <w:sz w:val="21"/>
                <w:szCs w:val="21"/>
                <w:lang w:eastAsia="en-US"/>
              </w:rPr>
              <w:fldChar w:fldCharType="begin">
                <w:ffData>
                  <w:name w:val=""/>
                  <w:enabled/>
                  <w:calcOnExit/>
                  <w:exitMacro w:val="UpdateHeader"/>
                  <w:helpText w:type="text" w:val="Wpisz na jaką grupę docelową będzie miała wpływ projektowana regulacja. Możesz zawężić zakres grupy przez doprecyzowanie: np &quot;małe i średnie przedsiębiorstwa rozliczające się metodą kasową z podatku VAT&quot;"/>
                  <w:statusText w:type="text" w:val="Wpisz na jaką grupę docelową będzie miała wpływ projektowana regulacja"/>
                  <w:textInput>
                    <w:default w:val="(dodaj/usuń)"/>
                    <w:maxLength w:val="1000"/>
                  </w:textInput>
                </w:ffData>
              </w:fldChar>
            </w:r>
            <w:r w:rsidRPr="00981F2D">
              <w:rPr>
                <w:rFonts w:eastAsia="Calibri" w:cs="Times New Roman"/>
                <w:color w:val="000000"/>
                <w:sz w:val="21"/>
                <w:szCs w:val="21"/>
                <w:lang w:eastAsia="en-US"/>
              </w:rPr>
              <w:instrText xml:space="preserve"> FORMTEXT </w:instrText>
            </w:r>
            <w:r w:rsidRPr="00981F2D">
              <w:rPr>
                <w:rFonts w:eastAsia="Calibri" w:cs="Times New Roman"/>
                <w:color w:val="000000"/>
                <w:sz w:val="21"/>
                <w:szCs w:val="21"/>
                <w:lang w:eastAsia="en-US"/>
              </w:rPr>
            </w:r>
            <w:r w:rsidRPr="00981F2D">
              <w:rPr>
                <w:rFonts w:eastAsia="Calibri" w:cs="Times New Roman"/>
                <w:color w:val="000000"/>
                <w:sz w:val="21"/>
                <w:szCs w:val="21"/>
                <w:lang w:eastAsia="en-US"/>
              </w:rPr>
              <w:fldChar w:fldCharType="separate"/>
            </w:r>
            <w:r w:rsidRPr="00981F2D">
              <w:rPr>
                <w:rFonts w:eastAsia="Calibri" w:cs="Times New Roman"/>
                <w:noProof/>
                <w:color w:val="000000"/>
                <w:sz w:val="21"/>
                <w:szCs w:val="21"/>
                <w:lang w:eastAsia="en-US"/>
              </w:rPr>
              <w:t>(dodaj/usuń)</w:t>
            </w:r>
            <w:r w:rsidRPr="00981F2D">
              <w:rPr>
                <w:rFonts w:eastAsia="Calibri" w:cs="Times New Roman"/>
                <w:color w:val="000000"/>
                <w:sz w:val="21"/>
                <w:szCs w:val="21"/>
                <w:lang w:eastAsia="en-US"/>
              </w:rPr>
              <w:fldChar w:fldCharType="end"/>
            </w:r>
          </w:p>
        </w:tc>
        <w:tc>
          <w:tcPr>
            <w:tcW w:w="7048" w:type="dxa"/>
            <w:gridSpan w:val="22"/>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1"/>
                <w:szCs w:val="21"/>
                <w:lang w:eastAsia="en-US"/>
              </w:rPr>
            </w:pPr>
          </w:p>
        </w:tc>
      </w:tr>
      <w:tr w:rsidR="00981F2D" w:rsidRPr="00981F2D" w:rsidTr="00B14587">
        <w:trPr>
          <w:gridAfter w:val="1"/>
          <w:wAfter w:w="10" w:type="dxa"/>
          <w:trHeight w:val="417"/>
        </w:trPr>
        <w:tc>
          <w:tcPr>
            <w:tcW w:w="2243" w:type="dxa"/>
            <w:gridSpan w:val="2"/>
            <w:shd w:val="clear" w:color="auto" w:fill="FFFFFF"/>
          </w:tcPr>
          <w:p w:rsidR="00981F2D" w:rsidRPr="00981F2D" w:rsidRDefault="008929CD" w:rsidP="00981F2D">
            <w:pPr>
              <w:widowControl/>
              <w:autoSpaceDE/>
              <w:autoSpaceDN/>
              <w:adjustRightInd/>
              <w:spacing w:before="120" w:after="120" w:line="240" w:lineRule="auto"/>
              <w:rPr>
                <w:rFonts w:eastAsia="Calibri" w:cs="Times New Roman"/>
                <w:color w:val="000000"/>
                <w:sz w:val="21"/>
                <w:szCs w:val="21"/>
                <w:lang w:eastAsia="en-US"/>
              </w:rPr>
            </w:pPr>
            <w:r>
              <w:rPr>
                <w:rFonts w:eastAsia="Calibri" w:cs="Times New Roman"/>
                <w:color w:val="000000"/>
                <w:sz w:val="21"/>
                <w:szCs w:val="21"/>
                <w:lang w:eastAsia="en-US"/>
              </w:rPr>
              <w:t>Dodatkowe informacje</w:t>
            </w:r>
            <w:r w:rsidR="00981F2D" w:rsidRPr="00981F2D">
              <w:rPr>
                <w:rFonts w:eastAsia="Calibri" w:cs="Times New Roman"/>
                <w:color w:val="000000"/>
                <w:sz w:val="21"/>
                <w:szCs w:val="21"/>
                <w:lang w:eastAsia="en-US"/>
              </w:rPr>
              <w:t xml:space="preserve"> </w:t>
            </w:r>
          </w:p>
        </w:tc>
        <w:tc>
          <w:tcPr>
            <w:tcW w:w="8694" w:type="dxa"/>
            <w:gridSpan w:val="27"/>
            <w:shd w:val="clear" w:color="auto" w:fill="FFFFFF"/>
            <w:vAlign w:val="center"/>
          </w:tcPr>
          <w:p w:rsidR="00981F2D" w:rsidRPr="00981F2D" w:rsidRDefault="00981F2D" w:rsidP="00981F2D">
            <w:pPr>
              <w:widowControl/>
              <w:autoSpaceDE/>
              <w:autoSpaceDN/>
              <w:adjustRightInd/>
              <w:spacing w:before="120" w:after="120" w:line="240" w:lineRule="auto"/>
              <w:jc w:val="both"/>
              <w:rPr>
                <w:rFonts w:eastAsia="Calibri" w:cs="Times New Roman"/>
                <w:color w:val="000000"/>
                <w:sz w:val="21"/>
                <w:szCs w:val="21"/>
                <w:lang w:eastAsia="en-US"/>
              </w:rPr>
            </w:pPr>
          </w:p>
        </w:tc>
      </w:tr>
      <w:tr w:rsidR="00981F2D" w:rsidRPr="00981F2D" w:rsidTr="00B14587">
        <w:trPr>
          <w:gridAfter w:val="1"/>
          <w:wAfter w:w="10" w:type="dxa"/>
          <w:trHeight w:val="342"/>
        </w:trPr>
        <w:tc>
          <w:tcPr>
            <w:tcW w:w="10937" w:type="dxa"/>
            <w:gridSpan w:val="29"/>
            <w:shd w:val="clear" w:color="auto" w:fill="99CCFF"/>
            <w:vAlign w:val="center"/>
          </w:tcPr>
          <w:p w:rsidR="00981F2D" w:rsidRPr="00981F2D" w:rsidRDefault="00981F2D" w:rsidP="00981F2D">
            <w:pPr>
              <w:widowControl/>
              <w:numPr>
                <w:ilvl w:val="0"/>
                <w:numId w:val="1"/>
              </w:numPr>
              <w:autoSpaceDE/>
              <w:autoSpaceDN/>
              <w:adjustRightInd/>
              <w:spacing w:before="60" w:after="60" w:line="240" w:lineRule="auto"/>
              <w:ind w:left="318" w:hanging="284"/>
              <w:jc w:val="both"/>
              <w:rPr>
                <w:rFonts w:eastAsia="Calibri" w:cs="Times New Roman"/>
                <w:b/>
                <w:color w:val="000000"/>
                <w:sz w:val="22"/>
                <w:szCs w:val="22"/>
                <w:lang w:eastAsia="en-US"/>
              </w:rPr>
            </w:pPr>
            <w:r w:rsidRPr="00981F2D">
              <w:rPr>
                <w:rFonts w:eastAsia="Calibri" w:cs="Times New Roman"/>
                <w:b/>
                <w:color w:val="000000"/>
                <w:sz w:val="22"/>
                <w:szCs w:val="22"/>
                <w:lang w:eastAsia="en-US"/>
              </w:rPr>
              <w:t xml:space="preserve"> Zmiana obciążeń regulacyjnych (w tym obowiązków informacyjnych) wynikających z projektu</w:t>
            </w:r>
          </w:p>
        </w:tc>
      </w:tr>
      <w:tr w:rsidR="00981F2D" w:rsidRPr="00981F2D" w:rsidTr="00B14587">
        <w:trPr>
          <w:gridAfter w:val="1"/>
          <w:wAfter w:w="10" w:type="dxa"/>
          <w:trHeight w:val="151"/>
        </w:trPr>
        <w:tc>
          <w:tcPr>
            <w:tcW w:w="10937" w:type="dxa"/>
            <w:gridSpan w:val="29"/>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2"/>
                <w:szCs w:val="22"/>
                <w:lang w:eastAsia="en-US"/>
              </w:rPr>
            </w:pPr>
            <w:r w:rsidRPr="00981F2D">
              <w:rPr>
                <w:rFonts w:eastAsia="Calibri" w:cs="Times New Roman"/>
                <w:color w:val="000000"/>
                <w:sz w:val="22"/>
                <w:szCs w:val="22"/>
                <w:lang w:eastAsia="en-US"/>
              </w:rPr>
              <w:fldChar w:fldCharType="begin">
                <w:ffData>
                  <w:name w:val=""/>
                  <w:enabled/>
                  <w:calcOnExit w:val="0"/>
                  <w:checkBox>
                    <w:sizeAuto/>
                    <w:default w:val="1"/>
                  </w:checkBox>
                </w:ffData>
              </w:fldChar>
            </w:r>
            <w:r w:rsidRPr="00981F2D">
              <w:rPr>
                <w:rFonts w:eastAsia="Calibri" w:cs="Times New Roman"/>
                <w:color w:val="000000"/>
                <w:sz w:val="22"/>
                <w:szCs w:val="22"/>
                <w:lang w:eastAsia="en-US"/>
              </w:rPr>
              <w:instrText xml:space="preserve"> FORMCHECKBOX </w:instrText>
            </w:r>
            <w:r w:rsidR="001964C6">
              <w:rPr>
                <w:rFonts w:eastAsia="Calibri" w:cs="Times New Roman"/>
                <w:color w:val="000000"/>
                <w:sz w:val="22"/>
                <w:szCs w:val="22"/>
                <w:lang w:eastAsia="en-US"/>
              </w:rPr>
            </w:r>
            <w:r w:rsidR="001964C6">
              <w:rPr>
                <w:rFonts w:eastAsia="Calibri" w:cs="Times New Roman"/>
                <w:color w:val="000000"/>
                <w:sz w:val="22"/>
                <w:szCs w:val="22"/>
                <w:lang w:eastAsia="en-US"/>
              </w:rPr>
              <w:fldChar w:fldCharType="separate"/>
            </w:r>
            <w:r w:rsidRPr="00981F2D">
              <w:rPr>
                <w:rFonts w:eastAsia="Calibri" w:cs="Times New Roman"/>
                <w:color w:val="000000"/>
                <w:sz w:val="22"/>
                <w:szCs w:val="22"/>
                <w:lang w:eastAsia="en-US"/>
              </w:rPr>
              <w:fldChar w:fldCharType="end"/>
            </w:r>
            <w:r w:rsidRPr="00981F2D">
              <w:rPr>
                <w:rFonts w:eastAsia="Calibri" w:cs="Times New Roman"/>
                <w:color w:val="000000"/>
                <w:sz w:val="22"/>
                <w:szCs w:val="22"/>
                <w:lang w:eastAsia="en-US"/>
              </w:rPr>
              <w:t xml:space="preserve"> nie dotyczy</w:t>
            </w:r>
          </w:p>
        </w:tc>
      </w:tr>
      <w:tr w:rsidR="00981F2D" w:rsidRPr="00981F2D" w:rsidTr="00B14587">
        <w:trPr>
          <w:gridAfter w:val="1"/>
          <w:wAfter w:w="10" w:type="dxa"/>
          <w:trHeight w:val="946"/>
        </w:trPr>
        <w:tc>
          <w:tcPr>
            <w:tcW w:w="5111" w:type="dxa"/>
            <w:gridSpan w:val="12"/>
            <w:shd w:val="clear" w:color="auto" w:fill="FFFFFF"/>
          </w:tcPr>
          <w:p w:rsidR="00981F2D" w:rsidRPr="00981F2D" w:rsidRDefault="00981F2D" w:rsidP="00981F2D">
            <w:pPr>
              <w:widowControl/>
              <w:autoSpaceDE/>
              <w:autoSpaceDN/>
              <w:adjustRightInd/>
              <w:spacing w:line="276" w:lineRule="auto"/>
              <w:rPr>
                <w:rFonts w:eastAsia="Calibri" w:cs="Times New Roman"/>
                <w:color w:val="000000"/>
                <w:sz w:val="22"/>
                <w:szCs w:val="22"/>
                <w:lang w:eastAsia="en-US"/>
              </w:rPr>
            </w:pPr>
            <w:r w:rsidRPr="00981F2D">
              <w:rPr>
                <w:rFonts w:eastAsia="Calibri" w:cs="Times New Roman"/>
                <w:color w:val="000000"/>
                <w:sz w:val="22"/>
                <w:szCs w:val="22"/>
                <w:lang w:eastAsia="en-US"/>
              </w:rPr>
              <w:t>Wprowadzane są obciążenia poza bezwzględnie wymaganymi przez UE (szczegóły w odwróconej tabeli zgodności).</w:t>
            </w:r>
          </w:p>
        </w:tc>
        <w:tc>
          <w:tcPr>
            <w:tcW w:w="5826" w:type="dxa"/>
            <w:gridSpan w:val="17"/>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2"/>
                <w:szCs w:val="22"/>
                <w:lang w:eastAsia="en-US"/>
              </w:rPr>
            </w:pPr>
            <w:r w:rsidRPr="00981F2D">
              <w:rPr>
                <w:rFonts w:eastAsia="Calibri" w:cs="Times New Roman"/>
                <w:color w:val="000000"/>
                <w:sz w:val="22"/>
                <w:szCs w:val="22"/>
                <w:lang w:eastAsia="en-US"/>
              </w:rPr>
              <w:fldChar w:fldCharType="begin">
                <w:ffData>
                  <w:name w:val="Wybór1"/>
                  <w:enabled/>
                  <w:calcOnExit w:val="0"/>
                  <w:checkBox>
                    <w:sizeAuto/>
                    <w:default w:val="0"/>
                  </w:checkBox>
                </w:ffData>
              </w:fldChar>
            </w:r>
            <w:r w:rsidRPr="00981F2D">
              <w:rPr>
                <w:rFonts w:eastAsia="Calibri" w:cs="Times New Roman"/>
                <w:color w:val="000000"/>
                <w:sz w:val="22"/>
                <w:szCs w:val="22"/>
                <w:lang w:eastAsia="en-US"/>
              </w:rPr>
              <w:instrText xml:space="preserve"> FORMCHECKBOX </w:instrText>
            </w:r>
            <w:r w:rsidR="001964C6">
              <w:rPr>
                <w:rFonts w:eastAsia="Calibri" w:cs="Times New Roman"/>
                <w:color w:val="000000"/>
                <w:sz w:val="22"/>
                <w:szCs w:val="22"/>
                <w:lang w:eastAsia="en-US"/>
              </w:rPr>
            </w:r>
            <w:r w:rsidR="001964C6">
              <w:rPr>
                <w:rFonts w:eastAsia="Calibri" w:cs="Times New Roman"/>
                <w:color w:val="000000"/>
                <w:sz w:val="22"/>
                <w:szCs w:val="22"/>
                <w:lang w:eastAsia="en-US"/>
              </w:rPr>
              <w:fldChar w:fldCharType="separate"/>
            </w:r>
            <w:r w:rsidRPr="00981F2D">
              <w:rPr>
                <w:rFonts w:eastAsia="Calibri" w:cs="Times New Roman"/>
                <w:color w:val="000000"/>
                <w:sz w:val="22"/>
                <w:szCs w:val="22"/>
                <w:lang w:eastAsia="en-US"/>
              </w:rPr>
              <w:fldChar w:fldCharType="end"/>
            </w:r>
            <w:r w:rsidRPr="00981F2D">
              <w:rPr>
                <w:rFonts w:eastAsia="Calibri" w:cs="Times New Roman"/>
                <w:color w:val="000000"/>
                <w:sz w:val="22"/>
                <w:szCs w:val="22"/>
                <w:lang w:eastAsia="en-US"/>
              </w:rPr>
              <w:t xml:space="preserve"> tak</w:t>
            </w:r>
          </w:p>
          <w:p w:rsidR="00981F2D" w:rsidRPr="00981F2D" w:rsidRDefault="00981F2D" w:rsidP="00981F2D">
            <w:pPr>
              <w:widowControl/>
              <w:autoSpaceDE/>
              <w:autoSpaceDN/>
              <w:adjustRightInd/>
              <w:spacing w:line="240" w:lineRule="auto"/>
              <w:rPr>
                <w:rFonts w:eastAsia="Calibri" w:cs="Times New Roman"/>
                <w:color w:val="000000"/>
                <w:sz w:val="22"/>
                <w:szCs w:val="22"/>
                <w:lang w:eastAsia="en-US"/>
              </w:rPr>
            </w:pPr>
            <w:r w:rsidRPr="00981F2D">
              <w:rPr>
                <w:rFonts w:eastAsia="Calibri" w:cs="Times New Roman"/>
                <w:color w:val="000000"/>
                <w:sz w:val="22"/>
                <w:szCs w:val="22"/>
                <w:lang w:eastAsia="en-US"/>
              </w:rPr>
              <w:fldChar w:fldCharType="begin">
                <w:ffData>
                  <w:name w:val="Wybór1"/>
                  <w:enabled/>
                  <w:calcOnExit w:val="0"/>
                  <w:checkBox>
                    <w:sizeAuto/>
                    <w:default w:val="0"/>
                  </w:checkBox>
                </w:ffData>
              </w:fldChar>
            </w:r>
            <w:r w:rsidRPr="00981F2D">
              <w:rPr>
                <w:rFonts w:eastAsia="Calibri" w:cs="Times New Roman"/>
                <w:color w:val="000000"/>
                <w:sz w:val="22"/>
                <w:szCs w:val="22"/>
                <w:lang w:eastAsia="en-US"/>
              </w:rPr>
              <w:instrText xml:space="preserve"> FORMCHECKBOX </w:instrText>
            </w:r>
            <w:r w:rsidR="001964C6">
              <w:rPr>
                <w:rFonts w:eastAsia="Calibri" w:cs="Times New Roman"/>
                <w:color w:val="000000"/>
                <w:sz w:val="22"/>
                <w:szCs w:val="22"/>
                <w:lang w:eastAsia="en-US"/>
              </w:rPr>
            </w:r>
            <w:r w:rsidR="001964C6">
              <w:rPr>
                <w:rFonts w:eastAsia="Calibri" w:cs="Times New Roman"/>
                <w:color w:val="000000"/>
                <w:sz w:val="22"/>
                <w:szCs w:val="22"/>
                <w:lang w:eastAsia="en-US"/>
              </w:rPr>
              <w:fldChar w:fldCharType="separate"/>
            </w:r>
            <w:r w:rsidRPr="00981F2D">
              <w:rPr>
                <w:rFonts w:eastAsia="Calibri" w:cs="Times New Roman"/>
                <w:color w:val="000000"/>
                <w:sz w:val="22"/>
                <w:szCs w:val="22"/>
                <w:lang w:eastAsia="en-US"/>
              </w:rPr>
              <w:fldChar w:fldCharType="end"/>
            </w:r>
            <w:r w:rsidRPr="00981F2D">
              <w:rPr>
                <w:rFonts w:eastAsia="Calibri" w:cs="Times New Roman"/>
                <w:color w:val="000000"/>
                <w:sz w:val="22"/>
                <w:szCs w:val="22"/>
                <w:lang w:eastAsia="en-US"/>
              </w:rPr>
              <w:t xml:space="preserve"> nie</w:t>
            </w:r>
          </w:p>
          <w:p w:rsidR="00981F2D" w:rsidRPr="00981F2D" w:rsidRDefault="00981F2D" w:rsidP="00981F2D">
            <w:pPr>
              <w:widowControl/>
              <w:autoSpaceDE/>
              <w:autoSpaceDN/>
              <w:adjustRightInd/>
              <w:spacing w:line="276" w:lineRule="auto"/>
              <w:rPr>
                <w:rFonts w:eastAsia="Calibri" w:cs="Times New Roman"/>
                <w:color w:val="000000"/>
                <w:sz w:val="22"/>
                <w:szCs w:val="22"/>
                <w:lang w:eastAsia="en-US"/>
              </w:rPr>
            </w:pPr>
            <w:r w:rsidRPr="00981F2D">
              <w:rPr>
                <w:rFonts w:eastAsia="Calibri" w:cs="Times New Roman"/>
                <w:color w:val="000000"/>
                <w:sz w:val="22"/>
                <w:szCs w:val="22"/>
                <w:lang w:eastAsia="en-US"/>
              </w:rPr>
              <w:fldChar w:fldCharType="begin">
                <w:ffData>
                  <w:name w:val="Wybór1"/>
                  <w:enabled/>
                  <w:calcOnExit w:val="0"/>
                  <w:checkBox>
                    <w:sizeAuto/>
                    <w:default w:val="0"/>
                  </w:checkBox>
                </w:ffData>
              </w:fldChar>
            </w:r>
            <w:r w:rsidRPr="00981F2D">
              <w:rPr>
                <w:rFonts w:eastAsia="Calibri" w:cs="Times New Roman"/>
                <w:color w:val="000000"/>
                <w:sz w:val="22"/>
                <w:szCs w:val="22"/>
                <w:lang w:eastAsia="en-US"/>
              </w:rPr>
              <w:instrText xml:space="preserve"> FORMCHECKBOX </w:instrText>
            </w:r>
            <w:r w:rsidR="001964C6">
              <w:rPr>
                <w:rFonts w:eastAsia="Calibri" w:cs="Times New Roman"/>
                <w:color w:val="000000"/>
                <w:sz w:val="22"/>
                <w:szCs w:val="22"/>
                <w:lang w:eastAsia="en-US"/>
              </w:rPr>
            </w:r>
            <w:r w:rsidR="001964C6">
              <w:rPr>
                <w:rFonts w:eastAsia="Calibri" w:cs="Times New Roman"/>
                <w:color w:val="000000"/>
                <w:sz w:val="22"/>
                <w:szCs w:val="22"/>
                <w:lang w:eastAsia="en-US"/>
              </w:rPr>
              <w:fldChar w:fldCharType="separate"/>
            </w:r>
            <w:r w:rsidRPr="00981F2D">
              <w:rPr>
                <w:rFonts w:eastAsia="Calibri" w:cs="Times New Roman"/>
                <w:color w:val="000000"/>
                <w:sz w:val="22"/>
                <w:szCs w:val="22"/>
                <w:lang w:eastAsia="en-US"/>
              </w:rPr>
              <w:fldChar w:fldCharType="end"/>
            </w:r>
            <w:r w:rsidRPr="00981F2D">
              <w:rPr>
                <w:rFonts w:eastAsia="Calibri" w:cs="Times New Roman"/>
                <w:color w:val="000000"/>
                <w:sz w:val="22"/>
                <w:szCs w:val="22"/>
                <w:lang w:eastAsia="en-US"/>
              </w:rPr>
              <w:t xml:space="preserve"> nie dotyczy</w:t>
            </w:r>
          </w:p>
        </w:tc>
      </w:tr>
      <w:tr w:rsidR="00981F2D" w:rsidRPr="00981F2D" w:rsidTr="00B14587">
        <w:trPr>
          <w:gridAfter w:val="1"/>
          <w:wAfter w:w="10" w:type="dxa"/>
          <w:trHeight w:val="1245"/>
        </w:trPr>
        <w:tc>
          <w:tcPr>
            <w:tcW w:w="5111" w:type="dxa"/>
            <w:gridSpan w:val="12"/>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2"/>
                <w:szCs w:val="22"/>
                <w:lang w:eastAsia="en-US"/>
              </w:rPr>
            </w:pPr>
            <w:r w:rsidRPr="00981F2D">
              <w:rPr>
                <w:rFonts w:eastAsia="Calibri" w:cs="Times New Roman"/>
                <w:color w:val="000000"/>
                <w:sz w:val="22"/>
                <w:szCs w:val="22"/>
                <w:lang w:eastAsia="en-US"/>
              </w:rPr>
              <w:fldChar w:fldCharType="begin">
                <w:ffData>
                  <w:name w:val="Wybór1"/>
                  <w:enabled/>
                  <w:calcOnExit w:val="0"/>
                  <w:checkBox>
                    <w:sizeAuto/>
                    <w:default w:val="0"/>
                  </w:checkBox>
                </w:ffData>
              </w:fldChar>
            </w:r>
            <w:r w:rsidRPr="00981F2D">
              <w:rPr>
                <w:rFonts w:eastAsia="Calibri" w:cs="Times New Roman"/>
                <w:color w:val="000000"/>
                <w:sz w:val="22"/>
                <w:szCs w:val="22"/>
                <w:lang w:eastAsia="en-US"/>
              </w:rPr>
              <w:instrText xml:space="preserve"> FORMCHECKBOX </w:instrText>
            </w:r>
            <w:r w:rsidR="001964C6">
              <w:rPr>
                <w:rFonts w:eastAsia="Calibri" w:cs="Times New Roman"/>
                <w:color w:val="000000"/>
                <w:sz w:val="22"/>
                <w:szCs w:val="22"/>
                <w:lang w:eastAsia="en-US"/>
              </w:rPr>
            </w:r>
            <w:r w:rsidR="001964C6">
              <w:rPr>
                <w:rFonts w:eastAsia="Calibri" w:cs="Times New Roman"/>
                <w:color w:val="000000"/>
                <w:sz w:val="22"/>
                <w:szCs w:val="22"/>
                <w:lang w:eastAsia="en-US"/>
              </w:rPr>
              <w:fldChar w:fldCharType="separate"/>
            </w:r>
            <w:r w:rsidRPr="00981F2D">
              <w:rPr>
                <w:rFonts w:eastAsia="Calibri" w:cs="Times New Roman"/>
                <w:color w:val="000000"/>
                <w:sz w:val="22"/>
                <w:szCs w:val="22"/>
                <w:lang w:eastAsia="en-US"/>
              </w:rPr>
              <w:fldChar w:fldCharType="end"/>
            </w:r>
            <w:r w:rsidRPr="00981F2D">
              <w:rPr>
                <w:rFonts w:eastAsia="Calibri" w:cs="Times New Roman"/>
                <w:color w:val="000000"/>
                <w:sz w:val="20"/>
                <w:lang w:eastAsia="en-US"/>
              </w:rPr>
              <w:t xml:space="preserve"> </w:t>
            </w:r>
            <w:r w:rsidRPr="00981F2D">
              <w:rPr>
                <w:rFonts w:eastAsia="Calibri" w:cs="Times New Roman"/>
                <w:color w:val="000000"/>
                <w:sz w:val="22"/>
                <w:szCs w:val="22"/>
                <w:lang w:eastAsia="en-US"/>
              </w:rPr>
              <w:t xml:space="preserve">zmniejszenie liczby dokumentów </w:t>
            </w:r>
          </w:p>
          <w:p w:rsidR="00981F2D" w:rsidRPr="00981F2D" w:rsidRDefault="00981F2D" w:rsidP="00981F2D">
            <w:pPr>
              <w:widowControl/>
              <w:autoSpaceDE/>
              <w:autoSpaceDN/>
              <w:adjustRightInd/>
              <w:spacing w:line="240" w:lineRule="auto"/>
              <w:rPr>
                <w:rFonts w:eastAsia="Calibri" w:cs="Times New Roman"/>
                <w:color w:val="000000"/>
                <w:sz w:val="22"/>
                <w:szCs w:val="22"/>
                <w:lang w:eastAsia="en-US"/>
              </w:rPr>
            </w:pPr>
            <w:r w:rsidRPr="00981F2D">
              <w:rPr>
                <w:rFonts w:eastAsia="Calibri" w:cs="Times New Roman"/>
                <w:color w:val="000000"/>
                <w:sz w:val="22"/>
                <w:szCs w:val="22"/>
                <w:lang w:eastAsia="en-US"/>
              </w:rPr>
              <w:fldChar w:fldCharType="begin">
                <w:ffData>
                  <w:name w:val="Wybór1"/>
                  <w:enabled/>
                  <w:calcOnExit w:val="0"/>
                  <w:checkBox>
                    <w:sizeAuto/>
                    <w:default w:val="0"/>
                  </w:checkBox>
                </w:ffData>
              </w:fldChar>
            </w:r>
            <w:r w:rsidRPr="00981F2D">
              <w:rPr>
                <w:rFonts w:eastAsia="Calibri" w:cs="Times New Roman"/>
                <w:color w:val="000000"/>
                <w:sz w:val="22"/>
                <w:szCs w:val="22"/>
                <w:lang w:eastAsia="en-US"/>
              </w:rPr>
              <w:instrText xml:space="preserve"> FORMCHECKBOX </w:instrText>
            </w:r>
            <w:r w:rsidR="001964C6">
              <w:rPr>
                <w:rFonts w:eastAsia="Calibri" w:cs="Times New Roman"/>
                <w:color w:val="000000"/>
                <w:sz w:val="22"/>
                <w:szCs w:val="22"/>
                <w:lang w:eastAsia="en-US"/>
              </w:rPr>
            </w:r>
            <w:r w:rsidR="001964C6">
              <w:rPr>
                <w:rFonts w:eastAsia="Calibri" w:cs="Times New Roman"/>
                <w:color w:val="000000"/>
                <w:sz w:val="22"/>
                <w:szCs w:val="22"/>
                <w:lang w:eastAsia="en-US"/>
              </w:rPr>
              <w:fldChar w:fldCharType="separate"/>
            </w:r>
            <w:r w:rsidRPr="00981F2D">
              <w:rPr>
                <w:rFonts w:eastAsia="Calibri" w:cs="Times New Roman"/>
                <w:color w:val="000000"/>
                <w:sz w:val="22"/>
                <w:szCs w:val="22"/>
                <w:lang w:eastAsia="en-US"/>
              </w:rPr>
              <w:fldChar w:fldCharType="end"/>
            </w:r>
            <w:r w:rsidRPr="00981F2D">
              <w:rPr>
                <w:rFonts w:eastAsia="Calibri" w:cs="Times New Roman"/>
                <w:color w:val="000000"/>
                <w:sz w:val="20"/>
                <w:lang w:eastAsia="en-US"/>
              </w:rPr>
              <w:t xml:space="preserve"> </w:t>
            </w:r>
            <w:r w:rsidRPr="00981F2D">
              <w:rPr>
                <w:rFonts w:eastAsia="Calibri" w:cs="Times New Roman"/>
                <w:color w:val="000000"/>
                <w:sz w:val="22"/>
                <w:szCs w:val="22"/>
                <w:lang w:eastAsia="en-US"/>
              </w:rPr>
              <w:t>zmniejszenie liczby procedur</w:t>
            </w:r>
          </w:p>
          <w:p w:rsidR="00981F2D" w:rsidRPr="00981F2D" w:rsidRDefault="00981F2D" w:rsidP="00981F2D">
            <w:pPr>
              <w:widowControl/>
              <w:autoSpaceDE/>
              <w:autoSpaceDN/>
              <w:adjustRightInd/>
              <w:spacing w:line="240" w:lineRule="auto"/>
              <w:rPr>
                <w:rFonts w:eastAsia="Calibri" w:cs="Times New Roman"/>
                <w:color w:val="000000"/>
                <w:sz w:val="22"/>
                <w:szCs w:val="22"/>
                <w:lang w:eastAsia="en-US"/>
              </w:rPr>
            </w:pPr>
            <w:r w:rsidRPr="00981F2D">
              <w:rPr>
                <w:rFonts w:eastAsia="Calibri" w:cs="Times New Roman"/>
                <w:color w:val="000000"/>
                <w:sz w:val="22"/>
                <w:szCs w:val="22"/>
                <w:lang w:eastAsia="en-US"/>
              </w:rPr>
              <w:fldChar w:fldCharType="begin">
                <w:ffData>
                  <w:name w:val=""/>
                  <w:enabled/>
                  <w:calcOnExit w:val="0"/>
                  <w:checkBox>
                    <w:sizeAuto/>
                    <w:default w:val="0"/>
                  </w:checkBox>
                </w:ffData>
              </w:fldChar>
            </w:r>
            <w:r w:rsidRPr="00981F2D">
              <w:rPr>
                <w:rFonts w:eastAsia="Calibri" w:cs="Times New Roman"/>
                <w:color w:val="000000"/>
                <w:sz w:val="22"/>
                <w:szCs w:val="22"/>
                <w:lang w:eastAsia="en-US"/>
              </w:rPr>
              <w:instrText xml:space="preserve"> FORMCHECKBOX </w:instrText>
            </w:r>
            <w:r w:rsidR="001964C6">
              <w:rPr>
                <w:rFonts w:eastAsia="Calibri" w:cs="Times New Roman"/>
                <w:color w:val="000000"/>
                <w:sz w:val="22"/>
                <w:szCs w:val="22"/>
                <w:lang w:eastAsia="en-US"/>
              </w:rPr>
            </w:r>
            <w:r w:rsidR="001964C6">
              <w:rPr>
                <w:rFonts w:eastAsia="Calibri" w:cs="Times New Roman"/>
                <w:color w:val="000000"/>
                <w:sz w:val="22"/>
                <w:szCs w:val="22"/>
                <w:lang w:eastAsia="en-US"/>
              </w:rPr>
              <w:fldChar w:fldCharType="separate"/>
            </w:r>
            <w:r w:rsidRPr="00981F2D">
              <w:rPr>
                <w:rFonts w:eastAsia="Calibri" w:cs="Times New Roman"/>
                <w:color w:val="000000"/>
                <w:sz w:val="22"/>
                <w:szCs w:val="22"/>
                <w:lang w:eastAsia="en-US"/>
              </w:rPr>
              <w:fldChar w:fldCharType="end"/>
            </w:r>
            <w:r w:rsidRPr="00981F2D">
              <w:rPr>
                <w:rFonts w:eastAsia="Calibri" w:cs="Times New Roman"/>
                <w:color w:val="000000"/>
                <w:sz w:val="20"/>
                <w:lang w:eastAsia="en-US"/>
              </w:rPr>
              <w:t xml:space="preserve"> </w:t>
            </w:r>
            <w:r w:rsidRPr="00981F2D">
              <w:rPr>
                <w:rFonts w:eastAsia="Calibri" w:cs="Times New Roman"/>
                <w:color w:val="000000"/>
                <w:sz w:val="22"/>
                <w:szCs w:val="22"/>
                <w:lang w:eastAsia="en-US"/>
              </w:rPr>
              <w:t>skrócenie czasu na załatwienie sprawy</w:t>
            </w:r>
          </w:p>
          <w:p w:rsidR="00981F2D" w:rsidRPr="00981F2D" w:rsidRDefault="00981F2D" w:rsidP="00981F2D">
            <w:pPr>
              <w:widowControl/>
              <w:autoSpaceDE/>
              <w:autoSpaceDN/>
              <w:adjustRightInd/>
              <w:spacing w:line="276" w:lineRule="auto"/>
              <w:rPr>
                <w:rFonts w:eastAsia="Calibri" w:cs="Times New Roman"/>
                <w:b/>
                <w:color w:val="000000"/>
                <w:sz w:val="22"/>
                <w:szCs w:val="22"/>
                <w:lang w:eastAsia="en-US"/>
              </w:rPr>
            </w:pPr>
            <w:r w:rsidRPr="00981F2D">
              <w:rPr>
                <w:rFonts w:eastAsia="Calibri" w:cs="Times New Roman"/>
                <w:color w:val="000000"/>
                <w:sz w:val="22"/>
                <w:szCs w:val="22"/>
                <w:lang w:eastAsia="en-US"/>
              </w:rPr>
              <w:fldChar w:fldCharType="begin">
                <w:ffData>
                  <w:name w:val="Wybór1"/>
                  <w:enabled/>
                  <w:calcOnExit w:val="0"/>
                  <w:checkBox>
                    <w:sizeAuto/>
                    <w:default w:val="0"/>
                  </w:checkBox>
                </w:ffData>
              </w:fldChar>
            </w:r>
            <w:r w:rsidRPr="00981F2D">
              <w:rPr>
                <w:rFonts w:eastAsia="Calibri" w:cs="Times New Roman"/>
                <w:color w:val="000000"/>
                <w:sz w:val="22"/>
                <w:szCs w:val="22"/>
                <w:lang w:eastAsia="en-US"/>
              </w:rPr>
              <w:instrText xml:space="preserve"> FORMCHECKBOX </w:instrText>
            </w:r>
            <w:r w:rsidR="001964C6">
              <w:rPr>
                <w:rFonts w:eastAsia="Calibri" w:cs="Times New Roman"/>
                <w:color w:val="000000"/>
                <w:sz w:val="22"/>
                <w:szCs w:val="22"/>
                <w:lang w:eastAsia="en-US"/>
              </w:rPr>
            </w:r>
            <w:r w:rsidR="001964C6">
              <w:rPr>
                <w:rFonts w:eastAsia="Calibri" w:cs="Times New Roman"/>
                <w:color w:val="000000"/>
                <w:sz w:val="22"/>
                <w:szCs w:val="22"/>
                <w:lang w:eastAsia="en-US"/>
              </w:rPr>
              <w:fldChar w:fldCharType="separate"/>
            </w:r>
            <w:r w:rsidRPr="00981F2D">
              <w:rPr>
                <w:rFonts w:eastAsia="Calibri" w:cs="Times New Roman"/>
                <w:color w:val="000000"/>
                <w:sz w:val="22"/>
                <w:szCs w:val="22"/>
                <w:lang w:eastAsia="en-US"/>
              </w:rPr>
              <w:fldChar w:fldCharType="end"/>
            </w:r>
            <w:r w:rsidRPr="00981F2D">
              <w:rPr>
                <w:rFonts w:eastAsia="Calibri" w:cs="Times New Roman"/>
                <w:color w:val="000000"/>
                <w:sz w:val="20"/>
                <w:lang w:eastAsia="en-US"/>
              </w:rPr>
              <w:t xml:space="preserve"> </w:t>
            </w:r>
            <w:r w:rsidRPr="00981F2D">
              <w:rPr>
                <w:rFonts w:eastAsia="Calibri" w:cs="Times New Roman"/>
                <w:color w:val="000000"/>
                <w:sz w:val="22"/>
                <w:szCs w:val="22"/>
                <w:lang w:eastAsia="en-US"/>
              </w:rPr>
              <w:t>inne: finansowe</w:t>
            </w:r>
          </w:p>
        </w:tc>
        <w:tc>
          <w:tcPr>
            <w:tcW w:w="5826" w:type="dxa"/>
            <w:gridSpan w:val="17"/>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2"/>
                <w:szCs w:val="22"/>
                <w:lang w:eastAsia="en-US"/>
              </w:rPr>
            </w:pPr>
            <w:r w:rsidRPr="00981F2D">
              <w:rPr>
                <w:rFonts w:eastAsia="Calibri" w:cs="Times New Roman"/>
                <w:color w:val="000000"/>
                <w:sz w:val="22"/>
                <w:szCs w:val="22"/>
                <w:lang w:eastAsia="en-US"/>
              </w:rPr>
              <w:fldChar w:fldCharType="begin">
                <w:ffData>
                  <w:name w:val="Wybór1"/>
                  <w:enabled/>
                  <w:calcOnExit w:val="0"/>
                  <w:checkBox>
                    <w:sizeAuto/>
                    <w:default w:val="0"/>
                  </w:checkBox>
                </w:ffData>
              </w:fldChar>
            </w:r>
            <w:r w:rsidRPr="00981F2D">
              <w:rPr>
                <w:rFonts w:eastAsia="Calibri" w:cs="Times New Roman"/>
                <w:color w:val="000000"/>
                <w:sz w:val="22"/>
                <w:szCs w:val="22"/>
                <w:lang w:eastAsia="en-US"/>
              </w:rPr>
              <w:instrText xml:space="preserve"> FORMCHECKBOX </w:instrText>
            </w:r>
            <w:r w:rsidR="001964C6">
              <w:rPr>
                <w:rFonts w:eastAsia="Calibri" w:cs="Times New Roman"/>
                <w:color w:val="000000"/>
                <w:sz w:val="22"/>
                <w:szCs w:val="22"/>
                <w:lang w:eastAsia="en-US"/>
              </w:rPr>
            </w:r>
            <w:r w:rsidR="001964C6">
              <w:rPr>
                <w:rFonts w:eastAsia="Calibri" w:cs="Times New Roman"/>
                <w:color w:val="000000"/>
                <w:sz w:val="22"/>
                <w:szCs w:val="22"/>
                <w:lang w:eastAsia="en-US"/>
              </w:rPr>
              <w:fldChar w:fldCharType="separate"/>
            </w:r>
            <w:r w:rsidRPr="00981F2D">
              <w:rPr>
                <w:rFonts w:eastAsia="Calibri" w:cs="Times New Roman"/>
                <w:color w:val="000000"/>
                <w:sz w:val="22"/>
                <w:szCs w:val="22"/>
                <w:lang w:eastAsia="en-US"/>
              </w:rPr>
              <w:fldChar w:fldCharType="end"/>
            </w:r>
            <w:r w:rsidRPr="00981F2D">
              <w:rPr>
                <w:rFonts w:eastAsia="Calibri" w:cs="Times New Roman"/>
                <w:color w:val="000000"/>
                <w:sz w:val="20"/>
                <w:lang w:eastAsia="en-US"/>
              </w:rPr>
              <w:t xml:space="preserve"> </w:t>
            </w:r>
            <w:r w:rsidRPr="00981F2D">
              <w:rPr>
                <w:rFonts w:eastAsia="Calibri" w:cs="Times New Roman"/>
                <w:color w:val="000000"/>
                <w:sz w:val="22"/>
                <w:szCs w:val="22"/>
                <w:lang w:eastAsia="en-US"/>
              </w:rPr>
              <w:t>zwiększenie liczby dokumentów</w:t>
            </w:r>
          </w:p>
          <w:p w:rsidR="00981F2D" w:rsidRPr="00981F2D" w:rsidRDefault="00981F2D" w:rsidP="00981F2D">
            <w:pPr>
              <w:widowControl/>
              <w:autoSpaceDE/>
              <w:autoSpaceDN/>
              <w:adjustRightInd/>
              <w:spacing w:line="240" w:lineRule="auto"/>
              <w:rPr>
                <w:rFonts w:eastAsia="Calibri" w:cs="Times New Roman"/>
                <w:color w:val="000000"/>
                <w:sz w:val="22"/>
                <w:szCs w:val="22"/>
                <w:lang w:eastAsia="en-US"/>
              </w:rPr>
            </w:pPr>
            <w:r w:rsidRPr="00981F2D">
              <w:rPr>
                <w:rFonts w:eastAsia="Calibri" w:cs="Times New Roman"/>
                <w:color w:val="000000"/>
                <w:sz w:val="22"/>
                <w:szCs w:val="22"/>
                <w:lang w:eastAsia="en-US"/>
              </w:rPr>
              <w:fldChar w:fldCharType="begin">
                <w:ffData>
                  <w:name w:val="Wybór1"/>
                  <w:enabled/>
                  <w:calcOnExit w:val="0"/>
                  <w:checkBox>
                    <w:sizeAuto/>
                    <w:default w:val="0"/>
                  </w:checkBox>
                </w:ffData>
              </w:fldChar>
            </w:r>
            <w:r w:rsidRPr="00981F2D">
              <w:rPr>
                <w:rFonts w:eastAsia="Calibri" w:cs="Times New Roman"/>
                <w:color w:val="000000"/>
                <w:sz w:val="22"/>
                <w:szCs w:val="22"/>
                <w:lang w:eastAsia="en-US"/>
              </w:rPr>
              <w:instrText xml:space="preserve"> FORMCHECKBOX </w:instrText>
            </w:r>
            <w:r w:rsidR="001964C6">
              <w:rPr>
                <w:rFonts w:eastAsia="Calibri" w:cs="Times New Roman"/>
                <w:color w:val="000000"/>
                <w:sz w:val="22"/>
                <w:szCs w:val="22"/>
                <w:lang w:eastAsia="en-US"/>
              </w:rPr>
            </w:r>
            <w:r w:rsidR="001964C6">
              <w:rPr>
                <w:rFonts w:eastAsia="Calibri" w:cs="Times New Roman"/>
                <w:color w:val="000000"/>
                <w:sz w:val="22"/>
                <w:szCs w:val="22"/>
                <w:lang w:eastAsia="en-US"/>
              </w:rPr>
              <w:fldChar w:fldCharType="separate"/>
            </w:r>
            <w:r w:rsidRPr="00981F2D">
              <w:rPr>
                <w:rFonts w:eastAsia="Calibri" w:cs="Times New Roman"/>
                <w:color w:val="000000"/>
                <w:sz w:val="22"/>
                <w:szCs w:val="22"/>
                <w:lang w:eastAsia="en-US"/>
              </w:rPr>
              <w:fldChar w:fldCharType="end"/>
            </w:r>
            <w:r w:rsidRPr="00981F2D">
              <w:rPr>
                <w:rFonts w:eastAsia="Calibri" w:cs="Times New Roman"/>
                <w:color w:val="000000"/>
                <w:sz w:val="20"/>
                <w:lang w:eastAsia="en-US"/>
              </w:rPr>
              <w:t xml:space="preserve"> </w:t>
            </w:r>
            <w:r w:rsidRPr="00981F2D">
              <w:rPr>
                <w:rFonts w:eastAsia="Calibri" w:cs="Times New Roman"/>
                <w:color w:val="000000"/>
                <w:sz w:val="22"/>
                <w:szCs w:val="22"/>
                <w:lang w:eastAsia="en-US"/>
              </w:rPr>
              <w:t>zwiększenie liczby procedur</w:t>
            </w:r>
          </w:p>
          <w:p w:rsidR="00981F2D" w:rsidRPr="00981F2D" w:rsidRDefault="00981F2D" w:rsidP="00981F2D">
            <w:pPr>
              <w:widowControl/>
              <w:autoSpaceDE/>
              <w:autoSpaceDN/>
              <w:adjustRightInd/>
              <w:spacing w:line="240" w:lineRule="auto"/>
              <w:rPr>
                <w:rFonts w:eastAsia="Calibri" w:cs="Times New Roman"/>
                <w:color w:val="000000"/>
                <w:sz w:val="22"/>
                <w:szCs w:val="22"/>
                <w:lang w:eastAsia="en-US"/>
              </w:rPr>
            </w:pPr>
            <w:r w:rsidRPr="00981F2D">
              <w:rPr>
                <w:rFonts w:eastAsia="Calibri" w:cs="Times New Roman"/>
                <w:color w:val="000000"/>
                <w:sz w:val="22"/>
                <w:szCs w:val="22"/>
                <w:lang w:eastAsia="en-US"/>
              </w:rPr>
              <w:fldChar w:fldCharType="begin">
                <w:ffData>
                  <w:name w:val="Wybór1"/>
                  <w:enabled/>
                  <w:calcOnExit w:val="0"/>
                  <w:checkBox>
                    <w:sizeAuto/>
                    <w:default w:val="0"/>
                  </w:checkBox>
                </w:ffData>
              </w:fldChar>
            </w:r>
            <w:r w:rsidRPr="00981F2D">
              <w:rPr>
                <w:rFonts w:eastAsia="Calibri" w:cs="Times New Roman"/>
                <w:color w:val="000000"/>
                <w:sz w:val="22"/>
                <w:szCs w:val="22"/>
                <w:lang w:eastAsia="en-US"/>
              </w:rPr>
              <w:instrText xml:space="preserve"> FORMCHECKBOX </w:instrText>
            </w:r>
            <w:r w:rsidR="001964C6">
              <w:rPr>
                <w:rFonts w:eastAsia="Calibri" w:cs="Times New Roman"/>
                <w:color w:val="000000"/>
                <w:sz w:val="22"/>
                <w:szCs w:val="22"/>
                <w:lang w:eastAsia="en-US"/>
              </w:rPr>
            </w:r>
            <w:r w:rsidR="001964C6">
              <w:rPr>
                <w:rFonts w:eastAsia="Calibri" w:cs="Times New Roman"/>
                <w:color w:val="000000"/>
                <w:sz w:val="22"/>
                <w:szCs w:val="22"/>
                <w:lang w:eastAsia="en-US"/>
              </w:rPr>
              <w:fldChar w:fldCharType="separate"/>
            </w:r>
            <w:r w:rsidRPr="00981F2D">
              <w:rPr>
                <w:rFonts w:eastAsia="Calibri" w:cs="Times New Roman"/>
                <w:color w:val="000000"/>
                <w:sz w:val="22"/>
                <w:szCs w:val="22"/>
                <w:lang w:eastAsia="en-US"/>
              </w:rPr>
              <w:fldChar w:fldCharType="end"/>
            </w:r>
            <w:r w:rsidRPr="00981F2D">
              <w:rPr>
                <w:rFonts w:eastAsia="Calibri" w:cs="Times New Roman"/>
                <w:color w:val="000000"/>
                <w:sz w:val="20"/>
                <w:lang w:eastAsia="en-US"/>
              </w:rPr>
              <w:t xml:space="preserve"> </w:t>
            </w:r>
            <w:r w:rsidRPr="00981F2D">
              <w:rPr>
                <w:rFonts w:eastAsia="Calibri" w:cs="Times New Roman"/>
                <w:color w:val="000000"/>
                <w:sz w:val="22"/>
                <w:szCs w:val="22"/>
                <w:lang w:eastAsia="en-US"/>
              </w:rPr>
              <w:t>wydłużenie czasu na załatwienie sprawy</w:t>
            </w:r>
          </w:p>
          <w:p w:rsidR="00981F2D" w:rsidRPr="00981F2D" w:rsidRDefault="00981F2D" w:rsidP="00981F2D">
            <w:pPr>
              <w:widowControl/>
              <w:autoSpaceDE/>
              <w:autoSpaceDN/>
              <w:adjustRightInd/>
              <w:spacing w:line="240" w:lineRule="auto"/>
              <w:rPr>
                <w:rFonts w:eastAsia="Calibri" w:cs="Times New Roman"/>
                <w:color w:val="000000"/>
                <w:sz w:val="22"/>
                <w:szCs w:val="22"/>
                <w:lang w:eastAsia="en-US"/>
              </w:rPr>
            </w:pPr>
            <w:r w:rsidRPr="00981F2D">
              <w:rPr>
                <w:rFonts w:eastAsia="Calibri" w:cs="Times New Roman"/>
                <w:color w:val="000000"/>
                <w:sz w:val="22"/>
                <w:szCs w:val="22"/>
                <w:lang w:eastAsia="en-US"/>
              </w:rPr>
              <w:fldChar w:fldCharType="begin">
                <w:ffData>
                  <w:name w:val="Wybór1"/>
                  <w:enabled/>
                  <w:calcOnExit w:val="0"/>
                  <w:checkBox>
                    <w:sizeAuto/>
                    <w:default w:val="0"/>
                  </w:checkBox>
                </w:ffData>
              </w:fldChar>
            </w:r>
            <w:r w:rsidRPr="00981F2D">
              <w:rPr>
                <w:rFonts w:eastAsia="Calibri" w:cs="Times New Roman"/>
                <w:color w:val="000000"/>
                <w:sz w:val="22"/>
                <w:szCs w:val="22"/>
                <w:lang w:eastAsia="en-US"/>
              </w:rPr>
              <w:instrText xml:space="preserve"> FORMCHECKBOX </w:instrText>
            </w:r>
            <w:r w:rsidR="001964C6">
              <w:rPr>
                <w:rFonts w:eastAsia="Calibri" w:cs="Times New Roman"/>
                <w:color w:val="000000"/>
                <w:sz w:val="22"/>
                <w:szCs w:val="22"/>
                <w:lang w:eastAsia="en-US"/>
              </w:rPr>
            </w:r>
            <w:r w:rsidR="001964C6">
              <w:rPr>
                <w:rFonts w:eastAsia="Calibri" w:cs="Times New Roman"/>
                <w:color w:val="000000"/>
                <w:sz w:val="22"/>
                <w:szCs w:val="22"/>
                <w:lang w:eastAsia="en-US"/>
              </w:rPr>
              <w:fldChar w:fldCharType="separate"/>
            </w:r>
            <w:r w:rsidRPr="00981F2D">
              <w:rPr>
                <w:rFonts w:eastAsia="Calibri" w:cs="Times New Roman"/>
                <w:color w:val="000000"/>
                <w:sz w:val="22"/>
                <w:szCs w:val="22"/>
                <w:lang w:eastAsia="en-US"/>
              </w:rPr>
              <w:fldChar w:fldCharType="end"/>
            </w:r>
            <w:r w:rsidRPr="00981F2D">
              <w:rPr>
                <w:rFonts w:eastAsia="Calibri" w:cs="Times New Roman"/>
                <w:color w:val="000000"/>
                <w:sz w:val="20"/>
                <w:lang w:eastAsia="en-US"/>
              </w:rPr>
              <w:t xml:space="preserve"> </w:t>
            </w:r>
            <w:r w:rsidRPr="00981F2D">
              <w:rPr>
                <w:rFonts w:eastAsia="Calibri" w:cs="Times New Roman"/>
                <w:color w:val="000000"/>
                <w:sz w:val="22"/>
                <w:szCs w:val="22"/>
                <w:lang w:eastAsia="en-US"/>
              </w:rPr>
              <w:t xml:space="preserve">inne: </w:t>
            </w:r>
            <w:r w:rsidRPr="00981F2D">
              <w:rPr>
                <w:rFonts w:eastAsia="Calibri" w:cs="Times New Roman"/>
                <w:color w:val="000000"/>
                <w:sz w:val="22"/>
                <w:szCs w:val="22"/>
                <w:lang w:eastAsia="en-US"/>
              </w:rPr>
              <w:fldChar w:fldCharType="begin">
                <w:ffData>
                  <w:name w:val=""/>
                  <w:enabled/>
                  <w:calcOnExit w:val="0"/>
                  <w:helpText w:type="text" w:val="W przypadku wyboru Upoważnienie ustawowe, Strategia lub Inne wpisz dokładnie źródła tj. jaka ustawa, tytuł strategii i jaki inny dokument"/>
                  <w:statusText w:type="text" w:val="W przypadku wyboru Upoważnienie ustawowe, Strategia lub Inne wpisz dokładnie źródła tj. jaka ustawa, tytuł strategii i jaki inny dokument"/>
                  <w:textInput/>
                </w:ffData>
              </w:fldChar>
            </w:r>
            <w:r w:rsidRPr="00981F2D">
              <w:rPr>
                <w:rFonts w:eastAsia="Calibri" w:cs="Times New Roman"/>
                <w:color w:val="000000"/>
                <w:sz w:val="22"/>
                <w:szCs w:val="22"/>
                <w:lang w:eastAsia="en-US"/>
              </w:rPr>
              <w:instrText xml:space="preserve"> FORMTEXT </w:instrText>
            </w:r>
            <w:r w:rsidRPr="00981F2D">
              <w:rPr>
                <w:rFonts w:eastAsia="Calibri" w:cs="Times New Roman"/>
                <w:color w:val="000000"/>
                <w:sz w:val="22"/>
                <w:szCs w:val="22"/>
                <w:lang w:eastAsia="en-US"/>
              </w:rPr>
            </w:r>
            <w:r w:rsidRPr="00981F2D">
              <w:rPr>
                <w:rFonts w:eastAsia="Calibri" w:cs="Times New Roman"/>
                <w:color w:val="000000"/>
                <w:sz w:val="22"/>
                <w:szCs w:val="22"/>
                <w:lang w:eastAsia="en-US"/>
              </w:rPr>
              <w:fldChar w:fldCharType="separate"/>
            </w:r>
            <w:r w:rsidRPr="00981F2D">
              <w:rPr>
                <w:rFonts w:eastAsia="Calibri" w:hAnsi="Calibri" w:cs="Times New Roman"/>
                <w:noProof/>
                <w:color w:val="000000"/>
                <w:sz w:val="22"/>
                <w:szCs w:val="22"/>
                <w:lang w:eastAsia="en-US"/>
              </w:rPr>
              <w:t> </w:t>
            </w:r>
            <w:r w:rsidRPr="00981F2D">
              <w:rPr>
                <w:rFonts w:eastAsia="Calibri" w:hAnsi="Calibri" w:cs="Times New Roman"/>
                <w:noProof/>
                <w:color w:val="000000"/>
                <w:sz w:val="22"/>
                <w:szCs w:val="22"/>
                <w:lang w:eastAsia="en-US"/>
              </w:rPr>
              <w:t> </w:t>
            </w:r>
            <w:r w:rsidRPr="00981F2D">
              <w:rPr>
                <w:rFonts w:eastAsia="Calibri" w:hAnsi="Calibri" w:cs="Times New Roman"/>
                <w:noProof/>
                <w:color w:val="000000"/>
                <w:sz w:val="22"/>
                <w:szCs w:val="22"/>
                <w:lang w:eastAsia="en-US"/>
              </w:rPr>
              <w:t> </w:t>
            </w:r>
            <w:r w:rsidRPr="00981F2D">
              <w:rPr>
                <w:rFonts w:eastAsia="Calibri" w:hAnsi="Calibri" w:cs="Times New Roman"/>
                <w:noProof/>
                <w:color w:val="000000"/>
                <w:sz w:val="22"/>
                <w:szCs w:val="22"/>
                <w:lang w:eastAsia="en-US"/>
              </w:rPr>
              <w:t> </w:t>
            </w:r>
            <w:r w:rsidRPr="00981F2D">
              <w:rPr>
                <w:rFonts w:eastAsia="Calibri" w:hAnsi="Calibri" w:cs="Times New Roman"/>
                <w:noProof/>
                <w:color w:val="000000"/>
                <w:sz w:val="22"/>
                <w:szCs w:val="22"/>
                <w:lang w:eastAsia="en-US"/>
              </w:rPr>
              <w:t> </w:t>
            </w:r>
            <w:r w:rsidRPr="00981F2D">
              <w:rPr>
                <w:rFonts w:eastAsia="Calibri" w:cs="Times New Roman"/>
                <w:color w:val="000000"/>
                <w:sz w:val="22"/>
                <w:szCs w:val="22"/>
                <w:lang w:eastAsia="en-US"/>
              </w:rPr>
              <w:fldChar w:fldCharType="end"/>
            </w:r>
          </w:p>
          <w:p w:rsidR="00981F2D" w:rsidRPr="00981F2D" w:rsidRDefault="00981F2D" w:rsidP="00981F2D">
            <w:pPr>
              <w:widowControl/>
              <w:autoSpaceDE/>
              <w:autoSpaceDN/>
              <w:adjustRightInd/>
              <w:spacing w:line="240" w:lineRule="auto"/>
              <w:rPr>
                <w:rFonts w:eastAsia="Calibri" w:cs="Times New Roman"/>
                <w:color w:val="000000"/>
                <w:sz w:val="22"/>
                <w:szCs w:val="22"/>
                <w:lang w:eastAsia="en-US"/>
              </w:rPr>
            </w:pPr>
          </w:p>
        </w:tc>
      </w:tr>
      <w:tr w:rsidR="00981F2D" w:rsidRPr="00981F2D" w:rsidTr="00B14587">
        <w:trPr>
          <w:gridAfter w:val="1"/>
          <w:wAfter w:w="10" w:type="dxa"/>
          <w:trHeight w:val="870"/>
        </w:trPr>
        <w:tc>
          <w:tcPr>
            <w:tcW w:w="5111" w:type="dxa"/>
            <w:gridSpan w:val="12"/>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2"/>
                <w:szCs w:val="22"/>
                <w:lang w:eastAsia="en-US"/>
              </w:rPr>
            </w:pPr>
            <w:r w:rsidRPr="00981F2D">
              <w:rPr>
                <w:rFonts w:eastAsia="Calibri" w:cs="Times New Roman"/>
                <w:color w:val="000000"/>
                <w:sz w:val="22"/>
                <w:szCs w:val="22"/>
                <w:lang w:eastAsia="en-US"/>
              </w:rPr>
              <w:t xml:space="preserve">Wprowadzane obciążenia są przystosowane do ich elektronizacji. </w:t>
            </w:r>
          </w:p>
        </w:tc>
        <w:tc>
          <w:tcPr>
            <w:tcW w:w="5826" w:type="dxa"/>
            <w:gridSpan w:val="17"/>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2"/>
                <w:szCs w:val="22"/>
                <w:lang w:eastAsia="en-US"/>
              </w:rPr>
            </w:pPr>
            <w:r w:rsidRPr="00981F2D">
              <w:rPr>
                <w:rFonts w:eastAsia="Calibri" w:cs="Times New Roman"/>
                <w:color w:val="000000"/>
                <w:sz w:val="22"/>
                <w:szCs w:val="22"/>
                <w:lang w:eastAsia="en-US"/>
              </w:rPr>
              <w:fldChar w:fldCharType="begin">
                <w:ffData>
                  <w:name w:val="Wybór1"/>
                  <w:enabled/>
                  <w:calcOnExit w:val="0"/>
                  <w:checkBox>
                    <w:sizeAuto/>
                    <w:default w:val="0"/>
                  </w:checkBox>
                </w:ffData>
              </w:fldChar>
            </w:r>
            <w:r w:rsidRPr="00981F2D">
              <w:rPr>
                <w:rFonts w:eastAsia="Calibri" w:cs="Times New Roman"/>
                <w:color w:val="000000"/>
                <w:sz w:val="22"/>
                <w:szCs w:val="22"/>
                <w:lang w:eastAsia="en-US"/>
              </w:rPr>
              <w:instrText xml:space="preserve"> FORMCHECKBOX </w:instrText>
            </w:r>
            <w:r w:rsidR="001964C6">
              <w:rPr>
                <w:rFonts w:eastAsia="Calibri" w:cs="Times New Roman"/>
                <w:color w:val="000000"/>
                <w:sz w:val="22"/>
                <w:szCs w:val="22"/>
                <w:lang w:eastAsia="en-US"/>
              </w:rPr>
            </w:r>
            <w:r w:rsidR="001964C6">
              <w:rPr>
                <w:rFonts w:eastAsia="Calibri" w:cs="Times New Roman"/>
                <w:color w:val="000000"/>
                <w:sz w:val="22"/>
                <w:szCs w:val="22"/>
                <w:lang w:eastAsia="en-US"/>
              </w:rPr>
              <w:fldChar w:fldCharType="separate"/>
            </w:r>
            <w:r w:rsidRPr="00981F2D">
              <w:rPr>
                <w:rFonts w:eastAsia="Calibri" w:cs="Times New Roman"/>
                <w:color w:val="000000"/>
                <w:sz w:val="22"/>
                <w:szCs w:val="22"/>
                <w:lang w:eastAsia="en-US"/>
              </w:rPr>
              <w:fldChar w:fldCharType="end"/>
            </w:r>
            <w:r w:rsidRPr="00981F2D">
              <w:rPr>
                <w:rFonts w:eastAsia="Calibri" w:cs="Times New Roman"/>
                <w:color w:val="000000"/>
                <w:sz w:val="22"/>
                <w:szCs w:val="22"/>
                <w:lang w:eastAsia="en-US"/>
              </w:rPr>
              <w:t xml:space="preserve"> tak</w:t>
            </w:r>
          </w:p>
          <w:p w:rsidR="00981F2D" w:rsidRPr="00981F2D" w:rsidRDefault="00981F2D" w:rsidP="00981F2D">
            <w:pPr>
              <w:widowControl/>
              <w:autoSpaceDE/>
              <w:autoSpaceDN/>
              <w:adjustRightInd/>
              <w:spacing w:line="240" w:lineRule="auto"/>
              <w:rPr>
                <w:rFonts w:eastAsia="Calibri" w:cs="Times New Roman"/>
                <w:color w:val="000000"/>
                <w:sz w:val="22"/>
                <w:szCs w:val="22"/>
                <w:lang w:eastAsia="en-US"/>
              </w:rPr>
            </w:pPr>
            <w:r w:rsidRPr="00981F2D">
              <w:rPr>
                <w:rFonts w:eastAsia="Calibri" w:cs="Times New Roman"/>
                <w:color w:val="000000"/>
                <w:sz w:val="22"/>
                <w:szCs w:val="22"/>
                <w:lang w:eastAsia="en-US"/>
              </w:rPr>
              <w:fldChar w:fldCharType="begin">
                <w:ffData>
                  <w:name w:val="Wybór1"/>
                  <w:enabled/>
                  <w:calcOnExit w:val="0"/>
                  <w:checkBox>
                    <w:sizeAuto/>
                    <w:default w:val="0"/>
                  </w:checkBox>
                </w:ffData>
              </w:fldChar>
            </w:r>
            <w:r w:rsidRPr="00981F2D">
              <w:rPr>
                <w:rFonts w:eastAsia="Calibri" w:cs="Times New Roman"/>
                <w:color w:val="000000"/>
                <w:sz w:val="22"/>
                <w:szCs w:val="22"/>
                <w:lang w:eastAsia="en-US"/>
              </w:rPr>
              <w:instrText xml:space="preserve"> FORMCHECKBOX </w:instrText>
            </w:r>
            <w:r w:rsidR="001964C6">
              <w:rPr>
                <w:rFonts w:eastAsia="Calibri" w:cs="Times New Roman"/>
                <w:color w:val="000000"/>
                <w:sz w:val="22"/>
                <w:szCs w:val="22"/>
                <w:lang w:eastAsia="en-US"/>
              </w:rPr>
            </w:r>
            <w:r w:rsidR="001964C6">
              <w:rPr>
                <w:rFonts w:eastAsia="Calibri" w:cs="Times New Roman"/>
                <w:color w:val="000000"/>
                <w:sz w:val="22"/>
                <w:szCs w:val="22"/>
                <w:lang w:eastAsia="en-US"/>
              </w:rPr>
              <w:fldChar w:fldCharType="separate"/>
            </w:r>
            <w:r w:rsidRPr="00981F2D">
              <w:rPr>
                <w:rFonts w:eastAsia="Calibri" w:cs="Times New Roman"/>
                <w:color w:val="000000"/>
                <w:sz w:val="22"/>
                <w:szCs w:val="22"/>
                <w:lang w:eastAsia="en-US"/>
              </w:rPr>
              <w:fldChar w:fldCharType="end"/>
            </w:r>
            <w:r w:rsidRPr="00981F2D">
              <w:rPr>
                <w:rFonts w:eastAsia="Calibri" w:cs="Times New Roman"/>
                <w:color w:val="000000"/>
                <w:sz w:val="22"/>
                <w:szCs w:val="22"/>
                <w:lang w:eastAsia="en-US"/>
              </w:rPr>
              <w:t xml:space="preserve"> nie</w:t>
            </w:r>
          </w:p>
          <w:p w:rsidR="00981F2D" w:rsidRPr="00981F2D" w:rsidRDefault="00981F2D" w:rsidP="00981F2D">
            <w:pPr>
              <w:widowControl/>
              <w:autoSpaceDE/>
              <w:autoSpaceDN/>
              <w:adjustRightInd/>
              <w:spacing w:line="240" w:lineRule="auto"/>
              <w:rPr>
                <w:rFonts w:eastAsia="Calibri" w:cs="Times New Roman"/>
                <w:color w:val="000000"/>
                <w:sz w:val="22"/>
                <w:szCs w:val="22"/>
                <w:lang w:eastAsia="en-US"/>
              </w:rPr>
            </w:pPr>
            <w:r w:rsidRPr="00981F2D">
              <w:rPr>
                <w:rFonts w:eastAsia="Calibri" w:cs="Times New Roman"/>
                <w:color w:val="000000"/>
                <w:sz w:val="22"/>
                <w:szCs w:val="22"/>
                <w:lang w:eastAsia="en-US"/>
              </w:rPr>
              <w:fldChar w:fldCharType="begin">
                <w:ffData>
                  <w:name w:val=""/>
                  <w:enabled/>
                  <w:calcOnExit w:val="0"/>
                  <w:checkBox>
                    <w:sizeAuto/>
                    <w:default w:val="1"/>
                  </w:checkBox>
                </w:ffData>
              </w:fldChar>
            </w:r>
            <w:r w:rsidRPr="00981F2D">
              <w:rPr>
                <w:rFonts w:eastAsia="Calibri" w:cs="Times New Roman"/>
                <w:color w:val="000000"/>
                <w:sz w:val="22"/>
                <w:szCs w:val="22"/>
                <w:lang w:eastAsia="en-US"/>
              </w:rPr>
              <w:instrText xml:space="preserve"> FORMCHECKBOX </w:instrText>
            </w:r>
            <w:r w:rsidR="001964C6">
              <w:rPr>
                <w:rFonts w:eastAsia="Calibri" w:cs="Times New Roman"/>
                <w:color w:val="000000"/>
                <w:sz w:val="22"/>
                <w:szCs w:val="22"/>
                <w:lang w:eastAsia="en-US"/>
              </w:rPr>
            </w:r>
            <w:r w:rsidR="001964C6">
              <w:rPr>
                <w:rFonts w:eastAsia="Calibri" w:cs="Times New Roman"/>
                <w:color w:val="000000"/>
                <w:sz w:val="22"/>
                <w:szCs w:val="22"/>
                <w:lang w:eastAsia="en-US"/>
              </w:rPr>
              <w:fldChar w:fldCharType="separate"/>
            </w:r>
            <w:r w:rsidRPr="00981F2D">
              <w:rPr>
                <w:rFonts w:eastAsia="Calibri" w:cs="Times New Roman"/>
                <w:color w:val="000000"/>
                <w:sz w:val="22"/>
                <w:szCs w:val="22"/>
                <w:lang w:eastAsia="en-US"/>
              </w:rPr>
              <w:fldChar w:fldCharType="end"/>
            </w:r>
            <w:r w:rsidRPr="00981F2D">
              <w:rPr>
                <w:rFonts w:eastAsia="Calibri" w:cs="Times New Roman"/>
                <w:color w:val="000000"/>
                <w:sz w:val="22"/>
                <w:szCs w:val="22"/>
                <w:lang w:eastAsia="en-US"/>
              </w:rPr>
              <w:t xml:space="preserve"> nie dotyczy</w:t>
            </w:r>
          </w:p>
          <w:p w:rsidR="00981F2D" w:rsidRPr="00981F2D" w:rsidRDefault="00981F2D" w:rsidP="00981F2D">
            <w:pPr>
              <w:widowControl/>
              <w:autoSpaceDE/>
              <w:autoSpaceDN/>
              <w:adjustRightInd/>
              <w:spacing w:line="240" w:lineRule="auto"/>
              <w:rPr>
                <w:rFonts w:eastAsia="Calibri" w:cs="Times New Roman"/>
                <w:color w:val="000000"/>
                <w:sz w:val="22"/>
                <w:szCs w:val="22"/>
                <w:lang w:eastAsia="en-US"/>
              </w:rPr>
            </w:pPr>
          </w:p>
        </w:tc>
      </w:tr>
      <w:tr w:rsidR="00981F2D" w:rsidRPr="00981F2D" w:rsidTr="00B14587">
        <w:trPr>
          <w:gridAfter w:val="1"/>
          <w:wAfter w:w="10" w:type="dxa"/>
          <w:trHeight w:val="468"/>
        </w:trPr>
        <w:tc>
          <w:tcPr>
            <w:tcW w:w="10937" w:type="dxa"/>
            <w:gridSpan w:val="29"/>
            <w:shd w:val="clear" w:color="auto" w:fill="FFFFFF"/>
          </w:tcPr>
          <w:p w:rsidR="00981F2D" w:rsidRPr="00981F2D" w:rsidRDefault="00981F2D" w:rsidP="00981F2D">
            <w:pPr>
              <w:widowControl/>
              <w:autoSpaceDE/>
              <w:autoSpaceDN/>
              <w:adjustRightInd/>
              <w:spacing w:line="240" w:lineRule="auto"/>
              <w:jc w:val="both"/>
              <w:rPr>
                <w:rFonts w:eastAsia="Calibri" w:cs="Times New Roman"/>
                <w:color w:val="000000"/>
                <w:sz w:val="22"/>
                <w:szCs w:val="22"/>
                <w:lang w:eastAsia="en-US"/>
              </w:rPr>
            </w:pPr>
            <w:r w:rsidRPr="00981F2D">
              <w:rPr>
                <w:rFonts w:eastAsia="Calibri" w:cs="Times New Roman"/>
                <w:color w:val="000000"/>
                <w:sz w:val="22"/>
                <w:szCs w:val="22"/>
                <w:lang w:eastAsia="en-US"/>
              </w:rPr>
              <w:t>Komentarz:</w:t>
            </w:r>
          </w:p>
        </w:tc>
      </w:tr>
      <w:tr w:rsidR="00981F2D" w:rsidRPr="00981F2D" w:rsidTr="00B14587">
        <w:trPr>
          <w:gridAfter w:val="1"/>
          <w:wAfter w:w="10" w:type="dxa"/>
          <w:trHeight w:val="142"/>
        </w:trPr>
        <w:tc>
          <w:tcPr>
            <w:tcW w:w="10937" w:type="dxa"/>
            <w:gridSpan w:val="29"/>
            <w:shd w:val="clear" w:color="auto" w:fill="99CCFF"/>
          </w:tcPr>
          <w:p w:rsidR="00981F2D" w:rsidRPr="00981F2D" w:rsidRDefault="00981F2D" w:rsidP="00981F2D">
            <w:pPr>
              <w:widowControl/>
              <w:numPr>
                <w:ilvl w:val="0"/>
                <w:numId w:val="1"/>
              </w:numPr>
              <w:autoSpaceDE/>
              <w:autoSpaceDN/>
              <w:adjustRightInd/>
              <w:spacing w:before="60" w:after="60" w:line="240" w:lineRule="auto"/>
              <w:jc w:val="both"/>
              <w:rPr>
                <w:rFonts w:eastAsia="Calibri" w:cs="Times New Roman"/>
                <w:b/>
                <w:color w:val="000000"/>
                <w:sz w:val="22"/>
                <w:szCs w:val="22"/>
                <w:lang w:eastAsia="en-US"/>
              </w:rPr>
            </w:pPr>
            <w:r w:rsidRPr="00981F2D">
              <w:rPr>
                <w:rFonts w:eastAsia="Calibri" w:cs="Times New Roman"/>
                <w:b/>
                <w:color w:val="000000"/>
                <w:sz w:val="22"/>
                <w:szCs w:val="22"/>
                <w:lang w:eastAsia="en-US"/>
              </w:rPr>
              <w:t xml:space="preserve">Wpływ na rynek pracy </w:t>
            </w:r>
          </w:p>
        </w:tc>
      </w:tr>
      <w:tr w:rsidR="00981F2D" w:rsidRPr="00981F2D" w:rsidTr="00B14587">
        <w:trPr>
          <w:gridAfter w:val="1"/>
          <w:wAfter w:w="10" w:type="dxa"/>
          <w:trHeight w:val="343"/>
        </w:trPr>
        <w:tc>
          <w:tcPr>
            <w:tcW w:w="10937" w:type="dxa"/>
            <w:gridSpan w:val="29"/>
            <w:shd w:val="clear" w:color="auto" w:fill="auto"/>
          </w:tcPr>
          <w:p w:rsidR="00981F2D" w:rsidRPr="00981F2D" w:rsidRDefault="00981F2D" w:rsidP="00981F2D">
            <w:pPr>
              <w:widowControl/>
              <w:autoSpaceDE/>
              <w:autoSpaceDN/>
              <w:adjustRightInd/>
              <w:spacing w:before="120" w:after="120" w:line="240" w:lineRule="auto"/>
              <w:jc w:val="both"/>
              <w:rPr>
                <w:rFonts w:eastAsia="Calibri" w:cs="Times New Roman"/>
                <w:color w:val="000000"/>
                <w:sz w:val="22"/>
                <w:szCs w:val="22"/>
                <w:lang w:eastAsia="en-US"/>
              </w:rPr>
            </w:pPr>
            <w:r w:rsidRPr="00981F2D">
              <w:rPr>
                <w:rFonts w:eastAsia="Calibri" w:cs="Times New Roman"/>
                <w:color w:val="000000"/>
                <w:sz w:val="22"/>
                <w:szCs w:val="22"/>
                <w:lang w:eastAsia="en-US"/>
              </w:rPr>
              <w:t>Projektowane rozwiązania nie będą miały wpływu na rynek pracy.</w:t>
            </w:r>
          </w:p>
        </w:tc>
      </w:tr>
      <w:tr w:rsidR="00981F2D" w:rsidRPr="00981F2D" w:rsidTr="00B14587">
        <w:trPr>
          <w:gridAfter w:val="1"/>
          <w:wAfter w:w="10" w:type="dxa"/>
          <w:trHeight w:val="142"/>
        </w:trPr>
        <w:tc>
          <w:tcPr>
            <w:tcW w:w="10937" w:type="dxa"/>
            <w:gridSpan w:val="29"/>
            <w:shd w:val="clear" w:color="auto" w:fill="99CCFF"/>
          </w:tcPr>
          <w:p w:rsidR="00981F2D" w:rsidRPr="00981F2D" w:rsidRDefault="00981F2D" w:rsidP="00981F2D">
            <w:pPr>
              <w:keepNext/>
              <w:widowControl/>
              <w:numPr>
                <w:ilvl w:val="0"/>
                <w:numId w:val="1"/>
              </w:numPr>
              <w:autoSpaceDE/>
              <w:autoSpaceDN/>
              <w:adjustRightInd/>
              <w:spacing w:before="60" w:after="60" w:line="240" w:lineRule="auto"/>
              <w:ind w:left="357" w:hanging="357"/>
              <w:jc w:val="both"/>
              <w:rPr>
                <w:rFonts w:eastAsia="Calibri" w:cs="Times New Roman"/>
                <w:b/>
                <w:color w:val="000000"/>
                <w:sz w:val="22"/>
                <w:szCs w:val="22"/>
                <w:lang w:eastAsia="en-US"/>
              </w:rPr>
            </w:pPr>
            <w:r w:rsidRPr="00981F2D">
              <w:rPr>
                <w:rFonts w:eastAsia="Calibri" w:cs="Times New Roman"/>
                <w:b/>
                <w:color w:val="000000"/>
                <w:sz w:val="22"/>
                <w:szCs w:val="22"/>
                <w:lang w:eastAsia="en-US"/>
              </w:rPr>
              <w:lastRenderedPageBreak/>
              <w:t>Wpływ na pozostałe obszary</w:t>
            </w:r>
          </w:p>
        </w:tc>
      </w:tr>
      <w:tr w:rsidR="00981F2D" w:rsidRPr="00981F2D" w:rsidTr="00B14587">
        <w:trPr>
          <w:gridAfter w:val="1"/>
          <w:wAfter w:w="10" w:type="dxa"/>
          <w:trHeight w:val="1031"/>
        </w:trPr>
        <w:tc>
          <w:tcPr>
            <w:tcW w:w="3547" w:type="dxa"/>
            <w:gridSpan w:val="5"/>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2"/>
                <w:szCs w:val="22"/>
                <w:lang w:eastAsia="en-US"/>
              </w:rPr>
            </w:pPr>
          </w:p>
          <w:p w:rsidR="00981F2D" w:rsidRPr="00981F2D" w:rsidRDefault="00981F2D" w:rsidP="00981F2D">
            <w:pPr>
              <w:widowControl/>
              <w:autoSpaceDE/>
              <w:autoSpaceDN/>
              <w:adjustRightInd/>
              <w:spacing w:line="240" w:lineRule="auto"/>
              <w:rPr>
                <w:rFonts w:eastAsia="Calibri" w:cs="Times New Roman"/>
                <w:color w:val="000000"/>
                <w:sz w:val="22"/>
                <w:szCs w:val="22"/>
                <w:lang w:eastAsia="en-US"/>
              </w:rPr>
            </w:pPr>
            <w:r w:rsidRPr="00981F2D">
              <w:rPr>
                <w:rFonts w:eastAsia="Calibri" w:cs="Times New Roman"/>
                <w:color w:val="000000"/>
                <w:sz w:val="22"/>
                <w:szCs w:val="22"/>
                <w:lang w:eastAsia="en-US"/>
              </w:rPr>
              <w:fldChar w:fldCharType="begin">
                <w:ffData>
                  <w:name w:val="Wybór1"/>
                  <w:enabled/>
                  <w:calcOnExit w:val="0"/>
                  <w:checkBox>
                    <w:sizeAuto/>
                    <w:default w:val="0"/>
                  </w:checkBox>
                </w:ffData>
              </w:fldChar>
            </w:r>
            <w:r w:rsidRPr="00981F2D">
              <w:rPr>
                <w:rFonts w:eastAsia="Calibri" w:cs="Times New Roman"/>
                <w:color w:val="000000"/>
                <w:sz w:val="22"/>
                <w:szCs w:val="22"/>
                <w:lang w:eastAsia="en-US"/>
              </w:rPr>
              <w:instrText xml:space="preserve"> FORMCHECKBOX </w:instrText>
            </w:r>
            <w:r w:rsidR="001964C6">
              <w:rPr>
                <w:rFonts w:eastAsia="Calibri" w:cs="Times New Roman"/>
                <w:color w:val="000000"/>
                <w:sz w:val="22"/>
                <w:szCs w:val="22"/>
                <w:lang w:eastAsia="en-US"/>
              </w:rPr>
            </w:r>
            <w:r w:rsidR="001964C6">
              <w:rPr>
                <w:rFonts w:eastAsia="Calibri" w:cs="Times New Roman"/>
                <w:color w:val="000000"/>
                <w:sz w:val="22"/>
                <w:szCs w:val="22"/>
                <w:lang w:eastAsia="en-US"/>
              </w:rPr>
              <w:fldChar w:fldCharType="separate"/>
            </w:r>
            <w:r w:rsidRPr="00981F2D">
              <w:rPr>
                <w:rFonts w:eastAsia="Calibri" w:cs="Times New Roman"/>
                <w:color w:val="000000"/>
                <w:sz w:val="22"/>
                <w:szCs w:val="22"/>
                <w:lang w:eastAsia="en-US"/>
              </w:rPr>
              <w:fldChar w:fldCharType="end"/>
            </w:r>
            <w:r w:rsidRPr="00981F2D">
              <w:rPr>
                <w:rFonts w:eastAsia="Calibri" w:cs="Times New Roman"/>
                <w:color w:val="000000"/>
                <w:sz w:val="20"/>
                <w:lang w:eastAsia="en-US"/>
              </w:rPr>
              <w:t xml:space="preserve"> </w:t>
            </w:r>
            <w:r w:rsidRPr="00981F2D">
              <w:rPr>
                <w:rFonts w:eastAsia="Calibri" w:cs="Times New Roman"/>
                <w:color w:val="000000"/>
                <w:sz w:val="22"/>
                <w:szCs w:val="22"/>
                <w:lang w:eastAsia="en-US"/>
              </w:rPr>
              <w:t>środowisko naturalne</w:t>
            </w:r>
          </w:p>
          <w:p w:rsidR="00981F2D" w:rsidRPr="00981F2D" w:rsidRDefault="00981F2D" w:rsidP="00981F2D">
            <w:pPr>
              <w:widowControl/>
              <w:autoSpaceDE/>
              <w:autoSpaceDN/>
              <w:adjustRightInd/>
              <w:spacing w:line="240" w:lineRule="auto"/>
              <w:rPr>
                <w:rFonts w:eastAsia="Calibri" w:cs="Times New Roman"/>
                <w:color w:val="000000"/>
                <w:sz w:val="22"/>
                <w:szCs w:val="22"/>
                <w:lang w:eastAsia="en-US"/>
              </w:rPr>
            </w:pPr>
            <w:r w:rsidRPr="00981F2D">
              <w:rPr>
                <w:rFonts w:eastAsia="Calibri" w:cs="Times New Roman"/>
                <w:color w:val="000000"/>
                <w:sz w:val="22"/>
                <w:szCs w:val="22"/>
                <w:lang w:eastAsia="en-US"/>
              </w:rPr>
              <w:fldChar w:fldCharType="begin">
                <w:ffData>
                  <w:name w:val=""/>
                  <w:enabled/>
                  <w:calcOnExit w:val="0"/>
                  <w:checkBox>
                    <w:sizeAuto/>
                    <w:default w:val="0"/>
                  </w:checkBox>
                </w:ffData>
              </w:fldChar>
            </w:r>
            <w:r w:rsidRPr="00981F2D">
              <w:rPr>
                <w:rFonts w:eastAsia="Calibri" w:cs="Times New Roman"/>
                <w:color w:val="000000"/>
                <w:sz w:val="22"/>
                <w:szCs w:val="22"/>
                <w:lang w:eastAsia="en-US"/>
              </w:rPr>
              <w:instrText xml:space="preserve"> FORMCHECKBOX </w:instrText>
            </w:r>
            <w:r w:rsidR="001964C6">
              <w:rPr>
                <w:rFonts w:eastAsia="Calibri" w:cs="Times New Roman"/>
                <w:color w:val="000000"/>
                <w:sz w:val="22"/>
                <w:szCs w:val="22"/>
                <w:lang w:eastAsia="en-US"/>
              </w:rPr>
            </w:r>
            <w:r w:rsidR="001964C6">
              <w:rPr>
                <w:rFonts w:eastAsia="Calibri" w:cs="Times New Roman"/>
                <w:color w:val="000000"/>
                <w:sz w:val="22"/>
                <w:szCs w:val="22"/>
                <w:lang w:eastAsia="en-US"/>
              </w:rPr>
              <w:fldChar w:fldCharType="separate"/>
            </w:r>
            <w:r w:rsidRPr="00981F2D">
              <w:rPr>
                <w:rFonts w:eastAsia="Calibri" w:cs="Times New Roman"/>
                <w:color w:val="000000"/>
                <w:sz w:val="22"/>
                <w:szCs w:val="22"/>
                <w:lang w:eastAsia="en-US"/>
              </w:rPr>
              <w:fldChar w:fldCharType="end"/>
            </w:r>
            <w:r w:rsidRPr="00981F2D">
              <w:rPr>
                <w:rFonts w:eastAsia="Calibri" w:cs="Times New Roman"/>
                <w:color w:val="000000"/>
                <w:sz w:val="20"/>
                <w:lang w:eastAsia="en-US"/>
              </w:rPr>
              <w:t xml:space="preserve"> </w:t>
            </w:r>
            <w:r w:rsidRPr="00981F2D">
              <w:rPr>
                <w:rFonts w:eastAsia="Calibri" w:cs="Times New Roman"/>
                <w:color w:val="000000"/>
                <w:sz w:val="22"/>
                <w:szCs w:val="22"/>
                <w:lang w:eastAsia="en-US"/>
              </w:rPr>
              <w:t>sytuacja i rozwój regionalny</w:t>
            </w:r>
          </w:p>
          <w:p w:rsidR="00981F2D" w:rsidRPr="00981F2D" w:rsidRDefault="00981F2D" w:rsidP="00981F2D">
            <w:pPr>
              <w:widowControl/>
              <w:autoSpaceDE/>
              <w:autoSpaceDN/>
              <w:adjustRightInd/>
              <w:spacing w:line="240" w:lineRule="auto"/>
              <w:rPr>
                <w:rFonts w:eastAsia="Calibri" w:cs="Times New Roman"/>
                <w:color w:val="000000"/>
                <w:sz w:val="22"/>
                <w:szCs w:val="22"/>
                <w:lang w:eastAsia="en-US"/>
              </w:rPr>
            </w:pPr>
            <w:r w:rsidRPr="00981F2D">
              <w:rPr>
                <w:rFonts w:eastAsia="Calibri" w:cs="Times New Roman"/>
                <w:color w:val="000000"/>
                <w:sz w:val="22"/>
                <w:szCs w:val="22"/>
                <w:lang w:eastAsia="en-US"/>
              </w:rPr>
              <w:fldChar w:fldCharType="begin">
                <w:ffData>
                  <w:name w:val="Wybór1"/>
                  <w:enabled/>
                  <w:calcOnExit w:val="0"/>
                  <w:checkBox>
                    <w:sizeAuto/>
                    <w:default w:val="0"/>
                  </w:checkBox>
                </w:ffData>
              </w:fldChar>
            </w:r>
            <w:r w:rsidRPr="00981F2D">
              <w:rPr>
                <w:rFonts w:eastAsia="Calibri" w:cs="Times New Roman"/>
                <w:color w:val="000000"/>
                <w:sz w:val="22"/>
                <w:szCs w:val="22"/>
                <w:lang w:eastAsia="en-US"/>
              </w:rPr>
              <w:instrText xml:space="preserve"> FORMCHECKBOX </w:instrText>
            </w:r>
            <w:r w:rsidR="001964C6">
              <w:rPr>
                <w:rFonts w:eastAsia="Calibri" w:cs="Times New Roman"/>
                <w:color w:val="000000"/>
                <w:sz w:val="22"/>
                <w:szCs w:val="22"/>
                <w:lang w:eastAsia="en-US"/>
              </w:rPr>
            </w:r>
            <w:r w:rsidR="001964C6">
              <w:rPr>
                <w:rFonts w:eastAsia="Calibri" w:cs="Times New Roman"/>
                <w:color w:val="000000"/>
                <w:sz w:val="22"/>
                <w:szCs w:val="22"/>
                <w:lang w:eastAsia="en-US"/>
              </w:rPr>
              <w:fldChar w:fldCharType="separate"/>
            </w:r>
            <w:r w:rsidRPr="00981F2D">
              <w:rPr>
                <w:rFonts w:eastAsia="Calibri" w:cs="Times New Roman"/>
                <w:color w:val="000000"/>
                <w:sz w:val="22"/>
                <w:szCs w:val="22"/>
                <w:lang w:eastAsia="en-US"/>
              </w:rPr>
              <w:fldChar w:fldCharType="end"/>
            </w:r>
            <w:r w:rsidRPr="00981F2D">
              <w:rPr>
                <w:rFonts w:eastAsia="Calibri" w:cs="Times New Roman"/>
                <w:color w:val="000000"/>
                <w:sz w:val="20"/>
                <w:lang w:eastAsia="en-US"/>
              </w:rPr>
              <w:t xml:space="preserve"> </w:t>
            </w:r>
            <w:r w:rsidRPr="00981F2D">
              <w:rPr>
                <w:rFonts w:eastAsia="Calibri" w:cs="Times New Roman"/>
                <w:color w:val="000000"/>
                <w:sz w:val="22"/>
                <w:szCs w:val="22"/>
                <w:lang w:eastAsia="en-US"/>
              </w:rPr>
              <w:t xml:space="preserve">inne: </w:t>
            </w:r>
            <w:r w:rsidRPr="00981F2D">
              <w:rPr>
                <w:rFonts w:eastAsia="Calibri" w:cs="Times New Roman"/>
                <w:color w:val="000000"/>
                <w:sz w:val="22"/>
                <w:szCs w:val="22"/>
                <w:lang w:eastAsia="en-US"/>
              </w:rPr>
              <w:fldChar w:fldCharType="begin">
                <w:ffData>
                  <w:name w:val=""/>
                  <w:enabled/>
                  <w:calcOnExit w:val="0"/>
                  <w:helpText w:type="text" w:val="W przypadku wyboru Upoważnienie ustawowe, Strategia lub Inne wpisz dokładnie źródła tj. jaka ustawa, tytuł strategii i jaki inny dokument"/>
                  <w:statusText w:type="text" w:val="W przypadku wyboru Upoważnienie ustawowe, Strategia lub Inne wpisz dokładnie źródła tj. jaka ustawa, tytuł strategii i jaki inny dokument"/>
                  <w:textInput/>
                </w:ffData>
              </w:fldChar>
            </w:r>
            <w:r w:rsidRPr="00981F2D">
              <w:rPr>
                <w:rFonts w:eastAsia="Calibri" w:cs="Times New Roman"/>
                <w:color w:val="000000"/>
                <w:sz w:val="22"/>
                <w:szCs w:val="22"/>
                <w:lang w:eastAsia="en-US"/>
              </w:rPr>
              <w:instrText xml:space="preserve"> FORMTEXT </w:instrText>
            </w:r>
            <w:r w:rsidRPr="00981F2D">
              <w:rPr>
                <w:rFonts w:eastAsia="Calibri" w:cs="Times New Roman"/>
                <w:color w:val="000000"/>
                <w:sz w:val="22"/>
                <w:szCs w:val="22"/>
                <w:lang w:eastAsia="en-US"/>
              </w:rPr>
            </w:r>
            <w:r w:rsidRPr="00981F2D">
              <w:rPr>
                <w:rFonts w:eastAsia="Calibri" w:cs="Times New Roman"/>
                <w:color w:val="000000"/>
                <w:sz w:val="22"/>
                <w:szCs w:val="22"/>
                <w:lang w:eastAsia="en-US"/>
              </w:rPr>
              <w:fldChar w:fldCharType="separate"/>
            </w:r>
            <w:r w:rsidRPr="00981F2D">
              <w:rPr>
                <w:rFonts w:eastAsia="Calibri" w:hAnsi="Calibri" w:cs="Times New Roman"/>
                <w:noProof/>
                <w:color w:val="000000"/>
                <w:sz w:val="22"/>
                <w:szCs w:val="22"/>
                <w:lang w:eastAsia="en-US"/>
              </w:rPr>
              <w:t> </w:t>
            </w:r>
            <w:r w:rsidRPr="00981F2D">
              <w:rPr>
                <w:rFonts w:eastAsia="Calibri" w:hAnsi="Calibri" w:cs="Times New Roman"/>
                <w:noProof/>
                <w:color w:val="000000"/>
                <w:sz w:val="22"/>
                <w:szCs w:val="22"/>
                <w:lang w:eastAsia="en-US"/>
              </w:rPr>
              <w:t> </w:t>
            </w:r>
            <w:r w:rsidRPr="00981F2D">
              <w:rPr>
                <w:rFonts w:eastAsia="Calibri" w:hAnsi="Calibri" w:cs="Times New Roman"/>
                <w:noProof/>
                <w:color w:val="000000"/>
                <w:sz w:val="22"/>
                <w:szCs w:val="22"/>
                <w:lang w:eastAsia="en-US"/>
              </w:rPr>
              <w:t> </w:t>
            </w:r>
            <w:r w:rsidRPr="00981F2D">
              <w:rPr>
                <w:rFonts w:eastAsia="Calibri" w:hAnsi="Calibri" w:cs="Times New Roman"/>
                <w:noProof/>
                <w:color w:val="000000"/>
                <w:sz w:val="22"/>
                <w:szCs w:val="22"/>
                <w:lang w:eastAsia="en-US"/>
              </w:rPr>
              <w:t> </w:t>
            </w:r>
            <w:r w:rsidRPr="00981F2D">
              <w:rPr>
                <w:rFonts w:eastAsia="Calibri" w:hAnsi="Calibri" w:cs="Times New Roman"/>
                <w:noProof/>
                <w:color w:val="000000"/>
                <w:sz w:val="22"/>
                <w:szCs w:val="22"/>
                <w:lang w:eastAsia="en-US"/>
              </w:rPr>
              <w:t> </w:t>
            </w:r>
            <w:r w:rsidRPr="00981F2D">
              <w:rPr>
                <w:rFonts w:eastAsia="Calibri" w:cs="Times New Roman"/>
                <w:color w:val="000000"/>
                <w:sz w:val="22"/>
                <w:szCs w:val="22"/>
                <w:lang w:eastAsia="en-US"/>
              </w:rPr>
              <w:fldChar w:fldCharType="end"/>
            </w:r>
          </w:p>
        </w:tc>
        <w:tc>
          <w:tcPr>
            <w:tcW w:w="3687" w:type="dxa"/>
            <w:gridSpan w:val="15"/>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2"/>
                <w:szCs w:val="22"/>
                <w:lang w:eastAsia="en-US"/>
              </w:rPr>
            </w:pPr>
          </w:p>
          <w:p w:rsidR="00981F2D" w:rsidRPr="00981F2D" w:rsidRDefault="00981F2D" w:rsidP="00981F2D">
            <w:pPr>
              <w:widowControl/>
              <w:autoSpaceDE/>
              <w:autoSpaceDN/>
              <w:adjustRightInd/>
              <w:spacing w:line="240" w:lineRule="auto"/>
              <w:rPr>
                <w:rFonts w:eastAsia="Calibri" w:cs="Times New Roman"/>
                <w:color w:val="000000"/>
                <w:sz w:val="22"/>
                <w:szCs w:val="22"/>
                <w:lang w:eastAsia="en-US"/>
              </w:rPr>
            </w:pPr>
            <w:r w:rsidRPr="00981F2D">
              <w:rPr>
                <w:rFonts w:eastAsia="Calibri" w:cs="Times New Roman"/>
                <w:color w:val="000000"/>
                <w:sz w:val="22"/>
                <w:szCs w:val="22"/>
                <w:lang w:eastAsia="en-US"/>
              </w:rPr>
              <w:fldChar w:fldCharType="begin">
                <w:ffData>
                  <w:name w:val="Wybór1"/>
                  <w:enabled/>
                  <w:calcOnExit w:val="0"/>
                  <w:checkBox>
                    <w:sizeAuto/>
                    <w:default w:val="0"/>
                  </w:checkBox>
                </w:ffData>
              </w:fldChar>
            </w:r>
            <w:r w:rsidRPr="00981F2D">
              <w:rPr>
                <w:rFonts w:eastAsia="Calibri" w:cs="Times New Roman"/>
                <w:color w:val="000000"/>
                <w:sz w:val="22"/>
                <w:szCs w:val="22"/>
                <w:lang w:eastAsia="en-US"/>
              </w:rPr>
              <w:instrText xml:space="preserve"> FORMCHECKBOX </w:instrText>
            </w:r>
            <w:r w:rsidR="001964C6">
              <w:rPr>
                <w:rFonts w:eastAsia="Calibri" w:cs="Times New Roman"/>
                <w:color w:val="000000"/>
                <w:sz w:val="22"/>
                <w:szCs w:val="22"/>
                <w:lang w:eastAsia="en-US"/>
              </w:rPr>
            </w:r>
            <w:r w:rsidR="001964C6">
              <w:rPr>
                <w:rFonts w:eastAsia="Calibri" w:cs="Times New Roman"/>
                <w:color w:val="000000"/>
                <w:sz w:val="22"/>
                <w:szCs w:val="22"/>
                <w:lang w:eastAsia="en-US"/>
              </w:rPr>
              <w:fldChar w:fldCharType="separate"/>
            </w:r>
            <w:r w:rsidRPr="00981F2D">
              <w:rPr>
                <w:rFonts w:eastAsia="Calibri" w:cs="Times New Roman"/>
                <w:color w:val="000000"/>
                <w:sz w:val="22"/>
                <w:szCs w:val="22"/>
                <w:lang w:eastAsia="en-US"/>
              </w:rPr>
              <w:fldChar w:fldCharType="end"/>
            </w:r>
            <w:r w:rsidRPr="00981F2D">
              <w:rPr>
                <w:rFonts w:eastAsia="Calibri" w:cs="Times New Roman"/>
                <w:color w:val="000000"/>
                <w:sz w:val="20"/>
                <w:lang w:eastAsia="en-US"/>
              </w:rPr>
              <w:t xml:space="preserve"> </w:t>
            </w:r>
            <w:r w:rsidRPr="00981F2D">
              <w:rPr>
                <w:rFonts w:eastAsia="Calibri" w:cs="Times New Roman"/>
                <w:color w:val="000000"/>
                <w:sz w:val="22"/>
                <w:szCs w:val="22"/>
                <w:lang w:eastAsia="en-US"/>
              </w:rPr>
              <w:t>demografia</w:t>
            </w:r>
          </w:p>
          <w:p w:rsidR="00981F2D" w:rsidRPr="00981F2D" w:rsidRDefault="00981F2D" w:rsidP="00981F2D">
            <w:pPr>
              <w:widowControl/>
              <w:autoSpaceDE/>
              <w:autoSpaceDN/>
              <w:adjustRightInd/>
              <w:spacing w:line="240" w:lineRule="auto"/>
              <w:rPr>
                <w:rFonts w:eastAsia="Calibri" w:cs="Times New Roman"/>
                <w:color w:val="000000"/>
                <w:sz w:val="22"/>
                <w:szCs w:val="22"/>
                <w:lang w:eastAsia="en-US"/>
              </w:rPr>
            </w:pPr>
            <w:r w:rsidRPr="00981F2D">
              <w:rPr>
                <w:rFonts w:eastAsia="Calibri" w:cs="Times New Roman"/>
                <w:color w:val="000000"/>
                <w:sz w:val="22"/>
                <w:szCs w:val="22"/>
                <w:lang w:eastAsia="en-US"/>
              </w:rPr>
              <w:fldChar w:fldCharType="begin">
                <w:ffData>
                  <w:name w:val=""/>
                  <w:enabled/>
                  <w:calcOnExit w:val="0"/>
                  <w:checkBox>
                    <w:sizeAuto/>
                    <w:default w:val="0"/>
                  </w:checkBox>
                </w:ffData>
              </w:fldChar>
            </w:r>
            <w:r w:rsidRPr="00981F2D">
              <w:rPr>
                <w:rFonts w:eastAsia="Calibri" w:cs="Times New Roman"/>
                <w:color w:val="000000"/>
                <w:sz w:val="22"/>
                <w:szCs w:val="22"/>
                <w:lang w:eastAsia="en-US"/>
              </w:rPr>
              <w:instrText xml:space="preserve"> FORMCHECKBOX </w:instrText>
            </w:r>
            <w:r w:rsidR="001964C6">
              <w:rPr>
                <w:rFonts w:eastAsia="Calibri" w:cs="Times New Roman"/>
                <w:color w:val="000000"/>
                <w:sz w:val="22"/>
                <w:szCs w:val="22"/>
                <w:lang w:eastAsia="en-US"/>
              </w:rPr>
            </w:r>
            <w:r w:rsidR="001964C6">
              <w:rPr>
                <w:rFonts w:eastAsia="Calibri" w:cs="Times New Roman"/>
                <w:color w:val="000000"/>
                <w:sz w:val="22"/>
                <w:szCs w:val="22"/>
                <w:lang w:eastAsia="en-US"/>
              </w:rPr>
              <w:fldChar w:fldCharType="separate"/>
            </w:r>
            <w:r w:rsidRPr="00981F2D">
              <w:rPr>
                <w:rFonts w:eastAsia="Calibri" w:cs="Times New Roman"/>
                <w:color w:val="000000"/>
                <w:sz w:val="22"/>
                <w:szCs w:val="22"/>
                <w:lang w:eastAsia="en-US"/>
              </w:rPr>
              <w:fldChar w:fldCharType="end"/>
            </w:r>
            <w:r w:rsidRPr="00981F2D">
              <w:rPr>
                <w:rFonts w:eastAsia="Calibri" w:cs="Times New Roman"/>
                <w:color w:val="000000"/>
                <w:sz w:val="20"/>
                <w:lang w:eastAsia="en-US"/>
              </w:rPr>
              <w:t xml:space="preserve"> </w:t>
            </w:r>
            <w:r w:rsidRPr="00981F2D">
              <w:rPr>
                <w:rFonts w:eastAsia="Calibri" w:cs="Times New Roman"/>
                <w:color w:val="000000"/>
                <w:sz w:val="22"/>
                <w:szCs w:val="22"/>
                <w:lang w:eastAsia="en-US"/>
              </w:rPr>
              <w:t>mienie państwowe</w:t>
            </w:r>
          </w:p>
        </w:tc>
        <w:tc>
          <w:tcPr>
            <w:tcW w:w="3703" w:type="dxa"/>
            <w:gridSpan w:val="9"/>
            <w:shd w:val="clear" w:color="auto" w:fill="FFFFFF"/>
          </w:tcPr>
          <w:p w:rsidR="00981F2D" w:rsidRPr="00981F2D" w:rsidRDefault="00981F2D" w:rsidP="00981F2D">
            <w:pPr>
              <w:widowControl/>
              <w:autoSpaceDE/>
              <w:autoSpaceDN/>
              <w:adjustRightInd/>
              <w:spacing w:line="240" w:lineRule="auto"/>
              <w:rPr>
                <w:rFonts w:eastAsia="Calibri" w:cs="Times New Roman"/>
                <w:color w:val="000000"/>
                <w:sz w:val="22"/>
                <w:szCs w:val="22"/>
                <w:lang w:eastAsia="en-US"/>
              </w:rPr>
            </w:pPr>
          </w:p>
          <w:p w:rsidR="00981F2D" w:rsidRPr="00981F2D" w:rsidRDefault="00981F2D" w:rsidP="00981F2D">
            <w:pPr>
              <w:widowControl/>
              <w:autoSpaceDE/>
              <w:autoSpaceDN/>
              <w:adjustRightInd/>
              <w:spacing w:line="240" w:lineRule="auto"/>
              <w:rPr>
                <w:rFonts w:eastAsia="Calibri" w:cs="Times New Roman"/>
                <w:color w:val="000000"/>
                <w:sz w:val="22"/>
                <w:szCs w:val="22"/>
                <w:lang w:eastAsia="en-US"/>
              </w:rPr>
            </w:pPr>
            <w:r w:rsidRPr="00981F2D">
              <w:rPr>
                <w:rFonts w:eastAsia="Calibri" w:cs="Times New Roman"/>
                <w:color w:val="000000"/>
                <w:sz w:val="22"/>
                <w:szCs w:val="22"/>
                <w:lang w:eastAsia="en-US"/>
              </w:rPr>
              <w:fldChar w:fldCharType="begin">
                <w:ffData>
                  <w:name w:val="Wybór1"/>
                  <w:enabled/>
                  <w:calcOnExit w:val="0"/>
                  <w:checkBox>
                    <w:sizeAuto/>
                    <w:default w:val="0"/>
                  </w:checkBox>
                </w:ffData>
              </w:fldChar>
            </w:r>
            <w:r w:rsidRPr="00981F2D">
              <w:rPr>
                <w:rFonts w:eastAsia="Calibri" w:cs="Times New Roman"/>
                <w:color w:val="000000"/>
                <w:sz w:val="22"/>
                <w:szCs w:val="22"/>
                <w:lang w:eastAsia="en-US"/>
              </w:rPr>
              <w:instrText xml:space="preserve"> FORMCHECKBOX </w:instrText>
            </w:r>
            <w:r w:rsidR="001964C6">
              <w:rPr>
                <w:rFonts w:eastAsia="Calibri" w:cs="Times New Roman"/>
                <w:color w:val="000000"/>
                <w:sz w:val="22"/>
                <w:szCs w:val="22"/>
                <w:lang w:eastAsia="en-US"/>
              </w:rPr>
            </w:r>
            <w:r w:rsidR="001964C6">
              <w:rPr>
                <w:rFonts w:eastAsia="Calibri" w:cs="Times New Roman"/>
                <w:color w:val="000000"/>
                <w:sz w:val="22"/>
                <w:szCs w:val="22"/>
                <w:lang w:eastAsia="en-US"/>
              </w:rPr>
              <w:fldChar w:fldCharType="separate"/>
            </w:r>
            <w:r w:rsidRPr="00981F2D">
              <w:rPr>
                <w:rFonts w:eastAsia="Calibri" w:cs="Times New Roman"/>
                <w:color w:val="000000"/>
                <w:sz w:val="22"/>
                <w:szCs w:val="22"/>
                <w:lang w:eastAsia="en-US"/>
              </w:rPr>
              <w:fldChar w:fldCharType="end"/>
            </w:r>
            <w:r w:rsidRPr="00981F2D">
              <w:rPr>
                <w:rFonts w:eastAsia="Calibri" w:cs="Times New Roman"/>
                <w:color w:val="000000"/>
                <w:sz w:val="20"/>
                <w:lang w:eastAsia="en-US"/>
              </w:rPr>
              <w:t xml:space="preserve"> </w:t>
            </w:r>
            <w:r w:rsidRPr="00981F2D">
              <w:rPr>
                <w:rFonts w:eastAsia="Calibri" w:cs="Times New Roman"/>
                <w:color w:val="000000"/>
                <w:sz w:val="22"/>
                <w:szCs w:val="22"/>
                <w:lang w:eastAsia="en-US"/>
              </w:rPr>
              <w:t>informatyzacja</w:t>
            </w:r>
          </w:p>
          <w:p w:rsidR="00981F2D" w:rsidRPr="00981F2D" w:rsidRDefault="00981F2D" w:rsidP="00981F2D">
            <w:pPr>
              <w:widowControl/>
              <w:autoSpaceDE/>
              <w:autoSpaceDN/>
              <w:adjustRightInd/>
              <w:spacing w:line="240" w:lineRule="auto"/>
              <w:rPr>
                <w:rFonts w:eastAsia="Calibri" w:cs="Times New Roman"/>
                <w:color w:val="000000"/>
                <w:sz w:val="22"/>
                <w:szCs w:val="22"/>
                <w:lang w:eastAsia="en-US"/>
              </w:rPr>
            </w:pPr>
            <w:r w:rsidRPr="00981F2D">
              <w:rPr>
                <w:rFonts w:eastAsia="Calibri" w:cs="Times New Roman"/>
                <w:color w:val="000000"/>
                <w:sz w:val="22"/>
                <w:szCs w:val="22"/>
                <w:lang w:eastAsia="en-US"/>
              </w:rPr>
              <w:fldChar w:fldCharType="begin">
                <w:ffData>
                  <w:name w:val="Wybór1"/>
                  <w:enabled/>
                  <w:calcOnExit w:val="0"/>
                  <w:checkBox>
                    <w:sizeAuto/>
                    <w:default w:val="0"/>
                  </w:checkBox>
                </w:ffData>
              </w:fldChar>
            </w:r>
            <w:r w:rsidRPr="00981F2D">
              <w:rPr>
                <w:rFonts w:eastAsia="Calibri" w:cs="Times New Roman"/>
                <w:color w:val="000000"/>
                <w:sz w:val="22"/>
                <w:szCs w:val="22"/>
                <w:lang w:eastAsia="en-US"/>
              </w:rPr>
              <w:instrText xml:space="preserve"> FORMCHECKBOX </w:instrText>
            </w:r>
            <w:r w:rsidR="001964C6">
              <w:rPr>
                <w:rFonts w:eastAsia="Calibri" w:cs="Times New Roman"/>
                <w:color w:val="000000"/>
                <w:sz w:val="22"/>
                <w:szCs w:val="22"/>
                <w:lang w:eastAsia="en-US"/>
              </w:rPr>
            </w:r>
            <w:r w:rsidR="001964C6">
              <w:rPr>
                <w:rFonts w:eastAsia="Calibri" w:cs="Times New Roman"/>
                <w:color w:val="000000"/>
                <w:sz w:val="22"/>
                <w:szCs w:val="22"/>
                <w:lang w:eastAsia="en-US"/>
              </w:rPr>
              <w:fldChar w:fldCharType="separate"/>
            </w:r>
            <w:r w:rsidRPr="00981F2D">
              <w:rPr>
                <w:rFonts w:eastAsia="Calibri" w:cs="Times New Roman"/>
                <w:color w:val="000000"/>
                <w:sz w:val="22"/>
                <w:szCs w:val="22"/>
                <w:lang w:eastAsia="en-US"/>
              </w:rPr>
              <w:fldChar w:fldCharType="end"/>
            </w:r>
            <w:r w:rsidRPr="00981F2D">
              <w:rPr>
                <w:rFonts w:eastAsia="Calibri" w:cs="Times New Roman"/>
                <w:color w:val="000000"/>
                <w:sz w:val="20"/>
                <w:lang w:eastAsia="en-US"/>
              </w:rPr>
              <w:t xml:space="preserve"> </w:t>
            </w:r>
            <w:r w:rsidRPr="00981F2D">
              <w:rPr>
                <w:rFonts w:eastAsia="Calibri" w:cs="Times New Roman"/>
                <w:color w:val="000000"/>
                <w:sz w:val="22"/>
                <w:szCs w:val="22"/>
                <w:lang w:eastAsia="en-US"/>
              </w:rPr>
              <w:t>zdrowie</w:t>
            </w:r>
          </w:p>
        </w:tc>
      </w:tr>
      <w:tr w:rsidR="00981F2D" w:rsidRPr="00981F2D" w:rsidTr="00B14587">
        <w:trPr>
          <w:gridAfter w:val="1"/>
          <w:wAfter w:w="10" w:type="dxa"/>
          <w:trHeight w:val="482"/>
        </w:trPr>
        <w:tc>
          <w:tcPr>
            <w:tcW w:w="2243" w:type="dxa"/>
            <w:gridSpan w:val="2"/>
            <w:shd w:val="clear" w:color="auto" w:fill="FFFFFF"/>
            <w:vAlign w:val="center"/>
          </w:tcPr>
          <w:p w:rsidR="00981F2D" w:rsidRPr="00981F2D" w:rsidRDefault="00981F2D" w:rsidP="00981F2D">
            <w:pPr>
              <w:widowControl/>
              <w:autoSpaceDE/>
              <w:autoSpaceDN/>
              <w:adjustRightInd/>
              <w:spacing w:line="240" w:lineRule="auto"/>
              <w:rPr>
                <w:rFonts w:eastAsia="Calibri" w:cs="Times New Roman"/>
                <w:color w:val="000000"/>
                <w:sz w:val="22"/>
                <w:szCs w:val="22"/>
                <w:lang w:eastAsia="en-US"/>
              </w:rPr>
            </w:pPr>
            <w:r w:rsidRPr="00981F2D">
              <w:rPr>
                <w:rFonts w:eastAsia="Calibri" w:cs="Times New Roman"/>
                <w:color w:val="000000"/>
                <w:sz w:val="22"/>
                <w:szCs w:val="22"/>
                <w:lang w:eastAsia="en-US"/>
              </w:rPr>
              <w:t>Omówienie wpływu</w:t>
            </w:r>
          </w:p>
        </w:tc>
        <w:tc>
          <w:tcPr>
            <w:tcW w:w="8694" w:type="dxa"/>
            <w:gridSpan w:val="27"/>
            <w:shd w:val="clear" w:color="auto" w:fill="FFFFFF"/>
            <w:vAlign w:val="center"/>
          </w:tcPr>
          <w:p w:rsidR="00981F2D" w:rsidRPr="00981F2D" w:rsidRDefault="00981F2D" w:rsidP="00981F2D">
            <w:pPr>
              <w:widowControl/>
              <w:autoSpaceDE/>
              <w:autoSpaceDN/>
              <w:adjustRightInd/>
              <w:spacing w:line="240" w:lineRule="auto"/>
              <w:jc w:val="both"/>
              <w:rPr>
                <w:rFonts w:eastAsia="Calibri" w:cs="Times New Roman"/>
                <w:color w:val="000000"/>
                <w:sz w:val="22"/>
                <w:szCs w:val="22"/>
                <w:lang w:eastAsia="en-US"/>
              </w:rPr>
            </w:pPr>
          </w:p>
          <w:p w:rsidR="00981F2D" w:rsidRPr="00981F2D" w:rsidRDefault="00981F2D" w:rsidP="00981F2D">
            <w:pPr>
              <w:widowControl/>
              <w:autoSpaceDE/>
              <w:autoSpaceDN/>
              <w:adjustRightInd/>
              <w:spacing w:line="240" w:lineRule="auto"/>
              <w:jc w:val="both"/>
              <w:rPr>
                <w:rFonts w:eastAsia="Calibri" w:cs="Times New Roman"/>
                <w:color w:val="000000"/>
                <w:sz w:val="22"/>
                <w:szCs w:val="22"/>
                <w:lang w:eastAsia="en-US"/>
              </w:rPr>
            </w:pPr>
            <w:r w:rsidRPr="00981F2D">
              <w:rPr>
                <w:rFonts w:eastAsia="Calibri" w:cs="Times New Roman"/>
                <w:color w:val="000000"/>
                <w:sz w:val="22"/>
                <w:szCs w:val="22"/>
                <w:lang w:eastAsia="en-US"/>
              </w:rPr>
              <w:t>Projektowane rozwiązania nie będą miały wpływu na analizowane obszary.</w:t>
            </w:r>
          </w:p>
          <w:p w:rsidR="00981F2D" w:rsidRPr="00981F2D" w:rsidRDefault="00981F2D" w:rsidP="00981F2D">
            <w:pPr>
              <w:widowControl/>
              <w:autoSpaceDE/>
              <w:autoSpaceDN/>
              <w:adjustRightInd/>
              <w:spacing w:line="240" w:lineRule="auto"/>
              <w:jc w:val="both"/>
              <w:rPr>
                <w:rFonts w:eastAsia="Calibri" w:cs="Times New Roman"/>
                <w:color w:val="000000"/>
                <w:sz w:val="22"/>
                <w:szCs w:val="22"/>
                <w:lang w:eastAsia="en-US"/>
              </w:rPr>
            </w:pPr>
          </w:p>
        </w:tc>
      </w:tr>
      <w:tr w:rsidR="00981F2D" w:rsidRPr="00981F2D" w:rsidTr="00B14587">
        <w:trPr>
          <w:gridAfter w:val="1"/>
          <w:wAfter w:w="10" w:type="dxa"/>
          <w:trHeight w:val="142"/>
        </w:trPr>
        <w:tc>
          <w:tcPr>
            <w:tcW w:w="10937" w:type="dxa"/>
            <w:gridSpan w:val="29"/>
            <w:shd w:val="clear" w:color="auto" w:fill="99CCFF"/>
          </w:tcPr>
          <w:p w:rsidR="00981F2D" w:rsidRPr="00981F2D" w:rsidRDefault="00981F2D" w:rsidP="00981F2D">
            <w:pPr>
              <w:widowControl/>
              <w:numPr>
                <w:ilvl w:val="0"/>
                <w:numId w:val="1"/>
              </w:numPr>
              <w:tabs>
                <w:tab w:val="clear" w:pos="360"/>
                <w:tab w:val="num" w:pos="460"/>
              </w:tabs>
              <w:autoSpaceDE/>
              <w:autoSpaceDN/>
              <w:adjustRightInd/>
              <w:spacing w:before="60" w:after="60" w:line="240" w:lineRule="auto"/>
              <w:ind w:left="460" w:hanging="426"/>
              <w:jc w:val="both"/>
              <w:rPr>
                <w:rFonts w:eastAsia="Calibri" w:cs="Times New Roman"/>
                <w:b/>
                <w:sz w:val="22"/>
                <w:szCs w:val="22"/>
                <w:lang w:eastAsia="en-US"/>
              </w:rPr>
            </w:pPr>
            <w:r w:rsidRPr="00981F2D">
              <w:rPr>
                <w:rFonts w:eastAsia="Calibri" w:cs="Times New Roman"/>
                <w:b/>
                <w:sz w:val="22"/>
                <w:szCs w:val="22"/>
                <w:lang w:eastAsia="en-US"/>
              </w:rPr>
              <w:t>Planowane wykonanie przepisów aktu prawnego</w:t>
            </w:r>
          </w:p>
        </w:tc>
      </w:tr>
      <w:tr w:rsidR="00981F2D" w:rsidRPr="00981F2D" w:rsidTr="00B14587">
        <w:trPr>
          <w:gridAfter w:val="1"/>
          <w:wAfter w:w="10" w:type="dxa"/>
          <w:trHeight w:val="142"/>
        </w:trPr>
        <w:tc>
          <w:tcPr>
            <w:tcW w:w="10937" w:type="dxa"/>
            <w:gridSpan w:val="29"/>
            <w:shd w:val="clear" w:color="auto" w:fill="FFFFFF"/>
          </w:tcPr>
          <w:p w:rsidR="00981F2D" w:rsidRPr="00981F2D" w:rsidRDefault="00981F2D" w:rsidP="00981F2D">
            <w:pPr>
              <w:widowControl/>
              <w:autoSpaceDE/>
              <w:autoSpaceDN/>
              <w:adjustRightInd/>
              <w:spacing w:before="120" w:after="120" w:line="240" w:lineRule="auto"/>
              <w:jc w:val="both"/>
              <w:rPr>
                <w:rFonts w:eastAsia="Calibri" w:cs="Times New Roman"/>
                <w:sz w:val="22"/>
                <w:szCs w:val="22"/>
                <w:lang w:eastAsia="en-US"/>
              </w:rPr>
            </w:pPr>
            <w:r w:rsidRPr="00981F2D">
              <w:rPr>
                <w:rFonts w:eastAsia="Calibri" w:cs="Times New Roman"/>
                <w:sz w:val="22"/>
                <w:szCs w:val="22"/>
                <w:lang w:eastAsia="en-US"/>
              </w:rPr>
              <w:t xml:space="preserve">Ustawa wejdzie w życie po upływie 14 dni od </w:t>
            </w:r>
            <w:r w:rsidR="00A306AB">
              <w:rPr>
                <w:rFonts w:eastAsia="Calibri" w:cs="Times New Roman"/>
                <w:sz w:val="22"/>
                <w:szCs w:val="22"/>
                <w:lang w:eastAsia="en-US"/>
              </w:rPr>
              <w:t xml:space="preserve">dnia </w:t>
            </w:r>
            <w:r w:rsidRPr="00981F2D">
              <w:rPr>
                <w:rFonts w:eastAsia="Calibri" w:cs="Times New Roman"/>
                <w:sz w:val="22"/>
                <w:szCs w:val="22"/>
                <w:lang w:eastAsia="en-US"/>
              </w:rPr>
              <w:t>ogłoszenia.</w:t>
            </w:r>
          </w:p>
        </w:tc>
      </w:tr>
      <w:tr w:rsidR="00981F2D" w:rsidRPr="00981F2D" w:rsidTr="00B14587">
        <w:trPr>
          <w:gridAfter w:val="1"/>
          <w:wAfter w:w="10" w:type="dxa"/>
          <w:trHeight w:val="142"/>
        </w:trPr>
        <w:tc>
          <w:tcPr>
            <w:tcW w:w="10937" w:type="dxa"/>
            <w:gridSpan w:val="29"/>
            <w:shd w:val="clear" w:color="auto" w:fill="99CCFF"/>
          </w:tcPr>
          <w:p w:rsidR="00981F2D" w:rsidRPr="00981F2D" w:rsidRDefault="00981F2D" w:rsidP="00981F2D">
            <w:pPr>
              <w:widowControl/>
              <w:numPr>
                <w:ilvl w:val="0"/>
                <w:numId w:val="1"/>
              </w:numPr>
              <w:tabs>
                <w:tab w:val="clear" w:pos="360"/>
                <w:tab w:val="num" w:pos="460"/>
              </w:tabs>
              <w:autoSpaceDE/>
              <w:autoSpaceDN/>
              <w:adjustRightInd/>
              <w:spacing w:before="60" w:after="60" w:line="240" w:lineRule="auto"/>
              <w:ind w:left="460" w:hanging="426"/>
              <w:jc w:val="both"/>
              <w:rPr>
                <w:rFonts w:eastAsia="Calibri" w:cs="Times New Roman"/>
                <w:b/>
                <w:color w:val="000000"/>
                <w:sz w:val="22"/>
                <w:szCs w:val="22"/>
                <w:lang w:eastAsia="en-US"/>
              </w:rPr>
            </w:pPr>
            <w:r w:rsidRPr="00981F2D">
              <w:rPr>
                <w:rFonts w:eastAsia="Calibri" w:cs="Times New Roman"/>
                <w:b/>
                <w:sz w:val="21"/>
                <w:szCs w:val="21"/>
                <w:lang w:eastAsia="en-US"/>
              </w:rPr>
              <w:t>W jaki sposób i kiedy nastąpi ewaluacja efektów projektu oraz jakie mierniki zostaną zastosowane?</w:t>
            </w:r>
          </w:p>
        </w:tc>
      </w:tr>
      <w:tr w:rsidR="00981F2D" w:rsidRPr="00981F2D" w:rsidTr="00B14587">
        <w:trPr>
          <w:gridAfter w:val="1"/>
          <w:wAfter w:w="10" w:type="dxa"/>
          <w:trHeight w:val="142"/>
        </w:trPr>
        <w:tc>
          <w:tcPr>
            <w:tcW w:w="10937" w:type="dxa"/>
            <w:gridSpan w:val="29"/>
            <w:shd w:val="clear" w:color="auto" w:fill="FFFFFF"/>
          </w:tcPr>
          <w:p w:rsidR="00981F2D" w:rsidRPr="00981F2D" w:rsidRDefault="00981F2D" w:rsidP="008929CD">
            <w:pPr>
              <w:widowControl/>
              <w:autoSpaceDE/>
              <w:autoSpaceDN/>
              <w:adjustRightInd/>
              <w:spacing w:before="120" w:after="120" w:line="240" w:lineRule="auto"/>
              <w:jc w:val="both"/>
              <w:rPr>
                <w:rFonts w:eastAsia="Calibri" w:cs="Times New Roman"/>
                <w:color w:val="000000"/>
                <w:sz w:val="22"/>
                <w:szCs w:val="22"/>
                <w:lang w:eastAsia="en-US"/>
              </w:rPr>
            </w:pPr>
            <w:r w:rsidRPr="00981F2D">
              <w:rPr>
                <w:rFonts w:eastAsia="Calibri" w:cs="Times New Roman"/>
                <w:color w:val="000000"/>
                <w:sz w:val="22"/>
                <w:szCs w:val="22"/>
                <w:lang w:eastAsia="en-US"/>
              </w:rPr>
              <w:t xml:space="preserve">Nie jest planowana ewaluacja przedmiotowego projektu, gdyż wymagałaby prowadzenia czasochłonnych i kosztownych badań aktowych reprezentatywnej próby spraw o roszczenia z czynności bankowych w stanie prawnym: </w:t>
            </w:r>
            <w:r w:rsidR="008929CD">
              <w:rPr>
                <w:rFonts w:eastAsia="Calibri" w:cs="Times New Roman"/>
                <w:color w:val="000000"/>
                <w:sz w:val="22"/>
                <w:szCs w:val="22"/>
                <w:lang w:eastAsia="en-US"/>
              </w:rPr>
              <w:t>obowiązującym przed dniem</w:t>
            </w:r>
            <w:r w:rsidR="00A306AB">
              <w:rPr>
                <w:rFonts w:eastAsia="Calibri" w:cs="Times New Roman"/>
                <w:color w:val="000000"/>
                <w:sz w:val="22"/>
                <w:szCs w:val="22"/>
                <w:lang w:eastAsia="en-US"/>
              </w:rPr>
              <w:t xml:space="preserve"> </w:t>
            </w:r>
            <w:r w:rsidRPr="00981F2D">
              <w:rPr>
                <w:rFonts w:eastAsia="Calibri" w:cs="Times New Roman"/>
                <w:color w:val="000000"/>
                <w:sz w:val="22"/>
                <w:szCs w:val="22"/>
                <w:lang w:eastAsia="en-US"/>
              </w:rPr>
              <w:t>27</w:t>
            </w:r>
            <w:r w:rsidR="008929CD">
              <w:rPr>
                <w:rFonts w:eastAsia="Calibri" w:cs="Times New Roman"/>
                <w:color w:val="000000"/>
                <w:sz w:val="22"/>
                <w:szCs w:val="22"/>
                <w:lang w:eastAsia="en-US"/>
              </w:rPr>
              <w:t xml:space="preserve"> </w:t>
            </w:r>
            <w:r w:rsidRPr="00981F2D">
              <w:rPr>
                <w:rFonts w:eastAsia="Calibri" w:cs="Times New Roman"/>
                <w:color w:val="000000"/>
                <w:sz w:val="22"/>
                <w:szCs w:val="22"/>
                <w:lang w:eastAsia="en-US"/>
              </w:rPr>
              <w:t xml:space="preserve">listopada 2015 r., po </w:t>
            </w:r>
            <w:r w:rsidR="00A306AB">
              <w:rPr>
                <w:rFonts w:eastAsia="Calibri" w:cs="Times New Roman"/>
                <w:color w:val="000000"/>
                <w:sz w:val="22"/>
                <w:szCs w:val="22"/>
                <w:lang w:eastAsia="en-US"/>
              </w:rPr>
              <w:t xml:space="preserve">dniu </w:t>
            </w:r>
            <w:r w:rsidRPr="00981F2D">
              <w:rPr>
                <w:rFonts w:eastAsia="Calibri" w:cs="Times New Roman"/>
                <w:color w:val="000000"/>
                <w:sz w:val="22"/>
                <w:szCs w:val="22"/>
                <w:lang w:eastAsia="en-US"/>
              </w:rPr>
              <w:t>27 listopada 2015 r. i w proponowanym stanie prawnym.</w:t>
            </w:r>
          </w:p>
        </w:tc>
      </w:tr>
      <w:tr w:rsidR="00981F2D" w:rsidRPr="00981F2D" w:rsidTr="00B14587">
        <w:trPr>
          <w:gridAfter w:val="1"/>
          <w:wAfter w:w="10" w:type="dxa"/>
          <w:trHeight w:val="142"/>
        </w:trPr>
        <w:tc>
          <w:tcPr>
            <w:tcW w:w="10937" w:type="dxa"/>
            <w:gridSpan w:val="29"/>
            <w:shd w:val="clear" w:color="auto" w:fill="99CCFF"/>
          </w:tcPr>
          <w:p w:rsidR="00981F2D" w:rsidRPr="00981F2D" w:rsidRDefault="00981F2D" w:rsidP="00981F2D">
            <w:pPr>
              <w:widowControl/>
              <w:numPr>
                <w:ilvl w:val="0"/>
                <w:numId w:val="1"/>
              </w:numPr>
              <w:tabs>
                <w:tab w:val="clear" w:pos="360"/>
                <w:tab w:val="num" w:pos="460"/>
              </w:tabs>
              <w:autoSpaceDE/>
              <w:autoSpaceDN/>
              <w:adjustRightInd/>
              <w:spacing w:before="60" w:after="60" w:line="240" w:lineRule="auto"/>
              <w:ind w:left="460" w:hanging="426"/>
              <w:jc w:val="both"/>
              <w:rPr>
                <w:rFonts w:eastAsia="Calibri" w:cs="Times New Roman"/>
                <w:b/>
                <w:color w:val="000000"/>
                <w:sz w:val="22"/>
                <w:szCs w:val="22"/>
                <w:lang w:eastAsia="en-US"/>
              </w:rPr>
            </w:pPr>
            <w:r w:rsidRPr="00981F2D">
              <w:rPr>
                <w:rFonts w:eastAsia="Calibri" w:cs="Times New Roman"/>
                <w:b/>
                <w:color w:val="000000"/>
                <w:sz w:val="22"/>
                <w:szCs w:val="22"/>
                <w:lang w:eastAsia="en-US"/>
              </w:rPr>
              <w:t xml:space="preserve">Załączniki </w:t>
            </w:r>
            <w:r w:rsidRPr="00981F2D">
              <w:rPr>
                <w:rFonts w:eastAsia="Calibri" w:cs="Times New Roman"/>
                <w:b/>
                <w:sz w:val="21"/>
                <w:szCs w:val="21"/>
                <w:lang w:eastAsia="en-US"/>
              </w:rPr>
              <w:t>(istotne dokumenty źródłowe, badania, analizy itp.</w:t>
            </w:r>
            <w:r w:rsidRPr="00981F2D">
              <w:rPr>
                <w:rFonts w:eastAsia="Calibri" w:cs="Times New Roman"/>
                <w:b/>
                <w:color w:val="000000"/>
                <w:sz w:val="22"/>
                <w:szCs w:val="22"/>
                <w:lang w:eastAsia="en-US"/>
              </w:rPr>
              <w:t xml:space="preserve">) </w:t>
            </w:r>
          </w:p>
        </w:tc>
      </w:tr>
      <w:tr w:rsidR="00981F2D" w:rsidRPr="00981F2D" w:rsidTr="00B14587">
        <w:trPr>
          <w:gridAfter w:val="1"/>
          <w:wAfter w:w="10" w:type="dxa"/>
          <w:trHeight w:val="142"/>
        </w:trPr>
        <w:tc>
          <w:tcPr>
            <w:tcW w:w="10937" w:type="dxa"/>
            <w:gridSpan w:val="29"/>
            <w:shd w:val="clear" w:color="auto" w:fill="FFFFFF"/>
          </w:tcPr>
          <w:p w:rsidR="00981F2D" w:rsidRPr="00981F2D" w:rsidRDefault="00981F2D" w:rsidP="00981F2D">
            <w:pPr>
              <w:widowControl/>
              <w:autoSpaceDE/>
              <w:autoSpaceDN/>
              <w:adjustRightInd/>
              <w:spacing w:before="120" w:after="120" w:line="240" w:lineRule="auto"/>
              <w:jc w:val="both"/>
              <w:rPr>
                <w:rFonts w:eastAsia="Calibri" w:cs="Times New Roman"/>
                <w:color w:val="000000"/>
                <w:sz w:val="22"/>
                <w:szCs w:val="22"/>
                <w:lang w:eastAsia="en-US"/>
              </w:rPr>
            </w:pPr>
          </w:p>
        </w:tc>
      </w:tr>
    </w:tbl>
    <w:p w:rsidR="00931A10" w:rsidRDefault="00931A10" w:rsidP="00931A10">
      <w:pPr>
        <w:pStyle w:val="ARTartustawynprozporzdzenia"/>
        <w:ind w:firstLine="0"/>
      </w:pPr>
    </w:p>
    <w:sectPr w:rsidR="00931A10" w:rsidSect="00B14587">
      <w:pgSz w:w="11906" w:h="16838"/>
      <w:pgMar w:top="568" w:right="707" w:bottom="568" w:left="720" w:header="708" w:footer="29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4587" w:rsidRDefault="00B14587" w:rsidP="00931A10">
      <w:pPr>
        <w:spacing w:line="240" w:lineRule="auto"/>
      </w:pPr>
      <w:r>
        <w:separator/>
      </w:r>
    </w:p>
  </w:endnote>
  <w:endnote w:type="continuationSeparator" w:id="0">
    <w:p w:rsidR="00B14587" w:rsidRDefault="00B14587" w:rsidP="00931A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imes">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1100414"/>
      <w:docPartObj>
        <w:docPartGallery w:val="Page Numbers (Bottom of Page)"/>
        <w:docPartUnique/>
      </w:docPartObj>
    </w:sdtPr>
    <w:sdtEndPr/>
    <w:sdtContent>
      <w:p w:rsidR="00B14587" w:rsidRDefault="00B14587" w:rsidP="00931A10">
        <w:pPr>
          <w:pStyle w:val="Stopka"/>
          <w:jc w:val="center"/>
        </w:pPr>
        <w:r>
          <w:fldChar w:fldCharType="begin"/>
        </w:r>
        <w:r>
          <w:instrText>PAGE   \* MERGEFORMAT</w:instrText>
        </w:r>
        <w:r>
          <w:fldChar w:fldCharType="separate"/>
        </w:r>
        <w:r w:rsidR="001964C6">
          <w:rPr>
            <w:noProof/>
          </w:rPr>
          <w:t>9</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4587" w:rsidRDefault="00B14587" w:rsidP="00931A10">
      <w:pPr>
        <w:spacing w:line="240" w:lineRule="auto"/>
      </w:pPr>
      <w:r>
        <w:separator/>
      </w:r>
    </w:p>
  </w:footnote>
  <w:footnote w:type="continuationSeparator" w:id="0">
    <w:p w:rsidR="00B14587" w:rsidRDefault="00B14587" w:rsidP="00931A1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2A41E7"/>
    <w:multiLevelType w:val="hybridMultilevel"/>
    <w:tmpl w:val="1F5C7EEA"/>
    <w:lvl w:ilvl="0" w:tplc="680E46FE">
      <w:start w:val="1"/>
      <w:numFmt w:val="decimal"/>
      <w:lvlText w:val="%1."/>
      <w:lvlJc w:val="left"/>
      <w:pPr>
        <w:tabs>
          <w:tab w:val="num" w:pos="360"/>
        </w:tabs>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3BA325F4"/>
    <w:multiLevelType w:val="hybridMultilevel"/>
    <w:tmpl w:val="8C9CADC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7B6657E7"/>
    <w:multiLevelType w:val="hybridMultilevel"/>
    <w:tmpl w:val="1B9222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569"/>
    <w:rsid w:val="00014397"/>
    <w:rsid w:val="00047041"/>
    <w:rsid w:val="000932E1"/>
    <w:rsid w:val="000F0E86"/>
    <w:rsid w:val="00156BCD"/>
    <w:rsid w:val="001964C6"/>
    <w:rsid w:val="001C36B9"/>
    <w:rsid w:val="001C37A1"/>
    <w:rsid w:val="001D4D8F"/>
    <w:rsid w:val="00200651"/>
    <w:rsid w:val="00204E85"/>
    <w:rsid w:val="00234299"/>
    <w:rsid w:val="002A5FF4"/>
    <w:rsid w:val="002B493F"/>
    <w:rsid w:val="002B6FFB"/>
    <w:rsid w:val="003342A3"/>
    <w:rsid w:val="0033476E"/>
    <w:rsid w:val="0036609B"/>
    <w:rsid w:val="003814F4"/>
    <w:rsid w:val="003B1E5D"/>
    <w:rsid w:val="004813C3"/>
    <w:rsid w:val="004832D6"/>
    <w:rsid w:val="005601C9"/>
    <w:rsid w:val="00564E5D"/>
    <w:rsid w:val="00572A33"/>
    <w:rsid w:val="00575755"/>
    <w:rsid w:val="005B17CF"/>
    <w:rsid w:val="005F1B1E"/>
    <w:rsid w:val="00682F74"/>
    <w:rsid w:val="00772769"/>
    <w:rsid w:val="00844745"/>
    <w:rsid w:val="00881612"/>
    <w:rsid w:val="008929CD"/>
    <w:rsid w:val="008A60FF"/>
    <w:rsid w:val="008B21E4"/>
    <w:rsid w:val="008C3B19"/>
    <w:rsid w:val="008E5F36"/>
    <w:rsid w:val="008E6BCC"/>
    <w:rsid w:val="00931A10"/>
    <w:rsid w:val="00981F2D"/>
    <w:rsid w:val="009969E6"/>
    <w:rsid w:val="009C4179"/>
    <w:rsid w:val="009F0950"/>
    <w:rsid w:val="00A306AB"/>
    <w:rsid w:val="00B0566B"/>
    <w:rsid w:val="00B14587"/>
    <w:rsid w:val="00B95F73"/>
    <w:rsid w:val="00BA52E9"/>
    <w:rsid w:val="00CA70E1"/>
    <w:rsid w:val="00D01ED8"/>
    <w:rsid w:val="00D332C9"/>
    <w:rsid w:val="00D61279"/>
    <w:rsid w:val="00DC4796"/>
    <w:rsid w:val="00DD2EAC"/>
    <w:rsid w:val="00DE3569"/>
    <w:rsid w:val="00E10C6C"/>
    <w:rsid w:val="00E23371"/>
    <w:rsid w:val="00E34C93"/>
    <w:rsid w:val="00E90144"/>
    <w:rsid w:val="00EC6365"/>
    <w:rsid w:val="00EE4481"/>
    <w:rsid w:val="00F82D1B"/>
    <w:rsid w:val="00FB32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31A10"/>
    <w:pPr>
      <w:widowControl w:val="0"/>
      <w:autoSpaceDE w:val="0"/>
      <w:autoSpaceDN w:val="0"/>
      <w:adjustRightInd w:val="0"/>
      <w:spacing w:after="0" w:line="360" w:lineRule="auto"/>
    </w:pPr>
    <w:rPr>
      <w:rFonts w:ascii="Times New Roman" w:eastAsiaTheme="minorEastAsia" w:hAnsi="Times New Roman" w:cs="Arial"/>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RTartustawynprozporzdzenia">
    <w:name w:val="ART(§) – art. ustawy (§ np. rozporządzenia)"/>
    <w:uiPriority w:val="11"/>
    <w:qFormat/>
    <w:rsid w:val="00931A10"/>
    <w:pPr>
      <w:suppressAutoHyphens/>
      <w:autoSpaceDE w:val="0"/>
      <w:autoSpaceDN w:val="0"/>
      <w:adjustRightInd w:val="0"/>
      <w:spacing w:before="120" w:after="0" w:line="360" w:lineRule="auto"/>
      <w:ind w:firstLine="510"/>
      <w:jc w:val="both"/>
    </w:pPr>
    <w:rPr>
      <w:rFonts w:ascii="Times" w:eastAsiaTheme="minorEastAsia" w:hAnsi="Times" w:cs="Arial"/>
      <w:sz w:val="24"/>
      <w:szCs w:val="20"/>
      <w:lang w:eastAsia="pl-PL"/>
    </w:rPr>
  </w:style>
  <w:style w:type="paragraph" w:customStyle="1" w:styleId="TYTUAKTUprzedmiotregulacjiustawylubrozporzdzenia">
    <w:name w:val="TYTUŁ_AKTU – przedmiot regulacji ustawy lub rozporządzenia"/>
    <w:next w:val="ARTartustawynprozporzdzenia"/>
    <w:uiPriority w:val="6"/>
    <w:qFormat/>
    <w:rsid w:val="00931A10"/>
    <w:pPr>
      <w:keepNext/>
      <w:suppressAutoHyphens/>
      <w:spacing w:before="120" w:after="360" w:line="360" w:lineRule="auto"/>
      <w:jc w:val="center"/>
    </w:pPr>
    <w:rPr>
      <w:rFonts w:ascii="Times" w:eastAsiaTheme="minorEastAsia" w:hAnsi="Times" w:cs="Arial"/>
      <w:b/>
      <w:bCs/>
      <w:sz w:val="24"/>
      <w:szCs w:val="24"/>
      <w:lang w:eastAsia="pl-PL"/>
    </w:rPr>
  </w:style>
  <w:style w:type="paragraph" w:customStyle="1" w:styleId="DATAAKTUdatauchwalenialubwydaniaaktu">
    <w:name w:val="DATA_AKTU – data uchwalenia lub wydania aktu"/>
    <w:next w:val="TYTUAKTUprzedmiotregulacjiustawylubrozporzdzenia"/>
    <w:uiPriority w:val="6"/>
    <w:qFormat/>
    <w:rsid w:val="00931A10"/>
    <w:pPr>
      <w:keepNext/>
      <w:suppressAutoHyphens/>
      <w:spacing w:before="120" w:after="120" w:line="360" w:lineRule="auto"/>
      <w:jc w:val="center"/>
    </w:pPr>
    <w:rPr>
      <w:rFonts w:ascii="Times" w:eastAsiaTheme="minorEastAsia" w:hAnsi="Times" w:cs="Arial"/>
      <w:bCs/>
      <w:sz w:val="24"/>
      <w:szCs w:val="24"/>
      <w:lang w:eastAsia="pl-PL"/>
    </w:rPr>
  </w:style>
  <w:style w:type="paragraph" w:customStyle="1" w:styleId="OZNRODZAKTUtznustawalubrozporzdzenieiorganwydajcy">
    <w:name w:val="OZN_RODZ_AKTU – tzn. ustawa lub rozporządzenie i organ wydający"/>
    <w:next w:val="DATAAKTUdatauchwalenialubwydaniaaktu"/>
    <w:uiPriority w:val="5"/>
    <w:qFormat/>
    <w:rsid w:val="00931A10"/>
    <w:pPr>
      <w:keepNext/>
      <w:suppressAutoHyphens/>
      <w:spacing w:after="120" w:line="360" w:lineRule="auto"/>
      <w:jc w:val="center"/>
    </w:pPr>
    <w:rPr>
      <w:rFonts w:ascii="Times" w:eastAsia="Times New Roman" w:hAnsi="Times" w:cs="Times New Roman"/>
      <w:b/>
      <w:bCs/>
      <w:caps/>
      <w:spacing w:val="54"/>
      <w:kern w:val="24"/>
      <w:sz w:val="24"/>
      <w:szCs w:val="24"/>
      <w:lang w:eastAsia="pl-PL"/>
    </w:rPr>
  </w:style>
  <w:style w:type="paragraph" w:customStyle="1" w:styleId="ODNONIKtreodnonika">
    <w:name w:val="ODNOŚNIK – treść odnośnika"/>
    <w:uiPriority w:val="19"/>
    <w:qFormat/>
    <w:rsid w:val="00931A10"/>
    <w:pPr>
      <w:spacing w:after="0" w:line="240" w:lineRule="auto"/>
      <w:ind w:left="284" w:hanging="284"/>
      <w:jc w:val="both"/>
    </w:pPr>
    <w:rPr>
      <w:rFonts w:ascii="Times New Roman" w:eastAsiaTheme="minorEastAsia" w:hAnsi="Times New Roman" w:cs="Arial"/>
      <w:sz w:val="20"/>
      <w:szCs w:val="20"/>
      <w:lang w:eastAsia="pl-PL"/>
    </w:rPr>
  </w:style>
  <w:style w:type="paragraph" w:customStyle="1" w:styleId="ZUSTzmustartykuempunktem">
    <w:name w:val="Z/UST(§) – zm. ust. (§) artykułem (punktem)"/>
    <w:basedOn w:val="Normalny"/>
    <w:uiPriority w:val="30"/>
    <w:qFormat/>
    <w:rsid w:val="00931A10"/>
    <w:pPr>
      <w:suppressAutoHyphens/>
      <w:ind w:left="510" w:firstLine="510"/>
      <w:jc w:val="both"/>
    </w:pPr>
    <w:rPr>
      <w:rFonts w:ascii="Times" w:hAnsi="Times"/>
    </w:rPr>
  </w:style>
  <w:style w:type="paragraph" w:customStyle="1" w:styleId="OZNPROJEKTUwskazaniedatylubwersjiprojektu">
    <w:name w:val="OZN_PROJEKTU – wskazanie daty lub wersji projektu"/>
    <w:next w:val="OZNRODZAKTUtznustawalubrozporzdzenieiorganwydajcy"/>
    <w:uiPriority w:val="5"/>
    <w:qFormat/>
    <w:rsid w:val="00931A10"/>
    <w:pPr>
      <w:spacing w:after="0" w:line="360" w:lineRule="auto"/>
      <w:jc w:val="right"/>
    </w:pPr>
    <w:rPr>
      <w:rFonts w:ascii="Times New Roman" w:eastAsiaTheme="minorEastAsia" w:hAnsi="Times New Roman" w:cs="Arial"/>
      <w:sz w:val="24"/>
      <w:szCs w:val="20"/>
      <w:u w:val="single"/>
      <w:lang w:eastAsia="pl-PL"/>
    </w:rPr>
  </w:style>
  <w:style w:type="character" w:customStyle="1" w:styleId="IGindeksgrny">
    <w:name w:val="_IG_ – indeks górny"/>
    <w:basedOn w:val="Domylnaczcionkaakapitu"/>
    <w:uiPriority w:val="2"/>
    <w:qFormat/>
    <w:rsid w:val="00931A10"/>
    <w:rPr>
      <w:b w:val="0"/>
      <w:bCs w:val="0"/>
      <w:i w:val="0"/>
      <w:iCs w:val="0"/>
      <w:vanish w:val="0"/>
      <w:webHidden w:val="0"/>
      <w:spacing w:val="0"/>
      <w:vertAlign w:val="superscript"/>
      <w:specVanish w:val="0"/>
    </w:rPr>
  </w:style>
  <w:style w:type="character" w:customStyle="1" w:styleId="Ppogrubienie">
    <w:name w:val="_P_ – pogrubienie"/>
    <w:basedOn w:val="Domylnaczcionkaakapitu"/>
    <w:uiPriority w:val="1"/>
    <w:qFormat/>
    <w:rsid w:val="00931A10"/>
    <w:rPr>
      <w:b/>
      <w:bCs w:val="0"/>
    </w:rPr>
  </w:style>
  <w:style w:type="paragraph" w:styleId="Nagwek">
    <w:name w:val="header"/>
    <w:basedOn w:val="Normalny"/>
    <w:link w:val="NagwekZnak"/>
    <w:uiPriority w:val="99"/>
    <w:semiHidden/>
    <w:rsid w:val="00931A10"/>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basedOn w:val="Domylnaczcionkaakapitu"/>
    <w:link w:val="Nagwek"/>
    <w:uiPriority w:val="99"/>
    <w:semiHidden/>
    <w:rsid w:val="00931A10"/>
    <w:rPr>
      <w:rFonts w:ascii="Times" w:eastAsia="Times New Roman" w:hAnsi="Times" w:cs="Times New Roman"/>
      <w:kern w:val="1"/>
      <w:sz w:val="24"/>
      <w:szCs w:val="24"/>
      <w:lang w:eastAsia="ar-SA"/>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931A10"/>
    <w:rPr>
      <w:bCs/>
    </w:rPr>
  </w:style>
  <w:style w:type="paragraph" w:customStyle="1" w:styleId="TYTDZOZNoznaczenietytuulubdziau">
    <w:name w:val="TYT(DZ)_OZN – oznaczenie tytułu lub działu"/>
    <w:next w:val="Normalny"/>
    <w:uiPriority w:val="9"/>
    <w:qFormat/>
    <w:rsid w:val="00931A10"/>
    <w:pPr>
      <w:keepNext/>
      <w:spacing w:before="120" w:after="0" w:line="360" w:lineRule="auto"/>
      <w:jc w:val="center"/>
    </w:pPr>
    <w:rPr>
      <w:rFonts w:ascii="Times" w:eastAsiaTheme="minorEastAsia" w:hAnsi="Times" w:cs="Arial"/>
      <w:bCs/>
      <w:caps/>
      <w:kern w:val="24"/>
      <w:sz w:val="24"/>
      <w:szCs w:val="24"/>
      <w:lang w:eastAsia="pl-PL"/>
    </w:rPr>
  </w:style>
  <w:style w:type="paragraph" w:styleId="Stopka">
    <w:name w:val="footer"/>
    <w:basedOn w:val="Normalny"/>
    <w:link w:val="StopkaZnak"/>
    <w:uiPriority w:val="99"/>
    <w:unhideWhenUsed/>
    <w:rsid w:val="00931A10"/>
    <w:pPr>
      <w:tabs>
        <w:tab w:val="center" w:pos="4536"/>
        <w:tab w:val="right" w:pos="9072"/>
      </w:tabs>
      <w:spacing w:line="240" w:lineRule="auto"/>
    </w:pPr>
  </w:style>
  <w:style w:type="character" w:customStyle="1" w:styleId="StopkaZnak">
    <w:name w:val="Stopka Znak"/>
    <w:basedOn w:val="Domylnaczcionkaakapitu"/>
    <w:link w:val="Stopka"/>
    <w:uiPriority w:val="99"/>
    <w:rsid w:val="00931A10"/>
    <w:rPr>
      <w:rFonts w:ascii="Times New Roman" w:eastAsiaTheme="minorEastAsia" w:hAnsi="Times New Roman" w:cs="Arial"/>
      <w:sz w:val="24"/>
      <w:szCs w:val="20"/>
      <w:lang w:eastAsia="pl-PL"/>
    </w:rPr>
  </w:style>
  <w:style w:type="table" w:styleId="Jasnecieniowanieakcent5">
    <w:name w:val="Light Shading Accent 5"/>
    <w:basedOn w:val="Standardowy"/>
    <w:uiPriority w:val="60"/>
    <w:rsid w:val="00981F2D"/>
    <w:pPr>
      <w:spacing w:after="0" w:line="240" w:lineRule="auto"/>
    </w:pPr>
    <w:rPr>
      <w:rFonts w:ascii="Calibri" w:eastAsia="Calibri" w:hAnsi="Calibri" w:cs="Times New Roman"/>
      <w:color w:val="31849B" w:themeColor="accent5" w:themeShade="BF"/>
      <w:sz w:val="20"/>
      <w:szCs w:val="20"/>
      <w:lang w:eastAsia="pl-PL"/>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Tekstdymka">
    <w:name w:val="Balloon Text"/>
    <w:basedOn w:val="Normalny"/>
    <w:link w:val="TekstdymkaZnak"/>
    <w:uiPriority w:val="99"/>
    <w:semiHidden/>
    <w:unhideWhenUsed/>
    <w:rsid w:val="00981F2D"/>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81F2D"/>
    <w:rPr>
      <w:rFonts w:ascii="Tahoma" w:eastAsiaTheme="minorEastAsia" w:hAnsi="Tahoma" w:cs="Tahoma"/>
      <w:sz w:val="16"/>
      <w:szCs w:val="16"/>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31A10"/>
    <w:pPr>
      <w:widowControl w:val="0"/>
      <w:autoSpaceDE w:val="0"/>
      <w:autoSpaceDN w:val="0"/>
      <w:adjustRightInd w:val="0"/>
      <w:spacing w:after="0" w:line="360" w:lineRule="auto"/>
    </w:pPr>
    <w:rPr>
      <w:rFonts w:ascii="Times New Roman" w:eastAsiaTheme="minorEastAsia" w:hAnsi="Times New Roman" w:cs="Arial"/>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RTartustawynprozporzdzenia">
    <w:name w:val="ART(§) – art. ustawy (§ np. rozporządzenia)"/>
    <w:uiPriority w:val="11"/>
    <w:qFormat/>
    <w:rsid w:val="00931A10"/>
    <w:pPr>
      <w:suppressAutoHyphens/>
      <w:autoSpaceDE w:val="0"/>
      <w:autoSpaceDN w:val="0"/>
      <w:adjustRightInd w:val="0"/>
      <w:spacing w:before="120" w:after="0" w:line="360" w:lineRule="auto"/>
      <w:ind w:firstLine="510"/>
      <w:jc w:val="both"/>
    </w:pPr>
    <w:rPr>
      <w:rFonts w:ascii="Times" w:eastAsiaTheme="minorEastAsia" w:hAnsi="Times" w:cs="Arial"/>
      <w:sz w:val="24"/>
      <w:szCs w:val="20"/>
      <w:lang w:eastAsia="pl-PL"/>
    </w:rPr>
  </w:style>
  <w:style w:type="paragraph" w:customStyle="1" w:styleId="TYTUAKTUprzedmiotregulacjiustawylubrozporzdzenia">
    <w:name w:val="TYTUŁ_AKTU – przedmiot regulacji ustawy lub rozporządzenia"/>
    <w:next w:val="ARTartustawynprozporzdzenia"/>
    <w:uiPriority w:val="6"/>
    <w:qFormat/>
    <w:rsid w:val="00931A10"/>
    <w:pPr>
      <w:keepNext/>
      <w:suppressAutoHyphens/>
      <w:spacing w:before="120" w:after="360" w:line="360" w:lineRule="auto"/>
      <w:jc w:val="center"/>
    </w:pPr>
    <w:rPr>
      <w:rFonts w:ascii="Times" w:eastAsiaTheme="minorEastAsia" w:hAnsi="Times" w:cs="Arial"/>
      <w:b/>
      <w:bCs/>
      <w:sz w:val="24"/>
      <w:szCs w:val="24"/>
      <w:lang w:eastAsia="pl-PL"/>
    </w:rPr>
  </w:style>
  <w:style w:type="paragraph" w:customStyle="1" w:styleId="DATAAKTUdatauchwalenialubwydaniaaktu">
    <w:name w:val="DATA_AKTU – data uchwalenia lub wydania aktu"/>
    <w:next w:val="TYTUAKTUprzedmiotregulacjiustawylubrozporzdzenia"/>
    <w:uiPriority w:val="6"/>
    <w:qFormat/>
    <w:rsid w:val="00931A10"/>
    <w:pPr>
      <w:keepNext/>
      <w:suppressAutoHyphens/>
      <w:spacing w:before="120" w:after="120" w:line="360" w:lineRule="auto"/>
      <w:jc w:val="center"/>
    </w:pPr>
    <w:rPr>
      <w:rFonts w:ascii="Times" w:eastAsiaTheme="minorEastAsia" w:hAnsi="Times" w:cs="Arial"/>
      <w:bCs/>
      <w:sz w:val="24"/>
      <w:szCs w:val="24"/>
      <w:lang w:eastAsia="pl-PL"/>
    </w:rPr>
  </w:style>
  <w:style w:type="paragraph" w:customStyle="1" w:styleId="OZNRODZAKTUtznustawalubrozporzdzenieiorganwydajcy">
    <w:name w:val="OZN_RODZ_AKTU – tzn. ustawa lub rozporządzenie i organ wydający"/>
    <w:next w:val="DATAAKTUdatauchwalenialubwydaniaaktu"/>
    <w:uiPriority w:val="5"/>
    <w:qFormat/>
    <w:rsid w:val="00931A10"/>
    <w:pPr>
      <w:keepNext/>
      <w:suppressAutoHyphens/>
      <w:spacing w:after="120" w:line="360" w:lineRule="auto"/>
      <w:jc w:val="center"/>
    </w:pPr>
    <w:rPr>
      <w:rFonts w:ascii="Times" w:eastAsia="Times New Roman" w:hAnsi="Times" w:cs="Times New Roman"/>
      <w:b/>
      <w:bCs/>
      <w:caps/>
      <w:spacing w:val="54"/>
      <w:kern w:val="24"/>
      <w:sz w:val="24"/>
      <w:szCs w:val="24"/>
      <w:lang w:eastAsia="pl-PL"/>
    </w:rPr>
  </w:style>
  <w:style w:type="paragraph" w:customStyle="1" w:styleId="ODNONIKtreodnonika">
    <w:name w:val="ODNOŚNIK – treść odnośnika"/>
    <w:uiPriority w:val="19"/>
    <w:qFormat/>
    <w:rsid w:val="00931A10"/>
    <w:pPr>
      <w:spacing w:after="0" w:line="240" w:lineRule="auto"/>
      <w:ind w:left="284" w:hanging="284"/>
      <w:jc w:val="both"/>
    </w:pPr>
    <w:rPr>
      <w:rFonts w:ascii="Times New Roman" w:eastAsiaTheme="minorEastAsia" w:hAnsi="Times New Roman" w:cs="Arial"/>
      <w:sz w:val="20"/>
      <w:szCs w:val="20"/>
      <w:lang w:eastAsia="pl-PL"/>
    </w:rPr>
  </w:style>
  <w:style w:type="paragraph" w:customStyle="1" w:styleId="ZUSTzmustartykuempunktem">
    <w:name w:val="Z/UST(§) – zm. ust. (§) artykułem (punktem)"/>
    <w:basedOn w:val="Normalny"/>
    <w:uiPriority w:val="30"/>
    <w:qFormat/>
    <w:rsid w:val="00931A10"/>
    <w:pPr>
      <w:suppressAutoHyphens/>
      <w:ind w:left="510" w:firstLine="510"/>
      <w:jc w:val="both"/>
    </w:pPr>
    <w:rPr>
      <w:rFonts w:ascii="Times" w:hAnsi="Times"/>
    </w:rPr>
  </w:style>
  <w:style w:type="paragraph" w:customStyle="1" w:styleId="OZNPROJEKTUwskazaniedatylubwersjiprojektu">
    <w:name w:val="OZN_PROJEKTU – wskazanie daty lub wersji projektu"/>
    <w:next w:val="OZNRODZAKTUtznustawalubrozporzdzenieiorganwydajcy"/>
    <w:uiPriority w:val="5"/>
    <w:qFormat/>
    <w:rsid w:val="00931A10"/>
    <w:pPr>
      <w:spacing w:after="0" w:line="360" w:lineRule="auto"/>
      <w:jc w:val="right"/>
    </w:pPr>
    <w:rPr>
      <w:rFonts w:ascii="Times New Roman" w:eastAsiaTheme="minorEastAsia" w:hAnsi="Times New Roman" w:cs="Arial"/>
      <w:sz w:val="24"/>
      <w:szCs w:val="20"/>
      <w:u w:val="single"/>
      <w:lang w:eastAsia="pl-PL"/>
    </w:rPr>
  </w:style>
  <w:style w:type="character" w:customStyle="1" w:styleId="IGindeksgrny">
    <w:name w:val="_IG_ – indeks górny"/>
    <w:basedOn w:val="Domylnaczcionkaakapitu"/>
    <w:uiPriority w:val="2"/>
    <w:qFormat/>
    <w:rsid w:val="00931A10"/>
    <w:rPr>
      <w:b w:val="0"/>
      <w:bCs w:val="0"/>
      <w:i w:val="0"/>
      <w:iCs w:val="0"/>
      <w:vanish w:val="0"/>
      <w:webHidden w:val="0"/>
      <w:spacing w:val="0"/>
      <w:vertAlign w:val="superscript"/>
      <w:specVanish w:val="0"/>
    </w:rPr>
  </w:style>
  <w:style w:type="character" w:customStyle="1" w:styleId="Ppogrubienie">
    <w:name w:val="_P_ – pogrubienie"/>
    <w:basedOn w:val="Domylnaczcionkaakapitu"/>
    <w:uiPriority w:val="1"/>
    <w:qFormat/>
    <w:rsid w:val="00931A10"/>
    <w:rPr>
      <w:b/>
      <w:bCs w:val="0"/>
    </w:rPr>
  </w:style>
  <w:style w:type="paragraph" w:styleId="Nagwek">
    <w:name w:val="header"/>
    <w:basedOn w:val="Normalny"/>
    <w:link w:val="NagwekZnak"/>
    <w:uiPriority w:val="99"/>
    <w:semiHidden/>
    <w:rsid w:val="00931A10"/>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basedOn w:val="Domylnaczcionkaakapitu"/>
    <w:link w:val="Nagwek"/>
    <w:uiPriority w:val="99"/>
    <w:semiHidden/>
    <w:rsid w:val="00931A10"/>
    <w:rPr>
      <w:rFonts w:ascii="Times" w:eastAsia="Times New Roman" w:hAnsi="Times" w:cs="Times New Roman"/>
      <w:kern w:val="1"/>
      <w:sz w:val="24"/>
      <w:szCs w:val="24"/>
      <w:lang w:eastAsia="ar-SA"/>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931A10"/>
    <w:rPr>
      <w:bCs/>
    </w:rPr>
  </w:style>
  <w:style w:type="paragraph" w:customStyle="1" w:styleId="TYTDZOZNoznaczenietytuulubdziau">
    <w:name w:val="TYT(DZ)_OZN – oznaczenie tytułu lub działu"/>
    <w:next w:val="Normalny"/>
    <w:uiPriority w:val="9"/>
    <w:qFormat/>
    <w:rsid w:val="00931A10"/>
    <w:pPr>
      <w:keepNext/>
      <w:spacing w:before="120" w:after="0" w:line="360" w:lineRule="auto"/>
      <w:jc w:val="center"/>
    </w:pPr>
    <w:rPr>
      <w:rFonts w:ascii="Times" w:eastAsiaTheme="minorEastAsia" w:hAnsi="Times" w:cs="Arial"/>
      <w:bCs/>
      <w:caps/>
      <w:kern w:val="24"/>
      <w:sz w:val="24"/>
      <w:szCs w:val="24"/>
      <w:lang w:eastAsia="pl-PL"/>
    </w:rPr>
  </w:style>
  <w:style w:type="paragraph" w:styleId="Stopka">
    <w:name w:val="footer"/>
    <w:basedOn w:val="Normalny"/>
    <w:link w:val="StopkaZnak"/>
    <w:uiPriority w:val="99"/>
    <w:unhideWhenUsed/>
    <w:rsid w:val="00931A10"/>
    <w:pPr>
      <w:tabs>
        <w:tab w:val="center" w:pos="4536"/>
        <w:tab w:val="right" w:pos="9072"/>
      </w:tabs>
      <w:spacing w:line="240" w:lineRule="auto"/>
    </w:pPr>
  </w:style>
  <w:style w:type="character" w:customStyle="1" w:styleId="StopkaZnak">
    <w:name w:val="Stopka Znak"/>
    <w:basedOn w:val="Domylnaczcionkaakapitu"/>
    <w:link w:val="Stopka"/>
    <w:uiPriority w:val="99"/>
    <w:rsid w:val="00931A10"/>
    <w:rPr>
      <w:rFonts w:ascii="Times New Roman" w:eastAsiaTheme="minorEastAsia" w:hAnsi="Times New Roman" w:cs="Arial"/>
      <w:sz w:val="24"/>
      <w:szCs w:val="20"/>
      <w:lang w:eastAsia="pl-PL"/>
    </w:rPr>
  </w:style>
  <w:style w:type="table" w:styleId="Jasnecieniowanieakcent5">
    <w:name w:val="Light Shading Accent 5"/>
    <w:basedOn w:val="Standardowy"/>
    <w:uiPriority w:val="60"/>
    <w:rsid w:val="00981F2D"/>
    <w:pPr>
      <w:spacing w:after="0" w:line="240" w:lineRule="auto"/>
    </w:pPr>
    <w:rPr>
      <w:rFonts w:ascii="Calibri" w:eastAsia="Calibri" w:hAnsi="Calibri" w:cs="Times New Roman"/>
      <w:color w:val="31849B" w:themeColor="accent5" w:themeShade="BF"/>
      <w:sz w:val="20"/>
      <w:szCs w:val="20"/>
      <w:lang w:eastAsia="pl-PL"/>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Tekstdymka">
    <w:name w:val="Balloon Text"/>
    <w:basedOn w:val="Normalny"/>
    <w:link w:val="TekstdymkaZnak"/>
    <w:uiPriority w:val="99"/>
    <w:semiHidden/>
    <w:unhideWhenUsed/>
    <w:rsid w:val="00981F2D"/>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81F2D"/>
    <w:rPr>
      <w:rFonts w:ascii="Tahoma" w:eastAsiaTheme="minorEastAsia" w:hAnsi="Tahoma" w:cs="Tahoma"/>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4429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Kamil.Jonski\Desktop\koszty%20s&#261;dowe%20w%20sprawach%20cywilnych\warto&#347;ci.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Kamil.Jonski\Desktop\koszty%20s&#261;dowe%20w%20sprawach%20cywilnych\rejony.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Kamil.Jonski\Desktop\koszty%20s&#261;dowe%20w%20sprawach%20cywilnych\rejony.xlsx" TargetMode="External"/><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2.6236426329061813E-3"/>
          <c:y val="9.5923297616381589E-3"/>
          <c:w val="0.67180253203643658"/>
          <c:h val="0.98595516756553847"/>
        </c:manualLayout>
      </c:layout>
      <c:pieChart>
        <c:varyColors val="1"/>
        <c:ser>
          <c:idx val="0"/>
          <c:order val="0"/>
          <c:explosion val="11"/>
          <c:dPt>
            <c:idx val="0"/>
            <c:bubble3D val="0"/>
            <c:explosion val="0"/>
            <c:spPr>
              <a:solidFill>
                <a:schemeClr val="accent5">
                  <a:lumMod val="60000"/>
                  <a:lumOff val="40000"/>
                </a:schemeClr>
              </a:solidFill>
            </c:spPr>
          </c:dPt>
          <c:dPt>
            <c:idx val="1"/>
            <c:bubble3D val="0"/>
            <c:explosion val="0"/>
            <c:spPr>
              <a:solidFill>
                <a:srgbClr val="00B0F0"/>
              </a:solidFill>
              <a:ln>
                <a:solidFill>
                  <a:srgbClr val="00B0F0"/>
                </a:solidFill>
              </a:ln>
            </c:spPr>
          </c:dPt>
          <c:dPt>
            <c:idx val="2"/>
            <c:bubble3D val="0"/>
            <c:explosion val="0"/>
            <c:spPr>
              <a:solidFill>
                <a:schemeClr val="accent2">
                  <a:lumMod val="60000"/>
                  <a:lumOff val="40000"/>
                </a:schemeClr>
              </a:solidFill>
            </c:spPr>
          </c:dPt>
          <c:dPt>
            <c:idx val="3"/>
            <c:bubble3D val="0"/>
            <c:spPr>
              <a:solidFill>
                <a:srgbClr val="FF0000"/>
              </a:solidFill>
            </c:spPr>
          </c:dPt>
          <c:dLbls>
            <c:dLbl>
              <c:idx val="1"/>
              <c:layout>
                <c:manualLayout>
                  <c:x val="1.8989884903700325E-2"/>
                  <c:y val="0.104412770118822"/>
                </c:manualLayout>
              </c:layout>
              <c:showLegendKey val="0"/>
              <c:showVal val="0"/>
              <c:showCatName val="0"/>
              <c:showSerName val="0"/>
              <c:showPercent val="1"/>
              <c:showBubbleSize val="0"/>
            </c:dLbl>
            <c:dLbl>
              <c:idx val="2"/>
              <c:layout>
                <c:manualLayout>
                  <c:x val="-9.9094616745512964E-3"/>
                  <c:y val="1.8318029845407367E-3"/>
                </c:manualLayout>
              </c:layout>
              <c:showLegendKey val="0"/>
              <c:showVal val="0"/>
              <c:showCatName val="0"/>
              <c:showSerName val="0"/>
              <c:showPercent val="1"/>
              <c:showBubbleSize val="0"/>
            </c:dLbl>
            <c:dLbl>
              <c:idx val="3"/>
              <c:layout>
                <c:manualLayout>
                  <c:x val="0.1990074879366929"/>
                  <c:y val="1.8318029845407367E-3"/>
                </c:manualLayout>
              </c:layout>
              <c:tx>
                <c:rich>
                  <a:bodyPr/>
                  <a:lstStyle/>
                  <a:p>
                    <a:pPr>
                      <a:defRPr>
                        <a:latin typeface="Bookman Old Style" panose="02050604050505020204" pitchFamily="18" charset="0"/>
                      </a:defRPr>
                    </a:pPr>
                    <a:r>
                      <a:rPr lang="en-US">
                        <a:solidFill>
                          <a:srgbClr val="FF0000"/>
                        </a:solidFill>
                        <a:latin typeface="Bookman Old Style" panose="02050604050505020204" pitchFamily="18" charset="0"/>
                      </a:rPr>
                      <a:t>0,12%</a:t>
                    </a:r>
                    <a:endParaRPr lang="en-US">
                      <a:solidFill>
                        <a:srgbClr val="FF0000"/>
                      </a:solidFill>
                    </a:endParaRPr>
                  </a:p>
                </c:rich>
              </c:tx>
              <c:numFmt formatCode="0.00%" sourceLinked="0"/>
              <c:spPr/>
              <c:showLegendKey val="0"/>
              <c:showVal val="0"/>
              <c:showCatName val="0"/>
              <c:showSerName val="0"/>
              <c:showPercent val="1"/>
              <c:showBubbleSize val="0"/>
            </c:dLbl>
            <c:txPr>
              <a:bodyPr/>
              <a:lstStyle/>
              <a:p>
                <a:pPr>
                  <a:defRPr>
                    <a:latin typeface="Bookman Old Style" panose="02050604050505020204" pitchFamily="18" charset="0"/>
                  </a:defRPr>
                </a:pPr>
                <a:endParaRPr lang="pl-PL"/>
              </a:p>
            </c:txPr>
            <c:showLegendKey val="0"/>
            <c:showVal val="0"/>
            <c:showCatName val="0"/>
            <c:showSerName val="0"/>
            <c:showPercent val="1"/>
            <c:showBubbleSize val="0"/>
            <c:showLeaderLines val="1"/>
            <c:leaderLines>
              <c:spPr>
                <a:ln>
                  <a:solidFill>
                    <a:srgbClr val="FF0000"/>
                  </a:solidFill>
                </a:ln>
              </c:spPr>
            </c:leaderLines>
          </c:dLbls>
          <c:cat>
            <c:strRef>
              <c:f>Arkusz1!$A$20:$A$23</c:f>
              <c:strCache>
                <c:ptCount val="4"/>
                <c:pt idx="0">
                  <c:v>Cywilne SR</c:v>
                </c:pt>
                <c:pt idx="1">
                  <c:v>Cywilne SO</c:v>
                </c:pt>
                <c:pt idx="2">
                  <c:v>Gospodarcze SR</c:v>
                </c:pt>
                <c:pt idx="3">
                  <c:v>Gospodarcze SO</c:v>
                </c:pt>
              </c:strCache>
            </c:strRef>
          </c:cat>
          <c:val>
            <c:numRef>
              <c:f>Arkusz1!$B$20:$B$23</c:f>
              <c:numCache>
                <c:formatCode>_-* #,##0\ _z_ł_-;\-* #,##0\ _z_ł_-;_-* "-"??\ _z_ł_-;_-@_-</c:formatCode>
                <c:ptCount val="4"/>
                <c:pt idx="0">
                  <c:v>62629</c:v>
                </c:pt>
                <c:pt idx="1">
                  <c:v>2297</c:v>
                </c:pt>
                <c:pt idx="2" formatCode="General">
                  <c:v>482</c:v>
                </c:pt>
                <c:pt idx="3" formatCode="General">
                  <c:v>81</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61979439498086208"/>
          <c:y val="8.5565073878407186E-2"/>
          <c:w val="0.35770161469028378"/>
          <c:h val="0.82886927518083686"/>
        </c:manualLayout>
      </c:layout>
      <c:overlay val="0"/>
      <c:txPr>
        <a:bodyPr/>
        <a:lstStyle/>
        <a:p>
          <a:pPr>
            <a:defRPr>
              <a:latin typeface="Bookman Old Style" panose="02050604050505020204" pitchFamily="18" charset="0"/>
            </a:defRPr>
          </a:pPr>
          <a:endParaRPr lang="pl-PL"/>
        </a:p>
      </c:txPr>
    </c:legend>
    <c:plotVisOnly val="1"/>
    <c:dispBlanksAs val="gap"/>
    <c:showDLblsOverMax val="0"/>
  </c:chart>
  <c:spPr>
    <a:ln>
      <a:no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5286428550043413"/>
          <c:y val="5.5555728801226577E-2"/>
          <c:w val="0.81746534534894155"/>
          <c:h val="0.74345417218887244"/>
        </c:manualLayout>
      </c:layout>
      <c:lineChart>
        <c:grouping val="standard"/>
        <c:varyColors val="0"/>
        <c:ser>
          <c:idx val="0"/>
          <c:order val="0"/>
          <c:tx>
            <c:strRef>
              <c:f>SR!$Y$4</c:f>
              <c:strCache>
                <c:ptCount val="1"/>
                <c:pt idx="0">
                  <c:v>Roszczenia z umów bankowych</c:v>
                </c:pt>
              </c:strCache>
            </c:strRef>
          </c:tx>
          <c:spPr>
            <a:ln>
              <a:solidFill>
                <a:schemeClr val="tx1"/>
              </a:solidFill>
            </a:ln>
          </c:spPr>
          <c:marker>
            <c:symbol val="none"/>
          </c:marker>
          <c:dPt>
            <c:idx val="7"/>
            <c:bubble3D val="0"/>
            <c:spPr>
              <a:ln>
                <a:solidFill>
                  <a:schemeClr val="tx1"/>
                </a:solidFill>
                <a:prstDash val="sysDash"/>
              </a:ln>
            </c:spPr>
          </c:dPt>
          <c:cat>
            <c:strRef>
              <c:f>SR!$Z$3:$AG$3</c:f>
              <c:strCache>
                <c:ptCount val="8"/>
                <c:pt idx="0">
                  <c:v>Q1 2014</c:v>
                </c:pt>
                <c:pt idx="1">
                  <c:v>Q2 2014</c:v>
                </c:pt>
                <c:pt idx="2">
                  <c:v>Q3 2014</c:v>
                </c:pt>
                <c:pt idx="3">
                  <c:v>Q4 2014</c:v>
                </c:pt>
                <c:pt idx="4">
                  <c:v>Q1 2015</c:v>
                </c:pt>
                <c:pt idx="5">
                  <c:v>Q2 2015</c:v>
                </c:pt>
                <c:pt idx="6">
                  <c:v>Q3 2015</c:v>
                </c:pt>
                <c:pt idx="7">
                  <c:v>Q4 2015*</c:v>
                </c:pt>
              </c:strCache>
            </c:strRef>
          </c:cat>
          <c:val>
            <c:numRef>
              <c:f>SR!$Z$4:$AG$4</c:f>
              <c:numCache>
                <c:formatCode>_-* #,##0\ _z_ł_-;\-* #,##0\ _z_ł_-;_-* "-"??\ _z_ł_-;_-@_-</c:formatCode>
                <c:ptCount val="8"/>
                <c:pt idx="0">
                  <c:v>20240</c:v>
                </c:pt>
                <c:pt idx="1">
                  <c:v>24440</c:v>
                </c:pt>
                <c:pt idx="2">
                  <c:v>25949</c:v>
                </c:pt>
                <c:pt idx="3">
                  <c:v>26117</c:v>
                </c:pt>
                <c:pt idx="4">
                  <c:v>25925</c:v>
                </c:pt>
                <c:pt idx="5">
                  <c:v>19418</c:v>
                </c:pt>
                <c:pt idx="6">
                  <c:v>17286</c:v>
                </c:pt>
                <c:pt idx="7">
                  <c:v>24291.484598171679</c:v>
                </c:pt>
              </c:numCache>
            </c:numRef>
          </c:val>
          <c:smooth val="0"/>
        </c:ser>
        <c:ser>
          <c:idx val="2"/>
          <c:order val="1"/>
          <c:tx>
            <c:strRef>
              <c:f>SR!$Y$6</c:f>
              <c:strCache>
                <c:ptCount val="1"/>
              </c:strCache>
            </c:strRef>
          </c:tx>
          <c:spPr>
            <a:ln>
              <a:solidFill>
                <a:schemeClr val="tx1"/>
              </a:solidFill>
              <a:prstDash val="sysDot"/>
            </a:ln>
          </c:spPr>
          <c:marker>
            <c:symbol val="none"/>
          </c:marker>
          <c:cat>
            <c:strRef>
              <c:f>SR!$Z$3:$AG$3</c:f>
              <c:strCache>
                <c:ptCount val="8"/>
                <c:pt idx="0">
                  <c:v>Q1 2014</c:v>
                </c:pt>
                <c:pt idx="1">
                  <c:v>Q2 2014</c:v>
                </c:pt>
                <c:pt idx="2">
                  <c:v>Q3 2014</c:v>
                </c:pt>
                <c:pt idx="3">
                  <c:v>Q4 2014</c:v>
                </c:pt>
                <c:pt idx="4">
                  <c:v>Q1 2015</c:v>
                </c:pt>
                <c:pt idx="5">
                  <c:v>Q2 2015</c:v>
                </c:pt>
                <c:pt idx="6">
                  <c:v>Q3 2015</c:v>
                </c:pt>
                <c:pt idx="7">
                  <c:v>Q4 2015*</c:v>
                </c:pt>
              </c:strCache>
            </c:strRef>
          </c:cat>
          <c:val>
            <c:numRef>
              <c:f>SR!$Z$6:$AG$6</c:f>
              <c:numCache>
                <c:formatCode>0.00</c:formatCode>
                <c:ptCount val="8"/>
                <c:pt idx="0">
                  <c:v>22958.310574771458</c:v>
                </c:pt>
                <c:pt idx="1">
                  <c:v>22958.310574771458</c:v>
                </c:pt>
                <c:pt idx="2">
                  <c:v>22958.310574771458</c:v>
                </c:pt>
                <c:pt idx="3">
                  <c:v>22958.310574771458</c:v>
                </c:pt>
                <c:pt idx="4">
                  <c:v>22958.310574771458</c:v>
                </c:pt>
                <c:pt idx="5">
                  <c:v>22958.310574771458</c:v>
                </c:pt>
                <c:pt idx="6">
                  <c:v>22958.310574771458</c:v>
                </c:pt>
                <c:pt idx="7">
                  <c:v>22958.310574771458</c:v>
                </c:pt>
              </c:numCache>
            </c:numRef>
          </c:val>
          <c:smooth val="0"/>
        </c:ser>
        <c:dLbls>
          <c:showLegendKey val="0"/>
          <c:showVal val="0"/>
          <c:showCatName val="0"/>
          <c:showSerName val="0"/>
          <c:showPercent val="0"/>
          <c:showBubbleSize val="0"/>
        </c:dLbls>
        <c:marker val="1"/>
        <c:smooth val="0"/>
        <c:axId val="45687936"/>
        <c:axId val="45689472"/>
      </c:lineChart>
      <c:catAx>
        <c:axId val="45687936"/>
        <c:scaling>
          <c:orientation val="minMax"/>
        </c:scaling>
        <c:delete val="0"/>
        <c:axPos val="b"/>
        <c:majorTickMark val="out"/>
        <c:minorTickMark val="none"/>
        <c:tickLblPos val="nextTo"/>
        <c:crossAx val="45689472"/>
        <c:crosses val="autoZero"/>
        <c:auto val="1"/>
        <c:lblAlgn val="ctr"/>
        <c:lblOffset val="100"/>
        <c:noMultiLvlLbl val="0"/>
      </c:catAx>
      <c:valAx>
        <c:axId val="45689472"/>
        <c:scaling>
          <c:orientation val="minMax"/>
        </c:scaling>
        <c:delete val="0"/>
        <c:axPos val="l"/>
        <c:numFmt formatCode="_-* #,##0\ _z_ł_-;\-* #,##0\ _z_ł_-;_-* &quot;-&quot;??\ _z_ł_-;_-@_-" sourceLinked="1"/>
        <c:majorTickMark val="out"/>
        <c:minorTickMark val="none"/>
        <c:tickLblPos val="nextTo"/>
        <c:crossAx val="45687936"/>
        <c:crosses val="autoZero"/>
        <c:crossBetween val="between"/>
      </c:valAx>
      <c:spPr>
        <a:ln>
          <a:noFill/>
        </a:ln>
      </c:spPr>
    </c:plotArea>
    <c:legend>
      <c:legendPos val="r"/>
      <c:layout>
        <c:manualLayout>
          <c:xMode val="edge"/>
          <c:yMode val="edge"/>
          <c:x val="0.15320279831941158"/>
          <c:y val="0.68896650294950756"/>
          <c:w val="0.53826492220791788"/>
          <c:h val="0.10503484478233323"/>
        </c:manualLayout>
      </c:layout>
      <c:overlay val="0"/>
    </c:legend>
    <c:plotVisOnly val="1"/>
    <c:dispBlanksAs val="gap"/>
    <c:showDLblsOverMax val="0"/>
  </c:chart>
  <c:spPr>
    <a:ln>
      <a:noFill/>
    </a:ln>
  </c:spPr>
  <c:txPr>
    <a:bodyPr/>
    <a:lstStyle/>
    <a:p>
      <a:pPr>
        <a:defRPr>
          <a:latin typeface="Bookman Old Style" panose="02050604050505020204" pitchFamily="18" charset="0"/>
        </a:defRPr>
      </a:pPr>
      <a:endParaRPr lang="pl-PL"/>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3535258092738409"/>
          <c:y val="5.1400339663424423E-2"/>
          <c:w val="0.79251479336626007"/>
          <c:h val="0.73093664762492927"/>
        </c:manualLayout>
      </c:layout>
      <c:lineChart>
        <c:grouping val="standard"/>
        <c:varyColors val="0"/>
        <c:ser>
          <c:idx val="0"/>
          <c:order val="0"/>
          <c:tx>
            <c:strRef>
              <c:f>SO!$B$2</c:f>
              <c:strCache>
                <c:ptCount val="1"/>
                <c:pt idx="0">
                  <c:v>Roszczenia z umów bankowych</c:v>
                </c:pt>
              </c:strCache>
            </c:strRef>
          </c:tx>
          <c:spPr>
            <a:ln>
              <a:solidFill>
                <a:schemeClr val="tx1"/>
              </a:solidFill>
            </a:ln>
          </c:spPr>
          <c:marker>
            <c:symbol val="none"/>
          </c:marker>
          <c:dPt>
            <c:idx val="7"/>
            <c:bubble3D val="0"/>
            <c:spPr>
              <a:ln>
                <a:solidFill>
                  <a:schemeClr val="tx1"/>
                </a:solidFill>
                <a:prstDash val="dash"/>
              </a:ln>
            </c:spPr>
          </c:dPt>
          <c:cat>
            <c:strRef>
              <c:f>SO!$C$1:$J$1</c:f>
              <c:strCache>
                <c:ptCount val="8"/>
                <c:pt idx="0">
                  <c:v>Q1 2014</c:v>
                </c:pt>
                <c:pt idx="1">
                  <c:v>Q2 2014</c:v>
                </c:pt>
                <c:pt idx="2">
                  <c:v>Q3 2014</c:v>
                </c:pt>
                <c:pt idx="3">
                  <c:v>Q4 2014</c:v>
                </c:pt>
                <c:pt idx="4">
                  <c:v>Q1 2015</c:v>
                </c:pt>
                <c:pt idx="5">
                  <c:v>Q2 2015</c:v>
                </c:pt>
                <c:pt idx="6">
                  <c:v>Q3 2015</c:v>
                </c:pt>
                <c:pt idx="7">
                  <c:v>Q4 2015*</c:v>
                </c:pt>
              </c:strCache>
            </c:strRef>
          </c:cat>
          <c:val>
            <c:numRef>
              <c:f>SO!$C$2:$J$2</c:f>
              <c:numCache>
                <c:formatCode>_-* #,##0\ _z_ł_-;\-* #,##0\ _z_ł_-;_-* "-"??\ _z_ł_-;_-@_-</c:formatCode>
                <c:ptCount val="8"/>
                <c:pt idx="0">
                  <c:v>411</c:v>
                </c:pt>
                <c:pt idx="1">
                  <c:v>531</c:v>
                </c:pt>
                <c:pt idx="2">
                  <c:v>653</c:v>
                </c:pt>
                <c:pt idx="3">
                  <c:v>505</c:v>
                </c:pt>
                <c:pt idx="4">
                  <c:v>990</c:v>
                </c:pt>
                <c:pt idx="5">
                  <c:v>586</c:v>
                </c:pt>
                <c:pt idx="6">
                  <c:v>721</c:v>
                </c:pt>
                <c:pt idx="7">
                  <c:v>264.86610352264552</c:v>
                </c:pt>
              </c:numCache>
            </c:numRef>
          </c:val>
          <c:smooth val="0"/>
        </c:ser>
        <c:ser>
          <c:idx val="2"/>
          <c:order val="1"/>
          <c:tx>
            <c:strRef>
              <c:f>SO!$B$4</c:f>
              <c:strCache>
                <c:ptCount val="1"/>
              </c:strCache>
            </c:strRef>
          </c:tx>
          <c:spPr>
            <a:ln>
              <a:solidFill>
                <a:schemeClr val="tx1"/>
              </a:solidFill>
              <a:prstDash val="sysDot"/>
            </a:ln>
          </c:spPr>
          <c:marker>
            <c:symbol val="none"/>
          </c:marker>
          <c:cat>
            <c:strRef>
              <c:f>SO!$C$1:$J$1</c:f>
              <c:strCache>
                <c:ptCount val="8"/>
                <c:pt idx="0">
                  <c:v>Q1 2014</c:v>
                </c:pt>
                <c:pt idx="1">
                  <c:v>Q2 2014</c:v>
                </c:pt>
                <c:pt idx="2">
                  <c:v>Q3 2014</c:v>
                </c:pt>
                <c:pt idx="3">
                  <c:v>Q4 2014</c:v>
                </c:pt>
                <c:pt idx="4">
                  <c:v>Q1 2015</c:v>
                </c:pt>
                <c:pt idx="5">
                  <c:v>Q2 2015</c:v>
                </c:pt>
                <c:pt idx="6">
                  <c:v>Q3 2015</c:v>
                </c:pt>
                <c:pt idx="7">
                  <c:v>Q4 2015*</c:v>
                </c:pt>
              </c:strCache>
            </c:strRef>
          </c:cat>
          <c:val>
            <c:numRef>
              <c:f>SO!$C$4:$J$4</c:f>
              <c:numCache>
                <c:formatCode>_-* #,##0\ _z_ł_-;\-* #,##0\ _z_ł_-;_-* "-"??\ _z_ł_-;_-@_-</c:formatCode>
                <c:ptCount val="8"/>
                <c:pt idx="0">
                  <c:v>582.73326294033063</c:v>
                </c:pt>
                <c:pt idx="1">
                  <c:v>582.73326294033063</c:v>
                </c:pt>
                <c:pt idx="2">
                  <c:v>582.73326294033063</c:v>
                </c:pt>
                <c:pt idx="3">
                  <c:v>582.73326294033063</c:v>
                </c:pt>
                <c:pt idx="4">
                  <c:v>582.73326294033063</c:v>
                </c:pt>
                <c:pt idx="5">
                  <c:v>582.73326294033063</c:v>
                </c:pt>
                <c:pt idx="6">
                  <c:v>582.73326294033063</c:v>
                </c:pt>
                <c:pt idx="7">
                  <c:v>582.73326294033063</c:v>
                </c:pt>
              </c:numCache>
            </c:numRef>
          </c:val>
          <c:smooth val="0"/>
        </c:ser>
        <c:dLbls>
          <c:showLegendKey val="0"/>
          <c:showVal val="0"/>
          <c:showCatName val="0"/>
          <c:showSerName val="0"/>
          <c:showPercent val="0"/>
          <c:showBubbleSize val="0"/>
        </c:dLbls>
        <c:marker val="1"/>
        <c:smooth val="0"/>
        <c:axId val="45702528"/>
        <c:axId val="45724800"/>
      </c:lineChart>
      <c:catAx>
        <c:axId val="45702528"/>
        <c:scaling>
          <c:orientation val="minMax"/>
        </c:scaling>
        <c:delete val="0"/>
        <c:axPos val="b"/>
        <c:majorTickMark val="out"/>
        <c:minorTickMark val="none"/>
        <c:tickLblPos val="nextTo"/>
        <c:txPr>
          <a:bodyPr/>
          <a:lstStyle/>
          <a:p>
            <a:pPr>
              <a:defRPr>
                <a:latin typeface="Bookman Old Style" panose="02050604050505020204" pitchFamily="18" charset="0"/>
              </a:defRPr>
            </a:pPr>
            <a:endParaRPr lang="pl-PL"/>
          </a:p>
        </c:txPr>
        <c:crossAx val="45724800"/>
        <c:crosses val="autoZero"/>
        <c:auto val="1"/>
        <c:lblAlgn val="ctr"/>
        <c:lblOffset val="100"/>
        <c:noMultiLvlLbl val="0"/>
      </c:catAx>
      <c:valAx>
        <c:axId val="45724800"/>
        <c:scaling>
          <c:orientation val="minMax"/>
        </c:scaling>
        <c:delete val="0"/>
        <c:axPos val="l"/>
        <c:numFmt formatCode="_-* #,##0\ _z_ł_-;\-* #,##0\ _z_ł_-;_-* &quot;-&quot;??\ _z_ł_-;_-@_-" sourceLinked="1"/>
        <c:majorTickMark val="out"/>
        <c:minorTickMark val="none"/>
        <c:tickLblPos val="nextTo"/>
        <c:txPr>
          <a:bodyPr/>
          <a:lstStyle/>
          <a:p>
            <a:pPr>
              <a:defRPr>
                <a:latin typeface="Bookman Old Style" panose="02050604050505020204" pitchFamily="18" charset="0"/>
              </a:defRPr>
            </a:pPr>
            <a:endParaRPr lang="pl-PL"/>
          </a:p>
        </c:txPr>
        <c:crossAx val="45702528"/>
        <c:crosses val="autoZero"/>
        <c:crossBetween val="between"/>
      </c:valAx>
    </c:plotArea>
    <c:legend>
      <c:legendPos val="r"/>
      <c:layout>
        <c:manualLayout>
          <c:xMode val="edge"/>
          <c:yMode val="edge"/>
          <c:x val="0.13682123067949839"/>
          <c:y val="0.6686223045648706"/>
          <c:w val="0.52346417227998254"/>
          <c:h val="0.10910606762389996"/>
        </c:manualLayout>
      </c:layout>
      <c:overlay val="0"/>
      <c:txPr>
        <a:bodyPr/>
        <a:lstStyle/>
        <a:p>
          <a:pPr>
            <a:defRPr>
              <a:latin typeface="Bookman Old Style" panose="02050604050505020204" pitchFamily="18" charset="0"/>
            </a:defRPr>
          </a:pPr>
          <a:endParaRPr lang="pl-PL"/>
        </a:p>
      </c:txPr>
    </c:legend>
    <c:plotVisOnly val="1"/>
    <c:dispBlanksAs val="gap"/>
    <c:showDLblsOverMax val="0"/>
  </c:chart>
  <c:spPr>
    <a:ln>
      <a:noFill/>
    </a:ln>
  </c:spPr>
  <c:externalData r:id="rId2">
    <c:autoUpdate val="0"/>
  </c:externalData>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9</Pages>
  <Words>3092</Words>
  <Characters>18552</Characters>
  <Application>Microsoft Office Word</Application>
  <DocSecurity>0</DocSecurity>
  <Lines>154</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Binkowska Joanna</dc:creator>
  <cp:lastModifiedBy>Ewa A. Genert</cp:lastModifiedBy>
  <cp:revision>2</cp:revision>
  <dcterms:created xsi:type="dcterms:W3CDTF">2016-01-27T10:50:00Z</dcterms:created>
  <dcterms:modified xsi:type="dcterms:W3CDTF">2016-01-27T10:50:00Z</dcterms:modified>
</cp:coreProperties>
</file>