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391" w:rsidRPr="00BA3B32" w:rsidRDefault="00EE7A4B" w:rsidP="00556C6F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BA3B32">
        <w:rPr>
          <w:rFonts w:ascii="Times New Roman" w:hAnsi="Times New Roman"/>
          <w:sz w:val="24"/>
          <w:szCs w:val="24"/>
        </w:rPr>
        <w:t>UZASADNIENIE</w:t>
      </w:r>
    </w:p>
    <w:p w:rsidR="001A4766" w:rsidRPr="00BA3B32" w:rsidRDefault="001A4766" w:rsidP="00556C6F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2391" w:rsidRPr="00BA3B32" w:rsidRDefault="00392391" w:rsidP="00081A4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9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Potrzeba regulacji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3B32">
        <w:rPr>
          <w:rFonts w:ascii="Times New Roman" w:hAnsi="Times New Roman"/>
          <w:sz w:val="24"/>
          <w:szCs w:val="24"/>
        </w:rPr>
        <w:t>Projektodawca</w:t>
      </w:r>
      <w:r w:rsidR="00B67C7C">
        <w:rPr>
          <w:rFonts w:ascii="Times New Roman" w:hAnsi="Times New Roman"/>
          <w:sz w:val="24"/>
          <w:szCs w:val="24"/>
        </w:rPr>
        <w:t>,</w:t>
      </w:r>
      <w:r w:rsidRPr="00BA3B32">
        <w:rPr>
          <w:rFonts w:ascii="Times New Roman" w:hAnsi="Times New Roman"/>
          <w:sz w:val="24"/>
          <w:szCs w:val="24"/>
        </w:rPr>
        <w:t xml:space="preserve"> dokonując przeglądu najważniejszych problemów i utrudnień, </w:t>
      </w:r>
      <w:r w:rsidR="00A125A8" w:rsidRPr="00BA3B32">
        <w:rPr>
          <w:rFonts w:ascii="Times New Roman" w:hAnsi="Times New Roman"/>
          <w:sz w:val="24"/>
          <w:szCs w:val="24"/>
        </w:rPr>
        <w:t>z</w:t>
      </w:r>
      <w:r w:rsidR="00A125A8">
        <w:rPr>
          <w:rFonts w:ascii="Times New Roman" w:hAnsi="Times New Roman"/>
          <w:sz w:val="24"/>
          <w:szCs w:val="24"/>
        </w:rPr>
        <w:t> </w:t>
      </w:r>
      <w:r w:rsidRPr="00BA3B32">
        <w:rPr>
          <w:rFonts w:ascii="Times New Roman" w:hAnsi="Times New Roman"/>
          <w:sz w:val="24"/>
          <w:szCs w:val="24"/>
        </w:rPr>
        <w:t xml:space="preserve">którymi mierzą się obecnie polscy przedsiębiorcy, zidentyfikował potrzebę gruntownej przebudowy ogólnych przepisów odnoszących się do wykonywania </w:t>
      </w:r>
      <w:r w:rsidR="00A125A8" w:rsidRPr="00BA3B32">
        <w:rPr>
          <w:rFonts w:ascii="Times New Roman" w:hAnsi="Times New Roman"/>
          <w:sz w:val="24"/>
          <w:szCs w:val="24"/>
        </w:rPr>
        <w:t>w</w:t>
      </w:r>
      <w:r w:rsidR="00A125A8">
        <w:rPr>
          <w:rFonts w:ascii="Times New Roman" w:hAnsi="Times New Roman"/>
          <w:sz w:val="24"/>
          <w:szCs w:val="24"/>
        </w:rPr>
        <w:t> </w:t>
      </w:r>
      <w:r w:rsidRPr="00BA3B32">
        <w:rPr>
          <w:rFonts w:ascii="Times New Roman" w:hAnsi="Times New Roman"/>
          <w:sz w:val="24"/>
          <w:szCs w:val="24"/>
        </w:rPr>
        <w:t>Polsce działalności gospodarczej. W</w:t>
      </w:r>
      <w:r w:rsidR="00081A46" w:rsidRPr="00BA3B32">
        <w:rPr>
          <w:rFonts w:ascii="Times New Roman" w:hAnsi="Times New Roman"/>
          <w:sz w:val="24"/>
          <w:szCs w:val="24"/>
        </w:rPr>
        <w:t xml:space="preserve"> </w:t>
      </w:r>
      <w:r w:rsidRPr="00BA3B32">
        <w:rPr>
          <w:rFonts w:ascii="Times New Roman" w:hAnsi="Times New Roman"/>
          <w:sz w:val="24"/>
          <w:szCs w:val="24"/>
        </w:rPr>
        <w:t xml:space="preserve">wyniku powyższego przeglądu przystąpiono do realizacji pakietu regulacji pod zbiorczą nazwą „Konstytucja Biznesu”. W ramach realizacji wskazanego pakietu, zwrócono uwagę m.in. na konieczność połączenia </w:t>
      </w:r>
      <w:r w:rsidR="00BE282E" w:rsidRPr="00BA3B32">
        <w:rPr>
          <w:rFonts w:ascii="Times New Roman" w:hAnsi="Times New Roman"/>
          <w:sz w:val="24"/>
          <w:szCs w:val="24"/>
        </w:rPr>
        <w:t>w</w:t>
      </w:r>
      <w:r w:rsidR="00BE282E">
        <w:rPr>
          <w:rFonts w:ascii="Times New Roman" w:hAnsi="Times New Roman"/>
          <w:sz w:val="24"/>
          <w:szCs w:val="24"/>
        </w:rPr>
        <w:t> </w:t>
      </w:r>
      <w:r w:rsidRPr="00BA3B32">
        <w:rPr>
          <w:rFonts w:ascii="Times New Roman" w:hAnsi="Times New Roman"/>
          <w:sz w:val="24"/>
          <w:szCs w:val="24"/>
        </w:rPr>
        <w:t xml:space="preserve">jednym, odrębnym akcie prawnym regulacji w zakresie przepisów dotyczących </w:t>
      </w:r>
      <w:r w:rsidR="00E352CC" w:rsidRPr="00BA3B32">
        <w:rPr>
          <w:rFonts w:ascii="Times New Roman" w:hAnsi="Times New Roman"/>
          <w:sz w:val="24"/>
          <w:szCs w:val="24"/>
        </w:rPr>
        <w:t xml:space="preserve">transgranicznej </w:t>
      </w:r>
      <w:r w:rsidRPr="00BA3B32">
        <w:rPr>
          <w:rFonts w:ascii="Times New Roman" w:hAnsi="Times New Roman"/>
          <w:sz w:val="24"/>
          <w:szCs w:val="24"/>
        </w:rPr>
        <w:t>działalności usługowej</w:t>
      </w:r>
      <w:r w:rsidR="00E352CC" w:rsidRPr="00BA3B32">
        <w:rPr>
          <w:rFonts w:ascii="Times New Roman" w:hAnsi="Times New Roman"/>
          <w:sz w:val="24"/>
          <w:szCs w:val="24"/>
        </w:rPr>
        <w:t>, oddziałów i przedstawicielstw przedsiębiorców zagranicznych oraz innych zasad uczestnictwa</w:t>
      </w:r>
      <w:r w:rsidRPr="00BA3B32">
        <w:rPr>
          <w:rFonts w:ascii="Times New Roman" w:hAnsi="Times New Roman"/>
          <w:sz w:val="24"/>
          <w:szCs w:val="24"/>
        </w:rPr>
        <w:t xml:space="preserve"> przedsiębiorców zagranicznych i innych osób zagranicznych w obrocie gospodarczym na terytorium Rzeczypospolitej Polskiej. Kwestie te regulowane są w obecnym</w:t>
      </w:r>
      <w:r w:rsidR="003B3AB0" w:rsidRPr="00BA3B32">
        <w:rPr>
          <w:rFonts w:ascii="Times New Roman" w:hAnsi="Times New Roman"/>
          <w:sz w:val="24"/>
          <w:szCs w:val="24"/>
        </w:rPr>
        <w:t xml:space="preserve"> stanie prawnym w dwóch aktach prawnych</w:t>
      </w:r>
      <w:r w:rsidRPr="00BA3B32">
        <w:rPr>
          <w:rFonts w:ascii="Times New Roman" w:hAnsi="Times New Roman"/>
          <w:sz w:val="24"/>
          <w:szCs w:val="24"/>
        </w:rPr>
        <w:t xml:space="preserve">: </w:t>
      </w:r>
      <w:r w:rsidRPr="00BA3B32">
        <w:rPr>
          <w:rFonts w:ascii="Times New Roman" w:hAnsi="Times New Roman"/>
          <w:i/>
          <w:sz w:val="24"/>
          <w:szCs w:val="24"/>
        </w:rPr>
        <w:t>ustawie z</w:t>
      </w:r>
      <w:r w:rsidR="00081A46" w:rsidRPr="00BA3B32">
        <w:rPr>
          <w:rFonts w:ascii="Times New Roman" w:hAnsi="Times New Roman"/>
          <w:i/>
          <w:sz w:val="24"/>
          <w:szCs w:val="24"/>
        </w:rPr>
        <w:t xml:space="preserve"> </w:t>
      </w:r>
      <w:r w:rsidRPr="00BA3B32">
        <w:rPr>
          <w:rFonts w:ascii="Times New Roman" w:hAnsi="Times New Roman"/>
          <w:i/>
          <w:sz w:val="24"/>
          <w:szCs w:val="24"/>
        </w:rPr>
        <w:t>dnia 2 lipca 2004 r. o swobodzie działalności gospodarczej</w:t>
      </w:r>
      <w:r w:rsidRPr="00BA3B32">
        <w:rPr>
          <w:rStyle w:val="Odwoanieprzypisudolnego"/>
          <w:rFonts w:ascii="Times New Roman" w:hAnsi="Times New Roman"/>
          <w:i/>
          <w:sz w:val="24"/>
          <w:szCs w:val="24"/>
        </w:rPr>
        <w:footnoteReference w:id="1"/>
      </w:r>
      <w:r w:rsidR="00556C6F" w:rsidRPr="00BA3B32">
        <w:rPr>
          <w:rFonts w:ascii="Times New Roman" w:hAnsi="Times New Roman"/>
          <w:i/>
          <w:sz w:val="24"/>
          <w:szCs w:val="24"/>
          <w:vertAlign w:val="superscript"/>
        </w:rPr>
        <w:t>)</w:t>
      </w:r>
      <w:r w:rsidRPr="00BA3B32">
        <w:rPr>
          <w:rFonts w:ascii="Times New Roman" w:hAnsi="Times New Roman"/>
          <w:i/>
          <w:sz w:val="24"/>
          <w:szCs w:val="24"/>
        </w:rPr>
        <w:t xml:space="preserve"> (SDG</w:t>
      </w:r>
      <w:r w:rsidRPr="00BA3B32">
        <w:rPr>
          <w:rFonts w:ascii="Times New Roman" w:hAnsi="Times New Roman"/>
          <w:sz w:val="24"/>
          <w:szCs w:val="24"/>
        </w:rPr>
        <w:t xml:space="preserve">) oraz </w:t>
      </w:r>
      <w:r w:rsidRPr="00BA3B32">
        <w:rPr>
          <w:rFonts w:ascii="Times New Roman" w:eastAsia="Batang" w:hAnsi="Times New Roman"/>
          <w:i/>
          <w:sz w:val="24"/>
          <w:szCs w:val="24"/>
          <w:lang w:eastAsia="ja-JP"/>
        </w:rPr>
        <w:t>ustawie z</w:t>
      </w:r>
      <w:r w:rsidR="00081A46" w:rsidRPr="00BA3B32">
        <w:rPr>
          <w:rFonts w:ascii="Times New Roman" w:eastAsia="Batang" w:hAnsi="Times New Roman"/>
          <w:i/>
          <w:sz w:val="24"/>
          <w:szCs w:val="24"/>
          <w:lang w:eastAsia="ja-JP"/>
        </w:rPr>
        <w:t xml:space="preserve"> </w:t>
      </w:r>
      <w:r w:rsidRPr="00BA3B32">
        <w:rPr>
          <w:rFonts w:ascii="Times New Roman" w:eastAsia="Batang" w:hAnsi="Times New Roman"/>
          <w:i/>
          <w:sz w:val="24"/>
          <w:szCs w:val="24"/>
          <w:lang w:eastAsia="ja-JP"/>
        </w:rPr>
        <w:t>dnia 4</w:t>
      </w:r>
      <w:r w:rsidR="00081A46" w:rsidRPr="00BA3B32">
        <w:rPr>
          <w:rFonts w:ascii="Times New Roman" w:eastAsia="Batang" w:hAnsi="Times New Roman"/>
          <w:i/>
          <w:sz w:val="24"/>
          <w:szCs w:val="24"/>
          <w:lang w:eastAsia="ja-JP"/>
        </w:rPr>
        <w:t xml:space="preserve"> </w:t>
      </w:r>
      <w:r w:rsidRPr="00BA3B32">
        <w:rPr>
          <w:rFonts w:ascii="Times New Roman" w:eastAsia="Batang" w:hAnsi="Times New Roman"/>
          <w:i/>
          <w:sz w:val="24"/>
          <w:szCs w:val="24"/>
          <w:lang w:eastAsia="ja-JP"/>
        </w:rPr>
        <w:t>marca 2010 r. o</w:t>
      </w:r>
      <w:r w:rsidR="00081A46" w:rsidRPr="00BA3B32">
        <w:rPr>
          <w:rFonts w:ascii="Times New Roman" w:eastAsia="Batang" w:hAnsi="Times New Roman"/>
          <w:i/>
          <w:sz w:val="24"/>
          <w:szCs w:val="24"/>
          <w:lang w:eastAsia="ja-JP"/>
        </w:rPr>
        <w:t xml:space="preserve"> </w:t>
      </w:r>
      <w:r w:rsidRPr="00BA3B32">
        <w:rPr>
          <w:rFonts w:ascii="Times New Roman" w:eastAsia="Batang" w:hAnsi="Times New Roman"/>
          <w:i/>
          <w:sz w:val="24"/>
          <w:szCs w:val="24"/>
          <w:lang w:eastAsia="ja-JP"/>
        </w:rPr>
        <w:t>świadczeniu usług na terytorium Rzeczpospolitej Polskiej</w:t>
      </w:r>
      <w:r w:rsidRPr="00BA3B32">
        <w:rPr>
          <w:rStyle w:val="Odwoanieprzypisudolnego"/>
          <w:rFonts w:ascii="Times New Roman" w:hAnsi="Times New Roman"/>
          <w:i/>
          <w:sz w:val="24"/>
          <w:szCs w:val="24"/>
        </w:rPr>
        <w:footnoteReference w:id="2"/>
      </w:r>
      <w:r w:rsidR="00556C6F" w:rsidRPr="00BA3B32">
        <w:rPr>
          <w:rFonts w:ascii="Times New Roman" w:eastAsia="Batang" w:hAnsi="Times New Roman"/>
          <w:i/>
          <w:sz w:val="24"/>
          <w:szCs w:val="24"/>
          <w:vertAlign w:val="superscript"/>
          <w:lang w:eastAsia="ja-JP"/>
        </w:rPr>
        <w:t>)</w:t>
      </w:r>
      <w:r w:rsidRPr="00BA3B32">
        <w:rPr>
          <w:rFonts w:ascii="Times New Roman" w:eastAsia="Batang" w:hAnsi="Times New Roman"/>
          <w:i/>
          <w:sz w:val="24"/>
          <w:szCs w:val="24"/>
          <w:lang w:eastAsia="ja-JP"/>
        </w:rPr>
        <w:t xml:space="preserve"> </w:t>
      </w:r>
      <w:r w:rsidRPr="00BA3B32">
        <w:rPr>
          <w:rFonts w:ascii="Times New Roman" w:eastAsia="Batang" w:hAnsi="Times New Roman"/>
          <w:sz w:val="24"/>
          <w:szCs w:val="24"/>
          <w:lang w:eastAsia="ja-JP"/>
        </w:rPr>
        <w:t>(ustawa usługowa).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3B32">
        <w:rPr>
          <w:rFonts w:ascii="Times New Roman" w:hAnsi="Times New Roman"/>
          <w:sz w:val="24"/>
          <w:szCs w:val="24"/>
        </w:rPr>
        <w:t xml:space="preserve">Obowiązująca od 2004 r. ustawa SDG wskutek licznych nowelizacji nie realizuje już swojego celu podstawowego, tzn. stanowienia zbioru zasad prawa gospodarczego, </w:t>
      </w:r>
      <w:r w:rsidR="00BA3B32" w:rsidRPr="00BA3B32">
        <w:rPr>
          <w:rFonts w:ascii="Times New Roman" w:hAnsi="Times New Roman"/>
          <w:sz w:val="24"/>
          <w:szCs w:val="24"/>
        </w:rPr>
        <w:t>a </w:t>
      </w:r>
      <w:r w:rsidRPr="00BA3B32">
        <w:rPr>
          <w:rFonts w:ascii="Times New Roman" w:hAnsi="Times New Roman"/>
          <w:sz w:val="24"/>
          <w:szCs w:val="24"/>
        </w:rPr>
        <w:t xml:space="preserve">zawarte w niej uregulowanie odnoszące się do przedsiębiorców zagranicznych jest jedynie częściowe </w:t>
      </w:r>
      <w:r w:rsidR="00156094" w:rsidRPr="00BA3B32">
        <w:rPr>
          <w:rFonts w:ascii="Times New Roman" w:hAnsi="Times New Roman"/>
          <w:sz w:val="24"/>
          <w:szCs w:val="24"/>
        </w:rPr>
        <w:t>i</w:t>
      </w:r>
      <w:r w:rsidR="00081A46" w:rsidRPr="00BA3B32">
        <w:rPr>
          <w:rFonts w:ascii="Times New Roman" w:hAnsi="Times New Roman"/>
          <w:sz w:val="24"/>
          <w:szCs w:val="24"/>
        </w:rPr>
        <w:t xml:space="preserve"> </w:t>
      </w:r>
      <w:r w:rsidRPr="00BA3B32">
        <w:rPr>
          <w:rFonts w:ascii="Times New Roman" w:hAnsi="Times New Roman"/>
          <w:sz w:val="24"/>
          <w:szCs w:val="24"/>
        </w:rPr>
        <w:t>niejako wymieszane wśród norm o bardzo różny</w:t>
      </w:r>
      <w:r w:rsidR="00B67C7C">
        <w:rPr>
          <w:rFonts w:ascii="Times New Roman" w:hAnsi="Times New Roman"/>
          <w:sz w:val="24"/>
          <w:szCs w:val="24"/>
        </w:rPr>
        <w:t>m</w:t>
      </w:r>
      <w:r w:rsidRPr="00BA3B32">
        <w:rPr>
          <w:rFonts w:ascii="Times New Roman" w:hAnsi="Times New Roman"/>
          <w:sz w:val="24"/>
          <w:szCs w:val="24"/>
        </w:rPr>
        <w:t xml:space="preserve"> charakterze, niejednokrotnie nie dotyczących przedsiębiorców zagranicznych lub innych osób zagranicznych. </w:t>
      </w:r>
      <w:r w:rsidRPr="00BA3B32">
        <w:rPr>
          <w:rFonts w:ascii="Times New Roman" w:eastAsia="Times New Roman" w:hAnsi="Times New Roman"/>
          <w:sz w:val="24"/>
          <w:szCs w:val="24"/>
          <w:lang w:eastAsia="pl-PL"/>
        </w:rPr>
        <w:t xml:space="preserve">Jednocześnie ustawa usługowa, wdrażająca postanowienia </w:t>
      </w:r>
      <w:r w:rsidRPr="00BA3B32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dyrektywy </w:t>
      </w:r>
      <w:r w:rsidRPr="00BA3B32">
        <w:rPr>
          <w:rFonts w:ascii="Times New Roman" w:hAnsi="Times New Roman"/>
          <w:i/>
          <w:iCs/>
          <w:sz w:val="24"/>
          <w:szCs w:val="24"/>
        </w:rPr>
        <w:t>2006/123/WE Parlamentu Europejskiego i</w:t>
      </w:r>
      <w:r w:rsidR="00081A46" w:rsidRPr="00BA3B3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A3B32">
        <w:rPr>
          <w:rFonts w:ascii="Times New Roman" w:hAnsi="Times New Roman"/>
          <w:i/>
          <w:iCs/>
          <w:sz w:val="24"/>
          <w:szCs w:val="24"/>
        </w:rPr>
        <w:t>Rady z dnia 12 grudnia 2006 r. dotyczącej usług na rynku wewnętrznym</w:t>
      </w:r>
      <w:r w:rsidRPr="00BA3B32">
        <w:rPr>
          <w:rStyle w:val="Odwoanieprzypisudolnego"/>
          <w:rFonts w:ascii="Times New Roman" w:hAnsi="Times New Roman"/>
          <w:i/>
          <w:sz w:val="24"/>
          <w:szCs w:val="24"/>
        </w:rPr>
        <w:footnoteReference w:id="3"/>
      </w:r>
      <w:r w:rsidR="00556C6F" w:rsidRPr="00BA3B32">
        <w:rPr>
          <w:rFonts w:ascii="Times New Roman" w:hAnsi="Times New Roman"/>
          <w:i/>
          <w:iCs/>
          <w:sz w:val="24"/>
          <w:szCs w:val="24"/>
          <w:vertAlign w:val="superscript"/>
        </w:rPr>
        <w:t>)</w:t>
      </w:r>
      <w:r w:rsidRPr="00BA3B32">
        <w:rPr>
          <w:rFonts w:ascii="Times New Roman" w:hAnsi="Times New Roman"/>
          <w:sz w:val="24"/>
          <w:szCs w:val="24"/>
        </w:rPr>
        <w:t xml:space="preserve"> (dyrektywa usługowa) wymaga pewnych zmian wynikających z doświadczeń stosowania jej przepisów od 2010 r. </w:t>
      </w:r>
      <w:r w:rsidRPr="00BA3B32">
        <w:rPr>
          <w:rFonts w:ascii="Times New Roman" w:hAnsi="Times New Roman"/>
          <w:color w:val="000000"/>
          <w:sz w:val="24"/>
          <w:szCs w:val="24"/>
        </w:rPr>
        <w:t>Dodatkowo zawarcie w</w:t>
      </w:r>
      <w:r w:rsidR="00081A46" w:rsidRPr="00BA3B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A3B32">
        <w:rPr>
          <w:rFonts w:ascii="Times New Roman" w:hAnsi="Times New Roman"/>
          <w:color w:val="000000"/>
          <w:sz w:val="24"/>
          <w:szCs w:val="24"/>
        </w:rPr>
        <w:t>obecnej ustawie SDG przepisów</w:t>
      </w:r>
      <w:r w:rsidRPr="00BA3B32">
        <w:rPr>
          <w:rFonts w:ascii="Times New Roman" w:hAnsi="Times New Roman"/>
          <w:sz w:val="24"/>
          <w:szCs w:val="24"/>
        </w:rPr>
        <w:t xml:space="preserve"> regulujących działalność gospodarczą osób zagranicznych na terytorium RP,</w:t>
      </w:r>
      <w:r w:rsidRPr="00BA3B32">
        <w:rPr>
          <w:rFonts w:ascii="Times New Roman" w:hAnsi="Times New Roman"/>
          <w:color w:val="000000"/>
          <w:sz w:val="24"/>
          <w:szCs w:val="24"/>
        </w:rPr>
        <w:t xml:space="preserve"> nie sprzyja jej przejrzystości i</w:t>
      </w:r>
      <w:r w:rsidR="00081A46" w:rsidRPr="00BA3B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A3B32">
        <w:rPr>
          <w:rFonts w:ascii="Times New Roman" w:hAnsi="Times New Roman"/>
          <w:color w:val="000000"/>
          <w:sz w:val="24"/>
          <w:szCs w:val="24"/>
        </w:rPr>
        <w:t>czytelności, co utrudnia przedsiębiorcy</w:t>
      </w:r>
      <w:r w:rsidR="00803AA9" w:rsidRPr="00BA3B32">
        <w:rPr>
          <w:rFonts w:ascii="Times New Roman" w:hAnsi="Times New Roman"/>
          <w:color w:val="000000"/>
          <w:sz w:val="24"/>
          <w:szCs w:val="24"/>
        </w:rPr>
        <w:t xml:space="preserve"> polskiemu</w:t>
      </w:r>
      <w:r w:rsidRPr="00BA3B32">
        <w:rPr>
          <w:rFonts w:ascii="Times New Roman" w:hAnsi="Times New Roman"/>
          <w:color w:val="000000"/>
          <w:sz w:val="24"/>
          <w:szCs w:val="24"/>
        </w:rPr>
        <w:t xml:space="preserve"> identyfikację i interpretację przepisów.</w:t>
      </w:r>
    </w:p>
    <w:p w:rsidR="00392391" w:rsidRPr="00BA3B32" w:rsidRDefault="00392391" w:rsidP="00081A46">
      <w:pPr>
        <w:numPr>
          <w:ilvl w:val="0"/>
          <w:numId w:val="1"/>
        </w:numPr>
        <w:autoSpaceDE w:val="0"/>
        <w:autoSpaceDN w:val="0"/>
        <w:adjustRightInd w:val="0"/>
        <w:spacing w:before="240" w:after="120" w:line="360" w:lineRule="auto"/>
        <w:ind w:left="426" w:hanging="437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lastRenderedPageBreak/>
        <w:t>Cel regulacji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Wobec uwag wskazanych powyżej oraz po dokonaniu przeglądu przepisów SDG oraz ustawy </w:t>
      </w:r>
      <w:r w:rsidRPr="00BA3B32">
        <w:rPr>
          <w:rFonts w:ascii="Times New Roman" w:hAnsi="Times New Roman"/>
          <w:sz w:val="24"/>
          <w:szCs w:val="24"/>
        </w:rPr>
        <w:t>usługowej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po kilku latach ich stosowania, zidentyfikowano potrzebę modyfikacji obecnego stanu prawnego.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Podstawowym celem regulacji jest </w:t>
      </w:r>
      <w:r w:rsidR="00C6787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możliwie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kompleksowe uregulowanie zasad uczestnictwa przedsiębiorców zagranicznych i innych osób zagranicznych w obrocie gospodarczym na terenie RP poprzez zgromadzenie tych zasad w jednej projektowanej ustawie.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Oprócz koncentracji przepisów SGD odnoszących się do osób zagranicznych oraz przepisów ustawy usługowej w jednej, nowej ustawie, w wyniku przeglądu kilkuletniego stosowania powyższych przepisów, konieczne są także pewne modyfikacje.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Pełniejsza implementacja przepisów dyrektywy usługowej w zakresie swobodnego przepływu usług nie mogła być dokonana jedynie w SDG z uwagi na różnice zachodzące między swobodą świadczenia usług a swobodą przedsiębiorczości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(która to zawiera się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SDG), jak również konieczność ich rozróżniania w praktyce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i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obrocie prawno-gospodarczym. Dodatkowo SDG nie obejmuje swoim zakresem podmiotów, które nie świadczą usług w celu zarobkowym, dla zysku. 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Nowa ustawa pozwoli na zachowanie większej spójności i integralności przez uregulowanie względnie jednolitej materii, bez konieczności – tak jak ma to miejsce obecnie – daleko idącego rozpraszania norm odnoszących się do osób zagranicznych (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 </w:t>
      </w:r>
      <w:r w:rsidR="00803AA9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tym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przedsiębiorców) między SDG i ustawy szczególne. Takie rozbicie jest bowiem mało czytelne dla </w:t>
      </w:r>
      <w:r w:rsidR="00803AA9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adresatów tych aktów prawnych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oraz utrudnia im zidentyfikowanie zakresu przepisów odnoszących się do ich działalności w sposób bezpośredni. Powoduje to także niepotrzebne rozbieżności interpretacyjne, dotyczące tego, która </w:t>
      </w:r>
      <w:r w:rsidR="00BE282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</w:t>
      </w:r>
      <w:r w:rsidR="00BE282E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ustaw ma w danym przypadku charakter przepisu ogólnego, a która 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–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przepisu szczególnego. Kwestia ta posiada niebagatelne znaczenie dla późniejszej wykładni prawa. </w:t>
      </w:r>
    </w:p>
    <w:p w:rsidR="00392391" w:rsidRPr="00BA3B32" w:rsidRDefault="00392391" w:rsidP="00081A46">
      <w:pPr>
        <w:keepNext/>
        <w:numPr>
          <w:ilvl w:val="0"/>
          <w:numId w:val="1"/>
        </w:numPr>
        <w:autoSpaceDE w:val="0"/>
        <w:autoSpaceDN w:val="0"/>
        <w:adjustRightInd w:val="0"/>
        <w:spacing w:before="240" w:after="0" w:line="360" w:lineRule="auto"/>
        <w:ind w:left="567" w:hanging="578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lastRenderedPageBreak/>
        <w:t>Tytuł ustawy</w:t>
      </w:r>
    </w:p>
    <w:p w:rsidR="00392391" w:rsidRPr="00BA3B32" w:rsidRDefault="00392391" w:rsidP="00081A46">
      <w:pPr>
        <w:keepNext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Uwzględniając przepisy § 18 i 19 </w:t>
      </w:r>
      <w:r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rozporządzenia Prezesa Rady Ministrów z dnia 20</w:t>
      </w:r>
      <w:r w:rsidR="00BA3B32"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czerwca 2002 r. w sprawie „Zasad techniki prawodawczej”</w:t>
      </w:r>
      <w:r w:rsidRPr="00BA3B32">
        <w:rPr>
          <w:rStyle w:val="Odwoanieprzypisudolnego"/>
          <w:rFonts w:ascii="Times New Roman" w:hAnsi="Times New Roman"/>
          <w:i/>
          <w:sz w:val="24"/>
          <w:szCs w:val="24"/>
        </w:rPr>
        <w:footnoteReference w:id="4"/>
      </w:r>
      <w:r w:rsidR="00556C6F" w:rsidRPr="00BA3B32">
        <w:rPr>
          <w:rFonts w:ascii="Times New Roman" w:eastAsia="Times New Roman" w:hAnsi="Times New Roman"/>
          <w:bCs/>
          <w:i/>
          <w:sz w:val="24"/>
          <w:szCs w:val="24"/>
          <w:vertAlign w:val="superscript"/>
          <w:lang w:eastAsia="pl-PL"/>
        </w:rPr>
        <w:t>)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 tytuł projektowanej ustawy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sposób opisowy, zwięźle informuje o zakresie przedmiotowej ustawy. </w:t>
      </w:r>
    </w:p>
    <w:p w:rsidR="00392391" w:rsidRPr="00BA3B32" w:rsidRDefault="00392391" w:rsidP="00BA3B32">
      <w:pPr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Zakres regulacji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 nowej, projektowanej ustawie proponuje się przejęcie dotychczasowych przepisów:</w:t>
      </w:r>
    </w:p>
    <w:p w:rsidR="00392391" w:rsidRPr="00BA3B32" w:rsidRDefault="00392391" w:rsidP="00081A46">
      <w:pPr>
        <w:numPr>
          <w:ilvl w:val="0"/>
          <w:numId w:val="2"/>
        </w:numPr>
        <w:tabs>
          <w:tab w:val="num" w:pos="426"/>
        </w:tabs>
        <w:spacing w:after="0" w:line="360" w:lineRule="auto"/>
        <w:ind w:left="425" w:hanging="425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ustawy usługowej (w konsekwencji ustawa usługowa zostanie uchylona</w:t>
      </w:r>
      <w:r w:rsidR="003B3AB0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);</w:t>
      </w:r>
    </w:p>
    <w:p w:rsidR="00392391" w:rsidRPr="00BA3B32" w:rsidRDefault="00392391" w:rsidP="00081A46">
      <w:pPr>
        <w:numPr>
          <w:ilvl w:val="0"/>
          <w:numId w:val="2"/>
        </w:numPr>
        <w:tabs>
          <w:tab w:val="num" w:pos="426"/>
        </w:tabs>
        <w:spacing w:after="0" w:line="360" w:lineRule="auto"/>
        <w:ind w:left="425" w:hanging="425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art. 85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–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86, </w:t>
      </w:r>
      <w:r w:rsidR="00472E5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art.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88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–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92 SDG (dotyczących utworzenia i działalności oddziału przedsiębiorcy zagranicznego</w:t>
      </w:r>
      <w:r w:rsidR="003B3AB0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);</w:t>
      </w:r>
    </w:p>
    <w:p w:rsidR="00392391" w:rsidRPr="00BA3B32" w:rsidRDefault="00392391" w:rsidP="00081A46">
      <w:pPr>
        <w:numPr>
          <w:ilvl w:val="0"/>
          <w:numId w:val="2"/>
        </w:numPr>
        <w:tabs>
          <w:tab w:val="num" w:pos="426"/>
        </w:tabs>
        <w:spacing w:after="0" w:line="360" w:lineRule="auto"/>
        <w:ind w:left="425" w:hanging="425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art. 93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–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102a SDG (dotyczących utworzenia i działalności przedstawicielstwa przedsiębiorcy zagranicznego, przy czy w ich zakresie dokonano stosunkow</w:t>
      </w:r>
      <w:r w:rsidR="003B3AB0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 najliczniejszych modyfikacji);</w:t>
      </w:r>
    </w:p>
    <w:p w:rsidR="00392391" w:rsidRPr="00BA3B32" w:rsidRDefault="00392391" w:rsidP="00081A46">
      <w:pPr>
        <w:numPr>
          <w:ilvl w:val="0"/>
          <w:numId w:val="2"/>
        </w:numPr>
        <w:tabs>
          <w:tab w:val="num" w:pos="426"/>
        </w:tabs>
        <w:spacing w:after="0" w:line="360" w:lineRule="auto"/>
        <w:ind w:left="425" w:hanging="425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art. 9a i </w:t>
      </w:r>
      <w:r w:rsidR="00472E5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art.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9b SDG (uznanie certyfikatów, zaświadczeń oraz gwarancji i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ubezpieczeń udzielonych i wydanych </w:t>
      </w:r>
      <w:r w:rsidR="003B3AB0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 państwach członkowskich UE);</w:t>
      </w:r>
    </w:p>
    <w:p w:rsidR="00392391" w:rsidRPr="00BA3B32" w:rsidRDefault="00392391" w:rsidP="00081A46">
      <w:pPr>
        <w:numPr>
          <w:ilvl w:val="0"/>
          <w:numId w:val="2"/>
        </w:numPr>
        <w:tabs>
          <w:tab w:val="num" w:pos="426"/>
        </w:tabs>
        <w:spacing w:after="0" w:line="360" w:lineRule="auto"/>
        <w:ind w:left="425" w:hanging="425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art. 13 SDG (dotyczące podejmowania i wykonywania działalności gospodarczej przez osoby zagraniczne na terytorium RP).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Wobec powyższego, projekt ustawy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konsumuje przepisy ustawy usługowej. Do projektu zostały przeniesione także przepisy SDG dotyczące utworzenia i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działalności oddziałów oraz przedstawicielstw przedsiębiorcy zagranicznego. Ponadto, na wzór rozwiązania przyjętego w SDG</w:t>
      </w:r>
      <w:r w:rsidR="00472E58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utrzymano zasadę dotyczącą podejmowania działalności gospodarczej przez osoby zagraniczne wskazane w art. 13 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SDG z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uwzględnieniem uzasadnionych ograniczeń dopuszczonych na gruncie </w:t>
      </w:r>
      <w:r w:rsidR="00BA3B32"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Traktatu o </w:t>
      </w:r>
      <w:r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funkcjonowaniu Unii Europejskiej</w:t>
      </w:r>
      <w:r w:rsidRPr="00BA3B32">
        <w:rPr>
          <w:rStyle w:val="Odwoanieprzypisudolnego"/>
          <w:rFonts w:ascii="Times New Roman" w:hAnsi="Times New Roman"/>
          <w:i/>
          <w:sz w:val="24"/>
          <w:szCs w:val="24"/>
        </w:rPr>
        <w:footnoteReference w:id="5"/>
      </w:r>
      <w:r w:rsidR="00556C6F" w:rsidRPr="00BA3B32">
        <w:rPr>
          <w:rFonts w:ascii="Times New Roman" w:eastAsia="Times New Roman" w:hAnsi="Times New Roman"/>
          <w:bCs/>
          <w:i/>
          <w:sz w:val="24"/>
          <w:szCs w:val="24"/>
          <w:vertAlign w:val="superscript"/>
          <w:lang w:eastAsia="pl-PL"/>
        </w:rPr>
        <w:t>)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i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orzecznictwa Trybunału Sprawiedliwości UE</w:t>
      </w:r>
      <w:r w:rsidR="00472E58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takich jak: porządek publiczny, bezpieczeństwo publiczne, zdrowie publiczne czy bezwzględne wymogi dotyczące dobra ogólnego. </w:t>
      </w:r>
      <w:r w:rsidR="00EC05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Definicja ustawowa nadrzędnego interesu publicznego, zawierająca przykładowe wskazanie dóbr chronionych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EC05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jego ramach, została rozszerzona o pojęcie bezpieczeństwa państwa.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Jednocześnie proponuje się zmianę redakcji przepisów obecnego art. 13 SDG (którego odpowiednikiem </w:t>
      </w:r>
      <w:r w:rsidR="0088117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</w:t>
      </w:r>
      <w:r w:rsidR="00881178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nowej ustawie jest art. </w:t>
      </w:r>
      <w:r w:rsidR="003706E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4</w:t>
      </w:r>
      <w:r w:rsidR="00803AA9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)</w:t>
      </w:r>
      <w:r w:rsidR="00DB3E9C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tak aby nie było wątpliwości, na jakich zasadach działalność gospodarczą na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terytorium RP mogą podejmować osoby zagraniczne.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>Obecnie mogą w tym względzie istnieć pewne niejasności, przez co konieczne jest przygotowanie w tym zakresie przepisów, które nie będą pozostawiały wątpliwości interpretacyjnych.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Przeniesiono także przepisy art. 9a i </w:t>
      </w:r>
      <w:r w:rsidR="00472E5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art.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9b SDG (uznanie certyfikatów, zaświadczeń oraz gwarancji i ubezpieczeń udzielonych i wydanych w państwach członkowskich UE). Przepisy art. 9a i </w:t>
      </w:r>
      <w:r w:rsidR="00472E5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art.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9b SDG wdrażają do polskiego porządku prawnego część przepisów dyrektywy usługowej i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zobowiązują organy administracji publicznej do uznania certyfikatów, zaświadczeń oraz gwarancji </w:t>
      </w:r>
      <w:r w:rsidR="00472E5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i</w:t>
      </w:r>
      <w:r w:rsidR="00472E58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ubezpieczeń udzielonych </w:t>
      </w:r>
      <w:r w:rsidR="0088117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i</w:t>
      </w:r>
      <w:r w:rsidR="00881178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wydanych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państwach członkowskich UE. Przepisy te stanowią podstawę prawną dla organów administracji publicznej do dokonania oceny równoważności wymogów </w:t>
      </w:r>
      <w:r w:rsidR="0088117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i</w:t>
      </w:r>
      <w:r w:rsidR="00881178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jednocześnie obowiązek uznawania wymogów spełnionych na terytorium innych państw członkowskich oraz uznawania dokumentów potwierdzających spełnienie tychże wymogów.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Ustawa usługowa wprowadziła do polskiego prawa postanowienia dyrektywy usługowej, która znosi bariery w swobodnym przepływie usług między państwami członkowskimi. Oznacza to, że przedsiębiorcy mogą od 2010 r. korzystać z możliwości tymczasowego świadczenia usług transgranicznych w innym państwie, bez potrzeby prowadzenia w nim przedsiębiorstwa oraz uzyskania</w:t>
      </w:r>
      <w:r w:rsidR="00EE7A4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zezwolenia, kon</w:t>
      </w:r>
      <w:r w:rsidR="003B3AB0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cesji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itp. 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Dyrektywa usługowa dotyczy działalności obejmującej większość zawodów regulowanych –np. radców prawnych, doradców podatkowych, architektów, rzemieślników; usług dla przedsiębiorstw – np. doradztwo w zakresie zarządzania, organizacja imprez, działalności handlowej – zarówno detaliczny, jak i hurtowy obrót towarami i usługami; usług turystycznych, hotelarskich, gastronomicznych, szkoleniowych czy edukacyjnych. 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Dzięki przepisom ustawy usługowej uproszczona została procedura administracyjna dotycząca podejmowania i wykonywania działalności usługowej. Urzędy nie wymagają już dokumentów w formie oryginałów, poświadczonych kopii lub poświadczonego tłumaczenia związanego z wykonywaniem działalności. Ustawa usługowa wprowadziła również przepisy dotyczące uwzględniania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spełnionych wymogów, zgodnie z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przepisami jednego z państw przez właściwe organy państwa, na terytorium którego podejmuje się działalność usługową. 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 xml:space="preserve">Podobnie jak obecnie, w nowej ustawie, zgodnie z regulacją wspólnotową, transgraniczne świadczenie usług nie dotyczy obszarów i usług, które zostały wyłączone na mocy dyrektywy usługowej. </w:t>
      </w:r>
    </w:p>
    <w:p w:rsidR="00392391" w:rsidRPr="00BA3B32" w:rsidRDefault="00803AA9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Przejęcie przez nową ustawę o zasadach uczestnictwa przedsiębiorców zagranicznych i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innych osób zagranicznych w obrocie gospodarczym przepisów wdrażających dyrektywę usługową na terytorium RP oraz przepisów SDG dot. osób zagranicznych, oddziałów i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przedstawicielstw przedsiębiorców zagranicznych ma zapewnić stworzenie spójnej i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przejrzystej regulacji, w sposób całościowy regulującej różne formy i zasady uczestnictwa osób zagranicznych w obrocie gospodarczym na terytorium RP, co ułatwi podejmowanie aktywności ekonomicznej w Polsce m.in. przez mieszkających w Polsce cudzoziemców oraz inwestorów zagranicznych i będzie miało pozytywny skutek dla rozwoju polskiej gospodarki.</w:t>
      </w:r>
    </w:p>
    <w:p w:rsidR="00392391" w:rsidRPr="00BA3B32" w:rsidRDefault="00392391" w:rsidP="00B113F4">
      <w:pPr>
        <w:numPr>
          <w:ilvl w:val="0"/>
          <w:numId w:val="1"/>
        </w:numPr>
        <w:autoSpaceDE w:val="0"/>
        <w:autoSpaceDN w:val="0"/>
        <w:adjustRightInd w:val="0"/>
        <w:spacing w:before="240" w:after="120" w:line="360" w:lineRule="auto"/>
        <w:ind w:left="426" w:hanging="437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Zakres projektowanych zmian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Oprócz zmian strukturalnych, wynikających z przeniesienia obecnie obowiązujących przepisów z SDG i ustawy usługowej do nowej ustawy, w projektowanej ustawie znajdzie się kilka istotnych zmian w stosunku do obowiązującego obecnie stanu prawnego.</w:t>
      </w:r>
    </w:p>
    <w:p w:rsidR="00392391" w:rsidRPr="00BA3B32" w:rsidRDefault="00392391" w:rsidP="00B113F4">
      <w:pPr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Działalność gospodarcza osób zagranicznych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Projekt ustawy w zakresie rozdziału 2 stanowi powtórzenie regulacji art. 13 SDG definiującej fundamentalną zasadę podejmowania i wykonywania działalności gospodarczej przez osoby zagraniczne. W tym zakresie dokonano zmian redakcyjnych mających na celu łatwiejszą wykładnię wskazanego przepisu. </w:t>
      </w:r>
    </w:p>
    <w:p w:rsidR="00392391" w:rsidRPr="00BA3B32" w:rsidRDefault="004F3068" w:rsidP="00B113F4">
      <w:pPr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 xml:space="preserve">Transgraniczna </w:t>
      </w:r>
      <w:r w:rsidR="00392391" w:rsidRPr="00BA3B32">
        <w:rPr>
          <w:rFonts w:ascii="Times New Roman" w:hAnsi="Times New Roman"/>
          <w:b/>
          <w:sz w:val="24"/>
          <w:szCs w:val="24"/>
        </w:rPr>
        <w:t xml:space="preserve">działalność </w:t>
      </w:r>
      <w:r w:rsidRPr="00BA3B32">
        <w:rPr>
          <w:rFonts w:ascii="Times New Roman" w:hAnsi="Times New Roman"/>
          <w:b/>
          <w:sz w:val="24"/>
          <w:szCs w:val="24"/>
        </w:rPr>
        <w:t>usługowa</w:t>
      </w:r>
      <w:r w:rsidRPr="00BA3B32" w:rsidDel="004F3068">
        <w:rPr>
          <w:rFonts w:ascii="Times New Roman" w:hAnsi="Times New Roman"/>
          <w:b/>
          <w:sz w:val="24"/>
          <w:szCs w:val="24"/>
        </w:rPr>
        <w:t xml:space="preserve"> 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Regulacja w zakresie </w:t>
      </w:r>
      <w:r w:rsidR="004F306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transgranicznej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działalności </w:t>
      </w:r>
      <w:r w:rsidR="004F306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usługowej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stanowi zasadniczo powtórzenie przepisów obecnej ustawy usługowej. Nieliczne zmiany wynikają w niej przede wszystkim </w:t>
      </w:r>
      <w:r w:rsidR="00803AA9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803AA9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systematyki projektowanej ustawy.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Tym samym bez zmian pozostają zasady czasowego świadczenia usług bez konieczności rejestracji działalności, zakazu nakładania obowiązków ograniczających korzystanie z usług,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tym dyskryminujących. Ponadto </w:t>
      </w:r>
      <w:r w:rsidR="00803AA9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zachowane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pozostają obowiązki informacyjne, dotyczące udostępniania informacji o prowadzonej działalności, jak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 xml:space="preserve">również obowiązki wobec usługobiorców przed zawarciem umowy lub prawa usługobiorców do żądania udostępnienia informacji na ich wniosek. </w:t>
      </w:r>
    </w:p>
    <w:p w:rsidR="004E1937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Spod przepisów 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projektowanej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ustawy, analogicznie </w:t>
      </w:r>
      <w:r w:rsidR="009C2CF0">
        <w:rPr>
          <w:rFonts w:ascii="Times New Roman" w:eastAsia="Times New Roman" w:hAnsi="Times New Roman"/>
          <w:bCs/>
          <w:sz w:val="24"/>
          <w:szCs w:val="24"/>
          <w:lang w:eastAsia="pl-PL"/>
        </w:rPr>
        <w:t>jak w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ustaw</w:t>
      </w:r>
      <w:r w:rsidR="009C2CF0">
        <w:rPr>
          <w:rFonts w:ascii="Times New Roman" w:eastAsia="Times New Roman" w:hAnsi="Times New Roman"/>
          <w:bCs/>
          <w:sz w:val="24"/>
          <w:szCs w:val="24"/>
          <w:lang w:eastAsia="pl-PL"/>
        </w:rPr>
        <w:t>ie</w:t>
      </w:r>
      <w:bookmarkStart w:id="0" w:name="_GoBack"/>
      <w:bookmarkEnd w:id="0"/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usługowej, są wyłączone niektóre zawody i działalności usługowe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. Są to m.in. zawody związane z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przepisami ustawy Prawo przewozowe, prawo o notariacie, ustawy o pracy na </w:t>
      </w:r>
      <w:r w:rsidR="00E60AA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morzu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 o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zakładach opieki zdrowotnej, o systemie oświaty, o radiofonii i telewizji, o zawodach pielęgniarki i położnej (z wyłączeniem działalności gospodarczej w zakresie kształcenia podyplomowego), o zawodach lekarza i lekarza dentysty (z wyłączeniem działalności gospodarczej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zakresie kształcenia podyplomowego), o ochronie osób i mienia czy o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komornikach sądowych i egzekucji. </w:t>
      </w:r>
      <w:r w:rsidR="00E60AA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Katalog wyłączeń został zaktualizowany ze względu na ostatnie nowelizacje przepisów niektórych ustaw.</w:t>
      </w:r>
    </w:p>
    <w:p w:rsidR="00392391" w:rsidRPr="00BA3B32" w:rsidRDefault="004E1937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Wyłączenie to, zawarte w art. 12 projektu, nie oznacza oczywiście wyłączenia stosowania przepisów ratyfikowanych przez Rzeczpospolitą Polską umów międzynarodowych, w tym </w:t>
      </w:r>
      <w:r w:rsidR="00A125A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szczególności Traktatu o funkcjonowaniu Unii Europejskiej. Wynika to z konstytucyjnej hierarchii źródeł prawa.</w:t>
      </w:r>
    </w:p>
    <w:p w:rsidR="00392391" w:rsidRPr="00BA3B32" w:rsidRDefault="00392391" w:rsidP="00B113F4">
      <w:pPr>
        <w:numPr>
          <w:ilvl w:val="1"/>
          <w:numId w:val="1"/>
        </w:num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Oddziały przedsiębiorców zagranicznych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Projekt ustawy w zakresie tworzenia w Polsce oddziałów przedsiębiorców zagranicznych przewiduje pozostawienie w porządku prawnym instytucji oddziału jako formy 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wykonywania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działalności gospodarczej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przez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podmiot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y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zagraniczn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e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i w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zasadniczym zakresie odpowiada dotychczasowym uregulowaniom SDG. Wprowadzane niewielkie zmiany wynikają jedynie z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potrzeby dostosowania do zmienionego stanu prawnego w innych przepisach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lub wprowadzają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pewne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uproszczenia zasad funkcjonowania oddziałów w Polsce.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Podmiotami uprawnionymi do tworzenia oddziałów dla wykonywania działalności gospodarczej w Polsce są przedsiębiorcy zagraniczni, przy czym tak jak obecnie, przedsiębiorca zagraniczny będzie mógł wykonywać działalność w oddziale wyłącznie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zakresie,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jakim prowadzi tę działalność za granicą.</w:t>
      </w:r>
    </w:p>
    <w:p w:rsidR="00392391" w:rsidRPr="00BA3B32" w:rsidRDefault="00392391" w:rsidP="00556C6F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Projekt 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utrzymuje normę stanowiącą,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że utworzenie oddziału wymaga wpisu do rejestru przedsiębiorców Krajowego Rejestru Sądowego. 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Przy tworzeniu oddziału przedsiębiorca zagraniczny </w:t>
      </w:r>
      <w:r w:rsidR="0088232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nadal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obowiązany będzie ustanowić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oddziale osobę upoważnioną do reprezentowania przedsiębiorcy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 xml:space="preserve">zagranicznego. </w:t>
      </w:r>
      <w:r w:rsidR="00C506F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projekcie zrezygnowano,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stosunku do obecnej regulacji</w:t>
      </w:r>
      <w:r w:rsidR="00C506F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obowiązku podawania we wniosku informacji o osobie upoważnionej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oddziale do reprezentowania przedsiębiorcy zagranicznego</w:t>
      </w:r>
      <w:r w:rsidR="0004595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(materia ta jest już regulowana w art. 39 ustawy z dnia 20 sierpnia 1997 r. o Krajowym Rejestrze Sądowym)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 jak również z </w:t>
      </w:r>
      <w:r w:rsidR="0004595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obowiązku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dołączania poświadczonego notarialnie wzoru podpisu osoby upoważnionej w oddziale. Jest to konsekwencja generalnego odejścia od obowiązku składania do akt rejestrowych podmiotów w rejestrze przedsiębiorców notarialnych wzorów podpisów osób umocowanych do reprezentacji podmiotów, co znalazło wcześniej swoje odzwierciedlenie w</w:t>
      </w:r>
      <w:r w:rsidR="0004595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nowelizacji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ustaw</w:t>
      </w:r>
      <w:r w:rsidR="0004595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y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 Krajowym Rejestrze Sądowym.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Przewiduje się, że – podobnie jak w dotychczasowych przepisach – przedsiębiorca oprócz danych wymaganych w przepisach o Krajowym Rejestrze Sądowym, powinien złożyć do akt rejestrowych: </w:t>
      </w:r>
    </w:p>
    <w:p w:rsidR="00392391" w:rsidRPr="00BA3B32" w:rsidRDefault="00392391" w:rsidP="00B113F4">
      <w:pPr>
        <w:numPr>
          <w:ilvl w:val="0"/>
          <w:numId w:val="3"/>
        </w:numPr>
        <w:tabs>
          <w:tab w:val="num" w:pos="426"/>
        </w:tabs>
        <w:spacing w:before="120" w:after="0" w:line="360" w:lineRule="auto"/>
        <w:ind w:left="425" w:hanging="425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jeżeli działa na podstawie aktu założycielskiego, umowy lub statutu – odpis tych dokumentów oraz</w:t>
      </w:r>
    </w:p>
    <w:p w:rsidR="00392391" w:rsidRPr="00BA3B32" w:rsidRDefault="00392391" w:rsidP="00B113F4">
      <w:pPr>
        <w:numPr>
          <w:ilvl w:val="0"/>
          <w:numId w:val="3"/>
        </w:numPr>
        <w:tabs>
          <w:tab w:val="num" w:pos="426"/>
        </w:tabs>
        <w:spacing w:after="0" w:line="360" w:lineRule="auto"/>
        <w:ind w:left="425" w:hanging="425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jeżeli działa na podstawie wpisu do rejestru – odpis z tego rejestru. 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Obowiązki przedsiębiorcy zagranicznego, który otworzył oddział w Polsce, obejmujące wymogi co do firmy takiego oddziału, zasad prowadzenia rachunkowości oraz warunków informowania ministra właściwego do spraw gospodarki m.in. o likwidacji przedsiębiorcy zagranicznego, pozostały niezmienione. 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zakresie przepisów </w:t>
      </w:r>
      <w:r w:rsidR="0004595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przyznających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ministrowi do spraw gospodarki </w:t>
      </w:r>
      <w:r w:rsidR="0004595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kompetencję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do wydawania decyzji o zakazie wykonywania działalności poprawiono treść przepisu. Nadal przesłanką takiej decyzji może być rażące naruszenie prawa polskiego lub niewykonywanie obowiązków informacyjnych, niemniej doprecyzowano, iż takie naruszenie może spowodować sam przedsiębiorca zagraniczny</w:t>
      </w:r>
      <w:r w:rsidR="0004595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a nie oddział. Dotychczasowe sformułowanie było nieścisłe i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wprowadzało niepotrzebne, swoiste upodmiotowienie oddziału. Obecne sformułowanie przesądza wprost, iż oddział jest tylko formą, w jakiej działa przedsiębiorca zagraniczny, i to przedsiębiorca zagraniczny jako adresat przedmiotowych przepisów może je naruszyć. 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zakresie likwidacji oddziału przedsiębiorcy zagranicznego, postanowiono ograniczyć obowiązek przeprowadzania postępowania likwidacyjnego zgodnie z przepisami Kodeksu spółek handlowych o likwidacji spółki z ograniczoną odpowiedzialnością,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>jedynie do sytuacji,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której likwidacja jest wynikiem wydania decyzji przez właściwego ministra o zakazie wykonywania działalności gospodarczej przez przedsiębiorcę zagranicznego w ramach oddziału. </w:t>
      </w:r>
    </w:p>
    <w:p w:rsidR="00392391" w:rsidRPr="00BA3B32" w:rsidRDefault="00392391" w:rsidP="00B113F4">
      <w:pPr>
        <w:numPr>
          <w:ilvl w:val="1"/>
          <w:numId w:val="1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Przedstawicielstwa przedsiębiorców zagranicznych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Projekt ustawy w zakresie tworzenia w Polsce przedstawicielstw przedsiębiorców zagranicznych przewiduje pozostawienie w porządku prawnym instytucji przedstawicielstwa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jako formy działania podmiotów zagranicznych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na terytorium RP</w:t>
      </w:r>
      <w:r w:rsidR="006F76B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. 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Przedstawicielstwo przedsiębiorcy zagranicznego jest jednostką organizacyjną przedsiębiorcy, a zakres jego działania może obejmować wyłącznie prowadzenie działalności w zakresie reklamy i promocji przedsiębiorcy zagranicznego. Podmiotami uprawnionymi do tworzenia przedstawicielstw są przedsiębiorcy zagraniczni oraz osoby zagraniczne powołane do promocji gospodarki kraju ich siedziby.</w:t>
      </w:r>
      <w:r w:rsidR="0049532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Rejestr przedstawicielstw pełni funkcję informacyjną i nie stanowi formy reglamentacji działalności gospodarczej.</w:t>
      </w:r>
      <w:r w:rsidR="006F76B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miany wprowadzone w tym zakresie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niniejszą regulacją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wynikają z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dotychczasowych doświadczeń funkcjonowania systemu rejestracji przedstawicielstw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M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ają na celu poprawę aktualności danych zawartych w rejestrze przedstawicielstw przedsiębiorców zagranicznych, jak również sprawniejszą obsługę przedsiębiorców zagranicznych. Dodatkowo zmiany przyczynią się do poprawy wiarygodności danych zawartych w rejestrze oraz 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uproszczą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procedurę </w:t>
      </w:r>
      <w:r w:rsidR="0004595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tworzenia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przedstawicielstwa.</w:t>
      </w:r>
      <w:r w:rsidR="00E660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Projekt zawiera nowe rozwiązania dot. udostępniania danych zawartych w rejestrze, w związku z jego jawnością.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E660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Realizują one zasady adekwatności i celowości pr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zetwarzania danych wynikające z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E660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prawodawstwa unijnego. 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Zasada jawności rejestru będzie realizowana przez udostępnie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nie danych rejestrowych w 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Biuletynie Informacji Publicznej ministra właściwego ds. gospodarki. Dane będą podlegały udostępnieniu od dnia wpisania przedstawiciel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stwa do rejestru aż do dnia, w 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którym upłynie okres 5 lat od dnia wykreślenia przedstawicielstwa z rejestru. Jest to okres, który nie narusza ustanowionych zasad przetwarza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nia danych osobowych, a 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jednocześnie zapewnia bezpieczeństwo obrotu gospodarczego przez umożliwienie </w:t>
      </w:r>
      <w:r w:rsidR="00167DB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–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przez określony czas –</w:t>
      </w:r>
      <w:r w:rsidR="00167DB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nieograniczonego pozyskania danych przedstawicielstwa wykreślonego już z rejestru (np. pozyskiwanie danych przedstawicielstwa w celu dochodzenia roszczeń związanych z jego działalnością). Tak określony termin uwzględnia przede wszystkim termin przedawnienia i sądowego dochodzenia roszczeń. Uregulowano także czas</w:t>
      </w:r>
      <w:r w:rsidR="00E660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trwałego usunięcia danych z rejestru po 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10</w:t>
      </w:r>
      <w:r w:rsidR="00E660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latach od dnia </w:t>
      </w:r>
      <w:r w:rsidR="00E660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 xml:space="preserve">wykreślenia przedstawicielstwa. </w:t>
      </w:r>
      <w:r w:rsidR="00740E9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Wyznaczenie okresu między zakończeniem powszechnego udostępniania danych w rejestrze a ich trwałym usunięciem podyktowany jest koniecznością przetwarzania tych danych na potrzeby innych organów państwa.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:rsidR="00E66053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Projekt zakłada, tak jak dotychczas, że utworzenie przedstawicielstwa wymaga wpisu do rejestru przedstawicielstw prowadzonego przez ministra właściwego do spraw gospodarki, na podstawie złożonego przez przedsiębiorcę zagranicznego wniosku.</w:t>
      </w:r>
      <w:r w:rsidR="00E660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Zakres podawanych we wniosku danych nie ulega </w:t>
      </w:r>
      <w:r w:rsidR="00316A9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zasadniczym 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zmianom w </w:t>
      </w:r>
      <w:r w:rsidR="00E660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porównaniu do obecnej regulacji. 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Przewiduje się, że do wniosku – podobnie jak w dotychczasowych przepisach – przedsiębiorca powinien dołączyć dokument potwierdzający rejestrację przedsiębiorcy zagranicznego (tzn. wyciąg z zagranicznego rejestru oraz dokument określający adres siedziby przedsiębiorcy zagranicznego, zasady reprezentacji przedsiębiorcy zagranicznego oraz wskazanie osób uprawnionych do jego reprezentacji, jeżeli dokument rejestrowy nie zawiera niezbędnych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tym zakresie informacji). 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Wprowadza się nowy obowiązek dołączenia do wniosku o wpis dokumentu potwierdzającego upoważnienie osoby wskazanej we wniosku do reprezentowania przedsiębiorcy zagranicznego w przedstawicielstwie wraz z potwierdzeniem przyjęcia tego upoważnienia przez osobę upoważnioną. Dokument ten ma za zadanie </w:t>
      </w:r>
      <w:r w:rsidR="00F9429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należycie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uwiarygodnić wskazane we wniosku dane osoby upoważnionej</w:t>
      </w:r>
      <w:r w:rsidR="006F76B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oraz zapewniać, że osoba ta jest świadoma tego, że reprezentując przedsiębiorcę w przedstawicielstwie staje się podmiotem, do którego zgłasza się wszelkie uwagi dotyczące działalności przedstawicielstwa</w:t>
      </w:r>
      <w:r w:rsidR="00A125A8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1B190D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oraz na której ciążą obowiązki związane z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1B190D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bieżącym funkcjonowaniem przedstawicielstwa</w:t>
      </w:r>
      <w:r w:rsidR="0049532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oraz jego likwidacją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. </w:t>
      </w:r>
      <w:r w:rsidR="00E8716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 związku z doniosłym dla bezpieczeństwa obrotu gospodarczego charakterem tego dokumentu doprecyzowano jego zawartość. Muszą się w nim znaleźć ściśle określone dane identyfikujące osobę upoważnioną, tj. jest imię i nazwisko, data urodzenia</w:t>
      </w:r>
      <w:r w:rsidR="00E352CC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 imiona rodziców</w:t>
      </w:r>
      <w:r w:rsidR="00E8716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oraz numer dowodu tożsamości.</w:t>
      </w:r>
    </w:p>
    <w:p w:rsidR="00392391" w:rsidRPr="00BA3B32" w:rsidRDefault="00E87168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projekcie ustawy zrezygnowano z </w:t>
      </w:r>
      <w:r w:rsidR="0049532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obowiązku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przedkładania </w:t>
      </w:r>
      <w:r w:rsidR="0020247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–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 procedurze rejestracyjnej </w:t>
      </w:r>
      <w:r w:rsidR="0020247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–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dokumentu uprawniającego przedsiębiorcę zagranicznego do wykorzystywania </w:t>
      </w:r>
      <w:r w:rsidR="00C4591F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nieruchomości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na potrzeby siedziby głównej przedstawicielstwa</w:t>
      </w:r>
      <w:r w:rsidR="0049532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(najczęściej umowy najmu</w:t>
      </w:r>
      <w:r w:rsidR="00C4591F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lokalu</w:t>
      </w:r>
      <w:r w:rsidR="0049532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)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Niemniej jednak wyraźnie w przepisie wskazano, że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 xml:space="preserve">przedsiębiorca taki tytuł powinien posiadać. </w:t>
      </w:r>
      <w:r w:rsidR="0049532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ojęcie „tytułu prawnego” nie zostało zdefiniowane na gruncie przepisów prawa, choć w obrocie prawnym jest często stosowane. </w:t>
      </w:r>
      <w:r w:rsidR="009C5FA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„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Tytuł prawny” to określenie, które zbiorowo określa różne źródła uprawnień i praw do nieruchomości. W próbie zdefiniowania pojęcia „tytułu prawnego” pomocne jest orzecznictwo sądowe i doktryna, w których podkreśla się, że „tytuł prawny” do nieruchomości, może powstać w wyniku różnych czynności prawnych (</w:t>
      </w:r>
      <w:r w:rsidRPr="00BA3B32">
        <w:rPr>
          <w:rFonts w:ascii="Times New Roman" w:eastAsia="Times New Roman" w:hAnsi="Times New Roman"/>
          <w:bCs/>
          <w:i/>
          <w:iCs/>
          <w:sz w:val="24"/>
          <w:szCs w:val="24"/>
          <w:lang w:eastAsia="pl-PL"/>
        </w:rPr>
        <w:t>umowa kupna nieruchomości, stosunek zobowiązaniowy – umowa najmu, dzierżawy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i/>
          <w:iCs/>
          <w:sz w:val="24"/>
          <w:szCs w:val="24"/>
          <w:lang w:eastAsia="pl-PL"/>
        </w:rPr>
        <w:t>czy służebność osobista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) orzeczeń sądu (</w:t>
      </w:r>
      <w:r w:rsidRPr="00BA3B32">
        <w:rPr>
          <w:rFonts w:ascii="Times New Roman" w:eastAsia="Times New Roman" w:hAnsi="Times New Roman"/>
          <w:bCs/>
          <w:i/>
          <w:iCs/>
          <w:sz w:val="24"/>
          <w:szCs w:val="24"/>
          <w:lang w:eastAsia="pl-PL"/>
        </w:rPr>
        <w:t>np. w sprawach spadkowych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) lub decyzji administracyjnych. Generalnie w przypadku „t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ytułu prawnego” możemy mówić o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prawie do </w:t>
      </w:r>
      <w:r w:rsidRPr="00BA3B32">
        <w:rPr>
          <w:rFonts w:ascii="Times New Roman" w:eastAsia="Times New Roman" w:hAnsi="Times New Roman"/>
          <w:bCs/>
          <w:sz w:val="24"/>
          <w:szCs w:val="24"/>
          <w:u w:val="single"/>
          <w:lang w:eastAsia="pl-PL"/>
        </w:rPr>
        <w:t>władania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(akt własności) bądź </w:t>
      </w:r>
      <w:r w:rsidRPr="00BA3B32">
        <w:rPr>
          <w:rFonts w:ascii="Times New Roman" w:eastAsia="Times New Roman" w:hAnsi="Times New Roman"/>
          <w:bCs/>
          <w:sz w:val="24"/>
          <w:szCs w:val="24"/>
          <w:u w:val="single"/>
          <w:lang w:eastAsia="pl-PL"/>
        </w:rPr>
        <w:t>korzystania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 nieruchomości (umowa użyczenia, najmu).</w:t>
      </w:r>
      <w:r w:rsidR="00202474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Zasadnicza zmiana – w stosunku do obecnie obowiązujących rozwiązań – 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dotyczy wprowadzenia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zasady dokonywania wpisu przedstawicielstwa na czas określony</w:t>
      </w:r>
      <w:r w:rsidR="002433F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tj. na okres 2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lat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. Każdemu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przedsiębiorc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y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zagraniczn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emu</w:t>
      </w:r>
      <w:r w:rsidR="0049532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zainteresowan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emu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kontynuowaniem działalności przedstawicielstwa</w:t>
      </w:r>
      <w:r w:rsidR="0049532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będzie przysługiwało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prawo wystąpienia o przedłużenie wpisu na kolejny okres. Propozycja ta wynika z dotychczasowej praktyki prowadzenia rejestru przedstawicielstw i ma na celu stworzenie systemu, który będzie zapewniał większą aktualność i poprawność danych zawartych w rejestrze. </w:t>
      </w:r>
      <w:r w:rsidR="000F578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Dotychczasowa praktyka prowadzenia rejestru wskazuje na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pewne </w:t>
      </w:r>
      <w:r w:rsidR="000F578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rozbieżności między zawartymi w nim danymi a stanem faktycznym.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Zdarza się, że p</w:t>
      </w:r>
      <w:r w:rsidR="000F578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rzedsiębiorcy zaniedbują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obowiązek</w:t>
      </w:r>
      <w:r w:rsidR="000F578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aktualizacj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i danych.</w:t>
      </w:r>
      <w:r w:rsidR="000F578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Przedstawicielstwa tworzone są często jedynie jako wstępny etap wejścia przedsiębiorcy zagranicznego na polski rynek. Wielokrotnie zdarza się, że po pewnym okresie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przedsiębiorca ten 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zmienia</w:t>
      </w:r>
      <w:r w:rsidR="006F76B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formę działania lub zamyka przedstawicielstwo, nie składając zawiadomienia o tym do rejestru. Zważywszy na fakt, że przedsiębiorcy zagraniczni działający przez przedstawicielstwa nie składają rocznych sprawozdań do organu rejestrowego, trudno jest prawidłowo ocenić, w jaki stopniu dane ujawniane w rejestrze przed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stawicielstw w 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odniesieniu do poszczególnych wpisów odpowiadają stanowi faktycznemu i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prawnemu. Zastosowanie zasady wpisu przedstawiciel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stwa na okres 2 lat (z 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możliwością przedłużenia) spowoduje, że niezależnie od obowiązków przedstawicielstwa zawartych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392391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innych przepisach, organ rejestrowy uzyska systematyczny dostęp do informacji i będzie mógł na bieżąco aktualizować lub weryfikować dane zawarte w rejestrze, a tym samym zwiększyć bezpieczeństwo obrotu gospodarczego.</w:t>
      </w:r>
    </w:p>
    <w:p w:rsidR="00E87168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>Projekt ustawy przewiduje utrzymanie zasady wydawania</w:t>
      </w:r>
      <w:r w:rsidR="00E8716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przedsiębiorcy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 urzędu przez ministra właściwego do spraw gospodarki zaświadczenia o dokonaniu wpisu do rejestru przedstawicielstw. Dodatkowo przewidziano rozszerzenie ww</w:t>
      </w:r>
      <w:r w:rsidR="00A125A8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zasa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dy także o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zaświadczenia o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każdej zmianie wpisu, w tym także o przedłużeniu jego obowiązywania. Zaświadczenie będzie zawierało podstawowe dane o przedsiębiorcy,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tj.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nazwę, 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siedzibę, formę prawną, przedmiot głównej działalności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 a ponadto imię i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nazwisko osoby upoważnionej w przedstawicielstwie</w:t>
      </w:r>
      <w:r w:rsidR="00F32B17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oraz adres siedziby przedstawicielstwa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.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zaświadczeniu będzie uwidoczniony numer wpisu, data wpisu oraz data obowiązywania wpisu.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Kolejna zmiana zaproponowana w projekcie dotyczy instrumentów prawnych, jakimi dysponuje organ prowadzący rejestr. W porównaniu do obowiązujących przepisów zastąpiono dotychczasową decyzję ministra właściwego do spraw gospodarki o zakazie prowadzenia działalności w ramach przedstawic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ielstwa decyzją o wykreśleniu z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rejestru, przy czym przesłanki wydania przedmiotowej decyzji w zasadniczej części pozostały niezmienione. Do przesłanek wydania ww</w:t>
      </w:r>
      <w:r w:rsidR="00A125A8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decyzji dodano nieposiadanie przez przedsiębiorcę zagranicznego tytułu prawnego do </w:t>
      </w:r>
      <w:r w:rsidR="00C4591F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nieruchomości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wykorzystywane</w:t>
      </w:r>
      <w:r w:rsidR="00C4591F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j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na potrzeby siedziby przedstawicielstwa. </w:t>
      </w:r>
      <w:r w:rsidR="00E01DE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Konsekwencją powyższej zmiany jest również przyjęcie, że przedsiębiorca zagraniczny nie może prowadzić przeds</w:t>
      </w:r>
      <w:r w:rsidR="005526B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tawicielstwa</w:t>
      </w:r>
      <w:r w:rsidR="00E01DE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bez ważnego wpisu do rejestru.</w:t>
      </w:r>
    </w:p>
    <w:p w:rsidR="00D12F4A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Koncepcja funkcjonowania rejestru w nowej formule zakłada odejście od 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nakładania na przedsiębiorcę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zagraniczn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ego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obowiązku likwidac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ji przedstawicielstwa zgodnie z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przepisami Kodeksu spółek handlowych o likwidacji spółki z ograniczoną odpowiedzialnością. Likwidacja biura przedstawicielstwa pozostanie 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 gestii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przedsiębiorcy zagranicznego, a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organ rejestrowy nie będzie kontrolował tych działań. Przedstawicielstwo przedsiębiorcy zagranicznego jest jednostką organizacyjną tego przedsiębiorcy. Działa ona w ramach osobowości prawnej tego przedsiębiorcy. Likwidacja przedstawicielstwa stanowi z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formalnego punktu widzenia jedynie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wewnętrzną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zmian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ę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organizacyjn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ą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zachodzącą u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D12F4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danego przedsiębiorcy.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Projekt ustawy zawiera także porządkowe postanowienia precyzujące sposób doręczenia decyzji o wykreśleniu z rejestru</w:t>
      </w:r>
      <w:r w:rsidR="00A125A8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wskazując, że doręczenie będzie dokonywane na adres siedziby przedstawicielstwa podany w rejestrze i to na przedsiębiorcy ciąży obowiązek aktualizacji danych, gdyż w przypadku dokonania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>zmiany adresu przedstawicielstwa bez zmiany wpisu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rejestrze, doręczenie pism pod dotychczasowy adres będzie prawnie skuteczne.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Niezależnie od decyzji o wykreśleniu z rejestru wydawanych z urzędu – przedsiębiorca zagraniczny w każdym czasie i bez podawania 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przyczyn będzie mógł wystąpić z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wnioskiem o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wykreślenie swojego przedstawicielstwa z rejestru przedstawicielstw.</w:t>
      </w:r>
      <w:r w:rsidR="00E01DE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Do wykreślenia</w:t>
      </w:r>
      <w:r w:rsidR="00E87168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przedstawicielstwa będą się </w:t>
      </w:r>
      <w:r w:rsidR="00E01DE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stosować przepisy Kodeksu postępowania administracyjnego o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E01DEE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postępowaniu uproszczonym.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</w:p>
    <w:p w:rsidR="00392391" w:rsidRPr="00BA3B32" w:rsidRDefault="00392391" w:rsidP="00B113F4">
      <w:pPr>
        <w:numPr>
          <w:ilvl w:val="1"/>
          <w:numId w:val="1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Współpraca międzynarodowa właściwych organów w zakresie świadczenia usług</w:t>
      </w:r>
    </w:p>
    <w:p w:rsidR="00F9302A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Projekt ustawy w zakresie współpracy międzynarodowej stanowi </w:t>
      </w:r>
      <w:r w:rsidR="00E352CC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większości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powtórzenie przepisów rozdziału 3 ustawy usługowej. </w:t>
      </w:r>
      <w:r w:rsidR="009C5FA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art. 40 doprecyzowano jedynie, że </w:t>
      </w:r>
      <w:r w:rsidR="009C5FAA" w:rsidRPr="00BA3B32">
        <w:rPr>
          <w:rStyle w:val="Ppogrubienie"/>
          <w:rFonts w:ascii="Times New Roman" w:hAnsi="Times New Roman"/>
          <w:b w:val="0"/>
          <w:sz w:val="24"/>
          <w:szCs w:val="24"/>
        </w:rPr>
        <w:t xml:space="preserve">właściwy organ może wystąpić do właściwego organu z państwa członkowskiego z wnioskami, o których mowa w rozdziale. Celem tego zabiegu było rozwianie wątpliwości dotyczących uprawnień organów polskich względem organów innych państw UE. </w:t>
      </w:r>
      <w:r w:rsidR="009C5FA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rzeniesienie </w:t>
      </w:r>
      <w:r w:rsidR="009C5FAA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rozdziału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do nowej ustawy stanowi konsekwencję nowej systematyki prawa gospodarczego wynikającego z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przyjęcia pakietu zmian zwanych „Konstytucją Biznesu”, o czy mowa na wstępie uzasadnienia. </w:t>
      </w:r>
    </w:p>
    <w:p w:rsidR="00345D27" w:rsidRPr="00BA3B32" w:rsidRDefault="00345D27" w:rsidP="00B113F4">
      <w:pPr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ind w:left="426" w:hanging="437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Ocena przewidywanego wpływu projektowanej regulacji na działalność mikro przedsiębiorców oraz małych i średnich przedsiębiorców</w:t>
      </w:r>
    </w:p>
    <w:p w:rsidR="00345D27" w:rsidRPr="00BA3B32" w:rsidRDefault="00345D27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Projekt ustawy będzie miał w zasadniczym zakresie neutralny wpływ na działalność mikro przedsiębiorców oraz małych i średnich przedsiębiorców, przy czym dla przedsiębiorców zagranicznych podejmujących działalność gospodarczą na terytorium Rzeczypospolitej Polskiej będzie miał wpływ pozytywny. Proponowane przepisy porządkują i kumulują w jednym akcie prawnym </w:t>
      </w:r>
      <w:r w:rsidR="007432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rozproszone obecnie,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zasadnicze przepisy odnoszące się do działalności </w:t>
      </w:r>
      <w:r w:rsidR="007432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gospodarczej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podmiotów zagranicznych, co pozwoli łatwiej identyfikować przepisy właś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ciwe do sposobów podejmowania i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wykonywania działalności gospodarczej. </w:t>
      </w:r>
      <w:r w:rsidR="007432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Ponadto w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prowadzane w projekcie modyfikacje stanu prawnego spowodują </w:t>
      </w:r>
      <w:r w:rsidR="007432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poprawienie regulacji, i tym samym projekt nie spowoduje zmiany w zakresie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kosztów prowadzenia działalności gospodarczej przez MŚP</w:t>
      </w:r>
      <w:r w:rsidR="00743253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 w niektórych przypadkach może wręcz spowodować ich obniżenie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</w:p>
    <w:p w:rsidR="00F9302A" w:rsidRPr="00BA3B32" w:rsidRDefault="00F9302A" w:rsidP="00BA3B32">
      <w:pPr>
        <w:keepNext/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lastRenderedPageBreak/>
        <w:t>Wejście w życie ustawy</w:t>
      </w:r>
    </w:p>
    <w:p w:rsidR="00F9302A" w:rsidRPr="00BA3B32" w:rsidRDefault="00F9302A" w:rsidP="00BA3B32">
      <w:pPr>
        <w:keepNext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Ustawa, z uwagi na ścisły funkcjonalny związek z ustawą – Prawo przedsiębiorców, wchodzi w życie w terminie i na zasadach określonych w odrębnej ustawie – Przepisy wprowadzające ustawę </w:t>
      </w:r>
      <w:r w:rsidR="00881178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–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Prawo przedsiębiorców oraz inne ustawy </w:t>
      </w:r>
      <w:r w:rsidR="00805C0B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dotyczące działalności gospodarczej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</w:p>
    <w:p w:rsidR="00392391" w:rsidRPr="00BA3B32" w:rsidRDefault="00392391" w:rsidP="00B113F4">
      <w:pPr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Informacje dodatkowe</w:t>
      </w:r>
    </w:p>
    <w:p w:rsidR="00392391" w:rsidRPr="00BA3B32" w:rsidRDefault="00392391" w:rsidP="00B113F4">
      <w:pPr>
        <w:numPr>
          <w:ilvl w:val="1"/>
          <w:numId w:val="1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Zgłoszenie lobbingowe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Stosownie do art. 5 </w:t>
      </w:r>
      <w:r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ustawy z dnia 7 lipca 2005 r. o działalności lobbingowej w procesie stanowienia prawa</w:t>
      </w:r>
      <w:r w:rsidRPr="00BA3B32">
        <w:rPr>
          <w:rStyle w:val="Odwoanieprzypisudolnego"/>
          <w:rFonts w:ascii="Times New Roman" w:hAnsi="Times New Roman"/>
          <w:i/>
          <w:sz w:val="24"/>
          <w:szCs w:val="24"/>
        </w:rPr>
        <w:footnoteReference w:id="6"/>
      </w:r>
      <w:r w:rsidR="00556C6F" w:rsidRPr="00BA3B32">
        <w:rPr>
          <w:rFonts w:ascii="Times New Roman" w:eastAsia="Times New Roman" w:hAnsi="Times New Roman"/>
          <w:bCs/>
          <w:i/>
          <w:sz w:val="24"/>
          <w:szCs w:val="24"/>
          <w:vertAlign w:val="superscript"/>
          <w:lang w:eastAsia="pl-PL"/>
        </w:rPr>
        <w:t>)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oraz art. 52 § 1 </w:t>
      </w:r>
      <w:r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 xml:space="preserve">uchwały </w:t>
      </w:r>
      <w:r w:rsidR="00A125A8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n</w:t>
      </w:r>
      <w:r w:rsidR="00BA3B32"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r 190 Rady Ministrów z dnia 29 </w:t>
      </w:r>
      <w:r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października 2013 r. – Regulamin pracy Rady Ministrów</w:t>
      </w:r>
      <w:r w:rsidRPr="00BA3B32">
        <w:rPr>
          <w:rStyle w:val="Odwoanieprzypisudolnego"/>
          <w:rFonts w:ascii="Times New Roman" w:hAnsi="Times New Roman"/>
          <w:i/>
          <w:sz w:val="24"/>
          <w:szCs w:val="24"/>
        </w:rPr>
        <w:footnoteReference w:id="7"/>
      </w:r>
      <w:r w:rsidR="00556C6F" w:rsidRPr="00BA3B32">
        <w:rPr>
          <w:rFonts w:ascii="Times New Roman" w:eastAsia="Times New Roman" w:hAnsi="Times New Roman"/>
          <w:bCs/>
          <w:i/>
          <w:sz w:val="24"/>
          <w:szCs w:val="24"/>
          <w:vertAlign w:val="superscript"/>
          <w:lang w:eastAsia="pl-PL"/>
        </w:rPr>
        <w:t>)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projekt ustawy został udostępniony w BIP Rządowego Centrum Legislacji oraz na stronie rządowego portalu konsultacji publicznych (www.konsultacje.gov.pl). </w:t>
      </w:r>
    </w:p>
    <w:p w:rsidR="00392391" w:rsidRPr="00BA3B32" w:rsidRDefault="00392391" w:rsidP="00B113F4">
      <w:pPr>
        <w:numPr>
          <w:ilvl w:val="1"/>
          <w:numId w:val="1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Oświadczenie o zgodności projektowanych regulacji z prawem Unii Europejskiej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Projekt ustawy jest zgodny z prawem Unii Europejskiej.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Projekt nie wymaga przedstawienia właściwym organom i instytucjom Unii Europejskiej, w</w:t>
      </w:r>
      <w:r w:rsidR="00081A46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tym Europejskiemu Bankowi Centralnemu, w celu uzyskania opinii, dokonania powiadomienia, konsultacji albo uzgodnienia. </w:t>
      </w:r>
    </w:p>
    <w:p w:rsidR="00392391" w:rsidRPr="00BA3B32" w:rsidRDefault="00392391" w:rsidP="00B113F4">
      <w:pPr>
        <w:numPr>
          <w:ilvl w:val="1"/>
          <w:numId w:val="1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 w:rsidRPr="00BA3B32">
        <w:rPr>
          <w:rFonts w:ascii="Times New Roman" w:hAnsi="Times New Roman"/>
          <w:b/>
          <w:sz w:val="24"/>
          <w:szCs w:val="24"/>
        </w:rPr>
        <w:t>Ocena</w:t>
      </w:r>
      <w:r w:rsidR="00214CF1" w:rsidRPr="00BA3B32">
        <w:rPr>
          <w:rFonts w:ascii="Times New Roman" w:hAnsi="Times New Roman"/>
          <w:b/>
          <w:sz w:val="24"/>
          <w:szCs w:val="24"/>
        </w:rPr>
        <w:t>,</w:t>
      </w:r>
      <w:r w:rsidRPr="00BA3B32">
        <w:rPr>
          <w:rFonts w:ascii="Times New Roman" w:hAnsi="Times New Roman"/>
          <w:b/>
          <w:sz w:val="24"/>
          <w:szCs w:val="24"/>
        </w:rPr>
        <w:t xml:space="preserve"> czy projekt ustawy będzie podlegał notyfikacji zgodnie z przepisami dotyczącymi funkcjonowania krajowego systemu notyfikacji norm i aktów prawnych</w:t>
      </w:r>
    </w:p>
    <w:p w:rsidR="00392391" w:rsidRPr="00BA3B32" w:rsidRDefault="00392391" w:rsidP="00081A46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Zawarte w projekcie regulacje nie stanowią przepisów technicznych w rozumieniu przepisów </w:t>
      </w:r>
      <w:r w:rsidRPr="00BA3B32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>rozporządzenia Rady Ministrów z dnia 23 grudnia 2002 r. w sprawie sposobu funkcjonowania krajowego systemu notyfikacji norm aktów prawnych</w:t>
      </w:r>
      <w:r w:rsidRPr="00BA3B32">
        <w:rPr>
          <w:rStyle w:val="Odwoanieprzypisudolnego"/>
          <w:rFonts w:ascii="Times New Roman" w:hAnsi="Times New Roman"/>
          <w:i/>
          <w:sz w:val="24"/>
          <w:szCs w:val="24"/>
        </w:rPr>
        <w:footnoteReference w:id="8"/>
      </w:r>
      <w:r w:rsidR="00556C6F" w:rsidRPr="00BA3B32">
        <w:rPr>
          <w:rFonts w:ascii="Times New Roman" w:eastAsia="Times New Roman" w:hAnsi="Times New Roman"/>
          <w:bCs/>
          <w:i/>
          <w:sz w:val="24"/>
          <w:szCs w:val="24"/>
          <w:vertAlign w:val="superscript"/>
          <w:lang w:eastAsia="pl-PL"/>
        </w:rPr>
        <w:t>)</w:t>
      </w:r>
      <w:r w:rsidR="00BA3B32"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, w </w:t>
      </w:r>
      <w:r w:rsidRPr="00BA3B32">
        <w:rPr>
          <w:rFonts w:ascii="Times New Roman" w:eastAsia="Times New Roman" w:hAnsi="Times New Roman"/>
          <w:bCs/>
          <w:sz w:val="24"/>
          <w:szCs w:val="24"/>
          <w:lang w:eastAsia="pl-PL"/>
        </w:rPr>
        <w:t>związku z tym projekt ustawy nie będzie podlegał notyfikacji.</w:t>
      </w:r>
    </w:p>
    <w:p w:rsidR="005D478E" w:rsidRPr="00BA3B32" w:rsidRDefault="005D478E" w:rsidP="00556C6F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5D478E" w:rsidRPr="00BA3B32" w:rsidSect="00556C6F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CEA" w:rsidRDefault="000A5CEA" w:rsidP="00392391">
      <w:pPr>
        <w:spacing w:after="0" w:line="240" w:lineRule="auto"/>
      </w:pPr>
      <w:r>
        <w:separator/>
      </w:r>
    </w:p>
  </w:endnote>
  <w:endnote w:type="continuationSeparator" w:id="0">
    <w:p w:rsidR="000A5CEA" w:rsidRDefault="000A5CEA" w:rsidP="0039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581021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571A0" w:rsidRPr="00556C6F" w:rsidRDefault="00556C6F" w:rsidP="00556C6F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556C6F">
          <w:rPr>
            <w:rFonts w:ascii="Times New Roman" w:hAnsi="Times New Roman"/>
            <w:sz w:val="24"/>
            <w:szCs w:val="24"/>
          </w:rPr>
          <w:fldChar w:fldCharType="begin"/>
        </w:r>
        <w:r w:rsidRPr="00556C6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56C6F">
          <w:rPr>
            <w:rFonts w:ascii="Times New Roman" w:hAnsi="Times New Roman"/>
            <w:sz w:val="24"/>
            <w:szCs w:val="24"/>
          </w:rPr>
          <w:fldChar w:fldCharType="separate"/>
        </w:r>
        <w:r w:rsidR="009C2CF0">
          <w:rPr>
            <w:rFonts w:ascii="Times New Roman" w:hAnsi="Times New Roman"/>
            <w:noProof/>
            <w:sz w:val="24"/>
            <w:szCs w:val="24"/>
          </w:rPr>
          <w:t>6</w:t>
        </w:r>
        <w:r w:rsidRPr="00556C6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CEA" w:rsidRDefault="000A5CEA" w:rsidP="00392391">
      <w:pPr>
        <w:spacing w:after="0" w:line="240" w:lineRule="auto"/>
      </w:pPr>
      <w:r>
        <w:separator/>
      </w:r>
    </w:p>
  </w:footnote>
  <w:footnote w:type="continuationSeparator" w:id="0">
    <w:p w:rsidR="000A5CEA" w:rsidRDefault="000A5CEA" w:rsidP="00392391">
      <w:pPr>
        <w:spacing w:after="0" w:line="240" w:lineRule="auto"/>
      </w:pPr>
      <w:r>
        <w:continuationSeparator/>
      </w:r>
    </w:p>
  </w:footnote>
  <w:footnote w:id="1">
    <w:p w:rsidR="00392391" w:rsidRPr="00AC50DF" w:rsidRDefault="00392391" w:rsidP="00B113F4">
      <w:pPr>
        <w:pStyle w:val="ODNONIKtreodnonika"/>
      </w:pPr>
      <w:r>
        <w:rPr>
          <w:rStyle w:val="Odwoanieprzypisudolnego"/>
        </w:rPr>
        <w:footnoteRef/>
      </w:r>
      <w:r w:rsidR="00556C6F">
        <w:rPr>
          <w:vertAlign w:val="superscript"/>
        </w:rPr>
        <w:t>)</w:t>
      </w:r>
      <w:r>
        <w:tab/>
      </w:r>
      <w:r w:rsidRPr="0046251D">
        <w:rPr>
          <w:rStyle w:val="Ppogrubienie"/>
          <w:b w:val="0"/>
        </w:rPr>
        <w:t xml:space="preserve">Dz. U. z 2016 r. poz. 1829, </w:t>
      </w:r>
      <w:r>
        <w:rPr>
          <w:rStyle w:val="Ppogrubienie"/>
          <w:b w:val="0"/>
        </w:rPr>
        <w:t>z późn. zm.</w:t>
      </w:r>
    </w:p>
  </w:footnote>
  <w:footnote w:id="2">
    <w:p w:rsidR="00392391" w:rsidRPr="00AC50DF" w:rsidRDefault="00392391" w:rsidP="00B113F4">
      <w:pPr>
        <w:pStyle w:val="ODNONIKtreodnonika"/>
      </w:pPr>
      <w:r>
        <w:rPr>
          <w:rStyle w:val="Odwoanieprzypisudolnego"/>
        </w:rPr>
        <w:footnoteRef/>
      </w:r>
      <w:r w:rsidR="00556C6F">
        <w:rPr>
          <w:vertAlign w:val="superscript"/>
        </w:rPr>
        <w:t>)</w:t>
      </w:r>
      <w:r>
        <w:tab/>
      </w:r>
      <w:r>
        <w:rPr>
          <w:rStyle w:val="Ppogrubienie"/>
          <w:b w:val="0"/>
        </w:rPr>
        <w:t>Dz. U. z 2016 r. poz. 893, z późn. zm.</w:t>
      </w:r>
    </w:p>
  </w:footnote>
  <w:footnote w:id="3">
    <w:p w:rsidR="00392391" w:rsidRPr="00AC50DF" w:rsidRDefault="00392391" w:rsidP="00392391">
      <w:pPr>
        <w:pStyle w:val="ODNONIKtreodnonika"/>
      </w:pPr>
      <w:r>
        <w:rPr>
          <w:rStyle w:val="Odwoanieprzypisudolnego"/>
        </w:rPr>
        <w:footnoteRef/>
      </w:r>
      <w:r w:rsidR="00556C6F">
        <w:rPr>
          <w:vertAlign w:val="superscript"/>
        </w:rPr>
        <w:t>)</w:t>
      </w:r>
      <w:r>
        <w:tab/>
        <w:t>Dz. Urz. UE L 376 z 27.12.2006.</w:t>
      </w:r>
    </w:p>
  </w:footnote>
  <w:footnote w:id="4">
    <w:p w:rsidR="00392391" w:rsidRPr="00AC50DF" w:rsidRDefault="00392391" w:rsidP="00392391">
      <w:pPr>
        <w:pStyle w:val="ODNONIKtreodnonika"/>
      </w:pPr>
      <w:r>
        <w:rPr>
          <w:rStyle w:val="Odwoanieprzypisudolnego"/>
        </w:rPr>
        <w:footnoteRef/>
      </w:r>
      <w:r w:rsidR="00556C6F">
        <w:rPr>
          <w:vertAlign w:val="superscript"/>
        </w:rPr>
        <w:t>)</w:t>
      </w:r>
      <w:r>
        <w:tab/>
        <w:t>Dz. U. z 2016 r. poz. 283.</w:t>
      </w:r>
    </w:p>
  </w:footnote>
  <w:footnote w:id="5">
    <w:p w:rsidR="00392391" w:rsidRPr="00AC50DF" w:rsidRDefault="00392391" w:rsidP="00392391">
      <w:pPr>
        <w:pStyle w:val="ODNONIKtreodnonika"/>
      </w:pPr>
      <w:r>
        <w:rPr>
          <w:rStyle w:val="Odwoanieprzypisudolnego"/>
        </w:rPr>
        <w:footnoteRef/>
      </w:r>
      <w:r w:rsidR="00556C6F">
        <w:rPr>
          <w:vertAlign w:val="superscript"/>
        </w:rPr>
        <w:t>)</w:t>
      </w:r>
      <w:r>
        <w:tab/>
        <w:t>Dz. Urz. UE C 326, z 26.10.2012, str. 1.</w:t>
      </w:r>
    </w:p>
  </w:footnote>
  <w:footnote w:id="6">
    <w:p w:rsidR="00392391" w:rsidRPr="00AC50DF" w:rsidRDefault="00392391" w:rsidP="00392391">
      <w:pPr>
        <w:pStyle w:val="ODNONIKtreodnonika"/>
      </w:pPr>
      <w:r>
        <w:rPr>
          <w:rStyle w:val="Odwoanieprzypisudolnego"/>
        </w:rPr>
        <w:footnoteRef/>
      </w:r>
      <w:r w:rsidR="00556C6F">
        <w:rPr>
          <w:vertAlign w:val="superscript"/>
        </w:rPr>
        <w:t>)</w:t>
      </w:r>
      <w:r>
        <w:tab/>
        <w:t xml:space="preserve">Dz. U. </w:t>
      </w:r>
      <w:r w:rsidR="0012202D">
        <w:t>z 2017 r. poz. 248</w:t>
      </w:r>
      <w:r>
        <w:t>.</w:t>
      </w:r>
    </w:p>
  </w:footnote>
  <w:footnote w:id="7">
    <w:p w:rsidR="00392391" w:rsidRPr="00AC50DF" w:rsidRDefault="00392391" w:rsidP="00392391">
      <w:pPr>
        <w:pStyle w:val="ODNONIKtreodnonika"/>
      </w:pPr>
      <w:r>
        <w:rPr>
          <w:rStyle w:val="Odwoanieprzypisudolnego"/>
        </w:rPr>
        <w:footnoteRef/>
      </w:r>
      <w:r w:rsidR="00556C6F">
        <w:rPr>
          <w:vertAlign w:val="superscript"/>
        </w:rPr>
        <w:t>)</w:t>
      </w:r>
      <w:r>
        <w:tab/>
        <w:t xml:space="preserve">M.P. </w:t>
      </w:r>
      <w:r w:rsidR="002433FE">
        <w:t xml:space="preserve">z 2016 r. </w:t>
      </w:r>
      <w:r>
        <w:t>poz. 1006</w:t>
      </w:r>
      <w:r w:rsidR="009F49C4">
        <w:t>, z późn. zm</w:t>
      </w:r>
      <w:r>
        <w:t>.</w:t>
      </w:r>
    </w:p>
  </w:footnote>
  <w:footnote w:id="8">
    <w:p w:rsidR="00BA3B32" w:rsidRPr="00AC50DF" w:rsidRDefault="00392391" w:rsidP="0048061D">
      <w:pPr>
        <w:pStyle w:val="ODNONIKtreodnonika"/>
      </w:pPr>
      <w:r>
        <w:rPr>
          <w:rStyle w:val="Odwoanieprzypisudolnego"/>
        </w:rPr>
        <w:footnoteRef/>
      </w:r>
      <w:r w:rsidR="00556C6F">
        <w:rPr>
          <w:vertAlign w:val="superscript"/>
        </w:rPr>
        <w:t>)</w:t>
      </w:r>
      <w:r>
        <w:tab/>
        <w:t>Dz. U. poz. 2039, z późn. zm.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1CC8"/>
    <w:multiLevelType w:val="hybridMultilevel"/>
    <w:tmpl w:val="DC9269E6"/>
    <w:lvl w:ilvl="0" w:tplc="DF7E6B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83D7B"/>
    <w:multiLevelType w:val="hybridMultilevel"/>
    <w:tmpl w:val="A02AEA92"/>
    <w:lvl w:ilvl="0" w:tplc="0D105D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F7E6BC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0C74E6"/>
    <w:multiLevelType w:val="hybridMultilevel"/>
    <w:tmpl w:val="DC9269E6"/>
    <w:lvl w:ilvl="0" w:tplc="DF7E6B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0355FF"/>
    <w:multiLevelType w:val="hybridMultilevel"/>
    <w:tmpl w:val="DC9269E6"/>
    <w:lvl w:ilvl="0" w:tplc="DF7E6B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391"/>
    <w:rsid w:val="0004595E"/>
    <w:rsid w:val="000571A0"/>
    <w:rsid w:val="00077C93"/>
    <w:rsid w:val="00081A46"/>
    <w:rsid w:val="000A5CEA"/>
    <w:rsid w:val="000F4408"/>
    <w:rsid w:val="000F53B7"/>
    <w:rsid w:val="000F5781"/>
    <w:rsid w:val="001013B0"/>
    <w:rsid w:val="0012202D"/>
    <w:rsid w:val="00145909"/>
    <w:rsid w:val="00147F4B"/>
    <w:rsid w:val="001517A2"/>
    <w:rsid w:val="00156094"/>
    <w:rsid w:val="00167DB4"/>
    <w:rsid w:val="001922D5"/>
    <w:rsid w:val="001A42AB"/>
    <w:rsid w:val="001A4766"/>
    <w:rsid w:val="001B190D"/>
    <w:rsid w:val="001C4F05"/>
    <w:rsid w:val="001D04D4"/>
    <w:rsid w:val="00200D0E"/>
    <w:rsid w:val="00202474"/>
    <w:rsid w:val="00214CF1"/>
    <w:rsid w:val="002433FE"/>
    <w:rsid w:val="0026427E"/>
    <w:rsid w:val="00273C93"/>
    <w:rsid w:val="00290474"/>
    <w:rsid w:val="002C3722"/>
    <w:rsid w:val="00316A94"/>
    <w:rsid w:val="00345D27"/>
    <w:rsid w:val="003546E4"/>
    <w:rsid w:val="003623D7"/>
    <w:rsid w:val="003706E6"/>
    <w:rsid w:val="00392391"/>
    <w:rsid w:val="003B3AB0"/>
    <w:rsid w:val="003F6A20"/>
    <w:rsid w:val="00442089"/>
    <w:rsid w:val="004450F4"/>
    <w:rsid w:val="00454C25"/>
    <w:rsid w:val="00472E58"/>
    <w:rsid w:val="0048061D"/>
    <w:rsid w:val="00495321"/>
    <w:rsid w:val="004A5228"/>
    <w:rsid w:val="004E1937"/>
    <w:rsid w:val="004F3068"/>
    <w:rsid w:val="005526BB"/>
    <w:rsid w:val="00556C6F"/>
    <w:rsid w:val="005C0413"/>
    <w:rsid w:val="005D478E"/>
    <w:rsid w:val="005F1014"/>
    <w:rsid w:val="00606761"/>
    <w:rsid w:val="00611B5F"/>
    <w:rsid w:val="006949B4"/>
    <w:rsid w:val="006A2B07"/>
    <w:rsid w:val="006A5E00"/>
    <w:rsid w:val="006B1EDE"/>
    <w:rsid w:val="006E502A"/>
    <w:rsid w:val="006F39B4"/>
    <w:rsid w:val="006F76B2"/>
    <w:rsid w:val="0072024E"/>
    <w:rsid w:val="00740E9B"/>
    <w:rsid w:val="00743253"/>
    <w:rsid w:val="00772D94"/>
    <w:rsid w:val="007A39AA"/>
    <w:rsid w:val="007E671D"/>
    <w:rsid w:val="007F2B91"/>
    <w:rsid w:val="00803AA9"/>
    <w:rsid w:val="00805C0B"/>
    <w:rsid w:val="00806B49"/>
    <w:rsid w:val="00867F2C"/>
    <w:rsid w:val="00881178"/>
    <w:rsid w:val="00882327"/>
    <w:rsid w:val="008939F5"/>
    <w:rsid w:val="00910FCB"/>
    <w:rsid w:val="009111C8"/>
    <w:rsid w:val="00933420"/>
    <w:rsid w:val="00940F68"/>
    <w:rsid w:val="00950C11"/>
    <w:rsid w:val="0095459F"/>
    <w:rsid w:val="00982794"/>
    <w:rsid w:val="009A3A7C"/>
    <w:rsid w:val="009C2304"/>
    <w:rsid w:val="009C2CF0"/>
    <w:rsid w:val="009C5FAA"/>
    <w:rsid w:val="009C6081"/>
    <w:rsid w:val="009E26CF"/>
    <w:rsid w:val="009F49C4"/>
    <w:rsid w:val="009F79D6"/>
    <w:rsid w:val="00A11924"/>
    <w:rsid w:val="00A125A8"/>
    <w:rsid w:val="00A14FCB"/>
    <w:rsid w:val="00A26EEB"/>
    <w:rsid w:val="00A52215"/>
    <w:rsid w:val="00A91EED"/>
    <w:rsid w:val="00AC76E5"/>
    <w:rsid w:val="00AE2175"/>
    <w:rsid w:val="00B113F4"/>
    <w:rsid w:val="00B2107D"/>
    <w:rsid w:val="00B622E2"/>
    <w:rsid w:val="00B67AAD"/>
    <w:rsid w:val="00B67C7C"/>
    <w:rsid w:val="00B81957"/>
    <w:rsid w:val="00B95463"/>
    <w:rsid w:val="00BA3B32"/>
    <w:rsid w:val="00BE282E"/>
    <w:rsid w:val="00BE4E51"/>
    <w:rsid w:val="00C4591F"/>
    <w:rsid w:val="00C506F4"/>
    <w:rsid w:val="00C57CCB"/>
    <w:rsid w:val="00C67874"/>
    <w:rsid w:val="00C979E5"/>
    <w:rsid w:val="00CC34BD"/>
    <w:rsid w:val="00D12F4A"/>
    <w:rsid w:val="00D96819"/>
    <w:rsid w:val="00DA5F53"/>
    <w:rsid w:val="00DB3E9C"/>
    <w:rsid w:val="00DB5FF1"/>
    <w:rsid w:val="00DE046D"/>
    <w:rsid w:val="00DF04C0"/>
    <w:rsid w:val="00E01DEE"/>
    <w:rsid w:val="00E352CC"/>
    <w:rsid w:val="00E4418E"/>
    <w:rsid w:val="00E60AA1"/>
    <w:rsid w:val="00E66053"/>
    <w:rsid w:val="00E73F12"/>
    <w:rsid w:val="00E804D1"/>
    <w:rsid w:val="00E87168"/>
    <w:rsid w:val="00EC0594"/>
    <w:rsid w:val="00EE7A4B"/>
    <w:rsid w:val="00F00664"/>
    <w:rsid w:val="00F32B17"/>
    <w:rsid w:val="00F9302A"/>
    <w:rsid w:val="00F94297"/>
    <w:rsid w:val="00FD44B0"/>
    <w:rsid w:val="00FF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923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92391"/>
    <w:rPr>
      <w:sz w:val="22"/>
      <w:szCs w:val="22"/>
      <w:lang w:eastAsia="en-US"/>
    </w:rPr>
  </w:style>
  <w:style w:type="character" w:styleId="Odwoanieprzypisudolnego">
    <w:name w:val="footnote reference"/>
    <w:uiPriority w:val="99"/>
    <w:semiHidden/>
    <w:rsid w:val="00392391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392391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styleId="Odwoaniedokomentarza">
    <w:name w:val="annotation reference"/>
    <w:uiPriority w:val="99"/>
    <w:semiHidden/>
    <w:unhideWhenUsed/>
    <w:rsid w:val="003923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239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92391"/>
    <w:rPr>
      <w:lang w:eastAsia="en-US"/>
    </w:rPr>
  </w:style>
  <w:style w:type="character" w:customStyle="1" w:styleId="Ppogrubienie">
    <w:name w:val="_P_ – pogrubienie"/>
    <w:uiPriority w:val="1"/>
    <w:qFormat/>
    <w:rsid w:val="00392391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2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92391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56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C6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923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92391"/>
    <w:rPr>
      <w:sz w:val="22"/>
      <w:szCs w:val="22"/>
      <w:lang w:eastAsia="en-US"/>
    </w:rPr>
  </w:style>
  <w:style w:type="character" w:styleId="Odwoanieprzypisudolnego">
    <w:name w:val="footnote reference"/>
    <w:uiPriority w:val="99"/>
    <w:semiHidden/>
    <w:rsid w:val="00392391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392391"/>
    <w:pPr>
      <w:ind w:left="284" w:hanging="284"/>
      <w:jc w:val="both"/>
    </w:pPr>
    <w:rPr>
      <w:rFonts w:ascii="Times New Roman" w:eastAsia="Times New Roman" w:hAnsi="Times New Roman" w:cs="Arial"/>
    </w:rPr>
  </w:style>
  <w:style w:type="character" w:styleId="Odwoaniedokomentarza">
    <w:name w:val="annotation reference"/>
    <w:uiPriority w:val="99"/>
    <w:semiHidden/>
    <w:unhideWhenUsed/>
    <w:rsid w:val="003923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239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92391"/>
    <w:rPr>
      <w:lang w:eastAsia="en-US"/>
    </w:rPr>
  </w:style>
  <w:style w:type="character" w:customStyle="1" w:styleId="Ppogrubienie">
    <w:name w:val="_P_ – pogrubienie"/>
    <w:uiPriority w:val="1"/>
    <w:qFormat/>
    <w:rsid w:val="00392391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2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92391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56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C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32F01-FE74-4E9B-8661-8A7B7EF00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13</Pages>
  <Words>3942</Words>
  <Characters>24247</Characters>
  <Application>Microsoft Office Word</Application>
  <DocSecurity>0</DocSecurity>
  <Lines>418</Lines>
  <Paragraphs>190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27999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Guzowski</dc:creator>
  <cp:lastModifiedBy>Binkowska Joanna</cp:lastModifiedBy>
  <cp:revision>8</cp:revision>
  <cp:lastPrinted>2017-11-15T11:56:00Z</cp:lastPrinted>
  <dcterms:created xsi:type="dcterms:W3CDTF">2017-11-08T12:30:00Z</dcterms:created>
  <dcterms:modified xsi:type="dcterms:W3CDTF">2017-11-17T08:13:00Z</dcterms:modified>
</cp:coreProperties>
</file>