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2C4" w:rsidRDefault="008852C4" w:rsidP="00A66A4B">
      <w:pPr>
        <w:pStyle w:val="OZNRODZAKTUtznustawalubrozporzdzenieiorganwydajcy"/>
      </w:pPr>
      <w:bookmarkStart w:id="0" w:name="_GoBack"/>
      <w:bookmarkEnd w:id="0"/>
    </w:p>
    <w:p w:rsidR="0011257D" w:rsidRPr="0011257D" w:rsidRDefault="0011257D" w:rsidP="0011257D">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B5659A">
        <w:t>15 listopada 2017 r.</w:t>
      </w:r>
    </w:p>
    <w:p w:rsidR="00A66A4B" w:rsidRPr="00A66A4B" w:rsidRDefault="00B1776A" w:rsidP="00A66A4B">
      <w:pPr>
        <w:pStyle w:val="TYTUAKTUprzedmiotregulacjiustawylubrozporzdzenia"/>
      </w:pPr>
      <w:r w:rsidRPr="00B1776A">
        <w:t xml:space="preserve">w sprawie wniesienia do Sejmu projektu ustawy </w:t>
      </w:r>
      <w:r w:rsidR="00B5659A" w:rsidRPr="00215978">
        <w:t>o zmianie ustawy – Prawo o ruchu drogowym oraz ustawy o kierujących pojazdami</w:t>
      </w:r>
      <w:r w:rsidRPr="0011257D">
        <w:t xml:space="preserve"> </w:t>
      </w:r>
    </w:p>
    <w:p w:rsidR="00B1776A" w:rsidRPr="00B1776A" w:rsidRDefault="00B1776A" w:rsidP="00B1776A">
      <w:pPr>
        <w:pStyle w:val="NIEARTTEKSTtekstnieartykuowanynppreambua"/>
      </w:pPr>
      <w:r w:rsidRPr="00B1776A">
        <w:t xml:space="preserve">Na podstawie art. 118 ust. 1 Konstytucji Rzeczypospolitej Polskiej z dnia 2 kwietnia 1997 r., Senat wnosi do Sejmu Rzeczypospolitej Polskiej projekt ustawy </w:t>
      </w:r>
      <w:r w:rsidR="00B5659A" w:rsidRPr="00215978">
        <w:t>o zmianie ustawy – Prawo o ruchu drogowym oraz ustawy o kierujących pojazdami</w:t>
      </w:r>
      <w:r w:rsidRPr="00B1776A">
        <w:t>.</w:t>
      </w:r>
    </w:p>
    <w:p w:rsidR="00B1776A" w:rsidRPr="00B1776A" w:rsidRDefault="00B1776A" w:rsidP="00B1776A">
      <w:pPr>
        <w:pStyle w:val="NIEARTTEKSTtekstnieartykuowanynppreambua"/>
      </w:pPr>
      <w:r w:rsidRPr="00B1776A">
        <w:t>Jednocześni</w:t>
      </w:r>
      <w:r w:rsidR="00B5659A">
        <w:t xml:space="preserve">e upoważnia senatora </w:t>
      </w:r>
      <w:r w:rsidR="00B5659A" w:rsidRPr="004D6E07">
        <w:rPr>
          <w:snapToGrid w:val="0"/>
        </w:rPr>
        <w:t>Mark</w:t>
      </w:r>
      <w:r w:rsidR="00B5659A">
        <w:rPr>
          <w:snapToGrid w:val="0"/>
        </w:rPr>
        <w:t>a</w:t>
      </w:r>
      <w:r w:rsidR="00B5659A" w:rsidRPr="004D6E07">
        <w:rPr>
          <w:snapToGrid w:val="0"/>
        </w:rPr>
        <w:t xml:space="preserve"> Borowski</w:t>
      </w:r>
      <w:r w:rsidR="00B5659A">
        <w:rPr>
          <w:snapToGrid w:val="0"/>
        </w:rPr>
        <w:t>ego</w:t>
      </w:r>
      <w:r w:rsidR="00BE7F18">
        <w:t xml:space="preserve"> do reprezentowania Senatu w </w:t>
      </w:r>
      <w:r w:rsidRPr="00B1776A">
        <w:t>pracach nad projektem.</w:t>
      </w:r>
    </w:p>
    <w:p w:rsidR="00E63BAC" w:rsidRDefault="00E63BAC" w:rsidP="00E63BAC">
      <w:pPr>
        <w:pStyle w:val="ARTartustawynprozporzdzenia"/>
      </w:pPr>
    </w:p>
    <w:p w:rsidR="00E63BAC" w:rsidRDefault="00E63BAC" w:rsidP="00E63BAC">
      <w:pPr>
        <w:pStyle w:val="ARTartustawynprozporzdzenia"/>
      </w:pPr>
    </w:p>
    <w:p w:rsidR="00B5659A" w:rsidRDefault="00B5659A" w:rsidP="00B5659A">
      <w:pPr>
        <w:ind w:left="4678"/>
        <w:jc w:val="center"/>
        <w:rPr>
          <w:b/>
          <w:color w:val="000000" w:themeColor="text1"/>
        </w:rPr>
      </w:pPr>
      <w:r>
        <w:rPr>
          <w:b/>
          <w:color w:val="000000" w:themeColor="text1"/>
        </w:rPr>
        <w:t>MARSZAŁEK SENATU</w:t>
      </w:r>
    </w:p>
    <w:p w:rsidR="00B5659A" w:rsidRDefault="00B5659A" w:rsidP="00B5659A">
      <w:pPr>
        <w:ind w:left="4678" w:firstLine="851"/>
        <w:jc w:val="left"/>
        <w:rPr>
          <w:b/>
          <w:color w:val="000000" w:themeColor="text1"/>
        </w:rPr>
      </w:pPr>
      <w:r>
        <w:rPr>
          <w:b/>
          <w:color w:val="000000" w:themeColor="text1"/>
        </w:rPr>
        <w:t>W/Z</w:t>
      </w:r>
    </w:p>
    <w:p w:rsidR="00B5659A" w:rsidRDefault="00B5659A" w:rsidP="00B5659A">
      <w:pPr>
        <w:ind w:left="4678"/>
        <w:jc w:val="center"/>
        <w:rPr>
          <w:b/>
          <w:color w:val="000000" w:themeColor="text1"/>
        </w:rPr>
      </w:pPr>
    </w:p>
    <w:p w:rsidR="00B5659A" w:rsidRDefault="00B5659A" w:rsidP="00B5659A">
      <w:pPr>
        <w:ind w:left="4678"/>
        <w:jc w:val="center"/>
        <w:rPr>
          <w:b/>
          <w:color w:val="000000" w:themeColor="text1"/>
        </w:rPr>
      </w:pPr>
    </w:p>
    <w:p w:rsidR="00B5659A" w:rsidRDefault="00B5659A" w:rsidP="00B5659A">
      <w:pPr>
        <w:ind w:left="6127"/>
        <w:rPr>
          <w:b/>
          <w:color w:val="000000" w:themeColor="text1"/>
        </w:rPr>
      </w:pPr>
      <w:r>
        <w:rPr>
          <w:b/>
          <w:color w:val="000000" w:themeColor="text1"/>
        </w:rPr>
        <w:t>Maria KOC</w:t>
      </w:r>
    </w:p>
    <w:p w:rsidR="00B5659A" w:rsidRDefault="00B5659A" w:rsidP="00B5659A">
      <w:pPr>
        <w:pStyle w:val="Tekstpodstawowy"/>
        <w:tabs>
          <w:tab w:val="center" w:pos="6804"/>
        </w:tabs>
        <w:spacing w:line="240" w:lineRule="auto"/>
        <w:ind w:right="-2"/>
        <w:rPr>
          <w:b/>
        </w:rPr>
      </w:pPr>
      <w:r>
        <w:rPr>
          <w:b/>
          <w:color w:val="000000" w:themeColor="text1"/>
        </w:rPr>
        <w:tab/>
        <w:t>Wicemarszałek Senatu</w:t>
      </w:r>
    </w:p>
    <w:p w:rsidR="006232FC" w:rsidRDefault="0011257D" w:rsidP="00B5659A">
      <w:pPr>
        <w:pStyle w:val="Tekstpodstawowy"/>
        <w:tabs>
          <w:tab w:val="center" w:pos="6237"/>
        </w:tabs>
        <w:spacing w:line="240" w:lineRule="auto"/>
        <w:ind w:right="-2"/>
        <w:rPr>
          <w:b/>
        </w:rPr>
        <w:sectPr w:rsidR="006232FC" w:rsidSect="008852C4">
          <w:headerReference w:type="default" r:id="rId8"/>
          <w:headerReference w:type="first" r:id="rId9"/>
          <w:pgSz w:w="11906" w:h="16838"/>
          <w:pgMar w:top="846" w:right="1435" w:bottom="1559" w:left="1418" w:header="709" w:footer="709" w:gutter="0"/>
          <w:cols w:space="708"/>
          <w:titlePg/>
          <w:docGrid w:linePitch="254"/>
        </w:sectPr>
      </w:pPr>
      <w:r>
        <w:rPr>
          <w:b/>
        </w:rPr>
        <w:tab/>
      </w:r>
    </w:p>
    <w:p w:rsidR="006232FC" w:rsidRDefault="006232FC" w:rsidP="00D42A0D">
      <w:pPr>
        <w:pStyle w:val="OZNPROJEKTUwskazaniedatylubwersjiprojektu"/>
      </w:pPr>
      <w:r>
        <w:lastRenderedPageBreak/>
        <w:t>projekt</w:t>
      </w:r>
    </w:p>
    <w:p w:rsidR="006232FC" w:rsidRPr="00E000DC" w:rsidRDefault="006232FC" w:rsidP="004810D7">
      <w:pPr>
        <w:pStyle w:val="OZNRODZAKTUtznustawalubrozporzdzenieiorganwydajcy"/>
      </w:pPr>
      <w:r w:rsidRPr="004810D7">
        <w:t>ustawa</w:t>
      </w:r>
    </w:p>
    <w:p w:rsidR="006232FC" w:rsidRDefault="006232FC" w:rsidP="00912118">
      <w:pPr>
        <w:pStyle w:val="DATAAKTUdatauchwalenialubwydaniaaktu"/>
      </w:pPr>
      <w:r w:rsidRPr="00E000DC">
        <w:t>z dnia</w:t>
      </w:r>
      <w:r>
        <w:t xml:space="preserve"> </w:t>
      </w:r>
    </w:p>
    <w:p w:rsidR="006232FC" w:rsidRDefault="006232FC" w:rsidP="004810D7">
      <w:pPr>
        <w:pStyle w:val="TYTUAKTUprzedmiotregulacjiustawylubrozporzdzenia"/>
      </w:pPr>
      <w:r>
        <w:t>o zmianie ustawy – Prawo o ruchu drogowym oraz ustawy o kierujących pojazdami</w:t>
      </w:r>
    </w:p>
    <w:p w:rsidR="006232FC" w:rsidRDefault="006232FC" w:rsidP="004810D7">
      <w:pPr>
        <w:pStyle w:val="ARTartustawynprozporzdzenia"/>
      </w:pPr>
      <w:r w:rsidRPr="006443F8">
        <w:rPr>
          <w:rStyle w:val="Ppogrubienie"/>
        </w:rPr>
        <w:t>Art. 1.</w:t>
      </w:r>
      <w:r w:rsidRPr="00216C88">
        <w:t xml:space="preserve"> W</w:t>
      </w:r>
      <w:r>
        <w:t xml:space="preserve"> ustawie z dnia 20 czerwca 1997 r. – Prawo o ruchu drogowym (Dz. U. z 2017 r. poz. 1260 i 1926) w art. 135 po ust. 1a dodaje się ust. 1aa w brzmieniu:</w:t>
      </w:r>
    </w:p>
    <w:p w:rsidR="006232FC" w:rsidRPr="00216C88" w:rsidRDefault="006232FC" w:rsidP="00553ED1">
      <w:pPr>
        <w:pStyle w:val="ZUSTzmustartykuempunktem"/>
      </w:pPr>
      <w:r w:rsidRPr="00A45FF0">
        <w:t>„1a</w:t>
      </w:r>
      <w:r>
        <w:t>a</w:t>
      </w:r>
      <w:r w:rsidRPr="00A45FF0">
        <w:t xml:space="preserve">. </w:t>
      </w:r>
      <w:r>
        <w:t>Przepisu</w:t>
      </w:r>
      <w:r w:rsidRPr="00A45FF0">
        <w:t xml:space="preserve"> ust. 1 pkt </w:t>
      </w:r>
      <w:r>
        <w:t xml:space="preserve">1a </w:t>
      </w:r>
      <w:r w:rsidRPr="00A45FF0">
        <w:t xml:space="preserve">nie </w:t>
      </w:r>
      <w:r>
        <w:t>stosu</w:t>
      </w:r>
      <w:r w:rsidRPr="00A45FF0">
        <w:t>je się, jeżeli kierujący pojazdem dopuścił się naruszenia, o którym mowa w tym przepisie,</w:t>
      </w:r>
      <w:r w:rsidRPr="00197373">
        <w:t xml:space="preserve"> działając w celu uchylenia bezpośredniego niebezpieczeństwa grożącego życiu lub zdrowiu człowieka, jeżeli niebezpieczeństwa tego nie można było uniknąć inaczej, a poświęcone dobro w postaci bezpieczeństwa na drodze przedstawiało wartość niższą od dobra ratowanego</w:t>
      </w:r>
      <w:r w:rsidRPr="00A45FF0">
        <w:t>.</w:t>
      </w:r>
      <w:r w:rsidRPr="00C47751">
        <w:t>”</w:t>
      </w:r>
      <w:r>
        <w:t>.</w:t>
      </w:r>
    </w:p>
    <w:p w:rsidR="006232FC" w:rsidRDefault="006232FC" w:rsidP="004B359F">
      <w:pPr>
        <w:pStyle w:val="ARTartustawynprozporzdzenia"/>
      </w:pPr>
      <w:r w:rsidRPr="006443F8">
        <w:rPr>
          <w:rStyle w:val="Ppogrubienie"/>
        </w:rPr>
        <w:t>Art. 2.</w:t>
      </w:r>
      <w:r w:rsidRPr="00727637">
        <w:t xml:space="preserve"> W ustawie z dnia </w:t>
      </w:r>
      <w:r>
        <w:t>5 stycznia 2011 r. o kierujących pojazdami (Dz. U. z 2017 r. poz. 978) w art. 102:</w:t>
      </w:r>
    </w:p>
    <w:p w:rsidR="006232FC" w:rsidRPr="00727637" w:rsidRDefault="006232FC" w:rsidP="003B0593">
      <w:pPr>
        <w:pStyle w:val="PKTpunkt"/>
      </w:pPr>
      <w:r>
        <w:t>1)</w:t>
      </w:r>
      <w:r>
        <w:tab/>
        <w:t>po ust. 1a dodaje się ust. 1aa w brzmieniu:</w:t>
      </w:r>
    </w:p>
    <w:p w:rsidR="006232FC" w:rsidRDefault="006232FC" w:rsidP="00557D00">
      <w:pPr>
        <w:pStyle w:val="ZUSTzmustartykuempunktem"/>
      </w:pPr>
      <w:r w:rsidRPr="00154EE2">
        <w:t>„</w:t>
      </w:r>
      <w:r>
        <w:t>1aa</w:t>
      </w:r>
      <w:r w:rsidRPr="00154EE2">
        <w:t xml:space="preserve">. </w:t>
      </w:r>
      <w:r w:rsidRPr="0010182C">
        <w:t xml:space="preserve">Przepisu ust. 1 pkt </w:t>
      </w:r>
      <w:r>
        <w:t>4</w:t>
      </w:r>
      <w:r w:rsidRPr="0010182C">
        <w:t xml:space="preserve"> </w:t>
      </w:r>
      <w:r>
        <w:t xml:space="preserve">i 5 </w:t>
      </w:r>
      <w:r w:rsidRPr="0010182C">
        <w:t>nie stosuje się,</w:t>
      </w:r>
      <w:r w:rsidRPr="00154EE2">
        <w:t xml:space="preserve"> jeżeli kierujący pojazdem dopuścił się naruszenia, o którym mowa w tym przepisie,</w:t>
      </w:r>
      <w:r w:rsidRPr="00197373">
        <w:t xml:space="preserve"> działając w celu uchylenia bezpośredniego niebezpieczeństwa grożącego życiu lub zdrowiu człowieka, jeżeli niebezpieczeństwa tego nie można było uniknąć inaczej, a poświęcone dobro w postaci bezpieczeństwa na drodze przedstawiało wartość niższą od dobra ratowanego</w:t>
      </w:r>
      <w:r w:rsidRPr="00154EE2">
        <w:t>.</w:t>
      </w:r>
      <w:r w:rsidRPr="00557D00">
        <w:t>”;</w:t>
      </w:r>
    </w:p>
    <w:p w:rsidR="006232FC" w:rsidRDefault="006232FC" w:rsidP="00557D00">
      <w:pPr>
        <w:pStyle w:val="PKTpunkt"/>
      </w:pPr>
      <w:r>
        <w:t>2)</w:t>
      </w:r>
      <w:r>
        <w:tab/>
        <w:t>po ust. 1d dodaje się ust. 1da w brzmieniu:</w:t>
      </w:r>
    </w:p>
    <w:p w:rsidR="006232FC" w:rsidRPr="00D131B4" w:rsidRDefault="006232FC" w:rsidP="00090EBA">
      <w:pPr>
        <w:pStyle w:val="ZUSTzmustartykuempunktem"/>
      </w:pPr>
      <w:r w:rsidRPr="00031BF5">
        <w:t>„</w:t>
      </w:r>
      <w:r>
        <w:t xml:space="preserve">1da. Jeżeli prawo jazdy zostało zatrzymane </w:t>
      </w:r>
      <w:r w:rsidRPr="0011784C">
        <w:t>w trybie art. 135 ust. 1</w:t>
      </w:r>
      <w:r>
        <w:t xml:space="preserve"> pkt 1a</w:t>
      </w:r>
      <w:r w:rsidRPr="0011784C">
        <w:t xml:space="preserve"> ustawy z dnia 20 czerwca 1997 r. </w:t>
      </w:r>
      <w:r>
        <w:t>–</w:t>
      </w:r>
      <w:r w:rsidRPr="0011784C">
        <w:t xml:space="preserve"> Prawo o ruchu drogowym</w:t>
      </w:r>
      <w:r>
        <w:t xml:space="preserve">, starosta wydaje decyzję w przedmiocie zatrzymania prawa jazdy w terminie </w:t>
      </w:r>
      <w:r w:rsidRPr="00D131B4">
        <w:t>14 dni od dnia powzięcia informacji o tym fakcie.”.</w:t>
      </w:r>
    </w:p>
    <w:p w:rsidR="006232FC" w:rsidRDefault="006232FC" w:rsidP="004810D7">
      <w:pPr>
        <w:pStyle w:val="ARTartustawynprozporzdzenia"/>
        <w:rPr>
          <w:rStyle w:val="Ppogrubienie"/>
        </w:rPr>
      </w:pPr>
      <w:r w:rsidRPr="006443F8">
        <w:rPr>
          <w:rStyle w:val="Ppogrubienie"/>
        </w:rPr>
        <w:t>Art. 3.</w:t>
      </w:r>
      <w:r>
        <w:rPr>
          <w:rStyle w:val="Ppogrubienie"/>
        </w:rPr>
        <w:t xml:space="preserve"> </w:t>
      </w:r>
      <w:r w:rsidRPr="008976B3">
        <w:t xml:space="preserve">Do postępowań wszczętych i niezakończonych do dnia wejścia w życie niniejszej ustawy stosuje się przepisy </w:t>
      </w:r>
      <w:r>
        <w:t xml:space="preserve">art. 102 ust. 1aa i 1da </w:t>
      </w:r>
      <w:r w:rsidRPr="008976B3">
        <w:t xml:space="preserve">ustawy, o której mowa w art. </w:t>
      </w:r>
      <w:r>
        <w:t>2</w:t>
      </w:r>
      <w:r w:rsidRPr="008976B3">
        <w:t>.</w:t>
      </w:r>
    </w:p>
    <w:p w:rsidR="006232FC" w:rsidRDefault="006232FC" w:rsidP="004810D7">
      <w:pPr>
        <w:pStyle w:val="ARTartustawynprozporzdzenia"/>
      </w:pPr>
      <w:r>
        <w:rPr>
          <w:rStyle w:val="Ppogrubienie"/>
        </w:rPr>
        <w:t>Art. 4.</w:t>
      </w:r>
      <w:r w:rsidRPr="00A624BC">
        <w:t xml:space="preserve"> Ustawa wchodzi w życie po upływie 14 dni od dnia ogłoszenia.</w:t>
      </w:r>
    </w:p>
    <w:p w:rsidR="006232FC" w:rsidRDefault="006232FC" w:rsidP="004810D7">
      <w:pPr>
        <w:pStyle w:val="ARTartustawynprozporzdzenia"/>
        <w:sectPr w:rsidR="006232FC" w:rsidSect="000F3F13">
          <w:headerReference w:type="default" r:id="rId10"/>
          <w:pgSz w:w="11906" w:h="16838"/>
          <w:pgMar w:top="846" w:right="1435" w:bottom="1559" w:left="1418" w:header="709" w:footer="709" w:gutter="0"/>
          <w:cols w:space="708"/>
          <w:titlePg/>
          <w:docGrid w:linePitch="254"/>
        </w:sectPr>
      </w:pPr>
    </w:p>
    <w:p w:rsidR="006232FC" w:rsidRPr="004810D7" w:rsidRDefault="006232FC" w:rsidP="004810D7">
      <w:pPr>
        <w:pStyle w:val="ARTartustawynprozporzdzenia"/>
      </w:pPr>
    </w:p>
    <w:p w:rsidR="006232FC" w:rsidRPr="00613011" w:rsidRDefault="006232FC" w:rsidP="00613011">
      <w:pPr>
        <w:pStyle w:val="OZNRODZAKTUtznustawalubrozporzdzenieiorganwydajcy"/>
      </w:pPr>
      <w:r w:rsidRPr="00613011">
        <w:t>UZASADNIENIE</w:t>
      </w:r>
    </w:p>
    <w:p w:rsidR="006232FC" w:rsidRDefault="006232FC" w:rsidP="0015321A">
      <w:pPr>
        <w:pStyle w:val="NIEARTTEKSTtekstnieartykuowanynppodstprawnarozplubpreambua"/>
      </w:pPr>
    </w:p>
    <w:p w:rsidR="006232FC" w:rsidRPr="0015321A" w:rsidRDefault="006232FC" w:rsidP="0015321A">
      <w:pPr>
        <w:pStyle w:val="NIEARTTEKSTtekstnieartykuowanynppodstprawnarozplubpreambua"/>
        <w:ind w:firstLine="0"/>
        <w:rPr>
          <w:rStyle w:val="Ppogrubienie"/>
        </w:rPr>
      </w:pPr>
      <w:r w:rsidRPr="0015321A">
        <w:rPr>
          <w:rStyle w:val="Ppogrubienie"/>
        </w:rPr>
        <w:t>1. Cel projektowanej ustawy</w:t>
      </w:r>
    </w:p>
    <w:p w:rsidR="006232FC" w:rsidRDefault="006232FC" w:rsidP="0015321A">
      <w:pPr>
        <w:pStyle w:val="NIEARTTEKSTtekstnieartykuowanynppodstprawnarozplubpreambua"/>
      </w:pPr>
      <w:r w:rsidRPr="00B14E14">
        <w:t xml:space="preserve">Projektowana ustawa o zmianie ustawy </w:t>
      </w:r>
      <w:r>
        <w:t>– Prawo o ruchu drogowym oraz ustawy o  kierujących pojazdami</w:t>
      </w:r>
      <w:r w:rsidRPr="00B14E14">
        <w:t xml:space="preserve"> ma na celu </w:t>
      </w:r>
      <w:r>
        <w:t>dostosowanie systemu prawa do</w:t>
      </w:r>
      <w:r w:rsidRPr="00B14E14">
        <w:t xml:space="preserve"> wyroku Trybunału Konstytucyjnego </w:t>
      </w:r>
      <w:r>
        <w:t>z dnia 11</w:t>
      </w:r>
      <w:r w:rsidRPr="00510A18">
        <w:t xml:space="preserve"> </w:t>
      </w:r>
      <w:r>
        <w:t>października</w:t>
      </w:r>
      <w:r w:rsidRPr="00510A18">
        <w:t xml:space="preserve"> 201</w:t>
      </w:r>
      <w:r>
        <w:t>6 r. (sygn. akt K 24</w:t>
      </w:r>
      <w:r w:rsidRPr="00510A18">
        <w:t>/1</w:t>
      </w:r>
      <w:r>
        <w:t>5</w:t>
      </w:r>
      <w:r w:rsidRPr="00510A18">
        <w:t>)</w:t>
      </w:r>
      <w:r w:rsidRPr="00B14E14">
        <w:t>, stwierdzając</w:t>
      </w:r>
      <w:r>
        <w:t>ego</w:t>
      </w:r>
      <w:r w:rsidRPr="00B14E14">
        <w:t xml:space="preserve"> niezgodność </w:t>
      </w:r>
      <w:r w:rsidRPr="00510A18">
        <w:t xml:space="preserve">art. </w:t>
      </w:r>
      <w:r>
        <w:t xml:space="preserve">102 ust. 1 pkt 4 i ust. 1c </w:t>
      </w:r>
      <w:r w:rsidRPr="00D22F3C">
        <w:rPr>
          <w:spacing w:val="-2"/>
        </w:rPr>
        <w:t xml:space="preserve">ustawy z dnia </w:t>
      </w:r>
      <w:r>
        <w:rPr>
          <w:spacing w:val="-2"/>
        </w:rPr>
        <w:t>5 styczni</w:t>
      </w:r>
      <w:r w:rsidRPr="00564CE8">
        <w:rPr>
          <w:spacing w:val="-2"/>
        </w:rPr>
        <w:t xml:space="preserve">a </w:t>
      </w:r>
      <w:r>
        <w:rPr>
          <w:spacing w:val="-2"/>
        </w:rPr>
        <w:t>2011</w:t>
      </w:r>
      <w:r w:rsidRPr="00564CE8">
        <w:rPr>
          <w:spacing w:val="-2"/>
        </w:rPr>
        <w:t xml:space="preserve"> r. </w:t>
      </w:r>
      <w:r>
        <w:rPr>
          <w:spacing w:val="-2"/>
        </w:rPr>
        <w:t xml:space="preserve">o kierujących pojazdami (Dz. U. z 2016 r. poz. 627 z </w:t>
      </w:r>
      <w:proofErr w:type="spellStart"/>
      <w:r>
        <w:rPr>
          <w:spacing w:val="-2"/>
        </w:rPr>
        <w:t>późn</w:t>
      </w:r>
      <w:proofErr w:type="spellEnd"/>
      <w:r>
        <w:rPr>
          <w:spacing w:val="-2"/>
        </w:rPr>
        <w:t xml:space="preserve">. zm.; dalej jako </w:t>
      </w:r>
      <w:proofErr w:type="spellStart"/>
      <w:r>
        <w:rPr>
          <w:spacing w:val="-2"/>
        </w:rPr>
        <w:t>u.k.p</w:t>
      </w:r>
      <w:proofErr w:type="spellEnd"/>
      <w:r>
        <w:rPr>
          <w:spacing w:val="-2"/>
        </w:rPr>
        <w:t xml:space="preserve">.) w związku z art. 135 ust. 1 pkt 1a lit. a ustawy z dnia 20 czerwca 1997 r. – Prawo </w:t>
      </w:r>
      <w:r w:rsidRPr="00564CE8">
        <w:rPr>
          <w:spacing w:val="-2"/>
        </w:rPr>
        <w:t xml:space="preserve">o </w:t>
      </w:r>
      <w:r>
        <w:rPr>
          <w:spacing w:val="-2"/>
        </w:rPr>
        <w:t>ruchu drogowym</w:t>
      </w:r>
      <w:r w:rsidRPr="00564CE8">
        <w:rPr>
          <w:spacing w:val="-2"/>
        </w:rPr>
        <w:t xml:space="preserve"> (Dz. U. z 201</w:t>
      </w:r>
      <w:r>
        <w:t>2</w:t>
      </w:r>
      <w:r w:rsidRPr="00564CE8">
        <w:rPr>
          <w:spacing w:val="-2"/>
        </w:rPr>
        <w:t xml:space="preserve"> r. </w:t>
      </w:r>
      <w:r>
        <w:rPr>
          <w:spacing w:val="-2"/>
        </w:rPr>
        <w:t xml:space="preserve">poz. </w:t>
      </w:r>
      <w:r w:rsidRPr="00564CE8">
        <w:rPr>
          <w:spacing w:val="-2"/>
        </w:rPr>
        <w:t>1</w:t>
      </w:r>
      <w:r>
        <w:t>137</w:t>
      </w:r>
      <w:r w:rsidRPr="00564CE8">
        <w:rPr>
          <w:spacing w:val="-2"/>
        </w:rPr>
        <w:t xml:space="preserve">, z </w:t>
      </w:r>
      <w:proofErr w:type="spellStart"/>
      <w:r w:rsidRPr="00564CE8">
        <w:rPr>
          <w:spacing w:val="-2"/>
        </w:rPr>
        <w:t>późn</w:t>
      </w:r>
      <w:proofErr w:type="spellEnd"/>
      <w:r w:rsidRPr="00564CE8">
        <w:rPr>
          <w:spacing w:val="-2"/>
        </w:rPr>
        <w:t>.</w:t>
      </w:r>
      <w:r>
        <w:t xml:space="preserve"> zm.; dalej jako </w:t>
      </w:r>
      <w:proofErr w:type="spellStart"/>
      <w:r>
        <w:t>P.r.d</w:t>
      </w:r>
      <w:proofErr w:type="spellEnd"/>
      <w:r>
        <w:t>.)</w:t>
      </w:r>
      <w:r w:rsidRPr="003F3F05">
        <w:rPr>
          <w:spacing w:val="-2"/>
        </w:rPr>
        <w:t xml:space="preserve"> z Konstytucją. Sentencja powołanego orzeczenia </w:t>
      </w:r>
      <w:r>
        <w:rPr>
          <w:spacing w:val="-2"/>
        </w:rPr>
        <w:t xml:space="preserve">została opublikowana w Dz. U. z </w:t>
      </w:r>
      <w:r w:rsidRPr="003F3F05">
        <w:rPr>
          <w:spacing w:val="-2"/>
        </w:rPr>
        <w:t>dnia</w:t>
      </w:r>
      <w:r w:rsidRPr="00B14E14">
        <w:t xml:space="preserve"> </w:t>
      </w:r>
      <w:r>
        <w:t>29</w:t>
      </w:r>
      <w:r w:rsidRPr="00B14E14">
        <w:t xml:space="preserve"> </w:t>
      </w:r>
      <w:r>
        <w:t>grudnia</w:t>
      </w:r>
      <w:r w:rsidRPr="00B14E14">
        <w:t xml:space="preserve"> 201</w:t>
      </w:r>
      <w:r>
        <w:t>6</w:t>
      </w:r>
      <w:r w:rsidRPr="00B14E14">
        <w:t xml:space="preserve"> r.</w:t>
      </w:r>
      <w:r>
        <w:t>,</w:t>
      </w:r>
      <w:r w:rsidRPr="00B14E14">
        <w:t xml:space="preserve"> poz.</w:t>
      </w:r>
      <w:r>
        <w:t xml:space="preserve"> 2197</w:t>
      </w:r>
      <w:r w:rsidRPr="00B14E14">
        <w:t>. Pełny tekst rozstrzygnięcia, wraz z uzasadnieniem, ukazał się w</w:t>
      </w:r>
      <w:r>
        <w:t xml:space="preserve"> </w:t>
      </w:r>
      <w:r w:rsidRPr="00B14E14">
        <w:t xml:space="preserve">OTK ZU </w:t>
      </w:r>
      <w:r>
        <w:t>A</w:t>
      </w:r>
      <w:r w:rsidRPr="00B14E14">
        <w:t xml:space="preserve"> poz. </w:t>
      </w:r>
      <w:r>
        <w:t>77</w:t>
      </w:r>
      <w:r w:rsidRPr="00B14E14">
        <w:t>.</w:t>
      </w:r>
    </w:p>
    <w:p w:rsidR="006232FC" w:rsidRPr="0015321A" w:rsidRDefault="006232FC" w:rsidP="0015321A"/>
    <w:p w:rsidR="006232FC" w:rsidRPr="0015321A" w:rsidRDefault="006232FC" w:rsidP="00C50587">
      <w:pPr>
        <w:rPr>
          <w:rStyle w:val="Ppogrubienie"/>
        </w:rPr>
      </w:pPr>
      <w:r w:rsidRPr="0015321A">
        <w:rPr>
          <w:rStyle w:val="Ppogrubienie"/>
        </w:rPr>
        <w:t>2. Przedmiot i istota wypowiedzi Trybunału Konstytucyjnego</w:t>
      </w:r>
    </w:p>
    <w:p w:rsidR="006232FC" w:rsidRDefault="006232FC" w:rsidP="005C51E8">
      <w:pPr>
        <w:pStyle w:val="ARTartustawynprozporzdzenia"/>
      </w:pPr>
      <w:r>
        <w:t xml:space="preserve">2.1. Trybunał orzekł, że </w:t>
      </w:r>
      <w:r w:rsidRPr="000C5A38">
        <w:rPr>
          <w:spacing w:val="-2"/>
        </w:rPr>
        <w:t xml:space="preserve">art. 102 ust. 1 pkt 4 i ust. 1c </w:t>
      </w:r>
      <w:proofErr w:type="spellStart"/>
      <w:r w:rsidRPr="000C5A38">
        <w:rPr>
          <w:spacing w:val="-2"/>
        </w:rPr>
        <w:t>u.k.p</w:t>
      </w:r>
      <w:proofErr w:type="spellEnd"/>
      <w:r w:rsidRPr="000C5A38">
        <w:rPr>
          <w:spacing w:val="-2"/>
        </w:rPr>
        <w:t xml:space="preserve">. w związku z art. 135 ust. 1 pkt 1a lit. a </w:t>
      </w:r>
      <w:proofErr w:type="spellStart"/>
      <w:r w:rsidRPr="000C5A38">
        <w:rPr>
          <w:spacing w:val="-2"/>
        </w:rPr>
        <w:t>P.r.d</w:t>
      </w:r>
      <w:proofErr w:type="spellEnd"/>
      <w:r w:rsidRPr="000C5A38">
        <w:rPr>
          <w:spacing w:val="-2"/>
        </w:rPr>
        <w:t>., w zakresie w jakim nie przewiduje sytuacji usprawiedliwiających – ze względu na stan wyższej konieczności – kierowanie pojazdem z przekroczeniem dopuszczalnej prędkośc</w:t>
      </w:r>
      <w:r>
        <w:rPr>
          <w:spacing w:val="-2"/>
        </w:rPr>
        <w:t xml:space="preserve">i o </w:t>
      </w:r>
      <w:r w:rsidRPr="000C5A38">
        <w:rPr>
          <w:spacing w:val="-2"/>
        </w:rPr>
        <w:t>więcej niż 50 km/h na obszarze zabudowanym, jest ni</w:t>
      </w:r>
      <w:r>
        <w:rPr>
          <w:spacing w:val="-2"/>
        </w:rPr>
        <w:t>ezgodny z art. 2 i art. 45 ust. </w:t>
      </w:r>
      <w:r w:rsidRPr="000C5A38">
        <w:rPr>
          <w:spacing w:val="-2"/>
        </w:rPr>
        <w:t>1 Konstytucji</w:t>
      </w:r>
      <w:r w:rsidRPr="0016713A">
        <w:t xml:space="preserve"> Rzeczypospolitej Polskiej</w:t>
      </w:r>
      <w:r>
        <w:t>.</w:t>
      </w:r>
    </w:p>
    <w:p w:rsidR="006232FC" w:rsidRPr="00863448" w:rsidRDefault="006232FC" w:rsidP="000C5A38">
      <w:pPr>
        <w:pStyle w:val="ARTartustawynprozporzdzenia"/>
      </w:pPr>
      <w:r>
        <w:t xml:space="preserve">2.2. </w:t>
      </w:r>
      <w:r>
        <w:rPr>
          <w:spacing w:val="-2"/>
        </w:rPr>
        <w:t xml:space="preserve">Art. 102 ust. 1 pkt 4 </w:t>
      </w:r>
      <w:proofErr w:type="spellStart"/>
      <w:r>
        <w:rPr>
          <w:spacing w:val="-2"/>
        </w:rPr>
        <w:t>u.k.p</w:t>
      </w:r>
      <w:proofErr w:type="spellEnd"/>
      <w:r>
        <w:rPr>
          <w:spacing w:val="-2"/>
        </w:rPr>
        <w:t>. określa jedną z podstaw decyzji administracyjnej o zatrzymaniu prawa jazdy</w:t>
      </w:r>
      <w:r>
        <w:t xml:space="preserve">. Zgodnie z tym przepisem, starosta obowiązany jest wydać tego typu decyzję w przypadku, gdy kierujący pojazdem przekroczył dopuszczalną prędkość o więcej niż 50 km/h na obszarze zabudowanym. Jak </w:t>
      </w:r>
      <w:r w:rsidRPr="006063AA">
        <w:t xml:space="preserve">przewiduje art. 102 ust. 1c, starosta wydaje decyzję, o której mowa </w:t>
      </w:r>
      <w:r>
        <w:t xml:space="preserve">m.in. </w:t>
      </w:r>
      <w:r w:rsidRPr="006063AA">
        <w:t>w</w:t>
      </w:r>
      <w:r>
        <w:t xml:space="preserve"> </w:t>
      </w:r>
      <w:r w:rsidRPr="006063AA">
        <w:t>ust. 1 pkt 4, na</w:t>
      </w:r>
      <w:r>
        <w:t xml:space="preserve"> okres 3 miesięcy, nadając jej rygor </w:t>
      </w:r>
      <w:r w:rsidRPr="00863448">
        <w:t xml:space="preserve">natychmiastowej wykonalności oraz zobowiązując kierującego do zwrotu prawa jazdy, o ile dokument ten nie został wcześniej zatrzymany w trybie </w:t>
      </w:r>
      <w:hyperlink r:id="rId11" w:anchor="hiperlinkText.rpc?hiperlink=type=tresc:nro=Powszechny.1139827:part=a135u1&amp;full=1" w:tgtFrame="_parent" w:history="1">
        <w:r w:rsidRPr="00863448">
          <w:t>art. 135 ust. 1</w:t>
        </w:r>
      </w:hyperlink>
      <w:r w:rsidRPr="00863448">
        <w:t xml:space="preserve"> pkt 1a </w:t>
      </w:r>
      <w:proofErr w:type="spellStart"/>
      <w:r w:rsidRPr="00863448">
        <w:t>P.r.d</w:t>
      </w:r>
      <w:proofErr w:type="spellEnd"/>
      <w:r w:rsidRPr="00863448">
        <w:t xml:space="preserve">., tzn. przez policjanta, który ujawnił wyżej opisany czyn. Stosownie jednak do art. 102 ust. 1d, starosta wydaje wskazaną decyzję na okres 6 miesięcy, jeżeli mimo wydania decyzji administracyjnej o zatrzymaniu jej prawa jazdy albo zatrzymania prawa jazdy na podstawie </w:t>
      </w:r>
      <w:hyperlink r:id="rId12" w:anchor="hiperlinkText.rpc?hiperlink=type=tresc:nro=Powszechny.1139827:part=a135u1&amp;full=1" w:tgtFrame="_parent" w:history="1">
        <w:r w:rsidRPr="00863448">
          <w:t>art. 135 ust. 1</w:t>
        </w:r>
      </w:hyperlink>
      <w:r w:rsidRPr="00863448">
        <w:t xml:space="preserve"> pkt</w:t>
      </w:r>
      <w:r>
        <w:t> </w:t>
      </w:r>
      <w:r w:rsidRPr="00863448">
        <w:t xml:space="preserve">1a </w:t>
      </w:r>
      <w:proofErr w:type="spellStart"/>
      <w:r w:rsidRPr="00863448">
        <w:t>P.r.d</w:t>
      </w:r>
      <w:proofErr w:type="spellEnd"/>
      <w:r w:rsidRPr="00863448">
        <w:t>., dana osoba nadal kierowała pojazdem silnikowym.</w:t>
      </w:r>
    </w:p>
    <w:p w:rsidR="006232FC" w:rsidRDefault="006232FC" w:rsidP="000C5A38">
      <w:pPr>
        <w:pStyle w:val="ARTartustawynprozporzdzenia"/>
      </w:pPr>
      <w:r>
        <w:lastRenderedPageBreak/>
        <w:t xml:space="preserve">Przywołany powyżej art. 135 ust. 1 pkt 1a </w:t>
      </w:r>
      <w:proofErr w:type="spellStart"/>
      <w:r>
        <w:t>P.r.d</w:t>
      </w:r>
      <w:proofErr w:type="spellEnd"/>
      <w:r>
        <w:t xml:space="preserve">. obliguje policjanta do zatrzymania prawa jazdy w dwóch przypadkach, przy czym jednym z nich (objętym lit. a) jest właśnie przekroczenie dopuszczalnej prędkości o więcej niż 50 km/h na obszarze zabudowanym. Zatrzymując prawo jazdy, policjant wydaje kierującemu pokwitowanie, które uprawnia do kierowania pojazdem do 24 godzin od chwili zatrzymania, a gdy prawo jazdy zostało wydane przez państwo inne niż Rzeczpospolita Polska i kierujący pojazdem nie ma miejsca zamieszkania na jej terytorium – do 72 godzin (art. 135 ust. 3 </w:t>
      </w:r>
      <w:proofErr w:type="spellStart"/>
      <w:r>
        <w:t>P.r.d</w:t>
      </w:r>
      <w:proofErr w:type="spellEnd"/>
      <w:r>
        <w:t xml:space="preserve">.). Zatrzymane prawo jazdy Policja przekazuje niezwłocznie, nie później niż w ciągu 7 dni, właściwemu staroście (art. 136 ust. 1 i 2 </w:t>
      </w:r>
      <w:proofErr w:type="spellStart"/>
      <w:r>
        <w:t>P.r.d</w:t>
      </w:r>
      <w:proofErr w:type="spellEnd"/>
      <w:r>
        <w:t>.).</w:t>
      </w:r>
    </w:p>
    <w:p w:rsidR="006232FC" w:rsidRDefault="006232FC" w:rsidP="000C5A38">
      <w:pPr>
        <w:pStyle w:val="ARTartustawynprozporzdzenia"/>
      </w:pPr>
      <w:r>
        <w:t xml:space="preserve">Czyn polegający na przekroczeniu dopuszczalnej prędkości – bez względu na to, czy został popełniony na obszarze zabudowanym, czy też poza nim, a także bez względu na skalę owego przekroczenia – stanowi wykroczenie, które w myśl art. 92a ustawy z dnia 20 maja 1971 r. – Kodeks wykroczeń (dalej jako </w:t>
      </w:r>
      <w:proofErr w:type="spellStart"/>
      <w:r>
        <w:t>k.w</w:t>
      </w:r>
      <w:proofErr w:type="spellEnd"/>
      <w:r>
        <w:t xml:space="preserve">.) podlega karze grzywny. Kodeks nie przewiduje </w:t>
      </w:r>
      <w:r w:rsidRPr="00CA2419">
        <w:rPr>
          <w:spacing w:val="-2"/>
        </w:rPr>
        <w:t>natomiast stosowania wobec sprawcy takiego wykroczenia środka karnego zakazu prowadzenia</w:t>
      </w:r>
      <w:r>
        <w:t xml:space="preserve"> pojazdów.</w:t>
      </w:r>
    </w:p>
    <w:p w:rsidR="006232FC" w:rsidRPr="00783522" w:rsidRDefault="006232FC" w:rsidP="000C5A38">
      <w:pPr>
        <w:pStyle w:val="ARTartustawynprozporzdzenia"/>
      </w:pPr>
      <w:r>
        <w:t xml:space="preserve">Zatrzymanie prawa jazdy, stosowane w razie popełnienia wykroczenia stypizowanego w art. 92a </w:t>
      </w:r>
      <w:proofErr w:type="spellStart"/>
      <w:r w:rsidRPr="00CD64D1">
        <w:rPr>
          <w:spacing w:val="-2"/>
        </w:rPr>
        <w:t>k.w</w:t>
      </w:r>
      <w:proofErr w:type="spellEnd"/>
      <w:r w:rsidRPr="00CD64D1">
        <w:rPr>
          <w:spacing w:val="-2"/>
        </w:rPr>
        <w:t>.</w:t>
      </w:r>
      <w:r>
        <w:rPr>
          <w:spacing w:val="-2"/>
        </w:rPr>
        <w:t xml:space="preserve"> (aczkolwiek tylko</w:t>
      </w:r>
      <w:r w:rsidRPr="00CD64D1">
        <w:rPr>
          <w:spacing w:val="-2"/>
        </w:rPr>
        <w:t xml:space="preserve"> na </w:t>
      </w:r>
      <w:r>
        <w:rPr>
          <w:spacing w:val="-2"/>
        </w:rPr>
        <w:t>obszarze</w:t>
      </w:r>
      <w:r w:rsidRPr="00CD64D1">
        <w:rPr>
          <w:spacing w:val="-2"/>
        </w:rPr>
        <w:t xml:space="preserve"> zabudowanym i </w:t>
      </w:r>
      <w:r>
        <w:rPr>
          <w:spacing w:val="-2"/>
        </w:rPr>
        <w:t>to</w:t>
      </w:r>
      <w:r w:rsidRPr="00CD64D1">
        <w:rPr>
          <w:spacing w:val="-2"/>
        </w:rPr>
        <w:t xml:space="preserve"> w kwalifikowany sposób sprowadzający się do przekroczenia</w:t>
      </w:r>
      <w:r>
        <w:t xml:space="preserve"> dopuszczalnej prędkości o więcej niż 50 km/h), jest zatem sankcją administracyjną. Jej nałożenie może zostać zaskarżone najpierw do samorządowego </w:t>
      </w:r>
      <w:r w:rsidRPr="00776115">
        <w:t>kolegium odwoławczego, a</w:t>
      </w:r>
      <w:r>
        <w:t xml:space="preserve"> </w:t>
      </w:r>
      <w:r w:rsidRPr="00776115">
        <w:t>następnie również do sąd</w:t>
      </w:r>
      <w:r>
        <w:t>u administracyjnego.</w:t>
      </w:r>
    </w:p>
    <w:p w:rsidR="006232FC" w:rsidRDefault="006232FC" w:rsidP="004A331B">
      <w:pPr>
        <w:pStyle w:val="ARTartustawynprozporzdzenia"/>
        <w:rPr>
          <w:rFonts w:ascii="Times New Roman" w:eastAsia="Times New Roman" w:hAnsi="Times New Roman"/>
          <w:szCs w:val="24"/>
          <w:shd w:val="clear" w:color="auto" w:fill="FFFFFF"/>
        </w:rPr>
      </w:pPr>
      <w:r w:rsidRPr="0047395F">
        <w:rPr>
          <w:spacing w:val="-3"/>
        </w:rPr>
        <w:t>2.3. Trybunał przypomniał, że „[</w:t>
      </w:r>
      <w:r w:rsidRPr="0047395F">
        <w:rPr>
          <w:rFonts w:ascii="Times New Roman" w:eastAsia="Times New Roman" w:hAnsi="Times New Roman"/>
          <w:spacing w:val="-3"/>
          <w:szCs w:val="24"/>
        </w:rPr>
        <w:t>w] doktrynie prawa przez pojęcie sankcji administracyjnej</w:t>
      </w:r>
      <w:r w:rsidRPr="00FB4328">
        <w:rPr>
          <w:rFonts w:ascii="Times New Roman" w:eastAsia="Times New Roman" w:hAnsi="Times New Roman"/>
          <w:szCs w:val="24"/>
        </w:rPr>
        <w:t xml:space="preserve"> rozumie się nakładane przez organ administracji publicznej w</w:t>
      </w:r>
      <w:r>
        <w:rPr>
          <w:rFonts w:ascii="Times New Roman" w:eastAsia="Times New Roman" w:hAnsi="Times New Roman"/>
          <w:szCs w:val="24"/>
        </w:rPr>
        <w:t xml:space="preserve"> </w:t>
      </w:r>
      <w:r w:rsidRPr="00FB4328">
        <w:rPr>
          <w:rFonts w:ascii="Times New Roman" w:eastAsia="Times New Roman" w:hAnsi="Times New Roman"/>
          <w:szCs w:val="24"/>
        </w:rPr>
        <w:t xml:space="preserve">drodze aktu stosowania prawa, </w:t>
      </w:r>
      <w:r w:rsidRPr="0047395F">
        <w:rPr>
          <w:rFonts w:ascii="Times New Roman" w:eastAsia="Times New Roman" w:hAnsi="Times New Roman"/>
          <w:spacing w:val="-3"/>
          <w:szCs w:val="24"/>
        </w:rPr>
        <w:t>wynikające ze stosunku administracyjnoprawnego, ujemne (niekorzystne) skutki dla podmiotów</w:t>
      </w:r>
      <w:r w:rsidRPr="00FB4328">
        <w:rPr>
          <w:rFonts w:ascii="Times New Roman" w:eastAsia="Times New Roman" w:hAnsi="Times New Roman"/>
          <w:szCs w:val="24"/>
        </w:rPr>
        <w:t xml:space="preserve"> prawa, które nie</w:t>
      </w:r>
      <w:r>
        <w:rPr>
          <w:rFonts w:ascii="Times New Roman" w:eastAsia="Times New Roman" w:hAnsi="Times New Roman"/>
          <w:szCs w:val="24"/>
        </w:rPr>
        <w:t xml:space="preserve"> </w:t>
      </w:r>
      <w:r w:rsidRPr="00FB4328">
        <w:rPr>
          <w:rFonts w:ascii="Times New Roman" w:eastAsia="Times New Roman" w:hAnsi="Times New Roman"/>
          <w:szCs w:val="24"/>
        </w:rPr>
        <w:t>stosują się do obowiązków wynikających z</w:t>
      </w:r>
      <w:r>
        <w:rPr>
          <w:rFonts w:ascii="Times New Roman" w:eastAsia="Times New Roman" w:hAnsi="Times New Roman"/>
          <w:szCs w:val="24"/>
        </w:rPr>
        <w:t xml:space="preserve"> </w:t>
      </w:r>
      <w:r w:rsidRPr="00FB4328">
        <w:rPr>
          <w:rFonts w:ascii="Times New Roman" w:eastAsia="Times New Roman" w:hAnsi="Times New Roman"/>
          <w:szCs w:val="24"/>
        </w:rPr>
        <w:t xml:space="preserve">norm prawnych lub aktów stosowania prawa </w:t>
      </w:r>
      <w:r>
        <w:rPr>
          <w:rFonts w:ascii="Times New Roman" w:eastAsia="Times New Roman" w:hAnsi="Times New Roman"/>
          <w:szCs w:val="24"/>
        </w:rPr>
        <w:t>(…).</w:t>
      </w:r>
      <w:r w:rsidRPr="00FB4328">
        <w:rPr>
          <w:rFonts w:ascii="Times New Roman" w:eastAsia="Times New Roman" w:hAnsi="Times New Roman"/>
          <w:szCs w:val="24"/>
        </w:rPr>
        <w:t xml:space="preserve"> </w:t>
      </w:r>
      <w:r>
        <w:rPr>
          <w:rFonts w:ascii="Times New Roman" w:eastAsia="Times New Roman" w:hAnsi="Times New Roman"/>
          <w:szCs w:val="24"/>
        </w:rPr>
        <w:t>[S]</w:t>
      </w:r>
      <w:proofErr w:type="spellStart"/>
      <w:r w:rsidRPr="00FB4328">
        <w:rPr>
          <w:rFonts w:ascii="Times New Roman" w:eastAsia="Times New Roman" w:hAnsi="Times New Roman"/>
          <w:szCs w:val="24"/>
        </w:rPr>
        <w:t>ankcja</w:t>
      </w:r>
      <w:proofErr w:type="spellEnd"/>
      <w:r w:rsidRPr="00FB4328">
        <w:rPr>
          <w:rFonts w:ascii="Times New Roman" w:eastAsia="Times New Roman" w:hAnsi="Times New Roman"/>
          <w:szCs w:val="24"/>
        </w:rPr>
        <w:t xml:space="preserve"> administracyjna z</w:t>
      </w:r>
      <w:r>
        <w:rPr>
          <w:rFonts w:ascii="Times New Roman" w:eastAsia="Times New Roman" w:hAnsi="Times New Roman"/>
          <w:szCs w:val="24"/>
        </w:rPr>
        <w:t xml:space="preserve"> </w:t>
      </w:r>
      <w:r w:rsidRPr="00FB4328">
        <w:rPr>
          <w:rFonts w:ascii="Times New Roman" w:eastAsia="Times New Roman" w:hAnsi="Times New Roman"/>
          <w:szCs w:val="24"/>
        </w:rPr>
        <w:t>reguły posiada pewne cechy odróżniające ją od sankcji karnej, a mianowicie:</w:t>
      </w:r>
      <w:r w:rsidRPr="00FB4328">
        <w:rPr>
          <w:rFonts w:ascii="Times New Roman" w:eastAsia="Times New Roman" w:hAnsi="Times New Roman"/>
          <w:szCs w:val="24"/>
          <w:shd w:val="clear" w:color="auto" w:fill="FFFFFF"/>
        </w:rPr>
        <w:t xml:space="preserve"> 1) jest stosowana w</w:t>
      </w:r>
      <w:r>
        <w:rPr>
          <w:rFonts w:ascii="Times New Roman" w:eastAsia="Times New Roman" w:hAnsi="Times New Roman"/>
          <w:szCs w:val="24"/>
          <w:shd w:val="clear" w:color="auto" w:fill="FFFFFF"/>
        </w:rPr>
        <w:t xml:space="preserve"> </w:t>
      </w:r>
      <w:r w:rsidRPr="00FB4328">
        <w:rPr>
          <w:rFonts w:ascii="Times New Roman" w:eastAsia="Times New Roman" w:hAnsi="Times New Roman"/>
          <w:szCs w:val="24"/>
          <w:shd w:val="clear" w:color="auto" w:fill="FFFFFF"/>
        </w:rPr>
        <w:t xml:space="preserve">przypadku samego </w:t>
      </w:r>
      <w:r w:rsidRPr="007F2242">
        <w:rPr>
          <w:rFonts w:ascii="Times New Roman" w:eastAsia="Times New Roman" w:hAnsi="Times New Roman"/>
          <w:spacing w:val="-2"/>
          <w:szCs w:val="24"/>
          <w:shd w:val="clear" w:color="auto" w:fill="FFFFFF"/>
        </w:rPr>
        <w:t>naruszenia obowiązku prawnego, bez względu na winę sprawcy, 2) nie jest indywidualizowana,</w:t>
      </w:r>
      <w:r w:rsidRPr="00FB4328">
        <w:rPr>
          <w:rFonts w:ascii="Times New Roman" w:eastAsia="Times New Roman" w:hAnsi="Times New Roman"/>
          <w:spacing w:val="-2"/>
          <w:szCs w:val="24"/>
          <w:shd w:val="clear" w:color="auto" w:fill="FFFFFF"/>
        </w:rPr>
        <w:t xml:space="preserve"> 3) można ją nałożyć nie tylko na osoby fizyczne, ale</w:t>
      </w:r>
      <w:r w:rsidRPr="00FB4328">
        <w:rPr>
          <w:rFonts w:ascii="Times New Roman" w:eastAsia="Times New Roman" w:hAnsi="Times New Roman"/>
          <w:szCs w:val="24"/>
          <w:shd w:val="clear" w:color="auto" w:fill="FFFFFF"/>
        </w:rPr>
        <w:t xml:space="preserve"> również jednostki organizacyjne, 4) jest wymierzana w</w:t>
      </w:r>
      <w:r>
        <w:rPr>
          <w:rFonts w:ascii="Times New Roman" w:eastAsia="Times New Roman" w:hAnsi="Times New Roman"/>
          <w:szCs w:val="24"/>
          <w:shd w:val="clear" w:color="auto" w:fill="FFFFFF"/>
        </w:rPr>
        <w:t xml:space="preserve"> </w:t>
      </w:r>
      <w:r w:rsidRPr="00FB4328">
        <w:rPr>
          <w:rFonts w:ascii="Times New Roman" w:eastAsia="Times New Roman" w:hAnsi="Times New Roman"/>
          <w:szCs w:val="24"/>
          <w:shd w:val="clear" w:color="auto" w:fill="FFFFFF"/>
        </w:rPr>
        <w:t>trybie postępowania administracyjnego, w</w:t>
      </w:r>
      <w:r>
        <w:rPr>
          <w:rFonts w:ascii="Times New Roman" w:eastAsia="Times New Roman" w:hAnsi="Times New Roman"/>
          <w:szCs w:val="24"/>
          <w:shd w:val="clear" w:color="auto" w:fill="FFFFFF"/>
        </w:rPr>
        <w:t xml:space="preserve"> </w:t>
      </w:r>
      <w:r w:rsidRPr="00FB4328">
        <w:rPr>
          <w:rFonts w:ascii="Times New Roman" w:eastAsia="Times New Roman" w:hAnsi="Times New Roman"/>
          <w:szCs w:val="24"/>
          <w:shd w:val="clear" w:color="auto" w:fill="FFFFFF"/>
        </w:rPr>
        <w:t>formie decyzji administracyj</w:t>
      </w:r>
      <w:r>
        <w:rPr>
          <w:rFonts w:ascii="Times New Roman" w:eastAsia="Times New Roman" w:hAnsi="Times New Roman"/>
          <w:szCs w:val="24"/>
          <w:shd w:val="clear" w:color="auto" w:fill="FFFFFF"/>
        </w:rPr>
        <w:t xml:space="preserve">nej, 5) </w:t>
      </w:r>
      <w:r w:rsidRPr="00FB4328">
        <w:rPr>
          <w:rFonts w:ascii="Times New Roman" w:eastAsia="Times New Roman" w:hAnsi="Times New Roman"/>
          <w:szCs w:val="24"/>
          <w:shd w:val="clear" w:color="auto" w:fill="FFFFFF"/>
        </w:rPr>
        <w:t>jej sądowa kontrola jest sprawowana pod kątem legalności przez sądy administracyjne</w:t>
      </w:r>
      <w:r>
        <w:rPr>
          <w:rFonts w:ascii="Times New Roman" w:eastAsia="Times New Roman" w:hAnsi="Times New Roman"/>
          <w:szCs w:val="24"/>
          <w:shd w:val="clear" w:color="auto" w:fill="FFFFFF"/>
        </w:rPr>
        <w:t>”.</w:t>
      </w:r>
    </w:p>
    <w:p w:rsidR="006232FC" w:rsidRDefault="006232FC" w:rsidP="004A331B">
      <w:pPr>
        <w:pStyle w:val="ARTartustawynprozporzdzenia"/>
        <w:rPr>
          <w:rFonts w:ascii="Times New Roman" w:eastAsia="Times New Roman" w:hAnsi="Times New Roman"/>
          <w:szCs w:val="24"/>
        </w:rPr>
      </w:pPr>
      <w:r>
        <w:t xml:space="preserve">W przypadku zatrzymania prawa jazdy to właśnie pierwszy z tych aspektów, a ściślej </w:t>
      </w:r>
      <w:r w:rsidRPr="00026B0F">
        <w:rPr>
          <w:spacing w:val="-5"/>
        </w:rPr>
        <w:t>fakt, że ani policjant, ani nawet starosta nie ma prawnych możliwości uwzględnienia okoliczności,</w:t>
      </w:r>
      <w:r>
        <w:t xml:space="preserve"> </w:t>
      </w:r>
      <w:r>
        <w:lastRenderedPageBreak/>
        <w:t xml:space="preserve">które można </w:t>
      </w:r>
      <w:r w:rsidRPr="00FB4328">
        <w:rPr>
          <w:rFonts w:ascii="Times New Roman" w:eastAsia="Times New Roman" w:hAnsi="Times New Roman"/>
          <w:szCs w:val="24"/>
        </w:rPr>
        <w:t>byłoby kwalifikować jako stan wyższej konieczności</w:t>
      </w:r>
      <w:r>
        <w:rPr>
          <w:rFonts w:ascii="Times New Roman" w:eastAsia="Times New Roman" w:hAnsi="Times New Roman"/>
          <w:szCs w:val="24"/>
        </w:rPr>
        <w:t>,</w:t>
      </w:r>
      <w:r>
        <w:t xml:space="preserve"> spotkał się z negatywną oceną Trybunału. Jak podniesione zostało w uzasadnieniu wyroku, </w:t>
      </w:r>
      <w:r>
        <w:rPr>
          <w:rFonts w:ascii="Times New Roman" w:eastAsia="Times New Roman" w:hAnsi="Times New Roman"/>
          <w:szCs w:val="24"/>
        </w:rPr>
        <w:t>„[b]</w:t>
      </w:r>
      <w:proofErr w:type="spellStart"/>
      <w:r w:rsidRPr="00FB4328">
        <w:rPr>
          <w:rFonts w:ascii="Times New Roman" w:eastAsia="Times New Roman" w:hAnsi="Times New Roman"/>
          <w:szCs w:val="24"/>
        </w:rPr>
        <w:t>rakuje</w:t>
      </w:r>
      <w:proofErr w:type="spellEnd"/>
      <w:r w:rsidRPr="00FB4328">
        <w:rPr>
          <w:rFonts w:ascii="Times New Roman" w:eastAsia="Times New Roman" w:hAnsi="Times New Roman"/>
          <w:szCs w:val="24"/>
        </w:rPr>
        <w:t xml:space="preserve"> w</w:t>
      </w:r>
      <w:r>
        <w:rPr>
          <w:rFonts w:ascii="Times New Roman" w:eastAsia="Times New Roman" w:hAnsi="Times New Roman"/>
          <w:szCs w:val="24"/>
        </w:rPr>
        <w:t xml:space="preserve"> </w:t>
      </w:r>
      <w:r w:rsidRPr="00FB4328">
        <w:rPr>
          <w:rFonts w:ascii="Times New Roman" w:eastAsia="Times New Roman" w:hAnsi="Times New Roman"/>
          <w:szCs w:val="24"/>
        </w:rPr>
        <w:t>ustawie wyraźnego wskazania, że osoba prowadząca pojazd na obszarze zabudowanym z</w:t>
      </w:r>
      <w:r>
        <w:rPr>
          <w:rFonts w:ascii="Times New Roman" w:eastAsia="Times New Roman" w:hAnsi="Times New Roman"/>
          <w:szCs w:val="24"/>
        </w:rPr>
        <w:t xml:space="preserve"> </w:t>
      </w:r>
      <w:r w:rsidRPr="00FB4328">
        <w:rPr>
          <w:rFonts w:ascii="Times New Roman" w:eastAsia="Times New Roman" w:hAnsi="Times New Roman"/>
          <w:szCs w:val="24"/>
        </w:rPr>
        <w:t>prędkością przekraczającą prędkość dopuszczalną o</w:t>
      </w:r>
      <w:r>
        <w:rPr>
          <w:rFonts w:ascii="Times New Roman" w:eastAsia="Times New Roman" w:hAnsi="Times New Roman"/>
          <w:szCs w:val="24"/>
        </w:rPr>
        <w:t xml:space="preserve"> </w:t>
      </w:r>
      <w:r w:rsidRPr="00FB4328">
        <w:rPr>
          <w:rFonts w:ascii="Times New Roman" w:eastAsia="Times New Roman" w:hAnsi="Times New Roman"/>
          <w:szCs w:val="24"/>
        </w:rPr>
        <w:t>więcej niż 50</w:t>
      </w:r>
      <w:r>
        <w:rPr>
          <w:rFonts w:ascii="Times New Roman" w:eastAsia="Times New Roman" w:hAnsi="Times New Roman"/>
          <w:szCs w:val="24"/>
        </w:rPr>
        <w:t xml:space="preserve"> </w:t>
      </w:r>
      <w:r w:rsidRPr="00FB4328">
        <w:rPr>
          <w:rFonts w:ascii="Times New Roman" w:eastAsia="Times New Roman" w:hAnsi="Times New Roman"/>
          <w:szCs w:val="24"/>
        </w:rPr>
        <w:t>km/h nie popełnia czynu zagrożonego sankcją administracyjną w</w:t>
      </w:r>
      <w:r>
        <w:rPr>
          <w:rFonts w:ascii="Times New Roman" w:eastAsia="Times New Roman" w:hAnsi="Times New Roman"/>
          <w:szCs w:val="24"/>
        </w:rPr>
        <w:t xml:space="preserve"> </w:t>
      </w:r>
      <w:r w:rsidRPr="00FB4328">
        <w:rPr>
          <w:rFonts w:ascii="Times New Roman" w:eastAsia="Times New Roman" w:hAnsi="Times New Roman"/>
          <w:szCs w:val="24"/>
        </w:rPr>
        <w:t>postaci zatrzymania prawa jazdy, jeżeli prowadzi pojazd z</w:t>
      </w:r>
      <w:r>
        <w:rPr>
          <w:rFonts w:ascii="Times New Roman" w:eastAsia="Times New Roman" w:hAnsi="Times New Roman"/>
          <w:szCs w:val="24"/>
        </w:rPr>
        <w:t xml:space="preserve"> </w:t>
      </w:r>
      <w:r w:rsidRPr="00FB4328">
        <w:rPr>
          <w:rFonts w:ascii="Times New Roman" w:eastAsia="Times New Roman" w:hAnsi="Times New Roman"/>
          <w:szCs w:val="24"/>
        </w:rPr>
        <w:t xml:space="preserve">taką </w:t>
      </w:r>
      <w:r w:rsidRPr="009B3198">
        <w:rPr>
          <w:rFonts w:ascii="Times New Roman" w:eastAsia="Times New Roman" w:hAnsi="Times New Roman"/>
          <w:spacing w:val="-2"/>
          <w:szCs w:val="24"/>
        </w:rPr>
        <w:t>prędkością w celu zapobieżenia czy ograniczenia bezpośredniego niebezpieczeństwa grożącego</w:t>
      </w:r>
      <w:r w:rsidRPr="00FB4328">
        <w:rPr>
          <w:rFonts w:ascii="Times New Roman" w:eastAsia="Times New Roman" w:hAnsi="Times New Roman"/>
          <w:szCs w:val="24"/>
        </w:rPr>
        <w:t xml:space="preserve"> </w:t>
      </w:r>
      <w:r w:rsidRPr="007776C9">
        <w:rPr>
          <w:rFonts w:ascii="Times New Roman" w:eastAsia="Times New Roman" w:hAnsi="Times New Roman"/>
          <w:spacing w:val="-2"/>
          <w:szCs w:val="24"/>
        </w:rPr>
        <w:t>dobru chronionemu prawem, którego to niebezpieczeństwa nie można inaczej uniknąć, a dobro</w:t>
      </w:r>
      <w:r w:rsidRPr="00FB4328">
        <w:rPr>
          <w:rFonts w:ascii="Times New Roman" w:eastAsia="Times New Roman" w:hAnsi="Times New Roman"/>
          <w:szCs w:val="24"/>
        </w:rPr>
        <w:t xml:space="preserve"> </w:t>
      </w:r>
      <w:r w:rsidRPr="007776C9">
        <w:rPr>
          <w:rFonts w:ascii="Times New Roman" w:eastAsia="Times New Roman" w:hAnsi="Times New Roman"/>
          <w:spacing w:val="-2"/>
          <w:szCs w:val="24"/>
        </w:rPr>
        <w:t>poświęcone w postaci bezpieczeństwa na drodze nie przedstawia wartości oczywiście większej</w:t>
      </w:r>
      <w:r w:rsidRPr="00FB4328">
        <w:rPr>
          <w:rFonts w:ascii="Times New Roman" w:eastAsia="Times New Roman" w:hAnsi="Times New Roman"/>
          <w:szCs w:val="24"/>
        </w:rPr>
        <w:t xml:space="preserve"> niż</w:t>
      </w:r>
      <w:r>
        <w:rPr>
          <w:rFonts w:ascii="Times New Roman" w:eastAsia="Times New Roman" w:hAnsi="Times New Roman"/>
          <w:szCs w:val="24"/>
        </w:rPr>
        <w:t xml:space="preserve"> </w:t>
      </w:r>
      <w:r w:rsidRPr="00FB4328">
        <w:rPr>
          <w:rFonts w:ascii="Times New Roman" w:eastAsia="Times New Roman" w:hAnsi="Times New Roman"/>
          <w:szCs w:val="24"/>
        </w:rPr>
        <w:t>dobro ratowane</w:t>
      </w:r>
      <w:r>
        <w:rPr>
          <w:rFonts w:ascii="Times New Roman" w:eastAsia="Times New Roman" w:hAnsi="Times New Roman"/>
          <w:szCs w:val="24"/>
        </w:rPr>
        <w:t xml:space="preserve">. W </w:t>
      </w:r>
      <w:r w:rsidRPr="00FB4328">
        <w:rPr>
          <w:rFonts w:ascii="Times New Roman" w:eastAsia="Times New Roman" w:hAnsi="Times New Roman"/>
          <w:szCs w:val="24"/>
        </w:rPr>
        <w:t>prawie administracyjnym – podobnie jak ma to miejsce w</w:t>
      </w:r>
      <w:r>
        <w:rPr>
          <w:rFonts w:ascii="Times New Roman" w:eastAsia="Times New Roman" w:hAnsi="Times New Roman"/>
          <w:szCs w:val="24"/>
        </w:rPr>
        <w:t xml:space="preserve"> </w:t>
      </w:r>
      <w:r w:rsidRPr="00FB4328">
        <w:rPr>
          <w:rFonts w:ascii="Times New Roman" w:eastAsia="Times New Roman" w:hAnsi="Times New Roman"/>
          <w:szCs w:val="24"/>
        </w:rPr>
        <w:t>prawie karnym i</w:t>
      </w:r>
      <w:r>
        <w:rPr>
          <w:rFonts w:ascii="Times New Roman" w:eastAsia="Times New Roman" w:hAnsi="Times New Roman"/>
          <w:szCs w:val="24"/>
        </w:rPr>
        <w:t xml:space="preserve"> </w:t>
      </w:r>
      <w:r w:rsidRPr="00FB4328">
        <w:rPr>
          <w:rFonts w:ascii="Times New Roman" w:eastAsia="Times New Roman" w:hAnsi="Times New Roman"/>
          <w:szCs w:val="24"/>
        </w:rPr>
        <w:t>prawie wykroczeń – powinien być uwzględniany przypadek kolizji dóbr, wartości i interesów usprawiedliwiający niezastosowanie się przez jednostkę do nakazów i</w:t>
      </w:r>
      <w:r>
        <w:rPr>
          <w:rFonts w:ascii="Times New Roman" w:eastAsia="Times New Roman" w:hAnsi="Times New Roman"/>
          <w:szCs w:val="24"/>
        </w:rPr>
        <w:t xml:space="preserve"> </w:t>
      </w:r>
      <w:r w:rsidRPr="00FB4328">
        <w:rPr>
          <w:rFonts w:ascii="Times New Roman" w:eastAsia="Times New Roman" w:hAnsi="Times New Roman"/>
          <w:szCs w:val="24"/>
        </w:rPr>
        <w:t>zakazów ustanowionych przepisami prawa, których naruszenie jest sankcjonowane przez prawo.</w:t>
      </w:r>
      <w:r>
        <w:rPr>
          <w:rFonts w:ascii="Times New Roman" w:eastAsia="Times New Roman" w:hAnsi="Times New Roman"/>
          <w:szCs w:val="24"/>
        </w:rPr>
        <w:t>”</w:t>
      </w:r>
    </w:p>
    <w:p w:rsidR="006232FC" w:rsidRDefault="006232FC" w:rsidP="004A331B">
      <w:pPr>
        <w:pStyle w:val="ARTartustawynprozporzdzenia"/>
        <w:rPr>
          <w:rFonts w:ascii="Times New Roman" w:eastAsia="Times New Roman" w:hAnsi="Times New Roman"/>
          <w:szCs w:val="24"/>
        </w:rPr>
      </w:pPr>
      <w:r>
        <w:rPr>
          <w:rFonts w:ascii="Times New Roman" w:eastAsia="Times New Roman" w:hAnsi="Times New Roman"/>
          <w:szCs w:val="24"/>
        </w:rPr>
        <w:t xml:space="preserve">Według Trybunału, w sytuacji gdy ani policjant, ani organy administracyjne (starosta, samorządowe kolegium odwoławcze) nie mają możliwości odstąpienia od zatrzymania prawa </w:t>
      </w:r>
      <w:r w:rsidRPr="00844309">
        <w:rPr>
          <w:rFonts w:ascii="Times New Roman" w:eastAsia="Times New Roman" w:hAnsi="Times New Roman"/>
          <w:spacing w:val="-2"/>
          <w:szCs w:val="24"/>
        </w:rPr>
        <w:t xml:space="preserve">jazdy w razie stwierdzenia </w:t>
      </w:r>
      <w:r>
        <w:rPr>
          <w:rFonts w:ascii="Times New Roman" w:eastAsia="Times New Roman" w:hAnsi="Times New Roman"/>
          <w:spacing w:val="-2"/>
          <w:szCs w:val="24"/>
        </w:rPr>
        <w:t xml:space="preserve">zachowania określonego w art. </w:t>
      </w:r>
      <w:r>
        <w:rPr>
          <w:spacing w:val="-2"/>
        </w:rPr>
        <w:t xml:space="preserve">102 ust. 1 pkt 4 </w:t>
      </w:r>
      <w:proofErr w:type="spellStart"/>
      <w:r>
        <w:rPr>
          <w:spacing w:val="-2"/>
        </w:rPr>
        <w:t>u.k.p</w:t>
      </w:r>
      <w:proofErr w:type="spellEnd"/>
      <w:r>
        <w:rPr>
          <w:spacing w:val="-2"/>
        </w:rPr>
        <w:t xml:space="preserve">. </w:t>
      </w:r>
      <w:r>
        <w:rPr>
          <w:rFonts w:ascii="Times New Roman" w:eastAsia="Times New Roman" w:hAnsi="Times New Roman"/>
          <w:szCs w:val="24"/>
        </w:rPr>
        <w:t>w</w:t>
      </w:r>
      <w:r w:rsidRPr="00FB4328">
        <w:rPr>
          <w:rFonts w:ascii="Times New Roman" w:eastAsia="Times New Roman" w:hAnsi="Times New Roman"/>
          <w:szCs w:val="24"/>
        </w:rPr>
        <w:t xml:space="preserve"> opisan</w:t>
      </w:r>
      <w:r>
        <w:rPr>
          <w:rFonts w:ascii="Times New Roman" w:eastAsia="Times New Roman" w:hAnsi="Times New Roman"/>
          <w:szCs w:val="24"/>
        </w:rPr>
        <w:t>ych</w:t>
      </w:r>
      <w:r w:rsidRPr="00FB4328">
        <w:rPr>
          <w:rFonts w:ascii="Times New Roman" w:eastAsia="Times New Roman" w:hAnsi="Times New Roman"/>
          <w:szCs w:val="24"/>
        </w:rPr>
        <w:t xml:space="preserve"> </w:t>
      </w:r>
      <w:r>
        <w:rPr>
          <w:rFonts w:ascii="Times New Roman" w:eastAsia="Times New Roman" w:hAnsi="Times New Roman"/>
          <w:szCs w:val="24"/>
        </w:rPr>
        <w:t>okolicznościach</w:t>
      </w:r>
      <w:r w:rsidRPr="00FB4328">
        <w:rPr>
          <w:rFonts w:ascii="Times New Roman" w:eastAsia="Times New Roman" w:hAnsi="Times New Roman"/>
          <w:szCs w:val="24"/>
        </w:rPr>
        <w:t xml:space="preserve"> stanu wyższej konieczności</w:t>
      </w:r>
      <w:r>
        <w:rPr>
          <w:rFonts w:ascii="Times New Roman" w:eastAsia="Times New Roman" w:hAnsi="Times New Roman"/>
          <w:szCs w:val="24"/>
        </w:rPr>
        <w:t xml:space="preserve">, a sądy administracyjne nie są władne uchylić z tego powodu decyzji zapadłych w postępowaniu administracyjnym, to zarówno procedurze administracyjnej, jak i </w:t>
      </w:r>
      <w:proofErr w:type="spellStart"/>
      <w:r>
        <w:rPr>
          <w:rFonts w:ascii="Times New Roman" w:eastAsia="Times New Roman" w:hAnsi="Times New Roman"/>
          <w:szCs w:val="24"/>
        </w:rPr>
        <w:t>sądowoadministracyjnej</w:t>
      </w:r>
      <w:proofErr w:type="spellEnd"/>
      <w:r>
        <w:rPr>
          <w:rFonts w:ascii="Times New Roman" w:eastAsia="Times New Roman" w:hAnsi="Times New Roman"/>
          <w:szCs w:val="24"/>
        </w:rPr>
        <w:t xml:space="preserve"> można zarzucić naruszenie standardów konstytucyjnych. „Wymóg zapewnienia </w:t>
      </w:r>
      <w:r w:rsidRPr="00FB4328">
        <w:rPr>
          <w:rFonts w:ascii="Times New Roman" w:eastAsia="Times New Roman" w:hAnsi="Times New Roman"/>
          <w:szCs w:val="24"/>
        </w:rPr>
        <w:t>obywatelom rzetelnej procedury administracyjnej wywodzony z</w:t>
      </w:r>
      <w:r>
        <w:rPr>
          <w:rFonts w:ascii="Times New Roman" w:eastAsia="Times New Roman" w:hAnsi="Times New Roman"/>
          <w:szCs w:val="24"/>
        </w:rPr>
        <w:t xml:space="preserve"> </w:t>
      </w:r>
      <w:r w:rsidRPr="00FB4328">
        <w:rPr>
          <w:rFonts w:ascii="Times New Roman" w:eastAsia="Times New Roman" w:hAnsi="Times New Roman"/>
          <w:szCs w:val="24"/>
        </w:rPr>
        <w:t>art.</w:t>
      </w:r>
      <w:r>
        <w:rPr>
          <w:rFonts w:ascii="Times New Roman" w:eastAsia="Times New Roman" w:hAnsi="Times New Roman"/>
          <w:szCs w:val="24"/>
        </w:rPr>
        <w:t xml:space="preserve"> </w:t>
      </w:r>
      <w:r w:rsidRPr="00FB4328">
        <w:rPr>
          <w:rFonts w:ascii="Times New Roman" w:eastAsia="Times New Roman" w:hAnsi="Times New Roman"/>
          <w:szCs w:val="24"/>
        </w:rPr>
        <w:t xml:space="preserve">2 Konstytucji zobowiązuje ustawodawcę m.in. do takiego zorganizowania </w:t>
      </w:r>
      <w:r w:rsidRPr="00F3775D">
        <w:rPr>
          <w:rFonts w:ascii="Times New Roman" w:eastAsia="Times New Roman" w:hAnsi="Times New Roman"/>
          <w:spacing w:val="-2"/>
          <w:szCs w:val="24"/>
        </w:rPr>
        <w:t>tej procedury, aby w jej ramach organ administracyjny mógł dokładnie wyjaśnić stan faktyczny</w:t>
      </w:r>
      <w:r w:rsidRPr="00FB4328">
        <w:rPr>
          <w:rFonts w:ascii="Times New Roman" w:eastAsia="Times New Roman" w:hAnsi="Times New Roman"/>
          <w:szCs w:val="24"/>
        </w:rPr>
        <w:t xml:space="preserve"> </w:t>
      </w:r>
      <w:r w:rsidRPr="00CF340F">
        <w:rPr>
          <w:rFonts w:ascii="Times New Roman" w:eastAsia="Times New Roman" w:hAnsi="Times New Roman"/>
          <w:spacing w:val="-2"/>
          <w:szCs w:val="24"/>
        </w:rPr>
        <w:t>i załatwić sprawę z uwzględnieniem, w tym również – w razie takiej potrzeby – z</w:t>
      </w:r>
      <w:r>
        <w:rPr>
          <w:rFonts w:ascii="Times New Roman" w:eastAsia="Times New Roman" w:hAnsi="Times New Roman"/>
          <w:spacing w:val="-2"/>
          <w:szCs w:val="24"/>
        </w:rPr>
        <w:t xml:space="preserve"> </w:t>
      </w:r>
      <w:r w:rsidRPr="00CF340F">
        <w:rPr>
          <w:rFonts w:ascii="Times New Roman" w:eastAsia="Times New Roman" w:hAnsi="Times New Roman"/>
          <w:spacing w:val="-2"/>
          <w:szCs w:val="24"/>
        </w:rPr>
        <w:t>wyważeniem</w:t>
      </w:r>
      <w:r w:rsidRPr="00FB4328">
        <w:rPr>
          <w:rFonts w:ascii="Times New Roman" w:eastAsia="Times New Roman" w:hAnsi="Times New Roman"/>
          <w:szCs w:val="24"/>
        </w:rPr>
        <w:t xml:space="preserve"> kolidujących ze sobą dóbr, wartości i</w:t>
      </w:r>
      <w:r>
        <w:rPr>
          <w:rFonts w:ascii="Times New Roman" w:eastAsia="Times New Roman" w:hAnsi="Times New Roman"/>
          <w:szCs w:val="24"/>
        </w:rPr>
        <w:t xml:space="preserve"> </w:t>
      </w:r>
      <w:r w:rsidRPr="00FB4328">
        <w:rPr>
          <w:rFonts w:ascii="Times New Roman" w:eastAsia="Times New Roman" w:hAnsi="Times New Roman"/>
          <w:szCs w:val="24"/>
        </w:rPr>
        <w:t>interesów</w:t>
      </w:r>
      <w:r>
        <w:rPr>
          <w:rFonts w:ascii="Times New Roman" w:eastAsia="Times New Roman" w:hAnsi="Times New Roman"/>
          <w:szCs w:val="24"/>
        </w:rPr>
        <w:t>”</w:t>
      </w:r>
      <w:r w:rsidRPr="00FB4328">
        <w:rPr>
          <w:rFonts w:ascii="Times New Roman" w:eastAsia="Times New Roman" w:hAnsi="Times New Roman"/>
          <w:szCs w:val="24"/>
        </w:rPr>
        <w:t>.</w:t>
      </w:r>
      <w:r>
        <w:rPr>
          <w:rFonts w:ascii="Times New Roman" w:eastAsia="Times New Roman" w:hAnsi="Times New Roman"/>
          <w:szCs w:val="24"/>
        </w:rPr>
        <w:t xml:space="preserve"> Podobnie wymóg sprawiedliwej procedury sądowej płynący z art. 45 ust. 1 Konstytucji oznacza konieczność pozostawienia sądowi </w:t>
      </w:r>
      <w:r w:rsidRPr="005E7F0D">
        <w:rPr>
          <w:rFonts w:ascii="Times New Roman" w:eastAsia="Times New Roman" w:hAnsi="Times New Roman"/>
          <w:spacing w:val="-2"/>
          <w:szCs w:val="24"/>
        </w:rPr>
        <w:t>odpowiedniego luzu decyzyjnego, który pozwoli mu na uwzględnienie wszelkich okoliczności</w:t>
      </w:r>
      <w:r>
        <w:rPr>
          <w:rFonts w:ascii="Times New Roman" w:eastAsia="Times New Roman" w:hAnsi="Times New Roman"/>
          <w:szCs w:val="24"/>
        </w:rPr>
        <w:t xml:space="preserve"> sprawy, nade wszystko więc tych, które uzasadniają odstąpienie od zastosowania sankcji administracyjnej.</w:t>
      </w:r>
    </w:p>
    <w:p w:rsidR="006232FC" w:rsidRDefault="006232FC" w:rsidP="00292588">
      <w:pPr>
        <w:pStyle w:val="NIEARTTEKSTtekstnieartykuowanynppodstprawnarozplubpreambua"/>
        <w:rPr>
          <w:rFonts w:ascii="Times New Roman" w:eastAsia="Times New Roman" w:hAnsi="Times New Roman"/>
          <w:szCs w:val="24"/>
        </w:rPr>
      </w:pPr>
      <w:r>
        <w:rPr>
          <w:rFonts w:ascii="Times New Roman" w:eastAsia="Times New Roman" w:hAnsi="Times New Roman"/>
          <w:szCs w:val="24"/>
        </w:rPr>
        <w:t xml:space="preserve">2.4. </w:t>
      </w:r>
      <w:r>
        <w:rPr>
          <w:spacing w:val="-3"/>
        </w:rPr>
        <w:t xml:space="preserve">W wypowiedzi Trybunału znalazła się sugestia odnośnie do gwarancji proceduralnych związanych z terminami wydawania decyzji w postępowaniu administracyjnym. Niezależnie bowiem od tego, że Trybunał nie podzielił zarzutów kierowanych pod adresem samej procedury zatrzymania prawa jazdy (m.in. kwestia natychmiastowej wykonalności decyzji starosty), to </w:t>
      </w:r>
      <w:r w:rsidRPr="00A577B4">
        <w:rPr>
          <w:spacing w:val="-3"/>
        </w:rPr>
        <w:t>nadmienił, iż „</w:t>
      </w:r>
      <w:r w:rsidRPr="00A577B4">
        <w:rPr>
          <w:rFonts w:ascii="Times New Roman" w:eastAsia="Times New Roman" w:hAnsi="Times New Roman"/>
          <w:spacing w:val="-3"/>
          <w:szCs w:val="24"/>
        </w:rPr>
        <w:t>ustawodawca mógłby rozważyć wprowadzenie w drodze przepisów szczególnych</w:t>
      </w:r>
      <w:r>
        <w:rPr>
          <w:rFonts w:ascii="Times New Roman" w:eastAsia="Times New Roman" w:hAnsi="Times New Roman"/>
          <w:szCs w:val="24"/>
        </w:rPr>
        <w:t xml:space="preserve"> </w:t>
      </w:r>
      <w:r>
        <w:rPr>
          <w:rFonts w:ascii="Times New Roman" w:eastAsia="Times New Roman" w:hAnsi="Times New Roman"/>
          <w:szCs w:val="24"/>
        </w:rPr>
        <w:lastRenderedPageBreak/>
        <w:t xml:space="preserve">(art. 35 § </w:t>
      </w:r>
      <w:r w:rsidRPr="00FB4328">
        <w:rPr>
          <w:rFonts w:ascii="Times New Roman" w:eastAsia="Times New Roman" w:hAnsi="Times New Roman"/>
          <w:szCs w:val="24"/>
        </w:rPr>
        <w:t xml:space="preserve">4 kpa) sztywno określonych krótkich terminów rozpatrzenia przez starostę </w:t>
      </w:r>
      <w:r w:rsidRPr="00397884">
        <w:rPr>
          <w:rFonts w:ascii="Times New Roman" w:eastAsia="Times New Roman" w:hAnsi="Times New Roman"/>
          <w:spacing w:val="-2"/>
          <w:szCs w:val="24"/>
        </w:rPr>
        <w:t>i kolegium sprawy zatrzymania prawa jazdy z uwagi na przekroczenie dopuszczalnej prędkości</w:t>
      </w:r>
      <w:r w:rsidRPr="00FB4328">
        <w:rPr>
          <w:rFonts w:ascii="Times New Roman" w:eastAsia="Times New Roman" w:hAnsi="Times New Roman"/>
          <w:szCs w:val="24"/>
        </w:rPr>
        <w:t xml:space="preserve"> o więcej niż 50 km/h na obszarze zabudowanym</w:t>
      </w:r>
      <w:r>
        <w:rPr>
          <w:rFonts w:ascii="Times New Roman" w:eastAsia="Times New Roman" w:hAnsi="Times New Roman"/>
          <w:szCs w:val="24"/>
        </w:rPr>
        <w:t>”</w:t>
      </w:r>
      <w:r w:rsidRPr="00FB4328">
        <w:rPr>
          <w:rFonts w:ascii="Times New Roman" w:eastAsia="Times New Roman" w:hAnsi="Times New Roman"/>
          <w:szCs w:val="24"/>
        </w:rPr>
        <w:t>.</w:t>
      </w:r>
    </w:p>
    <w:p w:rsidR="006232FC" w:rsidRPr="00783522" w:rsidRDefault="006232FC" w:rsidP="00292588">
      <w:pPr>
        <w:pStyle w:val="ARTartustawynprozporzdzenia"/>
      </w:pPr>
      <w:r>
        <w:t>Ponadto sąd konstytucyjny podkreślił, że „</w:t>
      </w:r>
      <w:r w:rsidRPr="00FB4328">
        <w:rPr>
          <w:rFonts w:ascii="Times New Roman" w:eastAsia="Times New Roman" w:hAnsi="Times New Roman"/>
          <w:szCs w:val="24"/>
        </w:rPr>
        <w:t>powołanie się na stan wyższej konieczności uzasadniający odstąpienie od zatrzymania prawa jazdy osobie, która nadmiernie przekroczyła prędkość, powinno być zastrzeżone przez ustawodawcę tylko dla takiej sytuacji, gdy owo przekroczenie prędkości usprawiedliwione jest potrzebą ratowania życia i</w:t>
      </w:r>
      <w:r>
        <w:rPr>
          <w:rFonts w:ascii="Times New Roman" w:eastAsia="Times New Roman" w:hAnsi="Times New Roman"/>
          <w:szCs w:val="24"/>
        </w:rPr>
        <w:t xml:space="preserve"> </w:t>
      </w:r>
      <w:r w:rsidRPr="00FB4328">
        <w:rPr>
          <w:rFonts w:ascii="Times New Roman" w:eastAsia="Times New Roman" w:hAnsi="Times New Roman"/>
          <w:szCs w:val="24"/>
        </w:rPr>
        <w:t>zdrowia. Niebezpieczeństwo grożące życiu i</w:t>
      </w:r>
      <w:r>
        <w:rPr>
          <w:rFonts w:ascii="Times New Roman" w:eastAsia="Times New Roman" w:hAnsi="Times New Roman"/>
          <w:szCs w:val="24"/>
        </w:rPr>
        <w:t xml:space="preserve"> </w:t>
      </w:r>
      <w:r w:rsidRPr="00FB4328">
        <w:rPr>
          <w:rFonts w:ascii="Times New Roman" w:eastAsia="Times New Roman" w:hAnsi="Times New Roman"/>
          <w:szCs w:val="24"/>
        </w:rPr>
        <w:t>zdrowiu osoby kierującej pojazdem, osoby przewożonej lub jakiejkolwiek innej osoby musi mieć przy tym charakter bezpośredni i</w:t>
      </w:r>
      <w:r>
        <w:rPr>
          <w:rFonts w:ascii="Times New Roman" w:eastAsia="Times New Roman" w:hAnsi="Times New Roman"/>
          <w:szCs w:val="24"/>
        </w:rPr>
        <w:t xml:space="preserve"> </w:t>
      </w:r>
      <w:r w:rsidRPr="00FB4328">
        <w:rPr>
          <w:rFonts w:ascii="Times New Roman" w:eastAsia="Times New Roman" w:hAnsi="Times New Roman"/>
          <w:szCs w:val="24"/>
        </w:rPr>
        <w:t>aktualny, a zatem musi realnie istnieć w</w:t>
      </w:r>
      <w:r>
        <w:rPr>
          <w:rFonts w:ascii="Times New Roman" w:eastAsia="Times New Roman" w:hAnsi="Times New Roman"/>
          <w:szCs w:val="24"/>
        </w:rPr>
        <w:t xml:space="preserve"> </w:t>
      </w:r>
      <w:r w:rsidRPr="00FB4328">
        <w:rPr>
          <w:rFonts w:ascii="Times New Roman" w:eastAsia="Times New Roman" w:hAnsi="Times New Roman"/>
          <w:szCs w:val="24"/>
        </w:rPr>
        <w:t>czasie jazdy z</w:t>
      </w:r>
      <w:r>
        <w:rPr>
          <w:rFonts w:ascii="Times New Roman" w:eastAsia="Times New Roman" w:hAnsi="Times New Roman"/>
          <w:szCs w:val="24"/>
        </w:rPr>
        <w:t xml:space="preserve"> </w:t>
      </w:r>
      <w:r w:rsidRPr="00FB4328">
        <w:rPr>
          <w:rFonts w:ascii="Times New Roman" w:eastAsia="Times New Roman" w:hAnsi="Times New Roman"/>
          <w:szCs w:val="24"/>
        </w:rPr>
        <w:t>nadmierną prędkością. Jako przykłady takiej sytuacji można podać przewożenie samochodem do szpitala osoby chorej znajdującej się w</w:t>
      </w:r>
      <w:r>
        <w:rPr>
          <w:rFonts w:ascii="Times New Roman" w:eastAsia="Times New Roman" w:hAnsi="Times New Roman"/>
          <w:szCs w:val="24"/>
        </w:rPr>
        <w:t xml:space="preserve"> </w:t>
      </w:r>
      <w:r w:rsidRPr="00FB4328">
        <w:rPr>
          <w:rFonts w:ascii="Times New Roman" w:eastAsia="Times New Roman" w:hAnsi="Times New Roman"/>
          <w:szCs w:val="24"/>
        </w:rPr>
        <w:t>stanie zagrażającym jej życiu albo kobiety ciężarnej, u której rozpoczęła</w:t>
      </w:r>
      <w:r>
        <w:rPr>
          <w:rFonts w:ascii="Times New Roman" w:eastAsia="Times New Roman" w:hAnsi="Times New Roman"/>
          <w:szCs w:val="24"/>
        </w:rPr>
        <w:t xml:space="preserve"> </w:t>
      </w:r>
      <w:r w:rsidRPr="00FB4328">
        <w:rPr>
          <w:rFonts w:ascii="Times New Roman" w:eastAsia="Times New Roman" w:hAnsi="Times New Roman"/>
          <w:szCs w:val="24"/>
        </w:rPr>
        <w:t>się akcja porodowa, albo przejazd lekarza do osoby będącej w</w:t>
      </w:r>
      <w:r>
        <w:rPr>
          <w:rFonts w:ascii="Times New Roman" w:eastAsia="Times New Roman" w:hAnsi="Times New Roman"/>
          <w:szCs w:val="24"/>
        </w:rPr>
        <w:t xml:space="preserve"> </w:t>
      </w:r>
      <w:r w:rsidRPr="00FB4328">
        <w:rPr>
          <w:rFonts w:ascii="Times New Roman" w:eastAsia="Times New Roman" w:hAnsi="Times New Roman"/>
          <w:szCs w:val="24"/>
        </w:rPr>
        <w:t>stanie zagrożenia jej życia i</w:t>
      </w:r>
      <w:r>
        <w:rPr>
          <w:rFonts w:ascii="Times New Roman" w:eastAsia="Times New Roman" w:hAnsi="Times New Roman"/>
          <w:szCs w:val="24"/>
        </w:rPr>
        <w:t xml:space="preserve"> </w:t>
      </w:r>
      <w:r w:rsidRPr="00FB4328">
        <w:rPr>
          <w:rFonts w:ascii="Times New Roman" w:eastAsia="Times New Roman" w:hAnsi="Times New Roman"/>
          <w:szCs w:val="24"/>
        </w:rPr>
        <w:t>zdrowia</w:t>
      </w:r>
      <w:r>
        <w:rPr>
          <w:rFonts w:ascii="Times New Roman" w:eastAsia="Times New Roman" w:hAnsi="Times New Roman"/>
          <w:szCs w:val="24"/>
        </w:rPr>
        <w:t>”</w:t>
      </w:r>
      <w:r w:rsidRPr="00FB4328">
        <w:rPr>
          <w:rFonts w:ascii="Times New Roman" w:eastAsia="Times New Roman" w:hAnsi="Times New Roman"/>
          <w:szCs w:val="24"/>
        </w:rPr>
        <w:t>.</w:t>
      </w:r>
    </w:p>
    <w:p w:rsidR="006232FC" w:rsidRPr="0015321A" w:rsidRDefault="006232FC" w:rsidP="0015321A"/>
    <w:p w:rsidR="006232FC" w:rsidRPr="0015321A" w:rsidRDefault="006232FC" w:rsidP="00C50587">
      <w:pPr>
        <w:rPr>
          <w:rStyle w:val="Ppogrubienie"/>
        </w:rPr>
      </w:pPr>
      <w:r w:rsidRPr="0015321A">
        <w:rPr>
          <w:rStyle w:val="Ppogrubienie"/>
        </w:rPr>
        <w:t>3. Różnice między dotychczasowym a projektowanym stanem prawnym</w:t>
      </w:r>
    </w:p>
    <w:p w:rsidR="006232FC" w:rsidRDefault="006232FC" w:rsidP="006B05D0">
      <w:pPr>
        <w:pStyle w:val="ARTartustawynprozporzdzenia"/>
      </w:pPr>
      <w:r>
        <w:rPr>
          <w:spacing w:val="-2"/>
        </w:rPr>
        <w:t xml:space="preserve">Mając na uwadze wskazania Trybunału, a także postulaty o charakterze </w:t>
      </w:r>
      <w:r w:rsidRPr="00A659BC">
        <w:rPr>
          <w:rStyle w:val="Kkursywa"/>
        </w:rPr>
        <w:t xml:space="preserve">de lege </w:t>
      </w:r>
      <w:proofErr w:type="spellStart"/>
      <w:r w:rsidRPr="00A659BC">
        <w:rPr>
          <w:rStyle w:val="Kkursywa"/>
        </w:rPr>
        <w:t>ferenda</w:t>
      </w:r>
      <w:proofErr w:type="spellEnd"/>
      <w:r>
        <w:t>, jakie zostały sformułowane w uzasadnieniu wyroku z dnia 11</w:t>
      </w:r>
      <w:r w:rsidRPr="00510A18">
        <w:t xml:space="preserve"> </w:t>
      </w:r>
      <w:r>
        <w:t>października</w:t>
      </w:r>
      <w:r w:rsidRPr="00510A18">
        <w:t xml:space="preserve"> 201</w:t>
      </w:r>
      <w:r>
        <w:t xml:space="preserve">6 r., proponuje się, by w </w:t>
      </w:r>
      <w:hyperlink r:id="rId13" w:anchor="hiperlinkText.rpc?hiperlink=type=tresc:nro=Powszechny.1139827:part=a135u1&amp;full=1" w:tgtFrame="_parent" w:history="1">
        <w:r>
          <w:t xml:space="preserve">art. </w:t>
        </w:r>
        <w:r w:rsidRPr="003A279E">
          <w:t xml:space="preserve">135 </w:t>
        </w:r>
      </w:hyperlink>
      <w:proofErr w:type="spellStart"/>
      <w:r>
        <w:t>P.r.d</w:t>
      </w:r>
      <w:proofErr w:type="spellEnd"/>
      <w:r>
        <w:t xml:space="preserve">. oraz art. 102 </w:t>
      </w:r>
      <w:proofErr w:type="spellStart"/>
      <w:r>
        <w:t>u.k.p</w:t>
      </w:r>
      <w:proofErr w:type="spellEnd"/>
      <w:r>
        <w:t xml:space="preserve">. zostały dodane ustępy (odpowiednio ust. 1aa i ust. 1aa), które będą stanowić podstawę do: po pierwsze, odstąpienia przez policjanta od zatrzymania prawa jazdy w razie stwierdzenia, że kierowca wprawdzie dopuścił się czynu polegającego na przekroczeniu prędkości dopuszczalnej o więcej niż 50 km/h w terenie </w:t>
      </w:r>
      <w:r w:rsidRPr="00D11937">
        <w:rPr>
          <w:spacing w:val="-3"/>
        </w:rPr>
        <w:t>zabudowanym, ale działał przy tym w stanie wyższej konieczności, kierując się chęcią uchylenia</w:t>
      </w:r>
      <w:r w:rsidRPr="005662EC">
        <w:rPr>
          <w:spacing w:val="-2"/>
        </w:rPr>
        <w:t xml:space="preserve"> bezpośredniego</w:t>
      </w:r>
      <w:r>
        <w:t xml:space="preserve"> niebezpieczeństwa grożącego życiu lub zdrowiu człowieka, a po drugie – wydania w takiej sytuacji przez starostę decyzji odmownej w przedmiocie zatrzymania prawa jazdy.</w:t>
      </w:r>
    </w:p>
    <w:p w:rsidR="006232FC" w:rsidRDefault="006232FC" w:rsidP="006B05D0">
      <w:pPr>
        <w:pStyle w:val="ARTartustawynprozporzdzenia"/>
        <w:rPr>
          <w:spacing w:val="-2"/>
        </w:rPr>
      </w:pPr>
      <w:r w:rsidRPr="003F5785">
        <w:rPr>
          <w:spacing w:val="-2"/>
        </w:rPr>
        <w:t xml:space="preserve">W ocenie </w:t>
      </w:r>
      <w:r>
        <w:t>Senatu</w:t>
      </w:r>
      <w:r w:rsidRPr="003F5785">
        <w:rPr>
          <w:spacing w:val="-2"/>
        </w:rPr>
        <w:t>, zasadne jest objęcie kontratypem stanu wyższej konieczności</w:t>
      </w:r>
      <w:r>
        <w:t xml:space="preserve"> nie tylko tego szczególnego przypadku przekroczenia dopuszczalnej prędkości, o którym mowa w art. 135 ust. 1 pkt 1a lit. a </w:t>
      </w:r>
      <w:proofErr w:type="spellStart"/>
      <w:r>
        <w:t>P.r.d</w:t>
      </w:r>
      <w:proofErr w:type="spellEnd"/>
      <w:r>
        <w:t xml:space="preserve">. i zarazem art. 102 ust. 1 pkt 4 </w:t>
      </w:r>
      <w:proofErr w:type="spellStart"/>
      <w:r>
        <w:t>u.k.p</w:t>
      </w:r>
      <w:proofErr w:type="spellEnd"/>
      <w:r>
        <w:t xml:space="preserve">., lecz również innego zachowania, które zagrożone jest analogiczną sankcją w postaci zatrzymania prawa jazdy. Chodzi o przewożenie w pojeździe silnikowym większej liczby osób niż liczba miejsc </w:t>
      </w:r>
      <w:r w:rsidRPr="00A02B00">
        <w:rPr>
          <w:spacing w:val="-4"/>
        </w:rPr>
        <w:t>określona w dowodzie rejestracyjnym (pozwoleniu czasowym) lub wynikając</w:t>
      </w:r>
      <w:r>
        <w:rPr>
          <w:spacing w:val="-4"/>
        </w:rPr>
        <w:t>a</w:t>
      </w:r>
      <w:r w:rsidRPr="00A02B00">
        <w:rPr>
          <w:spacing w:val="-4"/>
        </w:rPr>
        <w:t xml:space="preserve"> z konstrukcyjnego</w:t>
      </w:r>
      <w:r>
        <w:t xml:space="preserve"> </w:t>
      </w:r>
      <w:r w:rsidRPr="00171FF5">
        <w:rPr>
          <w:spacing w:val="-2"/>
        </w:rPr>
        <w:t>przeznaczenia pojazdu niepodlegającego rejestracji (z wyłączeniem wszakże przewożenia osób</w:t>
      </w:r>
      <w:r>
        <w:t xml:space="preserve"> </w:t>
      </w:r>
      <w:r>
        <w:lastRenderedPageBreak/>
        <w:t xml:space="preserve">autobusem w publicznym transporcie zbiorowym w gminnych, powiatowych i wojewódzkich przewozach pasażerskich w rozumieniu </w:t>
      </w:r>
      <w:hyperlink r:id="rId14" w:anchor="hiperlinkText.rpc?hiperlink=type=tresc:nro=Powszechny.1799412:ver=3&amp;full=1" w:tgtFrame="_parent" w:history="1">
        <w:r w:rsidRPr="00171FF5">
          <w:t>ustawy</w:t>
        </w:r>
      </w:hyperlink>
      <w:r w:rsidRPr="00171FF5">
        <w:t xml:space="preserve"> </w:t>
      </w:r>
      <w:r>
        <w:t xml:space="preserve">z dnia 16 grudnia 2010 r. o publicznym transporcie zbiorowym, pod warunkiem, że w pojeździe przewidziane są miejsca stojące). </w:t>
      </w:r>
      <w:r w:rsidRPr="00F95C1F">
        <w:rPr>
          <w:spacing w:val="-2"/>
        </w:rPr>
        <w:t xml:space="preserve">Zgodnie z art. 135 ust. 1 pkt 1a lit. b </w:t>
      </w:r>
      <w:proofErr w:type="spellStart"/>
      <w:r w:rsidRPr="00F95C1F">
        <w:rPr>
          <w:spacing w:val="-2"/>
        </w:rPr>
        <w:t>P.r.d</w:t>
      </w:r>
      <w:proofErr w:type="spellEnd"/>
      <w:r w:rsidRPr="00F95C1F">
        <w:rPr>
          <w:spacing w:val="-2"/>
        </w:rPr>
        <w:t>. dopuszczenie się takiego czynu powinno skutkować</w:t>
      </w:r>
      <w:r>
        <w:t xml:space="preserve"> faktycznym zatrzymaniem prawa jazdy przez policjanta (chyba że nie zostały przekroczone limity 5 osób i 2 osób przewidziane w art. 135 ust. 1a </w:t>
      </w:r>
      <w:proofErr w:type="spellStart"/>
      <w:r>
        <w:t>P.r.d</w:t>
      </w:r>
      <w:proofErr w:type="spellEnd"/>
      <w:r>
        <w:t xml:space="preserve">. i art. 102 ust. 1a </w:t>
      </w:r>
      <w:proofErr w:type="spellStart"/>
      <w:r>
        <w:t>u.k.p</w:t>
      </w:r>
      <w:proofErr w:type="spellEnd"/>
      <w:r>
        <w:t xml:space="preserve">.), a w konsekwencji także zatrzymaniem prawa jazdy w drodze decyzji starosty (zob. art. 102 ust. 1 pkt 5 i ust. 1c </w:t>
      </w:r>
      <w:proofErr w:type="spellStart"/>
      <w:r>
        <w:t>u.k.p</w:t>
      </w:r>
      <w:proofErr w:type="spellEnd"/>
      <w:r>
        <w:t xml:space="preserve">.). Tymczasem nie da się wykluczyć możliwości wystąpienia </w:t>
      </w:r>
      <w:r w:rsidRPr="00D706FC">
        <w:rPr>
          <w:spacing w:val="-3"/>
        </w:rPr>
        <w:t>szczególnej sytuacji, w której kierujący pojazdem będzie zmuszony dokonać swoistego ważenia</w:t>
      </w:r>
      <w:r>
        <w:t xml:space="preserve"> kolidujących dóbr, a następnie wyboru między nimi i ostatecznie, działając w przekonaniu istnienia stanu wyższej konieczności, w rozumieniu przyjętym przez Trybunał, podejmie się przewiezienia w pojeździe większej niż dopuszczalna liczby osób. Zdaniem Senatu, okoliczności określone w art. 135 ust. 1 pkt 1a lit. a </w:t>
      </w:r>
      <w:proofErr w:type="spellStart"/>
      <w:r>
        <w:t>P.r.d</w:t>
      </w:r>
      <w:proofErr w:type="spellEnd"/>
      <w:r>
        <w:t xml:space="preserve">. i art. 102 ust. 1 pkt 4 </w:t>
      </w:r>
      <w:proofErr w:type="spellStart"/>
      <w:r>
        <w:t>u.k.p</w:t>
      </w:r>
      <w:proofErr w:type="spellEnd"/>
      <w:r>
        <w:t xml:space="preserve">. z jednej strony oraz art. 135 ust. 1 pkt 1a lit. b </w:t>
      </w:r>
      <w:proofErr w:type="spellStart"/>
      <w:r>
        <w:t>P.r.d</w:t>
      </w:r>
      <w:proofErr w:type="spellEnd"/>
      <w:r>
        <w:t xml:space="preserve">. i art. 102 ust. 1 pkt 5 </w:t>
      </w:r>
      <w:proofErr w:type="spellStart"/>
      <w:r>
        <w:t>u.k.p</w:t>
      </w:r>
      <w:proofErr w:type="spellEnd"/>
      <w:r>
        <w:t xml:space="preserve">. z drugiej strony, powinny więc zostać uregulowane w identyczny sposób. Sam fakt, że Trybunał nie objął </w:t>
      </w:r>
      <w:r w:rsidRPr="00F12346">
        <w:rPr>
          <w:spacing w:val="-2"/>
        </w:rPr>
        <w:t>swym orzeczeniem dwóch ostatnich przepisów nie przesądza jeszcze, że mamy tu do czynienia</w:t>
      </w:r>
      <w:r>
        <w:t xml:space="preserve"> </w:t>
      </w:r>
      <w:r w:rsidRPr="00F40EF9">
        <w:rPr>
          <w:spacing w:val="-2"/>
        </w:rPr>
        <w:t>z jakościow</w:t>
      </w:r>
      <w:r>
        <w:rPr>
          <w:spacing w:val="-2"/>
        </w:rPr>
        <w:t>o</w:t>
      </w:r>
      <w:r w:rsidRPr="00F40EF9">
        <w:rPr>
          <w:spacing w:val="-2"/>
        </w:rPr>
        <w:t xml:space="preserve"> inną instytucją. Pamiętać bowiem trzeba, że kognicja Trybunału jest ograniczona</w:t>
      </w:r>
      <w:r>
        <w:rPr>
          <w:spacing w:val="-2"/>
        </w:rPr>
        <w:t xml:space="preserve">, a w istocie powołane przepisy nie były objęte zakresem zaskarżenia. Niemniej wydaje się, że regulacji z art. 102 ust. 1 pkt 5 i ust. 1c </w:t>
      </w:r>
      <w:proofErr w:type="spellStart"/>
      <w:r>
        <w:rPr>
          <w:spacing w:val="-2"/>
        </w:rPr>
        <w:t>u.k.p</w:t>
      </w:r>
      <w:proofErr w:type="spellEnd"/>
      <w:r>
        <w:rPr>
          <w:spacing w:val="-2"/>
        </w:rPr>
        <w:t xml:space="preserve">. w związku z art. 135 ust. 1 pkt 1a lit. b można by  postawić podobny zarzut, jak ten, który doprowadził do pozbawienia domniemania konstytucyjności przepisów wymienionych w sentencji wyroku wydanego w sprawie K 24/15 (w rachubę wchodzi przecież sankcja administracyjna, której stosowanie wymaga zapewnienia sprawiedliwej procedury administracyjnej oraz </w:t>
      </w:r>
      <w:proofErr w:type="spellStart"/>
      <w:r>
        <w:rPr>
          <w:spacing w:val="-2"/>
        </w:rPr>
        <w:t>sądowoadministracyjnej</w:t>
      </w:r>
      <w:proofErr w:type="spellEnd"/>
      <w:r>
        <w:rPr>
          <w:spacing w:val="-2"/>
        </w:rPr>
        <w:t>). Na marginesie można zauważyć, że do tej pory sam ustawodawca traktował obie sytuacje w taki sam sposób, obejmując je na równi przepisami o faktycznym zatrzymaniu prawa jazdy, wydaniu decyzji w przedmiocie zatrzymania prawa jazdy, długości okresu pozbawienia prawa do kierowania pojazdami, początku jego biegu oraz nadaniu decyzji rygoru natychmiastowej wykonalności.</w:t>
      </w:r>
    </w:p>
    <w:p w:rsidR="006232FC" w:rsidRDefault="006232FC" w:rsidP="006B05D0">
      <w:pPr>
        <w:pStyle w:val="ARTartustawynprozporzdzenia"/>
      </w:pPr>
      <w:r>
        <w:t xml:space="preserve">Dodatkowo, w art. 2 pkt 2 projektu proponuje się wprowadzenie rozwiązania, które zobliguje starostę do wydania decyzji w przedmiocie zatrzymania prawa jazdy w terminie 14 dni. Nowy przepis ust. 1da znajdzie jednak zastosowanie jedynie wtedy, gdy policjant podjął decyzję o zatrzymaniu prawa jazdy na podstawie art. 135 ust. 1 pkt 1a </w:t>
      </w:r>
      <w:proofErr w:type="spellStart"/>
      <w:r>
        <w:t>P.r.d</w:t>
      </w:r>
      <w:proofErr w:type="spellEnd"/>
      <w:r>
        <w:t xml:space="preserve">. Intencją Senatu w tym przypadku jest ograniczenie dolegliwości związanej z faktycznym zatrzymaniem prawa jazdy w sytuacji wystąpienia sporu co do tego, czy kierujący pojazdem rzeczywiście </w:t>
      </w:r>
      <w:r>
        <w:lastRenderedPageBreak/>
        <w:t xml:space="preserve">znajdował się w stanie wyższej konieczności. Wypada bowiem w tym miejscu nadmienić, że wedle art. 102 ust. 1e </w:t>
      </w:r>
      <w:proofErr w:type="spellStart"/>
      <w:r>
        <w:t>u.k.p</w:t>
      </w:r>
      <w:proofErr w:type="spellEnd"/>
      <w:r>
        <w:t xml:space="preserve">. okres 3 (ewentualnie 6) miesięcy, na który zatrzymuje się prawo jazdy biegnie od dnia, w który dokument został zwrócony do organu właściwego w sprawach wydawania dokumentów stwierdzających uprawnienia do kierowania pojazdami, a w razie zatrzymania prawa jazdy w trybie </w:t>
      </w:r>
      <w:hyperlink r:id="rId15" w:anchor="hiperlinkText.rpc?hiperlink=type=tresc:nro=Powszechny.1908848:part=a135u1p1%28a%29:ver=2&amp;full=1" w:tgtFrame="_parent" w:history="1">
        <w:r w:rsidRPr="00720C58">
          <w:t>art. 135 ust. 1 pkt 1a</w:t>
        </w:r>
      </w:hyperlink>
      <w:r>
        <w:t xml:space="preserve"> </w:t>
      </w:r>
      <w:proofErr w:type="spellStart"/>
      <w:r>
        <w:t>P.r.d</w:t>
      </w:r>
      <w:proofErr w:type="spellEnd"/>
      <w:r>
        <w:t>. – od daty tej czynności. Tyle że takie – w istocie rzeczy dość korzystne dla kierującego pojazdem – rozwiązanie nie daje wystarczającej gwarancji sprawiedliwego potraktowania, jeżeli po przeprowadzeniu postępowania administracyjnego okaże się, iż w danej sprawie kierujący pojazdem zasadnie powoływał się na stan wyższej konieczności.</w:t>
      </w:r>
    </w:p>
    <w:p w:rsidR="006232FC" w:rsidRPr="006A7C60" w:rsidRDefault="006232FC" w:rsidP="006B05D0">
      <w:pPr>
        <w:pStyle w:val="ARTartustawynprozporzdzenia"/>
      </w:pPr>
      <w:r>
        <w:t xml:space="preserve">W art. 3 projektowanej ustawy przewidziano bezpośrednie działanie nowego prawa, co jest uzasadnione możliwie szybką realizacją wytycznych zawartych w wyroku Trybunału, który – w myśl art. 190 ust. 1 Konstytucji – ma moc powszechnie wiążącą i jest ostateczny i który to wszedł już w życie stosownie do art. 190 ust. 3 zdanie pierwsze Konstytucji. Z tych samych względów zaproponowana w art. 4 </w:t>
      </w:r>
      <w:r w:rsidRPr="006613FB">
        <w:rPr>
          <w:rStyle w:val="Kkursywa"/>
        </w:rPr>
        <w:t>vacatio legis</w:t>
      </w:r>
      <w:r>
        <w:t xml:space="preserve"> wynosi zaledwie 14 dni.</w:t>
      </w:r>
    </w:p>
    <w:p w:rsidR="006232FC" w:rsidRPr="00C50587" w:rsidRDefault="006232FC" w:rsidP="007D4C97"/>
    <w:p w:rsidR="006232FC" w:rsidRDefault="006232FC" w:rsidP="0015321A">
      <w:pPr>
        <w:rPr>
          <w:rStyle w:val="Ppogrubienie"/>
        </w:rPr>
      </w:pPr>
      <w:r>
        <w:rPr>
          <w:rStyle w:val="Ppogrubienie"/>
        </w:rPr>
        <w:t>4. Konsultacje</w:t>
      </w:r>
    </w:p>
    <w:p w:rsidR="006232FC" w:rsidRDefault="006232FC" w:rsidP="0060494E">
      <w:pPr>
        <w:pStyle w:val="ARTartustawynprozporzdzenia"/>
      </w:pPr>
      <w:r>
        <w:t xml:space="preserve">Projekt ustawy został przesłany następującym podmiotom: Ministrowi Sprawiedliwości, Ministrowi Spraw Wewnętrznych i Administracji, Ministrowi Infrastruktury i Budownictwa, Ministrowi Rozwoju i Finansów, Krajowej Radzie Sądownictwa, Sądowi Najwyższemu, Naczelnemu Sądowi Administracyjnemu, </w:t>
      </w:r>
      <w:r w:rsidRPr="0060494E">
        <w:t>Stowarzyszeniu Sędziów</w:t>
      </w:r>
      <w:r>
        <w:t xml:space="preserve"> Polskich „</w:t>
      </w:r>
      <w:proofErr w:type="spellStart"/>
      <w:r>
        <w:t>Iustitia</w:t>
      </w:r>
      <w:proofErr w:type="spellEnd"/>
      <w:r>
        <w:t xml:space="preserve">”, </w:t>
      </w:r>
      <w:r w:rsidRPr="0060494E">
        <w:t xml:space="preserve">Krajowej Radzie Radców Prawnych, Naczelnej Radzie Adwokackiej, Stowarzyszeniu Prokuratorów Rzeczypospolitej, Stowarzyszeniu Prokuratorów „Lex Super </w:t>
      </w:r>
      <w:proofErr w:type="spellStart"/>
      <w:r w:rsidRPr="0060494E">
        <w:t>Omnia</w:t>
      </w:r>
      <w:proofErr w:type="spellEnd"/>
      <w:r w:rsidRPr="0060494E">
        <w:t>”, Prokuratorii</w:t>
      </w:r>
      <w:r>
        <w:t xml:space="preserve"> Generalnej Rzeczypospolitej Polskiej, Związkowi Miast Polskich, Związkowi Powiatów Polskich oraz Helsińskiej Fundacji Praw Człowieka.</w:t>
      </w:r>
    </w:p>
    <w:p w:rsidR="006232FC" w:rsidRDefault="006232FC" w:rsidP="0060494E">
      <w:pPr>
        <w:pStyle w:val="ARTartustawynprozporzdzenia"/>
      </w:pPr>
      <w:r w:rsidRPr="0060494E">
        <w:t>Minister Sprawiedliwości zasugerował pominięcie w formule projektowanych przepisów</w:t>
      </w:r>
      <w:r>
        <w:t xml:space="preserve"> </w:t>
      </w:r>
      <w:r w:rsidRPr="0060494E">
        <w:t>zwrotu „działając w stanie wyższej konieczności” i doprecyzowanie warunków wprowadzanego</w:t>
      </w:r>
      <w:r>
        <w:t xml:space="preserve"> kontratypu przez wskazanie, iż niebezpieczeństwa grożącego życiu lub zdrowi człowieka nie </w:t>
      </w:r>
      <w:r w:rsidRPr="0060494E">
        <w:t>można było uniknąć inaczej, a zarazem dobro poświęcone w postaci bezpieczeństwa na drodze</w:t>
      </w:r>
      <w:r>
        <w:t xml:space="preserve"> przedstawiało w danym przypadku wartość niższą od dobra ratowanego.</w:t>
      </w:r>
    </w:p>
    <w:p w:rsidR="006232FC" w:rsidRDefault="006232FC" w:rsidP="0060494E">
      <w:pPr>
        <w:pStyle w:val="ARTartustawynprozporzdzenia"/>
      </w:pPr>
      <w:r>
        <w:t xml:space="preserve">Minister Spraw Wewnętrznych i Administracji zaapelował o dodanie nowych jednostek redakcyjnych statuujących szczególny kontratyp dla służb mundurowych. Zdaniem Ministra, </w:t>
      </w:r>
      <w:r>
        <w:lastRenderedPageBreak/>
        <w:t xml:space="preserve">„przekroczenie prędkości przez kierującego pojazdem Policji, Straży Granicznej, Biura Ochrony Rządu, Inspekcji Transportu Drogowego, Agencji Bezpieczeństwa Wewnętrznego, Służby Kontrwywiadu Wojskowego lub Centralnego Biura Antykorupcyjnego” nie powinno się wiązać z zatrzymaniem prawa jazdy na zasadzie art. 135 ust. 1 pkt 1a lit. a </w:t>
      </w:r>
      <w:proofErr w:type="spellStart"/>
      <w:r>
        <w:t>P.r.d</w:t>
      </w:r>
      <w:proofErr w:type="spellEnd"/>
      <w:r>
        <w:t xml:space="preserve">. oraz art. 102 ust. 1 pkt 4 </w:t>
      </w:r>
      <w:proofErr w:type="spellStart"/>
      <w:r>
        <w:t>u.k.p</w:t>
      </w:r>
      <w:proofErr w:type="spellEnd"/>
      <w:r>
        <w:t xml:space="preserve">., jeżeli takie zachowanie „było niezbędne do wykonania ustawowo określonego zadania lub realizacji ustawowo określonego uprawnienia.” Minister zauważył, że przedmiotowy kontratyp znosiłby bezprawność w sytuacji, gdy znaczne przekroczenie dopuszczalnej prędkości w terenie zabudowanym przez funkcjonariusza poruszającego się </w:t>
      </w:r>
      <w:r w:rsidRPr="0060494E">
        <w:t xml:space="preserve">pojazdem nieoznakowanym, np. radiowozem wyposażonym w </w:t>
      </w:r>
      <w:proofErr w:type="spellStart"/>
      <w:r w:rsidRPr="0060494E">
        <w:t>wideorejestrator</w:t>
      </w:r>
      <w:proofErr w:type="spellEnd"/>
      <w:r w:rsidRPr="0060494E">
        <w:t>, miało miejsce</w:t>
      </w:r>
      <w:r>
        <w:t xml:space="preserve"> </w:t>
      </w:r>
      <w:r w:rsidRPr="0060494E">
        <w:t>w związku z koniecznością prowadzenia działań zmierzających do ustalenia, czy inny kierowca</w:t>
      </w:r>
      <w:r>
        <w:t xml:space="preserve"> nie narusza przepisów określających dopuszczalną prędkość na drodze, oraz do zgromadzenia dowodów w razie ujawnienia takiego wykroczenia bądź też innego naruszenia norm </w:t>
      </w:r>
      <w:proofErr w:type="spellStart"/>
      <w:r>
        <w:t>P.r.d</w:t>
      </w:r>
      <w:proofErr w:type="spellEnd"/>
      <w:r>
        <w:t xml:space="preserve">. </w:t>
      </w:r>
      <w:r w:rsidRPr="0060494E">
        <w:t>Jednocześnie kontratyp ten miałby znajdować zastosowanie w odniesieniu do funkcjonariuszy</w:t>
      </w:r>
      <w:r>
        <w:t xml:space="preserve"> służb wskazanych w proponowanych przepisach (oznaczonych jako ustępy 1ab i dodawanych na mocy art. 1 i art. 2 pkt 1 projektu),</w:t>
      </w:r>
      <w:r w:rsidRPr="00024CA3">
        <w:t xml:space="preserve"> </w:t>
      </w:r>
      <w:r>
        <w:t>wykonujących zadania o charakterze operacyjnym.</w:t>
      </w:r>
    </w:p>
    <w:p w:rsidR="006232FC" w:rsidRDefault="006232FC" w:rsidP="0060494E">
      <w:pPr>
        <w:pStyle w:val="ARTartustawynprozporzdzenia"/>
      </w:pPr>
      <w:r>
        <w:t xml:space="preserve">Minister Infrastruktury i Budownictwa wyraził wątpliwość odnośnie do zasadności </w:t>
      </w:r>
      <w:r w:rsidRPr="0060494E">
        <w:t>nakładania na starostów obowiązku weryfikowania tego, czy kierowca działał w stanie wyższej</w:t>
      </w:r>
      <w:r>
        <w:t xml:space="preserve"> konieczności. Według Ministra, w spornych przypadkach wymieniony organ administracji publicznej stanie się organem quasi-odwoławczym, działającym – jak to ujęto w opinii – „w  zastępstwie sądów powszechnych” lub nawet oceniającym ich wyroki. Dlatego też Minister zaproponował skreślenie w art. 2 projektu pkt 1.</w:t>
      </w:r>
    </w:p>
    <w:p w:rsidR="006232FC" w:rsidRDefault="006232FC" w:rsidP="0060494E">
      <w:pPr>
        <w:pStyle w:val="ARTartustawynprozporzdzenia"/>
      </w:pPr>
      <w:r>
        <w:t xml:space="preserve">Minister Rozwoju i Finansów poinformował, iż nie zgłasza zastrzeżeń w odniesieniu do </w:t>
      </w:r>
      <w:r w:rsidRPr="00EB1A4F">
        <w:rPr>
          <w:spacing w:val="-2"/>
        </w:rPr>
        <w:t>projektowanych rozwiązań. O braku uwag poinformował także Naczelny Sąd Administracyjny</w:t>
      </w:r>
      <w:r w:rsidRPr="0060494E">
        <w:t xml:space="preserve"> oraz Prokuratoria Generalna Rzeczypospolitej Polskiej.</w:t>
      </w:r>
      <w:r>
        <w:t xml:space="preserve"> Z kolei Sąd Najwyższy zaopiniował projekt pozytywnie, z tym że zasugerował legislacyjną korektę w zakresie umiejscowienia przepisu oznaczonego jako ust. 1da, tj. jako dodawanego w </w:t>
      </w:r>
      <w:proofErr w:type="spellStart"/>
      <w:r>
        <w:t>u.k.p</w:t>
      </w:r>
      <w:proofErr w:type="spellEnd"/>
      <w:r>
        <w:t>. po ust. 1c. Ponadto o projektowanej ustawie pozytywnie wypowiedziała się Krajowa Rada Sądownictwa.</w:t>
      </w:r>
    </w:p>
    <w:p w:rsidR="006232FC" w:rsidRPr="0060494E" w:rsidRDefault="006232FC" w:rsidP="0060494E">
      <w:pPr>
        <w:pStyle w:val="ARTartustawynprozporzdzenia"/>
      </w:pPr>
      <w:r>
        <w:t xml:space="preserve">Stowarzyszenie Prokuratorów „Lex super </w:t>
      </w:r>
      <w:proofErr w:type="spellStart"/>
      <w:r>
        <w:t>omnia</w:t>
      </w:r>
      <w:proofErr w:type="spellEnd"/>
      <w:r>
        <w:t xml:space="preserve">” przedstawiło rozbudowane uwagi kwestionujące zasadność wprowadzania kontratypu w przepisach, które stosuje Policja oraz organ administracji publicznej, jakim jest starosta. Stowarzyszenie wyraziło obawę, czy funkcjonariusz Policji lub starosta będzie dysponował „realnymi możliwościami oceny stanu </w:t>
      </w:r>
      <w:r w:rsidRPr="00925E2C">
        <w:rPr>
          <w:spacing w:val="-2"/>
        </w:rPr>
        <w:lastRenderedPageBreak/>
        <w:t>zdrowia osoby transportowanej” i że tym samym konstruowany wyjątek od odpowiedzialności</w:t>
      </w:r>
      <w:r>
        <w:t xml:space="preserve"> administracyjnej stanie się furtką dla „poszukiwania różnego rodzaju uzasadnień dla łamania przepisów odnoszących się do konieczności zachowania bezpiecznej prędkości na drogach </w:t>
      </w:r>
      <w:r w:rsidRPr="0060494E">
        <w:t>publicznych.” W przekonaniu Stowarzyszenia, zatrzymanie prawa jazdy powinno być w</w:t>
      </w:r>
      <w:r>
        <w:t> </w:t>
      </w:r>
      <w:r w:rsidRPr="0060494E">
        <w:t>istocie</w:t>
      </w:r>
      <w:r>
        <w:t xml:space="preserve"> konsekwencją zastosowania sankcji karnoprawnej w postaci zakazu prowadzenia pojazdów, która to powinna zostać wprowadzona do </w:t>
      </w:r>
      <w:proofErr w:type="spellStart"/>
      <w:r>
        <w:t>k.w</w:t>
      </w:r>
      <w:proofErr w:type="spellEnd"/>
      <w:r>
        <w:t xml:space="preserve">. jako środek wymierzany obligatoryjnie w razie popełnienia czynu polegającego na przekroczeniu dopuszczalnej prędkości </w:t>
      </w:r>
      <w:r w:rsidRPr="0060494E">
        <w:t>o więcej niż 50 km/h na obszarze zabudowanym. Regulacja taka byłaby systemowo spójna z rozwiązaniem z art. 178b ustawy z dnia 6 czerwca 1997 r. – Kodeks karny w zw. z</w:t>
      </w:r>
      <w:r>
        <w:t> </w:t>
      </w:r>
      <w:r w:rsidRPr="0060494E">
        <w:t xml:space="preserve">art. 10 </w:t>
      </w:r>
      <w:proofErr w:type="spellStart"/>
      <w:r w:rsidRPr="0060494E">
        <w:t>k.w</w:t>
      </w:r>
      <w:proofErr w:type="spellEnd"/>
      <w:r w:rsidRPr="0060494E">
        <w:t>.</w:t>
      </w:r>
    </w:p>
    <w:p w:rsidR="006232FC" w:rsidRPr="0060494E" w:rsidRDefault="006232FC" w:rsidP="0060494E">
      <w:pPr>
        <w:pStyle w:val="ARTartustawynprozporzdzenia"/>
      </w:pPr>
      <w:r w:rsidRPr="0060494E">
        <w:t xml:space="preserve">Związek Powiatów Polskich, podobnie jak Minister Infrastruktury i Budownictwa, podniósł, że zamierzona nowelizacja art. 102 </w:t>
      </w:r>
      <w:proofErr w:type="spellStart"/>
      <w:r w:rsidRPr="0060494E">
        <w:t>u.k.p</w:t>
      </w:r>
      <w:proofErr w:type="spellEnd"/>
      <w:r w:rsidRPr="0060494E">
        <w:t xml:space="preserve">. doprowadzi do tego, że starosta zostanie postawiony w roli „podmiotu nadzorczego nad organami kontroli ruchu drogowego, w szczególności Policji.” Dodatkowo Związek Powiatów Polskich zwrócił uwagę na ryzyko </w:t>
      </w:r>
      <w:r w:rsidRPr="006266D2">
        <w:rPr>
          <w:spacing w:val="-4"/>
        </w:rPr>
        <w:t>pojawiania się rozbieżnych rozstrzygnięć podejmowanych w ramach reżimów wykroczeniowego</w:t>
      </w:r>
      <w:r w:rsidRPr="0060494E">
        <w:t xml:space="preserve"> i administracyjnego. Związek Powiatów Polskich zgłosił też zastrzeżenia co do 14-dniowego terminu przewidzianego w art. 2 w pkt 2, w </w:t>
      </w:r>
      <w:r>
        <w:t>us</w:t>
      </w:r>
      <w:r w:rsidRPr="0060494E">
        <w:t xml:space="preserve">t. 1da, jak również odnośnie do art. 3, jako że przyjęta w tym ostatnim przepisie zasada bezpośredniego działania prawa może doprowadzić do tego, że w niektórych przypadkach organy będą pozostawały </w:t>
      </w:r>
      <w:r>
        <w:t>w </w:t>
      </w:r>
      <w:r w:rsidRPr="0060494E">
        <w:t xml:space="preserve">zwłoce już w momencie wejścia w życie ustawy, a ponadto że będą zmuszone uzupełniać </w:t>
      </w:r>
      <w:r w:rsidRPr="00AC57B4">
        <w:rPr>
          <w:spacing w:val="-2"/>
        </w:rPr>
        <w:t>postępowanie w celu wyjaśnienia, czy zaistniała nowa przesłanka negatywna uniemożliwiająca</w:t>
      </w:r>
      <w:r w:rsidRPr="0060494E">
        <w:t xml:space="preserve"> wydanie decyzji administracyjnej.</w:t>
      </w:r>
    </w:p>
    <w:p w:rsidR="006232FC" w:rsidRPr="0060494E" w:rsidRDefault="006232FC" w:rsidP="0060494E">
      <w:pPr>
        <w:pStyle w:val="ARTartustawynprozporzdzenia"/>
      </w:pPr>
      <w:r w:rsidRPr="0060494E">
        <w:t>Pozostałe podmioty nie zajęły stanowiska w sprawie konsultowanego projektu.</w:t>
      </w:r>
    </w:p>
    <w:p w:rsidR="006232FC" w:rsidRDefault="006232FC" w:rsidP="0060494E">
      <w:pPr>
        <w:pStyle w:val="ARTartustawynprozporzdzenia"/>
      </w:pPr>
      <w:r>
        <w:t>Nadesłane opinie i uwagi są zamieszczo</w:t>
      </w:r>
      <w:r w:rsidRPr="00BC3C22">
        <w:t xml:space="preserve">ne na </w:t>
      </w:r>
      <w:r>
        <w:t xml:space="preserve">senackiej </w:t>
      </w:r>
      <w:r w:rsidRPr="00BC3C22">
        <w:t>stronie internetowej</w:t>
      </w:r>
      <w:r>
        <w:t>.</w:t>
      </w:r>
    </w:p>
    <w:p w:rsidR="006232FC" w:rsidRDefault="006232FC" w:rsidP="0060494E">
      <w:pPr>
        <w:pStyle w:val="ARTartustawynprozporzdzenia"/>
      </w:pPr>
      <w:r>
        <w:t xml:space="preserve">Podczas I czytania projektu obradujące wspólnie Komisja Praw Człowieka, Praworządności i Petycji oraz Komisja Ustawodawcza wprowadziły poprawkę czyniącą zadość uwagom Ministra Sprawiedliwości, a także Stowarzyszenia Prokuratorów „Lex super </w:t>
      </w:r>
      <w:proofErr w:type="spellStart"/>
      <w:r w:rsidRPr="0060494E">
        <w:t>omnia</w:t>
      </w:r>
      <w:proofErr w:type="spellEnd"/>
      <w:r w:rsidRPr="0060494E">
        <w:t>” w zakresie, w jakim były one tożsame. Pozostałe zarzuty zgłoszo</w:t>
      </w:r>
      <w:r>
        <w:t>ne przez Stowarzysze</w:t>
      </w:r>
      <w:r w:rsidRPr="0060494E">
        <w:t>nie</w:t>
      </w:r>
      <w:r>
        <w:t xml:space="preserve"> nie zostały uwzględnione, ponieważ dotyczyły one nie tyle sposobu wykonania orzeczenia </w:t>
      </w:r>
      <w:r w:rsidRPr="0060494E">
        <w:t>z dnia 11 października 2016 r., co potrzeby utrzymywania w systemie sankcji administracyjnej</w:t>
      </w:r>
      <w:r>
        <w:t xml:space="preserve"> polegającej na zatrzymaniu prawa jazdy, wymierzanej za czyn, który </w:t>
      </w:r>
      <w:r w:rsidRPr="00547182">
        <w:rPr>
          <w:spacing w:val="-2"/>
        </w:rPr>
        <w:t>jednocześnie stanowi wykroczenie. Ten mechanizm prawny nie został jednak zakwestionowan</w:t>
      </w:r>
      <w:r>
        <w:t xml:space="preserve">y </w:t>
      </w:r>
      <w:r>
        <w:lastRenderedPageBreak/>
        <w:t>w sprawie K 24</w:t>
      </w:r>
      <w:r w:rsidRPr="00510A18">
        <w:t>/1</w:t>
      </w:r>
      <w:r>
        <w:t>5 (por. zwłaszcza fragment wypowiedzi Trybunału Konstytucyjnego przytoczony w pierwszym akapicie na str. 3 niniejszego uzasadnienia).</w:t>
      </w:r>
    </w:p>
    <w:p w:rsidR="006232FC" w:rsidRDefault="006232FC" w:rsidP="0060494E">
      <w:pPr>
        <w:pStyle w:val="ARTartustawynprozporzdzenia"/>
      </w:pPr>
      <w:r>
        <w:t xml:space="preserve">Komisje nie zdecydowały się również na uwzględnienie uwag Ministra Infrastruktury i Budownictwa oraz Związku Powiatów Polskich. Skreślenie w art. 2 projektowanej ustawy pkt 1 i co się z tym wiąże odebranie staroście możliwości odstąpienia od zatrzymania prawa </w:t>
      </w:r>
      <w:r w:rsidRPr="0060494E">
        <w:t>jazdy w przypadku wystąpienia przesłanek stanu wyższe</w:t>
      </w:r>
      <w:r>
        <w:t>j konieczności przekreśliłoby w </w:t>
      </w:r>
      <w:r w:rsidRPr="0060494E">
        <w:t>istocie</w:t>
      </w:r>
      <w:r>
        <w:t xml:space="preserve"> osiągnięcie celu, który postawiony został przed ustawodawcą. Nie tylko zresztą nie można by wówczas twierdzić, że projektowane zmiany ustawowe eliminują problem </w:t>
      </w:r>
      <w:r w:rsidRPr="00761A88">
        <w:rPr>
          <w:spacing w:val="-2"/>
        </w:rPr>
        <w:t>konstytucyjny zdiagnozowany przez Trybunał (naruszenie standardu rzetelności proceduralnej</w:t>
      </w:r>
      <w:r>
        <w:t xml:space="preserve"> w kontekście tak postępowania administracyjnego, jak i </w:t>
      </w:r>
      <w:proofErr w:type="spellStart"/>
      <w:r>
        <w:t>sądowoadministracyjnego</w:t>
      </w:r>
      <w:proofErr w:type="spellEnd"/>
      <w:r>
        <w:t xml:space="preserve">), lecz mogłoby powstać ryzyko nieuzasadnionego różnicowania podmiotów mających te same cechy relewantne, tzn. kierowców, którzy – w stanie wyższej konieczności – dopuścili się czynu określonego w </w:t>
      </w:r>
      <w:r w:rsidRPr="0060494E">
        <w:t xml:space="preserve">art. 135 ust. 1 pkt 1a lit. a </w:t>
      </w:r>
      <w:proofErr w:type="spellStart"/>
      <w:r w:rsidRPr="0060494E">
        <w:t>P.r.d</w:t>
      </w:r>
      <w:proofErr w:type="spellEnd"/>
      <w:r w:rsidRPr="0060494E">
        <w:t xml:space="preserve">. i </w:t>
      </w:r>
      <w:r>
        <w:t xml:space="preserve">art. </w:t>
      </w:r>
      <w:r w:rsidRPr="0060494E">
        <w:t xml:space="preserve">102 ust. 1 pkt 4 </w:t>
      </w:r>
      <w:proofErr w:type="spellStart"/>
      <w:r w:rsidRPr="0060494E">
        <w:t>u.k.p</w:t>
      </w:r>
      <w:proofErr w:type="spellEnd"/>
      <w:r w:rsidRPr="0060494E">
        <w:t xml:space="preserve">. Ryzyko takie mogłoby aktualizować się zarówno w sytuacji, w której funkcjonariusz Policji, wobec wątpliwości, czy spełnione są przesłanki stanu wyższej konieczności (czy niebezpieczeństwo dla życia lub zdrowia człowieka było na tyle duże i realne, że wymagało pilnego transportu, nawet z naruszeniem przepisów </w:t>
      </w:r>
      <w:proofErr w:type="spellStart"/>
      <w:r w:rsidRPr="0060494E">
        <w:t>P.r.d</w:t>
      </w:r>
      <w:proofErr w:type="spellEnd"/>
      <w:r w:rsidRPr="0060494E">
        <w:t xml:space="preserve">.), nie skorzystałby z możliwości wynikającej z art. 135 ust. 1aa </w:t>
      </w:r>
      <w:proofErr w:type="spellStart"/>
      <w:r w:rsidRPr="0060494E">
        <w:t>P.r.d</w:t>
      </w:r>
      <w:proofErr w:type="spellEnd"/>
      <w:r w:rsidRPr="0060494E">
        <w:t xml:space="preserve">., jak i w przypadku gdyby informacja o przekroczeniu przez kierującego pojazdem dopuszczalnej prędkości o więcej niż 50 km/h na obszarze zabudowanym pochodziła od Inspekcji Transportu Drogowego, która ujawniła tego typu zachowanie za pomocą </w:t>
      </w:r>
      <w:r>
        <w:t xml:space="preserve">stacjonarnych urządzeń rejestrujących (zob. art. 129g ust. 1 lit. a </w:t>
      </w:r>
      <w:proofErr w:type="spellStart"/>
      <w:r>
        <w:t>P.r.d</w:t>
      </w:r>
      <w:proofErr w:type="spellEnd"/>
      <w:r>
        <w:t xml:space="preserve">.). Co się tyczy natomiast zastrzeżeń zgłoszonych odnośnie do terminu przewidzianego w projektowanym ust. 1da (art. 2 pkt 2 projektu), to pomijając samą potrzebę jego wprowadzenia, która już została omówiona powyżej (por. akapit drugi na str. 5, a także wzmiankę na końcu pkt 7.1. rozważań Trybunału Konstytucyjnego w sprawie K 24/15), to zaakcentować wypada, że fakt, iż będzie to termin szczególny w rozumieniu art. 35 § 4 ustawy z dnia 14 czerwca 1960 r. – Kodeksu postępowania administracyjnego nie </w:t>
      </w:r>
      <w:r w:rsidRPr="0060494E">
        <w:t xml:space="preserve">przekreśla stosowania art. 35 § 5 </w:t>
      </w:r>
      <w:r>
        <w:t xml:space="preserve">oraz art. 36 </w:t>
      </w:r>
      <w:r w:rsidRPr="00EF7FF5">
        <w:rPr>
          <w:spacing w:val="-2"/>
        </w:rPr>
        <w:t>tej ustawy (kwestia chociażby odliczania okresów „opóźnień spowodowanych z winy strony”).</w:t>
      </w:r>
    </w:p>
    <w:p w:rsidR="006232FC" w:rsidRPr="00BE2F85" w:rsidRDefault="006232FC" w:rsidP="0060494E">
      <w:pPr>
        <w:pStyle w:val="ARTartustawynprozporzdzenia"/>
      </w:pPr>
      <w:r>
        <w:t xml:space="preserve">Komisje nie przychyliły się do postulatu rozszerzenia zakresu przedmiotowego projektu sformułowanego przez Ministra Spraw Wewnętrznych i Administracji ze względu na postanowienie art. 85c Regulaminu Senatu, zgodnie z którym wnioski o wprowadzenie poprawek do projektu zgłoszonego w trybie art. 85a ust. 3 pkt 1 mogą obejmować wyłącznie </w:t>
      </w:r>
      <w:r>
        <w:lastRenderedPageBreak/>
        <w:t>zmiany zmierzające do wykonania orzeczenia Trybunału Konstytucyjnego oraz ich niezbędne konsekwencje.</w:t>
      </w:r>
    </w:p>
    <w:p w:rsidR="006232FC" w:rsidRPr="00BE2F85" w:rsidRDefault="006232FC" w:rsidP="0015321A"/>
    <w:p w:rsidR="006232FC" w:rsidRPr="0015321A" w:rsidRDefault="006232FC" w:rsidP="0015321A">
      <w:pPr>
        <w:rPr>
          <w:rStyle w:val="Ppogrubienie"/>
        </w:rPr>
      </w:pPr>
      <w:r>
        <w:rPr>
          <w:rStyle w:val="Ppogrubienie"/>
        </w:rPr>
        <w:t xml:space="preserve">5. </w:t>
      </w:r>
      <w:r w:rsidRPr="0015321A">
        <w:rPr>
          <w:rStyle w:val="Ppogrubienie"/>
        </w:rPr>
        <w:t>Oświadczenie o zgodności z prawem Unii Europejskiej</w:t>
      </w:r>
    </w:p>
    <w:p w:rsidR="006232FC" w:rsidRPr="00613011" w:rsidRDefault="006232FC" w:rsidP="00730DA0">
      <w:pPr>
        <w:pStyle w:val="NIEARTTEKSTtekstnieartykuowanynppodstprawnarozplubpreambua"/>
      </w:pPr>
      <w:r w:rsidRPr="0015321A">
        <w:t>Zakres przedmiotowy projektowanej ustawy nie jest objęty prawem Unii Europejskiej.</w:t>
      </w:r>
    </w:p>
    <w:p w:rsidR="00E60743" w:rsidRDefault="00E60743" w:rsidP="00B5659A">
      <w:pPr>
        <w:pStyle w:val="Tekstpodstawowy"/>
        <w:tabs>
          <w:tab w:val="center" w:pos="6237"/>
        </w:tabs>
        <w:spacing w:line="240" w:lineRule="auto"/>
        <w:ind w:right="-2"/>
        <w:rPr>
          <w:b/>
        </w:rPr>
        <w:sectPr w:rsidR="00E60743" w:rsidSect="006232FC">
          <w:pgSz w:w="11906" w:h="16838"/>
          <w:pgMar w:top="846" w:right="1435" w:bottom="1559" w:left="1418" w:header="709" w:footer="709" w:gutter="0"/>
          <w:pgNumType w:start="1"/>
          <w:cols w:space="708"/>
          <w:titlePg/>
          <w:docGrid w:linePitch="254"/>
        </w:sectPr>
      </w:pP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683"/>
        <w:gridCol w:w="890"/>
        <w:gridCol w:w="270"/>
        <w:gridCol w:w="360"/>
        <w:gridCol w:w="126"/>
        <w:gridCol w:w="504"/>
        <w:gridCol w:w="433"/>
        <w:gridCol w:w="197"/>
        <w:gridCol w:w="630"/>
        <w:gridCol w:w="111"/>
        <w:gridCol w:w="474"/>
        <w:gridCol w:w="45"/>
        <w:gridCol w:w="348"/>
        <w:gridCol w:w="71"/>
        <w:gridCol w:w="212"/>
        <w:gridCol w:w="630"/>
        <w:gridCol w:w="95"/>
        <w:gridCol w:w="535"/>
        <w:gridCol w:w="190"/>
        <w:gridCol w:w="213"/>
        <w:gridCol w:w="227"/>
        <w:gridCol w:w="694"/>
        <w:gridCol w:w="17"/>
        <w:gridCol w:w="692"/>
        <w:gridCol w:w="992"/>
      </w:tblGrid>
      <w:tr w:rsidR="006C24E6" w:rsidRPr="006C24E6" w:rsidTr="00F91F45">
        <w:trPr>
          <w:trHeight w:val="1611"/>
        </w:trPr>
        <w:tc>
          <w:tcPr>
            <w:tcW w:w="6631" w:type="dxa"/>
            <w:gridSpan w:val="14"/>
          </w:tcPr>
          <w:p w:rsidR="006C24E6" w:rsidRPr="006C24E6" w:rsidRDefault="006C24E6" w:rsidP="006C24E6">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6C24E6">
              <w:rPr>
                <w:rFonts w:eastAsia="Calibri" w:cs="Times New Roman"/>
                <w:b/>
                <w:color w:val="000000"/>
                <w:sz w:val="22"/>
                <w:szCs w:val="22"/>
                <w:lang w:eastAsia="en-US"/>
              </w:rPr>
              <w:lastRenderedPageBreak/>
              <w:t>Tytuł projektu:</w:t>
            </w:r>
          </w:p>
          <w:p w:rsidR="006C24E6" w:rsidRPr="006C24E6" w:rsidRDefault="006C24E6" w:rsidP="006C24E6">
            <w:pPr>
              <w:widowControl/>
              <w:autoSpaceDE/>
              <w:autoSpaceDN/>
              <w:adjustRightInd/>
              <w:spacing w:line="240" w:lineRule="auto"/>
              <w:jc w:val="left"/>
              <w:rPr>
                <w:rFonts w:eastAsia="Calibri" w:cs="Times New Roman"/>
                <w:color w:val="000000"/>
                <w:sz w:val="22"/>
                <w:szCs w:val="22"/>
                <w:lang w:eastAsia="en-US"/>
              </w:rPr>
            </w:pPr>
            <w:r w:rsidRPr="006C24E6">
              <w:rPr>
                <w:rFonts w:eastAsia="Calibri" w:cs="Times New Roman"/>
                <w:color w:val="000000"/>
                <w:sz w:val="22"/>
                <w:szCs w:val="22"/>
                <w:lang w:eastAsia="en-US"/>
              </w:rPr>
              <w:t>ustawa o zmianie ustawy – Prawo o ruchu drogowym oraz ustawy o kierujących pojazdami</w:t>
            </w:r>
          </w:p>
          <w:bookmarkEnd w:id="1"/>
          <w:p w:rsidR="006C24E6" w:rsidRPr="006C24E6" w:rsidRDefault="006C24E6" w:rsidP="006C24E6">
            <w:pPr>
              <w:widowControl/>
              <w:autoSpaceDE/>
              <w:autoSpaceDN/>
              <w:adjustRightInd/>
              <w:spacing w:line="240" w:lineRule="auto"/>
              <w:ind w:hanging="34"/>
              <w:jc w:val="left"/>
              <w:rPr>
                <w:rFonts w:eastAsia="Calibri" w:cs="Times New Roman"/>
                <w:color w:val="000000"/>
                <w:sz w:val="22"/>
                <w:szCs w:val="22"/>
                <w:lang w:eastAsia="en-US"/>
              </w:rPr>
            </w:pPr>
          </w:p>
          <w:p w:rsidR="006C24E6" w:rsidRPr="006C24E6" w:rsidRDefault="006C24E6" w:rsidP="006C24E6">
            <w:pPr>
              <w:widowControl/>
              <w:autoSpaceDE/>
              <w:autoSpaceDN/>
              <w:adjustRightInd/>
              <w:spacing w:line="240" w:lineRule="auto"/>
              <w:jc w:val="left"/>
              <w:rPr>
                <w:rFonts w:eastAsia="Calibri" w:cs="Times New Roman"/>
                <w:b/>
                <w:sz w:val="21"/>
                <w:szCs w:val="24"/>
                <w:lang w:eastAsia="en-US"/>
              </w:rPr>
            </w:pPr>
            <w:r w:rsidRPr="006C24E6">
              <w:rPr>
                <w:rFonts w:eastAsia="Calibri" w:cs="Times New Roman"/>
                <w:b/>
                <w:sz w:val="22"/>
                <w:szCs w:val="24"/>
                <w:lang w:eastAsia="en-US"/>
              </w:rPr>
              <w:t>Przedstawiciel wnioskodawcy</w:t>
            </w:r>
            <w:r w:rsidRPr="006C24E6">
              <w:rPr>
                <w:rFonts w:eastAsia="Calibri" w:cs="Times New Roman"/>
                <w:b/>
                <w:sz w:val="21"/>
                <w:szCs w:val="24"/>
                <w:lang w:eastAsia="en-US"/>
              </w:rPr>
              <w:t xml:space="preserve">: </w:t>
            </w:r>
          </w:p>
          <w:p w:rsidR="006C24E6" w:rsidRPr="006C24E6" w:rsidRDefault="006C24E6" w:rsidP="006C24E6">
            <w:pPr>
              <w:widowControl/>
              <w:autoSpaceDE/>
              <w:autoSpaceDN/>
              <w:adjustRightInd/>
              <w:spacing w:line="240" w:lineRule="auto"/>
              <w:jc w:val="left"/>
              <w:rPr>
                <w:rFonts w:eastAsia="Calibri" w:cs="Times New Roman"/>
                <w:sz w:val="21"/>
                <w:szCs w:val="21"/>
                <w:lang w:eastAsia="en-US"/>
              </w:rPr>
            </w:pPr>
            <w:r w:rsidRPr="006C24E6">
              <w:rPr>
                <w:rFonts w:eastAsia="Calibri" w:cs="Times New Roman"/>
                <w:sz w:val="21"/>
                <w:szCs w:val="21"/>
                <w:lang w:eastAsia="en-US"/>
              </w:rPr>
              <w:t>senator Marek Borowski</w:t>
            </w:r>
          </w:p>
          <w:p w:rsidR="006C24E6" w:rsidRPr="006C24E6" w:rsidRDefault="006C24E6" w:rsidP="006C24E6">
            <w:pPr>
              <w:widowControl/>
              <w:autoSpaceDE/>
              <w:autoSpaceDN/>
              <w:adjustRightInd/>
              <w:spacing w:line="240" w:lineRule="auto"/>
              <w:ind w:hanging="45"/>
              <w:jc w:val="left"/>
              <w:rPr>
                <w:rFonts w:eastAsia="Calibri" w:cs="Times New Roman"/>
                <w:b/>
                <w:color w:val="000000"/>
                <w:sz w:val="22"/>
                <w:szCs w:val="22"/>
                <w:lang w:eastAsia="en-US"/>
              </w:rPr>
            </w:pPr>
          </w:p>
          <w:p w:rsidR="006C24E6" w:rsidRPr="006C24E6" w:rsidRDefault="006C24E6" w:rsidP="006C24E6">
            <w:pPr>
              <w:widowControl/>
              <w:autoSpaceDE/>
              <w:autoSpaceDN/>
              <w:adjustRightInd/>
              <w:spacing w:line="240" w:lineRule="auto"/>
              <w:ind w:hanging="45"/>
              <w:jc w:val="left"/>
              <w:rPr>
                <w:rFonts w:eastAsia="Calibri" w:cs="Times New Roman"/>
                <w:b/>
                <w:color w:val="000000"/>
                <w:sz w:val="22"/>
                <w:szCs w:val="22"/>
                <w:lang w:eastAsia="en-US"/>
              </w:rPr>
            </w:pPr>
            <w:bookmarkStart w:id="2" w:name="t3"/>
            <w:r w:rsidRPr="006C24E6">
              <w:rPr>
                <w:rFonts w:eastAsia="Calibri" w:cs="Times New Roman"/>
                <w:b/>
                <w:color w:val="000000"/>
                <w:sz w:val="22"/>
                <w:szCs w:val="22"/>
                <w:lang w:eastAsia="en-US"/>
              </w:rPr>
              <w:t>Osoby odpowiedzialne za projekt w Biurze Legislacyjnym:</w:t>
            </w:r>
          </w:p>
          <w:p w:rsidR="006C24E6" w:rsidRPr="006C24E6" w:rsidRDefault="006C24E6" w:rsidP="006C24E6">
            <w:pPr>
              <w:widowControl/>
              <w:autoSpaceDE/>
              <w:autoSpaceDN/>
              <w:adjustRightInd/>
              <w:spacing w:line="240" w:lineRule="auto"/>
              <w:jc w:val="left"/>
              <w:rPr>
                <w:rFonts w:eastAsia="Calibri" w:cs="Times New Roman"/>
                <w:sz w:val="22"/>
                <w:szCs w:val="22"/>
                <w:lang w:eastAsia="en-US"/>
              </w:rPr>
            </w:pPr>
            <w:r w:rsidRPr="006C24E6">
              <w:rPr>
                <w:rFonts w:eastAsia="Calibri" w:cs="Times New Roman"/>
                <w:sz w:val="22"/>
                <w:szCs w:val="22"/>
                <w:lang w:eastAsia="en-US"/>
              </w:rPr>
              <w:t>Katarzyna Konieczko, ekspert ds. legislacji, tel. 22 694 9557</w:t>
            </w:r>
          </w:p>
          <w:p w:rsidR="006C24E6" w:rsidRPr="006C24E6" w:rsidRDefault="006C24E6" w:rsidP="006C24E6">
            <w:pPr>
              <w:widowControl/>
              <w:autoSpaceDE/>
              <w:autoSpaceDN/>
              <w:adjustRightInd/>
              <w:spacing w:line="240" w:lineRule="auto"/>
              <w:jc w:val="left"/>
              <w:rPr>
                <w:rFonts w:eastAsia="Calibri" w:cs="Times New Roman"/>
                <w:sz w:val="22"/>
                <w:szCs w:val="22"/>
                <w:lang w:eastAsia="en-US"/>
              </w:rPr>
            </w:pPr>
            <w:r w:rsidRPr="006C24E6">
              <w:rPr>
                <w:rFonts w:eastAsia="Calibri" w:cs="Times New Roman"/>
                <w:sz w:val="22"/>
                <w:szCs w:val="22"/>
                <w:lang w:eastAsia="en-US"/>
              </w:rPr>
              <w:t xml:space="preserve">Maciej </w:t>
            </w:r>
            <w:proofErr w:type="spellStart"/>
            <w:r w:rsidRPr="006C24E6">
              <w:rPr>
                <w:rFonts w:eastAsia="Calibri" w:cs="Times New Roman"/>
                <w:sz w:val="22"/>
                <w:szCs w:val="22"/>
                <w:lang w:eastAsia="en-US"/>
              </w:rPr>
              <w:t>Telec</w:t>
            </w:r>
            <w:proofErr w:type="spellEnd"/>
            <w:r w:rsidRPr="006C24E6">
              <w:rPr>
                <w:rFonts w:eastAsia="Calibri" w:cs="Times New Roman"/>
                <w:sz w:val="22"/>
                <w:szCs w:val="22"/>
                <w:lang w:eastAsia="en-US"/>
              </w:rPr>
              <w:t xml:space="preserve">, legislator, tel. 22 694 </w:t>
            </w:r>
            <w:r w:rsidRPr="006C24E6">
              <w:rPr>
                <w:rFonts w:eastAsia="Calibri" w:cs="Times New Roman"/>
                <w:sz w:val="22"/>
                <w:szCs w:val="21"/>
                <w:lang w:eastAsia="en-US"/>
              </w:rPr>
              <w:t>9302</w:t>
            </w:r>
          </w:p>
          <w:bookmarkEnd w:id="2"/>
          <w:p w:rsidR="006C24E6" w:rsidRPr="006C24E6" w:rsidRDefault="006C24E6" w:rsidP="006C24E6">
            <w:pPr>
              <w:widowControl/>
              <w:autoSpaceDE/>
              <w:autoSpaceDN/>
              <w:adjustRightInd/>
              <w:spacing w:line="240" w:lineRule="auto"/>
              <w:ind w:hanging="45"/>
              <w:jc w:val="left"/>
              <w:rPr>
                <w:rFonts w:eastAsia="Calibri" w:cs="Times New Roman"/>
                <w:color w:val="000000"/>
                <w:sz w:val="22"/>
                <w:szCs w:val="22"/>
                <w:lang w:eastAsia="en-US"/>
              </w:rPr>
            </w:pPr>
            <w:r w:rsidRPr="006C24E6">
              <w:rPr>
                <w:rFonts w:eastAsia="Calibri" w:cs="Times New Roman"/>
                <w:color w:val="000000"/>
                <w:sz w:val="22"/>
                <w:szCs w:val="22"/>
                <w:lang w:eastAsia="en-US"/>
              </w:rPr>
              <w:tab/>
              <w:t>Katarzyna Majewska, ekspert ds. OSR, tel. 22 694 9259</w:t>
            </w:r>
          </w:p>
        </w:tc>
        <w:tc>
          <w:tcPr>
            <w:tcW w:w="4568" w:type="dxa"/>
            <w:gridSpan w:val="12"/>
            <w:shd w:val="clear" w:color="auto" w:fill="FFFFFF"/>
          </w:tcPr>
          <w:p w:rsidR="006C24E6" w:rsidRPr="006C24E6" w:rsidRDefault="006C24E6" w:rsidP="006C24E6">
            <w:pPr>
              <w:widowControl/>
              <w:autoSpaceDE/>
              <w:autoSpaceDN/>
              <w:adjustRightInd/>
              <w:spacing w:before="120" w:line="240" w:lineRule="auto"/>
              <w:jc w:val="left"/>
              <w:rPr>
                <w:rFonts w:eastAsia="Calibri" w:cs="Times New Roman"/>
                <w:b/>
                <w:sz w:val="21"/>
                <w:szCs w:val="21"/>
                <w:lang w:eastAsia="en-US"/>
              </w:rPr>
            </w:pPr>
            <w:r w:rsidRPr="006C24E6">
              <w:rPr>
                <w:rFonts w:eastAsia="Calibri" w:cs="Times New Roman"/>
                <w:b/>
                <w:sz w:val="21"/>
                <w:szCs w:val="21"/>
                <w:lang w:eastAsia="en-US"/>
              </w:rPr>
              <w:t>Data sporządzenia:</w:t>
            </w:r>
            <w:r w:rsidRPr="006C24E6">
              <w:rPr>
                <w:rFonts w:eastAsia="Calibri" w:cs="Times New Roman"/>
                <w:b/>
                <w:sz w:val="21"/>
                <w:szCs w:val="21"/>
                <w:lang w:eastAsia="en-US"/>
              </w:rPr>
              <w:br/>
            </w:r>
            <w:r w:rsidRPr="006C24E6">
              <w:rPr>
                <w:rFonts w:eastAsia="Calibri" w:cs="Times New Roman"/>
                <w:sz w:val="21"/>
                <w:szCs w:val="21"/>
                <w:lang w:eastAsia="en-US"/>
              </w:rPr>
              <w:t>12 października 2017 r.</w:t>
            </w:r>
          </w:p>
          <w:p w:rsidR="006C24E6" w:rsidRPr="006C24E6" w:rsidRDefault="006C24E6" w:rsidP="006C24E6">
            <w:pPr>
              <w:widowControl/>
              <w:autoSpaceDE/>
              <w:autoSpaceDN/>
              <w:adjustRightInd/>
              <w:spacing w:line="240" w:lineRule="auto"/>
              <w:jc w:val="left"/>
              <w:rPr>
                <w:rFonts w:eastAsia="Calibri" w:cs="Times New Roman"/>
                <w:b/>
                <w:sz w:val="22"/>
                <w:szCs w:val="22"/>
                <w:lang w:eastAsia="en-US"/>
              </w:rPr>
            </w:pPr>
          </w:p>
          <w:p w:rsidR="006C24E6" w:rsidRPr="006C24E6" w:rsidRDefault="006C24E6" w:rsidP="006C24E6">
            <w:pPr>
              <w:widowControl/>
              <w:autoSpaceDE/>
              <w:autoSpaceDN/>
              <w:adjustRightInd/>
              <w:spacing w:line="240" w:lineRule="auto"/>
              <w:jc w:val="left"/>
              <w:rPr>
                <w:rFonts w:eastAsia="Calibri" w:cs="Times New Roman"/>
                <w:sz w:val="22"/>
                <w:szCs w:val="22"/>
                <w:lang w:eastAsia="en-US"/>
              </w:rPr>
            </w:pPr>
            <w:r w:rsidRPr="006C24E6">
              <w:rPr>
                <w:rFonts w:eastAsia="Calibri" w:cs="Times New Roman"/>
                <w:b/>
                <w:sz w:val="22"/>
                <w:szCs w:val="22"/>
                <w:lang w:eastAsia="en-US"/>
              </w:rPr>
              <w:t xml:space="preserve">Źródło: </w:t>
            </w:r>
            <w:r w:rsidRPr="006C24E6">
              <w:rPr>
                <w:rFonts w:eastAsia="Calibri" w:cs="Times New Roman"/>
                <w:sz w:val="22"/>
                <w:szCs w:val="22"/>
                <w:lang w:eastAsia="en-US"/>
              </w:rPr>
              <w:t>wyrok TK</w:t>
            </w:r>
          </w:p>
          <w:p w:rsidR="006C24E6" w:rsidRPr="006C24E6" w:rsidRDefault="006C24E6" w:rsidP="006C24E6">
            <w:pPr>
              <w:widowControl/>
              <w:autoSpaceDE/>
              <w:autoSpaceDN/>
              <w:adjustRightInd/>
              <w:spacing w:line="240" w:lineRule="auto"/>
              <w:jc w:val="left"/>
              <w:rPr>
                <w:rFonts w:eastAsia="Calibri" w:cs="Times New Roman"/>
                <w:b/>
                <w:color w:val="000000"/>
                <w:sz w:val="22"/>
                <w:szCs w:val="22"/>
                <w:lang w:eastAsia="en-US"/>
              </w:rPr>
            </w:pPr>
          </w:p>
          <w:p w:rsidR="006C24E6" w:rsidRPr="006C24E6" w:rsidRDefault="006C24E6" w:rsidP="006C24E6">
            <w:pPr>
              <w:widowControl/>
              <w:autoSpaceDE/>
              <w:autoSpaceDN/>
              <w:adjustRightInd/>
              <w:spacing w:line="240" w:lineRule="auto"/>
              <w:jc w:val="left"/>
              <w:rPr>
                <w:rFonts w:eastAsia="Calibri" w:cs="Times New Roman"/>
                <w:color w:val="000000"/>
                <w:sz w:val="22"/>
                <w:szCs w:val="22"/>
                <w:lang w:eastAsia="en-US"/>
              </w:rPr>
            </w:pPr>
            <w:r w:rsidRPr="006C24E6">
              <w:rPr>
                <w:rFonts w:eastAsia="Calibri" w:cs="Times New Roman"/>
                <w:b/>
                <w:color w:val="000000"/>
                <w:sz w:val="22"/>
                <w:szCs w:val="22"/>
                <w:lang w:eastAsia="en-US"/>
              </w:rPr>
              <w:t>Nr druku:</w:t>
            </w:r>
            <w:r w:rsidRPr="006C24E6">
              <w:rPr>
                <w:rFonts w:eastAsia="Calibri" w:cs="Times New Roman"/>
                <w:color w:val="000000"/>
                <w:sz w:val="22"/>
                <w:szCs w:val="22"/>
                <w:lang w:eastAsia="en-US"/>
              </w:rPr>
              <w:t xml:space="preserve"> 507, 507S</w:t>
            </w:r>
          </w:p>
          <w:p w:rsidR="006C24E6" w:rsidRPr="006C24E6" w:rsidRDefault="006C24E6" w:rsidP="006C24E6">
            <w:pPr>
              <w:widowControl/>
              <w:autoSpaceDE/>
              <w:autoSpaceDN/>
              <w:adjustRightInd/>
              <w:spacing w:line="240" w:lineRule="auto"/>
              <w:jc w:val="left"/>
              <w:rPr>
                <w:rFonts w:eastAsia="Calibri" w:cs="Times New Roman"/>
                <w:color w:val="000000"/>
                <w:sz w:val="28"/>
                <w:szCs w:val="28"/>
                <w:lang w:eastAsia="en-US"/>
              </w:rPr>
            </w:pPr>
          </w:p>
        </w:tc>
      </w:tr>
      <w:tr w:rsidR="006C24E6" w:rsidRPr="006C24E6" w:rsidTr="00F91F45">
        <w:trPr>
          <w:trHeight w:val="142"/>
        </w:trPr>
        <w:tc>
          <w:tcPr>
            <w:tcW w:w="11199" w:type="dxa"/>
            <w:gridSpan w:val="26"/>
            <w:shd w:val="clear" w:color="auto" w:fill="99CCFF"/>
          </w:tcPr>
          <w:p w:rsidR="006C24E6" w:rsidRPr="006C24E6" w:rsidRDefault="006C24E6" w:rsidP="006C24E6">
            <w:pPr>
              <w:widowControl/>
              <w:autoSpaceDE/>
              <w:autoSpaceDN/>
              <w:adjustRightInd/>
              <w:spacing w:line="240" w:lineRule="auto"/>
              <w:ind w:left="57"/>
              <w:jc w:val="center"/>
              <w:rPr>
                <w:rFonts w:eastAsia="Calibri" w:cs="Times New Roman"/>
                <w:b/>
                <w:color w:val="FFFFFF"/>
                <w:sz w:val="32"/>
                <w:szCs w:val="32"/>
                <w:lang w:eastAsia="en-US"/>
              </w:rPr>
            </w:pPr>
            <w:r w:rsidRPr="006C24E6">
              <w:rPr>
                <w:rFonts w:eastAsia="Calibri" w:cs="Times New Roman"/>
                <w:b/>
                <w:color w:val="FFFFFF"/>
                <w:sz w:val="32"/>
                <w:szCs w:val="32"/>
                <w:lang w:eastAsia="en-US"/>
              </w:rPr>
              <w:t>OCENA SKUTKÓW REGULACJI</w:t>
            </w:r>
          </w:p>
        </w:tc>
      </w:tr>
      <w:tr w:rsidR="006C24E6" w:rsidRPr="006C24E6" w:rsidTr="00F91F45">
        <w:trPr>
          <w:trHeight w:val="333"/>
        </w:trPr>
        <w:tc>
          <w:tcPr>
            <w:tcW w:w="11199" w:type="dxa"/>
            <w:gridSpan w:val="26"/>
            <w:shd w:val="clear" w:color="auto" w:fill="99CCFF"/>
            <w:vAlign w:val="center"/>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sz w:val="22"/>
                <w:szCs w:val="22"/>
                <w:lang w:eastAsia="en-US"/>
              </w:rPr>
              <w:t>Jaki problem jest rozwiązywany?</w:t>
            </w:r>
            <w:bookmarkStart w:id="3" w:name="Wybór1"/>
            <w:bookmarkEnd w:id="3"/>
          </w:p>
        </w:tc>
      </w:tr>
      <w:tr w:rsidR="006C24E6" w:rsidRPr="006C24E6" w:rsidTr="00F91F45">
        <w:trPr>
          <w:trHeight w:val="142"/>
        </w:trPr>
        <w:tc>
          <w:tcPr>
            <w:tcW w:w="11199" w:type="dxa"/>
            <w:gridSpan w:val="26"/>
            <w:shd w:val="clear" w:color="auto" w:fill="FFFFFF"/>
          </w:tcPr>
          <w:p w:rsidR="006C24E6" w:rsidRPr="006C24E6" w:rsidRDefault="006C24E6" w:rsidP="006C24E6">
            <w:pPr>
              <w:widowControl/>
              <w:autoSpaceDE/>
              <w:autoSpaceDN/>
              <w:adjustRightInd/>
              <w:spacing w:before="120" w:line="240" w:lineRule="auto"/>
              <w:rPr>
                <w:rFonts w:eastAsia="Calibri" w:cs="Times New Roman"/>
                <w:color w:val="000000"/>
                <w:sz w:val="22"/>
                <w:szCs w:val="22"/>
                <w:lang w:eastAsia="en-US"/>
              </w:rPr>
            </w:pPr>
            <w:r w:rsidRPr="006C24E6">
              <w:rPr>
                <w:rFonts w:eastAsia="Calibri" w:cs="Times New Roman"/>
                <w:color w:val="000000"/>
                <w:sz w:val="22"/>
                <w:szCs w:val="22"/>
                <w:lang w:eastAsia="en-US"/>
              </w:rPr>
              <w:t xml:space="preserve">Zgodnie z obowiązującymi przepisami ustawy </w:t>
            </w:r>
            <w:r w:rsidRPr="006C24E6">
              <w:rPr>
                <w:rFonts w:eastAsia="Calibri" w:cs="Times New Roman"/>
                <w:i/>
                <w:color w:val="000000"/>
                <w:sz w:val="22"/>
                <w:szCs w:val="22"/>
                <w:lang w:eastAsia="en-US"/>
              </w:rPr>
              <w:t>o kierujących pojazdami</w:t>
            </w:r>
            <w:r w:rsidRPr="006C24E6">
              <w:rPr>
                <w:rFonts w:eastAsia="Calibri" w:cs="Times New Roman"/>
                <w:color w:val="000000"/>
                <w:sz w:val="22"/>
                <w:szCs w:val="22"/>
                <w:lang w:eastAsia="en-US"/>
              </w:rPr>
              <w:t xml:space="preserve"> oraz ustawy – </w:t>
            </w:r>
            <w:r w:rsidRPr="006C24E6">
              <w:rPr>
                <w:rFonts w:eastAsia="Calibri" w:cs="Times New Roman"/>
                <w:i/>
                <w:color w:val="000000"/>
                <w:sz w:val="22"/>
                <w:szCs w:val="22"/>
                <w:lang w:eastAsia="en-US"/>
              </w:rPr>
              <w:t>Prawo o ruchu drogowym</w:t>
            </w:r>
            <w:r w:rsidRPr="006C24E6">
              <w:rPr>
                <w:rFonts w:eastAsia="Calibri" w:cs="Times New Roman"/>
                <w:color w:val="000000"/>
                <w:sz w:val="22"/>
                <w:szCs w:val="22"/>
                <w:lang w:eastAsia="en-US"/>
              </w:rPr>
              <w:t xml:space="preserve"> przekroczenie prędkości o więcej niż 50 km/h na obszarze zabudowanym skutkuje zatrzymaniem prawa jazdy na okres </w:t>
            </w:r>
            <w:r w:rsidRPr="006C24E6">
              <w:rPr>
                <w:rFonts w:eastAsia="Calibri" w:cs="Times New Roman"/>
                <w:color w:val="000000"/>
                <w:sz w:val="22"/>
                <w:szCs w:val="22"/>
                <w:lang w:eastAsia="en-US"/>
              </w:rPr>
              <w:br/>
              <w:t>3 miesięcy. Decyzję administracyjną o zatrzymaniu prawa jazdy wydaje starosta; decyzja ta ma rygor natychmiastowej wykonalności.</w:t>
            </w:r>
          </w:p>
          <w:p w:rsidR="006C24E6" w:rsidRPr="006C24E6" w:rsidRDefault="006C24E6" w:rsidP="006C24E6">
            <w:pPr>
              <w:widowControl/>
              <w:autoSpaceDE/>
              <w:autoSpaceDN/>
              <w:adjustRightInd/>
              <w:spacing w:before="120" w:line="240" w:lineRule="auto"/>
              <w:rPr>
                <w:rFonts w:eastAsia="Calibri" w:cs="Times New Roman"/>
                <w:bCs/>
                <w:color w:val="000000"/>
                <w:sz w:val="22"/>
                <w:szCs w:val="22"/>
                <w:lang w:eastAsia="en-US"/>
              </w:rPr>
            </w:pPr>
            <w:r w:rsidRPr="006C24E6">
              <w:rPr>
                <w:rFonts w:eastAsia="Calibri" w:cs="Times New Roman"/>
                <w:color w:val="000000"/>
                <w:sz w:val="22"/>
                <w:szCs w:val="22"/>
                <w:lang w:eastAsia="en-US"/>
              </w:rPr>
              <w:t>Trybunał Konstytucyjny w wyroku z dnia 11 października 2016 r. (sygn. akt K 24/15) orzekł</w:t>
            </w:r>
            <w:r w:rsidRPr="006C24E6">
              <w:rPr>
                <w:rFonts w:eastAsia="Calibri" w:cs="Times New Roman"/>
                <w:bCs/>
                <w:color w:val="000000"/>
                <w:sz w:val="22"/>
                <w:szCs w:val="22"/>
                <w:lang w:eastAsia="en-US"/>
              </w:rPr>
              <w:t xml:space="preserve">, że powyższe przepisy </w:t>
            </w:r>
            <w:r w:rsidRPr="006C24E6">
              <w:rPr>
                <w:rFonts w:eastAsia="Calibri" w:cs="Times New Roman"/>
                <w:bCs/>
                <w:color w:val="000000"/>
                <w:sz w:val="22"/>
                <w:szCs w:val="22"/>
                <w:lang w:eastAsia="en-US"/>
              </w:rPr>
              <w:br/>
            </w:r>
            <w:r w:rsidRPr="006C24E6">
              <w:rPr>
                <w:rFonts w:eastAsia="Calibri" w:cs="Times New Roman"/>
                <w:bCs/>
                <w:color w:val="000000"/>
                <w:sz w:val="22"/>
                <w:szCs w:val="22"/>
                <w:u w:val="single"/>
                <w:lang w:eastAsia="en-US"/>
              </w:rPr>
              <w:t>w zakresie, w jakim nie przewidują możliwości odstąpienia od zatrzymania prawa jazdy w sytuacji, gdy kierowca przekroczył dopuszczalną prędkość ze względu na stan wyższej konieczności związanej z ratowaniem życia lub zdrowia</w:t>
            </w:r>
            <w:r w:rsidRPr="006C24E6">
              <w:rPr>
                <w:rFonts w:eastAsia="Calibri" w:cs="Times New Roman"/>
                <w:bCs/>
                <w:color w:val="000000"/>
                <w:sz w:val="22"/>
                <w:szCs w:val="22"/>
                <w:lang w:eastAsia="en-US"/>
              </w:rPr>
              <w:t xml:space="preserve">, </w:t>
            </w:r>
            <w:r w:rsidRPr="006C24E6">
              <w:rPr>
                <w:rFonts w:eastAsia="Calibri" w:cs="Times New Roman"/>
                <w:bCs/>
                <w:color w:val="000000"/>
                <w:sz w:val="22"/>
                <w:szCs w:val="22"/>
                <w:lang w:eastAsia="en-US"/>
              </w:rPr>
              <w:br/>
              <w:t xml:space="preserve">są niezgodne z Konstytucją RP. </w:t>
            </w:r>
          </w:p>
          <w:p w:rsidR="006C24E6" w:rsidRPr="006C24E6" w:rsidRDefault="006C24E6" w:rsidP="006C24E6">
            <w:pPr>
              <w:widowControl/>
              <w:autoSpaceDE/>
              <w:autoSpaceDN/>
              <w:adjustRightInd/>
              <w:spacing w:before="120" w:line="240" w:lineRule="auto"/>
              <w:rPr>
                <w:rFonts w:eastAsia="Calibri" w:cs="Times New Roman"/>
                <w:color w:val="000000"/>
                <w:sz w:val="22"/>
                <w:szCs w:val="22"/>
                <w:lang w:eastAsia="en-US"/>
              </w:rPr>
            </w:pPr>
            <w:r w:rsidRPr="006C24E6">
              <w:rPr>
                <w:rFonts w:eastAsia="Calibri" w:cs="Times New Roman"/>
                <w:bCs/>
                <w:color w:val="000000"/>
                <w:sz w:val="22"/>
                <w:szCs w:val="22"/>
                <w:lang w:eastAsia="en-US"/>
              </w:rPr>
              <w:t>Trybunał podkreślił, że niebezpieczeństwo grożące życiu i zdrowiu osoby kierującej pojazdem, pasażera lub jakiejkolwiek innej osoby musi istnieć w czasie jazdy z nadmierną prędkością i jako przykłady takiej sytuacji podał przewożenie samochodem do szpitala osoby chorej znajdującej się w stanie zagrażającym jej życiu albo kobiety ciężarnej, u której rozpoczęła się akcja porodowa, albo przejazd lekarza do osoby będącej w stanie zagrożenia jej życia i zdrowia.</w:t>
            </w:r>
          </w:p>
          <w:p w:rsidR="006C24E6" w:rsidRPr="006C24E6" w:rsidRDefault="006C24E6" w:rsidP="006C24E6">
            <w:pPr>
              <w:widowControl/>
              <w:autoSpaceDE/>
              <w:autoSpaceDN/>
              <w:adjustRightInd/>
              <w:spacing w:before="120" w:after="120" w:line="240" w:lineRule="auto"/>
              <w:rPr>
                <w:rFonts w:eastAsia="Calibri" w:cs="Times New Roman"/>
                <w:color w:val="000000"/>
                <w:sz w:val="22"/>
                <w:szCs w:val="22"/>
                <w:lang w:eastAsia="en-US"/>
              </w:rPr>
            </w:pPr>
            <w:r w:rsidRPr="006C24E6">
              <w:rPr>
                <w:rFonts w:eastAsia="Calibri" w:cs="Times New Roman"/>
                <w:color w:val="000000"/>
                <w:sz w:val="22"/>
                <w:szCs w:val="22"/>
                <w:lang w:eastAsia="en-US"/>
              </w:rPr>
              <w:t xml:space="preserve">Według danych Komendy Głównej Policji w 2016 r. było </w:t>
            </w:r>
            <w:r w:rsidRPr="006C24E6">
              <w:rPr>
                <w:rFonts w:eastAsia="Calibri" w:cs="Times New Roman"/>
                <w:b/>
                <w:color w:val="000000"/>
                <w:sz w:val="22"/>
                <w:szCs w:val="22"/>
                <w:lang w:eastAsia="en-US"/>
              </w:rPr>
              <w:t>33 020</w:t>
            </w:r>
            <w:r w:rsidRPr="006C24E6">
              <w:rPr>
                <w:rFonts w:eastAsia="Calibri" w:cs="Times New Roman"/>
                <w:color w:val="000000"/>
                <w:sz w:val="22"/>
                <w:szCs w:val="22"/>
                <w:lang w:eastAsia="en-US"/>
              </w:rPr>
              <w:t xml:space="preserve"> przypadków zatrzymania prawa jazdy za przekroczenie prędkości powyżej 50 km/h w obszarze zabudowanym. Brak jest statystyk, w ilu przypadkach przekroczenie prędkości spowodowane było np. transportem do szpitala chorego, którego życie lub zdrowie było zagrożone. </w:t>
            </w:r>
          </w:p>
          <w:p w:rsidR="006C24E6" w:rsidRPr="006C24E6" w:rsidRDefault="006C24E6" w:rsidP="006C24E6">
            <w:pPr>
              <w:widowControl/>
              <w:autoSpaceDE/>
              <w:autoSpaceDN/>
              <w:adjustRightInd/>
              <w:spacing w:before="120" w:after="120" w:line="240" w:lineRule="auto"/>
              <w:rPr>
                <w:rFonts w:eastAsia="Calibri" w:cs="Times New Roman"/>
                <w:color w:val="000000"/>
                <w:sz w:val="22"/>
                <w:szCs w:val="22"/>
                <w:lang w:eastAsia="en-US"/>
              </w:rPr>
            </w:pPr>
            <w:r w:rsidRPr="006C24E6">
              <w:rPr>
                <w:rFonts w:eastAsia="Calibri" w:cs="Times New Roman"/>
                <w:color w:val="000000"/>
                <w:sz w:val="22"/>
                <w:szCs w:val="22"/>
                <w:lang w:eastAsia="en-US"/>
              </w:rPr>
              <w:t xml:space="preserve">Należy przypuszczać, że takie sytuacje mają miejsce </w:t>
            </w:r>
            <w:r w:rsidRPr="006C24E6">
              <w:rPr>
                <w:rFonts w:eastAsia="Calibri" w:cs="Times New Roman"/>
                <w:b/>
                <w:color w:val="000000"/>
                <w:sz w:val="22"/>
                <w:szCs w:val="22"/>
                <w:lang w:eastAsia="en-US"/>
              </w:rPr>
              <w:t>sporadycznie</w:t>
            </w:r>
            <w:r w:rsidRPr="006C24E6">
              <w:rPr>
                <w:rFonts w:eastAsia="Calibri" w:cs="Times New Roman"/>
                <w:color w:val="000000"/>
                <w:sz w:val="22"/>
                <w:szCs w:val="22"/>
                <w:lang w:eastAsia="en-US"/>
              </w:rPr>
              <w:t xml:space="preserve">. Z informacji Ministerstwa Infrastruktury </w:t>
            </w:r>
            <w:r w:rsidRPr="006C24E6">
              <w:rPr>
                <w:rFonts w:eastAsia="Calibri" w:cs="Times New Roman"/>
                <w:color w:val="000000"/>
                <w:sz w:val="22"/>
                <w:szCs w:val="22"/>
                <w:lang w:eastAsia="en-US"/>
              </w:rPr>
              <w:br/>
              <w:t xml:space="preserve">i Budownictwa oraz z doniesień medialnych znane są przypadki przekroczenia dopuszczalnej prędkości wynikające </w:t>
            </w:r>
            <w:r w:rsidRPr="006C24E6">
              <w:rPr>
                <w:rFonts w:eastAsia="Calibri" w:cs="Times New Roman"/>
                <w:color w:val="000000"/>
                <w:sz w:val="22"/>
                <w:szCs w:val="22"/>
                <w:lang w:eastAsia="en-US"/>
              </w:rPr>
              <w:br/>
              <w:t xml:space="preserve">z transportu do szpitala rowerzysty po wypadku drogowym, duszącego się dziecka, dziecka tracącego czucie w kończynach po uderzeniu w głowę oraz mężczyzny z urazem głowy po upadku z wysokości. Wiadomo, że przynajmniej w jednej </w:t>
            </w:r>
            <w:r w:rsidRPr="006C24E6">
              <w:rPr>
                <w:rFonts w:eastAsia="Calibri" w:cs="Times New Roman"/>
                <w:color w:val="000000"/>
                <w:sz w:val="22"/>
                <w:szCs w:val="22"/>
                <w:lang w:eastAsia="en-US"/>
              </w:rPr>
              <w:br/>
              <w:t>z wymienionych sytuacji (transport rowerzysty) kierowcy zatrzymano prawo jazdy w związku z przekroczeniem prędkości o ponad 50 km/h w obszarze zabudowanym.</w:t>
            </w:r>
          </w:p>
          <w:p w:rsidR="006C24E6" w:rsidRPr="006C24E6" w:rsidRDefault="006C24E6" w:rsidP="006C24E6">
            <w:pPr>
              <w:widowControl/>
              <w:autoSpaceDE/>
              <w:autoSpaceDN/>
              <w:adjustRightInd/>
              <w:spacing w:before="120" w:after="120" w:line="240" w:lineRule="auto"/>
              <w:rPr>
                <w:rFonts w:eastAsia="Calibri" w:cs="Times New Roman"/>
                <w:color w:val="000000"/>
                <w:sz w:val="22"/>
                <w:szCs w:val="22"/>
                <w:lang w:eastAsia="en-US"/>
              </w:rPr>
            </w:pPr>
            <w:r w:rsidRPr="006C24E6">
              <w:rPr>
                <w:rFonts w:eastAsia="Calibri" w:cs="Times New Roman"/>
                <w:color w:val="000000"/>
                <w:sz w:val="22"/>
                <w:szCs w:val="22"/>
                <w:lang w:eastAsia="en-US"/>
              </w:rPr>
              <w:t xml:space="preserve">Według wyników badań przeprowadzonych w 2011 r. przez TNS Pentor na zlecenie Ministerstwa Infrastruktury </w:t>
            </w:r>
            <w:r w:rsidRPr="006C24E6">
              <w:rPr>
                <w:rFonts w:eastAsia="Calibri" w:cs="Times New Roman"/>
                <w:color w:val="000000"/>
                <w:sz w:val="22"/>
                <w:szCs w:val="22"/>
                <w:lang w:eastAsia="en-US"/>
              </w:rPr>
              <w:br/>
              <w:t xml:space="preserve">do najczęściej wymienianych przez kierowców przyczyn przekraczania prędkości należą: korzystne warunki pogodowe, dobry stan drogi, duża prędkość innych uczestników ruchu, dobry samochód, pośpiech oraz samopoczucie kierowcy. </w:t>
            </w:r>
            <w:r w:rsidRPr="006C24E6">
              <w:rPr>
                <w:rFonts w:eastAsia="Calibri" w:cs="Times New Roman"/>
                <w:color w:val="000000"/>
                <w:sz w:val="22"/>
                <w:szCs w:val="22"/>
                <w:lang w:eastAsia="en-US"/>
              </w:rPr>
              <w:br/>
              <w:t xml:space="preserve">W badanej 1000-osobowej, reprezentatywnej próbie dorosłych Polaków żaden z respondentów nie wskazał konieczności ratowania życia lub zdrowia człowieka jako przyczyny przekraczania prędkości. </w:t>
            </w:r>
          </w:p>
          <w:p w:rsidR="006C24E6" w:rsidRPr="006C24E6" w:rsidRDefault="006C24E6" w:rsidP="006C24E6">
            <w:pPr>
              <w:widowControl/>
              <w:autoSpaceDE/>
              <w:autoSpaceDN/>
              <w:adjustRightInd/>
              <w:spacing w:before="120" w:after="120" w:line="240" w:lineRule="auto"/>
              <w:rPr>
                <w:rFonts w:eastAsia="Calibri" w:cs="Times New Roman"/>
                <w:bCs/>
                <w:color w:val="000000"/>
                <w:sz w:val="22"/>
                <w:szCs w:val="22"/>
                <w:lang w:eastAsia="en-US"/>
              </w:rPr>
            </w:pPr>
            <w:r w:rsidRPr="006C24E6">
              <w:rPr>
                <w:rFonts w:eastAsia="Calibri" w:cs="Times New Roman"/>
                <w:color w:val="000000"/>
                <w:sz w:val="22"/>
                <w:szCs w:val="22"/>
                <w:lang w:eastAsia="en-US"/>
              </w:rPr>
              <w:t xml:space="preserve">Trybunał Konstytucyjny w ww. orzeczeniu ponadto zasugerował, aby rozważyć wprowadzenie sztywno określonych krótkich terminów rozpatrzenia przez starostę i samorządowe kolegium odwoławcze spraw o zatrzymanie prawa jazdy </w:t>
            </w:r>
            <w:r w:rsidRPr="006C24E6">
              <w:rPr>
                <w:rFonts w:eastAsia="Calibri" w:cs="Times New Roman"/>
                <w:color w:val="000000"/>
                <w:sz w:val="22"/>
                <w:szCs w:val="22"/>
                <w:lang w:eastAsia="en-US"/>
              </w:rPr>
              <w:br/>
              <w:t>w następstwie przekroczenia dopuszczalnej prędkości o ponad 50 km/h na obszarze zabudowanym, gdyż jak zauważył Trybunał rozpatrzenie takich spraw może zając tyle samo lub nawet więcej czasu niż okres (3-miesięczny), na który zatrzymano prawo jazdy. Może więc dojść do sytuacji, w której osoba odwołująca się od decyzji o zatrzymaniu prawa jazdy uzyska korzystne dla niej rozstrzygnięcie sprawy już po odbyciu przez nią 3-miesięcznej kary w postaci braku uprawnień do kierowania pojazdem.</w:t>
            </w:r>
          </w:p>
        </w:tc>
      </w:tr>
      <w:tr w:rsidR="006C24E6" w:rsidRPr="006C24E6" w:rsidTr="00F91F45">
        <w:trPr>
          <w:trHeight w:val="142"/>
        </w:trPr>
        <w:tc>
          <w:tcPr>
            <w:tcW w:w="11199" w:type="dxa"/>
            <w:gridSpan w:val="26"/>
            <w:shd w:val="clear" w:color="auto" w:fill="99CCFF"/>
            <w:vAlign w:val="center"/>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color w:val="000000"/>
                <w:spacing w:val="-2"/>
                <w:sz w:val="22"/>
                <w:szCs w:val="22"/>
                <w:lang w:eastAsia="en-US"/>
              </w:rPr>
              <w:t>Rekomendowane rozwiązanie, w tym planowane narzędzia interwencji, i oczekiwany efekt</w:t>
            </w:r>
          </w:p>
        </w:tc>
      </w:tr>
      <w:tr w:rsidR="006C24E6" w:rsidRPr="006C24E6" w:rsidTr="00F91F45">
        <w:trPr>
          <w:trHeight w:val="142"/>
        </w:trPr>
        <w:tc>
          <w:tcPr>
            <w:tcW w:w="11199" w:type="dxa"/>
            <w:gridSpan w:val="26"/>
            <w:shd w:val="clear" w:color="auto" w:fill="auto"/>
          </w:tcPr>
          <w:p w:rsidR="006C24E6" w:rsidRPr="006C24E6" w:rsidRDefault="006C24E6" w:rsidP="006C24E6">
            <w:pPr>
              <w:widowControl/>
              <w:autoSpaceDE/>
              <w:autoSpaceDN/>
              <w:adjustRightInd/>
              <w:spacing w:before="120" w:after="120" w:line="240" w:lineRule="auto"/>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Zgodnie z projektowaną regulacją prawo jazdy nie będzie zatrzymywane w przypadku przekroczenia dopuszczalnej prędkości o ponad 50 km/h na obszarze zabudowanym lub przewożenia zbyt dużej liczby pasażerów, jeżeli kierowca działał w celu uchylenia bezpośredniego niebezpieczeństwa grożącego życiu lub zdrowiu człowieka, jeżeli niebezpieczeństwa tego nie można było uniknąć inaczej, a poświęcone dobro w postaci bezpieczeństwa na drodze przedstawiało wartość niższą od dobra ratowanego.</w:t>
            </w:r>
          </w:p>
          <w:p w:rsidR="006C24E6" w:rsidRPr="006C24E6" w:rsidRDefault="006C24E6" w:rsidP="006C24E6">
            <w:pPr>
              <w:widowControl/>
              <w:autoSpaceDE/>
              <w:autoSpaceDN/>
              <w:adjustRightInd/>
              <w:spacing w:before="120" w:after="120" w:line="240" w:lineRule="auto"/>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Ponadto projekt zakłada skrócenie terminu na wydanie decyzji o zatrzymaniu prawa jazdy przez starostę do 14 dni od dnia powzięcia informacji o tym fakcie.</w:t>
            </w:r>
          </w:p>
        </w:tc>
      </w:tr>
      <w:tr w:rsidR="006C24E6" w:rsidRPr="006C24E6" w:rsidTr="00F91F45">
        <w:trPr>
          <w:trHeight w:val="307"/>
        </w:trPr>
        <w:tc>
          <w:tcPr>
            <w:tcW w:w="11199" w:type="dxa"/>
            <w:gridSpan w:val="26"/>
            <w:shd w:val="clear" w:color="auto" w:fill="99CCFF"/>
            <w:vAlign w:val="center"/>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spacing w:val="-2"/>
                <w:sz w:val="22"/>
                <w:szCs w:val="22"/>
                <w:lang w:eastAsia="en-US"/>
              </w:rPr>
              <w:lastRenderedPageBreak/>
              <w:t>Jak problem został rozwiązany w innych krajach, w szczególności krajach członkowskich OECD/UE</w:t>
            </w:r>
            <w:r w:rsidRPr="006C24E6">
              <w:rPr>
                <w:rFonts w:eastAsia="Calibri" w:cs="Times New Roman"/>
                <w:b/>
                <w:color w:val="000000"/>
                <w:sz w:val="22"/>
                <w:szCs w:val="22"/>
                <w:lang w:eastAsia="en-US"/>
              </w:rPr>
              <w:t>?</w:t>
            </w:r>
            <w:r w:rsidRPr="006C24E6">
              <w:rPr>
                <w:rFonts w:eastAsia="Calibri" w:cs="Times New Roman"/>
                <w:i/>
                <w:color w:val="000000"/>
                <w:sz w:val="22"/>
                <w:szCs w:val="22"/>
                <w:lang w:eastAsia="en-US"/>
              </w:rPr>
              <w:t xml:space="preserve"> </w:t>
            </w:r>
          </w:p>
        </w:tc>
      </w:tr>
      <w:tr w:rsidR="006C24E6" w:rsidRPr="006C24E6" w:rsidTr="00F91F45">
        <w:trPr>
          <w:trHeight w:val="142"/>
        </w:trPr>
        <w:tc>
          <w:tcPr>
            <w:tcW w:w="11199" w:type="dxa"/>
            <w:gridSpan w:val="26"/>
            <w:shd w:val="clear" w:color="auto" w:fill="auto"/>
          </w:tcPr>
          <w:p w:rsidR="006C24E6" w:rsidRPr="006C24E6" w:rsidRDefault="006C24E6" w:rsidP="006C24E6">
            <w:pPr>
              <w:widowControl/>
              <w:autoSpaceDE/>
              <w:autoSpaceDN/>
              <w:adjustRightInd/>
              <w:spacing w:before="120" w:after="120" w:line="240" w:lineRule="auto"/>
              <w:rPr>
                <w:rFonts w:eastAsia="Calibri" w:cs="Times New Roman"/>
                <w:color w:val="000000"/>
                <w:spacing w:val="-2"/>
                <w:sz w:val="22"/>
                <w:szCs w:val="22"/>
                <w:highlight w:val="yellow"/>
                <w:lang w:eastAsia="en-US"/>
              </w:rPr>
            </w:pPr>
            <w:r w:rsidRPr="006C24E6">
              <w:rPr>
                <w:rFonts w:eastAsia="Calibri" w:cs="Times New Roman"/>
                <w:color w:val="000000"/>
                <w:spacing w:val="-2"/>
                <w:sz w:val="22"/>
                <w:szCs w:val="22"/>
                <w:lang w:eastAsia="en-US"/>
              </w:rPr>
              <w:t xml:space="preserve">W większości państw UE znaczne przekroczenie prędkości (od 30 do 50 km/h) skutkuje czasowym zatrzymaniem prawa jazdy. W niektórych państwach (np. Francja, Hiszpania, Norwegia i Szwajcaria) za przekroczenie prędkości pow. 50km/h </w:t>
            </w:r>
            <w:r w:rsidRPr="006C24E6">
              <w:rPr>
                <w:rFonts w:eastAsia="Calibri" w:cs="Times New Roman"/>
                <w:color w:val="000000"/>
                <w:spacing w:val="-2"/>
                <w:sz w:val="22"/>
                <w:szCs w:val="22"/>
                <w:lang w:eastAsia="en-US"/>
              </w:rPr>
              <w:br/>
              <w:t xml:space="preserve">(w Hiszpanii pow. 60 km/h) grozi kara więzienia. Brak jest informacji na temat wyjątków od zatrzymania prawa jazdy </w:t>
            </w:r>
            <w:r w:rsidRPr="006C24E6">
              <w:rPr>
                <w:rFonts w:eastAsia="Calibri" w:cs="Times New Roman"/>
                <w:color w:val="000000"/>
                <w:spacing w:val="-2"/>
                <w:sz w:val="22"/>
                <w:szCs w:val="22"/>
                <w:lang w:eastAsia="en-US"/>
              </w:rPr>
              <w:br/>
              <w:t>w następstwie przekroczenia prędkości w związku z koniecznością ratowania życia lub zdrowia.</w:t>
            </w:r>
          </w:p>
        </w:tc>
      </w:tr>
      <w:tr w:rsidR="006C24E6" w:rsidRPr="006C24E6" w:rsidTr="00F91F45">
        <w:trPr>
          <w:trHeight w:val="359"/>
        </w:trPr>
        <w:tc>
          <w:tcPr>
            <w:tcW w:w="11199" w:type="dxa"/>
            <w:gridSpan w:val="26"/>
            <w:shd w:val="clear" w:color="auto" w:fill="99CCFF"/>
            <w:vAlign w:val="center"/>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color w:val="000000"/>
                <w:sz w:val="22"/>
                <w:szCs w:val="22"/>
                <w:lang w:eastAsia="en-US"/>
              </w:rPr>
              <w:t>Podmioty, na które oddziałuje projekt</w:t>
            </w:r>
          </w:p>
        </w:tc>
      </w:tr>
      <w:tr w:rsidR="006C24E6" w:rsidRPr="006C24E6" w:rsidTr="00F91F45">
        <w:trPr>
          <w:trHeight w:val="142"/>
        </w:trPr>
        <w:tc>
          <w:tcPr>
            <w:tcW w:w="3403" w:type="dxa"/>
            <w:gridSpan w:val="4"/>
            <w:shd w:val="clear" w:color="auto" w:fill="auto"/>
          </w:tcPr>
          <w:p w:rsidR="006C24E6" w:rsidRPr="006C24E6" w:rsidRDefault="006C24E6" w:rsidP="006C24E6">
            <w:pPr>
              <w:widowControl/>
              <w:autoSpaceDE/>
              <w:autoSpaceDN/>
              <w:adjustRightInd/>
              <w:spacing w:before="40"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Grupa</w:t>
            </w:r>
          </w:p>
        </w:tc>
        <w:tc>
          <w:tcPr>
            <w:tcW w:w="2835" w:type="dxa"/>
            <w:gridSpan w:val="8"/>
            <w:shd w:val="clear" w:color="auto" w:fill="auto"/>
          </w:tcPr>
          <w:p w:rsidR="006C24E6" w:rsidRPr="006C24E6" w:rsidRDefault="006C24E6" w:rsidP="006C24E6">
            <w:pPr>
              <w:widowControl/>
              <w:autoSpaceDE/>
              <w:autoSpaceDN/>
              <w:adjustRightInd/>
              <w:spacing w:before="40"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Wielkość</w:t>
            </w:r>
          </w:p>
        </w:tc>
        <w:tc>
          <w:tcPr>
            <w:tcW w:w="2126" w:type="dxa"/>
            <w:gridSpan w:val="8"/>
            <w:shd w:val="clear" w:color="auto" w:fill="auto"/>
          </w:tcPr>
          <w:p w:rsidR="006C24E6" w:rsidRPr="006C24E6" w:rsidRDefault="006C24E6" w:rsidP="006C24E6">
            <w:pPr>
              <w:widowControl/>
              <w:autoSpaceDE/>
              <w:autoSpaceDN/>
              <w:adjustRightInd/>
              <w:spacing w:before="40"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Źródło danych</w:t>
            </w:r>
            <w:r w:rsidRPr="006C24E6" w:rsidDel="00260F33">
              <w:rPr>
                <w:rFonts w:eastAsia="Calibri" w:cs="Times New Roman"/>
                <w:color w:val="000000"/>
                <w:spacing w:val="-2"/>
                <w:sz w:val="22"/>
                <w:szCs w:val="22"/>
                <w:lang w:eastAsia="en-US"/>
              </w:rPr>
              <w:t xml:space="preserve"> </w:t>
            </w:r>
          </w:p>
        </w:tc>
        <w:tc>
          <w:tcPr>
            <w:tcW w:w="2835" w:type="dxa"/>
            <w:gridSpan w:val="6"/>
            <w:shd w:val="clear" w:color="auto" w:fill="auto"/>
          </w:tcPr>
          <w:p w:rsidR="006C24E6" w:rsidRPr="006C24E6" w:rsidRDefault="006C24E6" w:rsidP="006C24E6">
            <w:pPr>
              <w:widowControl/>
              <w:autoSpaceDE/>
              <w:autoSpaceDN/>
              <w:adjustRightInd/>
              <w:spacing w:before="40"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Oddziaływanie</w:t>
            </w:r>
          </w:p>
        </w:tc>
      </w:tr>
      <w:tr w:rsidR="006C24E6" w:rsidRPr="006C24E6" w:rsidTr="00F91F45">
        <w:trPr>
          <w:trHeight w:val="142"/>
        </w:trPr>
        <w:tc>
          <w:tcPr>
            <w:tcW w:w="3403" w:type="dxa"/>
            <w:gridSpan w:val="4"/>
            <w:shd w:val="clear" w:color="auto" w:fill="auto"/>
          </w:tcPr>
          <w:p w:rsidR="006C24E6" w:rsidRPr="006C24E6" w:rsidRDefault="006C24E6" w:rsidP="006C24E6">
            <w:pPr>
              <w:widowControl/>
              <w:autoSpaceDE/>
              <w:autoSpaceDN/>
              <w:adjustRightInd/>
              <w:spacing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Kierowcy</w:t>
            </w:r>
          </w:p>
        </w:tc>
        <w:tc>
          <w:tcPr>
            <w:tcW w:w="2835" w:type="dxa"/>
            <w:gridSpan w:val="8"/>
            <w:shd w:val="clear" w:color="auto" w:fill="auto"/>
          </w:tcPr>
          <w:p w:rsidR="006C24E6" w:rsidRPr="006C24E6" w:rsidRDefault="006C24E6" w:rsidP="006C24E6">
            <w:pPr>
              <w:widowControl/>
              <w:autoSpaceDE/>
              <w:autoSpaceDN/>
              <w:adjustRightInd/>
              <w:spacing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 xml:space="preserve">Liczba kierowców posiadających prawo jazdy kat. B – wg stanu na dzień </w:t>
            </w:r>
            <w:r w:rsidRPr="006C24E6">
              <w:rPr>
                <w:rFonts w:eastAsia="Calibri" w:cs="Times New Roman"/>
                <w:color w:val="000000"/>
                <w:spacing w:val="-2"/>
                <w:sz w:val="22"/>
                <w:szCs w:val="22"/>
                <w:lang w:eastAsia="en-US"/>
              </w:rPr>
              <w:br/>
              <w:t>31 grudnia 2015 r. – wynosi około 19,6 mln.</w:t>
            </w:r>
          </w:p>
          <w:p w:rsidR="006C24E6" w:rsidRPr="006C24E6" w:rsidRDefault="006C24E6" w:rsidP="006C24E6">
            <w:pPr>
              <w:widowControl/>
              <w:autoSpaceDE/>
              <w:autoSpaceDN/>
              <w:adjustRightInd/>
              <w:spacing w:line="240" w:lineRule="auto"/>
              <w:jc w:val="center"/>
              <w:rPr>
                <w:rFonts w:eastAsia="Calibri" w:cs="Times New Roman"/>
                <w:color w:val="000000"/>
                <w:spacing w:val="-2"/>
                <w:sz w:val="22"/>
                <w:szCs w:val="22"/>
                <w:lang w:eastAsia="en-US"/>
              </w:rPr>
            </w:pPr>
          </w:p>
        </w:tc>
        <w:tc>
          <w:tcPr>
            <w:tcW w:w="2126" w:type="dxa"/>
            <w:gridSpan w:val="8"/>
            <w:shd w:val="clear" w:color="auto" w:fill="auto"/>
          </w:tcPr>
          <w:p w:rsidR="006C24E6" w:rsidRPr="006C24E6" w:rsidRDefault="006C24E6" w:rsidP="006C24E6">
            <w:pPr>
              <w:widowControl/>
              <w:autoSpaceDE/>
              <w:autoSpaceDN/>
              <w:adjustRightInd/>
              <w:spacing w:line="240" w:lineRule="auto"/>
              <w:jc w:val="center"/>
              <w:rPr>
                <w:rFonts w:eastAsia="Calibri" w:cs="Times New Roman"/>
                <w:spacing w:val="-2"/>
                <w:sz w:val="22"/>
                <w:szCs w:val="22"/>
                <w:lang w:eastAsia="en-US"/>
              </w:rPr>
            </w:pPr>
            <w:r w:rsidRPr="006C24E6">
              <w:rPr>
                <w:rFonts w:eastAsia="Calibri" w:cs="Times New Roman"/>
                <w:spacing w:val="-2"/>
                <w:sz w:val="22"/>
                <w:szCs w:val="22"/>
                <w:lang w:eastAsia="en-US"/>
              </w:rPr>
              <w:t xml:space="preserve">Centralna Ewidencja Pojazdów </w:t>
            </w:r>
            <w:r w:rsidRPr="006C24E6">
              <w:rPr>
                <w:rFonts w:eastAsia="Calibri" w:cs="Times New Roman"/>
                <w:spacing w:val="-2"/>
                <w:sz w:val="22"/>
                <w:szCs w:val="22"/>
                <w:lang w:eastAsia="en-US"/>
              </w:rPr>
              <w:br/>
              <w:t>i Kierowców</w:t>
            </w:r>
          </w:p>
        </w:tc>
        <w:tc>
          <w:tcPr>
            <w:tcW w:w="2835" w:type="dxa"/>
            <w:gridSpan w:val="6"/>
            <w:shd w:val="clear" w:color="auto" w:fill="auto"/>
          </w:tcPr>
          <w:p w:rsidR="006C24E6" w:rsidRPr="006C24E6" w:rsidRDefault="006C24E6" w:rsidP="006C24E6">
            <w:pPr>
              <w:widowControl/>
              <w:autoSpaceDE/>
              <w:autoSpaceDN/>
              <w:adjustRightInd/>
              <w:spacing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 xml:space="preserve">Możliwość zachowania uprawnień do kierowania pojazdem w sytuacji przekroczenia dopuszczalnej prędkości o ponad 50 km/h </w:t>
            </w:r>
            <w:r w:rsidRPr="006C24E6">
              <w:rPr>
                <w:rFonts w:eastAsia="Calibri" w:cs="Times New Roman"/>
                <w:color w:val="000000"/>
                <w:spacing w:val="-2"/>
                <w:sz w:val="22"/>
                <w:szCs w:val="22"/>
                <w:lang w:eastAsia="en-US"/>
              </w:rPr>
              <w:br/>
              <w:t xml:space="preserve">w obszarze zabudowanym, jeżeli kierowca działał </w:t>
            </w:r>
            <w:r w:rsidRPr="006C24E6">
              <w:rPr>
                <w:rFonts w:eastAsia="Calibri" w:cs="Times New Roman"/>
                <w:color w:val="000000"/>
                <w:spacing w:val="-2"/>
                <w:sz w:val="22"/>
                <w:szCs w:val="22"/>
                <w:lang w:eastAsia="en-US"/>
              </w:rPr>
              <w:br/>
              <w:t>w celu uchylenia bezpośredniego niebezpieczeństwa grożącego życiu lub zdrowiu człowieka</w:t>
            </w:r>
          </w:p>
        </w:tc>
      </w:tr>
      <w:tr w:rsidR="006C24E6" w:rsidRPr="006C24E6" w:rsidTr="00F91F45">
        <w:trPr>
          <w:trHeight w:val="142"/>
        </w:trPr>
        <w:tc>
          <w:tcPr>
            <w:tcW w:w="3403" w:type="dxa"/>
            <w:gridSpan w:val="4"/>
            <w:shd w:val="clear" w:color="auto" w:fill="auto"/>
          </w:tcPr>
          <w:p w:rsidR="006C24E6" w:rsidRPr="006C24E6" w:rsidRDefault="006C24E6" w:rsidP="006C24E6">
            <w:pPr>
              <w:widowControl/>
              <w:autoSpaceDE/>
              <w:autoSpaceDN/>
              <w:adjustRightInd/>
              <w:spacing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Starostowie i prezydenci miast na prawach powiatu</w:t>
            </w:r>
          </w:p>
        </w:tc>
        <w:tc>
          <w:tcPr>
            <w:tcW w:w="2835" w:type="dxa"/>
            <w:gridSpan w:val="8"/>
            <w:shd w:val="clear" w:color="auto" w:fill="auto"/>
          </w:tcPr>
          <w:p w:rsidR="006C24E6" w:rsidRPr="006C24E6" w:rsidRDefault="006C24E6" w:rsidP="006C24E6">
            <w:pPr>
              <w:widowControl/>
              <w:autoSpaceDE/>
              <w:autoSpaceDN/>
              <w:adjustRightInd/>
              <w:spacing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314 powiatów oraz 66 miast na prawach powiatu</w:t>
            </w:r>
          </w:p>
        </w:tc>
        <w:tc>
          <w:tcPr>
            <w:tcW w:w="2126" w:type="dxa"/>
            <w:gridSpan w:val="8"/>
            <w:shd w:val="clear" w:color="auto" w:fill="auto"/>
          </w:tcPr>
          <w:p w:rsidR="006C24E6" w:rsidRPr="006C24E6" w:rsidRDefault="006C24E6" w:rsidP="006C24E6">
            <w:pPr>
              <w:widowControl/>
              <w:autoSpaceDE/>
              <w:autoSpaceDN/>
              <w:adjustRightInd/>
              <w:spacing w:line="240" w:lineRule="auto"/>
              <w:jc w:val="center"/>
              <w:rPr>
                <w:rFonts w:eastAsia="Calibri" w:cs="Times New Roman"/>
                <w:spacing w:val="-2"/>
                <w:sz w:val="22"/>
                <w:szCs w:val="22"/>
                <w:lang w:eastAsia="en-US"/>
              </w:rPr>
            </w:pPr>
          </w:p>
        </w:tc>
        <w:tc>
          <w:tcPr>
            <w:tcW w:w="2835" w:type="dxa"/>
            <w:gridSpan w:val="6"/>
            <w:shd w:val="clear" w:color="auto" w:fill="auto"/>
          </w:tcPr>
          <w:p w:rsidR="006C24E6" w:rsidRPr="006C24E6" w:rsidRDefault="006C24E6" w:rsidP="006C24E6">
            <w:pPr>
              <w:widowControl/>
              <w:autoSpaceDE/>
              <w:autoSpaceDN/>
              <w:adjustRightInd/>
              <w:spacing w:line="240" w:lineRule="auto"/>
              <w:jc w:val="center"/>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 xml:space="preserve">Skrócenie do 14 dni czasu </w:t>
            </w:r>
            <w:r w:rsidRPr="006C24E6">
              <w:rPr>
                <w:rFonts w:eastAsia="Calibri" w:cs="Times New Roman"/>
                <w:color w:val="000000"/>
                <w:spacing w:val="-2"/>
                <w:sz w:val="22"/>
                <w:szCs w:val="22"/>
                <w:lang w:eastAsia="en-US"/>
              </w:rPr>
              <w:br/>
              <w:t xml:space="preserve">na rozpatrzenie sprawy </w:t>
            </w:r>
            <w:r w:rsidRPr="006C24E6">
              <w:rPr>
                <w:rFonts w:eastAsia="Calibri" w:cs="Times New Roman"/>
                <w:color w:val="000000"/>
                <w:spacing w:val="-2"/>
                <w:sz w:val="22"/>
                <w:szCs w:val="22"/>
                <w:lang w:eastAsia="en-US"/>
              </w:rPr>
              <w:br/>
              <w:t xml:space="preserve">i wydanie decyzji </w:t>
            </w:r>
            <w:r w:rsidRPr="006C24E6">
              <w:rPr>
                <w:rFonts w:eastAsia="Calibri" w:cs="Times New Roman"/>
                <w:color w:val="000000"/>
                <w:spacing w:val="-2"/>
                <w:sz w:val="22"/>
                <w:szCs w:val="22"/>
                <w:lang w:eastAsia="en-US"/>
              </w:rPr>
              <w:br/>
              <w:t xml:space="preserve">w przedmiocie zatrzymania prawa jazdy w związku </w:t>
            </w:r>
            <w:r w:rsidRPr="006C24E6">
              <w:rPr>
                <w:rFonts w:eastAsia="Calibri" w:cs="Times New Roman"/>
                <w:color w:val="000000"/>
                <w:spacing w:val="-2"/>
                <w:sz w:val="22"/>
                <w:szCs w:val="22"/>
                <w:lang w:eastAsia="en-US"/>
              </w:rPr>
              <w:br/>
              <w:t xml:space="preserve">z przekroczeniem prędkości </w:t>
            </w:r>
            <w:r w:rsidRPr="006C24E6">
              <w:rPr>
                <w:rFonts w:eastAsia="Calibri" w:cs="Times New Roman"/>
                <w:color w:val="000000"/>
                <w:spacing w:val="-2"/>
                <w:sz w:val="22"/>
                <w:szCs w:val="22"/>
                <w:lang w:eastAsia="en-US"/>
              </w:rPr>
              <w:br/>
              <w:t>o ponad 50 km/h w obszarze zabudowanym lub przewożeniem zbyt dużej liczby pasażerów</w:t>
            </w:r>
          </w:p>
        </w:tc>
      </w:tr>
      <w:tr w:rsidR="006C24E6" w:rsidRPr="006C24E6" w:rsidTr="00F91F45">
        <w:trPr>
          <w:trHeight w:val="302"/>
        </w:trPr>
        <w:tc>
          <w:tcPr>
            <w:tcW w:w="11199" w:type="dxa"/>
            <w:gridSpan w:val="26"/>
            <w:shd w:val="clear" w:color="auto" w:fill="99CCFF"/>
            <w:vAlign w:val="center"/>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color w:val="000000"/>
                <w:sz w:val="22"/>
                <w:szCs w:val="22"/>
                <w:lang w:eastAsia="en-US"/>
              </w:rPr>
              <w:t>Informacje na temat zakresu, czasu trwania i podsumowanie wyników konsultacji</w:t>
            </w:r>
          </w:p>
        </w:tc>
      </w:tr>
      <w:tr w:rsidR="006C24E6" w:rsidRPr="006C24E6" w:rsidTr="00F91F45">
        <w:trPr>
          <w:trHeight w:val="342"/>
        </w:trPr>
        <w:tc>
          <w:tcPr>
            <w:tcW w:w="11199" w:type="dxa"/>
            <w:gridSpan w:val="26"/>
            <w:shd w:val="clear" w:color="auto" w:fill="FFFFFF"/>
          </w:tcPr>
          <w:p w:rsidR="006C24E6" w:rsidRPr="006C24E6" w:rsidRDefault="006C24E6" w:rsidP="006C24E6">
            <w:pPr>
              <w:widowControl/>
              <w:autoSpaceDE/>
              <w:autoSpaceDN/>
              <w:adjustRightInd/>
              <w:spacing w:before="120" w:after="120" w:line="300" w:lineRule="exact"/>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 xml:space="preserve">Opinię do projektu przedstawili: Krajowa Rada Sądownictwa, Minister Infrastruktury i Budownictwa, Minister Rozwoju </w:t>
            </w:r>
            <w:r w:rsidRPr="006C24E6">
              <w:rPr>
                <w:rFonts w:eastAsia="Calibri" w:cs="Times New Roman"/>
                <w:color w:val="000000"/>
                <w:spacing w:val="-2"/>
                <w:sz w:val="22"/>
                <w:szCs w:val="22"/>
                <w:lang w:eastAsia="en-US"/>
              </w:rPr>
              <w:br/>
              <w:t xml:space="preserve">i Finansów, Minister Sprawiedliwości, Minister Spraw Wewnętrznych i Administracji, Naczelny Sąd Administracyjny, Prokuratoria Generalna RP, Sąd Najwyższy, Stowarzyszenie Prokuratorów „Lex Super </w:t>
            </w:r>
            <w:proofErr w:type="spellStart"/>
            <w:r w:rsidRPr="006C24E6">
              <w:rPr>
                <w:rFonts w:eastAsia="Calibri" w:cs="Times New Roman"/>
                <w:color w:val="000000"/>
                <w:spacing w:val="-2"/>
                <w:sz w:val="22"/>
                <w:szCs w:val="22"/>
                <w:lang w:eastAsia="en-US"/>
              </w:rPr>
              <w:t>Omnia</w:t>
            </w:r>
            <w:proofErr w:type="spellEnd"/>
            <w:r w:rsidRPr="006C24E6">
              <w:rPr>
                <w:rFonts w:eastAsia="Calibri" w:cs="Times New Roman"/>
                <w:color w:val="000000"/>
                <w:spacing w:val="-2"/>
                <w:sz w:val="22"/>
                <w:szCs w:val="22"/>
                <w:lang w:eastAsia="en-US"/>
              </w:rPr>
              <w:t>”, Związek Powiatów Polskich.</w:t>
            </w:r>
          </w:p>
          <w:p w:rsidR="006C24E6" w:rsidRPr="006C24E6" w:rsidRDefault="006C24E6" w:rsidP="006C24E6">
            <w:pPr>
              <w:widowControl/>
              <w:autoSpaceDE/>
              <w:autoSpaceDN/>
              <w:adjustRightInd/>
              <w:spacing w:before="120" w:after="120" w:line="300" w:lineRule="exact"/>
              <w:rPr>
                <w:rFonts w:eastAsia="Calibri" w:cs="Times New Roman"/>
                <w:color w:val="000000"/>
                <w:spacing w:val="-2"/>
                <w:sz w:val="22"/>
                <w:szCs w:val="22"/>
                <w:lang w:eastAsia="en-US"/>
              </w:rPr>
            </w:pPr>
            <w:r w:rsidRPr="006C24E6">
              <w:rPr>
                <w:rFonts w:eastAsia="Calibri" w:cs="Times New Roman"/>
                <w:b/>
                <w:color w:val="000000"/>
                <w:spacing w:val="-2"/>
                <w:sz w:val="22"/>
                <w:szCs w:val="22"/>
                <w:lang w:eastAsia="en-US"/>
              </w:rPr>
              <w:t>Minister Spraw Wewnętrznych i Administracji</w:t>
            </w:r>
            <w:r w:rsidRPr="006C24E6">
              <w:rPr>
                <w:rFonts w:eastAsia="Calibri" w:cs="Times New Roman"/>
                <w:color w:val="000000"/>
                <w:spacing w:val="-2"/>
                <w:sz w:val="22"/>
                <w:szCs w:val="22"/>
                <w:lang w:eastAsia="en-US"/>
              </w:rPr>
              <w:t xml:space="preserve"> przedstawił propozycję rozszerzenia projektu o kierujących pojazdami, którzy przekraczają prędkość o pow. 50 km/h w terenie zabudowanym, wykonując zadania służbowe (Policja, Straż Graniczna, BOR, Inspekcja Transportu Drogowego, ABW, Służba Kontrwywiadu Wojskowego lub CBA).</w:t>
            </w:r>
          </w:p>
          <w:p w:rsidR="006C24E6" w:rsidRPr="006C24E6" w:rsidRDefault="006C24E6" w:rsidP="006C24E6">
            <w:pPr>
              <w:widowControl/>
              <w:autoSpaceDE/>
              <w:autoSpaceDN/>
              <w:adjustRightInd/>
              <w:spacing w:before="120" w:after="120" w:line="300" w:lineRule="exact"/>
              <w:rPr>
                <w:rFonts w:eastAsia="Calibri" w:cs="Times New Roman"/>
                <w:color w:val="000000"/>
                <w:spacing w:val="-2"/>
                <w:sz w:val="22"/>
                <w:szCs w:val="22"/>
                <w:lang w:eastAsia="en-US"/>
              </w:rPr>
            </w:pPr>
            <w:r w:rsidRPr="006C24E6">
              <w:rPr>
                <w:rFonts w:eastAsia="Calibri" w:cs="Times New Roman"/>
                <w:b/>
                <w:color w:val="000000"/>
                <w:spacing w:val="-2"/>
                <w:sz w:val="22"/>
                <w:szCs w:val="22"/>
                <w:lang w:eastAsia="en-US"/>
              </w:rPr>
              <w:t>Minister Infrastruktury i Budownictwa</w:t>
            </w:r>
            <w:r w:rsidRPr="006C24E6">
              <w:rPr>
                <w:rFonts w:eastAsia="Calibri" w:cs="Times New Roman"/>
                <w:color w:val="000000"/>
                <w:spacing w:val="-2"/>
                <w:sz w:val="22"/>
                <w:szCs w:val="22"/>
                <w:lang w:eastAsia="en-US"/>
              </w:rPr>
              <w:t xml:space="preserve"> zaproponował usunięcie projektowanego przepisu art. 102 ust. 1aa, gdyż w jego opinii o stwierdzeniu stanu wyższej konieczności powinien decydować organ kontroli ruchu drogowego podczas kontroli, a nie wojewoda; natomiast w przypadku rozbieżności powinien decydować sąd.</w:t>
            </w:r>
          </w:p>
          <w:p w:rsidR="006C24E6" w:rsidRPr="006C24E6" w:rsidRDefault="006C24E6" w:rsidP="006C24E6">
            <w:pPr>
              <w:widowControl/>
              <w:autoSpaceDE/>
              <w:autoSpaceDN/>
              <w:adjustRightInd/>
              <w:spacing w:before="120" w:after="120" w:line="300" w:lineRule="exact"/>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 xml:space="preserve">W opinii </w:t>
            </w:r>
            <w:r w:rsidRPr="006C24E6">
              <w:rPr>
                <w:rFonts w:eastAsia="Calibri" w:cs="Times New Roman"/>
                <w:b/>
                <w:color w:val="000000"/>
                <w:spacing w:val="-2"/>
                <w:sz w:val="22"/>
                <w:szCs w:val="22"/>
                <w:lang w:eastAsia="en-US"/>
              </w:rPr>
              <w:t>Związku Powiatów Polskich</w:t>
            </w:r>
            <w:r w:rsidRPr="006C24E6">
              <w:rPr>
                <w:rFonts w:eastAsia="Calibri" w:cs="Times New Roman"/>
                <w:color w:val="000000"/>
                <w:spacing w:val="-2"/>
                <w:sz w:val="22"/>
                <w:szCs w:val="22"/>
                <w:lang w:eastAsia="en-US"/>
              </w:rPr>
              <w:t xml:space="preserve"> (ZPP) wejście w życie projektowanego art. 102 ustawy o kierujących pojazdami skutkowałoby tym, że starosta byłby zobowiązany do prowadzania własnych ustaleń dotyczących okoliczności rażącego przekroczenia prędkości czy przewożenia większej niż dozwolonej liczby osób w pojeździe. W konsekwencji starosta stawiany byłby w roli podmiotu nadzorczego nad organami kontroli ruchu drogowego. Ponadto w przypadku nałożenia na starostę </w:t>
            </w:r>
            <w:r w:rsidRPr="006C24E6">
              <w:rPr>
                <w:rFonts w:eastAsia="Calibri" w:cs="Times New Roman"/>
                <w:color w:val="000000"/>
                <w:spacing w:val="-2"/>
                <w:sz w:val="22"/>
                <w:szCs w:val="22"/>
                <w:lang w:eastAsia="en-US"/>
              </w:rPr>
              <w:br/>
              <w:t>ww. obowiązku badania w sprawie administracyjnej o zatrzymanie prawa jazdy zaistnienia stanu wyższej konieczności, zdaniem ZPP, nie będzie możliwe zachowanie 14-dniowego terminu wydania decyzji administracyjnej.</w:t>
            </w:r>
          </w:p>
          <w:p w:rsidR="006C24E6" w:rsidRPr="006C24E6" w:rsidRDefault="006C24E6" w:rsidP="006C24E6">
            <w:pPr>
              <w:widowControl/>
              <w:autoSpaceDE/>
              <w:autoSpaceDN/>
              <w:adjustRightInd/>
              <w:spacing w:before="120" w:after="120" w:line="300" w:lineRule="exact"/>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 xml:space="preserve">W ocenie </w:t>
            </w:r>
            <w:r w:rsidRPr="006C24E6">
              <w:rPr>
                <w:rFonts w:eastAsia="Calibri" w:cs="Times New Roman"/>
                <w:b/>
                <w:color w:val="000000"/>
                <w:spacing w:val="-2"/>
                <w:sz w:val="22"/>
                <w:szCs w:val="22"/>
                <w:lang w:eastAsia="en-US"/>
              </w:rPr>
              <w:t xml:space="preserve">Stowarzyszenia Prokuratorów „Lex Super </w:t>
            </w:r>
            <w:proofErr w:type="spellStart"/>
            <w:r w:rsidRPr="006C24E6">
              <w:rPr>
                <w:rFonts w:eastAsia="Calibri" w:cs="Times New Roman"/>
                <w:b/>
                <w:color w:val="000000"/>
                <w:spacing w:val="-2"/>
                <w:sz w:val="22"/>
                <w:szCs w:val="22"/>
                <w:lang w:eastAsia="en-US"/>
              </w:rPr>
              <w:t>Omnia</w:t>
            </w:r>
            <w:proofErr w:type="spellEnd"/>
            <w:r w:rsidRPr="006C24E6">
              <w:rPr>
                <w:rFonts w:eastAsia="Calibri" w:cs="Times New Roman"/>
                <w:b/>
                <w:color w:val="000000"/>
                <w:spacing w:val="-2"/>
                <w:sz w:val="22"/>
                <w:szCs w:val="22"/>
                <w:lang w:eastAsia="en-US"/>
              </w:rPr>
              <w:t>”</w:t>
            </w:r>
            <w:r w:rsidRPr="006C24E6">
              <w:rPr>
                <w:rFonts w:eastAsia="Calibri" w:cs="Times New Roman"/>
                <w:color w:val="000000"/>
                <w:spacing w:val="-2"/>
                <w:sz w:val="22"/>
                <w:szCs w:val="22"/>
                <w:lang w:eastAsia="en-US"/>
              </w:rPr>
              <w:t xml:space="preserve"> projekt ustawy budzi zastrzeżenia w zakresie spójności z systemem prawnym oraz co do jego funkcjonalności. Pojawia się wątpliwość czy niezbędne i racjonalne jest wprowadzenie do postępowania administracyjnego nowej instytucji prawnej – stanu wyższej konieczności, znanej do tej pory prawu karnemu sensu largo – tylko na użytek jednego, bardzo konkretnego stanu faktycznego. </w:t>
            </w:r>
          </w:p>
          <w:p w:rsidR="006C24E6" w:rsidRPr="006C24E6" w:rsidRDefault="006C24E6" w:rsidP="006C24E6">
            <w:pPr>
              <w:widowControl/>
              <w:autoSpaceDE/>
              <w:autoSpaceDN/>
              <w:adjustRightInd/>
              <w:spacing w:before="120" w:after="120" w:line="300" w:lineRule="exact"/>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Pozostałe podmioty przedstawiły informację o braku uwag albo zgłosiły uwagi o charakterze legislacyjnym.</w:t>
            </w:r>
          </w:p>
          <w:p w:rsidR="006C24E6" w:rsidRPr="006C24E6" w:rsidRDefault="006C24E6" w:rsidP="006C24E6">
            <w:pPr>
              <w:widowControl/>
              <w:autoSpaceDE/>
              <w:autoSpaceDN/>
              <w:adjustRightInd/>
              <w:spacing w:before="120" w:after="120" w:line="300" w:lineRule="exact"/>
              <w:rPr>
                <w:rFonts w:eastAsia="Calibri" w:cs="Times New Roman"/>
                <w:color w:val="000000"/>
                <w:spacing w:val="-2"/>
                <w:sz w:val="22"/>
                <w:szCs w:val="22"/>
                <w:lang w:eastAsia="en-US"/>
              </w:rPr>
            </w:pPr>
          </w:p>
        </w:tc>
      </w:tr>
      <w:tr w:rsidR="006C24E6" w:rsidRPr="006C24E6" w:rsidTr="00F91F45">
        <w:trPr>
          <w:trHeight w:val="363"/>
        </w:trPr>
        <w:tc>
          <w:tcPr>
            <w:tcW w:w="11199" w:type="dxa"/>
            <w:gridSpan w:val="26"/>
            <w:shd w:val="clear" w:color="auto" w:fill="99CCFF"/>
            <w:vAlign w:val="center"/>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color w:val="000000"/>
                <w:sz w:val="22"/>
                <w:szCs w:val="22"/>
                <w:lang w:eastAsia="en-US"/>
              </w:rPr>
              <w:lastRenderedPageBreak/>
              <w:t xml:space="preserve"> Wpływ na sektor finansów publicznych</w:t>
            </w:r>
          </w:p>
        </w:tc>
      </w:tr>
      <w:tr w:rsidR="006C24E6" w:rsidRPr="006C24E6" w:rsidTr="00F91F45">
        <w:trPr>
          <w:trHeight w:val="142"/>
        </w:trPr>
        <w:tc>
          <w:tcPr>
            <w:tcW w:w="3133" w:type="dxa"/>
            <w:gridSpan w:val="3"/>
            <w:vMerge w:val="restart"/>
            <w:shd w:val="clear" w:color="auto" w:fill="FFFFFF"/>
          </w:tcPr>
          <w:p w:rsidR="006C24E6" w:rsidRPr="006C24E6" w:rsidRDefault="006C24E6" w:rsidP="006C24E6">
            <w:pPr>
              <w:widowControl/>
              <w:autoSpaceDE/>
              <w:autoSpaceDN/>
              <w:adjustRightInd/>
              <w:spacing w:before="40" w:after="40" w:line="276" w:lineRule="auto"/>
              <w:jc w:val="left"/>
              <w:rPr>
                <w:rFonts w:eastAsia="Calibri" w:cs="Times New Roman"/>
                <w:i/>
                <w:color w:val="000000"/>
                <w:sz w:val="21"/>
                <w:szCs w:val="21"/>
                <w:lang w:eastAsia="en-US"/>
              </w:rPr>
            </w:pPr>
            <w:r w:rsidRPr="006C24E6">
              <w:rPr>
                <w:rFonts w:eastAsia="Calibri" w:cs="Times New Roman"/>
                <w:color w:val="000000"/>
                <w:sz w:val="21"/>
                <w:szCs w:val="21"/>
                <w:lang w:eastAsia="en-US"/>
              </w:rPr>
              <w:t>(ceny stałe z 2016 r.)</w:t>
            </w:r>
          </w:p>
        </w:tc>
        <w:tc>
          <w:tcPr>
            <w:tcW w:w="8066" w:type="dxa"/>
            <w:gridSpan w:val="23"/>
            <w:shd w:val="clear" w:color="auto" w:fill="FFFFFF"/>
          </w:tcPr>
          <w:p w:rsidR="006C24E6" w:rsidRPr="006C24E6" w:rsidRDefault="006C24E6" w:rsidP="006C24E6">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6C24E6">
              <w:rPr>
                <w:rFonts w:eastAsia="Calibri" w:cs="Times New Roman"/>
                <w:color w:val="000000"/>
                <w:sz w:val="21"/>
                <w:szCs w:val="21"/>
                <w:lang w:eastAsia="en-US"/>
              </w:rPr>
              <w:t>Skutki w okresie 10 lat od wejścia w życie zmian [mln zł]</w:t>
            </w:r>
          </w:p>
        </w:tc>
      </w:tr>
      <w:tr w:rsidR="006C24E6" w:rsidRPr="006C24E6" w:rsidTr="00F91F45">
        <w:trPr>
          <w:trHeight w:val="142"/>
        </w:trPr>
        <w:tc>
          <w:tcPr>
            <w:tcW w:w="3133" w:type="dxa"/>
            <w:gridSpan w:val="3"/>
            <w:vMerge/>
            <w:shd w:val="clear" w:color="auto" w:fill="FFFFFF"/>
          </w:tcPr>
          <w:p w:rsidR="006C24E6" w:rsidRPr="006C24E6" w:rsidRDefault="006C24E6" w:rsidP="006C24E6">
            <w:pPr>
              <w:widowControl/>
              <w:autoSpaceDE/>
              <w:autoSpaceDN/>
              <w:adjustRightInd/>
              <w:spacing w:before="40" w:after="40" w:line="240" w:lineRule="auto"/>
              <w:jc w:val="left"/>
              <w:rPr>
                <w:rFonts w:eastAsia="Calibri" w:cs="Times New Roman"/>
                <w:i/>
                <w:color w:val="000000"/>
                <w:sz w:val="21"/>
                <w:szCs w:val="21"/>
                <w:lang w:eastAsia="en-US"/>
              </w:rPr>
            </w:pP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1</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2</w:t>
            </w:r>
          </w:p>
        </w:tc>
        <w:tc>
          <w:tcPr>
            <w:tcW w:w="630" w:type="dxa"/>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3</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4</w:t>
            </w:r>
          </w:p>
        </w:tc>
        <w:tc>
          <w:tcPr>
            <w:tcW w:w="631" w:type="dxa"/>
            <w:gridSpan w:val="3"/>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5</w:t>
            </w:r>
          </w:p>
        </w:tc>
        <w:tc>
          <w:tcPr>
            <w:tcW w:w="630" w:type="dxa"/>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6</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7</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8</w:t>
            </w:r>
          </w:p>
        </w:tc>
        <w:tc>
          <w:tcPr>
            <w:tcW w:w="694" w:type="dxa"/>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9</w:t>
            </w:r>
          </w:p>
        </w:tc>
        <w:tc>
          <w:tcPr>
            <w:tcW w:w="709" w:type="dxa"/>
            <w:gridSpan w:val="2"/>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10</w:t>
            </w:r>
          </w:p>
        </w:tc>
        <w:tc>
          <w:tcPr>
            <w:tcW w:w="992" w:type="dxa"/>
            <w:shd w:val="clear" w:color="auto" w:fill="FFFFFF"/>
          </w:tcPr>
          <w:p w:rsidR="006C24E6" w:rsidRPr="006C24E6" w:rsidRDefault="006C24E6" w:rsidP="006C24E6">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6C24E6">
              <w:rPr>
                <w:rFonts w:eastAsia="Calibri" w:cs="Times New Roman"/>
                <w:i/>
                <w:color w:val="000000"/>
                <w:spacing w:val="-2"/>
                <w:sz w:val="21"/>
                <w:szCs w:val="21"/>
                <w:lang w:eastAsia="en-US"/>
              </w:rPr>
              <w:t>Łącznie (0-10)</w:t>
            </w:r>
          </w:p>
        </w:tc>
      </w:tr>
      <w:tr w:rsidR="006C24E6" w:rsidRPr="006C24E6" w:rsidTr="00F91F45">
        <w:trPr>
          <w:trHeight w:val="321"/>
        </w:trPr>
        <w:tc>
          <w:tcPr>
            <w:tcW w:w="3133" w:type="dxa"/>
            <w:gridSpan w:val="3"/>
            <w:shd w:val="clear" w:color="auto" w:fill="FFFFFF"/>
            <w:vAlign w:val="center"/>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b/>
                <w:color w:val="000000"/>
                <w:sz w:val="21"/>
                <w:szCs w:val="21"/>
                <w:lang w:eastAsia="en-US"/>
              </w:rPr>
              <w:t>Dochody ogółem</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1"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94"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709"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992"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pacing w:val="-2"/>
                <w:sz w:val="18"/>
                <w:szCs w:val="21"/>
                <w:lang w:eastAsia="en-US"/>
              </w:rPr>
            </w:pPr>
            <w:r w:rsidRPr="006C24E6">
              <w:rPr>
                <w:rFonts w:eastAsia="Calibri" w:cs="Times New Roman"/>
                <w:b/>
                <w:color w:val="000000"/>
                <w:spacing w:val="-2"/>
                <w:sz w:val="18"/>
                <w:szCs w:val="21"/>
                <w:lang w:eastAsia="en-US"/>
              </w:rPr>
              <w:t>0,0</w:t>
            </w:r>
          </w:p>
        </w:tc>
      </w:tr>
      <w:tr w:rsidR="006C24E6" w:rsidRPr="006C24E6" w:rsidTr="00F91F45">
        <w:trPr>
          <w:trHeight w:val="330"/>
        </w:trPr>
        <w:tc>
          <w:tcPr>
            <w:tcW w:w="3133" w:type="dxa"/>
            <w:gridSpan w:val="3"/>
            <w:shd w:val="clear" w:color="auto" w:fill="FFFFFF"/>
            <w:vAlign w:val="center"/>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b/>
                <w:color w:val="000000"/>
                <w:sz w:val="21"/>
                <w:szCs w:val="21"/>
                <w:lang w:eastAsia="en-US"/>
              </w:rPr>
              <w:t>Wydatki ogółem</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1"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94"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709"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992"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pacing w:val="-2"/>
                <w:sz w:val="18"/>
                <w:szCs w:val="21"/>
                <w:lang w:eastAsia="en-US"/>
              </w:rPr>
            </w:pPr>
            <w:r w:rsidRPr="006C24E6">
              <w:rPr>
                <w:rFonts w:eastAsia="Calibri" w:cs="Times New Roman"/>
                <w:b/>
                <w:color w:val="000000"/>
                <w:spacing w:val="-2"/>
                <w:sz w:val="18"/>
                <w:szCs w:val="21"/>
                <w:lang w:eastAsia="en-US"/>
              </w:rPr>
              <w:t>0,0</w:t>
            </w:r>
          </w:p>
        </w:tc>
      </w:tr>
      <w:tr w:rsidR="006C24E6" w:rsidRPr="006C24E6" w:rsidTr="00F91F45">
        <w:trPr>
          <w:trHeight w:val="360"/>
        </w:trPr>
        <w:tc>
          <w:tcPr>
            <w:tcW w:w="3133" w:type="dxa"/>
            <w:gridSpan w:val="3"/>
            <w:shd w:val="clear" w:color="auto" w:fill="FFFFFF"/>
            <w:vAlign w:val="center"/>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b/>
                <w:color w:val="000000"/>
                <w:sz w:val="21"/>
                <w:szCs w:val="21"/>
                <w:lang w:eastAsia="en-US"/>
              </w:rPr>
              <w:t>Saldo ogółem</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1"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30"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694"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709"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z w:val="18"/>
                <w:szCs w:val="21"/>
                <w:lang w:eastAsia="en-US"/>
              </w:rPr>
            </w:pPr>
            <w:r w:rsidRPr="006C24E6">
              <w:rPr>
                <w:rFonts w:eastAsia="Calibri" w:cs="Times New Roman"/>
                <w:b/>
                <w:color w:val="000000"/>
                <w:sz w:val="18"/>
                <w:szCs w:val="21"/>
                <w:lang w:eastAsia="en-US"/>
              </w:rPr>
              <w:t>0,0</w:t>
            </w:r>
          </w:p>
        </w:tc>
        <w:tc>
          <w:tcPr>
            <w:tcW w:w="992" w:type="dxa"/>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b/>
                <w:color w:val="000000"/>
                <w:spacing w:val="-2"/>
                <w:sz w:val="18"/>
                <w:szCs w:val="21"/>
                <w:lang w:eastAsia="en-US"/>
              </w:rPr>
            </w:pPr>
            <w:r w:rsidRPr="006C24E6">
              <w:rPr>
                <w:rFonts w:eastAsia="Calibri" w:cs="Times New Roman"/>
                <w:b/>
                <w:color w:val="000000"/>
                <w:spacing w:val="-2"/>
                <w:sz w:val="18"/>
                <w:szCs w:val="21"/>
                <w:lang w:eastAsia="en-US"/>
              </w:rPr>
              <w:t>0,0</w:t>
            </w:r>
          </w:p>
        </w:tc>
      </w:tr>
      <w:tr w:rsidR="006C24E6" w:rsidRPr="006C24E6" w:rsidTr="00F91F45">
        <w:trPr>
          <w:trHeight w:val="348"/>
        </w:trPr>
        <w:tc>
          <w:tcPr>
            <w:tcW w:w="2243" w:type="dxa"/>
            <w:gridSpan w:val="2"/>
            <w:shd w:val="clear" w:color="auto" w:fill="FFFFFF"/>
            <w:vAlign w:val="center"/>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color w:val="000000"/>
                <w:sz w:val="21"/>
                <w:szCs w:val="21"/>
                <w:lang w:eastAsia="en-US"/>
              </w:rPr>
              <w:t xml:space="preserve">Źródła finansowania: </w:t>
            </w:r>
          </w:p>
        </w:tc>
        <w:tc>
          <w:tcPr>
            <w:tcW w:w="8956" w:type="dxa"/>
            <w:gridSpan w:val="24"/>
            <w:shd w:val="clear" w:color="auto" w:fill="FFFFFF"/>
            <w:vAlign w:val="center"/>
          </w:tcPr>
          <w:p w:rsidR="006C24E6" w:rsidRPr="006C24E6" w:rsidRDefault="006C24E6" w:rsidP="006C24E6">
            <w:pPr>
              <w:widowControl/>
              <w:autoSpaceDE/>
              <w:autoSpaceDN/>
              <w:adjustRightInd/>
              <w:spacing w:line="240" w:lineRule="auto"/>
              <w:rPr>
                <w:rFonts w:eastAsia="Calibri" w:cs="Times New Roman"/>
                <w:color w:val="000000"/>
                <w:sz w:val="21"/>
                <w:szCs w:val="21"/>
                <w:lang w:eastAsia="en-US"/>
              </w:rPr>
            </w:pPr>
          </w:p>
        </w:tc>
      </w:tr>
      <w:tr w:rsidR="006C24E6" w:rsidRPr="006C24E6" w:rsidTr="00F91F45">
        <w:trPr>
          <w:trHeight w:val="557"/>
        </w:trPr>
        <w:tc>
          <w:tcPr>
            <w:tcW w:w="2243" w:type="dxa"/>
            <w:gridSpan w:val="2"/>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color w:val="000000"/>
                <w:sz w:val="21"/>
                <w:szCs w:val="21"/>
                <w:lang w:eastAsia="en-US"/>
              </w:rPr>
              <w:t>Dodatkowe informacje, w tym wskazanie źródeł danych i przyjętych do obliczeń założeń</w:t>
            </w:r>
          </w:p>
        </w:tc>
        <w:tc>
          <w:tcPr>
            <w:tcW w:w="8956" w:type="dxa"/>
            <w:gridSpan w:val="24"/>
            <w:shd w:val="clear" w:color="auto" w:fill="FFFFFF"/>
          </w:tcPr>
          <w:p w:rsidR="006C24E6" w:rsidRPr="006C24E6" w:rsidRDefault="006C24E6" w:rsidP="006C24E6">
            <w:pPr>
              <w:widowControl/>
              <w:autoSpaceDE/>
              <w:autoSpaceDN/>
              <w:adjustRightInd/>
              <w:spacing w:line="240" w:lineRule="auto"/>
              <w:rPr>
                <w:rFonts w:eastAsia="Calibri" w:cs="Times New Roman"/>
                <w:color w:val="000000"/>
                <w:sz w:val="21"/>
                <w:szCs w:val="21"/>
                <w:lang w:eastAsia="en-US"/>
              </w:rPr>
            </w:pPr>
            <w:r w:rsidRPr="006C24E6">
              <w:rPr>
                <w:rFonts w:eastAsia="Calibri" w:cs="Times New Roman"/>
                <w:color w:val="000000"/>
                <w:sz w:val="21"/>
                <w:szCs w:val="21"/>
                <w:lang w:eastAsia="en-US"/>
              </w:rPr>
              <w:t xml:space="preserve">Projektowana regulacja nie wpłynie istotnie na budżet państwa i budżety jednostek samorządu terytorialnego. </w:t>
            </w:r>
          </w:p>
          <w:p w:rsidR="006C24E6" w:rsidRPr="006C24E6" w:rsidRDefault="006C24E6" w:rsidP="006C24E6">
            <w:pPr>
              <w:widowControl/>
              <w:autoSpaceDE/>
              <w:autoSpaceDN/>
              <w:adjustRightInd/>
              <w:spacing w:before="120" w:line="240" w:lineRule="auto"/>
              <w:rPr>
                <w:rFonts w:eastAsia="Calibri" w:cs="Times New Roman"/>
                <w:color w:val="000000"/>
                <w:sz w:val="21"/>
                <w:szCs w:val="21"/>
                <w:highlight w:val="yellow"/>
                <w:lang w:eastAsia="en-US"/>
              </w:rPr>
            </w:pPr>
            <w:r w:rsidRPr="006C24E6">
              <w:rPr>
                <w:rFonts w:eastAsia="Calibri" w:cs="Times New Roman"/>
                <w:color w:val="000000"/>
                <w:sz w:val="21"/>
                <w:szCs w:val="21"/>
                <w:lang w:eastAsia="en-US"/>
              </w:rPr>
              <w:t xml:space="preserve">Proponowane skrócenie terminu na wydanie decyzji w przedmiocie zatrzymania prawa jazdy </w:t>
            </w:r>
            <w:r w:rsidRPr="006C24E6">
              <w:rPr>
                <w:rFonts w:eastAsia="Calibri" w:cs="Times New Roman"/>
                <w:color w:val="000000"/>
                <w:sz w:val="21"/>
                <w:szCs w:val="21"/>
                <w:lang w:eastAsia="en-US"/>
              </w:rPr>
              <w:br/>
              <w:t xml:space="preserve">w związku z przekroczeniem prędkości o ponad 50 km/h w obszarze zabudowanym może spowodować okresowy wzrost obciążenia pracą pracowników przygotowujących decyzje lub upoważnionych do ich wydawania w imieniu starosty. </w:t>
            </w:r>
          </w:p>
          <w:p w:rsidR="006C24E6" w:rsidRPr="006C24E6" w:rsidRDefault="006C24E6" w:rsidP="006C24E6">
            <w:pPr>
              <w:widowControl/>
              <w:autoSpaceDE/>
              <w:autoSpaceDN/>
              <w:adjustRightInd/>
              <w:spacing w:before="120" w:line="240" w:lineRule="auto"/>
              <w:rPr>
                <w:rFonts w:eastAsia="Calibri" w:cs="Times New Roman"/>
                <w:color w:val="000000"/>
                <w:sz w:val="21"/>
                <w:szCs w:val="21"/>
                <w:lang w:eastAsia="en-US"/>
              </w:rPr>
            </w:pPr>
            <w:r w:rsidRPr="006C24E6">
              <w:rPr>
                <w:rFonts w:eastAsia="Calibri" w:cs="Times New Roman"/>
                <w:color w:val="000000"/>
                <w:sz w:val="21"/>
                <w:szCs w:val="21"/>
                <w:lang w:eastAsia="en-US"/>
              </w:rPr>
              <w:t>Biorąc jednak pod uwagę niewielką liczbę takich spraw (w 2016 r. było ich 30 020; średnio na jednego starostę przypadało 79 decyzji rocznie, co daje około 7 decyzji miesięcznie), nie powinno to powodować konieczności ponoszenia dodatkowych kosztów z tego tytułu.</w:t>
            </w:r>
          </w:p>
        </w:tc>
      </w:tr>
      <w:tr w:rsidR="006C24E6" w:rsidRPr="006C24E6" w:rsidTr="00F91F45">
        <w:trPr>
          <w:trHeight w:val="345"/>
        </w:trPr>
        <w:tc>
          <w:tcPr>
            <w:tcW w:w="11199" w:type="dxa"/>
            <w:gridSpan w:val="26"/>
            <w:shd w:val="clear" w:color="auto" w:fill="99CCFF"/>
          </w:tcPr>
          <w:p w:rsidR="006C24E6" w:rsidRPr="006C24E6" w:rsidRDefault="006C24E6" w:rsidP="006C24E6">
            <w:pPr>
              <w:widowControl/>
              <w:numPr>
                <w:ilvl w:val="0"/>
                <w:numId w:val="45"/>
              </w:numPr>
              <w:autoSpaceDE/>
              <w:autoSpaceDN/>
              <w:adjustRightInd/>
              <w:spacing w:before="120" w:after="120" w:line="240" w:lineRule="auto"/>
              <w:jc w:val="left"/>
              <w:rPr>
                <w:rFonts w:eastAsia="Calibri" w:cs="Times New Roman"/>
                <w:b/>
                <w:color w:val="000000"/>
                <w:spacing w:val="-2"/>
                <w:sz w:val="22"/>
                <w:szCs w:val="22"/>
                <w:lang w:eastAsia="en-US"/>
              </w:rPr>
            </w:pPr>
            <w:r w:rsidRPr="006C24E6">
              <w:rPr>
                <w:rFonts w:eastAsia="Calibri" w:cs="Times New Roman"/>
                <w:b/>
                <w:color w:val="000000"/>
                <w:spacing w:val="-2"/>
                <w:sz w:val="22"/>
                <w:szCs w:val="22"/>
                <w:lang w:eastAsia="en-US"/>
              </w:rPr>
              <w:t xml:space="preserve">Wpływ na </w:t>
            </w:r>
            <w:r w:rsidRPr="006C24E6">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6C24E6" w:rsidRPr="006C24E6" w:rsidTr="00F91F45">
        <w:trPr>
          <w:trHeight w:val="142"/>
        </w:trPr>
        <w:tc>
          <w:tcPr>
            <w:tcW w:w="11199" w:type="dxa"/>
            <w:gridSpan w:val="26"/>
            <w:shd w:val="clear" w:color="auto" w:fill="FFFFFF"/>
          </w:tcPr>
          <w:p w:rsidR="006C24E6" w:rsidRPr="006C24E6" w:rsidRDefault="006C24E6" w:rsidP="006C24E6">
            <w:pPr>
              <w:widowControl/>
              <w:autoSpaceDE/>
              <w:autoSpaceDN/>
              <w:adjustRightInd/>
              <w:spacing w:line="240" w:lineRule="auto"/>
              <w:jc w:val="center"/>
              <w:rPr>
                <w:rFonts w:eastAsia="Calibri" w:cs="Times New Roman"/>
                <w:color w:val="000000"/>
                <w:spacing w:val="-2"/>
                <w:sz w:val="21"/>
                <w:szCs w:val="21"/>
                <w:lang w:eastAsia="en-US"/>
              </w:rPr>
            </w:pPr>
            <w:r w:rsidRPr="006C24E6">
              <w:rPr>
                <w:rFonts w:eastAsia="Calibri" w:cs="Times New Roman"/>
                <w:color w:val="000000"/>
                <w:spacing w:val="-2"/>
                <w:sz w:val="21"/>
                <w:szCs w:val="21"/>
                <w:lang w:eastAsia="en-US"/>
              </w:rPr>
              <w:t>Skutki</w:t>
            </w:r>
          </w:p>
        </w:tc>
      </w:tr>
      <w:tr w:rsidR="006C24E6" w:rsidRPr="006C24E6" w:rsidTr="00F91F45">
        <w:trPr>
          <w:trHeight w:val="142"/>
        </w:trPr>
        <w:tc>
          <w:tcPr>
            <w:tcW w:w="3889" w:type="dxa"/>
            <w:gridSpan w:val="6"/>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color w:val="000000"/>
                <w:sz w:val="21"/>
                <w:szCs w:val="21"/>
                <w:lang w:eastAsia="en-US"/>
              </w:rPr>
              <w:t>Czas w latach od wejścia w życie zmian</w:t>
            </w:r>
          </w:p>
        </w:tc>
        <w:tc>
          <w:tcPr>
            <w:tcW w:w="937" w:type="dxa"/>
            <w:gridSpan w:val="2"/>
            <w:shd w:val="clear" w:color="auto" w:fill="FFFFFF"/>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938" w:type="dxa"/>
            <w:gridSpan w:val="3"/>
            <w:shd w:val="clear" w:color="auto" w:fill="FFFFFF"/>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1</w:t>
            </w:r>
          </w:p>
        </w:tc>
        <w:tc>
          <w:tcPr>
            <w:tcW w:w="938" w:type="dxa"/>
            <w:gridSpan w:val="4"/>
            <w:shd w:val="clear" w:color="auto" w:fill="FFFFFF"/>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2</w:t>
            </w:r>
          </w:p>
        </w:tc>
        <w:tc>
          <w:tcPr>
            <w:tcW w:w="937" w:type="dxa"/>
            <w:gridSpan w:val="3"/>
            <w:shd w:val="clear" w:color="auto" w:fill="FFFFFF"/>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3</w:t>
            </w:r>
          </w:p>
        </w:tc>
        <w:tc>
          <w:tcPr>
            <w:tcW w:w="938" w:type="dxa"/>
            <w:gridSpan w:val="3"/>
            <w:shd w:val="clear" w:color="auto" w:fill="FFFFFF"/>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5</w:t>
            </w:r>
          </w:p>
        </w:tc>
        <w:tc>
          <w:tcPr>
            <w:tcW w:w="938" w:type="dxa"/>
            <w:gridSpan w:val="3"/>
            <w:shd w:val="clear" w:color="auto" w:fill="FFFFFF"/>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color w:val="000000"/>
                <w:sz w:val="21"/>
                <w:szCs w:val="21"/>
                <w:lang w:eastAsia="en-US"/>
              </w:rPr>
              <w:t>10</w:t>
            </w:r>
          </w:p>
        </w:tc>
        <w:tc>
          <w:tcPr>
            <w:tcW w:w="1684" w:type="dxa"/>
            <w:gridSpan w:val="2"/>
            <w:shd w:val="clear" w:color="auto" w:fill="FFFFFF"/>
          </w:tcPr>
          <w:p w:rsidR="006C24E6" w:rsidRPr="006C24E6" w:rsidRDefault="006C24E6" w:rsidP="006C24E6">
            <w:pPr>
              <w:widowControl/>
              <w:autoSpaceDE/>
              <w:autoSpaceDN/>
              <w:adjustRightInd/>
              <w:spacing w:line="240" w:lineRule="auto"/>
              <w:jc w:val="center"/>
              <w:rPr>
                <w:rFonts w:eastAsia="Calibri" w:cs="Times New Roman"/>
                <w:i/>
                <w:color w:val="000000"/>
                <w:spacing w:val="-2"/>
                <w:sz w:val="21"/>
                <w:szCs w:val="21"/>
                <w:lang w:eastAsia="en-US"/>
              </w:rPr>
            </w:pPr>
            <w:r w:rsidRPr="006C24E6">
              <w:rPr>
                <w:rFonts w:eastAsia="Calibri" w:cs="Times New Roman"/>
                <w:i/>
                <w:color w:val="000000"/>
                <w:spacing w:val="-2"/>
                <w:sz w:val="21"/>
                <w:szCs w:val="21"/>
                <w:lang w:eastAsia="en-US"/>
              </w:rPr>
              <w:t>Łącznie</w:t>
            </w:r>
            <w:r w:rsidRPr="006C24E6" w:rsidDel="0073273A">
              <w:rPr>
                <w:rFonts w:eastAsia="Calibri" w:cs="Times New Roman"/>
                <w:i/>
                <w:color w:val="000000"/>
                <w:spacing w:val="-2"/>
                <w:sz w:val="21"/>
                <w:szCs w:val="21"/>
                <w:lang w:eastAsia="en-US"/>
              </w:rPr>
              <w:t xml:space="preserve"> </w:t>
            </w:r>
            <w:r w:rsidRPr="006C24E6">
              <w:rPr>
                <w:rFonts w:eastAsia="Calibri" w:cs="Times New Roman"/>
                <w:i/>
                <w:color w:val="000000"/>
                <w:spacing w:val="-2"/>
                <w:sz w:val="21"/>
                <w:szCs w:val="21"/>
                <w:lang w:eastAsia="en-US"/>
              </w:rPr>
              <w:t>(0-10)</w:t>
            </w:r>
          </w:p>
        </w:tc>
      </w:tr>
      <w:tr w:rsidR="006C24E6" w:rsidRPr="006C24E6" w:rsidTr="00F91F45">
        <w:trPr>
          <w:trHeight w:val="462"/>
        </w:trPr>
        <w:tc>
          <w:tcPr>
            <w:tcW w:w="1560" w:type="dxa"/>
            <w:vMerge w:val="restart"/>
            <w:shd w:val="clear" w:color="auto" w:fill="FFFFFF"/>
          </w:tcPr>
          <w:p w:rsidR="006C24E6" w:rsidRPr="006C24E6" w:rsidRDefault="006C24E6" w:rsidP="006C24E6">
            <w:pPr>
              <w:widowControl/>
              <w:autoSpaceDE/>
              <w:autoSpaceDN/>
              <w:adjustRightInd/>
              <w:spacing w:line="276" w:lineRule="auto"/>
              <w:jc w:val="left"/>
              <w:rPr>
                <w:rFonts w:eastAsia="Calibri" w:cs="Times New Roman"/>
                <w:color w:val="000000"/>
                <w:sz w:val="21"/>
                <w:szCs w:val="21"/>
                <w:lang w:eastAsia="en-US"/>
              </w:rPr>
            </w:pPr>
            <w:r w:rsidRPr="006C24E6">
              <w:rPr>
                <w:rFonts w:eastAsia="Calibri" w:cs="Times New Roman"/>
                <w:color w:val="000000"/>
                <w:sz w:val="21"/>
                <w:szCs w:val="21"/>
                <w:lang w:eastAsia="en-US"/>
              </w:rPr>
              <w:t>W ujęciu pieniężnym</w:t>
            </w:r>
          </w:p>
          <w:p w:rsidR="006C24E6" w:rsidRPr="006C24E6" w:rsidRDefault="006C24E6" w:rsidP="006C24E6">
            <w:pPr>
              <w:widowControl/>
              <w:autoSpaceDE/>
              <w:autoSpaceDN/>
              <w:adjustRightInd/>
              <w:spacing w:line="276" w:lineRule="auto"/>
              <w:jc w:val="left"/>
              <w:rPr>
                <w:rFonts w:eastAsia="Calibri" w:cs="Times New Roman"/>
                <w:spacing w:val="-2"/>
                <w:sz w:val="21"/>
                <w:szCs w:val="21"/>
                <w:lang w:eastAsia="en-US"/>
              </w:rPr>
            </w:pPr>
            <w:r w:rsidRPr="006C24E6">
              <w:rPr>
                <w:rFonts w:eastAsia="Calibri" w:cs="Times New Roman"/>
                <w:spacing w:val="-2"/>
                <w:sz w:val="21"/>
                <w:szCs w:val="21"/>
                <w:lang w:eastAsia="en-US"/>
              </w:rPr>
              <w:t xml:space="preserve">(w mln zł, </w:t>
            </w:r>
          </w:p>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spacing w:val="-2"/>
                <w:sz w:val="21"/>
                <w:szCs w:val="21"/>
                <w:lang w:eastAsia="en-US"/>
              </w:rPr>
              <w:t>ceny stałe z 2016 r.)</w:t>
            </w:r>
          </w:p>
        </w:tc>
        <w:tc>
          <w:tcPr>
            <w:tcW w:w="2329" w:type="dxa"/>
            <w:gridSpan w:val="5"/>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color w:val="000000"/>
                <w:sz w:val="21"/>
                <w:szCs w:val="21"/>
                <w:lang w:eastAsia="en-US"/>
              </w:rPr>
              <w:t>duże przedsiębiorstwa</w:t>
            </w:r>
          </w:p>
        </w:tc>
        <w:tc>
          <w:tcPr>
            <w:tcW w:w="937" w:type="dxa"/>
            <w:gridSpan w:val="2"/>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4"/>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7"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1684" w:type="dxa"/>
            <w:gridSpan w:val="2"/>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r>
      <w:tr w:rsidR="006C24E6" w:rsidRPr="006C24E6" w:rsidTr="00F91F45">
        <w:trPr>
          <w:trHeight w:val="568"/>
        </w:trPr>
        <w:tc>
          <w:tcPr>
            <w:tcW w:w="1560" w:type="dxa"/>
            <w:vMerge/>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5"/>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color w:val="000000"/>
                <w:sz w:val="21"/>
                <w:szCs w:val="21"/>
                <w:lang w:eastAsia="en-US"/>
              </w:rPr>
              <w:t>sektor mikro-, małych i średnich przedsiębiorstw</w:t>
            </w:r>
          </w:p>
        </w:tc>
        <w:tc>
          <w:tcPr>
            <w:tcW w:w="937" w:type="dxa"/>
            <w:gridSpan w:val="2"/>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4"/>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7"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938" w:type="dxa"/>
            <w:gridSpan w:val="3"/>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c>
          <w:tcPr>
            <w:tcW w:w="1684" w:type="dxa"/>
            <w:gridSpan w:val="2"/>
            <w:shd w:val="clear" w:color="auto" w:fill="FFFFFF"/>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w:t>
            </w:r>
          </w:p>
        </w:tc>
      </w:tr>
      <w:tr w:rsidR="006C24E6" w:rsidRPr="006C24E6" w:rsidTr="00F91F45">
        <w:trPr>
          <w:trHeight w:val="690"/>
        </w:trPr>
        <w:tc>
          <w:tcPr>
            <w:tcW w:w="1560" w:type="dxa"/>
            <w:vMerge/>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5"/>
            <w:shd w:val="clear" w:color="auto" w:fill="FFFFFF"/>
            <w:vAlign w:val="center"/>
          </w:tcPr>
          <w:p w:rsidR="006C24E6" w:rsidRPr="006C24E6" w:rsidRDefault="006C24E6" w:rsidP="006C24E6">
            <w:pPr>
              <w:widowControl/>
              <w:autoSpaceDE/>
              <w:autoSpaceDN/>
              <w:adjustRightInd/>
              <w:spacing w:line="240" w:lineRule="auto"/>
              <w:jc w:val="center"/>
              <w:rPr>
                <w:rFonts w:eastAsia="Calibri" w:cs="Times New Roman"/>
                <w:color w:val="000000"/>
                <w:sz w:val="21"/>
                <w:szCs w:val="21"/>
                <w:lang w:eastAsia="en-US"/>
              </w:rPr>
            </w:pPr>
            <w:r w:rsidRPr="006C24E6">
              <w:rPr>
                <w:rFonts w:eastAsia="Calibri" w:cs="Times New Roman"/>
                <w:sz w:val="21"/>
                <w:szCs w:val="21"/>
                <w:lang w:eastAsia="en-US"/>
              </w:rPr>
              <w:t>obywatele, gospodarstwa domowe</w:t>
            </w:r>
          </w:p>
        </w:tc>
        <w:tc>
          <w:tcPr>
            <w:tcW w:w="937"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938"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938" w:type="dxa"/>
            <w:gridSpan w:val="4"/>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937"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938"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938" w:type="dxa"/>
            <w:gridSpan w:val="3"/>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color w:val="000000"/>
                <w:sz w:val="21"/>
                <w:szCs w:val="21"/>
                <w:lang w:eastAsia="en-US"/>
              </w:rPr>
            </w:pPr>
            <w:r w:rsidRPr="006C24E6">
              <w:rPr>
                <w:rFonts w:eastAsia="Calibri" w:cs="Times New Roman"/>
                <w:color w:val="000000"/>
                <w:sz w:val="21"/>
                <w:szCs w:val="21"/>
                <w:lang w:eastAsia="en-US"/>
              </w:rPr>
              <w:t>0</w:t>
            </w:r>
          </w:p>
        </w:tc>
        <w:tc>
          <w:tcPr>
            <w:tcW w:w="1684" w:type="dxa"/>
            <w:gridSpan w:val="2"/>
            <w:shd w:val="clear" w:color="auto" w:fill="FFFFFF"/>
            <w:vAlign w:val="center"/>
          </w:tcPr>
          <w:p w:rsidR="006C24E6" w:rsidRPr="006C24E6" w:rsidRDefault="006C24E6" w:rsidP="006C24E6">
            <w:pPr>
              <w:widowControl/>
              <w:autoSpaceDE/>
              <w:autoSpaceDN/>
              <w:adjustRightInd/>
              <w:spacing w:line="240" w:lineRule="auto"/>
              <w:jc w:val="right"/>
              <w:rPr>
                <w:rFonts w:eastAsia="Calibri" w:cs="Times New Roman"/>
                <w:color w:val="000000"/>
                <w:spacing w:val="-2"/>
                <w:sz w:val="21"/>
                <w:szCs w:val="21"/>
                <w:lang w:eastAsia="en-US"/>
              </w:rPr>
            </w:pPr>
            <w:r w:rsidRPr="006C24E6">
              <w:rPr>
                <w:rFonts w:eastAsia="Calibri" w:cs="Times New Roman"/>
                <w:color w:val="000000"/>
                <w:spacing w:val="-2"/>
                <w:sz w:val="21"/>
                <w:szCs w:val="21"/>
                <w:lang w:eastAsia="en-US"/>
              </w:rPr>
              <w:t>0</w:t>
            </w:r>
          </w:p>
        </w:tc>
      </w:tr>
      <w:tr w:rsidR="006C24E6" w:rsidRPr="006C24E6" w:rsidTr="00F91F45">
        <w:trPr>
          <w:trHeight w:val="846"/>
        </w:trPr>
        <w:tc>
          <w:tcPr>
            <w:tcW w:w="2243" w:type="dxa"/>
            <w:gridSpan w:val="2"/>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1"/>
                <w:szCs w:val="21"/>
                <w:lang w:eastAsia="en-US"/>
              </w:rPr>
            </w:pPr>
            <w:r w:rsidRPr="006C24E6">
              <w:rPr>
                <w:rFonts w:eastAsia="Calibri" w:cs="Times New Roman"/>
                <w:color w:val="000000"/>
                <w:sz w:val="21"/>
                <w:szCs w:val="21"/>
                <w:lang w:eastAsia="en-US"/>
              </w:rPr>
              <w:t xml:space="preserve">Dodatkowe informacje, w tym wskazanie źródeł danych i przyjętych do obliczeń założeń </w:t>
            </w:r>
          </w:p>
        </w:tc>
        <w:tc>
          <w:tcPr>
            <w:tcW w:w="8956" w:type="dxa"/>
            <w:gridSpan w:val="24"/>
            <w:shd w:val="clear" w:color="auto" w:fill="FFFFFF"/>
            <w:vAlign w:val="center"/>
          </w:tcPr>
          <w:p w:rsidR="006C24E6" w:rsidRPr="006C24E6" w:rsidRDefault="006C24E6" w:rsidP="006C24E6">
            <w:pPr>
              <w:widowControl/>
              <w:autoSpaceDE/>
              <w:autoSpaceDN/>
              <w:adjustRightInd/>
              <w:spacing w:line="240" w:lineRule="auto"/>
              <w:ind w:left="60"/>
              <w:rPr>
                <w:rFonts w:eastAsia="Calibri" w:cs="Times New Roman"/>
                <w:color w:val="000000"/>
                <w:sz w:val="21"/>
                <w:szCs w:val="21"/>
                <w:lang w:eastAsia="en-US"/>
              </w:rPr>
            </w:pPr>
            <w:r w:rsidRPr="006C24E6">
              <w:rPr>
                <w:rFonts w:eastAsia="Calibri" w:cs="Times New Roman"/>
                <w:color w:val="000000"/>
                <w:sz w:val="21"/>
                <w:szCs w:val="21"/>
                <w:lang w:eastAsia="en-US"/>
              </w:rPr>
              <w:t>Kierowcy, którzy zdecydują się przekroczenie prędkości o ponad 50 km/h w obszarze zabudowanym lub przewożenie zbyt dużej liczby pasażerów w celu ratowania życia lub zdrowia drugiego człowieka, nie będą narażeni na karę w postaci zatrzymania prawa jazdy.</w:t>
            </w:r>
          </w:p>
        </w:tc>
      </w:tr>
      <w:tr w:rsidR="006C24E6" w:rsidRPr="006C24E6" w:rsidTr="00F91F45">
        <w:trPr>
          <w:trHeight w:val="342"/>
        </w:trPr>
        <w:tc>
          <w:tcPr>
            <w:tcW w:w="11199" w:type="dxa"/>
            <w:gridSpan w:val="26"/>
            <w:shd w:val="clear" w:color="auto" w:fill="99CCFF"/>
            <w:vAlign w:val="center"/>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color w:val="000000"/>
                <w:sz w:val="22"/>
                <w:szCs w:val="22"/>
                <w:lang w:eastAsia="en-US"/>
              </w:rPr>
              <w:t xml:space="preserve"> Zmiana obciążeń regulacyjnych (w tym obowiązków informacyjnych) wynikających z projektu</w:t>
            </w:r>
          </w:p>
        </w:tc>
      </w:tr>
      <w:tr w:rsidR="006C24E6" w:rsidRPr="006C24E6" w:rsidTr="00F91F45">
        <w:trPr>
          <w:trHeight w:val="151"/>
        </w:trPr>
        <w:tc>
          <w:tcPr>
            <w:tcW w:w="11199" w:type="dxa"/>
            <w:gridSpan w:val="26"/>
            <w:shd w:val="clear" w:color="auto" w:fill="FFFFFF"/>
          </w:tcPr>
          <w:p w:rsidR="006C24E6" w:rsidRPr="006C24E6" w:rsidRDefault="006C24E6" w:rsidP="006C24E6">
            <w:pPr>
              <w:widowControl/>
              <w:autoSpaceDE/>
              <w:autoSpaceDN/>
              <w:adjustRightInd/>
              <w:spacing w:line="240" w:lineRule="auto"/>
              <w:jc w:val="left"/>
              <w:rPr>
                <w:rFonts w:eastAsia="Calibri" w:cs="Times New Roman"/>
                <w:color w:val="000000"/>
                <w:sz w:val="22"/>
                <w:szCs w:val="22"/>
                <w:lang w:eastAsia="en-US"/>
              </w:rPr>
            </w:pPr>
            <w:r w:rsidRPr="006C24E6">
              <w:rPr>
                <w:rFonts w:eastAsia="Calibri" w:cs="Times New Roman"/>
                <w:color w:val="000000"/>
                <w:sz w:val="22"/>
                <w:szCs w:val="22"/>
                <w:lang w:eastAsia="en-US"/>
              </w:rPr>
              <w:fldChar w:fldCharType="begin">
                <w:ffData>
                  <w:name w:val=""/>
                  <w:enabled/>
                  <w:calcOnExit w:val="0"/>
                  <w:checkBox>
                    <w:sizeAuto/>
                    <w:default w:val="1"/>
                  </w:checkBox>
                </w:ffData>
              </w:fldChar>
            </w:r>
            <w:r w:rsidRPr="006C24E6">
              <w:rPr>
                <w:rFonts w:eastAsia="Calibri" w:cs="Times New Roman"/>
                <w:color w:val="000000"/>
                <w:sz w:val="22"/>
                <w:szCs w:val="22"/>
                <w:lang w:eastAsia="en-US"/>
              </w:rPr>
              <w:instrText xml:space="preserve"> FORMCHECKBOX </w:instrText>
            </w:r>
            <w:r w:rsidR="00830122">
              <w:rPr>
                <w:rFonts w:eastAsia="Calibri" w:cs="Times New Roman"/>
                <w:color w:val="000000"/>
                <w:sz w:val="22"/>
                <w:szCs w:val="22"/>
                <w:lang w:eastAsia="en-US"/>
              </w:rPr>
            </w:r>
            <w:r w:rsidR="00830122">
              <w:rPr>
                <w:rFonts w:eastAsia="Calibri" w:cs="Times New Roman"/>
                <w:color w:val="000000"/>
                <w:sz w:val="22"/>
                <w:szCs w:val="22"/>
                <w:lang w:eastAsia="en-US"/>
              </w:rPr>
              <w:fldChar w:fldCharType="separate"/>
            </w:r>
            <w:r w:rsidRPr="006C24E6">
              <w:rPr>
                <w:rFonts w:eastAsia="Calibri" w:cs="Times New Roman"/>
                <w:color w:val="000000"/>
                <w:sz w:val="22"/>
                <w:szCs w:val="22"/>
                <w:lang w:eastAsia="en-US"/>
              </w:rPr>
              <w:fldChar w:fldCharType="end"/>
            </w:r>
            <w:r w:rsidRPr="006C24E6">
              <w:rPr>
                <w:rFonts w:eastAsia="Calibri" w:cs="Times New Roman"/>
                <w:color w:val="000000"/>
                <w:sz w:val="22"/>
                <w:szCs w:val="22"/>
                <w:lang w:eastAsia="en-US"/>
              </w:rPr>
              <w:t xml:space="preserve"> </w:t>
            </w:r>
            <w:r w:rsidRPr="006C24E6">
              <w:rPr>
                <w:rFonts w:eastAsia="Calibri" w:cs="Times New Roman"/>
                <w:color w:val="000000"/>
                <w:spacing w:val="-2"/>
                <w:sz w:val="22"/>
                <w:szCs w:val="22"/>
                <w:lang w:eastAsia="en-US"/>
              </w:rPr>
              <w:t>nie dotyczy</w:t>
            </w:r>
          </w:p>
        </w:tc>
      </w:tr>
      <w:tr w:rsidR="006C24E6" w:rsidRPr="006C24E6" w:rsidTr="00F91F45">
        <w:trPr>
          <w:trHeight w:val="142"/>
        </w:trPr>
        <w:tc>
          <w:tcPr>
            <w:tcW w:w="11199" w:type="dxa"/>
            <w:gridSpan w:val="26"/>
            <w:shd w:val="clear" w:color="auto" w:fill="99CCFF"/>
          </w:tcPr>
          <w:p w:rsidR="006C24E6" w:rsidRPr="006C24E6" w:rsidRDefault="006C24E6" w:rsidP="006C24E6">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6C24E6">
              <w:rPr>
                <w:rFonts w:eastAsia="Calibri" w:cs="Times New Roman"/>
                <w:b/>
                <w:color w:val="000000"/>
                <w:sz w:val="22"/>
                <w:szCs w:val="22"/>
                <w:lang w:eastAsia="en-US"/>
              </w:rPr>
              <w:t xml:space="preserve">Wpływ na rynek pracy </w:t>
            </w:r>
          </w:p>
        </w:tc>
      </w:tr>
      <w:tr w:rsidR="006C24E6" w:rsidRPr="006C24E6" w:rsidTr="00F91F45">
        <w:trPr>
          <w:trHeight w:val="142"/>
        </w:trPr>
        <w:tc>
          <w:tcPr>
            <w:tcW w:w="11199" w:type="dxa"/>
            <w:gridSpan w:val="26"/>
            <w:shd w:val="clear" w:color="auto" w:fill="auto"/>
          </w:tcPr>
          <w:p w:rsidR="006C24E6" w:rsidRPr="006C24E6" w:rsidRDefault="006C24E6" w:rsidP="006C24E6">
            <w:pPr>
              <w:widowControl/>
              <w:autoSpaceDE/>
              <w:autoSpaceDN/>
              <w:adjustRightInd/>
              <w:spacing w:line="240" w:lineRule="auto"/>
              <w:rPr>
                <w:rFonts w:eastAsia="Calibri" w:cs="Times New Roman"/>
                <w:color w:val="000000"/>
                <w:sz w:val="22"/>
                <w:szCs w:val="22"/>
                <w:lang w:eastAsia="en-US"/>
              </w:rPr>
            </w:pPr>
            <w:r w:rsidRPr="006C24E6">
              <w:rPr>
                <w:rFonts w:eastAsia="Calibri" w:cs="Times New Roman"/>
                <w:color w:val="000000"/>
                <w:sz w:val="22"/>
                <w:szCs w:val="22"/>
                <w:lang w:eastAsia="en-US"/>
              </w:rPr>
              <w:t>Nie dotyczy.</w:t>
            </w:r>
          </w:p>
        </w:tc>
      </w:tr>
      <w:tr w:rsidR="006C24E6" w:rsidRPr="006C24E6" w:rsidTr="00F91F45">
        <w:trPr>
          <w:trHeight w:val="142"/>
        </w:trPr>
        <w:tc>
          <w:tcPr>
            <w:tcW w:w="11199" w:type="dxa"/>
            <w:gridSpan w:val="26"/>
            <w:shd w:val="clear" w:color="auto" w:fill="99CCFF"/>
          </w:tcPr>
          <w:p w:rsidR="006C24E6" w:rsidRPr="006C24E6" w:rsidRDefault="006C24E6" w:rsidP="006C24E6">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6C24E6">
              <w:rPr>
                <w:rFonts w:eastAsia="Calibri" w:cs="Times New Roman"/>
                <w:b/>
                <w:color w:val="000000"/>
                <w:sz w:val="22"/>
                <w:szCs w:val="22"/>
                <w:lang w:eastAsia="en-US"/>
              </w:rPr>
              <w:t>Wpływ na pozostałe obszary</w:t>
            </w:r>
          </w:p>
        </w:tc>
      </w:tr>
      <w:tr w:rsidR="006C24E6" w:rsidRPr="006C24E6" w:rsidTr="00F91F45">
        <w:trPr>
          <w:trHeight w:val="189"/>
        </w:trPr>
        <w:tc>
          <w:tcPr>
            <w:tcW w:w="2243" w:type="dxa"/>
            <w:gridSpan w:val="2"/>
            <w:shd w:val="clear" w:color="auto" w:fill="FFFFFF"/>
            <w:vAlign w:val="center"/>
          </w:tcPr>
          <w:p w:rsidR="006C24E6" w:rsidRPr="006C24E6" w:rsidRDefault="006C24E6" w:rsidP="006C24E6">
            <w:pPr>
              <w:widowControl/>
              <w:autoSpaceDE/>
              <w:autoSpaceDN/>
              <w:adjustRightInd/>
              <w:spacing w:line="240" w:lineRule="auto"/>
              <w:jc w:val="left"/>
              <w:rPr>
                <w:rFonts w:eastAsia="Calibri" w:cs="Times New Roman"/>
                <w:color w:val="000000"/>
                <w:sz w:val="22"/>
                <w:szCs w:val="22"/>
                <w:lang w:eastAsia="en-US"/>
              </w:rPr>
            </w:pPr>
            <w:r w:rsidRPr="006C24E6">
              <w:rPr>
                <w:rFonts w:eastAsia="Calibri" w:cs="Times New Roman"/>
                <w:color w:val="000000"/>
                <w:sz w:val="22"/>
                <w:szCs w:val="22"/>
                <w:lang w:eastAsia="en-US"/>
              </w:rPr>
              <w:t>Omówienie wpływu</w:t>
            </w:r>
          </w:p>
        </w:tc>
        <w:tc>
          <w:tcPr>
            <w:tcW w:w="8956" w:type="dxa"/>
            <w:gridSpan w:val="24"/>
            <w:shd w:val="clear" w:color="auto" w:fill="FFFFFF"/>
            <w:vAlign w:val="center"/>
          </w:tcPr>
          <w:p w:rsidR="006C24E6" w:rsidRPr="006C24E6" w:rsidRDefault="006C24E6" w:rsidP="006C24E6">
            <w:pPr>
              <w:widowControl/>
              <w:autoSpaceDE/>
              <w:autoSpaceDN/>
              <w:adjustRightInd/>
              <w:spacing w:line="240" w:lineRule="auto"/>
              <w:rPr>
                <w:rFonts w:eastAsia="Calibri" w:cs="Times New Roman"/>
                <w:color w:val="000000"/>
                <w:spacing w:val="-2"/>
                <w:sz w:val="22"/>
                <w:szCs w:val="22"/>
                <w:lang w:eastAsia="en-US"/>
              </w:rPr>
            </w:pPr>
            <w:r w:rsidRPr="006C24E6">
              <w:rPr>
                <w:rFonts w:eastAsia="Calibri" w:cs="Times New Roman"/>
                <w:color w:val="000000"/>
                <w:spacing w:val="-2"/>
                <w:sz w:val="22"/>
                <w:szCs w:val="22"/>
                <w:lang w:eastAsia="en-US"/>
              </w:rPr>
              <w:t>Nie dotyczy.</w:t>
            </w:r>
          </w:p>
        </w:tc>
      </w:tr>
      <w:tr w:rsidR="006C24E6" w:rsidRPr="006C24E6" w:rsidTr="00F91F45">
        <w:trPr>
          <w:trHeight w:val="142"/>
        </w:trPr>
        <w:tc>
          <w:tcPr>
            <w:tcW w:w="11199" w:type="dxa"/>
            <w:gridSpan w:val="26"/>
            <w:shd w:val="clear" w:color="auto" w:fill="99CCFF"/>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sz w:val="22"/>
                <w:szCs w:val="22"/>
                <w:lang w:eastAsia="en-US"/>
              </w:rPr>
            </w:pPr>
            <w:r w:rsidRPr="006C24E6">
              <w:rPr>
                <w:rFonts w:eastAsia="Calibri" w:cs="Times New Roman"/>
                <w:b/>
                <w:spacing w:val="-2"/>
                <w:sz w:val="21"/>
                <w:szCs w:val="21"/>
                <w:lang w:eastAsia="en-US"/>
              </w:rPr>
              <w:t>Planowane wykonanie przepisów aktu prawnego</w:t>
            </w:r>
          </w:p>
        </w:tc>
      </w:tr>
      <w:tr w:rsidR="006C24E6" w:rsidRPr="006C24E6" w:rsidTr="00F91F45">
        <w:trPr>
          <w:trHeight w:val="142"/>
        </w:trPr>
        <w:tc>
          <w:tcPr>
            <w:tcW w:w="11199" w:type="dxa"/>
            <w:gridSpan w:val="26"/>
            <w:shd w:val="clear" w:color="auto" w:fill="FFFFFF"/>
          </w:tcPr>
          <w:p w:rsidR="006C24E6" w:rsidRPr="006C24E6" w:rsidRDefault="006C24E6" w:rsidP="006C24E6">
            <w:pPr>
              <w:widowControl/>
              <w:autoSpaceDE/>
              <w:autoSpaceDN/>
              <w:adjustRightInd/>
              <w:spacing w:line="240" w:lineRule="auto"/>
              <w:rPr>
                <w:rFonts w:eastAsia="Calibri" w:cs="Times New Roman"/>
                <w:spacing w:val="-2"/>
                <w:sz w:val="22"/>
                <w:szCs w:val="22"/>
                <w:lang w:eastAsia="en-US"/>
              </w:rPr>
            </w:pPr>
            <w:r w:rsidRPr="006C24E6">
              <w:rPr>
                <w:rFonts w:eastAsia="Calibri" w:cs="Times New Roman"/>
                <w:spacing w:val="-2"/>
                <w:sz w:val="22"/>
                <w:szCs w:val="22"/>
                <w:lang w:eastAsia="en-US"/>
              </w:rPr>
              <w:t>Przepisy projektu będą miały zastosowanie od dnia jego wejścia w życie.</w:t>
            </w:r>
          </w:p>
        </w:tc>
      </w:tr>
      <w:tr w:rsidR="006C24E6" w:rsidRPr="006C24E6" w:rsidTr="00F91F45">
        <w:trPr>
          <w:trHeight w:val="142"/>
        </w:trPr>
        <w:tc>
          <w:tcPr>
            <w:tcW w:w="11199" w:type="dxa"/>
            <w:gridSpan w:val="26"/>
            <w:shd w:val="clear" w:color="auto" w:fill="99CCFF"/>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6C24E6">
              <w:rPr>
                <w:rFonts w:eastAsia="Calibri" w:cs="Times New Roman"/>
                <w:b/>
                <w:color w:val="000000"/>
                <w:sz w:val="22"/>
                <w:szCs w:val="22"/>
                <w:lang w:eastAsia="en-US"/>
              </w:rPr>
              <w:t xml:space="preserve"> </w:t>
            </w:r>
            <w:r w:rsidRPr="006C24E6">
              <w:rPr>
                <w:rFonts w:eastAsia="Calibri" w:cs="Times New Roman"/>
                <w:b/>
                <w:spacing w:val="-2"/>
                <w:sz w:val="21"/>
                <w:szCs w:val="21"/>
                <w:lang w:eastAsia="en-US"/>
              </w:rPr>
              <w:t>W jaki sposób i kiedy nastąpi ewaluacja efektów projektu oraz jakie mierniki zostaną zastosowane?</w:t>
            </w:r>
          </w:p>
        </w:tc>
      </w:tr>
      <w:tr w:rsidR="006C24E6" w:rsidRPr="006C24E6" w:rsidTr="00F91F45">
        <w:trPr>
          <w:trHeight w:val="142"/>
        </w:trPr>
        <w:tc>
          <w:tcPr>
            <w:tcW w:w="11199" w:type="dxa"/>
            <w:gridSpan w:val="26"/>
            <w:shd w:val="clear" w:color="auto" w:fill="FFFFFF"/>
          </w:tcPr>
          <w:p w:rsidR="006C24E6" w:rsidRPr="006C24E6" w:rsidRDefault="006C24E6" w:rsidP="006C24E6">
            <w:pPr>
              <w:widowControl/>
              <w:autoSpaceDE/>
              <w:autoSpaceDN/>
              <w:adjustRightInd/>
              <w:spacing w:line="240" w:lineRule="auto"/>
              <w:rPr>
                <w:rFonts w:eastAsia="Calibri" w:cs="Times New Roman"/>
                <w:color w:val="000000"/>
                <w:spacing w:val="-2"/>
                <w:sz w:val="22"/>
                <w:szCs w:val="22"/>
                <w:lang w:eastAsia="en-US"/>
              </w:rPr>
            </w:pPr>
            <w:r w:rsidRPr="006C24E6">
              <w:rPr>
                <w:rFonts w:eastAsia="Calibri" w:cs="Times New Roman"/>
                <w:spacing w:val="-2"/>
                <w:sz w:val="22"/>
                <w:szCs w:val="22"/>
                <w:lang w:eastAsia="en-US"/>
              </w:rPr>
              <w:t>Ewaluacja powinna nastąpić po 3 latach funkcjonowania nowych rozwiązań. Należy zbadać średni czas załatwiania spraw o zatrzymanie prawa jazdy przez starostów oraz w ilu przypadkach odstąpiono od zatrzymania prawa jazdy ze względu na ratowanie przez kierowcę życia lub zdrowia człowieka.</w:t>
            </w:r>
          </w:p>
        </w:tc>
      </w:tr>
      <w:tr w:rsidR="006C24E6" w:rsidRPr="006C24E6" w:rsidTr="00F91F45">
        <w:trPr>
          <w:trHeight w:val="142"/>
        </w:trPr>
        <w:tc>
          <w:tcPr>
            <w:tcW w:w="11199" w:type="dxa"/>
            <w:gridSpan w:val="26"/>
            <w:shd w:val="clear" w:color="auto" w:fill="99CCFF"/>
          </w:tcPr>
          <w:p w:rsidR="006C24E6" w:rsidRPr="006C24E6" w:rsidRDefault="006C24E6" w:rsidP="006C24E6">
            <w:pPr>
              <w:widowControl/>
              <w:numPr>
                <w:ilvl w:val="0"/>
                <w:numId w:val="45"/>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6C24E6">
              <w:rPr>
                <w:rFonts w:eastAsia="Calibri" w:cs="Times New Roman"/>
                <w:b/>
                <w:color w:val="000000"/>
                <w:spacing w:val="-2"/>
                <w:sz w:val="22"/>
                <w:szCs w:val="22"/>
                <w:lang w:eastAsia="en-US"/>
              </w:rPr>
              <w:t xml:space="preserve">Załączniki </w:t>
            </w:r>
            <w:r w:rsidRPr="006C24E6">
              <w:rPr>
                <w:rFonts w:eastAsia="Calibri" w:cs="Times New Roman"/>
                <w:b/>
                <w:spacing w:val="-2"/>
                <w:sz w:val="21"/>
                <w:szCs w:val="21"/>
                <w:lang w:eastAsia="en-US"/>
              </w:rPr>
              <w:t>(istotne dokumenty źródłowe, badania, analizy itp.</w:t>
            </w:r>
            <w:r w:rsidRPr="006C24E6">
              <w:rPr>
                <w:rFonts w:eastAsia="Calibri" w:cs="Times New Roman"/>
                <w:b/>
                <w:color w:val="000000"/>
                <w:spacing w:val="-2"/>
                <w:sz w:val="22"/>
                <w:szCs w:val="22"/>
                <w:lang w:eastAsia="en-US"/>
              </w:rPr>
              <w:t xml:space="preserve">) </w:t>
            </w:r>
          </w:p>
        </w:tc>
      </w:tr>
      <w:tr w:rsidR="006C24E6" w:rsidRPr="006C24E6" w:rsidTr="00F91F45">
        <w:trPr>
          <w:trHeight w:val="142"/>
        </w:trPr>
        <w:tc>
          <w:tcPr>
            <w:tcW w:w="11199" w:type="dxa"/>
            <w:gridSpan w:val="26"/>
            <w:shd w:val="clear" w:color="auto" w:fill="FFFFFF"/>
          </w:tcPr>
          <w:p w:rsidR="006C24E6" w:rsidRPr="006C24E6" w:rsidRDefault="006C24E6" w:rsidP="006C24E6">
            <w:pPr>
              <w:widowControl/>
              <w:autoSpaceDE/>
              <w:autoSpaceDN/>
              <w:adjustRightInd/>
              <w:spacing w:line="240" w:lineRule="auto"/>
              <w:rPr>
                <w:rFonts w:eastAsia="Calibri" w:cs="Times New Roman"/>
                <w:color w:val="000000"/>
                <w:spacing w:val="-2"/>
                <w:sz w:val="22"/>
                <w:szCs w:val="22"/>
                <w:lang w:eastAsia="en-US"/>
              </w:rPr>
            </w:pPr>
            <w:r w:rsidRPr="006C24E6">
              <w:rPr>
                <w:rFonts w:eastAsia="Calibri" w:cs="Times New Roman"/>
                <w:color w:val="000000"/>
                <w:spacing w:val="-2"/>
                <w:sz w:val="22"/>
                <w:szCs w:val="18"/>
                <w:lang w:eastAsia="en-US"/>
              </w:rPr>
              <w:t>Brak.</w:t>
            </w:r>
          </w:p>
        </w:tc>
      </w:tr>
    </w:tbl>
    <w:p w:rsidR="006C24E6" w:rsidRPr="006C24E6" w:rsidRDefault="006C24E6" w:rsidP="006C24E6">
      <w:pPr>
        <w:keepNext/>
        <w:widowControl/>
        <w:autoSpaceDE/>
        <w:autoSpaceDN/>
        <w:adjustRightInd/>
        <w:spacing w:before="240" w:after="60" w:line="240" w:lineRule="auto"/>
        <w:jc w:val="left"/>
        <w:outlineLvl w:val="0"/>
        <w:rPr>
          <w:rFonts w:eastAsia="Times New Roman"/>
          <w:b/>
          <w:bCs/>
          <w:kern w:val="32"/>
          <w:sz w:val="20"/>
        </w:rPr>
      </w:pPr>
    </w:p>
    <w:p w:rsidR="0011257D" w:rsidRDefault="0011257D" w:rsidP="00B5659A">
      <w:pPr>
        <w:pStyle w:val="Tekstpodstawowy"/>
        <w:tabs>
          <w:tab w:val="center" w:pos="6237"/>
        </w:tabs>
        <w:spacing w:line="240" w:lineRule="auto"/>
        <w:ind w:right="-2"/>
        <w:rPr>
          <w:b/>
        </w:rPr>
      </w:pPr>
    </w:p>
    <w:sectPr w:rsidR="0011257D" w:rsidSect="006C24E6">
      <w:headerReference w:type="default" r:id="rId16"/>
      <w:footerReference w:type="default" r:id="rId17"/>
      <w:pgSz w:w="11906" w:h="16838"/>
      <w:pgMar w:top="709" w:right="707" w:bottom="568" w:left="720" w:header="284" w:footer="1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4E6" w:rsidRDefault="006C24E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4F1" w:rsidRDefault="004834F1">
      <w:r>
        <w:separator/>
      </w:r>
    </w:p>
  </w:footnote>
  <w:footnote w:type="continuationSeparator" w:id="0">
    <w:p w:rsidR="004834F1" w:rsidRDefault="004834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E86" w:rsidRDefault="00401E86">
    <w:pPr>
      <w:pStyle w:val="Nagwek"/>
    </w:pPr>
  </w:p>
  <w:p w:rsidR="00401E86" w:rsidRDefault="00401E86">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Default="006C24E6" w:rsidP="00B371CC">
    <w:pPr>
      <w:pStyle w:val="Nagwek"/>
      <w:jc w:val="center"/>
    </w:pPr>
    <w:r>
      <w:t xml:space="preserve">– </w:t>
    </w:r>
    <w:r>
      <w:fldChar w:fldCharType="begin"/>
    </w:r>
    <w:r>
      <w:instrText xml:space="preserve"> PAGE  \* MERGEFORMAT </w:instrText>
    </w:r>
    <w:r>
      <w:fldChar w:fldCharType="separate"/>
    </w:r>
    <w:r w:rsidR="00830122">
      <w:rPr>
        <w:noProof/>
      </w:rPr>
      <w:t>10</w:t>
    </w:r>
    <w:r>
      <w:rPr>
        <w:noProof/>
      </w:rPr>
      <w:fldChar w:fldCharType="end"/>
    </w:r>
    <w:r>
      <w:t xml:space="preserve"> –</w:t>
    </w:r>
  </w:p>
  <w:p w:rsidR="006232FC" w:rsidRPr="00B371CC" w:rsidRDefault="006232FC" w:rsidP="00B371CC">
    <w:pPr>
      <w:pStyle w:val="Nagwek"/>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4E6" w:rsidRPr="00B371CC" w:rsidRDefault="006C24E6" w:rsidP="00B371CC">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401936"/>
    <w:lvl w:ilvl="0">
      <w:start w:val="1"/>
      <w:numFmt w:val="decimal"/>
      <w:lvlText w:val="%1."/>
      <w:lvlJc w:val="left"/>
      <w:pPr>
        <w:tabs>
          <w:tab w:val="num" w:pos="1492"/>
        </w:tabs>
        <w:ind w:left="1492" w:hanging="360"/>
      </w:pPr>
    </w:lvl>
  </w:abstractNum>
  <w:abstractNum w:abstractNumId="1">
    <w:nsid w:val="FFFFFF7D"/>
    <w:multiLevelType w:val="singleLevel"/>
    <w:tmpl w:val="9D3A5A82"/>
    <w:lvl w:ilvl="0">
      <w:start w:val="1"/>
      <w:numFmt w:val="decimal"/>
      <w:lvlText w:val="%1."/>
      <w:lvlJc w:val="left"/>
      <w:pPr>
        <w:tabs>
          <w:tab w:val="num" w:pos="1209"/>
        </w:tabs>
        <w:ind w:left="1209" w:hanging="360"/>
      </w:pPr>
    </w:lvl>
  </w:abstractNum>
  <w:abstractNum w:abstractNumId="2">
    <w:nsid w:val="FFFFFF7E"/>
    <w:multiLevelType w:val="singleLevel"/>
    <w:tmpl w:val="E9C4BFF0"/>
    <w:lvl w:ilvl="0">
      <w:start w:val="1"/>
      <w:numFmt w:val="decimal"/>
      <w:lvlText w:val="%1."/>
      <w:lvlJc w:val="left"/>
      <w:pPr>
        <w:tabs>
          <w:tab w:val="num" w:pos="926"/>
        </w:tabs>
        <w:ind w:left="926" w:hanging="360"/>
      </w:pPr>
    </w:lvl>
  </w:abstractNum>
  <w:abstractNum w:abstractNumId="3">
    <w:nsid w:val="FFFFFF7F"/>
    <w:multiLevelType w:val="singleLevel"/>
    <w:tmpl w:val="5DA059C8"/>
    <w:lvl w:ilvl="0">
      <w:start w:val="1"/>
      <w:numFmt w:val="decimal"/>
      <w:lvlText w:val="%1."/>
      <w:lvlJc w:val="left"/>
      <w:pPr>
        <w:tabs>
          <w:tab w:val="num" w:pos="643"/>
        </w:tabs>
        <w:ind w:left="643" w:hanging="360"/>
      </w:pPr>
    </w:lvl>
  </w:abstractNum>
  <w:abstractNum w:abstractNumId="4">
    <w:nsid w:val="FFFFFF80"/>
    <w:multiLevelType w:val="singleLevel"/>
    <w:tmpl w:val="7812A6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215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1ECF9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C9E5E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9BE2F66"/>
    <w:lvl w:ilvl="0">
      <w:start w:val="1"/>
      <w:numFmt w:val="decimal"/>
      <w:lvlText w:val="%1."/>
      <w:lvlJc w:val="left"/>
      <w:pPr>
        <w:tabs>
          <w:tab w:val="num" w:pos="360"/>
        </w:tabs>
        <w:ind w:left="360" w:hanging="360"/>
      </w:pPr>
    </w:lvl>
  </w:abstractNum>
  <w:abstractNum w:abstractNumId="9">
    <w:nsid w:val="FFFFFF89"/>
    <w:multiLevelType w:val="singleLevel"/>
    <w:tmpl w:val="96ACB44C"/>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634"/>
    <w:rsid w:val="00037E1A"/>
    <w:rsid w:val="00047312"/>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257D"/>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F220F"/>
    <w:rsid w:val="001F6616"/>
    <w:rsid w:val="00202BD4"/>
    <w:rsid w:val="00204A97"/>
    <w:rsid w:val="002114EF"/>
    <w:rsid w:val="002166AD"/>
    <w:rsid w:val="00221ED8"/>
    <w:rsid w:val="00223FDF"/>
    <w:rsid w:val="002279C0"/>
    <w:rsid w:val="002501A3"/>
    <w:rsid w:val="0025166C"/>
    <w:rsid w:val="00260E8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4E3A"/>
    <w:rsid w:val="003361DD"/>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1E86"/>
    <w:rsid w:val="004035BB"/>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232FC"/>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24E6"/>
    <w:rsid w:val="006C4A31"/>
    <w:rsid w:val="006D4082"/>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4AF0"/>
    <w:rsid w:val="00776DC2"/>
    <w:rsid w:val="00780122"/>
    <w:rsid w:val="0078214B"/>
    <w:rsid w:val="00792207"/>
    <w:rsid w:val="00792B64"/>
    <w:rsid w:val="00792E29"/>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0122"/>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5659A"/>
    <w:rsid w:val="00B642FC"/>
    <w:rsid w:val="00B70E22"/>
    <w:rsid w:val="00B774CB"/>
    <w:rsid w:val="00B80402"/>
    <w:rsid w:val="00B80B9A"/>
    <w:rsid w:val="00B830B7"/>
    <w:rsid w:val="00B84B2B"/>
    <w:rsid w:val="00B935A4"/>
    <w:rsid w:val="00BB1E19"/>
    <w:rsid w:val="00BB21D1"/>
    <w:rsid w:val="00BB4338"/>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831"/>
    <w:rsid w:val="00CD5973"/>
    <w:rsid w:val="00CF09AA"/>
    <w:rsid w:val="00CF4813"/>
    <w:rsid w:val="00CF5233"/>
    <w:rsid w:val="00D029B8"/>
    <w:rsid w:val="00D02F60"/>
    <w:rsid w:val="00D07A7B"/>
    <w:rsid w:val="00D10E06"/>
    <w:rsid w:val="00D16820"/>
    <w:rsid w:val="00D32721"/>
    <w:rsid w:val="00D328DC"/>
    <w:rsid w:val="00D402FB"/>
    <w:rsid w:val="00D450F2"/>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46308"/>
    <w:rsid w:val="00E51E17"/>
    <w:rsid w:val="00E539B0"/>
    <w:rsid w:val="00E55994"/>
    <w:rsid w:val="00E60743"/>
    <w:rsid w:val="00E6307C"/>
    <w:rsid w:val="00E636FA"/>
    <w:rsid w:val="00E63BAC"/>
    <w:rsid w:val="00E66C50"/>
    <w:rsid w:val="00E679D3"/>
    <w:rsid w:val="00E71208"/>
    <w:rsid w:val="00E71444"/>
    <w:rsid w:val="00E773E8"/>
    <w:rsid w:val="00E84F38"/>
    <w:rsid w:val="00E85623"/>
    <w:rsid w:val="00E91FAE"/>
    <w:rsid w:val="00EA532E"/>
    <w:rsid w:val="00EB19ED"/>
    <w:rsid w:val="00EC4CEB"/>
    <w:rsid w:val="00ED2072"/>
    <w:rsid w:val="00ED5553"/>
    <w:rsid w:val="00ED5E36"/>
    <w:rsid w:val="00ED6961"/>
    <w:rsid w:val="00EF0B96"/>
    <w:rsid w:val="00EF47A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OZNPROJEKTUwskazaniedatylubwersjiprojektu">
    <w:name w:val="OZN_PROJEKTU – wskazanie daty lub wersji projektu"/>
    <w:next w:val="OZNRODZAKTUtznustawalubrozporzdzenieiorganwydajcy"/>
    <w:qFormat/>
    <w:rsid w:val="006232FC"/>
    <w:pPr>
      <w:jc w:val="right"/>
    </w:pPr>
    <w:rPr>
      <w:rFonts w:ascii="Times New Roman" w:eastAsiaTheme="minorEastAsia" w:hAnsi="Times New Roman" w:cs="Arial"/>
      <w:szCs w:val="20"/>
      <w:u w:val="single"/>
    </w:rPr>
  </w:style>
  <w:style w:type="character" w:customStyle="1" w:styleId="Ppogrubienie">
    <w:name w:val="_P_ – pogrubienie"/>
    <w:basedOn w:val="Domylnaczcionkaakapitu"/>
    <w:uiPriority w:val="1"/>
    <w:qFormat/>
    <w:rsid w:val="006232FC"/>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232FC"/>
    <w:rPr>
      <w:bCs/>
    </w:rPr>
  </w:style>
  <w:style w:type="character" w:customStyle="1" w:styleId="Kkursywa">
    <w:name w:val="_K_ – kursywa"/>
    <w:basedOn w:val="Domylnaczcionkaakapitu"/>
    <w:uiPriority w:val="1"/>
    <w:qFormat/>
    <w:rsid w:val="006232FC"/>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OZNPROJEKTUwskazaniedatylubwersjiprojektu">
    <w:name w:val="OZN_PROJEKTU – wskazanie daty lub wersji projektu"/>
    <w:next w:val="OZNRODZAKTUtznustawalubrozporzdzenieiorganwydajcy"/>
    <w:qFormat/>
    <w:rsid w:val="006232FC"/>
    <w:pPr>
      <w:jc w:val="right"/>
    </w:pPr>
    <w:rPr>
      <w:rFonts w:ascii="Times New Roman" w:eastAsiaTheme="minorEastAsia" w:hAnsi="Times New Roman" w:cs="Arial"/>
      <w:szCs w:val="20"/>
      <w:u w:val="single"/>
    </w:rPr>
  </w:style>
  <w:style w:type="character" w:customStyle="1" w:styleId="Ppogrubienie">
    <w:name w:val="_P_ – pogrubienie"/>
    <w:basedOn w:val="Domylnaczcionkaakapitu"/>
    <w:uiPriority w:val="1"/>
    <w:qFormat/>
    <w:rsid w:val="006232FC"/>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232FC"/>
    <w:rPr>
      <w:bCs/>
    </w:rPr>
  </w:style>
  <w:style w:type="character" w:customStyle="1" w:styleId="Kkursywa">
    <w:name w:val="_K_ – kursywa"/>
    <w:basedOn w:val="Domylnaczcionkaakapitu"/>
    <w:uiPriority w:val="1"/>
    <w:qFormat/>
    <w:rsid w:val="006232FC"/>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lex.senat.pl/lex/index.rpc"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lex.senat.pl/lex/index.rpc"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ex.senat.pl/lex/index.rpc" TargetMode="External"/><Relationship Id="rId5" Type="http://schemas.openxmlformats.org/officeDocument/2006/relationships/webSettings" Target="webSettings.xml"/><Relationship Id="rId15" Type="http://schemas.openxmlformats.org/officeDocument/2006/relationships/hyperlink" Target="http://lex.senat.pl/lex/index.rpc"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lex.senat.pl/lex/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5402</Words>
  <Characters>32418</Characters>
  <Application>Microsoft Office Word</Application>
  <DocSecurity>0</DocSecurity>
  <Lines>270</Lines>
  <Paragraphs>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Ewa A. Genert</cp:lastModifiedBy>
  <cp:revision>2</cp:revision>
  <cp:lastPrinted>2017-11-15T07:33:00Z</cp:lastPrinted>
  <dcterms:created xsi:type="dcterms:W3CDTF">2017-11-24T09:36:00Z</dcterms:created>
  <dcterms:modified xsi:type="dcterms:W3CDTF">2017-11-24T09:36:00Z</dcterms:modified>
</cp:coreProperties>
</file>