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2C4" w:rsidRDefault="008852C4" w:rsidP="00A66A4B">
      <w:pPr>
        <w:pStyle w:val="OZNRODZAKTUtznustawalubrozporzdzenieiorganwydajcy"/>
      </w:pPr>
      <w:bookmarkStart w:id="0" w:name="_GoBack"/>
      <w:bookmarkEnd w:id="0"/>
    </w:p>
    <w:p w:rsidR="0011257D" w:rsidRPr="0011257D" w:rsidRDefault="0011257D" w:rsidP="0011257D">
      <w:pPr>
        <w:pStyle w:val="DATAAKTUdatauchwalenialubwydaniaaktu"/>
      </w:pPr>
    </w:p>
    <w:p w:rsidR="00A66A4B" w:rsidRPr="00A66A4B" w:rsidRDefault="00A66A4B" w:rsidP="00A66A4B">
      <w:pPr>
        <w:pStyle w:val="OZNRODZAKTUtznustawalubrozporzdzenieiorganwydajcy"/>
      </w:pPr>
      <w:r w:rsidRPr="00A66A4B">
        <w:t>UCHWAŁA</w:t>
      </w:r>
    </w:p>
    <w:p w:rsidR="00A66A4B" w:rsidRPr="00A66A4B" w:rsidRDefault="00A66A4B" w:rsidP="00A66A4B">
      <w:pPr>
        <w:pStyle w:val="OZNRODZAKTUtznustawalubrozporzdzenieiorganwydajcy"/>
      </w:pPr>
      <w:r w:rsidRPr="00A66A4B">
        <w:t>SENATU RZECZYPOSPOLITEJ POLSKIEJ</w:t>
      </w:r>
    </w:p>
    <w:p w:rsidR="00A66A4B" w:rsidRPr="00A66A4B" w:rsidRDefault="00A66A4B" w:rsidP="00A66A4B">
      <w:pPr>
        <w:pStyle w:val="DATAAKTUdatauchwalenialubwydaniaaktu"/>
      </w:pPr>
      <w:r w:rsidRPr="00A66A4B">
        <w:t xml:space="preserve">z dnia </w:t>
      </w:r>
      <w:r w:rsidR="004169B2">
        <w:t>10 listopada 2017 r.</w:t>
      </w:r>
    </w:p>
    <w:p w:rsidR="00A66A4B" w:rsidRPr="00A66A4B" w:rsidRDefault="00B1776A" w:rsidP="00A66A4B">
      <w:pPr>
        <w:pStyle w:val="TYTUAKTUprzedmiotregulacjiustawylubrozporzdzenia"/>
      </w:pPr>
      <w:r w:rsidRPr="00B1776A">
        <w:t xml:space="preserve">w sprawie wniesienia do Sejmu projektu ustawy </w:t>
      </w:r>
      <w:r w:rsidR="00A73BBF" w:rsidRPr="00A73BBF">
        <w:t>o zmianie ustawy – Kodeks postępowania cywilnego, ustawy o postępowaniu egzekucyjnym w administracji oraz ustawy o księgach wieczystych i hipotece</w:t>
      </w:r>
    </w:p>
    <w:p w:rsidR="00B1776A" w:rsidRPr="00A73BBF" w:rsidRDefault="00B1776A" w:rsidP="00B1776A">
      <w:pPr>
        <w:pStyle w:val="NIEARTTEKSTtekstnieartykuowanynppreambua"/>
        <w:rPr>
          <w:b/>
        </w:rPr>
      </w:pPr>
      <w:r w:rsidRPr="00B1776A">
        <w:t xml:space="preserve">Na podstawie art. 118 ust. 1 Konstytucji Rzeczypospolitej Polskiej z dnia 2 kwietnia 1997 r., Senat wnosi do Sejmu Rzeczypospolitej Polskiej projekt ustawy </w:t>
      </w:r>
      <w:r w:rsidR="00A73BBF" w:rsidRPr="00A73BBF">
        <w:rPr>
          <w:rStyle w:val="Ppogrubienie"/>
          <w:b w:val="0"/>
        </w:rPr>
        <w:t xml:space="preserve">o zmianie ustawy – Kodeks postępowania cywilnego, ustawy o </w:t>
      </w:r>
      <w:r w:rsidR="00A73BBF">
        <w:rPr>
          <w:rStyle w:val="Ppogrubienie"/>
          <w:b w:val="0"/>
        </w:rPr>
        <w:t>postępowaniu egzekucyjnym w </w:t>
      </w:r>
      <w:r w:rsidR="00A73BBF" w:rsidRPr="00A73BBF">
        <w:rPr>
          <w:rStyle w:val="Ppogrubienie"/>
          <w:b w:val="0"/>
        </w:rPr>
        <w:t>administracji oraz ustawy o księgach wieczystych i hipotece</w:t>
      </w:r>
      <w:r w:rsidRPr="00A73BBF">
        <w:rPr>
          <w:b/>
        </w:rPr>
        <w:t>.</w:t>
      </w:r>
    </w:p>
    <w:p w:rsidR="00B1776A" w:rsidRPr="00B1776A" w:rsidRDefault="00B1776A" w:rsidP="00B1776A">
      <w:pPr>
        <w:pStyle w:val="NIEARTTEKSTtekstnieartykuowanynppreambua"/>
      </w:pPr>
      <w:r w:rsidRPr="00B1776A">
        <w:t xml:space="preserve">Jednocześnie upoważnia senatora </w:t>
      </w:r>
      <w:r w:rsidR="00A73BBF">
        <w:t xml:space="preserve">Aleksandra Szweda </w:t>
      </w:r>
      <w:r w:rsidR="00BE7F18">
        <w:t>do reprezentowania Senatu w </w:t>
      </w:r>
      <w:r w:rsidRPr="00B1776A">
        <w:t>pracach nad projektem.</w:t>
      </w:r>
    </w:p>
    <w:p w:rsidR="00E63BAC" w:rsidRDefault="00E63BAC" w:rsidP="00E63BAC">
      <w:pPr>
        <w:pStyle w:val="ARTartustawynprozporzdzenia"/>
      </w:pPr>
    </w:p>
    <w:p w:rsidR="00E63BAC" w:rsidRDefault="00E63BAC" w:rsidP="00E63BAC">
      <w:pPr>
        <w:pStyle w:val="ARTartustawynprozporzdzenia"/>
      </w:pPr>
    </w:p>
    <w:p w:rsidR="00E63BAC" w:rsidRDefault="00E63BAC" w:rsidP="00E63BAC">
      <w:pPr>
        <w:pStyle w:val="ARTartustawynprozporzdzenia"/>
      </w:pPr>
    </w:p>
    <w:p w:rsidR="0011257D" w:rsidRDefault="0011257D" w:rsidP="0011257D">
      <w:pPr>
        <w:pStyle w:val="Tekstpodstawowy"/>
        <w:tabs>
          <w:tab w:val="center" w:pos="6237"/>
        </w:tabs>
        <w:spacing w:line="240" w:lineRule="auto"/>
        <w:ind w:right="-2"/>
        <w:rPr>
          <w:b/>
        </w:rPr>
      </w:pPr>
      <w:r>
        <w:rPr>
          <w:b/>
        </w:rPr>
        <w:tab/>
        <w:t>MARSZAŁEK SENATU</w:t>
      </w:r>
    </w:p>
    <w:p w:rsidR="0011257D" w:rsidRDefault="0011257D" w:rsidP="0011257D">
      <w:pPr>
        <w:pStyle w:val="Tekstpodstawowy"/>
        <w:tabs>
          <w:tab w:val="center" w:pos="6237"/>
        </w:tabs>
        <w:spacing w:line="240" w:lineRule="auto"/>
        <w:rPr>
          <w:b/>
        </w:rPr>
      </w:pPr>
    </w:p>
    <w:p w:rsidR="0011257D" w:rsidRDefault="0011257D" w:rsidP="0011257D">
      <w:pPr>
        <w:pStyle w:val="Tekstpodstawowy"/>
        <w:tabs>
          <w:tab w:val="center" w:pos="6237"/>
        </w:tabs>
        <w:spacing w:line="240" w:lineRule="auto"/>
        <w:rPr>
          <w:b/>
        </w:rPr>
      </w:pPr>
    </w:p>
    <w:p w:rsidR="0011257D" w:rsidRDefault="0011257D" w:rsidP="0011257D">
      <w:pPr>
        <w:pStyle w:val="Tekstpodstawowy"/>
        <w:tabs>
          <w:tab w:val="center" w:pos="6237"/>
        </w:tabs>
        <w:spacing w:line="240" w:lineRule="auto"/>
        <w:rPr>
          <w:b/>
        </w:rPr>
      </w:pPr>
    </w:p>
    <w:p w:rsidR="0011257D" w:rsidRDefault="0011257D" w:rsidP="0011257D">
      <w:pPr>
        <w:pStyle w:val="Tekstpodstawowy"/>
        <w:tabs>
          <w:tab w:val="center" w:pos="6237"/>
        </w:tabs>
        <w:spacing w:line="240" w:lineRule="auto"/>
        <w:rPr>
          <w:b/>
        </w:rPr>
      </w:pPr>
    </w:p>
    <w:p w:rsidR="0011257D" w:rsidRDefault="0011257D" w:rsidP="0011257D">
      <w:pPr>
        <w:pStyle w:val="Tekstpodstawowy"/>
        <w:tabs>
          <w:tab w:val="center" w:pos="6237"/>
        </w:tabs>
        <w:spacing w:line="240" w:lineRule="auto"/>
        <w:ind w:right="-2"/>
        <w:rPr>
          <w:b/>
        </w:rPr>
      </w:pPr>
      <w:r>
        <w:rPr>
          <w:b/>
        </w:rPr>
        <w:tab/>
        <w:t>Stanisław KARCZEWSKI</w:t>
      </w:r>
    </w:p>
    <w:p w:rsidR="009F74DA" w:rsidRDefault="009F74DA" w:rsidP="0011257D">
      <w:pPr>
        <w:pStyle w:val="Tekstpodstawowy"/>
        <w:tabs>
          <w:tab w:val="center" w:pos="6237"/>
        </w:tabs>
        <w:spacing w:line="240" w:lineRule="auto"/>
        <w:ind w:right="-2"/>
        <w:rPr>
          <w:b/>
        </w:rPr>
        <w:sectPr w:rsidR="009F74DA" w:rsidSect="008852C4">
          <w:headerReference w:type="default" r:id="rId8"/>
          <w:pgSz w:w="11906" w:h="16838"/>
          <w:pgMar w:top="846" w:right="1435" w:bottom="1559" w:left="1418" w:header="709" w:footer="709" w:gutter="0"/>
          <w:cols w:space="708"/>
          <w:titlePg/>
          <w:docGrid w:linePitch="254"/>
        </w:sectPr>
      </w:pPr>
    </w:p>
    <w:p w:rsidR="009F74DA" w:rsidRDefault="009F74DA" w:rsidP="00D42A0D">
      <w:pPr>
        <w:pStyle w:val="OZNPROJEKTUwskazaniedatylubwersjiprojektu"/>
      </w:pPr>
      <w:r>
        <w:lastRenderedPageBreak/>
        <w:t>projekt</w:t>
      </w:r>
    </w:p>
    <w:p w:rsidR="009F74DA" w:rsidRPr="00E000DC" w:rsidRDefault="009F74DA" w:rsidP="004810D7">
      <w:pPr>
        <w:pStyle w:val="OZNRODZAKTUtznustawalubrozporzdzenieiorganwydajcy"/>
      </w:pPr>
      <w:r w:rsidRPr="004810D7">
        <w:t>ustawa</w:t>
      </w:r>
    </w:p>
    <w:p w:rsidR="009F74DA" w:rsidRDefault="009F74DA" w:rsidP="00912118">
      <w:pPr>
        <w:pStyle w:val="DATAAKTUdatauchwalenialubwydaniaaktu"/>
      </w:pPr>
      <w:r w:rsidRPr="00E000DC">
        <w:t>z dnia</w:t>
      </w:r>
      <w:r>
        <w:t xml:space="preserve"> </w:t>
      </w:r>
    </w:p>
    <w:p w:rsidR="009F74DA" w:rsidRPr="001710A3" w:rsidRDefault="009F74DA" w:rsidP="004810D7">
      <w:pPr>
        <w:pStyle w:val="TYTUAKTUprzedmiotregulacjiustawylubrozporzdzenia"/>
      </w:pPr>
      <w:r>
        <w:t>o zmianie ustawy – Kodeks postępowania cywilnego, ustawy o postępowaniu egzekucyjnym w administracji oraz ustawy o księgach wieczystych i hipotece</w:t>
      </w:r>
    </w:p>
    <w:p w:rsidR="009F74DA" w:rsidRDefault="009F74DA" w:rsidP="004810D7">
      <w:pPr>
        <w:pStyle w:val="ARTartustawynprozporzdzenia"/>
      </w:pPr>
      <w:r w:rsidRPr="006443F8">
        <w:rPr>
          <w:rStyle w:val="Ppogrubienie"/>
        </w:rPr>
        <w:t>Art. 1.</w:t>
      </w:r>
      <w:r w:rsidRPr="00395332">
        <w:t xml:space="preserve"> </w:t>
      </w:r>
      <w:r w:rsidRPr="00D30936">
        <w:t>W ustawie z dnia</w:t>
      </w:r>
      <w:r>
        <w:t xml:space="preserve"> </w:t>
      </w:r>
      <w:r w:rsidRPr="00D30936">
        <w:t>17 listopada 1964 r. – Kodeks postępowania cywilnego (Dz. U. z 2016 r. poz. 1822</w:t>
      </w:r>
      <w:r>
        <w:t xml:space="preserve">, z </w:t>
      </w:r>
      <w:proofErr w:type="spellStart"/>
      <w:r>
        <w:t>późn</w:t>
      </w:r>
      <w:proofErr w:type="spellEnd"/>
      <w:r>
        <w:t>. zm.</w:t>
      </w:r>
      <w:r>
        <w:rPr>
          <w:rStyle w:val="Odwoanieprzypisudolnego"/>
        </w:rPr>
        <w:footnoteReference w:id="1"/>
      </w:r>
      <w:r>
        <w:rPr>
          <w:rStyle w:val="IGindeksgrny"/>
        </w:rPr>
        <w:t>)</w:t>
      </w:r>
      <w:r>
        <w:t>) w art. 754</w:t>
      </w:r>
      <w:r>
        <w:rPr>
          <w:rStyle w:val="IGindeksgrny"/>
        </w:rPr>
        <w:t>1</w:t>
      </w:r>
      <w:r>
        <w:t xml:space="preserve"> § 1 otrzymuje brzmienie:</w:t>
      </w:r>
      <w:r w:rsidRPr="00D30936">
        <w:t xml:space="preserve"> </w:t>
      </w:r>
    </w:p>
    <w:p w:rsidR="009F74DA" w:rsidRDefault="009F74DA" w:rsidP="00433845">
      <w:pPr>
        <w:pStyle w:val="ZUSTzmustartykuempunktem"/>
      </w:pPr>
      <w:r w:rsidRPr="00433845">
        <w:t xml:space="preserve">„§ 1. Jeżeli przepis szczególny nie stanowi inaczej albo jeżeli sąd inaczej nie postanowi, zabezpieczenie udzielone według przepisów niniejszego tytułu upada po upływie </w:t>
      </w:r>
      <w:r>
        <w:t>dwóch miesięcy</w:t>
      </w:r>
      <w:r w:rsidRPr="00433845">
        <w:t xml:space="preserve"> od uprawomocnienia się orzeczenia uwzględniającego roszczenie, które podlegało zabezpieczeniu, </w:t>
      </w:r>
      <w:r w:rsidRPr="003D6629">
        <w:t>albo od uprawomocnienia się postanowienia o odrzuceniu apelacji lub innego środka zaskarżenia wniesionego przez obowiązanego od orzeczenia uwzględniającego roszczenie, które podlegało zabezpieczeniu</w:t>
      </w:r>
      <w:r>
        <w:t xml:space="preserve">, </w:t>
      </w:r>
      <w:r w:rsidRPr="00433845">
        <w:t>chyba że uprawniony wniósł o dokonanie czynności egzekucyjnych.”</w:t>
      </w:r>
      <w:r>
        <w:t>.</w:t>
      </w:r>
    </w:p>
    <w:p w:rsidR="009F74DA" w:rsidRPr="001B7782" w:rsidRDefault="009F74DA" w:rsidP="001B7782">
      <w:pPr>
        <w:pStyle w:val="ARTartustawynprozporzdzenia"/>
      </w:pPr>
      <w:r w:rsidRPr="00A72187">
        <w:rPr>
          <w:rStyle w:val="Ppogrubienie"/>
        </w:rPr>
        <w:t>Art. 2.</w:t>
      </w:r>
      <w:r w:rsidRPr="00A72187">
        <w:t xml:space="preserve"> </w:t>
      </w:r>
      <w:r w:rsidRPr="001B7782">
        <w:t>W ustawie z dnia 17 czerwca 1966 r. o postępowaniu egzekucyjnym w administracji (Dz. U. z 2017 r. poz. 1201</w:t>
      </w:r>
      <w:r>
        <w:t>, 1475 i 1954</w:t>
      </w:r>
      <w:r w:rsidRPr="001B7782">
        <w:t>) w art. 15</w:t>
      </w:r>
      <w:r>
        <w:t>4</w:t>
      </w:r>
      <w:r w:rsidRPr="001B7782">
        <w:t xml:space="preserve"> dodaje się § 8 w</w:t>
      </w:r>
      <w:r>
        <w:t> </w:t>
      </w:r>
      <w:r w:rsidRPr="001B7782">
        <w:t>brzmieniu:</w:t>
      </w:r>
    </w:p>
    <w:p w:rsidR="009F74DA" w:rsidRPr="00A72187" w:rsidRDefault="009F74DA" w:rsidP="001B7782">
      <w:pPr>
        <w:pStyle w:val="ZUSTzmustartykuempunktem"/>
      </w:pPr>
      <w:r w:rsidRPr="001B7782">
        <w:t>„§ 8. Jeżeli ustawa nie stanowi inaczej lub organ egzekucyjny</w:t>
      </w:r>
      <w:r>
        <w:t>, na wniosek wierzyciela,</w:t>
      </w:r>
      <w:r w:rsidRPr="001B7782">
        <w:t xml:space="preserve"> nie postanowi inaczej, zabezpieczenie, o</w:t>
      </w:r>
      <w:r>
        <w:t xml:space="preserve"> którym mowa w art. 164 § 1 pkt </w:t>
      </w:r>
      <w:r w:rsidRPr="001B7782">
        <w:t>2–5, wygasa po upływie dwóch miesięcy od dnia doręczenia decyzji lub innego orzeczenia podlegającego wykonaniu w sprawie, w której dokonano zabezpieczenia, albo doręczenia postanowienia o nadaniu rygoru natychmiastowej wykonalności, chyba że wierzyciel wystawił tytuł wykonawczy na zabezpieczoną należność pieniężną.”</w:t>
      </w:r>
      <w:r>
        <w:t>.</w:t>
      </w:r>
    </w:p>
    <w:p w:rsidR="009F74DA" w:rsidRDefault="009F74DA" w:rsidP="004810D7">
      <w:pPr>
        <w:pStyle w:val="ARTartustawynprozporzdzenia"/>
      </w:pPr>
      <w:r w:rsidRPr="006443F8">
        <w:rPr>
          <w:rStyle w:val="Ppogrubienie"/>
        </w:rPr>
        <w:t xml:space="preserve">Art. </w:t>
      </w:r>
      <w:r>
        <w:rPr>
          <w:rStyle w:val="Ppogrubienie"/>
        </w:rPr>
        <w:t>3</w:t>
      </w:r>
      <w:r w:rsidRPr="006443F8">
        <w:rPr>
          <w:rStyle w:val="Ppogrubienie"/>
        </w:rPr>
        <w:t>.</w:t>
      </w:r>
      <w:r>
        <w:t xml:space="preserve"> W ustawie z dnia </w:t>
      </w:r>
      <w:r w:rsidRPr="00FD5AD9">
        <w:t>6 lipca 1982 r.</w:t>
      </w:r>
      <w:r>
        <w:t xml:space="preserve"> o księgach wieczystych i hipotece (Dz. U. z 2017 r. poz. 1007) po art. 111</w:t>
      </w:r>
      <w:r>
        <w:rPr>
          <w:rStyle w:val="IGindeksgrny"/>
        </w:rPr>
        <w:t>1</w:t>
      </w:r>
      <w:r>
        <w:t xml:space="preserve"> dodaje się art. 111</w:t>
      </w:r>
      <w:r>
        <w:rPr>
          <w:rStyle w:val="IGindeksgrny"/>
        </w:rPr>
        <w:t>2</w:t>
      </w:r>
      <w:r>
        <w:t xml:space="preserve"> w brzmieniu:</w:t>
      </w:r>
    </w:p>
    <w:p w:rsidR="009F74DA" w:rsidRPr="00F12527" w:rsidRDefault="009F74DA" w:rsidP="003A2DC1">
      <w:pPr>
        <w:pStyle w:val="ZARTzmartartykuempunktem"/>
      </w:pPr>
      <w:r w:rsidRPr="008C666A">
        <w:t>„</w:t>
      </w:r>
      <w:r w:rsidRPr="00F12527">
        <w:t>Art. 111</w:t>
      </w:r>
      <w:r w:rsidRPr="00A84B52">
        <w:rPr>
          <w:rStyle w:val="IGindeksgrny"/>
        </w:rPr>
        <w:t>2</w:t>
      </w:r>
      <w:r w:rsidRPr="00F12527">
        <w:t>. 1. Wierzyciel, który uzyskał hipotekę przymusową na podstawie art.</w:t>
      </w:r>
      <w:r>
        <w:t> </w:t>
      </w:r>
      <w:r w:rsidRPr="00F12527">
        <w:t xml:space="preserve">110 pkt 1, może żądać, w terminie </w:t>
      </w:r>
      <w:r>
        <w:t>dwóch miesięcy</w:t>
      </w:r>
      <w:r w:rsidRPr="00F12527">
        <w:t xml:space="preserve"> od dnia uprawomocnienia się orzeczenia uwzględniającego roszczenie,</w:t>
      </w:r>
      <w:r>
        <w:t xml:space="preserve"> </w:t>
      </w:r>
      <w:r w:rsidRPr="00F12527">
        <w:t xml:space="preserve">które podlegało zabezpieczeniu, </w:t>
      </w:r>
      <w:r w:rsidRPr="000946EA">
        <w:t xml:space="preserve">albo od </w:t>
      </w:r>
      <w:r w:rsidRPr="000946EA">
        <w:lastRenderedPageBreak/>
        <w:t>uprawomocnienia się postanowienia o odrzuceniu apelacji lub innego środka zaskarżenia wniesionego przez dłużnika od orzeczenia uwzględniającego roszczenie, które podlegało zabezpieczeniu,</w:t>
      </w:r>
      <w:r>
        <w:t xml:space="preserve"> </w:t>
      </w:r>
      <w:r w:rsidRPr="00F12527">
        <w:t xml:space="preserve">zmiany treści hipoteki na podstawie tytułu wykonawczego </w:t>
      </w:r>
      <w:r w:rsidRPr="00FC7350">
        <w:t xml:space="preserve">określonego w przepisach o postępowaniu egzekucyjnym, </w:t>
      </w:r>
      <w:r w:rsidRPr="00F12527">
        <w:t>stwierdzającego zabezpieczoną wierzytelność.</w:t>
      </w:r>
    </w:p>
    <w:p w:rsidR="009F74DA" w:rsidRPr="00F12527" w:rsidRDefault="009F74DA" w:rsidP="003A2DC1">
      <w:pPr>
        <w:pStyle w:val="ZUSTzmustartykuempunktem"/>
      </w:pPr>
      <w:r w:rsidRPr="00F12527">
        <w:t>2. Zmiana treści hipoteki nie może zwiększyć zak</w:t>
      </w:r>
      <w:r>
        <w:t>resu zaspokojenia wierzyciela z </w:t>
      </w:r>
      <w:r w:rsidRPr="00F12527">
        <w:t>nieruchomości obciążonej bez zgody osób, którym przysługują prawa z</w:t>
      </w:r>
      <w:r>
        <w:t> </w:t>
      </w:r>
      <w:r w:rsidRPr="00F12527">
        <w:t>pierwszeństwem równym lub niższym.</w:t>
      </w:r>
    </w:p>
    <w:p w:rsidR="009F74DA" w:rsidRDefault="009F74DA" w:rsidP="003A2DC1">
      <w:pPr>
        <w:pStyle w:val="ZUSTzmustartykuempunktem"/>
      </w:pPr>
      <w:r w:rsidRPr="00F12527">
        <w:t xml:space="preserve">3. Przepisy ust. 1 i 2 stosuje się </w:t>
      </w:r>
      <w:r>
        <w:t xml:space="preserve">odpowiednio </w:t>
      </w:r>
      <w:r w:rsidRPr="00F12527">
        <w:t xml:space="preserve">do wierzyciela, który uzyskał hipotekę przymusową na podstawie art. 110 pkt 2 </w:t>
      </w:r>
      <w:r>
        <w:t xml:space="preserve">albo </w:t>
      </w:r>
      <w:r w:rsidRPr="00F12527">
        <w:t>3 w zakresie</w:t>
      </w:r>
      <w:r>
        <w:t>,</w:t>
      </w:r>
      <w:r w:rsidRPr="00F12527">
        <w:t xml:space="preserve"> w jakim decyzja administracyjna nie była ostateczna.</w:t>
      </w:r>
    </w:p>
    <w:p w:rsidR="009F74DA" w:rsidRDefault="009F74DA" w:rsidP="003A2DC1">
      <w:pPr>
        <w:pStyle w:val="ZUSTzmustartykuempunktem"/>
      </w:pPr>
      <w:r w:rsidRPr="007975FE">
        <w:t xml:space="preserve">4. Wierzyciel, który uzyskał hipotekę przymusową na podstawie art. 110 pkt </w:t>
      </w:r>
      <w:r>
        <w:t>4 lub </w:t>
      </w:r>
      <w:r w:rsidRPr="007975FE">
        <w:t>5, może żądać, w terminie dwóch miesięcy od dnia doręczenia decyzji lub innego orzeczenia podlegającego wykonaniu w sprawie, w której dokonano zabezpieczenia, albo doręczenia postanowienia o nadaniu rygoru natychmiastowej wykonalności, zmiany treści hipoteki na podstawie tytułu wykonawc</w:t>
      </w:r>
      <w:r>
        <w:t>zego określonego w przepisach o </w:t>
      </w:r>
      <w:r w:rsidRPr="007975FE">
        <w:t>postępowaniu egzekucyjnym, stwierdzającego zabezpieczoną wierzytelność. Przepis ust. 2 stosuje się odpowiednio.</w:t>
      </w:r>
      <w:r w:rsidRPr="00F12527">
        <w:t>”</w:t>
      </w:r>
      <w:r>
        <w:t>.</w:t>
      </w:r>
    </w:p>
    <w:p w:rsidR="009F74DA" w:rsidRDefault="009F74DA" w:rsidP="004810D7">
      <w:pPr>
        <w:pStyle w:val="ARTartustawynprozporzdzenia"/>
      </w:pPr>
      <w:r w:rsidRPr="006443F8">
        <w:rPr>
          <w:rStyle w:val="Ppogrubienie"/>
        </w:rPr>
        <w:t xml:space="preserve">Art. </w:t>
      </w:r>
      <w:r>
        <w:rPr>
          <w:rStyle w:val="Ppogrubienie"/>
        </w:rPr>
        <w:t>4</w:t>
      </w:r>
      <w:r w:rsidRPr="007975FE">
        <w:rPr>
          <w:rStyle w:val="Ppogrubienie"/>
        </w:rPr>
        <w:t>.</w:t>
      </w:r>
      <w:r w:rsidRPr="007975FE">
        <w:t xml:space="preserve"> 1. </w:t>
      </w:r>
      <w:r w:rsidRPr="00147E6C">
        <w:t>Do zabezpieczeń udzielonych w sposób określony w art. 747 pkt 2–5 ustawy zmienianej w art. 1, które nie upadły przed dniem wejścia w życie niniejszej ustawy</w:t>
      </w:r>
      <w:r>
        <w:t>,</w:t>
      </w:r>
      <w:r w:rsidRPr="00147E6C">
        <w:t xml:space="preserve"> stosuje się przepis art. 754</w:t>
      </w:r>
      <w:r w:rsidRPr="007A1782">
        <w:rPr>
          <w:rStyle w:val="IGindeksgrny"/>
        </w:rPr>
        <w:t>1</w:t>
      </w:r>
      <w:r w:rsidRPr="00147E6C">
        <w:t xml:space="preserve"> § 1 ustawy zmienianej w art. 1, w brzmieniu nadanym niniejszą ustawą.</w:t>
      </w:r>
    </w:p>
    <w:p w:rsidR="009F74DA" w:rsidRDefault="009F74DA" w:rsidP="00D82C29">
      <w:pPr>
        <w:pStyle w:val="USTustnpkodeksu"/>
      </w:pPr>
      <w:r>
        <w:t xml:space="preserve">2. Do zabezpieczeń udzielonych </w:t>
      </w:r>
      <w:r w:rsidRPr="00855E2F">
        <w:t>przed dniem wejścia w życie niniejszej ustawy</w:t>
      </w:r>
      <w:r w:rsidRPr="00BC521E">
        <w:t xml:space="preserve"> </w:t>
      </w:r>
      <w:r>
        <w:t>w </w:t>
      </w:r>
      <w:r w:rsidRPr="00147E6C">
        <w:t xml:space="preserve">sposób określony w art. </w:t>
      </w:r>
      <w:r w:rsidRPr="001B7782">
        <w:t>164 § 1 pkt 2–5</w:t>
      </w:r>
      <w:r>
        <w:t xml:space="preserve"> </w:t>
      </w:r>
      <w:r w:rsidRPr="00147E6C">
        <w:t xml:space="preserve">ustawy zmienianej w art. </w:t>
      </w:r>
      <w:r>
        <w:t xml:space="preserve">2 </w:t>
      </w:r>
      <w:r w:rsidRPr="00147E6C">
        <w:t>stosuje się przepis art</w:t>
      </w:r>
      <w:r>
        <w:t>. </w:t>
      </w:r>
      <w:r w:rsidRPr="001B7782">
        <w:t>15</w:t>
      </w:r>
      <w:r w:rsidRPr="00D05572">
        <w:t xml:space="preserve">4 § 8 </w:t>
      </w:r>
      <w:r w:rsidRPr="006E7DC3">
        <w:t xml:space="preserve">ustawy zmienianej w art. </w:t>
      </w:r>
      <w:r>
        <w:t>2</w:t>
      </w:r>
      <w:r w:rsidRPr="006E7DC3">
        <w:t>.</w:t>
      </w:r>
    </w:p>
    <w:p w:rsidR="009F74DA" w:rsidRPr="00395332" w:rsidRDefault="009F74DA" w:rsidP="00C360B1">
      <w:pPr>
        <w:pStyle w:val="USTustnpkodeksu"/>
      </w:pPr>
      <w:r>
        <w:t>3. Do hipotek, o których mowa w art. 110 ustawy zmienianej w art. 3, ustanowionych przed dniem wejścia w życie niniejszej ustawy, stosuje się przepisy art. 111</w:t>
      </w:r>
      <w:r>
        <w:rPr>
          <w:rStyle w:val="IGindeksgrny"/>
        </w:rPr>
        <w:t>2</w:t>
      </w:r>
      <w:r>
        <w:t xml:space="preserve"> ustawy zmienianej w art. 3.</w:t>
      </w:r>
    </w:p>
    <w:p w:rsidR="009F74DA" w:rsidRPr="004810D7" w:rsidRDefault="009F74DA" w:rsidP="00FC7350">
      <w:pPr>
        <w:pStyle w:val="ARTartustawynprozporzdzenia"/>
      </w:pPr>
      <w:r w:rsidRPr="00395332">
        <w:rPr>
          <w:rStyle w:val="Ppogrubienie"/>
        </w:rPr>
        <w:t xml:space="preserve">Art. </w:t>
      </w:r>
      <w:r>
        <w:rPr>
          <w:rStyle w:val="Ppogrubienie"/>
        </w:rPr>
        <w:t>5</w:t>
      </w:r>
      <w:r w:rsidRPr="00395332">
        <w:rPr>
          <w:rStyle w:val="Ppogrubienie"/>
        </w:rPr>
        <w:t xml:space="preserve">. </w:t>
      </w:r>
      <w:r>
        <w:t xml:space="preserve">Ustawa wchodzi w życie </w:t>
      </w:r>
      <w:r w:rsidRPr="00A624BC">
        <w:t>po upływie 14 dni od dnia ogłoszenia</w:t>
      </w:r>
      <w:r>
        <w:t>.</w:t>
      </w:r>
    </w:p>
    <w:p w:rsidR="00267254" w:rsidRDefault="00267254" w:rsidP="0011257D">
      <w:pPr>
        <w:pStyle w:val="Tekstpodstawowy"/>
        <w:tabs>
          <w:tab w:val="center" w:pos="6237"/>
        </w:tabs>
        <w:spacing w:line="240" w:lineRule="auto"/>
        <w:ind w:right="-2"/>
        <w:rPr>
          <w:b/>
        </w:rPr>
        <w:sectPr w:rsidR="00267254" w:rsidSect="009F74DA">
          <w:headerReference w:type="default" r:id="rId9"/>
          <w:headerReference w:type="first" r:id="rId10"/>
          <w:pgSz w:w="11906" w:h="16838"/>
          <w:pgMar w:top="1814" w:right="1435" w:bottom="1559" w:left="1418" w:header="851" w:footer="978" w:gutter="0"/>
          <w:pgNumType w:start="1"/>
          <w:cols w:space="708"/>
          <w:titlePg/>
          <w:docGrid w:linePitch="254"/>
        </w:sectPr>
      </w:pPr>
    </w:p>
    <w:p w:rsidR="00267254" w:rsidRPr="00613011" w:rsidRDefault="00267254" w:rsidP="00613011">
      <w:pPr>
        <w:pStyle w:val="OZNRODZAKTUtznustawalubrozporzdzenieiorganwydajcy"/>
      </w:pPr>
      <w:r w:rsidRPr="00613011">
        <w:lastRenderedPageBreak/>
        <w:t>UZASADNIENIE</w:t>
      </w:r>
    </w:p>
    <w:p w:rsidR="00267254" w:rsidRDefault="00267254" w:rsidP="0015321A">
      <w:pPr>
        <w:pStyle w:val="NIEARTTEKSTtekstnieartykuowanynppodstprawnarozplubpreambua"/>
      </w:pPr>
    </w:p>
    <w:p w:rsidR="00267254" w:rsidRPr="0015321A" w:rsidRDefault="00267254" w:rsidP="0015321A">
      <w:pPr>
        <w:pStyle w:val="NIEARTTEKSTtekstnieartykuowanynppodstprawnarozplubpreambua"/>
        <w:ind w:firstLine="0"/>
        <w:rPr>
          <w:rStyle w:val="Ppogrubienie"/>
        </w:rPr>
      </w:pPr>
      <w:r w:rsidRPr="0015321A">
        <w:rPr>
          <w:rStyle w:val="Ppogrubienie"/>
        </w:rPr>
        <w:t>1. Cel projektowanej ustawy</w:t>
      </w:r>
    </w:p>
    <w:p w:rsidR="00267254" w:rsidRDefault="00267254" w:rsidP="0015321A">
      <w:pPr>
        <w:pStyle w:val="NIEARTTEKSTtekstnieartykuowanynppodstprawnarozplubpreambua"/>
      </w:pPr>
      <w:r w:rsidRPr="00B14E14">
        <w:t xml:space="preserve">Projektowana ustawa o zmianie ustawy </w:t>
      </w:r>
      <w:r>
        <w:t xml:space="preserve">– Kodeks postępowania cywilnego, ustawy </w:t>
      </w:r>
      <w:r>
        <w:rPr>
          <w:spacing w:val="-2"/>
        </w:rPr>
        <w:t>o </w:t>
      </w:r>
      <w:r w:rsidRPr="003B7E3D">
        <w:rPr>
          <w:spacing w:val="-2"/>
        </w:rPr>
        <w:t>postępowaniu egzekucyjnym w administracji oraz ustawy o księgach wieczystych i hipotece</w:t>
      </w:r>
      <w:r>
        <w:t xml:space="preserve"> ma na celu</w:t>
      </w:r>
      <w:r w:rsidRPr="00B14E14">
        <w:t xml:space="preserve"> </w:t>
      </w:r>
      <w:r>
        <w:t>dostosowanie systemu prawa do</w:t>
      </w:r>
      <w:r w:rsidRPr="00B14E14">
        <w:t xml:space="preserve"> wyroku Trybunału Konstytucyjnego </w:t>
      </w:r>
      <w:r>
        <w:t>z dnia 25</w:t>
      </w:r>
      <w:r w:rsidRPr="00510A18">
        <w:t xml:space="preserve"> </w:t>
      </w:r>
      <w:r>
        <w:t>października</w:t>
      </w:r>
      <w:r w:rsidRPr="00510A18">
        <w:t xml:space="preserve"> 201</w:t>
      </w:r>
      <w:r>
        <w:t>6 r. (sygn. akt SK 71</w:t>
      </w:r>
      <w:r w:rsidRPr="00510A18">
        <w:t>/1</w:t>
      </w:r>
      <w:r>
        <w:t>3</w:t>
      </w:r>
      <w:r w:rsidRPr="00510A18">
        <w:t>)</w:t>
      </w:r>
      <w:r w:rsidRPr="00B14E14">
        <w:t>, stwierdzając</w:t>
      </w:r>
      <w:r>
        <w:t>ego</w:t>
      </w:r>
      <w:r w:rsidRPr="00B14E14">
        <w:t xml:space="preserve"> niezgodność </w:t>
      </w:r>
      <w:r w:rsidRPr="00510A18">
        <w:t xml:space="preserve">art. </w:t>
      </w:r>
      <w:r>
        <w:t>754</w:t>
      </w:r>
      <w:r>
        <w:rPr>
          <w:rStyle w:val="IGindeksgrny"/>
        </w:rPr>
        <w:t>1</w:t>
      </w:r>
      <w:r>
        <w:t xml:space="preserve"> § 1 </w:t>
      </w:r>
      <w:r w:rsidRPr="00D22F3C">
        <w:rPr>
          <w:spacing w:val="-2"/>
        </w:rPr>
        <w:t xml:space="preserve">ustawy z dnia </w:t>
      </w:r>
      <w:r>
        <w:rPr>
          <w:spacing w:val="-2"/>
        </w:rPr>
        <w:t>17 listopada 1964 r. – Kodeks postępowania cywilnego (Dz. U. z 2016 r. poz. 1822 z  </w:t>
      </w:r>
      <w:proofErr w:type="spellStart"/>
      <w:r>
        <w:rPr>
          <w:spacing w:val="-2"/>
        </w:rPr>
        <w:t>późn</w:t>
      </w:r>
      <w:proofErr w:type="spellEnd"/>
      <w:r>
        <w:rPr>
          <w:spacing w:val="-2"/>
        </w:rPr>
        <w:t>. zm.; dalej jako k.p.c.) z</w:t>
      </w:r>
      <w:r>
        <w:t xml:space="preserve"> </w:t>
      </w:r>
      <w:r w:rsidRPr="003F3F05">
        <w:rPr>
          <w:spacing w:val="-2"/>
        </w:rPr>
        <w:t xml:space="preserve">Konstytucją. Sentencja powołanego orzeczenia </w:t>
      </w:r>
      <w:r>
        <w:rPr>
          <w:spacing w:val="-2"/>
        </w:rPr>
        <w:t xml:space="preserve">została opublikowana w Dz. U. z </w:t>
      </w:r>
      <w:r w:rsidRPr="003F3F05">
        <w:rPr>
          <w:spacing w:val="-2"/>
        </w:rPr>
        <w:t>dnia</w:t>
      </w:r>
      <w:r w:rsidRPr="00B14E14">
        <w:t xml:space="preserve"> </w:t>
      </w:r>
      <w:r>
        <w:t>29 grudnia</w:t>
      </w:r>
      <w:r w:rsidRPr="00B14E14">
        <w:t xml:space="preserve"> 201</w:t>
      </w:r>
      <w:r>
        <w:t>6</w:t>
      </w:r>
      <w:r w:rsidRPr="00B14E14">
        <w:t xml:space="preserve"> r.</w:t>
      </w:r>
      <w:r>
        <w:t>,</w:t>
      </w:r>
      <w:r w:rsidRPr="00B14E14">
        <w:t xml:space="preserve"> poz.</w:t>
      </w:r>
      <w:r>
        <w:t xml:space="preserve"> 2199</w:t>
      </w:r>
      <w:r w:rsidRPr="00B14E14">
        <w:t>. Pełny tekst rozstrzygnięcia, wraz z uzasadnieniem, ukazał się w</w:t>
      </w:r>
      <w:r>
        <w:t xml:space="preserve"> </w:t>
      </w:r>
      <w:r w:rsidRPr="00B14E14">
        <w:t xml:space="preserve">OTK ZU </w:t>
      </w:r>
      <w:r>
        <w:t>A</w:t>
      </w:r>
      <w:r w:rsidRPr="00B14E14">
        <w:t xml:space="preserve"> poz. </w:t>
      </w:r>
      <w:r>
        <w:t>81</w:t>
      </w:r>
      <w:r w:rsidRPr="00B14E14">
        <w:t>.</w:t>
      </w:r>
    </w:p>
    <w:p w:rsidR="00267254" w:rsidRPr="0015321A" w:rsidRDefault="00267254" w:rsidP="0015321A"/>
    <w:p w:rsidR="00267254" w:rsidRPr="0015321A" w:rsidRDefault="00267254" w:rsidP="00C50587">
      <w:pPr>
        <w:rPr>
          <w:rStyle w:val="Ppogrubienie"/>
        </w:rPr>
      </w:pPr>
      <w:r w:rsidRPr="0015321A">
        <w:rPr>
          <w:rStyle w:val="Ppogrubienie"/>
        </w:rPr>
        <w:t>2. Przedmiot i istota wypowiedzi Trybunału Konstytucyjnego</w:t>
      </w:r>
    </w:p>
    <w:p w:rsidR="00267254" w:rsidRDefault="00267254" w:rsidP="005C51E8">
      <w:pPr>
        <w:pStyle w:val="ARTartustawynprozporzdzenia"/>
      </w:pPr>
      <w:r>
        <w:t xml:space="preserve">2.1. Trybunał orzekł, że </w:t>
      </w:r>
      <w:r>
        <w:rPr>
          <w:spacing w:val="-2"/>
        </w:rPr>
        <w:t xml:space="preserve">art. </w:t>
      </w:r>
      <w:r w:rsidRPr="0015145B">
        <w:rPr>
          <w:spacing w:val="-2"/>
        </w:rPr>
        <w:t>754</w:t>
      </w:r>
      <w:r w:rsidRPr="0015145B">
        <w:rPr>
          <w:rStyle w:val="IGindeksgrny"/>
        </w:rPr>
        <w:t>1</w:t>
      </w:r>
      <w:r w:rsidRPr="0015145B">
        <w:rPr>
          <w:spacing w:val="-2"/>
        </w:rPr>
        <w:t xml:space="preserve"> § 1 </w:t>
      </w:r>
      <w:r>
        <w:rPr>
          <w:spacing w:val="-2"/>
        </w:rPr>
        <w:t>k.p.c.</w:t>
      </w:r>
      <w:r w:rsidRPr="0015145B">
        <w:rPr>
          <w:spacing w:val="-2"/>
        </w:rPr>
        <w:t xml:space="preserve"> w zakresie, w jakim odnosi si</w:t>
      </w:r>
      <w:r>
        <w:rPr>
          <w:spacing w:val="-2"/>
        </w:rPr>
        <w:t>ę do zabezpieczenia przez obcią</w:t>
      </w:r>
      <w:r w:rsidRPr="0015145B">
        <w:rPr>
          <w:spacing w:val="-2"/>
        </w:rPr>
        <w:t>żenie nieruchomości obowiązanego hipoteką przymusową</w:t>
      </w:r>
      <w:r>
        <w:rPr>
          <w:spacing w:val="-2"/>
        </w:rPr>
        <w:t xml:space="preserve"> </w:t>
      </w:r>
      <w:r w:rsidRPr="0015145B">
        <w:rPr>
          <w:spacing w:val="-2"/>
        </w:rPr>
        <w:t>jest niezgodny z art. 64 ust. 1 w</w:t>
      </w:r>
      <w:r>
        <w:rPr>
          <w:spacing w:val="-2"/>
        </w:rPr>
        <w:t xml:space="preserve"> </w:t>
      </w:r>
      <w:r w:rsidRPr="0015145B">
        <w:rPr>
          <w:spacing w:val="-2"/>
        </w:rPr>
        <w:t>zw</w:t>
      </w:r>
      <w:r>
        <w:rPr>
          <w:spacing w:val="-2"/>
        </w:rPr>
        <w:t>.</w:t>
      </w:r>
      <w:r w:rsidRPr="0015145B">
        <w:rPr>
          <w:spacing w:val="-2"/>
        </w:rPr>
        <w:t xml:space="preserve"> z art. 31 ust. 3 oraz art. 45 ust. 1 Konstytucji</w:t>
      </w:r>
      <w:r>
        <w:rPr>
          <w:spacing w:val="-2"/>
        </w:rPr>
        <w:t xml:space="preserve"> </w:t>
      </w:r>
      <w:r w:rsidRPr="0016713A">
        <w:t>Rzeczypospolitej Polskiej</w:t>
      </w:r>
      <w:r>
        <w:t>.</w:t>
      </w:r>
    </w:p>
    <w:p w:rsidR="00267254" w:rsidRPr="00783522" w:rsidRDefault="00267254" w:rsidP="00D47039">
      <w:pPr>
        <w:pStyle w:val="ARTartustawynprozporzdzenia"/>
      </w:pPr>
      <w:r>
        <w:t xml:space="preserve">2.2. Stosownie do art. </w:t>
      </w:r>
      <w:r w:rsidRPr="0015145B">
        <w:rPr>
          <w:spacing w:val="-2"/>
        </w:rPr>
        <w:t>754</w:t>
      </w:r>
      <w:r w:rsidRPr="0015145B">
        <w:rPr>
          <w:rStyle w:val="IGindeksgrny"/>
        </w:rPr>
        <w:t>1</w:t>
      </w:r>
      <w:r w:rsidRPr="0015145B">
        <w:rPr>
          <w:spacing w:val="-2"/>
        </w:rPr>
        <w:t xml:space="preserve"> § 1 </w:t>
      </w:r>
      <w:r>
        <w:rPr>
          <w:spacing w:val="-2"/>
        </w:rPr>
        <w:t xml:space="preserve">k.p.c., w brzmieniu poddanym kontroli TK, </w:t>
      </w:r>
      <w:r>
        <w:t xml:space="preserve">jeżeli przepis </w:t>
      </w:r>
      <w:r w:rsidRPr="00953F56">
        <w:rPr>
          <w:spacing w:val="-2"/>
        </w:rPr>
        <w:t>szczególny nie stanowi inaczej albo jeżeli sąd inaczej nie postanowi, zabezpieczenie udzielone</w:t>
      </w:r>
      <w:r>
        <w:t xml:space="preserve"> według przepisów tytułu II („Zabezpieczenie roszczeń pieniężnych”) upada po upływie miesiąca od uprawomocnienia się orzeczenia uwzględniającego roszczenie, które podlegało zabezpieczeniu.</w:t>
      </w:r>
    </w:p>
    <w:p w:rsidR="00267254" w:rsidRPr="00E14FBF" w:rsidRDefault="00267254" w:rsidP="00E14FBF">
      <w:pPr>
        <w:pStyle w:val="ARTartustawynprozporzdzenia"/>
      </w:pPr>
      <w:r>
        <w:t xml:space="preserve">Przepisem szczególnym w rozumieniu art. </w:t>
      </w:r>
      <w:r w:rsidRPr="0015145B">
        <w:rPr>
          <w:spacing w:val="-2"/>
        </w:rPr>
        <w:t>754</w:t>
      </w:r>
      <w:r w:rsidRPr="0015145B">
        <w:rPr>
          <w:rStyle w:val="IGindeksgrny"/>
        </w:rPr>
        <w:t>1</w:t>
      </w:r>
      <w:r w:rsidRPr="0015145B">
        <w:rPr>
          <w:spacing w:val="-2"/>
        </w:rPr>
        <w:t xml:space="preserve"> § 1 </w:t>
      </w:r>
      <w:r>
        <w:rPr>
          <w:spacing w:val="-2"/>
        </w:rPr>
        <w:t>k.p.c.</w:t>
      </w:r>
      <w:r w:rsidRPr="0015145B">
        <w:rPr>
          <w:spacing w:val="-2"/>
        </w:rPr>
        <w:t xml:space="preserve"> </w:t>
      </w:r>
      <w:r>
        <w:t xml:space="preserve">jest chociażby art. </w:t>
      </w:r>
      <w:r w:rsidRPr="0015145B">
        <w:rPr>
          <w:spacing w:val="-2"/>
        </w:rPr>
        <w:t>754</w:t>
      </w:r>
      <w:r w:rsidRPr="0015145B">
        <w:rPr>
          <w:rStyle w:val="IGindeksgrny"/>
        </w:rPr>
        <w:t>1</w:t>
      </w:r>
      <w:r w:rsidRPr="0015145B">
        <w:rPr>
          <w:spacing w:val="-2"/>
        </w:rPr>
        <w:t xml:space="preserve"> § </w:t>
      </w:r>
      <w:r>
        <w:rPr>
          <w:spacing w:val="-2"/>
        </w:rPr>
        <w:t>2</w:t>
      </w:r>
      <w:r w:rsidRPr="0015145B">
        <w:rPr>
          <w:spacing w:val="-2"/>
        </w:rPr>
        <w:t xml:space="preserve"> </w:t>
      </w:r>
      <w:r>
        <w:rPr>
          <w:spacing w:val="-2"/>
        </w:rPr>
        <w:t xml:space="preserve">k.p.c., zgodnie z którym </w:t>
      </w:r>
      <w:r>
        <w:t xml:space="preserve">w sprawach, w których udzielono zabezpieczenia przy zastosowaniu art. 747 pkt 1 lub pkt 6, zabezpieczenie upada, jeżeli uprawniony w terminie dwóch tygodni od uprawomocnienia się orzeczenia uwzględniającego roszczenie nie wniósł o dokonanie </w:t>
      </w:r>
      <w:r w:rsidRPr="00D471CC">
        <w:rPr>
          <w:spacing w:val="-2"/>
        </w:rPr>
        <w:t>dalszych czynności egzekucyjnych (brzmienie obowiązujące w dniu orzekania przez Trybunał).</w:t>
      </w:r>
      <w:r>
        <w:t xml:space="preserve"> Ogólna zasada wyrażona w art. </w:t>
      </w:r>
      <w:r w:rsidRPr="0015145B">
        <w:rPr>
          <w:spacing w:val="-2"/>
        </w:rPr>
        <w:t>754</w:t>
      </w:r>
      <w:r w:rsidRPr="0015145B">
        <w:rPr>
          <w:rStyle w:val="IGindeksgrny"/>
        </w:rPr>
        <w:t>1</w:t>
      </w:r>
      <w:r w:rsidRPr="0015145B">
        <w:rPr>
          <w:spacing w:val="-2"/>
        </w:rPr>
        <w:t xml:space="preserve"> § 1 </w:t>
      </w:r>
      <w:r>
        <w:rPr>
          <w:spacing w:val="-2"/>
        </w:rPr>
        <w:t>k.p.c. znajduje zatem zastosowanie w odniesieniu do następujących przypadków zabezpieczenia roszczeń pieniężnych określonych w art. 747:</w:t>
      </w:r>
    </w:p>
    <w:p w:rsidR="00267254" w:rsidRDefault="00267254" w:rsidP="00633ED8">
      <w:r>
        <w:rPr>
          <w:spacing w:val="-2"/>
        </w:rPr>
        <w:t xml:space="preserve">– obciążenie </w:t>
      </w:r>
      <w:r>
        <w:t>nieruchomości obowiązanego hipoteką przymusową (pkt 2),</w:t>
      </w:r>
    </w:p>
    <w:p w:rsidR="00267254" w:rsidRDefault="00267254" w:rsidP="00633ED8">
      <w:r>
        <w:t xml:space="preserve">– ustanowienie zakazu zbywania lub obciążania nieruchomości, która nie ma urządzonej </w:t>
      </w:r>
      <w:r>
        <w:lastRenderedPageBreak/>
        <w:t>księgi wieczystej lub której księga wieczysta zaginęła lub uległa zniszczeniu (pkt 3),</w:t>
      </w:r>
    </w:p>
    <w:p w:rsidR="00267254" w:rsidRDefault="00267254" w:rsidP="00633ED8">
      <w:r>
        <w:t>– obciążenie statku albo statku w budowie hipoteką morską (pkt 4),</w:t>
      </w:r>
    </w:p>
    <w:p w:rsidR="00267254" w:rsidRDefault="00267254" w:rsidP="00633ED8">
      <w:r>
        <w:t>– ustanowienie zakazu zbywania spółdzielczego własnościowego prawa do lokalu (pkt 5).</w:t>
      </w:r>
    </w:p>
    <w:p w:rsidR="00267254" w:rsidRDefault="00267254" w:rsidP="00633ED8">
      <w:pPr>
        <w:rPr>
          <w:spacing w:val="-2"/>
        </w:rPr>
      </w:pPr>
      <w:r w:rsidRPr="007E4E04">
        <w:t xml:space="preserve">Natomiast w przypadku </w:t>
      </w:r>
      <w:r>
        <w:t xml:space="preserve">zabezpieczenia polegającego na </w:t>
      </w:r>
      <w:r w:rsidRPr="007E4E04">
        <w:t>zajęci</w:t>
      </w:r>
      <w:r>
        <w:t>u</w:t>
      </w:r>
      <w:r w:rsidRPr="007E4E04">
        <w:t xml:space="preserve"> ruchomości, wynagrodzenia za pracę, wierzytelności z rachunku bankowego albo innej wierzytelności lub innego prawa </w:t>
      </w:r>
      <w:r w:rsidRPr="007E4E04">
        <w:rPr>
          <w:spacing w:val="-3"/>
        </w:rPr>
        <w:t>majątkowego (art. 747 pkt 1) oraz sprowadzającego się do ustanowienia zarządu przymusowego</w:t>
      </w:r>
      <w:r>
        <w:t xml:space="preserve"> </w:t>
      </w:r>
      <w:r w:rsidRPr="007E4E04">
        <w:rPr>
          <w:spacing w:val="-2"/>
        </w:rPr>
        <w:t>nad przedsiębiorstwem lub gospodarstwem rolnym obowiązanego albo zakładem wchodzącym w</w:t>
      </w:r>
      <w:r>
        <w:t xml:space="preserve"> skład przedsiębiorstwa lub jego częścią albo częścią gospodarstwa rolnego obowiązanego (art. 747 pkt 6) w rachubę wchodzi już </w:t>
      </w:r>
      <w:r w:rsidRPr="00573673">
        <w:rPr>
          <w:rStyle w:val="Kkursywa"/>
        </w:rPr>
        <w:t xml:space="preserve">lex </w:t>
      </w:r>
      <w:proofErr w:type="spellStart"/>
      <w:r w:rsidRPr="00573673">
        <w:rPr>
          <w:rStyle w:val="Kkursywa"/>
        </w:rPr>
        <w:t>specialis</w:t>
      </w:r>
      <w:proofErr w:type="spellEnd"/>
      <w:r>
        <w:t xml:space="preserve"> z art. </w:t>
      </w:r>
      <w:r w:rsidRPr="0015145B">
        <w:rPr>
          <w:spacing w:val="-2"/>
        </w:rPr>
        <w:t>754</w:t>
      </w:r>
      <w:r w:rsidRPr="0015145B">
        <w:rPr>
          <w:rStyle w:val="IGindeksgrny"/>
        </w:rPr>
        <w:t>1</w:t>
      </w:r>
      <w:r w:rsidRPr="0015145B">
        <w:rPr>
          <w:spacing w:val="-2"/>
        </w:rPr>
        <w:t xml:space="preserve"> § </w:t>
      </w:r>
      <w:r>
        <w:rPr>
          <w:spacing w:val="-2"/>
        </w:rPr>
        <w:t>2</w:t>
      </w:r>
      <w:r w:rsidRPr="0015145B">
        <w:rPr>
          <w:spacing w:val="-2"/>
        </w:rPr>
        <w:t xml:space="preserve"> </w:t>
      </w:r>
      <w:r>
        <w:rPr>
          <w:spacing w:val="-2"/>
        </w:rPr>
        <w:t>k.p.c.</w:t>
      </w:r>
    </w:p>
    <w:p w:rsidR="00267254" w:rsidRPr="00783522" w:rsidRDefault="00267254" w:rsidP="00633ED8">
      <w:pPr>
        <w:pStyle w:val="ARTartustawynprozporzdzenia"/>
      </w:pPr>
      <w:r>
        <w:t xml:space="preserve">Wedle dominującej linii orzeczniczej sądów powszechnych, przewidziany </w:t>
      </w:r>
      <w:r>
        <w:rPr>
          <w:spacing w:val="-2"/>
        </w:rPr>
        <w:t>w</w:t>
      </w:r>
      <w:r>
        <w:t xml:space="preserve"> art. </w:t>
      </w:r>
      <w:r w:rsidRPr="0015145B">
        <w:rPr>
          <w:spacing w:val="-2"/>
        </w:rPr>
        <w:t>754</w:t>
      </w:r>
      <w:r w:rsidRPr="0015145B">
        <w:rPr>
          <w:rStyle w:val="IGindeksgrny"/>
        </w:rPr>
        <w:t>1</w:t>
      </w:r>
      <w:r w:rsidRPr="0015145B">
        <w:rPr>
          <w:spacing w:val="-2"/>
        </w:rPr>
        <w:t xml:space="preserve"> §</w:t>
      </w:r>
      <w:r>
        <w:rPr>
          <w:spacing w:val="-2"/>
        </w:rPr>
        <w:t>  </w:t>
      </w:r>
      <w:r w:rsidRPr="0015145B">
        <w:rPr>
          <w:spacing w:val="-2"/>
        </w:rPr>
        <w:t xml:space="preserve">1 </w:t>
      </w:r>
      <w:r>
        <w:rPr>
          <w:spacing w:val="-2"/>
        </w:rPr>
        <w:t xml:space="preserve">k.p.c. </w:t>
      </w:r>
      <w:r>
        <w:t xml:space="preserve">skutek w postaci </w:t>
      </w:r>
      <w:r>
        <w:rPr>
          <w:spacing w:val="-2"/>
        </w:rPr>
        <w:t>upadku zabezpieczenia w żaden sposób nie jest powiązany z postawą uprawnionego wierzyciela. W konsekwencji więc złożenie przez niego wniosku o nadanie tytułowi egzekucyjnemu klauzuli wykonalności czy też nawet wniosku o wszczęcie egzekucji nie przerywało biegu terminu miesięcznego i tym samym nie mogło zapobiec np. wygaśnięciu hipoteki przymusowej ustanowionej na zasadzie art. 747 pkt 2 k.p.c.</w:t>
      </w:r>
      <w:r>
        <w:t xml:space="preserve"> Wierzyciel, który w tym czasie nie uzyskał zaspokojenia </w:t>
      </w:r>
      <w:r w:rsidRPr="008C1F4D">
        <w:t>(</w:t>
      </w:r>
      <w:r>
        <w:t>co</w:t>
      </w:r>
      <w:r w:rsidRPr="008C1F4D">
        <w:t xml:space="preserve"> w przypadku egzekucji prowadzonej </w:t>
      </w:r>
      <w:r>
        <w:t xml:space="preserve">wyłącznie </w:t>
      </w:r>
      <w:r w:rsidRPr="008C1F4D">
        <w:t xml:space="preserve">z nieruchomości jest w </w:t>
      </w:r>
      <w:r>
        <w:t>praktyc</w:t>
      </w:r>
      <w:r w:rsidRPr="008C1F4D">
        <w:t>e nierealne ze</w:t>
      </w:r>
      <w:r>
        <w:t xml:space="preserve"> względu na złożoną i długotrwałą procedurę), nie mógł być pewny, że uda mu </w:t>
      </w:r>
      <w:r w:rsidRPr="0039338E">
        <w:rPr>
          <w:spacing w:val="-3"/>
        </w:rPr>
        <w:t>się wyegzekwować należną sumę. Pomijając bowiem samą możliwość zbycia nieruchomości</w:t>
      </w:r>
      <w:r>
        <w:t xml:space="preserve"> przez dłużnika, nie można było wykluczyć </w:t>
      </w:r>
      <w:r w:rsidRPr="00B3494A">
        <w:t>np.</w:t>
      </w:r>
      <w:r>
        <w:t xml:space="preserve"> </w:t>
      </w:r>
      <w:r w:rsidRPr="00B3494A">
        <w:t>ustanowienia na przedmiotowej nieruchomości innych hipotek. W takim</w:t>
      </w:r>
      <w:r>
        <w:t xml:space="preserve"> przypadku hipoteki te korzystałyby z pierwszeństwa przed ewentualną hipoteką przymusową, ustanowioną na rzecz wierzyciela na podstawie tytułu wykonawczego (por. art. 109 ust. 1 ustawy z dnia 6  lipca 1982 r. o księgach wieczystych i hipotece – Dz. U. z 2016 r. poz. 790, z </w:t>
      </w:r>
      <w:proofErr w:type="spellStart"/>
      <w:r>
        <w:t>późn</w:t>
      </w:r>
      <w:proofErr w:type="spellEnd"/>
      <w:r>
        <w:t xml:space="preserve">. zm.; dalej jako </w:t>
      </w:r>
      <w:proofErr w:type="spellStart"/>
      <w:r>
        <w:t>u.k.w.h</w:t>
      </w:r>
      <w:proofErr w:type="spellEnd"/>
      <w:r>
        <w:t xml:space="preserve">.). Poza tym – tak jak to w istocie było w stanie faktycznym stanowiącym tło dla wypowiedzi Trybunału – mogło dojść do </w:t>
      </w:r>
      <w:r w:rsidRPr="00A17636">
        <w:rPr>
          <w:spacing w:val="-3"/>
        </w:rPr>
        <w:t>ogłoszenia upadłości dłużnika</w:t>
      </w:r>
      <w:r>
        <w:rPr>
          <w:spacing w:val="-3"/>
        </w:rPr>
        <w:t>, w następstwie czego</w:t>
      </w:r>
      <w:r w:rsidRPr="00A17636">
        <w:rPr>
          <w:spacing w:val="-3"/>
        </w:rPr>
        <w:t xml:space="preserve"> nieruchomość, która była pierwotnie obciążona</w:t>
      </w:r>
      <w:r>
        <w:t xml:space="preserve"> hipoteką przymusową w ramach zabezpieczenia, wchodziła do masy upadłości.</w:t>
      </w:r>
    </w:p>
    <w:p w:rsidR="00267254" w:rsidRDefault="00267254" w:rsidP="00DF65D2">
      <w:pPr>
        <w:pStyle w:val="ARTartustawynprozporzdzenia"/>
      </w:pPr>
      <w:r w:rsidRPr="0047395F">
        <w:rPr>
          <w:spacing w:val="-3"/>
        </w:rPr>
        <w:t xml:space="preserve">2.3. </w:t>
      </w:r>
      <w:r>
        <w:t>Trybunał zaakcentował w pierwszej kolejności, że „</w:t>
      </w:r>
      <w:r w:rsidRPr="00555762">
        <w:t xml:space="preserve">wprowadzając termin, po </w:t>
      </w:r>
      <w:r>
        <w:t xml:space="preserve">upływie którego – ustanowiona w </w:t>
      </w:r>
      <w:r w:rsidRPr="00555762">
        <w:t>postępowaniu zabezpieczającym</w:t>
      </w:r>
      <w:r>
        <w:t xml:space="preserve"> – hipoteka przymusowa wygasa </w:t>
      </w:r>
      <w:r w:rsidRPr="00D15CB0">
        <w:rPr>
          <w:spacing w:val="-2"/>
        </w:rPr>
        <w:t>z mocy ustawy, prawodawca ograniczył realizację prawa majątkowego wierzyciela, na którego</w:t>
      </w:r>
      <w:r w:rsidRPr="00555762">
        <w:t xml:space="preserve"> wniosek ustanowiono zabezpieczenie. Należy jednakże podkreślić, że istotą analizowanego zagadnienia nie jest ani sama długość terminu (tj. miesiąc liczony od </w:t>
      </w:r>
      <w:r w:rsidRPr="00555762">
        <w:lastRenderedPageBreak/>
        <w:t xml:space="preserve">uprawomocnienia się orzeczenia uwzględniającego roszczenie), ani skutek jego upływu (upadek zabezpieczenia </w:t>
      </w:r>
      <w:r w:rsidRPr="00555762">
        <w:rPr>
          <w:i/>
        </w:rPr>
        <w:t>ex lege</w:t>
      </w:r>
      <w:r w:rsidRPr="00555762">
        <w:t>). Problem konstytucyjny sprowadza się bowiem do pytania, czy</w:t>
      </w:r>
      <w:r>
        <w:t xml:space="preserve"> </w:t>
      </w:r>
      <w:r w:rsidRPr="00555762">
        <w:t xml:space="preserve">uniezależnienie biegu </w:t>
      </w:r>
      <w:r w:rsidRPr="00C05E12">
        <w:rPr>
          <w:spacing w:val="-3"/>
        </w:rPr>
        <w:t>terminu od dalszych czynności egzekucyjnych wierzyciela stanowi nieproporcjonalną ingerencję</w:t>
      </w:r>
      <w:r w:rsidRPr="00555762">
        <w:t xml:space="preserve"> w</w:t>
      </w:r>
      <w:r>
        <w:t xml:space="preserve"> </w:t>
      </w:r>
      <w:r w:rsidRPr="00555762">
        <w:t>jego prawa majątkowe, zabezpieczone hipoteką przymusową obciążającą nieruchomość dłużnika</w:t>
      </w:r>
      <w:r>
        <w:t>”.</w:t>
      </w:r>
    </w:p>
    <w:p w:rsidR="00267254" w:rsidRDefault="00267254" w:rsidP="00DF65D2">
      <w:pPr>
        <w:pStyle w:val="ARTartustawynprozporzdzenia"/>
      </w:pPr>
      <w:r>
        <w:t>Zdaniem sądu konstytucyjnego, termin z art. 754</w:t>
      </w:r>
      <w:r>
        <w:rPr>
          <w:vertAlign w:val="superscript"/>
        </w:rPr>
        <w:t>1</w:t>
      </w:r>
      <w:r>
        <w:t xml:space="preserve"> § 1 k.p.c., a także powiązany z nim skutek, są</w:t>
      </w:r>
      <w:r w:rsidRPr="00555762">
        <w:t xml:space="preserve"> niewątpliwie przydatn</w:t>
      </w:r>
      <w:r>
        <w:t>e</w:t>
      </w:r>
      <w:r w:rsidRPr="00555762">
        <w:t xml:space="preserve"> do ochrony dłużnika przed bezterminowym ograniczeniem </w:t>
      </w:r>
      <w:r w:rsidRPr="004B4529">
        <w:rPr>
          <w:spacing w:val="-2"/>
        </w:rPr>
        <w:t>jego praw wynikającym z postanowienia o udzieleniu zabezpieczenia. Niemniej charakter tego</w:t>
      </w:r>
      <w:r w:rsidRPr="00555762">
        <w:t xml:space="preserve"> </w:t>
      </w:r>
      <w:r w:rsidRPr="004B4529">
        <w:rPr>
          <w:spacing w:val="-4"/>
        </w:rPr>
        <w:t>terminu, wyrażający się w uniezależnieniu jego upływu od czynności egzekucyjnych wierzyciela,</w:t>
      </w:r>
      <w:r w:rsidRPr="00555762">
        <w:t xml:space="preserve"> </w:t>
      </w:r>
      <w:r w:rsidRPr="000858BD">
        <w:rPr>
          <w:spacing w:val="-2"/>
        </w:rPr>
        <w:t>powoduje, że zaskarżony przepis nie realizuje intencji prawodawcy. Trzeba bowiem pamiętać,</w:t>
      </w:r>
      <w:r w:rsidRPr="00555762">
        <w:t xml:space="preserve"> że </w:t>
      </w:r>
      <w:r w:rsidRPr="00555762">
        <w:rPr>
          <w:i/>
        </w:rPr>
        <w:t>ratio legis</w:t>
      </w:r>
      <w:r w:rsidRPr="00555762">
        <w:t xml:space="preserve"> </w:t>
      </w:r>
      <w:r w:rsidRPr="00555762">
        <w:rPr>
          <w:rFonts w:eastAsia="SimSun"/>
          <w:lang w:eastAsia="zh-CN"/>
        </w:rPr>
        <w:t xml:space="preserve">art. </w:t>
      </w:r>
      <w:r w:rsidRPr="00555762">
        <w:t>754</w:t>
      </w:r>
      <w:r w:rsidRPr="00555762">
        <w:rPr>
          <w:vertAlign w:val="superscript"/>
        </w:rPr>
        <w:t>1</w:t>
      </w:r>
      <w:r w:rsidRPr="00555762">
        <w:t xml:space="preserve"> § 1 k</w:t>
      </w:r>
      <w:r>
        <w:t>.</w:t>
      </w:r>
      <w:r w:rsidRPr="00555762">
        <w:t>p</w:t>
      </w:r>
      <w:r>
        <w:t>.</w:t>
      </w:r>
      <w:r w:rsidRPr="00555762">
        <w:t>c</w:t>
      </w:r>
      <w:r>
        <w:t>.</w:t>
      </w:r>
      <w:r w:rsidRPr="00555762">
        <w:t xml:space="preserve"> była ochrona dłużnika przy równoczesnej mobilizacji </w:t>
      </w:r>
      <w:r w:rsidRPr="00795F4A">
        <w:t>wierzyciela do jak najszybszego uczynienia użytku z udzielonego mu zabezpieczenia. Skoro</w:t>
      </w:r>
      <w:r>
        <w:t xml:space="preserve"> zaś </w:t>
      </w:r>
      <w:r w:rsidRPr="00555762">
        <w:t>zabezpieczenie przez obciążenie hipoteką przymusową upada niezależnie od tego</w:t>
      </w:r>
      <w:r>
        <w:t>,</w:t>
      </w:r>
      <w:r w:rsidRPr="00555762">
        <w:t xml:space="preserve"> czy wierzyciel dokonał dalszych czynności egzekucyjnych, to nie można przyjąć, że</w:t>
      </w:r>
      <w:r>
        <w:t xml:space="preserve"> </w:t>
      </w:r>
      <w:r w:rsidRPr="00555762">
        <w:t xml:space="preserve">zaskarżony przepis skłania wierzycieli </w:t>
      </w:r>
      <w:r>
        <w:t>d</w:t>
      </w:r>
      <w:r w:rsidRPr="00555762">
        <w:t>o czynienia użytku z udzielonego zabezpieczenia. Przepis ten mobilizuje wierzycieli jedynie do niezwłocznego złożenia do</w:t>
      </w:r>
      <w:r>
        <w:t xml:space="preserve"> </w:t>
      </w:r>
      <w:r w:rsidRPr="00555762">
        <w:t>sądu wniosku o wydłużenie miesięcznego terminu w celu zapobieżenia upadkowi udzielonego zabezpieczenia</w:t>
      </w:r>
      <w:r>
        <w:t xml:space="preserve"> (zob. </w:t>
      </w:r>
      <w:r w:rsidRPr="008E6C7F">
        <w:rPr>
          <w:spacing w:val="-2"/>
        </w:rPr>
        <w:t xml:space="preserve">początkowy fragment </w:t>
      </w:r>
      <w:r w:rsidRPr="008E6C7F">
        <w:rPr>
          <w:rFonts w:eastAsia="SimSun"/>
          <w:spacing w:val="-2"/>
          <w:lang w:eastAsia="zh-CN"/>
        </w:rPr>
        <w:t xml:space="preserve">art. </w:t>
      </w:r>
      <w:r w:rsidRPr="008E6C7F">
        <w:rPr>
          <w:spacing w:val="-2"/>
        </w:rPr>
        <w:t>754</w:t>
      </w:r>
      <w:r w:rsidRPr="008E6C7F">
        <w:rPr>
          <w:spacing w:val="-2"/>
          <w:vertAlign w:val="superscript"/>
        </w:rPr>
        <w:t>1</w:t>
      </w:r>
      <w:r w:rsidRPr="008E6C7F">
        <w:rPr>
          <w:spacing w:val="-2"/>
        </w:rPr>
        <w:t xml:space="preserve"> § 1 k.p.c.). Uwzględnienie przez sąd takiego wniosku prowadzi</w:t>
      </w:r>
      <w:r w:rsidRPr="00555762">
        <w:t xml:space="preserve"> z kolei do osłabienia ochrony dłużnika przez dublowanie się tytułu zabezpieczającego i wykonawczego po stronie wierzyciela.</w:t>
      </w:r>
    </w:p>
    <w:p w:rsidR="00267254" w:rsidRDefault="00267254" w:rsidP="00DF65D2">
      <w:pPr>
        <w:pStyle w:val="ARTartustawynprozporzdzenia"/>
        <w:rPr>
          <w:rFonts w:eastAsia="Times New Roman"/>
        </w:rPr>
      </w:pPr>
      <w:r>
        <w:t xml:space="preserve">Należy poza tym zauważyć, że jakkolwiek omawiana regulacja generalnie </w:t>
      </w:r>
      <w:r w:rsidRPr="00555762">
        <w:rPr>
          <w:rFonts w:eastAsia="SimSun"/>
          <w:lang w:eastAsia="zh-CN"/>
        </w:rPr>
        <w:t xml:space="preserve">odpowiada tymczasowemu charakterowi </w:t>
      </w:r>
      <w:r w:rsidRPr="00B1081A">
        <w:rPr>
          <w:rFonts w:eastAsia="SimSun"/>
          <w:spacing w:val="-3"/>
          <w:lang w:eastAsia="zh-CN"/>
        </w:rPr>
        <w:t xml:space="preserve">ochrony udzielanej w postępowaniu zabezpieczającym oraz </w:t>
      </w:r>
      <w:r w:rsidRPr="00C21E18">
        <w:rPr>
          <w:rFonts w:eastAsia="SimSun"/>
          <w:spacing w:val="-3"/>
          <w:lang w:eastAsia="zh-CN"/>
        </w:rPr>
        <w:t xml:space="preserve">znajduje aksjologiczne uzasadnienie w </w:t>
      </w:r>
      <w:r w:rsidRPr="00C21E18">
        <w:rPr>
          <w:spacing w:val="-3"/>
        </w:rPr>
        <w:t>wartości jaką jest stabilność obrotu i pewność w procesie</w:t>
      </w:r>
      <w:r w:rsidRPr="00555762">
        <w:t xml:space="preserve"> </w:t>
      </w:r>
      <w:r w:rsidRPr="00C21E18">
        <w:rPr>
          <w:spacing w:val="-2"/>
        </w:rPr>
        <w:t xml:space="preserve">sądowego stosowania prawa, to przyjęta konstrukcja stoi zarazem na przeszkodzie </w:t>
      </w:r>
      <w:r w:rsidRPr="00C21E18">
        <w:rPr>
          <w:rFonts w:eastAsia="Times New Roman"/>
          <w:spacing w:val="-2"/>
        </w:rPr>
        <w:t>osiągnięciu</w:t>
      </w:r>
      <w:r w:rsidRPr="00555762">
        <w:rPr>
          <w:rFonts w:eastAsia="Times New Roman"/>
        </w:rPr>
        <w:t xml:space="preserve"> celu, o którym mowa w </w:t>
      </w:r>
      <w:r w:rsidRPr="00555762">
        <w:t>art. 730</w:t>
      </w:r>
      <w:r w:rsidRPr="00555762">
        <w:rPr>
          <w:vertAlign w:val="superscript"/>
        </w:rPr>
        <w:t>1</w:t>
      </w:r>
      <w:r w:rsidRPr="00555762">
        <w:t xml:space="preserve"> </w:t>
      </w:r>
      <w:r w:rsidRPr="00555762">
        <w:rPr>
          <w:rFonts w:eastAsia="Times New Roman"/>
        </w:rPr>
        <w:t>§</w:t>
      </w:r>
      <w:r>
        <w:rPr>
          <w:rFonts w:eastAsia="Times New Roman"/>
        </w:rPr>
        <w:t xml:space="preserve"> </w:t>
      </w:r>
      <w:r w:rsidRPr="00555762">
        <w:rPr>
          <w:rFonts w:eastAsia="Times New Roman"/>
        </w:rPr>
        <w:t>2</w:t>
      </w:r>
      <w:r>
        <w:rPr>
          <w:rFonts w:eastAsia="Times New Roman"/>
        </w:rPr>
        <w:t xml:space="preserve"> </w:t>
      </w:r>
      <w:r w:rsidRPr="00555762">
        <w:t>k</w:t>
      </w:r>
      <w:r>
        <w:t>.</w:t>
      </w:r>
      <w:r w:rsidRPr="00555762">
        <w:t>p</w:t>
      </w:r>
      <w:r>
        <w:t>.</w:t>
      </w:r>
      <w:r w:rsidRPr="00555762">
        <w:t>c</w:t>
      </w:r>
      <w:r>
        <w:t>., a którym jest zapobieżenie sytuacji, w której wykonanie zapadłego w sprawie orzeczenia byłoby niemożliwe lub poważnie utrudnione.</w:t>
      </w:r>
      <w:r w:rsidRPr="00555762">
        <w:rPr>
          <w:rFonts w:eastAsia="Times New Roman"/>
        </w:rPr>
        <w:t xml:space="preserve"> </w:t>
      </w:r>
      <w:r>
        <w:rPr>
          <w:rFonts w:eastAsia="Times New Roman"/>
        </w:rPr>
        <w:t>T</w:t>
      </w:r>
      <w:r w:rsidRPr="00555762">
        <w:rPr>
          <w:rFonts w:eastAsia="Times New Roman"/>
        </w:rPr>
        <w:t>ym samym podważa zaufanie wierzycieli do ustanowionego zabezpieczenia</w:t>
      </w:r>
      <w:r>
        <w:rPr>
          <w:rFonts w:eastAsia="Times New Roman"/>
        </w:rPr>
        <w:t>.</w:t>
      </w:r>
    </w:p>
    <w:p w:rsidR="00267254" w:rsidRDefault="00267254" w:rsidP="00DF65D2">
      <w:pPr>
        <w:pStyle w:val="ARTartustawynprozporzdzenia"/>
        <w:rPr>
          <w:rFonts w:eastAsia="Times New Roman"/>
        </w:rPr>
      </w:pPr>
      <w:r>
        <w:rPr>
          <w:rFonts w:eastAsia="Times New Roman"/>
        </w:rPr>
        <w:t>Ponadto art. 754</w:t>
      </w:r>
      <w:r>
        <w:rPr>
          <w:rFonts w:eastAsia="Times New Roman"/>
          <w:vertAlign w:val="superscript"/>
        </w:rPr>
        <w:t>1</w:t>
      </w:r>
      <w:r>
        <w:rPr>
          <w:rFonts w:eastAsia="Times New Roman"/>
        </w:rPr>
        <w:t xml:space="preserve"> § 1 k.p.c. nie jest z pewnością niezbędny do ochrony prawa własności przysługującego dłużnikowi. Dowodzi tego zgoła inny mechanizm przyjęty na gruncie </w:t>
      </w:r>
      <w:r>
        <w:t>art. </w:t>
      </w:r>
      <w:r w:rsidRPr="0015145B">
        <w:rPr>
          <w:spacing w:val="-2"/>
        </w:rPr>
        <w:t>754</w:t>
      </w:r>
      <w:r w:rsidRPr="0015145B">
        <w:rPr>
          <w:rStyle w:val="IGindeksgrny"/>
        </w:rPr>
        <w:t>1</w:t>
      </w:r>
      <w:r w:rsidRPr="0015145B">
        <w:rPr>
          <w:spacing w:val="-2"/>
        </w:rPr>
        <w:t xml:space="preserve"> § </w:t>
      </w:r>
      <w:r>
        <w:rPr>
          <w:spacing w:val="-2"/>
        </w:rPr>
        <w:t>2</w:t>
      </w:r>
      <w:r w:rsidRPr="0015145B">
        <w:rPr>
          <w:spacing w:val="-2"/>
        </w:rPr>
        <w:t xml:space="preserve"> </w:t>
      </w:r>
      <w:r>
        <w:rPr>
          <w:spacing w:val="-2"/>
        </w:rPr>
        <w:t xml:space="preserve">k.p.c. Zresztą, </w:t>
      </w:r>
      <w:r>
        <w:rPr>
          <w:rFonts w:eastAsia="Times New Roman"/>
        </w:rPr>
        <w:t>k</w:t>
      </w:r>
      <w:r w:rsidRPr="00555762">
        <w:rPr>
          <w:rFonts w:eastAsia="Times New Roman"/>
        </w:rPr>
        <w:t xml:space="preserve">onstytucyjnie uzasadniona ochrona dłużnika nie może polegać na tworzeniu takich </w:t>
      </w:r>
      <w:r>
        <w:rPr>
          <w:rFonts w:eastAsia="Times New Roman"/>
        </w:rPr>
        <w:t>rozwiązań</w:t>
      </w:r>
      <w:r w:rsidRPr="00555762">
        <w:rPr>
          <w:rFonts w:eastAsia="Times New Roman"/>
        </w:rPr>
        <w:t>, które pozbawiając środków prawnych wierzyciela umożliwiają dłużnikowi uniknięcie odpowiedzialności cywilnej</w:t>
      </w:r>
      <w:r>
        <w:rPr>
          <w:rFonts w:eastAsia="Times New Roman"/>
        </w:rPr>
        <w:t>.</w:t>
      </w:r>
    </w:p>
    <w:p w:rsidR="00267254" w:rsidRDefault="00267254" w:rsidP="00DF65D2">
      <w:pPr>
        <w:pStyle w:val="ARTartustawynprozporzdzenia"/>
      </w:pPr>
      <w:r w:rsidRPr="00834FA9">
        <w:rPr>
          <w:spacing w:val="-2"/>
        </w:rPr>
        <w:lastRenderedPageBreak/>
        <w:t>W opinii Trybunału, istnieją mniej dolegliwe, z punktu widzenia wierzyciela, możliwości</w:t>
      </w:r>
      <w:r>
        <w:t xml:space="preserve"> </w:t>
      </w:r>
      <w:r w:rsidRPr="0099582D">
        <w:rPr>
          <w:spacing w:val="-2"/>
        </w:rPr>
        <w:t>wyważenia interesów wierzyciela i dłużnika. W szczególności wierzyciel – mimo zakończenia</w:t>
      </w:r>
      <w:r>
        <w:t xml:space="preserve"> postępowania sądowego – potrzebuje dalszej ochrony, aby mógł wykonać korzystne dla niego orzeczenie. Krytycznej oceny art. </w:t>
      </w:r>
      <w:r>
        <w:rPr>
          <w:rFonts w:eastAsia="Times New Roman"/>
        </w:rPr>
        <w:t>754</w:t>
      </w:r>
      <w:r>
        <w:rPr>
          <w:rFonts w:eastAsia="Times New Roman"/>
          <w:vertAlign w:val="superscript"/>
        </w:rPr>
        <w:t>1</w:t>
      </w:r>
      <w:r>
        <w:rPr>
          <w:rFonts w:eastAsia="Times New Roman"/>
        </w:rPr>
        <w:t xml:space="preserve"> § 1 k.p.c. pod tym względem nie niweluje samo upoważnienie </w:t>
      </w:r>
      <w:r>
        <w:t>sądu do określenia innego terminu upadku zabezpieczenia. „[E]</w:t>
      </w:r>
      <w:proofErr w:type="spellStart"/>
      <w:r w:rsidRPr="00555762">
        <w:t>wentualne</w:t>
      </w:r>
      <w:proofErr w:type="spellEnd"/>
      <w:r w:rsidRPr="00555762">
        <w:t xml:space="preserve"> rozstrzyganie przez sąd cywilny o wydłużeniu terminu upadku zabezpieczenia, przy braku stosownych ku temu kryteriów, prowadzi do sytuacji, w której sąd, </w:t>
      </w:r>
      <w:r>
        <w:t>wypowiadając się o  </w:t>
      </w:r>
      <w:r w:rsidRPr="00555762">
        <w:t xml:space="preserve">długości terminu, pośrednio głęboko ingeruje w sytuację zobowiązaniową i rzeczową wierzyciela oraz dłużnika. Zważywszy na cywilnoprawny charakter stosunków łączących oba podmioty oraz fakt, iż chodzi tu o sytuacje prawne, które współkształtuje już prawomocne </w:t>
      </w:r>
      <w:r w:rsidRPr="00217CFE">
        <w:rPr>
          <w:spacing w:val="-2"/>
        </w:rPr>
        <w:t>rozstrzygnięcie uwzględniające roszczenie wierzyciela, Trybunał Konstytucyjny nie dostrzega</w:t>
      </w:r>
      <w:r w:rsidRPr="00555762">
        <w:t xml:space="preserve"> </w:t>
      </w:r>
      <w:r w:rsidRPr="00217CFE">
        <w:rPr>
          <w:spacing w:val="-3"/>
        </w:rPr>
        <w:t>podstaw, aby możliwość zaspokojenia się wierzyciela z przedmiotu udzielonego zabezpieczenia</w:t>
      </w:r>
      <w:r w:rsidRPr="00555762">
        <w:t xml:space="preserve"> uzależni</w:t>
      </w:r>
      <w:r>
        <w:t>a</w:t>
      </w:r>
      <w:r w:rsidRPr="00555762">
        <w:t>ć od rozstrzygnięcia wniosku o wydłużenie miesięcznego terminu zamiast od aktywności i czynności samego zainteresowanego wierzyciela. Kompetencja sądu, o której mowa w zaskarżonym przepisie</w:t>
      </w:r>
      <w:r>
        <w:t>,</w:t>
      </w:r>
      <w:r w:rsidRPr="00555762">
        <w:t xml:space="preserve"> ma charakter wyjątkowy i służyć powinna zabezpieczeniu praw dłużnika lub wierzyciela w sytuacjach nietypowych</w:t>
      </w:r>
      <w:r>
        <w:t>”</w:t>
      </w:r>
      <w:r w:rsidRPr="00555762">
        <w:t>.</w:t>
      </w:r>
    </w:p>
    <w:p w:rsidR="00267254" w:rsidRDefault="00267254" w:rsidP="00DF65D2">
      <w:pPr>
        <w:pStyle w:val="ARTartustawynprozporzdzenia"/>
        <w:rPr>
          <w:rFonts w:eastAsia="Times New Roman"/>
        </w:rPr>
      </w:pPr>
      <w:r>
        <w:t xml:space="preserve">Ostatecznie zatem Trybunał stwierdził, że art. </w:t>
      </w:r>
      <w:r>
        <w:rPr>
          <w:rFonts w:eastAsia="Times New Roman"/>
        </w:rPr>
        <w:t>754</w:t>
      </w:r>
      <w:r>
        <w:rPr>
          <w:rFonts w:eastAsia="Times New Roman"/>
          <w:vertAlign w:val="superscript"/>
        </w:rPr>
        <w:t>1</w:t>
      </w:r>
      <w:r>
        <w:rPr>
          <w:rFonts w:eastAsia="Times New Roman"/>
        </w:rPr>
        <w:t xml:space="preserve"> § 1 k.p.c. narusza art. 64 ust. 1 (gwarancja prawa własności i innych praw majątkowych oraz prawa dziedziczenia) w zw. </w:t>
      </w:r>
      <w:r w:rsidRPr="00733175">
        <w:rPr>
          <w:rFonts w:eastAsia="Times New Roman"/>
          <w:spacing w:val="-2"/>
        </w:rPr>
        <w:t>z art. 31 ust. 3 Konstytucji (granice dopuszczalnej ingerencji w sferę konstytucyjnych wolności</w:t>
      </w:r>
      <w:r>
        <w:rPr>
          <w:rFonts w:eastAsia="Times New Roman"/>
        </w:rPr>
        <w:t xml:space="preserve"> i praw). TK wskazał przy tym, że „ustawowy mechanizm prowadzący </w:t>
      </w:r>
      <w:r w:rsidRPr="008F1770">
        <w:rPr>
          <w:rStyle w:val="Kkursywa"/>
        </w:rPr>
        <w:t>de facto</w:t>
      </w:r>
      <w:r>
        <w:rPr>
          <w:rFonts w:eastAsia="Times New Roman"/>
        </w:rPr>
        <w:t xml:space="preserve"> do kreacji pozornej ochrony prawa majątkowego przez zabezpieczenie, które staje się od razu nieskuteczne, jest nie do przyjęcia i nie może być utrzymywany w systemie”.</w:t>
      </w:r>
    </w:p>
    <w:p w:rsidR="00267254" w:rsidRDefault="00267254" w:rsidP="00DF65D2">
      <w:pPr>
        <w:pStyle w:val="ARTartustawynprozporzdzenia"/>
        <w:rPr>
          <w:rFonts w:ascii="Times New Roman" w:eastAsia="Times New Roman" w:hAnsi="Times New Roman"/>
          <w:szCs w:val="24"/>
        </w:rPr>
      </w:pPr>
      <w:r>
        <w:rPr>
          <w:rFonts w:eastAsia="Times New Roman"/>
        </w:rPr>
        <w:t xml:space="preserve">Co się tyczy natomiast wartości objętych treścią art. 45 ust. 1 Konstytucji, to Trybunał zastrzegł, że w orzecznictwie konstytucyjnym przyjmuje się, iż elementem prawa do sądu jest gwarancja wykonania prawomocnego orzeczenia sądowego w postępowaniu egzekucyjnym. </w:t>
      </w:r>
      <w:r w:rsidRPr="00B4714F">
        <w:rPr>
          <w:rFonts w:eastAsia="Times New Roman"/>
          <w:spacing w:val="-2"/>
        </w:rPr>
        <w:t>„</w:t>
      </w:r>
      <w:r w:rsidRPr="00B4714F">
        <w:rPr>
          <w:spacing w:val="-2"/>
        </w:rPr>
        <w:t>Uniezależnienie zaś biegu terminu od dalszych czynności egzekucyjnych wierzyciela niweczy</w:t>
      </w:r>
      <w:r w:rsidRPr="00555762">
        <w:t xml:space="preserve"> sens zabezpieczenia roszczeń hipoteką przymusową i</w:t>
      </w:r>
      <w:r>
        <w:t xml:space="preserve"> </w:t>
      </w:r>
      <w:r w:rsidRPr="00555762">
        <w:t xml:space="preserve">podważa tym samym efektywność postępowania egzekucyjnego. </w:t>
      </w:r>
      <w:r w:rsidRPr="00555762">
        <w:rPr>
          <w:rFonts w:eastAsia="Times New Roman"/>
        </w:rPr>
        <w:t>Zaskarżony przepis stoi wszakże na przeszkodzie celowości dalszych czynności egzekucyjnych</w:t>
      </w:r>
      <w:r>
        <w:rPr>
          <w:rFonts w:eastAsia="Times New Roman"/>
        </w:rPr>
        <w:t>.” Dlatego właśnie TK uznał, że art. 754</w:t>
      </w:r>
      <w:r>
        <w:rPr>
          <w:rFonts w:eastAsia="Times New Roman"/>
          <w:vertAlign w:val="superscript"/>
        </w:rPr>
        <w:t>1</w:t>
      </w:r>
      <w:r>
        <w:rPr>
          <w:rFonts w:eastAsia="Times New Roman"/>
        </w:rPr>
        <w:t xml:space="preserve"> § 1 k.p.c. nie spełnia warunków konstytucyjnego standardu sądowej ochrony prawnej.</w:t>
      </w:r>
    </w:p>
    <w:p w:rsidR="00267254" w:rsidRPr="00783522" w:rsidRDefault="00267254" w:rsidP="00D47039">
      <w:pPr>
        <w:pStyle w:val="NIEARTTEKSTtekstnieartykuowanynppodstprawnarozplubpreambua"/>
      </w:pPr>
      <w:r>
        <w:rPr>
          <w:rFonts w:ascii="Times New Roman" w:eastAsia="Times New Roman" w:hAnsi="Times New Roman"/>
          <w:szCs w:val="24"/>
        </w:rPr>
        <w:t xml:space="preserve">2.4. </w:t>
      </w:r>
      <w:r>
        <w:rPr>
          <w:spacing w:val="-3"/>
        </w:rPr>
        <w:t xml:space="preserve">Trybunał odroczył termin utraty mocy obowiązującej zakwestionowanej normy </w:t>
      </w:r>
      <w:r w:rsidRPr="00FE35E4">
        <w:t xml:space="preserve">prawnej o 18 miesięcy (pkt II sentencji), w związku z czym wyrok z dnia 25 października </w:t>
      </w:r>
      <w:r w:rsidRPr="00FE35E4">
        <w:lastRenderedPageBreak/>
        <w:t>2016 r.</w:t>
      </w:r>
      <w:r>
        <w:t xml:space="preserve"> wejdzie w życie z dniem 30 czerwca 2018 r. Do tego czasu – jak podniesione zostało w uzasadnieniu – „[p]</w:t>
      </w:r>
      <w:proofErr w:type="spellStart"/>
      <w:r w:rsidRPr="00555762">
        <w:t>rawodawca</w:t>
      </w:r>
      <w:proofErr w:type="spellEnd"/>
      <w:r w:rsidRPr="00555762">
        <w:t xml:space="preserve"> powinien albo wprowa</w:t>
      </w:r>
      <w:r>
        <w:t>dzić odrębny od uregulowanego w  </w:t>
      </w:r>
      <w:r w:rsidRPr="00555762">
        <w:t xml:space="preserve">art. </w:t>
      </w:r>
      <w:r w:rsidRPr="00555762">
        <w:rPr>
          <w:rFonts w:eastAsia="Times New Roman"/>
        </w:rPr>
        <w:t>754</w:t>
      </w:r>
      <w:r w:rsidRPr="00555762">
        <w:rPr>
          <w:rFonts w:eastAsia="Times New Roman"/>
          <w:vertAlign w:val="superscript"/>
        </w:rPr>
        <w:t>1</w:t>
      </w:r>
      <w:r w:rsidRPr="00555762">
        <w:rPr>
          <w:rFonts w:eastAsia="Times New Roman"/>
        </w:rPr>
        <w:t xml:space="preserve"> § 1 </w:t>
      </w:r>
      <w:r w:rsidRPr="00555762">
        <w:t>k</w:t>
      </w:r>
      <w:r>
        <w:t>.</w:t>
      </w:r>
      <w:r w:rsidRPr="00555762">
        <w:t>p</w:t>
      </w:r>
      <w:r>
        <w:t>.</w:t>
      </w:r>
      <w:r w:rsidRPr="00555762">
        <w:t>c</w:t>
      </w:r>
      <w:r>
        <w:t>.</w:t>
      </w:r>
      <w:r w:rsidRPr="00555762">
        <w:rPr>
          <w:rFonts w:eastAsia="Times New Roman"/>
        </w:rPr>
        <w:t xml:space="preserve"> </w:t>
      </w:r>
      <w:r w:rsidRPr="00E864B6">
        <w:rPr>
          <w:rFonts w:eastAsia="Times New Roman"/>
          <w:spacing w:val="-2"/>
        </w:rPr>
        <w:t>termin upadku zabezpieczenia przez obciążenie nieruchomości dłużnika hipoteką przymusową</w:t>
      </w:r>
      <w:r w:rsidRPr="00555762">
        <w:rPr>
          <w:rFonts w:eastAsia="Times New Roman"/>
        </w:rPr>
        <w:t xml:space="preserve"> albo inne rozwiązanie, które będzie uwzględniać specyfikę tego rodzaju zabezpieczenia </w:t>
      </w:r>
      <w:r w:rsidRPr="00E864B6">
        <w:rPr>
          <w:rFonts w:eastAsia="Times New Roman"/>
          <w:spacing w:val="-4"/>
        </w:rPr>
        <w:t>pozostając zarazem niesprzeczne w szczególności z</w:t>
      </w:r>
      <w:r w:rsidRPr="00E864B6">
        <w:rPr>
          <w:spacing w:val="-4"/>
        </w:rPr>
        <w:t xml:space="preserve"> </w:t>
      </w:r>
      <w:r w:rsidRPr="00E864B6">
        <w:rPr>
          <w:rFonts w:eastAsia="Times New Roman"/>
          <w:spacing w:val="-4"/>
        </w:rPr>
        <w:t>przepisami ustawy o księgach wieczystych”.</w:t>
      </w:r>
    </w:p>
    <w:p w:rsidR="00267254" w:rsidRDefault="00267254" w:rsidP="00F91348">
      <w:pPr>
        <w:pStyle w:val="NIEARTTEKSTtekstnieartykuowanynppodstprawnarozplubpreambua"/>
      </w:pPr>
      <w:r>
        <w:t xml:space="preserve">2.5. </w:t>
      </w:r>
      <w:r>
        <w:rPr>
          <w:spacing w:val="-3"/>
        </w:rPr>
        <w:t xml:space="preserve">W wypowiedzi Trybunału znalazła się sugestia odnośnie do możliwych kierunków wykonania wyroku. W ocenie TK, znacznie </w:t>
      </w:r>
      <w:r w:rsidRPr="00555762">
        <w:rPr>
          <w:rFonts w:eastAsia="SimSun"/>
          <w:lang w:eastAsia="zh-CN"/>
        </w:rPr>
        <w:t>mniej dolegliwe dla wierzyciela</w:t>
      </w:r>
      <w:r>
        <w:rPr>
          <w:rFonts w:eastAsia="SimSun"/>
          <w:lang w:eastAsia="zh-CN"/>
        </w:rPr>
        <w:t xml:space="preserve"> i jednocześnie</w:t>
      </w:r>
      <w:r w:rsidRPr="00555762">
        <w:rPr>
          <w:rFonts w:eastAsia="SimSun"/>
          <w:lang w:eastAsia="zh-CN"/>
        </w:rPr>
        <w:t xml:space="preserve"> niezwiększające nadmiernie ograniczeń nałożonych na dłużnika</w:t>
      </w:r>
      <w:r>
        <w:rPr>
          <w:rFonts w:eastAsia="SimSun"/>
          <w:lang w:eastAsia="zh-CN"/>
        </w:rPr>
        <w:t xml:space="preserve"> byłoby</w:t>
      </w:r>
      <w:r w:rsidRPr="00555762">
        <w:rPr>
          <w:rFonts w:eastAsia="SimSun"/>
          <w:lang w:eastAsia="zh-CN"/>
        </w:rPr>
        <w:t xml:space="preserve"> </w:t>
      </w:r>
      <w:r>
        <w:rPr>
          <w:rFonts w:eastAsia="SimSun"/>
          <w:lang w:eastAsia="zh-CN"/>
        </w:rPr>
        <w:t>„</w:t>
      </w:r>
      <w:r w:rsidRPr="00555762">
        <w:rPr>
          <w:rFonts w:eastAsia="SimSun"/>
          <w:lang w:eastAsia="zh-CN"/>
        </w:rPr>
        <w:t xml:space="preserve">rozwiązanie przewidujące, że </w:t>
      </w:r>
      <w:r w:rsidRPr="00555762">
        <w:t>w sprawach, w których udzielono zabezpieczenia przy zastosowaniu art. 747 pkt 2 k</w:t>
      </w:r>
      <w:r>
        <w:t>.</w:t>
      </w:r>
      <w:r w:rsidRPr="00555762">
        <w:t>p</w:t>
      </w:r>
      <w:r>
        <w:t>.</w:t>
      </w:r>
      <w:r w:rsidRPr="00555762">
        <w:t>c</w:t>
      </w:r>
      <w:r>
        <w:t>.</w:t>
      </w:r>
      <w:r w:rsidRPr="00555762">
        <w:t xml:space="preserve">, zabezpieczenie </w:t>
      </w:r>
      <w:r w:rsidRPr="00555762">
        <w:rPr>
          <w:rFonts w:eastAsia="SimSun"/>
          <w:lang w:eastAsia="zh-CN"/>
        </w:rPr>
        <w:t xml:space="preserve">upada, </w:t>
      </w:r>
      <w:r w:rsidRPr="00555762">
        <w:t>jeżeli uprawniony (wierzyciel) w</w:t>
      </w:r>
      <w:r>
        <w:t xml:space="preserve"> </w:t>
      </w:r>
      <w:r w:rsidRPr="00555762">
        <w:t xml:space="preserve">terminie miesiąca od </w:t>
      </w:r>
      <w:r w:rsidRPr="00EE4825">
        <w:rPr>
          <w:spacing w:val="-2"/>
        </w:rPr>
        <w:t>uprawomocnienia się orzeczenia uwzględniającego roszczenie nie wniósł o dokonanie dalszych</w:t>
      </w:r>
      <w:r w:rsidRPr="00555762">
        <w:t xml:space="preserve"> czynności egzekucyjnych. </w:t>
      </w:r>
      <w:r w:rsidRPr="00555762">
        <w:rPr>
          <w:rFonts w:eastAsia="SimSun"/>
          <w:lang w:eastAsia="zh-CN"/>
        </w:rPr>
        <w:t>Rozwiązanie takie odpowiadałoby uzasadnieniu towarzyszącemu uchwaleniu zaskarżonego przepisu, uwzględniałoby ustalenia doktryny prawa procesowego cywilnego</w:t>
      </w:r>
      <w:r>
        <w:rPr>
          <w:rFonts w:eastAsia="SimSun"/>
          <w:lang w:eastAsia="zh-CN"/>
        </w:rPr>
        <w:t xml:space="preserve"> (…) oraz </w:t>
      </w:r>
      <w:r w:rsidRPr="00555762">
        <w:rPr>
          <w:rFonts w:eastAsia="SimSun"/>
          <w:lang w:eastAsia="zh-CN"/>
        </w:rPr>
        <w:t>pozostawałoby zgodne z założeniem, że</w:t>
      </w:r>
      <w:r>
        <w:t xml:space="preserve"> </w:t>
      </w:r>
      <w:r>
        <w:rPr>
          <w:rFonts w:eastAsia="SimSun" w:cs="Times"/>
          <w:lang w:eastAsia="zh-CN"/>
        </w:rPr>
        <w:t>«</w:t>
      </w:r>
      <w:r w:rsidRPr="00555762">
        <w:t>w razie złożenia przez uprawnionego wniosku o wszczęcie egzekucji</w:t>
      </w:r>
      <w:r>
        <w:t>,</w:t>
      </w:r>
      <w:r w:rsidRPr="00555762">
        <w:t xml:space="preserve"> wykonanie postanowienia o udzieleniu </w:t>
      </w:r>
      <w:r w:rsidRPr="001D4227">
        <w:rPr>
          <w:spacing w:val="-5"/>
        </w:rPr>
        <w:t>zabezpieczenia staje się niejako egzekucją, a dokonane w ramach postępowania zabezpieczającego</w:t>
      </w:r>
      <w:r w:rsidRPr="00555762">
        <w:t xml:space="preserve"> czynności egzekucyjne stają się czynnościami postępowania egzekucyjnego</w:t>
      </w:r>
      <w:r>
        <w:rPr>
          <w:rFonts w:cs="Times"/>
        </w:rPr>
        <w:t>»</w:t>
      </w:r>
      <w:r>
        <w:t>”.</w:t>
      </w:r>
    </w:p>
    <w:p w:rsidR="00267254" w:rsidRPr="00783522" w:rsidRDefault="00267254" w:rsidP="00F91348">
      <w:pPr>
        <w:pStyle w:val="ARTartustawynprozporzdzenia"/>
      </w:pPr>
      <w:r>
        <w:t>Alternatywą może być „</w:t>
      </w:r>
      <w:r w:rsidRPr="00555762">
        <w:rPr>
          <w:rFonts w:eastAsia="SimSun"/>
          <w:lang w:eastAsia="zh-CN"/>
        </w:rPr>
        <w:t>uregulowanie kwestii upadku zabezpieczenia w</w:t>
      </w:r>
      <w:r>
        <w:t xml:space="preserve"> </w:t>
      </w:r>
      <w:r w:rsidRPr="00555762">
        <w:rPr>
          <w:rFonts w:eastAsia="SimSun"/>
          <w:lang w:eastAsia="zh-CN"/>
        </w:rPr>
        <w:t xml:space="preserve">formie hipoteki przymusowej albo na wzór art. </w:t>
      </w:r>
      <w:r w:rsidRPr="00555762">
        <w:rPr>
          <w:rFonts w:eastAsia="Times New Roman"/>
        </w:rPr>
        <w:t>754</w:t>
      </w:r>
      <w:r w:rsidRPr="00555762">
        <w:rPr>
          <w:rFonts w:eastAsia="Times New Roman"/>
          <w:vertAlign w:val="superscript"/>
        </w:rPr>
        <w:t>1</w:t>
      </w:r>
      <w:r w:rsidRPr="00555762">
        <w:rPr>
          <w:rFonts w:eastAsia="Times New Roman"/>
        </w:rPr>
        <w:t xml:space="preserve"> § 2 </w:t>
      </w:r>
      <w:r w:rsidRPr="00555762">
        <w:t>k</w:t>
      </w:r>
      <w:r>
        <w:t>.</w:t>
      </w:r>
      <w:r w:rsidRPr="00555762">
        <w:t>p</w:t>
      </w:r>
      <w:r>
        <w:t>.</w:t>
      </w:r>
      <w:r w:rsidRPr="00555762">
        <w:t>c</w:t>
      </w:r>
      <w:r>
        <w:t>.,</w:t>
      </w:r>
      <w:r w:rsidRPr="00555762">
        <w:rPr>
          <w:rFonts w:eastAsia="Times New Roman"/>
        </w:rPr>
        <w:t xml:space="preserve"> albo przez dokonanie stosownych zmian w</w:t>
      </w:r>
      <w:r>
        <w:rPr>
          <w:rFonts w:eastAsia="Times New Roman"/>
        </w:rPr>
        <w:t> </w:t>
      </w:r>
      <w:r w:rsidRPr="00555762">
        <w:rPr>
          <w:rFonts w:eastAsia="Times New Roman"/>
        </w:rPr>
        <w:t>ustawie o księgach wieczystych</w:t>
      </w:r>
      <w:r>
        <w:rPr>
          <w:rFonts w:eastAsia="Times New Roman"/>
        </w:rPr>
        <w:t>”.</w:t>
      </w:r>
    </w:p>
    <w:p w:rsidR="00267254" w:rsidRPr="0015321A" w:rsidRDefault="00267254" w:rsidP="0015321A"/>
    <w:p w:rsidR="00267254" w:rsidRPr="0015321A" w:rsidRDefault="00267254" w:rsidP="00C50587">
      <w:pPr>
        <w:rPr>
          <w:rStyle w:val="Ppogrubienie"/>
        </w:rPr>
      </w:pPr>
      <w:r w:rsidRPr="0015321A">
        <w:rPr>
          <w:rStyle w:val="Ppogrubienie"/>
        </w:rPr>
        <w:t>3. Różnice między dotychczasowym a projektowanym stanem prawnym</w:t>
      </w:r>
    </w:p>
    <w:p w:rsidR="00267254" w:rsidRDefault="00267254" w:rsidP="005C1806">
      <w:pPr>
        <w:pStyle w:val="ARTartustawynprozporzdzenia"/>
      </w:pPr>
      <w:r>
        <w:rPr>
          <w:spacing w:val="-2"/>
        </w:rPr>
        <w:t xml:space="preserve">Mając na uwadze wskazania Trybunału, a także postulaty o charakterze </w:t>
      </w:r>
      <w:r w:rsidRPr="00A659BC">
        <w:rPr>
          <w:rStyle w:val="Kkursywa"/>
        </w:rPr>
        <w:t xml:space="preserve">de lege </w:t>
      </w:r>
      <w:proofErr w:type="spellStart"/>
      <w:r w:rsidRPr="00A659BC">
        <w:rPr>
          <w:rStyle w:val="Kkursywa"/>
        </w:rPr>
        <w:t>ferenda</w:t>
      </w:r>
      <w:proofErr w:type="spellEnd"/>
      <w:r>
        <w:t xml:space="preserve">, </w:t>
      </w:r>
      <w:r w:rsidRPr="003164AF">
        <w:rPr>
          <w:spacing w:val="-2"/>
        </w:rPr>
        <w:t>które zostały sformułowane w uzasadnieniu wyroku z dnia 25 października 2016 r., proponuje</w:t>
      </w:r>
      <w:r>
        <w:t xml:space="preserve"> się, po pierwsze, nadanie nowego brzmienia art. </w:t>
      </w:r>
      <w:r w:rsidRPr="00555762">
        <w:rPr>
          <w:rFonts w:eastAsia="Times New Roman"/>
        </w:rPr>
        <w:t>754</w:t>
      </w:r>
      <w:r w:rsidRPr="00555762">
        <w:rPr>
          <w:rFonts w:eastAsia="Times New Roman"/>
          <w:vertAlign w:val="superscript"/>
        </w:rPr>
        <w:t>1</w:t>
      </w:r>
      <w:r w:rsidRPr="00555762">
        <w:rPr>
          <w:rFonts w:eastAsia="Times New Roman"/>
        </w:rPr>
        <w:t xml:space="preserve"> § 1 </w:t>
      </w:r>
      <w:r w:rsidRPr="00555762">
        <w:t>k</w:t>
      </w:r>
      <w:r>
        <w:t>.</w:t>
      </w:r>
      <w:r w:rsidRPr="00555762">
        <w:t>p</w:t>
      </w:r>
      <w:r>
        <w:t>.</w:t>
      </w:r>
      <w:r w:rsidRPr="00555762">
        <w:t>c</w:t>
      </w:r>
      <w:r>
        <w:t>.</w:t>
      </w:r>
    </w:p>
    <w:p w:rsidR="00267254" w:rsidRDefault="00267254" w:rsidP="005C1806">
      <w:pPr>
        <w:pStyle w:val="ARTartustawynprozporzdzenia"/>
      </w:pPr>
      <w:r w:rsidRPr="00E21B8E">
        <w:rPr>
          <w:spacing w:val="-2"/>
        </w:rPr>
        <w:t>W projektowanym brzmieniu tego przepisu uwzględniono nie tylko zastrzeżenie, zgodnie</w:t>
      </w:r>
      <w:r>
        <w:t xml:space="preserve"> z którym zabezpieczenie udzielone według przepisów tytułu II nie upadnie po upływie określonego czasu, jeżeli tylko </w:t>
      </w:r>
      <w:r w:rsidRPr="00433845">
        <w:t>uprawniony wni</w:t>
      </w:r>
      <w:r>
        <w:t xml:space="preserve">esie </w:t>
      </w:r>
      <w:r w:rsidRPr="00433845">
        <w:t xml:space="preserve">o </w:t>
      </w:r>
      <w:r w:rsidRPr="00366B68">
        <w:rPr>
          <w:spacing w:val="-2"/>
        </w:rPr>
        <w:t>dokonanie czynności egzekucyjnych. Ponieważ z dniem 1 czerwca 2017 r. brzmienie</w:t>
      </w:r>
      <w:r>
        <w:t xml:space="preserve"> art. </w:t>
      </w:r>
      <w:r w:rsidRPr="00555762">
        <w:rPr>
          <w:rFonts w:eastAsia="Times New Roman"/>
        </w:rPr>
        <w:t>754</w:t>
      </w:r>
      <w:r w:rsidRPr="00555762">
        <w:rPr>
          <w:rFonts w:eastAsia="Times New Roman"/>
          <w:vertAlign w:val="superscript"/>
        </w:rPr>
        <w:t>1</w:t>
      </w:r>
      <w:r w:rsidRPr="00555762">
        <w:rPr>
          <w:rFonts w:eastAsia="Times New Roman"/>
        </w:rPr>
        <w:t xml:space="preserve"> § 1 </w:t>
      </w:r>
      <w:r w:rsidRPr="00555762">
        <w:t>k</w:t>
      </w:r>
      <w:r>
        <w:t>.</w:t>
      </w:r>
      <w:r w:rsidRPr="00555762">
        <w:t>p</w:t>
      </w:r>
      <w:r>
        <w:t>.</w:t>
      </w:r>
      <w:r w:rsidRPr="00555762">
        <w:t>c</w:t>
      </w:r>
      <w:r>
        <w:t xml:space="preserve">. zostało zmodyfikowane (podobnie zresztą jak i pozostałych paragrafów tego artykułu), w art. 1 projektu, w § 1 zachowane zostały również zmiany, które </w:t>
      </w:r>
      <w:r w:rsidRPr="005C1806">
        <w:rPr>
          <w:spacing w:val="-2"/>
        </w:rPr>
        <w:t xml:space="preserve">dokonały się w wyżej wymienionej dacie na mocy </w:t>
      </w:r>
      <w:r w:rsidRPr="005C1806">
        <w:rPr>
          <w:spacing w:val="-2"/>
        </w:rPr>
        <w:lastRenderedPageBreak/>
        <w:t>art. 2 pkt 4 ustawy z dnia 7 kwietnia 2017 r.</w:t>
      </w:r>
      <w:r>
        <w:t xml:space="preserve"> o zmianie niektórych ustaw w celu ułatwienia dochodzenia wierzytelności (Dz. U. </w:t>
      </w:r>
      <w:r w:rsidRPr="00FF55D6">
        <w:rPr>
          <w:spacing w:val="-3"/>
        </w:rPr>
        <w:t>poz. 933). Dotyczy to terminu, który uległ wydłużeniu do dwóch miesięcy, oraz doprecyzowania</w:t>
      </w:r>
      <w:r>
        <w:t xml:space="preserve"> momentu, od którego należy liczyć bieg owego terminu (przywołana wyżej ustawa uzupełniła treść art. </w:t>
      </w:r>
      <w:r w:rsidRPr="00555762">
        <w:rPr>
          <w:rFonts w:eastAsia="Times New Roman"/>
        </w:rPr>
        <w:t>754</w:t>
      </w:r>
      <w:r w:rsidRPr="00555762">
        <w:rPr>
          <w:rFonts w:eastAsia="Times New Roman"/>
          <w:vertAlign w:val="superscript"/>
        </w:rPr>
        <w:t>1</w:t>
      </w:r>
      <w:r w:rsidRPr="00555762">
        <w:rPr>
          <w:rFonts w:eastAsia="Times New Roman"/>
        </w:rPr>
        <w:t xml:space="preserve"> § 1 </w:t>
      </w:r>
      <w:r w:rsidRPr="00555762">
        <w:t>k</w:t>
      </w:r>
      <w:r>
        <w:t>.</w:t>
      </w:r>
      <w:r w:rsidRPr="00555762">
        <w:t>p</w:t>
      </w:r>
      <w:r>
        <w:t>.</w:t>
      </w:r>
      <w:r w:rsidRPr="00555762">
        <w:t>c</w:t>
      </w:r>
      <w:r>
        <w:t xml:space="preserve">. o fragment mówiący o uprawomocnieniu się postanowienia </w:t>
      </w:r>
      <w:r w:rsidRPr="003D6629">
        <w:t xml:space="preserve">o odrzuceniu apelacji lub innego środka zaskarżenia </w:t>
      </w:r>
      <w:r w:rsidRPr="00004B6C">
        <w:rPr>
          <w:spacing w:val="-2"/>
        </w:rPr>
        <w:t>wniesionego przez obowiązanego od orzeczenia uwzględniającego roszczenie, które podlegało</w:t>
      </w:r>
      <w:r w:rsidRPr="003D6629">
        <w:t xml:space="preserve"> zabezpieczeniu</w:t>
      </w:r>
      <w:r>
        <w:t>).</w:t>
      </w:r>
    </w:p>
    <w:p w:rsidR="00267254" w:rsidRDefault="00267254" w:rsidP="005C1806">
      <w:pPr>
        <w:pStyle w:val="ARTartustawynprozporzdzenia"/>
      </w:pPr>
      <w:r>
        <w:t>Odrębnego komentarza wymaga fakt, że projektowany przepis obejmuje zarówno ten sposób zabezpieczenia, do którego wprost odnosił się wyrok z dnia 25</w:t>
      </w:r>
      <w:r w:rsidRPr="00510A18">
        <w:t xml:space="preserve"> </w:t>
      </w:r>
      <w:r>
        <w:t>października</w:t>
      </w:r>
      <w:r w:rsidRPr="00510A18">
        <w:t xml:space="preserve"> 201</w:t>
      </w:r>
      <w:r>
        <w:t xml:space="preserve">6 r., czyli hipotekę przymusową, jak i inne sposoby zabezpieczenia, o których mowa w art. 747 pkt  3–5 k.p.c. Mimo bowiem że TK nie wspomniał w swym wywodzie o zakazie zbywania lub obciążania nieruchomości, hipotece morskiej czy też zakazie zbywania spółdzielczego </w:t>
      </w:r>
      <w:r w:rsidRPr="00421113">
        <w:rPr>
          <w:spacing w:val="-2"/>
        </w:rPr>
        <w:t>własnościowego prawa do lokalu, to nie może to stanowić argumentu na rzecz przeprowadzenia</w:t>
      </w:r>
      <w:r>
        <w:t xml:space="preserve"> nowelizacji jedynie w wąskim zakresie i wyróżnienia hipoteki przymusowej. Trybunał musiał uciec się do formuły zakresowej orzeczenia, jako że jego kognicja była ograniczona do </w:t>
      </w:r>
      <w:r w:rsidRPr="00522026">
        <w:rPr>
          <w:spacing w:val="-4"/>
        </w:rPr>
        <w:t>rozpoznania zarzutów podniesionych w skardze konstytucyjnej. Jednocześnie wypada podkreślić,</w:t>
      </w:r>
      <w:r>
        <w:t xml:space="preserve"> że między hipoteką przymusową z jednej strony, a ustanowieniem zakazu zbywania lub obciążania nieruchomości, w przypadku gdy nieruchomość ta nie ma urządzonej księgi wieczystej lub gdy jej księga wieczysta zaginęła bądź uległa zniszczeniu z drugiej strony, zachodzi pewna korelacja. Wybór jednej </w:t>
      </w:r>
      <w:r w:rsidRPr="00EB23FB">
        <w:t xml:space="preserve">z tych form zabezpieczenia determinowany jest </w:t>
      </w:r>
      <w:r w:rsidRPr="003033E0">
        <w:rPr>
          <w:spacing w:val="-2"/>
        </w:rPr>
        <w:t>przecież wyłącznie ustaleniem, czy dla danej nieruchomości jest prowadzona księga wieczysta.</w:t>
      </w:r>
      <w:r>
        <w:t xml:space="preserve"> </w:t>
      </w:r>
      <w:r w:rsidRPr="00A61713">
        <w:rPr>
          <w:spacing w:val="-3"/>
        </w:rPr>
        <w:t>Z kolei zakaz zbywania ograniczonego prawa rzeczowego, jakim jest spółdzielcze własnościowe</w:t>
      </w:r>
      <w:r>
        <w:t xml:space="preserve"> prawo do lokalu pełni identyczną funkcję jak wspomniany zakaz zbywania nieruchomości. </w:t>
      </w:r>
      <w:r>
        <w:rPr>
          <w:spacing w:val="-2"/>
        </w:rPr>
        <w:t xml:space="preserve">Również </w:t>
      </w:r>
      <w:r w:rsidRPr="00BC1E4B">
        <w:rPr>
          <w:spacing w:val="-2"/>
        </w:rPr>
        <w:t>podobieństwo hipoteki ustanawianej według przepisów prawa cywilnego i tzw. hipoteki</w:t>
      </w:r>
      <w:r>
        <w:t xml:space="preserve"> </w:t>
      </w:r>
      <w:r w:rsidRPr="00BC1E4B">
        <w:rPr>
          <w:spacing w:val="-2"/>
        </w:rPr>
        <w:t>morskiej, będącej w istocie zastawem wpisanym do r</w:t>
      </w:r>
      <w:r>
        <w:rPr>
          <w:spacing w:val="-2"/>
        </w:rPr>
        <w:t>ejestru okrętowego (zwłaszcza w </w:t>
      </w:r>
      <w:r w:rsidRPr="00BC1E4B">
        <w:rPr>
          <w:spacing w:val="-2"/>
        </w:rPr>
        <w:t>zakresie</w:t>
      </w:r>
      <w:r>
        <w:t xml:space="preserve"> przywilejów związanych </w:t>
      </w:r>
      <w:r w:rsidRPr="00BE5798">
        <w:t xml:space="preserve">z możliwością zaspokojenia się wierzyciela z przedmiotu hipoteki – por. odpowiednio: art. 65 ust. 1 </w:t>
      </w:r>
      <w:proofErr w:type="spellStart"/>
      <w:r>
        <w:t>u.k.w.h</w:t>
      </w:r>
      <w:proofErr w:type="spellEnd"/>
      <w:r>
        <w:t>.</w:t>
      </w:r>
      <w:r w:rsidRPr="00BE5798">
        <w:t xml:space="preserve"> oraz art. 83 § 1 ustawy z dnia 18 września 2001 r. – Kodeks morski, Dz. U. z 2016 r. </w:t>
      </w:r>
      <w:r>
        <w:t>poz. 66) każe kształtować dotyczące ich regulacje w pełni symetrycznie. Dlatego w projekcie zaproponowano dokonanie szerszej zmiany niż zmiana niezbędna dla zapewnienia lepszej ochrony tylko tym z wierzycieli, którzy w trybie zabezpieczenia uzyskali hipotekę przymusową na nieruchomości dłużnika.</w:t>
      </w:r>
    </w:p>
    <w:p w:rsidR="00267254" w:rsidRPr="003332C4" w:rsidRDefault="00267254" w:rsidP="005C1806">
      <w:pPr>
        <w:pStyle w:val="ARTartustawynprozporzdzenia"/>
      </w:pPr>
      <w:r>
        <w:lastRenderedPageBreak/>
        <w:t>W projektowanym brzmieniu art. 754</w:t>
      </w:r>
      <w:r>
        <w:rPr>
          <w:rStyle w:val="IGindeksgrny"/>
        </w:rPr>
        <w:t>1</w:t>
      </w:r>
      <w:r>
        <w:t xml:space="preserve"> § 1 k.p.c. utrzymano natomiast dotychczasową </w:t>
      </w:r>
      <w:r w:rsidRPr="00D53DB4">
        <w:rPr>
          <w:spacing w:val="-2"/>
        </w:rPr>
        <w:t>formułę wskazującą na istnienie ustawowych wyjątków od zasady wyrażonej w tym przepisie.</w:t>
      </w:r>
      <w:r>
        <w:t xml:space="preserve"> Pozostawienie takiego zastrzeżenia jest zasadne nie tyle z uwagi na to, że – jak już o tym była mowa w pkt 2.2. niniejszego uzasadnienia – charakter </w:t>
      </w:r>
      <w:r w:rsidRPr="001C00B7">
        <w:rPr>
          <w:rStyle w:val="Kkursywa"/>
        </w:rPr>
        <w:t xml:space="preserve">lex </w:t>
      </w:r>
      <w:proofErr w:type="spellStart"/>
      <w:r w:rsidRPr="001C00B7">
        <w:rPr>
          <w:rStyle w:val="Kkursywa"/>
        </w:rPr>
        <w:t>specialis</w:t>
      </w:r>
      <w:proofErr w:type="spellEnd"/>
      <w:r>
        <w:t xml:space="preserve"> ma art. 754</w:t>
      </w:r>
      <w:r>
        <w:rPr>
          <w:rStyle w:val="IGindeksgrny"/>
        </w:rPr>
        <w:t>1</w:t>
      </w:r>
      <w:r>
        <w:t xml:space="preserve"> § 2 k.p.c. (</w:t>
      </w:r>
      <w:r w:rsidRPr="00587D43">
        <w:rPr>
          <w:rStyle w:val="Kkursywa"/>
        </w:rPr>
        <w:t>notabene</w:t>
      </w:r>
      <w:r>
        <w:t xml:space="preserve"> termin tam określony został wydłużony z dniem 1 czerwca 2017 r. z dwóch tygodni do miesiąca), lecz raczej ze względu na przepisy znajdujące się w innych częściach ustawy. Tytułem przykładu można wskazać </w:t>
      </w:r>
      <w:r w:rsidRPr="00BF06E7">
        <w:t>art. 743</w:t>
      </w:r>
      <w:r w:rsidRPr="00BF06E7">
        <w:rPr>
          <w:rStyle w:val="IGindeksgrny"/>
        </w:rPr>
        <w:t>1</w:t>
      </w:r>
      <w:r w:rsidRPr="00BF06E7">
        <w:t xml:space="preserve"> § 4</w:t>
      </w:r>
      <w:r>
        <w:t xml:space="preserve"> k.p.c., który przewiduje upadek </w:t>
      </w:r>
      <w:r w:rsidRPr="00E35E70">
        <w:rPr>
          <w:spacing w:val="-2"/>
        </w:rPr>
        <w:t>zabezpieczenia w określonym zakresie, w sytuacji gdy po zgłoszeniu przez małżonka dłużnika</w:t>
      </w:r>
      <w:r w:rsidRPr="004C638F">
        <w:t xml:space="preserve"> </w:t>
      </w:r>
      <w:r w:rsidRPr="00E35E70">
        <w:rPr>
          <w:spacing w:val="-4"/>
        </w:rPr>
        <w:t>sprzeciwu wobec wykonania zabezpieczenia na mieniu wchodzącym w skład majątku wspólnego</w:t>
      </w:r>
      <w:r>
        <w:t xml:space="preserve"> wierzyciel nie wystąpi do sądu o nadanie postanowieniu o udzieleniu zabezpieczenia klauzuli </w:t>
      </w:r>
      <w:r w:rsidRPr="00580E03">
        <w:rPr>
          <w:spacing w:val="-3"/>
        </w:rPr>
        <w:t>wykonalności przeciwko małżonkowi dłużnika. Ponadto zachowana zostanie także kompetencja</w:t>
      </w:r>
      <w:r>
        <w:t xml:space="preserve"> sądu do ustalenia innego (dłuższego) terminu, bo zgodnie ze stanowiskiem TK tego typu kompetencja może znaleźć zastosowanie w przypadkach szczególnych.</w:t>
      </w:r>
    </w:p>
    <w:p w:rsidR="00267254" w:rsidRDefault="00267254" w:rsidP="006B05D0">
      <w:pPr>
        <w:pStyle w:val="ARTartustawynprozporzdzenia"/>
      </w:pPr>
      <w:r>
        <w:t xml:space="preserve">Po drugie, proponuje się dodanie nowego artykułu w </w:t>
      </w:r>
      <w:proofErr w:type="spellStart"/>
      <w:r>
        <w:t>u.k.w.h</w:t>
      </w:r>
      <w:proofErr w:type="spellEnd"/>
      <w:r>
        <w:t xml:space="preserve">. (art. 3 projektu). W ocenie Senatu, celowe jest przyznanie wierzycielowi możliwości zgłoszenia żądania przekształcenia hipoteki przymusowej ustanowionej na podstawie art. 110 pkt 1 </w:t>
      </w:r>
      <w:proofErr w:type="spellStart"/>
      <w:r>
        <w:t>u.k.w.h</w:t>
      </w:r>
      <w:proofErr w:type="spellEnd"/>
      <w:r>
        <w:t>. w</w:t>
      </w:r>
      <w:r w:rsidRPr="0082181A">
        <w:rPr>
          <w:spacing w:val="40"/>
        </w:rPr>
        <w:t> </w:t>
      </w:r>
      <w:r>
        <w:t xml:space="preserve">hipotekę, która </w:t>
      </w:r>
      <w:r w:rsidRPr="00133B36">
        <w:rPr>
          <w:spacing w:val="-3"/>
        </w:rPr>
        <w:t>zabezpiecza wierzytelność stwierdzoną już tytułem wykonawczym (zob. art.</w:t>
      </w:r>
      <w:r>
        <w:rPr>
          <w:spacing w:val="-3"/>
        </w:rPr>
        <w:t> </w:t>
      </w:r>
      <w:r w:rsidRPr="00133B36">
        <w:rPr>
          <w:spacing w:val="-3"/>
        </w:rPr>
        <w:t xml:space="preserve">109 ust. 1 </w:t>
      </w:r>
      <w:proofErr w:type="spellStart"/>
      <w:r w:rsidRPr="00133B36">
        <w:rPr>
          <w:spacing w:val="-3"/>
        </w:rPr>
        <w:t>u.k.w.h</w:t>
      </w:r>
      <w:proofErr w:type="spellEnd"/>
      <w:r w:rsidRPr="00133B36">
        <w:rPr>
          <w:spacing w:val="-3"/>
        </w:rPr>
        <w:t>.).</w:t>
      </w:r>
      <w:r>
        <w:t xml:space="preserve"> O</w:t>
      </w:r>
      <w:r w:rsidRPr="00293645">
        <w:t xml:space="preserve">pisywane uprawnienie wierzyciela </w:t>
      </w:r>
      <w:r>
        <w:t>byłoby</w:t>
      </w:r>
      <w:r w:rsidRPr="00293645">
        <w:t xml:space="preserve"> ograniczone</w:t>
      </w:r>
      <w:r>
        <w:t xml:space="preserve"> jedynie </w:t>
      </w:r>
      <w:r w:rsidRPr="005A4A3C">
        <w:rPr>
          <w:spacing w:val="-4"/>
        </w:rPr>
        <w:t xml:space="preserve">terminem dwóch miesięcy, liczonym od dnia uprawomocnienia się </w:t>
      </w:r>
      <w:r w:rsidRPr="00293645">
        <w:rPr>
          <w:spacing w:val="-5"/>
        </w:rPr>
        <w:t xml:space="preserve">orzeczenia uwzględniającego roszczenie, które podlegało zabezpieczeniu, a więc </w:t>
      </w:r>
      <w:r>
        <w:rPr>
          <w:spacing w:val="-5"/>
        </w:rPr>
        <w:t xml:space="preserve">terminem </w:t>
      </w:r>
      <w:r w:rsidRPr="00293645">
        <w:rPr>
          <w:spacing w:val="-5"/>
        </w:rPr>
        <w:t>harmonizującym</w:t>
      </w:r>
      <w:r>
        <w:t xml:space="preserve"> z tym, który został określony w art. 754</w:t>
      </w:r>
      <w:r>
        <w:rPr>
          <w:rStyle w:val="IGindeksgrny"/>
        </w:rPr>
        <w:t>1</w:t>
      </w:r>
      <w:r>
        <w:t xml:space="preserve"> § 1 k.p.c. (projektowany art. </w:t>
      </w:r>
      <w:r w:rsidRPr="00293645">
        <w:t>111</w:t>
      </w:r>
      <w:r w:rsidRPr="00293645">
        <w:rPr>
          <w:rStyle w:val="IGindeksgrny"/>
        </w:rPr>
        <w:t>2</w:t>
      </w:r>
      <w:r w:rsidRPr="00293645">
        <w:t xml:space="preserve"> ust. 1</w:t>
      </w:r>
      <w:r>
        <w:t>)</w:t>
      </w:r>
      <w:r w:rsidRPr="00293645">
        <w:t>.</w:t>
      </w:r>
    </w:p>
    <w:p w:rsidR="00267254" w:rsidRPr="008C7908" w:rsidRDefault="00267254" w:rsidP="006B05D0">
      <w:pPr>
        <w:pStyle w:val="ARTartustawynprozporzdzenia"/>
      </w:pPr>
      <w:r>
        <w:t xml:space="preserve">Uwzględnienie na gruncie </w:t>
      </w:r>
      <w:proofErr w:type="spellStart"/>
      <w:r>
        <w:t>u.k.w.h</w:t>
      </w:r>
      <w:proofErr w:type="spellEnd"/>
      <w:r>
        <w:t xml:space="preserve">. możliwości przekształcenia hipoteki przymusowej ustanowionej na podstawie art. art. 110 pkt 1 </w:t>
      </w:r>
      <w:proofErr w:type="spellStart"/>
      <w:r>
        <w:t>u.k.w.h</w:t>
      </w:r>
      <w:proofErr w:type="spellEnd"/>
      <w:r>
        <w:t xml:space="preserve">. w hipotekę, o której mowa w art. 109 ust. 1 </w:t>
      </w:r>
      <w:proofErr w:type="spellStart"/>
      <w:r>
        <w:t>u.k.w.h</w:t>
      </w:r>
      <w:proofErr w:type="spellEnd"/>
      <w:r>
        <w:t xml:space="preserve">. wiąże się z tym, że aktualnie brak jest odpowiednika uchylonego przepisu art. 108 </w:t>
      </w:r>
      <w:proofErr w:type="spellStart"/>
      <w:r>
        <w:t>u.k.w.h</w:t>
      </w:r>
      <w:proofErr w:type="spellEnd"/>
      <w:r>
        <w:t>., który w stanie prawnym obowiązującym przed dniem 20 lutego 2011 r. stanowił podstawę zmiany hipoteki kaucyjnej w hipotekę zwykłą. Zatem, brak jest w istocie normy, która pozwalałaby wierzycielowi domagać się „zastąpienia” hipoteki ustanowionej w ramach zabezpieczenia hipoteką opartą już na tytule wykonawczym. Ponadto warto dodać, że nowelizacja art. 754</w:t>
      </w:r>
      <w:r>
        <w:rPr>
          <w:rStyle w:val="IGindeksgrny"/>
        </w:rPr>
        <w:t>1</w:t>
      </w:r>
      <w:r>
        <w:t xml:space="preserve"> § 1 k.p.c. nie przekreśla wcale zasadności dokonania proponowanej zmiany w </w:t>
      </w:r>
      <w:proofErr w:type="spellStart"/>
      <w:r>
        <w:t>u.k.w.h</w:t>
      </w:r>
      <w:proofErr w:type="spellEnd"/>
      <w:r>
        <w:t xml:space="preserve">. </w:t>
      </w:r>
      <w:r w:rsidRPr="0065394F">
        <w:rPr>
          <w:spacing w:val="-2"/>
        </w:rPr>
        <w:t>Wierzyciel – w okresie dwóch miesięcy od uprawomocnienia się orzeczenia uwzględniającego</w:t>
      </w:r>
      <w:r>
        <w:t xml:space="preserve"> roszczenie, które podlegało zabezpieczeniu, albo od uprawomocnienia się postanowienia o odrzuceniu środka zaskarżenia wniesionego przez dłużnika od takiego </w:t>
      </w:r>
      <w:r>
        <w:lastRenderedPageBreak/>
        <w:t xml:space="preserve">orzeczenia – będzie mógł bowiem wybrać między dalszym dochodzeniem swoich praw </w:t>
      </w:r>
      <w:r w:rsidRPr="0001426C">
        <w:rPr>
          <w:spacing w:val="-2"/>
        </w:rPr>
        <w:t>w drodze egzekucji z nieruchomości objętej zabezpieczeniem przewidzianym w art. 747 k.p.c.</w:t>
      </w:r>
      <w:r>
        <w:t xml:space="preserve"> (korzystając tym samym z „dobrodziejstwa” zmienionego art. 754</w:t>
      </w:r>
      <w:r>
        <w:rPr>
          <w:rStyle w:val="IGindeksgrny"/>
        </w:rPr>
        <w:t>1</w:t>
      </w:r>
      <w:r>
        <w:t xml:space="preserve"> § 1 k.p.c.) a egzekucją </w:t>
      </w:r>
      <w:r w:rsidRPr="00B955A1">
        <w:rPr>
          <w:spacing w:val="-5"/>
        </w:rPr>
        <w:t>z innych składników majątkowych dłużnika (ruchomości, wynagrodzenia za pracę, wierzytelności</w:t>
      </w:r>
      <w:r>
        <w:t xml:space="preserve"> z rachunku bankowego itp.) i ewentualnie zabezpieczeniem się na wypadek niepowodzenia </w:t>
      </w:r>
      <w:r w:rsidRPr="009C31A3">
        <w:rPr>
          <w:spacing w:val="-2"/>
        </w:rPr>
        <w:t>takiej egzekucji przez przekształcenie hipoteki w trybie proponowanego art. 111</w:t>
      </w:r>
      <w:r w:rsidRPr="009C31A3">
        <w:rPr>
          <w:rStyle w:val="IGindeksgrny"/>
          <w:spacing w:val="-2"/>
        </w:rPr>
        <w:t>2</w:t>
      </w:r>
      <w:r w:rsidRPr="009C31A3">
        <w:rPr>
          <w:spacing w:val="-2"/>
        </w:rPr>
        <w:t xml:space="preserve"> ust. 1 </w:t>
      </w:r>
      <w:proofErr w:type="spellStart"/>
      <w:r w:rsidRPr="009C31A3">
        <w:rPr>
          <w:spacing w:val="-2"/>
        </w:rPr>
        <w:t>u.k.w.h</w:t>
      </w:r>
      <w:proofErr w:type="spellEnd"/>
      <w:r w:rsidRPr="009C31A3">
        <w:rPr>
          <w:spacing w:val="-2"/>
        </w:rPr>
        <w:t>.</w:t>
      </w:r>
    </w:p>
    <w:p w:rsidR="00267254" w:rsidRDefault="00267254" w:rsidP="002F545D">
      <w:pPr>
        <w:pStyle w:val="ARTartustawynprozporzdzenia"/>
      </w:pPr>
      <w:r>
        <w:t xml:space="preserve">Oczywiście zmiana treści hipoteki nie może naruszać praw osób, którym przysługują prawa z pierwszeństwem równym lub niższym. Stąd </w:t>
      </w:r>
      <w:r w:rsidRPr="008648C9">
        <w:t xml:space="preserve">też dodawany </w:t>
      </w:r>
      <w:r>
        <w:t xml:space="preserve">przepis </w:t>
      </w:r>
      <w:r w:rsidRPr="008648C9">
        <w:t>art. 111</w:t>
      </w:r>
      <w:r w:rsidRPr="008648C9">
        <w:rPr>
          <w:rStyle w:val="IGindeksgrny"/>
        </w:rPr>
        <w:t>2</w:t>
      </w:r>
      <w:r w:rsidRPr="008648C9">
        <w:t xml:space="preserve"> </w:t>
      </w:r>
      <w:r>
        <w:t>ust.</w:t>
      </w:r>
      <w:r w:rsidRPr="008648C9">
        <w:t xml:space="preserve"> 2 przesądza, że w sytuacji gdyby zmiana treści hipoteki miała prowadzić do zwiększenia zakresu zaspokojenia wierzyciela z nieruchomości obciążonej, konieczne </w:t>
      </w:r>
      <w:r>
        <w:t>staje się</w:t>
      </w:r>
      <w:r w:rsidRPr="008648C9">
        <w:t xml:space="preserve"> uzyskanie zgody takich osób</w:t>
      </w:r>
      <w:r>
        <w:t xml:space="preserve">. Niezależnie do tego, że taką regułę wprowadza już art. 248 § 2 ustawy z dnia 23 kwietnia 1964 r. – Kodeks cywilny (Dz. U. z 2017 r. poz. 459, z </w:t>
      </w:r>
      <w:proofErr w:type="spellStart"/>
      <w:r>
        <w:t>późn</w:t>
      </w:r>
      <w:proofErr w:type="spellEnd"/>
      <w:r>
        <w:t xml:space="preserve">. zm.), wyrażający normę generalną, to Senat uznał za zasadne jednoznaczne wyjaśnienie tej kwestii również na gruncie </w:t>
      </w:r>
      <w:proofErr w:type="spellStart"/>
      <w:r>
        <w:t>u.k.w.h</w:t>
      </w:r>
      <w:proofErr w:type="spellEnd"/>
      <w:r>
        <w:t>., zwłaszcza że problem zgody osób trzecich na przekształcenia hipoteczne został uregulowany wprost w innym przepisie tej ustawy (art. 68</w:t>
      </w:r>
      <w:r>
        <w:rPr>
          <w:rStyle w:val="IGindeksgrny"/>
        </w:rPr>
        <w:t>3</w:t>
      </w:r>
      <w:r>
        <w:t xml:space="preserve">; por. też wspomniany wcześniej art. 108 </w:t>
      </w:r>
      <w:proofErr w:type="spellStart"/>
      <w:r>
        <w:t>zd</w:t>
      </w:r>
      <w:proofErr w:type="spellEnd"/>
      <w:r>
        <w:t xml:space="preserve">. 3 w brzmieniu obowiązującym przed dniem 20 lutego 2011 r.) i już samo to mogłoby rodzić wątpliwości co do uprawnień osób, którym przysługują prawa mające takie samo lub niższe pierwszeństwo niż hipoteka przymusowa ustanowiona na podstawie art. 110 pkt 1 </w:t>
      </w:r>
      <w:proofErr w:type="spellStart"/>
      <w:r>
        <w:t>u.k.w.h</w:t>
      </w:r>
      <w:proofErr w:type="spellEnd"/>
      <w:r>
        <w:t>.</w:t>
      </w:r>
    </w:p>
    <w:p w:rsidR="00267254" w:rsidRDefault="00267254" w:rsidP="006B05D0">
      <w:pPr>
        <w:pStyle w:val="ARTartustawynprozporzdzenia"/>
      </w:pPr>
      <w:r w:rsidRPr="00D92A76">
        <w:rPr>
          <w:spacing w:val="-2"/>
        </w:rPr>
        <w:t>Istota projektowanego art. 111</w:t>
      </w:r>
      <w:r w:rsidRPr="00D92A76">
        <w:rPr>
          <w:rStyle w:val="IGindeksgrny"/>
          <w:spacing w:val="-2"/>
        </w:rPr>
        <w:t>2</w:t>
      </w:r>
      <w:r w:rsidRPr="00D92A76">
        <w:rPr>
          <w:spacing w:val="-2"/>
        </w:rPr>
        <w:t xml:space="preserve"> ust. 3 </w:t>
      </w:r>
      <w:proofErr w:type="spellStart"/>
      <w:r w:rsidRPr="00D92A76">
        <w:rPr>
          <w:spacing w:val="-2"/>
        </w:rPr>
        <w:t>u.k.w.h</w:t>
      </w:r>
      <w:proofErr w:type="spellEnd"/>
      <w:r w:rsidRPr="00D92A76">
        <w:rPr>
          <w:spacing w:val="-2"/>
        </w:rPr>
        <w:t>. sprowadza się do ustalenia, że analogiczn</w:t>
      </w:r>
      <w:r w:rsidRPr="007F64F9">
        <w:rPr>
          <w:spacing w:val="-2"/>
        </w:rPr>
        <w:t xml:space="preserve">e </w:t>
      </w:r>
      <w:r>
        <w:rPr>
          <w:spacing w:val="-2"/>
        </w:rPr>
        <w:t>prawa</w:t>
      </w:r>
      <w:r w:rsidRPr="007F64F9">
        <w:rPr>
          <w:spacing w:val="-2"/>
        </w:rPr>
        <w:t xml:space="preserve"> </w:t>
      </w:r>
      <w:r>
        <w:rPr>
          <w:spacing w:val="-2"/>
        </w:rPr>
        <w:t>będą</w:t>
      </w:r>
      <w:r w:rsidRPr="007F64F9">
        <w:rPr>
          <w:spacing w:val="-2"/>
        </w:rPr>
        <w:t xml:space="preserve"> powiązane także z hipotekami przymusowymi,</w:t>
      </w:r>
      <w:r w:rsidRPr="008648C9">
        <w:t xml:space="preserve"> o których mowa w art. 110 pkt 2</w:t>
      </w:r>
      <w:r>
        <w:t xml:space="preserve"> i 3 </w:t>
      </w:r>
      <w:proofErr w:type="spellStart"/>
      <w:r w:rsidRPr="00293645">
        <w:t>u.k.w.h</w:t>
      </w:r>
      <w:proofErr w:type="spellEnd"/>
      <w:r w:rsidRPr="00293645">
        <w:t>.</w:t>
      </w:r>
      <w:r>
        <w:t xml:space="preserve"> Brak jest bowiem podstaw dla odmiennego traktowania hipotek przymusowych związanych z postanowieniami prokuratorów czy decyzjami </w:t>
      </w:r>
      <w:r w:rsidRPr="009A09C4">
        <w:rPr>
          <w:spacing w:val="-2"/>
        </w:rPr>
        <w:t>administracyjnymi</w:t>
      </w:r>
      <w:r>
        <w:rPr>
          <w:spacing w:val="-2"/>
        </w:rPr>
        <w:t xml:space="preserve"> (w zakresie, w jakim decyzje te nie były ostateczne). Podobnie rzecz się ma z</w:t>
      </w:r>
      <w:r w:rsidRPr="009A09C4">
        <w:rPr>
          <w:spacing w:val="-2"/>
        </w:rPr>
        <w:t xml:space="preserve"> dokumentami zabezpieczenia oraz zarządzeniami zabezpieczenia, o których</w:t>
      </w:r>
      <w:r>
        <w:t xml:space="preserve"> mowa w </w:t>
      </w:r>
      <w:r w:rsidRPr="00F05D0B">
        <w:t>usta</w:t>
      </w:r>
      <w:r>
        <w:t xml:space="preserve">wie z dnia 11 października 2013 r. o wzajemnej pomocy przy dochodzeniu </w:t>
      </w:r>
      <w:r w:rsidRPr="00217BEE">
        <w:rPr>
          <w:spacing w:val="-2"/>
        </w:rPr>
        <w:t xml:space="preserve">podatków, należności celnych i innych należności pieniężnych (Dz. U. poz. 1289, z </w:t>
      </w:r>
      <w:proofErr w:type="spellStart"/>
      <w:r w:rsidRPr="00217BEE">
        <w:rPr>
          <w:spacing w:val="-2"/>
        </w:rPr>
        <w:t>późn</w:t>
      </w:r>
      <w:proofErr w:type="spellEnd"/>
      <w:r w:rsidRPr="00217BEE">
        <w:rPr>
          <w:spacing w:val="-2"/>
        </w:rPr>
        <w:t>. zm.)</w:t>
      </w:r>
      <w:r>
        <w:t xml:space="preserve"> </w:t>
      </w:r>
      <w:r w:rsidRPr="00396D12">
        <w:rPr>
          <w:spacing w:val="-3"/>
        </w:rPr>
        <w:t xml:space="preserve">czy też zarządzeniami zabezpieczenia określonymi w </w:t>
      </w:r>
      <w:hyperlink r:id="rId11" w:anchor="hiperlinkDocsList.rpc?hiperlink=type=merytoryczny:nro=Powszechny.1950451:part=a110p5:nr=2&amp;full=1" w:tgtFrame="_parent" w:history="1">
        <w:r w:rsidRPr="00396D12">
          <w:rPr>
            <w:spacing w:val="-3"/>
          </w:rPr>
          <w:t>przepisach</w:t>
        </w:r>
      </w:hyperlink>
      <w:r w:rsidRPr="00396D12">
        <w:rPr>
          <w:spacing w:val="-3"/>
        </w:rPr>
        <w:t xml:space="preserve"> o postępowaniu egzekucyjnym</w:t>
      </w:r>
      <w:r w:rsidRPr="00396D12">
        <w:t xml:space="preserve"> w administracji</w:t>
      </w:r>
      <w:r>
        <w:t>,</w:t>
      </w:r>
      <w:r w:rsidRPr="00396D12">
        <w:t xml:space="preserve"> </w:t>
      </w:r>
      <w:r>
        <w:t xml:space="preserve">skoro ich funkcja jest w zasadzie tożsama z funkcją hipoteki przymusowej ustanowionej na podstawie postanowienia sądu o udzieleniu zabezpieczenia. W przypadku jednak dokumentów i zarządzeń określonych w art. 110 pkt 4 i 5 zasadne jest doprecyzowanie początku biegu owego terminu dwóch miesięcy, </w:t>
      </w:r>
      <w:r w:rsidRPr="005F1D42">
        <w:rPr>
          <w:spacing w:val="-2"/>
        </w:rPr>
        <w:lastRenderedPageBreak/>
        <w:t>który ustawa wyznacza wierzycielowi na zgłoszenie żądania przekształcenia hipoteki. Zadanie</w:t>
      </w:r>
      <w:r>
        <w:t xml:space="preserve"> to realizuje art. 111</w:t>
      </w:r>
      <w:r>
        <w:rPr>
          <w:vertAlign w:val="superscript"/>
        </w:rPr>
        <w:t>2</w:t>
      </w:r>
      <w:r>
        <w:t xml:space="preserve"> ust. 4 </w:t>
      </w:r>
      <w:proofErr w:type="spellStart"/>
      <w:r>
        <w:t>u.k.w.h</w:t>
      </w:r>
      <w:proofErr w:type="spellEnd"/>
      <w:r>
        <w:t>.</w:t>
      </w:r>
    </w:p>
    <w:p w:rsidR="00267254" w:rsidRDefault="00267254" w:rsidP="006B05D0">
      <w:pPr>
        <w:pStyle w:val="ARTartustawynprozporzdzenia"/>
      </w:pPr>
      <w:r>
        <w:t xml:space="preserve">Wreszcie, trzecim obszarem regulacyjnym objętym nowelą są przepisy ustawy z dnia 17 czerwca 1966 r. o postępowaniu egzekucyjnym w administracji (Dz. U. z 2017 r. poz. </w:t>
      </w:r>
      <w:r w:rsidRPr="00CD0348">
        <w:rPr>
          <w:spacing w:val="-2"/>
        </w:rPr>
        <w:t>1201 i 1475). Wyrok TK nie odnosił się do rozwiązań proceduralnych związanych z egzekucją</w:t>
      </w:r>
      <w:r>
        <w:t xml:space="preserve"> administracyjną, niemniej znowu stwierdzić trzeba, że symetryczność uregulowań zawartych w k.p.c. oraz powołanej ustawie o postępowaniu egzekucyjnym w administracji, a do tego objęcie zmianami postanowień </w:t>
      </w:r>
      <w:proofErr w:type="spellStart"/>
      <w:r>
        <w:t>u.k.w.h</w:t>
      </w:r>
      <w:proofErr w:type="spellEnd"/>
      <w:r>
        <w:t xml:space="preserve">., które – o czym była mowa przed chwilą – odnoszą </w:t>
      </w:r>
      <w:r w:rsidRPr="00C1102E">
        <w:rPr>
          <w:spacing w:val="-2"/>
        </w:rPr>
        <w:t xml:space="preserve">się również do administracyjnych tytułów zabezpieczenia (art. 110 pkt 3–5 </w:t>
      </w:r>
      <w:proofErr w:type="spellStart"/>
      <w:r w:rsidRPr="00C1102E">
        <w:rPr>
          <w:spacing w:val="-2"/>
        </w:rPr>
        <w:t>u.k.w.h</w:t>
      </w:r>
      <w:proofErr w:type="spellEnd"/>
      <w:r w:rsidRPr="00C1102E">
        <w:rPr>
          <w:spacing w:val="-2"/>
        </w:rPr>
        <w:t>.), stanowią</w:t>
      </w:r>
      <w:r>
        <w:t xml:space="preserve"> dostateczne uzasadnienie dla objęcia zakresem przedmiotowym także tej trzeciej ustawy. Dokonywana na jej gruncie zmiana ogranicza się wszakże do dodania w art. 154 (przepis ogólny) nowego paragrafu (§ 8), który rozstrzygać będzie o wygaśnięciu zabezpieczenia udzielonego na podstawie art. 164 § 1 pkt 2–5 (hipoteka przymusowa na nieruchomości, hipoteka morska, zakaz zbywania i obciążania nieruchomości niemającej księgi wieczystej, zakaz zbywania praw spółdzielczych) po upływie dwóch miesięcy od dnia doręczenia decyzji lub innego orzeczenia albo od doręczenia postanowienia o nadaniu rygoru natychmiastowej wykonalności, o ile tylko wierzyciel nie wystawi tytułu wykonawczego na zabezpieczoną należność pieniężną. W przepisie tym, identycznie jak w przypadku art. 754</w:t>
      </w:r>
      <w:r>
        <w:rPr>
          <w:rStyle w:val="IGindeksgrny"/>
        </w:rPr>
        <w:t>1</w:t>
      </w:r>
      <w:r>
        <w:t xml:space="preserve"> § 1 k.p.c., </w:t>
      </w:r>
      <w:r w:rsidRPr="00307BF7">
        <w:rPr>
          <w:spacing w:val="-2"/>
        </w:rPr>
        <w:t>zawarte będzie ponadto zastrzeżenie wskazujące na możliwość istnienia odrębnych uregulowań</w:t>
      </w:r>
      <w:r>
        <w:t xml:space="preserve"> </w:t>
      </w:r>
      <w:r w:rsidRPr="00FB7185">
        <w:rPr>
          <w:spacing w:val="-2"/>
        </w:rPr>
        <w:t>ustawowych oraz podjęcia przez organ egzekucyjny</w:t>
      </w:r>
      <w:r w:rsidRPr="00931F61">
        <w:t>, na wniosek wierzyciela, odmienne</w:t>
      </w:r>
      <w:r>
        <w:t>go</w:t>
      </w:r>
      <w:r w:rsidRPr="00931F61">
        <w:t xml:space="preserve"> </w:t>
      </w:r>
      <w:r w:rsidRPr="00A2155D">
        <w:rPr>
          <w:spacing w:val="-2"/>
        </w:rPr>
        <w:t>rozstrzygnięcia w omawianym zakresie (okoliczność działania organu egzekucyjnego w trybie</w:t>
      </w:r>
      <w:r w:rsidRPr="00C5518A">
        <w:t xml:space="preserve"> wnioskowym</w:t>
      </w:r>
      <w:r w:rsidRPr="00931F61">
        <w:t xml:space="preserve"> została w tym miejscu uwypuklona ze wzg</w:t>
      </w:r>
      <w:r>
        <w:t xml:space="preserve">lędu na to, że przepisy ustawy </w:t>
      </w:r>
      <w:r w:rsidRPr="00301728">
        <w:rPr>
          <w:spacing w:val="-1"/>
        </w:rPr>
        <w:t>o postępowaniu egzekucyjnym w administracji dopuszczają w niektórych sytuacjach działanie</w:t>
      </w:r>
      <w:r>
        <w:t xml:space="preserve"> organu egzekucyjnego z urzędu – zob. art. 155a ust. 1a)</w:t>
      </w:r>
      <w:r w:rsidRPr="00FB7185">
        <w:rPr>
          <w:spacing w:val="-2"/>
        </w:rPr>
        <w:t>.</w:t>
      </w:r>
    </w:p>
    <w:p w:rsidR="00267254" w:rsidRDefault="00267254" w:rsidP="00CB19DE">
      <w:pPr>
        <w:pStyle w:val="ARTartustawynprozporzdzenia"/>
      </w:pPr>
      <w:r>
        <w:t xml:space="preserve">Wobec pilnej potrzeby dostosowania systemu prawa do rozstrzygnięcia wydanego przez Trybunał Konstytucyjny w art. 5 projektu proponuje się standardową </w:t>
      </w:r>
      <w:r w:rsidRPr="005F6599">
        <w:rPr>
          <w:rStyle w:val="Kkursywa"/>
        </w:rPr>
        <w:t>vacatio legis</w:t>
      </w:r>
      <w:r>
        <w:t xml:space="preserve"> (14 dni od </w:t>
      </w:r>
      <w:r w:rsidRPr="00A624BC">
        <w:t>dnia ogłoszenia</w:t>
      </w:r>
      <w:r>
        <w:t xml:space="preserve"> ustawy). Podobne uzasadnienie przyświeca wprowadzeniu w art. 4 projektu zasady prawa międzyczasowego, w świetle której wprowadzane rozwiązania znajdą zastosowanie do stanów zaistniałych przed wejściem w życie ustawy. Chodzi mianowicie o objęcie nowymi regulacjami zabezpieczeń ustanowionych stosownie do art. 747 pkt 2–5 </w:t>
      </w:r>
      <w:r w:rsidRPr="00530C1A">
        <w:rPr>
          <w:spacing w:val="-4"/>
        </w:rPr>
        <w:t>k.p.c., aczkolwiek pod warunkiem że zabezpieczenia te jeszcze nie upadły (ust. 1), zabezpieczeń</w:t>
      </w:r>
      <w:r>
        <w:t xml:space="preserve"> mających swą podstawę w przepisach ustawy o postępowaniu egzekucyjnym w administracji </w:t>
      </w:r>
      <w:r>
        <w:lastRenderedPageBreak/>
        <w:t xml:space="preserve">(ust. 2) oraz hipotek przymusowych ustanowionych na podstawie orzeczeń, decyzji lub dokumentów, o których mowa w art. 110 </w:t>
      </w:r>
      <w:proofErr w:type="spellStart"/>
      <w:r>
        <w:t>u.k.w.h</w:t>
      </w:r>
      <w:proofErr w:type="spellEnd"/>
      <w:r>
        <w:t>. (ust. 3).</w:t>
      </w:r>
    </w:p>
    <w:p w:rsidR="00267254" w:rsidRDefault="00267254" w:rsidP="00036595"/>
    <w:p w:rsidR="00267254" w:rsidRPr="00036595" w:rsidRDefault="00267254" w:rsidP="00CB19DE">
      <w:pPr>
        <w:keepNext/>
        <w:rPr>
          <w:rStyle w:val="Ppogrubienie"/>
        </w:rPr>
      </w:pPr>
      <w:r w:rsidRPr="00036595">
        <w:rPr>
          <w:rStyle w:val="Ppogrubienie"/>
        </w:rPr>
        <w:t>4. Konsultacje</w:t>
      </w:r>
    </w:p>
    <w:p w:rsidR="00267254" w:rsidRDefault="00267254" w:rsidP="00B37228">
      <w:pPr>
        <w:pStyle w:val="NIEARTTEKSTtekstnieartykuowanynppodstprawnarozplubpreambua"/>
      </w:pPr>
      <w:r w:rsidRPr="00323A43">
        <w:rPr>
          <w:spacing w:val="-3"/>
        </w:rPr>
        <w:t>Projekt ustawy został przesłany do zaopiniowania Ministrowi Sprawiedliwości, Ministrowi</w:t>
      </w:r>
      <w:r>
        <w:t xml:space="preserve"> Rozwoju i Finansów, Sądowi Najwyższemu, Naczelnemu Sądowi Administracyjnemu, Krajowej Radzie Sądownictwa, Rzecznikowi Praw Obywatelskich, Prokuratorii Generalnej Rzeczypospolitej Polskiej, Radzie Dialogu Społecznego, Naczelnej Radzie Adwokackiej, Krajowej Radzie Radców Prawnych, Krajowej Radzie Notarialnej, Krajowej Radzie Komorniczej, Stowarzyszeniu Asesorów i Komorników „Res Iudicata”, Związkowi Banków Polskich, Konfederacji Lewiatan, Business Centre Club oraz Helsińskiej Fundacji Praw Człowieka.</w:t>
      </w:r>
    </w:p>
    <w:p w:rsidR="00267254" w:rsidRDefault="00267254" w:rsidP="00B37228">
      <w:pPr>
        <w:pStyle w:val="ARTartustawynprozporzdzenia"/>
      </w:pPr>
      <w:r>
        <w:t>Minister Sprawiedliwości wypowiedział się aprobująco o przedłożonym projekcie. Zarekomendował jednak wprowadzenie trzech poprawek:</w:t>
      </w:r>
    </w:p>
    <w:p w:rsidR="00267254" w:rsidRDefault="00267254" w:rsidP="00B37228">
      <w:r>
        <w:t>1) skreślenie wyrazu „dalszych” w projektowanym § 1 (art. 1 projektu) ze względu na to, że zabezpieczenie udzielone na zasadzie art. 747 pkt 2–5 k.p.c. nie ma charakteru czynności egzekucyjnej i co z tym się wiąże – złożenie wniosku o wszczęcie egzekucji (przykładowo: z nieruchomości</w:t>
      </w:r>
      <w:r w:rsidRPr="00A24892">
        <w:t xml:space="preserve"> </w:t>
      </w:r>
      <w:r>
        <w:t>obciążonej hipoteką przymusową) nie stanowi kolejnego („dalszego”) etapu egzekucji;</w:t>
      </w:r>
    </w:p>
    <w:p w:rsidR="00267254" w:rsidRDefault="00267254" w:rsidP="00B37228">
      <w:r>
        <w:t>2) uzupełnienie treści art. 111</w:t>
      </w:r>
      <w:r>
        <w:rPr>
          <w:rStyle w:val="IGindeksgrny"/>
        </w:rPr>
        <w:t>2</w:t>
      </w:r>
      <w:r>
        <w:t xml:space="preserve"> ust. 1 (art. 2 projektu w wersji objętej drukiem senackim nr </w:t>
      </w:r>
      <w:r w:rsidRPr="001E08DD">
        <w:rPr>
          <w:spacing w:val="-2"/>
        </w:rPr>
        <w:t>559) o formułę „albo od uprawomocnienia się postanowienia o odrzuceniu apelacji lub innego</w:t>
      </w:r>
      <w:r>
        <w:t xml:space="preserve"> </w:t>
      </w:r>
      <w:r w:rsidRPr="001E08DD">
        <w:rPr>
          <w:spacing w:val="-5"/>
        </w:rPr>
        <w:t>środka zaskarżenia wniesionego przez obowiązanego od orzeczenia uwzględniającego roszczenie,</w:t>
      </w:r>
      <w:r>
        <w:t xml:space="preserve"> które podlegało zabezpieczeniu,” w celu pełnego zharmonizowania brzmienia tego przepisu i art. 754</w:t>
      </w:r>
      <w:r>
        <w:rPr>
          <w:rStyle w:val="IGindeksgrny"/>
        </w:rPr>
        <w:t>1</w:t>
      </w:r>
      <w:r>
        <w:t xml:space="preserve"> § 1 k.p.c.;</w:t>
      </w:r>
    </w:p>
    <w:p w:rsidR="00267254" w:rsidRDefault="00267254" w:rsidP="00B37228">
      <w:r>
        <w:t>3) skorygowanie redakcji art. 3 ust. 1 (także według numeracji z druku 559).</w:t>
      </w:r>
    </w:p>
    <w:p w:rsidR="00267254" w:rsidRDefault="00267254" w:rsidP="00B37228">
      <w:pPr>
        <w:pStyle w:val="ARTartustawynprozporzdzenia"/>
      </w:pPr>
      <w:r>
        <w:t>Minister Rozwoju i Finansów ocenił pozytywnie projektowane rozwiązania, niemniej zaproponował dokonanie jednoczesnej nowelizacji ustawy z dnia 17 czerwca 1966 r. o  postępowaniu egzekucyjnym w administracji oraz modyfikację brzmienia projektowanego art. 111</w:t>
      </w:r>
      <w:r>
        <w:rPr>
          <w:rStyle w:val="IGindeksgrny"/>
        </w:rPr>
        <w:t>2</w:t>
      </w:r>
      <w:r>
        <w:t xml:space="preserve"> ust. 3 i dodanie w tym artykule ust. 4.</w:t>
      </w:r>
    </w:p>
    <w:p w:rsidR="00267254" w:rsidRDefault="00267254" w:rsidP="00B37228">
      <w:pPr>
        <w:pStyle w:val="ARTartustawynprozporzdzenia"/>
      </w:pPr>
      <w:r>
        <w:t>Również Sąd Najwyższy stwierdził, że nowelizacja wychodzi naprzeciw ustaleniom TK, aczkolwiek wyraził wątpliwości co do dalszego losu zabezpieczenia, o którym mowa w art. 754</w:t>
      </w:r>
      <w:r>
        <w:rPr>
          <w:rStyle w:val="IGindeksgrny"/>
        </w:rPr>
        <w:t>1</w:t>
      </w:r>
      <w:r>
        <w:t xml:space="preserve"> § 1 k.p.c. oraz </w:t>
      </w:r>
      <w:r w:rsidRPr="00684BC5">
        <w:rPr>
          <w:rStyle w:val="Kkursywa"/>
        </w:rPr>
        <w:t>ratio</w:t>
      </w:r>
      <w:r>
        <w:t xml:space="preserve"> dodania art. 111</w:t>
      </w:r>
      <w:r>
        <w:rPr>
          <w:rStyle w:val="IGindeksgrny"/>
        </w:rPr>
        <w:t>2</w:t>
      </w:r>
      <w:r>
        <w:t xml:space="preserve"> ust. 1 i 2 w </w:t>
      </w:r>
      <w:proofErr w:type="spellStart"/>
      <w:r>
        <w:t>u.k.w.h</w:t>
      </w:r>
      <w:proofErr w:type="spellEnd"/>
      <w:r>
        <w:t>.</w:t>
      </w:r>
    </w:p>
    <w:p w:rsidR="00267254" w:rsidRDefault="00267254" w:rsidP="00B37228">
      <w:pPr>
        <w:pStyle w:val="ARTartustawynprozporzdzenia"/>
      </w:pPr>
      <w:r>
        <w:lastRenderedPageBreak/>
        <w:t>Naczelna Rada Adwokacka także zaopiniowała projekt pozytywnie, natomiast Krajowa Rada Komornicza zgłosiła zastrzeżenia natury redakcyjnej (w odniesieniu do art. 754</w:t>
      </w:r>
      <w:r>
        <w:rPr>
          <w:rStyle w:val="IGindeksgrny"/>
        </w:rPr>
        <w:t>1</w:t>
      </w:r>
      <w:r>
        <w:t xml:space="preserve"> § 1 i 2 k.p.c.), a ponadto zaznaczyła, że regulacje zawarte w proponowanym art. 111</w:t>
      </w:r>
      <w:r>
        <w:rPr>
          <w:rStyle w:val="IGindeksgrny"/>
        </w:rPr>
        <w:t>2</w:t>
      </w:r>
      <w:r>
        <w:t xml:space="preserve"> ust. 1 i 3 </w:t>
      </w:r>
      <w:proofErr w:type="spellStart"/>
      <w:r>
        <w:t>u.k.w.h</w:t>
      </w:r>
      <w:proofErr w:type="spellEnd"/>
      <w:r>
        <w:t>. są niezrozumiałe.</w:t>
      </w:r>
    </w:p>
    <w:p w:rsidR="00267254" w:rsidRDefault="00267254" w:rsidP="00B37228">
      <w:pPr>
        <w:pStyle w:val="ARTartustawynprozporzdzenia"/>
      </w:pPr>
      <w:r>
        <w:t xml:space="preserve">Krajowa Rada Sądownictwa i Krajowa Rada Notarialna poinformowały, że nie zgłaszają </w:t>
      </w:r>
      <w:r w:rsidRPr="008E7572">
        <w:rPr>
          <w:spacing w:val="-2"/>
        </w:rPr>
        <w:t>uwag do przedłożonego projektu. Identyczne stanowisko zajął Naczelny Sąd Administracyjny,</w:t>
      </w:r>
      <w:r>
        <w:t xml:space="preserve"> zaś Prokuratoria Generalna Rzeczypospolitej Polskiej przedstawiła opinię, z której wynika, że uznaje projektowane rozwiązania za prawidłowe.</w:t>
      </w:r>
    </w:p>
    <w:p w:rsidR="00267254" w:rsidRDefault="00267254" w:rsidP="00B37228">
      <w:pPr>
        <w:pStyle w:val="ARTartustawynprozporzdzenia"/>
      </w:pPr>
      <w:r>
        <w:t>Związek Banków Polskich postawił podobne pytanie co Sąd Najwyższy odnośnie do uregulowania z art. 754</w:t>
      </w:r>
      <w:r>
        <w:rPr>
          <w:rStyle w:val="IGindeksgrny"/>
        </w:rPr>
        <w:t>1</w:t>
      </w:r>
      <w:r>
        <w:t xml:space="preserve"> § 1 k.p.c., jak również wątpliwość w kwestii znaczenia </w:t>
      </w:r>
      <w:r w:rsidRPr="001C5EA5">
        <w:rPr>
          <w:spacing w:val="-2"/>
        </w:rPr>
        <w:t>pojęcia „zmiana treści hipoteki” w świetle nowego art. 111</w:t>
      </w:r>
      <w:r w:rsidRPr="001C5EA5">
        <w:rPr>
          <w:rStyle w:val="IGindeksgrny"/>
          <w:spacing w:val="-2"/>
        </w:rPr>
        <w:t>2</w:t>
      </w:r>
      <w:r w:rsidRPr="001C5EA5">
        <w:rPr>
          <w:spacing w:val="-2"/>
        </w:rPr>
        <w:t xml:space="preserve"> ust. 1 </w:t>
      </w:r>
      <w:proofErr w:type="spellStart"/>
      <w:r w:rsidRPr="001C5EA5">
        <w:rPr>
          <w:spacing w:val="-2"/>
        </w:rPr>
        <w:t>u.k.w.h</w:t>
      </w:r>
      <w:proofErr w:type="spellEnd"/>
      <w:r w:rsidRPr="001C5EA5">
        <w:rPr>
          <w:spacing w:val="-2"/>
        </w:rPr>
        <w:t>.</w:t>
      </w:r>
      <w:r>
        <w:rPr>
          <w:spacing w:val="-2"/>
        </w:rPr>
        <w:t xml:space="preserve"> Związek Banków Polskim sformułował </w:t>
      </w:r>
      <w:r w:rsidRPr="001C5EA5">
        <w:rPr>
          <w:spacing w:val="-2"/>
        </w:rPr>
        <w:t xml:space="preserve">zarazem </w:t>
      </w:r>
      <w:r>
        <w:t>tezę, że regulacja zawarta w tym ostatnim przepisie pozostanie martwa ze względu na postanowienie art. 111</w:t>
      </w:r>
      <w:r>
        <w:rPr>
          <w:vertAlign w:val="superscript"/>
        </w:rPr>
        <w:t>2</w:t>
      </w:r>
      <w:r>
        <w:t xml:space="preserve"> ust. 2 </w:t>
      </w:r>
      <w:proofErr w:type="spellStart"/>
      <w:r>
        <w:t>u.k.w.h</w:t>
      </w:r>
      <w:proofErr w:type="spellEnd"/>
      <w:r>
        <w:t>., w związku z czym zaproponował nadanie innego brzmienia wymienionym przepisom.</w:t>
      </w:r>
    </w:p>
    <w:p w:rsidR="00267254" w:rsidRPr="002B426E" w:rsidRDefault="00267254" w:rsidP="00B37228">
      <w:pPr>
        <w:pStyle w:val="ARTartustawynprozporzdzenia"/>
      </w:pPr>
      <w:r>
        <w:t>Pozostałe podmioty nie przedstawiły opinii. Nadesłane opinie i uwagi są zamieszczo</w:t>
      </w:r>
      <w:r w:rsidRPr="00BC3C22">
        <w:t xml:space="preserve">ne na </w:t>
      </w:r>
      <w:r>
        <w:t xml:space="preserve">senackiej </w:t>
      </w:r>
      <w:r w:rsidRPr="00BC3C22">
        <w:t>stronie internetowej</w:t>
      </w:r>
      <w:r>
        <w:t>.</w:t>
      </w:r>
    </w:p>
    <w:p w:rsidR="00267254" w:rsidRDefault="00267254" w:rsidP="00B37228">
      <w:pPr>
        <w:pStyle w:val="ARTartustawynprozporzdzenia"/>
      </w:pPr>
      <w:r>
        <w:t>W trakcie I czytania Komisja Praw Człowieka, Praworządności i Petycji oraz Komisja Ustawodawcza wprowadziły modyfikacje sugerowane przez Ministra Sprawiedliwości (</w:t>
      </w:r>
      <w:r w:rsidRPr="00C67A10">
        <w:rPr>
          <w:spacing w:val="-3"/>
        </w:rPr>
        <w:t>jedynie z drobną korektą terminologiczną w zakresie propozycji drugiej) oraz Ministra Rozwoju</w:t>
      </w:r>
      <w:r>
        <w:t xml:space="preserve"> i Finansów. Z kolei wobec wątpliwości zgłoszonych przez Sąd Najwyższy, Krajową Radę Komorniczą oraz Związek Banków Polskich rozbudowano część trzecią niniejszego uzasadnienia (str. 7 i 8).</w:t>
      </w:r>
    </w:p>
    <w:p w:rsidR="00267254" w:rsidRDefault="00267254" w:rsidP="00B7010D"/>
    <w:p w:rsidR="00267254" w:rsidRPr="0015321A" w:rsidRDefault="00267254" w:rsidP="0015321A">
      <w:pPr>
        <w:rPr>
          <w:rStyle w:val="Ppogrubienie"/>
        </w:rPr>
      </w:pPr>
      <w:r>
        <w:rPr>
          <w:rStyle w:val="Ppogrubienie"/>
        </w:rPr>
        <w:t xml:space="preserve">5. </w:t>
      </w:r>
      <w:r w:rsidRPr="0015321A">
        <w:rPr>
          <w:rStyle w:val="Ppogrubienie"/>
        </w:rPr>
        <w:t>Oświadczenie o zgodności z prawem Unii Europejskiej</w:t>
      </w:r>
    </w:p>
    <w:p w:rsidR="00267254" w:rsidRPr="00613011" w:rsidRDefault="00267254" w:rsidP="00730DA0">
      <w:pPr>
        <w:pStyle w:val="NIEARTTEKSTtekstnieartykuowanynppodstprawnarozplubpreambua"/>
      </w:pPr>
      <w:r w:rsidRPr="0015321A">
        <w:t>Zakres przedmiotowy projektowanej ustawy nie jest objęty prawem Unii Europejskiej.</w:t>
      </w:r>
    </w:p>
    <w:p w:rsidR="00A140F2" w:rsidRDefault="00A140F2" w:rsidP="0011257D">
      <w:pPr>
        <w:pStyle w:val="Tekstpodstawowy"/>
        <w:tabs>
          <w:tab w:val="center" w:pos="6237"/>
        </w:tabs>
        <w:spacing w:line="240" w:lineRule="auto"/>
        <w:ind w:right="-2"/>
        <w:rPr>
          <w:b/>
        </w:rPr>
        <w:sectPr w:rsidR="00A140F2" w:rsidSect="001E0C72">
          <w:headerReference w:type="default" r:id="rId12"/>
          <w:headerReference w:type="first" r:id="rId13"/>
          <w:pgSz w:w="11906" w:h="16838"/>
          <w:pgMar w:top="1669" w:right="1435" w:bottom="1559" w:left="1418" w:header="851" w:footer="978" w:gutter="0"/>
          <w:pgNumType w:start="1"/>
          <w:cols w:space="708"/>
          <w:titlePg/>
          <w:docGrid w:linePitch="254"/>
        </w:sectPr>
      </w:pPr>
    </w:p>
    <w:tbl>
      <w:tblPr>
        <w:tblW w:w="111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683"/>
        <w:gridCol w:w="890"/>
        <w:gridCol w:w="270"/>
        <w:gridCol w:w="360"/>
        <w:gridCol w:w="126"/>
        <w:gridCol w:w="504"/>
        <w:gridCol w:w="433"/>
        <w:gridCol w:w="197"/>
        <w:gridCol w:w="630"/>
        <w:gridCol w:w="111"/>
        <w:gridCol w:w="474"/>
        <w:gridCol w:w="45"/>
        <w:gridCol w:w="348"/>
        <w:gridCol w:w="71"/>
        <w:gridCol w:w="212"/>
        <w:gridCol w:w="630"/>
        <w:gridCol w:w="95"/>
        <w:gridCol w:w="535"/>
        <w:gridCol w:w="190"/>
        <w:gridCol w:w="213"/>
        <w:gridCol w:w="227"/>
        <w:gridCol w:w="694"/>
        <w:gridCol w:w="17"/>
        <w:gridCol w:w="692"/>
        <w:gridCol w:w="992"/>
      </w:tblGrid>
      <w:tr w:rsidR="00800789" w:rsidRPr="00800789" w:rsidTr="00F419F2">
        <w:trPr>
          <w:trHeight w:val="1611"/>
        </w:trPr>
        <w:tc>
          <w:tcPr>
            <w:tcW w:w="6631" w:type="dxa"/>
            <w:gridSpan w:val="14"/>
          </w:tcPr>
          <w:p w:rsidR="00800789" w:rsidRPr="00800789" w:rsidRDefault="00800789" w:rsidP="00800789">
            <w:pPr>
              <w:widowControl/>
              <w:autoSpaceDE/>
              <w:autoSpaceDN/>
              <w:adjustRightInd/>
              <w:spacing w:before="120" w:line="240" w:lineRule="auto"/>
              <w:ind w:hanging="45"/>
              <w:jc w:val="left"/>
              <w:rPr>
                <w:rFonts w:eastAsia="Calibri" w:cs="Times New Roman"/>
                <w:color w:val="000000"/>
                <w:sz w:val="22"/>
                <w:szCs w:val="22"/>
                <w:lang w:eastAsia="en-US"/>
              </w:rPr>
            </w:pPr>
            <w:bookmarkStart w:id="1" w:name="t1"/>
            <w:r w:rsidRPr="00800789">
              <w:rPr>
                <w:rFonts w:eastAsia="Calibri" w:cs="Times New Roman"/>
                <w:b/>
                <w:color w:val="000000"/>
                <w:sz w:val="22"/>
                <w:szCs w:val="22"/>
                <w:lang w:eastAsia="en-US"/>
              </w:rPr>
              <w:lastRenderedPageBreak/>
              <w:t>Tytuł projektu:</w:t>
            </w:r>
          </w:p>
          <w:p w:rsidR="00800789" w:rsidRPr="00800789" w:rsidRDefault="00800789" w:rsidP="00800789">
            <w:pPr>
              <w:widowControl/>
              <w:autoSpaceDE/>
              <w:autoSpaceDN/>
              <w:adjustRightInd/>
              <w:spacing w:line="240" w:lineRule="auto"/>
              <w:rPr>
                <w:rFonts w:eastAsia="Calibri" w:cs="Times New Roman"/>
                <w:sz w:val="22"/>
                <w:szCs w:val="22"/>
                <w:vertAlign w:val="superscript"/>
                <w:lang w:eastAsia="en-US"/>
              </w:rPr>
            </w:pPr>
            <w:r w:rsidRPr="00800789">
              <w:rPr>
                <w:rFonts w:eastAsia="Calibri" w:cs="Times New Roman"/>
                <w:sz w:val="22"/>
                <w:szCs w:val="22"/>
                <w:lang w:eastAsia="en-US"/>
              </w:rPr>
              <w:t xml:space="preserve">ustawa o zmianie ustawy – Kodeks postępowania cywilnego, ustawy </w:t>
            </w:r>
            <w:r w:rsidRPr="00800789">
              <w:rPr>
                <w:rFonts w:eastAsia="Calibri" w:cs="Times New Roman"/>
                <w:sz w:val="22"/>
                <w:szCs w:val="22"/>
                <w:lang w:eastAsia="en-US"/>
              </w:rPr>
              <w:br/>
              <w:t>o postępowaniu egzekucyjnym w administracji oraz ustawy o księgach wieczystych i hipotece</w:t>
            </w:r>
          </w:p>
          <w:bookmarkEnd w:id="1"/>
          <w:p w:rsidR="00800789" w:rsidRPr="00800789" w:rsidRDefault="00800789" w:rsidP="00800789">
            <w:pPr>
              <w:widowControl/>
              <w:autoSpaceDE/>
              <w:autoSpaceDN/>
              <w:adjustRightInd/>
              <w:spacing w:line="240" w:lineRule="auto"/>
              <w:ind w:hanging="34"/>
              <w:jc w:val="left"/>
              <w:rPr>
                <w:rFonts w:eastAsia="Calibri" w:cs="Times New Roman"/>
                <w:color w:val="000000"/>
                <w:sz w:val="22"/>
                <w:szCs w:val="22"/>
                <w:lang w:eastAsia="en-US"/>
              </w:rPr>
            </w:pPr>
          </w:p>
          <w:p w:rsidR="00800789" w:rsidRPr="00800789" w:rsidRDefault="00800789" w:rsidP="00800789">
            <w:pPr>
              <w:widowControl/>
              <w:autoSpaceDE/>
              <w:autoSpaceDN/>
              <w:adjustRightInd/>
              <w:spacing w:line="240" w:lineRule="auto"/>
              <w:jc w:val="left"/>
              <w:rPr>
                <w:rFonts w:eastAsia="Calibri" w:cs="Times New Roman"/>
                <w:b/>
                <w:sz w:val="21"/>
                <w:szCs w:val="24"/>
                <w:lang w:eastAsia="en-US"/>
              </w:rPr>
            </w:pPr>
            <w:r w:rsidRPr="00800789">
              <w:rPr>
                <w:rFonts w:eastAsia="Calibri" w:cs="Times New Roman"/>
                <w:b/>
                <w:sz w:val="22"/>
                <w:szCs w:val="24"/>
                <w:lang w:eastAsia="en-US"/>
              </w:rPr>
              <w:t>Przedstawiciel wnioskodawcy</w:t>
            </w:r>
            <w:r w:rsidRPr="00800789">
              <w:rPr>
                <w:rFonts w:eastAsia="Calibri" w:cs="Times New Roman"/>
                <w:b/>
                <w:sz w:val="21"/>
                <w:szCs w:val="24"/>
                <w:lang w:eastAsia="en-US"/>
              </w:rPr>
              <w:t xml:space="preserve">: </w:t>
            </w:r>
          </w:p>
          <w:p w:rsidR="00800789" w:rsidRPr="00800789" w:rsidRDefault="00800789" w:rsidP="00800789">
            <w:pPr>
              <w:widowControl/>
              <w:autoSpaceDE/>
              <w:autoSpaceDN/>
              <w:adjustRightInd/>
              <w:spacing w:line="240" w:lineRule="auto"/>
              <w:jc w:val="left"/>
              <w:rPr>
                <w:rFonts w:eastAsia="Calibri" w:cs="Times New Roman"/>
                <w:sz w:val="21"/>
                <w:szCs w:val="21"/>
                <w:lang w:eastAsia="en-US"/>
              </w:rPr>
            </w:pPr>
            <w:r w:rsidRPr="00800789">
              <w:rPr>
                <w:rFonts w:eastAsia="Calibri" w:cs="Times New Roman"/>
                <w:sz w:val="21"/>
                <w:szCs w:val="21"/>
                <w:lang w:eastAsia="en-US"/>
              </w:rPr>
              <w:t>senator Aleksander Szwed</w:t>
            </w:r>
          </w:p>
          <w:p w:rsidR="00800789" w:rsidRPr="00800789" w:rsidRDefault="00800789" w:rsidP="00800789">
            <w:pPr>
              <w:widowControl/>
              <w:autoSpaceDE/>
              <w:autoSpaceDN/>
              <w:adjustRightInd/>
              <w:spacing w:line="240" w:lineRule="auto"/>
              <w:ind w:hanging="45"/>
              <w:jc w:val="left"/>
              <w:rPr>
                <w:rFonts w:eastAsia="Calibri" w:cs="Times New Roman"/>
                <w:b/>
                <w:color w:val="000000"/>
                <w:sz w:val="22"/>
                <w:szCs w:val="22"/>
                <w:lang w:eastAsia="en-US"/>
              </w:rPr>
            </w:pPr>
          </w:p>
          <w:p w:rsidR="00800789" w:rsidRPr="00800789" w:rsidRDefault="00800789" w:rsidP="00800789">
            <w:pPr>
              <w:widowControl/>
              <w:autoSpaceDE/>
              <w:autoSpaceDN/>
              <w:adjustRightInd/>
              <w:spacing w:line="240" w:lineRule="auto"/>
              <w:ind w:hanging="45"/>
              <w:jc w:val="left"/>
              <w:rPr>
                <w:rFonts w:eastAsia="Calibri" w:cs="Times New Roman"/>
                <w:b/>
                <w:color w:val="000000"/>
                <w:sz w:val="22"/>
                <w:szCs w:val="22"/>
                <w:lang w:eastAsia="en-US"/>
              </w:rPr>
            </w:pPr>
            <w:bookmarkStart w:id="2" w:name="t3"/>
            <w:r w:rsidRPr="00800789">
              <w:rPr>
                <w:rFonts w:eastAsia="Calibri" w:cs="Times New Roman"/>
                <w:b/>
                <w:color w:val="000000"/>
                <w:sz w:val="22"/>
                <w:szCs w:val="22"/>
                <w:lang w:eastAsia="en-US"/>
              </w:rPr>
              <w:t>Osoby odpowiedzialne za projekt w Biurze Legislacyjnym:</w:t>
            </w:r>
          </w:p>
          <w:p w:rsidR="00800789" w:rsidRPr="00800789" w:rsidRDefault="00800789" w:rsidP="00800789">
            <w:pPr>
              <w:widowControl/>
              <w:autoSpaceDE/>
              <w:autoSpaceDN/>
              <w:adjustRightInd/>
              <w:spacing w:line="240" w:lineRule="auto"/>
              <w:jc w:val="left"/>
              <w:rPr>
                <w:rFonts w:eastAsia="Calibri" w:cs="Times New Roman"/>
                <w:sz w:val="22"/>
                <w:szCs w:val="22"/>
                <w:lang w:eastAsia="en-US"/>
              </w:rPr>
            </w:pPr>
            <w:r w:rsidRPr="00800789">
              <w:rPr>
                <w:rFonts w:eastAsia="Calibri" w:cs="Times New Roman"/>
                <w:sz w:val="22"/>
                <w:szCs w:val="22"/>
                <w:lang w:eastAsia="en-US"/>
              </w:rPr>
              <w:t>Katarzyna Konieczko, ekspert ds. legislacji, tel. 22 694 9557</w:t>
            </w:r>
          </w:p>
          <w:bookmarkEnd w:id="2"/>
          <w:p w:rsidR="00800789" w:rsidRPr="00800789" w:rsidRDefault="00800789" w:rsidP="00800789">
            <w:pPr>
              <w:widowControl/>
              <w:autoSpaceDE/>
              <w:autoSpaceDN/>
              <w:adjustRightInd/>
              <w:spacing w:after="120" w:line="240" w:lineRule="auto"/>
              <w:ind w:hanging="45"/>
              <w:jc w:val="left"/>
              <w:rPr>
                <w:rFonts w:eastAsia="Calibri" w:cs="Times New Roman"/>
                <w:color w:val="000000"/>
                <w:sz w:val="22"/>
                <w:szCs w:val="22"/>
                <w:lang w:eastAsia="en-US"/>
              </w:rPr>
            </w:pPr>
            <w:r w:rsidRPr="00800789">
              <w:rPr>
                <w:rFonts w:eastAsia="Calibri" w:cs="Times New Roman"/>
                <w:color w:val="000000"/>
                <w:sz w:val="22"/>
                <w:szCs w:val="22"/>
                <w:lang w:eastAsia="en-US"/>
              </w:rPr>
              <w:tab/>
              <w:t>Katarzyna Majewska, ekspert ds. OSR, tel. 22 694 9259</w:t>
            </w:r>
          </w:p>
        </w:tc>
        <w:tc>
          <w:tcPr>
            <w:tcW w:w="4568" w:type="dxa"/>
            <w:gridSpan w:val="12"/>
            <w:shd w:val="clear" w:color="auto" w:fill="FFFFFF"/>
          </w:tcPr>
          <w:p w:rsidR="00800789" w:rsidRPr="00800789" w:rsidRDefault="00800789" w:rsidP="00800789">
            <w:pPr>
              <w:widowControl/>
              <w:autoSpaceDE/>
              <w:autoSpaceDN/>
              <w:adjustRightInd/>
              <w:spacing w:before="120" w:line="240" w:lineRule="auto"/>
              <w:jc w:val="left"/>
              <w:rPr>
                <w:rFonts w:eastAsia="Calibri" w:cs="Times New Roman"/>
                <w:b/>
                <w:sz w:val="21"/>
                <w:szCs w:val="21"/>
                <w:lang w:eastAsia="en-US"/>
              </w:rPr>
            </w:pPr>
            <w:r w:rsidRPr="00800789">
              <w:rPr>
                <w:rFonts w:eastAsia="Calibri" w:cs="Times New Roman"/>
                <w:b/>
                <w:sz w:val="21"/>
                <w:szCs w:val="21"/>
                <w:lang w:eastAsia="en-US"/>
              </w:rPr>
              <w:t>Data sporządzenia:</w:t>
            </w:r>
            <w:r w:rsidRPr="00800789">
              <w:rPr>
                <w:rFonts w:eastAsia="Calibri" w:cs="Times New Roman"/>
                <w:b/>
                <w:sz w:val="21"/>
                <w:szCs w:val="21"/>
                <w:lang w:eastAsia="en-US"/>
              </w:rPr>
              <w:br/>
            </w:r>
            <w:r w:rsidRPr="00800789">
              <w:rPr>
                <w:rFonts w:eastAsia="Calibri" w:cs="Times New Roman"/>
                <w:sz w:val="21"/>
                <w:szCs w:val="21"/>
                <w:lang w:eastAsia="en-US"/>
              </w:rPr>
              <w:t>10 listopada 2017 r.</w:t>
            </w:r>
          </w:p>
          <w:p w:rsidR="00800789" w:rsidRPr="00800789" w:rsidRDefault="00800789" w:rsidP="00800789">
            <w:pPr>
              <w:widowControl/>
              <w:autoSpaceDE/>
              <w:autoSpaceDN/>
              <w:adjustRightInd/>
              <w:spacing w:line="240" w:lineRule="auto"/>
              <w:jc w:val="left"/>
              <w:rPr>
                <w:rFonts w:eastAsia="Calibri" w:cs="Times New Roman"/>
                <w:b/>
                <w:sz w:val="22"/>
                <w:szCs w:val="22"/>
                <w:lang w:eastAsia="en-US"/>
              </w:rPr>
            </w:pPr>
          </w:p>
          <w:p w:rsidR="00800789" w:rsidRPr="00800789" w:rsidRDefault="00800789" w:rsidP="00800789">
            <w:pPr>
              <w:widowControl/>
              <w:autoSpaceDE/>
              <w:autoSpaceDN/>
              <w:adjustRightInd/>
              <w:spacing w:line="240" w:lineRule="auto"/>
              <w:jc w:val="left"/>
              <w:rPr>
                <w:rFonts w:eastAsia="Calibri" w:cs="Times New Roman"/>
                <w:sz w:val="22"/>
                <w:szCs w:val="22"/>
                <w:lang w:eastAsia="en-US"/>
              </w:rPr>
            </w:pPr>
            <w:r w:rsidRPr="00800789">
              <w:rPr>
                <w:rFonts w:eastAsia="Calibri" w:cs="Times New Roman"/>
                <w:b/>
                <w:sz w:val="22"/>
                <w:szCs w:val="22"/>
                <w:lang w:eastAsia="en-US"/>
              </w:rPr>
              <w:t xml:space="preserve">Źródło: </w:t>
            </w:r>
            <w:r w:rsidRPr="00800789">
              <w:rPr>
                <w:rFonts w:eastAsia="Calibri" w:cs="Times New Roman"/>
                <w:sz w:val="22"/>
                <w:szCs w:val="22"/>
                <w:lang w:eastAsia="en-US"/>
              </w:rPr>
              <w:t>wyrok TK</w:t>
            </w:r>
          </w:p>
          <w:p w:rsidR="00800789" w:rsidRPr="00800789" w:rsidRDefault="00800789" w:rsidP="00800789">
            <w:pPr>
              <w:widowControl/>
              <w:autoSpaceDE/>
              <w:autoSpaceDN/>
              <w:adjustRightInd/>
              <w:spacing w:line="240" w:lineRule="auto"/>
              <w:jc w:val="left"/>
              <w:rPr>
                <w:rFonts w:eastAsia="Calibri" w:cs="Times New Roman"/>
                <w:b/>
                <w:color w:val="000000"/>
                <w:sz w:val="22"/>
                <w:szCs w:val="22"/>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2"/>
                <w:szCs w:val="22"/>
                <w:lang w:eastAsia="en-US"/>
              </w:rPr>
            </w:pPr>
            <w:r w:rsidRPr="00800789">
              <w:rPr>
                <w:rFonts w:eastAsia="Calibri" w:cs="Times New Roman"/>
                <w:b/>
                <w:color w:val="000000"/>
                <w:sz w:val="22"/>
                <w:szCs w:val="22"/>
                <w:lang w:eastAsia="en-US"/>
              </w:rPr>
              <w:t xml:space="preserve">Nr druku: </w:t>
            </w:r>
            <w:r w:rsidRPr="00800789">
              <w:rPr>
                <w:rFonts w:eastAsia="Calibri" w:cs="Times New Roman"/>
                <w:color w:val="000000"/>
                <w:sz w:val="22"/>
                <w:szCs w:val="22"/>
                <w:lang w:eastAsia="en-US"/>
              </w:rPr>
              <w:t>559, 559S, 559X</w:t>
            </w:r>
          </w:p>
          <w:p w:rsidR="00800789" w:rsidRPr="00800789" w:rsidRDefault="00800789" w:rsidP="00800789">
            <w:pPr>
              <w:widowControl/>
              <w:autoSpaceDE/>
              <w:autoSpaceDN/>
              <w:adjustRightInd/>
              <w:spacing w:line="240" w:lineRule="auto"/>
              <w:jc w:val="left"/>
              <w:rPr>
                <w:rFonts w:eastAsia="Calibri" w:cs="Times New Roman"/>
                <w:color w:val="000000"/>
                <w:sz w:val="28"/>
                <w:szCs w:val="28"/>
                <w:lang w:eastAsia="en-US"/>
              </w:rPr>
            </w:pPr>
          </w:p>
        </w:tc>
      </w:tr>
      <w:tr w:rsidR="00800789" w:rsidRPr="00800789" w:rsidTr="00F419F2">
        <w:trPr>
          <w:trHeight w:val="142"/>
        </w:trPr>
        <w:tc>
          <w:tcPr>
            <w:tcW w:w="11199" w:type="dxa"/>
            <w:gridSpan w:val="26"/>
            <w:shd w:val="clear" w:color="auto" w:fill="99CCFF"/>
          </w:tcPr>
          <w:p w:rsidR="00800789" w:rsidRPr="00800789" w:rsidRDefault="00800789" w:rsidP="00800789">
            <w:pPr>
              <w:widowControl/>
              <w:autoSpaceDE/>
              <w:autoSpaceDN/>
              <w:adjustRightInd/>
              <w:spacing w:line="240" w:lineRule="auto"/>
              <w:ind w:left="57"/>
              <w:jc w:val="center"/>
              <w:rPr>
                <w:rFonts w:eastAsia="Calibri" w:cs="Times New Roman"/>
                <w:b/>
                <w:color w:val="FFFFFF"/>
                <w:sz w:val="32"/>
                <w:szCs w:val="32"/>
                <w:lang w:eastAsia="en-US"/>
              </w:rPr>
            </w:pPr>
            <w:r w:rsidRPr="00800789">
              <w:rPr>
                <w:rFonts w:eastAsia="Calibri" w:cs="Times New Roman"/>
                <w:b/>
                <w:color w:val="FFFFFF"/>
                <w:sz w:val="32"/>
                <w:szCs w:val="32"/>
                <w:lang w:eastAsia="en-US"/>
              </w:rPr>
              <w:t>OCENA SKUTKÓW REGULACJI</w:t>
            </w:r>
          </w:p>
        </w:tc>
      </w:tr>
      <w:tr w:rsidR="00800789" w:rsidRPr="00800789" w:rsidTr="00F419F2">
        <w:trPr>
          <w:trHeight w:val="333"/>
        </w:trPr>
        <w:tc>
          <w:tcPr>
            <w:tcW w:w="11199" w:type="dxa"/>
            <w:gridSpan w:val="26"/>
            <w:shd w:val="clear" w:color="auto" w:fill="99CCFF"/>
            <w:vAlign w:val="center"/>
          </w:tcPr>
          <w:p w:rsidR="00800789" w:rsidRPr="00800789" w:rsidRDefault="00800789" w:rsidP="00800789">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800789">
              <w:rPr>
                <w:rFonts w:eastAsia="Calibri" w:cs="Times New Roman"/>
                <w:b/>
                <w:sz w:val="22"/>
                <w:szCs w:val="22"/>
                <w:lang w:eastAsia="en-US"/>
              </w:rPr>
              <w:t>Jaki problem jest rozwiązywany?</w:t>
            </w:r>
            <w:bookmarkStart w:id="3" w:name="Wybór1"/>
            <w:bookmarkEnd w:id="3"/>
          </w:p>
        </w:tc>
      </w:tr>
      <w:tr w:rsidR="00800789" w:rsidRPr="00800789" w:rsidTr="00F419F2">
        <w:trPr>
          <w:trHeight w:val="142"/>
        </w:trPr>
        <w:tc>
          <w:tcPr>
            <w:tcW w:w="11199" w:type="dxa"/>
            <w:gridSpan w:val="26"/>
            <w:shd w:val="clear" w:color="auto" w:fill="FFFFFF"/>
          </w:tcPr>
          <w:p w:rsidR="00800789" w:rsidRPr="00800789" w:rsidRDefault="00800789" w:rsidP="00800789">
            <w:pPr>
              <w:widowControl/>
              <w:autoSpaceDE/>
              <w:autoSpaceDN/>
              <w:adjustRightInd/>
              <w:spacing w:after="120" w:line="240" w:lineRule="auto"/>
              <w:rPr>
                <w:rFonts w:eastAsia="Calibri" w:cs="Times New Roman"/>
                <w:bCs/>
                <w:color w:val="000000"/>
                <w:sz w:val="22"/>
                <w:szCs w:val="22"/>
                <w:lang w:eastAsia="en-US"/>
              </w:rPr>
            </w:pPr>
            <w:r w:rsidRPr="00800789">
              <w:rPr>
                <w:rFonts w:eastAsia="Calibri" w:cs="Times New Roman"/>
                <w:color w:val="000000"/>
                <w:sz w:val="22"/>
                <w:szCs w:val="22"/>
                <w:lang w:eastAsia="en-US"/>
              </w:rPr>
              <w:t>Zgodnie z art. 754</w:t>
            </w:r>
            <w:r w:rsidRPr="00800789">
              <w:rPr>
                <w:rFonts w:eastAsia="Calibri" w:cs="Times New Roman"/>
                <w:color w:val="000000"/>
                <w:sz w:val="22"/>
                <w:szCs w:val="22"/>
                <w:vertAlign w:val="superscript"/>
                <w:lang w:eastAsia="en-US"/>
              </w:rPr>
              <w:t>1</w:t>
            </w:r>
            <w:r w:rsidRPr="00800789">
              <w:rPr>
                <w:rFonts w:eastAsia="Calibri" w:cs="Times New Roman"/>
                <w:color w:val="000000"/>
                <w:sz w:val="22"/>
                <w:szCs w:val="22"/>
                <w:lang w:eastAsia="en-US"/>
              </w:rPr>
              <w:t xml:space="preserve"> § 1 </w:t>
            </w:r>
            <w:r w:rsidRPr="00800789">
              <w:rPr>
                <w:rFonts w:eastAsia="Calibri" w:cs="Times New Roman"/>
                <w:i/>
                <w:color w:val="000000"/>
                <w:sz w:val="22"/>
                <w:szCs w:val="22"/>
                <w:lang w:eastAsia="en-US"/>
              </w:rPr>
              <w:t xml:space="preserve">Kodeksu postępowania cywilnego </w:t>
            </w:r>
            <w:r w:rsidRPr="00800789">
              <w:rPr>
                <w:rFonts w:eastAsia="Calibri" w:cs="Times New Roman"/>
                <w:color w:val="000000"/>
                <w:sz w:val="22"/>
                <w:szCs w:val="22"/>
                <w:lang w:eastAsia="en-US"/>
              </w:rPr>
              <w:t xml:space="preserve">udzielone wierzycielowi </w:t>
            </w:r>
            <w:r w:rsidRPr="00800789">
              <w:rPr>
                <w:rFonts w:eastAsia="Calibri" w:cs="Times New Roman"/>
                <w:b/>
                <w:color w:val="000000"/>
                <w:sz w:val="22"/>
                <w:szCs w:val="22"/>
                <w:lang w:eastAsia="en-US"/>
              </w:rPr>
              <w:t>zabezpieczenie roszczeń pieniężnych</w:t>
            </w:r>
            <w:r w:rsidRPr="00800789">
              <w:rPr>
                <w:rFonts w:eastAsia="Calibri" w:cs="Times New Roman"/>
                <w:color w:val="000000"/>
                <w:sz w:val="22"/>
                <w:szCs w:val="22"/>
                <w:lang w:eastAsia="en-US"/>
              </w:rPr>
              <w:t xml:space="preserve"> (w postaci </w:t>
            </w:r>
            <w:r w:rsidRPr="00800789">
              <w:rPr>
                <w:rFonts w:eastAsia="Calibri" w:cs="Times New Roman"/>
                <w:bCs/>
                <w:color w:val="000000"/>
                <w:sz w:val="22"/>
                <w:szCs w:val="22"/>
                <w:lang w:eastAsia="en-US"/>
              </w:rPr>
              <w:t xml:space="preserve">hipoteki przymusowej, zakazu zbywania lub obciążania nieruchomości, która nie ma księgi wieczystej, hipoteki morskiej, zakazu zbywania spółdzielczego własnościowego prawa do lokalu) </w:t>
            </w:r>
            <w:r w:rsidRPr="00800789">
              <w:rPr>
                <w:rFonts w:eastAsia="Calibri" w:cs="Times New Roman"/>
                <w:b/>
                <w:color w:val="000000"/>
                <w:sz w:val="22"/>
                <w:szCs w:val="22"/>
                <w:lang w:eastAsia="en-US"/>
              </w:rPr>
              <w:t>upada po upływie dwóch miesięcy</w:t>
            </w:r>
            <w:r w:rsidRPr="00800789">
              <w:rPr>
                <w:rFonts w:eastAsia="Calibri" w:cs="Times New Roman"/>
                <w:color w:val="000000"/>
                <w:sz w:val="22"/>
                <w:szCs w:val="22"/>
                <w:lang w:eastAsia="en-US"/>
              </w:rPr>
              <w:t xml:space="preserve"> od uprawomocnienia się orzeczenia uwzględniającego roszczenie, które podlegało zabezpieczeniu, albo od uprawomocnienia się postanowienia o odrzuceniu apelacji lub innego środka zaskarżenia wniesionego przez obowiązanego od orzeczenia uwzględniającego roszczenie, które podlegało zabezpieczeniu (do 1 czerwca 2017 r. obowiązywał termin miesiąca).</w:t>
            </w:r>
            <w:r w:rsidRPr="00800789">
              <w:rPr>
                <w:rFonts w:eastAsia="Calibri" w:cs="Times New Roman"/>
                <w:bCs/>
                <w:color w:val="000000"/>
                <w:sz w:val="22"/>
                <w:szCs w:val="22"/>
                <w:lang w:eastAsia="en-US"/>
              </w:rPr>
              <w:t xml:space="preserve"> </w:t>
            </w:r>
          </w:p>
          <w:p w:rsidR="00800789" w:rsidRPr="00800789" w:rsidRDefault="00800789" w:rsidP="00800789">
            <w:pPr>
              <w:widowControl/>
              <w:autoSpaceDE/>
              <w:autoSpaceDN/>
              <w:adjustRightInd/>
              <w:spacing w:after="120" w:line="240" w:lineRule="auto"/>
              <w:rPr>
                <w:rFonts w:eastAsia="Calibri" w:cs="Times New Roman"/>
                <w:bCs/>
                <w:color w:val="000000"/>
                <w:sz w:val="22"/>
                <w:szCs w:val="22"/>
                <w:lang w:eastAsia="en-US"/>
              </w:rPr>
            </w:pPr>
            <w:r w:rsidRPr="00800789">
              <w:rPr>
                <w:rFonts w:eastAsia="Calibri" w:cs="Times New Roman"/>
                <w:bCs/>
                <w:color w:val="000000"/>
                <w:sz w:val="22"/>
                <w:szCs w:val="22"/>
                <w:lang w:eastAsia="en-US"/>
              </w:rPr>
              <w:t xml:space="preserve">Upływ powyższego terminu nie został uzależniony od czynności egzekucyjnych wierzyciela. Pomimo podjęcia przez wierzyciela czynności egzekucyjnych (np. złożenia wniosku o wszczęcie egzekucji) bieg terminu nie był przerywany. Prowadziło to do sytuacji, że wyegzekwowanie należnej sumy pieniężnej w przypadku egzekucji prowadzonej wyłącznie </w:t>
            </w:r>
            <w:r w:rsidRPr="00800789">
              <w:rPr>
                <w:rFonts w:eastAsia="Calibri" w:cs="Times New Roman"/>
                <w:bCs/>
                <w:color w:val="000000"/>
                <w:sz w:val="22"/>
                <w:szCs w:val="22"/>
                <w:lang w:eastAsia="en-US"/>
              </w:rPr>
              <w:br/>
              <w:t>z nieruchomości było – ze względu na długotrwałą i złożoną procedurę – w praktyce niemożliwe.</w:t>
            </w:r>
          </w:p>
          <w:p w:rsidR="00800789" w:rsidRPr="00800789" w:rsidRDefault="00800789" w:rsidP="00800789">
            <w:pPr>
              <w:widowControl/>
              <w:autoSpaceDE/>
              <w:autoSpaceDN/>
              <w:adjustRightInd/>
              <w:spacing w:after="120" w:line="240" w:lineRule="auto"/>
              <w:rPr>
                <w:rFonts w:eastAsia="Calibri" w:cs="Times New Roman"/>
                <w:bCs/>
                <w:color w:val="000000"/>
                <w:sz w:val="22"/>
                <w:szCs w:val="22"/>
                <w:lang w:eastAsia="en-US"/>
              </w:rPr>
            </w:pPr>
            <w:r w:rsidRPr="00800789">
              <w:rPr>
                <w:rFonts w:eastAsia="Calibri" w:cs="Times New Roman"/>
                <w:color w:val="000000"/>
                <w:sz w:val="22"/>
                <w:szCs w:val="22"/>
                <w:lang w:eastAsia="en-US"/>
              </w:rPr>
              <w:t xml:space="preserve">Trybunał Konstytucyjny w wyroku z dnia 25 października 2016 r. (sygn. akt SK 71/13) </w:t>
            </w:r>
            <w:r w:rsidRPr="00800789">
              <w:rPr>
                <w:rFonts w:eastAsia="Calibri" w:cs="Times New Roman"/>
                <w:bCs/>
                <w:color w:val="000000"/>
                <w:sz w:val="22"/>
                <w:szCs w:val="22"/>
                <w:lang w:eastAsia="en-US"/>
              </w:rPr>
              <w:t>stwierdził, że ww. przepis</w:t>
            </w:r>
            <w:r w:rsidRPr="00800789">
              <w:rPr>
                <w:rFonts w:eastAsia="Calibri" w:cs="Times New Roman"/>
                <w:color w:val="000000"/>
                <w:sz w:val="22"/>
                <w:szCs w:val="22"/>
                <w:lang w:eastAsia="en-US"/>
              </w:rPr>
              <w:t xml:space="preserve"> jest niezgodny z Konstytucją RP, gdyż </w:t>
            </w:r>
            <w:r w:rsidRPr="00800789">
              <w:rPr>
                <w:rFonts w:eastAsia="Calibri" w:cs="Times New Roman"/>
                <w:bCs/>
                <w:i/>
                <w:color w:val="000000"/>
                <w:sz w:val="22"/>
                <w:szCs w:val="22"/>
                <w:lang w:eastAsia="en-US"/>
              </w:rPr>
              <w:t>de facto</w:t>
            </w:r>
            <w:r w:rsidRPr="00800789">
              <w:rPr>
                <w:rFonts w:eastAsia="Calibri" w:cs="Times New Roman"/>
                <w:bCs/>
                <w:color w:val="000000"/>
                <w:sz w:val="22"/>
                <w:szCs w:val="22"/>
                <w:lang w:eastAsia="en-US"/>
              </w:rPr>
              <w:t xml:space="preserve"> </w:t>
            </w:r>
            <w:r w:rsidRPr="00800789">
              <w:rPr>
                <w:rFonts w:eastAsia="Calibri" w:cs="Times New Roman"/>
                <w:color w:val="000000"/>
                <w:sz w:val="22"/>
                <w:szCs w:val="22"/>
                <w:lang w:eastAsia="en-US"/>
              </w:rPr>
              <w:t>prowadził do pozornej ochrony prawa majątkowego wierzyciela przez zabezpieczenie, które staje się od razu nieskuteczne.</w:t>
            </w:r>
          </w:p>
        </w:tc>
      </w:tr>
      <w:tr w:rsidR="00800789" w:rsidRPr="00800789" w:rsidTr="00F419F2">
        <w:trPr>
          <w:trHeight w:val="142"/>
        </w:trPr>
        <w:tc>
          <w:tcPr>
            <w:tcW w:w="11199" w:type="dxa"/>
            <w:gridSpan w:val="26"/>
            <w:shd w:val="clear" w:color="auto" w:fill="99CCFF"/>
            <w:vAlign w:val="center"/>
          </w:tcPr>
          <w:p w:rsidR="00800789" w:rsidRPr="00800789" w:rsidRDefault="00800789" w:rsidP="00800789">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800789">
              <w:rPr>
                <w:rFonts w:eastAsia="Calibri" w:cs="Times New Roman"/>
                <w:b/>
                <w:color w:val="000000"/>
                <w:spacing w:val="-2"/>
                <w:sz w:val="22"/>
                <w:szCs w:val="22"/>
                <w:lang w:eastAsia="en-US"/>
              </w:rPr>
              <w:t>Rekomendowane rozwiązanie, w tym planowane narzędzia interwencji, i oczekiwany efekt</w:t>
            </w:r>
          </w:p>
        </w:tc>
      </w:tr>
      <w:tr w:rsidR="00800789" w:rsidRPr="00800789" w:rsidTr="00F419F2">
        <w:trPr>
          <w:trHeight w:val="142"/>
        </w:trPr>
        <w:tc>
          <w:tcPr>
            <w:tcW w:w="11199" w:type="dxa"/>
            <w:gridSpan w:val="26"/>
            <w:shd w:val="clear" w:color="auto" w:fill="auto"/>
          </w:tcPr>
          <w:p w:rsidR="00800789" w:rsidRPr="00800789" w:rsidRDefault="00800789" w:rsidP="00800789">
            <w:pPr>
              <w:widowControl/>
              <w:autoSpaceDE/>
              <w:autoSpaceDN/>
              <w:adjustRightInd/>
              <w:spacing w:after="120" w:line="240" w:lineRule="auto"/>
              <w:rPr>
                <w:rFonts w:eastAsia="Calibri" w:cs="Times New Roman"/>
                <w:bCs/>
                <w:color w:val="000000"/>
                <w:spacing w:val="-2"/>
                <w:sz w:val="22"/>
                <w:szCs w:val="22"/>
                <w:lang w:eastAsia="en-US"/>
              </w:rPr>
            </w:pPr>
            <w:r w:rsidRPr="00800789">
              <w:rPr>
                <w:rFonts w:eastAsia="Calibri" w:cs="Times New Roman"/>
                <w:color w:val="000000"/>
                <w:spacing w:val="-2"/>
                <w:sz w:val="22"/>
                <w:szCs w:val="22"/>
                <w:lang w:eastAsia="en-US"/>
              </w:rPr>
              <w:t>Projektowane rozwiązanie polega na:</w:t>
            </w:r>
            <w:r w:rsidRPr="00800789">
              <w:rPr>
                <w:rFonts w:eastAsia="Calibri" w:cs="Times New Roman"/>
                <w:bCs/>
                <w:color w:val="000000"/>
                <w:spacing w:val="-2"/>
                <w:sz w:val="22"/>
                <w:szCs w:val="22"/>
                <w:lang w:eastAsia="en-US"/>
              </w:rPr>
              <w:t xml:space="preserve"> </w:t>
            </w:r>
          </w:p>
          <w:p w:rsidR="00800789" w:rsidRPr="00800789" w:rsidRDefault="00800789" w:rsidP="00800789">
            <w:pPr>
              <w:widowControl/>
              <w:numPr>
                <w:ilvl w:val="0"/>
                <w:numId w:val="46"/>
              </w:numPr>
              <w:autoSpaceDE/>
              <w:autoSpaceDN/>
              <w:adjustRightInd/>
              <w:spacing w:after="120" w:line="240" w:lineRule="auto"/>
              <w:ind w:left="717"/>
              <w:jc w:val="left"/>
              <w:rPr>
                <w:rFonts w:eastAsia="Calibri" w:cs="Times New Roman"/>
                <w:bCs/>
                <w:color w:val="000000"/>
                <w:spacing w:val="-2"/>
                <w:sz w:val="22"/>
                <w:szCs w:val="22"/>
                <w:lang w:eastAsia="en-US"/>
              </w:rPr>
            </w:pPr>
            <w:r w:rsidRPr="00800789">
              <w:rPr>
                <w:rFonts w:eastAsia="Calibri" w:cs="Times New Roman"/>
                <w:bCs/>
                <w:color w:val="000000"/>
                <w:spacing w:val="-2"/>
                <w:sz w:val="22"/>
                <w:szCs w:val="22"/>
                <w:lang w:eastAsia="en-US"/>
              </w:rPr>
              <w:t>uzależnieniu utrzymania zabezpieczenia roszczeń pieniężnych w określonym zakresie od wniesienia przez uprawnionego o dokonanie czynności egzekucyjnych;</w:t>
            </w:r>
          </w:p>
          <w:p w:rsidR="00800789" w:rsidRPr="00800789" w:rsidRDefault="00800789" w:rsidP="00800789">
            <w:pPr>
              <w:widowControl/>
              <w:numPr>
                <w:ilvl w:val="0"/>
                <w:numId w:val="46"/>
              </w:numPr>
              <w:autoSpaceDE/>
              <w:autoSpaceDN/>
              <w:adjustRightInd/>
              <w:spacing w:after="120" w:line="240" w:lineRule="auto"/>
              <w:ind w:left="714" w:hanging="357"/>
              <w:jc w:val="left"/>
              <w:rPr>
                <w:rFonts w:eastAsia="Calibri" w:cs="Times New Roman"/>
                <w:bCs/>
                <w:color w:val="000000"/>
                <w:spacing w:val="-2"/>
                <w:sz w:val="22"/>
                <w:szCs w:val="22"/>
                <w:lang w:eastAsia="en-US"/>
              </w:rPr>
            </w:pPr>
            <w:r w:rsidRPr="00800789">
              <w:rPr>
                <w:rFonts w:eastAsia="Calibri" w:cs="Times New Roman"/>
                <w:bCs/>
                <w:color w:val="000000"/>
                <w:spacing w:val="-2"/>
                <w:sz w:val="22"/>
                <w:szCs w:val="22"/>
                <w:lang w:eastAsia="en-US"/>
              </w:rPr>
              <w:t xml:space="preserve">przyznaniu wierzycielowi możliwości zgłoszenia żądania przekształcenia hipoteki przymusowej ustanowionej </w:t>
            </w:r>
            <w:r w:rsidRPr="00800789">
              <w:rPr>
                <w:rFonts w:eastAsia="Calibri" w:cs="Times New Roman"/>
                <w:bCs/>
                <w:color w:val="000000"/>
                <w:spacing w:val="-2"/>
                <w:sz w:val="22"/>
                <w:szCs w:val="22"/>
                <w:lang w:eastAsia="en-US"/>
              </w:rPr>
              <w:br/>
              <w:t>w ramach zabezpieczenia w hipotekę, która zabezpiecza wierzytelność stwierdzoną już tytułem wykonawczym;</w:t>
            </w:r>
          </w:p>
          <w:p w:rsidR="00800789" w:rsidRPr="00800789" w:rsidRDefault="00800789" w:rsidP="00800789">
            <w:pPr>
              <w:widowControl/>
              <w:numPr>
                <w:ilvl w:val="0"/>
                <w:numId w:val="46"/>
              </w:numPr>
              <w:autoSpaceDE/>
              <w:autoSpaceDN/>
              <w:adjustRightInd/>
              <w:spacing w:line="240" w:lineRule="auto"/>
              <w:ind w:left="717"/>
              <w:contextualSpacing/>
              <w:jc w:val="left"/>
              <w:rPr>
                <w:rFonts w:eastAsia="Calibri" w:cs="Times New Roman"/>
                <w:color w:val="000000"/>
                <w:spacing w:val="-2"/>
                <w:sz w:val="22"/>
                <w:szCs w:val="22"/>
                <w:lang w:eastAsia="en-US"/>
              </w:rPr>
            </w:pPr>
            <w:r w:rsidRPr="00800789">
              <w:rPr>
                <w:rFonts w:eastAsia="Calibri" w:cs="Times New Roman"/>
                <w:bCs/>
                <w:color w:val="000000"/>
                <w:spacing w:val="-2"/>
                <w:sz w:val="22"/>
                <w:szCs w:val="22"/>
                <w:lang w:eastAsia="en-US"/>
              </w:rPr>
              <w:t>zastosowaniu projektowanych rozwiązań do zabezpieczeń, które zostały ustanowione przed wejściem w życie ustawy, ale do tego czasu nie upadły;</w:t>
            </w:r>
          </w:p>
          <w:p w:rsidR="00800789" w:rsidRPr="00800789" w:rsidRDefault="00800789" w:rsidP="00800789">
            <w:pPr>
              <w:widowControl/>
              <w:numPr>
                <w:ilvl w:val="0"/>
                <w:numId w:val="46"/>
              </w:numPr>
              <w:autoSpaceDE/>
              <w:autoSpaceDN/>
              <w:adjustRightInd/>
              <w:spacing w:after="120" w:line="240" w:lineRule="auto"/>
              <w:ind w:left="714" w:hanging="357"/>
              <w:jc w:val="left"/>
              <w:rPr>
                <w:rFonts w:eastAsia="Calibri" w:cs="Times New Roman"/>
                <w:color w:val="000000"/>
                <w:spacing w:val="-2"/>
                <w:sz w:val="22"/>
                <w:szCs w:val="22"/>
                <w:lang w:eastAsia="en-US"/>
              </w:rPr>
            </w:pPr>
            <w:r w:rsidRPr="00800789">
              <w:rPr>
                <w:rFonts w:eastAsia="Calibri" w:cs="Times New Roman"/>
                <w:bCs/>
                <w:color w:val="000000"/>
                <w:spacing w:val="-2"/>
                <w:sz w:val="22"/>
                <w:szCs w:val="22"/>
                <w:lang w:eastAsia="en-US"/>
              </w:rPr>
              <w:t>zastosowaniu rozwiązań, o których mowa w pkt 1–2, w postępowaniu egzekucyjnym w administracji.</w:t>
            </w:r>
          </w:p>
        </w:tc>
      </w:tr>
      <w:tr w:rsidR="00800789" w:rsidRPr="00800789" w:rsidTr="00F419F2">
        <w:trPr>
          <w:trHeight w:val="307"/>
        </w:trPr>
        <w:tc>
          <w:tcPr>
            <w:tcW w:w="11199" w:type="dxa"/>
            <w:gridSpan w:val="26"/>
            <w:shd w:val="clear" w:color="auto" w:fill="99CCFF"/>
            <w:vAlign w:val="center"/>
          </w:tcPr>
          <w:p w:rsidR="00800789" w:rsidRPr="00800789" w:rsidRDefault="00800789" w:rsidP="00800789">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800789">
              <w:rPr>
                <w:rFonts w:eastAsia="Calibri" w:cs="Times New Roman"/>
                <w:b/>
                <w:spacing w:val="-2"/>
                <w:sz w:val="22"/>
                <w:szCs w:val="22"/>
                <w:lang w:eastAsia="en-US"/>
              </w:rPr>
              <w:t>Jak problem został rozwiązany w innych krajach, w szczególności krajach członkowskich OECD/UE</w:t>
            </w:r>
            <w:r w:rsidRPr="00800789">
              <w:rPr>
                <w:rFonts w:eastAsia="Calibri" w:cs="Times New Roman"/>
                <w:b/>
                <w:color w:val="000000"/>
                <w:sz w:val="22"/>
                <w:szCs w:val="22"/>
                <w:lang w:eastAsia="en-US"/>
              </w:rPr>
              <w:t>?</w:t>
            </w:r>
            <w:r w:rsidRPr="00800789">
              <w:rPr>
                <w:rFonts w:eastAsia="Calibri" w:cs="Times New Roman"/>
                <w:i/>
                <w:color w:val="000000"/>
                <w:sz w:val="22"/>
                <w:szCs w:val="22"/>
                <w:lang w:eastAsia="en-US"/>
              </w:rPr>
              <w:t xml:space="preserve"> </w:t>
            </w:r>
          </w:p>
        </w:tc>
      </w:tr>
      <w:tr w:rsidR="00800789" w:rsidRPr="00800789" w:rsidTr="00F419F2">
        <w:trPr>
          <w:trHeight w:val="142"/>
        </w:trPr>
        <w:tc>
          <w:tcPr>
            <w:tcW w:w="11199" w:type="dxa"/>
            <w:gridSpan w:val="26"/>
            <w:shd w:val="clear" w:color="auto" w:fill="auto"/>
          </w:tcPr>
          <w:p w:rsidR="00800789" w:rsidRPr="00800789" w:rsidRDefault="00800789" w:rsidP="00800789">
            <w:pPr>
              <w:widowControl/>
              <w:autoSpaceDE/>
              <w:autoSpaceDN/>
              <w:adjustRightInd/>
              <w:spacing w:after="120" w:line="240" w:lineRule="auto"/>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Według informacji przekazanych przez Ministra Sprawiedliwości:</w:t>
            </w:r>
          </w:p>
          <w:p w:rsidR="00800789" w:rsidRPr="00800789" w:rsidRDefault="00800789" w:rsidP="00800789">
            <w:pPr>
              <w:widowControl/>
              <w:autoSpaceDE/>
              <w:autoSpaceDN/>
              <w:adjustRightInd/>
              <w:spacing w:after="120" w:line="240" w:lineRule="auto"/>
              <w:rPr>
                <w:rFonts w:eastAsia="Calibri" w:cs="Times New Roman"/>
                <w:color w:val="000000"/>
                <w:spacing w:val="-2"/>
                <w:sz w:val="22"/>
                <w:szCs w:val="22"/>
                <w:lang w:eastAsia="en-US"/>
              </w:rPr>
            </w:pPr>
            <w:r w:rsidRPr="00800789">
              <w:rPr>
                <w:rFonts w:eastAsia="Calibri" w:cs="Times New Roman"/>
                <w:b/>
                <w:color w:val="000000"/>
                <w:spacing w:val="-2"/>
                <w:sz w:val="22"/>
                <w:szCs w:val="22"/>
                <w:lang w:eastAsia="en-US"/>
              </w:rPr>
              <w:t>Niemcy:</w:t>
            </w:r>
            <w:r w:rsidRPr="00800789">
              <w:rPr>
                <w:rFonts w:eastAsia="Calibri" w:cs="Times New Roman"/>
                <w:color w:val="000000"/>
                <w:spacing w:val="-2"/>
                <w:sz w:val="22"/>
                <w:szCs w:val="22"/>
                <w:lang w:eastAsia="en-US"/>
              </w:rPr>
              <w:t xml:space="preserve"> brak jest przepisów dotyczących ograniczeń czasowych lub automatycznego upadku hipoteki przymusowej.</w:t>
            </w:r>
          </w:p>
          <w:p w:rsidR="00800789" w:rsidRPr="00800789" w:rsidRDefault="00800789" w:rsidP="00800789">
            <w:pPr>
              <w:widowControl/>
              <w:autoSpaceDE/>
              <w:autoSpaceDN/>
              <w:adjustRightInd/>
              <w:spacing w:after="120" w:line="240" w:lineRule="auto"/>
              <w:rPr>
                <w:rFonts w:eastAsia="Calibri" w:cs="Times New Roman"/>
                <w:color w:val="000000"/>
                <w:spacing w:val="-2"/>
                <w:sz w:val="22"/>
                <w:szCs w:val="22"/>
                <w:lang w:eastAsia="en-US"/>
              </w:rPr>
            </w:pPr>
            <w:r w:rsidRPr="00800789">
              <w:rPr>
                <w:rFonts w:eastAsia="Calibri" w:cs="Times New Roman"/>
                <w:b/>
                <w:color w:val="000000"/>
                <w:spacing w:val="-2"/>
                <w:sz w:val="22"/>
                <w:szCs w:val="22"/>
                <w:lang w:eastAsia="en-US"/>
              </w:rPr>
              <w:t>Francja:</w:t>
            </w:r>
            <w:r w:rsidRPr="00800789">
              <w:rPr>
                <w:rFonts w:eastAsia="Calibri" w:cs="Times New Roman"/>
                <w:color w:val="000000"/>
                <w:spacing w:val="-2"/>
                <w:sz w:val="22"/>
                <w:szCs w:val="22"/>
                <w:lang w:eastAsia="en-US"/>
              </w:rPr>
              <w:t xml:space="preserve"> zabezpieczenia roszczeń pieniężnych w postaci hipoteki przymusowej udziela się wierzycielowi na 3 lata, chyba że zabezpieczenie jest przedłużone na kolejne 3 lata. Jeśli wierzyciel posiada tytuł wykonawczy, przekształcenie hipoteki powinno nastąpić w terminie miesiąca od doręczenia informacji dłużnikowi.</w:t>
            </w:r>
          </w:p>
          <w:p w:rsidR="00800789" w:rsidRPr="00800789" w:rsidRDefault="00800789" w:rsidP="00800789">
            <w:pPr>
              <w:widowControl/>
              <w:autoSpaceDE/>
              <w:autoSpaceDN/>
              <w:adjustRightInd/>
              <w:spacing w:after="120" w:line="240" w:lineRule="auto"/>
              <w:rPr>
                <w:rFonts w:eastAsia="Calibri" w:cs="Times New Roman"/>
                <w:color w:val="000000"/>
                <w:spacing w:val="-2"/>
                <w:sz w:val="22"/>
                <w:szCs w:val="22"/>
                <w:lang w:eastAsia="en-US"/>
              </w:rPr>
            </w:pPr>
            <w:r w:rsidRPr="00800789">
              <w:rPr>
                <w:rFonts w:eastAsia="Calibri" w:cs="Times New Roman"/>
                <w:b/>
                <w:color w:val="000000"/>
                <w:spacing w:val="-2"/>
                <w:sz w:val="22"/>
                <w:szCs w:val="22"/>
                <w:lang w:eastAsia="en-US"/>
              </w:rPr>
              <w:t>Portugalia:</w:t>
            </w:r>
            <w:r w:rsidRPr="00800789">
              <w:rPr>
                <w:rFonts w:eastAsia="Calibri" w:cs="Times New Roman"/>
                <w:color w:val="000000"/>
                <w:spacing w:val="-2"/>
                <w:sz w:val="22"/>
                <w:szCs w:val="22"/>
                <w:lang w:eastAsia="en-US"/>
              </w:rPr>
              <w:t xml:space="preserve"> brak podobnych rozwiązań.</w:t>
            </w:r>
          </w:p>
          <w:p w:rsidR="00800789" w:rsidRPr="00800789" w:rsidRDefault="00800789" w:rsidP="00800789">
            <w:pPr>
              <w:widowControl/>
              <w:autoSpaceDE/>
              <w:autoSpaceDN/>
              <w:adjustRightInd/>
              <w:spacing w:after="120" w:line="240" w:lineRule="auto"/>
              <w:rPr>
                <w:rFonts w:eastAsia="Calibri" w:cs="Times New Roman"/>
                <w:color w:val="000000"/>
                <w:spacing w:val="-2"/>
                <w:sz w:val="22"/>
                <w:szCs w:val="22"/>
                <w:lang w:eastAsia="en-US"/>
              </w:rPr>
            </w:pPr>
            <w:r w:rsidRPr="00800789">
              <w:rPr>
                <w:rFonts w:eastAsia="Calibri" w:cs="Times New Roman"/>
                <w:b/>
                <w:color w:val="000000"/>
                <w:spacing w:val="-2"/>
                <w:sz w:val="22"/>
                <w:szCs w:val="22"/>
                <w:lang w:eastAsia="en-US"/>
              </w:rPr>
              <w:t>Łotwa:</w:t>
            </w:r>
            <w:r w:rsidRPr="00800789">
              <w:rPr>
                <w:rFonts w:eastAsia="Calibri" w:cs="Times New Roman"/>
                <w:color w:val="000000"/>
                <w:spacing w:val="-2"/>
                <w:sz w:val="22"/>
                <w:szCs w:val="22"/>
                <w:lang w:eastAsia="en-US"/>
              </w:rPr>
              <w:t xml:space="preserve"> zabezpieczenie roszczenia może zostać wycofane przez ten sam sąd, który je ustanowił – na podstawie uzasadnionego wniosku strony, na każdym etapie postępowania. Zabezpieczenie nie upada automatycznie po uprawomocnieniu się orzeczenia. Jeśli roszczenie pozostanie bez rozpoznania lub postępowanie zostanie umorzone, sąd wycofa zabezpieczenie roszczenia na podstawie orzeczenia.</w:t>
            </w:r>
          </w:p>
          <w:p w:rsidR="00800789" w:rsidRPr="00800789" w:rsidRDefault="00800789" w:rsidP="00800789">
            <w:pPr>
              <w:widowControl/>
              <w:autoSpaceDE/>
              <w:autoSpaceDN/>
              <w:adjustRightInd/>
              <w:spacing w:line="240" w:lineRule="auto"/>
              <w:rPr>
                <w:rFonts w:eastAsia="Calibri" w:cs="Times New Roman"/>
                <w:color w:val="000000"/>
                <w:spacing w:val="-2"/>
                <w:sz w:val="22"/>
                <w:szCs w:val="22"/>
                <w:lang w:eastAsia="en-US"/>
              </w:rPr>
            </w:pPr>
            <w:r w:rsidRPr="00800789">
              <w:rPr>
                <w:rFonts w:eastAsia="Calibri" w:cs="Times New Roman"/>
                <w:b/>
                <w:color w:val="000000"/>
                <w:spacing w:val="-2"/>
                <w:sz w:val="22"/>
                <w:szCs w:val="22"/>
                <w:lang w:eastAsia="en-US"/>
              </w:rPr>
              <w:t>Czechy:</w:t>
            </w:r>
            <w:r w:rsidRPr="00800789">
              <w:rPr>
                <w:rFonts w:eastAsia="Calibri" w:cs="Times New Roman"/>
                <w:color w:val="000000"/>
                <w:spacing w:val="-2"/>
                <w:sz w:val="22"/>
                <w:szCs w:val="22"/>
                <w:lang w:eastAsia="en-US"/>
              </w:rPr>
              <w:t xml:space="preserve"> wygaśnięcie hipoteki przymusowej (jako tymczasowego środka zabezpieczenia) możliwe jest w przypadku, gdy:</w:t>
            </w:r>
          </w:p>
          <w:p w:rsidR="00800789" w:rsidRPr="00800789" w:rsidRDefault="00800789" w:rsidP="00800789">
            <w:pPr>
              <w:widowControl/>
              <w:numPr>
                <w:ilvl w:val="0"/>
                <w:numId w:val="47"/>
              </w:numPr>
              <w:autoSpaceDE/>
              <w:autoSpaceDN/>
              <w:adjustRightInd/>
              <w:spacing w:after="120" w:line="240" w:lineRule="auto"/>
              <w:ind w:left="284" w:hanging="284"/>
              <w:contextualSpacing/>
              <w:jc w:val="left"/>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powód nie wniósł o wszczęcie postępowania w ustawowym terminie albo w terminie wskazanym przez sąd;</w:t>
            </w:r>
          </w:p>
          <w:p w:rsidR="00800789" w:rsidRPr="00800789" w:rsidRDefault="00800789" w:rsidP="00800789">
            <w:pPr>
              <w:widowControl/>
              <w:numPr>
                <w:ilvl w:val="0"/>
                <w:numId w:val="47"/>
              </w:numPr>
              <w:autoSpaceDE/>
              <w:autoSpaceDN/>
              <w:adjustRightInd/>
              <w:spacing w:after="120" w:line="240" w:lineRule="auto"/>
              <w:ind w:left="284" w:hanging="284"/>
              <w:contextualSpacing/>
              <w:jc w:val="left"/>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wniosek w sprawie nie został uwzględniony;</w:t>
            </w:r>
          </w:p>
          <w:p w:rsidR="00800789" w:rsidRPr="00800789" w:rsidRDefault="00800789" w:rsidP="00800789">
            <w:pPr>
              <w:widowControl/>
              <w:numPr>
                <w:ilvl w:val="0"/>
                <w:numId w:val="47"/>
              </w:numPr>
              <w:autoSpaceDE/>
              <w:autoSpaceDN/>
              <w:adjustRightInd/>
              <w:spacing w:after="120" w:line="240" w:lineRule="auto"/>
              <w:ind w:left="284" w:hanging="284"/>
              <w:contextualSpacing/>
              <w:jc w:val="left"/>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wniosek w sprawie został uwzględniony i w terminie 15 dni od wydania decyzji merytorycznej zabezpieczenie wygasło;</w:t>
            </w:r>
          </w:p>
          <w:p w:rsidR="00800789" w:rsidRPr="00800789" w:rsidRDefault="00800789" w:rsidP="00800789">
            <w:pPr>
              <w:widowControl/>
              <w:numPr>
                <w:ilvl w:val="0"/>
                <w:numId w:val="47"/>
              </w:numPr>
              <w:autoSpaceDE/>
              <w:autoSpaceDN/>
              <w:adjustRightInd/>
              <w:spacing w:line="240" w:lineRule="auto"/>
              <w:ind w:left="284" w:hanging="284"/>
              <w:contextualSpacing/>
              <w:jc w:val="left"/>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upłynął termin, na który środek tymczasowy został ustanowiony.</w:t>
            </w:r>
          </w:p>
          <w:p w:rsidR="00800789" w:rsidRPr="00800789" w:rsidRDefault="00800789" w:rsidP="00800789">
            <w:pPr>
              <w:widowControl/>
              <w:autoSpaceDE/>
              <w:autoSpaceDN/>
              <w:adjustRightInd/>
              <w:spacing w:before="60" w:line="240" w:lineRule="auto"/>
              <w:rPr>
                <w:rFonts w:eastAsia="Calibri" w:cs="Times New Roman"/>
                <w:color w:val="000000"/>
                <w:spacing w:val="-2"/>
                <w:sz w:val="22"/>
                <w:szCs w:val="22"/>
                <w:lang w:eastAsia="en-US"/>
              </w:rPr>
            </w:pPr>
          </w:p>
          <w:p w:rsidR="00800789" w:rsidRPr="00800789" w:rsidRDefault="00800789" w:rsidP="00800789">
            <w:pPr>
              <w:widowControl/>
              <w:autoSpaceDE/>
              <w:autoSpaceDN/>
              <w:adjustRightInd/>
              <w:spacing w:before="60" w:line="240" w:lineRule="auto"/>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Sąd powinien znieść zabezpieczenie, jeżeli przesłanki, dla których zostało ustanowione, wygasły. Ponadto sąd powinien znieść zabezpieczenie, jeżeli powód nie wniósł w określonym terminie stosownej opłaty tytułem zabezpieczenia.</w:t>
            </w:r>
          </w:p>
          <w:p w:rsidR="00800789" w:rsidRPr="00800789" w:rsidRDefault="00800789" w:rsidP="00800789">
            <w:pPr>
              <w:widowControl/>
              <w:autoSpaceDE/>
              <w:autoSpaceDN/>
              <w:adjustRightInd/>
              <w:spacing w:before="60" w:line="240" w:lineRule="auto"/>
              <w:rPr>
                <w:rFonts w:eastAsia="Calibri" w:cs="Times New Roman"/>
                <w:color w:val="000000"/>
                <w:spacing w:val="-2"/>
                <w:sz w:val="22"/>
                <w:szCs w:val="22"/>
                <w:highlight w:val="yellow"/>
                <w:lang w:eastAsia="en-US"/>
              </w:rPr>
            </w:pPr>
          </w:p>
        </w:tc>
      </w:tr>
      <w:tr w:rsidR="00800789" w:rsidRPr="00800789" w:rsidTr="00F419F2">
        <w:trPr>
          <w:trHeight w:val="359"/>
        </w:trPr>
        <w:tc>
          <w:tcPr>
            <w:tcW w:w="11199" w:type="dxa"/>
            <w:gridSpan w:val="26"/>
            <w:shd w:val="clear" w:color="auto" w:fill="99CCFF"/>
            <w:vAlign w:val="center"/>
          </w:tcPr>
          <w:p w:rsidR="00800789" w:rsidRPr="00800789" w:rsidRDefault="00800789" w:rsidP="00800789">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800789">
              <w:rPr>
                <w:rFonts w:eastAsia="Calibri" w:cs="Times New Roman"/>
                <w:b/>
                <w:color w:val="000000"/>
                <w:sz w:val="22"/>
                <w:szCs w:val="22"/>
                <w:lang w:eastAsia="en-US"/>
              </w:rPr>
              <w:lastRenderedPageBreak/>
              <w:t>Podmioty, na które oddziałuje projekt</w:t>
            </w:r>
          </w:p>
        </w:tc>
      </w:tr>
      <w:tr w:rsidR="00800789" w:rsidRPr="00800789" w:rsidTr="00F419F2">
        <w:trPr>
          <w:trHeight w:val="142"/>
        </w:trPr>
        <w:tc>
          <w:tcPr>
            <w:tcW w:w="3403" w:type="dxa"/>
            <w:gridSpan w:val="4"/>
            <w:shd w:val="clear" w:color="auto" w:fill="auto"/>
          </w:tcPr>
          <w:p w:rsidR="00800789" w:rsidRPr="00800789" w:rsidRDefault="00800789" w:rsidP="00800789">
            <w:pPr>
              <w:widowControl/>
              <w:autoSpaceDE/>
              <w:autoSpaceDN/>
              <w:adjustRightInd/>
              <w:spacing w:before="40" w:line="240" w:lineRule="auto"/>
              <w:jc w:val="center"/>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Grupa</w:t>
            </w:r>
          </w:p>
        </w:tc>
        <w:tc>
          <w:tcPr>
            <w:tcW w:w="2835" w:type="dxa"/>
            <w:gridSpan w:val="8"/>
            <w:shd w:val="clear" w:color="auto" w:fill="auto"/>
          </w:tcPr>
          <w:p w:rsidR="00800789" w:rsidRPr="00800789" w:rsidRDefault="00800789" w:rsidP="00800789">
            <w:pPr>
              <w:widowControl/>
              <w:autoSpaceDE/>
              <w:autoSpaceDN/>
              <w:adjustRightInd/>
              <w:spacing w:before="40" w:line="240" w:lineRule="auto"/>
              <w:jc w:val="center"/>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Wielkość</w:t>
            </w:r>
          </w:p>
        </w:tc>
        <w:tc>
          <w:tcPr>
            <w:tcW w:w="2126" w:type="dxa"/>
            <w:gridSpan w:val="8"/>
            <w:shd w:val="clear" w:color="auto" w:fill="auto"/>
          </w:tcPr>
          <w:p w:rsidR="00800789" w:rsidRPr="00800789" w:rsidRDefault="00800789" w:rsidP="00800789">
            <w:pPr>
              <w:widowControl/>
              <w:autoSpaceDE/>
              <w:autoSpaceDN/>
              <w:adjustRightInd/>
              <w:spacing w:before="40" w:line="240" w:lineRule="auto"/>
              <w:jc w:val="center"/>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Źródło danych</w:t>
            </w:r>
            <w:r w:rsidRPr="00800789" w:rsidDel="00260F33">
              <w:rPr>
                <w:rFonts w:eastAsia="Calibri" w:cs="Times New Roman"/>
                <w:color w:val="000000"/>
                <w:spacing w:val="-2"/>
                <w:sz w:val="22"/>
                <w:szCs w:val="22"/>
                <w:lang w:eastAsia="en-US"/>
              </w:rPr>
              <w:t xml:space="preserve"> </w:t>
            </w:r>
          </w:p>
        </w:tc>
        <w:tc>
          <w:tcPr>
            <w:tcW w:w="2835" w:type="dxa"/>
            <w:gridSpan w:val="6"/>
            <w:shd w:val="clear" w:color="auto" w:fill="auto"/>
          </w:tcPr>
          <w:p w:rsidR="00800789" w:rsidRPr="00800789" w:rsidRDefault="00800789" w:rsidP="00800789">
            <w:pPr>
              <w:widowControl/>
              <w:autoSpaceDE/>
              <w:autoSpaceDN/>
              <w:adjustRightInd/>
              <w:spacing w:before="40" w:line="240" w:lineRule="auto"/>
              <w:jc w:val="center"/>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Oddziaływanie</w:t>
            </w:r>
          </w:p>
        </w:tc>
      </w:tr>
      <w:tr w:rsidR="00800789" w:rsidRPr="00800789" w:rsidTr="00F419F2">
        <w:trPr>
          <w:trHeight w:val="142"/>
        </w:trPr>
        <w:tc>
          <w:tcPr>
            <w:tcW w:w="3403" w:type="dxa"/>
            <w:gridSpan w:val="4"/>
            <w:shd w:val="clear" w:color="auto" w:fill="auto"/>
          </w:tcPr>
          <w:p w:rsidR="00800789" w:rsidRPr="00800789" w:rsidRDefault="00800789" w:rsidP="00800789">
            <w:pPr>
              <w:widowControl/>
              <w:autoSpaceDE/>
              <w:autoSpaceDN/>
              <w:adjustRightInd/>
              <w:spacing w:line="240" w:lineRule="auto"/>
              <w:jc w:val="center"/>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 xml:space="preserve">Wierzyciele, którzy uzyskali zabezpieczenie roszczeń pieniężnych w postaci </w:t>
            </w:r>
            <w:r w:rsidRPr="00800789">
              <w:rPr>
                <w:rFonts w:eastAsia="Calibri" w:cs="Times New Roman"/>
                <w:bCs/>
                <w:color w:val="000000"/>
                <w:spacing w:val="-2"/>
                <w:sz w:val="22"/>
                <w:szCs w:val="22"/>
                <w:lang w:eastAsia="en-US"/>
              </w:rPr>
              <w:t xml:space="preserve">hipoteki przymusowej, zakazu zbywania lub obciążania nieruchomości, która nie ma księgi wieczystej, hipoteki morskiej, zakazu zbywania spółdzielczego własnościowego prawa do lokalu – zarówno </w:t>
            </w:r>
            <w:r w:rsidRPr="00800789">
              <w:rPr>
                <w:rFonts w:eastAsia="Calibri" w:cs="Times New Roman"/>
                <w:bCs/>
                <w:color w:val="000000"/>
                <w:spacing w:val="-2"/>
                <w:sz w:val="22"/>
                <w:szCs w:val="22"/>
                <w:lang w:eastAsia="en-US"/>
              </w:rPr>
              <w:br/>
              <w:t xml:space="preserve">w postępowaniu cywilnym (sądowym), jak i egzekucyjnym </w:t>
            </w:r>
            <w:r w:rsidRPr="00800789">
              <w:rPr>
                <w:rFonts w:eastAsia="Calibri" w:cs="Times New Roman"/>
                <w:bCs/>
                <w:color w:val="000000"/>
                <w:spacing w:val="-2"/>
                <w:sz w:val="22"/>
                <w:szCs w:val="22"/>
                <w:lang w:eastAsia="en-US"/>
              </w:rPr>
              <w:br/>
              <w:t>w administracji</w:t>
            </w:r>
          </w:p>
        </w:tc>
        <w:tc>
          <w:tcPr>
            <w:tcW w:w="2835" w:type="dxa"/>
            <w:gridSpan w:val="8"/>
            <w:vMerge w:val="restart"/>
            <w:shd w:val="clear" w:color="auto" w:fill="auto"/>
          </w:tcPr>
          <w:p w:rsidR="00800789" w:rsidRPr="00800789" w:rsidRDefault="00800789" w:rsidP="00800789">
            <w:pPr>
              <w:widowControl/>
              <w:autoSpaceDE/>
              <w:autoSpaceDN/>
              <w:adjustRightInd/>
              <w:spacing w:line="240" w:lineRule="auto"/>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 xml:space="preserve">Na podstawie analizy około 400 orzeczeń sądowych oraz 550 akt ksiąg wieczystych stwierdzono, że </w:t>
            </w:r>
            <w:r w:rsidRPr="00800789">
              <w:rPr>
                <w:rFonts w:eastAsia="Calibri" w:cs="Times New Roman"/>
                <w:b/>
                <w:color w:val="000000"/>
                <w:spacing w:val="-2"/>
                <w:sz w:val="22"/>
                <w:szCs w:val="22"/>
                <w:lang w:eastAsia="en-US"/>
              </w:rPr>
              <w:t>hipoteki przymusowe stanowiły 32,5% ogółu badanych hipotek</w:t>
            </w:r>
            <w:r w:rsidRPr="00800789">
              <w:rPr>
                <w:rFonts w:eastAsia="Calibri" w:cs="Times New Roman"/>
                <w:color w:val="000000"/>
                <w:spacing w:val="-2"/>
                <w:sz w:val="22"/>
                <w:szCs w:val="22"/>
                <w:lang w:eastAsia="en-US"/>
              </w:rPr>
              <w:t>.</w:t>
            </w:r>
          </w:p>
          <w:p w:rsidR="00800789" w:rsidRPr="00800789" w:rsidRDefault="00800789" w:rsidP="00800789">
            <w:pPr>
              <w:widowControl/>
              <w:autoSpaceDE/>
              <w:autoSpaceDN/>
              <w:adjustRightInd/>
              <w:spacing w:before="120" w:line="240" w:lineRule="auto"/>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 xml:space="preserve">Podstawą wpisu do hipoteki w badanych sprawach w </w:t>
            </w:r>
            <w:r w:rsidRPr="00800789">
              <w:rPr>
                <w:rFonts w:eastAsia="Calibri" w:cs="Times New Roman"/>
                <w:b/>
                <w:color w:val="000000"/>
                <w:spacing w:val="-2"/>
                <w:sz w:val="22"/>
                <w:szCs w:val="22"/>
                <w:lang w:eastAsia="en-US"/>
              </w:rPr>
              <w:t>9%</w:t>
            </w:r>
            <w:r w:rsidRPr="00800789">
              <w:rPr>
                <w:rFonts w:eastAsia="Calibri" w:cs="Times New Roman"/>
                <w:color w:val="000000"/>
                <w:spacing w:val="-2"/>
                <w:sz w:val="22"/>
                <w:szCs w:val="22"/>
                <w:lang w:eastAsia="en-US"/>
              </w:rPr>
              <w:t xml:space="preserve"> badanych przypadków była </w:t>
            </w:r>
            <w:r w:rsidRPr="00800789">
              <w:rPr>
                <w:rFonts w:eastAsia="Calibri" w:cs="Times New Roman"/>
                <w:b/>
                <w:color w:val="000000"/>
                <w:spacing w:val="-2"/>
                <w:sz w:val="22"/>
                <w:szCs w:val="22"/>
                <w:lang w:eastAsia="en-US"/>
              </w:rPr>
              <w:t>decyzja administracyjna</w:t>
            </w:r>
            <w:r w:rsidRPr="00800789">
              <w:rPr>
                <w:rFonts w:eastAsia="Calibri" w:cs="Times New Roman"/>
                <w:color w:val="000000"/>
                <w:spacing w:val="-2"/>
                <w:sz w:val="22"/>
                <w:szCs w:val="22"/>
                <w:lang w:eastAsia="en-US"/>
              </w:rPr>
              <w:t xml:space="preserve">, </w:t>
            </w:r>
            <w:r w:rsidRPr="00800789">
              <w:rPr>
                <w:rFonts w:eastAsia="Calibri" w:cs="Times New Roman"/>
                <w:color w:val="000000"/>
                <w:spacing w:val="-2"/>
                <w:sz w:val="22"/>
                <w:szCs w:val="22"/>
                <w:lang w:eastAsia="en-US"/>
              </w:rPr>
              <w:br/>
              <w:t xml:space="preserve">w </w:t>
            </w:r>
            <w:r w:rsidRPr="00800789">
              <w:rPr>
                <w:rFonts w:eastAsia="Calibri" w:cs="Times New Roman"/>
                <w:b/>
                <w:color w:val="000000"/>
                <w:spacing w:val="-2"/>
                <w:sz w:val="22"/>
                <w:szCs w:val="22"/>
                <w:lang w:eastAsia="en-US"/>
              </w:rPr>
              <w:t>5% - administracyjny tytuł wykonawczy</w:t>
            </w:r>
            <w:r w:rsidRPr="00800789">
              <w:rPr>
                <w:rFonts w:eastAsia="Calibri" w:cs="Times New Roman"/>
                <w:color w:val="000000"/>
                <w:spacing w:val="-2"/>
                <w:sz w:val="22"/>
                <w:szCs w:val="22"/>
                <w:lang w:eastAsia="en-US"/>
              </w:rPr>
              <w:t xml:space="preserve">, w </w:t>
            </w:r>
            <w:r w:rsidRPr="00800789">
              <w:rPr>
                <w:rFonts w:eastAsia="Calibri" w:cs="Times New Roman"/>
                <w:b/>
                <w:color w:val="000000"/>
                <w:spacing w:val="-2"/>
                <w:sz w:val="22"/>
                <w:szCs w:val="22"/>
                <w:lang w:eastAsia="en-US"/>
              </w:rPr>
              <w:t>5% - nakaz zapłaty</w:t>
            </w:r>
            <w:r w:rsidRPr="00800789">
              <w:rPr>
                <w:rFonts w:eastAsia="Calibri" w:cs="Times New Roman"/>
                <w:color w:val="000000"/>
                <w:spacing w:val="-2"/>
                <w:sz w:val="22"/>
                <w:szCs w:val="22"/>
                <w:lang w:eastAsia="en-US"/>
              </w:rPr>
              <w:t xml:space="preserve"> i w około </w:t>
            </w:r>
            <w:r w:rsidRPr="00800789">
              <w:rPr>
                <w:rFonts w:eastAsia="Calibri" w:cs="Times New Roman"/>
                <w:b/>
                <w:color w:val="000000"/>
                <w:spacing w:val="-2"/>
                <w:sz w:val="22"/>
                <w:szCs w:val="22"/>
                <w:lang w:eastAsia="en-US"/>
              </w:rPr>
              <w:t>3% - postanowienie sądu o udzieleniu zabezpieczenia</w:t>
            </w:r>
            <w:r w:rsidRPr="00800789">
              <w:rPr>
                <w:rFonts w:eastAsia="Calibri" w:cs="Times New Roman"/>
                <w:color w:val="000000"/>
                <w:spacing w:val="-2"/>
                <w:sz w:val="22"/>
                <w:szCs w:val="22"/>
                <w:lang w:eastAsia="en-US"/>
              </w:rPr>
              <w:t xml:space="preserve">. </w:t>
            </w:r>
            <w:r w:rsidRPr="00800789">
              <w:rPr>
                <w:rFonts w:eastAsia="Calibri" w:cs="Times New Roman"/>
                <w:color w:val="000000"/>
                <w:spacing w:val="-2"/>
                <w:sz w:val="22"/>
                <w:szCs w:val="22"/>
                <w:lang w:eastAsia="en-US"/>
              </w:rPr>
              <w:br/>
              <w:t>W pozostałych przypadkach podstawą wpisu hipoteki było oświadczenie banku, akt notarialny oraz inne.</w:t>
            </w:r>
          </w:p>
          <w:p w:rsidR="00800789" w:rsidRPr="00800789" w:rsidRDefault="00800789" w:rsidP="00800789">
            <w:pPr>
              <w:widowControl/>
              <w:autoSpaceDE/>
              <w:autoSpaceDN/>
              <w:adjustRightInd/>
              <w:spacing w:before="120" w:line="240" w:lineRule="auto"/>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 xml:space="preserve">W toku prowadzonych przez urzędy skarbowe postępowań egzekucyjnych (w zakresie należności własnych </w:t>
            </w:r>
            <w:r w:rsidRPr="00800789">
              <w:rPr>
                <w:rFonts w:eastAsia="Calibri" w:cs="Times New Roman"/>
                <w:color w:val="000000"/>
                <w:spacing w:val="-2"/>
                <w:sz w:val="22"/>
                <w:szCs w:val="22"/>
                <w:lang w:eastAsia="en-US"/>
              </w:rPr>
              <w:br/>
              <w:t>i obcych) dokonano:</w:t>
            </w:r>
          </w:p>
          <w:p w:rsidR="00800789" w:rsidRPr="00800789" w:rsidRDefault="00800789" w:rsidP="00800789">
            <w:pPr>
              <w:widowControl/>
              <w:numPr>
                <w:ilvl w:val="0"/>
                <w:numId w:val="49"/>
              </w:numPr>
              <w:autoSpaceDE/>
              <w:autoSpaceDN/>
              <w:adjustRightInd/>
              <w:spacing w:before="60" w:line="240" w:lineRule="auto"/>
              <w:ind w:left="318" w:hanging="284"/>
              <w:jc w:val="left"/>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 xml:space="preserve">w 2015 r. – </w:t>
            </w:r>
            <w:r w:rsidRPr="00800789">
              <w:rPr>
                <w:rFonts w:eastAsia="Calibri" w:cs="Times New Roman"/>
                <w:b/>
                <w:color w:val="000000"/>
                <w:spacing w:val="-2"/>
                <w:sz w:val="22"/>
                <w:szCs w:val="22"/>
                <w:lang w:eastAsia="en-US"/>
              </w:rPr>
              <w:t>3.380</w:t>
            </w:r>
            <w:r w:rsidRPr="00800789">
              <w:rPr>
                <w:rFonts w:eastAsia="Calibri" w:cs="Times New Roman"/>
                <w:color w:val="000000"/>
                <w:spacing w:val="-2"/>
                <w:sz w:val="22"/>
                <w:szCs w:val="22"/>
                <w:lang w:eastAsia="en-US"/>
              </w:rPr>
              <w:t xml:space="preserve"> wpisów hipoteki przymusowej,</w:t>
            </w:r>
          </w:p>
          <w:p w:rsidR="00800789" w:rsidRPr="00800789" w:rsidRDefault="00800789" w:rsidP="00800789">
            <w:pPr>
              <w:widowControl/>
              <w:numPr>
                <w:ilvl w:val="0"/>
                <w:numId w:val="49"/>
              </w:numPr>
              <w:autoSpaceDE/>
              <w:autoSpaceDN/>
              <w:adjustRightInd/>
              <w:spacing w:before="60" w:line="240" w:lineRule="auto"/>
              <w:ind w:left="318" w:hanging="284"/>
              <w:jc w:val="left"/>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 xml:space="preserve">w 2016 r. – </w:t>
            </w:r>
            <w:r w:rsidRPr="00800789">
              <w:rPr>
                <w:rFonts w:eastAsia="Calibri" w:cs="Times New Roman"/>
                <w:b/>
                <w:color w:val="000000"/>
                <w:spacing w:val="-2"/>
                <w:sz w:val="22"/>
                <w:szCs w:val="22"/>
                <w:lang w:eastAsia="en-US"/>
              </w:rPr>
              <w:t>2.048</w:t>
            </w:r>
            <w:r w:rsidRPr="00800789">
              <w:rPr>
                <w:rFonts w:eastAsia="Calibri" w:cs="Times New Roman"/>
                <w:color w:val="000000"/>
                <w:spacing w:val="-2"/>
                <w:sz w:val="22"/>
                <w:szCs w:val="22"/>
                <w:lang w:eastAsia="en-US"/>
              </w:rPr>
              <w:t xml:space="preserve"> wpisów hipoteki przymusowej,</w:t>
            </w:r>
          </w:p>
          <w:p w:rsidR="00800789" w:rsidRPr="00800789" w:rsidRDefault="00800789" w:rsidP="00800789">
            <w:pPr>
              <w:widowControl/>
              <w:numPr>
                <w:ilvl w:val="0"/>
                <w:numId w:val="49"/>
              </w:numPr>
              <w:autoSpaceDE/>
              <w:autoSpaceDN/>
              <w:adjustRightInd/>
              <w:spacing w:before="60" w:line="240" w:lineRule="auto"/>
              <w:ind w:left="318" w:hanging="284"/>
              <w:jc w:val="left"/>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 xml:space="preserve">w I półroczu 2017 r. – </w:t>
            </w:r>
            <w:r w:rsidRPr="00800789">
              <w:rPr>
                <w:rFonts w:eastAsia="Calibri" w:cs="Times New Roman"/>
                <w:b/>
                <w:color w:val="000000"/>
                <w:spacing w:val="-2"/>
                <w:sz w:val="22"/>
                <w:szCs w:val="22"/>
                <w:lang w:eastAsia="en-US"/>
              </w:rPr>
              <w:t>788</w:t>
            </w:r>
            <w:r w:rsidRPr="00800789">
              <w:rPr>
                <w:rFonts w:eastAsia="Calibri" w:cs="Times New Roman"/>
                <w:color w:val="000000"/>
                <w:spacing w:val="-2"/>
                <w:sz w:val="22"/>
                <w:szCs w:val="22"/>
                <w:lang w:eastAsia="en-US"/>
              </w:rPr>
              <w:t xml:space="preserve"> wpisów hipoteki przymusowej.</w:t>
            </w:r>
          </w:p>
        </w:tc>
        <w:tc>
          <w:tcPr>
            <w:tcW w:w="2126" w:type="dxa"/>
            <w:gridSpan w:val="8"/>
            <w:vMerge w:val="restart"/>
            <w:shd w:val="clear" w:color="auto" w:fill="auto"/>
          </w:tcPr>
          <w:p w:rsidR="00800789" w:rsidRPr="00800789" w:rsidRDefault="00800789" w:rsidP="00800789">
            <w:pPr>
              <w:widowControl/>
              <w:autoSpaceDE/>
              <w:autoSpaceDN/>
              <w:adjustRightInd/>
              <w:spacing w:line="240" w:lineRule="auto"/>
              <w:jc w:val="center"/>
              <w:rPr>
                <w:rFonts w:eastAsia="Calibri" w:cs="Times New Roman"/>
                <w:spacing w:val="-2"/>
                <w:sz w:val="22"/>
                <w:szCs w:val="22"/>
                <w:lang w:eastAsia="en-US"/>
              </w:rPr>
            </w:pPr>
            <w:r w:rsidRPr="00800789">
              <w:rPr>
                <w:rFonts w:eastAsia="Calibri" w:cs="Times New Roman"/>
                <w:spacing w:val="-2"/>
                <w:sz w:val="22"/>
                <w:szCs w:val="22"/>
                <w:lang w:eastAsia="en-US"/>
              </w:rPr>
              <w:t xml:space="preserve">Instytut Wymiaru Sprawiedliwości, </w:t>
            </w:r>
            <w:r w:rsidRPr="00800789">
              <w:rPr>
                <w:rFonts w:eastAsia="Calibri" w:cs="Times New Roman"/>
                <w:spacing w:val="-2"/>
                <w:sz w:val="22"/>
                <w:szCs w:val="22"/>
                <w:lang w:eastAsia="en-US"/>
              </w:rPr>
              <w:br/>
              <w:t>dr Tomasz Czech „Hipoteka w świetle orzecznictwa sądowego”, 2014</w:t>
            </w:r>
          </w:p>
          <w:p w:rsidR="00800789" w:rsidRPr="00800789" w:rsidRDefault="00800789" w:rsidP="00800789">
            <w:pPr>
              <w:widowControl/>
              <w:autoSpaceDE/>
              <w:autoSpaceDN/>
              <w:adjustRightInd/>
              <w:spacing w:line="240" w:lineRule="auto"/>
              <w:jc w:val="center"/>
              <w:rPr>
                <w:rFonts w:eastAsia="Calibri" w:cs="Times New Roman"/>
                <w:spacing w:val="-2"/>
                <w:sz w:val="22"/>
                <w:szCs w:val="22"/>
                <w:lang w:eastAsia="en-US"/>
              </w:rPr>
            </w:pPr>
          </w:p>
          <w:p w:rsidR="00800789" w:rsidRPr="00800789" w:rsidRDefault="00800789" w:rsidP="00800789">
            <w:pPr>
              <w:widowControl/>
              <w:autoSpaceDE/>
              <w:autoSpaceDN/>
              <w:adjustRightInd/>
              <w:spacing w:before="120" w:line="240" w:lineRule="auto"/>
              <w:jc w:val="center"/>
              <w:rPr>
                <w:rFonts w:eastAsia="Calibri" w:cs="Times New Roman"/>
                <w:spacing w:val="-2"/>
                <w:sz w:val="22"/>
                <w:szCs w:val="22"/>
                <w:lang w:eastAsia="en-US"/>
              </w:rPr>
            </w:pPr>
          </w:p>
          <w:p w:rsidR="00800789" w:rsidRPr="00800789" w:rsidRDefault="00800789" w:rsidP="00800789">
            <w:pPr>
              <w:widowControl/>
              <w:autoSpaceDE/>
              <w:autoSpaceDN/>
              <w:adjustRightInd/>
              <w:spacing w:line="240" w:lineRule="auto"/>
              <w:jc w:val="center"/>
              <w:rPr>
                <w:rFonts w:eastAsia="Calibri" w:cs="Times New Roman"/>
                <w:spacing w:val="-2"/>
                <w:sz w:val="22"/>
                <w:szCs w:val="22"/>
                <w:lang w:eastAsia="en-US"/>
              </w:rPr>
            </w:pPr>
          </w:p>
          <w:p w:rsidR="00800789" w:rsidRPr="00800789" w:rsidRDefault="00800789" w:rsidP="00800789">
            <w:pPr>
              <w:widowControl/>
              <w:autoSpaceDE/>
              <w:autoSpaceDN/>
              <w:adjustRightInd/>
              <w:spacing w:line="240" w:lineRule="auto"/>
              <w:jc w:val="center"/>
              <w:rPr>
                <w:rFonts w:eastAsia="Calibri" w:cs="Times New Roman"/>
                <w:spacing w:val="-2"/>
                <w:sz w:val="22"/>
                <w:szCs w:val="22"/>
                <w:lang w:eastAsia="en-US"/>
              </w:rPr>
            </w:pPr>
          </w:p>
          <w:p w:rsidR="00800789" w:rsidRPr="00800789" w:rsidRDefault="00800789" w:rsidP="00800789">
            <w:pPr>
              <w:widowControl/>
              <w:autoSpaceDE/>
              <w:autoSpaceDN/>
              <w:adjustRightInd/>
              <w:spacing w:line="240" w:lineRule="auto"/>
              <w:jc w:val="center"/>
              <w:rPr>
                <w:rFonts w:eastAsia="Calibri" w:cs="Times New Roman"/>
                <w:spacing w:val="-2"/>
                <w:sz w:val="22"/>
                <w:szCs w:val="22"/>
                <w:lang w:eastAsia="en-US"/>
              </w:rPr>
            </w:pPr>
          </w:p>
          <w:p w:rsidR="00800789" w:rsidRPr="00800789" w:rsidRDefault="00800789" w:rsidP="00800789">
            <w:pPr>
              <w:widowControl/>
              <w:autoSpaceDE/>
              <w:autoSpaceDN/>
              <w:adjustRightInd/>
              <w:spacing w:line="240" w:lineRule="auto"/>
              <w:jc w:val="center"/>
              <w:rPr>
                <w:rFonts w:eastAsia="Calibri" w:cs="Times New Roman"/>
                <w:spacing w:val="-2"/>
                <w:sz w:val="22"/>
                <w:szCs w:val="22"/>
                <w:lang w:eastAsia="en-US"/>
              </w:rPr>
            </w:pPr>
          </w:p>
          <w:p w:rsidR="00800789" w:rsidRPr="00800789" w:rsidRDefault="00800789" w:rsidP="00800789">
            <w:pPr>
              <w:widowControl/>
              <w:autoSpaceDE/>
              <w:autoSpaceDN/>
              <w:adjustRightInd/>
              <w:spacing w:line="240" w:lineRule="auto"/>
              <w:jc w:val="center"/>
              <w:rPr>
                <w:rFonts w:eastAsia="Calibri" w:cs="Times New Roman"/>
                <w:spacing w:val="-2"/>
                <w:sz w:val="22"/>
                <w:szCs w:val="22"/>
                <w:lang w:eastAsia="en-US"/>
              </w:rPr>
            </w:pPr>
          </w:p>
          <w:p w:rsidR="00800789" w:rsidRPr="00800789" w:rsidRDefault="00800789" w:rsidP="00800789">
            <w:pPr>
              <w:widowControl/>
              <w:autoSpaceDE/>
              <w:autoSpaceDN/>
              <w:adjustRightInd/>
              <w:spacing w:line="240" w:lineRule="auto"/>
              <w:jc w:val="center"/>
              <w:rPr>
                <w:rFonts w:eastAsia="Calibri" w:cs="Times New Roman"/>
                <w:spacing w:val="-2"/>
                <w:sz w:val="22"/>
                <w:szCs w:val="22"/>
                <w:lang w:eastAsia="en-US"/>
              </w:rPr>
            </w:pPr>
          </w:p>
          <w:p w:rsidR="00800789" w:rsidRPr="00800789" w:rsidRDefault="00800789" w:rsidP="00800789">
            <w:pPr>
              <w:widowControl/>
              <w:autoSpaceDE/>
              <w:autoSpaceDN/>
              <w:adjustRightInd/>
              <w:spacing w:line="240" w:lineRule="auto"/>
              <w:jc w:val="center"/>
              <w:rPr>
                <w:rFonts w:eastAsia="Calibri" w:cs="Times New Roman"/>
                <w:spacing w:val="-2"/>
                <w:sz w:val="22"/>
                <w:szCs w:val="22"/>
                <w:lang w:eastAsia="en-US"/>
              </w:rPr>
            </w:pPr>
          </w:p>
          <w:p w:rsidR="00800789" w:rsidRPr="00800789" w:rsidRDefault="00800789" w:rsidP="00800789">
            <w:pPr>
              <w:widowControl/>
              <w:autoSpaceDE/>
              <w:autoSpaceDN/>
              <w:adjustRightInd/>
              <w:spacing w:line="240" w:lineRule="auto"/>
              <w:jc w:val="center"/>
              <w:rPr>
                <w:rFonts w:eastAsia="Calibri" w:cs="Times New Roman"/>
                <w:spacing w:val="-2"/>
                <w:sz w:val="22"/>
                <w:szCs w:val="22"/>
                <w:lang w:eastAsia="en-US"/>
              </w:rPr>
            </w:pPr>
          </w:p>
          <w:p w:rsidR="00800789" w:rsidRPr="00800789" w:rsidRDefault="00800789" w:rsidP="00800789">
            <w:pPr>
              <w:widowControl/>
              <w:autoSpaceDE/>
              <w:autoSpaceDN/>
              <w:adjustRightInd/>
              <w:spacing w:line="240" w:lineRule="auto"/>
              <w:jc w:val="center"/>
              <w:rPr>
                <w:rFonts w:eastAsia="Calibri" w:cs="Times New Roman"/>
                <w:spacing w:val="-2"/>
                <w:sz w:val="22"/>
                <w:szCs w:val="22"/>
                <w:lang w:eastAsia="en-US"/>
              </w:rPr>
            </w:pPr>
          </w:p>
          <w:p w:rsidR="00800789" w:rsidRPr="00800789" w:rsidRDefault="00800789" w:rsidP="00800789">
            <w:pPr>
              <w:widowControl/>
              <w:autoSpaceDE/>
              <w:autoSpaceDN/>
              <w:adjustRightInd/>
              <w:spacing w:line="240" w:lineRule="auto"/>
              <w:jc w:val="center"/>
              <w:rPr>
                <w:rFonts w:eastAsia="Calibri" w:cs="Times New Roman"/>
                <w:spacing w:val="-2"/>
                <w:sz w:val="22"/>
                <w:szCs w:val="22"/>
                <w:lang w:eastAsia="en-US"/>
              </w:rPr>
            </w:pPr>
          </w:p>
          <w:p w:rsidR="00800789" w:rsidRPr="00800789" w:rsidRDefault="00800789" w:rsidP="00800789">
            <w:pPr>
              <w:widowControl/>
              <w:autoSpaceDE/>
              <w:autoSpaceDN/>
              <w:adjustRightInd/>
              <w:spacing w:line="240" w:lineRule="auto"/>
              <w:jc w:val="center"/>
              <w:rPr>
                <w:rFonts w:eastAsia="Calibri" w:cs="Times New Roman"/>
                <w:spacing w:val="-2"/>
                <w:sz w:val="22"/>
                <w:szCs w:val="22"/>
                <w:lang w:eastAsia="en-US"/>
              </w:rPr>
            </w:pPr>
          </w:p>
          <w:p w:rsidR="00800789" w:rsidRPr="00800789" w:rsidRDefault="00800789" w:rsidP="00800789">
            <w:pPr>
              <w:widowControl/>
              <w:autoSpaceDE/>
              <w:autoSpaceDN/>
              <w:adjustRightInd/>
              <w:spacing w:line="240" w:lineRule="auto"/>
              <w:jc w:val="center"/>
              <w:rPr>
                <w:rFonts w:eastAsia="Calibri" w:cs="Times New Roman"/>
                <w:spacing w:val="-2"/>
                <w:sz w:val="22"/>
                <w:szCs w:val="22"/>
                <w:lang w:eastAsia="en-US"/>
              </w:rPr>
            </w:pPr>
          </w:p>
          <w:p w:rsidR="00800789" w:rsidRPr="00800789" w:rsidRDefault="00800789" w:rsidP="00800789">
            <w:pPr>
              <w:widowControl/>
              <w:autoSpaceDE/>
              <w:autoSpaceDN/>
              <w:adjustRightInd/>
              <w:spacing w:before="120" w:line="240" w:lineRule="auto"/>
              <w:jc w:val="center"/>
              <w:rPr>
                <w:rFonts w:eastAsia="Calibri" w:cs="Times New Roman"/>
                <w:spacing w:val="-2"/>
                <w:sz w:val="22"/>
                <w:szCs w:val="22"/>
                <w:lang w:eastAsia="en-US"/>
              </w:rPr>
            </w:pPr>
            <w:r w:rsidRPr="00800789">
              <w:rPr>
                <w:rFonts w:eastAsia="Calibri" w:cs="Times New Roman"/>
                <w:spacing w:val="-2"/>
                <w:sz w:val="22"/>
                <w:szCs w:val="22"/>
                <w:lang w:eastAsia="en-US"/>
              </w:rPr>
              <w:t>Ministerstwo Finansów</w:t>
            </w:r>
          </w:p>
          <w:p w:rsidR="00800789" w:rsidRPr="00800789" w:rsidRDefault="00800789" w:rsidP="00800789">
            <w:pPr>
              <w:widowControl/>
              <w:autoSpaceDE/>
              <w:autoSpaceDN/>
              <w:adjustRightInd/>
              <w:spacing w:line="240" w:lineRule="auto"/>
              <w:jc w:val="center"/>
              <w:rPr>
                <w:rFonts w:eastAsia="Calibri" w:cs="Times New Roman"/>
                <w:spacing w:val="-2"/>
                <w:sz w:val="22"/>
                <w:szCs w:val="22"/>
                <w:lang w:eastAsia="en-US"/>
              </w:rPr>
            </w:pPr>
          </w:p>
        </w:tc>
        <w:tc>
          <w:tcPr>
            <w:tcW w:w="2835" w:type="dxa"/>
            <w:gridSpan w:val="6"/>
            <w:shd w:val="clear" w:color="auto" w:fill="auto"/>
          </w:tcPr>
          <w:p w:rsidR="00800789" w:rsidRPr="00800789" w:rsidRDefault="00800789" w:rsidP="00800789">
            <w:pPr>
              <w:widowControl/>
              <w:autoSpaceDE/>
              <w:autoSpaceDN/>
              <w:adjustRightInd/>
              <w:spacing w:line="240" w:lineRule="auto"/>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Skuteczniejsza ochrona praw majątkowych wierzycieli; zwiększenie szans na wyegzekwowanie swoich należności.</w:t>
            </w:r>
          </w:p>
        </w:tc>
      </w:tr>
      <w:tr w:rsidR="00800789" w:rsidRPr="00800789" w:rsidTr="00F419F2">
        <w:trPr>
          <w:trHeight w:val="142"/>
        </w:trPr>
        <w:tc>
          <w:tcPr>
            <w:tcW w:w="3403" w:type="dxa"/>
            <w:gridSpan w:val="4"/>
            <w:shd w:val="clear" w:color="auto" w:fill="auto"/>
          </w:tcPr>
          <w:p w:rsidR="00800789" w:rsidRPr="00800789" w:rsidRDefault="00800789" w:rsidP="00800789">
            <w:pPr>
              <w:widowControl/>
              <w:autoSpaceDE/>
              <w:autoSpaceDN/>
              <w:adjustRightInd/>
              <w:spacing w:line="240" w:lineRule="auto"/>
              <w:jc w:val="center"/>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 xml:space="preserve">Dłużnicy, wobec których zastosowano hipotekę przymusową, </w:t>
            </w:r>
            <w:r w:rsidRPr="00800789">
              <w:rPr>
                <w:rFonts w:eastAsia="Calibri" w:cs="Times New Roman"/>
                <w:bCs/>
                <w:color w:val="000000"/>
                <w:sz w:val="22"/>
                <w:szCs w:val="22"/>
                <w:lang w:eastAsia="en-US"/>
              </w:rPr>
              <w:t xml:space="preserve">zakaz zbywania lub obciążania nieruchomości nieposiadającej księgi wieczystej, hipotekę morską, bądź zakaz zbywania spółdzielczego własnościowego prawa do lokalu – zarówno </w:t>
            </w:r>
            <w:r w:rsidRPr="00800789">
              <w:rPr>
                <w:rFonts w:eastAsia="Calibri" w:cs="Times New Roman"/>
                <w:bCs/>
                <w:color w:val="000000"/>
                <w:sz w:val="22"/>
                <w:szCs w:val="22"/>
                <w:lang w:eastAsia="en-US"/>
              </w:rPr>
              <w:br/>
              <w:t xml:space="preserve">w postępowaniu cywilnym </w:t>
            </w:r>
            <w:r w:rsidRPr="00800789">
              <w:rPr>
                <w:rFonts w:eastAsia="Calibri" w:cs="Times New Roman"/>
                <w:bCs/>
                <w:color w:val="000000"/>
                <w:spacing w:val="-2"/>
                <w:sz w:val="22"/>
                <w:szCs w:val="22"/>
                <w:lang w:eastAsia="en-US"/>
              </w:rPr>
              <w:t>(sądowym)</w:t>
            </w:r>
            <w:r w:rsidRPr="00800789">
              <w:rPr>
                <w:rFonts w:eastAsia="Calibri" w:cs="Times New Roman"/>
                <w:bCs/>
                <w:color w:val="000000"/>
                <w:sz w:val="22"/>
                <w:szCs w:val="22"/>
                <w:lang w:eastAsia="en-US"/>
              </w:rPr>
              <w:t xml:space="preserve">, jak i egzekucyjnym </w:t>
            </w:r>
            <w:r w:rsidRPr="00800789">
              <w:rPr>
                <w:rFonts w:eastAsia="Calibri" w:cs="Times New Roman"/>
                <w:bCs/>
                <w:color w:val="000000"/>
                <w:sz w:val="22"/>
                <w:szCs w:val="22"/>
                <w:lang w:eastAsia="en-US"/>
              </w:rPr>
              <w:br/>
              <w:t>w administracji</w:t>
            </w:r>
          </w:p>
        </w:tc>
        <w:tc>
          <w:tcPr>
            <w:tcW w:w="2835" w:type="dxa"/>
            <w:gridSpan w:val="8"/>
            <w:vMerge/>
            <w:shd w:val="clear" w:color="auto" w:fill="auto"/>
          </w:tcPr>
          <w:p w:rsidR="00800789" w:rsidRPr="00800789" w:rsidRDefault="00800789" w:rsidP="00800789">
            <w:pPr>
              <w:widowControl/>
              <w:autoSpaceDE/>
              <w:autoSpaceDN/>
              <w:adjustRightInd/>
              <w:spacing w:line="240" w:lineRule="auto"/>
              <w:jc w:val="center"/>
              <w:rPr>
                <w:rFonts w:eastAsia="Calibri" w:cs="Times New Roman"/>
                <w:color w:val="000000"/>
                <w:spacing w:val="-2"/>
                <w:sz w:val="22"/>
                <w:szCs w:val="22"/>
                <w:lang w:eastAsia="en-US"/>
              </w:rPr>
            </w:pPr>
          </w:p>
        </w:tc>
        <w:tc>
          <w:tcPr>
            <w:tcW w:w="2126" w:type="dxa"/>
            <w:gridSpan w:val="8"/>
            <w:vMerge/>
            <w:shd w:val="clear" w:color="auto" w:fill="auto"/>
          </w:tcPr>
          <w:p w:rsidR="00800789" w:rsidRPr="00800789" w:rsidRDefault="00800789" w:rsidP="00800789">
            <w:pPr>
              <w:widowControl/>
              <w:autoSpaceDE/>
              <w:autoSpaceDN/>
              <w:adjustRightInd/>
              <w:spacing w:line="240" w:lineRule="auto"/>
              <w:jc w:val="center"/>
              <w:rPr>
                <w:rFonts w:eastAsia="Calibri" w:cs="Times New Roman"/>
                <w:spacing w:val="-2"/>
                <w:sz w:val="22"/>
                <w:szCs w:val="22"/>
                <w:lang w:eastAsia="en-US"/>
              </w:rPr>
            </w:pPr>
          </w:p>
        </w:tc>
        <w:tc>
          <w:tcPr>
            <w:tcW w:w="2835" w:type="dxa"/>
            <w:gridSpan w:val="6"/>
            <w:shd w:val="clear" w:color="auto" w:fill="auto"/>
          </w:tcPr>
          <w:p w:rsidR="00800789" w:rsidRPr="00800789" w:rsidRDefault="00800789" w:rsidP="00800789">
            <w:pPr>
              <w:widowControl/>
              <w:autoSpaceDE/>
              <w:autoSpaceDN/>
              <w:adjustRightInd/>
              <w:spacing w:line="240" w:lineRule="auto"/>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Ograniczenie możliwości uniknięcia odpowiedzialności i spłaty zobowiązań.</w:t>
            </w:r>
          </w:p>
        </w:tc>
      </w:tr>
      <w:tr w:rsidR="00800789" w:rsidRPr="00800789" w:rsidTr="00F419F2">
        <w:trPr>
          <w:trHeight w:val="302"/>
        </w:trPr>
        <w:tc>
          <w:tcPr>
            <w:tcW w:w="11199" w:type="dxa"/>
            <w:gridSpan w:val="26"/>
            <w:shd w:val="clear" w:color="auto" w:fill="99CCFF"/>
            <w:vAlign w:val="center"/>
          </w:tcPr>
          <w:p w:rsidR="00800789" w:rsidRPr="00800789" w:rsidRDefault="00800789" w:rsidP="00800789">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800789">
              <w:rPr>
                <w:rFonts w:eastAsia="Calibri" w:cs="Times New Roman"/>
                <w:b/>
                <w:color w:val="000000"/>
                <w:sz w:val="22"/>
                <w:szCs w:val="22"/>
                <w:lang w:eastAsia="en-US"/>
              </w:rPr>
              <w:t>Informacje na temat zakresu, czasu trwania i podsumowanie wyników konsultacji</w:t>
            </w:r>
          </w:p>
        </w:tc>
      </w:tr>
      <w:tr w:rsidR="00800789" w:rsidRPr="00800789" w:rsidTr="00F419F2">
        <w:trPr>
          <w:trHeight w:val="342"/>
        </w:trPr>
        <w:tc>
          <w:tcPr>
            <w:tcW w:w="11199" w:type="dxa"/>
            <w:gridSpan w:val="26"/>
            <w:shd w:val="clear" w:color="auto" w:fill="FFFFFF"/>
          </w:tcPr>
          <w:p w:rsidR="00800789" w:rsidRPr="00800789" w:rsidRDefault="00800789" w:rsidP="00800789">
            <w:pPr>
              <w:widowControl/>
              <w:autoSpaceDE/>
              <w:autoSpaceDN/>
              <w:adjustRightInd/>
              <w:spacing w:before="120" w:after="120" w:line="240" w:lineRule="auto"/>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Opinię do projektu przedstawili: Krajowa Rada Komornicza, Krajowa Rada Notarialna, Krajowa Rada Sądownictwa, Minister Rozwoju i Finansów, Minister Sprawiedliwości, Naczelna Rada Adwokacka, Naczelny Sąd Administracyjny, Prokuratoria Generalna RP, Sąd Najwyższy, Związek Banków Polskich.</w:t>
            </w:r>
          </w:p>
          <w:p w:rsidR="00800789" w:rsidRPr="00800789" w:rsidRDefault="00800789" w:rsidP="00800789">
            <w:pPr>
              <w:widowControl/>
              <w:autoSpaceDE/>
              <w:autoSpaceDN/>
              <w:adjustRightInd/>
              <w:spacing w:before="120" w:after="120" w:line="240" w:lineRule="auto"/>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Przedstawione przez ww. podmioty wątpliwości dotyczyły:</w:t>
            </w:r>
          </w:p>
          <w:p w:rsidR="00800789" w:rsidRPr="00800789" w:rsidRDefault="00800789" w:rsidP="00800789">
            <w:pPr>
              <w:widowControl/>
              <w:numPr>
                <w:ilvl w:val="0"/>
                <w:numId w:val="48"/>
              </w:numPr>
              <w:autoSpaceDE/>
              <w:autoSpaceDN/>
              <w:adjustRightInd/>
              <w:spacing w:before="120" w:after="120" w:line="240" w:lineRule="auto"/>
              <w:ind w:left="318" w:hanging="284"/>
              <w:jc w:val="left"/>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dalszego losu zabezpieczenia w wypadku uprawomocnienia się w postępowaniu głównym orzeczenia uwzględniającego jedynie część zabezpieczonego roszczenia (Sąd Najwyższy,</w:t>
            </w:r>
            <w:r w:rsidRPr="00800789">
              <w:rPr>
                <w:rFonts w:eastAsia="Times New Roman"/>
              </w:rPr>
              <w:t xml:space="preserve"> </w:t>
            </w:r>
            <w:r w:rsidRPr="00800789">
              <w:rPr>
                <w:rFonts w:eastAsia="Calibri" w:cs="Times New Roman"/>
                <w:color w:val="000000"/>
                <w:spacing w:val="-2"/>
                <w:sz w:val="22"/>
                <w:szCs w:val="22"/>
                <w:lang w:eastAsia="en-US"/>
              </w:rPr>
              <w:t xml:space="preserve">Związek Banków Polskich), </w:t>
            </w:r>
          </w:p>
          <w:p w:rsidR="00800789" w:rsidRPr="00800789" w:rsidRDefault="00800789" w:rsidP="00800789">
            <w:pPr>
              <w:widowControl/>
              <w:numPr>
                <w:ilvl w:val="0"/>
                <w:numId w:val="48"/>
              </w:numPr>
              <w:autoSpaceDE/>
              <w:autoSpaceDN/>
              <w:adjustRightInd/>
              <w:spacing w:before="120" w:after="120" w:line="240" w:lineRule="auto"/>
              <w:ind w:left="318" w:hanging="284"/>
              <w:jc w:val="left"/>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zasadności dodania przepisu art. 111</w:t>
            </w:r>
            <w:r w:rsidRPr="00800789">
              <w:rPr>
                <w:rFonts w:eastAsia="Calibri" w:cs="Times New Roman"/>
                <w:color w:val="000000"/>
                <w:spacing w:val="-2"/>
                <w:sz w:val="22"/>
                <w:szCs w:val="22"/>
                <w:vertAlign w:val="superscript"/>
                <w:lang w:eastAsia="en-US"/>
              </w:rPr>
              <w:t>2</w:t>
            </w:r>
            <w:r w:rsidRPr="00800789">
              <w:rPr>
                <w:rFonts w:eastAsia="Calibri" w:cs="Times New Roman"/>
                <w:color w:val="000000"/>
                <w:spacing w:val="-2"/>
                <w:sz w:val="22"/>
                <w:szCs w:val="22"/>
                <w:lang w:eastAsia="en-US"/>
              </w:rPr>
              <w:t xml:space="preserve"> ust. 2 </w:t>
            </w:r>
            <w:proofErr w:type="spellStart"/>
            <w:r w:rsidRPr="00800789">
              <w:rPr>
                <w:rFonts w:eastAsia="Calibri" w:cs="Times New Roman"/>
                <w:color w:val="000000"/>
                <w:spacing w:val="-2"/>
                <w:sz w:val="22"/>
                <w:szCs w:val="22"/>
                <w:lang w:eastAsia="en-US"/>
              </w:rPr>
              <w:t>u.k.w.h</w:t>
            </w:r>
            <w:proofErr w:type="spellEnd"/>
            <w:r w:rsidRPr="00800789">
              <w:rPr>
                <w:rFonts w:eastAsia="Calibri" w:cs="Times New Roman"/>
                <w:color w:val="000000"/>
                <w:spacing w:val="-2"/>
                <w:sz w:val="22"/>
                <w:szCs w:val="22"/>
                <w:lang w:eastAsia="en-US"/>
              </w:rPr>
              <w:t>., który ustanawia regułę, że zmiana treści hipoteki przymusowej nie może pogorszyć sytuacji prawnej pozostałych wierzycieli hipotecznych bez ich zgody, ale nie przesądza czy zmiana nie spowoduje utraty pierwszeństwa zaspokojenia przez uprawnionego (Sąd Najwyższy);</w:t>
            </w:r>
          </w:p>
          <w:p w:rsidR="00800789" w:rsidRPr="00800789" w:rsidRDefault="00800789" w:rsidP="00800789">
            <w:pPr>
              <w:widowControl/>
              <w:numPr>
                <w:ilvl w:val="0"/>
                <w:numId w:val="48"/>
              </w:numPr>
              <w:autoSpaceDE/>
              <w:autoSpaceDN/>
              <w:adjustRightInd/>
              <w:spacing w:before="120" w:after="120" w:line="240" w:lineRule="auto"/>
              <w:ind w:left="318" w:hanging="284"/>
              <w:jc w:val="left"/>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znaczenia pojęcia „zmiana treści hipoteki” w świetle nowego art. 111</w:t>
            </w:r>
            <w:r w:rsidRPr="00800789">
              <w:rPr>
                <w:rFonts w:eastAsia="Calibri" w:cs="Times New Roman"/>
                <w:color w:val="000000"/>
                <w:spacing w:val="-2"/>
                <w:sz w:val="22"/>
                <w:szCs w:val="22"/>
                <w:vertAlign w:val="superscript"/>
                <w:lang w:eastAsia="en-US"/>
              </w:rPr>
              <w:t>2</w:t>
            </w:r>
            <w:r w:rsidRPr="00800789">
              <w:rPr>
                <w:rFonts w:eastAsia="Calibri" w:cs="Times New Roman"/>
                <w:color w:val="000000"/>
                <w:spacing w:val="-2"/>
                <w:sz w:val="22"/>
                <w:szCs w:val="22"/>
                <w:lang w:eastAsia="en-US"/>
              </w:rPr>
              <w:t xml:space="preserve"> ust. 1 </w:t>
            </w:r>
            <w:proofErr w:type="spellStart"/>
            <w:r w:rsidRPr="00800789">
              <w:rPr>
                <w:rFonts w:eastAsia="Calibri" w:cs="Times New Roman"/>
                <w:color w:val="000000"/>
                <w:spacing w:val="-2"/>
                <w:sz w:val="22"/>
                <w:szCs w:val="22"/>
                <w:lang w:eastAsia="en-US"/>
              </w:rPr>
              <w:t>u.k.w.h</w:t>
            </w:r>
            <w:proofErr w:type="spellEnd"/>
            <w:r w:rsidRPr="00800789">
              <w:rPr>
                <w:rFonts w:eastAsia="Calibri" w:cs="Times New Roman"/>
                <w:color w:val="000000"/>
                <w:spacing w:val="-2"/>
                <w:sz w:val="22"/>
                <w:szCs w:val="22"/>
                <w:lang w:eastAsia="en-US"/>
              </w:rPr>
              <w:t>. oraz realnej możliwości stosowania tego przepisu w sytuacji równoległego obowiązywania art. 111</w:t>
            </w:r>
            <w:r w:rsidRPr="00800789">
              <w:rPr>
                <w:rFonts w:eastAsia="Calibri" w:cs="Times New Roman"/>
                <w:color w:val="000000"/>
                <w:spacing w:val="-2"/>
                <w:sz w:val="22"/>
                <w:szCs w:val="22"/>
                <w:vertAlign w:val="superscript"/>
                <w:lang w:eastAsia="en-US"/>
              </w:rPr>
              <w:t>2</w:t>
            </w:r>
            <w:r w:rsidRPr="00800789">
              <w:rPr>
                <w:rFonts w:eastAsia="Calibri" w:cs="Times New Roman"/>
                <w:color w:val="000000"/>
                <w:spacing w:val="-2"/>
                <w:sz w:val="22"/>
                <w:szCs w:val="22"/>
                <w:lang w:eastAsia="en-US"/>
              </w:rPr>
              <w:t xml:space="preserve"> ust. 2 </w:t>
            </w:r>
            <w:proofErr w:type="spellStart"/>
            <w:r w:rsidRPr="00800789">
              <w:rPr>
                <w:rFonts w:eastAsia="Calibri" w:cs="Times New Roman"/>
                <w:color w:val="000000"/>
                <w:spacing w:val="-2"/>
                <w:sz w:val="22"/>
                <w:szCs w:val="22"/>
                <w:lang w:eastAsia="en-US"/>
              </w:rPr>
              <w:t>u.k.w.h</w:t>
            </w:r>
            <w:proofErr w:type="spellEnd"/>
            <w:r w:rsidRPr="00800789">
              <w:rPr>
                <w:rFonts w:eastAsia="Calibri" w:cs="Times New Roman"/>
                <w:color w:val="000000"/>
                <w:spacing w:val="-2"/>
                <w:sz w:val="22"/>
                <w:szCs w:val="22"/>
                <w:lang w:eastAsia="en-US"/>
              </w:rPr>
              <w:t>. (Związek Banków Polskich).</w:t>
            </w:r>
          </w:p>
          <w:p w:rsidR="00800789" w:rsidRPr="00800789" w:rsidRDefault="00800789" w:rsidP="00800789">
            <w:pPr>
              <w:widowControl/>
              <w:autoSpaceDE/>
              <w:autoSpaceDN/>
              <w:adjustRightInd/>
              <w:spacing w:before="120" w:after="120" w:line="240" w:lineRule="auto"/>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Minister Rozwoju i Finansów przedstawił propozycję wprowadzenia analogicznych rozwiązań do postępowania egzekucyjnego w administracji.</w:t>
            </w:r>
          </w:p>
          <w:p w:rsidR="00800789" w:rsidRPr="00800789" w:rsidRDefault="00800789" w:rsidP="00800789">
            <w:pPr>
              <w:widowControl/>
              <w:autoSpaceDE/>
              <w:autoSpaceDN/>
              <w:adjustRightInd/>
              <w:spacing w:before="120" w:after="120" w:line="240" w:lineRule="auto"/>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Pozostałe podmioty przedstawiły informację o braku uwag albo zgłosiły uwagi o charakterze legislacyjnym.</w:t>
            </w:r>
          </w:p>
          <w:p w:rsidR="00800789" w:rsidRPr="00800789" w:rsidRDefault="00800789" w:rsidP="00800789">
            <w:pPr>
              <w:widowControl/>
              <w:autoSpaceDE/>
              <w:autoSpaceDN/>
              <w:adjustRightInd/>
              <w:spacing w:before="120" w:after="120" w:line="240" w:lineRule="auto"/>
              <w:rPr>
                <w:rFonts w:eastAsia="Calibri" w:cs="Times New Roman"/>
                <w:color w:val="000000"/>
                <w:spacing w:val="-2"/>
                <w:sz w:val="22"/>
                <w:szCs w:val="22"/>
                <w:lang w:eastAsia="en-US"/>
              </w:rPr>
            </w:pPr>
          </w:p>
        </w:tc>
      </w:tr>
      <w:tr w:rsidR="00800789" w:rsidRPr="00800789" w:rsidTr="00F419F2">
        <w:trPr>
          <w:trHeight w:val="363"/>
        </w:trPr>
        <w:tc>
          <w:tcPr>
            <w:tcW w:w="11199" w:type="dxa"/>
            <w:gridSpan w:val="26"/>
            <w:shd w:val="clear" w:color="auto" w:fill="99CCFF"/>
            <w:vAlign w:val="center"/>
          </w:tcPr>
          <w:p w:rsidR="00800789" w:rsidRPr="00800789" w:rsidRDefault="00800789" w:rsidP="00800789">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800789">
              <w:rPr>
                <w:rFonts w:eastAsia="Calibri" w:cs="Times New Roman"/>
                <w:b/>
                <w:color w:val="000000"/>
                <w:sz w:val="22"/>
                <w:szCs w:val="22"/>
                <w:lang w:eastAsia="en-US"/>
              </w:rPr>
              <w:lastRenderedPageBreak/>
              <w:t xml:space="preserve"> Wpływ na sektor finansów publicznych</w:t>
            </w:r>
          </w:p>
        </w:tc>
      </w:tr>
      <w:tr w:rsidR="00800789" w:rsidRPr="00800789" w:rsidTr="00F419F2">
        <w:trPr>
          <w:trHeight w:val="142"/>
        </w:trPr>
        <w:tc>
          <w:tcPr>
            <w:tcW w:w="3133" w:type="dxa"/>
            <w:gridSpan w:val="3"/>
            <w:vMerge w:val="restart"/>
            <w:shd w:val="clear" w:color="auto" w:fill="FFFFFF"/>
          </w:tcPr>
          <w:p w:rsidR="00800789" w:rsidRPr="00800789" w:rsidRDefault="00800789" w:rsidP="00800789">
            <w:pPr>
              <w:widowControl/>
              <w:autoSpaceDE/>
              <w:autoSpaceDN/>
              <w:adjustRightInd/>
              <w:spacing w:before="40" w:after="40" w:line="276" w:lineRule="auto"/>
              <w:jc w:val="left"/>
              <w:rPr>
                <w:rFonts w:eastAsia="Calibri" w:cs="Times New Roman"/>
                <w:i/>
                <w:color w:val="000000"/>
                <w:sz w:val="21"/>
                <w:szCs w:val="21"/>
                <w:lang w:eastAsia="en-US"/>
              </w:rPr>
            </w:pPr>
            <w:r w:rsidRPr="00800789">
              <w:rPr>
                <w:rFonts w:eastAsia="Calibri" w:cs="Times New Roman"/>
                <w:color w:val="000000"/>
                <w:sz w:val="21"/>
                <w:szCs w:val="21"/>
                <w:lang w:eastAsia="en-US"/>
              </w:rPr>
              <w:t>(ceny stałe z 2017 r.)</w:t>
            </w:r>
          </w:p>
        </w:tc>
        <w:tc>
          <w:tcPr>
            <w:tcW w:w="8066" w:type="dxa"/>
            <w:gridSpan w:val="23"/>
            <w:shd w:val="clear" w:color="auto" w:fill="FFFFFF"/>
          </w:tcPr>
          <w:p w:rsidR="00800789" w:rsidRPr="00800789" w:rsidRDefault="00800789" w:rsidP="00800789">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800789">
              <w:rPr>
                <w:rFonts w:eastAsia="Calibri" w:cs="Times New Roman"/>
                <w:color w:val="000000"/>
                <w:sz w:val="21"/>
                <w:szCs w:val="21"/>
                <w:lang w:eastAsia="en-US"/>
              </w:rPr>
              <w:t>Skutki w okresie 10 lat od wejścia w życie zmian [mln zł]</w:t>
            </w:r>
          </w:p>
        </w:tc>
      </w:tr>
      <w:tr w:rsidR="00800789" w:rsidRPr="00800789" w:rsidTr="00F419F2">
        <w:trPr>
          <w:trHeight w:val="142"/>
        </w:trPr>
        <w:tc>
          <w:tcPr>
            <w:tcW w:w="3133" w:type="dxa"/>
            <w:gridSpan w:val="3"/>
            <w:vMerge/>
            <w:shd w:val="clear" w:color="auto" w:fill="FFFFFF"/>
          </w:tcPr>
          <w:p w:rsidR="00800789" w:rsidRPr="00800789" w:rsidRDefault="00800789" w:rsidP="00800789">
            <w:pPr>
              <w:widowControl/>
              <w:autoSpaceDE/>
              <w:autoSpaceDN/>
              <w:adjustRightInd/>
              <w:spacing w:before="40" w:after="40" w:line="240" w:lineRule="auto"/>
              <w:jc w:val="left"/>
              <w:rPr>
                <w:rFonts w:eastAsia="Calibri" w:cs="Times New Roman"/>
                <w:i/>
                <w:color w:val="000000"/>
                <w:sz w:val="21"/>
                <w:szCs w:val="21"/>
                <w:lang w:eastAsia="en-US"/>
              </w:rPr>
            </w:pPr>
          </w:p>
        </w:tc>
        <w:tc>
          <w:tcPr>
            <w:tcW w:w="630" w:type="dxa"/>
            <w:gridSpan w:val="2"/>
            <w:shd w:val="clear" w:color="auto" w:fill="FFFFFF"/>
            <w:vAlign w:val="center"/>
          </w:tcPr>
          <w:p w:rsidR="00800789" w:rsidRPr="00800789" w:rsidRDefault="00800789" w:rsidP="00800789">
            <w:pPr>
              <w:widowControl/>
              <w:autoSpaceDE/>
              <w:autoSpaceDN/>
              <w:adjustRightInd/>
              <w:spacing w:line="240" w:lineRule="auto"/>
              <w:jc w:val="center"/>
              <w:rPr>
                <w:rFonts w:eastAsia="Calibri" w:cs="Times New Roman"/>
                <w:color w:val="000000"/>
                <w:sz w:val="21"/>
                <w:szCs w:val="21"/>
                <w:lang w:eastAsia="en-US"/>
              </w:rPr>
            </w:pPr>
            <w:r w:rsidRPr="00800789">
              <w:rPr>
                <w:rFonts w:eastAsia="Calibri" w:cs="Times New Roman"/>
                <w:color w:val="000000"/>
                <w:sz w:val="21"/>
                <w:szCs w:val="21"/>
                <w:lang w:eastAsia="en-US"/>
              </w:rPr>
              <w:t>0</w:t>
            </w:r>
          </w:p>
        </w:tc>
        <w:tc>
          <w:tcPr>
            <w:tcW w:w="630" w:type="dxa"/>
            <w:gridSpan w:val="2"/>
            <w:shd w:val="clear" w:color="auto" w:fill="FFFFFF"/>
            <w:vAlign w:val="center"/>
          </w:tcPr>
          <w:p w:rsidR="00800789" w:rsidRPr="00800789" w:rsidRDefault="00800789" w:rsidP="00800789">
            <w:pPr>
              <w:widowControl/>
              <w:autoSpaceDE/>
              <w:autoSpaceDN/>
              <w:adjustRightInd/>
              <w:spacing w:line="240" w:lineRule="auto"/>
              <w:jc w:val="center"/>
              <w:rPr>
                <w:rFonts w:eastAsia="Calibri" w:cs="Times New Roman"/>
                <w:color w:val="000000"/>
                <w:sz w:val="21"/>
                <w:szCs w:val="21"/>
                <w:lang w:eastAsia="en-US"/>
              </w:rPr>
            </w:pPr>
            <w:r w:rsidRPr="00800789">
              <w:rPr>
                <w:rFonts w:eastAsia="Calibri" w:cs="Times New Roman"/>
                <w:color w:val="000000"/>
                <w:sz w:val="21"/>
                <w:szCs w:val="21"/>
                <w:lang w:eastAsia="en-US"/>
              </w:rPr>
              <w:t>1</w:t>
            </w:r>
          </w:p>
        </w:tc>
        <w:tc>
          <w:tcPr>
            <w:tcW w:w="630" w:type="dxa"/>
            <w:gridSpan w:val="2"/>
            <w:shd w:val="clear" w:color="auto" w:fill="FFFFFF"/>
            <w:vAlign w:val="center"/>
          </w:tcPr>
          <w:p w:rsidR="00800789" w:rsidRPr="00800789" w:rsidRDefault="00800789" w:rsidP="00800789">
            <w:pPr>
              <w:widowControl/>
              <w:autoSpaceDE/>
              <w:autoSpaceDN/>
              <w:adjustRightInd/>
              <w:spacing w:line="240" w:lineRule="auto"/>
              <w:jc w:val="center"/>
              <w:rPr>
                <w:rFonts w:eastAsia="Calibri" w:cs="Times New Roman"/>
                <w:color w:val="000000"/>
                <w:sz w:val="21"/>
                <w:szCs w:val="21"/>
                <w:lang w:eastAsia="en-US"/>
              </w:rPr>
            </w:pPr>
            <w:r w:rsidRPr="00800789">
              <w:rPr>
                <w:rFonts w:eastAsia="Calibri" w:cs="Times New Roman"/>
                <w:color w:val="000000"/>
                <w:sz w:val="21"/>
                <w:szCs w:val="21"/>
                <w:lang w:eastAsia="en-US"/>
              </w:rPr>
              <w:t>2</w:t>
            </w:r>
          </w:p>
        </w:tc>
        <w:tc>
          <w:tcPr>
            <w:tcW w:w="630" w:type="dxa"/>
            <w:shd w:val="clear" w:color="auto" w:fill="FFFFFF"/>
            <w:vAlign w:val="center"/>
          </w:tcPr>
          <w:p w:rsidR="00800789" w:rsidRPr="00800789" w:rsidRDefault="00800789" w:rsidP="00800789">
            <w:pPr>
              <w:widowControl/>
              <w:autoSpaceDE/>
              <w:autoSpaceDN/>
              <w:adjustRightInd/>
              <w:spacing w:line="240" w:lineRule="auto"/>
              <w:jc w:val="center"/>
              <w:rPr>
                <w:rFonts w:eastAsia="Calibri" w:cs="Times New Roman"/>
                <w:color w:val="000000"/>
                <w:sz w:val="21"/>
                <w:szCs w:val="21"/>
                <w:lang w:eastAsia="en-US"/>
              </w:rPr>
            </w:pPr>
            <w:r w:rsidRPr="00800789">
              <w:rPr>
                <w:rFonts w:eastAsia="Calibri" w:cs="Times New Roman"/>
                <w:color w:val="000000"/>
                <w:sz w:val="21"/>
                <w:szCs w:val="21"/>
                <w:lang w:eastAsia="en-US"/>
              </w:rPr>
              <w:t>3</w:t>
            </w:r>
          </w:p>
        </w:tc>
        <w:tc>
          <w:tcPr>
            <w:tcW w:w="630" w:type="dxa"/>
            <w:gridSpan w:val="3"/>
            <w:shd w:val="clear" w:color="auto" w:fill="FFFFFF"/>
            <w:vAlign w:val="center"/>
          </w:tcPr>
          <w:p w:rsidR="00800789" w:rsidRPr="00800789" w:rsidRDefault="00800789" w:rsidP="00800789">
            <w:pPr>
              <w:widowControl/>
              <w:autoSpaceDE/>
              <w:autoSpaceDN/>
              <w:adjustRightInd/>
              <w:spacing w:line="240" w:lineRule="auto"/>
              <w:jc w:val="center"/>
              <w:rPr>
                <w:rFonts w:eastAsia="Calibri" w:cs="Times New Roman"/>
                <w:color w:val="000000"/>
                <w:sz w:val="21"/>
                <w:szCs w:val="21"/>
                <w:lang w:eastAsia="en-US"/>
              </w:rPr>
            </w:pPr>
            <w:r w:rsidRPr="00800789">
              <w:rPr>
                <w:rFonts w:eastAsia="Calibri" w:cs="Times New Roman"/>
                <w:color w:val="000000"/>
                <w:sz w:val="21"/>
                <w:szCs w:val="21"/>
                <w:lang w:eastAsia="en-US"/>
              </w:rPr>
              <w:t>4</w:t>
            </w:r>
          </w:p>
        </w:tc>
        <w:tc>
          <w:tcPr>
            <w:tcW w:w="631" w:type="dxa"/>
            <w:gridSpan w:val="3"/>
            <w:shd w:val="clear" w:color="auto" w:fill="FFFFFF"/>
            <w:vAlign w:val="center"/>
          </w:tcPr>
          <w:p w:rsidR="00800789" w:rsidRPr="00800789" w:rsidRDefault="00800789" w:rsidP="00800789">
            <w:pPr>
              <w:widowControl/>
              <w:autoSpaceDE/>
              <w:autoSpaceDN/>
              <w:adjustRightInd/>
              <w:spacing w:line="240" w:lineRule="auto"/>
              <w:jc w:val="center"/>
              <w:rPr>
                <w:rFonts w:eastAsia="Calibri" w:cs="Times New Roman"/>
                <w:color w:val="000000"/>
                <w:sz w:val="21"/>
                <w:szCs w:val="21"/>
                <w:lang w:eastAsia="en-US"/>
              </w:rPr>
            </w:pPr>
            <w:r w:rsidRPr="00800789">
              <w:rPr>
                <w:rFonts w:eastAsia="Calibri" w:cs="Times New Roman"/>
                <w:color w:val="000000"/>
                <w:sz w:val="21"/>
                <w:szCs w:val="21"/>
                <w:lang w:eastAsia="en-US"/>
              </w:rPr>
              <w:t>5</w:t>
            </w:r>
          </w:p>
        </w:tc>
        <w:tc>
          <w:tcPr>
            <w:tcW w:w="630" w:type="dxa"/>
            <w:shd w:val="clear" w:color="auto" w:fill="FFFFFF"/>
            <w:vAlign w:val="center"/>
          </w:tcPr>
          <w:p w:rsidR="00800789" w:rsidRPr="00800789" w:rsidRDefault="00800789" w:rsidP="00800789">
            <w:pPr>
              <w:widowControl/>
              <w:autoSpaceDE/>
              <w:autoSpaceDN/>
              <w:adjustRightInd/>
              <w:spacing w:line="240" w:lineRule="auto"/>
              <w:jc w:val="center"/>
              <w:rPr>
                <w:rFonts w:eastAsia="Calibri" w:cs="Times New Roman"/>
                <w:color w:val="000000"/>
                <w:sz w:val="21"/>
                <w:szCs w:val="21"/>
                <w:lang w:eastAsia="en-US"/>
              </w:rPr>
            </w:pPr>
            <w:r w:rsidRPr="00800789">
              <w:rPr>
                <w:rFonts w:eastAsia="Calibri" w:cs="Times New Roman"/>
                <w:color w:val="000000"/>
                <w:sz w:val="21"/>
                <w:szCs w:val="21"/>
                <w:lang w:eastAsia="en-US"/>
              </w:rPr>
              <w:t>6</w:t>
            </w:r>
          </w:p>
        </w:tc>
        <w:tc>
          <w:tcPr>
            <w:tcW w:w="630" w:type="dxa"/>
            <w:gridSpan w:val="2"/>
            <w:shd w:val="clear" w:color="auto" w:fill="FFFFFF"/>
            <w:vAlign w:val="center"/>
          </w:tcPr>
          <w:p w:rsidR="00800789" w:rsidRPr="00800789" w:rsidRDefault="00800789" w:rsidP="00800789">
            <w:pPr>
              <w:widowControl/>
              <w:autoSpaceDE/>
              <w:autoSpaceDN/>
              <w:adjustRightInd/>
              <w:spacing w:line="240" w:lineRule="auto"/>
              <w:jc w:val="center"/>
              <w:rPr>
                <w:rFonts w:eastAsia="Calibri" w:cs="Times New Roman"/>
                <w:color w:val="000000"/>
                <w:sz w:val="21"/>
                <w:szCs w:val="21"/>
                <w:lang w:eastAsia="en-US"/>
              </w:rPr>
            </w:pPr>
            <w:r w:rsidRPr="00800789">
              <w:rPr>
                <w:rFonts w:eastAsia="Calibri" w:cs="Times New Roman"/>
                <w:color w:val="000000"/>
                <w:sz w:val="21"/>
                <w:szCs w:val="21"/>
                <w:lang w:eastAsia="en-US"/>
              </w:rPr>
              <w:t>7</w:t>
            </w:r>
          </w:p>
        </w:tc>
        <w:tc>
          <w:tcPr>
            <w:tcW w:w="630" w:type="dxa"/>
            <w:gridSpan w:val="3"/>
            <w:shd w:val="clear" w:color="auto" w:fill="FFFFFF"/>
            <w:vAlign w:val="center"/>
          </w:tcPr>
          <w:p w:rsidR="00800789" w:rsidRPr="00800789" w:rsidRDefault="00800789" w:rsidP="00800789">
            <w:pPr>
              <w:widowControl/>
              <w:autoSpaceDE/>
              <w:autoSpaceDN/>
              <w:adjustRightInd/>
              <w:spacing w:line="240" w:lineRule="auto"/>
              <w:jc w:val="center"/>
              <w:rPr>
                <w:rFonts w:eastAsia="Calibri" w:cs="Times New Roman"/>
                <w:color w:val="000000"/>
                <w:sz w:val="21"/>
                <w:szCs w:val="21"/>
                <w:lang w:eastAsia="en-US"/>
              </w:rPr>
            </w:pPr>
            <w:r w:rsidRPr="00800789">
              <w:rPr>
                <w:rFonts w:eastAsia="Calibri" w:cs="Times New Roman"/>
                <w:color w:val="000000"/>
                <w:sz w:val="21"/>
                <w:szCs w:val="21"/>
                <w:lang w:eastAsia="en-US"/>
              </w:rPr>
              <w:t>8</w:t>
            </w:r>
          </w:p>
        </w:tc>
        <w:tc>
          <w:tcPr>
            <w:tcW w:w="694" w:type="dxa"/>
            <w:shd w:val="clear" w:color="auto" w:fill="FFFFFF"/>
            <w:vAlign w:val="center"/>
          </w:tcPr>
          <w:p w:rsidR="00800789" w:rsidRPr="00800789" w:rsidRDefault="00800789" w:rsidP="00800789">
            <w:pPr>
              <w:widowControl/>
              <w:autoSpaceDE/>
              <w:autoSpaceDN/>
              <w:adjustRightInd/>
              <w:spacing w:line="240" w:lineRule="auto"/>
              <w:jc w:val="center"/>
              <w:rPr>
                <w:rFonts w:eastAsia="Calibri" w:cs="Times New Roman"/>
                <w:color w:val="000000"/>
                <w:sz w:val="21"/>
                <w:szCs w:val="21"/>
                <w:lang w:eastAsia="en-US"/>
              </w:rPr>
            </w:pPr>
            <w:r w:rsidRPr="00800789">
              <w:rPr>
                <w:rFonts w:eastAsia="Calibri" w:cs="Times New Roman"/>
                <w:color w:val="000000"/>
                <w:sz w:val="21"/>
                <w:szCs w:val="21"/>
                <w:lang w:eastAsia="en-US"/>
              </w:rPr>
              <w:t>9</w:t>
            </w:r>
          </w:p>
        </w:tc>
        <w:tc>
          <w:tcPr>
            <w:tcW w:w="709" w:type="dxa"/>
            <w:gridSpan w:val="2"/>
            <w:shd w:val="clear" w:color="auto" w:fill="FFFFFF"/>
            <w:vAlign w:val="center"/>
          </w:tcPr>
          <w:p w:rsidR="00800789" w:rsidRPr="00800789" w:rsidRDefault="00800789" w:rsidP="00800789">
            <w:pPr>
              <w:widowControl/>
              <w:autoSpaceDE/>
              <w:autoSpaceDN/>
              <w:adjustRightInd/>
              <w:spacing w:line="240" w:lineRule="auto"/>
              <w:jc w:val="center"/>
              <w:rPr>
                <w:rFonts w:eastAsia="Calibri" w:cs="Times New Roman"/>
                <w:color w:val="000000"/>
                <w:sz w:val="21"/>
                <w:szCs w:val="21"/>
                <w:lang w:eastAsia="en-US"/>
              </w:rPr>
            </w:pPr>
            <w:r w:rsidRPr="00800789">
              <w:rPr>
                <w:rFonts w:eastAsia="Calibri" w:cs="Times New Roman"/>
                <w:color w:val="000000"/>
                <w:sz w:val="21"/>
                <w:szCs w:val="21"/>
                <w:lang w:eastAsia="en-US"/>
              </w:rPr>
              <w:t>10</w:t>
            </w:r>
          </w:p>
        </w:tc>
        <w:tc>
          <w:tcPr>
            <w:tcW w:w="992" w:type="dxa"/>
            <w:shd w:val="clear" w:color="auto" w:fill="FFFFFF"/>
          </w:tcPr>
          <w:p w:rsidR="00800789" w:rsidRPr="00800789" w:rsidRDefault="00800789" w:rsidP="00800789">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800789">
              <w:rPr>
                <w:rFonts w:eastAsia="Calibri" w:cs="Times New Roman"/>
                <w:i/>
                <w:color w:val="000000"/>
                <w:spacing w:val="-2"/>
                <w:sz w:val="21"/>
                <w:szCs w:val="21"/>
                <w:lang w:eastAsia="en-US"/>
              </w:rPr>
              <w:t>Łącznie (0-10)</w:t>
            </w:r>
          </w:p>
        </w:tc>
      </w:tr>
      <w:tr w:rsidR="00800789" w:rsidRPr="00800789" w:rsidTr="00F419F2">
        <w:trPr>
          <w:trHeight w:val="321"/>
        </w:trPr>
        <w:tc>
          <w:tcPr>
            <w:tcW w:w="3133" w:type="dxa"/>
            <w:gridSpan w:val="3"/>
            <w:shd w:val="clear" w:color="auto" w:fill="FFFFFF"/>
            <w:vAlign w:val="center"/>
          </w:tcPr>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r w:rsidRPr="00800789">
              <w:rPr>
                <w:rFonts w:eastAsia="Calibri" w:cs="Times New Roman"/>
                <w:b/>
                <w:color w:val="000000"/>
                <w:sz w:val="21"/>
                <w:szCs w:val="21"/>
                <w:lang w:eastAsia="en-US"/>
              </w:rPr>
              <w:t>Dochody ogółem</w:t>
            </w:r>
          </w:p>
        </w:tc>
        <w:tc>
          <w:tcPr>
            <w:tcW w:w="630" w:type="dxa"/>
            <w:gridSpan w:val="2"/>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0" w:type="dxa"/>
            <w:gridSpan w:val="2"/>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0" w:type="dxa"/>
            <w:gridSpan w:val="2"/>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0" w:type="dxa"/>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0" w:type="dxa"/>
            <w:gridSpan w:val="3"/>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1" w:type="dxa"/>
            <w:gridSpan w:val="3"/>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0" w:type="dxa"/>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0" w:type="dxa"/>
            <w:gridSpan w:val="2"/>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0" w:type="dxa"/>
            <w:gridSpan w:val="3"/>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94" w:type="dxa"/>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709" w:type="dxa"/>
            <w:gridSpan w:val="2"/>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992" w:type="dxa"/>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r>
      <w:tr w:rsidR="00800789" w:rsidRPr="00800789" w:rsidTr="00F419F2">
        <w:trPr>
          <w:trHeight w:val="330"/>
        </w:trPr>
        <w:tc>
          <w:tcPr>
            <w:tcW w:w="3133" w:type="dxa"/>
            <w:gridSpan w:val="3"/>
            <w:shd w:val="clear" w:color="auto" w:fill="FFFFFF"/>
            <w:vAlign w:val="center"/>
          </w:tcPr>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r w:rsidRPr="00800789">
              <w:rPr>
                <w:rFonts w:eastAsia="Calibri" w:cs="Times New Roman"/>
                <w:b/>
                <w:color w:val="000000"/>
                <w:sz w:val="21"/>
                <w:szCs w:val="21"/>
                <w:lang w:eastAsia="en-US"/>
              </w:rPr>
              <w:t>Wydatki ogółem</w:t>
            </w:r>
          </w:p>
        </w:tc>
        <w:tc>
          <w:tcPr>
            <w:tcW w:w="630" w:type="dxa"/>
            <w:gridSpan w:val="2"/>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0" w:type="dxa"/>
            <w:gridSpan w:val="2"/>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0" w:type="dxa"/>
            <w:gridSpan w:val="2"/>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0" w:type="dxa"/>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0" w:type="dxa"/>
            <w:gridSpan w:val="3"/>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1" w:type="dxa"/>
            <w:gridSpan w:val="3"/>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0" w:type="dxa"/>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0" w:type="dxa"/>
            <w:gridSpan w:val="2"/>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0" w:type="dxa"/>
            <w:gridSpan w:val="3"/>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94" w:type="dxa"/>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709" w:type="dxa"/>
            <w:gridSpan w:val="2"/>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992" w:type="dxa"/>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r>
      <w:tr w:rsidR="00800789" w:rsidRPr="00800789" w:rsidTr="00F419F2">
        <w:trPr>
          <w:trHeight w:val="360"/>
        </w:trPr>
        <w:tc>
          <w:tcPr>
            <w:tcW w:w="3133" w:type="dxa"/>
            <w:gridSpan w:val="3"/>
            <w:shd w:val="clear" w:color="auto" w:fill="FFFFFF"/>
            <w:vAlign w:val="center"/>
          </w:tcPr>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r w:rsidRPr="00800789">
              <w:rPr>
                <w:rFonts w:eastAsia="Calibri" w:cs="Times New Roman"/>
                <w:b/>
                <w:color w:val="000000"/>
                <w:sz w:val="21"/>
                <w:szCs w:val="21"/>
                <w:lang w:eastAsia="en-US"/>
              </w:rPr>
              <w:t>Saldo ogółem</w:t>
            </w:r>
          </w:p>
        </w:tc>
        <w:tc>
          <w:tcPr>
            <w:tcW w:w="630" w:type="dxa"/>
            <w:gridSpan w:val="2"/>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0" w:type="dxa"/>
            <w:gridSpan w:val="2"/>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0" w:type="dxa"/>
            <w:gridSpan w:val="2"/>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0" w:type="dxa"/>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0" w:type="dxa"/>
            <w:gridSpan w:val="3"/>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1" w:type="dxa"/>
            <w:gridSpan w:val="3"/>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0" w:type="dxa"/>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0" w:type="dxa"/>
            <w:gridSpan w:val="2"/>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30" w:type="dxa"/>
            <w:gridSpan w:val="3"/>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694" w:type="dxa"/>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709" w:type="dxa"/>
            <w:gridSpan w:val="2"/>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992" w:type="dxa"/>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r>
      <w:tr w:rsidR="00800789" w:rsidRPr="00800789" w:rsidTr="00F419F2">
        <w:trPr>
          <w:trHeight w:val="348"/>
        </w:trPr>
        <w:tc>
          <w:tcPr>
            <w:tcW w:w="2243" w:type="dxa"/>
            <w:gridSpan w:val="2"/>
            <w:shd w:val="clear" w:color="auto" w:fill="FFFFFF"/>
            <w:vAlign w:val="center"/>
          </w:tcPr>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r w:rsidRPr="00800789">
              <w:rPr>
                <w:rFonts w:eastAsia="Calibri" w:cs="Times New Roman"/>
                <w:color w:val="000000"/>
                <w:sz w:val="21"/>
                <w:szCs w:val="21"/>
                <w:lang w:eastAsia="en-US"/>
              </w:rPr>
              <w:t xml:space="preserve">Źródła finansowania: </w:t>
            </w:r>
          </w:p>
        </w:tc>
        <w:tc>
          <w:tcPr>
            <w:tcW w:w="8956" w:type="dxa"/>
            <w:gridSpan w:val="24"/>
            <w:shd w:val="clear" w:color="auto" w:fill="FFFFFF"/>
            <w:vAlign w:val="center"/>
          </w:tcPr>
          <w:p w:rsidR="00800789" w:rsidRPr="00800789" w:rsidRDefault="00800789" w:rsidP="00800789">
            <w:pPr>
              <w:widowControl/>
              <w:autoSpaceDE/>
              <w:autoSpaceDN/>
              <w:adjustRightInd/>
              <w:spacing w:line="240" w:lineRule="auto"/>
              <w:rPr>
                <w:rFonts w:eastAsia="Calibri" w:cs="Times New Roman"/>
                <w:color w:val="000000"/>
                <w:sz w:val="21"/>
                <w:szCs w:val="21"/>
                <w:lang w:eastAsia="en-US"/>
              </w:rPr>
            </w:pPr>
          </w:p>
        </w:tc>
      </w:tr>
      <w:tr w:rsidR="00800789" w:rsidRPr="00800789" w:rsidTr="00F419F2">
        <w:trPr>
          <w:trHeight w:val="1258"/>
        </w:trPr>
        <w:tc>
          <w:tcPr>
            <w:tcW w:w="2243" w:type="dxa"/>
            <w:gridSpan w:val="2"/>
            <w:shd w:val="clear" w:color="auto" w:fill="FFFFFF"/>
          </w:tcPr>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r w:rsidRPr="00800789">
              <w:rPr>
                <w:rFonts w:eastAsia="Calibri" w:cs="Times New Roman"/>
                <w:color w:val="000000"/>
                <w:sz w:val="21"/>
                <w:szCs w:val="21"/>
                <w:lang w:eastAsia="en-US"/>
              </w:rPr>
              <w:t>Dodatkowe informacje, w tym wskazanie źródeł danych i przyjętych do obliczeń założeń</w:t>
            </w: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tc>
        <w:tc>
          <w:tcPr>
            <w:tcW w:w="8956" w:type="dxa"/>
            <w:gridSpan w:val="24"/>
            <w:shd w:val="clear" w:color="auto" w:fill="FFFFFF"/>
          </w:tcPr>
          <w:p w:rsidR="00800789" w:rsidRPr="00800789" w:rsidRDefault="00800789" w:rsidP="00800789">
            <w:pPr>
              <w:widowControl/>
              <w:autoSpaceDE/>
              <w:autoSpaceDN/>
              <w:adjustRightInd/>
              <w:spacing w:line="240" w:lineRule="auto"/>
              <w:rPr>
                <w:rFonts w:eastAsia="Calibri" w:cs="Times New Roman"/>
                <w:color w:val="000000"/>
                <w:sz w:val="22"/>
                <w:szCs w:val="21"/>
                <w:lang w:eastAsia="en-US"/>
              </w:rPr>
            </w:pPr>
            <w:r w:rsidRPr="00800789">
              <w:rPr>
                <w:rFonts w:eastAsia="Calibri" w:cs="Times New Roman"/>
                <w:color w:val="000000"/>
                <w:sz w:val="22"/>
                <w:szCs w:val="21"/>
                <w:lang w:eastAsia="en-US"/>
              </w:rPr>
              <w:t xml:space="preserve">Projektowana regulacja: </w:t>
            </w:r>
          </w:p>
          <w:p w:rsidR="00800789" w:rsidRPr="00800789" w:rsidRDefault="00800789" w:rsidP="00800789">
            <w:pPr>
              <w:widowControl/>
              <w:numPr>
                <w:ilvl w:val="0"/>
                <w:numId w:val="50"/>
              </w:numPr>
              <w:autoSpaceDE/>
              <w:autoSpaceDN/>
              <w:adjustRightInd/>
              <w:spacing w:before="120" w:line="240" w:lineRule="auto"/>
              <w:contextualSpacing/>
              <w:jc w:val="left"/>
              <w:rPr>
                <w:rFonts w:eastAsia="Calibri" w:cs="Times New Roman"/>
                <w:color w:val="000000"/>
                <w:sz w:val="22"/>
                <w:szCs w:val="21"/>
                <w:lang w:eastAsia="en-US"/>
              </w:rPr>
            </w:pPr>
            <w:r w:rsidRPr="00800789">
              <w:rPr>
                <w:rFonts w:eastAsia="Calibri" w:cs="Times New Roman"/>
                <w:b/>
                <w:color w:val="000000"/>
                <w:sz w:val="22"/>
                <w:szCs w:val="21"/>
                <w:lang w:eastAsia="en-US"/>
              </w:rPr>
              <w:t>w zakresie zmian w postępowaniu cywilnym</w:t>
            </w:r>
            <w:r w:rsidRPr="00800789">
              <w:rPr>
                <w:rFonts w:eastAsia="Calibri" w:cs="Times New Roman"/>
                <w:color w:val="000000"/>
                <w:sz w:val="22"/>
                <w:szCs w:val="21"/>
                <w:lang w:eastAsia="en-US"/>
              </w:rPr>
              <w:t xml:space="preserve"> (sądowym) – może nieznacznie wpłynąć na wzrost obciążenia sektora finansów publicznych (np. sądów); </w:t>
            </w:r>
          </w:p>
          <w:p w:rsidR="00800789" w:rsidRPr="00800789" w:rsidRDefault="00800789" w:rsidP="00800789">
            <w:pPr>
              <w:widowControl/>
              <w:numPr>
                <w:ilvl w:val="0"/>
                <w:numId w:val="50"/>
              </w:numPr>
              <w:autoSpaceDE/>
              <w:autoSpaceDN/>
              <w:adjustRightInd/>
              <w:spacing w:before="120" w:line="240" w:lineRule="auto"/>
              <w:ind w:left="714" w:hanging="357"/>
              <w:jc w:val="left"/>
              <w:rPr>
                <w:rFonts w:eastAsia="Calibri" w:cs="Times New Roman"/>
                <w:color w:val="000000"/>
                <w:sz w:val="22"/>
                <w:szCs w:val="21"/>
                <w:lang w:eastAsia="en-US"/>
              </w:rPr>
            </w:pPr>
            <w:r w:rsidRPr="00800789">
              <w:rPr>
                <w:rFonts w:eastAsia="Calibri" w:cs="Times New Roman"/>
                <w:color w:val="000000"/>
                <w:sz w:val="22"/>
                <w:szCs w:val="21"/>
                <w:lang w:eastAsia="en-US"/>
              </w:rPr>
              <w:t xml:space="preserve">natomiast </w:t>
            </w:r>
            <w:r w:rsidRPr="00800789">
              <w:rPr>
                <w:rFonts w:eastAsia="Calibri" w:cs="Times New Roman"/>
                <w:b/>
                <w:color w:val="000000"/>
                <w:sz w:val="22"/>
                <w:szCs w:val="21"/>
                <w:lang w:eastAsia="en-US"/>
              </w:rPr>
              <w:t>w zakresie zmian w postępowaniu egzekucyjnym</w:t>
            </w:r>
            <w:r w:rsidRPr="00800789">
              <w:rPr>
                <w:rFonts w:eastAsia="Calibri" w:cs="Times New Roman"/>
                <w:color w:val="000000"/>
                <w:sz w:val="22"/>
                <w:szCs w:val="21"/>
                <w:lang w:eastAsia="en-US"/>
              </w:rPr>
              <w:t xml:space="preserve"> </w:t>
            </w:r>
            <w:r w:rsidRPr="00800789">
              <w:rPr>
                <w:rFonts w:eastAsia="Calibri" w:cs="Times New Roman"/>
                <w:b/>
                <w:color w:val="000000"/>
                <w:sz w:val="22"/>
                <w:szCs w:val="21"/>
                <w:lang w:eastAsia="en-US"/>
              </w:rPr>
              <w:t>w administracji</w:t>
            </w:r>
            <w:r w:rsidRPr="00800789">
              <w:rPr>
                <w:rFonts w:eastAsia="Calibri" w:cs="Times New Roman"/>
                <w:color w:val="000000"/>
                <w:sz w:val="22"/>
                <w:szCs w:val="21"/>
                <w:lang w:eastAsia="en-US"/>
              </w:rPr>
              <w:t xml:space="preserve"> poprawi skuteczność egzekucji należności, korzystnie wpływając na sektor finansów publicznych, w tym budżet państwa i budżety jednostek samorządu terytorialnego.</w:t>
            </w:r>
          </w:p>
          <w:p w:rsidR="00800789" w:rsidRPr="00800789" w:rsidRDefault="00800789" w:rsidP="00800789">
            <w:pPr>
              <w:widowControl/>
              <w:autoSpaceDE/>
              <w:autoSpaceDN/>
              <w:adjustRightInd/>
              <w:spacing w:before="120" w:after="120" w:line="240" w:lineRule="auto"/>
              <w:rPr>
                <w:rFonts w:eastAsia="Calibri" w:cs="Times New Roman"/>
                <w:color w:val="000000"/>
                <w:sz w:val="22"/>
                <w:szCs w:val="21"/>
                <w:lang w:eastAsia="en-US"/>
              </w:rPr>
            </w:pPr>
            <w:r w:rsidRPr="00800789">
              <w:rPr>
                <w:rFonts w:eastAsia="Calibri" w:cs="Times New Roman"/>
                <w:color w:val="000000"/>
                <w:sz w:val="22"/>
                <w:szCs w:val="21"/>
                <w:lang w:eastAsia="en-US"/>
              </w:rPr>
              <w:t>Poniższe tabele prezentują informacje o zaległościach zabezpieczonych hipoteką lub/i zastawem skarbowym wg stanu na dzień 31 grudnia 2016 r. przez izby skarbowe oraz celne:</w:t>
            </w:r>
          </w:p>
          <w:p w:rsidR="00800789" w:rsidRPr="00800789" w:rsidRDefault="00800789" w:rsidP="00800789">
            <w:pPr>
              <w:widowControl/>
              <w:autoSpaceDE/>
              <w:autoSpaceDN/>
              <w:adjustRightInd/>
              <w:spacing w:before="240" w:line="240" w:lineRule="auto"/>
              <w:ind w:left="913" w:right="889"/>
              <w:rPr>
                <w:rFonts w:eastAsia="Calibri" w:cs="Times New Roman"/>
                <w:color w:val="000000"/>
                <w:sz w:val="22"/>
                <w:szCs w:val="21"/>
                <w:lang w:eastAsia="en-US"/>
              </w:rPr>
            </w:pPr>
            <w:r w:rsidRPr="00800789">
              <w:rPr>
                <w:rFonts w:eastAsia="Calibri" w:cs="Times New Roman"/>
                <w:color w:val="000000"/>
                <w:sz w:val="22"/>
                <w:szCs w:val="21"/>
                <w:lang w:eastAsia="en-US"/>
              </w:rPr>
              <w:t>Tab. 1: Informacja o zaległościach zabezpieczonych hipoteką lub/i zastawem skarbowym wg stanu na dzień 31 grudnia 2016 r.</w:t>
            </w:r>
          </w:p>
          <w:tbl>
            <w:tblPr>
              <w:tblW w:w="7000" w:type="dxa"/>
              <w:jc w:val="center"/>
              <w:tblLayout w:type="fixed"/>
              <w:tblCellMar>
                <w:left w:w="70" w:type="dxa"/>
                <w:right w:w="70" w:type="dxa"/>
              </w:tblCellMar>
              <w:tblLook w:val="04A0" w:firstRow="1" w:lastRow="0" w:firstColumn="1" w:lastColumn="0" w:noHBand="0" w:noVBand="1"/>
            </w:tblPr>
            <w:tblGrid>
              <w:gridCol w:w="2330"/>
              <w:gridCol w:w="2299"/>
              <w:gridCol w:w="2371"/>
            </w:tblGrid>
            <w:tr w:rsidR="00800789" w:rsidRPr="00800789" w:rsidTr="00F419F2">
              <w:trPr>
                <w:trHeight w:val="1041"/>
                <w:jc w:val="center"/>
              </w:trPr>
              <w:tc>
                <w:tcPr>
                  <w:tcW w:w="2330" w:type="dxa"/>
                  <w:tcBorders>
                    <w:top w:val="single" w:sz="4" w:space="0" w:color="auto"/>
                    <w:left w:val="single" w:sz="4" w:space="0" w:color="auto"/>
                    <w:bottom w:val="single" w:sz="4" w:space="0" w:color="auto"/>
                    <w:right w:val="single" w:sz="4" w:space="0" w:color="auto"/>
                  </w:tcBorders>
                  <w:shd w:val="pct10" w:color="auto" w:fill="auto"/>
                  <w:noWrap/>
                  <w:vAlign w:val="center"/>
                  <w:hideMark/>
                </w:tcPr>
                <w:p w:rsidR="00800789" w:rsidRPr="00800789" w:rsidRDefault="00800789" w:rsidP="00800789">
                  <w:pPr>
                    <w:widowControl/>
                    <w:autoSpaceDE/>
                    <w:autoSpaceDN/>
                    <w:adjustRightInd/>
                    <w:spacing w:line="240" w:lineRule="auto"/>
                    <w:jc w:val="left"/>
                    <w:rPr>
                      <w:rFonts w:eastAsia="Times New Roman" w:cs="Times New Roman"/>
                      <w:color w:val="000000"/>
                      <w:sz w:val="20"/>
                      <w:szCs w:val="24"/>
                    </w:rPr>
                  </w:pPr>
                  <w:r w:rsidRPr="00800789">
                    <w:rPr>
                      <w:rFonts w:eastAsia="Times New Roman" w:cs="Times New Roman"/>
                      <w:color w:val="000000"/>
                      <w:sz w:val="20"/>
                      <w:szCs w:val="24"/>
                    </w:rPr>
                    <w:t>Wyszczególnienie:</w:t>
                  </w:r>
                </w:p>
              </w:tc>
              <w:tc>
                <w:tcPr>
                  <w:tcW w:w="2299" w:type="dxa"/>
                  <w:tcBorders>
                    <w:top w:val="single" w:sz="4" w:space="0" w:color="auto"/>
                    <w:left w:val="nil"/>
                    <w:bottom w:val="single" w:sz="4" w:space="0" w:color="auto"/>
                    <w:right w:val="single" w:sz="4" w:space="0" w:color="auto"/>
                  </w:tcBorders>
                  <w:shd w:val="pct10" w:color="auto" w:fill="auto"/>
                  <w:vAlign w:val="center"/>
                  <w:hideMark/>
                </w:tcPr>
                <w:p w:rsidR="00800789" w:rsidRPr="00800789" w:rsidRDefault="00800789" w:rsidP="00800789">
                  <w:pPr>
                    <w:widowControl/>
                    <w:autoSpaceDE/>
                    <w:autoSpaceDN/>
                    <w:adjustRightInd/>
                    <w:spacing w:line="240" w:lineRule="auto"/>
                    <w:jc w:val="center"/>
                    <w:rPr>
                      <w:rFonts w:eastAsia="Times New Roman" w:cs="Times New Roman"/>
                      <w:color w:val="000000"/>
                      <w:sz w:val="20"/>
                      <w:szCs w:val="24"/>
                    </w:rPr>
                  </w:pPr>
                  <w:r w:rsidRPr="00800789">
                    <w:rPr>
                      <w:rFonts w:eastAsia="Times New Roman" w:cs="Times New Roman"/>
                      <w:color w:val="000000"/>
                      <w:sz w:val="20"/>
                      <w:szCs w:val="24"/>
                    </w:rPr>
                    <w:t>Liczba podatników</w:t>
                  </w:r>
                </w:p>
              </w:tc>
              <w:tc>
                <w:tcPr>
                  <w:tcW w:w="2371" w:type="dxa"/>
                  <w:tcBorders>
                    <w:top w:val="single" w:sz="4" w:space="0" w:color="auto"/>
                    <w:left w:val="nil"/>
                    <w:bottom w:val="single" w:sz="4" w:space="0" w:color="auto"/>
                    <w:right w:val="single" w:sz="4" w:space="0" w:color="auto"/>
                  </w:tcBorders>
                  <w:shd w:val="pct10" w:color="auto" w:fill="auto"/>
                  <w:vAlign w:val="center"/>
                  <w:hideMark/>
                </w:tcPr>
                <w:p w:rsidR="00800789" w:rsidRPr="00800789" w:rsidRDefault="00800789" w:rsidP="00800789">
                  <w:pPr>
                    <w:widowControl/>
                    <w:autoSpaceDE/>
                    <w:autoSpaceDN/>
                    <w:adjustRightInd/>
                    <w:spacing w:line="240" w:lineRule="auto"/>
                    <w:jc w:val="center"/>
                    <w:rPr>
                      <w:rFonts w:eastAsia="Times New Roman" w:cs="Times New Roman"/>
                      <w:color w:val="000000"/>
                      <w:sz w:val="20"/>
                      <w:szCs w:val="24"/>
                    </w:rPr>
                  </w:pPr>
                  <w:r w:rsidRPr="00800789">
                    <w:rPr>
                      <w:rFonts w:eastAsia="Times New Roman" w:cs="Times New Roman"/>
                      <w:color w:val="000000"/>
                      <w:sz w:val="20"/>
                      <w:szCs w:val="24"/>
                    </w:rPr>
                    <w:t>Wysokość zaległości zabezpieczonych hipoteką lub/i zastawem skarbowym</w:t>
                  </w:r>
                  <w:r w:rsidRPr="00800789">
                    <w:rPr>
                      <w:rFonts w:eastAsia="Times New Roman" w:cs="Times New Roman"/>
                      <w:color w:val="000000"/>
                      <w:sz w:val="20"/>
                      <w:szCs w:val="24"/>
                    </w:rPr>
                    <w:br/>
                  </w:r>
                  <w:r w:rsidRPr="00800789">
                    <w:rPr>
                      <w:rFonts w:eastAsia="Times New Roman" w:cs="Times New Roman"/>
                      <w:b/>
                      <w:bCs/>
                      <w:color w:val="000000"/>
                      <w:sz w:val="20"/>
                      <w:szCs w:val="24"/>
                    </w:rPr>
                    <w:t>- w mln zł</w:t>
                  </w:r>
                </w:p>
              </w:tc>
            </w:tr>
            <w:tr w:rsidR="00800789" w:rsidRPr="00800789" w:rsidTr="00F419F2">
              <w:trPr>
                <w:trHeight w:val="312"/>
                <w:jc w:val="center"/>
              </w:trPr>
              <w:tc>
                <w:tcPr>
                  <w:tcW w:w="2330" w:type="dxa"/>
                  <w:tcBorders>
                    <w:top w:val="nil"/>
                    <w:left w:val="single" w:sz="4" w:space="0" w:color="auto"/>
                    <w:bottom w:val="single" w:sz="4" w:space="0" w:color="auto"/>
                    <w:right w:val="single" w:sz="4" w:space="0" w:color="auto"/>
                  </w:tcBorders>
                  <w:shd w:val="clear" w:color="auto" w:fill="auto"/>
                  <w:noWrap/>
                  <w:vAlign w:val="bottom"/>
                  <w:hideMark/>
                </w:tcPr>
                <w:p w:rsidR="00800789" w:rsidRPr="00800789" w:rsidRDefault="00800789" w:rsidP="00800789">
                  <w:pPr>
                    <w:widowControl/>
                    <w:autoSpaceDE/>
                    <w:autoSpaceDN/>
                    <w:adjustRightInd/>
                    <w:spacing w:line="240" w:lineRule="auto"/>
                    <w:ind w:firstLineChars="200" w:firstLine="400"/>
                    <w:jc w:val="left"/>
                    <w:rPr>
                      <w:rFonts w:eastAsia="Times New Roman" w:cs="Times New Roman"/>
                      <w:color w:val="000000"/>
                      <w:sz w:val="20"/>
                      <w:szCs w:val="24"/>
                    </w:rPr>
                  </w:pPr>
                  <w:r w:rsidRPr="00800789">
                    <w:rPr>
                      <w:rFonts w:eastAsia="Times New Roman" w:cs="Times New Roman"/>
                      <w:color w:val="000000"/>
                      <w:sz w:val="20"/>
                      <w:szCs w:val="24"/>
                    </w:rPr>
                    <w:t>izby skarbowe</w:t>
                  </w:r>
                </w:p>
              </w:tc>
              <w:tc>
                <w:tcPr>
                  <w:tcW w:w="2299" w:type="dxa"/>
                  <w:tcBorders>
                    <w:top w:val="nil"/>
                    <w:left w:val="nil"/>
                    <w:bottom w:val="single" w:sz="4" w:space="0" w:color="auto"/>
                    <w:right w:val="single" w:sz="4" w:space="0" w:color="auto"/>
                  </w:tcBorders>
                  <w:shd w:val="clear" w:color="auto" w:fill="auto"/>
                  <w:vAlign w:val="bottom"/>
                  <w:hideMark/>
                </w:tcPr>
                <w:p w:rsidR="00800789" w:rsidRPr="00800789" w:rsidRDefault="00800789" w:rsidP="00800789">
                  <w:pPr>
                    <w:widowControl/>
                    <w:autoSpaceDE/>
                    <w:autoSpaceDN/>
                    <w:adjustRightInd/>
                    <w:spacing w:line="240" w:lineRule="auto"/>
                    <w:jc w:val="right"/>
                    <w:rPr>
                      <w:rFonts w:eastAsia="Times New Roman" w:cs="Times New Roman"/>
                      <w:color w:val="000000"/>
                      <w:sz w:val="20"/>
                      <w:szCs w:val="24"/>
                    </w:rPr>
                  </w:pPr>
                  <w:r w:rsidRPr="00800789">
                    <w:rPr>
                      <w:rFonts w:eastAsia="Times New Roman" w:cs="Times New Roman"/>
                      <w:color w:val="000000"/>
                      <w:sz w:val="20"/>
                      <w:szCs w:val="24"/>
                    </w:rPr>
                    <w:t>49 645</w:t>
                  </w:r>
                </w:p>
              </w:tc>
              <w:tc>
                <w:tcPr>
                  <w:tcW w:w="2371" w:type="dxa"/>
                  <w:tcBorders>
                    <w:top w:val="nil"/>
                    <w:left w:val="nil"/>
                    <w:bottom w:val="single" w:sz="4" w:space="0" w:color="auto"/>
                    <w:right w:val="single" w:sz="4" w:space="0" w:color="auto"/>
                  </w:tcBorders>
                  <w:shd w:val="clear" w:color="auto" w:fill="auto"/>
                  <w:vAlign w:val="bottom"/>
                  <w:hideMark/>
                </w:tcPr>
                <w:p w:rsidR="00800789" w:rsidRPr="00800789" w:rsidRDefault="00800789" w:rsidP="00800789">
                  <w:pPr>
                    <w:widowControl/>
                    <w:autoSpaceDE/>
                    <w:autoSpaceDN/>
                    <w:adjustRightInd/>
                    <w:spacing w:line="240" w:lineRule="auto"/>
                    <w:jc w:val="right"/>
                    <w:rPr>
                      <w:rFonts w:eastAsia="Times New Roman" w:cs="Times New Roman"/>
                      <w:color w:val="000000"/>
                      <w:sz w:val="20"/>
                      <w:szCs w:val="24"/>
                    </w:rPr>
                  </w:pPr>
                  <w:r w:rsidRPr="00800789">
                    <w:rPr>
                      <w:rFonts w:eastAsia="Times New Roman" w:cs="Times New Roman"/>
                      <w:color w:val="000000"/>
                      <w:sz w:val="20"/>
                      <w:szCs w:val="24"/>
                    </w:rPr>
                    <w:t>7 352,53</w:t>
                  </w:r>
                </w:p>
              </w:tc>
            </w:tr>
            <w:tr w:rsidR="00800789" w:rsidRPr="00800789" w:rsidTr="00F419F2">
              <w:trPr>
                <w:trHeight w:val="312"/>
                <w:jc w:val="center"/>
              </w:trPr>
              <w:tc>
                <w:tcPr>
                  <w:tcW w:w="2330" w:type="dxa"/>
                  <w:tcBorders>
                    <w:top w:val="nil"/>
                    <w:left w:val="single" w:sz="4" w:space="0" w:color="auto"/>
                    <w:bottom w:val="single" w:sz="4" w:space="0" w:color="auto"/>
                    <w:right w:val="single" w:sz="4" w:space="0" w:color="auto"/>
                  </w:tcBorders>
                  <w:shd w:val="clear" w:color="auto" w:fill="auto"/>
                  <w:noWrap/>
                  <w:vAlign w:val="bottom"/>
                  <w:hideMark/>
                </w:tcPr>
                <w:p w:rsidR="00800789" w:rsidRPr="00800789" w:rsidRDefault="00800789" w:rsidP="00800789">
                  <w:pPr>
                    <w:widowControl/>
                    <w:autoSpaceDE/>
                    <w:autoSpaceDN/>
                    <w:adjustRightInd/>
                    <w:spacing w:line="240" w:lineRule="auto"/>
                    <w:ind w:firstLineChars="200" w:firstLine="400"/>
                    <w:jc w:val="left"/>
                    <w:rPr>
                      <w:rFonts w:eastAsia="Times New Roman" w:cs="Times New Roman"/>
                      <w:color w:val="000000"/>
                      <w:sz w:val="20"/>
                      <w:szCs w:val="24"/>
                    </w:rPr>
                  </w:pPr>
                  <w:r w:rsidRPr="00800789">
                    <w:rPr>
                      <w:rFonts w:eastAsia="Times New Roman" w:cs="Times New Roman"/>
                      <w:color w:val="000000"/>
                      <w:sz w:val="20"/>
                      <w:szCs w:val="24"/>
                    </w:rPr>
                    <w:t>izby celne</w:t>
                  </w:r>
                </w:p>
              </w:tc>
              <w:tc>
                <w:tcPr>
                  <w:tcW w:w="2299" w:type="dxa"/>
                  <w:tcBorders>
                    <w:top w:val="nil"/>
                    <w:left w:val="nil"/>
                    <w:bottom w:val="single" w:sz="4" w:space="0" w:color="auto"/>
                    <w:right w:val="single" w:sz="4" w:space="0" w:color="auto"/>
                  </w:tcBorders>
                  <w:shd w:val="clear" w:color="auto" w:fill="auto"/>
                  <w:vAlign w:val="bottom"/>
                  <w:hideMark/>
                </w:tcPr>
                <w:p w:rsidR="00800789" w:rsidRPr="00800789" w:rsidRDefault="00800789" w:rsidP="00800789">
                  <w:pPr>
                    <w:widowControl/>
                    <w:autoSpaceDE/>
                    <w:autoSpaceDN/>
                    <w:adjustRightInd/>
                    <w:spacing w:line="240" w:lineRule="auto"/>
                    <w:jc w:val="right"/>
                    <w:rPr>
                      <w:rFonts w:eastAsia="Times New Roman" w:cs="Times New Roman"/>
                      <w:color w:val="000000"/>
                      <w:sz w:val="20"/>
                      <w:szCs w:val="24"/>
                    </w:rPr>
                  </w:pPr>
                  <w:r w:rsidRPr="00800789">
                    <w:rPr>
                      <w:rFonts w:eastAsia="Times New Roman" w:cs="Times New Roman"/>
                      <w:color w:val="000000"/>
                      <w:sz w:val="20"/>
                      <w:szCs w:val="24"/>
                    </w:rPr>
                    <w:t>1 120</w:t>
                  </w:r>
                </w:p>
              </w:tc>
              <w:tc>
                <w:tcPr>
                  <w:tcW w:w="2371" w:type="dxa"/>
                  <w:tcBorders>
                    <w:top w:val="nil"/>
                    <w:left w:val="nil"/>
                    <w:bottom w:val="single" w:sz="4" w:space="0" w:color="auto"/>
                    <w:right w:val="single" w:sz="4" w:space="0" w:color="auto"/>
                  </w:tcBorders>
                  <w:shd w:val="clear" w:color="auto" w:fill="auto"/>
                  <w:vAlign w:val="bottom"/>
                  <w:hideMark/>
                </w:tcPr>
                <w:p w:rsidR="00800789" w:rsidRPr="00800789" w:rsidRDefault="00800789" w:rsidP="00800789">
                  <w:pPr>
                    <w:widowControl/>
                    <w:autoSpaceDE/>
                    <w:autoSpaceDN/>
                    <w:adjustRightInd/>
                    <w:spacing w:line="240" w:lineRule="auto"/>
                    <w:jc w:val="right"/>
                    <w:rPr>
                      <w:rFonts w:eastAsia="Times New Roman" w:cs="Times New Roman"/>
                      <w:color w:val="000000"/>
                      <w:sz w:val="20"/>
                      <w:szCs w:val="24"/>
                    </w:rPr>
                  </w:pPr>
                  <w:r w:rsidRPr="00800789">
                    <w:rPr>
                      <w:rFonts w:eastAsia="Times New Roman" w:cs="Times New Roman"/>
                      <w:color w:val="000000"/>
                      <w:sz w:val="20"/>
                      <w:szCs w:val="24"/>
                    </w:rPr>
                    <w:t>1 587,90</w:t>
                  </w:r>
                </w:p>
              </w:tc>
            </w:tr>
          </w:tbl>
          <w:p w:rsidR="00800789" w:rsidRPr="00800789" w:rsidRDefault="00800789" w:rsidP="00800789">
            <w:pPr>
              <w:widowControl/>
              <w:autoSpaceDE/>
              <w:autoSpaceDN/>
              <w:adjustRightInd/>
              <w:spacing w:line="240" w:lineRule="auto"/>
              <w:ind w:left="771"/>
              <w:rPr>
                <w:rFonts w:eastAsia="Calibri" w:cs="Times New Roman"/>
                <w:i/>
                <w:color w:val="000000"/>
                <w:sz w:val="22"/>
                <w:szCs w:val="21"/>
                <w:lang w:eastAsia="en-US"/>
              </w:rPr>
            </w:pPr>
            <w:r w:rsidRPr="00800789">
              <w:rPr>
                <w:rFonts w:eastAsia="Calibri" w:cs="Times New Roman"/>
                <w:color w:val="000000"/>
                <w:sz w:val="22"/>
                <w:szCs w:val="21"/>
                <w:lang w:eastAsia="en-US"/>
              </w:rPr>
              <w:t xml:space="preserve">  </w:t>
            </w:r>
            <w:r w:rsidRPr="00800789">
              <w:rPr>
                <w:rFonts w:eastAsia="Calibri" w:cs="Times New Roman"/>
                <w:i/>
                <w:color w:val="000000"/>
                <w:sz w:val="20"/>
                <w:u w:val="single"/>
                <w:lang w:eastAsia="en-US"/>
              </w:rPr>
              <w:t>Źródło</w:t>
            </w:r>
            <w:r w:rsidRPr="00800789">
              <w:rPr>
                <w:rFonts w:eastAsia="Calibri" w:cs="Times New Roman"/>
                <w:i/>
                <w:color w:val="000000"/>
                <w:sz w:val="20"/>
                <w:lang w:eastAsia="en-US"/>
              </w:rPr>
              <w:t>: Opracowanie własne na podstawie danych MF</w:t>
            </w:r>
            <w:r w:rsidRPr="00800789">
              <w:rPr>
                <w:rFonts w:eastAsia="Calibri" w:cs="Times New Roman"/>
                <w:i/>
                <w:color w:val="000000"/>
                <w:sz w:val="22"/>
                <w:szCs w:val="21"/>
                <w:lang w:eastAsia="en-US"/>
              </w:rPr>
              <w:t>.</w:t>
            </w:r>
          </w:p>
          <w:p w:rsidR="00800789" w:rsidRPr="00800789" w:rsidRDefault="00800789" w:rsidP="00800789">
            <w:pPr>
              <w:widowControl/>
              <w:autoSpaceDE/>
              <w:autoSpaceDN/>
              <w:adjustRightInd/>
              <w:spacing w:before="240" w:line="240" w:lineRule="auto"/>
              <w:ind w:left="771" w:right="747" w:hanging="141"/>
              <w:rPr>
                <w:rFonts w:eastAsia="Calibri" w:cs="Times New Roman"/>
                <w:color w:val="000000"/>
                <w:sz w:val="22"/>
                <w:szCs w:val="21"/>
                <w:lang w:eastAsia="en-US"/>
              </w:rPr>
            </w:pPr>
            <w:r w:rsidRPr="00800789">
              <w:rPr>
                <w:rFonts w:eastAsia="Calibri" w:cs="Times New Roman"/>
                <w:color w:val="000000"/>
                <w:sz w:val="22"/>
                <w:szCs w:val="21"/>
                <w:lang w:eastAsia="en-US"/>
              </w:rPr>
              <w:t xml:space="preserve">  Tab. 2: Informacja dotycząca kwot należności zabezpieczonych hipoteką przymusową przez wszystkie izby skarbowe wg stanu na 30.04.2016 r.</w:t>
            </w:r>
          </w:p>
          <w:tbl>
            <w:tblPr>
              <w:tblW w:w="7380" w:type="dxa"/>
              <w:jc w:val="center"/>
              <w:tblLayout w:type="fixed"/>
              <w:tblCellMar>
                <w:left w:w="70" w:type="dxa"/>
                <w:right w:w="70" w:type="dxa"/>
              </w:tblCellMar>
              <w:tblLook w:val="04A0" w:firstRow="1" w:lastRow="0" w:firstColumn="1" w:lastColumn="0" w:noHBand="0" w:noVBand="1"/>
            </w:tblPr>
            <w:tblGrid>
              <w:gridCol w:w="2420"/>
              <w:gridCol w:w="1660"/>
              <w:gridCol w:w="1253"/>
              <w:gridCol w:w="2047"/>
            </w:tblGrid>
            <w:tr w:rsidR="00800789" w:rsidRPr="00800789" w:rsidTr="00F419F2">
              <w:trPr>
                <w:trHeight w:val="585"/>
                <w:jc w:val="center"/>
              </w:trPr>
              <w:tc>
                <w:tcPr>
                  <w:tcW w:w="5333" w:type="dxa"/>
                  <w:gridSpan w:val="3"/>
                  <w:vMerge w:val="restart"/>
                  <w:tcBorders>
                    <w:top w:val="single" w:sz="4" w:space="0" w:color="auto"/>
                    <w:left w:val="single" w:sz="4" w:space="0" w:color="auto"/>
                    <w:bottom w:val="single" w:sz="4" w:space="0" w:color="auto"/>
                    <w:right w:val="single" w:sz="4" w:space="0" w:color="auto"/>
                  </w:tcBorders>
                  <w:shd w:val="pct10" w:color="auto" w:fill="auto"/>
                  <w:vAlign w:val="center"/>
                  <w:hideMark/>
                </w:tcPr>
                <w:p w:rsidR="00800789" w:rsidRPr="00800789" w:rsidRDefault="00800789" w:rsidP="00800789">
                  <w:pPr>
                    <w:widowControl/>
                    <w:autoSpaceDE/>
                    <w:autoSpaceDN/>
                    <w:adjustRightInd/>
                    <w:spacing w:line="240" w:lineRule="auto"/>
                    <w:jc w:val="center"/>
                    <w:rPr>
                      <w:rFonts w:eastAsia="Times New Roman" w:cs="Times New Roman"/>
                      <w:sz w:val="20"/>
                    </w:rPr>
                  </w:pPr>
                  <w:r w:rsidRPr="00800789">
                    <w:rPr>
                      <w:rFonts w:eastAsia="Times New Roman" w:cs="Times New Roman"/>
                      <w:sz w:val="20"/>
                    </w:rPr>
                    <w:t>Hipoteka przymusowa</w:t>
                  </w:r>
                </w:p>
              </w:tc>
              <w:tc>
                <w:tcPr>
                  <w:tcW w:w="2047" w:type="dxa"/>
                  <w:vMerge w:val="restart"/>
                  <w:tcBorders>
                    <w:top w:val="single" w:sz="4" w:space="0" w:color="auto"/>
                    <w:left w:val="single" w:sz="4" w:space="0" w:color="auto"/>
                    <w:bottom w:val="single" w:sz="4" w:space="0" w:color="auto"/>
                    <w:right w:val="single" w:sz="4" w:space="0" w:color="auto"/>
                  </w:tcBorders>
                  <w:shd w:val="pct10" w:color="auto" w:fill="auto"/>
                  <w:vAlign w:val="center"/>
                  <w:hideMark/>
                </w:tcPr>
                <w:p w:rsidR="00800789" w:rsidRPr="00800789" w:rsidRDefault="00800789" w:rsidP="00800789">
                  <w:pPr>
                    <w:widowControl/>
                    <w:autoSpaceDE/>
                    <w:autoSpaceDN/>
                    <w:adjustRightInd/>
                    <w:spacing w:line="240" w:lineRule="auto"/>
                    <w:jc w:val="center"/>
                    <w:rPr>
                      <w:rFonts w:eastAsia="Times New Roman" w:cs="Times New Roman"/>
                      <w:sz w:val="20"/>
                    </w:rPr>
                  </w:pPr>
                  <w:r w:rsidRPr="00800789">
                    <w:rPr>
                      <w:rFonts w:eastAsia="Times New Roman" w:cs="Times New Roman"/>
                      <w:sz w:val="20"/>
                    </w:rPr>
                    <w:t>Nieruchomości zabezpieczone hipoteką, do których prowadzone jest post. egz.</w:t>
                  </w:r>
                </w:p>
              </w:tc>
            </w:tr>
            <w:tr w:rsidR="00800789" w:rsidRPr="00800789" w:rsidTr="00F419F2">
              <w:trPr>
                <w:trHeight w:val="255"/>
                <w:jc w:val="center"/>
              </w:trPr>
              <w:tc>
                <w:tcPr>
                  <w:tcW w:w="5333" w:type="dxa"/>
                  <w:gridSpan w:val="3"/>
                  <w:vMerge/>
                  <w:tcBorders>
                    <w:top w:val="single" w:sz="4" w:space="0" w:color="auto"/>
                    <w:left w:val="single" w:sz="4" w:space="0" w:color="auto"/>
                    <w:bottom w:val="single" w:sz="4" w:space="0" w:color="auto"/>
                    <w:right w:val="single" w:sz="4" w:space="0" w:color="auto"/>
                  </w:tcBorders>
                  <w:shd w:val="pct10" w:color="auto" w:fill="auto"/>
                  <w:vAlign w:val="center"/>
                  <w:hideMark/>
                </w:tcPr>
                <w:p w:rsidR="00800789" w:rsidRPr="00800789" w:rsidRDefault="00800789" w:rsidP="00800789">
                  <w:pPr>
                    <w:widowControl/>
                    <w:autoSpaceDE/>
                    <w:autoSpaceDN/>
                    <w:adjustRightInd/>
                    <w:spacing w:line="240" w:lineRule="auto"/>
                    <w:jc w:val="left"/>
                    <w:rPr>
                      <w:rFonts w:eastAsia="Times New Roman" w:cs="Times New Roman"/>
                      <w:sz w:val="20"/>
                    </w:rPr>
                  </w:pPr>
                </w:p>
              </w:tc>
              <w:tc>
                <w:tcPr>
                  <w:tcW w:w="2047" w:type="dxa"/>
                  <w:vMerge/>
                  <w:tcBorders>
                    <w:top w:val="single" w:sz="4" w:space="0" w:color="auto"/>
                    <w:left w:val="single" w:sz="4" w:space="0" w:color="auto"/>
                    <w:bottom w:val="single" w:sz="4" w:space="0" w:color="auto"/>
                    <w:right w:val="single" w:sz="4" w:space="0" w:color="auto"/>
                  </w:tcBorders>
                  <w:shd w:val="pct10" w:color="auto" w:fill="auto"/>
                  <w:vAlign w:val="center"/>
                  <w:hideMark/>
                </w:tcPr>
                <w:p w:rsidR="00800789" w:rsidRPr="00800789" w:rsidRDefault="00800789" w:rsidP="00800789">
                  <w:pPr>
                    <w:widowControl/>
                    <w:autoSpaceDE/>
                    <w:autoSpaceDN/>
                    <w:adjustRightInd/>
                    <w:spacing w:line="240" w:lineRule="auto"/>
                    <w:jc w:val="left"/>
                    <w:rPr>
                      <w:rFonts w:eastAsia="Times New Roman" w:cs="Times New Roman"/>
                      <w:sz w:val="20"/>
                    </w:rPr>
                  </w:pPr>
                </w:p>
              </w:tc>
            </w:tr>
            <w:tr w:rsidR="00800789" w:rsidRPr="00800789" w:rsidTr="00F419F2">
              <w:trPr>
                <w:trHeight w:val="912"/>
                <w:jc w:val="center"/>
              </w:trPr>
              <w:tc>
                <w:tcPr>
                  <w:tcW w:w="5333" w:type="dxa"/>
                  <w:gridSpan w:val="3"/>
                  <w:vMerge/>
                  <w:tcBorders>
                    <w:top w:val="single" w:sz="4" w:space="0" w:color="auto"/>
                    <w:left w:val="single" w:sz="4" w:space="0" w:color="auto"/>
                    <w:bottom w:val="single" w:sz="4" w:space="0" w:color="auto"/>
                    <w:right w:val="single" w:sz="4" w:space="0" w:color="auto"/>
                  </w:tcBorders>
                  <w:shd w:val="pct10" w:color="auto" w:fill="auto"/>
                  <w:vAlign w:val="center"/>
                  <w:hideMark/>
                </w:tcPr>
                <w:p w:rsidR="00800789" w:rsidRPr="00800789" w:rsidRDefault="00800789" w:rsidP="00800789">
                  <w:pPr>
                    <w:widowControl/>
                    <w:autoSpaceDE/>
                    <w:autoSpaceDN/>
                    <w:adjustRightInd/>
                    <w:spacing w:line="240" w:lineRule="auto"/>
                    <w:jc w:val="left"/>
                    <w:rPr>
                      <w:rFonts w:eastAsia="Times New Roman" w:cs="Times New Roman"/>
                      <w:sz w:val="20"/>
                    </w:rPr>
                  </w:pPr>
                </w:p>
              </w:tc>
              <w:tc>
                <w:tcPr>
                  <w:tcW w:w="2047" w:type="dxa"/>
                  <w:vMerge/>
                  <w:tcBorders>
                    <w:top w:val="single" w:sz="4" w:space="0" w:color="auto"/>
                    <w:left w:val="single" w:sz="4" w:space="0" w:color="auto"/>
                    <w:bottom w:val="single" w:sz="4" w:space="0" w:color="auto"/>
                    <w:right w:val="single" w:sz="4" w:space="0" w:color="auto"/>
                  </w:tcBorders>
                  <w:shd w:val="pct10" w:color="auto" w:fill="auto"/>
                  <w:vAlign w:val="center"/>
                  <w:hideMark/>
                </w:tcPr>
                <w:p w:rsidR="00800789" w:rsidRPr="00800789" w:rsidRDefault="00800789" w:rsidP="00800789">
                  <w:pPr>
                    <w:widowControl/>
                    <w:autoSpaceDE/>
                    <w:autoSpaceDN/>
                    <w:adjustRightInd/>
                    <w:spacing w:line="240" w:lineRule="auto"/>
                    <w:jc w:val="left"/>
                    <w:rPr>
                      <w:rFonts w:eastAsia="Times New Roman" w:cs="Times New Roman"/>
                      <w:sz w:val="20"/>
                    </w:rPr>
                  </w:pPr>
                </w:p>
              </w:tc>
            </w:tr>
            <w:tr w:rsidR="00800789" w:rsidRPr="00800789" w:rsidTr="00F419F2">
              <w:trPr>
                <w:trHeight w:val="615"/>
                <w:jc w:val="center"/>
              </w:trPr>
              <w:tc>
                <w:tcPr>
                  <w:tcW w:w="2420" w:type="dxa"/>
                  <w:vMerge w:val="restart"/>
                  <w:tcBorders>
                    <w:top w:val="nil"/>
                    <w:left w:val="single" w:sz="4" w:space="0" w:color="auto"/>
                    <w:bottom w:val="single" w:sz="4" w:space="0" w:color="auto"/>
                    <w:right w:val="single" w:sz="4" w:space="0" w:color="auto"/>
                  </w:tcBorders>
                  <w:shd w:val="clear" w:color="auto" w:fill="auto"/>
                  <w:vAlign w:val="center"/>
                  <w:hideMark/>
                </w:tcPr>
                <w:p w:rsidR="00800789" w:rsidRPr="00800789" w:rsidRDefault="00800789" w:rsidP="00800789">
                  <w:pPr>
                    <w:widowControl/>
                    <w:autoSpaceDE/>
                    <w:autoSpaceDN/>
                    <w:adjustRightInd/>
                    <w:spacing w:line="240" w:lineRule="auto"/>
                    <w:jc w:val="center"/>
                    <w:rPr>
                      <w:rFonts w:eastAsia="Times New Roman" w:cs="Times New Roman"/>
                      <w:sz w:val="20"/>
                    </w:rPr>
                  </w:pPr>
                  <w:r w:rsidRPr="00800789">
                    <w:rPr>
                      <w:rFonts w:eastAsia="Times New Roman" w:cs="Times New Roman"/>
                      <w:sz w:val="20"/>
                    </w:rPr>
                    <w:t xml:space="preserve">Liczba hipotek  </w:t>
                  </w:r>
                </w:p>
              </w:tc>
              <w:tc>
                <w:tcPr>
                  <w:tcW w:w="1660" w:type="dxa"/>
                  <w:tcBorders>
                    <w:top w:val="nil"/>
                    <w:left w:val="nil"/>
                    <w:bottom w:val="single" w:sz="4" w:space="0" w:color="auto"/>
                    <w:right w:val="single" w:sz="4" w:space="0" w:color="auto"/>
                  </w:tcBorders>
                  <w:shd w:val="clear" w:color="auto" w:fill="auto"/>
                  <w:vAlign w:val="bottom"/>
                  <w:hideMark/>
                </w:tcPr>
                <w:p w:rsidR="00800789" w:rsidRPr="00800789" w:rsidRDefault="00800789" w:rsidP="00800789">
                  <w:pPr>
                    <w:widowControl/>
                    <w:autoSpaceDE/>
                    <w:autoSpaceDN/>
                    <w:adjustRightInd/>
                    <w:spacing w:line="240" w:lineRule="auto"/>
                    <w:jc w:val="center"/>
                    <w:rPr>
                      <w:rFonts w:eastAsia="Times New Roman" w:cs="Times New Roman"/>
                      <w:sz w:val="20"/>
                    </w:rPr>
                  </w:pPr>
                  <w:r w:rsidRPr="00800789">
                    <w:rPr>
                      <w:rFonts w:eastAsia="Times New Roman" w:cs="Times New Roman"/>
                      <w:sz w:val="20"/>
                    </w:rPr>
                    <w:t>nieruchomości mieszkalne</w:t>
                  </w:r>
                </w:p>
              </w:tc>
              <w:tc>
                <w:tcPr>
                  <w:tcW w:w="1253" w:type="dxa"/>
                  <w:tcBorders>
                    <w:top w:val="nil"/>
                    <w:left w:val="nil"/>
                    <w:bottom w:val="single" w:sz="4" w:space="0" w:color="auto"/>
                    <w:right w:val="single" w:sz="4" w:space="0" w:color="auto"/>
                  </w:tcBorders>
                  <w:shd w:val="clear" w:color="auto" w:fill="auto"/>
                  <w:noWrap/>
                  <w:vAlign w:val="center"/>
                  <w:hideMark/>
                </w:tcPr>
                <w:p w:rsidR="00800789" w:rsidRPr="00800789" w:rsidRDefault="00800789" w:rsidP="00800789">
                  <w:pPr>
                    <w:widowControl/>
                    <w:autoSpaceDE/>
                    <w:autoSpaceDN/>
                    <w:adjustRightInd/>
                    <w:spacing w:line="240" w:lineRule="auto"/>
                    <w:jc w:val="center"/>
                    <w:rPr>
                      <w:rFonts w:eastAsia="Times New Roman" w:cs="Times New Roman"/>
                      <w:sz w:val="20"/>
                    </w:rPr>
                  </w:pPr>
                  <w:r w:rsidRPr="00800789">
                    <w:rPr>
                      <w:rFonts w:eastAsia="Times New Roman" w:cs="Times New Roman"/>
                      <w:sz w:val="20"/>
                    </w:rPr>
                    <w:t>39.143</w:t>
                  </w:r>
                </w:p>
              </w:tc>
              <w:tc>
                <w:tcPr>
                  <w:tcW w:w="2047" w:type="dxa"/>
                  <w:tcBorders>
                    <w:top w:val="nil"/>
                    <w:left w:val="nil"/>
                    <w:bottom w:val="single" w:sz="4" w:space="0" w:color="auto"/>
                    <w:right w:val="single" w:sz="4" w:space="0" w:color="auto"/>
                  </w:tcBorders>
                  <w:shd w:val="clear" w:color="auto" w:fill="auto"/>
                  <w:noWrap/>
                  <w:vAlign w:val="center"/>
                  <w:hideMark/>
                </w:tcPr>
                <w:p w:rsidR="00800789" w:rsidRPr="00800789" w:rsidRDefault="00800789" w:rsidP="00800789">
                  <w:pPr>
                    <w:widowControl/>
                    <w:autoSpaceDE/>
                    <w:autoSpaceDN/>
                    <w:adjustRightInd/>
                    <w:spacing w:line="240" w:lineRule="auto"/>
                    <w:jc w:val="center"/>
                    <w:rPr>
                      <w:rFonts w:eastAsia="Times New Roman" w:cs="Times New Roman"/>
                      <w:sz w:val="20"/>
                    </w:rPr>
                  </w:pPr>
                  <w:r w:rsidRPr="00800789">
                    <w:rPr>
                      <w:rFonts w:eastAsia="Times New Roman" w:cs="Times New Roman"/>
                      <w:sz w:val="20"/>
                    </w:rPr>
                    <w:t>7.626</w:t>
                  </w:r>
                </w:p>
              </w:tc>
            </w:tr>
            <w:tr w:rsidR="00800789" w:rsidRPr="00800789" w:rsidTr="00F419F2">
              <w:trPr>
                <w:trHeight w:val="675"/>
                <w:jc w:val="center"/>
              </w:trPr>
              <w:tc>
                <w:tcPr>
                  <w:tcW w:w="2420" w:type="dxa"/>
                  <w:vMerge/>
                  <w:tcBorders>
                    <w:top w:val="nil"/>
                    <w:left w:val="single" w:sz="4" w:space="0" w:color="auto"/>
                    <w:bottom w:val="single" w:sz="4" w:space="0" w:color="auto"/>
                    <w:right w:val="single" w:sz="4" w:space="0" w:color="auto"/>
                  </w:tcBorders>
                  <w:vAlign w:val="center"/>
                  <w:hideMark/>
                </w:tcPr>
                <w:p w:rsidR="00800789" w:rsidRPr="00800789" w:rsidRDefault="00800789" w:rsidP="00800789">
                  <w:pPr>
                    <w:widowControl/>
                    <w:autoSpaceDE/>
                    <w:autoSpaceDN/>
                    <w:adjustRightInd/>
                    <w:spacing w:line="240" w:lineRule="auto"/>
                    <w:jc w:val="left"/>
                    <w:rPr>
                      <w:rFonts w:eastAsia="Times New Roman" w:cs="Times New Roman"/>
                      <w:sz w:val="20"/>
                    </w:rPr>
                  </w:pPr>
                </w:p>
              </w:tc>
              <w:tc>
                <w:tcPr>
                  <w:tcW w:w="1660" w:type="dxa"/>
                  <w:tcBorders>
                    <w:top w:val="nil"/>
                    <w:left w:val="nil"/>
                    <w:bottom w:val="single" w:sz="4" w:space="0" w:color="auto"/>
                    <w:right w:val="single" w:sz="4" w:space="0" w:color="auto"/>
                  </w:tcBorders>
                  <w:shd w:val="clear" w:color="auto" w:fill="auto"/>
                  <w:vAlign w:val="center"/>
                  <w:hideMark/>
                </w:tcPr>
                <w:p w:rsidR="00800789" w:rsidRPr="00800789" w:rsidRDefault="00800789" w:rsidP="00800789">
                  <w:pPr>
                    <w:widowControl/>
                    <w:autoSpaceDE/>
                    <w:autoSpaceDN/>
                    <w:adjustRightInd/>
                    <w:spacing w:line="240" w:lineRule="auto"/>
                    <w:jc w:val="center"/>
                    <w:rPr>
                      <w:rFonts w:eastAsia="Times New Roman" w:cs="Times New Roman"/>
                      <w:sz w:val="20"/>
                    </w:rPr>
                  </w:pPr>
                  <w:r w:rsidRPr="00800789">
                    <w:rPr>
                      <w:rFonts w:eastAsia="Times New Roman" w:cs="Times New Roman"/>
                      <w:sz w:val="20"/>
                    </w:rPr>
                    <w:t>pozostałe</w:t>
                  </w:r>
                </w:p>
              </w:tc>
              <w:tc>
                <w:tcPr>
                  <w:tcW w:w="1253" w:type="dxa"/>
                  <w:tcBorders>
                    <w:top w:val="nil"/>
                    <w:left w:val="nil"/>
                    <w:bottom w:val="single" w:sz="4" w:space="0" w:color="auto"/>
                    <w:right w:val="single" w:sz="4" w:space="0" w:color="auto"/>
                  </w:tcBorders>
                  <w:shd w:val="clear" w:color="auto" w:fill="auto"/>
                  <w:vAlign w:val="center"/>
                  <w:hideMark/>
                </w:tcPr>
                <w:p w:rsidR="00800789" w:rsidRPr="00800789" w:rsidRDefault="00800789" w:rsidP="00800789">
                  <w:pPr>
                    <w:widowControl/>
                    <w:autoSpaceDE/>
                    <w:autoSpaceDN/>
                    <w:adjustRightInd/>
                    <w:spacing w:line="240" w:lineRule="auto"/>
                    <w:jc w:val="center"/>
                    <w:rPr>
                      <w:rFonts w:eastAsia="Times New Roman" w:cs="Times New Roman"/>
                      <w:sz w:val="20"/>
                    </w:rPr>
                  </w:pPr>
                  <w:r w:rsidRPr="00800789">
                    <w:rPr>
                      <w:rFonts w:eastAsia="Times New Roman" w:cs="Times New Roman"/>
                      <w:sz w:val="20"/>
                    </w:rPr>
                    <w:t>63.294</w:t>
                  </w:r>
                </w:p>
              </w:tc>
              <w:tc>
                <w:tcPr>
                  <w:tcW w:w="2047" w:type="dxa"/>
                  <w:tcBorders>
                    <w:top w:val="nil"/>
                    <w:left w:val="nil"/>
                    <w:bottom w:val="single" w:sz="4" w:space="0" w:color="auto"/>
                    <w:right w:val="single" w:sz="4" w:space="0" w:color="auto"/>
                  </w:tcBorders>
                  <w:shd w:val="clear" w:color="auto" w:fill="auto"/>
                  <w:vAlign w:val="center"/>
                  <w:hideMark/>
                </w:tcPr>
                <w:p w:rsidR="00800789" w:rsidRPr="00800789" w:rsidRDefault="00800789" w:rsidP="00800789">
                  <w:pPr>
                    <w:widowControl/>
                    <w:autoSpaceDE/>
                    <w:autoSpaceDN/>
                    <w:adjustRightInd/>
                    <w:spacing w:line="240" w:lineRule="auto"/>
                    <w:jc w:val="center"/>
                    <w:rPr>
                      <w:rFonts w:eastAsia="Times New Roman" w:cs="Times New Roman"/>
                      <w:sz w:val="20"/>
                    </w:rPr>
                  </w:pPr>
                  <w:r w:rsidRPr="00800789">
                    <w:rPr>
                      <w:rFonts w:eastAsia="Times New Roman" w:cs="Times New Roman"/>
                      <w:sz w:val="20"/>
                    </w:rPr>
                    <w:t>11.561</w:t>
                  </w:r>
                </w:p>
              </w:tc>
            </w:tr>
            <w:tr w:rsidR="00800789" w:rsidRPr="00800789" w:rsidTr="00F419F2">
              <w:trPr>
                <w:trHeight w:val="660"/>
                <w:jc w:val="center"/>
              </w:trPr>
              <w:tc>
                <w:tcPr>
                  <w:tcW w:w="2420" w:type="dxa"/>
                  <w:vMerge w:val="restart"/>
                  <w:tcBorders>
                    <w:top w:val="nil"/>
                    <w:left w:val="single" w:sz="4" w:space="0" w:color="auto"/>
                    <w:bottom w:val="single" w:sz="4" w:space="0" w:color="auto"/>
                    <w:right w:val="single" w:sz="4" w:space="0" w:color="auto"/>
                  </w:tcBorders>
                  <w:shd w:val="clear" w:color="auto" w:fill="auto"/>
                  <w:vAlign w:val="center"/>
                  <w:hideMark/>
                </w:tcPr>
                <w:p w:rsidR="00800789" w:rsidRPr="00800789" w:rsidRDefault="00800789" w:rsidP="00800789">
                  <w:pPr>
                    <w:widowControl/>
                    <w:autoSpaceDE/>
                    <w:autoSpaceDN/>
                    <w:adjustRightInd/>
                    <w:spacing w:line="240" w:lineRule="auto"/>
                    <w:jc w:val="center"/>
                    <w:rPr>
                      <w:rFonts w:eastAsia="Times New Roman" w:cs="Times New Roman"/>
                      <w:sz w:val="20"/>
                    </w:rPr>
                  </w:pPr>
                  <w:r w:rsidRPr="00800789">
                    <w:rPr>
                      <w:rFonts w:eastAsia="Times New Roman" w:cs="Times New Roman"/>
                      <w:sz w:val="20"/>
                    </w:rPr>
                    <w:t>Kwota należności głównej zabezpieczona hipoteką</w:t>
                  </w:r>
                  <w:r w:rsidRPr="00800789">
                    <w:rPr>
                      <w:rFonts w:eastAsia="Times New Roman" w:cs="Times New Roman"/>
                      <w:sz w:val="20"/>
                    </w:rPr>
                    <w:br/>
                  </w:r>
                  <w:r w:rsidRPr="00800789">
                    <w:rPr>
                      <w:rFonts w:eastAsia="Times New Roman" w:cs="Times New Roman"/>
                      <w:b/>
                      <w:sz w:val="20"/>
                    </w:rPr>
                    <w:t>- w mln zł</w:t>
                  </w:r>
                </w:p>
              </w:tc>
              <w:tc>
                <w:tcPr>
                  <w:tcW w:w="1660" w:type="dxa"/>
                  <w:tcBorders>
                    <w:top w:val="nil"/>
                    <w:left w:val="nil"/>
                    <w:bottom w:val="single" w:sz="4" w:space="0" w:color="auto"/>
                    <w:right w:val="single" w:sz="4" w:space="0" w:color="auto"/>
                  </w:tcBorders>
                  <w:shd w:val="clear" w:color="auto" w:fill="auto"/>
                  <w:vAlign w:val="bottom"/>
                  <w:hideMark/>
                </w:tcPr>
                <w:p w:rsidR="00800789" w:rsidRPr="00800789" w:rsidRDefault="00800789" w:rsidP="00800789">
                  <w:pPr>
                    <w:widowControl/>
                    <w:autoSpaceDE/>
                    <w:autoSpaceDN/>
                    <w:adjustRightInd/>
                    <w:spacing w:line="240" w:lineRule="auto"/>
                    <w:jc w:val="center"/>
                    <w:rPr>
                      <w:rFonts w:eastAsia="Times New Roman" w:cs="Times New Roman"/>
                      <w:sz w:val="20"/>
                    </w:rPr>
                  </w:pPr>
                  <w:r w:rsidRPr="00800789">
                    <w:rPr>
                      <w:rFonts w:eastAsia="Times New Roman" w:cs="Times New Roman"/>
                      <w:sz w:val="20"/>
                    </w:rPr>
                    <w:t>nieruchomości mieszkalne</w:t>
                  </w:r>
                </w:p>
              </w:tc>
              <w:tc>
                <w:tcPr>
                  <w:tcW w:w="1253" w:type="dxa"/>
                  <w:tcBorders>
                    <w:top w:val="nil"/>
                    <w:left w:val="nil"/>
                    <w:bottom w:val="single" w:sz="4" w:space="0" w:color="auto"/>
                    <w:right w:val="single" w:sz="4" w:space="0" w:color="auto"/>
                  </w:tcBorders>
                  <w:shd w:val="clear" w:color="auto" w:fill="auto"/>
                  <w:vAlign w:val="center"/>
                  <w:hideMark/>
                </w:tcPr>
                <w:p w:rsidR="00800789" w:rsidRPr="00800789" w:rsidRDefault="00800789" w:rsidP="00800789">
                  <w:pPr>
                    <w:widowControl/>
                    <w:autoSpaceDE/>
                    <w:autoSpaceDN/>
                    <w:adjustRightInd/>
                    <w:spacing w:line="240" w:lineRule="auto"/>
                    <w:jc w:val="center"/>
                    <w:rPr>
                      <w:rFonts w:eastAsia="Times New Roman" w:cs="Times New Roman"/>
                      <w:sz w:val="20"/>
                    </w:rPr>
                  </w:pPr>
                  <w:r w:rsidRPr="00800789">
                    <w:rPr>
                      <w:rFonts w:eastAsia="Times New Roman" w:cs="Times New Roman"/>
                      <w:sz w:val="20"/>
                    </w:rPr>
                    <w:t>1.968,76</w:t>
                  </w:r>
                </w:p>
              </w:tc>
              <w:tc>
                <w:tcPr>
                  <w:tcW w:w="2047" w:type="dxa"/>
                  <w:tcBorders>
                    <w:top w:val="nil"/>
                    <w:left w:val="nil"/>
                    <w:bottom w:val="single" w:sz="4" w:space="0" w:color="auto"/>
                    <w:right w:val="single" w:sz="4" w:space="0" w:color="auto"/>
                  </w:tcBorders>
                  <w:shd w:val="clear" w:color="auto" w:fill="auto"/>
                  <w:vAlign w:val="center"/>
                  <w:hideMark/>
                </w:tcPr>
                <w:p w:rsidR="00800789" w:rsidRPr="00800789" w:rsidRDefault="00800789" w:rsidP="00800789">
                  <w:pPr>
                    <w:widowControl/>
                    <w:autoSpaceDE/>
                    <w:autoSpaceDN/>
                    <w:adjustRightInd/>
                    <w:spacing w:line="240" w:lineRule="auto"/>
                    <w:jc w:val="center"/>
                    <w:rPr>
                      <w:rFonts w:eastAsia="Times New Roman" w:cs="Times New Roman"/>
                      <w:sz w:val="20"/>
                    </w:rPr>
                  </w:pPr>
                  <w:r w:rsidRPr="00800789">
                    <w:rPr>
                      <w:rFonts w:eastAsia="Times New Roman" w:cs="Times New Roman"/>
                      <w:sz w:val="20"/>
                    </w:rPr>
                    <w:t>670,04</w:t>
                  </w:r>
                </w:p>
              </w:tc>
            </w:tr>
            <w:tr w:rsidR="00800789" w:rsidRPr="00800789" w:rsidTr="00F419F2">
              <w:trPr>
                <w:trHeight w:val="690"/>
                <w:jc w:val="center"/>
              </w:trPr>
              <w:tc>
                <w:tcPr>
                  <w:tcW w:w="2420" w:type="dxa"/>
                  <w:vMerge/>
                  <w:tcBorders>
                    <w:top w:val="nil"/>
                    <w:left w:val="single" w:sz="4" w:space="0" w:color="auto"/>
                    <w:bottom w:val="single" w:sz="4" w:space="0" w:color="auto"/>
                    <w:right w:val="single" w:sz="4" w:space="0" w:color="auto"/>
                  </w:tcBorders>
                  <w:vAlign w:val="center"/>
                  <w:hideMark/>
                </w:tcPr>
                <w:p w:rsidR="00800789" w:rsidRPr="00800789" w:rsidRDefault="00800789" w:rsidP="00800789">
                  <w:pPr>
                    <w:widowControl/>
                    <w:autoSpaceDE/>
                    <w:autoSpaceDN/>
                    <w:adjustRightInd/>
                    <w:spacing w:line="240" w:lineRule="auto"/>
                    <w:jc w:val="left"/>
                    <w:rPr>
                      <w:rFonts w:eastAsia="Times New Roman" w:cs="Times New Roman"/>
                      <w:sz w:val="20"/>
                    </w:rPr>
                  </w:pPr>
                </w:p>
              </w:tc>
              <w:tc>
                <w:tcPr>
                  <w:tcW w:w="1660" w:type="dxa"/>
                  <w:tcBorders>
                    <w:top w:val="nil"/>
                    <w:left w:val="nil"/>
                    <w:bottom w:val="single" w:sz="4" w:space="0" w:color="auto"/>
                    <w:right w:val="single" w:sz="4" w:space="0" w:color="auto"/>
                  </w:tcBorders>
                  <w:shd w:val="clear" w:color="auto" w:fill="auto"/>
                  <w:vAlign w:val="center"/>
                  <w:hideMark/>
                </w:tcPr>
                <w:p w:rsidR="00800789" w:rsidRPr="00800789" w:rsidRDefault="00800789" w:rsidP="00800789">
                  <w:pPr>
                    <w:widowControl/>
                    <w:autoSpaceDE/>
                    <w:autoSpaceDN/>
                    <w:adjustRightInd/>
                    <w:spacing w:line="240" w:lineRule="auto"/>
                    <w:jc w:val="center"/>
                    <w:rPr>
                      <w:rFonts w:eastAsia="Times New Roman" w:cs="Times New Roman"/>
                      <w:sz w:val="20"/>
                    </w:rPr>
                  </w:pPr>
                  <w:r w:rsidRPr="00800789">
                    <w:rPr>
                      <w:rFonts w:eastAsia="Times New Roman" w:cs="Times New Roman"/>
                      <w:sz w:val="20"/>
                    </w:rPr>
                    <w:t>pozostałe</w:t>
                  </w:r>
                </w:p>
              </w:tc>
              <w:tc>
                <w:tcPr>
                  <w:tcW w:w="1253" w:type="dxa"/>
                  <w:tcBorders>
                    <w:top w:val="nil"/>
                    <w:left w:val="nil"/>
                    <w:bottom w:val="single" w:sz="4" w:space="0" w:color="auto"/>
                    <w:right w:val="single" w:sz="4" w:space="0" w:color="auto"/>
                  </w:tcBorders>
                  <w:shd w:val="clear" w:color="auto" w:fill="auto"/>
                  <w:vAlign w:val="center"/>
                  <w:hideMark/>
                </w:tcPr>
                <w:p w:rsidR="00800789" w:rsidRPr="00800789" w:rsidRDefault="00800789" w:rsidP="00800789">
                  <w:pPr>
                    <w:widowControl/>
                    <w:autoSpaceDE/>
                    <w:autoSpaceDN/>
                    <w:adjustRightInd/>
                    <w:spacing w:line="240" w:lineRule="auto"/>
                    <w:jc w:val="center"/>
                    <w:rPr>
                      <w:rFonts w:eastAsia="Times New Roman" w:cs="Times New Roman"/>
                      <w:sz w:val="20"/>
                    </w:rPr>
                  </w:pPr>
                  <w:r w:rsidRPr="00800789">
                    <w:rPr>
                      <w:rFonts w:eastAsia="Times New Roman" w:cs="Times New Roman"/>
                      <w:sz w:val="20"/>
                    </w:rPr>
                    <w:t>5.145,23</w:t>
                  </w:r>
                </w:p>
              </w:tc>
              <w:tc>
                <w:tcPr>
                  <w:tcW w:w="2047" w:type="dxa"/>
                  <w:tcBorders>
                    <w:top w:val="nil"/>
                    <w:left w:val="nil"/>
                    <w:bottom w:val="single" w:sz="4" w:space="0" w:color="auto"/>
                    <w:right w:val="single" w:sz="4" w:space="0" w:color="auto"/>
                  </w:tcBorders>
                  <w:shd w:val="clear" w:color="auto" w:fill="auto"/>
                  <w:vAlign w:val="center"/>
                  <w:hideMark/>
                </w:tcPr>
                <w:p w:rsidR="00800789" w:rsidRPr="00800789" w:rsidRDefault="00800789" w:rsidP="00800789">
                  <w:pPr>
                    <w:widowControl/>
                    <w:autoSpaceDE/>
                    <w:autoSpaceDN/>
                    <w:adjustRightInd/>
                    <w:spacing w:line="240" w:lineRule="auto"/>
                    <w:jc w:val="center"/>
                    <w:rPr>
                      <w:rFonts w:eastAsia="Times New Roman" w:cs="Times New Roman"/>
                      <w:sz w:val="20"/>
                    </w:rPr>
                  </w:pPr>
                  <w:r w:rsidRPr="00800789">
                    <w:rPr>
                      <w:rFonts w:eastAsia="Times New Roman" w:cs="Times New Roman"/>
                      <w:sz w:val="20"/>
                    </w:rPr>
                    <w:t>1.887,96</w:t>
                  </w:r>
                </w:p>
              </w:tc>
            </w:tr>
          </w:tbl>
          <w:p w:rsidR="00800789" w:rsidRPr="00800789" w:rsidRDefault="00800789" w:rsidP="00800789">
            <w:pPr>
              <w:widowControl/>
              <w:autoSpaceDE/>
              <w:autoSpaceDN/>
              <w:adjustRightInd/>
              <w:spacing w:line="240" w:lineRule="auto"/>
              <w:ind w:left="630"/>
              <w:rPr>
                <w:rFonts w:eastAsia="Calibri" w:cs="Times New Roman"/>
                <w:i/>
                <w:color w:val="000000"/>
                <w:sz w:val="20"/>
                <w:lang w:eastAsia="en-US"/>
              </w:rPr>
            </w:pPr>
            <w:r w:rsidRPr="00800789">
              <w:rPr>
                <w:rFonts w:eastAsia="Calibri" w:cs="Times New Roman"/>
                <w:i/>
                <w:color w:val="000000"/>
                <w:sz w:val="20"/>
                <w:lang w:eastAsia="en-US"/>
              </w:rPr>
              <w:t xml:space="preserve">  </w:t>
            </w:r>
            <w:r w:rsidRPr="00800789">
              <w:rPr>
                <w:rFonts w:eastAsia="Calibri" w:cs="Times New Roman"/>
                <w:i/>
                <w:color w:val="000000"/>
                <w:sz w:val="20"/>
                <w:u w:val="single"/>
                <w:lang w:eastAsia="en-US"/>
              </w:rPr>
              <w:t>Źródło:</w:t>
            </w:r>
            <w:r w:rsidRPr="00800789">
              <w:rPr>
                <w:rFonts w:eastAsia="Calibri" w:cs="Times New Roman"/>
                <w:i/>
                <w:color w:val="000000"/>
                <w:sz w:val="20"/>
                <w:lang w:eastAsia="en-US"/>
              </w:rPr>
              <w:t xml:space="preserve"> Dane MF.</w:t>
            </w:r>
          </w:p>
          <w:p w:rsidR="00800789" w:rsidRPr="00800789" w:rsidRDefault="00800789" w:rsidP="00800789">
            <w:pPr>
              <w:widowControl/>
              <w:autoSpaceDE/>
              <w:autoSpaceDN/>
              <w:adjustRightInd/>
              <w:spacing w:before="120" w:line="240" w:lineRule="auto"/>
              <w:ind w:left="630"/>
              <w:rPr>
                <w:rFonts w:eastAsia="Calibri" w:cs="Times New Roman"/>
                <w:i/>
                <w:color w:val="000000"/>
                <w:sz w:val="20"/>
                <w:lang w:eastAsia="en-US"/>
              </w:rPr>
            </w:pPr>
          </w:p>
          <w:p w:rsidR="00800789" w:rsidRPr="00800789" w:rsidRDefault="00800789" w:rsidP="00800789">
            <w:pPr>
              <w:widowControl/>
              <w:autoSpaceDE/>
              <w:autoSpaceDN/>
              <w:adjustRightInd/>
              <w:spacing w:before="120" w:after="360" w:line="240" w:lineRule="auto"/>
              <w:rPr>
                <w:rFonts w:eastAsia="Calibri" w:cs="Times New Roman"/>
                <w:color w:val="000000"/>
                <w:sz w:val="22"/>
                <w:szCs w:val="21"/>
                <w:lang w:eastAsia="en-US"/>
              </w:rPr>
            </w:pPr>
            <w:r w:rsidRPr="00800789">
              <w:rPr>
                <w:rFonts w:eastAsia="Calibri" w:cs="Times New Roman"/>
                <w:color w:val="000000"/>
                <w:sz w:val="22"/>
                <w:szCs w:val="21"/>
                <w:lang w:eastAsia="en-US"/>
              </w:rPr>
              <w:t>Ze względu jednak na brak udokumentowanego parametru, który pozwoli oszacować poprawę ściągalności należności budżetu państwa, nie jest możliwe kwotowe określenie skutków finansowych projektowanej regulacji.</w:t>
            </w:r>
          </w:p>
        </w:tc>
      </w:tr>
      <w:tr w:rsidR="00800789" w:rsidRPr="00800789" w:rsidTr="00F419F2">
        <w:trPr>
          <w:trHeight w:val="345"/>
        </w:trPr>
        <w:tc>
          <w:tcPr>
            <w:tcW w:w="11199" w:type="dxa"/>
            <w:gridSpan w:val="26"/>
            <w:shd w:val="clear" w:color="auto" w:fill="99CCFF"/>
          </w:tcPr>
          <w:p w:rsidR="00800789" w:rsidRPr="00800789" w:rsidRDefault="00800789" w:rsidP="00800789">
            <w:pPr>
              <w:widowControl/>
              <w:numPr>
                <w:ilvl w:val="0"/>
                <w:numId w:val="45"/>
              </w:numPr>
              <w:autoSpaceDE/>
              <w:autoSpaceDN/>
              <w:adjustRightInd/>
              <w:spacing w:before="120" w:after="120" w:line="240" w:lineRule="auto"/>
              <w:jc w:val="left"/>
              <w:rPr>
                <w:rFonts w:eastAsia="Calibri" w:cs="Times New Roman"/>
                <w:b/>
                <w:color w:val="000000"/>
                <w:spacing w:val="-2"/>
                <w:sz w:val="22"/>
                <w:szCs w:val="22"/>
                <w:lang w:eastAsia="en-US"/>
              </w:rPr>
            </w:pPr>
            <w:r w:rsidRPr="00800789">
              <w:rPr>
                <w:rFonts w:eastAsia="Calibri" w:cs="Times New Roman"/>
                <w:b/>
                <w:color w:val="000000"/>
                <w:spacing w:val="-2"/>
                <w:sz w:val="22"/>
                <w:szCs w:val="22"/>
                <w:lang w:eastAsia="en-US"/>
              </w:rPr>
              <w:lastRenderedPageBreak/>
              <w:t xml:space="preserve">Wpływ na </w:t>
            </w:r>
            <w:r w:rsidRPr="00800789">
              <w:rPr>
                <w:rFonts w:eastAsia="Calibri" w:cs="Times New Roman"/>
                <w:b/>
                <w:color w:val="000000"/>
                <w:sz w:val="22"/>
                <w:szCs w:val="22"/>
                <w:lang w:eastAsia="en-US"/>
              </w:rPr>
              <w:t xml:space="preserve">konkurencyjność gospodarki i przedsiębiorczość, w tym funkcjonowanie przedsiębiorców oraz na rodzinę, obywateli i gospodarstwa domowe </w:t>
            </w:r>
          </w:p>
        </w:tc>
      </w:tr>
      <w:tr w:rsidR="00800789" w:rsidRPr="00800789" w:rsidTr="00F419F2">
        <w:trPr>
          <w:trHeight w:val="142"/>
        </w:trPr>
        <w:tc>
          <w:tcPr>
            <w:tcW w:w="11199" w:type="dxa"/>
            <w:gridSpan w:val="26"/>
            <w:shd w:val="clear" w:color="auto" w:fill="FFFFFF"/>
          </w:tcPr>
          <w:p w:rsidR="00800789" w:rsidRPr="00800789" w:rsidRDefault="00800789" w:rsidP="00800789">
            <w:pPr>
              <w:widowControl/>
              <w:autoSpaceDE/>
              <w:autoSpaceDN/>
              <w:adjustRightInd/>
              <w:spacing w:line="240" w:lineRule="auto"/>
              <w:jc w:val="center"/>
              <w:rPr>
                <w:rFonts w:eastAsia="Calibri" w:cs="Times New Roman"/>
                <w:color w:val="000000"/>
                <w:spacing w:val="-2"/>
                <w:sz w:val="21"/>
                <w:szCs w:val="21"/>
                <w:lang w:eastAsia="en-US"/>
              </w:rPr>
            </w:pPr>
            <w:r w:rsidRPr="00800789">
              <w:rPr>
                <w:rFonts w:eastAsia="Calibri" w:cs="Times New Roman"/>
                <w:color w:val="000000"/>
                <w:spacing w:val="-2"/>
                <w:sz w:val="21"/>
                <w:szCs w:val="21"/>
                <w:lang w:eastAsia="en-US"/>
              </w:rPr>
              <w:t>Skutki</w:t>
            </w:r>
          </w:p>
        </w:tc>
      </w:tr>
      <w:tr w:rsidR="00800789" w:rsidRPr="00800789" w:rsidTr="00F419F2">
        <w:trPr>
          <w:trHeight w:val="142"/>
        </w:trPr>
        <w:tc>
          <w:tcPr>
            <w:tcW w:w="3889" w:type="dxa"/>
            <w:gridSpan w:val="6"/>
            <w:shd w:val="clear" w:color="auto" w:fill="FFFFFF"/>
          </w:tcPr>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r w:rsidRPr="00800789">
              <w:rPr>
                <w:rFonts w:eastAsia="Calibri" w:cs="Times New Roman"/>
                <w:color w:val="000000"/>
                <w:sz w:val="21"/>
                <w:szCs w:val="21"/>
                <w:lang w:eastAsia="en-US"/>
              </w:rPr>
              <w:t>Czas w latach od wejścia w życie zmian</w:t>
            </w:r>
          </w:p>
        </w:tc>
        <w:tc>
          <w:tcPr>
            <w:tcW w:w="937" w:type="dxa"/>
            <w:gridSpan w:val="2"/>
            <w:shd w:val="clear" w:color="auto" w:fill="FFFFFF"/>
          </w:tcPr>
          <w:p w:rsidR="00800789" w:rsidRPr="00800789" w:rsidRDefault="00800789" w:rsidP="00800789">
            <w:pPr>
              <w:widowControl/>
              <w:autoSpaceDE/>
              <w:autoSpaceDN/>
              <w:adjustRightInd/>
              <w:spacing w:line="240" w:lineRule="auto"/>
              <w:jc w:val="center"/>
              <w:rPr>
                <w:rFonts w:eastAsia="Calibri" w:cs="Times New Roman"/>
                <w:color w:val="000000"/>
                <w:sz w:val="21"/>
                <w:szCs w:val="21"/>
                <w:lang w:eastAsia="en-US"/>
              </w:rPr>
            </w:pPr>
            <w:r w:rsidRPr="00800789">
              <w:rPr>
                <w:rFonts w:eastAsia="Calibri" w:cs="Times New Roman"/>
                <w:color w:val="000000"/>
                <w:sz w:val="21"/>
                <w:szCs w:val="21"/>
                <w:lang w:eastAsia="en-US"/>
              </w:rPr>
              <w:t>0</w:t>
            </w:r>
          </w:p>
        </w:tc>
        <w:tc>
          <w:tcPr>
            <w:tcW w:w="938" w:type="dxa"/>
            <w:gridSpan w:val="3"/>
            <w:shd w:val="clear" w:color="auto" w:fill="FFFFFF"/>
          </w:tcPr>
          <w:p w:rsidR="00800789" w:rsidRPr="00800789" w:rsidRDefault="00800789" w:rsidP="00800789">
            <w:pPr>
              <w:widowControl/>
              <w:autoSpaceDE/>
              <w:autoSpaceDN/>
              <w:adjustRightInd/>
              <w:spacing w:line="240" w:lineRule="auto"/>
              <w:jc w:val="center"/>
              <w:rPr>
                <w:rFonts w:eastAsia="Calibri" w:cs="Times New Roman"/>
                <w:color w:val="000000"/>
                <w:sz w:val="21"/>
                <w:szCs w:val="21"/>
                <w:lang w:eastAsia="en-US"/>
              </w:rPr>
            </w:pPr>
            <w:r w:rsidRPr="00800789">
              <w:rPr>
                <w:rFonts w:eastAsia="Calibri" w:cs="Times New Roman"/>
                <w:color w:val="000000"/>
                <w:sz w:val="21"/>
                <w:szCs w:val="21"/>
                <w:lang w:eastAsia="en-US"/>
              </w:rPr>
              <w:t>1</w:t>
            </w:r>
          </w:p>
        </w:tc>
        <w:tc>
          <w:tcPr>
            <w:tcW w:w="938" w:type="dxa"/>
            <w:gridSpan w:val="4"/>
            <w:shd w:val="clear" w:color="auto" w:fill="FFFFFF"/>
          </w:tcPr>
          <w:p w:rsidR="00800789" w:rsidRPr="00800789" w:rsidRDefault="00800789" w:rsidP="00800789">
            <w:pPr>
              <w:widowControl/>
              <w:autoSpaceDE/>
              <w:autoSpaceDN/>
              <w:adjustRightInd/>
              <w:spacing w:line="240" w:lineRule="auto"/>
              <w:jc w:val="center"/>
              <w:rPr>
                <w:rFonts w:eastAsia="Calibri" w:cs="Times New Roman"/>
                <w:color w:val="000000"/>
                <w:sz w:val="21"/>
                <w:szCs w:val="21"/>
                <w:lang w:eastAsia="en-US"/>
              </w:rPr>
            </w:pPr>
            <w:r w:rsidRPr="00800789">
              <w:rPr>
                <w:rFonts w:eastAsia="Calibri" w:cs="Times New Roman"/>
                <w:color w:val="000000"/>
                <w:sz w:val="21"/>
                <w:szCs w:val="21"/>
                <w:lang w:eastAsia="en-US"/>
              </w:rPr>
              <w:t>2</w:t>
            </w:r>
          </w:p>
        </w:tc>
        <w:tc>
          <w:tcPr>
            <w:tcW w:w="937" w:type="dxa"/>
            <w:gridSpan w:val="3"/>
            <w:shd w:val="clear" w:color="auto" w:fill="FFFFFF"/>
          </w:tcPr>
          <w:p w:rsidR="00800789" w:rsidRPr="00800789" w:rsidRDefault="00800789" w:rsidP="00800789">
            <w:pPr>
              <w:widowControl/>
              <w:autoSpaceDE/>
              <w:autoSpaceDN/>
              <w:adjustRightInd/>
              <w:spacing w:line="240" w:lineRule="auto"/>
              <w:jc w:val="center"/>
              <w:rPr>
                <w:rFonts w:eastAsia="Calibri" w:cs="Times New Roman"/>
                <w:color w:val="000000"/>
                <w:sz w:val="21"/>
                <w:szCs w:val="21"/>
                <w:lang w:eastAsia="en-US"/>
              </w:rPr>
            </w:pPr>
            <w:r w:rsidRPr="00800789">
              <w:rPr>
                <w:rFonts w:eastAsia="Calibri" w:cs="Times New Roman"/>
                <w:color w:val="000000"/>
                <w:sz w:val="21"/>
                <w:szCs w:val="21"/>
                <w:lang w:eastAsia="en-US"/>
              </w:rPr>
              <w:t>3</w:t>
            </w:r>
          </w:p>
        </w:tc>
        <w:tc>
          <w:tcPr>
            <w:tcW w:w="938" w:type="dxa"/>
            <w:gridSpan w:val="3"/>
            <w:shd w:val="clear" w:color="auto" w:fill="FFFFFF"/>
          </w:tcPr>
          <w:p w:rsidR="00800789" w:rsidRPr="00800789" w:rsidRDefault="00800789" w:rsidP="00800789">
            <w:pPr>
              <w:widowControl/>
              <w:autoSpaceDE/>
              <w:autoSpaceDN/>
              <w:adjustRightInd/>
              <w:spacing w:line="240" w:lineRule="auto"/>
              <w:jc w:val="center"/>
              <w:rPr>
                <w:rFonts w:eastAsia="Calibri" w:cs="Times New Roman"/>
                <w:color w:val="000000"/>
                <w:sz w:val="21"/>
                <w:szCs w:val="21"/>
                <w:lang w:eastAsia="en-US"/>
              </w:rPr>
            </w:pPr>
            <w:r w:rsidRPr="00800789">
              <w:rPr>
                <w:rFonts w:eastAsia="Calibri" w:cs="Times New Roman"/>
                <w:color w:val="000000"/>
                <w:sz w:val="21"/>
                <w:szCs w:val="21"/>
                <w:lang w:eastAsia="en-US"/>
              </w:rPr>
              <w:t>5</w:t>
            </w:r>
          </w:p>
        </w:tc>
        <w:tc>
          <w:tcPr>
            <w:tcW w:w="938" w:type="dxa"/>
            <w:gridSpan w:val="3"/>
            <w:shd w:val="clear" w:color="auto" w:fill="FFFFFF"/>
          </w:tcPr>
          <w:p w:rsidR="00800789" w:rsidRPr="00800789" w:rsidRDefault="00800789" w:rsidP="00800789">
            <w:pPr>
              <w:widowControl/>
              <w:autoSpaceDE/>
              <w:autoSpaceDN/>
              <w:adjustRightInd/>
              <w:spacing w:line="240" w:lineRule="auto"/>
              <w:jc w:val="center"/>
              <w:rPr>
                <w:rFonts w:eastAsia="Calibri" w:cs="Times New Roman"/>
                <w:color w:val="000000"/>
                <w:sz w:val="21"/>
                <w:szCs w:val="21"/>
                <w:lang w:eastAsia="en-US"/>
              </w:rPr>
            </w:pPr>
            <w:r w:rsidRPr="00800789">
              <w:rPr>
                <w:rFonts w:eastAsia="Calibri" w:cs="Times New Roman"/>
                <w:color w:val="000000"/>
                <w:sz w:val="21"/>
                <w:szCs w:val="21"/>
                <w:lang w:eastAsia="en-US"/>
              </w:rPr>
              <w:t>10</w:t>
            </w:r>
          </w:p>
        </w:tc>
        <w:tc>
          <w:tcPr>
            <w:tcW w:w="1684" w:type="dxa"/>
            <w:gridSpan w:val="2"/>
            <w:shd w:val="clear" w:color="auto" w:fill="FFFFFF"/>
          </w:tcPr>
          <w:p w:rsidR="00800789" w:rsidRPr="00800789" w:rsidRDefault="00800789" w:rsidP="00800789">
            <w:pPr>
              <w:widowControl/>
              <w:autoSpaceDE/>
              <w:autoSpaceDN/>
              <w:adjustRightInd/>
              <w:spacing w:line="240" w:lineRule="auto"/>
              <w:jc w:val="center"/>
              <w:rPr>
                <w:rFonts w:eastAsia="Calibri" w:cs="Times New Roman"/>
                <w:i/>
                <w:color w:val="000000"/>
                <w:spacing w:val="-2"/>
                <w:sz w:val="21"/>
                <w:szCs w:val="21"/>
                <w:lang w:eastAsia="en-US"/>
              </w:rPr>
            </w:pPr>
            <w:r w:rsidRPr="00800789">
              <w:rPr>
                <w:rFonts w:eastAsia="Calibri" w:cs="Times New Roman"/>
                <w:i/>
                <w:color w:val="000000"/>
                <w:spacing w:val="-2"/>
                <w:sz w:val="21"/>
                <w:szCs w:val="21"/>
                <w:lang w:eastAsia="en-US"/>
              </w:rPr>
              <w:t>Łącznie</w:t>
            </w:r>
            <w:r w:rsidRPr="00800789" w:rsidDel="0073273A">
              <w:rPr>
                <w:rFonts w:eastAsia="Calibri" w:cs="Times New Roman"/>
                <w:i/>
                <w:color w:val="000000"/>
                <w:spacing w:val="-2"/>
                <w:sz w:val="21"/>
                <w:szCs w:val="21"/>
                <w:lang w:eastAsia="en-US"/>
              </w:rPr>
              <w:t xml:space="preserve"> </w:t>
            </w:r>
            <w:r w:rsidRPr="00800789">
              <w:rPr>
                <w:rFonts w:eastAsia="Calibri" w:cs="Times New Roman"/>
                <w:i/>
                <w:color w:val="000000"/>
                <w:spacing w:val="-2"/>
                <w:sz w:val="21"/>
                <w:szCs w:val="21"/>
                <w:lang w:eastAsia="en-US"/>
              </w:rPr>
              <w:t>(0-10)</w:t>
            </w:r>
          </w:p>
        </w:tc>
      </w:tr>
      <w:tr w:rsidR="00800789" w:rsidRPr="00800789" w:rsidTr="00F419F2">
        <w:trPr>
          <w:trHeight w:val="462"/>
        </w:trPr>
        <w:tc>
          <w:tcPr>
            <w:tcW w:w="1560" w:type="dxa"/>
            <w:vMerge w:val="restart"/>
            <w:shd w:val="clear" w:color="auto" w:fill="FFFFFF"/>
          </w:tcPr>
          <w:p w:rsidR="00800789" w:rsidRPr="00800789" w:rsidRDefault="00800789" w:rsidP="00800789">
            <w:pPr>
              <w:widowControl/>
              <w:autoSpaceDE/>
              <w:autoSpaceDN/>
              <w:adjustRightInd/>
              <w:spacing w:line="276" w:lineRule="auto"/>
              <w:jc w:val="left"/>
              <w:rPr>
                <w:rFonts w:eastAsia="Calibri" w:cs="Times New Roman"/>
                <w:color w:val="000000"/>
                <w:sz w:val="21"/>
                <w:szCs w:val="21"/>
                <w:lang w:eastAsia="en-US"/>
              </w:rPr>
            </w:pPr>
            <w:r w:rsidRPr="00800789">
              <w:rPr>
                <w:rFonts w:eastAsia="Calibri" w:cs="Times New Roman"/>
                <w:color w:val="000000"/>
                <w:sz w:val="21"/>
                <w:szCs w:val="21"/>
                <w:lang w:eastAsia="en-US"/>
              </w:rPr>
              <w:t>W ujęciu pieniężnym</w:t>
            </w:r>
          </w:p>
          <w:p w:rsidR="00800789" w:rsidRPr="00800789" w:rsidRDefault="00800789" w:rsidP="00800789">
            <w:pPr>
              <w:widowControl/>
              <w:autoSpaceDE/>
              <w:autoSpaceDN/>
              <w:adjustRightInd/>
              <w:spacing w:line="276" w:lineRule="auto"/>
              <w:jc w:val="left"/>
              <w:rPr>
                <w:rFonts w:eastAsia="Calibri" w:cs="Times New Roman"/>
                <w:spacing w:val="-2"/>
                <w:sz w:val="21"/>
                <w:szCs w:val="21"/>
                <w:lang w:eastAsia="en-US"/>
              </w:rPr>
            </w:pPr>
            <w:r w:rsidRPr="00800789">
              <w:rPr>
                <w:rFonts w:eastAsia="Calibri" w:cs="Times New Roman"/>
                <w:spacing w:val="-2"/>
                <w:sz w:val="21"/>
                <w:szCs w:val="21"/>
                <w:lang w:eastAsia="en-US"/>
              </w:rPr>
              <w:t xml:space="preserve">(w mln zł, </w:t>
            </w:r>
          </w:p>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r w:rsidRPr="00800789">
              <w:rPr>
                <w:rFonts w:eastAsia="Calibri" w:cs="Times New Roman"/>
                <w:spacing w:val="-2"/>
                <w:sz w:val="21"/>
                <w:szCs w:val="21"/>
                <w:lang w:eastAsia="en-US"/>
              </w:rPr>
              <w:t>ceny stałe z 2017 r.)</w:t>
            </w:r>
          </w:p>
        </w:tc>
        <w:tc>
          <w:tcPr>
            <w:tcW w:w="2329" w:type="dxa"/>
            <w:gridSpan w:val="5"/>
            <w:shd w:val="clear" w:color="auto" w:fill="FFFFFF"/>
          </w:tcPr>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r w:rsidRPr="00800789">
              <w:rPr>
                <w:rFonts w:eastAsia="Calibri" w:cs="Times New Roman"/>
                <w:color w:val="000000"/>
                <w:sz w:val="21"/>
                <w:szCs w:val="21"/>
                <w:lang w:eastAsia="en-US"/>
              </w:rPr>
              <w:t>duże przedsiębiorstwa</w:t>
            </w:r>
          </w:p>
        </w:tc>
        <w:tc>
          <w:tcPr>
            <w:tcW w:w="937" w:type="dxa"/>
            <w:gridSpan w:val="2"/>
            <w:shd w:val="clear" w:color="auto" w:fill="FFFFFF"/>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938" w:type="dxa"/>
            <w:gridSpan w:val="3"/>
            <w:shd w:val="clear" w:color="auto" w:fill="FFFFFF"/>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938" w:type="dxa"/>
            <w:gridSpan w:val="4"/>
            <w:shd w:val="clear" w:color="auto" w:fill="FFFFFF"/>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937" w:type="dxa"/>
            <w:gridSpan w:val="3"/>
            <w:shd w:val="clear" w:color="auto" w:fill="FFFFFF"/>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938" w:type="dxa"/>
            <w:gridSpan w:val="3"/>
            <w:shd w:val="clear" w:color="auto" w:fill="FFFFFF"/>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938" w:type="dxa"/>
            <w:gridSpan w:val="3"/>
            <w:shd w:val="clear" w:color="auto" w:fill="FFFFFF"/>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1684" w:type="dxa"/>
            <w:gridSpan w:val="2"/>
            <w:shd w:val="clear" w:color="auto" w:fill="FFFFFF"/>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r>
      <w:tr w:rsidR="00800789" w:rsidRPr="00800789" w:rsidTr="00F419F2">
        <w:trPr>
          <w:trHeight w:val="568"/>
        </w:trPr>
        <w:tc>
          <w:tcPr>
            <w:tcW w:w="1560" w:type="dxa"/>
            <w:vMerge/>
            <w:shd w:val="clear" w:color="auto" w:fill="FFFFFF"/>
          </w:tcPr>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tc>
        <w:tc>
          <w:tcPr>
            <w:tcW w:w="2329" w:type="dxa"/>
            <w:gridSpan w:val="5"/>
            <w:shd w:val="clear" w:color="auto" w:fill="FFFFFF"/>
          </w:tcPr>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r w:rsidRPr="00800789">
              <w:rPr>
                <w:rFonts w:eastAsia="Calibri" w:cs="Times New Roman"/>
                <w:color w:val="000000"/>
                <w:sz w:val="21"/>
                <w:szCs w:val="21"/>
                <w:lang w:eastAsia="en-US"/>
              </w:rPr>
              <w:t>sektor mikro-, małych i średnich przedsiębiorstw</w:t>
            </w:r>
          </w:p>
        </w:tc>
        <w:tc>
          <w:tcPr>
            <w:tcW w:w="937" w:type="dxa"/>
            <w:gridSpan w:val="2"/>
            <w:shd w:val="clear" w:color="auto" w:fill="FFFFFF"/>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938" w:type="dxa"/>
            <w:gridSpan w:val="3"/>
            <w:shd w:val="clear" w:color="auto" w:fill="FFFFFF"/>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938" w:type="dxa"/>
            <w:gridSpan w:val="4"/>
            <w:shd w:val="clear" w:color="auto" w:fill="FFFFFF"/>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937" w:type="dxa"/>
            <w:gridSpan w:val="3"/>
            <w:shd w:val="clear" w:color="auto" w:fill="FFFFFF"/>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938" w:type="dxa"/>
            <w:gridSpan w:val="3"/>
            <w:shd w:val="clear" w:color="auto" w:fill="FFFFFF"/>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938" w:type="dxa"/>
            <w:gridSpan w:val="3"/>
            <w:shd w:val="clear" w:color="auto" w:fill="FFFFFF"/>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1684" w:type="dxa"/>
            <w:gridSpan w:val="2"/>
            <w:shd w:val="clear" w:color="auto" w:fill="FFFFFF"/>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r>
      <w:tr w:rsidR="00800789" w:rsidRPr="00800789" w:rsidTr="00F419F2">
        <w:trPr>
          <w:trHeight w:val="690"/>
        </w:trPr>
        <w:tc>
          <w:tcPr>
            <w:tcW w:w="1560" w:type="dxa"/>
            <w:vMerge/>
            <w:shd w:val="clear" w:color="auto" w:fill="FFFFFF"/>
          </w:tcPr>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p>
        </w:tc>
        <w:tc>
          <w:tcPr>
            <w:tcW w:w="2329" w:type="dxa"/>
            <w:gridSpan w:val="5"/>
            <w:shd w:val="clear" w:color="auto" w:fill="FFFFFF"/>
            <w:vAlign w:val="center"/>
          </w:tcPr>
          <w:p w:rsidR="00800789" w:rsidRPr="00800789" w:rsidRDefault="00800789" w:rsidP="00800789">
            <w:pPr>
              <w:widowControl/>
              <w:autoSpaceDE/>
              <w:autoSpaceDN/>
              <w:adjustRightInd/>
              <w:spacing w:line="240" w:lineRule="auto"/>
              <w:jc w:val="center"/>
              <w:rPr>
                <w:rFonts w:eastAsia="Calibri" w:cs="Times New Roman"/>
                <w:color w:val="000000"/>
                <w:sz w:val="21"/>
                <w:szCs w:val="21"/>
                <w:lang w:eastAsia="en-US"/>
              </w:rPr>
            </w:pPr>
            <w:r w:rsidRPr="00800789">
              <w:rPr>
                <w:rFonts w:eastAsia="Calibri" w:cs="Times New Roman"/>
                <w:sz w:val="21"/>
                <w:szCs w:val="21"/>
                <w:lang w:eastAsia="en-US"/>
              </w:rPr>
              <w:t>obywatele, gospodarstwa domowe</w:t>
            </w:r>
          </w:p>
        </w:tc>
        <w:tc>
          <w:tcPr>
            <w:tcW w:w="937" w:type="dxa"/>
            <w:gridSpan w:val="2"/>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938" w:type="dxa"/>
            <w:gridSpan w:val="3"/>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938" w:type="dxa"/>
            <w:gridSpan w:val="4"/>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937" w:type="dxa"/>
            <w:gridSpan w:val="3"/>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938" w:type="dxa"/>
            <w:gridSpan w:val="3"/>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938" w:type="dxa"/>
            <w:gridSpan w:val="3"/>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z w:val="21"/>
                <w:szCs w:val="21"/>
                <w:lang w:eastAsia="en-US"/>
              </w:rPr>
            </w:pPr>
          </w:p>
        </w:tc>
        <w:tc>
          <w:tcPr>
            <w:tcW w:w="1684" w:type="dxa"/>
            <w:gridSpan w:val="2"/>
            <w:shd w:val="clear" w:color="auto" w:fill="FFFFFF"/>
            <w:vAlign w:val="center"/>
          </w:tcPr>
          <w:p w:rsidR="00800789" w:rsidRPr="00800789" w:rsidRDefault="00800789" w:rsidP="00800789">
            <w:pPr>
              <w:widowControl/>
              <w:autoSpaceDE/>
              <w:autoSpaceDN/>
              <w:adjustRightInd/>
              <w:spacing w:line="240" w:lineRule="auto"/>
              <w:jc w:val="right"/>
              <w:rPr>
                <w:rFonts w:eastAsia="Calibri" w:cs="Times New Roman"/>
                <w:color w:val="000000"/>
                <w:spacing w:val="-2"/>
                <w:sz w:val="21"/>
                <w:szCs w:val="21"/>
                <w:lang w:eastAsia="en-US"/>
              </w:rPr>
            </w:pPr>
          </w:p>
        </w:tc>
      </w:tr>
      <w:tr w:rsidR="00800789" w:rsidRPr="00800789" w:rsidTr="00F419F2">
        <w:trPr>
          <w:trHeight w:val="846"/>
        </w:trPr>
        <w:tc>
          <w:tcPr>
            <w:tcW w:w="2243" w:type="dxa"/>
            <w:gridSpan w:val="2"/>
            <w:shd w:val="clear" w:color="auto" w:fill="FFFFFF"/>
          </w:tcPr>
          <w:p w:rsidR="00800789" w:rsidRPr="00800789" w:rsidRDefault="00800789" w:rsidP="00800789">
            <w:pPr>
              <w:widowControl/>
              <w:autoSpaceDE/>
              <w:autoSpaceDN/>
              <w:adjustRightInd/>
              <w:spacing w:line="240" w:lineRule="auto"/>
              <w:jc w:val="left"/>
              <w:rPr>
                <w:rFonts w:eastAsia="Calibri" w:cs="Times New Roman"/>
                <w:color w:val="000000"/>
                <w:sz w:val="21"/>
                <w:szCs w:val="21"/>
                <w:lang w:eastAsia="en-US"/>
              </w:rPr>
            </w:pPr>
            <w:r w:rsidRPr="00800789">
              <w:rPr>
                <w:rFonts w:eastAsia="Calibri" w:cs="Times New Roman"/>
                <w:color w:val="000000"/>
                <w:sz w:val="21"/>
                <w:szCs w:val="21"/>
                <w:lang w:eastAsia="en-US"/>
              </w:rPr>
              <w:t xml:space="preserve">Dodatkowe informacje, w tym wskazanie źródeł danych i przyjętych do obliczeń założeń </w:t>
            </w:r>
          </w:p>
        </w:tc>
        <w:tc>
          <w:tcPr>
            <w:tcW w:w="8956" w:type="dxa"/>
            <w:gridSpan w:val="24"/>
            <w:shd w:val="clear" w:color="auto" w:fill="FFFFFF"/>
            <w:vAlign w:val="center"/>
          </w:tcPr>
          <w:p w:rsidR="00800789" w:rsidRPr="00800789" w:rsidRDefault="00800789" w:rsidP="00800789">
            <w:pPr>
              <w:widowControl/>
              <w:autoSpaceDE/>
              <w:autoSpaceDN/>
              <w:adjustRightInd/>
              <w:spacing w:line="240" w:lineRule="auto"/>
              <w:ind w:left="60"/>
              <w:rPr>
                <w:rFonts w:eastAsia="Calibri" w:cs="Times New Roman"/>
                <w:color w:val="000000"/>
                <w:sz w:val="22"/>
                <w:szCs w:val="22"/>
                <w:lang w:eastAsia="en-US"/>
              </w:rPr>
            </w:pPr>
            <w:r w:rsidRPr="00800789">
              <w:rPr>
                <w:rFonts w:eastAsia="Calibri" w:cs="Times New Roman"/>
                <w:color w:val="000000"/>
                <w:sz w:val="22"/>
                <w:szCs w:val="22"/>
                <w:lang w:eastAsia="en-US"/>
              </w:rPr>
              <w:t xml:space="preserve">Projektowana regulacja przyczyni się do skuteczniejszej ochrony praw majątkowych wierzycieli, w tym podmiotów gospodarczych. </w:t>
            </w:r>
          </w:p>
          <w:p w:rsidR="00800789" w:rsidRPr="00800789" w:rsidRDefault="00800789" w:rsidP="00800789">
            <w:pPr>
              <w:widowControl/>
              <w:autoSpaceDE/>
              <w:autoSpaceDN/>
              <w:adjustRightInd/>
              <w:spacing w:before="120" w:after="120" w:line="240" w:lineRule="auto"/>
              <w:ind w:left="60"/>
              <w:rPr>
                <w:rFonts w:eastAsia="Calibri" w:cs="Times New Roman"/>
                <w:color w:val="000000"/>
                <w:sz w:val="21"/>
                <w:szCs w:val="21"/>
                <w:lang w:eastAsia="en-US"/>
              </w:rPr>
            </w:pPr>
            <w:r w:rsidRPr="00800789">
              <w:rPr>
                <w:rFonts w:eastAsia="Calibri" w:cs="Times New Roman"/>
                <w:bCs/>
                <w:color w:val="000000"/>
                <w:spacing w:val="-2"/>
                <w:sz w:val="22"/>
                <w:szCs w:val="22"/>
                <w:lang w:eastAsia="en-US"/>
              </w:rPr>
              <w:t>Bezterminowe utrzymanie zabezpieczenia roszczeń pieniężnych w określonym zakresie po wniesieniu przez uprawnionego o dokonanie czynności egzekucyjnych,</w:t>
            </w:r>
            <w:r w:rsidRPr="00800789">
              <w:rPr>
                <w:rFonts w:eastAsia="Calibri" w:cs="Times New Roman"/>
                <w:color w:val="000000"/>
                <w:sz w:val="22"/>
                <w:szCs w:val="22"/>
                <w:lang w:eastAsia="en-US"/>
              </w:rPr>
              <w:t xml:space="preserve"> zwiększa jego szanse na wyegzekwowanie swoich należności, ograniczając tym samym możliwość uniknięcia odpowiedzialności cywilnej przez dłużnika. Można zatem przypuszczać, że projektowana regulacja będzie miała również pozytywny wpływ na funkcjonowanie przedsiębiorczości, gdyż ograniczy ryzyko prowadzenia działalności gospodarczej.</w:t>
            </w:r>
          </w:p>
        </w:tc>
      </w:tr>
      <w:tr w:rsidR="00800789" w:rsidRPr="00800789" w:rsidTr="00F419F2">
        <w:trPr>
          <w:trHeight w:val="342"/>
        </w:trPr>
        <w:tc>
          <w:tcPr>
            <w:tcW w:w="11199" w:type="dxa"/>
            <w:gridSpan w:val="26"/>
            <w:shd w:val="clear" w:color="auto" w:fill="99CCFF"/>
            <w:vAlign w:val="center"/>
          </w:tcPr>
          <w:p w:rsidR="00800789" w:rsidRPr="00800789" w:rsidRDefault="00800789" w:rsidP="00800789">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800789">
              <w:rPr>
                <w:rFonts w:eastAsia="Calibri" w:cs="Times New Roman"/>
                <w:b/>
                <w:color w:val="000000"/>
                <w:sz w:val="22"/>
                <w:szCs w:val="22"/>
                <w:lang w:eastAsia="en-US"/>
              </w:rPr>
              <w:t xml:space="preserve"> Zmiana obciążeń regulacyjnych (w tym obowiązków informacyjnych) wynikających z projektu</w:t>
            </w:r>
          </w:p>
        </w:tc>
      </w:tr>
      <w:tr w:rsidR="00800789" w:rsidRPr="00800789" w:rsidTr="00F419F2">
        <w:trPr>
          <w:trHeight w:val="151"/>
        </w:trPr>
        <w:tc>
          <w:tcPr>
            <w:tcW w:w="11199" w:type="dxa"/>
            <w:gridSpan w:val="26"/>
            <w:shd w:val="clear" w:color="auto" w:fill="FFFFFF"/>
          </w:tcPr>
          <w:p w:rsidR="00800789" w:rsidRPr="00800789" w:rsidRDefault="00800789" w:rsidP="00800789">
            <w:pPr>
              <w:widowControl/>
              <w:autoSpaceDE/>
              <w:autoSpaceDN/>
              <w:adjustRightInd/>
              <w:spacing w:line="240" w:lineRule="auto"/>
              <w:jc w:val="left"/>
              <w:rPr>
                <w:rFonts w:eastAsia="Calibri" w:cs="Times New Roman"/>
                <w:color w:val="000000"/>
                <w:sz w:val="22"/>
                <w:szCs w:val="22"/>
                <w:lang w:eastAsia="en-US"/>
              </w:rPr>
            </w:pPr>
            <w:r w:rsidRPr="00800789">
              <w:rPr>
                <w:rFonts w:eastAsia="Calibri" w:cs="Times New Roman"/>
                <w:color w:val="000000"/>
                <w:sz w:val="22"/>
                <w:szCs w:val="22"/>
                <w:lang w:eastAsia="en-US"/>
              </w:rPr>
              <w:fldChar w:fldCharType="begin">
                <w:ffData>
                  <w:name w:val=""/>
                  <w:enabled/>
                  <w:calcOnExit w:val="0"/>
                  <w:checkBox>
                    <w:sizeAuto/>
                    <w:default w:val="1"/>
                  </w:checkBox>
                </w:ffData>
              </w:fldChar>
            </w:r>
            <w:r w:rsidRPr="00800789">
              <w:rPr>
                <w:rFonts w:eastAsia="Calibri" w:cs="Times New Roman"/>
                <w:color w:val="000000"/>
                <w:sz w:val="22"/>
                <w:szCs w:val="22"/>
                <w:lang w:eastAsia="en-US"/>
              </w:rPr>
              <w:instrText xml:space="preserve"> FORMCHECKBOX </w:instrText>
            </w:r>
            <w:r w:rsidR="00C152B2">
              <w:rPr>
                <w:rFonts w:eastAsia="Calibri" w:cs="Times New Roman"/>
                <w:color w:val="000000"/>
                <w:sz w:val="22"/>
                <w:szCs w:val="22"/>
                <w:lang w:eastAsia="en-US"/>
              </w:rPr>
            </w:r>
            <w:r w:rsidR="00C152B2">
              <w:rPr>
                <w:rFonts w:eastAsia="Calibri" w:cs="Times New Roman"/>
                <w:color w:val="000000"/>
                <w:sz w:val="22"/>
                <w:szCs w:val="22"/>
                <w:lang w:eastAsia="en-US"/>
              </w:rPr>
              <w:fldChar w:fldCharType="separate"/>
            </w:r>
            <w:r w:rsidRPr="00800789">
              <w:rPr>
                <w:rFonts w:eastAsia="Calibri" w:cs="Times New Roman"/>
                <w:color w:val="000000"/>
                <w:sz w:val="22"/>
                <w:szCs w:val="22"/>
                <w:lang w:eastAsia="en-US"/>
              </w:rPr>
              <w:fldChar w:fldCharType="end"/>
            </w:r>
            <w:r w:rsidRPr="00800789">
              <w:rPr>
                <w:rFonts w:eastAsia="Calibri" w:cs="Times New Roman"/>
                <w:color w:val="000000"/>
                <w:sz w:val="22"/>
                <w:szCs w:val="22"/>
                <w:lang w:eastAsia="en-US"/>
              </w:rPr>
              <w:t xml:space="preserve"> </w:t>
            </w:r>
            <w:r w:rsidRPr="00800789">
              <w:rPr>
                <w:rFonts w:eastAsia="Calibri" w:cs="Times New Roman"/>
                <w:color w:val="000000"/>
                <w:spacing w:val="-2"/>
                <w:sz w:val="22"/>
                <w:szCs w:val="22"/>
                <w:lang w:eastAsia="en-US"/>
              </w:rPr>
              <w:t>nie dotyczy</w:t>
            </w:r>
          </w:p>
        </w:tc>
      </w:tr>
      <w:tr w:rsidR="00800789" w:rsidRPr="00800789" w:rsidTr="00F419F2">
        <w:trPr>
          <w:trHeight w:val="142"/>
        </w:trPr>
        <w:tc>
          <w:tcPr>
            <w:tcW w:w="11199" w:type="dxa"/>
            <w:gridSpan w:val="26"/>
            <w:shd w:val="clear" w:color="auto" w:fill="99CCFF"/>
          </w:tcPr>
          <w:p w:rsidR="00800789" w:rsidRPr="00800789" w:rsidRDefault="00800789" w:rsidP="00800789">
            <w:pPr>
              <w:widowControl/>
              <w:numPr>
                <w:ilvl w:val="0"/>
                <w:numId w:val="45"/>
              </w:numPr>
              <w:autoSpaceDE/>
              <w:autoSpaceDN/>
              <w:adjustRightInd/>
              <w:spacing w:before="60" w:after="60" w:line="240" w:lineRule="auto"/>
              <w:jc w:val="left"/>
              <w:rPr>
                <w:rFonts w:eastAsia="Calibri" w:cs="Times New Roman"/>
                <w:b/>
                <w:color w:val="000000"/>
                <w:sz w:val="22"/>
                <w:szCs w:val="22"/>
                <w:lang w:eastAsia="en-US"/>
              </w:rPr>
            </w:pPr>
            <w:r w:rsidRPr="00800789">
              <w:rPr>
                <w:rFonts w:eastAsia="Calibri" w:cs="Times New Roman"/>
                <w:b/>
                <w:color w:val="000000"/>
                <w:sz w:val="22"/>
                <w:szCs w:val="22"/>
                <w:lang w:eastAsia="en-US"/>
              </w:rPr>
              <w:t xml:space="preserve">Wpływ na rynek pracy </w:t>
            </w:r>
          </w:p>
        </w:tc>
      </w:tr>
      <w:tr w:rsidR="00800789" w:rsidRPr="00800789" w:rsidTr="00F419F2">
        <w:trPr>
          <w:trHeight w:val="142"/>
        </w:trPr>
        <w:tc>
          <w:tcPr>
            <w:tcW w:w="11199" w:type="dxa"/>
            <w:gridSpan w:val="26"/>
            <w:shd w:val="clear" w:color="auto" w:fill="auto"/>
          </w:tcPr>
          <w:p w:rsidR="00800789" w:rsidRPr="00800789" w:rsidRDefault="00800789" w:rsidP="00800789">
            <w:pPr>
              <w:widowControl/>
              <w:autoSpaceDE/>
              <w:autoSpaceDN/>
              <w:adjustRightInd/>
              <w:spacing w:line="240" w:lineRule="auto"/>
              <w:rPr>
                <w:rFonts w:eastAsia="Calibri" w:cs="Times New Roman"/>
                <w:color w:val="000000"/>
                <w:sz w:val="22"/>
                <w:szCs w:val="22"/>
                <w:lang w:eastAsia="en-US"/>
              </w:rPr>
            </w:pPr>
            <w:r w:rsidRPr="00800789">
              <w:rPr>
                <w:rFonts w:eastAsia="Calibri" w:cs="Times New Roman"/>
                <w:color w:val="000000"/>
                <w:sz w:val="22"/>
                <w:szCs w:val="22"/>
                <w:lang w:eastAsia="en-US"/>
              </w:rPr>
              <w:t>Nie dotyczy.</w:t>
            </w:r>
          </w:p>
        </w:tc>
      </w:tr>
      <w:tr w:rsidR="00800789" w:rsidRPr="00800789" w:rsidTr="00F419F2">
        <w:trPr>
          <w:trHeight w:val="142"/>
        </w:trPr>
        <w:tc>
          <w:tcPr>
            <w:tcW w:w="11199" w:type="dxa"/>
            <w:gridSpan w:val="26"/>
            <w:shd w:val="clear" w:color="auto" w:fill="99CCFF"/>
          </w:tcPr>
          <w:p w:rsidR="00800789" w:rsidRPr="00800789" w:rsidRDefault="00800789" w:rsidP="00800789">
            <w:pPr>
              <w:widowControl/>
              <w:numPr>
                <w:ilvl w:val="0"/>
                <w:numId w:val="45"/>
              </w:numPr>
              <w:autoSpaceDE/>
              <w:autoSpaceDN/>
              <w:adjustRightInd/>
              <w:spacing w:before="60" w:after="60" w:line="240" w:lineRule="auto"/>
              <w:jc w:val="left"/>
              <w:rPr>
                <w:rFonts w:eastAsia="Calibri" w:cs="Times New Roman"/>
                <w:b/>
                <w:color w:val="000000"/>
                <w:sz w:val="22"/>
                <w:szCs w:val="22"/>
                <w:lang w:eastAsia="en-US"/>
              </w:rPr>
            </w:pPr>
            <w:r w:rsidRPr="00800789">
              <w:rPr>
                <w:rFonts w:eastAsia="Calibri" w:cs="Times New Roman"/>
                <w:b/>
                <w:color w:val="000000"/>
                <w:sz w:val="22"/>
                <w:szCs w:val="22"/>
                <w:lang w:eastAsia="en-US"/>
              </w:rPr>
              <w:t>Wpływ na pozostałe obszary</w:t>
            </w:r>
          </w:p>
        </w:tc>
      </w:tr>
      <w:tr w:rsidR="00800789" w:rsidRPr="00800789" w:rsidTr="00F419F2">
        <w:trPr>
          <w:trHeight w:val="189"/>
        </w:trPr>
        <w:tc>
          <w:tcPr>
            <w:tcW w:w="2243" w:type="dxa"/>
            <w:gridSpan w:val="2"/>
            <w:shd w:val="clear" w:color="auto" w:fill="FFFFFF"/>
            <w:vAlign w:val="center"/>
          </w:tcPr>
          <w:p w:rsidR="00800789" w:rsidRPr="00800789" w:rsidRDefault="00800789" w:rsidP="00800789">
            <w:pPr>
              <w:widowControl/>
              <w:autoSpaceDE/>
              <w:autoSpaceDN/>
              <w:adjustRightInd/>
              <w:spacing w:line="240" w:lineRule="auto"/>
              <w:jc w:val="left"/>
              <w:rPr>
                <w:rFonts w:eastAsia="Calibri" w:cs="Times New Roman"/>
                <w:color w:val="000000"/>
                <w:sz w:val="22"/>
                <w:szCs w:val="22"/>
                <w:lang w:eastAsia="en-US"/>
              </w:rPr>
            </w:pPr>
            <w:r w:rsidRPr="00800789">
              <w:rPr>
                <w:rFonts w:eastAsia="Calibri" w:cs="Times New Roman"/>
                <w:color w:val="000000"/>
                <w:sz w:val="22"/>
                <w:szCs w:val="22"/>
                <w:lang w:eastAsia="en-US"/>
              </w:rPr>
              <w:t>Omówienie wpływu</w:t>
            </w:r>
          </w:p>
        </w:tc>
        <w:tc>
          <w:tcPr>
            <w:tcW w:w="8956" w:type="dxa"/>
            <w:gridSpan w:val="24"/>
            <w:shd w:val="clear" w:color="auto" w:fill="FFFFFF"/>
            <w:vAlign w:val="center"/>
          </w:tcPr>
          <w:p w:rsidR="00800789" w:rsidRPr="00800789" w:rsidRDefault="00800789" w:rsidP="00800789">
            <w:pPr>
              <w:widowControl/>
              <w:autoSpaceDE/>
              <w:autoSpaceDN/>
              <w:adjustRightInd/>
              <w:spacing w:line="240" w:lineRule="auto"/>
              <w:rPr>
                <w:rFonts w:eastAsia="Calibri" w:cs="Times New Roman"/>
                <w:color w:val="000000"/>
                <w:spacing w:val="-2"/>
                <w:sz w:val="22"/>
                <w:szCs w:val="22"/>
                <w:lang w:eastAsia="en-US"/>
              </w:rPr>
            </w:pPr>
            <w:r w:rsidRPr="00800789">
              <w:rPr>
                <w:rFonts w:eastAsia="Calibri" w:cs="Times New Roman"/>
                <w:color w:val="000000"/>
                <w:spacing w:val="-2"/>
                <w:sz w:val="22"/>
                <w:szCs w:val="22"/>
                <w:lang w:eastAsia="en-US"/>
              </w:rPr>
              <w:t>Nie dotyczy.</w:t>
            </w:r>
          </w:p>
        </w:tc>
      </w:tr>
      <w:tr w:rsidR="00800789" w:rsidRPr="00800789" w:rsidTr="00F419F2">
        <w:trPr>
          <w:trHeight w:val="142"/>
        </w:trPr>
        <w:tc>
          <w:tcPr>
            <w:tcW w:w="11199" w:type="dxa"/>
            <w:gridSpan w:val="26"/>
            <w:shd w:val="clear" w:color="auto" w:fill="99CCFF"/>
          </w:tcPr>
          <w:p w:rsidR="00800789" w:rsidRPr="00800789" w:rsidRDefault="00800789" w:rsidP="00800789">
            <w:pPr>
              <w:widowControl/>
              <w:numPr>
                <w:ilvl w:val="0"/>
                <w:numId w:val="45"/>
              </w:numPr>
              <w:autoSpaceDE/>
              <w:autoSpaceDN/>
              <w:adjustRightInd/>
              <w:spacing w:before="60" w:after="60" w:line="240" w:lineRule="auto"/>
              <w:ind w:left="318" w:hanging="284"/>
              <w:jc w:val="left"/>
              <w:rPr>
                <w:rFonts w:eastAsia="Calibri" w:cs="Times New Roman"/>
                <w:b/>
                <w:sz w:val="22"/>
                <w:szCs w:val="22"/>
                <w:lang w:eastAsia="en-US"/>
              </w:rPr>
            </w:pPr>
            <w:r w:rsidRPr="00800789">
              <w:rPr>
                <w:rFonts w:eastAsia="Calibri" w:cs="Times New Roman"/>
                <w:b/>
                <w:spacing w:val="-2"/>
                <w:sz w:val="21"/>
                <w:szCs w:val="21"/>
                <w:lang w:eastAsia="en-US"/>
              </w:rPr>
              <w:t>Planowane wykonanie przepisów aktu prawnego</w:t>
            </w:r>
          </w:p>
        </w:tc>
      </w:tr>
      <w:tr w:rsidR="00800789" w:rsidRPr="00800789" w:rsidTr="00F419F2">
        <w:trPr>
          <w:trHeight w:val="142"/>
        </w:trPr>
        <w:tc>
          <w:tcPr>
            <w:tcW w:w="11199" w:type="dxa"/>
            <w:gridSpan w:val="26"/>
            <w:shd w:val="clear" w:color="auto" w:fill="FFFFFF"/>
          </w:tcPr>
          <w:p w:rsidR="00800789" w:rsidRPr="00800789" w:rsidRDefault="00800789" w:rsidP="00800789">
            <w:pPr>
              <w:widowControl/>
              <w:autoSpaceDE/>
              <w:autoSpaceDN/>
              <w:adjustRightInd/>
              <w:spacing w:line="240" w:lineRule="auto"/>
              <w:rPr>
                <w:rFonts w:eastAsia="Calibri" w:cs="Times New Roman"/>
                <w:spacing w:val="-2"/>
                <w:sz w:val="22"/>
                <w:szCs w:val="22"/>
                <w:lang w:eastAsia="en-US"/>
              </w:rPr>
            </w:pPr>
            <w:r w:rsidRPr="00800789">
              <w:rPr>
                <w:rFonts w:eastAsia="Calibri" w:cs="Times New Roman"/>
                <w:spacing w:val="-2"/>
                <w:sz w:val="22"/>
                <w:szCs w:val="22"/>
                <w:lang w:eastAsia="en-US"/>
              </w:rPr>
              <w:t>Przepisy projektu będą miały zastosowanie od dnia jego wejścia w życie.</w:t>
            </w:r>
          </w:p>
        </w:tc>
      </w:tr>
      <w:tr w:rsidR="00800789" w:rsidRPr="00800789" w:rsidTr="00F419F2">
        <w:trPr>
          <w:trHeight w:val="142"/>
        </w:trPr>
        <w:tc>
          <w:tcPr>
            <w:tcW w:w="11199" w:type="dxa"/>
            <w:gridSpan w:val="26"/>
            <w:shd w:val="clear" w:color="auto" w:fill="99CCFF"/>
          </w:tcPr>
          <w:p w:rsidR="00800789" w:rsidRPr="00800789" w:rsidRDefault="00800789" w:rsidP="00800789">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800789">
              <w:rPr>
                <w:rFonts w:eastAsia="Calibri" w:cs="Times New Roman"/>
                <w:b/>
                <w:color w:val="000000"/>
                <w:sz w:val="22"/>
                <w:szCs w:val="22"/>
                <w:lang w:eastAsia="en-US"/>
              </w:rPr>
              <w:t xml:space="preserve"> </w:t>
            </w:r>
            <w:r w:rsidRPr="00800789">
              <w:rPr>
                <w:rFonts w:eastAsia="Calibri" w:cs="Times New Roman"/>
                <w:b/>
                <w:spacing w:val="-2"/>
                <w:sz w:val="21"/>
                <w:szCs w:val="21"/>
                <w:lang w:eastAsia="en-US"/>
              </w:rPr>
              <w:t>W jaki sposób i kiedy nastąpi ewaluacja efektów projektu oraz jakie mierniki zostaną zastosowane?</w:t>
            </w:r>
          </w:p>
        </w:tc>
      </w:tr>
      <w:tr w:rsidR="00800789" w:rsidRPr="00800789" w:rsidTr="00F419F2">
        <w:trPr>
          <w:trHeight w:val="142"/>
        </w:trPr>
        <w:tc>
          <w:tcPr>
            <w:tcW w:w="11199" w:type="dxa"/>
            <w:gridSpan w:val="26"/>
            <w:shd w:val="clear" w:color="auto" w:fill="FFFFFF"/>
          </w:tcPr>
          <w:p w:rsidR="00800789" w:rsidRPr="00800789" w:rsidRDefault="00800789" w:rsidP="00800789">
            <w:pPr>
              <w:widowControl/>
              <w:autoSpaceDE/>
              <w:autoSpaceDN/>
              <w:adjustRightInd/>
              <w:spacing w:line="240" w:lineRule="auto"/>
              <w:rPr>
                <w:rFonts w:eastAsia="Calibri" w:cs="Times New Roman"/>
                <w:color w:val="000000"/>
                <w:spacing w:val="-2"/>
                <w:sz w:val="22"/>
                <w:szCs w:val="22"/>
                <w:lang w:eastAsia="en-US"/>
              </w:rPr>
            </w:pPr>
            <w:r w:rsidRPr="00800789">
              <w:rPr>
                <w:rFonts w:eastAsia="Calibri" w:cs="Times New Roman"/>
                <w:spacing w:val="-2"/>
                <w:sz w:val="22"/>
                <w:szCs w:val="22"/>
                <w:lang w:eastAsia="en-US"/>
              </w:rPr>
              <w:t>Nie przewidziano.</w:t>
            </w:r>
          </w:p>
        </w:tc>
      </w:tr>
      <w:tr w:rsidR="00800789" w:rsidRPr="00800789" w:rsidTr="00F419F2">
        <w:trPr>
          <w:trHeight w:val="142"/>
        </w:trPr>
        <w:tc>
          <w:tcPr>
            <w:tcW w:w="11199" w:type="dxa"/>
            <w:gridSpan w:val="26"/>
            <w:shd w:val="clear" w:color="auto" w:fill="99CCFF"/>
          </w:tcPr>
          <w:p w:rsidR="00800789" w:rsidRPr="00800789" w:rsidRDefault="00800789" w:rsidP="00800789">
            <w:pPr>
              <w:widowControl/>
              <w:numPr>
                <w:ilvl w:val="0"/>
                <w:numId w:val="45"/>
              </w:numPr>
              <w:autoSpaceDE/>
              <w:autoSpaceDN/>
              <w:adjustRightInd/>
              <w:spacing w:before="60" w:after="60" w:line="240" w:lineRule="auto"/>
              <w:ind w:left="318" w:hanging="284"/>
              <w:jc w:val="left"/>
              <w:rPr>
                <w:rFonts w:eastAsia="Calibri" w:cs="Times New Roman"/>
                <w:b/>
                <w:color w:val="000000"/>
                <w:spacing w:val="-2"/>
                <w:sz w:val="22"/>
                <w:szCs w:val="22"/>
                <w:lang w:eastAsia="en-US"/>
              </w:rPr>
            </w:pPr>
            <w:r w:rsidRPr="00800789">
              <w:rPr>
                <w:rFonts w:eastAsia="Calibri" w:cs="Times New Roman"/>
                <w:b/>
                <w:color w:val="000000"/>
                <w:spacing w:val="-2"/>
                <w:sz w:val="22"/>
                <w:szCs w:val="22"/>
                <w:lang w:eastAsia="en-US"/>
              </w:rPr>
              <w:t xml:space="preserve">Załączniki </w:t>
            </w:r>
            <w:r w:rsidRPr="00800789">
              <w:rPr>
                <w:rFonts w:eastAsia="Calibri" w:cs="Times New Roman"/>
                <w:b/>
                <w:spacing w:val="-2"/>
                <w:sz w:val="21"/>
                <w:szCs w:val="21"/>
                <w:lang w:eastAsia="en-US"/>
              </w:rPr>
              <w:t>(istotne dokumenty źródłowe, badania, analizy itp.</w:t>
            </w:r>
            <w:r w:rsidRPr="00800789">
              <w:rPr>
                <w:rFonts w:eastAsia="Calibri" w:cs="Times New Roman"/>
                <w:b/>
                <w:color w:val="000000"/>
                <w:spacing w:val="-2"/>
                <w:sz w:val="22"/>
                <w:szCs w:val="22"/>
                <w:lang w:eastAsia="en-US"/>
              </w:rPr>
              <w:t xml:space="preserve">) </w:t>
            </w:r>
          </w:p>
        </w:tc>
      </w:tr>
      <w:tr w:rsidR="00800789" w:rsidRPr="00800789" w:rsidTr="00F419F2">
        <w:trPr>
          <w:trHeight w:val="142"/>
        </w:trPr>
        <w:tc>
          <w:tcPr>
            <w:tcW w:w="11199" w:type="dxa"/>
            <w:gridSpan w:val="26"/>
            <w:shd w:val="clear" w:color="auto" w:fill="FFFFFF"/>
          </w:tcPr>
          <w:p w:rsidR="00800789" w:rsidRPr="00800789" w:rsidRDefault="00800789" w:rsidP="00800789">
            <w:pPr>
              <w:widowControl/>
              <w:autoSpaceDE/>
              <w:autoSpaceDN/>
              <w:adjustRightInd/>
              <w:spacing w:line="240" w:lineRule="auto"/>
              <w:rPr>
                <w:rFonts w:eastAsia="Calibri" w:cs="Times New Roman"/>
                <w:color w:val="000000"/>
                <w:spacing w:val="-2"/>
                <w:sz w:val="22"/>
                <w:szCs w:val="22"/>
                <w:lang w:eastAsia="en-US"/>
              </w:rPr>
            </w:pPr>
            <w:r w:rsidRPr="00800789">
              <w:rPr>
                <w:rFonts w:eastAsia="Calibri" w:cs="Times New Roman"/>
                <w:color w:val="000000"/>
                <w:spacing w:val="-2"/>
                <w:sz w:val="22"/>
                <w:szCs w:val="18"/>
                <w:lang w:eastAsia="en-US"/>
              </w:rPr>
              <w:t>Brak.</w:t>
            </w:r>
          </w:p>
        </w:tc>
      </w:tr>
    </w:tbl>
    <w:p w:rsidR="009F74DA" w:rsidRDefault="001E4CBB" w:rsidP="0011257D">
      <w:pPr>
        <w:pStyle w:val="Tekstpodstawowy"/>
        <w:tabs>
          <w:tab w:val="center" w:pos="6237"/>
        </w:tabs>
        <w:spacing w:line="240" w:lineRule="auto"/>
        <w:ind w:right="-2"/>
        <w:rPr>
          <w:b/>
        </w:rPr>
      </w:pPr>
      <w:r>
        <w:rPr>
          <w:b/>
        </w:rPr>
        <w:t>+</w:t>
      </w:r>
    </w:p>
    <w:p w:rsidR="001E4CBB" w:rsidRDefault="001E4CBB" w:rsidP="0011257D">
      <w:pPr>
        <w:pStyle w:val="Tekstpodstawowy"/>
        <w:tabs>
          <w:tab w:val="center" w:pos="6237"/>
        </w:tabs>
        <w:spacing w:line="240" w:lineRule="auto"/>
        <w:ind w:right="-2"/>
        <w:rPr>
          <w:b/>
        </w:rPr>
      </w:pPr>
    </w:p>
    <w:sectPr w:rsidR="001E4CBB" w:rsidSect="00405E55">
      <w:headerReference w:type="default" r:id="rId14"/>
      <w:footerReference w:type="default" r:id="rId15"/>
      <w:pgSz w:w="11906" w:h="16838"/>
      <w:pgMar w:top="568" w:right="707" w:bottom="568" w:left="720" w:header="426"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4F1" w:rsidRDefault="004834F1">
      <w:r>
        <w:separator/>
      </w:r>
    </w:p>
  </w:endnote>
  <w:endnote w:type="continuationSeparator" w:id="0">
    <w:p w:rsidR="004834F1" w:rsidRDefault="00483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E55" w:rsidRDefault="00405E5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4F1" w:rsidRDefault="004834F1">
      <w:r>
        <w:separator/>
      </w:r>
    </w:p>
  </w:footnote>
  <w:footnote w:type="continuationSeparator" w:id="0">
    <w:p w:rsidR="004834F1" w:rsidRDefault="004834F1">
      <w:r>
        <w:continuationSeparator/>
      </w:r>
    </w:p>
  </w:footnote>
  <w:footnote w:id="1">
    <w:p w:rsidR="009F74DA" w:rsidRPr="009F74DA" w:rsidRDefault="009F74DA" w:rsidP="009F74DA">
      <w:pPr>
        <w:pStyle w:val="ODNONIKtreodnonika"/>
        <w:autoSpaceDE/>
        <w:autoSpaceDN/>
        <w:adjustRightInd/>
        <w:spacing w:line="240" w:lineRule="auto"/>
        <w:rPr>
          <w:sz w:val="20"/>
        </w:rPr>
      </w:pPr>
      <w:r>
        <w:rPr>
          <w:rStyle w:val="Odwoanieprzypisudolnego"/>
        </w:rPr>
        <w:footnoteRef/>
      </w:r>
      <w:r>
        <w:rPr>
          <w:rStyle w:val="IGindeksgrny"/>
        </w:rPr>
        <w:t>)</w:t>
      </w:r>
      <w:r>
        <w:tab/>
      </w:r>
      <w:r w:rsidRPr="009F74DA">
        <w:rPr>
          <w:sz w:val="20"/>
        </w:rPr>
        <w:t>Zmiany tekstu jednolitego wymienionej ustawy zostały ogłoszone w Dz. U. z 2016 r. poz. 1823, 1860, 1948, 2138, 2199, 2260 i 2261 oraz z 2017 r. poz. 67, 85, 187, 768, 933, 1133, 1136, 1452, 1475, 1596, 1727 i 1883.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B0A" w:rsidRPr="00B371CC" w:rsidRDefault="007D1C64" w:rsidP="00B371CC">
    <w:pPr>
      <w:pStyle w:val="Nagwek"/>
      <w:jc w:val="center"/>
    </w:pPr>
    <w:r>
      <w:t>–</w:t>
    </w:r>
    <w:r w:rsidR="00AB0B0A">
      <w:t xml:space="preserve"> </w:t>
    </w:r>
    <w:r w:rsidR="00615772">
      <w:fldChar w:fldCharType="begin"/>
    </w:r>
    <w:r w:rsidR="00AB0B0A">
      <w:instrText xml:space="preserve"> PAGE  \* MERGEFORMAT </w:instrText>
    </w:r>
    <w:r w:rsidR="00615772">
      <w:fldChar w:fldCharType="separate"/>
    </w:r>
    <w:r>
      <w:rPr>
        <w:noProof/>
      </w:rPr>
      <w:t>2</w:t>
    </w:r>
    <w:r w:rsidR="00615772">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1E4CBB" w:rsidP="00B371CC">
    <w:pPr>
      <w:pStyle w:val="Nagwek"/>
      <w:jc w:val="center"/>
    </w:pPr>
    <w:r>
      <w:t xml:space="preserve">– </w:t>
    </w:r>
    <w:r>
      <w:fldChar w:fldCharType="begin"/>
    </w:r>
    <w:r>
      <w:instrText xml:space="preserve"> PAGE  \* MERGEFORMAT </w:instrText>
    </w:r>
    <w:r>
      <w:fldChar w:fldCharType="separate"/>
    </w:r>
    <w:r w:rsidR="00C152B2">
      <w:rPr>
        <w:noProof/>
      </w:rPr>
      <w:t>2</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4DA" w:rsidRDefault="009F74DA">
    <w:pPr>
      <w:pStyle w:val="Nagwek"/>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1E4CBB" w:rsidP="00B371CC">
    <w:pPr>
      <w:pStyle w:val="Nagwek"/>
      <w:jc w:val="center"/>
    </w:pPr>
    <w:r>
      <w:t xml:space="preserve">– </w:t>
    </w:r>
    <w:r>
      <w:fldChar w:fldCharType="begin"/>
    </w:r>
    <w:r>
      <w:instrText xml:space="preserve"> PAGE  \* MERGEFORMAT </w:instrText>
    </w:r>
    <w:r>
      <w:fldChar w:fldCharType="separate"/>
    </w:r>
    <w:r w:rsidR="00C152B2">
      <w:rPr>
        <w:noProof/>
      </w:rPr>
      <w:t>2</w:t>
    </w:r>
    <w:r>
      <w:rPr>
        <w:noProof/>
      </w:rPr>
      <w:fldChar w:fldCharType="end"/>
    </w:r>
    <w: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254" w:rsidRDefault="00267254">
    <w:pPr>
      <w:pStyle w:val="Nagwek"/>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E55" w:rsidRPr="00B371CC" w:rsidRDefault="00405E55" w:rsidP="00B371CC">
    <w:pPr>
      <w:pStyle w:val="Nagwek"/>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401936"/>
    <w:lvl w:ilvl="0">
      <w:start w:val="1"/>
      <w:numFmt w:val="decimal"/>
      <w:lvlText w:val="%1."/>
      <w:lvlJc w:val="left"/>
      <w:pPr>
        <w:tabs>
          <w:tab w:val="num" w:pos="1492"/>
        </w:tabs>
        <w:ind w:left="1492" w:hanging="360"/>
      </w:pPr>
    </w:lvl>
  </w:abstractNum>
  <w:abstractNum w:abstractNumId="1">
    <w:nsid w:val="FFFFFF7D"/>
    <w:multiLevelType w:val="singleLevel"/>
    <w:tmpl w:val="9D3A5A82"/>
    <w:lvl w:ilvl="0">
      <w:start w:val="1"/>
      <w:numFmt w:val="decimal"/>
      <w:lvlText w:val="%1."/>
      <w:lvlJc w:val="left"/>
      <w:pPr>
        <w:tabs>
          <w:tab w:val="num" w:pos="1209"/>
        </w:tabs>
        <w:ind w:left="1209" w:hanging="360"/>
      </w:pPr>
    </w:lvl>
  </w:abstractNum>
  <w:abstractNum w:abstractNumId="2">
    <w:nsid w:val="FFFFFF7E"/>
    <w:multiLevelType w:val="singleLevel"/>
    <w:tmpl w:val="E9C4BFF0"/>
    <w:lvl w:ilvl="0">
      <w:start w:val="1"/>
      <w:numFmt w:val="decimal"/>
      <w:lvlText w:val="%1."/>
      <w:lvlJc w:val="left"/>
      <w:pPr>
        <w:tabs>
          <w:tab w:val="num" w:pos="926"/>
        </w:tabs>
        <w:ind w:left="926" w:hanging="360"/>
      </w:pPr>
    </w:lvl>
  </w:abstractNum>
  <w:abstractNum w:abstractNumId="3">
    <w:nsid w:val="FFFFFF7F"/>
    <w:multiLevelType w:val="singleLevel"/>
    <w:tmpl w:val="5DA059C8"/>
    <w:lvl w:ilvl="0">
      <w:start w:val="1"/>
      <w:numFmt w:val="decimal"/>
      <w:lvlText w:val="%1."/>
      <w:lvlJc w:val="left"/>
      <w:pPr>
        <w:tabs>
          <w:tab w:val="num" w:pos="643"/>
        </w:tabs>
        <w:ind w:left="643" w:hanging="360"/>
      </w:pPr>
    </w:lvl>
  </w:abstractNum>
  <w:abstractNum w:abstractNumId="4">
    <w:nsid w:val="FFFFFF80"/>
    <w:multiLevelType w:val="singleLevel"/>
    <w:tmpl w:val="7812A6D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215C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1ECF9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C9E5E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9BE2F66"/>
    <w:lvl w:ilvl="0">
      <w:start w:val="1"/>
      <w:numFmt w:val="decimal"/>
      <w:lvlText w:val="%1."/>
      <w:lvlJc w:val="left"/>
      <w:pPr>
        <w:tabs>
          <w:tab w:val="num" w:pos="360"/>
        </w:tabs>
        <w:ind w:left="360" w:hanging="360"/>
      </w:pPr>
    </w:lvl>
  </w:abstractNum>
  <w:abstractNum w:abstractNumId="9">
    <w:nsid w:val="FFFFFF89"/>
    <w:multiLevelType w:val="singleLevel"/>
    <w:tmpl w:val="96ACB44C"/>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A0754F2"/>
    <w:multiLevelType w:val="hybridMultilevel"/>
    <w:tmpl w:val="17FC7C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35E0032"/>
    <w:multiLevelType w:val="hybridMultilevel"/>
    <w:tmpl w:val="3C5E46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2FFC19E8"/>
    <w:multiLevelType w:val="hybridMultilevel"/>
    <w:tmpl w:val="208628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7">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1">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4">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6">
    <w:nsid w:val="692C7C5B"/>
    <w:multiLevelType w:val="hybridMultilevel"/>
    <w:tmpl w:val="1EF8684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1">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781D31B4"/>
    <w:multiLevelType w:val="hybridMultilevel"/>
    <w:tmpl w:val="005416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6"/>
  </w:num>
  <w:num w:numId="2">
    <w:abstractNumId w:val="26"/>
  </w:num>
  <w:num w:numId="3">
    <w:abstractNumId w:val="19"/>
  </w:num>
  <w:num w:numId="4">
    <w:abstractNumId w:val="19"/>
  </w:num>
  <w:num w:numId="5">
    <w:abstractNumId w:val="40"/>
  </w:num>
  <w:num w:numId="6">
    <w:abstractNumId w:val="35"/>
  </w:num>
  <w:num w:numId="7">
    <w:abstractNumId w:val="40"/>
  </w:num>
  <w:num w:numId="8">
    <w:abstractNumId w:val="35"/>
  </w:num>
  <w:num w:numId="9">
    <w:abstractNumId w:val="40"/>
  </w:num>
  <w:num w:numId="10">
    <w:abstractNumId w:val="35"/>
  </w:num>
  <w:num w:numId="11">
    <w:abstractNumId w:val="15"/>
  </w:num>
  <w:num w:numId="12">
    <w:abstractNumId w:val="10"/>
  </w:num>
  <w:num w:numId="13">
    <w:abstractNumId w:val="16"/>
  </w:num>
  <w:num w:numId="14">
    <w:abstractNumId w:val="30"/>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8"/>
  </w:num>
  <w:num w:numId="28">
    <w:abstractNumId w:val="29"/>
  </w:num>
  <w:num w:numId="29">
    <w:abstractNumId w:val="41"/>
  </w:num>
  <w:num w:numId="30">
    <w:abstractNumId w:val="37"/>
  </w:num>
  <w:num w:numId="31">
    <w:abstractNumId w:val="20"/>
  </w:num>
  <w:num w:numId="32">
    <w:abstractNumId w:val="12"/>
  </w:num>
  <w:num w:numId="33">
    <w:abstractNumId w:val="34"/>
  </w:num>
  <w:num w:numId="34">
    <w:abstractNumId w:val="22"/>
  </w:num>
  <w:num w:numId="35">
    <w:abstractNumId w:val="18"/>
  </w:num>
  <w:num w:numId="36">
    <w:abstractNumId w:val="24"/>
  </w:num>
  <w:num w:numId="37">
    <w:abstractNumId w:val="31"/>
  </w:num>
  <w:num w:numId="38">
    <w:abstractNumId w:val="28"/>
  </w:num>
  <w:num w:numId="39">
    <w:abstractNumId w:val="14"/>
  </w:num>
  <w:num w:numId="40">
    <w:abstractNumId w:val="33"/>
  </w:num>
  <w:num w:numId="41">
    <w:abstractNumId w:val="32"/>
  </w:num>
  <w:num w:numId="42">
    <w:abstractNumId w:val="23"/>
  </w:num>
  <w:num w:numId="43">
    <w:abstractNumId w:val="39"/>
  </w:num>
  <w:num w:numId="44">
    <w:abstractNumId w:val="13"/>
  </w:num>
  <w:num w:numId="45">
    <w:abstractNumId w:val="27"/>
  </w:num>
  <w:num w:numId="46">
    <w:abstractNumId w:val="36"/>
  </w:num>
  <w:num w:numId="47">
    <w:abstractNumId w:val="11"/>
  </w:num>
  <w:num w:numId="48">
    <w:abstractNumId w:val="42"/>
  </w:num>
  <w:num w:numId="49">
    <w:abstractNumId w:val="21"/>
  </w:num>
  <w:num w:numId="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4F1"/>
    <w:rsid w:val="000012DA"/>
    <w:rsid w:val="00012A35"/>
    <w:rsid w:val="00016099"/>
    <w:rsid w:val="00023471"/>
    <w:rsid w:val="00023F13"/>
    <w:rsid w:val="00030634"/>
    <w:rsid w:val="00037E1A"/>
    <w:rsid w:val="00047312"/>
    <w:rsid w:val="0005339C"/>
    <w:rsid w:val="0005571B"/>
    <w:rsid w:val="00057AB3"/>
    <w:rsid w:val="00060076"/>
    <w:rsid w:val="00060432"/>
    <w:rsid w:val="00060D87"/>
    <w:rsid w:val="00064E4C"/>
    <w:rsid w:val="00066901"/>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F3D0D"/>
    <w:rsid w:val="000F6ED4"/>
    <w:rsid w:val="000F7A6E"/>
    <w:rsid w:val="001042BA"/>
    <w:rsid w:val="00106D03"/>
    <w:rsid w:val="00110465"/>
    <w:rsid w:val="00110628"/>
    <w:rsid w:val="0011245A"/>
    <w:rsid w:val="0011257D"/>
    <w:rsid w:val="0011493E"/>
    <w:rsid w:val="00115B72"/>
    <w:rsid w:val="00120A9E"/>
    <w:rsid w:val="00134CA0"/>
    <w:rsid w:val="0014026F"/>
    <w:rsid w:val="0015742A"/>
    <w:rsid w:val="00164C57"/>
    <w:rsid w:val="00164C9D"/>
    <w:rsid w:val="00173150"/>
    <w:rsid w:val="00173BB3"/>
    <w:rsid w:val="001740D0"/>
    <w:rsid w:val="00174F2C"/>
    <w:rsid w:val="00186EC1"/>
    <w:rsid w:val="00191E1F"/>
    <w:rsid w:val="00197649"/>
    <w:rsid w:val="001A10E9"/>
    <w:rsid w:val="001A183D"/>
    <w:rsid w:val="001A3CD3"/>
    <w:rsid w:val="001A5BEF"/>
    <w:rsid w:val="001A7F15"/>
    <w:rsid w:val="001C188C"/>
    <w:rsid w:val="001D1783"/>
    <w:rsid w:val="001D55A3"/>
    <w:rsid w:val="001E0C72"/>
    <w:rsid w:val="001E4CBB"/>
    <w:rsid w:val="001E4E0C"/>
    <w:rsid w:val="001E526D"/>
    <w:rsid w:val="001F220F"/>
    <w:rsid w:val="001F6616"/>
    <w:rsid w:val="00202BD4"/>
    <w:rsid w:val="00204A97"/>
    <w:rsid w:val="002114EF"/>
    <w:rsid w:val="002166AD"/>
    <w:rsid w:val="00221ED8"/>
    <w:rsid w:val="00223FDF"/>
    <w:rsid w:val="002279C0"/>
    <w:rsid w:val="002501A3"/>
    <w:rsid w:val="0025166C"/>
    <w:rsid w:val="00260E8C"/>
    <w:rsid w:val="00264EC6"/>
    <w:rsid w:val="00267254"/>
    <w:rsid w:val="00271013"/>
    <w:rsid w:val="002765B4"/>
    <w:rsid w:val="00276A94"/>
    <w:rsid w:val="00290E2F"/>
    <w:rsid w:val="0029405D"/>
    <w:rsid w:val="00295A6F"/>
    <w:rsid w:val="002A20C4"/>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0C94"/>
    <w:rsid w:val="00334E3A"/>
    <w:rsid w:val="003361DD"/>
    <w:rsid w:val="00360929"/>
    <w:rsid w:val="003674B0"/>
    <w:rsid w:val="0037727C"/>
    <w:rsid w:val="00380904"/>
    <w:rsid w:val="003823EE"/>
    <w:rsid w:val="00382960"/>
    <w:rsid w:val="003846F7"/>
    <w:rsid w:val="00386785"/>
    <w:rsid w:val="00391B1A"/>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05E55"/>
    <w:rsid w:val="004169B2"/>
    <w:rsid w:val="00421085"/>
    <w:rsid w:val="00424DF7"/>
    <w:rsid w:val="00432B76"/>
    <w:rsid w:val="00435D26"/>
    <w:rsid w:val="00445F4D"/>
    <w:rsid w:val="004504C0"/>
    <w:rsid w:val="00462946"/>
    <w:rsid w:val="00464B94"/>
    <w:rsid w:val="004653A8"/>
    <w:rsid w:val="00465A0B"/>
    <w:rsid w:val="0047077C"/>
    <w:rsid w:val="00472CD6"/>
    <w:rsid w:val="00480A58"/>
    <w:rsid w:val="00482529"/>
    <w:rsid w:val="004834F1"/>
    <w:rsid w:val="00485FAD"/>
    <w:rsid w:val="00492A3F"/>
    <w:rsid w:val="00494F62"/>
    <w:rsid w:val="004B00A7"/>
    <w:rsid w:val="004B25E2"/>
    <w:rsid w:val="004B34D7"/>
    <w:rsid w:val="004B5037"/>
    <w:rsid w:val="004B5B2F"/>
    <w:rsid w:val="004B626A"/>
    <w:rsid w:val="004C05BD"/>
    <w:rsid w:val="004C3F97"/>
    <w:rsid w:val="004D2E1F"/>
    <w:rsid w:val="004D7FD9"/>
    <w:rsid w:val="004E37E5"/>
    <w:rsid w:val="004F296D"/>
    <w:rsid w:val="004F508B"/>
    <w:rsid w:val="004F695F"/>
    <w:rsid w:val="00500752"/>
    <w:rsid w:val="0050696D"/>
    <w:rsid w:val="00511D99"/>
    <w:rsid w:val="005128D3"/>
    <w:rsid w:val="005130D3"/>
    <w:rsid w:val="005158F2"/>
    <w:rsid w:val="00526DFC"/>
    <w:rsid w:val="00527651"/>
    <w:rsid w:val="005363AB"/>
    <w:rsid w:val="00545E53"/>
    <w:rsid w:val="005479D9"/>
    <w:rsid w:val="005572BD"/>
    <w:rsid w:val="00557A12"/>
    <w:rsid w:val="00560AC7"/>
    <w:rsid w:val="00561AFB"/>
    <w:rsid w:val="005635ED"/>
    <w:rsid w:val="00570570"/>
    <w:rsid w:val="00572512"/>
    <w:rsid w:val="00573EE6"/>
    <w:rsid w:val="0057547F"/>
    <w:rsid w:val="00576497"/>
    <w:rsid w:val="005835E7"/>
    <w:rsid w:val="0058397F"/>
    <w:rsid w:val="00585F33"/>
    <w:rsid w:val="00597024"/>
    <w:rsid w:val="005A669D"/>
    <w:rsid w:val="005A75D8"/>
    <w:rsid w:val="005B713E"/>
    <w:rsid w:val="005C03B6"/>
    <w:rsid w:val="005D3763"/>
    <w:rsid w:val="005D55E1"/>
    <w:rsid w:val="005E19F7"/>
    <w:rsid w:val="005E62C2"/>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80058"/>
    <w:rsid w:val="00681B8C"/>
    <w:rsid w:val="006840EA"/>
    <w:rsid w:val="00685267"/>
    <w:rsid w:val="006872AE"/>
    <w:rsid w:val="006946BB"/>
    <w:rsid w:val="006969FA"/>
    <w:rsid w:val="006C4A31"/>
    <w:rsid w:val="006D45B2"/>
    <w:rsid w:val="006E0FCC"/>
    <w:rsid w:val="006E5E21"/>
    <w:rsid w:val="006F2648"/>
    <w:rsid w:val="006F2F10"/>
    <w:rsid w:val="006F482B"/>
    <w:rsid w:val="006F6311"/>
    <w:rsid w:val="00711221"/>
    <w:rsid w:val="00712675"/>
    <w:rsid w:val="00713808"/>
    <w:rsid w:val="007151B6"/>
    <w:rsid w:val="0071520D"/>
    <w:rsid w:val="00715EDB"/>
    <w:rsid w:val="007160D5"/>
    <w:rsid w:val="00717C2E"/>
    <w:rsid w:val="0072457F"/>
    <w:rsid w:val="0072621B"/>
    <w:rsid w:val="00730555"/>
    <w:rsid w:val="007312CC"/>
    <w:rsid w:val="007410B6"/>
    <w:rsid w:val="00744C6F"/>
    <w:rsid w:val="00746E38"/>
    <w:rsid w:val="00753B51"/>
    <w:rsid w:val="0076260A"/>
    <w:rsid w:val="00764A67"/>
    <w:rsid w:val="00770F6B"/>
    <w:rsid w:val="00771883"/>
    <w:rsid w:val="007734AE"/>
    <w:rsid w:val="00776DC2"/>
    <w:rsid w:val="00780122"/>
    <w:rsid w:val="0078214B"/>
    <w:rsid w:val="00792207"/>
    <w:rsid w:val="00792B64"/>
    <w:rsid w:val="00792E29"/>
    <w:rsid w:val="007A2257"/>
    <w:rsid w:val="007A5150"/>
    <w:rsid w:val="007A5373"/>
    <w:rsid w:val="007B75BC"/>
    <w:rsid w:val="007C0BD6"/>
    <w:rsid w:val="007C3806"/>
    <w:rsid w:val="007C5BB7"/>
    <w:rsid w:val="007D1C64"/>
    <w:rsid w:val="007D6DCE"/>
    <w:rsid w:val="007E2CFE"/>
    <w:rsid w:val="007F0072"/>
    <w:rsid w:val="007F2EB6"/>
    <w:rsid w:val="007F54C3"/>
    <w:rsid w:val="00800789"/>
    <w:rsid w:val="00812BE5"/>
    <w:rsid w:val="00817429"/>
    <w:rsid w:val="00827820"/>
    <w:rsid w:val="00831B8B"/>
    <w:rsid w:val="008352D4"/>
    <w:rsid w:val="008415B0"/>
    <w:rsid w:val="008460B6"/>
    <w:rsid w:val="00852B59"/>
    <w:rsid w:val="00853780"/>
    <w:rsid w:val="008611DD"/>
    <w:rsid w:val="00866867"/>
    <w:rsid w:val="00872257"/>
    <w:rsid w:val="0087738C"/>
    <w:rsid w:val="008802AF"/>
    <w:rsid w:val="0088318F"/>
    <w:rsid w:val="0088331D"/>
    <w:rsid w:val="008852B0"/>
    <w:rsid w:val="008852C4"/>
    <w:rsid w:val="00886B60"/>
    <w:rsid w:val="008920FF"/>
    <w:rsid w:val="00896A10"/>
    <w:rsid w:val="008A5D26"/>
    <w:rsid w:val="008A6B13"/>
    <w:rsid w:val="008B3859"/>
    <w:rsid w:val="008B4E49"/>
    <w:rsid w:val="008B7B26"/>
    <w:rsid w:val="008C4229"/>
    <w:rsid w:val="008C5BE0"/>
    <w:rsid w:val="008C7233"/>
    <w:rsid w:val="008E060D"/>
    <w:rsid w:val="008E171D"/>
    <w:rsid w:val="008E2785"/>
    <w:rsid w:val="008F0654"/>
    <w:rsid w:val="008F06CB"/>
    <w:rsid w:val="008F612A"/>
    <w:rsid w:val="0090293D"/>
    <w:rsid w:val="009034DE"/>
    <w:rsid w:val="0090605D"/>
    <w:rsid w:val="00913A42"/>
    <w:rsid w:val="009143DB"/>
    <w:rsid w:val="00917CE5"/>
    <w:rsid w:val="00925CEC"/>
    <w:rsid w:val="0092794E"/>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6EF7"/>
    <w:rsid w:val="009B7000"/>
    <w:rsid w:val="009B739C"/>
    <w:rsid w:val="009C7CA6"/>
    <w:rsid w:val="009D3316"/>
    <w:rsid w:val="009D4E85"/>
    <w:rsid w:val="009E3E77"/>
    <w:rsid w:val="009E3FAB"/>
    <w:rsid w:val="009E5B3F"/>
    <w:rsid w:val="009E7D90"/>
    <w:rsid w:val="009F1AB0"/>
    <w:rsid w:val="009F501D"/>
    <w:rsid w:val="009F74DA"/>
    <w:rsid w:val="00A039D5"/>
    <w:rsid w:val="00A046AD"/>
    <w:rsid w:val="00A079C1"/>
    <w:rsid w:val="00A140F2"/>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018"/>
    <w:rsid w:val="00A65E00"/>
    <w:rsid w:val="00A66A4B"/>
    <w:rsid w:val="00A66A78"/>
    <w:rsid w:val="00A73BBF"/>
    <w:rsid w:val="00A7436E"/>
    <w:rsid w:val="00A75A8E"/>
    <w:rsid w:val="00A83676"/>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2BF2"/>
    <w:rsid w:val="00AD4E90"/>
    <w:rsid w:val="00AD5422"/>
    <w:rsid w:val="00AE650F"/>
    <w:rsid w:val="00AE7D16"/>
    <w:rsid w:val="00AF571A"/>
    <w:rsid w:val="00B07700"/>
    <w:rsid w:val="00B1528C"/>
    <w:rsid w:val="00B1776A"/>
    <w:rsid w:val="00B21487"/>
    <w:rsid w:val="00B24DB5"/>
    <w:rsid w:val="00B31F9E"/>
    <w:rsid w:val="00B3268F"/>
    <w:rsid w:val="00B33A1A"/>
    <w:rsid w:val="00B371CC"/>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4338"/>
    <w:rsid w:val="00BB6C0E"/>
    <w:rsid w:val="00BC52FD"/>
    <w:rsid w:val="00BC6E62"/>
    <w:rsid w:val="00BD0648"/>
    <w:rsid w:val="00BD1040"/>
    <w:rsid w:val="00BD34AA"/>
    <w:rsid w:val="00BE41EC"/>
    <w:rsid w:val="00BE56FB"/>
    <w:rsid w:val="00BE7F18"/>
    <w:rsid w:val="00BF6589"/>
    <w:rsid w:val="00C00647"/>
    <w:rsid w:val="00C02764"/>
    <w:rsid w:val="00C04CEF"/>
    <w:rsid w:val="00C12E96"/>
    <w:rsid w:val="00C152B2"/>
    <w:rsid w:val="00C236C8"/>
    <w:rsid w:val="00C26E56"/>
    <w:rsid w:val="00C31406"/>
    <w:rsid w:val="00C40637"/>
    <w:rsid w:val="00C40F6C"/>
    <w:rsid w:val="00C44426"/>
    <w:rsid w:val="00C451F4"/>
    <w:rsid w:val="00C45EB1"/>
    <w:rsid w:val="00C54A3A"/>
    <w:rsid w:val="00C55566"/>
    <w:rsid w:val="00C72223"/>
    <w:rsid w:val="00C76417"/>
    <w:rsid w:val="00C7726F"/>
    <w:rsid w:val="00C8259F"/>
    <w:rsid w:val="00C84C47"/>
    <w:rsid w:val="00C86AFA"/>
    <w:rsid w:val="00CB24F5"/>
    <w:rsid w:val="00CB2663"/>
    <w:rsid w:val="00CB59E9"/>
    <w:rsid w:val="00CC3831"/>
    <w:rsid w:val="00CD5973"/>
    <w:rsid w:val="00CF09AA"/>
    <w:rsid w:val="00CF4813"/>
    <w:rsid w:val="00CF5233"/>
    <w:rsid w:val="00D029B8"/>
    <w:rsid w:val="00D02F60"/>
    <w:rsid w:val="00D07A7B"/>
    <w:rsid w:val="00D10E06"/>
    <w:rsid w:val="00D16820"/>
    <w:rsid w:val="00D32721"/>
    <w:rsid w:val="00D328DC"/>
    <w:rsid w:val="00D402FB"/>
    <w:rsid w:val="00D676F3"/>
    <w:rsid w:val="00D70EF5"/>
    <w:rsid w:val="00D71A25"/>
    <w:rsid w:val="00D71FCF"/>
    <w:rsid w:val="00D72A54"/>
    <w:rsid w:val="00D72CC1"/>
    <w:rsid w:val="00D80E7D"/>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7DC1"/>
    <w:rsid w:val="00DF7648"/>
    <w:rsid w:val="00E04CEB"/>
    <w:rsid w:val="00E060BC"/>
    <w:rsid w:val="00E11420"/>
    <w:rsid w:val="00E170B7"/>
    <w:rsid w:val="00E20900"/>
    <w:rsid w:val="00E34A35"/>
    <w:rsid w:val="00E46308"/>
    <w:rsid w:val="00E51E17"/>
    <w:rsid w:val="00E539B0"/>
    <w:rsid w:val="00E55994"/>
    <w:rsid w:val="00E6307C"/>
    <w:rsid w:val="00E636FA"/>
    <w:rsid w:val="00E63BAC"/>
    <w:rsid w:val="00E66C50"/>
    <w:rsid w:val="00E679D3"/>
    <w:rsid w:val="00E71208"/>
    <w:rsid w:val="00E71444"/>
    <w:rsid w:val="00E773E8"/>
    <w:rsid w:val="00E84F38"/>
    <w:rsid w:val="00E85623"/>
    <w:rsid w:val="00E91FAE"/>
    <w:rsid w:val="00EA532E"/>
    <w:rsid w:val="00EB19ED"/>
    <w:rsid w:val="00EC4CEB"/>
    <w:rsid w:val="00ED2072"/>
    <w:rsid w:val="00ED5553"/>
    <w:rsid w:val="00ED5E36"/>
    <w:rsid w:val="00ED6961"/>
    <w:rsid w:val="00EF0B96"/>
    <w:rsid w:val="00EF47AF"/>
    <w:rsid w:val="00F115CA"/>
    <w:rsid w:val="00F14C9C"/>
    <w:rsid w:val="00F1510F"/>
    <w:rsid w:val="00F15E5A"/>
    <w:rsid w:val="00F2668F"/>
    <w:rsid w:val="00F340B2"/>
    <w:rsid w:val="00F43390"/>
    <w:rsid w:val="00F50237"/>
    <w:rsid w:val="00F55BA8"/>
    <w:rsid w:val="00F56ACA"/>
    <w:rsid w:val="00F600FE"/>
    <w:rsid w:val="00F62E4D"/>
    <w:rsid w:val="00F711C9"/>
    <w:rsid w:val="00F831CB"/>
    <w:rsid w:val="00F848A3"/>
    <w:rsid w:val="00F85BF8"/>
    <w:rsid w:val="00F87802"/>
    <w:rsid w:val="00F92C0A"/>
    <w:rsid w:val="00F9415B"/>
    <w:rsid w:val="00FA13C2"/>
    <w:rsid w:val="00FB121C"/>
    <w:rsid w:val="00FB2C2F"/>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9D4E85"/>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uiPriority w:val="99"/>
    <w:semiHidden/>
    <w:rsid w:val="004C3F97"/>
    <w:pPr>
      <w:spacing w:after="600"/>
      <w:ind w:left="5245"/>
    </w:pPr>
  </w:style>
  <w:style w:type="paragraph" w:customStyle="1" w:styleId="ZLITWPKTzmlitwpktartykuempunktem">
    <w:name w:val="Z/LIT_W_PKT – zm. lit. w pkt artykułem (punktem)"/>
    <w:basedOn w:val="LITlitera"/>
    <w:uiPriority w:val="33"/>
    <w:qFormat/>
    <w:rsid w:val="00295A6F"/>
    <w:pPr>
      <w:ind w:left="1497"/>
    </w:pPr>
  </w:style>
  <w:style w:type="paragraph" w:customStyle="1" w:styleId="ZTIRwPKTzmtirwpktartykuempunktem">
    <w:name w:val="Z/TIR_w_PKT – zm. tir. w pkt artykułem (punktem)"/>
    <w:basedOn w:val="TIRtiret"/>
    <w:link w:val="ZTIRwPKTzmtirwpktartykuempunktemZnak"/>
    <w:uiPriority w:val="34"/>
    <w:qFormat/>
    <w:rsid w:val="007E2CFE"/>
    <w:pPr>
      <w:ind w:left="1894"/>
    </w:pPr>
  </w:style>
  <w:style w:type="character" w:customStyle="1" w:styleId="ZTIRwPKTzmtirwpktartykuempunktemZnak">
    <w:name w:val="Z/TIR_w_PKT – zm. tir. w pkt artykułem (punktem) Znak"/>
    <w:basedOn w:val="TIRtiretZnak"/>
    <w:link w:val="ZTIRwPKTzmtirwpktartykuempunktem"/>
    <w:uiPriority w:val="34"/>
    <w:rsid w:val="00A96265"/>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6"/>
    <w:qFormat/>
    <w:rsid w:val="00295A6F"/>
    <w:pPr>
      <w:ind w:left="1021"/>
    </w:pPr>
  </w:style>
  <w:style w:type="paragraph" w:customStyle="1" w:styleId="2TIRpodwjnytiret">
    <w:name w:val="2TIR – podwójny tiret"/>
    <w:basedOn w:val="TIRtiret"/>
    <w:link w:val="2TIRpodwjnytiretZnak"/>
    <w:uiPriority w:val="71"/>
    <w:qFormat/>
    <w:rsid w:val="00295A6F"/>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6"/>
    <w:rsid w:val="00A96265"/>
    <w:rPr>
      <w:rFonts w:eastAsiaTheme="minorEastAsia" w:cs="Arial"/>
      <w:bCs/>
      <w:szCs w:val="20"/>
    </w:rPr>
  </w:style>
  <w:style w:type="character" w:customStyle="1" w:styleId="2TIRpodwjnytiretZnak">
    <w:name w:val="2TIR – podwójny tiret Znak"/>
    <w:basedOn w:val="TIRtiretZnak"/>
    <w:link w:val="2TIRpodwjnytiret"/>
    <w:uiPriority w:val="71"/>
    <w:rsid w:val="0011493E"/>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 w:val="16"/>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95A6F"/>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7"/>
    <w:qFormat/>
    <w:rsid w:val="00295A6F"/>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7"/>
    <w:rsid w:val="00A96265"/>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4"/>
    <w:qFormat/>
    <w:rsid w:val="00295A6F"/>
  </w:style>
  <w:style w:type="character" w:customStyle="1" w:styleId="ZTIRwLITzmtirwlitartykuempunktemZnak">
    <w:name w:val="Z/TIR_w_LIT – zm. tir. w lit. artykułem (punktem) Znak"/>
    <w:basedOn w:val="TIRtiretZnak"/>
    <w:link w:val="ZTIRwLITzmtirwlitartykuempunktem"/>
    <w:uiPriority w:val="34"/>
    <w:rsid w:val="00A96265"/>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7"/>
    <w:qFormat/>
    <w:rsid w:val="00295A6F"/>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7"/>
    <w:rsid w:val="00A96265"/>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D72CC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paragraph" w:customStyle="1" w:styleId="tekstwtabeli">
    <w:name w:val="tekst w tabeli"/>
    <w:basedOn w:val="Normalny"/>
    <w:link w:val="tekstwtabeliZnak"/>
    <w:uiPriority w:val="99"/>
    <w:semiHidden/>
    <w:qFormat/>
    <w:rsid w:val="004C3F97"/>
    <w:pPr>
      <w:framePr w:hSpace="141" w:wrap="around" w:vAnchor="text" w:hAnchor="margin" w:xAlign="center" w:y="175"/>
      <w:suppressAutoHyphens/>
      <w:autoSpaceDE/>
      <w:autoSpaceDN/>
      <w:adjustRightInd/>
      <w:spacing w:before="120" w:after="120"/>
      <w:jc w:val="center"/>
    </w:pPr>
    <w:rPr>
      <w:kern w:val="1"/>
      <w:lang w:eastAsia="ar-SA"/>
    </w:rPr>
  </w:style>
  <w:style w:type="character" w:customStyle="1" w:styleId="tekstwtabeliZnak">
    <w:name w:val="tekst w tabeli Znak"/>
    <w:link w:val="tekstwtabeli"/>
    <w:uiPriority w:val="99"/>
    <w:semiHidden/>
    <w:rsid w:val="004504C0"/>
    <w:rPr>
      <w:rFonts w:ascii="Arial" w:eastAsiaTheme="minorEastAsia" w:hAnsi="Arial" w:cs="Arial"/>
      <w:kern w:val="1"/>
      <w:sz w:val="20"/>
      <w:szCs w:val="20"/>
      <w:lang w:eastAsia="ar-SA"/>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2"/>
    <w:qFormat/>
    <w:rsid w:val="00295A6F"/>
    <w:pPr>
      <w:ind w:left="1020"/>
    </w:pPr>
  </w:style>
  <w:style w:type="paragraph" w:customStyle="1" w:styleId="ZARTzmartartykuempunktem">
    <w:name w:val="Z/ART(§) – zm. art. (§) artykułem (punktem)"/>
    <w:basedOn w:val="ARTartustawynprozporzdzenia"/>
    <w:uiPriority w:val="30"/>
    <w:qFormat/>
    <w:rsid w:val="00295A6F"/>
    <w:pPr>
      <w:spacing w:before="0"/>
      <w:ind w:left="510"/>
    </w:pPr>
  </w:style>
  <w:style w:type="paragraph" w:customStyle="1" w:styleId="Tabela">
    <w:name w:val="Tabela"/>
    <w:next w:val="Normalny"/>
    <w:uiPriority w:val="99"/>
    <w:semiHidden/>
    <w:rsid w:val="004C3F97"/>
    <w:pPr>
      <w:widowControl w:val="0"/>
      <w:autoSpaceDE w:val="0"/>
      <w:autoSpaceDN w:val="0"/>
      <w:adjustRightInd w:val="0"/>
    </w:pPr>
    <w:rPr>
      <w:rFonts w:ascii="Arial" w:eastAsiaTheme="minorEastAsia" w:hAnsi="Arial" w:cs="Arial"/>
    </w:r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95A6F"/>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D72CC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95A6F"/>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D72CC1"/>
    <w:rPr>
      <w:rFonts w:eastAsiaTheme="minorEastAsia" w:cs="Arial"/>
      <w:b/>
      <w:bCs/>
    </w:rPr>
  </w:style>
  <w:style w:type="paragraph" w:customStyle="1" w:styleId="CZKSIGAoznaczenieiprzedmiotczcilubksigi">
    <w:name w:val="CZĘŚĆ(KSIĘGA) – oznaczenie i przedmiot części lub księgi"/>
    <w:basedOn w:val="Normalny"/>
    <w:next w:val="ARTartustawynprozporzdzenia"/>
    <w:link w:val="CZKSIGAoznaczenieiprzedmiotczcilubksigiZnak"/>
    <w:uiPriority w:val="5"/>
    <w:qFormat/>
    <w:rsid w:val="00295A6F"/>
    <w:pPr>
      <w:keepNext/>
      <w:suppressAutoHyphens/>
      <w:spacing w:before="120"/>
      <w:jc w:val="center"/>
    </w:pPr>
    <w:rPr>
      <w:rFonts w:ascii="Times" w:eastAsia="Times New Roman" w:hAnsi="Times" w:cs="Times New Roman"/>
      <w:b/>
      <w:bCs/>
      <w:caps/>
      <w:kern w:val="24"/>
      <w:szCs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D72CC1"/>
    <w:rPr>
      <w:b/>
      <w:bCs/>
      <w:caps/>
      <w:kern w:val="24"/>
    </w:rPr>
  </w:style>
  <w:style w:type="paragraph" w:customStyle="1" w:styleId="TYTDZPRZEDMprzedmiotregulacjitutuulubdziau">
    <w:name w:val="TYT(DZ)_PRZEDM – przedmiot regulacji tutułu lub działu"/>
    <w:basedOn w:val="Normalny"/>
    <w:next w:val="ARTartustawynprozporzdzenia"/>
    <w:link w:val="TYTDZPRZEDMprzedmiotregulacjitutuulubdziauZnak"/>
    <w:uiPriority w:val="7"/>
    <w:qFormat/>
    <w:rsid w:val="00295A6F"/>
    <w:pPr>
      <w:keepNext/>
      <w:suppressAutoHyphens/>
      <w:spacing w:before="120"/>
      <w:jc w:val="center"/>
    </w:pPr>
    <w:rPr>
      <w:rFonts w:ascii="Times" w:eastAsia="Times New Roman" w:hAnsi="Times" w:cs="Times New Roman"/>
      <w:b/>
      <w:szCs w:val="26"/>
    </w:rPr>
  </w:style>
  <w:style w:type="character" w:customStyle="1" w:styleId="TYTDZPRZEDMprzedmiotregulacjitutuulubdziauZnak">
    <w:name w:val="TYT(DZ)_PRZEDM – przedmiot regulacji tutułu lub działu Znak"/>
    <w:basedOn w:val="Domylnaczcionkaakapitu"/>
    <w:link w:val="TYTDZPRZEDMprzedmiotregulacjitutuulubdziau"/>
    <w:uiPriority w:val="7"/>
    <w:rsid w:val="00D72CC1"/>
    <w:rPr>
      <w:b/>
      <w:szCs w:val="26"/>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95A6F"/>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D72CC1"/>
    <w:rPr>
      <w:rFonts w:eastAsiaTheme="minorEastAsia" w:cs="Arial"/>
      <w:bCs/>
      <w:szCs w:val="20"/>
    </w:rPr>
  </w:style>
  <w:style w:type="paragraph" w:customStyle="1" w:styleId="OZNRODZAKTUtznustawalubrozporzdzenieiorganwydajcy">
    <w:name w:val="OZN_RODZ_AKTU – tzn. ustawa lub rozporządzenie i organ wydający"/>
    <w:basedOn w:val="Normalny"/>
    <w:next w:val="DATAAKTUdatauchwalenialubwydaniaaktu"/>
    <w:link w:val="OZNRODZAKTUtznustawalubrozporzdzenieiorganwydajcyZnak"/>
    <w:uiPriority w:val="5"/>
    <w:qFormat/>
    <w:rsid w:val="005635ED"/>
    <w:pPr>
      <w:keepNext/>
      <w:suppressAutoHyphens/>
      <w:spacing w:after="120"/>
      <w:jc w:val="center"/>
    </w:pPr>
    <w:rPr>
      <w:rFonts w:ascii="Times" w:eastAsia="Times New Roman" w:hAnsi="Times" w:cs="Times New Roman"/>
      <w:b/>
      <w:bCs/>
      <w:caps/>
      <w:spacing w:val="54"/>
      <w:kern w:val="24"/>
      <w:szCs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5635ED"/>
    <w:rPr>
      <w:b/>
      <w:bCs/>
      <w:caps/>
      <w:spacing w:val="54"/>
      <w:kern w:val="24"/>
    </w:rPr>
  </w:style>
  <w:style w:type="paragraph" w:customStyle="1" w:styleId="USTustnpkodeksu">
    <w:name w:val="UST(§) – ust. (§ np. kodeksu)"/>
    <w:basedOn w:val="ARTartustawynprozporzdzenia"/>
    <w:link w:val="USTustnpkodeksuZnak"/>
    <w:uiPriority w:val="12"/>
    <w:qFormat/>
    <w:rsid w:val="00295A6F"/>
    <w:pPr>
      <w:spacing w:before="0"/>
    </w:pPr>
    <w:rPr>
      <w:bCs/>
    </w:rPr>
  </w:style>
  <w:style w:type="character" w:customStyle="1" w:styleId="USTustnpkodeksuZnak">
    <w:name w:val="UST(§) – ust. (§ np. kodeksu) Znak"/>
    <w:basedOn w:val="ARTartustawynprozporzdzeniaZnak"/>
    <w:link w:val="USTustnpkodeksu"/>
    <w:uiPriority w:val="15"/>
    <w:rsid w:val="00D72CC1"/>
    <w:rPr>
      <w:rFonts w:eastAsiaTheme="minorEastAsia" w:cs="Arial"/>
      <w:bCs/>
      <w:szCs w:val="20"/>
    </w:rPr>
  </w:style>
  <w:style w:type="paragraph" w:customStyle="1" w:styleId="PKTpunkt">
    <w:name w:val="PKT – punkt"/>
    <w:basedOn w:val="USTustnpkodeksu"/>
    <w:link w:val="PKTpunktZnak"/>
    <w:uiPriority w:val="16"/>
    <w:qFormat/>
    <w:rsid w:val="00295A6F"/>
    <w:pPr>
      <w:ind w:left="510" w:hanging="510"/>
    </w:pPr>
  </w:style>
  <w:style w:type="character" w:customStyle="1" w:styleId="PKTpunktZnak">
    <w:name w:val="PKT – punkt Znak"/>
    <w:basedOn w:val="Domylnaczcionkaakapitu"/>
    <w:link w:val="PKTpunkt"/>
    <w:uiPriority w:val="16"/>
    <w:locked/>
    <w:rsid w:val="00D72CC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95A6F"/>
    <w:pPr>
      <w:ind w:left="0" w:firstLine="0"/>
    </w:pPr>
  </w:style>
  <w:style w:type="character" w:customStyle="1" w:styleId="CZWSPPKTczwsplnapunktwZnak">
    <w:name w:val="CZ_WSP_PKT – część wspólna punktów Znak"/>
    <w:basedOn w:val="PKTpunktZnak"/>
    <w:link w:val="CZWSPPKTczwsplnapunktw"/>
    <w:uiPriority w:val="19"/>
    <w:rsid w:val="00A96265"/>
    <w:rPr>
      <w:rFonts w:eastAsiaTheme="minorEastAsia" w:cs="Arial"/>
      <w:bCs/>
      <w:szCs w:val="20"/>
    </w:rPr>
  </w:style>
  <w:style w:type="paragraph" w:customStyle="1" w:styleId="LITlitera">
    <w:name w:val="LIT – litera"/>
    <w:basedOn w:val="PKTpunkt"/>
    <w:link w:val="LITliteraZnak"/>
    <w:uiPriority w:val="17"/>
    <w:qFormat/>
    <w:rsid w:val="00295A6F"/>
    <w:pPr>
      <w:ind w:left="986" w:hanging="476"/>
    </w:pPr>
  </w:style>
  <w:style w:type="character" w:customStyle="1" w:styleId="LITliteraZnak">
    <w:name w:val="LIT – litera Znak"/>
    <w:basedOn w:val="PKTpunktZnak"/>
    <w:link w:val="LITlitera"/>
    <w:uiPriority w:val="17"/>
    <w:rsid w:val="00D72CC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95A6F"/>
    <w:pPr>
      <w:ind w:left="510" w:firstLine="0"/>
    </w:pPr>
    <w:rPr>
      <w:szCs w:val="24"/>
    </w:rPr>
  </w:style>
  <w:style w:type="character" w:customStyle="1" w:styleId="CZWSPLITczwsplnaliterZnak">
    <w:name w:val="CZ_WSP_LIT – część wspólna liter Znak"/>
    <w:basedOn w:val="LITliteraZnak"/>
    <w:link w:val="CZWSPLITczwsplnaliter"/>
    <w:uiPriority w:val="20"/>
    <w:rsid w:val="00A96265"/>
    <w:rPr>
      <w:rFonts w:eastAsiaTheme="minorEastAsia" w:cs="Arial"/>
      <w:bCs/>
      <w:szCs w:val="20"/>
    </w:rPr>
  </w:style>
  <w:style w:type="paragraph" w:customStyle="1" w:styleId="TIRtiret">
    <w:name w:val="TIR – tiret"/>
    <w:basedOn w:val="LITlitera"/>
    <w:link w:val="TIRtiretZnak"/>
    <w:uiPriority w:val="18"/>
    <w:qFormat/>
    <w:rsid w:val="00295A6F"/>
    <w:pPr>
      <w:ind w:left="1384" w:hanging="397"/>
    </w:pPr>
  </w:style>
  <w:style w:type="character" w:customStyle="1" w:styleId="TIRtiretZnak">
    <w:name w:val="TIR – tiret Znak"/>
    <w:basedOn w:val="Domylnaczcionkaakapitu"/>
    <w:link w:val="TIRtiret"/>
    <w:uiPriority w:val="18"/>
    <w:rsid w:val="00D72CC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95A6F"/>
    <w:pPr>
      <w:ind w:left="987" w:firstLine="0"/>
    </w:pPr>
  </w:style>
  <w:style w:type="character" w:customStyle="1" w:styleId="CZWSPTIRczwsplnatiretZnak">
    <w:name w:val="CZ_WSP_TIR – część wspólna tiret Znak"/>
    <w:basedOn w:val="TIRtiretZnak"/>
    <w:link w:val="CZWSPTIRczwsplnatiret"/>
    <w:uiPriority w:val="21"/>
    <w:rsid w:val="00A96265"/>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95A6F"/>
    <w:pPr>
      <w:ind w:left="510" w:right="510" w:firstLine="0"/>
      <w:mirrorIndents/>
    </w:pPr>
  </w:style>
  <w:style w:type="character" w:customStyle="1" w:styleId="CYTcytatnpprzysigiZnak">
    <w:name w:val="CYT – cytat np. przysięgi Znak"/>
    <w:link w:val="CYTcytatnpprzysigi"/>
    <w:uiPriority w:val="23"/>
    <w:locked/>
    <w:rsid w:val="00A96265"/>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95A6F"/>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D72CC1"/>
    <w:rPr>
      <w:rFonts w:eastAsiaTheme="minorEastAsia"/>
      <w:b/>
      <w:bCs/>
    </w:rPr>
  </w:style>
  <w:style w:type="paragraph" w:customStyle="1" w:styleId="ZLITzmlitartykuempunktem">
    <w:name w:val="Z/LIT – zm. lit. artykułem (punktem)"/>
    <w:basedOn w:val="LITlitera"/>
    <w:uiPriority w:val="33"/>
    <w:qFormat/>
    <w:rsid w:val="00295A6F"/>
  </w:style>
  <w:style w:type="paragraph" w:customStyle="1" w:styleId="ZLITCZWSPTIRwLITzmczciwsptirwlitliter">
    <w:name w:val="Z_LIT/CZ_WSP_TIR_w_LIT – zm. części wsp. tir. w lit. literą"/>
    <w:basedOn w:val="CZWSPTIRczwsplnatiret"/>
    <w:next w:val="LITlitera"/>
    <w:uiPriority w:val="49"/>
    <w:qFormat/>
    <w:rsid w:val="00295A6F"/>
    <w:pPr>
      <w:ind w:left="1463"/>
    </w:pPr>
  </w:style>
  <w:style w:type="paragraph" w:customStyle="1" w:styleId="ZLITTIRwLITzmtirwlitliter">
    <w:name w:val="Z_LIT/TIR_w_LIT – zm. tir. w lit. literą"/>
    <w:basedOn w:val="TIRtiret"/>
    <w:uiPriority w:val="46"/>
    <w:qFormat/>
    <w:rsid w:val="00295A6F"/>
    <w:pPr>
      <w:ind w:left="1860"/>
    </w:pPr>
  </w:style>
  <w:style w:type="paragraph" w:customStyle="1" w:styleId="TYTDZOZNoznaczenietytuulubdziau">
    <w:name w:val="TYT(DZ)_OZN – oznaczenie tytułu lub działu"/>
    <w:next w:val="TYTDZPRZEDMprzedmiotregulacjitutuulubdziau"/>
    <w:link w:val="TYTDZOZNoznaczenietytuulubdziauZnak"/>
    <w:uiPriority w:val="6"/>
    <w:qFormat/>
    <w:rsid w:val="00295A6F"/>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basedOn w:val="Normalny"/>
    <w:link w:val="WMATFIZCHEMwzorymatfizlubchemiichlegendyZnak"/>
    <w:uiPriority w:val="22"/>
    <w:qFormat/>
    <w:rsid w:val="00295A6F"/>
    <w:pPr>
      <w:ind w:left="510"/>
    </w:pPr>
    <w:rPr>
      <w:rFonts w:ascii="Times" w:eastAsia="Times New Roman" w:hAnsi="Times" w:cs="Times New Roman"/>
      <w:szCs w:val="24"/>
    </w:rPr>
  </w:style>
  <w:style w:type="character" w:customStyle="1" w:styleId="TYTDZOZNoznaczenietytuulubdziauZnak">
    <w:name w:val="TYT(DZ)_OZN – oznaczenie tytułu lub działu Znak"/>
    <w:basedOn w:val="Domylnaczcionkaakapitu"/>
    <w:link w:val="TYTDZOZNoznaczenietytuulubdziau"/>
    <w:uiPriority w:val="6"/>
    <w:rsid w:val="00D72CC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A96265"/>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28"/>
    <w:qFormat/>
    <w:rsid w:val="00295A6F"/>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28"/>
    <w:rsid w:val="005F7A88"/>
    <w:rPr>
      <w:rFonts w:eastAsiaTheme="minorEastAsia" w:cs="Arial"/>
      <w:bCs/>
      <w:caps/>
      <w:kern w:val="24"/>
    </w:rPr>
  </w:style>
  <w:style w:type="paragraph" w:customStyle="1" w:styleId="ZTYTDZPRZEDMzmprzedmtytuulubdziauartykuempunktem">
    <w:name w:val="Z/TYT(DZ)_PRZEDM – zm. przedm. tytułu lub działu artykułem (punktem)"/>
    <w:basedOn w:val="TYTDZPRZEDMprzedmiotregulacjitutuulubdziau"/>
    <w:next w:val="ZARTzmartartykuempunktem"/>
    <w:link w:val="ZTYTDZPRZEDMzmprzedmtytuulubdziauartykuempunktemZnak"/>
    <w:uiPriority w:val="28"/>
    <w:qFormat/>
    <w:rsid w:val="00295A6F"/>
    <w:pPr>
      <w:spacing w:before="0"/>
      <w:ind w:left="510"/>
    </w:pPr>
    <w:rPr>
      <w:b w:val="0"/>
    </w:rPr>
  </w:style>
  <w:style w:type="character" w:customStyle="1" w:styleId="ZTYTDZPRZEDMzmprzedmtytuulubdziauartykuempunktemZnak">
    <w:name w:val="Z/TYT(DZ)_PRZEDM – zm. przedm. tytułu lub działu artykułem (punktem) Znak"/>
    <w:basedOn w:val="TYTDZPRZEDMprzedmiotregulacjitutuulubdziauZnak"/>
    <w:link w:val="ZTYTDZPRZEDMzmprzedmtytuulubdziauartykuempunktem"/>
    <w:uiPriority w:val="28"/>
    <w:rsid w:val="005F7A88"/>
    <w:rPr>
      <w:b/>
      <w:szCs w:val="26"/>
    </w:rPr>
  </w:style>
  <w:style w:type="paragraph" w:customStyle="1" w:styleId="ZTIRzmtirartykuempunktem">
    <w:name w:val="Z/TIR – zm. tir. artykułem (punktem)"/>
    <w:basedOn w:val="TIRtiret"/>
    <w:next w:val="PKTpunkt"/>
    <w:uiPriority w:val="34"/>
    <w:qFormat/>
    <w:rsid w:val="00295A6F"/>
    <w:pPr>
      <w:ind w:left="907"/>
    </w:pPr>
  </w:style>
  <w:style w:type="paragraph" w:customStyle="1" w:styleId="ZCZWSPPKTzmczciwsppktartykuempunktem">
    <w:name w:val="Z/CZ_WSP_PKT – zm. części wsp. pkt artykułem (punktem)"/>
    <w:basedOn w:val="CZWSPPKTczwsplnapunktw"/>
    <w:next w:val="ZARTzmartartykuempunktem"/>
    <w:uiPriority w:val="35"/>
    <w:qFormat/>
    <w:rsid w:val="00295A6F"/>
    <w:pPr>
      <w:ind w:left="510"/>
    </w:pPr>
  </w:style>
  <w:style w:type="paragraph" w:customStyle="1" w:styleId="ZZLITzmianazmlit">
    <w:name w:val="ZZ/LIT – zmiana zm. lit."/>
    <w:basedOn w:val="ZZPKTzmianazmpkt"/>
    <w:uiPriority w:val="61"/>
    <w:qFormat/>
    <w:rsid w:val="007A5373"/>
    <w:pPr>
      <w:ind w:left="2370" w:hanging="476"/>
    </w:pPr>
  </w:style>
  <w:style w:type="paragraph" w:customStyle="1" w:styleId="ZZTIRzmianazmtir">
    <w:name w:val="ZZ/TIR – zmiana zm. tir."/>
    <w:basedOn w:val="ZZLITzmianazmlit"/>
    <w:uiPriority w:val="61"/>
    <w:qFormat/>
    <w:rsid w:val="007A5373"/>
    <w:pPr>
      <w:ind w:left="2291" w:hanging="397"/>
    </w:pPr>
  </w:style>
  <w:style w:type="paragraph" w:customStyle="1" w:styleId="ZROZDZODDZOZNzmoznrozdzoddzartykuempunktem">
    <w:name w:val="Z/ROZDZ(ODDZ)_OZN – zm. ozn. rozdz. (oddz.) artykułem (punktem)"/>
    <w:basedOn w:val="Normalny"/>
    <w:next w:val="ZROZDZODDZPRZEDMzmprzedmrozdzoddzartykuempunktem"/>
    <w:link w:val="ZROZDZODDZOZNzmoznrozdzoddzartykuempunktemZnak"/>
    <w:uiPriority w:val="29"/>
    <w:qFormat/>
    <w:rsid w:val="005F7A88"/>
    <w:pPr>
      <w:keepNext/>
      <w:widowControl/>
      <w:suppressAutoHyphens/>
      <w:autoSpaceDE/>
      <w:autoSpaceDN/>
      <w:adjustRightInd/>
      <w:ind w:left="510"/>
      <w:jc w:val="center"/>
    </w:pPr>
    <w:rPr>
      <w:rFonts w:ascii="Times" w:hAnsi="Times"/>
      <w:bCs/>
      <w:kern w:val="24"/>
      <w:szCs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29"/>
    <w:rsid w:val="005F7A88"/>
    <w:rPr>
      <w:rFonts w:eastAsiaTheme="minorEastAsia" w:cs="Arial"/>
      <w:bCs/>
      <w:kern w:val="24"/>
    </w:rPr>
  </w:style>
  <w:style w:type="character" w:customStyle="1" w:styleId="ZPKTzmpktartykuempunktemZnak">
    <w:name w:val="Z/PKT – zm. pkt artykułem (punktem) Znak"/>
    <w:basedOn w:val="PKTpunktZnak"/>
    <w:link w:val="ZPKTzmpktartykuempunktem"/>
    <w:uiPriority w:val="32"/>
    <w:rsid w:val="00A96265"/>
    <w:rPr>
      <w:rFonts w:eastAsiaTheme="minorEastAsia" w:cs="Arial"/>
      <w:bCs/>
      <w:szCs w:val="20"/>
    </w:rPr>
  </w:style>
  <w:style w:type="paragraph" w:customStyle="1" w:styleId="ZLITUSTzmustliter">
    <w:name w:val="Z_LIT/UST(§) – zm. ust. (§) literą"/>
    <w:basedOn w:val="USTustnpkodeksu"/>
    <w:uiPriority w:val="43"/>
    <w:qFormat/>
    <w:rsid w:val="00295A6F"/>
    <w:pPr>
      <w:ind w:left="987"/>
    </w:pPr>
  </w:style>
  <w:style w:type="paragraph" w:customStyle="1" w:styleId="ZLITPKTzmpktliter">
    <w:name w:val="Z_LIT/PKT – zm. pkt literą"/>
    <w:basedOn w:val="PKTpunkt"/>
    <w:uiPriority w:val="44"/>
    <w:qFormat/>
    <w:rsid w:val="00295A6F"/>
    <w:pPr>
      <w:ind w:left="1497"/>
    </w:pPr>
  </w:style>
  <w:style w:type="paragraph" w:customStyle="1" w:styleId="ZZCZWSPPKTzmianazmczciwsppkt">
    <w:name w:val="ZZ/CZ_WSP_PKT – zmiana. zm. części wsp. pkt"/>
    <w:basedOn w:val="ZZARTzmianazmart"/>
    <w:next w:val="ZPKTzmpktartykuempunktem"/>
    <w:uiPriority w:val="65"/>
    <w:qFormat/>
    <w:rsid w:val="007A5373"/>
    <w:pPr>
      <w:ind w:firstLine="0"/>
    </w:pPr>
  </w:style>
  <w:style w:type="paragraph" w:customStyle="1" w:styleId="ZLITLITzmlitliter">
    <w:name w:val="Z_LIT/LIT – zm. lit. literą"/>
    <w:basedOn w:val="LITlitera"/>
    <w:uiPriority w:val="45"/>
    <w:qFormat/>
    <w:rsid w:val="00295A6F"/>
    <w:pPr>
      <w:ind w:left="1463"/>
    </w:pPr>
  </w:style>
  <w:style w:type="paragraph" w:customStyle="1" w:styleId="ZLITCZWSPPKTzmczciwsppktliter">
    <w:name w:val="Z_LIT/CZ_WSP_PKT – zm. części wsp. pkt literą"/>
    <w:basedOn w:val="CZWSPLITczwsplnaliter"/>
    <w:next w:val="LITlitera"/>
    <w:uiPriority w:val="48"/>
    <w:qFormat/>
    <w:rsid w:val="00295A6F"/>
    <w:pPr>
      <w:ind w:left="987"/>
    </w:pPr>
  </w:style>
  <w:style w:type="paragraph" w:customStyle="1" w:styleId="ZLITTIRzmtirliter">
    <w:name w:val="Z_LIT/TIR – zm. tir. literą"/>
    <w:basedOn w:val="TIRtiret"/>
    <w:uiPriority w:val="46"/>
    <w:qFormat/>
    <w:rsid w:val="00295A6F"/>
  </w:style>
  <w:style w:type="paragraph" w:customStyle="1" w:styleId="ZZCZWSPLITwPKTzmianazmczciwsplitwpkt">
    <w:name w:val="ZZ/CZ_WSP_LIT_w_PKT – zmiana zm. części wsp. lit. w pkt"/>
    <w:basedOn w:val="ZZLITwPKTzmianazmlitwpkt"/>
    <w:uiPriority w:val="66"/>
    <w:qFormat/>
    <w:rsid w:val="00F87802"/>
    <w:pPr>
      <w:ind w:left="2404" w:firstLine="0"/>
    </w:pPr>
  </w:style>
  <w:style w:type="paragraph" w:customStyle="1" w:styleId="ZLITLITwPKTzmlitwpktliter">
    <w:name w:val="Z_LIT/LIT_w_PKT – zm. lit. w pkt literą"/>
    <w:basedOn w:val="LITlitera"/>
    <w:uiPriority w:val="45"/>
    <w:qFormat/>
    <w:rsid w:val="00295A6F"/>
    <w:pPr>
      <w:ind w:left="1973"/>
    </w:pPr>
  </w:style>
  <w:style w:type="paragraph" w:customStyle="1" w:styleId="ZLITCZWSPLITwPKTzmczciwsplitwpktliter">
    <w:name w:val="Z_LIT/CZ_WSP_LIT_w_PKT – zm. części wsp. lit. w pkt literą"/>
    <w:basedOn w:val="CZWSPLITczwsplnaliter"/>
    <w:next w:val="LITlitera"/>
    <w:uiPriority w:val="49"/>
    <w:qFormat/>
    <w:rsid w:val="00295A6F"/>
    <w:pPr>
      <w:ind w:left="1497"/>
    </w:pPr>
  </w:style>
  <w:style w:type="paragraph" w:customStyle="1" w:styleId="ZLITTIRwPKTzmtirwpktliter">
    <w:name w:val="Z_LIT/TIR_w_PKT – zm. tir. w pkt literą"/>
    <w:basedOn w:val="TIRtiret"/>
    <w:uiPriority w:val="46"/>
    <w:qFormat/>
    <w:rsid w:val="00295A6F"/>
    <w:pPr>
      <w:ind w:left="2370"/>
    </w:pPr>
  </w:style>
  <w:style w:type="paragraph" w:customStyle="1" w:styleId="ZLITCZWSPTIRwPKTzmczciwsptirwpktliter">
    <w:name w:val="Z_LIT/CZ_WSP_TIR_w_PKT – zm. części wsp. tir. w pkt literą"/>
    <w:basedOn w:val="CZWSPTIRczwsplnatiret"/>
    <w:next w:val="LITlitera"/>
    <w:uiPriority w:val="49"/>
    <w:qFormat/>
    <w:rsid w:val="00295A6F"/>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4"/>
    <w:qFormat/>
    <w:rsid w:val="00295A6F"/>
    <w:pPr>
      <w:ind w:left="1859"/>
    </w:pPr>
  </w:style>
  <w:style w:type="character" w:customStyle="1" w:styleId="ZTIRLITzmlittiretZnak">
    <w:name w:val="Z_TIR/LIT – zm. lit. tiret Znak"/>
    <w:basedOn w:val="LITliteraZnak"/>
    <w:link w:val="ZTIRLITzmlittiret"/>
    <w:uiPriority w:val="54"/>
    <w:rsid w:val="005F7A88"/>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95A6F"/>
    <w:pPr>
      <w:ind w:left="1383"/>
    </w:pPr>
  </w:style>
  <w:style w:type="character" w:customStyle="1" w:styleId="ZTIRCZWSPPKTzmczciwsppkttiretZnak">
    <w:name w:val="Z_TIR/CZ_WSP_PKT – zm. części wsp. pkt tiret Znak"/>
    <w:basedOn w:val="CZWSPLITczwsplnaliterZnak"/>
    <w:link w:val="ZTIRCZWSPPKTzmczciwsppkttiret"/>
    <w:uiPriority w:val="56"/>
    <w:rsid w:val="005F7A88"/>
    <w:rPr>
      <w:rFonts w:eastAsiaTheme="minorEastAsia" w:cs="Arial"/>
      <w:bCs/>
      <w:szCs w:val="20"/>
    </w:rPr>
  </w:style>
  <w:style w:type="paragraph" w:customStyle="1" w:styleId="ZTIRTIRzmtirtiret">
    <w:name w:val="Z_TIR/TIR – zm. tir. tiret"/>
    <w:basedOn w:val="TIRtiret"/>
    <w:link w:val="ZTIRTIRzmtirtiretZnak"/>
    <w:uiPriority w:val="54"/>
    <w:qFormat/>
    <w:rsid w:val="00295A6F"/>
    <w:pPr>
      <w:ind w:left="1780"/>
    </w:pPr>
  </w:style>
  <w:style w:type="character" w:customStyle="1" w:styleId="ZTIRTIRzmtirtiretZnak">
    <w:name w:val="Z_TIR/TIR – zm. tir. tiret Znak"/>
    <w:basedOn w:val="TIRtiretZnak"/>
    <w:link w:val="ZTIRTIRzmtirtiret"/>
    <w:uiPriority w:val="54"/>
    <w:rsid w:val="005F7A88"/>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680058"/>
    <w:pPr>
      <w:ind w:left="2880" w:firstLine="0"/>
    </w:pPr>
  </w:style>
  <w:style w:type="paragraph" w:customStyle="1" w:styleId="ZZTIRwLITzmianazmtirwlit">
    <w:name w:val="ZZ/TIR_w_LIT – zmiana zm. tir. w lit."/>
    <w:basedOn w:val="ZZTIRzmianazmtir"/>
    <w:uiPriority w:val="61"/>
    <w:qFormat/>
    <w:rsid w:val="00037E1A"/>
    <w:pPr>
      <w:ind w:left="2767"/>
    </w:pPr>
  </w:style>
  <w:style w:type="paragraph" w:customStyle="1" w:styleId="ZTIRTIRwLITzmtirwlittiret">
    <w:name w:val="Z_TIR/TIR_w_LIT – zm. tir. w lit. tiret"/>
    <w:basedOn w:val="TIRtiret"/>
    <w:link w:val="ZTIRTIRwLITzmtirwlittiretZnak"/>
    <w:uiPriority w:val="54"/>
    <w:qFormat/>
    <w:rsid w:val="00295A6F"/>
    <w:pPr>
      <w:ind w:left="2257"/>
    </w:pPr>
  </w:style>
  <w:style w:type="character" w:customStyle="1" w:styleId="ZTIRTIRwLITzmtirwlittiretZnak">
    <w:name w:val="Z_TIR/TIR_w_LIT – zm. tir. w lit. tiret Znak"/>
    <w:basedOn w:val="TIRtiretZnak"/>
    <w:link w:val="ZTIRTIRwLITzmtirwlittiret"/>
    <w:uiPriority w:val="54"/>
    <w:rsid w:val="005F7A88"/>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7"/>
    <w:qFormat/>
    <w:rsid w:val="00295A6F"/>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7"/>
    <w:rsid w:val="005F7A88"/>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95A6F"/>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11493E"/>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95A6F"/>
    <w:pPr>
      <w:ind w:left="907"/>
    </w:pPr>
  </w:style>
  <w:style w:type="character" w:customStyle="1" w:styleId="Z2TIRzmpodwtirartykuempunktemZnak">
    <w:name w:val="Z/2TIR – zm. podw. tir. artykułem (punktem) Znak"/>
    <w:basedOn w:val="TIRtiretZnak"/>
    <w:link w:val="Z2TIRzmpodwtirartykuempunktem"/>
    <w:uiPriority w:val="71"/>
    <w:rsid w:val="0011493E"/>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680058"/>
    <w:pPr>
      <w:ind w:left="2370" w:firstLine="0"/>
    </w:pPr>
  </w:style>
  <w:style w:type="paragraph" w:customStyle="1" w:styleId="ZLIT2TIRzmpodwtirliter">
    <w:name w:val="Z_LIT/2TIR – zm. podw. tir. literą"/>
    <w:basedOn w:val="TIRtiret"/>
    <w:link w:val="ZLIT2TIRzmpodwtirliterZnak"/>
    <w:uiPriority w:val="75"/>
    <w:qFormat/>
    <w:rsid w:val="00295A6F"/>
  </w:style>
  <w:style w:type="character" w:customStyle="1" w:styleId="ZLIT2TIRzmpodwtirliterZnak">
    <w:name w:val="Z_LIT/2TIR – zm. podw. tir. literą Znak"/>
    <w:basedOn w:val="TIRtiretZnak"/>
    <w:link w:val="ZLIT2TIRzmpodwtirliter"/>
    <w:uiPriority w:val="75"/>
    <w:rsid w:val="0011493E"/>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95A6F"/>
    <w:pPr>
      <w:ind w:left="1780"/>
    </w:pPr>
  </w:style>
  <w:style w:type="character" w:customStyle="1" w:styleId="ZTIR2TIRzmpodwtirtiretZnak">
    <w:name w:val="Z_TIR/2TIR – zm. podw. tir. tiret Znak"/>
    <w:basedOn w:val="TIRtiretZnak"/>
    <w:link w:val="ZTIR2TIRzmpodwtirtiret"/>
    <w:uiPriority w:val="80"/>
    <w:rsid w:val="0011493E"/>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95A6F"/>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11493E"/>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95A6F"/>
    <w:pPr>
      <w:ind w:left="2688"/>
    </w:pPr>
  </w:style>
  <w:style w:type="character" w:customStyle="1" w:styleId="Z2TIRwPKTzmpodwtirwpktartykuempunktemZnak">
    <w:name w:val="Z/2TIR_w_PKT – zm. podw. tir. w pkt artykułem (punktem) Znak"/>
    <w:basedOn w:val="TIRtiretZnak"/>
    <w:link w:val="Z2TIRwPKTzmpodwtirwpktartykuempunktem"/>
    <w:uiPriority w:val="72"/>
    <w:rsid w:val="0011493E"/>
    <w:rPr>
      <w:rFonts w:eastAsiaTheme="minorEastAsia" w:cs="Arial"/>
      <w:bCs/>
      <w:szCs w:val="20"/>
    </w:rPr>
  </w:style>
  <w:style w:type="paragraph" w:customStyle="1" w:styleId="ZTIRPKTzmpkttiret">
    <w:name w:val="Z_TIR/PKT – zm. pkt tiret"/>
    <w:basedOn w:val="PKTpunkt"/>
    <w:link w:val="ZTIRPKTzmpkttiretZnak"/>
    <w:uiPriority w:val="53"/>
    <w:qFormat/>
    <w:rsid w:val="00295A6F"/>
    <w:pPr>
      <w:ind w:left="1893"/>
    </w:pPr>
  </w:style>
  <w:style w:type="character" w:customStyle="1" w:styleId="ZTIRPKTzmpkttiretZnak">
    <w:name w:val="Z_TIR/PKT – zm. pkt tiret Znak"/>
    <w:basedOn w:val="PKTpunktZnak"/>
    <w:link w:val="ZTIRPKTzmpkttiret"/>
    <w:uiPriority w:val="53"/>
    <w:rsid w:val="005F7A88"/>
    <w:rPr>
      <w:rFonts w:eastAsiaTheme="minorEastAsia" w:cs="Arial"/>
      <w:bCs/>
      <w:szCs w:val="20"/>
    </w:rPr>
  </w:style>
  <w:style w:type="paragraph" w:customStyle="1" w:styleId="ZTIRLITwPKTzmlitwpkttiret">
    <w:name w:val="Z_TIR/LIT_w_PKT – zm. lit. w pkt tiret"/>
    <w:basedOn w:val="LITlitera"/>
    <w:link w:val="ZTIRLITwPKTzmlitwpkttiretZnak"/>
    <w:uiPriority w:val="54"/>
    <w:qFormat/>
    <w:rsid w:val="00295A6F"/>
    <w:pPr>
      <w:ind w:left="2336"/>
    </w:pPr>
  </w:style>
  <w:style w:type="character" w:customStyle="1" w:styleId="ZTIRLITwPKTzmlitwpkttiretZnak">
    <w:name w:val="Z_TIR/LIT_w_PKT – zm. lit. w pkt tiret Znak"/>
    <w:basedOn w:val="LITliteraZnak"/>
    <w:link w:val="ZTIRLITwPKTzmlitwpkttiret"/>
    <w:uiPriority w:val="54"/>
    <w:rsid w:val="005F7A88"/>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7"/>
    <w:qFormat/>
    <w:rsid w:val="00295A6F"/>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7"/>
    <w:rsid w:val="005F7A88"/>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95A6F"/>
    <w:pPr>
      <w:ind w:left="2654"/>
    </w:pPr>
  </w:style>
  <w:style w:type="character" w:customStyle="1" w:styleId="ZTIR2TIRwLITzmpodwtirwlittiretZnak">
    <w:name w:val="Z_TIR/2TIR_w_LIT – zm. podw. tir. w lit. tiret Znak"/>
    <w:basedOn w:val="TIRtiretZnak"/>
    <w:link w:val="ZTIR2TIRwLITzmpodwtirwlittiret"/>
    <w:uiPriority w:val="81"/>
    <w:rsid w:val="0011493E"/>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95A6F"/>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11493E"/>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95A6F"/>
    <w:pPr>
      <w:ind w:left="2177"/>
    </w:pPr>
  </w:style>
  <w:style w:type="character" w:customStyle="1" w:styleId="ZTIR2TIRwTIRzmpodwtirwtirtiretZnak">
    <w:name w:val="Z_TIR/2TIR_w_TIR – zm. podw. tir. w tir. tiret Znak"/>
    <w:basedOn w:val="TIRtiretZnak"/>
    <w:link w:val="ZTIR2TIRwTIRzmpodwtirwtirtiret"/>
    <w:uiPriority w:val="80"/>
    <w:rsid w:val="0011493E"/>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95A6F"/>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11493E"/>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95A6F"/>
    <w:pPr>
      <w:ind w:left="2256"/>
    </w:pPr>
  </w:style>
  <w:style w:type="character" w:customStyle="1" w:styleId="Z2TIRLITzmlitpodwjnymtiretZnak">
    <w:name w:val="Z_2TIR/LIT – zm. lit. podwójnym tiret Znak"/>
    <w:basedOn w:val="LITliteraZnak"/>
    <w:link w:val="Z2TIRLITzmlitpodwjnymtiret"/>
    <w:uiPriority w:val="83"/>
    <w:rsid w:val="0011493E"/>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435D26"/>
    <w:pPr>
      <w:ind w:left="2688"/>
    </w:pPr>
  </w:style>
  <w:style w:type="paragraph" w:customStyle="1" w:styleId="ZZ2TIRwLITzmianazmpodwtirwlit">
    <w:name w:val="ZZ/2TIR_w_LIT – zmiana zm. podw. tir. w lit."/>
    <w:basedOn w:val="ZZ2TIRwTIRzmianazmpodwtirwtir"/>
    <w:uiPriority w:val="91"/>
    <w:qFormat/>
    <w:rsid w:val="00435D26"/>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95A6F"/>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11493E"/>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95A6F"/>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11493E"/>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435D26"/>
    <w:pPr>
      <w:ind w:left="3674"/>
    </w:pPr>
  </w:style>
  <w:style w:type="paragraph" w:customStyle="1" w:styleId="ZZCZWSP2TIRwTIRzmianazmczciwsppodwtirwtir">
    <w:name w:val="ZZ/CZ_WSP_2TIR_w_TIR – zmiana zm. części wsp. podw. tir. w tir."/>
    <w:basedOn w:val="ZZ2TIRwLITzmianazmpodwtirwlit"/>
    <w:uiPriority w:val="95"/>
    <w:qFormat/>
    <w:rsid w:val="00435D26"/>
    <w:pPr>
      <w:ind w:left="2767"/>
    </w:pPr>
  </w:style>
  <w:style w:type="paragraph" w:customStyle="1" w:styleId="Z2TIR2TIRwTIRzmpodwtirwtirpodwjnymtiret">
    <w:name w:val="Z_2TIR/2TIR_w_TIR – zm. podw. tir. w tir. podwójnym tiret"/>
    <w:basedOn w:val="TIRtiret"/>
    <w:link w:val="Z2TIR2TIRwTIRzmpodwtirwtirpodwjnymtiretZnak"/>
    <w:uiPriority w:val="84"/>
    <w:qFormat/>
    <w:rsid w:val="00295A6F"/>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11493E"/>
    <w:rPr>
      <w:rFonts w:eastAsiaTheme="minorEastAsia" w:cs="Arial"/>
      <w:bCs/>
      <w:szCs w:val="20"/>
    </w:rPr>
  </w:style>
  <w:style w:type="paragraph" w:customStyle="1" w:styleId="Z2TIRCZWSP2TIRwTIRzmczciwsppodwtiretwtiretpodwjnymtiret">
    <w:name w:val="Z_2TIR/CZ_WSP_2TIR_w_TIR – zm. części wsp. podw. tiret w tiret podwójnym tiret"/>
    <w:basedOn w:val="CZWSPTIRczwsplnatiret"/>
    <w:next w:val="2TIRpodwjnytiret"/>
    <w:link w:val="Z2TIRCZWSP2TIRwTIRzmczciwsppodwtiretwtiretpodwjnymtiretZnak"/>
    <w:uiPriority w:val="86"/>
    <w:qFormat/>
    <w:rsid w:val="00295A6F"/>
    <w:pPr>
      <w:ind w:left="2177"/>
    </w:pPr>
  </w:style>
  <w:style w:type="character" w:customStyle="1" w:styleId="Z2TIRCZWSP2TIRwTIRzmczciwsppodwtiretwtiretpodwjnymtiretZnak">
    <w:name w:val="Z_2TIR/CZ_WSP_2TIR_w_TIR – zm. części wsp. podw. tiret w tiret podwójnym tiret Znak"/>
    <w:basedOn w:val="CZWSPTIRczwsplnatiretZnak"/>
    <w:link w:val="Z2TIRCZWSP2TIRwTIRzmczciwsppodwtiretwtiretpodwjnymtiret"/>
    <w:uiPriority w:val="86"/>
    <w:rsid w:val="0011493E"/>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95A6F"/>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11493E"/>
    <w:rPr>
      <w:rFonts w:eastAsiaTheme="minorEastAsia" w:cs="Arial"/>
      <w:bCs/>
      <w:szCs w:val="20"/>
    </w:rPr>
  </w:style>
  <w:style w:type="paragraph" w:customStyle="1" w:styleId="Z2TIRCZWSP2TIRwLITzmczciwsppodwtiretwlitpodwjnymtiret">
    <w:name w:val="Z_2TIR/CZ_WSP_2TIR_w_LIT – zm. części wsp. podw. tiret w lit. podwójnym tiret"/>
    <w:basedOn w:val="CZWSPTIRczwsplnatiret"/>
    <w:next w:val="2TIRpodwjnytiret"/>
    <w:link w:val="Z2TIRCZWSP2TIRwLITzmczciwsppodwtiretwlitpodwjnymtiretZnak"/>
    <w:uiPriority w:val="87"/>
    <w:qFormat/>
    <w:rsid w:val="00295A6F"/>
    <w:pPr>
      <w:ind w:left="2654"/>
    </w:pPr>
  </w:style>
  <w:style w:type="character" w:customStyle="1" w:styleId="Z2TIRCZWSP2TIRwLITzmczciwsppodwtiretwlitpodwjnymtiretZnak">
    <w:name w:val="Z_2TIR/CZ_WSP_2TIR_w_LIT – zm. części wsp. podw. tiret w lit. podwójnym tiret Znak"/>
    <w:basedOn w:val="CZWSPTIRczwsplnatiretZnak"/>
    <w:link w:val="Z2TIRCZWSP2TIRwLITzmczciwsppodwtiretwlitpodwjnymtiret"/>
    <w:uiPriority w:val="87"/>
    <w:rsid w:val="0011493E"/>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28"/>
    <w:qFormat/>
    <w:rsid w:val="00295A6F"/>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28"/>
    <w:rsid w:val="005F7A88"/>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29"/>
    <w:qFormat/>
    <w:rsid w:val="00295A6F"/>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29"/>
    <w:rsid w:val="005F7A88"/>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59"/>
    <w:qFormat/>
    <w:rsid w:val="007E2CFE"/>
    <w:pPr>
      <w:ind w:left="1894"/>
    </w:pPr>
  </w:style>
  <w:style w:type="paragraph" w:customStyle="1" w:styleId="ZZPKTzmianazmpkt">
    <w:name w:val="ZZ/PKT – zmiana zm. pkt"/>
    <w:basedOn w:val="ZPKTzmpktartykuempunktem"/>
    <w:uiPriority w:val="60"/>
    <w:qFormat/>
    <w:rsid w:val="007E2CFE"/>
    <w:pPr>
      <w:ind w:left="2404"/>
    </w:pPr>
  </w:style>
  <w:style w:type="paragraph" w:customStyle="1" w:styleId="ZZLITwPKTzmianazmlitwpkt">
    <w:name w:val="ZZ/LIT_w_PKT – zmiana zm. lit. w pkt"/>
    <w:basedOn w:val="ZLITWPKTzmlitwpktartykuempunktem"/>
    <w:uiPriority w:val="61"/>
    <w:qFormat/>
    <w:rsid w:val="00572512"/>
    <w:pPr>
      <w:ind w:left="2880"/>
    </w:pPr>
  </w:style>
  <w:style w:type="paragraph" w:customStyle="1" w:styleId="ZZTIRwPKTzmianazmtirwpkt">
    <w:name w:val="ZZ/TIR_w_PKT – zmiana zm. tir. w pkt"/>
    <w:basedOn w:val="ZTIRwPKTzmtirwpktartykuempunktem"/>
    <w:uiPriority w:val="61"/>
    <w:qFormat/>
    <w:rsid w:val="00572512"/>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39"/>
    <w:qFormat/>
    <w:rsid w:val="00680058"/>
    <w:pPr>
      <w:ind w:left="1021"/>
    </w:pPr>
  </w:style>
  <w:style w:type="paragraph" w:customStyle="1" w:styleId="ODNONIKtreodnonika">
    <w:name w:val="ODNOŚNIK – treść odnośnika"/>
    <w:basedOn w:val="Tekstprzypisudolnego"/>
    <w:uiPriority w:val="19"/>
    <w:qFormat/>
    <w:rsid w:val="00295A6F"/>
    <w:pPr>
      <w:widowControl/>
      <w:ind w:left="284" w:hanging="284"/>
    </w:pPr>
    <w:rPr>
      <w:rFonts w:ascii="Times New Roman" w:eastAsiaTheme="minorEastAsia" w:hAnsi="Times New Roman" w:cs="Arial"/>
      <w:szCs w:val="20"/>
    </w:rPr>
  </w:style>
  <w:style w:type="paragraph" w:customStyle="1" w:styleId="ZFRAGzmfragmentunpzdaniaartykuempunktem">
    <w:name w:val="Z/FRAG – zm. fragmentu (np. zdania) artykułem (punktem)"/>
    <w:basedOn w:val="ZARTzmartartykuempunktem"/>
    <w:next w:val="PKTpunkt"/>
    <w:uiPriority w:val="38"/>
    <w:qFormat/>
    <w:rsid w:val="00295A6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95A6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95A6F"/>
    <w:rPr>
      <w:rFonts w:ascii="Times New Roman" w:hAnsi="Times New Roman"/>
    </w:rPr>
  </w:style>
  <w:style w:type="paragraph" w:customStyle="1" w:styleId="ZTIRTIRwPKTzmtirwpkttiret">
    <w:name w:val="Z_TIR/TIR_w_PKT – zm. tir. w pkt tiret"/>
    <w:basedOn w:val="ZTIRTIRwLITzmtirwlittiret"/>
    <w:uiPriority w:val="54"/>
    <w:qFormat/>
    <w:rsid w:val="00295A6F"/>
    <w:pPr>
      <w:ind w:left="2733"/>
    </w:pPr>
  </w:style>
  <w:style w:type="paragraph" w:customStyle="1" w:styleId="ZTIRCZWSPTIRwPKTzmczciwsptirtiret">
    <w:name w:val="Z_TIR/CZ_WSP_TIR_w_PKT – zm. części wsp. tir. tiret"/>
    <w:basedOn w:val="ZTIRTIRwPKTzmtirwpkttiret"/>
    <w:next w:val="TIRtiret"/>
    <w:uiPriority w:val="57"/>
    <w:qFormat/>
    <w:rsid w:val="00295A6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295A6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5F7A88"/>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5F7A88"/>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95A6F"/>
    <w:pPr>
      <w:ind w:left="2177"/>
    </w:pPr>
  </w:style>
  <w:style w:type="character" w:customStyle="1" w:styleId="Z2TIR2TIRzmpodwtirpodwjnymtiretZnak">
    <w:name w:val="Z_2TIR/2TIR – zm. podw. tir. podwójnym tiret Znak"/>
    <w:basedOn w:val="TIRtiretZnak"/>
    <w:link w:val="Z2TIR2TIRzmpodwtirpodwjnymtiret"/>
    <w:uiPriority w:val="84"/>
    <w:rsid w:val="0011493E"/>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95A6F"/>
    <w:pPr>
      <w:ind w:left="2177"/>
    </w:pPr>
  </w:style>
  <w:style w:type="character" w:customStyle="1" w:styleId="Z2TIRTIRzmtirpodwjnymtiretZnak">
    <w:name w:val="Z_2TIR/TIR – zm. tir. podwójnym tiret Znak"/>
    <w:basedOn w:val="TIRtiretZnak"/>
    <w:link w:val="Z2TIRTIRzmtirpodwjnymtiret"/>
    <w:uiPriority w:val="83"/>
    <w:rsid w:val="0011493E"/>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8"/>
    <w:qFormat/>
    <w:rsid w:val="00AC4EA1"/>
    <w:pPr>
      <w:ind w:left="1021"/>
    </w:pPr>
  </w:style>
  <w:style w:type="paragraph" w:customStyle="1" w:styleId="ZLITSKARNzmsankcjikarnejliter">
    <w:name w:val="Z_LIT/S_KARN – zm. sankcji karnej literą"/>
    <w:basedOn w:val="ZSKARNzmsankcjikarnejwszczeglnociwKodeksiekarnym"/>
    <w:uiPriority w:val="51"/>
    <w:qFormat/>
    <w:rsid w:val="00AC4EA1"/>
    <w:pPr>
      <w:ind w:left="1497"/>
    </w:pPr>
  </w:style>
  <w:style w:type="paragraph" w:customStyle="1" w:styleId="ZCYTwARTUSTzmcytatuwrazzartlubust">
    <w:name w:val="Z/CYT_w_ART(§|UST) – zm. cytatu wraz z art. (§ lub ust.)"/>
    <w:basedOn w:val="CYTcytatnpprzysigi"/>
    <w:uiPriority w:val="38"/>
    <w:qFormat/>
    <w:rsid w:val="00047312"/>
    <w:pPr>
      <w:ind w:left="1021"/>
    </w:pPr>
  </w:style>
  <w:style w:type="paragraph" w:customStyle="1" w:styleId="ZCZWSP2TIRwPKTzmczciwsppodwtirwpktartykuempunktem">
    <w:name w:val="Z/CZ_WSP_2TIR_w_PKT – zm. części wsp. podw. tir w pkt artykułem (punktem)"/>
    <w:basedOn w:val="Z2TIRwPKTzmpodwtirwpktartykuempunktem"/>
    <w:uiPriority w:val="73"/>
    <w:qFormat/>
    <w:rsid w:val="00866867"/>
    <w:pPr>
      <w:ind w:left="2291" w:firstLine="0"/>
    </w:pPr>
  </w:style>
  <w:style w:type="paragraph" w:customStyle="1" w:styleId="Z2TIRwLITzmpodwtirwlitartykuempunktem">
    <w:name w:val="Z/2TIR_w_LIT – zm. podw. tir. w lit. artykułem (punktem)"/>
    <w:basedOn w:val="Z2TIRwPKTzmpodwtirwpktartykuempunktem"/>
    <w:uiPriority w:val="72"/>
    <w:qFormat/>
    <w:rsid w:val="00047312"/>
    <w:pPr>
      <w:ind w:left="2177"/>
    </w:pPr>
  </w:style>
  <w:style w:type="paragraph" w:customStyle="1" w:styleId="Z2TIRwTIRzmpodwtirwtirartykuempunktem">
    <w:name w:val="Z/2TIR_w_TIR – zm. podw. tir. w tir. artykułem (punktem)"/>
    <w:basedOn w:val="Z2TIRwLITzmpodwtirwlitartykuempunktem"/>
    <w:uiPriority w:val="71"/>
    <w:qFormat/>
    <w:rsid w:val="00047312"/>
    <w:pPr>
      <w:ind w:left="1701"/>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A95936"/>
    <w:pPr>
      <w:ind w:left="1304" w:firstLine="0"/>
    </w:pPr>
  </w:style>
  <w:style w:type="paragraph" w:customStyle="1" w:styleId="ZCZWSP2TIRwLITzmczciwsppodwtirwlitartykuempunktem">
    <w:name w:val="Z/CZ_WSP_2TIR_w_LIT – zm. części wsp. podw. tir w lit. artykułem (punktem)"/>
    <w:basedOn w:val="Z2TIRwLITzmpodwtirwlitartykuempunktem"/>
    <w:uiPriority w:val="73"/>
    <w:qFormat/>
    <w:rsid w:val="00A95936"/>
    <w:pPr>
      <w:ind w:left="1780" w:firstLine="0"/>
    </w:pPr>
  </w:style>
  <w:style w:type="paragraph" w:customStyle="1" w:styleId="ZLITCYTwUSTzmcytatunpprzysigiwustlubliter">
    <w:name w:val="Z_LIT/CYT_w_UST(§) – zm. cytatu np. przysięgi w ust. lub § literą"/>
    <w:basedOn w:val="ZCYTwARTUSTzmcytatuwrazzartlubust"/>
    <w:uiPriority w:val="52"/>
    <w:qFormat/>
    <w:rsid w:val="00A95936"/>
    <w:pPr>
      <w:ind w:left="1497"/>
    </w:pPr>
  </w:style>
  <w:style w:type="paragraph" w:customStyle="1" w:styleId="ZZCZWSP2TIRzmianazmczciwsppodwtir">
    <w:name w:val="ZZ/CZ_WSP_2TIR – zmiana. zm. części wsp. podw. tir."/>
    <w:basedOn w:val="ZZTIRzmianazmtir"/>
    <w:uiPriority w:val="62"/>
    <w:qFormat/>
    <w:rsid w:val="00952018"/>
    <w:pPr>
      <w:ind w:left="1894" w:firstLine="0"/>
    </w:pPr>
  </w:style>
  <w:style w:type="paragraph" w:customStyle="1" w:styleId="PKTODNONIKApunktodnonika">
    <w:name w:val="PKT_ODNOŚNIKA – punkt odnośnika"/>
    <w:basedOn w:val="ODNONIKtreodnonika"/>
    <w:uiPriority w:val="25"/>
    <w:qFormat/>
    <w:rsid w:val="00494F62"/>
    <w:pPr>
      <w:ind w:left="568"/>
    </w:pPr>
  </w:style>
  <w:style w:type="paragraph" w:customStyle="1" w:styleId="ZODNONIKAzmtekstuodnonikaartykuempunktem">
    <w:name w:val="Z/ODNOŚNIKA – zm. tekstu odnośnika artykułem (punktem)"/>
    <w:basedOn w:val="ODNONIKtreodnonika"/>
    <w:uiPriority w:val="40"/>
    <w:qFormat/>
    <w:rsid w:val="00BD1040"/>
    <w:pPr>
      <w:ind w:left="907" w:hanging="397"/>
    </w:pPr>
  </w:style>
  <w:style w:type="paragraph" w:customStyle="1" w:styleId="ZPKTwODNONIKUzmpktwzmienianymodnonikuartykuempunktem">
    <w:name w:val="Z/PKT_w_ODNOŚNIKU – zm. pkt w zmienianym odnośniku artykułem (punktem)"/>
    <w:basedOn w:val="ZODNONIKAzmtekstuodnonikaartykuempunktem"/>
    <w:uiPriority w:val="40"/>
    <w:qFormat/>
    <w:rsid w:val="00BD1040"/>
    <w:pPr>
      <w:ind w:left="1304"/>
    </w:pPr>
  </w:style>
  <w:style w:type="paragraph" w:customStyle="1" w:styleId="ZPKTODNONIKAzmpktodnonikaartykuempunktem">
    <w:name w:val="Z/PKT_ODNOŚNIKA – zm. pkt odnośnika artykułem (punktem)"/>
    <w:basedOn w:val="ZODNONIKAzmtekstuodnonikaartykuempunktem"/>
    <w:uiPriority w:val="40"/>
    <w:qFormat/>
    <w:rsid w:val="002E64FA"/>
  </w:style>
  <w:style w:type="paragraph" w:customStyle="1" w:styleId="ZLIT2TIRwTIRzmpodwtirwtirliter">
    <w:name w:val="Z_LIT/2TIR_w_TIR – zm. podw. tir. w tir. literą"/>
    <w:basedOn w:val="ZLIT2TIRzmpodwtirliter"/>
    <w:uiPriority w:val="75"/>
    <w:qFormat/>
    <w:rsid w:val="00866867"/>
    <w:pPr>
      <w:ind w:left="1780"/>
    </w:pPr>
  </w:style>
  <w:style w:type="paragraph" w:customStyle="1" w:styleId="ZLIT2TIRwLITzmpodwtirwlitliter">
    <w:name w:val="Z_LIT/2TIR_w_LIT – zm. podw. tir. w lit. literą"/>
    <w:basedOn w:val="ZLIT2TIRwTIRzmpodwtirwtirliter"/>
    <w:uiPriority w:val="76"/>
    <w:qFormat/>
    <w:rsid w:val="00866867"/>
    <w:pPr>
      <w:ind w:left="2257"/>
    </w:pPr>
  </w:style>
  <w:style w:type="paragraph" w:customStyle="1" w:styleId="ZLIT2TIRwPKTzmpodwtirwpktliter">
    <w:name w:val="Z_LIT/2TIR_w_PKT – zm. podw. tir. w pkt literą"/>
    <w:basedOn w:val="ZLIT2TIRwLITzmpodwtirwlitliter"/>
    <w:uiPriority w:val="76"/>
    <w:qFormat/>
    <w:rsid w:val="00B51A7D"/>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B51A7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B51A7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B51A7D"/>
    <w:pPr>
      <w:ind w:left="2370" w:firstLine="0"/>
    </w:pPr>
  </w:style>
  <w:style w:type="paragraph" w:customStyle="1" w:styleId="ZTIR2TIRwPKTzmpodwtirwpkttiret">
    <w:name w:val="Z_TIR/2TIR_w_PKT – zm. podw. tir. w pkt tiret"/>
    <w:basedOn w:val="ZTIR2TIRwLITzmpodwtirwlittiret"/>
    <w:uiPriority w:val="81"/>
    <w:qFormat/>
    <w:rsid w:val="00AC00F2"/>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AC00F2"/>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F600FE"/>
    <w:pPr>
      <w:ind w:left="2767"/>
    </w:pPr>
  </w:style>
  <w:style w:type="paragraph" w:customStyle="1" w:styleId="ZZCZWSP2TIRwPKTzmianazmczciwsppodwtirwpkt">
    <w:name w:val="ZZ/CZ_WSP_2TIR_w_PKT – zmiana zm. części wsp. podw. tir. w pkt"/>
    <w:basedOn w:val="ZZ2TIRwLITzmianazmpodwtirwlit"/>
    <w:uiPriority w:val="96"/>
    <w:qFormat/>
    <w:rsid w:val="00F600FE"/>
    <w:pPr>
      <w:ind w:left="3277"/>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FD7468"/>
  </w:style>
  <w:style w:type="paragraph" w:customStyle="1" w:styleId="ZLITCZWSP2TIRzmczciwsppodwtirliter">
    <w:name w:val="Z_LIT/CZ_WSP_2TIR – zm. części wsp. podw. tir. literą"/>
    <w:basedOn w:val="ZLITCZWSPPKTzmczciwsppktliter"/>
    <w:next w:val="LITlitera"/>
    <w:uiPriority w:val="78"/>
    <w:qFormat/>
    <w:rsid w:val="00FD7468"/>
  </w:style>
  <w:style w:type="paragraph" w:customStyle="1" w:styleId="ZTIRCZWSP2TIRzmczciwsppodwtirtiret">
    <w:name w:val="Z_TIR/CZ_WSP_2TIR – zm. części wsp. podw. tir. tiret"/>
    <w:basedOn w:val="ZLITCZWSP2TIRzmczciwsppodwtirliter"/>
    <w:next w:val="TIRtiret"/>
    <w:uiPriority w:val="81"/>
    <w:qFormat/>
    <w:rsid w:val="00FD7468"/>
  </w:style>
  <w:style w:type="paragraph" w:customStyle="1" w:styleId="ZZ2TIRzmianazmpodwtir">
    <w:name w:val="ZZ/2TIR – zmiana. zm. podw. tir."/>
    <w:basedOn w:val="ZZCZWSP2TIRzmianazmczciwsppodwtir"/>
    <w:uiPriority w:val="90"/>
    <w:qFormat/>
    <w:rsid w:val="00952018"/>
    <w:pPr>
      <w:ind w:left="2291" w:hanging="397"/>
    </w:pPr>
  </w:style>
  <w:style w:type="paragraph" w:customStyle="1" w:styleId="ZCZWSPLITzmczciwsplitartykuempunktem">
    <w:name w:val="Z/CZ_WSP_LIT – zm. części wsp. lit. artykułem (punktem)"/>
    <w:basedOn w:val="ZCZWSPPKTzmczciwsppktartykuempunktem"/>
    <w:next w:val="PKTpunkt"/>
    <w:uiPriority w:val="36"/>
    <w:qFormat/>
    <w:rsid w:val="002279C0"/>
  </w:style>
  <w:style w:type="paragraph" w:customStyle="1" w:styleId="ZCZWSPTIRzmczciwsptirartykuempunktem">
    <w:name w:val="Z/CZ_WSP_TIR – zm. części wsp. tir. artykułem (punktem)"/>
    <w:basedOn w:val="ZCZWSPPKTzmczciwsppktartykuempunktem"/>
    <w:next w:val="PKTpunkt"/>
    <w:uiPriority w:val="36"/>
    <w:qFormat/>
    <w:rsid w:val="002279C0"/>
  </w:style>
  <w:style w:type="paragraph" w:customStyle="1" w:styleId="ZLITCZWSPLITzmczciwsplitliter">
    <w:name w:val="Z_LIT/CZ_WSP_LIT – zm. części wsp. lit. literą"/>
    <w:basedOn w:val="ZLITCZWSPPKTzmczciwsppktliter"/>
    <w:next w:val="LITlitera"/>
    <w:uiPriority w:val="49"/>
    <w:qFormat/>
    <w:rsid w:val="002279C0"/>
  </w:style>
  <w:style w:type="paragraph" w:customStyle="1" w:styleId="ZLITCZWSPTIRzmczciwsptirliter">
    <w:name w:val="Z_LIT/CZ_WSP_TIR – zm. części wsp. tir. literą"/>
    <w:basedOn w:val="ZLITCZWSPPKTzmczciwsppktliter"/>
    <w:next w:val="LITlitera"/>
    <w:uiPriority w:val="49"/>
    <w:qFormat/>
    <w:rsid w:val="002279C0"/>
  </w:style>
  <w:style w:type="paragraph" w:customStyle="1" w:styleId="ZTIRCZWSPLITzmczciwsplittiret">
    <w:name w:val="Z_TIR/CZ_WSP_LIT – zm. części wsp. lit. tiret"/>
    <w:basedOn w:val="ZTIRCZWSPPKTzmczciwsppkttiret"/>
    <w:next w:val="TIRtiret"/>
    <w:uiPriority w:val="57"/>
    <w:qFormat/>
    <w:rsid w:val="002279C0"/>
  </w:style>
  <w:style w:type="paragraph" w:customStyle="1" w:styleId="ZTIRCZWSPTIRzmczciwsptirtiret">
    <w:name w:val="Z_TIR/CZ_WSP_TIR – zm. części wsp. tir. tiret"/>
    <w:basedOn w:val="ZTIRCZWSPPKTzmczciwsppkttiret"/>
    <w:next w:val="TIRtiret"/>
    <w:uiPriority w:val="57"/>
    <w:qFormat/>
    <w:rsid w:val="002279C0"/>
  </w:style>
  <w:style w:type="paragraph" w:customStyle="1" w:styleId="ZZCZWSPLITzmianazmczciwsplit">
    <w:name w:val="ZZ/CZ_WSP_LIT – zmiana. zm. części wsp. lit."/>
    <w:basedOn w:val="ZZCZWSPPKTzmianazmczciwsppkt"/>
    <w:uiPriority w:val="66"/>
    <w:qFormat/>
    <w:rsid w:val="002279C0"/>
  </w:style>
  <w:style w:type="paragraph" w:customStyle="1" w:styleId="ZZCZWSPTIRzmianazmczciwsptir">
    <w:name w:val="ZZ/CZ_WSP_TIR – zmiana. zm. części wsp. tir."/>
    <w:basedOn w:val="ZZCZWSPPKTzmianazmczciwsppkt"/>
    <w:uiPriority w:val="66"/>
    <w:qFormat/>
    <w:rsid w:val="002279C0"/>
  </w:style>
  <w:style w:type="paragraph" w:customStyle="1" w:styleId="Z2TIRCZWSPTIRzmczciwsptirpodwjnymtiret">
    <w:name w:val="Z_2TIR/CZ_WSP_TIR – zm. części wsp. tir. podwójnym tiret"/>
    <w:basedOn w:val="Z2TIRCZWSPLITzmczciwsplitpodwjnymtiret"/>
    <w:next w:val="2TIRpodwjnytiret"/>
    <w:uiPriority w:val="85"/>
    <w:qFormat/>
    <w:rsid w:val="007D6DCE"/>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7D6DCE"/>
  </w:style>
  <w:style w:type="paragraph" w:customStyle="1" w:styleId="ZUSTzmustartykuempunktem">
    <w:name w:val="Z/UST(§) – zm. ust. (§) artykułem (punktem)"/>
    <w:basedOn w:val="ZARTzmartartykuempunktem"/>
    <w:uiPriority w:val="30"/>
    <w:qFormat/>
    <w:rsid w:val="0088318F"/>
  </w:style>
  <w:style w:type="paragraph" w:customStyle="1" w:styleId="ZZUSTzmianazmust">
    <w:name w:val="ZZ/UST(§) – zmiana zm. ust. (§)"/>
    <w:basedOn w:val="ZZARTzmianazmart"/>
    <w:uiPriority w:val="59"/>
    <w:qFormat/>
    <w:rsid w:val="00B80402"/>
  </w:style>
  <w:style w:type="paragraph" w:customStyle="1" w:styleId="TYTDZPRZEDMprzedmiotregulacjitytuulubdziau">
    <w:name w:val="TYT(DZ)_PRZEDM – przedmiot regulacji tytułu lub działu"/>
    <w:basedOn w:val="Normalny"/>
    <w:next w:val="ARTartustawynprozporzdzenia"/>
    <w:link w:val="TYTDZPRZEDMprzedmiotregulacjitytuulubdziauZnak"/>
    <w:uiPriority w:val="7"/>
    <w:qFormat/>
    <w:rsid w:val="00946DD0"/>
    <w:pPr>
      <w:keepNext/>
      <w:suppressAutoHyphens/>
      <w:spacing w:before="120"/>
      <w:jc w:val="center"/>
    </w:pPr>
    <w:rPr>
      <w:rFonts w:ascii="Times" w:eastAsia="Times New Roman" w:hAnsi="Times" w:cs="Times New Roman"/>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946DD0"/>
    <w:rPr>
      <w:b/>
      <w:szCs w:val="26"/>
    </w:rPr>
  </w:style>
  <w:style w:type="paragraph" w:customStyle="1" w:styleId="ZNIEARTTEKSTzmtekstunieartykuowanego">
    <w:name w:val="Z/NIEART_TEKST – zm. tekstu nieartykułowanego"/>
    <w:basedOn w:val="NIEARTTEKSTtekstnieartykuowanynppreambua"/>
    <w:uiPriority w:val="38"/>
    <w:qFormat/>
    <w:rsid w:val="005635E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5F7A8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5F7A8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5F7A8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5F7A8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5F7A88"/>
    <w:pPr>
      <w:ind w:left="1894"/>
    </w:pPr>
  </w:style>
  <w:style w:type="paragraph" w:customStyle="1" w:styleId="Podpis-A7">
    <w:name w:val="Podpis-A7"/>
    <w:basedOn w:val="Normalny"/>
    <w:rsid w:val="00E63BAC"/>
    <w:pPr>
      <w:widowControl/>
      <w:tabs>
        <w:tab w:val="center" w:pos="1701"/>
        <w:tab w:val="center" w:pos="6237"/>
      </w:tabs>
      <w:autoSpaceDE/>
      <w:autoSpaceDN/>
      <w:adjustRightInd/>
      <w:jc w:val="left"/>
    </w:pPr>
    <w:rPr>
      <w:rFonts w:eastAsia="Times New Roman" w:cs="Times New Roman"/>
    </w:rPr>
  </w:style>
  <w:style w:type="paragraph" w:styleId="Tekstpodstawowy">
    <w:name w:val="Body Text"/>
    <w:basedOn w:val="Normalny"/>
    <w:link w:val="TekstpodstawowyZnak"/>
    <w:rsid w:val="00E63BAC"/>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E63BAC"/>
    <w:rPr>
      <w:rFonts w:ascii="Times New Roman" w:hAnsi="Times New Roman"/>
      <w:szCs w:val="20"/>
    </w:rPr>
  </w:style>
  <w:style w:type="paragraph" w:customStyle="1" w:styleId="akapit">
    <w:name w:val="akapit"/>
    <w:basedOn w:val="Normalny"/>
    <w:rsid w:val="00B1776A"/>
    <w:pPr>
      <w:widowControl/>
      <w:autoSpaceDE/>
      <w:autoSpaceDN/>
      <w:adjustRightInd/>
      <w:ind w:firstLine="851"/>
    </w:pPr>
    <w:rPr>
      <w:rFonts w:eastAsia="Times New Roman" w:cs="Times New Roman"/>
    </w:rPr>
  </w:style>
  <w:style w:type="character" w:customStyle="1" w:styleId="Ppogrubienie">
    <w:name w:val="_P_ – pogrubienie"/>
    <w:basedOn w:val="Domylnaczcionkaakapitu"/>
    <w:uiPriority w:val="1"/>
    <w:qFormat/>
    <w:rsid w:val="00A73BBF"/>
    <w:rPr>
      <w:b/>
    </w:rPr>
  </w:style>
  <w:style w:type="paragraph" w:customStyle="1" w:styleId="OZNPROJEKTUwskazaniedatylubwersjiprojektu">
    <w:name w:val="OZN_PROJEKTU – wskazanie daty lub wersji projektu"/>
    <w:next w:val="OZNRODZAKTUtznustawalubrozporzdzenieiorganwydajcy"/>
    <w:qFormat/>
    <w:rsid w:val="009F74DA"/>
    <w:pPr>
      <w:jc w:val="right"/>
    </w:pPr>
    <w:rPr>
      <w:rFonts w:ascii="Times New Roman" w:eastAsiaTheme="minorEastAsia" w:hAnsi="Times New Roman" w:cs="Arial"/>
      <w:szCs w:val="20"/>
      <w:u w:val="single"/>
    </w:rPr>
  </w:style>
  <w:style w:type="character" w:customStyle="1" w:styleId="IGindeksgrny">
    <w:name w:val="_IG_ – indeks górny"/>
    <w:basedOn w:val="Domylnaczcionkaakapitu"/>
    <w:uiPriority w:val="2"/>
    <w:qFormat/>
    <w:rsid w:val="009F74DA"/>
    <w:rPr>
      <w:b w:val="0"/>
      <w:i w:val="0"/>
      <w:vanish w:val="0"/>
      <w:spacing w:val="0"/>
      <w:vertAlign w:val="superscript"/>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267254"/>
    <w:rPr>
      <w:bCs/>
    </w:rPr>
  </w:style>
  <w:style w:type="character" w:customStyle="1" w:styleId="Kkursywa">
    <w:name w:val="_K_ – kursywa"/>
    <w:basedOn w:val="Domylnaczcionkaakapitu"/>
    <w:uiPriority w:val="1"/>
    <w:qFormat/>
    <w:rsid w:val="00267254"/>
    <w:rPr>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9D4E85"/>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uiPriority w:val="99"/>
    <w:semiHidden/>
    <w:rsid w:val="004C3F97"/>
    <w:pPr>
      <w:spacing w:after="600"/>
      <w:ind w:left="5245"/>
    </w:pPr>
  </w:style>
  <w:style w:type="paragraph" w:customStyle="1" w:styleId="ZLITWPKTzmlitwpktartykuempunktem">
    <w:name w:val="Z/LIT_W_PKT – zm. lit. w pkt artykułem (punktem)"/>
    <w:basedOn w:val="LITlitera"/>
    <w:uiPriority w:val="33"/>
    <w:qFormat/>
    <w:rsid w:val="00295A6F"/>
    <w:pPr>
      <w:ind w:left="1497"/>
    </w:pPr>
  </w:style>
  <w:style w:type="paragraph" w:customStyle="1" w:styleId="ZTIRwPKTzmtirwpktartykuempunktem">
    <w:name w:val="Z/TIR_w_PKT – zm. tir. w pkt artykułem (punktem)"/>
    <w:basedOn w:val="TIRtiret"/>
    <w:link w:val="ZTIRwPKTzmtirwpktartykuempunktemZnak"/>
    <w:uiPriority w:val="34"/>
    <w:qFormat/>
    <w:rsid w:val="007E2CFE"/>
    <w:pPr>
      <w:ind w:left="1894"/>
    </w:pPr>
  </w:style>
  <w:style w:type="character" w:customStyle="1" w:styleId="ZTIRwPKTzmtirwpktartykuempunktemZnak">
    <w:name w:val="Z/TIR_w_PKT – zm. tir. w pkt artykułem (punktem) Znak"/>
    <w:basedOn w:val="TIRtiretZnak"/>
    <w:link w:val="ZTIRwPKTzmtirwpktartykuempunktem"/>
    <w:uiPriority w:val="34"/>
    <w:rsid w:val="00A96265"/>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6"/>
    <w:qFormat/>
    <w:rsid w:val="00295A6F"/>
    <w:pPr>
      <w:ind w:left="1021"/>
    </w:pPr>
  </w:style>
  <w:style w:type="paragraph" w:customStyle="1" w:styleId="2TIRpodwjnytiret">
    <w:name w:val="2TIR – podwójny tiret"/>
    <w:basedOn w:val="TIRtiret"/>
    <w:link w:val="2TIRpodwjnytiretZnak"/>
    <w:uiPriority w:val="71"/>
    <w:qFormat/>
    <w:rsid w:val="00295A6F"/>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6"/>
    <w:rsid w:val="00A96265"/>
    <w:rPr>
      <w:rFonts w:eastAsiaTheme="minorEastAsia" w:cs="Arial"/>
      <w:bCs/>
      <w:szCs w:val="20"/>
    </w:rPr>
  </w:style>
  <w:style w:type="character" w:customStyle="1" w:styleId="2TIRpodwjnytiretZnak">
    <w:name w:val="2TIR – podwójny tiret Znak"/>
    <w:basedOn w:val="TIRtiretZnak"/>
    <w:link w:val="2TIRpodwjnytiret"/>
    <w:uiPriority w:val="71"/>
    <w:rsid w:val="0011493E"/>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 w:val="16"/>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95A6F"/>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7"/>
    <w:qFormat/>
    <w:rsid w:val="00295A6F"/>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7"/>
    <w:rsid w:val="00A96265"/>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4"/>
    <w:qFormat/>
    <w:rsid w:val="00295A6F"/>
  </w:style>
  <w:style w:type="character" w:customStyle="1" w:styleId="ZTIRwLITzmtirwlitartykuempunktemZnak">
    <w:name w:val="Z/TIR_w_LIT – zm. tir. w lit. artykułem (punktem) Znak"/>
    <w:basedOn w:val="TIRtiretZnak"/>
    <w:link w:val="ZTIRwLITzmtirwlitartykuempunktem"/>
    <w:uiPriority w:val="34"/>
    <w:rsid w:val="00A96265"/>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7"/>
    <w:qFormat/>
    <w:rsid w:val="00295A6F"/>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7"/>
    <w:rsid w:val="00A96265"/>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D72CC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paragraph" w:customStyle="1" w:styleId="tekstwtabeli">
    <w:name w:val="tekst w tabeli"/>
    <w:basedOn w:val="Normalny"/>
    <w:link w:val="tekstwtabeliZnak"/>
    <w:uiPriority w:val="99"/>
    <w:semiHidden/>
    <w:qFormat/>
    <w:rsid w:val="004C3F97"/>
    <w:pPr>
      <w:framePr w:hSpace="141" w:wrap="around" w:vAnchor="text" w:hAnchor="margin" w:xAlign="center" w:y="175"/>
      <w:suppressAutoHyphens/>
      <w:autoSpaceDE/>
      <w:autoSpaceDN/>
      <w:adjustRightInd/>
      <w:spacing w:before="120" w:after="120"/>
      <w:jc w:val="center"/>
    </w:pPr>
    <w:rPr>
      <w:kern w:val="1"/>
      <w:lang w:eastAsia="ar-SA"/>
    </w:rPr>
  </w:style>
  <w:style w:type="character" w:customStyle="1" w:styleId="tekstwtabeliZnak">
    <w:name w:val="tekst w tabeli Znak"/>
    <w:link w:val="tekstwtabeli"/>
    <w:uiPriority w:val="99"/>
    <w:semiHidden/>
    <w:rsid w:val="004504C0"/>
    <w:rPr>
      <w:rFonts w:ascii="Arial" w:eastAsiaTheme="minorEastAsia" w:hAnsi="Arial" w:cs="Arial"/>
      <w:kern w:val="1"/>
      <w:sz w:val="20"/>
      <w:szCs w:val="20"/>
      <w:lang w:eastAsia="ar-SA"/>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2"/>
    <w:qFormat/>
    <w:rsid w:val="00295A6F"/>
    <w:pPr>
      <w:ind w:left="1020"/>
    </w:pPr>
  </w:style>
  <w:style w:type="paragraph" w:customStyle="1" w:styleId="ZARTzmartartykuempunktem">
    <w:name w:val="Z/ART(§) – zm. art. (§) artykułem (punktem)"/>
    <w:basedOn w:val="ARTartustawynprozporzdzenia"/>
    <w:uiPriority w:val="30"/>
    <w:qFormat/>
    <w:rsid w:val="00295A6F"/>
    <w:pPr>
      <w:spacing w:before="0"/>
      <w:ind w:left="510"/>
    </w:pPr>
  </w:style>
  <w:style w:type="paragraph" w:customStyle="1" w:styleId="Tabela">
    <w:name w:val="Tabela"/>
    <w:next w:val="Normalny"/>
    <w:uiPriority w:val="99"/>
    <w:semiHidden/>
    <w:rsid w:val="004C3F97"/>
    <w:pPr>
      <w:widowControl w:val="0"/>
      <w:autoSpaceDE w:val="0"/>
      <w:autoSpaceDN w:val="0"/>
      <w:adjustRightInd w:val="0"/>
    </w:pPr>
    <w:rPr>
      <w:rFonts w:ascii="Arial" w:eastAsiaTheme="minorEastAsia" w:hAnsi="Arial" w:cs="Arial"/>
    </w:r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95A6F"/>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D72CC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95A6F"/>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D72CC1"/>
    <w:rPr>
      <w:rFonts w:eastAsiaTheme="minorEastAsia" w:cs="Arial"/>
      <w:b/>
      <w:bCs/>
    </w:rPr>
  </w:style>
  <w:style w:type="paragraph" w:customStyle="1" w:styleId="CZKSIGAoznaczenieiprzedmiotczcilubksigi">
    <w:name w:val="CZĘŚĆ(KSIĘGA) – oznaczenie i przedmiot części lub księgi"/>
    <w:basedOn w:val="Normalny"/>
    <w:next w:val="ARTartustawynprozporzdzenia"/>
    <w:link w:val="CZKSIGAoznaczenieiprzedmiotczcilubksigiZnak"/>
    <w:uiPriority w:val="5"/>
    <w:qFormat/>
    <w:rsid w:val="00295A6F"/>
    <w:pPr>
      <w:keepNext/>
      <w:suppressAutoHyphens/>
      <w:spacing w:before="120"/>
      <w:jc w:val="center"/>
    </w:pPr>
    <w:rPr>
      <w:rFonts w:ascii="Times" w:eastAsia="Times New Roman" w:hAnsi="Times" w:cs="Times New Roman"/>
      <w:b/>
      <w:bCs/>
      <w:caps/>
      <w:kern w:val="24"/>
      <w:szCs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D72CC1"/>
    <w:rPr>
      <w:b/>
      <w:bCs/>
      <w:caps/>
      <w:kern w:val="24"/>
    </w:rPr>
  </w:style>
  <w:style w:type="paragraph" w:customStyle="1" w:styleId="TYTDZPRZEDMprzedmiotregulacjitutuulubdziau">
    <w:name w:val="TYT(DZ)_PRZEDM – przedmiot regulacji tutułu lub działu"/>
    <w:basedOn w:val="Normalny"/>
    <w:next w:val="ARTartustawynprozporzdzenia"/>
    <w:link w:val="TYTDZPRZEDMprzedmiotregulacjitutuulubdziauZnak"/>
    <w:uiPriority w:val="7"/>
    <w:qFormat/>
    <w:rsid w:val="00295A6F"/>
    <w:pPr>
      <w:keepNext/>
      <w:suppressAutoHyphens/>
      <w:spacing w:before="120"/>
      <w:jc w:val="center"/>
    </w:pPr>
    <w:rPr>
      <w:rFonts w:ascii="Times" w:eastAsia="Times New Roman" w:hAnsi="Times" w:cs="Times New Roman"/>
      <w:b/>
      <w:szCs w:val="26"/>
    </w:rPr>
  </w:style>
  <w:style w:type="character" w:customStyle="1" w:styleId="TYTDZPRZEDMprzedmiotregulacjitutuulubdziauZnak">
    <w:name w:val="TYT(DZ)_PRZEDM – przedmiot regulacji tutułu lub działu Znak"/>
    <w:basedOn w:val="Domylnaczcionkaakapitu"/>
    <w:link w:val="TYTDZPRZEDMprzedmiotregulacjitutuulubdziau"/>
    <w:uiPriority w:val="7"/>
    <w:rsid w:val="00D72CC1"/>
    <w:rPr>
      <w:b/>
      <w:szCs w:val="26"/>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95A6F"/>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D72CC1"/>
    <w:rPr>
      <w:rFonts w:eastAsiaTheme="minorEastAsia" w:cs="Arial"/>
      <w:bCs/>
      <w:szCs w:val="20"/>
    </w:rPr>
  </w:style>
  <w:style w:type="paragraph" w:customStyle="1" w:styleId="OZNRODZAKTUtznustawalubrozporzdzenieiorganwydajcy">
    <w:name w:val="OZN_RODZ_AKTU – tzn. ustawa lub rozporządzenie i organ wydający"/>
    <w:basedOn w:val="Normalny"/>
    <w:next w:val="DATAAKTUdatauchwalenialubwydaniaaktu"/>
    <w:link w:val="OZNRODZAKTUtznustawalubrozporzdzenieiorganwydajcyZnak"/>
    <w:uiPriority w:val="5"/>
    <w:qFormat/>
    <w:rsid w:val="005635ED"/>
    <w:pPr>
      <w:keepNext/>
      <w:suppressAutoHyphens/>
      <w:spacing w:after="120"/>
      <w:jc w:val="center"/>
    </w:pPr>
    <w:rPr>
      <w:rFonts w:ascii="Times" w:eastAsia="Times New Roman" w:hAnsi="Times" w:cs="Times New Roman"/>
      <w:b/>
      <w:bCs/>
      <w:caps/>
      <w:spacing w:val="54"/>
      <w:kern w:val="24"/>
      <w:szCs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5635ED"/>
    <w:rPr>
      <w:b/>
      <w:bCs/>
      <w:caps/>
      <w:spacing w:val="54"/>
      <w:kern w:val="24"/>
    </w:rPr>
  </w:style>
  <w:style w:type="paragraph" w:customStyle="1" w:styleId="USTustnpkodeksu">
    <w:name w:val="UST(§) – ust. (§ np. kodeksu)"/>
    <w:basedOn w:val="ARTartustawynprozporzdzenia"/>
    <w:link w:val="USTustnpkodeksuZnak"/>
    <w:uiPriority w:val="12"/>
    <w:qFormat/>
    <w:rsid w:val="00295A6F"/>
    <w:pPr>
      <w:spacing w:before="0"/>
    </w:pPr>
    <w:rPr>
      <w:bCs/>
    </w:rPr>
  </w:style>
  <w:style w:type="character" w:customStyle="1" w:styleId="USTustnpkodeksuZnak">
    <w:name w:val="UST(§) – ust. (§ np. kodeksu) Znak"/>
    <w:basedOn w:val="ARTartustawynprozporzdzeniaZnak"/>
    <w:link w:val="USTustnpkodeksu"/>
    <w:uiPriority w:val="15"/>
    <w:rsid w:val="00D72CC1"/>
    <w:rPr>
      <w:rFonts w:eastAsiaTheme="minorEastAsia" w:cs="Arial"/>
      <w:bCs/>
      <w:szCs w:val="20"/>
    </w:rPr>
  </w:style>
  <w:style w:type="paragraph" w:customStyle="1" w:styleId="PKTpunkt">
    <w:name w:val="PKT – punkt"/>
    <w:basedOn w:val="USTustnpkodeksu"/>
    <w:link w:val="PKTpunktZnak"/>
    <w:uiPriority w:val="16"/>
    <w:qFormat/>
    <w:rsid w:val="00295A6F"/>
    <w:pPr>
      <w:ind w:left="510" w:hanging="510"/>
    </w:pPr>
  </w:style>
  <w:style w:type="character" w:customStyle="1" w:styleId="PKTpunktZnak">
    <w:name w:val="PKT – punkt Znak"/>
    <w:basedOn w:val="Domylnaczcionkaakapitu"/>
    <w:link w:val="PKTpunkt"/>
    <w:uiPriority w:val="16"/>
    <w:locked/>
    <w:rsid w:val="00D72CC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95A6F"/>
    <w:pPr>
      <w:ind w:left="0" w:firstLine="0"/>
    </w:pPr>
  </w:style>
  <w:style w:type="character" w:customStyle="1" w:styleId="CZWSPPKTczwsplnapunktwZnak">
    <w:name w:val="CZ_WSP_PKT – część wspólna punktów Znak"/>
    <w:basedOn w:val="PKTpunktZnak"/>
    <w:link w:val="CZWSPPKTczwsplnapunktw"/>
    <w:uiPriority w:val="19"/>
    <w:rsid w:val="00A96265"/>
    <w:rPr>
      <w:rFonts w:eastAsiaTheme="minorEastAsia" w:cs="Arial"/>
      <w:bCs/>
      <w:szCs w:val="20"/>
    </w:rPr>
  </w:style>
  <w:style w:type="paragraph" w:customStyle="1" w:styleId="LITlitera">
    <w:name w:val="LIT – litera"/>
    <w:basedOn w:val="PKTpunkt"/>
    <w:link w:val="LITliteraZnak"/>
    <w:uiPriority w:val="17"/>
    <w:qFormat/>
    <w:rsid w:val="00295A6F"/>
    <w:pPr>
      <w:ind w:left="986" w:hanging="476"/>
    </w:pPr>
  </w:style>
  <w:style w:type="character" w:customStyle="1" w:styleId="LITliteraZnak">
    <w:name w:val="LIT – litera Znak"/>
    <w:basedOn w:val="PKTpunktZnak"/>
    <w:link w:val="LITlitera"/>
    <w:uiPriority w:val="17"/>
    <w:rsid w:val="00D72CC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95A6F"/>
    <w:pPr>
      <w:ind w:left="510" w:firstLine="0"/>
    </w:pPr>
    <w:rPr>
      <w:szCs w:val="24"/>
    </w:rPr>
  </w:style>
  <w:style w:type="character" w:customStyle="1" w:styleId="CZWSPLITczwsplnaliterZnak">
    <w:name w:val="CZ_WSP_LIT – część wspólna liter Znak"/>
    <w:basedOn w:val="LITliteraZnak"/>
    <w:link w:val="CZWSPLITczwsplnaliter"/>
    <w:uiPriority w:val="20"/>
    <w:rsid w:val="00A96265"/>
    <w:rPr>
      <w:rFonts w:eastAsiaTheme="minorEastAsia" w:cs="Arial"/>
      <w:bCs/>
      <w:szCs w:val="20"/>
    </w:rPr>
  </w:style>
  <w:style w:type="paragraph" w:customStyle="1" w:styleId="TIRtiret">
    <w:name w:val="TIR – tiret"/>
    <w:basedOn w:val="LITlitera"/>
    <w:link w:val="TIRtiretZnak"/>
    <w:uiPriority w:val="18"/>
    <w:qFormat/>
    <w:rsid w:val="00295A6F"/>
    <w:pPr>
      <w:ind w:left="1384" w:hanging="397"/>
    </w:pPr>
  </w:style>
  <w:style w:type="character" w:customStyle="1" w:styleId="TIRtiretZnak">
    <w:name w:val="TIR – tiret Znak"/>
    <w:basedOn w:val="Domylnaczcionkaakapitu"/>
    <w:link w:val="TIRtiret"/>
    <w:uiPriority w:val="18"/>
    <w:rsid w:val="00D72CC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95A6F"/>
    <w:pPr>
      <w:ind w:left="987" w:firstLine="0"/>
    </w:pPr>
  </w:style>
  <w:style w:type="character" w:customStyle="1" w:styleId="CZWSPTIRczwsplnatiretZnak">
    <w:name w:val="CZ_WSP_TIR – część wspólna tiret Znak"/>
    <w:basedOn w:val="TIRtiretZnak"/>
    <w:link w:val="CZWSPTIRczwsplnatiret"/>
    <w:uiPriority w:val="21"/>
    <w:rsid w:val="00A96265"/>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95A6F"/>
    <w:pPr>
      <w:ind w:left="510" w:right="510" w:firstLine="0"/>
      <w:mirrorIndents/>
    </w:pPr>
  </w:style>
  <w:style w:type="character" w:customStyle="1" w:styleId="CYTcytatnpprzysigiZnak">
    <w:name w:val="CYT – cytat np. przysięgi Znak"/>
    <w:link w:val="CYTcytatnpprzysigi"/>
    <w:uiPriority w:val="23"/>
    <w:locked/>
    <w:rsid w:val="00A96265"/>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95A6F"/>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D72CC1"/>
    <w:rPr>
      <w:rFonts w:eastAsiaTheme="minorEastAsia"/>
      <w:b/>
      <w:bCs/>
    </w:rPr>
  </w:style>
  <w:style w:type="paragraph" w:customStyle="1" w:styleId="ZLITzmlitartykuempunktem">
    <w:name w:val="Z/LIT – zm. lit. artykułem (punktem)"/>
    <w:basedOn w:val="LITlitera"/>
    <w:uiPriority w:val="33"/>
    <w:qFormat/>
    <w:rsid w:val="00295A6F"/>
  </w:style>
  <w:style w:type="paragraph" w:customStyle="1" w:styleId="ZLITCZWSPTIRwLITzmczciwsptirwlitliter">
    <w:name w:val="Z_LIT/CZ_WSP_TIR_w_LIT – zm. części wsp. tir. w lit. literą"/>
    <w:basedOn w:val="CZWSPTIRczwsplnatiret"/>
    <w:next w:val="LITlitera"/>
    <w:uiPriority w:val="49"/>
    <w:qFormat/>
    <w:rsid w:val="00295A6F"/>
    <w:pPr>
      <w:ind w:left="1463"/>
    </w:pPr>
  </w:style>
  <w:style w:type="paragraph" w:customStyle="1" w:styleId="ZLITTIRwLITzmtirwlitliter">
    <w:name w:val="Z_LIT/TIR_w_LIT – zm. tir. w lit. literą"/>
    <w:basedOn w:val="TIRtiret"/>
    <w:uiPriority w:val="46"/>
    <w:qFormat/>
    <w:rsid w:val="00295A6F"/>
    <w:pPr>
      <w:ind w:left="1860"/>
    </w:pPr>
  </w:style>
  <w:style w:type="paragraph" w:customStyle="1" w:styleId="TYTDZOZNoznaczenietytuulubdziau">
    <w:name w:val="TYT(DZ)_OZN – oznaczenie tytułu lub działu"/>
    <w:next w:val="TYTDZPRZEDMprzedmiotregulacjitutuulubdziau"/>
    <w:link w:val="TYTDZOZNoznaczenietytuulubdziauZnak"/>
    <w:uiPriority w:val="6"/>
    <w:qFormat/>
    <w:rsid w:val="00295A6F"/>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basedOn w:val="Normalny"/>
    <w:link w:val="WMATFIZCHEMwzorymatfizlubchemiichlegendyZnak"/>
    <w:uiPriority w:val="22"/>
    <w:qFormat/>
    <w:rsid w:val="00295A6F"/>
    <w:pPr>
      <w:ind w:left="510"/>
    </w:pPr>
    <w:rPr>
      <w:rFonts w:ascii="Times" w:eastAsia="Times New Roman" w:hAnsi="Times" w:cs="Times New Roman"/>
      <w:szCs w:val="24"/>
    </w:rPr>
  </w:style>
  <w:style w:type="character" w:customStyle="1" w:styleId="TYTDZOZNoznaczenietytuulubdziauZnak">
    <w:name w:val="TYT(DZ)_OZN – oznaczenie tytułu lub działu Znak"/>
    <w:basedOn w:val="Domylnaczcionkaakapitu"/>
    <w:link w:val="TYTDZOZNoznaczenietytuulubdziau"/>
    <w:uiPriority w:val="6"/>
    <w:rsid w:val="00D72CC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A96265"/>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28"/>
    <w:qFormat/>
    <w:rsid w:val="00295A6F"/>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28"/>
    <w:rsid w:val="005F7A88"/>
    <w:rPr>
      <w:rFonts w:eastAsiaTheme="minorEastAsia" w:cs="Arial"/>
      <w:bCs/>
      <w:caps/>
      <w:kern w:val="24"/>
    </w:rPr>
  </w:style>
  <w:style w:type="paragraph" w:customStyle="1" w:styleId="ZTYTDZPRZEDMzmprzedmtytuulubdziauartykuempunktem">
    <w:name w:val="Z/TYT(DZ)_PRZEDM – zm. przedm. tytułu lub działu artykułem (punktem)"/>
    <w:basedOn w:val="TYTDZPRZEDMprzedmiotregulacjitutuulubdziau"/>
    <w:next w:val="ZARTzmartartykuempunktem"/>
    <w:link w:val="ZTYTDZPRZEDMzmprzedmtytuulubdziauartykuempunktemZnak"/>
    <w:uiPriority w:val="28"/>
    <w:qFormat/>
    <w:rsid w:val="00295A6F"/>
    <w:pPr>
      <w:spacing w:before="0"/>
      <w:ind w:left="510"/>
    </w:pPr>
    <w:rPr>
      <w:b w:val="0"/>
    </w:rPr>
  </w:style>
  <w:style w:type="character" w:customStyle="1" w:styleId="ZTYTDZPRZEDMzmprzedmtytuulubdziauartykuempunktemZnak">
    <w:name w:val="Z/TYT(DZ)_PRZEDM – zm. przedm. tytułu lub działu artykułem (punktem) Znak"/>
    <w:basedOn w:val="TYTDZPRZEDMprzedmiotregulacjitutuulubdziauZnak"/>
    <w:link w:val="ZTYTDZPRZEDMzmprzedmtytuulubdziauartykuempunktem"/>
    <w:uiPriority w:val="28"/>
    <w:rsid w:val="005F7A88"/>
    <w:rPr>
      <w:b/>
      <w:szCs w:val="26"/>
    </w:rPr>
  </w:style>
  <w:style w:type="paragraph" w:customStyle="1" w:styleId="ZTIRzmtirartykuempunktem">
    <w:name w:val="Z/TIR – zm. tir. artykułem (punktem)"/>
    <w:basedOn w:val="TIRtiret"/>
    <w:next w:val="PKTpunkt"/>
    <w:uiPriority w:val="34"/>
    <w:qFormat/>
    <w:rsid w:val="00295A6F"/>
    <w:pPr>
      <w:ind w:left="907"/>
    </w:pPr>
  </w:style>
  <w:style w:type="paragraph" w:customStyle="1" w:styleId="ZCZWSPPKTzmczciwsppktartykuempunktem">
    <w:name w:val="Z/CZ_WSP_PKT – zm. części wsp. pkt artykułem (punktem)"/>
    <w:basedOn w:val="CZWSPPKTczwsplnapunktw"/>
    <w:next w:val="ZARTzmartartykuempunktem"/>
    <w:uiPriority w:val="35"/>
    <w:qFormat/>
    <w:rsid w:val="00295A6F"/>
    <w:pPr>
      <w:ind w:left="510"/>
    </w:pPr>
  </w:style>
  <w:style w:type="paragraph" w:customStyle="1" w:styleId="ZZLITzmianazmlit">
    <w:name w:val="ZZ/LIT – zmiana zm. lit."/>
    <w:basedOn w:val="ZZPKTzmianazmpkt"/>
    <w:uiPriority w:val="61"/>
    <w:qFormat/>
    <w:rsid w:val="007A5373"/>
    <w:pPr>
      <w:ind w:left="2370" w:hanging="476"/>
    </w:pPr>
  </w:style>
  <w:style w:type="paragraph" w:customStyle="1" w:styleId="ZZTIRzmianazmtir">
    <w:name w:val="ZZ/TIR – zmiana zm. tir."/>
    <w:basedOn w:val="ZZLITzmianazmlit"/>
    <w:uiPriority w:val="61"/>
    <w:qFormat/>
    <w:rsid w:val="007A5373"/>
    <w:pPr>
      <w:ind w:left="2291" w:hanging="397"/>
    </w:pPr>
  </w:style>
  <w:style w:type="paragraph" w:customStyle="1" w:styleId="ZROZDZODDZOZNzmoznrozdzoddzartykuempunktem">
    <w:name w:val="Z/ROZDZ(ODDZ)_OZN – zm. ozn. rozdz. (oddz.) artykułem (punktem)"/>
    <w:basedOn w:val="Normalny"/>
    <w:next w:val="ZROZDZODDZPRZEDMzmprzedmrozdzoddzartykuempunktem"/>
    <w:link w:val="ZROZDZODDZOZNzmoznrozdzoddzartykuempunktemZnak"/>
    <w:uiPriority w:val="29"/>
    <w:qFormat/>
    <w:rsid w:val="005F7A88"/>
    <w:pPr>
      <w:keepNext/>
      <w:widowControl/>
      <w:suppressAutoHyphens/>
      <w:autoSpaceDE/>
      <w:autoSpaceDN/>
      <w:adjustRightInd/>
      <w:ind w:left="510"/>
      <w:jc w:val="center"/>
    </w:pPr>
    <w:rPr>
      <w:rFonts w:ascii="Times" w:hAnsi="Times"/>
      <w:bCs/>
      <w:kern w:val="24"/>
      <w:szCs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29"/>
    <w:rsid w:val="005F7A88"/>
    <w:rPr>
      <w:rFonts w:eastAsiaTheme="minorEastAsia" w:cs="Arial"/>
      <w:bCs/>
      <w:kern w:val="24"/>
    </w:rPr>
  </w:style>
  <w:style w:type="character" w:customStyle="1" w:styleId="ZPKTzmpktartykuempunktemZnak">
    <w:name w:val="Z/PKT – zm. pkt artykułem (punktem) Znak"/>
    <w:basedOn w:val="PKTpunktZnak"/>
    <w:link w:val="ZPKTzmpktartykuempunktem"/>
    <w:uiPriority w:val="32"/>
    <w:rsid w:val="00A96265"/>
    <w:rPr>
      <w:rFonts w:eastAsiaTheme="minorEastAsia" w:cs="Arial"/>
      <w:bCs/>
      <w:szCs w:val="20"/>
    </w:rPr>
  </w:style>
  <w:style w:type="paragraph" w:customStyle="1" w:styleId="ZLITUSTzmustliter">
    <w:name w:val="Z_LIT/UST(§) – zm. ust. (§) literą"/>
    <w:basedOn w:val="USTustnpkodeksu"/>
    <w:uiPriority w:val="43"/>
    <w:qFormat/>
    <w:rsid w:val="00295A6F"/>
    <w:pPr>
      <w:ind w:left="987"/>
    </w:pPr>
  </w:style>
  <w:style w:type="paragraph" w:customStyle="1" w:styleId="ZLITPKTzmpktliter">
    <w:name w:val="Z_LIT/PKT – zm. pkt literą"/>
    <w:basedOn w:val="PKTpunkt"/>
    <w:uiPriority w:val="44"/>
    <w:qFormat/>
    <w:rsid w:val="00295A6F"/>
    <w:pPr>
      <w:ind w:left="1497"/>
    </w:pPr>
  </w:style>
  <w:style w:type="paragraph" w:customStyle="1" w:styleId="ZZCZWSPPKTzmianazmczciwsppkt">
    <w:name w:val="ZZ/CZ_WSP_PKT – zmiana. zm. części wsp. pkt"/>
    <w:basedOn w:val="ZZARTzmianazmart"/>
    <w:next w:val="ZPKTzmpktartykuempunktem"/>
    <w:uiPriority w:val="65"/>
    <w:qFormat/>
    <w:rsid w:val="007A5373"/>
    <w:pPr>
      <w:ind w:firstLine="0"/>
    </w:pPr>
  </w:style>
  <w:style w:type="paragraph" w:customStyle="1" w:styleId="ZLITLITzmlitliter">
    <w:name w:val="Z_LIT/LIT – zm. lit. literą"/>
    <w:basedOn w:val="LITlitera"/>
    <w:uiPriority w:val="45"/>
    <w:qFormat/>
    <w:rsid w:val="00295A6F"/>
    <w:pPr>
      <w:ind w:left="1463"/>
    </w:pPr>
  </w:style>
  <w:style w:type="paragraph" w:customStyle="1" w:styleId="ZLITCZWSPPKTzmczciwsppktliter">
    <w:name w:val="Z_LIT/CZ_WSP_PKT – zm. części wsp. pkt literą"/>
    <w:basedOn w:val="CZWSPLITczwsplnaliter"/>
    <w:next w:val="LITlitera"/>
    <w:uiPriority w:val="48"/>
    <w:qFormat/>
    <w:rsid w:val="00295A6F"/>
    <w:pPr>
      <w:ind w:left="987"/>
    </w:pPr>
  </w:style>
  <w:style w:type="paragraph" w:customStyle="1" w:styleId="ZLITTIRzmtirliter">
    <w:name w:val="Z_LIT/TIR – zm. tir. literą"/>
    <w:basedOn w:val="TIRtiret"/>
    <w:uiPriority w:val="46"/>
    <w:qFormat/>
    <w:rsid w:val="00295A6F"/>
  </w:style>
  <w:style w:type="paragraph" w:customStyle="1" w:styleId="ZZCZWSPLITwPKTzmianazmczciwsplitwpkt">
    <w:name w:val="ZZ/CZ_WSP_LIT_w_PKT – zmiana zm. części wsp. lit. w pkt"/>
    <w:basedOn w:val="ZZLITwPKTzmianazmlitwpkt"/>
    <w:uiPriority w:val="66"/>
    <w:qFormat/>
    <w:rsid w:val="00F87802"/>
    <w:pPr>
      <w:ind w:left="2404" w:firstLine="0"/>
    </w:pPr>
  </w:style>
  <w:style w:type="paragraph" w:customStyle="1" w:styleId="ZLITLITwPKTzmlitwpktliter">
    <w:name w:val="Z_LIT/LIT_w_PKT – zm. lit. w pkt literą"/>
    <w:basedOn w:val="LITlitera"/>
    <w:uiPriority w:val="45"/>
    <w:qFormat/>
    <w:rsid w:val="00295A6F"/>
    <w:pPr>
      <w:ind w:left="1973"/>
    </w:pPr>
  </w:style>
  <w:style w:type="paragraph" w:customStyle="1" w:styleId="ZLITCZWSPLITwPKTzmczciwsplitwpktliter">
    <w:name w:val="Z_LIT/CZ_WSP_LIT_w_PKT – zm. części wsp. lit. w pkt literą"/>
    <w:basedOn w:val="CZWSPLITczwsplnaliter"/>
    <w:next w:val="LITlitera"/>
    <w:uiPriority w:val="49"/>
    <w:qFormat/>
    <w:rsid w:val="00295A6F"/>
    <w:pPr>
      <w:ind w:left="1497"/>
    </w:pPr>
  </w:style>
  <w:style w:type="paragraph" w:customStyle="1" w:styleId="ZLITTIRwPKTzmtirwpktliter">
    <w:name w:val="Z_LIT/TIR_w_PKT – zm. tir. w pkt literą"/>
    <w:basedOn w:val="TIRtiret"/>
    <w:uiPriority w:val="46"/>
    <w:qFormat/>
    <w:rsid w:val="00295A6F"/>
    <w:pPr>
      <w:ind w:left="2370"/>
    </w:pPr>
  </w:style>
  <w:style w:type="paragraph" w:customStyle="1" w:styleId="ZLITCZWSPTIRwPKTzmczciwsptirwpktliter">
    <w:name w:val="Z_LIT/CZ_WSP_TIR_w_PKT – zm. części wsp. tir. w pkt literą"/>
    <w:basedOn w:val="CZWSPTIRczwsplnatiret"/>
    <w:next w:val="LITlitera"/>
    <w:uiPriority w:val="49"/>
    <w:qFormat/>
    <w:rsid w:val="00295A6F"/>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4"/>
    <w:qFormat/>
    <w:rsid w:val="00295A6F"/>
    <w:pPr>
      <w:ind w:left="1859"/>
    </w:pPr>
  </w:style>
  <w:style w:type="character" w:customStyle="1" w:styleId="ZTIRLITzmlittiretZnak">
    <w:name w:val="Z_TIR/LIT – zm. lit. tiret Znak"/>
    <w:basedOn w:val="LITliteraZnak"/>
    <w:link w:val="ZTIRLITzmlittiret"/>
    <w:uiPriority w:val="54"/>
    <w:rsid w:val="005F7A88"/>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95A6F"/>
    <w:pPr>
      <w:ind w:left="1383"/>
    </w:pPr>
  </w:style>
  <w:style w:type="character" w:customStyle="1" w:styleId="ZTIRCZWSPPKTzmczciwsppkttiretZnak">
    <w:name w:val="Z_TIR/CZ_WSP_PKT – zm. części wsp. pkt tiret Znak"/>
    <w:basedOn w:val="CZWSPLITczwsplnaliterZnak"/>
    <w:link w:val="ZTIRCZWSPPKTzmczciwsppkttiret"/>
    <w:uiPriority w:val="56"/>
    <w:rsid w:val="005F7A88"/>
    <w:rPr>
      <w:rFonts w:eastAsiaTheme="minorEastAsia" w:cs="Arial"/>
      <w:bCs/>
      <w:szCs w:val="20"/>
    </w:rPr>
  </w:style>
  <w:style w:type="paragraph" w:customStyle="1" w:styleId="ZTIRTIRzmtirtiret">
    <w:name w:val="Z_TIR/TIR – zm. tir. tiret"/>
    <w:basedOn w:val="TIRtiret"/>
    <w:link w:val="ZTIRTIRzmtirtiretZnak"/>
    <w:uiPriority w:val="54"/>
    <w:qFormat/>
    <w:rsid w:val="00295A6F"/>
    <w:pPr>
      <w:ind w:left="1780"/>
    </w:pPr>
  </w:style>
  <w:style w:type="character" w:customStyle="1" w:styleId="ZTIRTIRzmtirtiretZnak">
    <w:name w:val="Z_TIR/TIR – zm. tir. tiret Znak"/>
    <w:basedOn w:val="TIRtiretZnak"/>
    <w:link w:val="ZTIRTIRzmtirtiret"/>
    <w:uiPriority w:val="54"/>
    <w:rsid w:val="005F7A88"/>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680058"/>
    <w:pPr>
      <w:ind w:left="2880" w:firstLine="0"/>
    </w:pPr>
  </w:style>
  <w:style w:type="paragraph" w:customStyle="1" w:styleId="ZZTIRwLITzmianazmtirwlit">
    <w:name w:val="ZZ/TIR_w_LIT – zmiana zm. tir. w lit."/>
    <w:basedOn w:val="ZZTIRzmianazmtir"/>
    <w:uiPriority w:val="61"/>
    <w:qFormat/>
    <w:rsid w:val="00037E1A"/>
    <w:pPr>
      <w:ind w:left="2767"/>
    </w:pPr>
  </w:style>
  <w:style w:type="paragraph" w:customStyle="1" w:styleId="ZTIRTIRwLITzmtirwlittiret">
    <w:name w:val="Z_TIR/TIR_w_LIT – zm. tir. w lit. tiret"/>
    <w:basedOn w:val="TIRtiret"/>
    <w:link w:val="ZTIRTIRwLITzmtirwlittiretZnak"/>
    <w:uiPriority w:val="54"/>
    <w:qFormat/>
    <w:rsid w:val="00295A6F"/>
    <w:pPr>
      <w:ind w:left="2257"/>
    </w:pPr>
  </w:style>
  <w:style w:type="character" w:customStyle="1" w:styleId="ZTIRTIRwLITzmtirwlittiretZnak">
    <w:name w:val="Z_TIR/TIR_w_LIT – zm. tir. w lit. tiret Znak"/>
    <w:basedOn w:val="TIRtiretZnak"/>
    <w:link w:val="ZTIRTIRwLITzmtirwlittiret"/>
    <w:uiPriority w:val="54"/>
    <w:rsid w:val="005F7A88"/>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7"/>
    <w:qFormat/>
    <w:rsid w:val="00295A6F"/>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7"/>
    <w:rsid w:val="005F7A88"/>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95A6F"/>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11493E"/>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95A6F"/>
    <w:pPr>
      <w:ind w:left="907"/>
    </w:pPr>
  </w:style>
  <w:style w:type="character" w:customStyle="1" w:styleId="Z2TIRzmpodwtirartykuempunktemZnak">
    <w:name w:val="Z/2TIR – zm. podw. tir. artykułem (punktem) Znak"/>
    <w:basedOn w:val="TIRtiretZnak"/>
    <w:link w:val="Z2TIRzmpodwtirartykuempunktem"/>
    <w:uiPriority w:val="71"/>
    <w:rsid w:val="0011493E"/>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680058"/>
    <w:pPr>
      <w:ind w:left="2370" w:firstLine="0"/>
    </w:pPr>
  </w:style>
  <w:style w:type="paragraph" w:customStyle="1" w:styleId="ZLIT2TIRzmpodwtirliter">
    <w:name w:val="Z_LIT/2TIR – zm. podw. tir. literą"/>
    <w:basedOn w:val="TIRtiret"/>
    <w:link w:val="ZLIT2TIRzmpodwtirliterZnak"/>
    <w:uiPriority w:val="75"/>
    <w:qFormat/>
    <w:rsid w:val="00295A6F"/>
  </w:style>
  <w:style w:type="character" w:customStyle="1" w:styleId="ZLIT2TIRzmpodwtirliterZnak">
    <w:name w:val="Z_LIT/2TIR – zm. podw. tir. literą Znak"/>
    <w:basedOn w:val="TIRtiretZnak"/>
    <w:link w:val="ZLIT2TIRzmpodwtirliter"/>
    <w:uiPriority w:val="75"/>
    <w:rsid w:val="0011493E"/>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95A6F"/>
    <w:pPr>
      <w:ind w:left="1780"/>
    </w:pPr>
  </w:style>
  <w:style w:type="character" w:customStyle="1" w:styleId="ZTIR2TIRzmpodwtirtiretZnak">
    <w:name w:val="Z_TIR/2TIR – zm. podw. tir. tiret Znak"/>
    <w:basedOn w:val="TIRtiretZnak"/>
    <w:link w:val="ZTIR2TIRzmpodwtirtiret"/>
    <w:uiPriority w:val="80"/>
    <w:rsid w:val="0011493E"/>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95A6F"/>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11493E"/>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95A6F"/>
    <w:pPr>
      <w:ind w:left="2688"/>
    </w:pPr>
  </w:style>
  <w:style w:type="character" w:customStyle="1" w:styleId="Z2TIRwPKTzmpodwtirwpktartykuempunktemZnak">
    <w:name w:val="Z/2TIR_w_PKT – zm. podw. tir. w pkt artykułem (punktem) Znak"/>
    <w:basedOn w:val="TIRtiretZnak"/>
    <w:link w:val="Z2TIRwPKTzmpodwtirwpktartykuempunktem"/>
    <w:uiPriority w:val="72"/>
    <w:rsid w:val="0011493E"/>
    <w:rPr>
      <w:rFonts w:eastAsiaTheme="minorEastAsia" w:cs="Arial"/>
      <w:bCs/>
      <w:szCs w:val="20"/>
    </w:rPr>
  </w:style>
  <w:style w:type="paragraph" w:customStyle="1" w:styleId="ZTIRPKTzmpkttiret">
    <w:name w:val="Z_TIR/PKT – zm. pkt tiret"/>
    <w:basedOn w:val="PKTpunkt"/>
    <w:link w:val="ZTIRPKTzmpkttiretZnak"/>
    <w:uiPriority w:val="53"/>
    <w:qFormat/>
    <w:rsid w:val="00295A6F"/>
    <w:pPr>
      <w:ind w:left="1893"/>
    </w:pPr>
  </w:style>
  <w:style w:type="character" w:customStyle="1" w:styleId="ZTIRPKTzmpkttiretZnak">
    <w:name w:val="Z_TIR/PKT – zm. pkt tiret Znak"/>
    <w:basedOn w:val="PKTpunktZnak"/>
    <w:link w:val="ZTIRPKTzmpkttiret"/>
    <w:uiPriority w:val="53"/>
    <w:rsid w:val="005F7A88"/>
    <w:rPr>
      <w:rFonts w:eastAsiaTheme="minorEastAsia" w:cs="Arial"/>
      <w:bCs/>
      <w:szCs w:val="20"/>
    </w:rPr>
  </w:style>
  <w:style w:type="paragraph" w:customStyle="1" w:styleId="ZTIRLITwPKTzmlitwpkttiret">
    <w:name w:val="Z_TIR/LIT_w_PKT – zm. lit. w pkt tiret"/>
    <w:basedOn w:val="LITlitera"/>
    <w:link w:val="ZTIRLITwPKTzmlitwpkttiretZnak"/>
    <w:uiPriority w:val="54"/>
    <w:qFormat/>
    <w:rsid w:val="00295A6F"/>
    <w:pPr>
      <w:ind w:left="2336"/>
    </w:pPr>
  </w:style>
  <w:style w:type="character" w:customStyle="1" w:styleId="ZTIRLITwPKTzmlitwpkttiretZnak">
    <w:name w:val="Z_TIR/LIT_w_PKT – zm. lit. w pkt tiret Znak"/>
    <w:basedOn w:val="LITliteraZnak"/>
    <w:link w:val="ZTIRLITwPKTzmlitwpkttiret"/>
    <w:uiPriority w:val="54"/>
    <w:rsid w:val="005F7A88"/>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7"/>
    <w:qFormat/>
    <w:rsid w:val="00295A6F"/>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7"/>
    <w:rsid w:val="005F7A88"/>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95A6F"/>
    <w:pPr>
      <w:ind w:left="2654"/>
    </w:pPr>
  </w:style>
  <w:style w:type="character" w:customStyle="1" w:styleId="ZTIR2TIRwLITzmpodwtirwlittiretZnak">
    <w:name w:val="Z_TIR/2TIR_w_LIT – zm. podw. tir. w lit. tiret Znak"/>
    <w:basedOn w:val="TIRtiretZnak"/>
    <w:link w:val="ZTIR2TIRwLITzmpodwtirwlittiret"/>
    <w:uiPriority w:val="81"/>
    <w:rsid w:val="0011493E"/>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95A6F"/>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11493E"/>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95A6F"/>
    <w:pPr>
      <w:ind w:left="2177"/>
    </w:pPr>
  </w:style>
  <w:style w:type="character" w:customStyle="1" w:styleId="ZTIR2TIRwTIRzmpodwtirwtirtiretZnak">
    <w:name w:val="Z_TIR/2TIR_w_TIR – zm. podw. tir. w tir. tiret Znak"/>
    <w:basedOn w:val="TIRtiretZnak"/>
    <w:link w:val="ZTIR2TIRwTIRzmpodwtirwtirtiret"/>
    <w:uiPriority w:val="80"/>
    <w:rsid w:val="0011493E"/>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95A6F"/>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11493E"/>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95A6F"/>
    <w:pPr>
      <w:ind w:left="2256"/>
    </w:pPr>
  </w:style>
  <w:style w:type="character" w:customStyle="1" w:styleId="Z2TIRLITzmlitpodwjnymtiretZnak">
    <w:name w:val="Z_2TIR/LIT – zm. lit. podwójnym tiret Znak"/>
    <w:basedOn w:val="LITliteraZnak"/>
    <w:link w:val="Z2TIRLITzmlitpodwjnymtiret"/>
    <w:uiPriority w:val="83"/>
    <w:rsid w:val="0011493E"/>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435D26"/>
    <w:pPr>
      <w:ind w:left="2688"/>
    </w:pPr>
  </w:style>
  <w:style w:type="paragraph" w:customStyle="1" w:styleId="ZZ2TIRwLITzmianazmpodwtirwlit">
    <w:name w:val="ZZ/2TIR_w_LIT – zmiana zm. podw. tir. w lit."/>
    <w:basedOn w:val="ZZ2TIRwTIRzmianazmpodwtirwtir"/>
    <w:uiPriority w:val="91"/>
    <w:qFormat/>
    <w:rsid w:val="00435D26"/>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95A6F"/>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11493E"/>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95A6F"/>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11493E"/>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435D26"/>
    <w:pPr>
      <w:ind w:left="3674"/>
    </w:pPr>
  </w:style>
  <w:style w:type="paragraph" w:customStyle="1" w:styleId="ZZCZWSP2TIRwTIRzmianazmczciwsppodwtirwtir">
    <w:name w:val="ZZ/CZ_WSP_2TIR_w_TIR – zmiana zm. części wsp. podw. tir. w tir."/>
    <w:basedOn w:val="ZZ2TIRwLITzmianazmpodwtirwlit"/>
    <w:uiPriority w:val="95"/>
    <w:qFormat/>
    <w:rsid w:val="00435D26"/>
    <w:pPr>
      <w:ind w:left="2767"/>
    </w:pPr>
  </w:style>
  <w:style w:type="paragraph" w:customStyle="1" w:styleId="Z2TIR2TIRwTIRzmpodwtirwtirpodwjnymtiret">
    <w:name w:val="Z_2TIR/2TIR_w_TIR – zm. podw. tir. w tir. podwójnym tiret"/>
    <w:basedOn w:val="TIRtiret"/>
    <w:link w:val="Z2TIR2TIRwTIRzmpodwtirwtirpodwjnymtiretZnak"/>
    <w:uiPriority w:val="84"/>
    <w:qFormat/>
    <w:rsid w:val="00295A6F"/>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11493E"/>
    <w:rPr>
      <w:rFonts w:eastAsiaTheme="minorEastAsia" w:cs="Arial"/>
      <w:bCs/>
      <w:szCs w:val="20"/>
    </w:rPr>
  </w:style>
  <w:style w:type="paragraph" w:customStyle="1" w:styleId="Z2TIRCZWSP2TIRwTIRzmczciwsppodwtiretwtiretpodwjnymtiret">
    <w:name w:val="Z_2TIR/CZ_WSP_2TIR_w_TIR – zm. części wsp. podw. tiret w tiret podwójnym tiret"/>
    <w:basedOn w:val="CZWSPTIRczwsplnatiret"/>
    <w:next w:val="2TIRpodwjnytiret"/>
    <w:link w:val="Z2TIRCZWSP2TIRwTIRzmczciwsppodwtiretwtiretpodwjnymtiretZnak"/>
    <w:uiPriority w:val="86"/>
    <w:qFormat/>
    <w:rsid w:val="00295A6F"/>
    <w:pPr>
      <w:ind w:left="2177"/>
    </w:pPr>
  </w:style>
  <w:style w:type="character" w:customStyle="1" w:styleId="Z2TIRCZWSP2TIRwTIRzmczciwsppodwtiretwtiretpodwjnymtiretZnak">
    <w:name w:val="Z_2TIR/CZ_WSP_2TIR_w_TIR – zm. części wsp. podw. tiret w tiret podwójnym tiret Znak"/>
    <w:basedOn w:val="CZWSPTIRczwsplnatiretZnak"/>
    <w:link w:val="Z2TIRCZWSP2TIRwTIRzmczciwsppodwtiretwtiretpodwjnymtiret"/>
    <w:uiPriority w:val="86"/>
    <w:rsid w:val="0011493E"/>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95A6F"/>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11493E"/>
    <w:rPr>
      <w:rFonts w:eastAsiaTheme="minorEastAsia" w:cs="Arial"/>
      <w:bCs/>
      <w:szCs w:val="20"/>
    </w:rPr>
  </w:style>
  <w:style w:type="paragraph" w:customStyle="1" w:styleId="Z2TIRCZWSP2TIRwLITzmczciwsppodwtiretwlitpodwjnymtiret">
    <w:name w:val="Z_2TIR/CZ_WSP_2TIR_w_LIT – zm. części wsp. podw. tiret w lit. podwójnym tiret"/>
    <w:basedOn w:val="CZWSPTIRczwsplnatiret"/>
    <w:next w:val="2TIRpodwjnytiret"/>
    <w:link w:val="Z2TIRCZWSP2TIRwLITzmczciwsppodwtiretwlitpodwjnymtiretZnak"/>
    <w:uiPriority w:val="87"/>
    <w:qFormat/>
    <w:rsid w:val="00295A6F"/>
    <w:pPr>
      <w:ind w:left="2654"/>
    </w:pPr>
  </w:style>
  <w:style w:type="character" w:customStyle="1" w:styleId="Z2TIRCZWSP2TIRwLITzmczciwsppodwtiretwlitpodwjnymtiretZnak">
    <w:name w:val="Z_2TIR/CZ_WSP_2TIR_w_LIT – zm. części wsp. podw. tiret w lit. podwójnym tiret Znak"/>
    <w:basedOn w:val="CZWSPTIRczwsplnatiretZnak"/>
    <w:link w:val="Z2TIRCZWSP2TIRwLITzmczciwsppodwtiretwlitpodwjnymtiret"/>
    <w:uiPriority w:val="87"/>
    <w:rsid w:val="0011493E"/>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28"/>
    <w:qFormat/>
    <w:rsid w:val="00295A6F"/>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28"/>
    <w:rsid w:val="005F7A88"/>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29"/>
    <w:qFormat/>
    <w:rsid w:val="00295A6F"/>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29"/>
    <w:rsid w:val="005F7A88"/>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59"/>
    <w:qFormat/>
    <w:rsid w:val="007E2CFE"/>
    <w:pPr>
      <w:ind w:left="1894"/>
    </w:pPr>
  </w:style>
  <w:style w:type="paragraph" w:customStyle="1" w:styleId="ZZPKTzmianazmpkt">
    <w:name w:val="ZZ/PKT – zmiana zm. pkt"/>
    <w:basedOn w:val="ZPKTzmpktartykuempunktem"/>
    <w:uiPriority w:val="60"/>
    <w:qFormat/>
    <w:rsid w:val="007E2CFE"/>
    <w:pPr>
      <w:ind w:left="2404"/>
    </w:pPr>
  </w:style>
  <w:style w:type="paragraph" w:customStyle="1" w:styleId="ZZLITwPKTzmianazmlitwpkt">
    <w:name w:val="ZZ/LIT_w_PKT – zmiana zm. lit. w pkt"/>
    <w:basedOn w:val="ZLITWPKTzmlitwpktartykuempunktem"/>
    <w:uiPriority w:val="61"/>
    <w:qFormat/>
    <w:rsid w:val="00572512"/>
    <w:pPr>
      <w:ind w:left="2880"/>
    </w:pPr>
  </w:style>
  <w:style w:type="paragraph" w:customStyle="1" w:styleId="ZZTIRwPKTzmianazmtirwpkt">
    <w:name w:val="ZZ/TIR_w_PKT – zmiana zm. tir. w pkt"/>
    <w:basedOn w:val="ZTIRwPKTzmtirwpktartykuempunktem"/>
    <w:uiPriority w:val="61"/>
    <w:qFormat/>
    <w:rsid w:val="00572512"/>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39"/>
    <w:qFormat/>
    <w:rsid w:val="00680058"/>
    <w:pPr>
      <w:ind w:left="1021"/>
    </w:pPr>
  </w:style>
  <w:style w:type="paragraph" w:customStyle="1" w:styleId="ODNONIKtreodnonika">
    <w:name w:val="ODNOŚNIK – treść odnośnika"/>
    <w:basedOn w:val="Tekstprzypisudolnego"/>
    <w:uiPriority w:val="19"/>
    <w:qFormat/>
    <w:rsid w:val="00295A6F"/>
    <w:pPr>
      <w:widowControl/>
      <w:ind w:left="284" w:hanging="284"/>
    </w:pPr>
    <w:rPr>
      <w:rFonts w:ascii="Times New Roman" w:eastAsiaTheme="minorEastAsia" w:hAnsi="Times New Roman" w:cs="Arial"/>
      <w:szCs w:val="20"/>
    </w:rPr>
  </w:style>
  <w:style w:type="paragraph" w:customStyle="1" w:styleId="ZFRAGzmfragmentunpzdaniaartykuempunktem">
    <w:name w:val="Z/FRAG – zm. fragmentu (np. zdania) artykułem (punktem)"/>
    <w:basedOn w:val="ZARTzmartartykuempunktem"/>
    <w:next w:val="PKTpunkt"/>
    <w:uiPriority w:val="38"/>
    <w:qFormat/>
    <w:rsid w:val="00295A6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95A6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95A6F"/>
    <w:rPr>
      <w:rFonts w:ascii="Times New Roman" w:hAnsi="Times New Roman"/>
    </w:rPr>
  </w:style>
  <w:style w:type="paragraph" w:customStyle="1" w:styleId="ZTIRTIRwPKTzmtirwpkttiret">
    <w:name w:val="Z_TIR/TIR_w_PKT – zm. tir. w pkt tiret"/>
    <w:basedOn w:val="ZTIRTIRwLITzmtirwlittiret"/>
    <w:uiPriority w:val="54"/>
    <w:qFormat/>
    <w:rsid w:val="00295A6F"/>
    <w:pPr>
      <w:ind w:left="2733"/>
    </w:pPr>
  </w:style>
  <w:style w:type="paragraph" w:customStyle="1" w:styleId="ZTIRCZWSPTIRwPKTzmczciwsptirtiret">
    <w:name w:val="Z_TIR/CZ_WSP_TIR_w_PKT – zm. części wsp. tir. tiret"/>
    <w:basedOn w:val="ZTIRTIRwPKTzmtirwpkttiret"/>
    <w:next w:val="TIRtiret"/>
    <w:uiPriority w:val="57"/>
    <w:qFormat/>
    <w:rsid w:val="00295A6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295A6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5F7A88"/>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5F7A88"/>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95A6F"/>
    <w:pPr>
      <w:ind w:left="2177"/>
    </w:pPr>
  </w:style>
  <w:style w:type="character" w:customStyle="1" w:styleId="Z2TIR2TIRzmpodwtirpodwjnymtiretZnak">
    <w:name w:val="Z_2TIR/2TIR – zm. podw. tir. podwójnym tiret Znak"/>
    <w:basedOn w:val="TIRtiretZnak"/>
    <w:link w:val="Z2TIR2TIRzmpodwtirpodwjnymtiret"/>
    <w:uiPriority w:val="84"/>
    <w:rsid w:val="0011493E"/>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95A6F"/>
    <w:pPr>
      <w:ind w:left="2177"/>
    </w:pPr>
  </w:style>
  <w:style w:type="character" w:customStyle="1" w:styleId="Z2TIRTIRzmtirpodwjnymtiretZnak">
    <w:name w:val="Z_2TIR/TIR – zm. tir. podwójnym tiret Znak"/>
    <w:basedOn w:val="TIRtiretZnak"/>
    <w:link w:val="Z2TIRTIRzmtirpodwjnymtiret"/>
    <w:uiPriority w:val="83"/>
    <w:rsid w:val="0011493E"/>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8"/>
    <w:qFormat/>
    <w:rsid w:val="00AC4EA1"/>
    <w:pPr>
      <w:ind w:left="1021"/>
    </w:pPr>
  </w:style>
  <w:style w:type="paragraph" w:customStyle="1" w:styleId="ZLITSKARNzmsankcjikarnejliter">
    <w:name w:val="Z_LIT/S_KARN – zm. sankcji karnej literą"/>
    <w:basedOn w:val="ZSKARNzmsankcjikarnejwszczeglnociwKodeksiekarnym"/>
    <w:uiPriority w:val="51"/>
    <w:qFormat/>
    <w:rsid w:val="00AC4EA1"/>
    <w:pPr>
      <w:ind w:left="1497"/>
    </w:pPr>
  </w:style>
  <w:style w:type="paragraph" w:customStyle="1" w:styleId="ZCYTwARTUSTzmcytatuwrazzartlubust">
    <w:name w:val="Z/CYT_w_ART(§|UST) – zm. cytatu wraz z art. (§ lub ust.)"/>
    <w:basedOn w:val="CYTcytatnpprzysigi"/>
    <w:uiPriority w:val="38"/>
    <w:qFormat/>
    <w:rsid w:val="00047312"/>
    <w:pPr>
      <w:ind w:left="1021"/>
    </w:pPr>
  </w:style>
  <w:style w:type="paragraph" w:customStyle="1" w:styleId="ZCZWSP2TIRwPKTzmczciwsppodwtirwpktartykuempunktem">
    <w:name w:val="Z/CZ_WSP_2TIR_w_PKT – zm. części wsp. podw. tir w pkt artykułem (punktem)"/>
    <w:basedOn w:val="Z2TIRwPKTzmpodwtirwpktartykuempunktem"/>
    <w:uiPriority w:val="73"/>
    <w:qFormat/>
    <w:rsid w:val="00866867"/>
    <w:pPr>
      <w:ind w:left="2291" w:firstLine="0"/>
    </w:pPr>
  </w:style>
  <w:style w:type="paragraph" w:customStyle="1" w:styleId="Z2TIRwLITzmpodwtirwlitartykuempunktem">
    <w:name w:val="Z/2TIR_w_LIT – zm. podw. tir. w lit. artykułem (punktem)"/>
    <w:basedOn w:val="Z2TIRwPKTzmpodwtirwpktartykuempunktem"/>
    <w:uiPriority w:val="72"/>
    <w:qFormat/>
    <w:rsid w:val="00047312"/>
    <w:pPr>
      <w:ind w:left="2177"/>
    </w:pPr>
  </w:style>
  <w:style w:type="paragraph" w:customStyle="1" w:styleId="Z2TIRwTIRzmpodwtirwtirartykuempunktem">
    <w:name w:val="Z/2TIR_w_TIR – zm. podw. tir. w tir. artykułem (punktem)"/>
    <w:basedOn w:val="Z2TIRwLITzmpodwtirwlitartykuempunktem"/>
    <w:uiPriority w:val="71"/>
    <w:qFormat/>
    <w:rsid w:val="00047312"/>
    <w:pPr>
      <w:ind w:left="1701"/>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A95936"/>
    <w:pPr>
      <w:ind w:left="1304" w:firstLine="0"/>
    </w:pPr>
  </w:style>
  <w:style w:type="paragraph" w:customStyle="1" w:styleId="ZCZWSP2TIRwLITzmczciwsppodwtirwlitartykuempunktem">
    <w:name w:val="Z/CZ_WSP_2TIR_w_LIT – zm. części wsp. podw. tir w lit. artykułem (punktem)"/>
    <w:basedOn w:val="Z2TIRwLITzmpodwtirwlitartykuempunktem"/>
    <w:uiPriority w:val="73"/>
    <w:qFormat/>
    <w:rsid w:val="00A95936"/>
    <w:pPr>
      <w:ind w:left="1780" w:firstLine="0"/>
    </w:pPr>
  </w:style>
  <w:style w:type="paragraph" w:customStyle="1" w:styleId="ZLITCYTwUSTzmcytatunpprzysigiwustlubliter">
    <w:name w:val="Z_LIT/CYT_w_UST(§) – zm. cytatu np. przysięgi w ust. lub § literą"/>
    <w:basedOn w:val="ZCYTwARTUSTzmcytatuwrazzartlubust"/>
    <w:uiPriority w:val="52"/>
    <w:qFormat/>
    <w:rsid w:val="00A95936"/>
    <w:pPr>
      <w:ind w:left="1497"/>
    </w:pPr>
  </w:style>
  <w:style w:type="paragraph" w:customStyle="1" w:styleId="ZZCZWSP2TIRzmianazmczciwsppodwtir">
    <w:name w:val="ZZ/CZ_WSP_2TIR – zmiana. zm. części wsp. podw. tir."/>
    <w:basedOn w:val="ZZTIRzmianazmtir"/>
    <w:uiPriority w:val="62"/>
    <w:qFormat/>
    <w:rsid w:val="00952018"/>
    <w:pPr>
      <w:ind w:left="1894" w:firstLine="0"/>
    </w:pPr>
  </w:style>
  <w:style w:type="paragraph" w:customStyle="1" w:styleId="PKTODNONIKApunktodnonika">
    <w:name w:val="PKT_ODNOŚNIKA – punkt odnośnika"/>
    <w:basedOn w:val="ODNONIKtreodnonika"/>
    <w:uiPriority w:val="25"/>
    <w:qFormat/>
    <w:rsid w:val="00494F62"/>
    <w:pPr>
      <w:ind w:left="568"/>
    </w:pPr>
  </w:style>
  <w:style w:type="paragraph" w:customStyle="1" w:styleId="ZODNONIKAzmtekstuodnonikaartykuempunktem">
    <w:name w:val="Z/ODNOŚNIKA – zm. tekstu odnośnika artykułem (punktem)"/>
    <w:basedOn w:val="ODNONIKtreodnonika"/>
    <w:uiPriority w:val="40"/>
    <w:qFormat/>
    <w:rsid w:val="00BD1040"/>
    <w:pPr>
      <w:ind w:left="907" w:hanging="397"/>
    </w:pPr>
  </w:style>
  <w:style w:type="paragraph" w:customStyle="1" w:styleId="ZPKTwODNONIKUzmpktwzmienianymodnonikuartykuempunktem">
    <w:name w:val="Z/PKT_w_ODNOŚNIKU – zm. pkt w zmienianym odnośniku artykułem (punktem)"/>
    <w:basedOn w:val="ZODNONIKAzmtekstuodnonikaartykuempunktem"/>
    <w:uiPriority w:val="40"/>
    <w:qFormat/>
    <w:rsid w:val="00BD1040"/>
    <w:pPr>
      <w:ind w:left="1304"/>
    </w:pPr>
  </w:style>
  <w:style w:type="paragraph" w:customStyle="1" w:styleId="ZPKTODNONIKAzmpktodnonikaartykuempunktem">
    <w:name w:val="Z/PKT_ODNOŚNIKA – zm. pkt odnośnika artykułem (punktem)"/>
    <w:basedOn w:val="ZODNONIKAzmtekstuodnonikaartykuempunktem"/>
    <w:uiPriority w:val="40"/>
    <w:qFormat/>
    <w:rsid w:val="002E64FA"/>
  </w:style>
  <w:style w:type="paragraph" w:customStyle="1" w:styleId="ZLIT2TIRwTIRzmpodwtirwtirliter">
    <w:name w:val="Z_LIT/2TIR_w_TIR – zm. podw. tir. w tir. literą"/>
    <w:basedOn w:val="ZLIT2TIRzmpodwtirliter"/>
    <w:uiPriority w:val="75"/>
    <w:qFormat/>
    <w:rsid w:val="00866867"/>
    <w:pPr>
      <w:ind w:left="1780"/>
    </w:pPr>
  </w:style>
  <w:style w:type="paragraph" w:customStyle="1" w:styleId="ZLIT2TIRwLITzmpodwtirwlitliter">
    <w:name w:val="Z_LIT/2TIR_w_LIT – zm. podw. tir. w lit. literą"/>
    <w:basedOn w:val="ZLIT2TIRwTIRzmpodwtirwtirliter"/>
    <w:uiPriority w:val="76"/>
    <w:qFormat/>
    <w:rsid w:val="00866867"/>
    <w:pPr>
      <w:ind w:left="2257"/>
    </w:pPr>
  </w:style>
  <w:style w:type="paragraph" w:customStyle="1" w:styleId="ZLIT2TIRwPKTzmpodwtirwpktliter">
    <w:name w:val="Z_LIT/2TIR_w_PKT – zm. podw. tir. w pkt literą"/>
    <w:basedOn w:val="ZLIT2TIRwLITzmpodwtirwlitliter"/>
    <w:uiPriority w:val="76"/>
    <w:qFormat/>
    <w:rsid w:val="00B51A7D"/>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B51A7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B51A7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B51A7D"/>
    <w:pPr>
      <w:ind w:left="2370" w:firstLine="0"/>
    </w:pPr>
  </w:style>
  <w:style w:type="paragraph" w:customStyle="1" w:styleId="ZTIR2TIRwPKTzmpodwtirwpkttiret">
    <w:name w:val="Z_TIR/2TIR_w_PKT – zm. podw. tir. w pkt tiret"/>
    <w:basedOn w:val="ZTIR2TIRwLITzmpodwtirwlittiret"/>
    <w:uiPriority w:val="81"/>
    <w:qFormat/>
    <w:rsid w:val="00AC00F2"/>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AC00F2"/>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F600FE"/>
    <w:pPr>
      <w:ind w:left="2767"/>
    </w:pPr>
  </w:style>
  <w:style w:type="paragraph" w:customStyle="1" w:styleId="ZZCZWSP2TIRwPKTzmianazmczciwsppodwtirwpkt">
    <w:name w:val="ZZ/CZ_WSP_2TIR_w_PKT – zmiana zm. części wsp. podw. tir. w pkt"/>
    <w:basedOn w:val="ZZ2TIRwLITzmianazmpodwtirwlit"/>
    <w:uiPriority w:val="96"/>
    <w:qFormat/>
    <w:rsid w:val="00F600FE"/>
    <w:pPr>
      <w:ind w:left="3277"/>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FD7468"/>
  </w:style>
  <w:style w:type="paragraph" w:customStyle="1" w:styleId="ZLITCZWSP2TIRzmczciwsppodwtirliter">
    <w:name w:val="Z_LIT/CZ_WSP_2TIR – zm. części wsp. podw. tir. literą"/>
    <w:basedOn w:val="ZLITCZWSPPKTzmczciwsppktliter"/>
    <w:next w:val="LITlitera"/>
    <w:uiPriority w:val="78"/>
    <w:qFormat/>
    <w:rsid w:val="00FD7468"/>
  </w:style>
  <w:style w:type="paragraph" w:customStyle="1" w:styleId="ZTIRCZWSP2TIRzmczciwsppodwtirtiret">
    <w:name w:val="Z_TIR/CZ_WSP_2TIR – zm. części wsp. podw. tir. tiret"/>
    <w:basedOn w:val="ZLITCZWSP2TIRzmczciwsppodwtirliter"/>
    <w:next w:val="TIRtiret"/>
    <w:uiPriority w:val="81"/>
    <w:qFormat/>
    <w:rsid w:val="00FD7468"/>
  </w:style>
  <w:style w:type="paragraph" w:customStyle="1" w:styleId="ZZ2TIRzmianazmpodwtir">
    <w:name w:val="ZZ/2TIR – zmiana. zm. podw. tir."/>
    <w:basedOn w:val="ZZCZWSP2TIRzmianazmczciwsppodwtir"/>
    <w:uiPriority w:val="90"/>
    <w:qFormat/>
    <w:rsid w:val="00952018"/>
    <w:pPr>
      <w:ind w:left="2291" w:hanging="397"/>
    </w:pPr>
  </w:style>
  <w:style w:type="paragraph" w:customStyle="1" w:styleId="ZCZWSPLITzmczciwsplitartykuempunktem">
    <w:name w:val="Z/CZ_WSP_LIT – zm. części wsp. lit. artykułem (punktem)"/>
    <w:basedOn w:val="ZCZWSPPKTzmczciwsppktartykuempunktem"/>
    <w:next w:val="PKTpunkt"/>
    <w:uiPriority w:val="36"/>
    <w:qFormat/>
    <w:rsid w:val="002279C0"/>
  </w:style>
  <w:style w:type="paragraph" w:customStyle="1" w:styleId="ZCZWSPTIRzmczciwsptirartykuempunktem">
    <w:name w:val="Z/CZ_WSP_TIR – zm. części wsp. tir. artykułem (punktem)"/>
    <w:basedOn w:val="ZCZWSPPKTzmczciwsppktartykuempunktem"/>
    <w:next w:val="PKTpunkt"/>
    <w:uiPriority w:val="36"/>
    <w:qFormat/>
    <w:rsid w:val="002279C0"/>
  </w:style>
  <w:style w:type="paragraph" w:customStyle="1" w:styleId="ZLITCZWSPLITzmczciwsplitliter">
    <w:name w:val="Z_LIT/CZ_WSP_LIT – zm. części wsp. lit. literą"/>
    <w:basedOn w:val="ZLITCZWSPPKTzmczciwsppktliter"/>
    <w:next w:val="LITlitera"/>
    <w:uiPriority w:val="49"/>
    <w:qFormat/>
    <w:rsid w:val="002279C0"/>
  </w:style>
  <w:style w:type="paragraph" w:customStyle="1" w:styleId="ZLITCZWSPTIRzmczciwsptirliter">
    <w:name w:val="Z_LIT/CZ_WSP_TIR – zm. części wsp. tir. literą"/>
    <w:basedOn w:val="ZLITCZWSPPKTzmczciwsppktliter"/>
    <w:next w:val="LITlitera"/>
    <w:uiPriority w:val="49"/>
    <w:qFormat/>
    <w:rsid w:val="002279C0"/>
  </w:style>
  <w:style w:type="paragraph" w:customStyle="1" w:styleId="ZTIRCZWSPLITzmczciwsplittiret">
    <w:name w:val="Z_TIR/CZ_WSP_LIT – zm. części wsp. lit. tiret"/>
    <w:basedOn w:val="ZTIRCZWSPPKTzmczciwsppkttiret"/>
    <w:next w:val="TIRtiret"/>
    <w:uiPriority w:val="57"/>
    <w:qFormat/>
    <w:rsid w:val="002279C0"/>
  </w:style>
  <w:style w:type="paragraph" w:customStyle="1" w:styleId="ZTIRCZWSPTIRzmczciwsptirtiret">
    <w:name w:val="Z_TIR/CZ_WSP_TIR – zm. części wsp. tir. tiret"/>
    <w:basedOn w:val="ZTIRCZWSPPKTzmczciwsppkttiret"/>
    <w:next w:val="TIRtiret"/>
    <w:uiPriority w:val="57"/>
    <w:qFormat/>
    <w:rsid w:val="002279C0"/>
  </w:style>
  <w:style w:type="paragraph" w:customStyle="1" w:styleId="ZZCZWSPLITzmianazmczciwsplit">
    <w:name w:val="ZZ/CZ_WSP_LIT – zmiana. zm. części wsp. lit."/>
    <w:basedOn w:val="ZZCZWSPPKTzmianazmczciwsppkt"/>
    <w:uiPriority w:val="66"/>
    <w:qFormat/>
    <w:rsid w:val="002279C0"/>
  </w:style>
  <w:style w:type="paragraph" w:customStyle="1" w:styleId="ZZCZWSPTIRzmianazmczciwsptir">
    <w:name w:val="ZZ/CZ_WSP_TIR – zmiana. zm. części wsp. tir."/>
    <w:basedOn w:val="ZZCZWSPPKTzmianazmczciwsppkt"/>
    <w:uiPriority w:val="66"/>
    <w:qFormat/>
    <w:rsid w:val="002279C0"/>
  </w:style>
  <w:style w:type="paragraph" w:customStyle="1" w:styleId="Z2TIRCZWSPTIRzmczciwsptirpodwjnymtiret">
    <w:name w:val="Z_2TIR/CZ_WSP_TIR – zm. części wsp. tir. podwójnym tiret"/>
    <w:basedOn w:val="Z2TIRCZWSPLITzmczciwsplitpodwjnymtiret"/>
    <w:next w:val="2TIRpodwjnytiret"/>
    <w:uiPriority w:val="85"/>
    <w:qFormat/>
    <w:rsid w:val="007D6DCE"/>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7D6DCE"/>
  </w:style>
  <w:style w:type="paragraph" w:customStyle="1" w:styleId="ZUSTzmustartykuempunktem">
    <w:name w:val="Z/UST(§) – zm. ust. (§) artykułem (punktem)"/>
    <w:basedOn w:val="ZARTzmartartykuempunktem"/>
    <w:uiPriority w:val="30"/>
    <w:qFormat/>
    <w:rsid w:val="0088318F"/>
  </w:style>
  <w:style w:type="paragraph" w:customStyle="1" w:styleId="ZZUSTzmianazmust">
    <w:name w:val="ZZ/UST(§) – zmiana zm. ust. (§)"/>
    <w:basedOn w:val="ZZARTzmianazmart"/>
    <w:uiPriority w:val="59"/>
    <w:qFormat/>
    <w:rsid w:val="00B80402"/>
  </w:style>
  <w:style w:type="paragraph" w:customStyle="1" w:styleId="TYTDZPRZEDMprzedmiotregulacjitytuulubdziau">
    <w:name w:val="TYT(DZ)_PRZEDM – przedmiot regulacji tytułu lub działu"/>
    <w:basedOn w:val="Normalny"/>
    <w:next w:val="ARTartustawynprozporzdzenia"/>
    <w:link w:val="TYTDZPRZEDMprzedmiotregulacjitytuulubdziauZnak"/>
    <w:uiPriority w:val="7"/>
    <w:qFormat/>
    <w:rsid w:val="00946DD0"/>
    <w:pPr>
      <w:keepNext/>
      <w:suppressAutoHyphens/>
      <w:spacing w:before="120"/>
      <w:jc w:val="center"/>
    </w:pPr>
    <w:rPr>
      <w:rFonts w:ascii="Times" w:eastAsia="Times New Roman" w:hAnsi="Times" w:cs="Times New Roman"/>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946DD0"/>
    <w:rPr>
      <w:b/>
      <w:szCs w:val="26"/>
    </w:rPr>
  </w:style>
  <w:style w:type="paragraph" w:customStyle="1" w:styleId="ZNIEARTTEKSTzmtekstunieartykuowanego">
    <w:name w:val="Z/NIEART_TEKST – zm. tekstu nieartykułowanego"/>
    <w:basedOn w:val="NIEARTTEKSTtekstnieartykuowanynppreambua"/>
    <w:uiPriority w:val="38"/>
    <w:qFormat/>
    <w:rsid w:val="005635E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5F7A8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5F7A8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5F7A8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5F7A8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5F7A88"/>
    <w:pPr>
      <w:ind w:left="1894"/>
    </w:pPr>
  </w:style>
  <w:style w:type="paragraph" w:customStyle="1" w:styleId="Podpis-A7">
    <w:name w:val="Podpis-A7"/>
    <w:basedOn w:val="Normalny"/>
    <w:rsid w:val="00E63BAC"/>
    <w:pPr>
      <w:widowControl/>
      <w:tabs>
        <w:tab w:val="center" w:pos="1701"/>
        <w:tab w:val="center" w:pos="6237"/>
      </w:tabs>
      <w:autoSpaceDE/>
      <w:autoSpaceDN/>
      <w:adjustRightInd/>
      <w:jc w:val="left"/>
    </w:pPr>
    <w:rPr>
      <w:rFonts w:eastAsia="Times New Roman" w:cs="Times New Roman"/>
    </w:rPr>
  </w:style>
  <w:style w:type="paragraph" w:styleId="Tekstpodstawowy">
    <w:name w:val="Body Text"/>
    <w:basedOn w:val="Normalny"/>
    <w:link w:val="TekstpodstawowyZnak"/>
    <w:rsid w:val="00E63BAC"/>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E63BAC"/>
    <w:rPr>
      <w:rFonts w:ascii="Times New Roman" w:hAnsi="Times New Roman"/>
      <w:szCs w:val="20"/>
    </w:rPr>
  </w:style>
  <w:style w:type="paragraph" w:customStyle="1" w:styleId="akapit">
    <w:name w:val="akapit"/>
    <w:basedOn w:val="Normalny"/>
    <w:rsid w:val="00B1776A"/>
    <w:pPr>
      <w:widowControl/>
      <w:autoSpaceDE/>
      <w:autoSpaceDN/>
      <w:adjustRightInd/>
      <w:ind w:firstLine="851"/>
    </w:pPr>
    <w:rPr>
      <w:rFonts w:eastAsia="Times New Roman" w:cs="Times New Roman"/>
    </w:rPr>
  </w:style>
  <w:style w:type="character" w:customStyle="1" w:styleId="Ppogrubienie">
    <w:name w:val="_P_ – pogrubienie"/>
    <w:basedOn w:val="Domylnaczcionkaakapitu"/>
    <w:uiPriority w:val="1"/>
    <w:qFormat/>
    <w:rsid w:val="00A73BBF"/>
    <w:rPr>
      <w:b/>
    </w:rPr>
  </w:style>
  <w:style w:type="paragraph" w:customStyle="1" w:styleId="OZNPROJEKTUwskazaniedatylubwersjiprojektu">
    <w:name w:val="OZN_PROJEKTU – wskazanie daty lub wersji projektu"/>
    <w:next w:val="OZNRODZAKTUtznustawalubrozporzdzenieiorganwydajcy"/>
    <w:qFormat/>
    <w:rsid w:val="009F74DA"/>
    <w:pPr>
      <w:jc w:val="right"/>
    </w:pPr>
    <w:rPr>
      <w:rFonts w:ascii="Times New Roman" w:eastAsiaTheme="minorEastAsia" w:hAnsi="Times New Roman" w:cs="Arial"/>
      <w:szCs w:val="20"/>
      <w:u w:val="single"/>
    </w:rPr>
  </w:style>
  <w:style w:type="character" w:customStyle="1" w:styleId="IGindeksgrny">
    <w:name w:val="_IG_ – indeks górny"/>
    <w:basedOn w:val="Domylnaczcionkaakapitu"/>
    <w:uiPriority w:val="2"/>
    <w:qFormat/>
    <w:rsid w:val="009F74DA"/>
    <w:rPr>
      <w:b w:val="0"/>
      <w:i w:val="0"/>
      <w:vanish w:val="0"/>
      <w:spacing w:val="0"/>
      <w:vertAlign w:val="superscript"/>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267254"/>
    <w:rPr>
      <w:bCs/>
    </w:rPr>
  </w:style>
  <w:style w:type="character" w:customStyle="1" w:styleId="Kkursywa">
    <w:name w:val="_K_ – kursywa"/>
    <w:basedOn w:val="Domylnaczcionkaakapitu"/>
    <w:uiPriority w:val="1"/>
    <w:qFormat/>
    <w:rsid w:val="00267254"/>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lex.senat.pl/lex/index.rpc"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5794</Words>
  <Characters>37777</Characters>
  <Application>Microsoft Office Word</Application>
  <DocSecurity>0</DocSecurity>
  <Lines>314</Lines>
  <Paragraphs>86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43485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Dorota Grąziewicz</dc:creator>
  <cp:lastModifiedBy>Ewa A. Genert</cp:lastModifiedBy>
  <cp:revision>2</cp:revision>
  <cp:lastPrinted>2017-11-13T10:18:00Z</cp:lastPrinted>
  <dcterms:created xsi:type="dcterms:W3CDTF">2017-11-24T10:09:00Z</dcterms:created>
  <dcterms:modified xsi:type="dcterms:W3CDTF">2017-11-24T10:09:00Z</dcterms:modified>
</cp:coreProperties>
</file>