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22C" w:rsidRPr="00EC2E78" w:rsidRDefault="007A422C" w:rsidP="00EC2E78">
      <w:pPr>
        <w:widowControl w:val="0"/>
        <w:autoSpaceDE w:val="0"/>
        <w:autoSpaceDN w:val="0"/>
        <w:adjustRightInd w:val="0"/>
        <w:spacing w:before="120" w:after="0" w:line="360" w:lineRule="auto"/>
        <w:jc w:val="center"/>
        <w:rPr>
          <w:rFonts w:ascii="Times New Roman" w:eastAsia="Times New Roman" w:hAnsi="Times New Roman" w:cs="Times New Roman"/>
          <w:sz w:val="24"/>
          <w:szCs w:val="24"/>
          <w:lang w:eastAsia="pl-PL"/>
        </w:rPr>
      </w:pPr>
      <w:bookmarkStart w:id="0" w:name="_GoBack"/>
      <w:bookmarkEnd w:id="0"/>
      <w:r w:rsidRPr="00EC2E78">
        <w:rPr>
          <w:rFonts w:ascii="Times New Roman" w:eastAsia="Times New Roman" w:hAnsi="Times New Roman" w:cs="Times New Roman"/>
          <w:sz w:val="24"/>
          <w:szCs w:val="24"/>
          <w:lang w:eastAsia="pl-PL"/>
        </w:rPr>
        <w:t>UZASADNIENIE</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Arial"/>
          <w:sz w:val="24"/>
          <w:szCs w:val="20"/>
          <w:lang w:eastAsia="pl-PL"/>
        </w:rPr>
      </w:pPr>
      <w:r w:rsidRPr="007A422C">
        <w:rPr>
          <w:rFonts w:ascii="Times New Roman" w:eastAsia="Times New Roman" w:hAnsi="Times New Roman" w:cs="Times New Roman"/>
          <w:sz w:val="24"/>
          <w:szCs w:val="24"/>
          <w:lang w:eastAsia="pl-PL"/>
        </w:rPr>
        <w:t>Projekt ustawy o zmianie ustawy o Inspekcji Ochrony Środowiska oraz ustawy – Prawo ochrony środowiska, zwany dalej „projektem ustawy zmieniającej”, dokonuje zmiany ustawy z dnia 20 lipca 1991 r. o Inspekcji Ochrony Środowiska (Dz. U. z 2016 r. poz.</w:t>
      </w:r>
      <w:r w:rsidR="00EC2E78">
        <w:rPr>
          <w:rFonts w:ascii="Times New Roman" w:eastAsia="Times New Roman" w:hAnsi="Times New Roman" w:cs="Times New Roman"/>
          <w:sz w:val="24"/>
          <w:szCs w:val="24"/>
          <w:lang w:eastAsia="pl-PL"/>
        </w:rPr>
        <w:t> </w:t>
      </w:r>
      <w:r w:rsidRPr="007A422C">
        <w:rPr>
          <w:rFonts w:ascii="Times New Roman" w:eastAsia="Times New Roman" w:hAnsi="Times New Roman" w:cs="Times New Roman"/>
          <w:sz w:val="24"/>
          <w:szCs w:val="24"/>
          <w:lang w:eastAsia="pl-PL"/>
        </w:rPr>
        <w:t>1688, z późn. zm.) oraz zmiany ustawy z dnia 27 kwietnia 2001 r. – Prawo ochrony środowiska (Dz. U. z 2017 r. poz. 519, z późn. zm.).</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Zmiana ustawy z dnia 20 lipca 1991 r. o Inspekcji Ochrony Środowiska, o której mowa w art. 1 projektu ustawy zmieniającej, ma na celu przeniesienie do prawa polskiego niektórych postanowień dyrektywy Komisji (UE) 2015/1480 z dnia 28 sierpnia 2015 r. zmieniającej niektóre załączniki do dyrektyw Parlamentu Europejskiego i Rady 2004/107/WE i 2008/50/WE ustanawiających przepisy dotyczące metod referencyjnych, zatwierdzania danych i lokalizacji punktów pomiarowych do oceny jakości powietrza (Dz. Urz. UE L 226 z 29.08.2015, str. 4), zwanej dalej „dyrektywą 2015/1480”. Dyrektywa 2015/1480</w:t>
      </w:r>
      <w:r w:rsidRPr="007A422C">
        <w:rPr>
          <w:rFonts w:ascii="Times New Roman" w:eastAsia="Times New Roman" w:hAnsi="Times New Roman" w:cs="Times New Roman"/>
          <w:i/>
          <w:sz w:val="24"/>
          <w:szCs w:val="24"/>
          <w:lang w:eastAsia="pl-PL"/>
        </w:rPr>
        <w:t xml:space="preserve"> </w:t>
      </w:r>
      <w:r w:rsidRPr="007A422C">
        <w:rPr>
          <w:rFonts w:ascii="Times New Roman" w:eastAsia="Times New Roman" w:hAnsi="Times New Roman" w:cs="Times New Roman"/>
          <w:sz w:val="24"/>
          <w:szCs w:val="24"/>
          <w:lang w:eastAsia="pl-PL"/>
        </w:rPr>
        <w:t>wprowadza obowiązek zmiany przepisów krajowych państw członkowskich Unii Europejskiej transponujących wymagania określone w dyrektywie 2004/107/WE oraz dyrektywie 2008/50/WE, w tym w zakresie aktualizacji Załącznika I Sekcja C dyrektywy 2008/50/WE. Dotyczy to m.in. nałożenia na Krajowe Laboratorium Referencyjne i Wzorcujące, zwane dalej „KLRiW”:</w:t>
      </w:r>
    </w:p>
    <w:p w:rsidR="007A422C" w:rsidRPr="007A422C" w:rsidRDefault="00EC2E78" w:rsidP="00EC2E78">
      <w:pPr>
        <w:widowControl w:val="0"/>
        <w:autoSpaceDE w:val="0"/>
        <w:autoSpaceDN w:val="0"/>
        <w:adjustRightInd w:val="0"/>
        <w:spacing w:before="120" w:after="0" w:line="360" w:lineRule="auto"/>
        <w:ind w:left="238" w:hanging="238"/>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ab/>
      </w:r>
      <w:r w:rsidR="007A422C" w:rsidRPr="007A422C">
        <w:rPr>
          <w:rFonts w:ascii="Times New Roman" w:eastAsia="Times New Roman" w:hAnsi="Times New Roman" w:cs="Times New Roman"/>
          <w:sz w:val="24"/>
          <w:szCs w:val="24"/>
          <w:lang w:eastAsia="pl-PL"/>
        </w:rPr>
        <w:t xml:space="preserve">odpowiedzialności za proces koordynacji na terenie Polski programów zapewnienia jakości organizowanych przez Wspólne Centrum Badawcze Komisji Europejskiej, </w:t>
      </w:r>
    </w:p>
    <w:p w:rsidR="007A422C" w:rsidRPr="007A422C" w:rsidRDefault="00EC2E78" w:rsidP="00EC2E78">
      <w:pPr>
        <w:widowControl w:val="0"/>
        <w:autoSpaceDE w:val="0"/>
        <w:autoSpaceDN w:val="0"/>
        <w:adjustRightInd w:val="0"/>
        <w:spacing w:before="120" w:after="0" w:line="360" w:lineRule="auto"/>
        <w:ind w:left="238" w:hanging="238"/>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ab/>
      </w:r>
      <w:r w:rsidR="007A422C" w:rsidRPr="007A422C">
        <w:rPr>
          <w:rFonts w:ascii="Times New Roman" w:eastAsia="Times New Roman" w:hAnsi="Times New Roman" w:cs="Times New Roman"/>
          <w:sz w:val="24"/>
          <w:szCs w:val="24"/>
          <w:lang w:eastAsia="pl-PL"/>
        </w:rPr>
        <w:t xml:space="preserve">koordynacji właściwego stosowania metodyk referencyjnych i wykazywania równoważności metodyk niereferencyjnych, </w:t>
      </w:r>
    </w:p>
    <w:p w:rsidR="007A422C" w:rsidRPr="007A422C" w:rsidRDefault="00EC2E78" w:rsidP="00EC2E78">
      <w:pPr>
        <w:widowControl w:val="0"/>
        <w:autoSpaceDE w:val="0"/>
        <w:autoSpaceDN w:val="0"/>
        <w:adjustRightInd w:val="0"/>
        <w:spacing w:before="120" w:after="0" w:line="360" w:lineRule="auto"/>
        <w:ind w:left="238" w:hanging="238"/>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ab/>
      </w:r>
      <w:r w:rsidR="007A422C" w:rsidRPr="007A422C">
        <w:rPr>
          <w:rFonts w:ascii="Times New Roman" w:eastAsia="Times New Roman" w:hAnsi="Times New Roman" w:cs="Times New Roman"/>
          <w:sz w:val="24"/>
          <w:szCs w:val="24"/>
          <w:lang w:eastAsia="pl-PL"/>
        </w:rPr>
        <w:t xml:space="preserve">udziału KLRiW przynajmniej raz na 3 lata w programach zapewnienia jakości organizowanych przez Komisję Europejską. </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W wyniku projektowanej zmiany rozszerzony i doprecyzowany zostanie zakres zadań KLRiW, który w efekcie pozwoli na zapewnienie odpowiedniej jakości badań powietrza atmosferycznego, wykonywanych przez wojewódzkie inspektoraty ochrony środowiska</w:t>
      </w:r>
      <w:r w:rsidR="00CC38C5">
        <w:rPr>
          <w:rFonts w:ascii="Times New Roman" w:eastAsia="Times New Roman" w:hAnsi="Times New Roman" w:cs="Times New Roman"/>
          <w:sz w:val="24"/>
          <w:szCs w:val="24"/>
          <w:lang w:eastAsia="pl-PL"/>
        </w:rPr>
        <w:t>,</w:t>
      </w:r>
      <w:r w:rsidRPr="007A422C">
        <w:rPr>
          <w:rFonts w:ascii="Times New Roman" w:eastAsia="Times New Roman" w:hAnsi="Times New Roman" w:cs="Times New Roman"/>
          <w:sz w:val="24"/>
          <w:szCs w:val="24"/>
          <w:lang w:eastAsia="pl-PL"/>
        </w:rPr>
        <w:t xml:space="preserve"> i</w:t>
      </w:r>
      <w:r>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 xml:space="preserve">przekazanie rzetelnej informacji o aktualnym stanie jakości powietrza na obszarze Polski oraz w konsekwencji określenie i realizację skutecznych działań naprawczych w ramach programów ochrony powietrza, mających na celu poprawę stanu jakości powietrza i ochronę zdrowia ludzkiego. Ponadto wejście w życie </w:t>
      </w:r>
      <w:r w:rsidRPr="007A422C">
        <w:rPr>
          <w:rFonts w:ascii="Times New Roman" w:eastAsia="Times New Roman" w:hAnsi="Times New Roman" w:cs="Times New Roman"/>
          <w:sz w:val="24"/>
          <w:szCs w:val="24"/>
          <w:lang w:eastAsia="pl-PL"/>
        </w:rPr>
        <w:lastRenderedPageBreak/>
        <w:t>projektowanej ustawy zmieniającej zapewni udział KLRiW w</w:t>
      </w:r>
      <w:r>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pracach nad programami jakości, w ramach Europejskiej Sieci Krajowyc</w:t>
      </w:r>
      <w:r w:rsidR="00EC2E78">
        <w:rPr>
          <w:rFonts w:ascii="Times New Roman" w:eastAsia="Times New Roman" w:hAnsi="Times New Roman" w:cs="Times New Roman"/>
          <w:sz w:val="24"/>
          <w:szCs w:val="24"/>
          <w:lang w:eastAsia="pl-PL"/>
        </w:rPr>
        <w:t>h Laboratoriów Referencyjnych w </w:t>
      </w:r>
      <w:r w:rsidRPr="007A422C">
        <w:rPr>
          <w:rFonts w:ascii="Times New Roman" w:eastAsia="Times New Roman" w:hAnsi="Times New Roman" w:cs="Times New Roman"/>
          <w:sz w:val="24"/>
          <w:szCs w:val="24"/>
          <w:lang w:eastAsia="pl-PL"/>
        </w:rPr>
        <w:t xml:space="preserve">zakresie powietrza atmosferycznego – AQUILA, która ma na celu zapewnienie spójnej polityki jakości w sieciach monitoringu powietrza na terenie Unii Europejskiej. Transpozycja dyrektywy 2015/1480 obejmuje w zakresie ustawy z dnia 20 lipca 1991 r. o Inspekcji Ochrony Środowiska: </w:t>
      </w:r>
    </w:p>
    <w:p w:rsidR="007A422C" w:rsidRPr="007A422C" w:rsidRDefault="007A422C" w:rsidP="00EC2E78">
      <w:pPr>
        <w:widowControl w:val="0"/>
        <w:numPr>
          <w:ilvl w:val="0"/>
          <w:numId w:val="1"/>
        </w:numPr>
        <w:autoSpaceDE w:val="0"/>
        <w:autoSpaceDN w:val="0"/>
        <w:adjustRightInd w:val="0"/>
        <w:spacing w:before="120" w:after="0" w:line="360" w:lineRule="auto"/>
        <w:ind w:left="426" w:hanging="426"/>
        <w:contextualSpacing/>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zmianę brzmienia art. 2 ust. 1 pkt 16 – ujednolicenie nazewnictwa, będące skutkiem zmiany art. 28g ust. 3 pkt 1;</w:t>
      </w:r>
    </w:p>
    <w:p w:rsidR="007A422C" w:rsidRPr="007A422C" w:rsidRDefault="007A422C" w:rsidP="00EC2E78">
      <w:pPr>
        <w:widowControl w:val="0"/>
        <w:numPr>
          <w:ilvl w:val="0"/>
          <w:numId w:val="1"/>
        </w:numPr>
        <w:autoSpaceDE w:val="0"/>
        <w:autoSpaceDN w:val="0"/>
        <w:adjustRightInd w:val="0"/>
        <w:spacing w:before="120" w:after="0" w:line="360" w:lineRule="auto"/>
        <w:ind w:left="426" w:hanging="426"/>
        <w:contextualSpacing/>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 xml:space="preserve">zmianę art. 28f ust. 2 pkt 3 – </w:t>
      </w:r>
      <w:r w:rsidRPr="007A422C">
        <w:rPr>
          <w:rFonts w:ascii="Times New Roman" w:eastAsia="Arial Unicode MS" w:hAnsi="Times New Roman" w:cs="Times New Roman"/>
          <w:color w:val="000000"/>
          <w:sz w:val="24"/>
          <w:szCs w:val="24"/>
          <w:lang w:eastAsia="zh-CN"/>
        </w:rPr>
        <w:t>ujednolicenie nazewnictwa, będące skutkiem zmiany art. 28g ust. 3 pkt 1;</w:t>
      </w:r>
    </w:p>
    <w:p w:rsidR="007A422C" w:rsidRPr="007A422C" w:rsidRDefault="007A422C" w:rsidP="00EC2E78">
      <w:pPr>
        <w:widowControl w:val="0"/>
        <w:numPr>
          <w:ilvl w:val="0"/>
          <w:numId w:val="1"/>
        </w:numPr>
        <w:autoSpaceDE w:val="0"/>
        <w:autoSpaceDN w:val="0"/>
        <w:adjustRightInd w:val="0"/>
        <w:spacing w:before="120" w:after="0" w:line="360" w:lineRule="auto"/>
        <w:ind w:left="426" w:hanging="426"/>
        <w:contextualSpacing/>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 xml:space="preserve">zmianę art. 28g ust. 3, </w:t>
      </w:r>
      <w:r w:rsidRPr="007A422C">
        <w:rPr>
          <w:rFonts w:ascii="Times New Roman" w:eastAsia="Times New Roman" w:hAnsi="Times New Roman" w:cs="Times New Roman"/>
          <w:color w:val="000000"/>
          <w:sz w:val="24"/>
          <w:szCs w:val="24"/>
          <w:lang w:eastAsia="zh-CN"/>
        </w:rPr>
        <w:t xml:space="preserve">polegającą na </w:t>
      </w:r>
      <w:r w:rsidRPr="007A422C">
        <w:rPr>
          <w:rFonts w:ascii="Times New Roman" w:eastAsia="Times New Roman" w:hAnsi="Times New Roman" w:cs="Times New Roman"/>
          <w:sz w:val="24"/>
          <w:szCs w:val="24"/>
          <w:lang w:eastAsia="pl-PL"/>
        </w:rPr>
        <w:t>rozszerzeniu i doprecyzowaniu zakresu zadań krajowego laboratorium referencyjnego i wzorcującego, która</w:t>
      </w:r>
      <w:r w:rsidRPr="007A422C">
        <w:rPr>
          <w:rFonts w:ascii="Times New Roman" w:eastAsia="Times New Roman" w:hAnsi="Times New Roman" w:cs="Times New Roman"/>
          <w:color w:val="000000"/>
          <w:sz w:val="24"/>
          <w:szCs w:val="24"/>
          <w:lang w:eastAsia="zh-CN"/>
        </w:rPr>
        <w:t xml:space="preserve"> </w:t>
      </w:r>
      <w:r w:rsidRPr="007A422C">
        <w:rPr>
          <w:rFonts w:ascii="Times New Roman" w:eastAsia="Times New Roman" w:hAnsi="Times New Roman" w:cs="Times New Roman"/>
          <w:color w:val="000000"/>
          <w:sz w:val="24"/>
          <w:szCs w:val="24"/>
          <w:lang w:eastAsia="pl-PL"/>
        </w:rPr>
        <w:t>zapewni transpozycję postanowień załącznika II dyrektywy 2015/1480 dotyczących z</w:t>
      </w:r>
      <w:r w:rsidRPr="007A422C">
        <w:rPr>
          <w:rFonts w:ascii="Times New Roman" w:eastAsia="Times New Roman" w:hAnsi="Times New Roman" w:cs="Times New Roman"/>
          <w:sz w:val="24"/>
          <w:szCs w:val="24"/>
          <w:lang w:eastAsia="pl-PL"/>
        </w:rPr>
        <w:t>apewniania jakości w</w:t>
      </w:r>
      <w:r>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zakresie oceny jakości powietrza;</w:t>
      </w:r>
    </w:p>
    <w:p w:rsidR="007A422C" w:rsidRPr="007A422C" w:rsidRDefault="007A422C" w:rsidP="00EC2E78">
      <w:pPr>
        <w:widowControl w:val="0"/>
        <w:numPr>
          <w:ilvl w:val="0"/>
          <w:numId w:val="1"/>
        </w:numPr>
        <w:autoSpaceDE w:val="0"/>
        <w:autoSpaceDN w:val="0"/>
        <w:adjustRightInd w:val="0"/>
        <w:spacing w:before="120" w:after="0" w:line="360" w:lineRule="auto"/>
        <w:ind w:left="426" w:hanging="426"/>
        <w:contextualSpacing/>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 xml:space="preserve">dodanie </w:t>
      </w:r>
      <w:r w:rsidR="00CC38C5">
        <w:rPr>
          <w:rFonts w:ascii="Times New Roman" w:eastAsia="Times New Roman" w:hAnsi="Times New Roman" w:cs="Times New Roman"/>
          <w:sz w:val="24"/>
          <w:szCs w:val="24"/>
          <w:lang w:eastAsia="pl-PL"/>
        </w:rPr>
        <w:t xml:space="preserve">w </w:t>
      </w:r>
      <w:r w:rsidRPr="007A422C">
        <w:rPr>
          <w:rFonts w:ascii="Times New Roman" w:eastAsia="Times New Roman" w:hAnsi="Times New Roman" w:cs="Times New Roman"/>
          <w:sz w:val="24"/>
          <w:szCs w:val="24"/>
          <w:lang w:eastAsia="pl-PL"/>
        </w:rPr>
        <w:t xml:space="preserve">art. 28g ust. 3a – zapewniające transpozycję </w:t>
      </w:r>
      <w:r w:rsidRPr="007A422C">
        <w:rPr>
          <w:rFonts w:ascii="Times New Roman" w:eastAsia="Times New Roman" w:hAnsi="Times New Roman" w:cs="Times New Roman"/>
          <w:color w:val="000000"/>
          <w:sz w:val="24"/>
          <w:szCs w:val="24"/>
          <w:lang w:eastAsia="pl-PL"/>
        </w:rPr>
        <w:t>załącznika II</w:t>
      </w:r>
      <w:r w:rsidRPr="007A422C">
        <w:rPr>
          <w:rFonts w:ascii="Times New Roman" w:eastAsia="Times New Roman" w:hAnsi="Times New Roman" w:cs="Times New Roman"/>
          <w:iCs/>
          <w:color w:val="000000"/>
          <w:sz w:val="24"/>
          <w:szCs w:val="24"/>
          <w:lang w:eastAsia="zh-CN"/>
        </w:rPr>
        <w:t xml:space="preserve"> dyrektywy 2015/1480, który stanowi, że krajowe laboratoria referencyjne działające na terenie państw członkowskich są odpowiedzialne za proces koordynacji programów zapewniania jakości organizowanych przez Wspólne Centrum Badawcze Komisji Europejskiej, a także wspierają prace prowadzone przez europejską sieć krajowych laboratoriów referencyjnych ustanowioną przez Komisję Europejską.</w:t>
      </w:r>
      <w:r w:rsidRPr="007A422C">
        <w:rPr>
          <w:rFonts w:ascii="Times New Roman" w:eastAsia="Times New Roman" w:hAnsi="Times New Roman" w:cs="Times New Roman"/>
          <w:sz w:val="24"/>
          <w:szCs w:val="24"/>
          <w:lang w:eastAsia="pl-PL"/>
        </w:rPr>
        <w:t xml:space="preserve"> </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 xml:space="preserve">W art. 5 ust. 1 projektu ustawy zmieniającej wprowadza się przepis przejściowy, który stanowi, że w sprawach wszczętych i niezakończonych przed dniem wejścia w życie projektowanych zmian w ustawie z dnia 20 lipca 1991 r. o Inspekcji Ochrony Środowiska stosuje się przepisy dotychczasowe. Dodatkowo w ust. 2 zawarto przepis przejściowy, który stanowi, że do badań powietrza atmosferycznego wykonywanych na podstawie umów, o których mowa w art. 28f ust. 4 ustawy zmienianej w art. 1, zawartych przed dniem wejścia w życie projektowanej ustawy, przepisy art. 28g ust. 3 ustawy zmienianej w art. 1, w brzmieniu nadanym </w:t>
      </w:r>
      <w:r w:rsidR="00260A58">
        <w:rPr>
          <w:rFonts w:ascii="Times New Roman" w:eastAsia="Times New Roman" w:hAnsi="Times New Roman" w:cs="Times New Roman"/>
          <w:sz w:val="24"/>
          <w:szCs w:val="24"/>
          <w:lang w:eastAsia="pl-PL"/>
        </w:rPr>
        <w:t>projektowaną</w:t>
      </w:r>
      <w:r w:rsidR="00260A58" w:rsidRPr="007A422C">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ustawą, stosuje się</w:t>
      </w:r>
      <w:r>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 xml:space="preserve">po upływie 90 dni od dnia wejścia w życie ustawy zmieniającej. </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 xml:space="preserve">Przewidziany termin wejścia w życie zmian w przepisach ustawy z dnia 20 lipca 1991 r. o Inspekcji Ochrony Środowiska to dzień następujący po dniu ogłoszenia. Termin wynika z art. 4 ust. 1 dyrektywy 2015/1480, który stanowi, że wprowadzenie w życie przepisów ustawowych, wykonawczych i administracyjnych niezbędne do wykonania </w:t>
      </w:r>
      <w:r w:rsidRPr="007A422C">
        <w:rPr>
          <w:rFonts w:ascii="Times New Roman" w:eastAsia="Times New Roman" w:hAnsi="Times New Roman" w:cs="Times New Roman"/>
          <w:sz w:val="24"/>
          <w:szCs w:val="24"/>
          <w:lang w:eastAsia="pl-PL"/>
        </w:rPr>
        <w:lastRenderedPageBreak/>
        <w:t xml:space="preserve">tej dyrektywy powinno nastąpić do dnia 31 grudnia 2016 r. Ze względu na upływ tego terminu niezbędne jest wejście w życie zmian w jak najkrótszym terminie, czyli dzień po ogłoszeniu. </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Zmiana ustawy z dnia 27 kwietnia 2001 r. – Prawo ochrony środowiska, o której mowa w art. 2 projektu ustawy zmieniającej, reguluje kwestie systemowego oraz naukowego wsparcia działań Inspekcji Ochrony Środowiska, prowadzonych na rzecz wykonywania ocen jakości powietrza, oraz systemu monitoringu zanieczyszczeń powietrza wynikami modelowania matematycznego. Proponowane rozwiązania zapewnią organom Inspekcji Ochrony Środowiska, wykonującym oceny jakości powietrza (wojewódzkim inspektorom ochrony środowiska i Głównemu Inspektorowi Ochrony Środowiska)</w:t>
      </w:r>
      <w:r w:rsidR="00CC38C5">
        <w:rPr>
          <w:rFonts w:ascii="Times New Roman" w:eastAsia="Times New Roman" w:hAnsi="Times New Roman" w:cs="Times New Roman"/>
          <w:sz w:val="24"/>
          <w:szCs w:val="24"/>
          <w:lang w:eastAsia="pl-PL"/>
        </w:rPr>
        <w:t>,</w:t>
      </w:r>
      <w:r w:rsidRPr="007A422C">
        <w:rPr>
          <w:rFonts w:ascii="Times New Roman" w:eastAsia="Times New Roman" w:hAnsi="Times New Roman" w:cs="Times New Roman"/>
          <w:sz w:val="24"/>
          <w:szCs w:val="24"/>
          <w:lang w:eastAsia="pl-PL"/>
        </w:rPr>
        <w:t xml:space="preserve"> systematyczne dostarczanie niezbędnych oraz jednolitych i dobrej jakości danych, uzyskanych w oparciu o przyjętą i zastosowaną jednolitą dla całego kraju metodykę analiz numerycznych. Metodyka ta obejmie ponadto przygotowanie i ujednolicenie stosowanych danych meteorologicznych oraz dotyczących emisji do powietrza. </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 xml:space="preserve">Wykonanie tych prac powierzone będzie Instytutowi Ochrony Środowiska </w:t>
      </w:r>
      <w:r w:rsidR="00EC2E78">
        <w:rPr>
          <w:rFonts w:ascii="Times New Roman" w:eastAsia="Times New Roman" w:hAnsi="Times New Roman" w:cs="Times New Roman"/>
          <w:sz w:val="24"/>
          <w:szCs w:val="24"/>
          <w:lang w:eastAsia="pl-PL"/>
        </w:rPr>
        <w:t>–</w:t>
      </w:r>
      <w:r w:rsidRPr="007A422C">
        <w:rPr>
          <w:rFonts w:ascii="Times New Roman" w:eastAsia="Times New Roman" w:hAnsi="Times New Roman" w:cs="Times New Roman"/>
          <w:sz w:val="24"/>
          <w:szCs w:val="24"/>
          <w:lang w:eastAsia="pl-PL"/>
        </w:rPr>
        <w:t xml:space="preserve"> Państwowemu Instytutowi Badawczemu, zwanemu dalej „Instytutem Ochrony Środowiska”, co zapewni nie tylko odpowiedni nadzór merytoryczny na</w:t>
      </w:r>
      <w:r w:rsidR="00CC38C5">
        <w:rPr>
          <w:rFonts w:ascii="Times New Roman" w:eastAsia="Times New Roman" w:hAnsi="Times New Roman" w:cs="Times New Roman"/>
          <w:sz w:val="24"/>
          <w:szCs w:val="24"/>
          <w:lang w:eastAsia="pl-PL"/>
        </w:rPr>
        <w:t>d</w:t>
      </w:r>
      <w:r w:rsidRPr="007A422C">
        <w:rPr>
          <w:rFonts w:ascii="Times New Roman" w:eastAsia="Times New Roman" w:hAnsi="Times New Roman" w:cs="Times New Roman"/>
          <w:sz w:val="24"/>
          <w:szCs w:val="24"/>
          <w:lang w:eastAsia="pl-PL"/>
        </w:rPr>
        <w:t xml:space="preserve"> realizowanymi zadaniami, ale również na odpowiednim poziomie rozwój i doskonalenie systemu modelowania.</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 xml:space="preserve">Projektowana ustawa realizuje koncepcję wdrożenia krajowego systemu modelowania transportu i przemian substancji w powietrzu. W większości krajów Unii Europejskiej zadanie takie realizuje jedna instytucja pełniąca rolę krajowej agencji ochrony środowiska lub instytut branżowy, który zajmuje się badaniami nad systemami ocen jakości powietrza. </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Zadania ustawowe, w których metody modelowania matematycznego transportu i</w:t>
      </w:r>
      <w:r w:rsidR="00EC2E78">
        <w:rPr>
          <w:rFonts w:ascii="Times New Roman" w:eastAsia="Times New Roman" w:hAnsi="Times New Roman" w:cs="Times New Roman"/>
          <w:sz w:val="24"/>
          <w:szCs w:val="24"/>
          <w:lang w:eastAsia="pl-PL"/>
        </w:rPr>
        <w:t> </w:t>
      </w:r>
      <w:r w:rsidRPr="007A422C">
        <w:rPr>
          <w:rFonts w:ascii="Times New Roman" w:eastAsia="Times New Roman" w:hAnsi="Times New Roman" w:cs="Times New Roman"/>
          <w:sz w:val="24"/>
          <w:szCs w:val="24"/>
          <w:lang w:eastAsia="pl-PL"/>
        </w:rPr>
        <w:t xml:space="preserve">przemian substancji w powietrzu miałyby być realizowane, obejmują nie tylko ocenę jakości powietrza w strefach, ale także prognozę operacyjną zanieczyszczenia powietrza, oddziaływania transgraniczne, raportowanie udziału zanieczyszczeń naturalnych oraz w razie konieczności realizację krajowego programu ochrony powietrza. Powierzenie zadań w zakresie modelowania jednej instytucji umożliwia wsparcie krajowej polityki w zakresie jakości powietrza w sposób spójny dla wszystkich zanieczyszczeń, jednorodny w skali kraju pod względem stosowanych </w:t>
      </w:r>
      <w:r w:rsidRPr="007A422C">
        <w:rPr>
          <w:rFonts w:ascii="Times New Roman" w:eastAsia="Times New Roman" w:hAnsi="Times New Roman" w:cs="Times New Roman"/>
          <w:sz w:val="24"/>
          <w:szCs w:val="24"/>
          <w:lang w:eastAsia="pl-PL"/>
        </w:rPr>
        <w:lastRenderedPageBreak/>
        <w:t>metod i niewprowadzający wewnętrznych sprzeczności ze względu na potencjalnie stosowane przez różnych wykonawców odmienne metody obliczeniowe. Ważnym czynnikiem przemawiającym za powierzeniem tych zadań Instytutowi Ochrony Środowiska jest dostępność w ramach tej samej jednostki (tj. Instytutu Ochrony Środowiska, który równocześnie realizuje zadania Krajowego Ośrodka Bilansowania i</w:t>
      </w:r>
      <w:r w:rsidR="00EC2E78">
        <w:rPr>
          <w:rFonts w:ascii="Times New Roman" w:eastAsia="Times New Roman" w:hAnsi="Times New Roman" w:cs="Times New Roman"/>
          <w:sz w:val="24"/>
          <w:szCs w:val="24"/>
          <w:lang w:eastAsia="pl-PL"/>
        </w:rPr>
        <w:t> </w:t>
      </w:r>
      <w:r w:rsidRPr="007A422C">
        <w:rPr>
          <w:rFonts w:ascii="Times New Roman" w:eastAsia="Times New Roman" w:hAnsi="Times New Roman" w:cs="Times New Roman"/>
          <w:sz w:val="24"/>
          <w:szCs w:val="24"/>
          <w:lang w:eastAsia="pl-PL"/>
        </w:rPr>
        <w:t>Zarządzania Emisjami) bazy emisyjnej, która corocznie uzupełniana jest aktualnymi informacjami na temat wielkości emisji różnych zanieczyszczeń. Powierzenie Instytutowi Ochrony Środowiska zadań w zakresie modelowania uzasadnia możliwość pełnego wykorzystania zasobów tej bazy emisyjnej. Wstępne prace przygotowawcze w</w:t>
      </w:r>
      <w:r w:rsidR="00EC2E78">
        <w:rPr>
          <w:rFonts w:ascii="Times New Roman" w:eastAsia="Times New Roman" w:hAnsi="Times New Roman" w:cs="Times New Roman"/>
          <w:sz w:val="24"/>
          <w:szCs w:val="24"/>
          <w:lang w:eastAsia="pl-PL"/>
        </w:rPr>
        <w:t> </w:t>
      </w:r>
      <w:r w:rsidRPr="007A422C">
        <w:rPr>
          <w:rFonts w:ascii="Times New Roman" w:eastAsia="Times New Roman" w:hAnsi="Times New Roman" w:cs="Times New Roman"/>
          <w:sz w:val="24"/>
          <w:szCs w:val="24"/>
          <w:lang w:eastAsia="pl-PL"/>
        </w:rPr>
        <w:t>tym zakresie zostały już w Instytucie Ochrony Środowiska rozpoczęte.</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Z uwagi na powyższe w ocenie projektodawcy za powierzeniem Instytutowi Ochrony Środowiska zadań w zakresie modelowania przemawia ważny interes publiczny. W</w:t>
      </w:r>
      <w:r w:rsidR="00EC2E78">
        <w:rPr>
          <w:rFonts w:ascii="Times New Roman" w:eastAsia="Times New Roman" w:hAnsi="Times New Roman" w:cs="Times New Roman"/>
          <w:sz w:val="24"/>
          <w:szCs w:val="24"/>
          <w:lang w:eastAsia="pl-PL"/>
        </w:rPr>
        <w:t> </w:t>
      </w:r>
      <w:r w:rsidRPr="007A422C">
        <w:rPr>
          <w:rFonts w:ascii="Times New Roman" w:eastAsia="Times New Roman" w:hAnsi="Times New Roman" w:cs="Times New Roman"/>
          <w:sz w:val="24"/>
          <w:szCs w:val="24"/>
          <w:lang w:eastAsia="pl-PL"/>
        </w:rPr>
        <w:t>szczególności potrzeba ustanowienia ogólnokrajowego systemu modelowania, który w sposób spójny, jednorodny i kompleksowy oraz stabilny w dłuższym okresie realizowałby potrzeby analityczne administracji publicznej w zakresie wsparcia merytorycznego i technicznego działań odnośnie</w:t>
      </w:r>
      <w:r w:rsidR="00CC38C5">
        <w:rPr>
          <w:rFonts w:ascii="Times New Roman" w:eastAsia="Times New Roman" w:hAnsi="Times New Roman" w:cs="Times New Roman"/>
          <w:sz w:val="24"/>
          <w:szCs w:val="24"/>
          <w:lang w:eastAsia="pl-PL"/>
        </w:rPr>
        <w:t xml:space="preserve"> do</w:t>
      </w:r>
      <w:r w:rsidRPr="007A422C">
        <w:rPr>
          <w:rFonts w:ascii="Times New Roman" w:eastAsia="Times New Roman" w:hAnsi="Times New Roman" w:cs="Times New Roman"/>
          <w:sz w:val="24"/>
          <w:szCs w:val="24"/>
          <w:lang w:eastAsia="pl-PL"/>
        </w:rPr>
        <w:t xml:space="preserve"> ocen jakości powietrza atmosferycznego z wykorzystaniem metod numerycznych, oraz możliwość wykorzystania pełnego zasobu informacyjnego w zakresie emisji zanieczyszczeń do powietrza, który jest gromadzony w ramach realizacji innych zadań publicznych, przemawiają za powierzeniem zadań związanych z modelowaniem jednej instytucji, konkretnie Instytutowi Ochrony Środowiska.</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 xml:space="preserve">Interes publiczny związany z wykonywaniem modelowania matematycznego transportu i przemian substancji w powietrzu wymaga zapewnienia ciągłości i odpowiedniej jakości otrzymywanych analiz. Analizy te muszą być wykonywane </w:t>
      </w:r>
      <w:r w:rsidR="00CC38C5">
        <w:rPr>
          <w:rFonts w:ascii="Times New Roman" w:eastAsia="Times New Roman" w:hAnsi="Times New Roman" w:cs="Times New Roman"/>
          <w:sz w:val="24"/>
          <w:szCs w:val="24"/>
          <w:lang w:eastAsia="pl-PL"/>
        </w:rPr>
        <w:t>za</w:t>
      </w:r>
      <w:r w:rsidR="00CC38C5" w:rsidRPr="007A422C">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pomoc</w:t>
      </w:r>
      <w:r w:rsidR="00CC38C5">
        <w:rPr>
          <w:rFonts w:ascii="Times New Roman" w:eastAsia="Times New Roman" w:hAnsi="Times New Roman" w:cs="Times New Roman"/>
          <w:sz w:val="24"/>
          <w:szCs w:val="24"/>
          <w:lang w:eastAsia="pl-PL"/>
        </w:rPr>
        <w:t>ą</w:t>
      </w:r>
      <w:r w:rsidRPr="007A422C">
        <w:rPr>
          <w:rFonts w:ascii="Times New Roman" w:eastAsia="Times New Roman" w:hAnsi="Times New Roman" w:cs="Times New Roman"/>
          <w:sz w:val="24"/>
          <w:szCs w:val="24"/>
          <w:lang w:eastAsia="pl-PL"/>
        </w:rPr>
        <w:t xml:space="preserve"> spójnej i</w:t>
      </w:r>
      <w:r w:rsidR="00CC38C5">
        <w:rPr>
          <w:rFonts w:ascii="Times New Roman" w:eastAsia="Times New Roman" w:hAnsi="Times New Roman" w:cs="Times New Roman"/>
          <w:sz w:val="24"/>
          <w:szCs w:val="24"/>
          <w:lang w:eastAsia="pl-PL"/>
        </w:rPr>
        <w:t> </w:t>
      </w:r>
      <w:r w:rsidRPr="007A422C">
        <w:rPr>
          <w:rFonts w:ascii="Times New Roman" w:eastAsia="Times New Roman" w:hAnsi="Times New Roman" w:cs="Times New Roman"/>
          <w:sz w:val="24"/>
          <w:szCs w:val="24"/>
          <w:lang w:eastAsia="pl-PL"/>
        </w:rPr>
        <w:t>przewidywalnej oraz przejrzystej metodyki, która zapewni na przestrzeni określonego czasu wiarygodność i porównywalność otrzymywanych wyników. Wiarygodność ta nabiera szczególnego znaczenia, je</w:t>
      </w:r>
      <w:r w:rsidR="00CC38C5">
        <w:rPr>
          <w:rFonts w:ascii="Times New Roman" w:eastAsia="Times New Roman" w:hAnsi="Times New Roman" w:cs="Times New Roman"/>
          <w:sz w:val="24"/>
          <w:szCs w:val="24"/>
          <w:lang w:eastAsia="pl-PL"/>
        </w:rPr>
        <w:t>że</w:t>
      </w:r>
      <w:r w:rsidRPr="007A422C">
        <w:rPr>
          <w:rFonts w:ascii="Times New Roman" w:eastAsia="Times New Roman" w:hAnsi="Times New Roman" w:cs="Times New Roman"/>
          <w:sz w:val="24"/>
          <w:szCs w:val="24"/>
          <w:lang w:eastAsia="pl-PL"/>
        </w:rPr>
        <w:t>li się weźmie pod uwagę, że wyniki modelowania wykorzystywane są do opracowywania m.in. programów ochrony powietrza, które mogą generować poważne konsekwencje społeczne i gospodarcze (m.in. związane ze sposobem prowadzenia działalności gospodarczej przez przedsiębiorców). Osiągnięcie tych założeń najlepiej zapewni powierzenie wykonywania tych zadań jednemu, wyspecjalizowanemu podmiotowi.</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lastRenderedPageBreak/>
        <w:t>W tych okolicznościach w ocenie projektodawcy nie ma alternatywy dla projektowanego rozwiązania (zakładającego powierzenie Instytutowi Ochrony Środowiska zadań w zakresie modelowania matematycznego i analiz). W szczególności nie jest możliwe zapewnienie osiągnięcia zamierzonych, opisanych wyżej celów związanych z realizacją interesu publicznego, przez zapewnienie, że zadania te realizowałby w perspektywie długoletniej, na tym samym wysokim poziomie, ten sam podmiot prywatny, a wszystkie produkty (również cząst</w:t>
      </w:r>
      <w:r w:rsidR="00EC2E78">
        <w:rPr>
          <w:rFonts w:ascii="Times New Roman" w:eastAsia="Times New Roman" w:hAnsi="Times New Roman" w:cs="Times New Roman"/>
          <w:sz w:val="24"/>
          <w:szCs w:val="24"/>
          <w:lang w:eastAsia="pl-PL"/>
        </w:rPr>
        <w:t>kowe) oraz narzędzia (modele) i </w:t>
      </w:r>
      <w:r w:rsidRPr="007A422C">
        <w:rPr>
          <w:rFonts w:ascii="Times New Roman" w:eastAsia="Times New Roman" w:hAnsi="Times New Roman" w:cs="Times New Roman"/>
          <w:sz w:val="24"/>
          <w:szCs w:val="24"/>
          <w:lang w:eastAsia="pl-PL"/>
        </w:rPr>
        <w:t>dane wykorzystywane przez te modele (w tym mete</w:t>
      </w:r>
      <w:r w:rsidR="00EC2E78">
        <w:rPr>
          <w:rFonts w:ascii="Times New Roman" w:eastAsia="Times New Roman" w:hAnsi="Times New Roman" w:cs="Times New Roman"/>
          <w:sz w:val="24"/>
          <w:szCs w:val="24"/>
          <w:lang w:eastAsia="pl-PL"/>
        </w:rPr>
        <w:t>orologiczne z Europy) byłyby w </w:t>
      </w:r>
      <w:r w:rsidRPr="007A422C">
        <w:rPr>
          <w:rFonts w:ascii="Times New Roman" w:eastAsia="Times New Roman" w:hAnsi="Times New Roman" w:cs="Times New Roman"/>
          <w:sz w:val="24"/>
          <w:szCs w:val="24"/>
          <w:lang w:eastAsia="pl-PL"/>
        </w:rPr>
        <w:t>pełni dostępne dla administracji. Podmiot ten musiałby zapewnić stałe doskonalenie stosowanych modeli matematycznych i ich dostosowywanie do zwiększających się potrzeb administracji publicznej oraz realizowanych przez nią zadań wynikających m.in. ze współpracy międzynarodowej. Osiągnięcie tego zamierzenia na poziomie regulacyjnym, z uwagi właśnie na konstytucyjną zasadę wolności gospodarczej, jest niemożliwe do zrealizowania.</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Zmiana ustawy z dnia 27 kwietnia 2001 r. – Prawo ochrony środowiska w zakresie wprowadzenia jednolitego systemu modelowania matematycznego w skali kraju zapewni szeroki dostęp do wyników ro</w:t>
      </w:r>
      <w:r w:rsidR="00EC2E78">
        <w:rPr>
          <w:rFonts w:ascii="Times New Roman" w:eastAsia="Times New Roman" w:hAnsi="Times New Roman" w:cs="Times New Roman"/>
          <w:sz w:val="24"/>
          <w:szCs w:val="24"/>
          <w:lang w:eastAsia="pl-PL"/>
        </w:rPr>
        <w:t>zkładów przestrzennych stężeń z </w:t>
      </w:r>
      <w:r w:rsidRPr="007A422C">
        <w:rPr>
          <w:rFonts w:ascii="Times New Roman" w:eastAsia="Times New Roman" w:hAnsi="Times New Roman" w:cs="Times New Roman"/>
          <w:sz w:val="24"/>
          <w:szCs w:val="24"/>
          <w:lang w:eastAsia="pl-PL"/>
        </w:rPr>
        <w:t>uwzględnieniem dotrzymania ustanowionych poziomów dopuszczalnych lub docelowych, w tym do prognozowanych zmian stężeń w krótkim i</w:t>
      </w:r>
      <w:r>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dłuższym okresie. Dodatkowo wyniki, wykonanego przez Instytut Ochrony Środowiska, modelowania matematycznego wykorzystane będą przez Ministra Środowiska do oceny wpływów transgranicznego przenoszenia zanieczyszczeń, szczególnie w ramach współpracy bilateralnej Polski z Republiką Czeską oraz Republiką Federalną Niemiec. Udostępniane przez Instytut Ochrony Środowiska wyniki modelowania matematycznego będą wykorzystane na</w:t>
      </w:r>
      <w:r>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 xml:space="preserve">potrzeby realizacji obowiązków sprawozdawczych Polski wynikających z obowiązujących i projektowanych regulacji prawnych Unii Europejskiej w zakresie ocen jakości powietrza, prognoz wielkości emisji oraz prognoz poziomów substancji w powietrzu. Będą stanowiły również podstawę prowadzonych przez Ministerstwo Środowiska ocen skuteczności podejmowanych działań mogących pośrednio lub bezpośrednio przyczynić się </w:t>
      </w:r>
      <w:r w:rsidR="00CC38C5">
        <w:rPr>
          <w:rFonts w:ascii="Times New Roman" w:eastAsia="Times New Roman" w:hAnsi="Times New Roman" w:cs="Times New Roman"/>
          <w:sz w:val="24"/>
          <w:szCs w:val="24"/>
          <w:lang w:eastAsia="pl-PL"/>
        </w:rPr>
        <w:t xml:space="preserve">zarówno </w:t>
      </w:r>
      <w:r w:rsidRPr="007A422C">
        <w:rPr>
          <w:rFonts w:ascii="Times New Roman" w:eastAsia="Times New Roman" w:hAnsi="Times New Roman" w:cs="Times New Roman"/>
          <w:sz w:val="24"/>
          <w:szCs w:val="24"/>
          <w:lang w:eastAsia="pl-PL"/>
        </w:rPr>
        <w:t>do poprawy jakości powietrza, jak i do oceny wpływu</w:t>
      </w:r>
      <w:r w:rsidR="00EC2E78">
        <w:rPr>
          <w:rFonts w:ascii="Times New Roman" w:eastAsia="Times New Roman" w:hAnsi="Times New Roman" w:cs="Times New Roman"/>
          <w:sz w:val="24"/>
          <w:szCs w:val="24"/>
          <w:lang w:eastAsia="pl-PL"/>
        </w:rPr>
        <w:t xml:space="preserve"> zanieczyszczeń na środowisko i </w:t>
      </w:r>
      <w:r w:rsidRPr="007A422C">
        <w:rPr>
          <w:rFonts w:ascii="Times New Roman" w:eastAsia="Times New Roman" w:hAnsi="Times New Roman" w:cs="Times New Roman"/>
          <w:sz w:val="24"/>
          <w:szCs w:val="24"/>
          <w:lang w:eastAsia="pl-PL"/>
        </w:rPr>
        <w:t>zdrowie, z</w:t>
      </w:r>
      <w:r>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uwzględnieniem kosztów podejmowanych działań i korzyści ekonomicznych z nich płynących.</w:t>
      </w:r>
      <w:r>
        <w:rPr>
          <w:rFonts w:ascii="Times New Roman" w:eastAsia="Times New Roman" w:hAnsi="Times New Roman" w:cs="Times New Roman"/>
          <w:sz w:val="24"/>
          <w:szCs w:val="24"/>
          <w:lang w:eastAsia="pl-PL"/>
        </w:rPr>
        <w:t xml:space="preserve"> </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lastRenderedPageBreak/>
        <w:t>Zmiana ustawy z dnia 27 kwietnia 2001 r. – Prawo ochrony środowiska przewiduje także ramy formalnoprawne do nawiązania współpracy międzyinstytucjonalnej pomiędzy ministrem właściwym do spraw środowiska, Instytutem Ochrony Środowiska oraz Głównym Inspektorem Ochrony Środowiska w zakresie wykonywania zadań związanych z wykorzystaniem metod modelowania matematycznego w obszarze jakości powietrza. Ponieważ zarówno narzędzia modelowania matematycznego transportu i przemian substancji w powietrzu, jak i stosowana metodyka ulegają zmianom, zasadne jest ustanowienie takiej formy współpracy, która pozwoli na wdrażanie w tym zakresie nowych trendów i narzędzi przez Instytut Ochrony Środowiska. Warunki i szczegółowy zakres tej współpracy określi porozumienie.</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 xml:space="preserve">Zakres dokonywanych przez wojewódzkie inspektoraty ochrony środowiska ocen poziomów substancji w powietrzu, w tym z wykorzystaniem metod modelowania matematycznego transportu i przemian substancji w </w:t>
      </w:r>
      <w:r w:rsidR="00EC2E78">
        <w:rPr>
          <w:rFonts w:ascii="Times New Roman" w:eastAsia="Times New Roman" w:hAnsi="Times New Roman" w:cs="Times New Roman"/>
          <w:sz w:val="24"/>
          <w:szCs w:val="24"/>
          <w:lang w:eastAsia="pl-PL"/>
        </w:rPr>
        <w:t>powietrzu, zostanie określony w </w:t>
      </w:r>
      <w:r w:rsidRPr="007A422C">
        <w:rPr>
          <w:rFonts w:ascii="Times New Roman" w:eastAsia="Times New Roman" w:hAnsi="Times New Roman" w:cs="Times New Roman"/>
          <w:sz w:val="24"/>
          <w:szCs w:val="24"/>
          <w:lang w:eastAsia="pl-PL"/>
        </w:rPr>
        <w:t>rozporządzeniu ministra właściwego do spraw środowiska w porozumieniu z</w:t>
      </w:r>
      <w:r w:rsidR="00EC2E78">
        <w:rPr>
          <w:rFonts w:ascii="Times New Roman" w:eastAsia="Times New Roman" w:hAnsi="Times New Roman" w:cs="Times New Roman"/>
          <w:sz w:val="24"/>
          <w:szCs w:val="24"/>
          <w:lang w:eastAsia="pl-PL"/>
        </w:rPr>
        <w:t> </w:t>
      </w:r>
      <w:r w:rsidRPr="007A422C">
        <w:rPr>
          <w:rFonts w:ascii="Times New Roman" w:eastAsia="Times New Roman" w:hAnsi="Times New Roman" w:cs="Times New Roman"/>
          <w:sz w:val="24"/>
          <w:szCs w:val="24"/>
          <w:lang w:eastAsia="pl-PL"/>
        </w:rPr>
        <w:t>ministrem właściwym do spraw zdrowia. W tym celu rozszerzono delegację ustaw</w:t>
      </w:r>
      <w:r w:rsidR="00EC2E78">
        <w:rPr>
          <w:rFonts w:ascii="Times New Roman" w:eastAsia="Times New Roman" w:hAnsi="Times New Roman" w:cs="Times New Roman"/>
          <w:sz w:val="24"/>
          <w:szCs w:val="24"/>
          <w:lang w:eastAsia="pl-PL"/>
        </w:rPr>
        <w:t>ową, określoną w art. 90 ust. 3–</w:t>
      </w:r>
      <w:r w:rsidRPr="007A422C">
        <w:rPr>
          <w:rFonts w:ascii="Times New Roman" w:eastAsia="Times New Roman" w:hAnsi="Times New Roman" w:cs="Times New Roman"/>
          <w:sz w:val="24"/>
          <w:szCs w:val="24"/>
          <w:lang w:eastAsia="pl-PL"/>
        </w:rPr>
        <w:t>5 ustawy z dnia 27</w:t>
      </w:r>
      <w:r>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kwietnia 2001 r. – Prawo ochrony środowiska, do wydania przez ministra właściwego do spraw środowiska w</w:t>
      </w:r>
      <w:r w:rsidR="00EC2E78">
        <w:rPr>
          <w:rFonts w:ascii="Times New Roman" w:eastAsia="Times New Roman" w:hAnsi="Times New Roman" w:cs="Times New Roman"/>
          <w:sz w:val="24"/>
          <w:szCs w:val="24"/>
          <w:lang w:eastAsia="pl-PL"/>
        </w:rPr>
        <w:t> </w:t>
      </w:r>
      <w:r w:rsidRPr="007A422C">
        <w:rPr>
          <w:rFonts w:ascii="Times New Roman" w:eastAsia="Times New Roman" w:hAnsi="Times New Roman" w:cs="Times New Roman"/>
          <w:sz w:val="24"/>
          <w:szCs w:val="24"/>
          <w:lang w:eastAsia="pl-PL"/>
        </w:rPr>
        <w:t>porozumieniu z ministrem właściwym do spraw zdrowia rozporządzenia w</w:t>
      </w:r>
      <w:r>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 xml:space="preserve">sprawie dokonywania oceny poziomów substancji w powietrzu. Jednocześnie przewidziano czasowe utrzymanie w mocy dotychczasowego aktu wykonawczego regulującego zagadnienia dokonywania oceny poziomów substancji w powietrzu, jednak nie dłużej niż przez 18 miesięcy od dnia wejścia </w:t>
      </w:r>
      <w:r w:rsidR="00CC38C5">
        <w:rPr>
          <w:rFonts w:ascii="Times New Roman" w:eastAsia="Times New Roman" w:hAnsi="Times New Roman" w:cs="Times New Roman"/>
          <w:sz w:val="24"/>
          <w:szCs w:val="24"/>
          <w:lang w:eastAsia="pl-PL"/>
        </w:rPr>
        <w:t xml:space="preserve">w życie </w:t>
      </w:r>
      <w:r w:rsidRPr="007A422C">
        <w:rPr>
          <w:rFonts w:ascii="Times New Roman" w:eastAsia="Times New Roman" w:hAnsi="Times New Roman" w:cs="Times New Roman"/>
          <w:sz w:val="24"/>
          <w:szCs w:val="24"/>
          <w:lang w:eastAsia="pl-PL"/>
        </w:rPr>
        <w:t>ustawy.</w:t>
      </w:r>
      <w:r>
        <w:rPr>
          <w:rFonts w:ascii="Times New Roman" w:eastAsia="Times New Roman" w:hAnsi="Times New Roman" w:cs="Times New Roman"/>
          <w:sz w:val="24"/>
          <w:szCs w:val="24"/>
          <w:lang w:eastAsia="pl-PL"/>
        </w:rPr>
        <w:t xml:space="preserve"> </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Zakres analiz będących efektem modelowania matematycznego transportu i przemian substancji w powietrzu, przygotowywanych na określone w ustawie cele, zostanie określony w</w:t>
      </w:r>
      <w:r>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 xml:space="preserve">rozporządzeniu ministra właściwego do spraw środowiska. W tym celu rozszerzono delegację ustawową, określoną w art. 94 ust. 3 ustawy z dnia 27 kwietnia 2001 r. </w:t>
      </w:r>
      <w:r w:rsidR="00EC2E78">
        <w:rPr>
          <w:rFonts w:ascii="Times New Roman" w:eastAsia="Times New Roman" w:hAnsi="Times New Roman" w:cs="Times New Roman"/>
          <w:sz w:val="24"/>
          <w:szCs w:val="24"/>
          <w:lang w:eastAsia="pl-PL"/>
        </w:rPr>
        <w:t>–</w:t>
      </w:r>
      <w:r w:rsidRPr="007A422C">
        <w:rPr>
          <w:rFonts w:ascii="Times New Roman" w:eastAsia="Times New Roman" w:hAnsi="Times New Roman" w:cs="Times New Roman"/>
          <w:sz w:val="24"/>
          <w:szCs w:val="24"/>
          <w:lang w:eastAsia="pl-PL"/>
        </w:rPr>
        <w:t xml:space="preserve"> Prawo ochrony środowiska, do wydania przez ministra właściwego do spraw środowiska rozporządzenia określającego zakres i sposób przekazywania informacji dotyczących zanieczyszczenia powietrza. Jednocześnie przewidziano czasowe utrzymanie w mocy dotychczasowego aktu wykonawczego regulującego zagadnienia zakresu i sposobu przekazywania informacji na potrzeby ocen jakości powietrza,</w:t>
      </w:r>
      <w:r>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 xml:space="preserve">jednak nie dłużej niż przez 18 miesięcy od dnia wejścia w życie projektowanej ustawy. </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lastRenderedPageBreak/>
        <w:t>Zawarta w projekcie ustawy zmieniającej reguła finansowa w zakresie, o którym mowa w</w:t>
      </w:r>
      <w:r>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art. 1 tego projektu, dotyczy działań niezbędnych do wdrożenia wymagań dyrektywy 2015/1480 związanych z</w:t>
      </w:r>
      <w:r>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wprowadzeniem szczegółowego zakresu zadań wyłącznie dla KLRiW oraz w zakresie, o</w:t>
      </w:r>
      <w:r>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 xml:space="preserve">którym mowa w art. 2 projektu, dotyczy wprowadzenia jednolitego systemu modelowania matematycznego w skali kraju. </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Dodatkowe koszty dla budżetu państwa, o których mowa w art. 3 ust. 1 projektu ustawy zmieniającej, w</w:t>
      </w:r>
      <w:r>
        <w:rPr>
          <w:rFonts w:ascii="Times New Roman" w:eastAsia="Times New Roman" w:hAnsi="Times New Roman" w:cs="Times New Roman"/>
          <w:sz w:val="24"/>
          <w:szCs w:val="24"/>
          <w:lang w:eastAsia="pl-PL"/>
        </w:rPr>
        <w:t xml:space="preserve"> </w:t>
      </w:r>
      <w:r w:rsidR="00CC38C5">
        <w:rPr>
          <w:rFonts w:ascii="Times New Roman" w:eastAsia="Times New Roman" w:hAnsi="Times New Roman" w:cs="Times New Roman"/>
          <w:sz w:val="24"/>
          <w:szCs w:val="24"/>
          <w:lang w:eastAsia="pl-PL"/>
        </w:rPr>
        <w:t>latach</w:t>
      </w:r>
      <w:r w:rsidR="00CC38C5" w:rsidRPr="007A422C">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2017 i 2018 będą pokryte w ramach przyznanych limitów wydatkowych, natomiast po wejściu w życie projektowanej ustawy Główny Inspektor Ochrony Środowiska wystąpi o</w:t>
      </w:r>
      <w:r>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zwiększenie limitu wydatków od roku 2019 o kwoty określone w art. 3 ust. 1 na realizację nowych zadań wynikających z ustawy. Zadania określone w przedmiotowym projekcie będą regulowane w ustawie budżetowej w</w:t>
      </w:r>
      <w:r w:rsidR="00EC2E78">
        <w:rPr>
          <w:rFonts w:ascii="Times New Roman" w:eastAsia="Times New Roman" w:hAnsi="Times New Roman" w:cs="Times New Roman"/>
          <w:sz w:val="24"/>
          <w:szCs w:val="24"/>
          <w:lang w:eastAsia="pl-PL"/>
        </w:rPr>
        <w:t> </w:t>
      </w:r>
      <w:r w:rsidRPr="007A422C">
        <w:rPr>
          <w:rFonts w:ascii="Times New Roman" w:eastAsia="Times New Roman" w:hAnsi="Times New Roman" w:cs="Times New Roman"/>
          <w:sz w:val="24"/>
          <w:szCs w:val="24"/>
          <w:lang w:eastAsia="pl-PL"/>
        </w:rPr>
        <w:t>kolejnych latach.</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Ustalenie mechanizmów korygujących obejmujących działania związane</w:t>
      </w:r>
      <w:r>
        <w:rPr>
          <w:rFonts w:ascii="Times New Roman" w:eastAsia="Times New Roman" w:hAnsi="Times New Roman" w:cs="Times New Roman"/>
          <w:sz w:val="24"/>
          <w:szCs w:val="24"/>
          <w:lang w:eastAsia="pl-PL"/>
        </w:rPr>
        <w:t xml:space="preserve"> </w:t>
      </w:r>
      <w:r w:rsidR="00EC2E78">
        <w:rPr>
          <w:rFonts w:ascii="Times New Roman" w:eastAsia="Times New Roman" w:hAnsi="Times New Roman" w:cs="Times New Roman"/>
          <w:sz w:val="24"/>
          <w:szCs w:val="24"/>
          <w:lang w:eastAsia="pl-PL"/>
        </w:rPr>
        <w:t>z </w:t>
      </w:r>
      <w:r w:rsidRPr="007A422C">
        <w:rPr>
          <w:rFonts w:ascii="Times New Roman" w:eastAsia="Times New Roman" w:hAnsi="Times New Roman" w:cs="Times New Roman"/>
          <w:sz w:val="24"/>
          <w:szCs w:val="24"/>
          <w:lang w:eastAsia="pl-PL"/>
        </w:rPr>
        <w:t>funkcjonowaniem KLRiW, które miałyby zastosowanie w przypadku przekroczenia lub zagrożenia przekroczenia przyjętego na dany rok budżetowy maksymalnego limitu wydatków</w:t>
      </w:r>
      <w:r w:rsidR="00CC38C5">
        <w:rPr>
          <w:rFonts w:ascii="Times New Roman" w:eastAsia="Times New Roman" w:hAnsi="Times New Roman" w:cs="Times New Roman"/>
          <w:sz w:val="24"/>
          <w:szCs w:val="24"/>
          <w:lang w:eastAsia="pl-PL"/>
        </w:rPr>
        <w:t>,</w:t>
      </w:r>
      <w:r w:rsidRPr="007A422C">
        <w:rPr>
          <w:rFonts w:ascii="Times New Roman" w:eastAsia="Times New Roman" w:hAnsi="Times New Roman" w:cs="Times New Roman"/>
          <w:sz w:val="24"/>
          <w:szCs w:val="24"/>
          <w:lang w:eastAsia="pl-PL"/>
        </w:rPr>
        <w:t xml:space="preserve"> jest niemożliwe. Należy zauważyć, iż ograniczenie lub brak realizacji jakiegokolwiek z działań KLRiW określonych ustawą spowoduje niezrealizowanie zobowiązań określonych prawem Unii Europejskiej, a tym samym wszczęcie przez Komisję Europejską postępowania przeciwko Polsce i skierowanie sprawy do Trybunału Sprawiedliwości Unii Europejskiej za brak realizacji zobowiązań określonych prawem europejskim. </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 xml:space="preserve">Ustalenie mechanizmu korygującego obejmującego działania związane z prowadzeniem przez Instytut Ochrony Środowiska jednolitego systemu modelowania matematycznego w skali kraju, które miałyby być zastosowane w przypadku przekroczenia lub zagrożenia przekroczenia przyjętego na dany rok budżetowy maksymalnego limitu wydatków, polegać będzie przede wszystkim na ograniczeniu zakresu współpracy między Instytutem Ochrony Środowiska, ministrem </w:t>
      </w:r>
      <w:r w:rsidR="00EC2E78">
        <w:rPr>
          <w:rFonts w:ascii="Times New Roman" w:eastAsia="Times New Roman" w:hAnsi="Times New Roman" w:cs="Times New Roman"/>
          <w:sz w:val="24"/>
          <w:szCs w:val="24"/>
          <w:lang w:eastAsia="pl-PL"/>
        </w:rPr>
        <w:t>właściwym do spraw środowiska i </w:t>
      </w:r>
      <w:r w:rsidRPr="007A422C">
        <w:rPr>
          <w:rFonts w:ascii="Times New Roman" w:eastAsia="Times New Roman" w:hAnsi="Times New Roman" w:cs="Times New Roman"/>
          <w:sz w:val="24"/>
          <w:szCs w:val="24"/>
          <w:lang w:eastAsia="pl-PL"/>
        </w:rPr>
        <w:t>Głównym Inspektorem Ochrony Środowiska w obszarze rozwijania badań naukowych i narzędzi do modelowania matematycznego tra</w:t>
      </w:r>
      <w:r w:rsidR="00EC2E78">
        <w:rPr>
          <w:rFonts w:ascii="Times New Roman" w:eastAsia="Times New Roman" w:hAnsi="Times New Roman" w:cs="Times New Roman"/>
          <w:sz w:val="24"/>
          <w:szCs w:val="24"/>
          <w:lang w:eastAsia="pl-PL"/>
        </w:rPr>
        <w:t>nsportu i przemian substancji w </w:t>
      </w:r>
      <w:r w:rsidRPr="007A422C">
        <w:rPr>
          <w:rFonts w:ascii="Times New Roman" w:eastAsia="Times New Roman" w:hAnsi="Times New Roman" w:cs="Times New Roman"/>
          <w:sz w:val="24"/>
          <w:szCs w:val="24"/>
          <w:lang w:eastAsia="pl-PL"/>
        </w:rPr>
        <w:t xml:space="preserve">powietrzu. </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 xml:space="preserve">W związku z tym możliwe byłoby </w:t>
      </w:r>
      <w:r w:rsidR="00EC2E78">
        <w:rPr>
          <w:rFonts w:ascii="Times New Roman" w:eastAsia="Times New Roman" w:hAnsi="Times New Roman" w:cs="Times New Roman"/>
          <w:sz w:val="24"/>
          <w:szCs w:val="24"/>
          <w:lang w:eastAsia="pl-PL"/>
        </w:rPr>
        <w:t>–</w:t>
      </w:r>
      <w:r w:rsidRPr="007A422C">
        <w:rPr>
          <w:rFonts w:ascii="Times New Roman" w:eastAsia="Times New Roman" w:hAnsi="Times New Roman" w:cs="Times New Roman"/>
          <w:sz w:val="24"/>
          <w:szCs w:val="24"/>
          <w:lang w:eastAsia="pl-PL"/>
        </w:rPr>
        <w:t xml:space="preserve"> bez ryzyka naruszenia zobowiązań Rzeczypospolitej Polskiej wynikających z prawa Unii Europejskiej – ograniczenie </w:t>
      </w:r>
      <w:r w:rsidRPr="007A422C">
        <w:rPr>
          <w:rFonts w:ascii="Times New Roman" w:eastAsia="Times New Roman" w:hAnsi="Times New Roman" w:cs="Times New Roman"/>
          <w:sz w:val="24"/>
          <w:szCs w:val="24"/>
          <w:lang w:eastAsia="pl-PL"/>
        </w:rPr>
        <w:lastRenderedPageBreak/>
        <w:t>działań wskazanych w</w:t>
      </w:r>
      <w:r>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projektowanym art. 88 ust. 6 pkt 5 i zrezygnowanie z działań wskazanych w</w:t>
      </w:r>
      <w:r>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projektowanym art. 88 ust. 6 ustawy z dnia 27 kwietnia 2001 r. – Prawo ochrony środowiska, tj. z wyznaczania reprezentatywności stanowisk pomiarowych oraz z prognozowania stężeń substancji w powietrzu na potrzeby krajowego programu ochrony powietrza. Ponadto w zakresie działań</w:t>
      </w:r>
      <w:r w:rsidR="00CC38C5">
        <w:rPr>
          <w:rFonts w:ascii="Times New Roman" w:eastAsia="Times New Roman" w:hAnsi="Times New Roman" w:cs="Times New Roman"/>
          <w:sz w:val="24"/>
          <w:szCs w:val="24"/>
          <w:lang w:eastAsia="pl-PL"/>
        </w:rPr>
        <w:t>,</w:t>
      </w:r>
      <w:r w:rsidRPr="007A422C">
        <w:rPr>
          <w:rFonts w:ascii="Times New Roman" w:eastAsia="Times New Roman" w:hAnsi="Times New Roman" w:cs="Times New Roman"/>
          <w:sz w:val="24"/>
          <w:szCs w:val="24"/>
          <w:lang w:eastAsia="pl-PL"/>
        </w:rPr>
        <w:t xml:space="preserve"> wskazanych w art. 88 ust. 6 pkt 4 ustawy z dnia 27 kwietnia 2001 r. – Prawo ochrony środowiska, byłoby możliwe zrezygnowanie z wskazanego tam określania ryzyka wystąpienia przekroczenia poziomu alarmowego, dopuszczalnego lub docelowego substancji w powietrzu albo wystąpienia przekroczenia poziomu alarmowego, dopuszczalnego lub docelowego substancji, o których mowa w art. 93 ust. 1, </w:t>
      </w:r>
      <w:r w:rsidR="00CC38C5">
        <w:rPr>
          <w:rFonts w:ascii="Times New Roman" w:eastAsia="Times New Roman" w:hAnsi="Times New Roman" w:cs="Times New Roman"/>
          <w:sz w:val="24"/>
          <w:szCs w:val="24"/>
          <w:lang w:eastAsia="pl-PL"/>
        </w:rPr>
        <w:t>za</w:t>
      </w:r>
      <w:r w:rsidR="00CC38C5" w:rsidRPr="007A422C">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pomoc</w:t>
      </w:r>
      <w:r w:rsidR="00CC38C5">
        <w:rPr>
          <w:rFonts w:ascii="Times New Roman" w:eastAsia="Times New Roman" w:hAnsi="Times New Roman" w:cs="Times New Roman"/>
          <w:sz w:val="24"/>
          <w:szCs w:val="24"/>
          <w:lang w:eastAsia="pl-PL"/>
        </w:rPr>
        <w:t>ą</w:t>
      </w:r>
      <w:r w:rsidRPr="007A422C">
        <w:rPr>
          <w:rFonts w:ascii="Times New Roman" w:eastAsia="Times New Roman" w:hAnsi="Times New Roman" w:cs="Times New Roman"/>
          <w:sz w:val="24"/>
          <w:szCs w:val="24"/>
          <w:lang w:eastAsia="pl-PL"/>
        </w:rPr>
        <w:t xml:space="preserve"> modelowania matematycznego. Ryzyko to mogłoby być wtedy określone wyłącznie </w:t>
      </w:r>
      <w:r w:rsidR="00CC38C5">
        <w:rPr>
          <w:rFonts w:ascii="Times New Roman" w:eastAsia="Times New Roman" w:hAnsi="Times New Roman" w:cs="Times New Roman"/>
          <w:sz w:val="24"/>
          <w:szCs w:val="24"/>
          <w:lang w:eastAsia="pl-PL"/>
        </w:rPr>
        <w:t>za</w:t>
      </w:r>
      <w:r w:rsidR="00CC38C5" w:rsidRPr="007A422C">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pomoc</w:t>
      </w:r>
      <w:r w:rsidR="00CC38C5">
        <w:rPr>
          <w:rFonts w:ascii="Times New Roman" w:eastAsia="Times New Roman" w:hAnsi="Times New Roman" w:cs="Times New Roman"/>
          <w:sz w:val="24"/>
          <w:szCs w:val="24"/>
          <w:lang w:eastAsia="pl-PL"/>
        </w:rPr>
        <w:t>ą</w:t>
      </w:r>
      <w:r w:rsidRPr="007A422C">
        <w:rPr>
          <w:rFonts w:ascii="Times New Roman" w:eastAsia="Times New Roman" w:hAnsi="Times New Roman" w:cs="Times New Roman"/>
          <w:sz w:val="24"/>
          <w:szCs w:val="24"/>
          <w:lang w:eastAsia="pl-PL"/>
        </w:rPr>
        <w:t xml:space="preserve"> pomiarów. Jednakże ograniczenie się wyłącznie do pomiarów skutkować może ograniczeniami w analizie przestrzennej i tym samym zmniejszeniem precyzji.</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 xml:space="preserve">Projektowana ustawa, w części dotyczącej zmian w ustawie z dnia 20 lipca 1991 r. </w:t>
      </w:r>
      <w:r w:rsidR="00EC2E78">
        <w:rPr>
          <w:rFonts w:ascii="Times New Roman" w:eastAsia="Times New Roman" w:hAnsi="Times New Roman" w:cs="Times New Roman"/>
          <w:sz w:val="24"/>
          <w:szCs w:val="24"/>
          <w:lang w:eastAsia="pl-PL"/>
        </w:rPr>
        <w:t>o </w:t>
      </w:r>
      <w:r w:rsidRPr="007A422C">
        <w:rPr>
          <w:rFonts w:ascii="Times New Roman" w:eastAsia="Times New Roman" w:hAnsi="Times New Roman" w:cs="Times New Roman"/>
          <w:sz w:val="24"/>
          <w:szCs w:val="24"/>
          <w:lang w:eastAsia="pl-PL"/>
        </w:rPr>
        <w:t>Inspekcji Ochrony Środowiska w zakresie rozszerzenia i doprecyzowania zadań KLRiW, w nieznaczny sposób</w:t>
      </w:r>
      <w:r>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wpłynie na działalność mikroprzedsiębiorców, a także małych i średnich przedsiębiorców. Nowe przepisy w odniesieniu do badań realizowanych w ramach umów zawartych pomiędzy przedsiębiorcą a wojewódzkim inspektorem ochrony środowiska (o</w:t>
      </w:r>
      <w:r>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których mowa w art. 28f ust. 4) dają KLRiW prawo sprawdzania właściwego stosowania metodyk referencyjnych i</w:t>
      </w:r>
      <w:r>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wykazywania równoważności metodyk niereferencyjnych. Przy czym przepisy te</w:t>
      </w:r>
      <w:r w:rsidR="00E062DE">
        <w:rPr>
          <w:rFonts w:ascii="Times New Roman" w:eastAsia="Times New Roman" w:hAnsi="Times New Roman" w:cs="Times New Roman"/>
          <w:sz w:val="24"/>
          <w:szCs w:val="24"/>
          <w:lang w:eastAsia="pl-PL"/>
        </w:rPr>
        <w:t>,</w:t>
      </w:r>
      <w:r w:rsidRPr="007A422C">
        <w:rPr>
          <w:rFonts w:ascii="Times New Roman" w:eastAsia="Times New Roman" w:hAnsi="Times New Roman" w:cs="Times New Roman"/>
          <w:sz w:val="24"/>
          <w:szCs w:val="24"/>
          <w:lang w:eastAsia="pl-PL"/>
        </w:rPr>
        <w:t xml:space="preserve"> w brzmieniu nadanym </w:t>
      </w:r>
      <w:r w:rsidR="00DA0791">
        <w:rPr>
          <w:rFonts w:ascii="Times New Roman" w:eastAsia="Times New Roman" w:hAnsi="Times New Roman" w:cs="Times New Roman"/>
          <w:sz w:val="24"/>
          <w:szCs w:val="24"/>
          <w:lang w:eastAsia="pl-PL"/>
        </w:rPr>
        <w:t>projektowaną</w:t>
      </w:r>
      <w:r w:rsidR="00DA0791" w:rsidRPr="007A422C">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ustawą, stosuje się</w:t>
      </w:r>
      <w:r>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 xml:space="preserve">po upływie 90 dni od dnia </w:t>
      </w:r>
      <w:r w:rsidR="00DA0791">
        <w:rPr>
          <w:rFonts w:ascii="Times New Roman" w:eastAsia="Times New Roman" w:hAnsi="Times New Roman" w:cs="Times New Roman"/>
          <w:sz w:val="24"/>
          <w:szCs w:val="24"/>
          <w:lang w:eastAsia="pl-PL"/>
        </w:rPr>
        <w:t xml:space="preserve">jej </w:t>
      </w:r>
      <w:r w:rsidRPr="007A422C">
        <w:rPr>
          <w:rFonts w:ascii="Times New Roman" w:eastAsia="Times New Roman" w:hAnsi="Times New Roman" w:cs="Times New Roman"/>
          <w:sz w:val="24"/>
          <w:szCs w:val="24"/>
          <w:lang w:eastAsia="pl-PL"/>
        </w:rPr>
        <w:t>wejścia w</w:t>
      </w:r>
      <w:r w:rsidR="00DA0791">
        <w:rPr>
          <w:rFonts w:ascii="Times New Roman" w:eastAsia="Times New Roman" w:hAnsi="Times New Roman" w:cs="Times New Roman"/>
          <w:sz w:val="24"/>
          <w:szCs w:val="24"/>
          <w:lang w:eastAsia="pl-PL"/>
        </w:rPr>
        <w:t> </w:t>
      </w:r>
      <w:r w:rsidRPr="007A422C">
        <w:rPr>
          <w:rFonts w:ascii="Times New Roman" w:eastAsia="Times New Roman" w:hAnsi="Times New Roman" w:cs="Times New Roman"/>
          <w:sz w:val="24"/>
          <w:szCs w:val="24"/>
          <w:lang w:eastAsia="pl-PL"/>
        </w:rPr>
        <w:t xml:space="preserve">życie (art. 5 ust. 2). </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Natomiast</w:t>
      </w:r>
      <w:r w:rsidR="00E062DE">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w części dotyczącej zmian w</w:t>
      </w:r>
      <w:r>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ustawie z dnia 27</w:t>
      </w:r>
      <w:r w:rsidR="00E062DE">
        <w:rPr>
          <w:rFonts w:ascii="Times New Roman" w:eastAsia="Times New Roman" w:hAnsi="Times New Roman" w:cs="Times New Roman"/>
          <w:sz w:val="24"/>
          <w:szCs w:val="24"/>
          <w:lang w:eastAsia="pl-PL"/>
        </w:rPr>
        <w:t> </w:t>
      </w:r>
      <w:r w:rsidRPr="007A422C">
        <w:rPr>
          <w:rFonts w:ascii="Times New Roman" w:eastAsia="Times New Roman" w:hAnsi="Times New Roman" w:cs="Times New Roman"/>
          <w:sz w:val="24"/>
          <w:szCs w:val="24"/>
          <w:lang w:eastAsia="pl-PL"/>
        </w:rPr>
        <w:t xml:space="preserve">kwietnia 2001 r. </w:t>
      </w:r>
      <w:r w:rsidR="00EC2E78">
        <w:rPr>
          <w:rFonts w:ascii="Times New Roman" w:eastAsia="Times New Roman" w:hAnsi="Times New Roman" w:cs="Times New Roman"/>
          <w:sz w:val="24"/>
          <w:szCs w:val="24"/>
          <w:lang w:eastAsia="pl-PL"/>
        </w:rPr>
        <w:t>–</w:t>
      </w:r>
      <w:r w:rsidRPr="007A422C">
        <w:rPr>
          <w:rFonts w:ascii="Times New Roman" w:eastAsia="Times New Roman" w:hAnsi="Times New Roman" w:cs="Times New Roman"/>
          <w:sz w:val="24"/>
          <w:szCs w:val="24"/>
          <w:lang w:eastAsia="pl-PL"/>
        </w:rPr>
        <w:t xml:space="preserve"> Prawo ochrony środowiska w związku z wprowadzeniem metodyk modelowania matematycznego transportu i przemian substancji w</w:t>
      </w:r>
      <w:r>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powietrzu w obszarze ocen jakości powietrza</w:t>
      </w:r>
      <w:r w:rsidR="00DA0791">
        <w:rPr>
          <w:rFonts w:ascii="Times New Roman" w:eastAsia="Times New Roman" w:hAnsi="Times New Roman" w:cs="Times New Roman"/>
          <w:sz w:val="24"/>
          <w:szCs w:val="24"/>
          <w:lang w:eastAsia="pl-PL"/>
        </w:rPr>
        <w:t xml:space="preserve"> projektowana ustawa</w:t>
      </w:r>
      <w:r w:rsidRPr="007A422C">
        <w:rPr>
          <w:rFonts w:ascii="Times New Roman" w:eastAsia="Times New Roman" w:hAnsi="Times New Roman" w:cs="Times New Roman"/>
          <w:sz w:val="24"/>
          <w:szCs w:val="24"/>
          <w:lang w:eastAsia="pl-PL"/>
        </w:rPr>
        <w:t xml:space="preserve"> pośrednio wpłynie na działalność mikroprzedsiębiorców, a także małych i</w:t>
      </w:r>
      <w:r w:rsidR="00EC2E78">
        <w:rPr>
          <w:rFonts w:ascii="Times New Roman" w:eastAsia="Times New Roman" w:hAnsi="Times New Roman" w:cs="Times New Roman"/>
          <w:sz w:val="24"/>
          <w:szCs w:val="24"/>
          <w:lang w:eastAsia="pl-PL"/>
        </w:rPr>
        <w:t> </w:t>
      </w:r>
      <w:r w:rsidRPr="007A422C">
        <w:rPr>
          <w:rFonts w:ascii="Times New Roman" w:eastAsia="Times New Roman" w:hAnsi="Times New Roman" w:cs="Times New Roman"/>
          <w:sz w:val="24"/>
          <w:szCs w:val="24"/>
          <w:lang w:eastAsia="pl-PL"/>
        </w:rPr>
        <w:t xml:space="preserve">średnich przedsiębiorców. </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Wpływ ten może być konsekwencją wdrożenia programów ochrony powietrza w</w:t>
      </w:r>
      <w:r w:rsidR="00EC2E78">
        <w:rPr>
          <w:rFonts w:ascii="Times New Roman" w:eastAsia="Times New Roman" w:hAnsi="Times New Roman" w:cs="Times New Roman"/>
          <w:sz w:val="24"/>
          <w:szCs w:val="24"/>
          <w:lang w:eastAsia="pl-PL"/>
        </w:rPr>
        <w:t> </w:t>
      </w:r>
      <w:r w:rsidRPr="007A422C">
        <w:rPr>
          <w:rFonts w:ascii="Times New Roman" w:eastAsia="Times New Roman" w:hAnsi="Times New Roman" w:cs="Times New Roman"/>
          <w:sz w:val="24"/>
          <w:szCs w:val="24"/>
          <w:lang w:eastAsia="pl-PL"/>
        </w:rPr>
        <w:t>strefach, które są przyjmowane w drodze uchwały sejmiku województwa na podstawie obowiązujących obecnie przepisów (art. 91 ustawy z dnia 27 kwietnia 2001</w:t>
      </w:r>
      <w:r w:rsidR="00EC2E78">
        <w:rPr>
          <w:rFonts w:ascii="Times New Roman" w:eastAsia="Times New Roman" w:hAnsi="Times New Roman" w:cs="Times New Roman"/>
          <w:sz w:val="24"/>
          <w:szCs w:val="24"/>
          <w:lang w:eastAsia="pl-PL"/>
        </w:rPr>
        <w:t> </w:t>
      </w:r>
      <w:r w:rsidRPr="007A422C">
        <w:rPr>
          <w:rFonts w:ascii="Times New Roman" w:eastAsia="Times New Roman" w:hAnsi="Times New Roman" w:cs="Times New Roman"/>
          <w:sz w:val="24"/>
          <w:szCs w:val="24"/>
          <w:lang w:eastAsia="pl-PL"/>
        </w:rPr>
        <w:t xml:space="preserve">r. – Prawo ochrony środowiska). Dopiero przyjęcie programu ochrony powietrza </w:t>
      </w:r>
      <w:r w:rsidRPr="007A422C">
        <w:rPr>
          <w:rFonts w:ascii="Times New Roman" w:eastAsia="Times New Roman" w:hAnsi="Times New Roman" w:cs="Times New Roman"/>
          <w:sz w:val="24"/>
          <w:szCs w:val="24"/>
          <w:lang w:eastAsia="pl-PL"/>
        </w:rPr>
        <w:lastRenderedPageBreak/>
        <w:t>w oparciu o uzyskane wyniki ocen poziomów substancji w powietrzu (modelowanie matematyczne jest jedną z metod oceny) stworzy podstawy do wdrażania działań naprawczych, które mogą być źródłem ograniczeń związanych z</w:t>
      </w:r>
      <w:r>
        <w:rPr>
          <w:rFonts w:ascii="Times New Roman" w:eastAsia="Times New Roman" w:hAnsi="Times New Roman" w:cs="Times New Roman"/>
          <w:sz w:val="24"/>
          <w:szCs w:val="24"/>
          <w:lang w:eastAsia="pl-PL"/>
        </w:rPr>
        <w:t xml:space="preserve"> </w:t>
      </w:r>
      <w:r w:rsidRPr="007A422C">
        <w:rPr>
          <w:rFonts w:ascii="Times New Roman" w:eastAsia="Times New Roman" w:hAnsi="Times New Roman" w:cs="Times New Roman"/>
          <w:sz w:val="24"/>
          <w:szCs w:val="24"/>
          <w:lang w:eastAsia="pl-PL"/>
        </w:rPr>
        <w:t>prowadzeniem działalności przez podmioty korzystające ze środowiska, w tym mikroprzedsiębiorców oraz małych i średnich przedsiębiorców.</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Projekt ustawy zmieniającej jest zgodny z prawem Unii Europejskiej oraz nie zawiera norm technicznych, a także przepisów technicznych podlegających procedurze notyfikacji wymaganej zgodnie z rozporządzeniem Rady Ministrów z dnia 23 grudnia 2002 r. w sprawie sposobu funkcjonowania krajowego systemu notyfikacji norm i</w:t>
      </w:r>
      <w:r w:rsidR="00EC2E78">
        <w:rPr>
          <w:rFonts w:ascii="Times New Roman" w:eastAsia="Times New Roman" w:hAnsi="Times New Roman" w:cs="Times New Roman"/>
          <w:sz w:val="24"/>
          <w:szCs w:val="24"/>
          <w:lang w:eastAsia="pl-PL"/>
        </w:rPr>
        <w:t> </w:t>
      </w:r>
      <w:r w:rsidRPr="007A422C">
        <w:rPr>
          <w:rFonts w:ascii="Times New Roman" w:eastAsia="Times New Roman" w:hAnsi="Times New Roman" w:cs="Times New Roman"/>
          <w:sz w:val="24"/>
          <w:szCs w:val="24"/>
          <w:lang w:eastAsia="pl-PL"/>
        </w:rPr>
        <w:t xml:space="preserve">aktów prawnych (Dz. U. poz. 2039 oraz z 2004 r. poz. 597). </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Projekt ustawy zmieniającej nie wymaga p</w:t>
      </w:r>
      <w:r w:rsidR="00EC2E78">
        <w:rPr>
          <w:rFonts w:ascii="Times New Roman" w:eastAsia="Times New Roman" w:hAnsi="Times New Roman" w:cs="Times New Roman"/>
          <w:sz w:val="24"/>
          <w:szCs w:val="24"/>
          <w:lang w:eastAsia="pl-PL"/>
        </w:rPr>
        <w:t>rzedłożenia właściwym organom i </w:t>
      </w:r>
      <w:r w:rsidRPr="007A422C">
        <w:rPr>
          <w:rFonts w:ascii="Times New Roman" w:eastAsia="Times New Roman" w:hAnsi="Times New Roman" w:cs="Times New Roman"/>
          <w:sz w:val="24"/>
          <w:szCs w:val="24"/>
          <w:lang w:eastAsia="pl-PL"/>
        </w:rPr>
        <w:t>instytucjom Unii Europejskiej.</w:t>
      </w:r>
    </w:p>
    <w:p w:rsidR="007A422C" w:rsidRPr="007A422C" w:rsidRDefault="007A422C" w:rsidP="00EC2E78">
      <w:pPr>
        <w:widowControl w:val="0"/>
        <w:shd w:val="clear" w:color="auto" w:fill="FFFFFF"/>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 xml:space="preserve">Z uwagi na zakres projektu, który nie dotyczy problematyki samorządu terytorialnego, praw i interesów związków pracodawców oraz zadań związków zawodowych, projekt nie podlegał opiniowaniu przez Komisję Wspólną Rządu i Samorządu Terytorialnego, reprezentatywne organizacje pracodawców i związków zawodowych. Projekt nie dotyczy także spraw, o których mowa w art. 1 ustawy z dnia 24 lipca 2015 r. o Radzie Dialogu Społecznego i innych instytucjach </w:t>
      </w:r>
      <w:r w:rsidRPr="007A422C">
        <w:rPr>
          <w:rFonts w:ascii="Times New Roman" w:eastAsia="Times New Roman" w:hAnsi="Times New Roman" w:cs="Times New Roman"/>
          <w:sz w:val="24"/>
          <w:szCs w:val="24"/>
          <w:shd w:val="clear" w:color="auto" w:fill="FFFFFF"/>
          <w:lang w:eastAsia="pl-PL"/>
        </w:rPr>
        <w:t>dialogu społecznego (Dz.</w:t>
      </w:r>
      <w:r w:rsidR="00E062DE">
        <w:rPr>
          <w:rFonts w:ascii="Times New Roman" w:eastAsia="Times New Roman" w:hAnsi="Times New Roman" w:cs="Times New Roman"/>
          <w:sz w:val="24"/>
          <w:szCs w:val="24"/>
          <w:shd w:val="clear" w:color="auto" w:fill="FFFFFF"/>
          <w:lang w:eastAsia="pl-PL"/>
        </w:rPr>
        <w:t xml:space="preserve"> U.</w:t>
      </w:r>
      <w:r w:rsidRPr="007A422C">
        <w:rPr>
          <w:rFonts w:ascii="Times New Roman" w:eastAsia="Times New Roman" w:hAnsi="Times New Roman" w:cs="Times New Roman"/>
          <w:sz w:val="24"/>
          <w:szCs w:val="24"/>
          <w:shd w:val="clear" w:color="auto" w:fill="FFFFFF"/>
          <w:lang w:eastAsia="pl-PL"/>
        </w:rPr>
        <w:t xml:space="preserve"> poz. 1240).</w:t>
      </w:r>
    </w:p>
    <w:p w:rsidR="007A422C" w:rsidRPr="007A422C" w:rsidRDefault="007A422C" w:rsidP="00EC2E78">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7A422C">
        <w:rPr>
          <w:rFonts w:ascii="Times New Roman" w:eastAsia="Times New Roman" w:hAnsi="Times New Roman" w:cs="Times New Roman"/>
          <w:sz w:val="24"/>
          <w:szCs w:val="24"/>
          <w:lang w:eastAsia="pl-PL"/>
        </w:rPr>
        <w:t xml:space="preserve">Projekt ustawy zmieniającej, zgodnie z art. 5 </w:t>
      </w:r>
      <w:r w:rsidR="00EC2E78">
        <w:rPr>
          <w:rFonts w:ascii="Times New Roman" w:eastAsia="Times New Roman" w:hAnsi="Times New Roman" w:cs="Times New Roman"/>
          <w:sz w:val="24"/>
          <w:szCs w:val="24"/>
          <w:lang w:eastAsia="pl-PL"/>
        </w:rPr>
        <w:t>ustawy z dnia 7 lipca 2005 r. o </w:t>
      </w:r>
      <w:r w:rsidRPr="007A422C">
        <w:rPr>
          <w:rFonts w:ascii="Times New Roman" w:eastAsia="Times New Roman" w:hAnsi="Times New Roman" w:cs="Times New Roman"/>
          <w:sz w:val="24"/>
          <w:szCs w:val="24"/>
          <w:lang w:eastAsia="pl-PL"/>
        </w:rPr>
        <w:t>działalności lobbingowej w procesie stanowienia prawa (Dz. U. z 2017 r. poz. 248)</w:t>
      </w:r>
      <w:r w:rsidR="00E062DE">
        <w:rPr>
          <w:rFonts w:ascii="Times New Roman" w:eastAsia="Times New Roman" w:hAnsi="Times New Roman" w:cs="Times New Roman"/>
          <w:sz w:val="24"/>
          <w:szCs w:val="24"/>
          <w:lang w:eastAsia="pl-PL"/>
        </w:rPr>
        <w:t>,</w:t>
      </w:r>
      <w:r w:rsidRPr="007A422C">
        <w:rPr>
          <w:rFonts w:ascii="Times New Roman" w:eastAsia="Times New Roman" w:hAnsi="Times New Roman" w:cs="Times New Roman"/>
          <w:sz w:val="24"/>
          <w:szCs w:val="24"/>
          <w:lang w:eastAsia="pl-PL"/>
        </w:rPr>
        <w:t xml:space="preserve"> został udostępniony w Biuletynie Informacji Publicznej na stronie podmiotowej Rządowego Centrum Legislacji w serwisie Rządo</w:t>
      </w:r>
      <w:r w:rsidR="00EC2E78">
        <w:rPr>
          <w:rFonts w:ascii="Times New Roman" w:eastAsia="Times New Roman" w:hAnsi="Times New Roman" w:cs="Times New Roman"/>
          <w:sz w:val="24"/>
          <w:szCs w:val="24"/>
          <w:lang w:eastAsia="pl-PL"/>
        </w:rPr>
        <w:t>wy Proces Legislacyjny. Żaden z </w:t>
      </w:r>
      <w:r w:rsidRPr="007A422C">
        <w:rPr>
          <w:rFonts w:ascii="Times New Roman" w:eastAsia="Times New Roman" w:hAnsi="Times New Roman" w:cs="Times New Roman"/>
          <w:sz w:val="24"/>
          <w:szCs w:val="24"/>
          <w:lang w:eastAsia="pl-PL"/>
        </w:rPr>
        <w:t>podmiotów nie zgłosił zainteresowania przedmiotowym projektem.</w:t>
      </w:r>
    </w:p>
    <w:p w:rsidR="007A422C" w:rsidRPr="007A422C" w:rsidRDefault="007A422C" w:rsidP="00EC2E78">
      <w:pPr>
        <w:widowControl w:val="0"/>
        <w:autoSpaceDE w:val="0"/>
        <w:autoSpaceDN w:val="0"/>
        <w:adjustRightInd w:val="0"/>
        <w:spacing w:before="120" w:after="0" w:line="360" w:lineRule="auto"/>
        <w:ind w:firstLine="170"/>
        <w:jc w:val="both"/>
        <w:rPr>
          <w:rFonts w:ascii="Times New Roman" w:eastAsia="Times New Roman" w:hAnsi="Times New Roman" w:cs="Times New Roman"/>
          <w:sz w:val="20"/>
          <w:szCs w:val="20"/>
          <w:lang w:eastAsia="pl-PL"/>
        </w:rPr>
      </w:pPr>
    </w:p>
    <w:sectPr w:rsidR="007A422C" w:rsidRPr="007A422C" w:rsidSect="00EC2E78">
      <w:footerReference w:type="default" r:id="rId8"/>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2E78" w:rsidRDefault="00EC2E78" w:rsidP="00EC2E78">
      <w:pPr>
        <w:spacing w:after="0" w:line="240" w:lineRule="auto"/>
      </w:pPr>
      <w:r>
        <w:separator/>
      </w:r>
    </w:p>
  </w:endnote>
  <w:endnote w:type="continuationSeparator" w:id="0">
    <w:p w:rsidR="00EC2E78" w:rsidRDefault="00EC2E78" w:rsidP="00EC2E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63025259"/>
      <w:docPartObj>
        <w:docPartGallery w:val="Page Numbers (Bottom of Page)"/>
        <w:docPartUnique/>
      </w:docPartObj>
    </w:sdtPr>
    <w:sdtEndPr/>
    <w:sdtContent>
      <w:p w:rsidR="00EC2E78" w:rsidRPr="00EC2E78" w:rsidRDefault="00EC2E78" w:rsidP="00EC2E78">
        <w:pPr>
          <w:pStyle w:val="Stopka"/>
          <w:jc w:val="center"/>
          <w:rPr>
            <w:rFonts w:ascii="Times New Roman" w:hAnsi="Times New Roman" w:cs="Times New Roman"/>
            <w:sz w:val="24"/>
            <w:szCs w:val="24"/>
          </w:rPr>
        </w:pPr>
        <w:r w:rsidRPr="00EC2E78">
          <w:rPr>
            <w:rFonts w:ascii="Times New Roman" w:hAnsi="Times New Roman" w:cs="Times New Roman"/>
            <w:sz w:val="24"/>
            <w:szCs w:val="24"/>
          </w:rPr>
          <w:fldChar w:fldCharType="begin"/>
        </w:r>
        <w:r w:rsidRPr="00EC2E78">
          <w:rPr>
            <w:rFonts w:ascii="Times New Roman" w:hAnsi="Times New Roman" w:cs="Times New Roman"/>
            <w:sz w:val="24"/>
            <w:szCs w:val="24"/>
          </w:rPr>
          <w:instrText>PAGE   \* MERGEFORMAT</w:instrText>
        </w:r>
        <w:r w:rsidRPr="00EC2E78">
          <w:rPr>
            <w:rFonts w:ascii="Times New Roman" w:hAnsi="Times New Roman" w:cs="Times New Roman"/>
            <w:sz w:val="24"/>
            <w:szCs w:val="24"/>
          </w:rPr>
          <w:fldChar w:fldCharType="separate"/>
        </w:r>
        <w:r w:rsidR="007249C2">
          <w:rPr>
            <w:rFonts w:ascii="Times New Roman" w:hAnsi="Times New Roman" w:cs="Times New Roman"/>
            <w:noProof/>
            <w:sz w:val="24"/>
            <w:szCs w:val="24"/>
          </w:rPr>
          <w:t>9</w:t>
        </w:r>
        <w:r w:rsidRPr="00EC2E78">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2E78" w:rsidRDefault="00EC2E78" w:rsidP="00EC2E78">
      <w:pPr>
        <w:spacing w:after="0" w:line="240" w:lineRule="auto"/>
      </w:pPr>
      <w:r>
        <w:separator/>
      </w:r>
    </w:p>
  </w:footnote>
  <w:footnote w:type="continuationSeparator" w:id="0">
    <w:p w:rsidR="00EC2E78" w:rsidRDefault="00EC2E78" w:rsidP="00EC2E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CE69CC"/>
    <w:multiLevelType w:val="hybridMultilevel"/>
    <w:tmpl w:val="E5AEC88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22C"/>
    <w:rsid w:val="0017147A"/>
    <w:rsid w:val="00260A58"/>
    <w:rsid w:val="004A09D3"/>
    <w:rsid w:val="007249C2"/>
    <w:rsid w:val="007A422C"/>
    <w:rsid w:val="008A7795"/>
    <w:rsid w:val="00B53A8E"/>
    <w:rsid w:val="00CC38C5"/>
    <w:rsid w:val="00DA0791"/>
    <w:rsid w:val="00E062DE"/>
    <w:rsid w:val="00EC2E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C2E7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C2E78"/>
  </w:style>
  <w:style w:type="paragraph" w:styleId="Stopka">
    <w:name w:val="footer"/>
    <w:basedOn w:val="Normalny"/>
    <w:link w:val="StopkaZnak"/>
    <w:uiPriority w:val="99"/>
    <w:unhideWhenUsed/>
    <w:rsid w:val="00EC2E7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C2E78"/>
  </w:style>
  <w:style w:type="paragraph" w:styleId="Tekstdymka">
    <w:name w:val="Balloon Text"/>
    <w:basedOn w:val="Normalny"/>
    <w:link w:val="TekstdymkaZnak"/>
    <w:uiPriority w:val="99"/>
    <w:semiHidden/>
    <w:unhideWhenUsed/>
    <w:rsid w:val="00CC38C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C38C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C2E7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C2E78"/>
  </w:style>
  <w:style w:type="paragraph" w:styleId="Stopka">
    <w:name w:val="footer"/>
    <w:basedOn w:val="Normalny"/>
    <w:link w:val="StopkaZnak"/>
    <w:uiPriority w:val="99"/>
    <w:unhideWhenUsed/>
    <w:rsid w:val="00EC2E7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C2E78"/>
  </w:style>
  <w:style w:type="paragraph" w:styleId="Tekstdymka">
    <w:name w:val="Balloon Text"/>
    <w:basedOn w:val="Normalny"/>
    <w:link w:val="TekstdymkaZnak"/>
    <w:uiPriority w:val="99"/>
    <w:semiHidden/>
    <w:unhideWhenUsed/>
    <w:rsid w:val="00CC38C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C38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876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2960</Words>
  <Characters>17764</Characters>
  <Application>Microsoft Office Word</Application>
  <DocSecurity>0</DocSecurity>
  <Lines>148</Lines>
  <Paragraphs>41</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20683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Chmielewska Róża</dc:creator>
  <cp:lastModifiedBy>Ewa A. Genert</cp:lastModifiedBy>
  <cp:revision>2</cp:revision>
  <dcterms:created xsi:type="dcterms:W3CDTF">2017-11-30T13:39:00Z</dcterms:created>
  <dcterms:modified xsi:type="dcterms:W3CDTF">2017-11-30T13:39:00Z</dcterms:modified>
</cp:coreProperties>
</file>