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519" w:rsidRDefault="00A12519" w:rsidP="00A12519">
      <w:pPr>
        <w:pStyle w:val="ARTartustawynprozporzdzenia"/>
        <w:spacing w:before="0"/>
        <w:ind w:firstLine="708"/>
        <w:jc w:val="center"/>
        <w:rPr>
          <w:b/>
        </w:rPr>
      </w:pPr>
      <w:bookmarkStart w:id="0" w:name="_GoBack"/>
      <w:bookmarkEnd w:id="0"/>
      <w:r w:rsidRPr="00A12519">
        <w:rPr>
          <w:b/>
        </w:rPr>
        <w:t>Uzasadnienie</w:t>
      </w:r>
    </w:p>
    <w:p w:rsidR="00A12519" w:rsidRPr="00A12519" w:rsidRDefault="00A12519" w:rsidP="00A12519">
      <w:pPr>
        <w:pStyle w:val="ARTartustawynprozporzdzenia"/>
        <w:spacing w:before="0"/>
        <w:ind w:firstLine="708"/>
        <w:jc w:val="center"/>
        <w:rPr>
          <w:b/>
        </w:rPr>
      </w:pPr>
    </w:p>
    <w:p w:rsidR="004A4645" w:rsidRDefault="004A4645" w:rsidP="00A12519">
      <w:pPr>
        <w:pStyle w:val="ARTartustawynprozporzdzenia"/>
        <w:spacing w:before="0"/>
        <w:ind w:firstLine="708"/>
      </w:pPr>
      <w:r>
        <w:t xml:space="preserve">W związku z utworzeniem działu energia (art. 7a) </w:t>
      </w:r>
      <w:r w:rsidRPr="00B0148E">
        <w:t xml:space="preserve">na podstawie </w:t>
      </w:r>
      <w:r w:rsidRPr="00B17F6F">
        <w:rPr>
          <w:rStyle w:val="Kkursywa"/>
        </w:rPr>
        <w:t>ustawy z dnia 19 listopada 2015 r. o zmianie ustawy o działach administracji rządowej oraz niektórych innych ustaw</w:t>
      </w:r>
      <w:r w:rsidRPr="00B0148E">
        <w:t xml:space="preserve"> (Dz. U. poz. 1960)</w:t>
      </w:r>
      <w:r>
        <w:t xml:space="preserve"> zaszła konieczność dokonania</w:t>
      </w:r>
      <w:r w:rsidRPr="00594A98">
        <w:t xml:space="preserve"> odpowiednich zmian dostosowawczych</w:t>
      </w:r>
      <w:r>
        <w:t xml:space="preserve"> </w:t>
      </w:r>
      <w:r w:rsidRPr="00996D8C">
        <w:t xml:space="preserve">w ustawach, które do tej pory przypisywały zadania i kompetencje ministrowi właściwemu do spraw gospodarki. </w:t>
      </w:r>
      <w:r>
        <w:t>Powołanie Ministra Energii pociągnęła za sobą konieczność</w:t>
      </w:r>
      <w:r w:rsidRPr="00996D8C">
        <w:t xml:space="preserve"> przydzielenia </w:t>
      </w:r>
      <w:r>
        <w:t xml:space="preserve">temu ministrowi </w:t>
      </w:r>
      <w:r w:rsidRPr="00996D8C">
        <w:t>szeregu zadań i kompetencji związanych z energetyką i surowcami energetycznymi</w:t>
      </w:r>
      <w:r>
        <w:t>,</w:t>
      </w:r>
      <w:r w:rsidRPr="00996D8C">
        <w:t xml:space="preserve"> </w:t>
      </w:r>
      <w:r>
        <w:t>które dotychczas przysługiwały ministrowi właściwemu do spraw gospodarki</w:t>
      </w:r>
      <w:r w:rsidRPr="00996D8C">
        <w:t>.</w:t>
      </w:r>
      <w:r>
        <w:t xml:space="preserve"> Powyższe zmiany objęły: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21 marca 1991 r. o obszarach morskich Rzeczypospolitej Polskiej i administracji morskiej,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10 kwietnia 1997 r. - Prawo energetyczne,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20 czerwca 1997 r. -  Prawo o ruchu drogowym,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14 lipca 2000 r.  o restrukturyzacji finansowej górnictwa siarki,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 z dnia 29 listopada 2000 r. - Prawo atomowe,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27 kwietnia 2001 r. - Prawo ochrony środowiska,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14 lutego 2003 r. o stopniach górniczych, honorowych szpadach górniczych i mundurach górniczych,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25 sierpnia 2006 r. o systemie monitorowania i kontrolowania jakości paliw,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25 sierpnia 2006 r. o biokomponentach i biopaliwach ciekłych,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16 lutego 2007 r. o zapasach ropy naftowej, produktów naftowych i gazu ziemnego oraz zasadach postępowania w sytuacjach zagrożenia bezpieczeństwa  paliwowego państwa  i zakłóceń na rynku naftowym, </w:t>
      </w:r>
    </w:p>
    <w:p w:rsidR="00EC3520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26 kwietnia 2007 r. o zarządzaniu kryzysowym,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29 czerwca 2007 r. o zasadach  pokrywania kosztów powstałych  w związku z przedterminowym  rozwiązaniem umów  długoterminowych  sprzedaży mocy i energii elektrycznej,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6 lipca 2007 r. o ekwiwalencie pieniężnym z tytułu prawa do  bezpłatnego węgla  dla osób uprawnionych  z przedsiębiorstw robót górniczych,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7 września 2007 r. o funkcjonowaniu górnictwa węgla kamiennego, 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lastRenderedPageBreak/>
        <w:t xml:space="preserve">ustawę z dnia 24 kwietnia 2009 r.  o inwestycjach w zakresie terminalu regazyfikacyjnego skroplonego gazu ziemnego w Świnoujściu,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18  marca 2010 r.  o szczególnych uprawnieniach ministra właściwego do spraw Skarbu Państwa oraz ich wykonywaniu w niektórych spółkach kapitałowych lub grupach kapitałowych prowadzących działalność w sektorach energii elektrycznej, ropy naftowej oraz paliw gazowych,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15 kwietnia 2011 r. o efektywności energetycznej,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9 czerwca 2011 r. - Prawo geologiczne i górnicze,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29 czerwca  2011 r. o przygotowaniu i realizacji inwestycji w zakresie  obiektów energetyki jądrowej  oraz inwestycji towarzyszących,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16 września 2011 r. o współpracy rozwojowej,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14 września 2012 r. o informowaniu o zużyciu  energii przez produkty  wykorzystujące energię oraz o kontroli realizacji  programu znakowania  urządzeń biurowych, </w:t>
      </w:r>
    </w:p>
    <w:p w:rsidR="004A4645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 xml:space="preserve">ustawę z dnia 30 sierpnia 2013 r. o dotacji przeznaczonej dla niektórych podmiotów, </w:t>
      </w:r>
    </w:p>
    <w:p w:rsidR="00EC3520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>ustawę z dnia 24 lipca 2015 r. o przygotowaniu i realizacji strategicznych inwestycji w zakresie sieci przesyłowych</w:t>
      </w:r>
      <w:r w:rsidR="00EC3520">
        <w:t>,</w:t>
      </w:r>
    </w:p>
    <w:p w:rsidR="004A4645" w:rsidRPr="009D2AA2" w:rsidRDefault="004A4645" w:rsidP="004A4645">
      <w:pPr>
        <w:pStyle w:val="ARTartustawynprozporzdzenia"/>
        <w:numPr>
          <w:ilvl w:val="0"/>
          <w:numId w:val="2"/>
        </w:numPr>
        <w:spacing w:before="0"/>
      </w:pPr>
      <w:r w:rsidRPr="00BE1689">
        <w:t>ustawę z dnia 24 lipca 2015 r.  o kontroli niektórych inwestycji.</w:t>
      </w:r>
    </w:p>
    <w:p w:rsidR="004A4645" w:rsidRDefault="004A4645" w:rsidP="004A4645">
      <w:pPr>
        <w:pStyle w:val="ARTartustawynprozporzdzenia"/>
        <w:spacing w:before="0"/>
      </w:pPr>
      <w:r>
        <w:t>P</w:t>
      </w:r>
      <w:r w:rsidRPr="009D2AA2">
        <w:t>onieważ dział energia obejmuje sprawy bezpieczeństwa energetycznego kraju, w tym bezpieczeństwa dostaw energii, surowców energetycznych i paliw, nadzór nad Prezesem Wyższego Urzędu Górniczego został przeniesiony do tego działu. Pociąga to za sobą odpowiednie zmiany w przepisach kompetencyjnych ustawy z dnia 9 czerwca 2011 r. - Prawo geologiczne i górnicze.</w:t>
      </w:r>
    </w:p>
    <w:p w:rsidR="003E2BF0" w:rsidRDefault="004A4645" w:rsidP="003E2BF0">
      <w:pPr>
        <w:pStyle w:val="ARTartustawynprozporzdzenia"/>
        <w:spacing w:before="0"/>
      </w:pPr>
      <w:r>
        <w:t>W celu wykonywania sprawnego zarządu nad przebiegiem procesów energetycznych z dniem 1 kwietnia 2016 roku wykonywanie uprawnień nadzorczych przysługujących dotychczas  ministrowi właściwemu do spraw Skarbu Państwa nad spółkami energetycznymi enumeratywnie wymienionymi w projekcie ustawy przeniesiono do ministra właściwego do spraw energii.</w:t>
      </w:r>
    </w:p>
    <w:p w:rsidR="003E2BF0" w:rsidRDefault="003E2BF0" w:rsidP="003E2BF0">
      <w:pPr>
        <w:pStyle w:val="ARTartustawynprozporzdzenia"/>
        <w:spacing w:before="0"/>
      </w:pPr>
      <w:r>
        <w:t>Projekt nie pociąga za sobą skutków społecznych, gospodarczych i finansowych.</w:t>
      </w:r>
    </w:p>
    <w:p w:rsidR="003E2BF0" w:rsidRDefault="003E2BF0" w:rsidP="003E2BF0">
      <w:pPr>
        <w:pStyle w:val="ARTartustawynprozporzdzenia"/>
        <w:spacing w:before="0"/>
      </w:pPr>
      <w:r>
        <w:t>Projekt nie pociąga za sobą obciążenia budżetu państwa lub budżetów jednostek samorządu terytorialnego.</w:t>
      </w:r>
    </w:p>
    <w:p w:rsidR="003E2BF0" w:rsidRDefault="003E2BF0" w:rsidP="003E2BF0">
      <w:pPr>
        <w:pStyle w:val="ARTartustawynprozporzdzenia"/>
        <w:spacing w:before="0"/>
      </w:pPr>
      <w:r>
        <w:t xml:space="preserve">Projektowana regulacja jest zgodna z prawem Unii Europejskiej. Projekt ustawy ze względu na zakres przedmiotowy nie podlega przedstawieniu organom ani instytucjom Unii </w:t>
      </w:r>
      <w:r>
        <w:lastRenderedPageBreak/>
        <w:t>Europejskiej, w celu uzyskania opinii, dokonania powiadomienia, konsultacji albo uzgodnienia.</w:t>
      </w:r>
    </w:p>
    <w:p w:rsidR="003E2BF0" w:rsidRDefault="003E2BF0" w:rsidP="003E2BF0">
      <w:pPr>
        <w:pStyle w:val="ARTartustawynprozporzdzenia"/>
        <w:spacing w:before="0"/>
      </w:pPr>
    </w:p>
    <w:p w:rsidR="00E62307" w:rsidRDefault="00E62307" w:rsidP="003E2BF0">
      <w:pPr>
        <w:jc w:val="both"/>
      </w:pPr>
    </w:p>
    <w:sectPr w:rsidR="00E62307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E1C" w:rsidRDefault="00892E1C">
      <w:pPr>
        <w:spacing w:line="240" w:lineRule="auto"/>
      </w:pPr>
      <w:r>
        <w:separator/>
      </w:r>
    </w:p>
  </w:endnote>
  <w:endnote w:type="continuationSeparator" w:id="0">
    <w:p w:rsidR="00892E1C" w:rsidRDefault="00892E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E1C" w:rsidRDefault="00892E1C">
      <w:pPr>
        <w:spacing w:line="240" w:lineRule="auto"/>
      </w:pPr>
      <w:r>
        <w:separator/>
      </w:r>
    </w:p>
  </w:footnote>
  <w:footnote w:type="continuationSeparator" w:id="0">
    <w:p w:rsidR="00892E1C" w:rsidRDefault="00892E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4A464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B44A5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D0AF5"/>
    <w:multiLevelType w:val="hybridMultilevel"/>
    <w:tmpl w:val="3594E558"/>
    <w:lvl w:ilvl="0" w:tplc="BC20CDF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B6D574F"/>
    <w:multiLevelType w:val="hybridMultilevel"/>
    <w:tmpl w:val="5CA6BBD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645"/>
    <w:rsid w:val="001067C4"/>
    <w:rsid w:val="003E2BF0"/>
    <w:rsid w:val="004A4645"/>
    <w:rsid w:val="00741B25"/>
    <w:rsid w:val="00753247"/>
    <w:rsid w:val="007D42A3"/>
    <w:rsid w:val="00892E1C"/>
    <w:rsid w:val="00A12519"/>
    <w:rsid w:val="00C118AF"/>
    <w:rsid w:val="00C9285F"/>
    <w:rsid w:val="00E62307"/>
    <w:rsid w:val="00E71AB1"/>
    <w:rsid w:val="00EC3520"/>
    <w:rsid w:val="00FB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4645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4A464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A4645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A464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4A4645"/>
    <w:rPr>
      <w:b/>
    </w:rPr>
  </w:style>
  <w:style w:type="character" w:customStyle="1" w:styleId="Kkursywa">
    <w:name w:val="_K_ – kursywa"/>
    <w:basedOn w:val="Domylnaczcionkaakapitu"/>
    <w:uiPriority w:val="1"/>
    <w:qFormat/>
    <w:rsid w:val="004A4645"/>
    <w:rPr>
      <w:i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25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519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4645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4A4645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A4645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4A464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4A4645"/>
    <w:rPr>
      <w:b/>
    </w:rPr>
  </w:style>
  <w:style w:type="character" w:customStyle="1" w:styleId="Kkursywa">
    <w:name w:val="_K_ – kursywa"/>
    <w:basedOn w:val="Domylnaczcionkaakapitu"/>
    <w:uiPriority w:val="1"/>
    <w:qFormat/>
    <w:rsid w:val="004A4645"/>
    <w:rPr>
      <w:i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251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519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626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Gospodarki</Company>
  <LinksUpToDate>false</LinksUpToDate>
  <CharactersWithSpaces>4375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Grażyna D. Grabowska</cp:lastModifiedBy>
  <cp:revision>2</cp:revision>
  <cp:lastPrinted>2016-01-26T18:34:00Z</cp:lastPrinted>
  <dcterms:created xsi:type="dcterms:W3CDTF">2016-01-28T11:57:00Z</dcterms:created>
  <dcterms:modified xsi:type="dcterms:W3CDTF">2016-01-28T11:57:00Z</dcterms:modified>
</cp:coreProperties>
</file>