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92E15" w14:textId="77777777" w:rsidR="00151C87" w:rsidRPr="00C7477A" w:rsidRDefault="00151C87" w:rsidP="00C7477A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bookmarkStart w:id="0" w:name="_GoBack"/>
      <w:bookmarkEnd w:id="0"/>
      <w:r w:rsidRPr="00C7477A">
        <w:rPr>
          <w:rFonts w:ascii="Times New Roman" w:hAnsi="Times New Roman" w:cs="Times New Roman"/>
          <w:sz w:val="24"/>
          <w:szCs w:val="24"/>
          <w:lang w:val="pl-PL"/>
        </w:rPr>
        <w:t>UZASADNIENIE</w:t>
      </w:r>
    </w:p>
    <w:p w14:paraId="583E431A" w14:textId="77777777" w:rsidR="002778E6" w:rsidRPr="00C7477A" w:rsidRDefault="002778E6" w:rsidP="00C7477A">
      <w:pPr>
        <w:spacing w:before="120"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b/>
          <w:sz w:val="24"/>
          <w:szCs w:val="24"/>
          <w:lang w:val="pl-PL"/>
        </w:rPr>
        <w:t xml:space="preserve">1. </w:t>
      </w:r>
      <w:r w:rsidRPr="00C7477A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Potrzeba i cel związania Rzeczypospolitej Polskiej </w:t>
      </w:r>
      <w:r w:rsidR="00EC6112" w:rsidRPr="00C7477A">
        <w:rPr>
          <w:rFonts w:ascii="Times New Roman" w:hAnsi="Times New Roman" w:cs="Times New Roman"/>
          <w:b/>
          <w:bCs/>
          <w:sz w:val="24"/>
          <w:szCs w:val="24"/>
          <w:lang w:val="pl-PL"/>
        </w:rPr>
        <w:t>poprawką</w:t>
      </w:r>
      <w:r w:rsidR="006654D2" w:rsidRPr="00C7477A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dauhańską</w:t>
      </w:r>
    </w:p>
    <w:p w14:paraId="2A6D99DB" w14:textId="3F804F4F" w:rsidR="00D4223D" w:rsidRPr="00C7477A" w:rsidRDefault="00D4223D" w:rsidP="00C7477A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>Obecny system współpracy międzynarodowej w zakresie zmian klimatu opiera się na Ramowej konwencji Narodów Zjednoczonych w sprawie zmian klimatu (</w:t>
      </w:r>
      <w:r w:rsidR="00EC6112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zwanej dalej „UNFCCC” lub „Konwencją”)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z 1992 r. oraz Protokole z Kioto </w:t>
      </w:r>
      <w:r w:rsidR="00EC6112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do Ramowej konwencji Narodów Zjednoczonych w sprawie zmian klimatu z 1997 r. (zwanym dalej „Protokołem z Kioto”)</w:t>
      </w:r>
      <w:r w:rsidR="000B23A9" w:rsidRPr="00C7477A">
        <w:rPr>
          <w:rStyle w:val="Odwoanieprzypisudolnego"/>
          <w:rFonts w:ascii="Times New Roman" w:hAnsi="Times New Roman" w:cs="Times New Roman"/>
          <w:sz w:val="24"/>
          <w:szCs w:val="24"/>
          <w:lang w:val="pl-PL"/>
        </w:rPr>
        <w:footnoteReference w:id="2"/>
      </w:r>
      <w:r w:rsidR="00E14FBE" w:rsidRPr="00C7477A">
        <w:rPr>
          <w:rFonts w:ascii="Times New Roman" w:hAnsi="Times New Roman" w:cs="Times New Roman"/>
          <w:bCs/>
          <w:sz w:val="24"/>
          <w:szCs w:val="24"/>
          <w:vertAlign w:val="superscript"/>
          <w:lang w:val="pl-PL"/>
        </w:rPr>
        <w:t>)</w:t>
      </w:r>
      <w:r w:rsidR="00EC6112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.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Konwencja ma charakter </w:t>
      </w:r>
      <w:r w:rsidR="00C7477A">
        <w:rPr>
          <w:rFonts w:ascii="Times New Roman" w:hAnsi="Times New Roman" w:cs="Times New Roman"/>
          <w:bCs/>
          <w:sz w:val="24"/>
          <w:szCs w:val="24"/>
          <w:lang w:val="pl-PL"/>
        </w:rPr>
        <w:t>ramowy, to znaczy określa cel w 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>zakresie stabilizacji koncentracji gazów cieplarnianych w atmosferze i ustanawia ogólne zasady współpracy dla jego osiągnięcia. Konkretne działania przewiduje natomiast Protokół z Kioto – na jego podstawie państwa rozwinięte zobowiązały się do ograniczenia i redukcji emisji gazów cieplarnianych w okresie rozliczeniowym obejmują</w:t>
      </w:r>
      <w:r w:rsidR="00E66EEE">
        <w:rPr>
          <w:rFonts w:ascii="Times New Roman" w:hAnsi="Times New Roman" w:cs="Times New Roman"/>
          <w:bCs/>
          <w:sz w:val="24"/>
          <w:szCs w:val="24"/>
          <w:lang w:val="pl-PL"/>
        </w:rPr>
        <w:t>cym lata 2008–</w:t>
      </w:r>
      <w:r w:rsidR="00774D31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2012. W związku z</w:t>
      </w:r>
      <w:r w:rsid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zakończeniem pierwszego okresu rozliczeniowego oraz brakiem alternatywnego, globalnego porozumienia klimatycznego </w:t>
      </w:r>
      <w:r w:rsidR="000B23A9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powstała potrzeba wyznaczenia celów redukcji emisji na kolejne lata.</w:t>
      </w:r>
    </w:p>
    <w:p w14:paraId="21820CF7" w14:textId="33D39C76" w:rsidR="00075E20" w:rsidRPr="00C7477A" w:rsidRDefault="000B23A9" w:rsidP="00C7477A">
      <w:pPr>
        <w:spacing w:before="120"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Przyjęta </w:t>
      </w:r>
      <w:r w:rsidR="00EC6112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w </w:t>
      </w:r>
      <w:r w:rsidR="00EC6112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drodze</w:t>
      </w:r>
      <w:r w:rsidR="00EC6112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konsensusu przez Konferencję Stron Ramowej konwencji Narodów Zjednoczonych </w:t>
      </w:r>
      <w:r w:rsidR="009D6AF4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w sprawie zmian klimatu służącą</w:t>
      </w:r>
      <w:r w:rsidR="00EC6112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jako spotkanie stron Protokołu z Kioto </w:t>
      </w:r>
      <w:r w:rsidR="006900B1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8</w:t>
      </w:r>
      <w:r w:rsidR="00774D31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grudnia 2012 r. w</w:t>
      </w:r>
      <w:r w:rsid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="006900B1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Ad</w:t>
      </w:r>
      <w:r w:rsidR="00E66EEE">
        <w:rPr>
          <w:rFonts w:ascii="Times New Roman" w:hAnsi="Times New Roman" w:cs="Times New Roman"/>
          <w:noProof/>
          <w:sz w:val="24"/>
          <w:szCs w:val="24"/>
          <w:lang w:val="pl-PL"/>
        </w:rPr>
        <w:t>-</w:t>
      </w:r>
      <w:r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Dausze </w:t>
      </w:r>
      <w:r w:rsidR="00EC6112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P</w:t>
      </w:r>
      <w:r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oprawka</w:t>
      </w:r>
      <w:r w:rsidR="00EC6112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dauhańska</w:t>
      </w:r>
      <w:r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do Protokołu z Kioto</w:t>
      </w:r>
      <w:r w:rsidR="006900B1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do Ramowej konwencji Narodów Zjednoczonych w sprawie zmian klimatu, sporządzonego w Kioto dnia 11 grudnia 1997 r., sporządzonej w Ad-Dausze dnia 8 grudnia 2012 r</w:t>
      </w:r>
      <w:r w:rsidR="00493AF4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.</w:t>
      </w:r>
      <w:r w:rsidR="00EC6112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(zwana dalej „poprawką dauhańską”) </w:t>
      </w:r>
      <w:r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ustanawia drugi okres rozliczeniowy, trwający od 1 stycznia 2013 r. do 31 grudnia 2020 r. Poprawka dauhańska wyznaczyła</w:t>
      </w:r>
      <w:r w:rsidR="00075E20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prawnie wiążące zobowiązania dotyczące redukcji emisji dla Stron </w:t>
      </w:r>
      <w:r w:rsidR="00AD1428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Protokołu z Kioto </w:t>
      </w:r>
      <w:r w:rsidR="00C7477A">
        <w:rPr>
          <w:rFonts w:ascii="Times New Roman" w:hAnsi="Times New Roman" w:cs="Times New Roman"/>
          <w:noProof/>
          <w:sz w:val="24"/>
          <w:szCs w:val="24"/>
          <w:lang w:val="pl-PL"/>
        </w:rPr>
        <w:t>wymienionych w </w:t>
      </w:r>
      <w:r w:rsidR="00383881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Z</w:t>
      </w:r>
      <w:r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ałączniku B, oraz wprowadziła dalsze zmiany do tekstu Protokołu </w:t>
      </w:r>
      <w:r w:rsidR="00376E70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z Kioto </w:t>
      </w:r>
      <w:r w:rsidR="00075E20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związane z implementacją drugiego okresu rozliczeniowego</w:t>
      </w:r>
      <w:r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.</w:t>
      </w:r>
    </w:p>
    <w:p w14:paraId="240C0101" w14:textId="626685CF" w:rsidR="000B23A9" w:rsidRPr="00C7477A" w:rsidRDefault="00376E70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Rzeczpospolita </w:t>
      </w:r>
      <w:r w:rsidR="00075E20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Polska</w:t>
      </w:r>
      <w:r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(zwana dalej także „RP”)</w:t>
      </w:r>
      <w:r w:rsidR="00075E20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, wraz z </w:t>
      </w:r>
      <w:r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pozostałymi państwami członkowskimi Unii Europejskiej oraz </w:t>
      </w:r>
      <w:r w:rsidR="00075E20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Unią</w:t>
      </w:r>
      <w:r w:rsidR="000B23A9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Europejsk</w:t>
      </w:r>
      <w:r w:rsidR="00075E20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ą</w:t>
      </w:r>
      <w:r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(zwaną dalej także „UE”)</w:t>
      </w:r>
      <w:r w:rsidR="000B23A9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,</w:t>
      </w:r>
      <w:r w:rsidR="00075E20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przyjęła poprawkę dauhańską i zgodziła się </w:t>
      </w:r>
      <w:r w:rsidR="00383881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na zmiany w Załączniku B</w:t>
      </w:r>
      <w:r w:rsid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do Protokołu z </w:t>
      </w:r>
      <w:r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Kioto</w:t>
      </w:r>
      <w:r w:rsidR="000B23A9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,</w:t>
      </w:r>
      <w:r w:rsidR="00383881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 tym przyjęła na siebie również</w:t>
      </w:r>
      <w:r w:rsidR="000B23A9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="00383881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nowy cel redukcyjny w drugim okresie </w:t>
      </w:r>
      <w:r w:rsidR="00383881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lastRenderedPageBreak/>
        <w:t xml:space="preserve">rozliczeniowym. </w:t>
      </w:r>
      <w:r w:rsidR="000B23A9" w:rsidRPr="00C7477A">
        <w:rPr>
          <w:rFonts w:ascii="Times New Roman" w:hAnsi="Times New Roman" w:cs="Times New Roman"/>
          <w:sz w:val="24"/>
          <w:szCs w:val="24"/>
          <w:lang w:val="pl-PL"/>
        </w:rPr>
        <w:t>Podobnie jak w pierwszym okresie</w:t>
      </w:r>
      <w:r w:rsidR="00C36D50" w:rsidRPr="00C7477A">
        <w:rPr>
          <w:rStyle w:val="Odwoanieprzypisudolnego"/>
          <w:rFonts w:ascii="Times New Roman" w:hAnsi="Times New Roman" w:cs="Times New Roman"/>
          <w:sz w:val="24"/>
          <w:szCs w:val="24"/>
          <w:lang w:val="pl-PL"/>
        </w:rPr>
        <w:footnoteReference w:id="3"/>
      </w:r>
      <w:r w:rsidR="00E14FBE" w:rsidRPr="00C7477A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)</w:t>
      </w:r>
      <w:r w:rsidR="000B23A9" w:rsidRPr="00C7477A">
        <w:rPr>
          <w:rFonts w:ascii="Times New Roman" w:hAnsi="Times New Roman" w:cs="Times New Roman"/>
          <w:sz w:val="24"/>
          <w:szCs w:val="24"/>
          <w:lang w:val="pl-PL"/>
        </w:rPr>
        <w:t>, UE i państwa członkowskie zdecydowały się na wspólną realizację zobowiązań, zgodnie z art</w:t>
      </w:r>
      <w:r w:rsidR="00DC23C5" w:rsidRPr="00C7477A">
        <w:rPr>
          <w:rFonts w:ascii="Times New Roman" w:hAnsi="Times New Roman" w:cs="Times New Roman"/>
          <w:sz w:val="24"/>
          <w:szCs w:val="24"/>
          <w:lang w:val="pl-PL"/>
        </w:rPr>
        <w:t>ykułem</w:t>
      </w:r>
      <w:r w:rsidR="000B23A9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4 Protokołu</w:t>
      </w:r>
      <w:r w:rsidR="00C7477A">
        <w:rPr>
          <w:rFonts w:ascii="Times New Roman" w:hAnsi="Times New Roman" w:cs="Times New Roman"/>
          <w:sz w:val="24"/>
          <w:szCs w:val="24"/>
          <w:lang w:val="pl-PL"/>
        </w:rPr>
        <w:t xml:space="preserve"> z </w:t>
      </w:r>
      <w:r w:rsidR="00DC23C5" w:rsidRPr="00C7477A">
        <w:rPr>
          <w:rFonts w:ascii="Times New Roman" w:hAnsi="Times New Roman" w:cs="Times New Roman"/>
          <w:sz w:val="24"/>
          <w:szCs w:val="24"/>
          <w:lang w:val="pl-PL"/>
        </w:rPr>
        <w:t>Kioto</w:t>
      </w:r>
      <w:r w:rsidR="000B23A9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="00383881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W drugim okresie rozliczeniowym </w:t>
      </w:r>
      <w:r w:rsidR="000B23A9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we wspólnym wypełnianiu zobowiązań </w:t>
      </w:r>
      <w:r w:rsidR="00383881" w:rsidRPr="00C7477A">
        <w:rPr>
          <w:rFonts w:ascii="Times New Roman" w:hAnsi="Times New Roman" w:cs="Times New Roman"/>
          <w:sz w:val="24"/>
          <w:szCs w:val="24"/>
          <w:lang w:val="pl-PL"/>
        </w:rPr>
        <w:t>uczestniczyć</w:t>
      </w:r>
      <w:r w:rsid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383881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będzie </w:t>
      </w:r>
      <w:r w:rsidR="000B23A9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30 </w:t>
      </w:r>
      <w:r w:rsidR="00383881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Stron </w:t>
      </w:r>
      <w:r w:rsidR="000B23A9" w:rsidRPr="00C7477A">
        <w:rPr>
          <w:rFonts w:ascii="Times New Roman" w:hAnsi="Times New Roman" w:cs="Times New Roman"/>
          <w:sz w:val="24"/>
          <w:szCs w:val="24"/>
          <w:lang w:val="pl-PL"/>
        </w:rPr>
        <w:t>(UE, 28 państw członkowskich</w:t>
      </w:r>
      <w:r w:rsidR="00694E4D" w:rsidRPr="00C7477A">
        <w:rPr>
          <w:rFonts w:ascii="Times New Roman" w:hAnsi="Times New Roman" w:cs="Times New Roman"/>
          <w:sz w:val="24"/>
          <w:szCs w:val="24"/>
          <w:lang w:val="pl-PL"/>
        </w:rPr>
        <w:t>,</w:t>
      </w:r>
      <w:r w:rsidR="000B23A9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oraz Islandi</w:t>
      </w:r>
      <w:r w:rsidR="00BE0925" w:rsidRPr="00C7477A">
        <w:rPr>
          <w:rFonts w:ascii="Times New Roman" w:hAnsi="Times New Roman" w:cs="Times New Roman"/>
          <w:sz w:val="24"/>
          <w:szCs w:val="24"/>
          <w:lang w:val="pl-PL"/>
        </w:rPr>
        <w:t>a</w:t>
      </w:r>
      <w:r w:rsidR="000B23A9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na mocy odrębnej umowy międzynarodowej). </w:t>
      </w:r>
    </w:p>
    <w:p w14:paraId="4387A1A0" w14:textId="155055BA" w:rsidR="00383881" w:rsidRPr="00C7477A" w:rsidRDefault="00383881" w:rsidP="00C7477A">
      <w:pPr>
        <w:spacing w:before="120"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Kształt porozumienia o wspólnym wypełnianiu zobowiązań </w:t>
      </w:r>
      <w:r w:rsidR="000C325A" w:rsidRPr="00C7477A">
        <w:rPr>
          <w:rFonts w:ascii="Times New Roman" w:hAnsi="Times New Roman" w:cs="Times New Roman"/>
          <w:sz w:val="24"/>
          <w:szCs w:val="24"/>
          <w:lang w:val="pl-PL"/>
        </w:rPr>
        <w:t>w sp</w:t>
      </w:r>
      <w:r w:rsidR="00774D31" w:rsidRPr="00C7477A">
        <w:rPr>
          <w:rFonts w:ascii="Times New Roman" w:hAnsi="Times New Roman" w:cs="Times New Roman"/>
          <w:sz w:val="24"/>
          <w:szCs w:val="24"/>
          <w:lang w:val="pl-PL"/>
        </w:rPr>
        <w:t>osób istotny rzutuje na prawa i</w:t>
      </w:r>
      <w:r w:rsid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C325A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obowiązki </w:t>
      </w:r>
      <w:r w:rsidR="00DC23C5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RP </w:t>
      </w:r>
      <w:r w:rsidR="000C325A" w:rsidRPr="00C7477A">
        <w:rPr>
          <w:rFonts w:ascii="Times New Roman" w:hAnsi="Times New Roman" w:cs="Times New Roman"/>
          <w:sz w:val="24"/>
          <w:szCs w:val="24"/>
          <w:lang w:val="pl-PL"/>
        </w:rPr>
        <w:t>wynikające z poprawki dauhańskiej. Porozumienie o wspólnym wypełnianiu zobowiązań przez UE</w:t>
      </w:r>
      <w:r w:rsidR="00694E4D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i jej państwa członkowskie</w:t>
      </w:r>
      <w:r w:rsidR="000C325A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94E4D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w drugim okresie rozliczeniowym</w:t>
      </w:r>
      <w:r w:rsidR="00694E4D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C325A" w:rsidRPr="00C7477A">
        <w:rPr>
          <w:rFonts w:ascii="Times New Roman" w:hAnsi="Times New Roman" w:cs="Times New Roman"/>
          <w:sz w:val="24"/>
          <w:szCs w:val="24"/>
          <w:lang w:val="pl-PL"/>
        </w:rPr>
        <w:t>zos</w:t>
      </w:r>
      <w:r w:rsidR="00694E4D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tało przyjęte co do zasady przez Radę UE dnia </w:t>
      </w:r>
      <w:r w:rsidR="00694E4D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26 stycznia 2015 r., a </w:t>
      </w:r>
      <w:r w:rsidR="00B618F1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P</w:t>
      </w:r>
      <w:r w:rsidR="00694E4D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orozumienie między UE i jej państwami członkowskimi, z jednej strony, a Islandią, z drugiej strony, dotyczące uczestnictwa Islandii we wspólnej realizacji zobowiązań UE, jej państw członkowskich i Islandii w drugim okresie rozliczeniowym</w:t>
      </w:r>
      <w:r w:rsidR="00EC6112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(zwane dalej „porozumieniem z Islandią”) </w:t>
      </w:r>
      <w:r w:rsidR="00694E4D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>zostało podpisane dnia 1 kwietnia 2015 r. w Brukseli.</w:t>
      </w:r>
    </w:p>
    <w:p w14:paraId="36F9917D" w14:textId="77777777" w:rsidR="006E0BE4" w:rsidRPr="00C7477A" w:rsidRDefault="003418E6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>Cel</w:t>
      </w:r>
      <w:r w:rsidR="006E0BE4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e </w:t>
      </w:r>
      <w:r w:rsidR="00570A9C" w:rsidRPr="00C7477A">
        <w:rPr>
          <w:rFonts w:ascii="Times New Roman" w:hAnsi="Times New Roman" w:cs="Times New Roman"/>
          <w:sz w:val="24"/>
          <w:szCs w:val="24"/>
          <w:lang w:val="pl-PL"/>
        </w:rPr>
        <w:t>związania</w:t>
      </w:r>
      <w:r w:rsidR="006E0BE4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DC23C5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RP </w:t>
      </w:r>
      <w:r w:rsidR="00570A9C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poprawką dauhańską do Protokołu z Kioto </w:t>
      </w:r>
      <w:r w:rsidR="006E0BE4" w:rsidRPr="00C7477A">
        <w:rPr>
          <w:rFonts w:ascii="Times New Roman" w:hAnsi="Times New Roman" w:cs="Times New Roman"/>
          <w:sz w:val="24"/>
          <w:szCs w:val="24"/>
          <w:lang w:val="pl-PL"/>
        </w:rPr>
        <w:t>są następujące:</w:t>
      </w:r>
    </w:p>
    <w:p w14:paraId="3B7D07A7" w14:textId="77777777" w:rsidR="003418E6" w:rsidRPr="00C7477A" w:rsidRDefault="006E0BE4" w:rsidP="00C7477A">
      <w:pPr>
        <w:pStyle w:val="Akapitzlist"/>
        <w:numPr>
          <w:ilvl w:val="0"/>
          <w:numId w:val="9"/>
        </w:numPr>
        <w:spacing w:before="120" w:after="0" w:line="360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kontynuacja uczestnictwa w systemie Protokołu z Kioto</w:t>
      </w:r>
    </w:p>
    <w:p w14:paraId="50928D44" w14:textId="74ED5C78" w:rsidR="00570A9C" w:rsidRPr="00C7477A" w:rsidRDefault="00DC23C5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Rzeczpospolita </w:t>
      </w:r>
      <w:r w:rsidR="00570A9C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Polska, ratyfikując Protokół z Kioto w 2002 r., </w:t>
      </w:r>
      <w:r w:rsidR="0065624B" w:rsidRPr="00C7477A">
        <w:rPr>
          <w:rFonts w:ascii="Times New Roman" w:hAnsi="Times New Roman" w:cs="Times New Roman"/>
          <w:sz w:val="24"/>
          <w:szCs w:val="24"/>
          <w:lang w:val="pl-PL"/>
        </w:rPr>
        <w:t>przyłączyła się do grupy państw tworzących awangardę międzynarodowej współpracy w dziedzinie zmian klimatu, ochrony środowiska i zrównoważonego</w:t>
      </w:r>
      <w:r w:rsid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5624B" w:rsidRPr="00C7477A">
        <w:rPr>
          <w:rFonts w:ascii="Times New Roman" w:hAnsi="Times New Roman" w:cs="Times New Roman"/>
          <w:sz w:val="24"/>
          <w:szCs w:val="24"/>
          <w:lang w:val="pl-PL"/>
        </w:rPr>
        <w:t>rozwoju</w:t>
      </w:r>
      <w:r w:rsidR="00EC6112" w:rsidRPr="00C7477A">
        <w:rPr>
          <w:rFonts w:ascii="Times New Roman" w:hAnsi="Times New Roman" w:cs="Times New Roman"/>
          <w:sz w:val="24"/>
          <w:szCs w:val="24"/>
          <w:lang w:val="pl-PL"/>
        </w:rPr>
        <w:t>,</w:t>
      </w:r>
      <w:r w:rsidR="0065624B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i w tym gronie jest postrzegana jako jeden z kluczowych partnerów. Dokonana wówczas analiza korzyści wciąż pozostaje w du</w:t>
      </w:r>
      <w:r w:rsidR="00774D31" w:rsidRPr="00C7477A">
        <w:rPr>
          <w:rFonts w:ascii="Times New Roman" w:hAnsi="Times New Roman" w:cs="Times New Roman"/>
          <w:sz w:val="24"/>
          <w:szCs w:val="24"/>
          <w:lang w:val="pl-PL"/>
        </w:rPr>
        <w:t>żej mierze aktualna. Protokół z</w:t>
      </w:r>
      <w:r w:rsid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5624B" w:rsidRPr="00C7477A">
        <w:rPr>
          <w:rFonts w:ascii="Times New Roman" w:hAnsi="Times New Roman" w:cs="Times New Roman"/>
          <w:sz w:val="24"/>
          <w:szCs w:val="24"/>
          <w:lang w:val="pl-PL"/>
        </w:rPr>
        <w:t>Kioto</w:t>
      </w:r>
      <w:r w:rsidR="007C1E02" w:rsidRPr="00C7477A">
        <w:rPr>
          <w:rFonts w:ascii="Times New Roman" w:hAnsi="Times New Roman" w:cs="Times New Roman"/>
          <w:sz w:val="24"/>
          <w:szCs w:val="24"/>
          <w:lang w:val="pl-PL"/>
        </w:rPr>
        <w:t>, nakładając na Strony ograniczenia emisji, umożliwia jednocześnie udział w mechanizmach elastycznyc</w:t>
      </w:r>
      <w:r w:rsidR="007E57CA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h, wspomaga poprawę efektywności energetycznej i modernizację przedsiębiorstw, wpływa pozytywnie na świadomość społeczeństwa w zakresie szeroko pojętej ochrony środowiska.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Rzeczpospolita </w:t>
      </w:r>
      <w:r w:rsidR="007E57CA" w:rsidRPr="00C7477A">
        <w:rPr>
          <w:rFonts w:ascii="Times New Roman" w:hAnsi="Times New Roman" w:cs="Times New Roman"/>
          <w:sz w:val="24"/>
          <w:szCs w:val="24"/>
          <w:lang w:val="pl-PL"/>
        </w:rPr>
        <w:t>Polska poczyniła również określone inwestycje</w:t>
      </w:r>
      <w:r w:rsidR="00E611B2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w celu implementacji postanowień Protokołu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z Kioto</w:t>
      </w:r>
      <w:r w:rsidR="007E57CA" w:rsidRPr="00C7477A">
        <w:rPr>
          <w:rFonts w:ascii="Times New Roman" w:hAnsi="Times New Roman" w:cs="Times New Roman"/>
          <w:sz w:val="24"/>
          <w:szCs w:val="24"/>
          <w:lang w:val="pl-PL"/>
        </w:rPr>
        <w:t>, m.in. w zakresie</w:t>
      </w:r>
      <w:r w:rsidR="00E611B2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ustanowienia systemu </w:t>
      </w:r>
      <w:r w:rsidR="007E57CA" w:rsidRPr="00C7477A">
        <w:rPr>
          <w:rFonts w:ascii="Times New Roman" w:hAnsi="Times New Roman" w:cs="Times New Roman"/>
          <w:sz w:val="24"/>
          <w:szCs w:val="24"/>
          <w:lang w:val="pl-PL"/>
        </w:rPr>
        <w:t>inwentaryzacj</w:t>
      </w:r>
      <w:r w:rsidR="00E611B2" w:rsidRPr="00C7477A">
        <w:rPr>
          <w:rFonts w:ascii="Times New Roman" w:hAnsi="Times New Roman" w:cs="Times New Roman"/>
          <w:sz w:val="24"/>
          <w:szCs w:val="24"/>
          <w:lang w:val="pl-PL"/>
        </w:rPr>
        <w:t>i</w:t>
      </w:r>
      <w:r w:rsidR="007E57CA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emisji i pochłaniania gazów cieplarnianych</w:t>
      </w:r>
      <w:r w:rsidR="00E611B2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</w:p>
    <w:p w14:paraId="047110D4" w14:textId="77777777" w:rsidR="00E611B2" w:rsidRPr="00C7477A" w:rsidRDefault="00E611B2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Zarówno wskazane korzyści, jak i poczynione inwestycje, pozostają ważne tak długo, jak </w:t>
      </w:r>
      <w:r w:rsidR="006F3EAF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długo </w:t>
      </w:r>
      <w:r w:rsidR="00DC23C5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Rzeczpospolita </w:t>
      </w:r>
      <w:r w:rsidR="009D1099" w:rsidRPr="00C7477A">
        <w:rPr>
          <w:rFonts w:ascii="Times New Roman" w:hAnsi="Times New Roman" w:cs="Times New Roman"/>
          <w:sz w:val="24"/>
          <w:szCs w:val="24"/>
          <w:lang w:val="pl-PL"/>
        </w:rPr>
        <w:t>Polska realizuje postanowienia Protokołu</w:t>
      </w:r>
      <w:r w:rsidR="00DC23C5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z Kioto</w:t>
      </w:r>
      <w:r w:rsidR="009D1099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, dysponuje jednostkami przyznanej emisji, a co za tym idzie – posiada cel redukcji emisji. Stąd </w:t>
      </w:r>
      <w:r w:rsidR="009D1099" w:rsidRPr="00C7477A">
        <w:rPr>
          <w:rFonts w:ascii="Times New Roman" w:hAnsi="Times New Roman" w:cs="Times New Roman"/>
          <w:sz w:val="24"/>
          <w:szCs w:val="24"/>
          <w:lang w:val="pl-PL"/>
        </w:rPr>
        <w:lastRenderedPageBreak/>
        <w:t>kontynuacja uczestnictwa w systemie Protokołu z Kioto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wymaga </w:t>
      </w:r>
      <w:r w:rsidR="009D1099" w:rsidRPr="00C7477A">
        <w:rPr>
          <w:rFonts w:ascii="Times New Roman" w:hAnsi="Times New Roman" w:cs="Times New Roman"/>
          <w:sz w:val="24"/>
          <w:szCs w:val="24"/>
          <w:lang w:val="pl-PL"/>
        </w:rPr>
        <w:t>przystąpienia do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drugi</w:t>
      </w:r>
      <w:r w:rsidR="009D1099" w:rsidRPr="00C7477A">
        <w:rPr>
          <w:rFonts w:ascii="Times New Roman" w:hAnsi="Times New Roman" w:cs="Times New Roman"/>
          <w:sz w:val="24"/>
          <w:szCs w:val="24"/>
          <w:lang w:val="pl-PL"/>
        </w:rPr>
        <w:t>ego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okres</w:t>
      </w:r>
      <w:r w:rsidR="009D1099" w:rsidRPr="00C7477A">
        <w:rPr>
          <w:rFonts w:ascii="Times New Roman" w:hAnsi="Times New Roman" w:cs="Times New Roman"/>
          <w:sz w:val="24"/>
          <w:szCs w:val="24"/>
          <w:lang w:val="pl-PL"/>
        </w:rPr>
        <w:t>u rozliczeniowego.</w:t>
      </w:r>
    </w:p>
    <w:p w14:paraId="7B7E867E" w14:textId="77777777" w:rsidR="003418E6" w:rsidRPr="00C7477A" w:rsidRDefault="009D1099" w:rsidP="00C7477A">
      <w:pPr>
        <w:pStyle w:val="Akapitzlist"/>
        <w:numPr>
          <w:ilvl w:val="0"/>
          <w:numId w:val="9"/>
        </w:numPr>
        <w:spacing w:before="120" w:after="0" w:line="360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umożliwienie UE przystąpienia do poprawki dauhańskiej</w:t>
      </w:r>
    </w:p>
    <w:p w14:paraId="0810E287" w14:textId="27004B2C" w:rsidR="009D1099" w:rsidRPr="00C7477A" w:rsidRDefault="009D1099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Od ratyfikacji przez </w:t>
      </w:r>
      <w:r w:rsidR="00DC23C5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Rzeczpospolitą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Polsk</w:t>
      </w:r>
      <w:r w:rsidR="00DC23C5" w:rsidRPr="00C7477A">
        <w:rPr>
          <w:rFonts w:ascii="Times New Roman" w:hAnsi="Times New Roman" w:cs="Times New Roman"/>
          <w:sz w:val="24"/>
          <w:szCs w:val="24"/>
          <w:lang w:val="pl-PL"/>
        </w:rPr>
        <w:t>ą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poprawki dauhańskiej zależy również </w:t>
      </w:r>
      <w:r w:rsidR="008F4AF7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pełne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uczestnictwo w drugim okresie rozliczeniowym Unii Europejskiej i pozostałych państw członkowskich. W związku z </w:t>
      </w:r>
      <w:r w:rsidR="004204DD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mieszanym charakterem umowy oraz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decyzją </w:t>
      </w:r>
      <w:r w:rsidR="00C7477A">
        <w:rPr>
          <w:rFonts w:ascii="Times New Roman" w:hAnsi="Times New Roman" w:cs="Times New Roman"/>
          <w:sz w:val="24"/>
          <w:szCs w:val="24"/>
          <w:lang w:val="pl-PL"/>
        </w:rPr>
        <w:t>o</w:t>
      </w:r>
      <w:r w:rsidR="00C6152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4204DD" w:rsidRPr="00C7477A">
        <w:rPr>
          <w:rFonts w:ascii="Times New Roman" w:hAnsi="Times New Roman" w:cs="Times New Roman"/>
          <w:sz w:val="24"/>
          <w:szCs w:val="24"/>
          <w:lang w:val="pl-PL"/>
        </w:rPr>
        <w:t>wspólnym wypełnianiu zobowiązań przez UE i jej państwa członkowskie niezbędna jest ratyfikacja poprawki dauh</w:t>
      </w:r>
      <w:r w:rsidR="00774D31" w:rsidRPr="00C7477A">
        <w:rPr>
          <w:rFonts w:ascii="Times New Roman" w:hAnsi="Times New Roman" w:cs="Times New Roman"/>
          <w:sz w:val="24"/>
          <w:szCs w:val="24"/>
          <w:lang w:val="pl-PL"/>
        </w:rPr>
        <w:t>ańskiej zarówno przez UE, jak i</w:t>
      </w:r>
      <w:r w:rsid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4204DD" w:rsidRPr="00C7477A">
        <w:rPr>
          <w:rFonts w:ascii="Times New Roman" w:hAnsi="Times New Roman" w:cs="Times New Roman"/>
          <w:sz w:val="24"/>
          <w:szCs w:val="24"/>
          <w:lang w:val="pl-PL"/>
        </w:rPr>
        <w:t>każde z państw członkowskich, aby drugi okres rozliczeniowy wszedł w życie dla wszystkich uczestników porozumienia</w:t>
      </w:r>
      <w:r w:rsidR="003F0801" w:rsidRPr="00C7477A">
        <w:rPr>
          <w:rStyle w:val="Odwoanieprzypisudolnego"/>
          <w:rFonts w:ascii="Times New Roman" w:hAnsi="Times New Roman" w:cs="Times New Roman"/>
          <w:sz w:val="24"/>
          <w:szCs w:val="24"/>
          <w:lang w:val="pl-PL"/>
        </w:rPr>
        <w:footnoteReference w:id="4"/>
      </w:r>
      <w:r w:rsidR="00D76F86" w:rsidRPr="00C7477A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)</w:t>
      </w:r>
      <w:r w:rsidR="00D76F86" w:rsidRPr="00C7477A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4204DD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W ten sposób wiarygodność </w:t>
      </w:r>
      <w:r w:rsidR="00DC23C5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RP </w:t>
      </w:r>
      <w:r w:rsidR="004204DD" w:rsidRPr="00C7477A">
        <w:rPr>
          <w:rFonts w:ascii="Times New Roman" w:hAnsi="Times New Roman" w:cs="Times New Roman"/>
          <w:sz w:val="24"/>
          <w:szCs w:val="24"/>
          <w:lang w:val="pl-PL"/>
        </w:rPr>
        <w:t>jako partnera w UE</w:t>
      </w:r>
      <w:r w:rsidR="0083686A" w:rsidRPr="00C7477A">
        <w:rPr>
          <w:rFonts w:ascii="Times New Roman" w:hAnsi="Times New Roman" w:cs="Times New Roman"/>
          <w:sz w:val="24"/>
          <w:szCs w:val="24"/>
          <w:lang w:val="pl-PL"/>
        </w:rPr>
        <w:t>, ale także na forum globalnym,</w:t>
      </w:r>
      <w:r w:rsidR="004204DD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zależy od przystąpienia </w:t>
      </w:r>
      <w:r w:rsidR="00DC23C5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RP </w:t>
      </w:r>
      <w:r w:rsidR="004204DD" w:rsidRPr="00C7477A">
        <w:rPr>
          <w:rFonts w:ascii="Times New Roman" w:hAnsi="Times New Roman" w:cs="Times New Roman"/>
          <w:sz w:val="24"/>
          <w:szCs w:val="24"/>
          <w:lang w:val="pl-PL"/>
        </w:rPr>
        <w:t>do drugiego okresu rozliczeniowego.</w:t>
      </w:r>
    </w:p>
    <w:p w14:paraId="430B0D8D" w14:textId="62891DEB" w:rsidR="004204DD" w:rsidRPr="00C7477A" w:rsidRDefault="004204DD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Należy przy tym zauważyć, że </w:t>
      </w:r>
      <w:r w:rsidR="00DC23C5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Rzeczpospolita </w:t>
      </w:r>
      <w:r w:rsidR="00C7477A">
        <w:rPr>
          <w:rFonts w:ascii="Times New Roman" w:hAnsi="Times New Roman" w:cs="Times New Roman"/>
          <w:sz w:val="24"/>
          <w:szCs w:val="24"/>
          <w:lang w:val="pl-PL"/>
        </w:rPr>
        <w:t>Polska brała aktywny udział w 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opra</w:t>
      </w:r>
      <w:r w:rsidR="006900B1" w:rsidRPr="00C7477A">
        <w:rPr>
          <w:rFonts w:ascii="Times New Roman" w:hAnsi="Times New Roman" w:cs="Times New Roman"/>
          <w:sz w:val="24"/>
          <w:szCs w:val="24"/>
          <w:lang w:val="pl-PL"/>
        </w:rPr>
        <w:t>cowaniu projektu decyzji Rady w sprawie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przystąpienia do poprawki dauhańskiej, zawierającej zasady wspólnego wypełniania zobowiązań, oraz podpisała porozumienie z Islandią w tej sprawie. Tym samym</w:t>
      </w:r>
      <w:r w:rsidR="006900B1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akty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900B1" w:rsidRPr="00C7477A">
        <w:rPr>
          <w:rFonts w:ascii="Times New Roman" w:hAnsi="Times New Roman" w:cs="Times New Roman"/>
          <w:sz w:val="24"/>
          <w:szCs w:val="24"/>
          <w:lang w:val="pl-PL"/>
        </w:rPr>
        <w:t>prawa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UE </w:t>
      </w:r>
      <w:r w:rsidR="003F0801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bezpośrednio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wprowadzając</w:t>
      </w:r>
      <w:r w:rsidR="006900B1" w:rsidRPr="00C7477A">
        <w:rPr>
          <w:rFonts w:ascii="Times New Roman" w:hAnsi="Times New Roman" w:cs="Times New Roman"/>
          <w:sz w:val="24"/>
          <w:szCs w:val="24"/>
          <w:lang w:val="pl-PL"/>
        </w:rPr>
        <w:t>e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w życie drugi okres rozliczeniowy spełnia</w:t>
      </w:r>
      <w:r w:rsidR="006900B1" w:rsidRPr="00C7477A">
        <w:rPr>
          <w:rFonts w:ascii="Times New Roman" w:hAnsi="Times New Roman" w:cs="Times New Roman"/>
          <w:sz w:val="24"/>
          <w:szCs w:val="24"/>
          <w:lang w:val="pl-PL"/>
        </w:rPr>
        <w:t>ją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oczekiwania </w:t>
      </w:r>
      <w:r w:rsidR="00DC23C5" w:rsidRPr="00C7477A">
        <w:rPr>
          <w:rFonts w:ascii="Times New Roman" w:hAnsi="Times New Roman" w:cs="Times New Roman"/>
          <w:sz w:val="24"/>
          <w:szCs w:val="24"/>
          <w:lang w:val="pl-PL"/>
        </w:rPr>
        <w:t>RP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EADD57A" w14:textId="77777777" w:rsidR="00B60CEE" w:rsidRPr="00C7477A" w:rsidRDefault="00C36D50" w:rsidP="00C7477A">
      <w:pPr>
        <w:pStyle w:val="Akapitzlist"/>
        <w:numPr>
          <w:ilvl w:val="0"/>
          <w:numId w:val="9"/>
        </w:numPr>
        <w:spacing w:before="120" w:after="0" w:line="360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rozwój globalnego procesu współpracy wielostronnej na rzecz ochrony klimatu</w:t>
      </w:r>
    </w:p>
    <w:p w14:paraId="4F814728" w14:textId="6309C164" w:rsidR="00B60CEE" w:rsidRPr="00C7477A" w:rsidRDefault="00B60CEE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>Drugi okres rozliczeniowy Protokołu z Kioto zapewnia ciągłość międzynarodowej współpracy w zakresie zmian klimatu do czasu, aż wejd</w:t>
      </w:r>
      <w:r w:rsidR="00C36D50" w:rsidRPr="00C7477A">
        <w:rPr>
          <w:rFonts w:ascii="Times New Roman" w:hAnsi="Times New Roman" w:cs="Times New Roman"/>
          <w:sz w:val="24"/>
          <w:szCs w:val="24"/>
          <w:lang w:val="pl-PL"/>
        </w:rPr>
        <w:t>ą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w życie</w:t>
      </w:r>
      <w:r w:rsidR="00C36D50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zobowiązania (wkłady ustalone na poziomie krajowym)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C36D50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w ramach </w:t>
      </w:r>
      <w:r w:rsidR="006900B1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Porozumienia paryskiego do Ramowej konwencji Narodów Zjednoczonych w sprawie zmian klimatu, sporządzonej w Nowym Jorku dnia 9 maja 1992 r., przyjętego w Paryżu w dniu 12 grudnia 2015 r. </w:t>
      </w:r>
      <w:r w:rsidR="006900B1" w:rsidRPr="00C7477A">
        <w:rPr>
          <w:rFonts w:ascii="Times New Roman" w:hAnsi="Times New Roman" w:cs="Times New Roman"/>
          <w:sz w:val="24"/>
          <w:szCs w:val="24"/>
          <w:lang w:val="pl-PL"/>
        </w:rPr>
        <w:lastRenderedPageBreak/>
        <w:t>(</w:t>
      </w:r>
      <w:r w:rsidR="006900B1" w:rsidRPr="00C7477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zwanego dalej </w:t>
      </w:r>
      <w:r w:rsidR="006900B1" w:rsidRPr="00C7477A">
        <w:rPr>
          <w:rFonts w:ascii="Times New Roman" w:hAnsi="Times New Roman" w:cs="Times New Roman"/>
          <w:sz w:val="24"/>
          <w:szCs w:val="24"/>
          <w:lang w:val="pl-PL"/>
        </w:rPr>
        <w:t>„Porozumieniem paryskim”)</w:t>
      </w:r>
      <w:r w:rsidR="006900B1" w:rsidRPr="00C7477A">
        <w:rPr>
          <w:rStyle w:val="Odwoanieprzypisudolnego"/>
          <w:rFonts w:ascii="Times New Roman" w:hAnsi="Times New Roman" w:cs="Times New Roman"/>
          <w:sz w:val="24"/>
          <w:szCs w:val="24"/>
          <w:lang w:val="pl-PL"/>
        </w:rPr>
        <w:footnoteReference w:id="5"/>
      </w:r>
      <w:r w:rsidR="006D11F2" w:rsidRPr="00C7477A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)</w:t>
      </w:r>
      <w:r w:rsidR="00A12C68" w:rsidRPr="00C7477A">
        <w:rPr>
          <w:rFonts w:ascii="Times New Roman" w:hAnsi="Times New Roman" w:cs="Times New Roman"/>
          <w:sz w:val="24"/>
          <w:szCs w:val="24"/>
          <w:lang w:val="pl-PL"/>
        </w:rPr>
        <w:t>. Porozumienie paryskie, sporządzone dnia 12 grudnia 2015 r.,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będzie miało zastosowanie do wszystkich Stron</w:t>
      </w:r>
      <w:r w:rsidR="00541220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Konwencji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C7477A">
        <w:rPr>
          <w:rFonts w:ascii="Times New Roman" w:hAnsi="Times New Roman" w:cs="Times New Roman"/>
          <w:sz w:val="24"/>
          <w:szCs w:val="24"/>
          <w:lang w:val="pl-PL"/>
        </w:rPr>
        <w:t>a </w:t>
      </w:r>
      <w:r w:rsidR="00925F7C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więc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nie tylko państw rozwiniętych. </w:t>
      </w:r>
      <w:r w:rsidR="00A12C68" w:rsidRPr="00C7477A">
        <w:rPr>
          <w:rFonts w:ascii="Times New Roman" w:hAnsi="Times New Roman" w:cs="Times New Roman"/>
          <w:sz w:val="24"/>
          <w:szCs w:val="24"/>
          <w:lang w:val="pl-PL"/>
        </w:rPr>
        <w:t>Niezależnie od</w:t>
      </w:r>
      <w:r w:rsidR="00E73BB9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12C68" w:rsidRPr="00C7477A">
        <w:rPr>
          <w:rFonts w:ascii="Times New Roman" w:hAnsi="Times New Roman" w:cs="Times New Roman"/>
          <w:sz w:val="24"/>
          <w:szCs w:val="24"/>
          <w:lang w:val="pl-PL"/>
        </w:rPr>
        <w:t>wejścia w życie Porozumienia paryskiego,</w:t>
      </w:r>
      <w:r w:rsidR="00E73BB9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które nastąpiło 4 listopada 2016 r.,</w:t>
      </w:r>
      <w:r w:rsidR="00A12C68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zadeklarowane przez Strony działania na rzecz ochrony klimatu będą obowiązywały od 2021 r.</w:t>
      </w:r>
    </w:p>
    <w:p w14:paraId="146DBF7F" w14:textId="77777777" w:rsidR="00A12C68" w:rsidRPr="00C7477A" w:rsidRDefault="00925F7C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Jakkolwiek </w:t>
      </w:r>
      <w:r w:rsidR="00F476ED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Rzeczpospolita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Polska nie uznaje formalnego związku między </w:t>
      </w:r>
      <w:r w:rsidR="00A12C68" w:rsidRPr="00C7477A">
        <w:rPr>
          <w:rFonts w:ascii="Times New Roman" w:hAnsi="Times New Roman" w:cs="Times New Roman"/>
          <w:sz w:val="24"/>
          <w:szCs w:val="24"/>
          <w:lang w:val="pl-PL"/>
        </w:rPr>
        <w:t>wdrożeniem Porozumienia paryskiego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a ratyfikacją poprawki dauhańskiej, to w opinii wielu państw rozwijających się wejście w życie drugiego okresu rozliczeniowego jest testem wiarygodności państw rozwiniętych. Dlatego też ratyfikacja poprawki dauhańskiej jest również szansą na uzyskanie </w:t>
      </w:r>
      <w:r w:rsidR="00A12C68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szybszego postępu w negocjacjach zasad wdrażania Porozumienia paryskiego w ramach Konferencji Stron UNFCCC. </w:t>
      </w:r>
    </w:p>
    <w:p w14:paraId="3E1C6D61" w14:textId="77777777" w:rsidR="002778E6" w:rsidRPr="00C7477A" w:rsidRDefault="002778E6" w:rsidP="00C7477A">
      <w:pPr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b/>
          <w:sz w:val="24"/>
          <w:szCs w:val="24"/>
          <w:lang w:val="pl-PL"/>
        </w:rPr>
        <w:t>2. Dotychczasowy a projektowany stan prawny</w:t>
      </w:r>
    </w:p>
    <w:p w14:paraId="162977D7" w14:textId="77777777" w:rsidR="00151C87" w:rsidRPr="00C7477A" w:rsidRDefault="00CF187A" w:rsidP="00C7477A">
      <w:pPr>
        <w:pStyle w:val="Tekstpodstawowy"/>
        <w:numPr>
          <w:ilvl w:val="0"/>
          <w:numId w:val="11"/>
        </w:numPr>
        <w:spacing w:before="120" w:after="0" w:line="360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zmiany w treści Protokołu z Kioto</w:t>
      </w:r>
    </w:p>
    <w:p w14:paraId="73A89DD0" w14:textId="5150A8A8" w:rsidR="00CF187A" w:rsidRPr="00C7477A" w:rsidRDefault="00B17308" w:rsidP="00C7477A">
      <w:pPr>
        <w:pStyle w:val="Tekstpodstawowy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 xml:space="preserve">Główną zmianą wprowadzoną przez poprawkę dauhańską do Protokołu z Kioto jest nowy kształt Załącznika B, zawierającego zobowiązania redukcyjne państw. Obok listy </w:t>
      </w:r>
      <w:r w:rsidR="00EF3E7B" w:rsidRPr="00C7477A">
        <w:rPr>
          <w:rFonts w:ascii="Times New Roman" w:hAnsi="Times New Roman"/>
          <w:sz w:val="24"/>
          <w:szCs w:val="24"/>
        </w:rPr>
        <w:t xml:space="preserve">państw </w:t>
      </w:r>
      <w:r w:rsidRPr="00C7477A">
        <w:rPr>
          <w:rFonts w:ascii="Times New Roman" w:hAnsi="Times New Roman"/>
          <w:sz w:val="24"/>
          <w:szCs w:val="24"/>
        </w:rPr>
        <w:t>(kolumna 1) i dotychcz</w:t>
      </w:r>
      <w:r w:rsidR="00E66EEE">
        <w:rPr>
          <w:rFonts w:ascii="Times New Roman" w:hAnsi="Times New Roman"/>
          <w:sz w:val="24"/>
          <w:szCs w:val="24"/>
        </w:rPr>
        <w:t>asowych zobowiązań na lata 2008–</w:t>
      </w:r>
      <w:r w:rsidRPr="00C7477A">
        <w:rPr>
          <w:rFonts w:ascii="Times New Roman" w:hAnsi="Times New Roman"/>
          <w:sz w:val="24"/>
          <w:szCs w:val="24"/>
        </w:rPr>
        <w:t>2012 (kolumna 2) zostały wp</w:t>
      </w:r>
      <w:r w:rsidR="00C7477A">
        <w:rPr>
          <w:rFonts w:ascii="Times New Roman" w:hAnsi="Times New Roman"/>
          <w:sz w:val="24"/>
          <w:szCs w:val="24"/>
        </w:rPr>
        <w:t>isane zobowiązania na lata 2013–</w:t>
      </w:r>
      <w:r w:rsidRPr="00C7477A">
        <w:rPr>
          <w:rFonts w:ascii="Times New Roman" w:hAnsi="Times New Roman"/>
          <w:sz w:val="24"/>
          <w:szCs w:val="24"/>
        </w:rPr>
        <w:t>2020 jako procent emisji z roku lub okresu bazowego (kolumna 3), jak również procent emisji z roku referencyjnego (kolumna 5). Z wyznaczenia roku referencyjnego inn</w:t>
      </w:r>
      <w:r w:rsidR="00B90E7B" w:rsidRPr="00C7477A">
        <w:rPr>
          <w:rFonts w:ascii="Times New Roman" w:hAnsi="Times New Roman"/>
          <w:sz w:val="24"/>
          <w:szCs w:val="24"/>
        </w:rPr>
        <w:t>ego</w:t>
      </w:r>
      <w:r w:rsidRPr="00C7477A">
        <w:rPr>
          <w:rFonts w:ascii="Times New Roman" w:hAnsi="Times New Roman"/>
          <w:sz w:val="24"/>
          <w:szCs w:val="24"/>
        </w:rPr>
        <w:t xml:space="preserve"> niż rok bazowy (kolumna 4) skorzystał tylko </w:t>
      </w:r>
      <w:r w:rsidR="00D25D4B" w:rsidRPr="00C7477A">
        <w:rPr>
          <w:rFonts w:ascii="Times New Roman" w:hAnsi="Times New Roman"/>
          <w:sz w:val="24"/>
          <w:szCs w:val="24"/>
        </w:rPr>
        <w:t xml:space="preserve">Związek </w:t>
      </w:r>
      <w:r w:rsidRPr="00C7477A">
        <w:rPr>
          <w:rFonts w:ascii="Times New Roman" w:hAnsi="Times New Roman"/>
          <w:sz w:val="24"/>
          <w:szCs w:val="24"/>
        </w:rPr>
        <w:t>Australi</w:t>
      </w:r>
      <w:r w:rsidR="00D25D4B" w:rsidRPr="00C7477A">
        <w:rPr>
          <w:rFonts w:ascii="Times New Roman" w:hAnsi="Times New Roman"/>
          <w:sz w:val="24"/>
          <w:szCs w:val="24"/>
        </w:rPr>
        <w:t>jski</w:t>
      </w:r>
      <w:r w:rsidRPr="00C7477A">
        <w:rPr>
          <w:rFonts w:ascii="Times New Roman" w:hAnsi="Times New Roman"/>
          <w:sz w:val="24"/>
          <w:szCs w:val="24"/>
        </w:rPr>
        <w:t xml:space="preserve"> (2000 r.), przy czym jedynie wartości wskazane w kolumnie 2 mają moc prawnie wiążącą. Załącznik obejmuje również bardziej ambitne, ale niewiążące „zobowiązania w zakresie redukcji emisji gazów cieplarnianych do 2020 r.” – tzw. </w:t>
      </w:r>
      <w:r w:rsidRPr="00C7477A">
        <w:rPr>
          <w:rFonts w:ascii="Times New Roman" w:hAnsi="Times New Roman"/>
          <w:i/>
          <w:sz w:val="24"/>
          <w:szCs w:val="24"/>
        </w:rPr>
        <w:t xml:space="preserve">Cancun pledges </w:t>
      </w:r>
      <w:r w:rsidRPr="00C7477A">
        <w:rPr>
          <w:rFonts w:ascii="Times New Roman" w:hAnsi="Times New Roman"/>
          <w:sz w:val="24"/>
          <w:szCs w:val="24"/>
        </w:rPr>
        <w:t>(kolumna 6). Na liście krajów ujęte są Strony, które nie miały zobowiązań w pierwszym okresie (</w:t>
      </w:r>
      <w:r w:rsidR="00AF5DA5" w:rsidRPr="00C7477A">
        <w:rPr>
          <w:rFonts w:ascii="Times New Roman" w:hAnsi="Times New Roman"/>
          <w:sz w:val="24"/>
          <w:szCs w:val="24"/>
        </w:rPr>
        <w:t xml:space="preserve">Republika </w:t>
      </w:r>
      <w:r w:rsidRPr="00C7477A">
        <w:rPr>
          <w:rFonts w:ascii="Times New Roman" w:hAnsi="Times New Roman"/>
          <w:sz w:val="24"/>
          <w:szCs w:val="24"/>
        </w:rPr>
        <w:t>Białoru</w:t>
      </w:r>
      <w:r w:rsidR="00AF5DA5" w:rsidRPr="00C7477A">
        <w:rPr>
          <w:rFonts w:ascii="Times New Roman" w:hAnsi="Times New Roman"/>
          <w:sz w:val="24"/>
          <w:szCs w:val="24"/>
        </w:rPr>
        <w:t>si</w:t>
      </w:r>
      <w:r w:rsidRPr="00C7477A">
        <w:rPr>
          <w:rFonts w:ascii="Times New Roman" w:hAnsi="Times New Roman"/>
          <w:sz w:val="24"/>
          <w:szCs w:val="24"/>
        </w:rPr>
        <w:t xml:space="preserve">, </w:t>
      </w:r>
      <w:r w:rsidR="00D25D4B" w:rsidRPr="00C7477A">
        <w:rPr>
          <w:rFonts w:ascii="Times New Roman" w:hAnsi="Times New Roman"/>
          <w:sz w:val="24"/>
          <w:szCs w:val="24"/>
        </w:rPr>
        <w:t xml:space="preserve">Republika </w:t>
      </w:r>
      <w:r w:rsidRPr="00C7477A">
        <w:rPr>
          <w:rFonts w:ascii="Times New Roman" w:hAnsi="Times New Roman"/>
          <w:sz w:val="24"/>
          <w:szCs w:val="24"/>
        </w:rPr>
        <w:t>Cypr</w:t>
      </w:r>
      <w:r w:rsidR="00D25D4B" w:rsidRPr="00C7477A">
        <w:rPr>
          <w:rFonts w:ascii="Times New Roman" w:hAnsi="Times New Roman"/>
          <w:sz w:val="24"/>
          <w:szCs w:val="24"/>
        </w:rPr>
        <w:t>yjska</w:t>
      </w:r>
      <w:r w:rsidRPr="00C7477A">
        <w:rPr>
          <w:rFonts w:ascii="Times New Roman" w:hAnsi="Times New Roman"/>
          <w:sz w:val="24"/>
          <w:szCs w:val="24"/>
        </w:rPr>
        <w:t xml:space="preserve">, </w:t>
      </w:r>
      <w:r w:rsidR="00D25D4B" w:rsidRPr="00C7477A">
        <w:rPr>
          <w:rFonts w:ascii="Times New Roman" w:hAnsi="Times New Roman"/>
          <w:sz w:val="24"/>
          <w:szCs w:val="24"/>
        </w:rPr>
        <w:t xml:space="preserve">Republika </w:t>
      </w:r>
      <w:r w:rsidR="00CF6A48" w:rsidRPr="00C7477A">
        <w:rPr>
          <w:rFonts w:ascii="Times New Roman" w:hAnsi="Times New Roman"/>
          <w:sz w:val="24"/>
          <w:szCs w:val="24"/>
        </w:rPr>
        <w:t>Kazachstan</w:t>
      </w:r>
      <w:r w:rsidR="00D25D4B" w:rsidRPr="00C7477A">
        <w:rPr>
          <w:rFonts w:ascii="Times New Roman" w:hAnsi="Times New Roman"/>
          <w:sz w:val="24"/>
          <w:szCs w:val="24"/>
        </w:rPr>
        <w:t>u</w:t>
      </w:r>
      <w:r w:rsidRPr="00C7477A">
        <w:rPr>
          <w:rFonts w:ascii="Times New Roman" w:hAnsi="Times New Roman"/>
          <w:sz w:val="24"/>
          <w:szCs w:val="24"/>
        </w:rPr>
        <w:t xml:space="preserve">, </w:t>
      </w:r>
      <w:r w:rsidR="00D25D4B" w:rsidRPr="00C7477A">
        <w:rPr>
          <w:rFonts w:ascii="Times New Roman" w:hAnsi="Times New Roman"/>
          <w:sz w:val="24"/>
          <w:szCs w:val="24"/>
        </w:rPr>
        <w:t xml:space="preserve">Republika </w:t>
      </w:r>
      <w:r w:rsidRPr="00C7477A">
        <w:rPr>
          <w:rFonts w:ascii="Times New Roman" w:hAnsi="Times New Roman"/>
          <w:sz w:val="24"/>
          <w:szCs w:val="24"/>
        </w:rPr>
        <w:t>Malt</w:t>
      </w:r>
      <w:r w:rsidR="00D25D4B" w:rsidRPr="00C7477A">
        <w:rPr>
          <w:rFonts w:ascii="Times New Roman" w:hAnsi="Times New Roman"/>
          <w:sz w:val="24"/>
          <w:szCs w:val="24"/>
        </w:rPr>
        <w:t>y</w:t>
      </w:r>
      <w:r w:rsidRPr="00C7477A">
        <w:rPr>
          <w:rFonts w:ascii="Times New Roman" w:hAnsi="Times New Roman"/>
          <w:sz w:val="24"/>
          <w:szCs w:val="24"/>
        </w:rPr>
        <w:t xml:space="preserve">). Natomiast Strony, które nie podjęły zobowiązań w drugim okresie rozliczeniowym (Japonia, Kanada, Nowa Zelandia, </w:t>
      </w:r>
      <w:r w:rsidR="00D25D4B" w:rsidRPr="00C7477A">
        <w:rPr>
          <w:rFonts w:ascii="Times New Roman" w:hAnsi="Times New Roman"/>
          <w:sz w:val="24"/>
          <w:szCs w:val="24"/>
        </w:rPr>
        <w:t xml:space="preserve">Federacja </w:t>
      </w:r>
      <w:r w:rsidR="00CF6A48" w:rsidRPr="00C7477A">
        <w:rPr>
          <w:rFonts w:ascii="Times New Roman" w:hAnsi="Times New Roman"/>
          <w:sz w:val="24"/>
          <w:szCs w:val="24"/>
        </w:rPr>
        <w:t>Ros</w:t>
      </w:r>
      <w:r w:rsidR="00D25D4B" w:rsidRPr="00C7477A">
        <w:rPr>
          <w:rFonts w:ascii="Times New Roman" w:hAnsi="Times New Roman"/>
          <w:sz w:val="24"/>
          <w:szCs w:val="24"/>
        </w:rPr>
        <w:t>yjska</w:t>
      </w:r>
      <w:r w:rsidRPr="00C7477A">
        <w:rPr>
          <w:rFonts w:ascii="Times New Roman" w:hAnsi="Times New Roman"/>
          <w:sz w:val="24"/>
          <w:szCs w:val="24"/>
        </w:rPr>
        <w:t>)</w:t>
      </w:r>
      <w:r w:rsidR="00C61524">
        <w:rPr>
          <w:rFonts w:ascii="Times New Roman" w:hAnsi="Times New Roman"/>
          <w:sz w:val="24"/>
          <w:szCs w:val="24"/>
        </w:rPr>
        <w:t>,</w:t>
      </w:r>
      <w:r w:rsidRPr="00C7477A">
        <w:rPr>
          <w:rFonts w:ascii="Times New Roman" w:hAnsi="Times New Roman"/>
          <w:sz w:val="24"/>
          <w:szCs w:val="24"/>
        </w:rPr>
        <w:t xml:space="preserve"> ujęte są w Załączniku osobno. </w:t>
      </w:r>
      <w:r w:rsidR="00735FF9" w:rsidRPr="00C7477A">
        <w:rPr>
          <w:rFonts w:ascii="Times New Roman" w:hAnsi="Times New Roman"/>
          <w:sz w:val="24"/>
          <w:szCs w:val="24"/>
        </w:rPr>
        <w:t>Stany Zjednoczone</w:t>
      </w:r>
      <w:r w:rsidR="00A12C68" w:rsidRPr="00C7477A">
        <w:rPr>
          <w:rFonts w:ascii="Times New Roman" w:hAnsi="Times New Roman"/>
          <w:sz w:val="24"/>
          <w:szCs w:val="24"/>
        </w:rPr>
        <w:t xml:space="preserve"> Ameryki</w:t>
      </w:r>
      <w:r w:rsidR="00735FF9" w:rsidRPr="00C7477A">
        <w:rPr>
          <w:rFonts w:ascii="Times New Roman" w:hAnsi="Times New Roman"/>
          <w:sz w:val="24"/>
          <w:szCs w:val="24"/>
        </w:rPr>
        <w:t>, które były w oryginalnym Załączniku B</w:t>
      </w:r>
      <w:r w:rsidR="00A85A59" w:rsidRPr="00C7477A">
        <w:rPr>
          <w:rFonts w:ascii="Times New Roman" w:hAnsi="Times New Roman"/>
          <w:sz w:val="24"/>
          <w:szCs w:val="24"/>
        </w:rPr>
        <w:t>,</w:t>
      </w:r>
      <w:r w:rsidR="00735FF9" w:rsidRPr="00C7477A">
        <w:rPr>
          <w:rFonts w:ascii="Times New Roman" w:hAnsi="Times New Roman"/>
          <w:sz w:val="24"/>
          <w:szCs w:val="24"/>
        </w:rPr>
        <w:t xml:space="preserve"> ale ostatecznie nie przystąpiły do Protokołu z Kioto, </w:t>
      </w:r>
      <w:r w:rsidR="00735FF9" w:rsidRPr="00C7477A">
        <w:rPr>
          <w:rFonts w:ascii="Times New Roman" w:hAnsi="Times New Roman"/>
          <w:sz w:val="24"/>
          <w:szCs w:val="24"/>
        </w:rPr>
        <w:lastRenderedPageBreak/>
        <w:t xml:space="preserve">zostały pominięte na liście. </w:t>
      </w:r>
      <w:r w:rsidRPr="00C7477A">
        <w:rPr>
          <w:rFonts w:ascii="Times New Roman" w:hAnsi="Times New Roman"/>
          <w:sz w:val="24"/>
          <w:szCs w:val="24"/>
        </w:rPr>
        <w:t>Kraje w procesie transformacji do gospodarki rynkowej, podobnie jak poprzednio, oznaczone są gwiazdką.</w:t>
      </w:r>
    </w:p>
    <w:p w14:paraId="7551A70D" w14:textId="1E630E6C" w:rsidR="00B17308" w:rsidRPr="00C7477A" w:rsidRDefault="00B17308" w:rsidP="00C7477A">
      <w:pPr>
        <w:pStyle w:val="Tekstpodstawowy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 xml:space="preserve">Dla </w:t>
      </w:r>
      <w:r w:rsidR="00A85A59" w:rsidRPr="00C7477A">
        <w:rPr>
          <w:rFonts w:ascii="Times New Roman" w:hAnsi="Times New Roman"/>
          <w:sz w:val="24"/>
          <w:szCs w:val="24"/>
        </w:rPr>
        <w:t xml:space="preserve">RP </w:t>
      </w:r>
      <w:r w:rsidRPr="00C7477A">
        <w:rPr>
          <w:rFonts w:ascii="Times New Roman" w:hAnsi="Times New Roman"/>
          <w:sz w:val="24"/>
          <w:szCs w:val="24"/>
        </w:rPr>
        <w:t xml:space="preserve">ważną zmianą jest wpisanie takiego samego zobowiązania redukcyjnego (80) dla UE i wszystkich – ówcześnie – 27 państw członkowskich (jak również dla </w:t>
      </w:r>
      <w:r w:rsidR="00D25D4B" w:rsidRPr="00C7477A">
        <w:rPr>
          <w:rFonts w:ascii="Times New Roman" w:hAnsi="Times New Roman"/>
          <w:sz w:val="24"/>
          <w:szCs w:val="24"/>
        </w:rPr>
        <w:t>Republik</w:t>
      </w:r>
      <w:r w:rsidR="00BD0530" w:rsidRPr="00C7477A">
        <w:rPr>
          <w:rFonts w:ascii="Times New Roman" w:hAnsi="Times New Roman"/>
          <w:sz w:val="24"/>
          <w:szCs w:val="24"/>
        </w:rPr>
        <w:t>i</w:t>
      </w:r>
      <w:r w:rsidR="00D25D4B" w:rsidRPr="00C7477A">
        <w:rPr>
          <w:rFonts w:ascii="Times New Roman" w:hAnsi="Times New Roman"/>
          <w:sz w:val="24"/>
          <w:szCs w:val="24"/>
        </w:rPr>
        <w:t xml:space="preserve"> </w:t>
      </w:r>
      <w:r w:rsidRPr="00C7477A">
        <w:rPr>
          <w:rFonts w:ascii="Times New Roman" w:hAnsi="Times New Roman"/>
          <w:sz w:val="24"/>
          <w:szCs w:val="24"/>
        </w:rPr>
        <w:t>Chorwacji i</w:t>
      </w:r>
      <w:r w:rsidR="00244D89" w:rsidRPr="00C7477A">
        <w:rPr>
          <w:rFonts w:ascii="Times New Roman" w:hAnsi="Times New Roman"/>
          <w:sz w:val="24"/>
          <w:szCs w:val="24"/>
        </w:rPr>
        <w:t xml:space="preserve"> </w:t>
      </w:r>
      <w:r w:rsidR="00D25D4B" w:rsidRPr="00C7477A">
        <w:rPr>
          <w:rFonts w:ascii="Times New Roman" w:hAnsi="Times New Roman"/>
          <w:sz w:val="24"/>
          <w:szCs w:val="24"/>
        </w:rPr>
        <w:t>Republik</w:t>
      </w:r>
      <w:r w:rsidR="00BD0530" w:rsidRPr="00C7477A">
        <w:rPr>
          <w:rFonts w:ascii="Times New Roman" w:hAnsi="Times New Roman"/>
          <w:sz w:val="24"/>
          <w:szCs w:val="24"/>
        </w:rPr>
        <w:t>i</w:t>
      </w:r>
      <w:r w:rsidR="00D25D4B" w:rsidRPr="00C7477A">
        <w:rPr>
          <w:rFonts w:ascii="Times New Roman" w:hAnsi="Times New Roman"/>
          <w:sz w:val="24"/>
          <w:szCs w:val="24"/>
        </w:rPr>
        <w:t xml:space="preserve"> </w:t>
      </w:r>
      <w:r w:rsidRPr="00C7477A">
        <w:rPr>
          <w:rFonts w:ascii="Times New Roman" w:hAnsi="Times New Roman"/>
          <w:sz w:val="24"/>
          <w:szCs w:val="24"/>
        </w:rPr>
        <w:t>Islandii, które zadeklarowały wspólne z UE wypełnianie zobowiązań). Zobowiązanie redukcyjne dla UE i państw członkowskich opatrzone jest stosownym przypisem, w</w:t>
      </w:r>
      <w:r w:rsidR="00EC6112" w:rsidRPr="00C7477A">
        <w:rPr>
          <w:rFonts w:ascii="Times New Roman" w:hAnsi="Times New Roman"/>
          <w:sz w:val="24"/>
          <w:szCs w:val="24"/>
        </w:rPr>
        <w:t>edług</w:t>
      </w:r>
      <w:r w:rsidRPr="00C7477A">
        <w:rPr>
          <w:rFonts w:ascii="Times New Roman" w:hAnsi="Times New Roman"/>
          <w:sz w:val="24"/>
          <w:szCs w:val="24"/>
        </w:rPr>
        <w:t xml:space="preserve"> którego wspólna liczba nie przesądza</w:t>
      </w:r>
      <w:r w:rsidR="00735FF9" w:rsidRPr="00C7477A">
        <w:rPr>
          <w:rFonts w:ascii="Times New Roman" w:hAnsi="Times New Roman"/>
          <w:sz w:val="24"/>
          <w:szCs w:val="24"/>
        </w:rPr>
        <w:t xml:space="preserve"> o</w:t>
      </w:r>
      <w:r w:rsidR="009C5B2E">
        <w:rPr>
          <w:rFonts w:ascii="Times New Roman" w:hAnsi="Times New Roman"/>
          <w:sz w:val="24"/>
          <w:szCs w:val="24"/>
        </w:rPr>
        <w:t> </w:t>
      </w:r>
      <w:r w:rsidRPr="00C7477A">
        <w:rPr>
          <w:rFonts w:ascii="Times New Roman" w:hAnsi="Times New Roman"/>
          <w:sz w:val="24"/>
          <w:szCs w:val="24"/>
        </w:rPr>
        <w:t>podziale zobowiązań w późniejszym porozumieniu o wspólnym wypełnianiu zobowiązań</w:t>
      </w:r>
      <w:r w:rsidR="003B533E" w:rsidRPr="00C7477A">
        <w:rPr>
          <w:rStyle w:val="Odwoanieprzypisudolnego"/>
          <w:rFonts w:ascii="Times New Roman" w:hAnsi="Times New Roman"/>
          <w:sz w:val="24"/>
          <w:szCs w:val="24"/>
        </w:rPr>
        <w:footnoteReference w:id="6"/>
      </w:r>
      <w:r w:rsidR="00C73BE8" w:rsidRPr="00C7477A">
        <w:rPr>
          <w:rFonts w:ascii="Times New Roman" w:hAnsi="Times New Roman"/>
          <w:sz w:val="24"/>
          <w:szCs w:val="24"/>
          <w:vertAlign w:val="superscript"/>
        </w:rPr>
        <w:t>)</w:t>
      </w:r>
      <w:r w:rsidRPr="00C7477A">
        <w:rPr>
          <w:rFonts w:ascii="Times New Roman" w:hAnsi="Times New Roman"/>
          <w:sz w:val="24"/>
          <w:szCs w:val="24"/>
        </w:rPr>
        <w:t xml:space="preserve">. Do tej pory wspólne zobowiązanie realizowały UE i 15 państw członkowskich, a nowe </w:t>
      </w:r>
      <w:r w:rsidR="00EF3E7B" w:rsidRPr="00C7477A">
        <w:rPr>
          <w:rFonts w:ascii="Times New Roman" w:hAnsi="Times New Roman"/>
          <w:sz w:val="24"/>
          <w:szCs w:val="24"/>
        </w:rPr>
        <w:t xml:space="preserve">państwa </w:t>
      </w:r>
      <w:r w:rsidRPr="00C7477A">
        <w:rPr>
          <w:rFonts w:ascii="Times New Roman" w:hAnsi="Times New Roman"/>
          <w:sz w:val="24"/>
          <w:szCs w:val="24"/>
        </w:rPr>
        <w:t xml:space="preserve">członkowskie dysponowały swoimi indywidualnymi celami redukcyjnymi. </w:t>
      </w:r>
      <w:r w:rsidR="00F64743" w:rsidRPr="00C7477A">
        <w:rPr>
          <w:rFonts w:ascii="Times New Roman" w:hAnsi="Times New Roman"/>
          <w:sz w:val="24"/>
          <w:szCs w:val="24"/>
        </w:rPr>
        <w:t>Niewiążące</w:t>
      </w:r>
      <w:r w:rsidR="00603170" w:rsidRPr="00C7477A">
        <w:rPr>
          <w:rFonts w:ascii="Times New Roman" w:hAnsi="Times New Roman"/>
          <w:sz w:val="24"/>
          <w:szCs w:val="24"/>
        </w:rPr>
        <w:t xml:space="preserve"> prawnie</w:t>
      </w:r>
      <w:r w:rsidR="00F64743" w:rsidRPr="00C7477A">
        <w:rPr>
          <w:rFonts w:ascii="Times New Roman" w:hAnsi="Times New Roman"/>
          <w:sz w:val="24"/>
          <w:szCs w:val="24"/>
        </w:rPr>
        <w:t xml:space="preserve"> zobowiązanie UE z Cancun wyszczególnione w kolumnie 6 to „-20%/-30%”, wraz z przypisem podtrzymującym warunkowość celu -30% (w ramach globalnego, kompleksowego porozumienia dotyczącego okresu po roku 2012, o ile inne kraje rozwinięte zobowiążą się do porównywalnych redukcji emisji, a kraje rozwijające się wniosą odpowiedni wkład na miarę swoich zadań i możliwości).</w:t>
      </w:r>
    </w:p>
    <w:p w14:paraId="2724F115" w14:textId="77777777" w:rsidR="00F64743" w:rsidRPr="00C7477A" w:rsidRDefault="00F64743" w:rsidP="00C7477A">
      <w:pPr>
        <w:pStyle w:val="Tekstpodstawowy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Poprawka dauhańska wprowadza również zmiany do Załącznika A, polegające na włączeniu do koszyka gazów trójfluorku azotu (NF</w:t>
      </w:r>
      <w:r w:rsidRPr="00C7477A">
        <w:rPr>
          <w:rFonts w:ascii="Times New Roman" w:hAnsi="Times New Roman"/>
          <w:sz w:val="24"/>
          <w:szCs w:val="24"/>
          <w:vertAlign w:val="subscript"/>
        </w:rPr>
        <w:t>3</w:t>
      </w:r>
      <w:r w:rsidRPr="00C7477A">
        <w:rPr>
          <w:rFonts w:ascii="Times New Roman" w:hAnsi="Times New Roman"/>
          <w:sz w:val="24"/>
          <w:szCs w:val="24"/>
        </w:rPr>
        <w:t>).</w:t>
      </w:r>
    </w:p>
    <w:p w14:paraId="1FE4D2B5" w14:textId="7025125E" w:rsidR="00F64743" w:rsidRPr="00C7477A" w:rsidRDefault="00F64743" w:rsidP="00C7477A">
      <w:pPr>
        <w:pStyle w:val="Tekstpodstawowy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Jeśli chodzi o zmiany w artykułach Protokołu z Kioto, to większość z nich dotyczy prostego uwzględnienia faktu wprowadzenia drugiego okresu rozliczeniowego (art</w:t>
      </w:r>
      <w:r w:rsidR="00BA7EE9" w:rsidRPr="00C7477A">
        <w:rPr>
          <w:rFonts w:ascii="Times New Roman" w:hAnsi="Times New Roman"/>
          <w:sz w:val="24"/>
          <w:szCs w:val="24"/>
        </w:rPr>
        <w:t>ykuł</w:t>
      </w:r>
      <w:r w:rsidRPr="00C7477A">
        <w:rPr>
          <w:rFonts w:ascii="Times New Roman" w:hAnsi="Times New Roman"/>
          <w:sz w:val="24"/>
          <w:szCs w:val="24"/>
        </w:rPr>
        <w:t xml:space="preserve"> 3</w:t>
      </w:r>
      <w:r w:rsidR="00EC6112" w:rsidRPr="00C7477A">
        <w:rPr>
          <w:rFonts w:ascii="Times New Roman" w:hAnsi="Times New Roman"/>
          <w:sz w:val="24"/>
          <w:szCs w:val="24"/>
        </w:rPr>
        <w:t xml:space="preserve"> ust</w:t>
      </w:r>
      <w:r w:rsidR="00BA7EE9" w:rsidRPr="00C7477A">
        <w:rPr>
          <w:rFonts w:ascii="Times New Roman" w:hAnsi="Times New Roman"/>
          <w:sz w:val="24"/>
          <w:szCs w:val="24"/>
        </w:rPr>
        <w:t>ępy</w:t>
      </w:r>
      <w:r w:rsidR="00EC6112" w:rsidRPr="00C7477A">
        <w:rPr>
          <w:rFonts w:ascii="Times New Roman" w:hAnsi="Times New Roman"/>
          <w:sz w:val="24"/>
          <w:szCs w:val="24"/>
        </w:rPr>
        <w:t xml:space="preserve"> </w:t>
      </w:r>
      <w:r w:rsidRPr="00C7477A">
        <w:rPr>
          <w:rFonts w:ascii="Times New Roman" w:hAnsi="Times New Roman"/>
          <w:sz w:val="24"/>
          <w:szCs w:val="24"/>
        </w:rPr>
        <w:t>1a, 7a</w:t>
      </w:r>
      <w:r w:rsidR="00DF6E74" w:rsidRPr="00C7477A">
        <w:rPr>
          <w:rFonts w:ascii="Times New Roman" w:hAnsi="Times New Roman"/>
          <w:sz w:val="24"/>
          <w:szCs w:val="24"/>
        </w:rPr>
        <w:t xml:space="preserve"> i </w:t>
      </w:r>
      <w:r w:rsidRPr="00C7477A">
        <w:rPr>
          <w:rFonts w:ascii="Times New Roman" w:hAnsi="Times New Roman"/>
          <w:sz w:val="24"/>
          <w:szCs w:val="24"/>
        </w:rPr>
        <w:t>8,</w:t>
      </w:r>
      <w:r w:rsidR="00DF6E74" w:rsidRPr="00C7477A">
        <w:rPr>
          <w:rFonts w:ascii="Times New Roman" w:hAnsi="Times New Roman"/>
          <w:sz w:val="24"/>
          <w:szCs w:val="24"/>
        </w:rPr>
        <w:t xml:space="preserve"> art</w:t>
      </w:r>
      <w:r w:rsidR="00BA7EE9" w:rsidRPr="00C7477A">
        <w:rPr>
          <w:rFonts w:ascii="Times New Roman" w:hAnsi="Times New Roman"/>
          <w:sz w:val="24"/>
          <w:szCs w:val="24"/>
        </w:rPr>
        <w:t>ykuł</w:t>
      </w:r>
      <w:r w:rsidRPr="00C7477A">
        <w:rPr>
          <w:rFonts w:ascii="Times New Roman" w:hAnsi="Times New Roman"/>
          <w:sz w:val="24"/>
          <w:szCs w:val="24"/>
        </w:rPr>
        <w:t xml:space="preserve"> 4</w:t>
      </w:r>
      <w:r w:rsidR="00DF6E74" w:rsidRPr="00C7477A">
        <w:rPr>
          <w:rFonts w:ascii="Times New Roman" w:hAnsi="Times New Roman"/>
          <w:sz w:val="24"/>
          <w:szCs w:val="24"/>
        </w:rPr>
        <w:t xml:space="preserve"> ust</w:t>
      </w:r>
      <w:r w:rsidR="00BA7EE9" w:rsidRPr="00C7477A">
        <w:rPr>
          <w:rFonts w:ascii="Times New Roman" w:hAnsi="Times New Roman"/>
          <w:sz w:val="24"/>
          <w:szCs w:val="24"/>
        </w:rPr>
        <w:t>ęp</w:t>
      </w:r>
      <w:r w:rsidR="00DF6E74" w:rsidRPr="00C7477A">
        <w:rPr>
          <w:rFonts w:ascii="Times New Roman" w:hAnsi="Times New Roman"/>
          <w:sz w:val="24"/>
          <w:szCs w:val="24"/>
        </w:rPr>
        <w:t xml:space="preserve"> </w:t>
      </w:r>
      <w:r w:rsidRPr="00C7477A">
        <w:rPr>
          <w:rFonts w:ascii="Times New Roman" w:hAnsi="Times New Roman"/>
          <w:sz w:val="24"/>
          <w:szCs w:val="24"/>
        </w:rPr>
        <w:t>3). Jednakże nowy art</w:t>
      </w:r>
      <w:r w:rsidR="00BA7EE9" w:rsidRPr="00C7477A">
        <w:rPr>
          <w:rFonts w:ascii="Times New Roman" w:hAnsi="Times New Roman"/>
          <w:sz w:val="24"/>
          <w:szCs w:val="24"/>
        </w:rPr>
        <w:t>ykuł</w:t>
      </w:r>
      <w:r w:rsidRPr="00C7477A">
        <w:rPr>
          <w:rFonts w:ascii="Times New Roman" w:hAnsi="Times New Roman"/>
          <w:sz w:val="24"/>
          <w:szCs w:val="24"/>
        </w:rPr>
        <w:t xml:space="preserve"> 3</w:t>
      </w:r>
      <w:r w:rsidR="00DF6E74" w:rsidRPr="00C7477A">
        <w:rPr>
          <w:rFonts w:ascii="Times New Roman" w:hAnsi="Times New Roman"/>
          <w:sz w:val="24"/>
          <w:szCs w:val="24"/>
        </w:rPr>
        <w:t xml:space="preserve"> ust</w:t>
      </w:r>
      <w:r w:rsidR="00BA7EE9" w:rsidRPr="00C7477A">
        <w:rPr>
          <w:rFonts w:ascii="Times New Roman" w:hAnsi="Times New Roman"/>
          <w:sz w:val="24"/>
          <w:szCs w:val="24"/>
        </w:rPr>
        <w:t>ęp</w:t>
      </w:r>
      <w:r w:rsidR="00DF6E74" w:rsidRPr="00C7477A">
        <w:rPr>
          <w:rFonts w:ascii="Times New Roman" w:hAnsi="Times New Roman"/>
          <w:sz w:val="24"/>
          <w:szCs w:val="24"/>
        </w:rPr>
        <w:t xml:space="preserve"> </w:t>
      </w:r>
      <w:r w:rsidRPr="00C7477A">
        <w:rPr>
          <w:rFonts w:ascii="Times New Roman" w:hAnsi="Times New Roman"/>
          <w:sz w:val="24"/>
          <w:szCs w:val="24"/>
        </w:rPr>
        <w:t xml:space="preserve">7b wprowadza również dodatkową regułę dla drugiego okresu rozliczeniowego – umorzenie dodatniej różnicy między ilością emisji przyznaną w </w:t>
      </w:r>
      <w:r w:rsidR="009C5B2E">
        <w:rPr>
          <w:rFonts w:ascii="Times New Roman" w:hAnsi="Times New Roman"/>
          <w:sz w:val="24"/>
          <w:szCs w:val="24"/>
        </w:rPr>
        <w:t>drugim okresie rozliczeniowym a </w:t>
      </w:r>
      <w:r w:rsidRPr="00C7477A">
        <w:rPr>
          <w:rFonts w:ascii="Times New Roman" w:hAnsi="Times New Roman"/>
          <w:sz w:val="24"/>
          <w:szCs w:val="24"/>
        </w:rPr>
        <w:t>przeciętnymi rocznymi emisjami danej Strony przez pierwsze trzy lata poprzedniego okresu rozliczeniowego pomnożoną przez osiem. Zmiana ta polega na wykluczeniu sytuacji, w której rzeczywiste emisje danej Strony w drugim okresie rozliczeniowym wzrosłyby w porównaniu do początku pierwszego okresu.</w:t>
      </w:r>
    </w:p>
    <w:p w14:paraId="0E57DB25" w14:textId="592D1375" w:rsidR="00F64743" w:rsidRPr="00C7477A" w:rsidRDefault="00F64743" w:rsidP="00C7477A">
      <w:pPr>
        <w:pStyle w:val="Tekstpodstawowy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Ponadto poprawka dauhańska wprowadza zmiany, które potencjalnie dotyczą wszelkich przyszłych</w:t>
      </w:r>
      <w:r w:rsidR="00B0676D" w:rsidRPr="00C7477A">
        <w:rPr>
          <w:rFonts w:ascii="Times New Roman" w:hAnsi="Times New Roman"/>
          <w:sz w:val="24"/>
          <w:szCs w:val="24"/>
        </w:rPr>
        <w:t>, choć mało prawdopodobnych</w:t>
      </w:r>
      <w:r w:rsidRPr="00C7477A">
        <w:rPr>
          <w:rFonts w:ascii="Times New Roman" w:hAnsi="Times New Roman"/>
          <w:sz w:val="24"/>
          <w:szCs w:val="24"/>
        </w:rPr>
        <w:t xml:space="preserve"> okresów rozliczeniowych</w:t>
      </w:r>
      <w:r w:rsidR="00B0676D" w:rsidRPr="00C7477A">
        <w:rPr>
          <w:rFonts w:ascii="Times New Roman" w:hAnsi="Times New Roman"/>
          <w:sz w:val="24"/>
          <w:szCs w:val="24"/>
        </w:rPr>
        <w:t xml:space="preserve"> Protokołu z Kioto</w:t>
      </w:r>
      <w:r w:rsidRPr="00C7477A">
        <w:rPr>
          <w:rFonts w:ascii="Times New Roman" w:hAnsi="Times New Roman"/>
          <w:sz w:val="24"/>
          <w:szCs w:val="24"/>
        </w:rPr>
        <w:t>. Art</w:t>
      </w:r>
      <w:r w:rsidR="00BA7EE9" w:rsidRPr="00C7477A">
        <w:rPr>
          <w:rFonts w:ascii="Times New Roman" w:hAnsi="Times New Roman"/>
          <w:sz w:val="24"/>
          <w:szCs w:val="24"/>
        </w:rPr>
        <w:t>ykuł</w:t>
      </w:r>
      <w:r w:rsidRPr="00C7477A">
        <w:rPr>
          <w:rFonts w:ascii="Times New Roman" w:hAnsi="Times New Roman"/>
          <w:sz w:val="24"/>
          <w:szCs w:val="24"/>
        </w:rPr>
        <w:t xml:space="preserve"> 3</w:t>
      </w:r>
      <w:r w:rsidR="00DF6E74" w:rsidRPr="00C7477A">
        <w:rPr>
          <w:rFonts w:ascii="Times New Roman" w:hAnsi="Times New Roman"/>
          <w:sz w:val="24"/>
          <w:szCs w:val="24"/>
        </w:rPr>
        <w:t xml:space="preserve"> ust</w:t>
      </w:r>
      <w:r w:rsidR="00BA7EE9" w:rsidRPr="00C7477A">
        <w:rPr>
          <w:rFonts w:ascii="Times New Roman" w:hAnsi="Times New Roman"/>
          <w:sz w:val="24"/>
          <w:szCs w:val="24"/>
        </w:rPr>
        <w:t>ępy</w:t>
      </w:r>
      <w:r w:rsidR="00DF6E74" w:rsidRPr="00C7477A">
        <w:rPr>
          <w:rFonts w:ascii="Times New Roman" w:hAnsi="Times New Roman"/>
          <w:sz w:val="24"/>
          <w:szCs w:val="24"/>
        </w:rPr>
        <w:t xml:space="preserve"> </w:t>
      </w:r>
      <w:r w:rsidRPr="00C7477A">
        <w:rPr>
          <w:rFonts w:ascii="Times New Roman" w:hAnsi="Times New Roman"/>
          <w:sz w:val="24"/>
          <w:szCs w:val="24"/>
        </w:rPr>
        <w:t xml:space="preserve">1a i 1b ustanawiają nowy mechanizm dostosowania zobowiązań. </w:t>
      </w:r>
      <w:r w:rsidRPr="00C7477A">
        <w:rPr>
          <w:rFonts w:ascii="Times New Roman" w:hAnsi="Times New Roman"/>
          <w:sz w:val="24"/>
          <w:szCs w:val="24"/>
        </w:rPr>
        <w:lastRenderedPageBreak/>
        <w:t xml:space="preserve">Zgodnie z tym mechanizmem państwa mogą </w:t>
      </w:r>
      <w:r w:rsidR="00B0676D" w:rsidRPr="00C7477A">
        <w:rPr>
          <w:rFonts w:ascii="Times New Roman" w:hAnsi="Times New Roman"/>
          <w:sz w:val="24"/>
          <w:szCs w:val="24"/>
        </w:rPr>
        <w:t xml:space="preserve">dobrowolnie i </w:t>
      </w:r>
      <w:r w:rsidRPr="00C7477A">
        <w:rPr>
          <w:rFonts w:ascii="Times New Roman" w:hAnsi="Times New Roman"/>
          <w:sz w:val="24"/>
          <w:szCs w:val="24"/>
        </w:rPr>
        <w:t xml:space="preserve">jednostronnie podnieść swoje zobowiązanie redukcyjne, chyba że sprzeciwi się temu Konferencja Stron większością ¾ głosów. </w:t>
      </w:r>
      <w:r w:rsidR="00B0676D" w:rsidRPr="00C7477A">
        <w:rPr>
          <w:rFonts w:ascii="Times New Roman" w:hAnsi="Times New Roman"/>
          <w:sz w:val="24"/>
          <w:szCs w:val="24"/>
        </w:rPr>
        <w:t xml:space="preserve">Zmienione w ten sposób </w:t>
      </w:r>
      <w:r w:rsidRPr="00C7477A">
        <w:rPr>
          <w:rFonts w:ascii="Times New Roman" w:hAnsi="Times New Roman"/>
          <w:sz w:val="24"/>
          <w:szCs w:val="24"/>
        </w:rPr>
        <w:t>zobowiązanie jest wiążące dla Stron.</w:t>
      </w:r>
    </w:p>
    <w:p w14:paraId="2C9A0BEE" w14:textId="77777777" w:rsidR="00F64743" w:rsidRPr="00C7477A" w:rsidRDefault="00F64743" w:rsidP="00C7477A">
      <w:pPr>
        <w:pStyle w:val="Tekstpodstawowy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Art</w:t>
      </w:r>
      <w:r w:rsidR="00BA7EE9" w:rsidRPr="00C7477A">
        <w:rPr>
          <w:rFonts w:ascii="Times New Roman" w:hAnsi="Times New Roman"/>
          <w:sz w:val="24"/>
          <w:szCs w:val="24"/>
        </w:rPr>
        <w:t>ykuł</w:t>
      </w:r>
      <w:r w:rsidRPr="00C7477A">
        <w:rPr>
          <w:rFonts w:ascii="Times New Roman" w:hAnsi="Times New Roman"/>
          <w:sz w:val="24"/>
          <w:szCs w:val="24"/>
        </w:rPr>
        <w:t xml:space="preserve"> 3</w:t>
      </w:r>
      <w:r w:rsidR="00DF6E74" w:rsidRPr="00C7477A">
        <w:rPr>
          <w:rFonts w:ascii="Times New Roman" w:hAnsi="Times New Roman"/>
          <w:sz w:val="24"/>
          <w:szCs w:val="24"/>
        </w:rPr>
        <w:t xml:space="preserve"> ust</w:t>
      </w:r>
      <w:r w:rsidR="00BA7EE9" w:rsidRPr="00C7477A">
        <w:rPr>
          <w:rFonts w:ascii="Times New Roman" w:hAnsi="Times New Roman"/>
          <w:sz w:val="24"/>
          <w:szCs w:val="24"/>
        </w:rPr>
        <w:t>ęp</w:t>
      </w:r>
      <w:r w:rsidR="00DF6E74" w:rsidRPr="00C7477A">
        <w:rPr>
          <w:rFonts w:ascii="Times New Roman" w:hAnsi="Times New Roman"/>
          <w:sz w:val="24"/>
          <w:szCs w:val="24"/>
        </w:rPr>
        <w:t xml:space="preserve"> </w:t>
      </w:r>
      <w:r w:rsidRPr="00C7477A">
        <w:rPr>
          <w:rFonts w:ascii="Times New Roman" w:hAnsi="Times New Roman"/>
          <w:sz w:val="24"/>
          <w:szCs w:val="24"/>
        </w:rPr>
        <w:t>8a umożliwia wybór roku bazowego dla emisji trójfluorku azotu (NF</w:t>
      </w:r>
      <w:r w:rsidRPr="00C7477A">
        <w:rPr>
          <w:rFonts w:ascii="Times New Roman" w:hAnsi="Times New Roman"/>
          <w:sz w:val="24"/>
          <w:szCs w:val="24"/>
          <w:vertAlign w:val="subscript"/>
        </w:rPr>
        <w:t>3</w:t>
      </w:r>
      <w:r w:rsidRPr="00C7477A">
        <w:rPr>
          <w:rFonts w:ascii="Times New Roman" w:hAnsi="Times New Roman"/>
          <w:sz w:val="24"/>
          <w:szCs w:val="24"/>
        </w:rPr>
        <w:t>) – 1995 r. lub 2000</w:t>
      </w:r>
      <w:r w:rsidR="00A12C68" w:rsidRPr="00C7477A">
        <w:rPr>
          <w:rFonts w:ascii="Times New Roman" w:hAnsi="Times New Roman"/>
          <w:sz w:val="24"/>
          <w:szCs w:val="24"/>
        </w:rPr>
        <w:t xml:space="preserve"> </w:t>
      </w:r>
      <w:r w:rsidRPr="00C7477A">
        <w:rPr>
          <w:rFonts w:ascii="Times New Roman" w:hAnsi="Times New Roman"/>
          <w:sz w:val="24"/>
          <w:szCs w:val="24"/>
        </w:rPr>
        <w:t>r.</w:t>
      </w:r>
    </w:p>
    <w:p w14:paraId="21316BDE" w14:textId="77777777" w:rsidR="00F64743" w:rsidRPr="00C7477A" w:rsidRDefault="00F64743" w:rsidP="00C7477A">
      <w:pPr>
        <w:pStyle w:val="Tekstpodstawowy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Art</w:t>
      </w:r>
      <w:r w:rsidR="00BA7EE9" w:rsidRPr="00C7477A">
        <w:rPr>
          <w:rFonts w:ascii="Times New Roman" w:hAnsi="Times New Roman"/>
          <w:sz w:val="24"/>
          <w:szCs w:val="24"/>
        </w:rPr>
        <w:t>ykuł</w:t>
      </w:r>
      <w:r w:rsidRPr="00C7477A">
        <w:rPr>
          <w:rFonts w:ascii="Times New Roman" w:hAnsi="Times New Roman"/>
          <w:sz w:val="24"/>
          <w:szCs w:val="24"/>
        </w:rPr>
        <w:t xml:space="preserve"> 3</w:t>
      </w:r>
      <w:r w:rsidR="00DF6E74" w:rsidRPr="00C7477A">
        <w:rPr>
          <w:rFonts w:ascii="Times New Roman" w:hAnsi="Times New Roman"/>
          <w:sz w:val="24"/>
          <w:szCs w:val="24"/>
        </w:rPr>
        <w:t xml:space="preserve"> ust</w:t>
      </w:r>
      <w:r w:rsidR="00BA7EE9" w:rsidRPr="00C7477A">
        <w:rPr>
          <w:rFonts w:ascii="Times New Roman" w:hAnsi="Times New Roman"/>
          <w:sz w:val="24"/>
          <w:szCs w:val="24"/>
        </w:rPr>
        <w:t>ęp</w:t>
      </w:r>
      <w:r w:rsidR="00DF6E74" w:rsidRPr="00C7477A">
        <w:rPr>
          <w:rFonts w:ascii="Times New Roman" w:hAnsi="Times New Roman"/>
          <w:sz w:val="24"/>
          <w:szCs w:val="24"/>
        </w:rPr>
        <w:t xml:space="preserve"> </w:t>
      </w:r>
      <w:r w:rsidRPr="00C7477A">
        <w:rPr>
          <w:rFonts w:ascii="Times New Roman" w:hAnsi="Times New Roman"/>
          <w:sz w:val="24"/>
          <w:szCs w:val="24"/>
        </w:rPr>
        <w:t xml:space="preserve">12a i </w:t>
      </w:r>
      <w:r w:rsidR="00BA7EE9" w:rsidRPr="00C7477A">
        <w:rPr>
          <w:rFonts w:ascii="Times New Roman" w:hAnsi="Times New Roman"/>
          <w:sz w:val="24"/>
          <w:szCs w:val="24"/>
        </w:rPr>
        <w:t xml:space="preserve">artykuł </w:t>
      </w:r>
      <w:r w:rsidRPr="00C7477A">
        <w:rPr>
          <w:rFonts w:ascii="Times New Roman" w:hAnsi="Times New Roman"/>
          <w:sz w:val="24"/>
          <w:szCs w:val="24"/>
        </w:rPr>
        <w:t>3</w:t>
      </w:r>
      <w:r w:rsidR="00DF6E74" w:rsidRPr="00C7477A">
        <w:rPr>
          <w:rFonts w:ascii="Times New Roman" w:hAnsi="Times New Roman"/>
          <w:sz w:val="24"/>
          <w:szCs w:val="24"/>
        </w:rPr>
        <w:t xml:space="preserve"> ust</w:t>
      </w:r>
      <w:r w:rsidR="00BA7EE9" w:rsidRPr="00C7477A">
        <w:rPr>
          <w:rFonts w:ascii="Times New Roman" w:hAnsi="Times New Roman"/>
          <w:sz w:val="24"/>
          <w:szCs w:val="24"/>
        </w:rPr>
        <w:t>ęp</w:t>
      </w:r>
      <w:r w:rsidR="00DF6E74" w:rsidRPr="00C7477A">
        <w:rPr>
          <w:rFonts w:ascii="Times New Roman" w:hAnsi="Times New Roman"/>
          <w:sz w:val="24"/>
          <w:szCs w:val="24"/>
        </w:rPr>
        <w:t xml:space="preserve"> </w:t>
      </w:r>
      <w:r w:rsidRPr="00C7477A">
        <w:rPr>
          <w:rFonts w:ascii="Times New Roman" w:hAnsi="Times New Roman"/>
          <w:sz w:val="24"/>
          <w:szCs w:val="24"/>
        </w:rPr>
        <w:t>12b umożliwia</w:t>
      </w:r>
      <w:r w:rsidR="00BA7EE9" w:rsidRPr="00C7477A">
        <w:rPr>
          <w:rFonts w:ascii="Times New Roman" w:hAnsi="Times New Roman"/>
          <w:sz w:val="24"/>
          <w:szCs w:val="24"/>
        </w:rPr>
        <w:t>ją</w:t>
      </w:r>
      <w:r w:rsidRPr="00C7477A">
        <w:rPr>
          <w:rFonts w:ascii="Times New Roman" w:hAnsi="Times New Roman"/>
          <w:sz w:val="24"/>
          <w:szCs w:val="24"/>
        </w:rPr>
        <w:t xml:space="preserve"> rozliczanie zobowiązań redukcyjnych nie tylko przy użyciu jednostek wygenerowanych przez mechanizmy ustanowione w ramach Protokołu z Kioto, ale również przez przyszłe mechanizmy rynkowe ustanowione w ramach UNFCCC lub innych instrumentów </w:t>
      </w:r>
      <w:r w:rsidR="003816E0" w:rsidRPr="00C7477A">
        <w:rPr>
          <w:rFonts w:ascii="Times New Roman" w:hAnsi="Times New Roman"/>
          <w:sz w:val="24"/>
          <w:szCs w:val="24"/>
        </w:rPr>
        <w:t>utworzonych na podstawie</w:t>
      </w:r>
      <w:r w:rsidRPr="00C7477A">
        <w:rPr>
          <w:rFonts w:ascii="Times New Roman" w:hAnsi="Times New Roman"/>
          <w:sz w:val="24"/>
          <w:szCs w:val="24"/>
        </w:rPr>
        <w:t xml:space="preserve"> Konwencj</w:t>
      </w:r>
      <w:r w:rsidR="003816E0" w:rsidRPr="00C7477A">
        <w:rPr>
          <w:rFonts w:ascii="Times New Roman" w:hAnsi="Times New Roman"/>
          <w:sz w:val="24"/>
          <w:szCs w:val="24"/>
        </w:rPr>
        <w:t>i</w:t>
      </w:r>
      <w:r w:rsidRPr="00C7477A">
        <w:rPr>
          <w:rFonts w:ascii="Times New Roman" w:hAnsi="Times New Roman"/>
          <w:sz w:val="24"/>
          <w:szCs w:val="24"/>
        </w:rPr>
        <w:t xml:space="preserve">. </w:t>
      </w:r>
    </w:p>
    <w:p w14:paraId="2E01DC91" w14:textId="77777777" w:rsidR="00F64743" w:rsidRPr="00C7477A" w:rsidRDefault="00F64743" w:rsidP="00C7477A">
      <w:pPr>
        <w:pStyle w:val="Tekstpodstawowy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Zmiana w art</w:t>
      </w:r>
      <w:r w:rsidR="00BA7EE9" w:rsidRPr="00C7477A">
        <w:rPr>
          <w:rFonts w:ascii="Times New Roman" w:hAnsi="Times New Roman"/>
          <w:sz w:val="24"/>
          <w:szCs w:val="24"/>
        </w:rPr>
        <w:t>ykule</w:t>
      </w:r>
      <w:r w:rsidRPr="00C7477A">
        <w:rPr>
          <w:rFonts w:ascii="Times New Roman" w:hAnsi="Times New Roman"/>
          <w:sz w:val="24"/>
          <w:szCs w:val="24"/>
        </w:rPr>
        <w:t xml:space="preserve"> 4</w:t>
      </w:r>
      <w:r w:rsidR="00DF6E74" w:rsidRPr="00C7477A">
        <w:rPr>
          <w:rFonts w:ascii="Times New Roman" w:hAnsi="Times New Roman"/>
          <w:sz w:val="24"/>
          <w:szCs w:val="24"/>
        </w:rPr>
        <w:t xml:space="preserve"> ust</w:t>
      </w:r>
      <w:r w:rsidR="00BA7EE9" w:rsidRPr="00C7477A">
        <w:rPr>
          <w:rFonts w:ascii="Times New Roman" w:hAnsi="Times New Roman"/>
          <w:sz w:val="24"/>
          <w:szCs w:val="24"/>
        </w:rPr>
        <w:t>ęp</w:t>
      </w:r>
      <w:r w:rsidR="00B86A42" w:rsidRPr="00C7477A">
        <w:rPr>
          <w:rFonts w:ascii="Times New Roman" w:hAnsi="Times New Roman"/>
          <w:sz w:val="24"/>
          <w:szCs w:val="24"/>
        </w:rPr>
        <w:t xml:space="preserve">ie </w:t>
      </w:r>
      <w:r w:rsidRPr="00C7477A">
        <w:rPr>
          <w:rFonts w:ascii="Times New Roman" w:hAnsi="Times New Roman"/>
          <w:sz w:val="24"/>
          <w:szCs w:val="24"/>
        </w:rPr>
        <w:t>2 polega na sprecyzowaniu momentu notyfikacji porozumienia o wspólnym wypełnianiu zobowiązań – nie tylko przy ratyfikacji samego Protokołu</w:t>
      </w:r>
      <w:r w:rsidR="00BA7EE9" w:rsidRPr="00C7477A">
        <w:rPr>
          <w:rFonts w:ascii="Times New Roman" w:hAnsi="Times New Roman"/>
          <w:sz w:val="24"/>
          <w:szCs w:val="24"/>
        </w:rPr>
        <w:t xml:space="preserve"> z Kioto</w:t>
      </w:r>
      <w:r w:rsidRPr="00C7477A">
        <w:rPr>
          <w:rFonts w:ascii="Times New Roman" w:hAnsi="Times New Roman"/>
          <w:sz w:val="24"/>
          <w:szCs w:val="24"/>
        </w:rPr>
        <w:t xml:space="preserve">, ale również w związku z poprawką </w:t>
      </w:r>
      <w:r w:rsidR="00BA7EE9" w:rsidRPr="00C7477A">
        <w:rPr>
          <w:rFonts w:ascii="Times New Roman" w:hAnsi="Times New Roman"/>
          <w:sz w:val="24"/>
          <w:szCs w:val="24"/>
        </w:rPr>
        <w:t xml:space="preserve">dauhańską </w:t>
      </w:r>
      <w:r w:rsidRPr="00C7477A">
        <w:rPr>
          <w:rFonts w:ascii="Times New Roman" w:hAnsi="Times New Roman"/>
          <w:sz w:val="24"/>
          <w:szCs w:val="24"/>
        </w:rPr>
        <w:t>do Protokołu</w:t>
      </w:r>
      <w:r w:rsidR="00BA7EE9" w:rsidRPr="00C7477A">
        <w:rPr>
          <w:rFonts w:ascii="Times New Roman" w:hAnsi="Times New Roman"/>
          <w:sz w:val="24"/>
          <w:szCs w:val="24"/>
        </w:rPr>
        <w:t xml:space="preserve"> z Kioto</w:t>
      </w:r>
      <w:r w:rsidRPr="00C7477A">
        <w:rPr>
          <w:rFonts w:ascii="Times New Roman" w:hAnsi="Times New Roman"/>
          <w:sz w:val="24"/>
          <w:szCs w:val="24"/>
        </w:rPr>
        <w:t xml:space="preserve"> ustanawiającą kolejne okresy zobowiązań.</w:t>
      </w:r>
    </w:p>
    <w:p w14:paraId="38DB265C" w14:textId="77777777" w:rsidR="00CF187A" w:rsidRPr="00C7477A" w:rsidRDefault="00CF187A" w:rsidP="00C7477A">
      <w:pPr>
        <w:pStyle w:val="Tekstpodstawowy"/>
        <w:numPr>
          <w:ilvl w:val="0"/>
          <w:numId w:val="11"/>
        </w:numPr>
        <w:spacing w:before="120" w:after="0" w:line="360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zmiany wynikające z porozumienia o wspólnym wypełnianiu zobowiązań</w:t>
      </w:r>
    </w:p>
    <w:p w14:paraId="2F364E95" w14:textId="3150619F" w:rsidR="00F64743" w:rsidRPr="00C7477A" w:rsidRDefault="00F64743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Dotychczas </w:t>
      </w:r>
      <w:r w:rsidR="00BA7EE9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Rzeczpospolita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Polska realizowała swoje zobowiązanie redukcyjne samodzielnie, choć przy pomocy narzędzi wynikających </w:t>
      </w:r>
      <w:r w:rsidR="003816E0" w:rsidRPr="00C7477A">
        <w:rPr>
          <w:rFonts w:ascii="Times New Roman" w:hAnsi="Times New Roman" w:cs="Times New Roman"/>
          <w:sz w:val="24"/>
          <w:szCs w:val="24"/>
          <w:lang w:val="pl-PL"/>
        </w:rPr>
        <w:t>z</w:t>
      </w:r>
      <w:r w:rsidR="009C5B2E">
        <w:rPr>
          <w:rFonts w:ascii="Times New Roman" w:hAnsi="Times New Roman" w:cs="Times New Roman"/>
          <w:sz w:val="24"/>
          <w:szCs w:val="24"/>
          <w:lang w:val="pl-PL"/>
        </w:rPr>
        <w:t xml:space="preserve"> polityki klimatycznej i 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wewnętrznych regulacji UE. W drugim okresie rozliczeniowym </w:t>
      </w:r>
      <w:r w:rsidR="00BA7EE9" w:rsidRPr="00C7477A">
        <w:rPr>
          <w:rFonts w:ascii="Times New Roman" w:hAnsi="Times New Roman" w:cs="Times New Roman"/>
          <w:sz w:val="24"/>
          <w:szCs w:val="24"/>
          <w:lang w:val="pl-PL"/>
        </w:rPr>
        <w:t>RP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zadeklarowała chęć uczestnictwa we wspólnym wypełnianiu zobowiązań przez UE, jej państwa członkowskie i </w:t>
      </w:r>
      <w:r w:rsidR="00533288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Republikę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Islandi</w:t>
      </w:r>
      <w:r w:rsidR="00533288" w:rsidRPr="00C7477A">
        <w:rPr>
          <w:rFonts w:ascii="Times New Roman" w:hAnsi="Times New Roman" w:cs="Times New Roman"/>
          <w:sz w:val="24"/>
          <w:szCs w:val="24"/>
          <w:lang w:val="pl-PL"/>
        </w:rPr>
        <w:t>i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="00925F7C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Zobowiązanie redukcyjne dla całej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tej </w:t>
      </w:r>
      <w:r w:rsidR="00925F7C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grupy zgodnie z poprawką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dauhańską</w:t>
      </w:r>
      <w:r w:rsidR="00925F7C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wynosi 80% (redukcja średniego rocznego poziomu emisji gazó</w:t>
      </w:r>
      <w:r w:rsidR="00E66EEE">
        <w:rPr>
          <w:rFonts w:ascii="Times New Roman" w:hAnsi="Times New Roman" w:cs="Times New Roman"/>
          <w:sz w:val="24"/>
          <w:szCs w:val="24"/>
          <w:lang w:val="pl-PL"/>
        </w:rPr>
        <w:t>w cieplarnianych w okresie 2013–</w:t>
      </w:r>
      <w:r w:rsidR="00925F7C" w:rsidRPr="00C7477A">
        <w:rPr>
          <w:rFonts w:ascii="Times New Roman" w:hAnsi="Times New Roman" w:cs="Times New Roman"/>
          <w:sz w:val="24"/>
          <w:szCs w:val="24"/>
          <w:lang w:val="pl-PL"/>
        </w:rPr>
        <w:t>2020 o 20% w odniesieniu do roku bazowego)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AACD519" w14:textId="08BFA489" w:rsidR="00925F7C" w:rsidRPr="00C7477A" w:rsidRDefault="00F64743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Projekt porozumienia o wspólnym wypełnianiu zobowiązań został przyjęty przez Radę UE i znajduje się również w podpisanym porozumieniu </w:t>
      </w:r>
      <w:r w:rsidR="00DF6E74" w:rsidRPr="00C7477A">
        <w:rPr>
          <w:rFonts w:ascii="Times New Roman" w:hAnsi="Times New Roman" w:cs="Times New Roman"/>
          <w:sz w:val="24"/>
          <w:szCs w:val="24"/>
          <w:lang w:val="pl-PL"/>
        </w:rPr>
        <w:t>z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D25D4B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Republiką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Islandi</w:t>
      </w:r>
      <w:r w:rsidR="00D25D4B" w:rsidRPr="00C7477A">
        <w:rPr>
          <w:rFonts w:ascii="Times New Roman" w:hAnsi="Times New Roman" w:cs="Times New Roman"/>
          <w:sz w:val="24"/>
          <w:szCs w:val="24"/>
          <w:lang w:val="pl-PL"/>
        </w:rPr>
        <w:t>i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. Porozumienie </w:t>
      </w:r>
      <w:r w:rsidR="00925F7C" w:rsidRPr="00C7477A">
        <w:rPr>
          <w:rFonts w:ascii="Times New Roman" w:hAnsi="Times New Roman" w:cs="Times New Roman"/>
          <w:sz w:val="24"/>
          <w:szCs w:val="24"/>
          <w:lang w:val="pl-PL"/>
        </w:rPr>
        <w:t>przewiduje następujący podział zobowiązań między uczestnikami porozumienia:</w:t>
      </w:r>
    </w:p>
    <w:p w14:paraId="2377D090" w14:textId="34DF292D" w:rsidR="00925F7C" w:rsidRPr="00C7477A" w:rsidRDefault="00925F7C" w:rsidP="00C7477A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>Przyz</w:t>
      </w:r>
      <w:r w:rsidR="00E66EEE">
        <w:rPr>
          <w:rFonts w:ascii="Times New Roman" w:hAnsi="Times New Roman" w:cs="Times New Roman"/>
          <w:sz w:val="24"/>
          <w:szCs w:val="24"/>
          <w:lang w:val="pl-PL"/>
        </w:rPr>
        <w:t>nany limit emisji na okres 2013–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2020 (ang</w:t>
      </w:r>
      <w:r w:rsidRPr="00C7477A">
        <w:rPr>
          <w:rFonts w:ascii="Times New Roman" w:hAnsi="Times New Roman" w:cs="Times New Roman"/>
          <w:i/>
          <w:sz w:val="24"/>
          <w:szCs w:val="24"/>
          <w:lang w:val="pl-PL"/>
        </w:rPr>
        <w:t>. Assigned Amount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F64743" w:rsidRPr="00C7477A">
        <w:rPr>
          <w:rFonts w:ascii="Times New Roman" w:hAnsi="Times New Roman" w:cs="Times New Roman"/>
          <w:sz w:val="24"/>
          <w:szCs w:val="24"/>
          <w:lang w:val="pl-PL"/>
        </w:rPr>
        <w:t>–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DF6E74" w:rsidRPr="00C7477A">
        <w:rPr>
          <w:rFonts w:ascii="Times New Roman" w:hAnsi="Times New Roman" w:cs="Times New Roman"/>
          <w:sz w:val="24"/>
          <w:szCs w:val="24"/>
          <w:lang w:val="pl-PL"/>
        </w:rPr>
        <w:t>dalej „AA”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) dla UE jako </w:t>
      </w:r>
      <w:r w:rsidR="00735FF9" w:rsidRPr="00C7477A">
        <w:rPr>
          <w:rFonts w:ascii="Times New Roman" w:hAnsi="Times New Roman" w:cs="Times New Roman"/>
          <w:sz w:val="24"/>
          <w:szCs w:val="24"/>
          <w:lang w:val="pl-PL"/>
        </w:rPr>
        <w:t>S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trony Protokołu </w:t>
      </w:r>
      <w:r w:rsidR="00BA62F4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z Kioto </w:t>
      </w:r>
      <w:r w:rsidR="009C5B2E">
        <w:rPr>
          <w:rFonts w:ascii="Times New Roman" w:hAnsi="Times New Roman" w:cs="Times New Roman"/>
          <w:sz w:val="24"/>
          <w:szCs w:val="24"/>
          <w:lang w:val="pl-PL"/>
        </w:rPr>
        <w:t>– obejmuje emisje z sektorów i 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gazów regulowanych przez EU ETS.</w:t>
      </w:r>
    </w:p>
    <w:p w14:paraId="4688EBCB" w14:textId="5CBBE974" w:rsidR="00925F7C" w:rsidRPr="00C7477A" w:rsidRDefault="00925F7C" w:rsidP="00C7477A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>Przyz</w:t>
      </w:r>
      <w:r w:rsidR="00E66EEE">
        <w:rPr>
          <w:rFonts w:ascii="Times New Roman" w:hAnsi="Times New Roman" w:cs="Times New Roman"/>
          <w:sz w:val="24"/>
          <w:szCs w:val="24"/>
          <w:lang w:val="pl-PL"/>
        </w:rPr>
        <w:t>nany limit emisji na okres 2013–</w:t>
      </w:r>
      <w:r w:rsidR="009C5B2E">
        <w:rPr>
          <w:rFonts w:ascii="Times New Roman" w:hAnsi="Times New Roman" w:cs="Times New Roman"/>
          <w:sz w:val="24"/>
          <w:szCs w:val="24"/>
          <w:lang w:val="pl-PL"/>
        </w:rPr>
        <w:t>2020 dla państw członkowskich i </w:t>
      </w:r>
      <w:r w:rsidR="000452EB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Republiki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Islandii – obejmuje pozostałe emisje z sektorów i gazów oraz pochłanianie według źródeł objętych </w:t>
      </w:r>
      <w:r w:rsidR="00F64743" w:rsidRPr="00C7477A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rotokołem z Kioto. </w:t>
      </w:r>
    </w:p>
    <w:p w14:paraId="33BC8D49" w14:textId="78267116" w:rsidR="00925F7C" w:rsidRPr="00C7477A" w:rsidRDefault="00925F7C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W przeciwieństwie do pierwszego okresu rozliczeniowego, </w:t>
      </w:r>
      <w:r w:rsidR="00F64743" w:rsidRPr="00C7477A">
        <w:rPr>
          <w:rFonts w:ascii="Times New Roman" w:hAnsi="Times New Roman" w:cs="Times New Roman"/>
          <w:sz w:val="24"/>
          <w:szCs w:val="24"/>
          <w:lang w:val="pl-PL"/>
        </w:rPr>
        <w:t>porozumienie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nie określ</w:t>
      </w:r>
      <w:r w:rsidR="00F64743" w:rsidRPr="00C7477A">
        <w:rPr>
          <w:rFonts w:ascii="Times New Roman" w:hAnsi="Times New Roman" w:cs="Times New Roman"/>
          <w:sz w:val="24"/>
          <w:szCs w:val="24"/>
          <w:lang w:val="pl-PL"/>
        </w:rPr>
        <w:t>a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indywidualn</w:t>
      </w:r>
      <w:r w:rsidR="00F64743" w:rsidRPr="00C7477A">
        <w:rPr>
          <w:rFonts w:ascii="Times New Roman" w:hAnsi="Times New Roman" w:cs="Times New Roman"/>
          <w:sz w:val="24"/>
          <w:szCs w:val="24"/>
          <w:lang w:val="pl-PL"/>
        </w:rPr>
        <w:t>ych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zobowiąza</w:t>
      </w:r>
      <w:r w:rsidR="00F64743" w:rsidRPr="00C7477A">
        <w:rPr>
          <w:rFonts w:ascii="Times New Roman" w:hAnsi="Times New Roman" w:cs="Times New Roman"/>
          <w:sz w:val="24"/>
          <w:szCs w:val="24"/>
          <w:lang w:val="pl-PL"/>
        </w:rPr>
        <w:t>ń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, obejmując</w:t>
      </w:r>
      <w:r w:rsidR="00F64743" w:rsidRPr="00C7477A">
        <w:rPr>
          <w:rFonts w:ascii="Times New Roman" w:hAnsi="Times New Roman" w:cs="Times New Roman"/>
          <w:sz w:val="24"/>
          <w:szCs w:val="24"/>
          <w:lang w:val="pl-PL"/>
        </w:rPr>
        <w:t>ych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pełen zakres emisji, dla każdego z państw członkowskich. </w:t>
      </w:r>
      <w:r w:rsidR="00F64743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Wynika to ze zmian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w europejskim systemie handlu </w:t>
      </w:r>
      <w:r w:rsidR="00F64743" w:rsidRPr="00C7477A">
        <w:rPr>
          <w:rFonts w:ascii="Times New Roman" w:hAnsi="Times New Roman" w:cs="Times New Roman"/>
          <w:sz w:val="24"/>
          <w:szCs w:val="24"/>
          <w:lang w:val="pl-PL"/>
        </w:rPr>
        <w:t>uprawnieniami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do emisji (ang. </w:t>
      </w:r>
      <w:r w:rsidRPr="00C7477A">
        <w:rPr>
          <w:rFonts w:ascii="Times New Roman" w:hAnsi="Times New Roman" w:cs="Times New Roman"/>
          <w:i/>
          <w:sz w:val="24"/>
          <w:szCs w:val="24"/>
          <w:lang w:val="pl-PL"/>
        </w:rPr>
        <w:t>EU Emission Trading Scheme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r w:rsidR="00DF6E74" w:rsidRPr="00C7477A">
        <w:rPr>
          <w:rFonts w:ascii="Times New Roman" w:hAnsi="Times New Roman" w:cs="Times New Roman"/>
          <w:sz w:val="24"/>
          <w:szCs w:val="24"/>
          <w:lang w:val="pl-PL"/>
        </w:rPr>
        <w:t>dalej „EU ETS”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)</w:t>
      </w:r>
      <w:r w:rsidR="00F64743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, które uniemożliwiają wyznaczenie </w:t>
      </w:r>
      <w:r w:rsidR="00F64743" w:rsidRPr="00C7477A">
        <w:rPr>
          <w:rFonts w:ascii="Times New Roman" w:hAnsi="Times New Roman" w:cs="Times New Roman"/>
          <w:i/>
          <w:sz w:val="24"/>
          <w:szCs w:val="24"/>
          <w:lang w:val="pl-PL"/>
        </w:rPr>
        <w:t>ex</w:t>
      </w:r>
      <w:r w:rsidR="00C7477A">
        <w:rPr>
          <w:rFonts w:ascii="Times New Roman" w:hAnsi="Times New Roman" w:cs="Times New Roman"/>
          <w:i/>
          <w:sz w:val="24"/>
          <w:szCs w:val="24"/>
          <w:lang w:val="pl-PL"/>
        </w:rPr>
        <w:t xml:space="preserve"> </w:t>
      </w:r>
      <w:r w:rsidR="00F64743" w:rsidRPr="00C7477A">
        <w:rPr>
          <w:rFonts w:ascii="Times New Roman" w:hAnsi="Times New Roman" w:cs="Times New Roman"/>
          <w:i/>
          <w:sz w:val="24"/>
          <w:szCs w:val="24"/>
          <w:lang w:val="pl-PL"/>
        </w:rPr>
        <w:t>ante</w:t>
      </w:r>
      <w:r w:rsidR="00F64743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każdemu z państw członkowskich udziałów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w EU ETS.</w:t>
      </w:r>
    </w:p>
    <w:p w14:paraId="7CDF6021" w14:textId="55CA1F8B" w:rsidR="00925F7C" w:rsidRPr="00C7477A" w:rsidRDefault="00925F7C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Natomiast w sektorach </w:t>
      </w:r>
      <w:r w:rsidR="00C61524" w:rsidRPr="00C7477A">
        <w:rPr>
          <w:rFonts w:ascii="Times New Roman" w:hAnsi="Times New Roman" w:cs="Times New Roman"/>
          <w:sz w:val="24"/>
          <w:szCs w:val="24"/>
          <w:lang w:val="pl-PL"/>
        </w:rPr>
        <w:t>nieobjętych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systemem EU ETS (non-ETS), poziomy emisji dla państw członkowskich i </w:t>
      </w:r>
      <w:r w:rsidR="000452EB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Republiki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Islandii mają </w:t>
      </w:r>
      <w:r w:rsidR="009C5B2E">
        <w:rPr>
          <w:rFonts w:ascii="Times New Roman" w:hAnsi="Times New Roman" w:cs="Times New Roman"/>
          <w:sz w:val="24"/>
          <w:szCs w:val="24"/>
          <w:lang w:val="pl-PL"/>
        </w:rPr>
        <w:t>wartość bezwzględną, wyrażoną w 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tonach ekwiwalentu dwutlenku węgla i wynikają wprost z decyzji dotyczącej wspólnego wysiłku redukcyjnego na lata 2013–2020 (</w:t>
      </w:r>
      <w:r w:rsidR="00D6636A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ang. </w:t>
      </w:r>
      <w:r w:rsidRPr="00C7477A">
        <w:rPr>
          <w:rFonts w:ascii="Times New Roman" w:hAnsi="Times New Roman" w:cs="Times New Roman"/>
          <w:i/>
          <w:sz w:val="24"/>
          <w:szCs w:val="24"/>
          <w:lang w:val="pl-PL"/>
        </w:rPr>
        <w:t>EU Effort Sharing Decision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r w:rsidR="00DF6E74" w:rsidRPr="00C7477A">
        <w:rPr>
          <w:rFonts w:ascii="Times New Roman" w:hAnsi="Times New Roman" w:cs="Times New Roman"/>
          <w:sz w:val="24"/>
          <w:szCs w:val="24"/>
          <w:lang w:val="pl-PL"/>
        </w:rPr>
        <w:t>dalej „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EU ESD</w:t>
      </w:r>
      <w:r w:rsidR="00DF6E74" w:rsidRPr="00C7477A"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) – dla państw członkowskich, bądź z odrębnej umowy międzynarodowej – dla</w:t>
      </w:r>
      <w:r w:rsidR="00244D89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452EB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Republiki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Islandii. W limicie tym mieszczą się również emisje gazu NF</w:t>
      </w:r>
      <w:r w:rsidRPr="00C7477A">
        <w:rPr>
          <w:rFonts w:ascii="Times New Roman" w:hAnsi="Times New Roman" w:cs="Times New Roman"/>
          <w:sz w:val="24"/>
          <w:szCs w:val="24"/>
          <w:vertAlign w:val="subscript"/>
          <w:lang w:val="pl-PL"/>
        </w:rPr>
        <w:t>3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, oraz z sektora użytkowania gruntó</w:t>
      </w:r>
      <w:r w:rsidR="009C5B2E">
        <w:rPr>
          <w:rFonts w:ascii="Times New Roman" w:hAnsi="Times New Roman" w:cs="Times New Roman"/>
          <w:sz w:val="24"/>
          <w:szCs w:val="24"/>
          <w:lang w:val="pl-PL"/>
        </w:rPr>
        <w:t>w, zmiany użytkowania gruntów i 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leśnictwa (</w:t>
      </w:r>
      <w:r w:rsidR="00DF6E74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ang. </w:t>
      </w:r>
      <w:r w:rsidR="00DF6E74" w:rsidRPr="00C7477A">
        <w:rPr>
          <w:rFonts w:ascii="Times New Roman" w:hAnsi="Times New Roman" w:cs="Times New Roman"/>
          <w:i/>
          <w:sz w:val="24"/>
          <w:szCs w:val="24"/>
          <w:lang w:val="pl-PL"/>
        </w:rPr>
        <w:t>land use, land use change and forestry</w:t>
      </w:r>
      <w:r w:rsidR="00DF6E74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– dalej „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LULUCF</w:t>
      </w:r>
      <w:r w:rsidR="00DF6E74" w:rsidRPr="00C7477A"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). Źródła te nie są regulowane przez obowiązujące przepisy unijne, odpowiedzialność za nie ponoszą więc wyłącznie państwa członkowskie. </w:t>
      </w:r>
    </w:p>
    <w:p w14:paraId="311AA44A" w14:textId="02DCC4E3" w:rsidR="00F64743" w:rsidRPr="00C7477A" w:rsidRDefault="00F64743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>W drugim okresie rozliczeniowym UE podtr</w:t>
      </w:r>
      <w:r w:rsidR="009C5B2E">
        <w:rPr>
          <w:rFonts w:ascii="Times New Roman" w:hAnsi="Times New Roman" w:cs="Times New Roman"/>
          <w:sz w:val="24"/>
          <w:szCs w:val="24"/>
          <w:lang w:val="pl-PL"/>
        </w:rPr>
        <w:t>zymuje dotychczasową praktykę w 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zakresie:</w:t>
      </w:r>
    </w:p>
    <w:p w14:paraId="661D7150" w14:textId="2AF60AF8" w:rsidR="00F64743" w:rsidRPr="00C7477A" w:rsidRDefault="00F64743" w:rsidP="00C7477A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wykluczenia emisji z transportu lotniczego i morskiego między państwami członkowskim</w:t>
      </w:r>
      <w:r w:rsidR="00C61524">
        <w:rPr>
          <w:rFonts w:ascii="Times New Roman" w:hAnsi="Times New Roman"/>
          <w:sz w:val="24"/>
          <w:szCs w:val="24"/>
        </w:rPr>
        <w:t>i</w:t>
      </w:r>
      <w:r w:rsidRPr="00C7477A">
        <w:rPr>
          <w:rFonts w:ascii="Times New Roman" w:hAnsi="Times New Roman"/>
          <w:sz w:val="24"/>
          <w:szCs w:val="24"/>
        </w:rPr>
        <w:t xml:space="preserve"> oraz między UE a </w:t>
      </w:r>
      <w:r w:rsidR="000452EB" w:rsidRPr="00C7477A">
        <w:rPr>
          <w:rFonts w:ascii="Times New Roman" w:hAnsi="Times New Roman"/>
          <w:sz w:val="24"/>
          <w:szCs w:val="24"/>
        </w:rPr>
        <w:t xml:space="preserve">Republiką </w:t>
      </w:r>
      <w:r w:rsidRPr="00C7477A">
        <w:rPr>
          <w:rFonts w:ascii="Times New Roman" w:hAnsi="Times New Roman"/>
          <w:sz w:val="24"/>
          <w:szCs w:val="24"/>
        </w:rPr>
        <w:t>Islandi</w:t>
      </w:r>
      <w:r w:rsidR="000452EB" w:rsidRPr="00C7477A">
        <w:rPr>
          <w:rFonts w:ascii="Times New Roman" w:hAnsi="Times New Roman"/>
          <w:sz w:val="24"/>
          <w:szCs w:val="24"/>
        </w:rPr>
        <w:t>i</w:t>
      </w:r>
      <w:r w:rsidRPr="00C7477A">
        <w:rPr>
          <w:rFonts w:ascii="Times New Roman" w:hAnsi="Times New Roman"/>
          <w:sz w:val="24"/>
          <w:szCs w:val="24"/>
        </w:rPr>
        <w:t>, ze wspólnego zobowiązania</w:t>
      </w:r>
      <w:r w:rsidR="00B86A42" w:rsidRPr="00C7477A">
        <w:rPr>
          <w:rFonts w:ascii="Times New Roman" w:hAnsi="Times New Roman"/>
          <w:sz w:val="24"/>
          <w:szCs w:val="24"/>
        </w:rPr>
        <w:t>,</w:t>
      </w:r>
    </w:p>
    <w:p w14:paraId="12910061" w14:textId="77777777" w:rsidR="00F64743" w:rsidRPr="00C7477A" w:rsidRDefault="00F64743" w:rsidP="00C7477A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pozostawienia sektora LULUCF całkowicie w kompetencji państw członkowskich</w:t>
      </w:r>
      <w:r w:rsidR="00B86A42" w:rsidRPr="00C7477A">
        <w:rPr>
          <w:rFonts w:ascii="Times New Roman" w:hAnsi="Times New Roman"/>
          <w:sz w:val="24"/>
          <w:szCs w:val="24"/>
        </w:rPr>
        <w:t>,</w:t>
      </w:r>
    </w:p>
    <w:p w14:paraId="5FC83572" w14:textId="3A306287" w:rsidR="00F64743" w:rsidRPr="00C7477A" w:rsidRDefault="00F64743" w:rsidP="00C7477A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użycia określonych w pierwszym okresie rozl</w:t>
      </w:r>
      <w:r w:rsidR="009C5B2E">
        <w:rPr>
          <w:rFonts w:ascii="Times New Roman" w:hAnsi="Times New Roman"/>
          <w:sz w:val="24"/>
          <w:szCs w:val="24"/>
        </w:rPr>
        <w:t>iczeniowym indywidualnych lat i </w:t>
      </w:r>
      <w:r w:rsidRPr="00C7477A">
        <w:rPr>
          <w:rFonts w:ascii="Times New Roman" w:hAnsi="Times New Roman"/>
          <w:sz w:val="24"/>
          <w:szCs w:val="24"/>
        </w:rPr>
        <w:t>okresów bazowych dla każdego z krajów przy obliczaniu sumy poziomu emisji dla całej grupy</w:t>
      </w:r>
      <w:r w:rsidR="00B86A42" w:rsidRPr="00C7477A">
        <w:rPr>
          <w:rFonts w:ascii="Times New Roman" w:hAnsi="Times New Roman"/>
          <w:sz w:val="24"/>
          <w:szCs w:val="24"/>
        </w:rPr>
        <w:t>.</w:t>
      </w:r>
    </w:p>
    <w:p w14:paraId="75BA3429" w14:textId="02C29BB0" w:rsidR="00F64743" w:rsidRPr="00C7477A" w:rsidRDefault="00F64743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>W kontekście drugiego okresu rozliczeniowego porozumienie rozstrzyga, że art</w:t>
      </w:r>
      <w:r w:rsidR="00742662" w:rsidRPr="00C7477A">
        <w:rPr>
          <w:rFonts w:ascii="Times New Roman" w:hAnsi="Times New Roman" w:cs="Times New Roman"/>
          <w:sz w:val="24"/>
          <w:szCs w:val="24"/>
          <w:lang w:val="pl-PL"/>
        </w:rPr>
        <w:t>ykuł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3</w:t>
      </w:r>
      <w:r w:rsidR="00DF6E74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ust</w:t>
      </w:r>
      <w:r w:rsidR="00742662" w:rsidRPr="00C7477A">
        <w:rPr>
          <w:rFonts w:ascii="Times New Roman" w:hAnsi="Times New Roman" w:cs="Times New Roman"/>
          <w:sz w:val="24"/>
          <w:szCs w:val="24"/>
          <w:lang w:val="pl-PL"/>
        </w:rPr>
        <w:t>ęp</w:t>
      </w:r>
      <w:r w:rsidR="00DF6E74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7b, wprowadzony do Protokołu </w:t>
      </w:r>
      <w:r w:rsidR="00742662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z Kioto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przez poprawkę dauhańską (dodatkowe ograniczenie wielkości AA, tak aby nie przekraczała ona średniej emisji z pierwszych trzech lat pierwszego okresu rozliczeniowego), będzie</w:t>
      </w:r>
      <w:r w:rsidR="009C5B2E">
        <w:rPr>
          <w:rFonts w:ascii="Times New Roman" w:hAnsi="Times New Roman" w:cs="Times New Roman"/>
          <w:sz w:val="24"/>
          <w:szCs w:val="24"/>
          <w:lang w:val="pl-PL"/>
        </w:rPr>
        <w:t xml:space="preserve"> miał zastosowanie do UE wraz z </w:t>
      </w:r>
      <w:r w:rsidR="000452EB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Republiką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Islandi</w:t>
      </w:r>
      <w:r w:rsidR="000452EB" w:rsidRPr="00C7477A">
        <w:rPr>
          <w:rFonts w:ascii="Times New Roman" w:hAnsi="Times New Roman" w:cs="Times New Roman"/>
          <w:sz w:val="24"/>
          <w:szCs w:val="24"/>
          <w:lang w:val="pl-PL"/>
        </w:rPr>
        <w:t>i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jako całości, a nie do poszczególnych państw członkowskich.</w:t>
      </w:r>
    </w:p>
    <w:p w14:paraId="7AA9E661" w14:textId="77777777" w:rsidR="00F64743" w:rsidRPr="00C7477A" w:rsidRDefault="00F64743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Ponadto, decyzja o przyjęciu poprawki dauhańskiej przez UE przewiduje, że jednostki przyznanej emisji, które </w:t>
      </w:r>
      <w:r w:rsidR="0002512D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zgodnie z obecnymi prognozami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pozostaną w dyspozycji UE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lastRenderedPageBreak/>
        <w:t>na koniec drugie</w:t>
      </w:r>
      <w:r w:rsidR="00735FF9" w:rsidRPr="00C7477A">
        <w:rPr>
          <w:rFonts w:ascii="Times New Roman" w:hAnsi="Times New Roman" w:cs="Times New Roman"/>
          <w:sz w:val="24"/>
          <w:szCs w:val="24"/>
          <w:lang w:val="pl-PL"/>
        </w:rPr>
        <w:t>go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okresu rozliczeniowego</w:t>
      </w:r>
      <w:r w:rsidR="00B0676D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po rozliczeniu EU ETS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(tzw. nadwyżka unijna), zostaną zwrócone państwom członkowskim w</w:t>
      </w:r>
      <w:r w:rsidR="00DF6E74" w:rsidRPr="00C7477A">
        <w:rPr>
          <w:rFonts w:ascii="Times New Roman" w:hAnsi="Times New Roman" w:cs="Times New Roman"/>
          <w:sz w:val="24"/>
          <w:szCs w:val="24"/>
          <w:lang w:val="pl-PL"/>
        </w:rPr>
        <w:t>edłu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g następującego klucza:</w:t>
      </w:r>
    </w:p>
    <w:p w14:paraId="62F8145E" w14:textId="087E905E" w:rsidR="00F64743" w:rsidRPr="00C7477A" w:rsidRDefault="00F64743" w:rsidP="00C7477A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1/6 nadwyżki dzielona między państwa członkowskie przekraczają</w:t>
      </w:r>
      <w:r w:rsidR="009C5B2E">
        <w:rPr>
          <w:rFonts w:ascii="Times New Roman" w:hAnsi="Times New Roman"/>
          <w:sz w:val="24"/>
          <w:szCs w:val="24"/>
        </w:rPr>
        <w:t>ce cel 80% w </w:t>
      </w:r>
      <w:r w:rsidRPr="00C7477A">
        <w:rPr>
          <w:rFonts w:ascii="Times New Roman" w:hAnsi="Times New Roman"/>
          <w:sz w:val="24"/>
          <w:szCs w:val="24"/>
        </w:rPr>
        <w:t>stosunku do swojego roku</w:t>
      </w:r>
      <w:r w:rsidR="00C7477A">
        <w:rPr>
          <w:rFonts w:ascii="Times New Roman" w:hAnsi="Times New Roman"/>
          <w:sz w:val="24"/>
          <w:szCs w:val="24"/>
        </w:rPr>
        <w:t xml:space="preserve"> </w:t>
      </w:r>
      <w:r w:rsidRPr="00C7477A">
        <w:rPr>
          <w:rFonts w:ascii="Times New Roman" w:hAnsi="Times New Roman"/>
          <w:sz w:val="24"/>
          <w:szCs w:val="24"/>
        </w:rPr>
        <w:t>albo okresu bazowego, proporcjonalnie do wielkości wypracowanej przez nie nad</w:t>
      </w:r>
      <w:r w:rsidR="00E21C5F" w:rsidRPr="00C7477A">
        <w:rPr>
          <w:rFonts w:ascii="Times New Roman" w:hAnsi="Times New Roman"/>
          <w:sz w:val="24"/>
          <w:szCs w:val="24"/>
        </w:rPr>
        <w:t>wyżki w wartościach absolutnych,</w:t>
      </w:r>
    </w:p>
    <w:p w14:paraId="6232412C" w14:textId="0C272C1A" w:rsidR="00F64743" w:rsidRPr="00C7477A" w:rsidRDefault="00F64743" w:rsidP="00C7477A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1/3 nadwyżki dzielona między państwa członkowskie z PKB per capita niższym niż 60% (liczone wg. wskaźników z roku 2013 w cenach bieżących) średniej unijnej, przekraczające cel 80% w stosunku do swojego roku</w:t>
      </w:r>
      <w:r w:rsidR="00C7477A">
        <w:rPr>
          <w:rFonts w:ascii="Times New Roman" w:hAnsi="Times New Roman"/>
          <w:sz w:val="24"/>
          <w:szCs w:val="24"/>
        </w:rPr>
        <w:t xml:space="preserve"> </w:t>
      </w:r>
      <w:r w:rsidRPr="00C7477A">
        <w:rPr>
          <w:rFonts w:ascii="Times New Roman" w:hAnsi="Times New Roman"/>
          <w:sz w:val="24"/>
          <w:szCs w:val="24"/>
        </w:rPr>
        <w:t>albo okresu bazowego, proporcjonalnie do wielkości wy</w:t>
      </w:r>
      <w:r w:rsidR="009C5B2E">
        <w:rPr>
          <w:rFonts w:ascii="Times New Roman" w:hAnsi="Times New Roman"/>
          <w:sz w:val="24"/>
          <w:szCs w:val="24"/>
        </w:rPr>
        <w:t>pracowanej przez nie nadwyżki w </w:t>
      </w:r>
      <w:r w:rsidRPr="00C7477A">
        <w:rPr>
          <w:rFonts w:ascii="Times New Roman" w:hAnsi="Times New Roman"/>
          <w:sz w:val="24"/>
          <w:szCs w:val="24"/>
        </w:rPr>
        <w:t>wartościach absolutnych</w:t>
      </w:r>
      <w:r w:rsidR="00E21C5F" w:rsidRPr="00C7477A">
        <w:rPr>
          <w:rFonts w:ascii="Times New Roman" w:hAnsi="Times New Roman"/>
          <w:sz w:val="24"/>
          <w:szCs w:val="24"/>
        </w:rPr>
        <w:t>,</w:t>
      </w:r>
    </w:p>
    <w:p w14:paraId="3CFB2BD2" w14:textId="77777777" w:rsidR="00F64743" w:rsidRPr="00C7477A" w:rsidRDefault="00F64743" w:rsidP="00C7477A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1/3 nadwyżki dzielona między wszystkie państwa członkowskie proporcjonalnie do ich udziałów w limicie emisji EU ESD</w:t>
      </w:r>
      <w:r w:rsidR="00E21C5F" w:rsidRPr="00C7477A">
        <w:rPr>
          <w:rFonts w:ascii="Times New Roman" w:hAnsi="Times New Roman"/>
          <w:sz w:val="24"/>
          <w:szCs w:val="24"/>
        </w:rPr>
        <w:t>,</w:t>
      </w:r>
    </w:p>
    <w:p w14:paraId="0ACCF447" w14:textId="77777777" w:rsidR="00F64743" w:rsidRPr="00C7477A" w:rsidRDefault="00F64743" w:rsidP="00C7477A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1/6 nadwyżki dzielona między państwa członkowskie z PKB per capita niższym niż 90% proporcjonalnie do ich udziałów w limicie emisji EU ESD.</w:t>
      </w:r>
    </w:p>
    <w:p w14:paraId="42EF9C31" w14:textId="1BFBCD6D" w:rsidR="00C22ECA" w:rsidRPr="00C7477A" w:rsidRDefault="004543F0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Rzeczpospolita </w:t>
      </w:r>
      <w:r w:rsidR="00C22ECA" w:rsidRPr="00C7477A">
        <w:rPr>
          <w:rFonts w:ascii="Times New Roman" w:hAnsi="Times New Roman" w:cs="Times New Roman"/>
          <w:sz w:val="24"/>
          <w:szCs w:val="24"/>
          <w:lang w:val="pl-PL"/>
        </w:rPr>
        <w:t>Polska będzie miała udział we wszystkich kategoriach</w:t>
      </w:r>
      <w:r w:rsidR="009C5B2E">
        <w:rPr>
          <w:rFonts w:ascii="Times New Roman" w:hAnsi="Times New Roman" w:cs="Times New Roman"/>
          <w:sz w:val="24"/>
          <w:szCs w:val="24"/>
          <w:lang w:val="pl-PL"/>
        </w:rPr>
        <w:t xml:space="preserve"> wynikających z </w:t>
      </w:r>
      <w:r w:rsidR="003B655E" w:rsidRPr="00C7477A">
        <w:rPr>
          <w:rFonts w:ascii="Times New Roman" w:hAnsi="Times New Roman" w:cs="Times New Roman"/>
          <w:sz w:val="24"/>
          <w:szCs w:val="24"/>
          <w:lang w:val="pl-PL"/>
        </w:rPr>
        <w:t>powyższego klucza</w:t>
      </w:r>
      <w:r w:rsidR="00C22ECA" w:rsidRPr="00C7477A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9EEE417" w14:textId="6C426A42" w:rsidR="004B5AC0" w:rsidRPr="00C7477A" w:rsidRDefault="004B5AC0" w:rsidP="00C7477A">
      <w:pPr>
        <w:pStyle w:val="Tekstpodstawowy"/>
        <w:numPr>
          <w:ilvl w:val="0"/>
          <w:numId w:val="11"/>
        </w:numPr>
        <w:spacing w:before="120" w:after="0" w:line="360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 xml:space="preserve">Deklaracja RP </w:t>
      </w:r>
      <w:r w:rsidR="001D784D" w:rsidRPr="00C7477A">
        <w:rPr>
          <w:rFonts w:ascii="Times New Roman" w:hAnsi="Times New Roman"/>
          <w:sz w:val="24"/>
          <w:szCs w:val="24"/>
        </w:rPr>
        <w:t>do</w:t>
      </w:r>
      <w:r w:rsidRPr="00C7477A">
        <w:rPr>
          <w:rFonts w:ascii="Times New Roman" w:hAnsi="Times New Roman"/>
          <w:sz w:val="24"/>
          <w:szCs w:val="24"/>
        </w:rPr>
        <w:t xml:space="preserve"> </w:t>
      </w:r>
      <w:r w:rsidR="003316A4" w:rsidRPr="00C7477A">
        <w:rPr>
          <w:rFonts w:ascii="Times New Roman" w:hAnsi="Times New Roman"/>
          <w:sz w:val="24"/>
          <w:szCs w:val="24"/>
        </w:rPr>
        <w:t>p</w:t>
      </w:r>
      <w:r w:rsidRPr="00C7477A">
        <w:rPr>
          <w:rFonts w:ascii="Times New Roman" w:hAnsi="Times New Roman"/>
          <w:sz w:val="24"/>
          <w:szCs w:val="24"/>
        </w:rPr>
        <w:t xml:space="preserve">oprawki dauhańskiej </w:t>
      </w:r>
    </w:p>
    <w:p w14:paraId="2E1C6D18" w14:textId="77777777" w:rsidR="00C7477A" w:rsidRDefault="001D784D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Planowane jest złożenie przez Rzeczpospolitą Polską </w:t>
      </w:r>
      <w:r w:rsidR="003316A4" w:rsidRPr="00C7477A">
        <w:rPr>
          <w:rFonts w:ascii="Times New Roman" w:hAnsi="Times New Roman" w:cs="Times New Roman"/>
          <w:sz w:val="24"/>
          <w:szCs w:val="24"/>
          <w:lang w:val="pl-PL"/>
        </w:rPr>
        <w:t>deklaracji RP do p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oprawki dauhańskiej</w:t>
      </w:r>
      <w:r w:rsidR="003316A4" w:rsidRPr="00C7477A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484787DE" w14:textId="76A00C13" w:rsidR="001D784D" w:rsidRPr="009C5B2E" w:rsidRDefault="001D784D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>Stroną Protokołu z Kioto są zarówno Unia Europejska</w:t>
      </w:r>
      <w:r w:rsidR="00C61524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jak i jej państwa członkowskie, co ma istotne znaczenie z punktu widzenia sposobu realizacji przez państwa członkowskie Unii ich zobowiązań wynikających z Protokołu, gdyż w dziedzinie ochrony środowiska kompetencje Unii Europejskiej dzielone są także w sferze stosunków zewnętrznych. </w:t>
      </w:r>
      <w:r w:rsidRPr="009C5B2E">
        <w:rPr>
          <w:rFonts w:ascii="Times New Roman" w:hAnsi="Times New Roman" w:cs="Times New Roman"/>
          <w:sz w:val="24"/>
          <w:szCs w:val="24"/>
          <w:lang w:val="pl-PL"/>
        </w:rPr>
        <w:t>Fakt dzielenia kompetencji</w:t>
      </w:r>
      <w:r w:rsidRPr="00C7477A">
        <w:rPr>
          <w:rFonts w:ascii="Times New Roman" w:hAnsi="Times New Roman" w:cs="Times New Roman"/>
          <w:sz w:val="24"/>
          <w:szCs w:val="24"/>
        </w:rPr>
        <w:t xml:space="preserve"> </w:t>
      </w:r>
      <w:r w:rsidRPr="009C5B2E">
        <w:rPr>
          <w:rFonts w:ascii="Times New Roman" w:hAnsi="Times New Roman" w:cs="Times New Roman"/>
          <w:sz w:val="24"/>
          <w:szCs w:val="24"/>
          <w:lang w:val="pl-PL"/>
        </w:rPr>
        <w:t>między</w:t>
      </w:r>
      <w:r w:rsidRPr="00C7477A">
        <w:rPr>
          <w:rFonts w:ascii="Times New Roman" w:hAnsi="Times New Roman" w:cs="Times New Roman"/>
          <w:sz w:val="24"/>
          <w:szCs w:val="24"/>
        </w:rPr>
        <w:t xml:space="preserve"> regionalną organizację integracji gospodarczej i państwa członkowskie dostrzegają </w:t>
      </w:r>
      <w:r w:rsidR="00C61524">
        <w:rPr>
          <w:rFonts w:ascii="Times New Roman" w:hAnsi="Times New Roman" w:cs="Times New Roman"/>
          <w:sz w:val="24"/>
          <w:szCs w:val="24"/>
        </w:rPr>
        <w:t>zarówno</w:t>
      </w:r>
      <w:r w:rsidRPr="00C7477A">
        <w:rPr>
          <w:rFonts w:ascii="Times New Roman" w:hAnsi="Times New Roman" w:cs="Times New Roman"/>
          <w:sz w:val="24"/>
          <w:szCs w:val="24"/>
        </w:rPr>
        <w:t xml:space="preserve"> Konwencja klimatyczna, jak i Protokół z Kioto. </w:t>
      </w:r>
      <w:r w:rsidRPr="009C5B2E">
        <w:rPr>
          <w:rFonts w:ascii="Times New Roman" w:hAnsi="Times New Roman" w:cs="Times New Roman"/>
          <w:sz w:val="24"/>
          <w:szCs w:val="24"/>
          <w:lang w:val="pl-PL"/>
        </w:rPr>
        <w:t>Mając to na uwadze Rada Unii Europejskiej przyj</w:t>
      </w:r>
      <w:r w:rsidR="00774D31" w:rsidRPr="009C5B2E">
        <w:rPr>
          <w:rFonts w:ascii="Times New Roman" w:hAnsi="Times New Roman" w:cs="Times New Roman"/>
          <w:sz w:val="24"/>
          <w:szCs w:val="24"/>
          <w:lang w:val="pl-PL"/>
        </w:rPr>
        <w:t>ęła 13 lipca 2015 r. decyzję nr</w:t>
      </w:r>
      <w:r w:rsidR="00C7477A" w:rsidRPr="009C5B2E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9C5B2E">
        <w:rPr>
          <w:rFonts w:ascii="Times New Roman" w:hAnsi="Times New Roman" w:cs="Times New Roman"/>
          <w:sz w:val="24"/>
          <w:szCs w:val="24"/>
          <w:lang w:val="pl-PL"/>
        </w:rPr>
        <w:t>2015/1339 w sprawie przyjęcia w imieniu Unii Europejskiej popr</w:t>
      </w:r>
      <w:r w:rsidR="00774D31" w:rsidRPr="009C5B2E">
        <w:rPr>
          <w:rFonts w:ascii="Times New Roman" w:hAnsi="Times New Roman" w:cs="Times New Roman"/>
          <w:sz w:val="24"/>
          <w:szCs w:val="24"/>
          <w:lang w:val="pl-PL"/>
        </w:rPr>
        <w:t>awki dauhańskiej do Protokołu z</w:t>
      </w:r>
      <w:r w:rsidR="00C7477A" w:rsidRPr="009C5B2E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9C5B2E">
        <w:rPr>
          <w:rFonts w:ascii="Times New Roman" w:hAnsi="Times New Roman" w:cs="Times New Roman"/>
          <w:sz w:val="24"/>
          <w:szCs w:val="24"/>
          <w:lang w:val="pl-PL"/>
        </w:rPr>
        <w:t>Kioto do Ramowej konwencji Narodów Zjednoczonych w sprawie zmian klimatu i wsp</w:t>
      </w:r>
      <w:r w:rsidR="009C5B2E" w:rsidRPr="009C5B2E">
        <w:rPr>
          <w:rFonts w:ascii="Times New Roman" w:hAnsi="Times New Roman" w:cs="Times New Roman"/>
          <w:sz w:val="24"/>
          <w:szCs w:val="24"/>
          <w:lang w:val="pl-PL"/>
        </w:rPr>
        <w:t>ólnej realizacji wynikających z </w:t>
      </w:r>
      <w:r w:rsidRPr="009C5B2E">
        <w:rPr>
          <w:rFonts w:ascii="Times New Roman" w:hAnsi="Times New Roman" w:cs="Times New Roman"/>
          <w:sz w:val="24"/>
          <w:szCs w:val="24"/>
          <w:lang w:val="pl-PL"/>
        </w:rPr>
        <w:t xml:space="preserve">niego zobowiązań. </w:t>
      </w:r>
    </w:p>
    <w:p w14:paraId="46EE76B5" w14:textId="64C5BC47" w:rsidR="001D784D" w:rsidRPr="00C7477A" w:rsidRDefault="001D784D" w:rsidP="00C7477A">
      <w:pPr>
        <w:pStyle w:val="Tekstpodstawowy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Proponuje się zatem, przy okazji złożenia przez Polskę dokumentów akceptacji Poprawki, złożenie przez Rzeczpospolitą Polsk</w:t>
      </w:r>
      <w:r w:rsidR="00C61524">
        <w:rPr>
          <w:rFonts w:ascii="Times New Roman" w:hAnsi="Times New Roman"/>
          <w:sz w:val="24"/>
          <w:szCs w:val="24"/>
        </w:rPr>
        <w:t>ą</w:t>
      </w:r>
      <w:r w:rsidRPr="00C7477A">
        <w:rPr>
          <w:rFonts w:ascii="Times New Roman" w:hAnsi="Times New Roman"/>
          <w:sz w:val="24"/>
          <w:szCs w:val="24"/>
        </w:rPr>
        <w:t xml:space="preserve"> dodatkowej deklaracji, zgodnie z którą </w:t>
      </w:r>
      <w:r w:rsidRPr="00C7477A">
        <w:rPr>
          <w:rFonts w:ascii="Times New Roman" w:hAnsi="Times New Roman"/>
          <w:sz w:val="24"/>
          <w:szCs w:val="24"/>
        </w:rPr>
        <w:lastRenderedPageBreak/>
        <w:t>wykonanie Poprawki zostanie uzależnione od akceptacji poprawki dauhańskiej zarówno przez Unię Europejską, jak i jej wszystkie państwa członkowskie. W ten sposób, mając na uwadze zakres kompetencji Unii i jej państw członkowskich w dziedzinie ochrony środowiska, skuteczność akceptacji przez Rzeczpospolitą</w:t>
      </w:r>
      <w:r w:rsidR="00C61524">
        <w:rPr>
          <w:rFonts w:ascii="Times New Roman" w:hAnsi="Times New Roman"/>
          <w:sz w:val="24"/>
          <w:szCs w:val="24"/>
        </w:rPr>
        <w:t xml:space="preserve"> Polską</w:t>
      </w:r>
      <w:r w:rsidRPr="00C7477A">
        <w:rPr>
          <w:rFonts w:ascii="Times New Roman" w:hAnsi="Times New Roman"/>
          <w:sz w:val="24"/>
          <w:szCs w:val="24"/>
        </w:rPr>
        <w:t xml:space="preserve"> Poprawki zostanie, w prawie unijnym i wobec państw członkowskich, uzależniona od jednomyślnej zgody wszystkich państw członkowskich. Proponowane brzmienie deklaracji akcentuje ponadto przysługujące państwom członkowskim</w:t>
      </w:r>
      <w:r w:rsidR="00C7477A">
        <w:rPr>
          <w:rFonts w:ascii="Times New Roman" w:hAnsi="Times New Roman"/>
          <w:sz w:val="24"/>
          <w:szCs w:val="24"/>
        </w:rPr>
        <w:t xml:space="preserve"> </w:t>
      </w:r>
      <w:r w:rsidRPr="00C7477A">
        <w:rPr>
          <w:rFonts w:ascii="Times New Roman" w:hAnsi="Times New Roman"/>
          <w:sz w:val="24"/>
          <w:szCs w:val="24"/>
        </w:rPr>
        <w:t xml:space="preserve">prawa podmiotowe zagwarantowane na mocy art. 194 ust. 2 akapit drugi TFUE w zakresie wyboru źródeł energii lub ogólnej struktury zaopatrzenia w energię. Prawa te mogą podlegać ograniczeniom jedynie w przypadkach określonych w TFUE i przy </w:t>
      </w:r>
      <w:r w:rsidR="009C5B2E">
        <w:rPr>
          <w:rFonts w:ascii="Times New Roman" w:hAnsi="Times New Roman"/>
          <w:sz w:val="24"/>
          <w:szCs w:val="24"/>
        </w:rPr>
        <w:t>zachowaniu ściśle określonych w </w:t>
      </w:r>
      <w:r w:rsidRPr="00C7477A">
        <w:rPr>
          <w:rFonts w:ascii="Times New Roman" w:hAnsi="Times New Roman"/>
          <w:sz w:val="24"/>
          <w:szCs w:val="24"/>
        </w:rPr>
        <w:t xml:space="preserve">traktacie wymagań proceduralnych obejmujących konieczność uzyskania zgody każdego z państw członkowskich UE. Deklaracja podkreśla, że jedynie przy zachowaniu tych warunków nie dojdzie do naruszenia podziału kompetencji pomiędzy Unią i jej państwami członkowskimi. </w:t>
      </w:r>
    </w:p>
    <w:p w14:paraId="2A107ECA" w14:textId="5210D1F1" w:rsidR="004B5AC0" w:rsidRPr="00C7477A" w:rsidRDefault="001D784D" w:rsidP="00C7477A">
      <w:pPr>
        <w:pStyle w:val="Tekstpodstawowy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 xml:space="preserve">Ponadto proponowana treść deklaracji podkreśla, że akceptacja Poprawki w żaden sposób nie ogranicza praw Rzeczypospolitej Polskiej jako </w:t>
      </w:r>
      <w:r w:rsidR="003316A4" w:rsidRPr="00C7477A">
        <w:rPr>
          <w:rFonts w:ascii="Times New Roman" w:hAnsi="Times New Roman"/>
          <w:sz w:val="24"/>
          <w:szCs w:val="24"/>
        </w:rPr>
        <w:t>suwerennego</w:t>
      </w:r>
      <w:r w:rsidRPr="00C7477A">
        <w:rPr>
          <w:rFonts w:ascii="Times New Roman" w:hAnsi="Times New Roman"/>
          <w:sz w:val="24"/>
          <w:szCs w:val="24"/>
        </w:rPr>
        <w:t xml:space="preserve"> państwa mającego swobodę działania na arenie międzynarodowej do podejmowania wszelkich niezbędnych środków w celu ochrony jej praw, które wynikają z zawartych przez nią umów międzynarodowych w dziedzinie zmian kli</w:t>
      </w:r>
      <w:r w:rsidR="009C5B2E">
        <w:rPr>
          <w:rFonts w:ascii="Times New Roman" w:hAnsi="Times New Roman"/>
          <w:sz w:val="24"/>
          <w:szCs w:val="24"/>
        </w:rPr>
        <w:t>matu, w tym Protokołu z Kioto i </w:t>
      </w:r>
      <w:r w:rsidRPr="00C7477A">
        <w:rPr>
          <w:rFonts w:ascii="Times New Roman" w:hAnsi="Times New Roman"/>
          <w:sz w:val="24"/>
          <w:szCs w:val="24"/>
        </w:rPr>
        <w:t>Porozumienia paryskiego.</w:t>
      </w:r>
    </w:p>
    <w:p w14:paraId="49AFA702" w14:textId="77777777" w:rsidR="002778E6" w:rsidRPr="00C7477A" w:rsidRDefault="002778E6" w:rsidP="00C7477A">
      <w:pPr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b/>
          <w:sz w:val="24"/>
          <w:szCs w:val="24"/>
          <w:lang w:val="pl-PL"/>
        </w:rPr>
        <w:t xml:space="preserve">3. Skutki związane z wejściem w życie </w:t>
      </w:r>
      <w:r w:rsidR="00DF6E74" w:rsidRPr="00C7477A">
        <w:rPr>
          <w:rFonts w:ascii="Times New Roman" w:hAnsi="Times New Roman" w:cs="Times New Roman"/>
          <w:b/>
          <w:sz w:val="24"/>
          <w:szCs w:val="24"/>
          <w:lang w:val="pl-PL"/>
        </w:rPr>
        <w:t>poprawki</w:t>
      </w:r>
      <w:r w:rsidR="007344DC" w:rsidRPr="00C7477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dauhańskiej</w:t>
      </w:r>
    </w:p>
    <w:p w14:paraId="049FFAE7" w14:textId="77777777" w:rsidR="002778E6" w:rsidRPr="00C7477A" w:rsidRDefault="002778E6" w:rsidP="00C7477A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before="120" w:after="0" w:line="36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 w:rsidRPr="00C7477A">
        <w:rPr>
          <w:rFonts w:ascii="Times New Roman" w:hAnsi="Times New Roman"/>
          <w:bCs/>
          <w:sz w:val="24"/>
          <w:szCs w:val="24"/>
        </w:rPr>
        <w:t>Ocena skutków społecznych i gospodarczych</w:t>
      </w:r>
    </w:p>
    <w:p w14:paraId="461D98BE" w14:textId="77777777" w:rsidR="003418E6" w:rsidRPr="00C7477A" w:rsidRDefault="0002512D" w:rsidP="00C7477A">
      <w:pPr>
        <w:pStyle w:val="Tekstpodstawowy"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C7477A">
        <w:rPr>
          <w:rFonts w:ascii="Times New Roman" w:hAnsi="Times New Roman"/>
          <w:sz w:val="24"/>
          <w:szCs w:val="24"/>
        </w:rPr>
        <w:t>Ratyfikacja</w:t>
      </w:r>
      <w:r w:rsidRPr="00C7477A">
        <w:rPr>
          <w:rFonts w:ascii="Times New Roman" w:hAnsi="Times New Roman"/>
          <w:bCs/>
          <w:sz w:val="24"/>
          <w:szCs w:val="24"/>
        </w:rPr>
        <w:t xml:space="preserve"> poprawki </w:t>
      </w:r>
      <w:r w:rsidR="002425DE" w:rsidRPr="00C7477A">
        <w:rPr>
          <w:rFonts w:ascii="Times New Roman" w:hAnsi="Times New Roman"/>
          <w:bCs/>
          <w:sz w:val="24"/>
          <w:szCs w:val="24"/>
        </w:rPr>
        <w:t xml:space="preserve">dauhańskiej </w:t>
      </w:r>
      <w:r w:rsidR="003418E6" w:rsidRPr="00C7477A">
        <w:rPr>
          <w:rFonts w:ascii="Times New Roman" w:hAnsi="Times New Roman"/>
          <w:bCs/>
          <w:sz w:val="24"/>
          <w:szCs w:val="24"/>
        </w:rPr>
        <w:t xml:space="preserve">nie wywiera skutków społecznych </w:t>
      </w:r>
      <w:r w:rsidR="00D6636A" w:rsidRPr="00C7477A">
        <w:rPr>
          <w:rFonts w:ascii="Times New Roman" w:hAnsi="Times New Roman"/>
          <w:bCs/>
          <w:sz w:val="24"/>
          <w:szCs w:val="24"/>
        </w:rPr>
        <w:t xml:space="preserve">ani gospodarczych </w:t>
      </w:r>
      <w:r w:rsidR="003418E6" w:rsidRPr="00C7477A">
        <w:rPr>
          <w:rFonts w:ascii="Times New Roman" w:hAnsi="Times New Roman"/>
          <w:bCs/>
          <w:sz w:val="24"/>
          <w:szCs w:val="24"/>
        </w:rPr>
        <w:t>znacząco odbiegających od wynikających z obecnie obowiązujących przepisów</w:t>
      </w:r>
      <w:r w:rsidRPr="00C7477A">
        <w:rPr>
          <w:rFonts w:ascii="Times New Roman" w:hAnsi="Times New Roman"/>
          <w:bCs/>
          <w:sz w:val="24"/>
          <w:szCs w:val="24"/>
        </w:rPr>
        <w:t xml:space="preserve"> </w:t>
      </w:r>
      <w:r w:rsidR="003418E6" w:rsidRPr="00C7477A">
        <w:rPr>
          <w:rFonts w:ascii="Times New Roman" w:hAnsi="Times New Roman"/>
          <w:bCs/>
          <w:sz w:val="24"/>
          <w:szCs w:val="24"/>
        </w:rPr>
        <w:t>pakietu energetyczno-klimatycznego</w:t>
      </w:r>
      <w:r w:rsidRPr="00C7477A">
        <w:rPr>
          <w:rFonts w:ascii="Times New Roman" w:hAnsi="Times New Roman"/>
          <w:bCs/>
          <w:sz w:val="24"/>
          <w:szCs w:val="24"/>
        </w:rPr>
        <w:t xml:space="preserve"> Unii Europejskiej</w:t>
      </w:r>
      <w:r w:rsidR="003418E6" w:rsidRPr="00C7477A">
        <w:rPr>
          <w:rFonts w:ascii="Times New Roman" w:hAnsi="Times New Roman"/>
          <w:bCs/>
          <w:sz w:val="24"/>
          <w:szCs w:val="24"/>
        </w:rPr>
        <w:t>.</w:t>
      </w:r>
    </w:p>
    <w:p w14:paraId="670DF1C5" w14:textId="77777777" w:rsidR="002778E6" w:rsidRPr="00C7477A" w:rsidRDefault="002778E6" w:rsidP="00C7477A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before="120" w:after="0" w:line="36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 w:rsidRPr="00C7477A">
        <w:rPr>
          <w:rFonts w:ascii="Times New Roman" w:hAnsi="Times New Roman"/>
          <w:bCs/>
          <w:sz w:val="24"/>
          <w:szCs w:val="24"/>
        </w:rPr>
        <w:t>Ocena skutków finansowych</w:t>
      </w:r>
    </w:p>
    <w:p w14:paraId="49DB8809" w14:textId="40925029" w:rsidR="00A12C68" w:rsidRPr="00C7477A" w:rsidRDefault="0002512D" w:rsidP="00C7477A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Ratyfikacja poprawki </w:t>
      </w:r>
      <w:r w:rsidR="003418E6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może mieć wymierne skutki finansowe. </w:t>
      </w:r>
      <w:r w:rsidR="00F64743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Udział w drugim okresie rozliczeniowym umożliwi </w:t>
      </w:r>
      <w:r w:rsidR="008F1591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RP </w:t>
      </w:r>
      <w:r w:rsidR="00F64743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korzystanie z mechanizmów elastycznych. </w:t>
      </w:r>
      <w:r w:rsidR="008F1591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Rzeczpospolita </w:t>
      </w:r>
      <w:r w:rsidR="00F64743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Polska będzie miała w swojej dyspozycji nadwyżkę jednostek przyznanej emisji z pierwszego okresu rozliczeniowego, jednostki przyznane na drugi okres rozliczeniowy</w:t>
      </w:r>
      <w:r w:rsidR="00B86A42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,</w:t>
      </w:r>
      <w:r w:rsidR="00F64743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zgodnie z porozumieniem o wsp</w:t>
      </w:r>
      <w:r w:rsidR="009C5B2E">
        <w:rPr>
          <w:rFonts w:ascii="Times New Roman" w:hAnsi="Times New Roman" w:cs="Times New Roman"/>
          <w:bCs/>
          <w:sz w:val="24"/>
          <w:szCs w:val="24"/>
          <w:lang w:val="pl-PL"/>
        </w:rPr>
        <w:t>ólnym wypełnieniu zobowiązań, a </w:t>
      </w:r>
      <w:r w:rsidR="00F64743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po jego zakończeniu – również część jednostek z nadwyżki unijnej. Wartość tych </w:t>
      </w:r>
      <w:r w:rsidR="00F64743" w:rsidRPr="00C7477A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jednostek będzie zależała zarówno od przyszłej ceny rynkowej, jak i skali potencjalnego popytu, dlatego też jest dziś trudna do oszacowania.</w:t>
      </w:r>
      <w:r w:rsidR="00A12C68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064A1E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Natomiast w wartościach absolutnych można się spodziewać, że w wyniku rozliczenia wykonania poprawki dauhańskiej RP będzie dysponowała liczbą nawet 102,9 mln </w:t>
      </w:r>
      <w:r w:rsidR="008739F2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jednostek przyznanej emisji </w:t>
      </w:r>
      <w:r w:rsidR="00064A1E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pochodzących z samego t</w:t>
      </w:r>
      <w:r w:rsidR="00B86A42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ylko drugiego okresu zobowiązań</w:t>
      </w:r>
      <w:r w:rsidR="00064A1E" w:rsidRPr="00C7477A">
        <w:rPr>
          <w:rStyle w:val="Odwoanieprzypisudolnego"/>
          <w:rFonts w:ascii="Times New Roman" w:hAnsi="Times New Roman" w:cs="Times New Roman"/>
          <w:bCs/>
          <w:sz w:val="24"/>
          <w:szCs w:val="24"/>
          <w:lang w:val="pl-PL"/>
        </w:rPr>
        <w:footnoteReference w:id="7"/>
      </w:r>
      <w:r w:rsidR="00FB3EFF" w:rsidRPr="00C7477A">
        <w:rPr>
          <w:rFonts w:ascii="Times New Roman" w:hAnsi="Times New Roman" w:cs="Times New Roman"/>
          <w:bCs/>
          <w:sz w:val="24"/>
          <w:szCs w:val="24"/>
          <w:vertAlign w:val="superscript"/>
          <w:lang w:val="pl-PL"/>
        </w:rPr>
        <w:t>)</w:t>
      </w:r>
      <w:r w:rsidR="00B86A42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.</w:t>
      </w:r>
    </w:p>
    <w:p w14:paraId="14CD849F" w14:textId="0ED9E707" w:rsidR="003418E6" w:rsidRPr="00C7477A" w:rsidRDefault="00F64743" w:rsidP="00C7477A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Zgodnie z poprawką dauhańską i decyzjami </w:t>
      </w:r>
      <w:r w:rsidR="00D6636A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Konferencji Stron,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dochody </w:t>
      </w:r>
      <w:r w:rsidR="003418E6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uzyskan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>e</w:t>
      </w:r>
      <w:r w:rsidR="009C5B2E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w </w:t>
      </w:r>
      <w:r w:rsidR="003418E6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wyniku </w:t>
      </w:r>
      <w:r w:rsidR="009D6AF4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sprzedaży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jednostek</w:t>
      </w:r>
      <w:r w:rsidR="003418E6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>przyznanej emisji będą obciążone</w:t>
      </w:r>
      <w:r w:rsidR="003418E6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opłat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>ą</w:t>
      </w:r>
      <w:r w:rsidR="003418E6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(</w:t>
      </w:r>
      <w:r w:rsidR="00D6636A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ang. </w:t>
      </w:r>
      <w:r w:rsidR="003418E6" w:rsidRPr="00C7477A">
        <w:rPr>
          <w:rFonts w:ascii="Times New Roman" w:hAnsi="Times New Roman" w:cs="Times New Roman"/>
          <w:bCs/>
          <w:i/>
          <w:sz w:val="24"/>
          <w:szCs w:val="24"/>
          <w:lang w:val="pl-PL"/>
        </w:rPr>
        <w:t>share of proceeds</w:t>
      </w:r>
      <w:r w:rsidR="003418E6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) w wysokości 2% od wartości każdej transakcji</w:t>
      </w:r>
      <w:r w:rsidR="00B0676D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i przekazane na</w:t>
      </w:r>
      <w:r w:rsidR="00D60496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Fundusz Adaptacyjny działający w ramach Protokołu z Kioto</w:t>
      </w:r>
      <w:r w:rsidR="003418E6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.</w:t>
      </w:r>
    </w:p>
    <w:p w14:paraId="70329973" w14:textId="113235AD" w:rsidR="00FA49D6" w:rsidRPr="00C7477A" w:rsidRDefault="008F1591" w:rsidP="00C7477A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Jeżeli </w:t>
      </w:r>
      <w:r w:rsidR="00FA49D6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chodzi o koszty związane z wejściem w życie poprawki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dauhańskiej</w:t>
      </w:r>
      <w:r w:rsidR="00FA49D6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, to przewiduje się jedynie możliwość nieznacznego wzrostu składki 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RP </w:t>
      </w:r>
      <w:r w:rsidR="00FA49D6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na działalność niektórych elementów systemu Protokołu z Kioto (</w:t>
      </w:r>
      <w:r w:rsidR="00FA49D6" w:rsidRPr="00C7477A">
        <w:rPr>
          <w:rFonts w:ascii="Times New Roman" w:hAnsi="Times New Roman" w:cs="Times New Roman"/>
          <w:bCs/>
          <w:i/>
          <w:sz w:val="24"/>
          <w:szCs w:val="24"/>
          <w:lang w:val="pl-PL"/>
        </w:rPr>
        <w:t>International Transaction Log</w:t>
      </w:r>
      <w:r w:rsidR="00FA49D6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). S</w:t>
      </w:r>
      <w:r w:rsidR="00804EAE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kładka ta, podobnie jak </w:t>
      </w:r>
      <w:r w:rsidR="00FA49D6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obecnie</w:t>
      </w:r>
      <w:r w:rsidR="00804EAE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, będzie</w:t>
      </w:r>
      <w:r w:rsidR="00774D31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pokrywana z</w:t>
      </w:r>
      <w:r w:rsid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FA49D6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wydatków bieżących</w:t>
      </w:r>
      <w:r w:rsidR="00804EAE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Krajowego Ośrodka B</w:t>
      </w:r>
      <w:r w:rsidR="0002512D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ilansowania</w:t>
      </w:r>
      <w:r w:rsidR="00804EAE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i Zarządzania Emisjami.</w:t>
      </w:r>
    </w:p>
    <w:p w14:paraId="08F2DDB7" w14:textId="77777777" w:rsidR="002778E6" w:rsidRPr="00C7477A" w:rsidRDefault="002778E6" w:rsidP="00C7477A">
      <w:pPr>
        <w:pStyle w:val="Akapitzlist"/>
        <w:keepNext/>
        <w:widowControl w:val="0"/>
        <w:numPr>
          <w:ilvl w:val="0"/>
          <w:numId w:val="6"/>
        </w:numPr>
        <w:autoSpaceDE w:val="0"/>
        <w:autoSpaceDN w:val="0"/>
        <w:adjustRightInd w:val="0"/>
        <w:spacing w:before="120" w:after="0" w:line="36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 w:rsidRPr="00C7477A">
        <w:rPr>
          <w:rFonts w:ascii="Times New Roman" w:hAnsi="Times New Roman"/>
          <w:bCs/>
          <w:sz w:val="24"/>
          <w:szCs w:val="24"/>
        </w:rPr>
        <w:t>Ocena skutków politycznych</w:t>
      </w:r>
    </w:p>
    <w:p w14:paraId="22B34223" w14:textId="21098933" w:rsidR="00F64743" w:rsidRPr="00C7477A" w:rsidRDefault="00F64743" w:rsidP="00C7477A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Ratyfikacja poprawki dauhańskiej przez </w:t>
      </w:r>
      <w:r w:rsidR="004543F0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Rzeczpospolitą 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>Polsk</w:t>
      </w:r>
      <w:r w:rsidR="004543F0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ą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umożliwi przystąpienie do drugiego okresu rozliczeniowego UE i poz</w:t>
      </w:r>
      <w:r w:rsidR="009C5B2E">
        <w:rPr>
          <w:rFonts w:ascii="Times New Roman" w:hAnsi="Times New Roman" w:cs="Times New Roman"/>
          <w:bCs/>
          <w:sz w:val="24"/>
          <w:szCs w:val="24"/>
          <w:lang w:val="pl-PL"/>
        </w:rPr>
        <w:t>ostałych państw członkowskich i 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>jed</w:t>
      </w:r>
      <w:r w:rsidR="006666CB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n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>ocześnie jest politycznym warunkiem wejścia dr</w:t>
      </w:r>
      <w:r w:rsidR="009C5B2E">
        <w:rPr>
          <w:rFonts w:ascii="Times New Roman" w:hAnsi="Times New Roman" w:cs="Times New Roman"/>
          <w:bCs/>
          <w:sz w:val="24"/>
          <w:szCs w:val="24"/>
          <w:lang w:val="pl-PL"/>
        </w:rPr>
        <w:t>ugiego okresu rozliczeniowego w 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życie. W ten sposób od ratyfikacji poprawki </w:t>
      </w:r>
      <w:r w:rsidR="002425DE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dauhańskiej 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zależy wiarygodność </w:t>
      </w:r>
      <w:r w:rsidR="004543F0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RP </w:t>
      </w:r>
      <w:r w:rsidR="009C5B2E">
        <w:rPr>
          <w:rFonts w:ascii="Times New Roman" w:hAnsi="Times New Roman" w:cs="Times New Roman"/>
          <w:bCs/>
          <w:sz w:val="24"/>
          <w:szCs w:val="24"/>
          <w:lang w:val="pl-PL"/>
        </w:rPr>
        <w:t>w 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>UE</w:t>
      </w:r>
      <w:r w:rsidR="006666CB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i na forum 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>globalnego procesu współpracy w dziedzinie klimatu.</w:t>
      </w:r>
    </w:p>
    <w:p w14:paraId="71CF6502" w14:textId="75C6EBA1" w:rsidR="00F64743" w:rsidRPr="00C7477A" w:rsidRDefault="00F64743" w:rsidP="00C7477A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Ratyfikacja i wejście w życie poprawki dauhańskiej pozytywnie przyczyni się również do procesu negocjacji </w:t>
      </w:r>
      <w:r w:rsidR="006B4239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zasad wdrażania Porozumienia paryskiego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. </w:t>
      </w:r>
      <w:r w:rsidR="004543F0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Rzeczpospolita 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Polska jest aktywnie zaangażowana w negocjacje </w:t>
      </w:r>
      <w:r w:rsidR="006B4239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klimatyczne</w:t>
      </w:r>
      <w:r w:rsidR="00C76599">
        <w:rPr>
          <w:rFonts w:ascii="Times New Roman" w:hAnsi="Times New Roman" w:cs="Times New Roman"/>
          <w:bCs/>
          <w:sz w:val="24"/>
          <w:szCs w:val="24"/>
          <w:lang w:val="pl-PL"/>
        </w:rPr>
        <w:t>,</w:t>
      </w:r>
      <w:r w:rsidR="006B4239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poszukując globalnych rozwiązań, zatem akt ratyfikacji będzie odebrany przez partnerów spoza UE jako dowód motywacji </w:t>
      </w:r>
      <w:r w:rsidR="004543F0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RP 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co do </w:t>
      </w:r>
      <w:r w:rsidR="006666CB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współtworzenia skutecznej</w:t>
      </w:r>
      <w:r w:rsidR="00D60496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globalnej polityki klimatycznej 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zarówno przed, jak i po 2020 r.</w:t>
      </w:r>
    </w:p>
    <w:p w14:paraId="3CD9C374" w14:textId="6B4A79B2" w:rsidR="006B4239" w:rsidRPr="00C7477A" w:rsidRDefault="006B4239" w:rsidP="00C7477A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Ponadto ratyfikacja poprawki dauhańskiej mogłaby być pozytywnie odebrana przez Strony UNFCCC </w:t>
      </w:r>
      <w:r w:rsidR="00027322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w związku z 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>uzyskanie</w:t>
      </w:r>
      <w:r w:rsidR="00027322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m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027322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przez RP 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nominacji do organizacji 24. </w:t>
      </w:r>
      <w:r w:rsidR="00774D31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Konferencji Stron UNFCCC w</w:t>
      </w:r>
      <w:r w:rsid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C27F41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2018</w:t>
      </w:r>
      <w:r w:rsid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>r.</w:t>
      </w:r>
    </w:p>
    <w:p w14:paraId="788833E2" w14:textId="77777777" w:rsidR="002778E6" w:rsidRPr="00C7477A" w:rsidRDefault="002778E6" w:rsidP="00C7477A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before="120" w:after="0" w:line="36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 w:rsidRPr="00C7477A">
        <w:rPr>
          <w:rFonts w:ascii="Times New Roman" w:hAnsi="Times New Roman"/>
          <w:bCs/>
          <w:sz w:val="24"/>
          <w:szCs w:val="24"/>
        </w:rPr>
        <w:t>Ocena skutków prawnych</w:t>
      </w:r>
    </w:p>
    <w:p w14:paraId="2A713820" w14:textId="4533B30A" w:rsidR="00F64743" w:rsidRPr="00C7477A" w:rsidRDefault="003418E6" w:rsidP="00C7477A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W wyniku ratyfikacji </w:t>
      </w:r>
      <w:r w:rsidR="00F64743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poprawki dauhańskiej </w:t>
      </w:r>
      <w:r w:rsidR="000E1E63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RP</w:t>
      </w:r>
      <w:r w:rsidR="00F64743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przystąpi do drugiego okresu rozliczeniowego Protokołu z Kioto przyjmując na siebie nowe wiążące w prawie międzynarodowym zobowiązanie redukcyjne. Zobowiązanie to będzie realizowane na zasadach określonych w prawnie wiążącym 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>por</w:t>
      </w:r>
      <w:r w:rsidR="00F64743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ozumieniu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o wspólnym wypełnianiu zobowiązań</w:t>
      </w:r>
      <w:r w:rsidR="00F64743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przez UE, jej państwa członkowskie i</w:t>
      </w:r>
      <w:r w:rsid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0452EB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Republikę </w:t>
      </w:r>
      <w:r w:rsidR="00BD0530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Islandii</w:t>
      </w:r>
      <w:r w:rsidR="00F64743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.</w:t>
      </w:r>
    </w:p>
    <w:p w14:paraId="3F373BEE" w14:textId="0C6066EE" w:rsidR="00F64743" w:rsidRPr="00C7477A" w:rsidRDefault="00F64743" w:rsidP="00C7477A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Implementacja drugiego okresu rozliczeniowego do polskiego prawodawstwa będzie miała miejsce przede wszystkim przy pomocy narzędzi prawa UE. Jednym z takich instrumentów jest obowiązujące już </w:t>
      </w:r>
      <w:r w:rsidR="00DF6E74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r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>ozporządzenie (UE) Parlamentu</w:t>
      </w:r>
      <w:r w:rsidR="00DF6E74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Europejskiego</w:t>
      </w:r>
      <w:r w:rsidR="009C5B2E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i 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Rady </w:t>
      </w:r>
      <w:r w:rsidR="00C76599">
        <w:rPr>
          <w:rFonts w:ascii="Times New Roman" w:hAnsi="Times New Roman" w:cs="Times New Roman"/>
          <w:bCs/>
          <w:sz w:val="24"/>
          <w:szCs w:val="24"/>
          <w:lang w:val="pl-PL"/>
        </w:rPr>
        <w:t>n</w:t>
      </w:r>
      <w:r w:rsidR="00DF6E74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 662/2014 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>z 15 maja 2014</w:t>
      </w:r>
      <w:r w:rsidR="00735FF9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r.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DF6E74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zmieniające r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>ozporządzeni</w:t>
      </w:r>
      <w:r w:rsidR="00DF6E74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e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(UE) </w:t>
      </w:r>
      <w:r w:rsidR="00C76599">
        <w:rPr>
          <w:rFonts w:ascii="Times New Roman" w:hAnsi="Times New Roman" w:cs="Times New Roman"/>
          <w:bCs/>
          <w:sz w:val="24"/>
          <w:szCs w:val="24"/>
          <w:lang w:val="pl-PL"/>
        </w:rPr>
        <w:t>n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 525/2013 </w:t>
      </w:r>
      <w:r w:rsidR="009C5B2E">
        <w:rPr>
          <w:rFonts w:ascii="Times New Roman" w:hAnsi="Times New Roman" w:cs="Times New Roman"/>
          <w:bCs/>
          <w:sz w:val="24"/>
          <w:szCs w:val="24"/>
          <w:lang w:val="pl-PL"/>
        </w:rPr>
        <w:t>w </w:t>
      </w:r>
      <w:r w:rsidR="00DF6E74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odniesieniu do technicznego wykonania 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>Protokołu z Kioto do Ramowej konwencji Narodów Zjednoczonych w sprawie zmian klimatu</w:t>
      </w:r>
      <w:r w:rsidR="00DF6E74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(</w:t>
      </w:r>
      <w:r w:rsidR="00DF6E74" w:rsidRPr="00C7477A">
        <w:rPr>
          <w:rFonts w:ascii="Times New Roman" w:hAnsi="Times New Roman" w:cs="Times New Roman"/>
          <w:bCs/>
          <w:iCs/>
          <w:sz w:val="24"/>
          <w:szCs w:val="24"/>
          <w:lang w:val="pl-PL"/>
        </w:rPr>
        <w:t>Dz. Urz. UE L 189 z 27.</w:t>
      </w:r>
      <w:r w:rsidR="00724E74" w:rsidRPr="00C7477A">
        <w:rPr>
          <w:rFonts w:ascii="Times New Roman" w:hAnsi="Times New Roman" w:cs="Times New Roman"/>
          <w:bCs/>
          <w:iCs/>
          <w:sz w:val="24"/>
          <w:szCs w:val="24"/>
          <w:lang w:val="pl-PL"/>
        </w:rPr>
        <w:t>0</w:t>
      </w:r>
      <w:r w:rsidR="00DF6E74" w:rsidRPr="00C7477A">
        <w:rPr>
          <w:rFonts w:ascii="Times New Roman" w:hAnsi="Times New Roman" w:cs="Times New Roman"/>
          <w:bCs/>
          <w:iCs/>
          <w:sz w:val="24"/>
          <w:szCs w:val="24"/>
          <w:lang w:val="pl-PL"/>
        </w:rPr>
        <w:t>6.2014, s</w:t>
      </w:r>
      <w:r w:rsidR="00724E74" w:rsidRPr="00C7477A">
        <w:rPr>
          <w:rFonts w:ascii="Times New Roman" w:hAnsi="Times New Roman" w:cs="Times New Roman"/>
          <w:bCs/>
          <w:iCs/>
          <w:sz w:val="24"/>
          <w:szCs w:val="24"/>
          <w:lang w:val="pl-PL"/>
        </w:rPr>
        <w:t>tr</w:t>
      </w:r>
      <w:r w:rsidR="00DF6E74" w:rsidRPr="00C7477A">
        <w:rPr>
          <w:rFonts w:ascii="Times New Roman" w:hAnsi="Times New Roman" w:cs="Times New Roman"/>
          <w:bCs/>
          <w:iCs/>
          <w:sz w:val="24"/>
          <w:szCs w:val="24"/>
          <w:lang w:val="pl-PL"/>
        </w:rPr>
        <w:t>. 155)</w:t>
      </w:r>
      <w:r w:rsidRPr="00C7477A">
        <w:rPr>
          <w:rFonts w:ascii="Times New Roman" w:hAnsi="Times New Roman" w:cs="Times New Roman"/>
          <w:bCs/>
          <w:sz w:val="24"/>
          <w:szCs w:val="24"/>
          <w:lang w:val="pl-PL"/>
        </w:rPr>
        <w:t>.</w:t>
      </w:r>
      <w:r w:rsidR="00804EAE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Nie ma natomiast potrzeby zmiany obecnie obowiązujących przepisów prawa krajowego, aby prawidłowo wykonywać zobowiązania wynikające z przystąpienia </w:t>
      </w:r>
      <w:r w:rsidR="007344DC" w:rsidRPr="00C7477A">
        <w:rPr>
          <w:rFonts w:ascii="Times New Roman" w:hAnsi="Times New Roman" w:cs="Times New Roman"/>
          <w:bCs/>
          <w:sz w:val="24"/>
          <w:szCs w:val="24"/>
          <w:lang w:val="pl-PL"/>
        </w:rPr>
        <w:t>RP</w:t>
      </w:r>
      <w:r w:rsidR="00804EAE" w:rsidRPr="00C7477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do poprawki dauhańskiej.</w:t>
      </w:r>
    </w:p>
    <w:p w14:paraId="1D1D0412" w14:textId="77777777" w:rsidR="002778E6" w:rsidRPr="00C7477A" w:rsidRDefault="002778E6" w:rsidP="00C7477A">
      <w:pPr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4. Tryb związania Rzeczypospolitej Polskiej </w:t>
      </w:r>
      <w:r w:rsidR="00DF6E74" w:rsidRPr="00C7477A">
        <w:rPr>
          <w:rFonts w:ascii="Times New Roman" w:hAnsi="Times New Roman" w:cs="Times New Roman"/>
          <w:b/>
          <w:sz w:val="24"/>
          <w:szCs w:val="24"/>
          <w:lang w:val="pl-PL"/>
        </w:rPr>
        <w:t>poprawką</w:t>
      </w:r>
      <w:r w:rsidR="002425DE" w:rsidRPr="00C7477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dauhańską</w:t>
      </w:r>
    </w:p>
    <w:p w14:paraId="7D7FB1DF" w14:textId="77777777" w:rsidR="00F64743" w:rsidRPr="00C7477A" w:rsidRDefault="00F64743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Wybór trybu związania </w:t>
      </w:r>
      <w:r w:rsidR="007344DC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RP </w:t>
      </w:r>
      <w:r w:rsidR="00DF6E74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poprawką dauhańską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podyktowany został je</w:t>
      </w:r>
      <w:r w:rsidR="00DF6E74" w:rsidRPr="00C7477A">
        <w:rPr>
          <w:rFonts w:ascii="Times New Roman" w:hAnsi="Times New Roman" w:cs="Times New Roman"/>
          <w:sz w:val="24"/>
          <w:szCs w:val="24"/>
          <w:lang w:val="pl-PL"/>
        </w:rPr>
        <w:t>j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zakresem przedmiotowym.</w:t>
      </w:r>
    </w:p>
    <w:p w14:paraId="363162D4" w14:textId="24893F24" w:rsidR="00F64743" w:rsidRPr="00C7477A" w:rsidRDefault="00F64743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Postanowienia poprawki dauhańskiej </w:t>
      </w:r>
      <w:r w:rsidR="00C14E98" w:rsidRPr="00C7477A">
        <w:rPr>
          <w:rFonts w:ascii="Times New Roman" w:hAnsi="Times New Roman" w:cs="Times New Roman"/>
          <w:sz w:val="24"/>
          <w:szCs w:val="24"/>
          <w:lang w:val="pl-PL"/>
        </w:rPr>
        <w:t>w</w:t>
      </w:r>
      <w:r w:rsidR="00D61CA1" w:rsidRPr="00C7477A">
        <w:rPr>
          <w:rFonts w:ascii="Times New Roman" w:hAnsi="Times New Roman" w:cs="Times New Roman"/>
          <w:sz w:val="24"/>
          <w:szCs w:val="24"/>
          <w:lang w:val="pl-PL"/>
        </w:rPr>
        <w:t>prowadza</w:t>
      </w:r>
      <w:r w:rsidR="00C14E98" w:rsidRPr="00C7477A">
        <w:rPr>
          <w:rFonts w:ascii="Times New Roman" w:hAnsi="Times New Roman" w:cs="Times New Roman"/>
          <w:sz w:val="24"/>
          <w:szCs w:val="24"/>
          <w:lang w:val="pl-PL"/>
        </w:rPr>
        <w:t>ją</w:t>
      </w:r>
      <w:r w:rsidR="00D61CA1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zmiany do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B9579E" w:rsidRPr="00C7477A">
        <w:rPr>
          <w:rFonts w:ascii="Times New Roman" w:hAnsi="Times New Roman" w:cs="Times New Roman"/>
          <w:sz w:val="24"/>
          <w:szCs w:val="24"/>
          <w:lang w:val="pl-PL"/>
        </w:rPr>
        <w:t>um</w:t>
      </w:r>
      <w:r w:rsidR="00387160" w:rsidRPr="00C7477A">
        <w:rPr>
          <w:rFonts w:ascii="Times New Roman" w:hAnsi="Times New Roman" w:cs="Times New Roman"/>
          <w:sz w:val="24"/>
          <w:szCs w:val="24"/>
          <w:lang w:val="pl-PL"/>
        </w:rPr>
        <w:t>owy międzynarodowej (Protokół z</w:t>
      </w:r>
      <w:r w:rsid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B9579E" w:rsidRPr="00C7477A">
        <w:rPr>
          <w:rFonts w:ascii="Times New Roman" w:hAnsi="Times New Roman" w:cs="Times New Roman"/>
          <w:sz w:val="24"/>
          <w:szCs w:val="24"/>
          <w:lang w:val="pl-PL"/>
        </w:rPr>
        <w:t>Kioto), która została ratyfikowana za zgod</w:t>
      </w:r>
      <w:r w:rsidR="00D61CA1" w:rsidRPr="00C7477A">
        <w:rPr>
          <w:rFonts w:ascii="Times New Roman" w:hAnsi="Times New Roman" w:cs="Times New Roman"/>
          <w:sz w:val="24"/>
          <w:szCs w:val="24"/>
          <w:lang w:val="pl-PL"/>
        </w:rPr>
        <w:t>ą</w:t>
      </w:r>
      <w:r w:rsidR="00B9579E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wyra</w:t>
      </w:r>
      <w:r w:rsidR="00D61CA1" w:rsidRPr="00C7477A">
        <w:rPr>
          <w:rFonts w:ascii="Times New Roman" w:hAnsi="Times New Roman" w:cs="Times New Roman"/>
          <w:sz w:val="24"/>
          <w:szCs w:val="24"/>
          <w:lang w:val="pl-PL"/>
        </w:rPr>
        <w:t>ż</w:t>
      </w:r>
      <w:r w:rsidR="00B9579E" w:rsidRPr="00C7477A">
        <w:rPr>
          <w:rFonts w:ascii="Times New Roman" w:hAnsi="Times New Roman" w:cs="Times New Roman"/>
          <w:sz w:val="24"/>
          <w:szCs w:val="24"/>
          <w:lang w:val="pl-PL"/>
        </w:rPr>
        <w:t>on</w:t>
      </w:r>
      <w:r w:rsidR="00D61CA1" w:rsidRPr="00C7477A">
        <w:rPr>
          <w:rFonts w:ascii="Times New Roman" w:hAnsi="Times New Roman" w:cs="Times New Roman"/>
          <w:sz w:val="24"/>
          <w:szCs w:val="24"/>
          <w:lang w:val="pl-PL"/>
        </w:rPr>
        <w:t>ą</w:t>
      </w:r>
      <w:r w:rsidR="009C5B2E">
        <w:rPr>
          <w:rFonts w:ascii="Times New Roman" w:hAnsi="Times New Roman" w:cs="Times New Roman"/>
          <w:sz w:val="24"/>
          <w:szCs w:val="24"/>
          <w:lang w:val="pl-PL"/>
        </w:rPr>
        <w:t xml:space="preserve"> w </w:t>
      </w:r>
      <w:r w:rsidR="00B9579E" w:rsidRPr="00C7477A">
        <w:rPr>
          <w:rFonts w:ascii="Times New Roman" w:hAnsi="Times New Roman" w:cs="Times New Roman"/>
          <w:sz w:val="24"/>
          <w:szCs w:val="24"/>
          <w:lang w:val="pl-PL"/>
        </w:rPr>
        <w:t>ustawie oraz</w:t>
      </w:r>
      <w:r w:rsidR="00D61CA1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dotyczą</w:t>
      </w:r>
      <w:r w:rsidR="00B9579E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spraw, które zostały uregulowan</w:t>
      </w:r>
      <w:r w:rsidR="00B9579E" w:rsidRPr="00C7477A">
        <w:rPr>
          <w:rFonts w:ascii="Times New Roman" w:hAnsi="Times New Roman" w:cs="Times New Roman"/>
          <w:sz w:val="24"/>
          <w:szCs w:val="24"/>
          <w:lang w:val="pl-PL"/>
        </w:rPr>
        <w:t>e</w:t>
      </w:r>
      <w:r w:rsidR="00B86A42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w ustawach</w:t>
      </w:r>
      <w:r w:rsidR="000A0D98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="009C5B2E">
        <w:rPr>
          <w:rFonts w:ascii="Times New Roman" w:hAnsi="Times New Roman" w:cs="Times New Roman"/>
          <w:sz w:val="24"/>
          <w:szCs w:val="24"/>
          <w:lang w:val="pl-PL"/>
        </w:rPr>
        <w:t>W </w:t>
      </w:r>
      <w:r w:rsidR="00603170" w:rsidRPr="00C7477A">
        <w:rPr>
          <w:rFonts w:ascii="Times New Roman" w:hAnsi="Times New Roman" w:cs="Times New Roman"/>
          <w:sz w:val="24"/>
          <w:szCs w:val="24"/>
          <w:lang w:val="pl-PL"/>
        </w:rPr>
        <w:t>szczególności k</w:t>
      </w:r>
      <w:r w:rsidR="000A0D98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westie redukcji emisji </w:t>
      </w:r>
      <w:r w:rsidR="009C5B2E">
        <w:rPr>
          <w:rFonts w:ascii="Times New Roman" w:hAnsi="Times New Roman" w:cs="Times New Roman"/>
          <w:sz w:val="24"/>
          <w:szCs w:val="24"/>
          <w:lang w:val="pl-PL"/>
        </w:rPr>
        <w:t>oraz obowiązków monitorowania i </w:t>
      </w:r>
      <w:r w:rsidR="000A0D98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raportowania emisji uregulowane są m.in. ustawą z dnia 17 lipca 2009 r. o systemie zarządzania emisjami gazów cieplarnianych i innych substancji (Dz. U. </w:t>
      </w:r>
      <w:r w:rsidR="00387160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z </w:t>
      </w:r>
      <w:r w:rsidR="000A0D98" w:rsidRPr="00C7477A">
        <w:rPr>
          <w:rFonts w:ascii="Times New Roman" w:hAnsi="Times New Roman" w:cs="Times New Roman"/>
          <w:sz w:val="24"/>
          <w:szCs w:val="24"/>
          <w:lang w:val="pl-PL"/>
        </w:rPr>
        <w:t>2017</w:t>
      </w:r>
      <w:r w:rsidR="00387160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r.</w:t>
      </w:r>
      <w:r w:rsidR="009C5B2E">
        <w:rPr>
          <w:rFonts w:ascii="Times New Roman" w:hAnsi="Times New Roman" w:cs="Times New Roman"/>
          <w:sz w:val="24"/>
          <w:szCs w:val="24"/>
          <w:lang w:val="pl-PL"/>
        </w:rPr>
        <w:t xml:space="preserve"> poz. </w:t>
      </w:r>
      <w:r w:rsidR="000A0D98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286), </w:t>
      </w:r>
      <w:r w:rsidR="00BD0530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zaś </w:t>
      </w:r>
      <w:r w:rsidR="00B86A42" w:rsidRPr="00C7477A">
        <w:rPr>
          <w:rFonts w:ascii="Times New Roman" w:hAnsi="Times New Roman" w:cs="Times New Roman"/>
          <w:sz w:val="24"/>
          <w:szCs w:val="24"/>
          <w:lang w:val="pl-PL"/>
        </w:rPr>
        <w:t>definicja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jednostek przyznanego limitu emisji i jednoste</w:t>
      </w:r>
      <w:r w:rsidR="00B86A42" w:rsidRPr="00C7477A">
        <w:rPr>
          <w:rFonts w:ascii="Times New Roman" w:hAnsi="Times New Roman" w:cs="Times New Roman"/>
          <w:sz w:val="24"/>
          <w:szCs w:val="24"/>
          <w:lang w:val="pl-PL"/>
        </w:rPr>
        <w:t>k redukcji emisji czy definicja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zasad obrotu krajowego</w:t>
      </w:r>
      <w:r w:rsidR="00387160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i</w:t>
      </w:r>
      <w:r w:rsidR="00C747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międzynarodowego tymi jednostkami</w:t>
      </w:r>
      <w:r w:rsidR="009C5B2E">
        <w:rPr>
          <w:rFonts w:ascii="Times New Roman" w:hAnsi="Times New Roman" w:cs="Times New Roman"/>
          <w:sz w:val="24"/>
          <w:szCs w:val="24"/>
          <w:lang w:val="pl-PL"/>
        </w:rPr>
        <w:t xml:space="preserve"> – ustawą z </w:t>
      </w:r>
      <w:r w:rsidR="00BD0530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dnia </w:t>
      </w:r>
      <w:r w:rsidR="000A0D98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12 czerwca </w:t>
      </w:r>
      <w:r w:rsidR="000A0D98" w:rsidRPr="00C7477A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2015 r. o systemie handlu uprawnieniami do emisji gazów cieplarnianych (Dz. U. </w:t>
      </w:r>
      <w:r w:rsidR="00387160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z 2017 r. </w:t>
      </w:r>
      <w:r w:rsidR="000A0D98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poz. </w:t>
      </w:r>
      <w:r w:rsidR="00387160" w:rsidRPr="00C7477A">
        <w:rPr>
          <w:rFonts w:ascii="Times New Roman" w:hAnsi="Times New Roman" w:cs="Times New Roman"/>
          <w:sz w:val="24"/>
          <w:szCs w:val="24"/>
          <w:lang w:val="pl-PL"/>
        </w:rPr>
        <w:t>586</w:t>
      </w:r>
      <w:r w:rsidR="002C3211" w:rsidRPr="00C7477A">
        <w:rPr>
          <w:rFonts w:ascii="Times New Roman" w:hAnsi="Times New Roman" w:cs="Times New Roman"/>
          <w:sz w:val="24"/>
          <w:szCs w:val="24"/>
          <w:lang w:val="pl-PL"/>
        </w:rPr>
        <w:t>, z późn. zm.</w:t>
      </w:r>
      <w:r w:rsidR="000A0D98" w:rsidRPr="00C7477A">
        <w:rPr>
          <w:rFonts w:ascii="Times New Roman" w:hAnsi="Times New Roman" w:cs="Times New Roman"/>
          <w:sz w:val="24"/>
          <w:szCs w:val="24"/>
          <w:lang w:val="pl-PL"/>
        </w:rPr>
        <w:t>).</w:t>
      </w:r>
    </w:p>
    <w:p w14:paraId="38E307A5" w14:textId="232B8565" w:rsidR="00F64743" w:rsidRPr="00C7477A" w:rsidRDefault="00F64743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>W związku z powyższym uznaje się, że spełnione są prze</w:t>
      </w:r>
      <w:r w:rsidR="009C5B2E">
        <w:rPr>
          <w:rFonts w:ascii="Times New Roman" w:hAnsi="Times New Roman" w:cs="Times New Roman"/>
          <w:sz w:val="24"/>
          <w:szCs w:val="24"/>
          <w:lang w:val="pl-PL"/>
        </w:rPr>
        <w:t>słanki określone w art. 89 ust. 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FA49D6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pkt 5</w:t>
      </w:r>
      <w:r w:rsidR="004C6068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Konstytucji RP. Dlatego też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proponuje się, aby związanie Rzeczypospolitej Polskiej poprawką dauhańską do Protokołu z Kioto </w:t>
      </w:r>
      <w:r w:rsidR="00C14E98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do Ramowej konwencji Narodów Zjednoczonych w sprawie zmian klimatu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nastąpiło w drodze ratyfikacji</w:t>
      </w:r>
      <w:r w:rsidR="00C76599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za uprzednią zgodą wyrażoną w ustawie.</w:t>
      </w:r>
    </w:p>
    <w:p w14:paraId="0CC95C6A" w14:textId="6D723CA7" w:rsidR="00813246" w:rsidRDefault="00804EAE" w:rsidP="00C747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477A">
        <w:rPr>
          <w:rFonts w:ascii="Times New Roman" w:hAnsi="Times New Roman" w:cs="Times New Roman"/>
          <w:sz w:val="24"/>
          <w:szCs w:val="24"/>
          <w:lang w:val="pl-PL"/>
        </w:rPr>
        <w:t>Należy również zaznaczyć, że w chwili obecnej poprawka dauhańsk</w:t>
      </w:r>
      <w:r w:rsidR="0002512D" w:rsidRPr="00C7477A">
        <w:rPr>
          <w:rFonts w:ascii="Times New Roman" w:hAnsi="Times New Roman" w:cs="Times New Roman"/>
          <w:sz w:val="24"/>
          <w:szCs w:val="24"/>
          <w:lang w:val="pl-PL"/>
        </w:rPr>
        <w:t>a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nie weszła jeszcze w życie. Zgodnie z art</w:t>
      </w:r>
      <w:r w:rsidR="009C7914" w:rsidRPr="00C7477A">
        <w:rPr>
          <w:rFonts w:ascii="Times New Roman" w:hAnsi="Times New Roman" w:cs="Times New Roman"/>
          <w:sz w:val="24"/>
          <w:szCs w:val="24"/>
          <w:lang w:val="pl-PL"/>
        </w:rPr>
        <w:t>ykułem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20 Protokołu z Kioto nastąpi to dziewięćdziesiątego dnia od daty otrzymania przez depozytariusza instrumentu zatwierdzenia </w:t>
      </w:r>
      <w:r w:rsidR="00147660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od 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>co najmniej trz</w:t>
      </w:r>
      <w:r w:rsidR="00147660" w:rsidRPr="00C7477A">
        <w:rPr>
          <w:rFonts w:ascii="Times New Roman" w:hAnsi="Times New Roman" w:cs="Times New Roman"/>
          <w:sz w:val="24"/>
          <w:szCs w:val="24"/>
          <w:lang w:val="pl-PL"/>
        </w:rPr>
        <w:t>ech czwartych</w:t>
      </w:r>
      <w:r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 Stron Protokołu. </w:t>
      </w:r>
      <w:r w:rsidR="00147660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Tym samym, wymagane jest zatwierdzenie poprawki </w:t>
      </w:r>
      <w:r w:rsidR="009C7914" w:rsidRPr="00C7477A">
        <w:rPr>
          <w:rFonts w:ascii="Times New Roman" w:hAnsi="Times New Roman" w:cs="Times New Roman"/>
          <w:sz w:val="24"/>
          <w:szCs w:val="24"/>
          <w:lang w:val="pl-PL"/>
        </w:rPr>
        <w:t xml:space="preserve">dauhańskiej </w:t>
      </w:r>
      <w:r w:rsidR="00147660" w:rsidRPr="00C7477A">
        <w:rPr>
          <w:rFonts w:ascii="Times New Roman" w:hAnsi="Times New Roman" w:cs="Times New Roman"/>
          <w:sz w:val="24"/>
          <w:szCs w:val="24"/>
          <w:lang w:val="pl-PL"/>
        </w:rPr>
        <w:t>przez co najmniej 144 państwa.</w:t>
      </w:r>
    </w:p>
    <w:p w14:paraId="5F27440B" w14:textId="70A03EFA" w:rsidR="00D61CA1" w:rsidRPr="00813246" w:rsidRDefault="00D61CA1" w:rsidP="00813246">
      <w:pPr>
        <w:tabs>
          <w:tab w:val="left" w:pos="1380"/>
        </w:tabs>
        <w:rPr>
          <w:rFonts w:ascii="Times New Roman" w:hAnsi="Times New Roman" w:cs="Times New Roman"/>
          <w:sz w:val="20"/>
          <w:szCs w:val="20"/>
          <w:lang w:val="pl-PL"/>
        </w:rPr>
      </w:pPr>
    </w:p>
    <w:sectPr w:rsidR="00D61CA1" w:rsidRPr="00813246" w:rsidSect="00C7477A">
      <w:footerReference w:type="default" r:id="rId13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CBCC09" w14:textId="77777777" w:rsidR="0059378F" w:rsidRDefault="0059378F" w:rsidP="00151C87">
      <w:pPr>
        <w:spacing w:after="0" w:line="240" w:lineRule="auto"/>
      </w:pPr>
      <w:r>
        <w:separator/>
      </w:r>
    </w:p>
  </w:endnote>
  <w:endnote w:type="continuationSeparator" w:id="0">
    <w:p w14:paraId="6DC6B2B4" w14:textId="77777777" w:rsidR="0059378F" w:rsidRDefault="0059378F" w:rsidP="00151C87">
      <w:pPr>
        <w:spacing w:after="0" w:line="240" w:lineRule="auto"/>
      </w:pPr>
      <w:r>
        <w:continuationSeparator/>
      </w:r>
    </w:p>
  </w:endnote>
  <w:endnote w:type="continuationNotice" w:id="1">
    <w:p w14:paraId="1575ADB7" w14:textId="77777777" w:rsidR="0059378F" w:rsidRDefault="005937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235492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141D4D2" w14:textId="345C55B1" w:rsidR="00C7477A" w:rsidRPr="00C7477A" w:rsidRDefault="00C7477A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747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477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747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41BE3" w:rsidRPr="00141BE3">
          <w:rPr>
            <w:rFonts w:ascii="Times New Roman" w:hAnsi="Times New Roman" w:cs="Times New Roman"/>
            <w:noProof/>
            <w:sz w:val="24"/>
            <w:szCs w:val="24"/>
            <w:lang w:val="pl-PL"/>
          </w:rPr>
          <w:t>12</w:t>
        </w:r>
        <w:r w:rsidRPr="00C747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7B72A0" w14:textId="77777777" w:rsidR="0059378F" w:rsidRDefault="0059378F" w:rsidP="00151C87">
      <w:pPr>
        <w:spacing w:after="0" w:line="240" w:lineRule="auto"/>
      </w:pPr>
      <w:r>
        <w:separator/>
      </w:r>
    </w:p>
  </w:footnote>
  <w:footnote w:type="continuationSeparator" w:id="0">
    <w:p w14:paraId="0D771B60" w14:textId="77777777" w:rsidR="0059378F" w:rsidRDefault="0059378F" w:rsidP="00151C87">
      <w:pPr>
        <w:spacing w:after="0" w:line="240" w:lineRule="auto"/>
      </w:pPr>
      <w:r>
        <w:continuationSeparator/>
      </w:r>
    </w:p>
  </w:footnote>
  <w:footnote w:type="continuationNotice" w:id="1">
    <w:p w14:paraId="1FF8FBC0" w14:textId="77777777" w:rsidR="0059378F" w:rsidRDefault="0059378F">
      <w:pPr>
        <w:spacing w:after="0" w:line="240" w:lineRule="auto"/>
      </w:pPr>
    </w:p>
  </w:footnote>
  <w:footnote w:id="2">
    <w:p w14:paraId="3E705E05" w14:textId="062F0A76" w:rsidR="00147660" w:rsidRPr="009D1099" w:rsidRDefault="00147660" w:rsidP="00C7477A">
      <w:pPr>
        <w:pStyle w:val="Tekstprzypisudolnego"/>
        <w:ind w:left="284" w:hanging="284"/>
      </w:pPr>
      <w:r w:rsidRPr="00C7477A">
        <w:rPr>
          <w:rStyle w:val="Odwoanieprzypisudolnego"/>
        </w:rPr>
        <w:footnoteRef/>
      </w:r>
      <w:r w:rsidR="00687147" w:rsidRPr="00C7477A">
        <w:rPr>
          <w:vertAlign w:val="superscript"/>
        </w:rPr>
        <w:t>)</w:t>
      </w:r>
      <w:r>
        <w:rPr>
          <w:rFonts w:asciiTheme="minorHAnsi" w:hAnsiTheme="minorHAnsi" w:cstheme="minorHAnsi"/>
        </w:rPr>
        <w:tab/>
      </w:r>
      <w:r w:rsidRPr="009D1099">
        <w:t>Tekst Ramowej konwencji Narodów Zjednoczonych w sprawi</w:t>
      </w:r>
      <w:r w:rsidR="00C7477A">
        <w:t>e zmian klimatu, sporządzonej w </w:t>
      </w:r>
      <w:r w:rsidRPr="009D1099">
        <w:t>Nowym Jorku dnia 9 maja 1992 r., został ogłoszony w Dz. U. z 1996 r. poz. 238.</w:t>
      </w:r>
    </w:p>
    <w:p w14:paraId="77D3BD54" w14:textId="386F5BAC" w:rsidR="00147660" w:rsidRPr="009D1099" w:rsidRDefault="00147660" w:rsidP="00C7477A">
      <w:pPr>
        <w:pStyle w:val="Tekstprzypisudolnego"/>
        <w:ind w:left="284" w:hanging="12"/>
      </w:pPr>
      <w:r w:rsidRPr="009D1099">
        <w:t>Tekst Protokołu z Kioto do Ramowej konwencji Narodów Zjednoczonych w sprawie zmian klimatu, sporządzonego w Kioto dnia 11 grudnia 1997 r.</w:t>
      </w:r>
      <w:r w:rsidR="00C61524">
        <w:t>,</w:t>
      </w:r>
      <w:r w:rsidRPr="009D1099">
        <w:t xml:space="preserve"> został ogłoszony w Dz. U. z 2005 r. poz. 1684</w:t>
      </w:r>
      <w:r>
        <w:t>.</w:t>
      </w:r>
    </w:p>
  </w:footnote>
  <w:footnote w:id="3">
    <w:p w14:paraId="111345B7" w14:textId="54436878" w:rsidR="00C36D50" w:rsidRDefault="00C36D50" w:rsidP="00C7477A">
      <w:pPr>
        <w:pStyle w:val="Tekstprzypisudolnego"/>
        <w:ind w:left="284" w:hanging="284"/>
      </w:pPr>
      <w:r>
        <w:rPr>
          <w:rStyle w:val="Odwoanieprzypisudolnego"/>
        </w:rPr>
        <w:footnoteRef/>
      </w:r>
      <w:r w:rsidR="00E14FBE" w:rsidRPr="00087A3F">
        <w:rPr>
          <w:vertAlign w:val="superscript"/>
        </w:rPr>
        <w:t>)</w:t>
      </w:r>
      <w:r w:rsidR="00E66EEE">
        <w:tab/>
        <w:t>W latach 2008–</w:t>
      </w:r>
      <w:r>
        <w:t xml:space="preserve">2012 we wspólnym wypełnianiu zobowiązań brało udział 16 Stron – UE i 15 państw członkowskich, które należały do Wspólnot Europejskich w 2002 r. </w:t>
      </w:r>
      <w:r w:rsidR="006900B1">
        <w:t xml:space="preserve">Rzeczpospolita </w:t>
      </w:r>
      <w:r>
        <w:t>Polska, która przystąpiła do UE w 2004 r., wypełniała swój</w:t>
      </w:r>
      <w:r w:rsidR="00E66EEE">
        <w:t xml:space="preserve"> cel samodzielnie w latach 2008–</w:t>
      </w:r>
      <w:r>
        <w:t>2012.</w:t>
      </w:r>
    </w:p>
  </w:footnote>
  <w:footnote w:id="4">
    <w:p w14:paraId="2B663D3F" w14:textId="231CA463" w:rsidR="003F0801" w:rsidRDefault="003F0801" w:rsidP="00C7477A">
      <w:pPr>
        <w:pStyle w:val="Tekstprzypisudolnego"/>
        <w:ind w:left="284" w:hanging="284"/>
      </w:pPr>
      <w:r>
        <w:rPr>
          <w:rStyle w:val="Odwoanieprzypisudolnego"/>
        </w:rPr>
        <w:footnoteRef/>
      </w:r>
      <w:r w:rsidR="00D76F86" w:rsidRPr="00087A3F">
        <w:rPr>
          <w:vertAlign w:val="superscript"/>
        </w:rPr>
        <w:t>)</w:t>
      </w:r>
      <w:r>
        <w:tab/>
        <w:t xml:space="preserve">Jak </w:t>
      </w:r>
      <w:r w:rsidR="00050A1D">
        <w:t>dotąd</w:t>
      </w:r>
      <w:r>
        <w:t xml:space="preserve"> Poprawka dauhańska została ratyfikowana przez </w:t>
      </w:r>
      <w:r w:rsidR="00666DA7">
        <w:t xml:space="preserve">Królestwo Belgii, </w:t>
      </w:r>
      <w:r w:rsidR="00087A3F">
        <w:t xml:space="preserve">Republikę </w:t>
      </w:r>
      <w:r>
        <w:t>Cypr</w:t>
      </w:r>
      <w:r w:rsidR="00087A3F">
        <w:t>yjską</w:t>
      </w:r>
      <w:r>
        <w:t xml:space="preserve">, </w:t>
      </w:r>
      <w:r w:rsidR="00666DA7">
        <w:t xml:space="preserve">Republikę Finlandii, </w:t>
      </w:r>
      <w:r w:rsidR="006C3542">
        <w:t xml:space="preserve">Królestwo Hiszpanii, </w:t>
      </w:r>
      <w:r w:rsidR="00050A1D">
        <w:t xml:space="preserve">Republikę Litewską, </w:t>
      </w:r>
      <w:r w:rsidR="00087A3F">
        <w:t xml:space="preserve">Wielkie Księstwo </w:t>
      </w:r>
      <w:r w:rsidR="00B10575">
        <w:t>Luksemburg</w:t>
      </w:r>
      <w:r w:rsidR="00087A3F">
        <w:t>a</w:t>
      </w:r>
      <w:r w:rsidR="00B10575">
        <w:t xml:space="preserve">, </w:t>
      </w:r>
      <w:r w:rsidR="00050A1D">
        <w:t xml:space="preserve">Królestwo Niderlandów, </w:t>
      </w:r>
      <w:r w:rsidR="00666DA7">
        <w:t xml:space="preserve">Republikę Federalną Niemiec, </w:t>
      </w:r>
      <w:r w:rsidR="002139AD">
        <w:t xml:space="preserve">Republikę Portugalii, </w:t>
      </w:r>
      <w:r>
        <w:t xml:space="preserve">Rumunię, </w:t>
      </w:r>
      <w:r w:rsidR="00B303D5">
        <w:t>Republikę Słowacką</w:t>
      </w:r>
      <w:r w:rsidR="00666DA7">
        <w:t xml:space="preserve">, Królestwo Szwecji, </w:t>
      </w:r>
      <w:r>
        <w:t xml:space="preserve">Węgry, </w:t>
      </w:r>
      <w:r w:rsidR="00087A3F">
        <w:t xml:space="preserve">Republikę </w:t>
      </w:r>
      <w:r>
        <w:t>Wło</w:t>
      </w:r>
      <w:r w:rsidR="00087A3F">
        <w:t>ską</w:t>
      </w:r>
      <w:r>
        <w:t xml:space="preserve">, </w:t>
      </w:r>
      <w:r w:rsidR="00666DA7" w:rsidRPr="00666DA7">
        <w:t>Zjednoczon</w:t>
      </w:r>
      <w:r w:rsidR="00C7477A">
        <w:t>e Królestwo Wielkiej Brytanii i </w:t>
      </w:r>
      <w:r w:rsidR="00666DA7" w:rsidRPr="00666DA7">
        <w:t>Irlandii Północnej</w:t>
      </w:r>
      <w:r w:rsidR="00666DA7">
        <w:t xml:space="preserve">, </w:t>
      </w:r>
      <w:r>
        <w:t xml:space="preserve">jak również przez </w:t>
      </w:r>
      <w:r w:rsidR="00087A3F">
        <w:t xml:space="preserve">Republikę </w:t>
      </w:r>
      <w:r>
        <w:t>Islandi</w:t>
      </w:r>
      <w:r w:rsidR="00087A3F">
        <w:t>i</w:t>
      </w:r>
      <w:r>
        <w:t xml:space="preserve">, W szczególności </w:t>
      </w:r>
      <w:r w:rsidR="00087A3F">
        <w:t xml:space="preserve">Republika </w:t>
      </w:r>
      <w:r>
        <w:t>Wło</w:t>
      </w:r>
      <w:r w:rsidR="00087A3F">
        <w:t>ska</w:t>
      </w:r>
      <w:r>
        <w:t xml:space="preserve"> ustosunkowuj</w:t>
      </w:r>
      <w:r w:rsidR="00087A3F">
        <w:t>e</w:t>
      </w:r>
      <w:r>
        <w:t xml:space="preserve"> się do kwestii skuteczności cząstkowej ratyfikac</w:t>
      </w:r>
      <w:r w:rsidR="00C7477A">
        <w:t>ji w deklaracji złożonej wraz z </w:t>
      </w:r>
      <w:r>
        <w:t>dokumentem ratyfikacyjnym: „</w:t>
      </w:r>
      <w:r w:rsidRPr="00391A60">
        <w:rPr>
          <w:rFonts w:eastAsia="Times New Roman"/>
          <w:bCs/>
          <w:lang w:eastAsia="en-GB"/>
        </w:rPr>
        <w:t>W odniesien</w:t>
      </w:r>
      <w:r>
        <w:rPr>
          <w:rFonts w:eastAsia="Times New Roman"/>
          <w:bCs/>
          <w:lang w:eastAsia="en-GB"/>
        </w:rPr>
        <w:t>i</w:t>
      </w:r>
      <w:r w:rsidRPr="00391A60">
        <w:rPr>
          <w:rFonts w:eastAsia="Times New Roman"/>
          <w:bCs/>
          <w:lang w:eastAsia="en-GB"/>
        </w:rPr>
        <w:t xml:space="preserve">u do dokumentów przyjęcia </w:t>
      </w:r>
      <w:r>
        <w:rPr>
          <w:rFonts w:eastAsia="Times New Roman"/>
          <w:bCs/>
          <w:lang w:eastAsia="en-GB"/>
        </w:rPr>
        <w:t>poprawki dauhańskiej do Protokołu z Kioto złożonych dnia 18 czerwca 2016 r., Rząd Republiki Włoskiej chciałby zwrócić uwag</w:t>
      </w:r>
      <w:r w:rsidR="007F4F80">
        <w:rPr>
          <w:rFonts w:eastAsia="Times New Roman"/>
          <w:bCs/>
          <w:lang w:eastAsia="en-GB"/>
        </w:rPr>
        <w:t>ę, że w związku z naturą praw i</w:t>
      </w:r>
      <w:r w:rsidR="00C7477A">
        <w:rPr>
          <w:rFonts w:eastAsia="Times New Roman"/>
          <w:bCs/>
          <w:lang w:eastAsia="en-GB"/>
        </w:rPr>
        <w:t xml:space="preserve"> </w:t>
      </w:r>
      <w:r>
        <w:rPr>
          <w:rFonts w:eastAsia="Times New Roman"/>
          <w:bCs/>
          <w:lang w:eastAsia="en-GB"/>
        </w:rPr>
        <w:t>obowiązków zawartych tamże, oraz biorąc pod uwagę system prawny Unii Europejskiej (UE) i jej państw członkowskich, jej wdrożenie będzie możliwe tylko wtedy, a obowiązki wejdą w życie tylko wówczas, kiedy UE i wszystkie jej państwa członkowskie złożą odpowiednio swoje dokumenty przyjęcia.”</w:t>
      </w:r>
      <w:r w:rsidR="00C61524">
        <w:rPr>
          <w:rFonts w:eastAsia="Times New Roman"/>
          <w:bCs/>
          <w:lang w:eastAsia="en-GB"/>
        </w:rPr>
        <w:t>.</w:t>
      </w:r>
    </w:p>
  </w:footnote>
  <w:footnote w:id="5">
    <w:p w14:paraId="0C486378" w14:textId="1CDB27B5" w:rsidR="00AA4DB7" w:rsidRDefault="006900B1" w:rsidP="00C7477A">
      <w:pPr>
        <w:pStyle w:val="Tekstprzypisudolnego"/>
        <w:ind w:left="284" w:hanging="284"/>
      </w:pPr>
      <w:r>
        <w:rPr>
          <w:rStyle w:val="Odwoanieprzypisudolnego"/>
        </w:rPr>
        <w:footnoteRef/>
      </w:r>
      <w:r w:rsidR="00C73BE8" w:rsidRPr="00087A3F">
        <w:rPr>
          <w:vertAlign w:val="superscript"/>
        </w:rPr>
        <w:t>)</w:t>
      </w:r>
      <w:r>
        <w:tab/>
      </w:r>
      <w:r w:rsidR="00B86A42">
        <w:t xml:space="preserve">Tekst </w:t>
      </w:r>
      <w:r w:rsidR="00B86A42" w:rsidRPr="006900B1">
        <w:t>Porozumienia paryskiego do Ramowej konwencji Narodów Zjednoczonych w sprawie zmian klimatu, sporządzonej w Nowym Jorku dnia 9 maja 1992 r., przyjętego w Paryżu w dniu 12 grudnia 2015 r.</w:t>
      </w:r>
      <w:r w:rsidR="00C61524">
        <w:t>,</w:t>
      </w:r>
      <w:r w:rsidR="00B86A42">
        <w:t xml:space="preserve"> został ogłoszony</w:t>
      </w:r>
      <w:r w:rsidR="00AA4DB7">
        <w:t xml:space="preserve"> w Dz. U. z 2017 r. poz. 36</w:t>
      </w:r>
      <w:r w:rsidR="00B86A42">
        <w:t>.</w:t>
      </w:r>
    </w:p>
  </w:footnote>
  <w:footnote w:id="6">
    <w:p w14:paraId="501CB44E" w14:textId="3A2AD78B" w:rsidR="003B533E" w:rsidRDefault="003B533E" w:rsidP="00C7477A">
      <w:pPr>
        <w:pStyle w:val="Tekstprzypisudolnego"/>
        <w:ind w:left="284" w:hanging="284"/>
      </w:pPr>
      <w:r>
        <w:rPr>
          <w:rStyle w:val="Odwoanieprzypisudolnego"/>
        </w:rPr>
        <w:footnoteRef/>
      </w:r>
      <w:r w:rsidR="00C73BE8" w:rsidRPr="00087A3F">
        <w:rPr>
          <w:vertAlign w:val="superscript"/>
        </w:rPr>
        <w:t>)</w:t>
      </w:r>
      <w:r>
        <w:tab/>
        <w:t>Zgodnie z art. 4 Protokołu z Kioto takie porozumienie należy przedłożyć wraz z dokumentem ratyfikacyjnym i pozostaje ono w mocy przez cały okres zobowiązań.</w:t>
      </w:r>
    </w:p>
  </w:footnote>
  <w:footnote w:id="7">
    <w:p w14:paraId="783DF9A3" w14:textId="565F1A36" w:rsidR="00064A1E" w:rsidRDefault="00064A1E" w:rsidP="00C7477A">
      <w:pPr>
        <w:pStyle w:val="Tekstprzypisudolnego"/>
        <w:ind w:left="284" w:hanging="284"/>
      </w:pPr>
      <w:r>
        <w:rPr>
          <w:rStyle w:val="Odwoanieprzypisudolnego"/>
        </w:rPr>
        <w:footnoteRef/>
      </w:r>
      <w:r w:rsidR="00FB3EFF" w:rsidRPr="00087A3F">
        <w:rPr>
          <w:vertAlign w:val="superscript"/>
        </w:rPr>
        <w:t>)</w:t>
      </w:r>
      <w:r>
        <w:tab/>
        <w:t xml:space="preserve">Wg projekcji Krajowego Ośrodka Bilansowania i Zarządzania Emisjami, RP może uzyskać nadwyżkę </w:t>
      </w:r>
      <w:r w:rsidR="008739F2" w:rsidRPr="00667F76">
        <w:rPr>
          <w:bCs/>
        </w:rPr>
        <w:t>jednostek przyznanej</w:t>
      </w:r>
      <w:r w:rsidR="00C7477A">
        <w:rPr>
          <w:bCs/>
        </w:rPr>
        <w:t xml:space="preserve"> </w:t>
      </w:r>
      <w:r>
        <w:t xml:space="preserve">emisji w drugim okresie zobowiązań, w wyniku przekroczenia swoich celów redukcyjnych, na poziomie 25,9 mln. Ponadto, w wyniku podziału nadwyżki </w:t>
      </w:r>
      <w:r w:rsidR="008739F2" w:rsidRPr="00667F76">
        <w:rPr>
          <w:bCs/>
        </w:rPr>
        <w:t xml:space="preserve">jednostek przyznanej emisji </w:t>
      </w:r>
      <w:r>
        <w:t>UE na koniec drugiego okresu zobowiązań, zgodnie z kluczem</w:t>
      </w:r>
      <w:r w:rsidR="00C61524">
        <w:t>,</w:t>
      </w:r>
      <w:r>
        <w:t xml:space="preserve"> o którym mowa </w:t>
      </w:r>
      <w:r w:rsidR="00C61524">
        <w:t xml:space="preserve">w </w:t>
      </w:r>
      <w:r>
        <w:t>niniejsz</w:t>
      </w:r>
      <w:r w:rsidR="00C61524">
        <w:t>ym</w:t>
      </w:r>
      <w:r>
        <w:t xml:space="preserve"> uzasadnieni</w:t>
      </w:r>
      <w:r w:rsidR="00C61524">
        <w:t>u</w:t>
      </w:r>
      <w:r>
        <w:t xml:space="preserve">, RP może liczyć na kolejne 77 mln </w:t>
      </w:r>
      <w:r w:rsidR="008739F2" w:rsidRPr="00667F76">
        <w:rPr>
          <w:bCs/>
        </w:rPr>
        <w:t>jednostek przyznanej emisji</w:t>
      </w:r>
      <w:r w:rsidR="005D2DEF">
        <w:t>, przy założeniu że nadwyżka unijna będzie wynikała z realnych emisji w sektorze EU ETS w drugim okresie zobowiązań</w:t>
      </w:r>
      <w:r>
        <w:t xml:space="preserve">. Szacunki te nie obejmują nadwyżki </w:t>
      </w:r>
      <w:r w:rsidR="008739F2" w:rsidRPr="00667F76">
        <w:rPr>
          <w:bCs/>
        </w:rPr>
        <w:t xml:space="preserve">jednostek przyznanej emisji </w:t>
      </w:r>
      <w:r>
        <w:t>wypracowanej przez RP w pierwszym okresie zobowiązań, która już obec</w:t>
      </w:r>
      <w:r w:rsidR="009C5B2E">
        <w:t>nie pozostaje w dyspozycji RP w </w:t>
      </w:r>
      <w:r w:rsidR="006B4239">
        <w:t xml:space="preserve">krajowym </w:t>
      </w:r>
      <w:r>
        <w:t>rejestrze</w:t>
      </w:r>
      <w:r w:rsidR="006B4239">
        <w:t xml:space="preserve"> uprawnień.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A1D8A"/>
    <w:multiLevelType w:val="hybridMultilevel"/>
    <w:tmpl w:val="C4383F78"/>
    <w:lvl w:ilvl="0" w:tplc="B46E4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B76D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93669E1"/>
    <w:multiLevelType w:val="hybridMultilevel"/>
    <w:tmpl w:val="6AD6F5CE"/>
    <w:lvl w:ilvl="0" w:tplc="B46E4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825D48"/>
    <w:multiLevelType w:val="hybridMultilevel"/>
    <w:tmpl w:val="AD60BE9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>
    <w:nsid w:val="2B8A08B2"/>
    <w:multiLevelType w:val="hybridMultilevel"/>
    <w:tmpl w:val="74321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7A7E6D"/>
    <w:multiLevelType w:val="hybridMultilevel"/>
    <w:tmpl w:val="3488C16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234690"/>
    <w:multiLevelType w:val="hybridMultilevel"/>
    <w:tmpl w:val="938AA97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8304A0F"/>
    <w:multiLevelType w:val="hybridMultilevel"/>
    <w:tmpl w:val="E28CC6E4"/>
    <w:lvl w:ilvl="0" w:tplc="B46E4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637CB2"/>
    <w:multiLevelType w:val="hybridMultilevel"/>
    <w:tmpl w:val="14A8B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6110CE"/>
    <w:multiLevelType w:val="hybridMultilevel"/>
    <w:tmpl w:val="B02E78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3E1BB7"/>
    <w:multiLevelType w:val="hybridMultilevel"/>
    <w:tmpl w:val="C08064A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5183685E"/>
    <w:multiLevelType w:val="hybridMultilevel"/>
    <w:tmpl w:val="72E06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E91E73"/>
    <w:multiLevelType w:val="hybridMultilevel"/>
    <w:tmpl w:val="CAE09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3D50F0"/>
    <w:multiLevelType w:val="hybridMultilevel"/>
    <w:tmpl w:val="AB962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D76172"/>
    <w:multiLevelType w:val="hybridMultilevel"/>
    <w:tmpl w:val="EA1CF2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E86841"/>
    <w:multiLevelType w:val="hybridMultilevel"/>
    <w:tmpl w:val="9DAEA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F73623F"/>
    <w:multiLevelType w:val="hybridMultilevel"/>
    <w:tmpl w:val="B23E94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CA2F55"/>
    <w:multiLevelType w:val="hybridMultilevel"/>
    <w:tmpl w:val="14E62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C76671"/>
    <w:multiLevelType w:val="hybridMultilevel"/>
    <w:tmpl w:val="68785A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0D03F4"/>
    <w:multiLevelType w:val="hybridMultilevel"/>
    <w:tmpl w:val="C4BE6A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2"/>
  </w:num>
  <w:num w:numId="4">
    <w:abstractNumId w:val="11"/>
  </w:num>
  <w:num w:numId="5">
    <w:abstractNumId w:val="1"/>
  </w:num>
  <w:num w:numId="6">
    <w:abstractNumId w:val="18"/>
  </w:num>
  <w:num w:numId="7">
    <w:abstractNumId w:val="16"/>
  </w:num>
  <w:num w:numId="8">
    <w:abstractNumId w:val="5"/>
  </w:num>
  <w:num w:numId="9">
    <w:abstractNumId w:val="6"/>
  </w:num>
  <w:num w:numId="10">
    <w:abstractNumId w:val="14"/>
  </w:num>
  <w:num w:numId="11">
    <w:abstractNumId w:val="10"/>
  </w:num>
  <w:num w:numId="12">
    <w:abstractNumId w:val="13"/>
  </w:num>
  <w:num w:numId="13">
    <w:abstractNumId w:val="17"/>
  </w:num>
  <w:num w:numId="14">
    <w:abstractNumId w:val="8"/>
  </w:num>
  <w:num w:numId="15">
    <w:abstractNumId w:val="2"/>
  </w:num>
  <w:num w:numId="16">
    <w:abstractNumId w:val="7"/>
  </w:num>
  <w:num w:numId="17">
    <w:abstractNumId w:val="0"/>
  </w:num>
  <w:num w:numId="18">
    <w:abstractNumId w:val="9"/>
  </w:num>
  <w:num w:numId="19">
    <w:abstractNumId w:val="19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C87"/>
    <w:rsid w:val="0002512D"/>
    <w:rsid w:val="00027322"/>
    <w:rsid w:val="00030926"/>
    <w:rsid w:val="00030E4F"/>
    <w:rsid w:val="000357EB"/>
    <w:rsid w:val="000416AB"/>
    <w:rsid w:val="00043E3B"/>
    <w:rsid w:val="000452EB"/>
    <w:rsid w:val="00047EBF"/>
    <w:rsid w:val="00050A1D"/>
    <w:rsid w:val="00061A94"/>
    <w:rsid w:val="00064A1E"/>
    <w:rsid w:val="000709F3"/>
    <w:rsid w:val="000754DB"/>
    <w:rsid w:val="00075E20"/>
    <w:rsid w:val="00082B76"/>
    <w:rsid w:val="00087A3F"/>
    <w:rsid w:val="000A0D98"/>
    <w:rsid w:val="000A25D3"/>
    <w:rsid w:val="000B23A9"/>
    <w:rsid w:val="000B6AB2"/>
    <w:rsid w:val="000C325A"/>
    <w:rsid w:val="000D02CC"/>
    <w:rsid w:val="000E1E63"/>
    <w:rsid w:val="0010735C"/>
    <w:rsid w:val="001103BF"/>
    <w:rsid w:val="00114082"/>
    <w:rsid w:val="0011606D"/>
    <w:rsid w:val="00116A0E"/>
    <w:rsid w:val="00137585"/>
    <w:rsid w:val="00141BE3"/>
    <w:rsid w:val="00144FAE"/>
    <w:rsid w:val="00147660"/>
    <w:rsid w:val="00151C87"/>
    <w:rsid w:val="0017194F"/>
    <w:rsid w:val="00180FEA"/>
    <w:rsid w:val="001D784D"/>
    <w:rsid w:val="001F1798"/>
    <w:rsid w:val="001F419C"/>
    <w:rsid w:val="001F63CD"/>
    <w:rsid w:val="001F669B"/>
    <w:rsid w:val="002039A1"/>
    <w:rsid w:val="00211CF0"/>
    <w:rsid w:val="002139AD"/>
    <w:rsid w:val="002240A8"/>
    <w:rsid w:val="002425DE"/>
    <w:rsid w:val="00244D89"/>
    <w:rsid w:val="002503F8"/>
    <w:rsid w:val="00272129"/>
    <w:rsid w:val="00275334"/>
    <w:rsid w:val="002778E6"/>
    <w:rsid w:val="00282815"/>
    <w:rsid w:val="00283FF3"/>
    <w:rsid w:val="00296CBE"/>
    <w:rsid w:val="002B09AC"/>
    <w:rsid w:val="002C3211"/>
    <w:rsid w:val="002C5BF7"/>
    <w:rsid w:val="002D3F68"/>
    <w:rsid w:val="00303AC1"/>
    <w:rsid w:val="003234D4"/>
    <w:rsid w:val="00325419"/>
    <w:rsid w:val="00325734"/>
    <w:rsid w:val="00327004"/>
    <w:rsid w:val="003316A4"/>
    <w:rsid w:val="00334C8B"/>
    <w:rsid w:val="003418E6"/>
    <w:rsid w:val="003506DC"/>
    <w:rsid w:val="00376E70"/>
    <w:rsid w:val="003816E0"/>
    <w:rsid w:val="00383881"/>
    <w:rsid w:val="00387160"/>
    <w:rsid w:val="003A288D"/>
    <w:rsid w:val="003A7E62"/>
    <w:rsid w:val="003B533E"/>
    <w:rsid w:val="003B63BA"/>
    <w:rsid w:val="003B655E"/>
    <w:rsid w:val="003C5B56"/>
    <w:rsid w:val="003D067D"/>
    <w:rsid w:val="003D1CBB"/>
    <w:rsid w:val="003F0801"/>
    <w:rsid w:val="003F47C5"/>
    <w:rsid w:val="00405A32"/>
    <w:rsid w:val="0041623D"/>
    <w:rsid w:val="004170A8"/>
    <w:rsid w:val="004204DD"/>
    <w:rsid w:val="00425438"/>
    <w:rsid w:val="0044532F"/>
    <w:rsid w:val="00447D6A"/>
    <w:rsid w:val="004513B5"/>
    <w:rsid w:val="004543F0"/>
    <w:rsid w:val="00467118"/>
    <w:rsid w:val="00493AF4"/>
    <w:rsid w:val="004B5AC0"/>
    <w:rsid w:val="004C6068"/>
    <w:rsid w:val="004E009C"/>
    <w:rsid w:val="004F087C"/>
    <w:rsid w:val="00501D68"/>
    <w:rsid w:val="00507626"/>
    <w:rsid w:val="005165FC"/>
    <w:rsid w:val="00527B11"/>
    <w:rsid w:val="00533288"/>
    <w:rsid w:val="00533DE8"/>
    <w:rsid w:val="0053521F"/>
    <w:rsid w:val="00541220"/>
    <w:rsid w:val="00550509"/>
    <w:rsid w:val="00552F94"/>
    <w:rsid w:val="00555EA4"/>
    <w:rsid w:val="005629A8"/>
    <w:rsid w:val="00566E23"/>
    <w:rsid w:val="00570A9C"/>
    <w:rsid w:val="00574536"/>
    <w:rsid w:val="005861D1"/>
    <w:rsid w:val="0059378F"/>
    <w:rsid w:val="005B2F0D"/>
    <w:rsid w:val="005D16F8"/>
    <w:rsid w:val="005D2DEF"/>
    <w:rsid w:val="005D58E1"/>
    <w:rsid w:val="005D7C65"/>
    <w:rsid w:val="005F3F05"/>
    <w:rsid w:val="00603170"/>
    <w:rsid w:val="00617670"/>
    <w:rsid w:val="0062221A"/>
    <w:rsid w:val="0063441E"/>
    <w:rsid w:val="00645183"/>
    <w:rsid w:val="006511DA"/>
    <w:rsid w:val="0065559A"/>
    <w:rsid w:val="00655C62"/>
    <w:rsid w:val="0065624B"/>
    <w:rsid w:val="00664173"/>
    <w:rsid w:val="006654D2"/>
    <w:rsid w:val="006666CB"/>
    <w:rsid w:val="00666DA7"/>
    <w:rsid w:val="00667F76"/>
    <w:rsid w:val="00670EDC"/>
    <w:rsid w:val="00686051"/>
    <w:rsid w:val="00687147"/>
    <w:rsid w:val="006900B1"/>
    <w:rsid w:val="00694E4D"/>
    <w:rsid w:val="006A5E33"/>
    <w:rsid w:val="006B245A"/>
    <w:rsid w:val="006B4239"/>
    <w:rsid w:val="006B5B22"/>
    <w:rsid w:val="006C3542"/>
    <w:rsid w:val="006D11F2"/>
    <w:rsid w:val="006E0BE4"/>
    <w:rsid w:val="006F3EAF"/>
    <w:rsid w:val="00701711"/>
    <w:rsid w:val="00722846"/>
    <w:rsid w:val="00724E74"/>
    <w:rsid w:val="007344DC"/>
    <w:rsid w:val="00735FF9"/>
    <w:rsid w:val="00742662"/>
    <w:rsid w:val="00757CF1"/>
    <w:rsid w:val="00763928"/>
    <w:rsid w:val="00767910"/>
    <w:rsid w:val="00774D31"/>
    <w:rsid w:val="00782061"/>
    <w:rsid w:val="00797E0B"/>
    <w:rsid w:val="007B39C8"/>
    <w:rsid w:val="007C1E02"/>
    <w:rsid w:val="007D2BDF"/>
    <w:rsid w:val="007D4380"/>
    <w:rsid w:val="007E57CA"/>
    <w:rsid w:val="007F4F80"/>
    <w:rsid w:val="00804EAE"/>
    <w:rsid w:val="00813246"/>
    <w:rsid w:val="00815CC9"/>
    <w:rsid w:val="00816076"/>
    <w:rsid w:val="00830B71"/>
    <w:rsid w:val="0083686A"/>
    <w:rsid w:val="0084031D"/>
    <w:rsid w:val="008469E3"/>
    <w:rsid w:val="00850FFD"/>
    <w:rsid w:val="0086042E"/>
    <w:rsid w:val="008639FA"/>
    <w:rsid w:val="0087326D"/>
    <w:rsid w:val="008739F2"/>
    <w:rsid w:val="00890FB6"/>
    <w:rsid w:val="00892D45"/>
    <w:rsid w:val="008A1A09"/>
    <w:rsid w:val="008C019A"/>
    <w:rsid w:val="008C077C"/>
    <w:rsid w:val="008C3F18"/>
    <w:rsid w:val="008C70BD"/>
    <w:rsid w:val="008D325C"/>
    <w:rsid w:val="008D66E5"/>
    <w:rsid w:val="008F0970"/>
    <w:rsid w:val="008F1591"/>
    <w:rsid w:val="008F4AF7"/>
    <w:rsid w:val="009115BE"/>
    <w:rsid w:val="00913E10"/>
    <w:rsid w:val="00913E95"/>
    <w:rsid w:val="00914D1C"/>
    <w:rsid w:val="00925F7C"/>
    <w:rsid w:val="00931036"/>
    <w:rsid w:val="0093399E"/>
    <w:rsid w:val="009541AA"/>
    <w:rsid w:val="00961051"/>
    <w:rsid w:val="00976F96"/>
    <w:rsid w:val="00987EFF"/>
    <w:rsid w:val="0099087F"/>
    <w:rsid w:val="009A4618"/>
    <w:rsid w:val="009B6856"/>
    <w:rsid w:val="009C02B0"/>
    <w:rsid w:val="009C5B2E"/>
    <w:rsid w:val="009C7914"/>
    <w:rsid w:val="009C7ABF"/>
    <w:rsid w:val="009D1099"/>
    <w:rsid w:val="009D6AF4"/>
    <w:rsid w:val="009F16E7"/>
    <w:rsid w:val="00A059DF"/>
    <w:rsid w:val="00A06523"/>
    <w:rsid w:val="00A12C68"/>
    <w:rsid w:val="00A13545"/>
    <w:rsid w:val="00A22CA9"/>
    <w:rsid w:val="00A31031"/>
    <w:rsid w:val="00A33E0B"/>
    <w:rsid w:val="00A42A5B"/>
    <w:rsid w:val="00A4584E"/>
    <w:rsid w:val="00A66047"/>
    <w:rsid w:val="00A70B20"/>
    <w:rsid w:val="00A82825"/>
    <w:rsid w:val="00A85A59"/>
    <w:rsid w:val="00AA4DB7"/>
    <w:rsid w:val="00AB679F"/>
    <w:rsid w:val="00AC2B6C"/>
    <w:rsid w:val="00AD090D"/>
    <w:rsid w:val="00AD1428"/>
    <w:rsid w:val="00AD6888"/>
    <w:rsid w:val="00AF1D1B"/>
    <w:rsid w:val="00AF4555"/>
    <w:rsid w:val="00AF582A"/>
    <w:rsid w:val="00AF5DA5"/>
    <w:rsid w:val="00B0676D"/>
    <w:rsid w:val="00B10575"/>
    <w:rsid w:val="00B17308"/>
    <w:rsid w:val="00B24FD0"/>
    <w:rsid w:val="00B26066"/>
    <w:rsid w:val="00B303D5"/>
    <w:rsid w:val="00B45DE0"/>
    <w:rsid w:val="00B60CEE"/>
    <w:rsid w:val="00B618F1"/>
    <w:rsid w:val="00B63ADA"/>
    <w:rsid w:val="00B73482"/>
    <w:rsid w:val="00B811A6"/>
    <w:rsid w:val="00B81C20"/>
    <w:rsid w:val="00B86A42"/>
    <w:rsid w:val="00B90E7B"/>
    <w:rsid w:val="00B9579E"/>
    <w:rsid w:val="00BA4228"/>
    <w:rsid w:val="00BA62F4"/>
    <w:rsid w:val="00BA7EE9"/>
    <w:rsid w:val="00BC513A"/>
    <w:rsid w:val="00BC636F"/>
    <w:rsid w:val="00BD0530"/>
    <w:rsid w:val="00BD0EC3"/>
    <w:rsid w:val="00BD13B5"/>
    <w:rsid w:val="00BE0925"/>
    <w:rsid w:val="00BF56CC"/>
    <w:rsid w:val="00C0138A"/>
    <w:rsid w:val="00C03FF2"/>
    <w:rsid w:val="00C14E98"/>
    <w:rsid w:val="00C22412"/>
    <w:rsid w:val="00C22484"/>
    <w:rsid w:val="00C22ECA"/>
    <w:rsid w:val="00C25B2C"/>
    <w:rsid w:val="00C27F41"/>
    <w:rsid w:val="00C36D50"/>
    <w:rsid w:val="00C3727A"/>
    <w:rsid w:val="00C530E4"/>
    <w:rsid w:val="00C54134"/>
    <w:rsid w:val="00C61524"/>
    <w:rsid w:val="00C72201"/>
    <w:rsid w:val="00C73BE8"/>
    <w:rsid w:val="00C7477A"/>
    <w:rsid w:val="00C75997"/>
    <w:rsid w:val="00C76599"/>
    <w:rsid w:val="00C97B9B"/>
    <w:rsid w:val="00CA01FC"/>
    <w:rsid w:val="00CB3FE6"/>
    <w:rsid w:val="00CC3A84"/>
    <w:rsid w:val="00CC68BC"/>
    <w:rsid w:val="00CE3841"/>
    <w:rsid w:val="00CE799C"/>
    <w:rsid w:val="00CF187A"/>
    <w:rsid w:val="00CF6A48"/>
    <w:rsid w:val="00D124C9"/>
    <w:rsid w:val="00D12B28"/>
    <w:rsid w:val="00D25D4B"/>
    <w:rsid w:val="00D26482"/>
    <w:rsid w:val="00D4223D"/>
    <w:rsid w:val="00D51172"/>
    <w:rsid w:val="00D60496"/>
    <w:rsid w:val="00D61CA1"/>
    <w:rsid w:val="00D6636A"/>
    <w:rsid w:val="00D76F86"/>
    <w:rsid w:val="00D852E2"/>
    <w:rsid w:val="00D92FB9"/>
    <w:rsid w:val="00DA7765"/>
    <w:rsid w:val="00DC23C5"/>
    <w:rsid w:val="00DC354D"/>
    <w:rsid w:val="00DC36AC"/>
    <w:rsid w:val="00DD1746"/>
    <w:rsid w:val="00DF21CB"/>
    <w:rsid w:val="00DF33FC"/>
    <w:rsid w:val="00DF6E74"/>
    <w:rsid w:val="00E03547"/>
    <w:rsid w:val="00E11795"/>
    <w:rsid w:val="00E14FBE"/>
    <w:rsid w:val="00E21C5F"/>
    <w:rsid w:val="00E44EDF"/>
    <w:rsid w:val="00E45B05"/>
    <w:rsid w:val="00E4607A"/>
    <w:rsid w:val="00E47360"/>
    <w:rsid w:val="00E611B2"/>
    <w:rsid w:val="00E66EEE"/>
    <w:rsid w:val="00E73BB9"/>
    <w:rsid w:val="00EB56EF"/>
    <w:rsid w:val="00EC6112"/>
    <w:rsid w:val="00ED4328"/>
    <w:rsid w:val="00ED70B1"/>
    <w:rsid w:val="00EE1669"/>
    <w:rsid w:val="00EF1088"/>
    <w:rsid w:val="00EF3E7B"/>
    <w:rsid w:val="00EF4AB9"/>
    <w:rsid w:val="00F20303"/>
    <w:rsid w:val="00F36B17"/>
    <w:rsid w:val="00F476ED"/>
    <w:rsid w:val="00F50519"/>
    <w:rsid w:val="00F64743"/>
    <w:rsid w:val="00F73A17"/>
    <w:rsid w:val="00F873F5"/>
    <w:rsid w:val="00F934EC"/>
    <w:rsid w:val="00FA49D6"/>
    <w:rsid w:val="00FA7177"/>
    <w:rsid w:val="00FB3EFF"/>
    <w:rsid w:val="00FB767E"/>
    <w:rsid w:val="00FC2069"/>
    <w:rsid w:val="00FC4826"/>
    <w:rsid w:val="00FD32AF"/>
    <w:rsid w:val="00FF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E5342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1C87"/>
    <w:pPr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sz w:val="20"/>
      <w:szCs w:val="20"/>
      <w:lang w:val="pl-PL" w:eastAsia="pl-PL" w:bidi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1C87"/>
    <w:rPr>
      <w:rFonts w:ascii="Times New Roman" w:eastAsia="Calibri" w:hAnsi="Times New Roman" w:cs="Times New Roman"/>
      <w:sz w:val="20"/>
      <w:szCs w:val="20"/>
      <w:lang w:eastAsia="pl-PL" w:bidi="pl-PL"/>
    </w:rPr>
  </w:style>
  <w:style w:type="character" w:styleId="Odwoanieprzypisudolnego">
    <w:name w:val="footnote reference"/>
    <w:uiPriority w:val="99"/>
    <w:semiHidden/>
    <w:unhideWhenUsed/>
    <w:rsid w:val="00151C87"/>
    <w:rPr>
      <w:shd w:val="clear" w:color="auto" w:fill="auto"/>
      <w:vertAlign w:val="superscript"/>
    </w:rPr>
  </w:style>
  <w:style w:type="paragraph" w:styleId="Akapitzlist">
    <w:name w:val="List Paragraph"/>
    <w:aliases w:val="Numbered Para 1,Dot pt,No Spacing1,List Paragraph Char Char Char,Indicator Text,List Paragraph1,Bullet 1,Bullet Points,MAIN CONTENT,IFCL - List Paragraph,List Paragraph12,OBC Bullet,F5 List Paragraph,Colorful List - Accent 11,Bullet Style"/>
    <w:basedOn w:val="Normalny"/>
    <w:link w:val="AkapitzlistZnak"/>
    <w:uiPriority w:val="34"/>
    <w:qFormat/>
    <w:rsid w:val="00151C87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51C87"/>
    <w:pPr>
      <w:spacing w:after="120" w:line="276" w:lineRule="auto"/>
    </w:pPr>
    <w:rPr>
      <w:rFonts w:ascii="Calibri" w:eastAsia="Calibri" w:hAnsi="Calibri" w:cs="Times New Roman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51C8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21F"/>
    <w:rPr>
      <w:rFonts w:ascii="Tahoma" w:hAnsi="Tahoma" w:cs="Tahoma"/>
      <w:sz w:val="16"/>
      <w:szCs w:val="16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757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CF1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757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CF1"/>
    <w:rPr>
      <w:lang w:val="en-GB"/>
    </w:rPr>
  </w:style>
  <w:style w:type="character" w:styleId="Hipercze">
    <w:name w:val="Hyperlink"/>
    <w:basedOn w:val="Domylnaczcionkaakapitu"/>
    <w:uiPriority w:val="99"/>
    <w:unhideWhenUsed/>
    <w:rsid w:val="006511DA"/>
    <w:rPr>
      <w:color w:val="0563C1" w:themeColor="hyperlink"/>
      <w:u w:val="single"/>
    </w:rPr>
  </w:style>
  <w:style w:type="character" w:customStyle="1" w:styleId="AkapitzlistZnak">
    <w:name w:val="Akapit z listą Znak"/>
    <w:aliases w:val="Numbered Para 1 Znak,Dot pt Znak,No Spacing1 Znak,List Paragraph Char Char Char Znak,Indicator Text Znak,List Paragraph1 Znak,Bullet 1 Znak,Bullet Points Znak,MAIN CONTENT Znak,IFCL - List Paragraph Znak,List Paragraph12 Znak"/>
    <w:link w:val="Akapitzlist"/>
    <w:uiPriority w:val="34"/>
    <w:qFormat/>
    <w:locked/>
    <w:rsid w:val="002778E6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76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76E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76ED"/>
    <w:rPr>
      <w:sz w:val="20"/>
      <w:szCs w:val="20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76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76ED"/>
    <w:rPr>
      <w:b/>
      <w:bCs/>
      <w:sz w:val="20"/>
      <w:szCs w:val="20"/>
      <w:lang w:val="en-GB"/>
    </w:rPr>
  </w:style>
  <w:style w:type="paragraph" w:styleId="Bezodstpw">
    <w:name w:val="No Spacing"/>
    <w:uiPriority w:val="1"/>
    <w:qFormat/>
    <w:rsid w:val="00AF5DA5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1C87"/>
    <w:pPr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sz w:val="20"/>
      <w:szCs w:val="20"/>
      <w:lang w:val="pl-PL" w:eastAsia="pl-PL" w:bidi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1C87"/>
    <w:rPr>
      <w:rFonts w:ascii="Times New Roman" w:eastAsia="Calibri" w:hAnsi="Times New Roman" w:cs="Times New Roman"/>
      <w:sz w:val="20"/>
      <w:szCs w:val="20"/>
      <w:lang w:eastAsia="pl-PL" w:bidi="pl-PL"/>
    </w:rPr>
  </w:style>
  <w:style w:type="character" w:styleId="Odwoanieprzypisudolnego">
    <w:name w:val="footnote reference"/>
    <w:uiPriority w:val="99"/>
    <w:semiHidden/>
    <w:unhideWhenUsed/>
    <w:rsid w:val="00151C87"/>
    <w:rPr>
      <w:shd w:val="clear" w:color="auto" w:fill="auto"/>
      <w:vertAlign w:val="superscript"/>
    </w:rPr>
  </w:style>
  <w:style w:type="paragraph" w:styleId="Akapitzlist">
    <w:name w:val="List Paragraph"/>
    <w:aliases w:val="Numbered Para 1,Dot pt,No Spacing1,List Paragraph Char Char Char,Indicator Text,List Paragraph1,Bullet 1,Bullet Points,MAIN CONTENT,IFCL - List Paragraph,List Paragraph12,OBC Bullet,F5 List Paragraph,Colorful List - Accent 11,Bullet Style"/>
    <w:basedOn w:val="Normalny"/>
    <w:link w:val="AkapitzlistZnak"/>
    <w:uiPriority w:val="34"/>
    <w:qFormat/>
    <w:rsid w:val="00151C87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51C87"/>
    <w:pPr>
      <w:spacing w:after="120" w:line="276" w:lineRule="auto"/>
    </w:pPr>
    <w:rPr>
      <w:rFonts w:ascii="Calibri" w:eastAsia="Calibri" w:hAnsi="Calibri" w:cs="Times New Roman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51C8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21F"/>
    <w:rPr>
      <w:rFonts w:ascii="Tahoma" w:hAnsi="Tahoma" w:cs="Tahoma"/>
      <w:sz w:val="16"/>
      <w:szCs w:val="16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757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CF1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757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CF1"/>
    <w:rPr>
      <w:lang w:val="en-GB"/>
    </w:rPr>
  </w:style>
  <w:style w:type="character" w:styleId="Hipercze">
    <w:name w:val="Hyperlink"/>
    <w:basedOn w:val="Domylnaczcionkaakapitu"/>
    <w:uiPriority w:val="99"/>
    <w:unhideWhenUsed/>
    <w:rsid w:val="006511DA"/>
    <w:rPr>
      <w:color w:val="0563C1" w:themeColor="hyperlink"/>
      <w:u w:val="single"/>
    </w:rPr>
  </w:style>
  <w:style w:type="character" w:customStyle="1" w:styleId="AkapitzlistZnak">
    <w:name w:val="Akapit z listą Znak"/>
    <w:aliases w:val="Numbered Para 1 Znak,Dot pt Znak,No Spacing1 Znak,List Paragraph Char Char Char Znak,Indicator Text Znak,List Paragraph1 Znak,Bullet 1 Znak,Bullet Points Znak,MAIN CONTENT Znak,IFCL - List Paragraph Znak,List Paragraph12 Znak"/>
    <w:link w:val="Akapitzlist"/>
    <w:uiPriority w:val="34"/>
    <w:qFormat/>
    <w:locked/>
    <w:rsid w:val="002778E6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76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76E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76ED"/>
    <w:rPr>
      <w:sz w:val="20"/>
      <w:szCs w:val="20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76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76ED"/>
    <w:rPr>
      <w:b/>
      <w:bCs/>
      <w:sz w:val="20"/>
      <w:szCs w:val="20"/>
      <w:lang w:val="en-GB"/>
    </w:rPr>
  </w:style>
  <w:style w:type="paragraph" w:styleId="Bezodstpw">
    <w:name w:val="No Spacing"/>
    <w:uiPriority w:val="1"/>
    <w:qFormat/>
    <w:rsid w:val="00AF5DA5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5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Odbiorcy2 xmlns="5894aa58-1ce0-4beb-8990-6c4df438650e">Wszyscy</Odbiorcy2>
    <NazwaPliku xmlns="27588a64-7e15-4d55-b115-916ec30e6fa0">3  KP2 - uzasadnienie v6.docx</NazwaPliku>
    <Osoba xmlns="27588a64-7e15-4d55-b115-916ec30e6fa0">GGROBICK</Osob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C5B90E07578C469D7251E6B6961B74" ma:contentTypeVersion="2" ma:contentTypeDescription="Utwórz nowy dokument." ma:contentTypeScope="" ma:versionID="74fc6d7c5d3480dc53c66cd70f157a41">
  <xsd:schema xmlns:xsd="http://www.w3.org/2001/XMLSchema" xmlns:p="http://schemas.microsoft.com/office/2006/metadata/properties" xmlns:ns2="5894aa58-1ce0-4beb-8990-6c4df438650e" xmlns:ns3="27588a64-7e15-4d55-b115-916ec30e6fa0" targetNamespace="http://schemas.microsoft.com/office/2006/metadata/properties" ma:root="true" ma:fieldsID="010e140c64ef0508716cc4de53dafe6d" ns2:_="" ns3:_="">
    <xsd:import namespace="5894aa58-1ce0-4beb-8990-6c4df438650e"/>
    <xsd:import namespace="27588a64-7e15-4d55-b115-916ec30e6fa0"/>
    <xsd:element name="properties">
      <xsd:complexType>
        <xsd:sequence>
          <xsd:element name="documentManagement">
            <xsd:complexType>
              <xsd:all>
                <xsd:element ref="ns2:Odbiorcy2" minOccurs="0"/>
                <xsd:element ref="ns3:Osoba" minOccurs="0"/>
                <xsd:element ref="ns3:NazwaPliku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5894aa58-1ce0-4beb-8990-6c4df438650e" elementFormDefault="qualified">
    <xsd:import namespace="http://schemas.microsoft.com/office/2006/documentManagement/types"/>
    <xsd:element name="Odbiorcy2" ma:index="8" nillable="true" ma:displayName="Odbiorcy2" ma:default="Wszyscy" ma:format="Dropdown" ma:internalName="Odbiorcy2" ma:readOnly="false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:xsd="http://www.w3.org/2001/XMLSchema" xmlns:dms="http://schemas.microsoft.com/office/2006/documentManagement/types" targetNamespace="27588a64-7e15-4d55-b115-916ec30e6fa0" elementFormDefault="qualified">
    <xsd:import namespace="http://schemas.microsoft.com/office/2006/documentManagement/types"/>
    <xsd:element name="Osoba" ma:index="9" nillable="true" ma:displayName="Osoba" ma:internalName="Osoba">
      <xsd:simpleType>
        <xsd:restriction base="dms:Text">
          <xsd:maxLength value="255"/>
        </xsd:restriction>
      </xsd:simpleType>
    </xsd:element>
    <xsd:element name="NazwaPliku" ma:index="10" nillable="true" ma:displayName="NazwaPliku" ma:internalName="NazwaPlik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470C8-C6EB-4454-8970-DE47FF1538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2F3A53-64E7-4A38-B878-316293BE2A2E}">
  <ds:schemaRefs>
    <ds:schemaRef ds:uri="http://schemas.microsoft.com/office/2006/documentManagement/types"/>
    <ds:schemaRef ds:uri="http://purl.org/dc/elements/1.1/"/>
    <ds:schemaRef ds:uri="http://purl.org/dc/dcmitype/"/>
    <ds:schemaRef ds:uri="27588a64-7e15-4d55-b115-916ec30e6fa0"/>
    <ds:schemaRef ds:uri="http://schemas.openxmlformats.org/package/2006/metadata/core-properties"/>
    <ds:schemaRef ds:uri="http://purl.org/dc/terms/"/>
    <ds:schemaRef ds:uri="http://schemas.microsoft.com/office/2006/metadata/properties"/>
    <ds:schemaRef ds:uri="5894aa58-1ce0-4beb-8990-6c4df438650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4862C5F-3012-47CA-8688-895E390D3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94aa58-1ce0-4beb-8990-6c4df438650e"/>
    <ds:schemaRef ds:uri="27588a64-7e15-4d55-b115-916ec30e6fa0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218142-99D8-431C-B45B-DBCAC0CE038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DFDB8D1-41C1-43A6-9196-D1816665D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3424</Words>
  <Characters>20545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23922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Grobicki</dc:creator>
  <cp:lastModifiedBy>Ewa A. Genert</cp:lastModifiedBy>
  <cp:revision>2</cp:revision>
  <cp:lastPrinted>2017-10-12T06:33:00Z</cp:lastPrinted>
  <dcterms:created xsi:type="dcterms:W3CDTF">2017-12-15T10:51:00Z</dcterms:created>
  <dcterms:modified xsi:type="dcterms:W3CDTF">2017-12-15T10:51:00Z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0x01010090C5B90E07578C469D7251E6B6961B74</vt:lpwstr>
  </property>
</Properties>
</file>