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DE0" w:rsidRPr="00640DE0" w:rsidRDefault="00A2431A" w:rsidP="00F8109F">
      <w:pPr>
        <w:keepNext/>
        <w:widowControl w:val="0"/>
        <w:suppressAutoHyphens/>
        <w:autoSpaceDE w:val="0"/>
        <w:autoSpaceDN w:val="0"/>
        <w:adjustRightInd w:val="0"/>
        <w:spacing w:before="120" w:after="0" w:line="360" w:lineRule="auto"/>
        <w:jc w:val="center"/>
        <w:rPr>
          <w:rFonts w:ascii="Times" w:eastAsia="Times New Roman" w:hAnsi="Times" w:cs="Arial"/>
          <w:bCs/>
          <w:sz w:val="24"/>
          <w:szCs w:val="24"/>
          <w:lang w:eastAsia="pl-PL"/>
        </w:rPr>
      </w:pPr>
      <w:bookmarkStart w:id="0" w:name="_GoBack"/>
      <w:bookmarkEnd w:id="0"/>
      <w:r w:rsidRPr="00A2431A">
        <w:rPr>
          <w:rFonts w:ascii="Times" w:eastAsia="Times New Roman" w:hAnsi="Times" w:cs="Arial"/>
          <w:bCs/>
          <w:sz w:val="24"/>
          <w:szCs w:val="24"/>
          <w:lang w:eastAsia="pl-PL"/>
        </w:rPr>
        <w:t>UZASADNIENIE</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Projekt ustawy przewiduje wprowadzenie zmian w:</w:t>
      </w:r>
    </w:p>
    <w:p w:rsidR="00640DE0" w:rsidRPr="00640DE0" w:rsidRDefault="00640DE0" w:rsidP="00F8109F">
      <w:pPr>
        <w:widowControl w:val="0"/>
        <w:numPr>
          <w:ilvl w:val="0"/>
          <w:numId w:val="1"/>
        </w:numPr>
        <w:suppressAutoHyphens/>
        <w:autoSpaceDE w:val="0"/>
        <w:autoSpaceDN w:val="0"/>
        <w:adjustRightInd w:val="0"/>
        <w:spacing w:after="0" w:line="360" w:lineRule="auto"/>
        <w:ind w:left="425" w:hanging="425"/>
        <w:jc w:val="both"/>
        <w:rPr>
          <w:rFonts w:ascii="Times New Roman" w:eastAsia="Times New Roman" w:hAnsi="Times New Roman" w:cs="Times New Roman"/>
          <w:bCs/>
          <w:sz w:val="24"/>
          <w:szCs w:val="20"/>
        </w:rPr>
      </w:pPr>
      <w:r w:rsidRPr="00640DE0">
        <w:rPr>
          <w:rFonts w:ascii="Times New Roman" w:eastAsia="Times New Roman" w:hAnsi="Times New Roman" w:cs="Times New Roman"/>
          <w:bCs/>
          <w:sz w:val="24"/>
          <w:szCs w:val="20"/>
        </w:rPr>
        <w:t>ustawie z dnia 5 lutego 2015 r. o płatnościach w ramach systemów wsparcia bezpośredniego (Dz. U. z 2017 r. poz. 278</w:t>
      </w:r>
      <w:r w:rsidRPr="00640DE0">
        <w:rPr>
          <w:rFonts w:ascii="A" w:eastAsia="Times New Roman" w:hAnsi="A" w:cs="Times New Roman"/>
          <w:sz w:val="20"/>
          <w:szCs w:val="20"/>
          <w:lang w:eastAsia="pl-PL"/>
        </w:rPr>
        <w:t xml:space="preserve">, </w:t>
      </w:r>
      <w:r w:rsidRPr="00640DE0">
        <w:rPr>
          <w:rFonts w:ascii="Times New Roman" w:eastAsia="Times New Roman" w:hAnsi="Times New Roman" w:cs="Times New Roman"/>
          <w:bCs/>
          <w:sz w:val="24"/>
          <w:szCs w:val="20"/>
        </w:rPr>
        <w:t xml:space="preserve">z </w:t>
      </w:r>
      <w:proofErr w:type="spellStart"/>
      <w:r w:rsidRPr="00640DE0">
        <w:rPr>
          <w:rFonts w:ascii="Times New Roman" w:eastAsia="Times New Roman" w:hAnsi="Times New Roman" w:cs="Times New Roman"/>
          <w:bCs/>
          <w:sz w:val="24"/>
          <w:szCs w:val="20"/>
        </w:rPr>
        <w:t>późn</w:t>
      </w:r>
      <w:proofErr w:type="spellEnd"/>
      <w:r w:rsidRPr="00640DE0">
        <w:rPr>
          <w:rFonts w:ascii="Times New Roman" w:eastAsia="Times New Roman" w:hAnsi="Times New Roman" w:cs="Times New Roman"/>
          <w:bCs/>
          <w:sz w:val="24"/>
          <w:szCs w:val="20"/>
        </w:rPr>
        <w:t>. zm.), zwanej dalej „ustawą o</w:t>
      </w:r>
      <w:r w:rsidR="00F8109F">
        <w:rPr>
          <w:rFonts w:ascii="Times New Roman" w:eastAsia="Times New Roman" w:hAnsi="Times New Roman" w:cs="Times New Roman"/>
          <w:bCs/>
          <w:sz w:val="24"/>
          <w:szCs w:val="20"/>
        </w:rPr>
        <w:t> </w:t>
      </w:r>
      <w:r w:rsidRPr="00640DE0">
        <w:rPr>
          <w:rFonts w:ascii="Times New Roman" w:eastAsia="Times New Roman" w:hAnsi="Times New Roman" w:cs="Times New Roman"/>
          <w:bCs/>
          <w:sz w:val="24"/>
          <w:szCs w:val="20"/>
        </w:rPr>
        <w:t>płatnościach”,</w:t>
      </w:r>
    </w:p>
    <w:p w:rsidR="00640DE0" w:rsidRPr="00640DE0" w:rsidRDefault="00640DE0" w:rsidP="00F8109F">
      <w:pPr>
        <w:widowControl w:val="0"/>
        <w:numPr>
          <w:ilvl w:val="0"/>
          <w:numId w:val="1"/>
        </w:numPr>
        <w:suppressAutoHyphens/>
        <w:autoSpaceDE w:val="0"/>
        <w:autoSpaceDN w:val="0"/>
        <w:adjustRightInd w:val="0"/>
        <w:spacing w:after="0" w:line="360" w:lineRule="auto"/>
        <w:ind w:left="425" w:hanging="425"/>
        <w:jc w:val="both"/>
        <w:rPr>
          <w:rFonts w:ascii="Times New Roman" w:eastAsia="Times New Roman" w:hAnsi="Times New Roman" w:cs="Times New Roman"/>
          <w:bCs/>
          <w:sz w:val="24"/>
          <w:szCs w:val="20"/>
        </w:rPr>
      </w:pPr>
      <w:r w:rsidRPr="00640DE0">
        <w:rPr>
          <w:rFonts w:ascii="Times New Roman" w:eastAsia="Times New Roman" w:hAnsi="Times New Roman" w:cs="Times New Roman"/>
          <w:bCs/>
          <w:sz w:val="24"/>
          <w:szCs w:val="20"/>
        </w:rPr>
        <w:t>ustawie z dnia 7 marca 2007 r. o wspieraniu rozwoju obszarów wiejskich z</w:t>
      </w:r>
      <w:r w:rsidR="00F8109F">
        <w:rPr>
          <w:rFonts w:ascii="Times New Roman" w:eastAsia="Times New Roman" w:hAnsi="Times New Roman" w:cs="Times New Roman"/>
          <w:bCs/>
          <w:sz w:val="24"/>
          <w:szCs w:val="20"/>
        </w:rPr>
        <w:t> </w:t>
      </w:r>
      <w:r w:rsidRPr="00640DE0">
        <w:rPr>
          <w:rFonts w:ascii="Times New Roman" w:eastAsia="Times New Roman" w:hAnsi="Times New Roman" w:cs="Times New Roman"/>
          <w:bCs/>
          <w:sz w:val="24"/>
          <w:szCs w:val="20"/>
        </w:rPr>
        <w:t xml:space="preserve">udziałem środków Europejskiego Funduszu Rolnego na rzecz Rozwoju Obszarów Wiejskich w ramach Programu Rozwoju Obszarów Wiejskich na lata 2007–2013 (Dz. U. z 2017 r. poz. 1856), zwanej dalej „ustawą o wspieraniu rozwoju </w:t>
      </w:r>
      <w:r w:rsidR="00F8109F">
        <w:rPr>
          <w:rFonts w:ascii="Times New Roman" w:eastAsia="Times New Roman" w:hAnsi="Times New Roman" w:cs="Times New Roman"/>
          <w:bCs/>
          <w:sz w:val="24"/>
          <w:szCs w:val="20"/>
        </w:rPr>
        <w:br/>
      </w:r>
      <w:r w:rsidRPr="00640DE0">
        <w:rPr>
          <w:rFonts w:ascii="Times New Roman" w:eastAsia="Times New Roman" w:hAnsi="Times New Roman" w:cs="Times New Roman"/>
          <w:bCs/>
          <w:sz w:val="24"/>
          <w:szCs w:val="20"/>
        </w:rPr>
        <w:t>2007–2013”, oraz</w:t>
      </w:r>
    </w:p>
    <w:p w:rsidR="00640DE0" w:rsidRPr="00640DE0" w:rsidRDefault="00640DE0" w:rsidP="00F8109F">
      <w:pPr>
        <w:widowControl w:val="0"/>
        <w:numPr>
          <w:ilvl w:val="0"/>
          <w:numId w:val="1"/>
        </w:numPr>
        <w:suppressAutoHyphens/>
        <w:autoSpaceDE w:val="0"/>
        <w:autoSpaceDN w:val="0"/>
        <w:adjustRightInd w:val="0"/>
        <w:spacing w:after="0" w:line="360" w:lineRule="auto"/>
        <w:ind w:left="425" w:hanging="425"/>
        <w:jc w:val="both"/>
        <w:rPr>
          <w:rFonts w:ascii="Times New Roman" w:eastAsia="Times New Roman" w:hAnsi="Times New Roman" w:cs="Times New Roman"/>
          <w:bCs/>
          <w:sz w:val="24"/>
          <w:szCs w:val="20"/>
        </w:rPr>
      </w:pPr>
      <w:r w:rsidRPr="00640DE0">
        <w:rPr>
          <w:rFonts w:ascii="Times New Roman" w:eastAsia="Times New Roman" w:hAnsi="Times New Roman" w:cs="Times New Roman"/>
          <w:bCs/>
          <w:sz w:val="24"/>
          <w:szCs w:val="20"/>
        </w:rPr>
        <w:t>ustawie z dnia 20 lutego 2015 r. o wspieraniu rozwoju obszarów wiejskich z</w:t>
      </w:r>
      <w:r w:rsidR="00F8109F">
        <w:rPr>
          <w:rFonts w:ascii="Times New Roman" w:eastAsia="Times New Roman" w:hAnsi="Times New Roman" w:cs="Times New Roman"/>
          <w:bCs/>
          <w:sz w:val="24"/>
          <w:szCs w:val="20"/>
        </w:rPr>
        <w:t> </w:t>
      </w:r>
      <w:r w:rsidRPr="00640DE0">
        <w:rPr>
          <w:rFonts w:ascii="Times New Roman" w:eastAsia="Times New Roman" w:hAnsi="Times New Roman" w:cs="Times New Roman"/>
          <w:bCs/>
          <w:sz w:val="24"/>
          <w:szCs w:val="20"/>
        </w:rPr>
        <w:t>udziałem środków Europejskiego Funduszu Rolnego na rzecz Rozwoju Obszarów Wiejskich w ramach Programu Rozwoju Obszarów Wiejskich na lata 2014</w:t>
      </w:r>
      <w:r w:rsidR="0039238E">
        <w:rPr>
          <w:rFonts w:ascii="Times New Roman" w:eastAsia="Times New Roman" w:hAnsi="Times New Roman" w:cs="Times New Roman"/>
          <w:bCs/>
          <w:sz w:val="24"/>
          <w:szCs w:val="20"/>
        </w:rPr>
        <w:t>–</w:t>
      </w:r>
      <w:r w:rsidRPr="00640DE0">
        <w:rPr>
          <w:rFonts w:ascii="Times New Roman" w:eastAsia="Times New Roman" w:hAnsi="Times New Roman" w:cs="Times New Roman"/>
          <w:bCs/>
          <w:sz w:val="24"/>
          <w:szCs w:val="20"/>
        </w:rPr>
        <w:t xml:space="preserve">2020 (Dz. U. z 2017 r. poz. 562, z </w:t>
      </w:r>
      <w:proofErr w:type="spellStart"/>
      <w:r w:rsidRPr="00640DE0">
        <w:rPr>
          <w:rFonts w:ascii="Times New Roman" w:eastAsia="Times New Roman" w:hAnsi="Times New Roman" w:cs="Times New Roman"/>
          <w:bCs/>
          <w:sz w:val="24"/>
          <w:szCs w:val="20"/>
        </w:rPr>
        <w:t>późn</w:t>
      </w:r>
      <w:proofErr w:type="spellEnd"/>
      <w:r w:rsidRPr="00640DE0">
        <w:rPr>
          <w:rFonts w:ascii="Times New Roman" w:eastAsia="Times New Roman" w:hAnsi="Times New Roman" w:cs="Times New Roman"/>
          <w:bCs/>
          <w:sz w:val="24"/>
          <w:szCs w:val="20"/>
        </w:rPr>
        <w:t>. zm.), zwanej dalej „ustawą o wspieraniu rozwoju 2014</w:t>
      </w:r>
      <w:r w:rsidR="0039238E">
        <w:rPr>
          <w:rFonts w:ascii="Times New Roman" w:eastAsia="Times New Roman" w:hAnsi="Times New Roman" w:cs="Times New Roman"/>
          <w:bCs/>
          <w:sz w:val="24"/>
          <w:szCs w:val="20"/>
        </w:rPr>
        <w:t>–</w:t>
      </w:r>
      <w:r w:rsidRPr="00640DE0">
        <w:rPr>
          <w:rFonts w:ascii="Times New Roman" w:eastAsia="Times New Roman" w:hAnsi="Times New Roman" w:cs="Times New Roman"/>
          <w:bCs/>
          <w:sz w:val="24"/>
          <w:szCs w:val="20"/>
        </w:rPr>
        <w:t>2020”.</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 xml:space="preserve">Zmiana zaproponowana w art. 1 pkt 1 projektu ustawy ma na celu wyłączenie stosowania art. 79a ustawy z dnia 14 czerwca 1960 r. </w:t>
      </w:r>
      <w:r w:rsidR="00AE131E">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 xml:space="preserve"> Kodeks postępowania administracyjnego (Dz. U. z 2017 r. poz. 1257), w przypadku postępowań w sprawach o</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przyznanie płatności bezpośrednich i płatności niezwiązanych do tytoniu. Przepis ten nakłada bowiem na organ obowiązek wskazania stronie przesłanek zależnych od strony, które nie zostały na dzień wysłania informacji spełnione lub wykazane, co może skutkować wydaniem decyzji niezgodnej z żądaniem strony oraz daje możliwość, 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terminie wyznaczonym na wypowiedzenie się co do zebranych dowodów i</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materiałów oraz zgłoszonych żądań, przedłożenia dodatkowych dowodów celem wykazania spełnienia tych przesłanek. Z uwagi na specyfikę postępowań w sprawach o</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przyznanie płatności bezpośrednich i płatności niezwiązanych do tytoniu, a</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szczególności z uwagi na fakt, że zgodnie z przepisami UE wszelkie dokumenty dołączane do wniosku o przyznanie tych płatności muszą zostać złożone w terminie przewidzianym na składanie tego wniosku, regulacja zawarta w art. 79a Kodeksu postępowania administracyjnego nie może mieć zastosowania w przypadku tych postępowań. Należy podkreślić, że już w obecnie obowiązujących przepisach o</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 xml:space="preserve">płatnościach w ramach systemów wsparcia bezpośredniego odnośnie do postępowań </w:t>
      </w:r>
      <w:r w:rsidRPr="00640DE0">
        <w:rPr>
          <w:rFonts w:ascii="Times New Roman" w:eastAsia="Times New Roman" w:hAnsi="Times New Roman" w:cs="Times New Roman"/>
          <w:bCs/>
          <w:sz w:val="24"/>
          <w:szCs w:val="20"/>
          <w:lang w:eastAsia="pl-PL"/>
        </w:rPr>
        <w:lastRenderedPageBreak/>
        <w:t>o</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przyznanie płatności bezpośrednich oraz płatności niezwiązanych do tytoniu stosowana jest zasada, że możliwość wypowiedzenia się strony co do zebranych dowodów i materiałów oraz zgłoszonych żądań jest zapewniona jedynie na żądanie.</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Analogicznego wyłączeni</w:t>
      </w:r>
      <w:r w:rsidR="004869E4">
        <w:rPr>
          <w:rFonts w:ascii="Times New Roman" w:eastAsia="Times New Roman" w:hAnsi="Times New Roman" w:cs="Times New Roman"/>
          <w:bCs/>
          <w:sz w:val="24"/>
          <w:szCs w:val="20"/>
          <w:lang w:eastAsia="pl-PL"/>
        </w:rPr>
        <w:t>a</w:t>
      </w:r>
      <w:r w:rsidRPr="00640DE0">
        <w:rPr>
          <w:rFonts w:ascii="Times New Roman" w:eastAsia="Times New Roman" w:hAnsi="Times New Roman" w:cs="Times New Roman"/>
          <w:bCs/>
          <w:sz w:val="24"/>
          <w:szCs w:val="20"/>
          <w:lang w:eastAsia="pl-PL"/>
        </w:rPr>
        <w:t xml:space="preserve"> proponuje się dokonać odnośnie do postępowań w sprawach o przyznanie pomocy w ramach PROW. </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Zmiany zaproponowane w art. 1 pkt 2 projektu ustawy (projektowana zmiana brzmienia art. 22 ustawy o płatnościach) mają na celu wypełnienie nałożonego na państwa członkowskie w art. 17 ust. 2 rozporządzen</w:t>
      </w:r>
      <w:r w:rsidR="00F8109F">
        <w:rPr>
          <w:rFonts w:ascii="Times New Roman" w:eastAsia="Times New Roman" w:hAnsi="Times New Roman" w:cs="Times New Roman"/>
          <w:bCs/>
          <w:sz w:val="24"/>
          <w:szCs w:val="20"/>
          <w:lang w:eastAsia="pl-PL"/>
        </w:rPr>
        <w:t>ia wykonawczego Komisji (UE) nr </w:t>
      </w:r>
      <w:r w:rsidRPr="00640DE0">
        <w:rPr>
          <w:rFonts w:ascii="Times New Roman" w:eastAsia="Times New Roman" w:hAnsi="Times New Roman" w:cs="Times New Roman"/>
          <w:bCs/>
          <w:sz w:val="24"/>
          <w:szCs w:val="20"/>
          <w:lang w:eastAsia="pl-PL"/>
        </w:rPr>
        <w:t>809/2014</w:t>
      </w:r>
      <w:r w:rsidRPr="00640DE0">
        <w:rPr>
          <w:rFonts w:ascii="Times New Roman" w:eastAsia="Times New Roman" w:hAnsi="Times New Roman" w:cs="Times New Roman"/>
          <w:bCs/>
          <w:sz w:val="24"/>
          <w:szCs w:val="20"/>
          <w:vertAlign w:val="superscript"/>
          <w:lang w:eastAsia="pl-PL"/>
        </w:rPr>
        <w:footnoteReference w:id="1"/>
      </w:r>
      <w:r w:rsidRPr="00640DE0">
        <w:rPr>
          <w:rFonts w:ascii="Times New Roman" w:eastAsia="Times New Roman" w:hAnsi="Times New Roman" w:cs="Times New Roman"/>
          <w:bCs/>
          <w:sz w:val="24"/>
          <w:szCs w:val="20"/>
          <w:vertAlign w:val="superscript"/>
          <w:lang w:eastAsia="pl-PL"/>
        </w:rPr>
        <w:t>)</w:t>
      </w:r>
      <w:r w:rsidRPr="00640DE0">
        <w:rPr>
          <w:rFonts w:ascii="Times New Roman" w:eastAsia="Times New Roman" w:hAnsi="Times New Roman" w:cs="Times New Roman"/>
          <w:bCs/>
          <w:sz w:val="24"/>
          <w:szCs w:val="20"/>
          <w:lang w:eastAsia="pl-PL"/>
        </w:rPr>
        <w:t xml:space="preserve"> obowiązku sukcesywnego wdrażania tzw. </w:t>
      </w:r>
      <w:proofErr w:type="spellStart"/>
      <w:r w:rsidRPr="00640DE0">
        <w:rPr>
          <w:rFonts w:ascii="Times New Roman" w:eastAsia="Times New Roman" w:hAnsi="Times New Roman" w:cs="Times New Roman"/>
          <w:bCs/>
          <w:sz w:val="24"/>
          <w:szCs w:val="20"/>
          <w:lang w:eastAsia="pl-PL"/>
        </w:rPr>
        <w:t>geoprzestrzennego</w:t>
      </w:r>
      <w:proofErr w:type="spellEnd"/>
      <w:r w:rsidRPr="00640DE0">
        <w:rPr>
          <w:rFonts w:ascii="Times New Roman" w:eastAsia="Times New Roman" w:hAnsi="Times New Roman" w:cs="Times New Roman"/>
          <w:bCs/>
          <w:sz w:val="24"/>
          <w:szCs w:val="20"/>
          <w:lang w:eastAsia="pl-PL"/>
        </w:rPr>
        <w:t xml:space="preserve"> wniosku (GSAA). Zgodnie z ustanowionym harmonogramem, wymagane jest, aby od 2018 r. wszystkie wnioski o przyznanie pomocy w ramach systemów pomocy obszarowej oraz wnioski o płatność w ramach środków wsparcia obszarowego były składane na elektronicznym formularzu </w:t>
      </w:r>
      <w:proofErr w:type="spellStart"/>
      <w:r w:rsidRPr="00640DE0">
        <w:rPr>
          <w:rFonts w:ascii="Times New Roman" w:eastAsia="Times New Roman" w:hAnsi="Times New Roman" w:cs="Times New Roman"/>
          <w:bCs/>
          <w:sz w:val="24"/>
          <w:szCs w:val="20"/>
          <w:lang w:eastAsia="pl-PL"/>
        </w:rPr>
        <w:t>geoprzestrzennego</w:t>
      </w:r>
      <w:proofErr w:type="spellEnd"/>
      <w:r w:rsidRPr="00640DE0">
        <w:rPr>
          <w:rFonts w:ascii="Times New Roman" w:eastAsia="Times New Roman" w:hAnsi="Times New Roman" w:cs="Times New Roman"/>
          <w:bCs/>
          <w:sz w:val="24"/>
          <w:szCs w:val="20"/>
          <w:lang w:eastAsia="pl-PL"/>
        </w:rPr>
        <w:t xml:space="preserve"> wniosku.</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Jednocześnie, zgodnie z art. 17 ust. 3 ww. rozporządzenia, jeżeli beneficjent nie jest 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 xml:space="preserve">stanie złożyć wniosku o przyznanie płatności z wykorzystaniem </w:t>
      </w:r>
      <w:proofErr w:type="spellStart"/>
      <w:r w:rsidRPr="00640DE0">
        <w:rPr>
          <w:rFonts w:ascii="Times New Roman" w:eastAsia="Times New Roman" w:hAnsi="Times New Roman" w:cs="Times New Roman"/>
          <w:bCs/>
          <w:sz w:val="24"/>
          <w:szCs w:val="20"/>
          <w:lang w:eastAsia="pl-PL"/>
        </w:rPr>
        <w:t>geoprzestrzennego</w:t>
      </w:r>
      <w:proofErr w:type="spellEnd"/>
      <w:r w:rsidRPr="00640DE0">
        <w:rPr>
          <w:rFonts w:ascii="Times New Roman" w:eastAsia="Times New Roman" w:hAnsi="Times New Roman" w:cs="Times New Roman"/>
          <w:bCs/>
          <w:sz w:val="24"/>
          <w:szCs w:val="20"/>
          <w:lang w:eastAsia="pl-PL"/>
        </w:rPr>
        <w:t xml:space="preserve"> formularza, właściwy organ zapewnia beneficjentowi:</w:t>
      </w:r>
    </w:p>
    <w:p w:rsidR="00640DE0" w:rsidRPr="00640DE0" w:rsidRDefault="00640DE0" w:rsidP="00F8109F">
      <w:pPr>
        <w:widowControl w:val="0"/>
        <w:numPr>
          <w:ilvl w:val="0"/>
          <w:numId w:val="2"/>
        </w:numPr>
        <w:suppressAutoHyphens/>
        <w:autoSpaceDE w:val="0"/>
        <w:autoSpaceDN w:val="0"/>
        <w:adjustRightInd w:val="0"/>
        <w:spacing w:after="0" w:line="360" w:lineRule="auto"/>
        <w:ind w:left="357" w:hanging="357"/>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albo niezbędną pomoc techniczną,</w:t>
      </w:r>
    </w:p>
    <w:p w:rsidR="00640DE0" w:rsidRPr="00640DE0" w:rsidRDefault="00640DE0" w:rsidP="00F8109F">
      <w:pPr>
        <w:widowControl w:val="0"/>
        <w:numPr>
          <w:ilvl w:val="0"/>
          <w:numId w:val="2"/>
        </w:numPr>
        <w:suppressAutoHyphens/>
        <w:autoSpaceDE w:val="0"/>
        <w:autoSpaceDN w:val="0"/>
        <w:adjustRightInd w:val="0"/>
        <w:spacing w:after="0" w:line="360" w:lineRule="auto"/>
        <w:ind w:left="357" w:hanging="357"/>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 xml:space="preserve">albo z góry ustalone formularze i odpowiednie materiały graficzne w formie papierowej. W tym przypadku właściwy organ przenosi informacje otrzymane od beneficjenta do </w:t>
      </w:r>
      <w:proofErr w:type="spellStart"/>
      <w:r w:rsidRPr="00640DE0">
        <w:rPr>
          <w:rFonts w:ascii="Times New Roman" w:eastAsia="Times New Roman" w:hAnsi="Times New Roman" w:cs="Times New Roman"/>
          <w:bCs/>
          <w:sz w:val="24"/>
          <w:szCs w:val="20"/>
          <w:lang w:eastAsia="pl-PL"/>
        </w:rPr>
        <w:t>geoprzestrzennego</w:t>
      </w:r>
      <w:proofErr w:type="spellEnd"/>
      <w:r w:rsidRPr="00640DE0">
        <w:rPr>
          <w:rFonts w:ascii="Times New Roman" w:eastAsia="Times New Roman" w:hAnsi="Times New Roman" w:cs="Times New Roman"/>
          <w:bCs/>
          <w:sz w:val="24"/>
          <w:szCs w:val="20"/>
          <w:lang w:eastAsia="pl-PL"/>
        </w:rPr>
        <w:t xml:space="preserve"> wniosku o przyznanie płatności.</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 xml:space="preserve">W związku z powyższym proponuje się, aby wnioski o przyznanie płatności co do zasady składane były w wersji elektronicznej. Niemniej jednak, w uzasadnionych przypadkach, zgodnie z projektowanymi przepisami, istniałaby możliwość składania wniosków w </w:t>
      </w:r>
      <w:r w:rsidR="003C5374" w:rsidRPr="00640DE0">
        <w:rPr>
          <w:rFonts w:ascii="Times New Roman" w:eastAsia="Times New Roman" w:hAnsi="Times New Roman" w:cs="Times New Roman"/>
          <w:bCs/>
          <w:sz w:val="24"/>
          <w:szCs w:val="20"/>
          <w:lang w:eastAsia="pl-PL"/>
        </w:rPr>
        <w:t xml:space="preserve">formie </w:t>
      </w:r>
      <w:r w:rsidRPr="00640DE0">
        <w:rPr>
          <w:rFonts w:ascii="Times New Roman" w:eastAsia="Times New Roman" w:hAnsi="Times New Roman" w:cs="Times New Roman"/>
          <w:bCs/>
          <w:sz w:val="24"/>
          <w:szCs w:val="20"/>
          <w:lang w:eastAsia="pl-PL"/>
        </w:rPr>
        <w:t>papierowej. Organem właściwym, zapewniającym beneficjentowi pomoc techniczną lub wydruki wniosków o przyznanie płatności w formie papierowej wraz z materiałami graficznymi, byłby kierownik biura powiatowego Agencji Restrukturyzacji i Modernizacji Rolnictwa (ARiMR).</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 xml:space="preserve">Ponadto w art. 7 projektu ustawy zaproponowano utrzymanie do 2020 r. dotychczasowego rozwiązania, tj. przesyłania rolnikom, którzy złożyli w poprzednim </w:t>
      </w:r>
      <w:r w:rsidRPr="00640DE0">
        <w:rPr>
          <w:rFonts w:ascii="Times New Roman" w:eastAsia="Times New Roman" w:hAnsi="Times New Roman" w:cs="Times New Roman"/>
          <w:bCs/>
          <w:sz w:val="24"/>
          <w:szCs w:val="20"/>
          <w:lang w:eastAsia="pl-PL"/>
        </w:rPr>
        <w:lastRenderedPageBreak/>
        <w:t>roku wniosk</w:t>
      </w:r>
      <w:r w:rsidR="003C5374">
        <w:rPr>
          <w:rFonts w:ascii="Times New Roman" w:eastAsia="Times New Roman" w:hAnsi="Times New Roman" w:cs="Times New Roman"/>
          <w:bCs/>
          <w:sz w:val="24"/>
          <w:szCs w:val="20"/>
          <w:lang w:eastAsia="pl-PL"/>
        </w:rPr>
        <w:t>i</w:t>
      </w:r>
      <w:r w:rsidRPr="00640DE0">
        <w:rPr>
          <w:rFonts w:ascii="Times New Roman" w:eastAsia="Times New Roman" w:hAnsi="Times New Roman" w:cs="Times New Roman"/>
          <w:bCs/>
          <w:sz w:val="24"/>
          <w:szCs w:val="20"/>
          <w:lang w:eastAsia="pl-PL"/>
        </w:rPr>
        <w:t xml:space="preserve"> o przyznanie płatności w formie papierowej, częściowo wypełnionych wniosków w formie papierowej wraz z materiałami graficznymi oraz pouczenia o</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możliwości i trybie żądania doręczenia decyzji w sprawie o przyznanie płatności, celem stopniowego przygotowywania rolników do składania wniosków o przyznanie płatności w formie elektronicznej.</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Jednocześnie w art. 4 projektu ustawy zaproponowano wprowadzenie przepisu przejściowego, zgodnie z którym w 2018 r. – zamiast wniosku o przyznanie płatności – rolnik będzie mógł złożyć oświadczenie, w którym potwierdzi brak zmian 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porównaniu do wniosku z roku poprzedniego. Możliwość taką przewiduje art. 72 ust.</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3 akapit drugi rozporządzenia Parlamentu Europejskiego i Rady (UE) nr</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1306/2013</w:t>
      </w:r>
      <w:r w:rsidRPr="00640DE0">
        <w:rPr>
          <w:rFonts w:ascii="Times New Roman" w:eastAsia="Times New Roman" w:hAnsi="Times New Roman" w:cs="Times New Roman"/>
          <w:bCs/>
          <w:sz w:val="24"/>
          <w:szCs w:val="20"/>
          <w:vertAlign w:val="superscript"/>
          <w:lang w:eastAsia="pl-PL"/>
        </w:rPr>
        <w:footnoteReference w:id="2"/>
      </w:r>
      <w:r w:rsidRPr="00640DE0">
        <w:rPr>
          <w:rFonts w:ascii="Times New Roman" w:eastAsia="Times New Roman" w:hAnsi="Times New Roman" w:cs="Times New Roman"/>
          <w:bCs/>
          <w:sz w:val="24"/>
          <w:szCs w:val="20"/>
          <w:vertAlign w:val="superscript"/>
          <w:lang w:eastAsia="pl-PL"/>
        </w:rPr>
        <w:t>)</w:t>
      </w:r>
      <w:r w:rsidRPr="00640DE0">
        <w:rPr>
          <w:rFonts w:ascii="Times New Roman" w:eastAsia="Times New Roman" w:hAnsi="Times New Roman" w:cs="Times New Roman"/>
          <w:bCs/>
          <w:sz w:val="24"/>
          <w:szCs w:val="20"/>
          <w:lang w:eastAsia="pl-PL"/>
        </w:rPr>
        <w:t>. Złożenie takiego oświadczenia będzie oznaczało wnioskowanie o te same płatności, co w roku poprzednim. Rolnicy będą mogli składać oświadczenia 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terminie od dnia 15 lutego do dnia 14 marca (czyli w miesięcznym okresie poprzedzającym podstawowy okres składania wniosków o przyznanie płatności), na formularzu opracowanym i udostępnionym przez ARiMR.</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 xml:space="preserve">Wprowadzenie </w:t>
      </w:r>
      <w:r w:rsidR="003C5374">
        <w:rPr>
          <w:rFonts w:ascii="Times New Roman" w:eastAsia="Times New Roman" w:hAnsi="Times New Roman" w:cs="Times New Roman"/>
          <w:bCs/>
          <w:sz w:val="24"/>
          <w:szCs w:val="20"/>
          <w:lang w:eastAsia="pl-PL"/>
        </w:rPr>
        <w:t xml:space="preserve">w </w:t>
      </w:r>
      <w:r w:rsidRPr="00640DE0">
        <w:rPr>
          <w:rFonts w:ascii="Times New Roman" w:eastAsia="Times New Roman" w:hAnsi="Times New Roman" w:cs="Times New Roman"/>
          <w:bCs/>
          <w:sz w:val="24"/>
          <w:szCs w:val="20"/>
          <w:lang w:eastAsia="pl-PL"/>
        </w:rPr>
        <w:t>2018 r. oświadczeń zastępujących wnioski to rozwiązanie upraszczające procedurę wnioskowania o płatności. Mo</w:t>
      </w:r>
      <w:r w:rsidR="00F8109F">
        <w:rPr>
          <w:rFonts w:ascii="Times New Roman" w:eastAsia="Times New Roman" w:hAnsi="Times New Roman" w:cs="Times New Roman"/>
          <w:bCs/>
          <w:sz w:val="24"/>
          <w:szCs w:val="20"/>
          <w:lang w:eastAsia="pl-PL"/>
        </w:rPr>
        <w:t>gą z niej skorzystać rolnicy, w </w:t>
      </w:r>
      <w:r w:rsidRPr="00640DE0">
        <w:rPr>
          <w:rFonts w:ascii="Times New Roman" w:eastAsia="Times New Roman" w:hAnsi="Times New Roman" w:cs="Times New Roman"/>
          <w:bCs/>
          <w:sz w:val="24"/>
          <w:szCs w:val="20"/>
          <w:lang w:eastAsia="pl-PL"/>
        </w:rPr>
        <w:t>gospodarstwach których nie nastąpiły żadne zmiany, które miałyby wpływ na treść składanego wniosku. Z tego względu projektowane przepisy przewidują możliwość składania oświadczeń zastępujących wnioski o przyznanie płatności przez rolników, którzy w 2017 r. wnioskowali wyłącznie o jednolitą płatność obszarową, płatność za zazielenienie, płatność dodatkową, płatność związaną do powierzchni uprawy chmielu, płatność do owiec, płatność do kóz lub płatność niezwiązaną do tytoniu. Są to bowiem płatności:</w:t>
      </w:r>
    </w:p>
    <w:p w:rsidR="00640DE0" w:rsidRPr="00640DE0" w:rsidRDefault="00640DE0" w:rsidP="00F8109F">
      <w:pPr>
        <w:widowControl w:val="0"/>
        <w:numPr>
          <w:ilvl w:val="0"/>
          <w:numId w:val="3"/>
        </w:numPr>
        <w:tabs>
          <w:tab w:val="left" w:pos="709"/>
        </w:tabs>
        <w:suppressAutoHyphens/>
        <w:autoSpaceDE w:val="0"/>
        <w:autoSpaceDN w:val="0"/>
        <w:adjustRightInd w:val="0"/>
        <w:spacing w:after="0" w:line="360" w:lineRule="auto"/>
        <w:ind w:left="425" w:hanging="425"/>
        <w:contextualSpacing/>
        <w:jc w:val="both"/>
        <w:rPr>
          <w:rFonts w:ascii="Times New Roman" w:eastAsia="Times New Roman" w:hAnsi="Times New Roman" w:cs="Times New Roman"/>
          <w:bCs/>
          <w:sz w:val="24"/>
          <w:szCs w:val="20"/>
        </w:rPr>
      </w:pPr>
      <w:r w:rsidRPr="00640DE0">
        <w:rPr>
          <w:rFonts w:ascii="Times New Roman" w:eastAsia="Times New Roman" w:hAnsi="Times New Roman" w:cs="Times New Roman"/>
          <w:bCs/>
          <w:sz w:val="24"/>
          <w:szCs w:val="20"/>
        </w:rPr>
        <w:t>o charakterze ogólnym, przyznawane do wszystkich gruntów rolnych niezależnie od kierunku prowadzonej na nich produkcji (jednolita płatność obszarowa, płatność za zazielenienie, płatność dodatkowa),</w:t>
      </w:r>
    </w:p>
    <w:p w:rsidR="00640DE0" w:rsidRPr="00640DE0" w:rsidRDefault="00640DE0" w:rsidP="00F8109F">
      <w:pPr>
        <w:widowControl w:val="0"/>
        <w:numPr>
          <w:ilvl w:val="0"/>
          <w:numId w:val="3"/>
        </w:numPr>
        <w:tabs>
          <w:tab w:val="left" w:pos="709"/>
        </w:tabs>
        <w:suppressAutoHyphens/>
        <w:autoSpaceDE w:val="0"/>
        <w:autoSpaceDN w:val="0"/>
        <w:adjustRightInd w:val="0"/>
        <w:spacing w:after="0" w:line="360" w:lineRule="auto"/>
        <w:ind w:left="425" w:hanging="425"/>
        <w:contextualSpacing/>
        <w:jc w:val="both"/>
        <w:rPr>
          <w:rFonts w:ascii="Times New Roman" w:eastAsia="Times New Roman" w:hAnsi="Times New Roman" w:cs="Times New Roman"/>
          <w:bCs/>
          <w:sz w:val="24"/>
          <w:szCs w:val="20"/>
        </w:rPr>
      </w:pPr>
      <w:r w:rsidRPr="00640DE0">
        <w:rPr>
          <w:rFonts w:ascii="Times New Roman" w:eastAsia="Times New Roman" w:hAnsi="Times New Roman" w:cs="Times New Roman"/>
          <w:bCs/>
          <w:sz w:val="24"/>
          <w:szCs w:val="20"/>
        </w:rPr>
        <w:t>do sektora o charakterze trwałym, jakim jest produkcja chmielu,</w:t>
      </w:r>
    </w:p>
    <w:p w:rsidR="00640DE0" w:rsidRPr="00640DE0" w:rsidRDefault="00640DE0" w:rsidP="00F8109F">
      <w:pPr>
        <w:widowControl w:val="0"/>
        <w:numPr>
          <w:ilvl w:val="0"/>
          <w:numId w:val="3"/>
        </w:numPr>
        <w:tabs>
          <w:tab w:val="left" w:pos="709"/>
        </w:tabs>
        <w:suppressAutoHyphens/>
        <w:autoSpaceDE w:val="0"/>
        <w:autoSpaceDN w:val="0"/>
        <w:adjustRightInd w:val="0"/>
        <w:spacing w:after="0" w:line="360" w:lineRule="auto"/>
        <w:ind w:left="425" w:hanging="425"/>
        <w:contextualSpacing/>
        <w:jc w:val="both"/>
        <w:rPr>
          <w:rFonts w:ascii="Times New Roman" w:eastAsia="Times New Roman" w:hAnsi="Times New Roman" w:cs="Times New Roman"/>
          <w:bCs/>
          <w:sz w:val="24"/>
          <w:szCs w:val="20"/>
        </w:rPr>
      </w:pPr>
      <w:r w:rsidRPr="00640DE0">
        <w:rPr>
          <w:rFonts w:ascii="Times New Roman" w:eastAsia="Times New Roman" w:hAnsi="Times New Roman" w:cs="Times New Roman"/>
          <w:bCs/>
          <w:sz w:val="24"/>
          <w:szCs w:val="20"/>
        </w:rPr>
        <w:t xml:space="preserve">do sektorów zwierzęcych (owce, kozy), w których stosowany jest </w:t>
      </w:r>
      <w:proofErr w:type="spellStart"/>
      <w:r w:rsidRPr="00640DE0">
        <w:rPr>
          <w:rFonts w:ascii="Times New Roman" w:eastAsia="Times New Roman" w:hAnsi="Times New Roman" w:cs="Times New Roman"/>
          <w:bCs/>
          <w:sz w:val="24"/>
          <w:szCs w:val="20"/>
        </w:rPr>
        <w:t>bezwnioskowy</w:t>
      </w:r>
      <w:proofErr w:type="spellEnd"/>
      <w:r w:rsidRPr="00640DE0">
        <w:rPr>
          <w:rFonts w:ascii="Times New Roman" w:eastAsia="Times New Roman" w:hAnsi="Times New Roman" w:cs="Times New Roman"/>
          <w:bCs/>
          <w:sz w:val="24"/>
          <w:szCs w:val="20"/>
        </w:rPr>
        <w:t xml:space="preserve"> system ubiegania się o płatności, o którym mowa w art. 21 ust. 4 rozporządzenia </w:t>
      </w:r>
      <w:r w:rsidRPr="00640DE0">
        <w:rPr>
          <w:rFonts w:ascii="Times New Roman" w:eastAsia="Times New Roman" w:hAnsi="Times New Roman" w:cs="Times New Roman"/>
          <w:bCs/>
          <w:sz w:val="24"/>
          <w:szCs w:val="20"/>
        </w:rPr>
        <w:lastRenderedPageBreak/>
        <w:t>wykonawczego Komisji (UE) nr 809/2014,</w:t>
      </w:r>
    </w:p>
    <w:p w:rsidR="00640DE0" w:rsidRPr="00640DE0" w:rsidRDefault="00640DE0" w:rsidP="00F8109F">
      <w:pPr>
        <w:widowControl w:val="0"/>
        <w:numPr>
          <w:ilvl w:val="0"/>
          <w:numId w:val="3"/>
        </w:numPr>
        <w:tabs>
          <w:tab w:val="left" w:pos="709"/>
        </w:tabs>
        <w:suppressAutoHyphens/>
        <w:autoSpaceDE w:val="0"/>
        <w:autoSpaceDN w:val="0"/>
        <w:adjustRightInd w:val="0"/>
        <w:spacing w:before="120" w:after="0" w:line="360" w:lineRule="auto"/>
        <w:ind w:left="425" w:hanging="425"/>
        <w:contextualSpacing/>
        <w:jc w:val="both"/>
        <w:rPr>
          <w:rFonts w:ascii="Times New Roman" w:eastAsia="Times New Roman" w:hAnsi="Times New Roman" w:cs="Times New Roman"/>
          <w:bCs/>
          <w:sz w:val="24"/>
          <w:szCs w:val="20"/>
        </w:rPr>
      </w:pPr>
      <w:r w:rsidRPr="00640DE0">
        <w:rPr>
          <w:rFonts w:ascii="Times New Roman" w:eastAsia="Times New Roman" w:hAnsi="Times New Roman" w:cs="Times New Roman"/>
          <w:bCs/>
          <w:sz w:val="24"/>
          <w:szCs w:val="20"/>
        </w:rPr>
        <w:t>historyczne – niezależne od aktualnie prowadzonej produkcji (płatność niezwiązana do tytoniu).</w:t>
      </w:r>
    </w:p>
    <w:p w:rsidR="00640DE0" w:rsidRPr="00640DE0" w:rsidRDefault="00640DE0" w:rsidP="00F8109F">
      <w:pPr>
        <w:suppressAutoHyphens/>
        <w:autoSpaceDE w:val="0"/>
        <w:autoSpaceDN w:val="0"/>
        <w:adjustRightInd w:val="0"/>
        <w:spacing w:before="120" w:after="0" w:line="360" w:lineRule="auto"/>
        <w:contextualSpacing/>
        <w:jc w:val="both"/>
        <w:rPr>
          <w:rFonts w:ascii="Times New Roman" w:eastAsia="Times New Roman" w:hAnsi="Times New Roman" w:cs="Times New Roman"/>
          <w:bCs/>
          <w:sz w:val="24"/>
          <w:szCs w:val="20"/>
        </w:rPr>
      </w:pPr>
      <w:r w:rsidRPr="00640DE0">
        <w:rPr>
          <w:rFonts w:ascii="Times New Roman" w:eastAsia="Times New Roman" w:hAnsi="Times New Roman" w:cs="Times New Roman"/>
          <w:bCs/>
          <w:sz w:val="24"/>
          <w:szCs w:val="20"/>
        </w:rPr>
        <w:t>Wymienione cechy sprawiają, że rolnicy ubiegający się o te formy wsparcia stanowią grupę obejmującą gospodarstwa, w których występuje znacznie niższa zmienność struktury prowadzonej produkcji niż w pozostałych gospodarstwach. Jednocześnie proponuje się, aby spośród tej grupy gospodarstw możliwość składania oświadczeń dotyczyła gospodarstw, w których powierzchnia gruntów ornych wynosi mniej niż 10</w:t>
      </w:r>
      <w:r w:rsidR="00F8109F">
        <w:rPr>
          <w:rFonts w:ascii="Times New Roman" w:eastAsia="Times New Roman" w:hAnsi="Times New Roman" w:cs="Times New Roman"/>
          <w:bCs/>
          <w:sz w:val="24"/>
          <w:szCs w:val="20"/>
        </w:rPr>
        <w:t> </w:t>
      </w:r>
      <w:r w:rsidRPr="00640DE0">
        <w:rPr>
          <w:rFonts w:ascii="Times New Roman" w:eastAsia="Times New Roman" w:hAnsi="Times New Roman" w:cs="Times New Roman"/>
          <w:bCs/>
          <w:sz w:val="24"/>
          <w:szCs w:val="20"/>
        </w:rPr>
        <w:t>ha. Jest to bowiem graniczna wielkość określona w art. 44 ust. 1 rozporządzenia Parlamentu Europejskiego i Rady (UE) nr 1307/2013, od której rolnicy są zobowiązani przestrzegać warunku dywersyfikacji upraw, co z kolei skutkuje koniecznością wskazywania we wniosku o przyznanie płatności poszczególnych upraw (a nie tylko grup upraw, jak w przypadku pozostałych gospodarstw). Rolnicy gospodarujący na powierzchni gruntów ornych mniejszej niż 10 ha znajdują się więc – już na podstawie przepisów UE – w innej sytuacji niż rolnicy z większą powierzchnią takich gruntów.</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Na formularzu wniosku o przyznanie płatności bezpośrednich można także ubiegać się o przyznanie płatności obszarowych PROW. Wśród beneficjentów tego wsparcia również można wyróżnić grupę gospodarstw o znacznie niższej (z roku na rok) zmienności w ramach zakresu wnioskowania. Uzasadnia to włączenie tej grupy beneficjentów do grupy uprawnionej do złożenia oświadczenia zastępującego wniosek. Taka niewielka zmienność w zakresie wnioskowania występuje wśród beneficjentów działań PROW 2007–2013: tj. Zalesianie gruntów rolnych oraz zalesianie gruntów innych n</w:t>
      </w:r>
      <w:r w:rsidR="00F8109F">
        <w:rPr>
          <w:rFonts w:ascii="Times New Roman" w:eastAsia="Times New Roman" w:hAnsi="Times New Roman" w:cs="Times New Roman"/>
          <w:bCs/>
          <w:sz w:val="24"/>
          <w:szCs w:val="20"/>
          <w:lang w:eastAsia="pl-PL"/>
        </w:rPr>
        <w:t>iż rolne oraz działań PROW 2014–</w:t>
      </w:r>
      <w:r w:rsidRPr="00640DE0">
        <w:rPr>
          <w:rFonts w:ascii="Times New Roman" w:eastAsia="Times New Roman" w:hAnsi="Times New Roman" w:cs="Times New Roman"/>
          <w:bCs/>
          <w:sz w:val="24"/>
          <w:szCs w:val="20"/>
          <w:lang w:eastAsia="pl-PL"/>
        </w:rPr>
        <w:t>2020: tj. Inwestycje w rozwój obszarów leśnych i poprawę żywotności lasów oraz Płatności dla obszarów z ograniczeniami naturalnymi lub innymi szczególnymi ograniczeniami. Ta niewielka zmienność zdecydowanie odróżnia beneficjentów ww. działań od beneficjentów innych płatności obszarowych PROW, dlatego też w zakresie wymienionych działań PROW wprowadzone zostały rozwiązania analogiczne do rozwiązań zastosowanych 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płatnościach bezpośrednich (art. 5 oraz art. 6 projektu ustawy).</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 xml:space="preserve">Możliwość składania oświadczeń zastępujących wnioski o przyznanie płatności została więc przewidziana dla rolników prowadzących gospodarstwa, w których występuje niewielka zmienność cech wpływających na treść składanego wniosku. W pozostałych gospodarstwach, w tym realizujących działanie Rolnictwo ekologiczne oraz Działanie </w:t>
      </w:r>
      <w:r w:rsidRPr="00640DE0">
        <w:rPr>
          <w:rFonts w:ascii="Times New Roman" w:eastAsia="Times New Roman" w:hAnsi="Times New Roman" w:cs="Times New Roman"/>
          <w:bCs/>
          <w:sz w:val="24"/>
          <w:szCs w:val="20"/>
          <w:lang w:eastAsia="pl-PL"/>
        </w:rPr>
        <w:lastRenderedPageBreak/>
        <w:t>rolno-środowiskowo-klimaty</w:t>
      </w:r>
      <w:r w:rsidR="00F8109F">
        <w:rPr>
          <w:rFonts w:ascii="Times New Roman" w:eastAsia="Times New Roman" w:hAnsi="Times New Roman" w:cs="Times New Roman"/>
          <w:bCs/>
          <w:sz w:val="24"/>
          <w:szCs w:val="20"/>
          <w:lang w:eastAsia="pl-PL"/>
        </w:rPr>
        <w:t>czne PROW 2014–</w:t>
      </w:r>
      <w:r w:rsidRPr="00640DE0">
        <w:rPr>
          <w:rFonts w:ascii="Times New Roman" w:eastAsia="Times New Roman" w:hAnsi="Times New Roman" w:cs="Times New Roman"/>
          <w:bCs/>
          <w:sz w:val="24"/>
          <w:szCs w:val="20"/>
          <w:lang w:eastAsia="pl-PL"/>
        </w:rPr>
        <w:t>2020 (oraz tożsame instrume</w:t>
      </w:r>
      <w:r w:rsidR="00F8109F">
        <w:rPr>
          <w:rFonts w:ascii="Times New Roman" w:eastAsia="Times New Roman" w:hAnsi="Times New Roman" w:cs="Times New Roman"/>
          <w:bCs/>
          <w:sz w:val="24"/>
          <w:szCs w:val="20"/>
          <w:lang w:eastAsia="pl-PL"/>
        </w:rPr>
        <w:t>nty wsparcia w ramach PROW 2007–</w:t>
      </w:r>
      <w:r w:rsidRPr="00640DE0">
        <w:rPr>
          <w:rFonts w:ascii="Times New Roman" w:eastAsia="Times New Roman" w:hAnsi="Times New Roman" w:cs="Times New Roman"/>
          <w:bCs/>
          <w:sz w:val="24"/>
          <w:szCs w:val="20"/>
          <w:lang w:eastAsia="pl-PL"/>
        </w:rPr>
        <w:t xml:space="preserve">2013), </w:t>
      </w:r>
      <w:r w:rsidRPr="00640DE0">
        <w:rPr>
          <w:rFonts w:ascii="Times New Roman" w:eastAsia="Times New Roman" w:hAnsi="Times New Roman" w:cs="Times New Roman"/>
          <w:bCs/>
          <w:i/>
          <w:sz w:val="24"/>
          <w:szCs w:val="20"/>
          <w:lang w:eastAsia="pl-PL"/>
        </w:rPr>
        <w:t>de facto</w:t>
      </w:r>
      <w:r w:rsidRPr="00640DE0">
        <w:rPr>
          <w:rFonts w:ascii="Times New Roman" w:eastAsia="Times New Roman" w:hAnsi="Times New Roman" w:cs="Times New Roman"/>
          <w:bCs/>
          <w:sz w:val="24"/>
          <w:szCs w:val="20"/>
          <w:lang w:eastAsia="pl-PL"/>
        </w:rPr>
        <w:t xml:space="preserve"> zawsze zachodzą zmiany 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porównaniu do roku poprzedniego, a tym samym w ich przypadku oświadczenie zastępujące wniosek nie może mieć zastosowania. Ponadto wyłączenie 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projektowanych przepisach grupy gospodarstw, które nawet potencjalnie nie mogłyby skorzystać z możliwości złożenia oświadczenia zamiast wniosku, pozwoli zmniejszyć liczbę błędnie składanych oświadczeń i uniknąć negatywnych konsekwencji z tym związanych.</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Kryterium rozróżniającym dwie grupy rolników i uzasadniającym ich odmienne traktowanie w projektowanym przepisie jest to, że w przypadku tylko niektórych rolników (tych wskazanych wprost w projektowanym art. 4</w:t>
      </w:r>
      <w:r w:rsidR="00F8109F">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 xml:space="preserve">6) mogą zajść sytuacje gdy wniosek nie będzie różnił się od wniosku za rok poprzedni. Natomiast pozostali rolnicy </w:t>
      </w:r>
      <w:r w:rsidRPr="00640DE0">
        <w:rPr>
          <w:rFonts w:ascii="Times New Roman" w:eastAsia="Times New Roman" w:hAnsi="Times New Roman" w:cs="Times New Roman"/>
          <w:bCs/>
          <w:i/>
          <w:sz w:val="24"/>
          <w:szCs w:val="20"/>
          <w:lang w:eastAsia="pl-PL"/>
        </w:rPr>
        <w:t>de facto</w:t>
      </w:r>
      <w:r w:rsidRPr="00640DE0">
        <w:rPr>
          <w:rFonts w:ascii="Times New Roman" w:eastAsia="Times New Roman" w:hAnsi="Times New Roman" w:cs="Times New Roman"/>
          <w:bCs/>
          <w:sz w:val="24"/>
          <w:szCs w:val="20"/>
          <w:lang w:eastAsia="pl-PL"/>
        </w:rPr>
        <w:t xml:space="preserve"> zawsze będą w takiej sytuacji, że ich wnioski będą różniły się od wniosków złożonych za rok poprzedni. Nie zajdzie zatem sytuacja, że pewna grupa rolników zostanie pozbawiona możliwości składania oświadczeń</w:t>
      </w:r>
      <w:r w:rsidR="00BE66F9">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 xml:space="preserve"> ponieważ rolnicy tacy nie będą mogli i tak z niej skorzystać.</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 xml:space="preserve">Projektowane rozwiązanie upraszcza i przyspiesza proces obsługi wniosków przez ARiMR. Wcześniejszy – w porównaniu do terminu składania wniosków – termin składania oświadczeń daje bowiem ARiMR możliwość wcześniejszego opracowywania spraw wszczętych złożeniem przedmiotowego oświadczenia. Ponadto dzięki temu uproszczonemu trybowi wnioskowania o przyznanie płatności wniosek ma od razu wersję elektroniczną (jest to </w:t>
      </w:r>
      <w:r w:rsidRPr="00640DE0">
        <w:rPr>
          <w:rFonts w:ascii="Times New Roman" w:eastAsia="Times New Roman" w:hAnsi="Times New Roman" w:cs="Times New Roman"/>
          <w:bCs/>
          <w:i/>
          <w:sz w:val="24"/>
          <w:szCs w:val="20"/>
          <w:lang w:eastAsia="pl-PL"/>
        </w:rPr>
        <w:t>de facto</w:t>
      </w:r>
      <w:r w:rsidRPr="00640DE0">
        <w:rPr>
          <w:rFonts w:ascii="Times New Roman" w:eastAsia="Times New Roman" w:hAnsi="Times New Roman" w:cs="Times New Roman"/>
          <w:bCs/>
          <w:sz w:val="24"/>
          <w:szCs w:val="20"/>
          <w:lang w:eastAsia="pl-PL"/>
        </w:rPr>
        <w:t xml:space="preserve"> wniosek z roku poprzedniego – już wprowadzony do systemu informatycznego ARiMR). Zatem nie ma potrzeby przenoszenia informacji z wersji papierowej na wersję elektroniczną, co znacząco zmniejsza obciążenia administracyjne ARiMR związane z obsługą wniosków.</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 xml:space="preserve">W art. 2 pkt 1 lit. a oraz art. 3 pkt 3 proponuje się wprowadzić analogiczne rozwiązania jak dla płatności bezpośrednich (art. 22 ust. 4 ustawy o płatnościach w ramach systemów wsparcia bezpośredniego) również dla działań obszarowych PROW </w:t>
      </w:r>
      <w:r w:rsidR="00F8109F">
        <w:rPr>
          <w:rFonts w:ascii="Times New Roman" w:eastAsia="Times New Roman" w:hAnsi="Times New Roman" w:cs="Times New Roman"/>
          <w:bCs/>
          <w:sz w:val="24"/>
          <w:szCs w:val="20"/>
          <w:lang w:eastAsia="pl-PL"/>
        </w:rPr>
        <w:br/>
      </w:r>
      <w:r w:rsidRPr="00640DE0">
        <w:rPr>
          <w:rFonts w:ascii="Times New Roman" w:eastAsia="Times New Roman" w:hAnsi="Times New Roman" w:cs="Times New Roman"/>
          <w:bCs/>
          <w:sz w:val="24"/>
          <w:szCs w:val="20"/>
          <w:lang w:eastAsia="pl-PL"/>
        </w:rPr>
        <w:t>2007</w:t>
      </w:r>
      <w:r w:rsidR="00F8109F">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2013 oraz PROW 2014</w:t>
      </w:r>
      <w:r w:rsidR="00F8109F">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2020 w zakresie informacji dotyczącej maksymalnego kwalifikowalnego obszaru, udostępnianej przez ARiMR wraz z formularzem wniosku o</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 xml:space="preserve">przyznanie lub wypłatę pomocy, a także niestosowania przepisów art. 77 § 4 zdanie drugie Kodeksu postępowania administracyjnego, które ustanawiają obowiązek </w:t>
      </w:r>
      <w:r w:rsidRPr="00640DE0">
        <w:rPr>
          <w:rFonts w:ascii="Times New Roman" w:eastAsia="Times New Roman" w:hAnsi="Times New Roman" w:cs="Times New Roman"/>
          <w:bCs/>
          <w:sz w:val="24"/>
          <w:szCs w:val="20"/>
          <w:lang w:eastAsia="pl-PL"/>
        </w:rPr>
        <w:lastRenderedPageBreak/>
        <w:t>zakomunikowania stronie (przed wydaniem decyzji) faktów znanych organowi z</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urzędu. Zgodnie z art. 72 ust. 3 rozporządzenia 1306/2013: „Państwa członkowskie dostarczają, między innymi drogą elektroniczną, z góry ustalone formularze sporządzone w oparciu o obszary określone w poprzednim roku, a także materiały graficzne wskazujące położenie takich obszarów”. Przepis ten dotyczy zarówno rolników ubiegających się o płatności w ramach systemów wsparcia bezpośredniego</w:t>
      </w:r>
      <w:r w:rsidR="00BE66F9">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 xml:space="preserve"> jak i o płatności obszarow</w:t>
      </w:r>
      <w:r w:rsidR="00F8109F">
        <w:rPr>
          <w:rFonts w:ascii="Times New Roman" w:eastAsia="Times New Roman" w:hAnsi="Times New Roman" w:cs="Times New Roman"/>
          <w:bCs/>
          <w:sz w:val="24"/>
          <w:szCs w:val="20"/>
          <w:lang w:eastAsia="pl-PL"/>
        </w:rPr>
        <w:t>e PROW 2007–2013 oraz PROW 2014–</w:t>
      </w:r>
      <w:r w:rsidR="00BE66F9">
        <w:rPr>
          <w:rFonts w:ascii="Times New Roman" w:eastAsia="Times New Roman" w:hAnsi="Times New Roman" w:cs="Times New Roman"/>
          <w:bCs/>
          <w:sz w:val="24"/>
          <w:szCs w:val="20"/>
          <w:lang w:eastAsia="pl-PL"/>
        </w:rPr>
        <w:t>2020 zgodnie z art. </w:t>
      </w:r>
      <w:r w:rsidRPr="00640DE0">
        <w:rPr>
          <w:rFonts w:ascii="Times New Roman" w:eastAsia="Times New Roman" w:hAnsi="Times New Roman" w:cs="Times New Roman"/>
          <w:bCs/>
          <w:sz w:val="24"/>
          <w:szCs w:val="20"/>
          <w:lang w:eastAsia="pl-PL"/>
        </w:rPr>
        <w:t>67 ust.</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2 rozporządzenia 1306/2013 w zw. z art. 72 ust. 1 tego rozporządzenia. Natomiast zgodnie z art. 77 § 4 Kodeksu postępowania administracyjnego, fakty znane organowi z</w:t>
      </w:r>
      <w:r w:rsidR="00BE66F9">
        <w:rPr>
          <w:rFonts w:ascii="Times New Roman" w:eastAsia="Times New Roman" w:hAnsi="Times New Roman" w:cs="Times New Roman"/>
          <w:bCs/>
          <w:sz w:val="24"/>
          <w:szCs w:val="20"/>
          <w:lang w:eastAsia="pl-PL"/>
        </w:rPr>
        <w:t xml:space="preserve"> </w:t>
      </w:r>
      <w:r w:rsidRPr="00640DE0">
        <w:rPr>
          <w:rFonts w:ascii="Times New Roman" w:eastAsia="Times New Roman" w:hAnsi="Times New Roman" w:cs="Times New Roman"/>
          <w:bCs/>
          <w:sz w:val="24"/>
          <w:szCs w:val="20"/>
          <w:lang w:eastAsia="pl-PL"/>
        </w:rPr>
        <w:t>urzędu należy zakomunikować stronie. W związku z tym przekazanie rolnikowi przedmiotowych informacji znanych organowi z urzędu wraz z wstępnie wypełnionym formularzem wniosku (przed wszczęciem postępowania administracyjnego w sprawie o</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przyznanie płatności bezpośrednich, o przyznanie lub wypłatę pomocy w ramach działań obszarowych PROW 2007</w:t>
      </w:r>
      <w:r w:rsidR="00F8109F">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 xml:space="preserve">2013 lub PROW </w:t>
      </w:r>
      <w:r w:rsidR="00BE66F9">
        <w:rPr>
          <w:rFonts w:ascii="Times New Roman" w:eastAsia="Times New Roman" w:hAnsi="Times New Roman" w:cs="Times New Roman"/>
          <w:bCs/>
          <w:sz w:val="24"/>
          <w:szCs w:val="20"/>
          <w:lang w:eastAsia="pl-PL"/>
        </w:rPr>
        <w:br/>
      </w:r>
      <w:r w:rsidRPr="00640DE0">
        <w:rPr>
          <w:rFonts w:ascii="Times New Roman" w:eastAsia="Times New Roman" w:hAnsi="Times New Roman" w:cs="Times New Roman"/>
          <w:bCs/>
          <w:sz w:val="24"/>
          <w:szCs w:val="20"/>
          <w:lang w:eastAsia="pl-PL"/>
        </w:rPr>
        <w:t>2014</w:t>
      </w:r>
      <w:r w:rsidR="00F8109F">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2020) pozwala na odstąpienie od ponownego przekazywania tych informacji po wszczęciu postępowania w trybie art. 77 § 4 Kodeksu postępowania administracyjnego. Proponowany przepis spowoduje ograniczenie wydatków na obsługę administracyjną wniosków o przyznanie lub wypłatę pomocy w ramac</w:t>
      </w:r>
      <w:r w:rsidR="00F8109F">
        <w:rPr>
          <w:rFonts w:ascii="Times New Roman" w:eastAsia="Times New Roman" w:hAnsi="Times New Roman" w:cs="Times New Roman"/>
          <w:bCs/>
          <w:sz w:val="24"/>
          <w:szCs w:val="20"/>
          <w:lang w:eastAsia="pl-PL"/>
        </w:rPr>
        <w:t>h działań obszarowych PROW 2007–2013 oraz PROW 2014–</w:t>
      </w:r>
      <w:r w:rsidRPr="00640DE0">
        <w:rPr>
          <w:rFonts w:ascii="Times New Roman" w:eastAsia="Times New Roman" w:hAnsi="Times New Roman" w:cs="Times New Roman"/>
          <w:bCs/>
          <w:sz w:val="24"/>
          <w:szCs w:val="20"/>
          <w:lang w:eastAsia="pl-PL"/>
        </w:rPr>
        <w:t>2020, tak jak ma już to</w:t>
      </w:r>
      <w:r w:rsidR="00BE66F9">
        <w:rPr>
          <w:rFonts w:ascii="Times New Roman" w:eastAsia="Times New Roman" w:hAnsi="Times New Roman" w:cs="Times New Roman"/>
          <w:bCs/>
          <w:sz w:val="24"/>
          <w:szCs w:val="20"/>
          <w:lang w:eastAsia="pl-PL"/>
        </w:rPr>
        <w:t xml:space="preserve"> miejsce w przypadku wniosków o </w:t>
      </w:r>
      <w:r w:rsidRPr="00640DE0">
        <w:rPr>
          <w:rFonts w:ascii="Times New Roman" w:eastAsia="Times New Roman" w:hAnsi="Times New Roman" w:cs="Times New Roman"/>
          <w:bCs/>
          <w:sz w:val="24"/>
          <w:szCs w:val="20"/>
          <w:lang w:eastAsia="pl-PL"/>
        </w:rPr>
        <w:t>przyznanie płatności 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ramach systemów wsparcia bezpośredniego.</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W art. 3 pkt 5 projektu ustawy proponuje się zmiany ustanowionych w art. 43a ustawy o</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wspieraniu rozwoju 2014</w:t>
      </w:r>
      <w:r w:rsidR="006D4921">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2020 regulacji dla podmiotów ubiegających się o</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przyznanie pomocy lub pomocy technicznej oraz beneficjentów PROW 2014</w:t>
      </w:r>
      <w:r w:rsidR="006D4921">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2020 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 xml:space="preserve">zakresie ponoszenia przez nich kosztów kwalifikowalnych podlegających refundacji w ramach programu z zachowaniem konkurencyjnego trybu wyboru wykonawców zadań ujętych w zestawieniu rzeczowo-finansowym operacji. </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Wymóg zachowania konkurencyjności przy wyborze wykonawców danego zadania realizowany jest najpełniej poprzez zastosowanie do tego wyboru przepisów ustawy z</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dnia 29 stycznia 2004 r. – Prawo zamówień publicznych (Dz. U. z 2017 r. poz. 1579 i</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 xml:space="preserve">2018), zwanej dalej </w:t>
      </w:r>
      <w:r w:rsidR="004B6990">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 xml:space="preserve">ustawą </w:t>
      </w:r>
      <w:proofErr w:type="spellStart"/>
      <w:r w:rsidRPr="00640DE0">
        <w:rPr>
          <w:rFonts w:ascii="Times New Roman" w:eastAsia="Times New Roman" w:hAnsi="Times New Roman" w:cs="Times New Roman"/>
          <w:bCs/>
          <w:sz w:val="24"/>
          <w:szCs w:val="20"/>
          <w:lang w:eastAsia="pl-PL"/>
        </w:rPr>
        <w:t>Pzp</w:t>
      </w:r>
      <w:proofErr w:type="spellEnd"/>
      <w:r w:rsidR="004B6990">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 Ustawodawca określił próg stosowania tej ustawy na poziomie 30 000 euro netto przeliczanych wg określonego kursu. Poniżej tego progu wydatkowanie środków publicznych obwarowane jest ograniczeniami z ustawy o</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 xml:space="preserve">finansach publicznych. Zgodnie z tymi przepisami środki mają być wydatkowane </w:t>
      </w:r>
      <w:r w:rsidRPr="00640DE0">
        <w:rPr>
          <w:rFonts w:ascii="Times New Roman" w:eastAsia="Times New Roman" w:hAnsi="Times New Roman" w:cs="Times New Roman"/>
          <w:bCs/>
          <w:sz w:val="24"/>
          <w:szCs w:val="20"/>
          <w:lang w:eastAsia="pl-PL"/>
        </w:rPr>
        <w:lastRenderedPageBreak/>
        <w:t>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sposób oszczędny i racjonalny. Podmioty publiczne w celu realizacji tych przepisów sporządzają własne regulaminy udzielania zamówień publicznych o wartości poniżej 30</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000 euro netto. Rozwiązanie takie nie budzi w żadnym stopniu zastrzeżeń służb kontrolnych Unii Europejskiej. W ramach PROW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2020 z dofinansowania korzystać mogą różne grupy podmiotów (najogólniej można stwierdzić, że są to zarówno podmioty publiczne, w tym gminy, starostwa itp., jak i podmioty prywatne – np. rolnicy). Należy zauważyć, że środki PROW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2020 również stanowią środki publiczne. W związku z tym proponuje się zastosowanie w odniesieniu do obowiązku stosowania konkurencyjnego trybu wyboru wykonawców zadań, określonych 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zestawieniu rzeczowo-finansowym operacji realizowanych w ramach PROW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 xml:space="preserve">2020, ustanowienie </w:t>
      </w:r>
      <w:r w:rsidRPr="00640DE0">
        <w:rPr>
          <w:rFonts w:ascii="Times New Roman" w:eastAsia="Times New Roman" w:hAnsi="Times New Roman" w:cs="Times New Roman"/>
          <w:bCs/>
          <w:sz w:val="24"/>
          <w:szCs w:val="24"/>
          <w:lang w:eastAsia="pl-PL"/>
        </w:rPr>
        <w:t xml:space="preserve">analogicznego progu – poprzez odwołanie do </w:t>
      </w:r>
      <w:r w:rsidRPr="00640DE0">
        <w:rPr>
          <w:rFonts w:ascii="Times New Roman" w:eastAsia="Times New Roman" w:hAnsi="Times New Roman" w:cs="Times New Roman"/>
          <w:sz w:val="24"/>
          <w:szCs w:val="24"/>
          <w:lang w:eastAsia="pl-PL"/>
        </w:rPr>
        <w:t xml:space="preserve">kwoty określonej w art. 4 pkt 8 ustawy </w:t>
      </w:r>
      <w:proofErr w:type="spellStart"/>
      <w:r w:rsidR="006D4921" w:rsidRPr="006D4921">
        <w:rPr>
          <w:rFonts w:ascii="Times New Roman" w:eastAsia="Times New Roman" w:hAnsi="Times New Roman" w:cs="Times New Roman"/>
          <w:sz w:val="24"/>
          <w:szCs w:val="24"/>
          <w:lang w:eastAsia="pl-PL"/>
        </w:rPr>
        <w:t>Pzp</w:t>
      </w:r>
      <w:proofErr w:type="spellEnd"/>
      <w:r w:rsidR="006D4921">
        <w:rPr>
          <w:rFonts w:ascii="Times New Roman" w:eastAsia="Times New Roman" w:hAnsi="Times New Roman" w:cs="Times New Roman"/>
          <w:sz w:val="24"/>
          <w:szCs w:val="24"/>
          <w:lang w:eastAsia="pl-PL"/>
        </w:rPr>
        <w:t xml:space="preserve"> </w:t>
      </w:r>
      <w:r w:rsidRPr="00640DE0">
        <w:rPr>
          <w:rFonts w:ascii="Times New Roman" w:eastAsia="Times New Roman" w:hAnsi="Times New Roman" w:cs="Times New Roman"/>
          <w:sz w:val="24"/>
          <w:szCs w:val="24"/>
          <w:lang w:eastAsia="pl-PL"/>
        </w:rPr>
        <w:t>według średniego kursu złotego w stosunku do euro określonego w</w:t>
      </w:r>
      <w:r w:rsidR="00F8109F">
        <w:rPr>
          <w:rFonts w:ascii="Times New Roman" w:eastAsia="Times New Roman" w:hAnsi="Times New Roman" w:cs="Times New Roman"/>
          <w:sz w:val="24"/>
          <w:szCs w:val="24"/>
          <w:lang w:eastAsia="pl-PL"/>
        </w:rPr>
        <w:t> </w:t>
      </w:r>
      <w:r w:rsidRPr="00640DE0">
        <w:rPr>
          <w:rFonts w:ascii="Times New Roman" w:eastAsia="Times New Roman" w:hAnsi="Times New Roman" w:cs="Times New Roman"/>
          <w:sz w:val="24"/>
          <w:szCs w:val="24"/>
          <w:lang w:eastAsia="pl-PL"/>
        </w:rPr>
        <w:t xml:space="preserve">przepisach wydanych na podstawie </w:t>
      </w:r>
      <w:r w:rsidR="006D4921">
        <w:rPr>
          <w:rFonts w:ascii="Times New Roman" w:eastAsia="Times New Roman" w:hAnsi="Times New Roman" w:cs="Times New Roman"/>
          <w:sz w:val="24"/>
          <w:szCs w:val="24"/>
          <w:lang w:eastAsia="pl-PL"/>
        </w:rPr>
        <w:t xml:space="preserve">art. 35 ust. 3 ustawy </w:t>
      </w:r>
      <w:proofErr w:type="spellStart"/>
      <w:r w:rsidR="004F473C">
        <w:rPr>
          <w:rFonts w:ascii="Times New Roman" w:eastAsia="Times New Roman" w:hAnsi="Times New Roman" w:cs="Times New Roman"/>
          <w:sz w:val="24"/>
          <w:szCs w:val="24"/>
          <w:lang w:eastAsia="pl-PL"/>
        </w:rPr>
        <w:t>Pzp</w:t>
      </w:r>
      <w:proofErr w:type="spellEnd"/>
      <w:r w:rsidRPr="00640DE0">
        <w:rPr>
          <w:rFonts w:ascii="Times New Roman" w:eastAsia="Times New Roman" w:hAnsi="Times New Roman" w:cs="Times New Roman"/>
          <w:i/>
          <w:sz w:val="24"/>
          <w:szCs w:val="24"/>
          <w:lang w:eastAsia="pl-PL"/>
        </w:rPr>
        <w:t xml:space="preserve"> </w:t>
      </w:r>
      <w:r w:rsidRPr="00640DE0">
        <w:rPr>
          <w:rFonts w:ascii="Times New Roman" w:eastAsia="Times New Roman" w:hAnsi="Times New Roman" w:cs="Times New Roman"/>
          <w:sz w:val="24"/>
          <w:szCs w:val="24"/>
          <w:lang w:eastAsia="pl-PL"/>
        </w:rPr>
        <w:t>obowiązującego w dniu ustalenia wartości tego zadania</w:t>
      </w:r>
      <w:r w:rsidRPr="00640DE0">
        <w:rPr>
          <w:rFonts w:ascii="A" w:eastAsia="Times New Roman" w:hAnsi="A" w:cs="Times New Roman"/>
          <w:sz w:val="20"/>
          <w:szCs w:val="20"/>
          <w:lang w:eastAsia="pl-PL"/>
        </w:rPr>
        <w:t xml:space="preserve"> </w:t>
      </w:r>
      <w:r w:rsidRPr="00640DE0">
        <w:rPr>
          <w:rFonts w:ascii="Times New Roman" w:eastAsia="Times New Roman" w:hAnsi="Times New Roman" w:cs="Times New Roman"/>
          <w:bCs/>
          <w:sz w:val="24"/>
          <w:szCs w:val="20"/>
          <w:lang w:eastAsia="pl-PL"/>
        </w:rPr>
        <w:t>(art. 3 pkt 5 lit. b).</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Propozycje rozwiązania w powyższym zakresie została zgłoszone przez ARiMR 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oparciu o jej doświadczenia i informacje uzyskane od agencji płatniczych podczas 16.</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 xml:space="preserve">Konferencji Agencji Płatniczych Państw Morza </w:t>
      </w:r>
      <w:r w:rsidR="00F8109F">
        <w:rPr>
          <w:rFonts w:ascii="Times New Roman" w:eastAsia="Times New Roman" w:hAnsi="Times New Roman" w:cs="Times New Roman"/>
          <w:bCs/>
          <w:sz w:val="24"/>
          <w:szCs w:val="20"/>
          <w:lang w:eastAsia="pl-PL"/>
        </w:rPr>
        <w:t>Bałtyckiego, która odbyła się w </w:t>
      </w:r>
      <w:r w:rsidRPr="00640DE0">
        <w:rPr>
          <w:rFonts w:ascii="Times New Roman" w:eastAsia="Times New Roman" w:hAnsi="Times New Roman" w:cs="Times New Roman"/>
          <w:bCs/>
          <w:sz w:val="24"/>
          <w:szCs w:val="20"/>
          <w:lang w:eastAsia="pl-PL"/>
        </w:rPr>
        <w:t>dniach 11</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13 września 2017 r.</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 xml:space="preserve">Dodatkowo, również wzorując się na zasadach obowiązujących dla podmiotów zobowiązanych do stosowania przepisów ustawy </w:t>
      </w:r>
      <w:proofErr w:type="spellStart"/>
      <w:r w:rsidRPr="00640DE0">
        <w:rPr>
          <w:rFonts w:ascii="Times New Roman" w:eastAsia="Times New Roman" w:hAnsi="Times New Roman" w:cs="Times New Roman"/>
          <w:bCs/>
          <w:sz w:val="24"/>
          <w:szCs w:val="20"/>
          <w:lang w:eastAsia="pl-PL"/>
        </w:rPr>
        <w:t>Pzp</w:t>
      </w:r>
      <w:proofErr w:type="spellEnd"/>
      <w:r w:rsidRPr="00640DE0">
        <w:rPr>
          <w:rFonts w:ascii="Times New Roman" w:eastAsia="Times New Roman" w:hAnsi="Times New Roman" w:cs="Times New Roman"/>
          <w:bCs/>
          <w:sz w:val="24"/>
          <w:szCs w:val="20"/>
          <w:lang w:eastAsia="pl-PL"/>
        </w:rPr>
        <w:t>, w projektowanej zmianie brzmienia art. 43a ust. 3 ustawy o wspieraniu rozwoju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2020 proponuje się umożliwienie podmiotom ubiegającym się o przyznanie pomocy lub pomocy technicznej oraz beneficjentom PROW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2020 ustalania jednego kryterium oceny ofert – ceny lub kosztu. Takie rozwiązanie stanowiło będzie dla tych podmiotów znaczące uproszczenie (art. 3 pkt 5 lit. a ustawy).</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W projektowanym brzmieniu art. 43a ust. 5 ustawy o wspieraniu rozwoju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2020 zaproponowano ponadto doprecyzowanie z</w:t>
      </w:r>
      <w:r w:rsidR="00C259AE">
        <w:rPr>
          <w:rFonts w:ascii="Times New Roman" w:eastAsia="Times New Roman" w:hAnsi="Times New Roman" w:cs="Times New Roman"/>
          <w:bCs/>
          <w:sz w:val="24"/>
          <w:szCs w:val="20"/>
          <w:lang w:eastAsia="pl-PL"/>
        </w:rPr>
        <w:t xml:space="preserve">ależności </w:t>
      </w:r>
      <w:r w:rsidR="00F8109F">
        <w:rPr>
          <w:rFonts w:ascii="Times New Roman" w:eastAsia="Times New Roman" w:hAnsi="Times New Roman" w:cs="Times New Roman"/>
          <w:bCs/>
          <w:sz w:val="24"/>
          <w:szCs w:val="20"/>
          <w:lang w:eastAsia="pl-PL"/>
        </w:rPr>
        <w:t>między przepisami o </w:t>
      </w:r>
      <w:r w:rsidRPr="00640DE0">
        <w:rPr>
          <w:rFonts w:ascii="Times New Roman" w:eastAsia="Times New Roman" w:hAnsi="Times New Roman" w:cs="Times New Roman"/>
          <w:bCs/>
          <w:sz w:val="24"/>
          <w:szCs w:val="20"/>
          <w:lang w:eastAsia="pl-PL"/>
        </w:rPr>
        <w:t>konkurencyjności a przepisami o zamówieniach publicznych. W obecnie obowiązującej ustawie o wspieraniu rozwoju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2020 wyłączenia ze stosowania zasady konkurencyjności określa art. 43a ust. 5 tej ustawy</w:t>
      </w:r>
      <w:r w:rsidR="00F8109F">
        <w:rPr>
          <w:rFonts w:ascii="Times New Roman" w:eastAsia="Times New Roman" w:hAnsi="Times New Roman" w:cs="Times New Roman"/>
          <w:bCs/>
          <w:sz w:val="24"/>
          <w:szCs w:val="20"/>
          <w:lang w:eastAsia="pl-PL"/>
        </w:rPr>
        <w:t>. W szczególności przepis art. </w:t>
      </w:r>
      <w:r w:rsidRPr="00640DE0">
        <w:rPr>
          <w:rFonts w:ascii="Times New Roman" w:eastAsia="Times New Roman" w:hAnsi="Times New Roman" w:cs="Times New Roman"/>
          <w:bCs/>
          <w:sz w:val="24"/>
          <w:szCs w:val="20"/>
          <w:lang w:eastAsia="pl-PL"/>
        </w:rPr>
        <w:t>43a ust. 5 pkt 2 ustawy o wspieraniu rozwoju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 xml:space="preserve">2020 stanowi, iż przepisów dotyczących zasad konkurencyjności, w tym przepisów rozporządzenia wydanego na </w:t>
      </w:r>
      <w:r w:rsidRPr="00640DE0">
        <w:rPr>
          <w:rFonts w:ascii="Times New Roman" w:eastAsia="Times New Roman" w:hAnsi="Times New Roman" w:cs="Times New Roman"/>
          <w:bCs/>
          <w:sz w:val="24"/>
          <w:szCs w:val="20"/>
          <w:lang w:eastAsia="pl-PL"/>
        </w:rPr>
        <w:lastRenderedPageBreak/>
        <w:t xml:space="preserve">podstawie </w:t>
      </w:r>
      <w:r w:rsidR="00C259AE">
        <w:rPr>
          <w:rFonts w:ascii="Times New Roman" w:eastAsia="Times New Roman" w:hAnsi="Times New Roman" w:cs="Times New Roman"/>
          <w:bCs/>
          <w:sz w:val="24"/>
          <w:szCs w:val="20"/>
          <w:lang w:eastAsia="pl-PL"/>
        </w:rPr>
        <w:t xml:space="preserve">upoważnienia zawartego </w:t>
      </w:r>
      <w:r w:rsidRPr="00640DE0">
        <w:rPr>
          <w:rFonts w:ascii="Times New Roman" w:eastAsia="Times New Roman" w:hAnsi="Times New Roman" w:cs="Times New Roman"/>
          <w:bCs/>
          <w:sz w:val="24"/>
          <w:szCs w:val="20"/>
          <w:lang w:eastAsia="pl-PL"/>
        </w:rPr>
        <w:t xml:space="preserve">w art. 43a ust. 6, nie stosuje się w przypadku określonym w art. 4 pkt 8 ustawy </w:t>
      </w:r>
      <w:proofErr w:type="spellStart"/>
      <w:r w:rsidRPr="00640DE0">
        <w:rPr>
          <w:rFonts w:ascii="Times New Roman" w:eastAsia="Times New Roman" w:hAnsi="Times New Roman" w:cs="Times New Roman"/>
          <w:bCs/>
          <w:sz w:val="24"/>
          <w:szCs w:val="20"/>
          <w:lang w:eastAsia="pl-PL"/>
        </w:rPr>
        <w:t>Pzp</w:t>
      </w:r>
      <w:proofErr w:type="spellEnd"/>
      <w:r w:rsidRPr="00640DE0">
        <w:rPr>
          <w:rFonts w:ascii="Times New Roman" w:eastAsia="Times New Roman" w:hAnsi="Times New Roman" w:cs="Times New Roman"/>
          <w:bCs/>
          <w:sz w:val="24"/>
          <w:szCs w:val="20"/>
          <w:lang w:eastAsia="pl-PL"/>
        </w:rPr>
        <w:t>, jeżeli te kosz</w:t>
      </w:r>
      <w:r w:rsidR="00F8109F">
        <w:rPr>
          <w:rFonts w:ascii="Times New Roman" w:eastAsia="Times New Roman" w:hAnsi="Times New Roman" w:cs="Times New Roman"/>
          <w:bCs/>
          <w:sz w:val="24"/>
          <w:szCs w:val="20"/>
          <w:lang w:eastAsia="pl-PL"/>
        </w:rPr>
        <w:t>ty zostały poniesione zgodnie z </w:t>
      </w:r>
      <w:r w:rsidRPr="00640DE0">
        <w:rPr>
          <w:rFonts w:ascii="Times New Roman" w:eastAsia="Times New Roman" w:hAnsi="Times New Roman" w:cs="Times New Roman"/>
          <w:bCs/>
          <w:sz w:val="24"/>
          <w:szCs w:val="20"/>
          <w:lang w:eastAsia="pl-PL"/>
        </w:rPr>
        <w:t xml:space="preserve">przepisami o zamówieniach publicznych w wyniku wyboru wykonawcy w trybie przetargu nieograniczonego albo przetargu ograniczonego. Powyższy przepis odnosi się do sytuacji, w której beneficjent stosuje przepisy ustawy </w:t>
      </w:r>
      <w:proofErr w:type="spellStart"/>
      <w:r w:rsidRPr="00640DE0">
        <w:rPr>
          <w:rFonts w:ascii="Times New Roman" w:eastAsia="Times New Roman" w:hAnsi="Times New Roman" w:cs="Times New Roman"/>
          <w:bCs/>
          <w:sz w:val="24"/>
          <w:szCs w:val="20"/>
          <w:lang w:eastAsia="pl-PL"/>
        </w:rPr>
        <w:t>Pzp</w:t>
      </w:r>
      <w:proofErr w:type="spellEnd"/>
      <w:r w:rsidRPr="00640DE0">
        <w:rPr>
          <w:rFonts w:ascii="Times New Roman" w:eastAsia="Times New Roman" w:hAnsi="Times New Roman" w:cs="Times New Roman"/>
          <w:bCs/>
          <w:sz w:val="24"/>
          <w:szCs w:val="20"/>
          <w:lang w:eastAsia="pl-PL"/>
        </w:rPr>
        <w:t xml:space="preserve"> dobrowolnie, mimo wyłączenia przedmiotowego w ustawie </w:t>
      </w:r>
      <w:proofErr w:type="spellStart"/>
      <w:r w:rsidRPr="00640DE0">
        <w:rPr>
          <w:rFonts w:ascii="Times New Roman" w:eastAsia="Times New Roman" w:hAnsi="Times New Roman" w:cs="Times New Roman"/>
          <w:bCs/>
          <w:sz w:val="24"/>
          <w:szCs w:val="20"/>
          <w:lang w:eastAsia="pl-PL"/>
        </w:rPr>
        <w:t>Pzp</w:t>
      </w:r>
      <w:proofErr w:type="spellEnd"/>
      <w:r w:rsidRPr="00640DE0">
        <w:rPr>
          <w:rFonts w:ascii="Times New Roman" w:eastAsia="Times New Roman" w:hAnsi="Times New Roman" w:cs="Times New Roman"/>
          <w:bCs/>
          <w:sz w:val="24"/>
          <w:szCs w:val="20"/>
          <w:lang w:eastAsia="pl-PL"/>
        </w:rPr>
        <w:t xml:space="preserve"> (tzw. zamówienia podprogowe). Przepis art. 43a ust. 5 pkt 2 ustawy o wspieraniu rozwoju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 xml:space="preserve">2020 nie dotyczy wprost zamawiających sektorowych, jednak również w przypadku takich zamówień, gdy ich wartość jest niższa od kwot określonych w przepisach wydanych na podstawie art. 11 ust. 8 ustawy </w:t>
      </w:r>
      <w:proofErr w:type="spellStart"/>
      <w:r w:rsidRPr="00640DE0">
        <w:rPr>
          <w:rFonts w:ascii="Times New Roman" w:eastAsia="Times New Roman" w:hAnsi="Times New Roman" w:cs="Times New Roman"/>
          <w:bCs/>
          <w:sz w:val="24"/>
          <w:szCs w:val="20"/>
          <w:lang w:eastAsia="pl-PL"/>
        </w:rPr>
        <w:t>Pzp</w:t>
      </w:r>
      <w:proofErr w:type="spellEnd"/>
      <w:r w:rsidRPr="00640DE0">
        <w:rPr>
          <w:rFonts w:ascii="Times New Roman" w:eastAsia="Times New Roman" w:hAnsi="Times New Roman" w:cs="Times New Roman"/>
          <w:bCs/>
          <w:sz w:val="24"/>
          <w:szCs w:val="20"/>
          <w:lang w:eastAsia="pl-PL"/>
        </w:rPr>
        <w:t>, przez analogię powinno się go stosować odpowiednio. Zobowiązanie beneficjentów do wyboru wykonawców zgodnie z zasadami konkurencyjności ma na celu zapewnienie stosowania przez nich zasad równego traktowania, uczciwej konkurencji i przejrzystości. Przeprowadzenie post</w:t>
      </w:r>
      <w:r w:rsidR="00F8109F">
        <w:rPr>
          <w:rFonts w:ascii="Times New Roman" w:eastAsia="Times New Roman" w:hAnsi="Times New Roman" w:cs="Times New Roman"/>
          <w:bCs/>
          <w:sz w:val="24"/>
          <w:szCs w:val="20"/>
          <w:lang w:eastAsia="pl-PL"/>
        </w:rPr>
        <w:t>ępowania zgodnie z przepisami o </w:t>
      </w:r>
      <w:r w:rsidRPr="00640DE0">
        <w:rPr>
          <w:rFonts w:ascii="Times New Roman" w:eastAsia="Times New Roman" w:hAnsi="Times New Roman" w:cs="Times New Roman"/>
          <w:bCs/>
          <w:sz w:val="24"/>
          <w:szCs w:val="20"/>
          <w:lang w:eastAsia="pl-PL"/>
        </w:rPr>
        <w:t xml:space="preserve">zamówieniach publicznych z pewnością spełnia te przesłanki. Ponadto z informacji otrzymywanych od podmiotów wdrażających wynika, że zdarzają się przypadki zastosowania przepisów ustawy </w:t>
      </w:r>
      <w:proofErr w:type="spellStart"/>
      <w:r w:rsidRPr="00640DE0">
        <w:rPr>
          <w:rFonts w:ascii="Times New Roman" w:eastAsia="Times New Roman" w:hAnsi="Times New Roman" w:cs="Times New Roman"/>
          <w:bCs/>
          <w:sz w:val="24"/>
          <w:szCs w:val="20"/>
          <w:lang w:eastAsia="pl-PL"/>
        </w:rPr>
        <w:t>Pzp</w:t>
      </w:r>
      <w:proofErr w:type="spellEnd"/>
      <w:r w:rsidRPr="00640DE0">
        <w:rPr>
          <w:rFonts w:ascii="Times New Roman" w:eastAsia="Times New Roman" w:hAnsi="Times New Roman" w:cs="Times New Roman"/>
          <w:bCs/>
          <w:sz w:val="24"/>
          <w:szCs w:val="20"/>
          <w:lang w:eastAsia="pl-PL"/>
        </w:rPr>
        <w:t xml:space="preserve"> przez podmioty</w:t>
      </w:r>
      <w:r w:rsidR="005B632C">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 xml:space="preserve"> które nie są tą ustawą do tego zobowiązane. W takim przypadku również należałoby wyłączyć stosowanie przepisów dotyczących konkurencyjnego trybu wyboru wykonawców.</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Proponuje się również wprowadzenie przepisu 5a regulującego termin, w jakim należy dokonać ustalenia wartości zadania ujętego w zestawieniu rzeczowo-finansowym operacji – regulacja analogiczna jak obowiązująca w przepisach o zamówieniach publicznych.</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Ponadto zaproponowano również dodanie, w art. 43a ustawy o wspieraniu rozwoju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2020, ust. 5c, w którym doprecyzowano sposób postępowania w przypadku, gdy w wyniku przeprowadzonego postępowania w sprawie wyboru wykonawcy danego zadania ujętego w zestawieniu rzeczowo-finansowym nie ma możliwości wyboru najkorzystniejszej oferty. Doświadczenia z dotychczasowego stosowania przepisów dotyczących konkurencyjnego trybu wyboru w</w:t>
      </w:r>
      <w:r w:rsidR="00F8109F">
        <w:rPr>
          <w:rFonts w:ascii="Times New Roman" w:eastAsia="Times New Roman" w:hAnsi="Times New Roman" w:cs="Times New Roman"/>
          <w:bCs/>
          <w:sz w:val="24"/>
          <w:szCs w:val="20"/>
          <w:lang w:eastAsia="pl-PL"/>
        </w:rPr>
        <w:t>ykonawców pokazują, iż jednym z </w:t>
      </w:r>
      <w:r w:rsidRPr="00640DE0">
        <w:rPr>
          <w:rFonts w:ascii="Times New Roman" w:eastAsia="Times New Roman" w:hAnsi="Times New Roman" w:cs="Times New Roman"/>
          <w:bCs/>
          <w:sz w:val="24"/>
          <w:szCs w:val="20"/>
          <w:lang w:eastAsia="pl-PL"/>
        </w:rPr>
        <w:t xml:space="preserve">problemów związanych z wyborem wykonawcy jest konieczność kilkukrotnego powtarzania postępowania w przypadku, gdy nie wpływają żadne oferty. W przypadku, gdy mimo kilkukrotnego powtórzenia postępowania beneficjent nie dysponuje ważną ofertą – nie jest w stanie wybrać wykonawcy w sposób konkurencyjny, a tym samym ewentualne koszty poniesione w ramach tego zadania nie będą kwalifikowalne. </w:t>
      </w:r>
      <w:r w:rsidRPr="00640DE0">
        <w:rPr>
          <w:rFonts w:ascii="Times New Roman" w:eastAsia="Times New Roman" w:hAnsi="Times New Roman" w:cs="Times New Roman"/>
          <w:bCs/>
          <w:sz w:val="24"/>
          <w:szCs w:val="20"/>
          <w:lang w:eastAsia="pl-PL"/>
        </w:rPr>
        <w:lastRenderedPageBreak/>
        <w:t>Dodatkowo, w przypadku instrumentów wsparcia, w których beneficjent otrzymuje dodatkowe punkty za krótki czas realizacji zadania, sytuacja taka może skutkować brakiem możliwości realizacji operacji w terminie i utratą pomocy ze środków PROW 2014–2020. W projektowanym ust. 5c zaproponowano zatem, aby w takiej sytuacji podmiot ubiegający się o przyznanie pomocy lub pomocy technicznej oraz beneficjent mógł zawrzeć umowę na wykonanie tego zadania z wybranym przez siebie wykonawcą, niepowiązanym osobowo lub kapitałowo. Z kolei w projektowanym ust. 5d zaproponowano uregulowanie sposobu postępowania w sytuacji, gdy wykonawca wybrany w wyniku przeprowadzonego postępowania w sprawie wyboru wykonawcy danego zadania ujętego w zestawieniu rzeczowo-finansowym operacji uchyla się od zawarcia umowy</w:t>
      </w:r>
      <w:r w:rsidRPr="00640DE0">
        <w:rPr>
          <w:rFonts w:ascii="A" w:eastAsia="Times New Roman" w:hAnsi="A" w:cs="Times New Roman"/>
          <w:sz w:val="20"/>
          <w:szCs w:val="20"/>
          <w:lang w:eastAsia="pl-PL"/>
        </w:rPr>
        <w:t xml:space="preserve"> </w:t>
      </w:r>
      <w:r w:rsidRPr="00640DE0">
        <w:rPr>
          <w:rFonts w:ascii="Times New Roman" w:eastAsia="Times New Roman" w:hAnsi="Times New Roman" w:cs="Times New Roman"/>
          <w:sz w:val="24"/>
          <w:szCs w:val="24"/>
          <w:lang w:eastAsia="pl-PL"/>
        </w:rPr>
        <w:t>na wykonanie tego zadania</w:t>
      </w:r>
      <w:r w:rsidRPr="00640DE0">
        <w:rPr>
          <w:rFonts w:ascii="Times New Roman" w:eastAsia="Times New Roman" w:hAnsi="Times New Roman" w:cs="Times New Roman"/>
          <w:bCs/>
          <w:sz w:val="24"/>
          <w:szCs w:val="24"/>
          <w:lang w:eastAsia="pl-PL"/>
        </w:rPr>
        <w:t>.</w:t>
      </w:r>
      <w:r w:rsidRPr="00640DE0">
        <w:rPr>
          <w:rFonts w:ascii="Times New Roman" w:eastAsia="Times New Roman" w:hAnsi="Times New Roman" w:cs="Times New Roman"/>
          <w:bCs/>
          <w:sz w:val="24"/>
          <w:szCs w:val="20"/>
          <w:lang w:eastAsia="pl-PL"/>
        </w:rPr>
        <w:t xml:space="preserve"> W dotychczasowym porządku prawnym w ramach PROW 2014–2020, ze względu na brak regulacji w przedmiotowym zakresie, zastosowanie znajdowały przepisy ustawy z dnia 23 kwietnia 1964 r. </w:t>
      </w:r>
      <w:r w:rsidR="005B632C">
        <w:rPr>
          <w:rFonts w:ascii="Times New Roman" w:eastAsia="Times New Roman" w:hAnsi="Times New Roman" w:cs="Times New Roman"/>
          <w:bCs/>
          <w:sz w:val="24"/>
          <w:szCs w:val="20"/>
          <w:lang w:eastAsia="pl-PL"/>
        </w:rPr>
        <w:t xml:space="preserve">– </w:t>
      </w:r>
      <w:r w:rsidRPr="00640DE0">
        <w:rPr>
          <w:rFonts w:ascii="Times New Roman" w:eastAsia="Times New Roman" w:hAnsi="Times New Roman" w:cs="Times New Roman"/>
          <w:bCs/>
          <w:sz w:val="24"/>
          <w:szCs w:val="20"/>
          <w:lang w:eastAsia="pl-PL"/>
        </w:rPr>
        <w:t xml:space="preserve">Kodeks cywilny (Dz. U. z 2017 r. poz. 459, z </w:t>
      </w:r>
      <w:proofErr w:type="spellStart"/>
      <w:r w:rsidRPr="00640DE0">
        <w:rPr>
          <w:rFonts w:ascii="Times New Roman" w:eastAsia="Times New Roman" w:hAnsi="Times New Roman" w:cs="Times New Roman"/>
          <w:bCs/>
          <w:sz w:val="24"/>
          <w:szCs w:val="20"/>
          <w:lang w:eastAsia="pl-PL"/>
        </w:rPr>
        <w:t>późn</w:t>
      </w:r>
      <w:proofErr w:type="spellEnd"/>
      <w:r w:rsidRPr="00640DE0">
        <w:rPr>
          <w:rFonts w:ascii="Times New Roman" w:eastAsia="Times New Roman" w:hAnsi="Times New Roman" w:cs="Times New Roman"/>
          <w:bCs/>
          <w:sz w:val="24"/>
          <w:szCs w:val="20"/>
          <w:lang w:eastAsia="pl-PL"/>
        </w:rPr>
        <w:t>. zm.), zwanej dalej „k.c</w:t>
      </w:r>
      <w:r w:rsidR="00F8109F">
        <w:rPr>
          <w:rFonts w:ascii="Times New Roman" w:eastAsia="Times New Roman" w:hAnsi="Times New Roman" w:cs="Times New Roman"/>
          <w:bCs/>
          <w:sz w:val="24"/>
          <w:szCs w:val="20"/>
          <w:lang w:eastAsia="pl-PL"/>
        </w:rPr>
        <w:t>.”, w szczególności art. 701 § </w:t>
      </w:r>
      <w:r w:rsidRPr="00640DE0">
        <w:rPr>
          <w:rFonts w:ascii="Times New Roman" w:eastAsia="Times New Roman" w:hAnsi="Times New Roman" w:cs="Times New Roman"/>
          <w:bCs/>
          <w:sz w:val="24"/>
          <w:szCs w:val="20"/>
          <w:lang w:eastAsia="pl-PL"/>
        </w:rPr>
        <w:t xml:space="preserve">2 i 3, zgodnie z którym warunki przetargu </w:t>
      </w:r>
      <w:r w:rsidR="005B632C">
        <w:rPr>
          <w:rFonts w:ascii="Times New Roman" w:eastAsia="Times New Roman" w:hAnsi="Times New Roman" w:cs="Times New Roman"/>
          <w:bCs/>
          <w:sz w:val="24"/>
          <w:szCs w:val="20"/>
          <w:lang w:eastAsia="pl-PL"/>
        </w:rPr>
        <w:t>po</w:t>
      </w:r>
      <w:r w:rsidRPr="00640DE0">
        <w:rPr>
          <w:rFonts w:ascii="Times New Roman" w:eastAsia="Times New Roman" w:hAnsi="Times New Roman" w:cs="Times New Roman"/>
          <w:bCs/>
          <w:sz w:val="24"/>
          <w:szCs w:val="20"/>
          <w:lang w:eastAsia="pl-PL"/>
        </w:rPr>
        <w:t>winny być</w:t>
      </w:r>
      <w:r w:rsidR="00F8109F">
        <w:rPr>
          <w:rFonts w:ascii="Times New Roman" w:eastAsia="Times New Roman" w:hAnsi="Times New Roman" w:cs="Times New Roman"/>
          <w:bCs/>
          <w:sz w:val="24"/>
          <w:szCs w:val="20"/>
          <w:lang w:eastAsia="pl-PL"/>
        </w:rPr>
        <w:t xml:space="preserve"> określone przez organizatora w </w:t>
      </w:r>
      <w:r w:rsidRPr="00640DE0">
        <w:rPr>
          <w:rFonts w:ascii="Times New Roman" w:eastAsia="Times New Roman" w:hAnsi="Times New Roman" w:cs="Times New Roman"/>
          <w:bCs/>
          <w:sz w:val="24"/>
          <w:szCs w:val="20"/>
          <w:lang w:eastAsia="pl-PL"/>
        </w:rPr>
        <w:t xml:space="preserve">ogłoszeniu, przy czym warunki te mogą zostać zmienione tylko wówczas, gdy zastrzeżono to w ich treści. </w:t>
      </w:r>
      <w:r w:rsidR="005B632C">
        <w:rPr>
          <w:rFonts w:ascii="Times New Roman" w:eastAsia="Times New Roman" w:hAnsi="Times New Roman" w:cs="Times New Roman"/>
          <w:bCs/>
          <w:sz w:val="24"/>
          <w:szCs w:val="20"/>
          <w:lang w:eastAsia="pl-PL"/>
        </w:rPr>
        <w:t>Pon</w:t>
      </w:r>
      <w:r w:rsidRPr="00640DE0">
        <w:rPr>
          <w:rFonts w:ascii="Times New Roman" w:eastAsia="Times New Roman" w:hAnsi="Times New Roman" w:cs="Times New Roman"/>
          <w:bCs/>
          <w:sz w:val="24"/>
          <w:szCs w:val="20"/>
          <w:lang w:eastAsia="pl-PL"/>
        </w:rPr>
        <w:t>adto zgodnie z brzmieniem art. 701 § 4 k.c. „Organizator od chwili udostępnienia warunków, a oferent od c</w:t>
      </w:r>
      <w:r w:rsidR="00F8109F">
        <w:rPr>
          <w:rFonts w:ascii="Times New Roman" w:eastAsia="Times New Roman" w:hAnsi="Times New Roman" w:cs="Times New Roman"/>
          <w:bCs/>
          <w:sz w:val="24"/>
          <w:szCs w:val="20"/>
          <w:lang w:eastAsia="pl-PL"/>
        </w:rPr>
        <w:t>hwili złożenia oferty zgodnie z </w:t>
      </w:r>
      <w:r w:rsidRPr="00640DE0">
        <w:rPr>
          <w:rFonts w:ascii="Times New Roman" w:eastAsia="Times New Roman" w:hAnsi="Times New Roman" w:cs="Times New Roman"/>
          <w:bCs/>
          <w:sz w:val="24"/>
          <w:szCs w:val="20"/>
          <w:lang w:eastAsia="pl-PL"/>
        </w:rPr>
        <w:t xml:space="preserve">ogłoszeniem aukcji albo przetargu są </w:t>
      </w:r>
      <w:r w:rsidR="00F8109F">
        <w:rPr>
          <w:rFonts w:ascii="Times New Roman" w:eastAsia="Times New Roman" w:hAnsi="Times New Roman" w:cs="Times New Roman"/>
          <w:bCs/>
          <w:sz w:val="24"/>
          <w:szCs w:val="20"/>
          <w:lang w:eastAsia="pl-PL"/>
        </w:rPr>
        <w:t>obowiązani postępować zgodnie z </w:t>
      </w:r>
      <w:r w:rsidRPr="00640DE0">
        <w:rPr>
          <w:rFonts w:ascii="Times New Roman" w:eastAsia="Times New Roman" w:hAnsi="Times New Roman" w:cs="Times New Roman"/>
          <w:bCs/>
          <w:sz w:val="24"/>
          <w:szCs w:val="20"/>
          <w:lang w:eastAsia="pl-PL"/>
        </w:rPr>
        <w:t>postanowieniami ogłoszenia, a także war</w:t>
      </w:r>
      <w:r w:rsidR="00F8109F">
        <w:rPr>
          <w:rFonts w:ascii="Times New Roman" w:eastAsia="Times New Roman" w:hAnsi="Times New Roman" w:cs="Times New Roman"/>
          <w:bCs/>
          <w:sz w:val="24"/>
          <w:szCs w:val="20"/>
          <w:lang w:eastAsia="pl-PL"/>
        </w:rPr>
        <w:t>unków aukcji albo przetargu”. Z </w:t>
      </w:r>
      <w:r w:rsidRPr="00640DE0">
        <w:rPr>
          <w:rFonts w:ascii="Times New Roman" w:eastAsia="Times New Roman" w:hAnsi="Times New Roman" w:cs="Times New Roman"/>
          <w:bCs/>
          <w:sz w:val="24"/>
          <w:szCs w:val="20"/>
          <w:lang w:eastAsia="pl-PL"/>
        </w:rPr>
        <w:t>doświadczenia ARiMR oraz Krajowego Ośrodka Wsparcia Rolnictwa wynika, że podmioty ubiegające się o przyznanie pomocy lub pomocy technicznej oraz beneficjenci nie opisują w zapytaniach ofertowych sytuacji związanej z uchylaniem się od zawarcia umowy na wykonanie tego zadania przez oferenta, którego oferta została wybrana jako najkorzystniejsza, jak też nie wskazują, iż w takim przypadku beneficjentowi służyło będzie uprawnienie do wyboru oferty najkorzystniejszej spośród pozostałych ofert. W przypadku braku uregulowania w przepisach dot. PROW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2020 trybu postępowania we wskazanej powyżej sytuacji zastosowanie znajduje art. 703 § 1 k.c., zgodnie z którym „Oferta złożona w toku przetargu przestaje wiązać, gdy została wybrana inna oferta albo gdy przetarg został zamknięty bez wybrania którejkolwiek z ofert, chyba że w warunkach przetargu zastrzeżono inaczej”. Konsekwencją takiego stanu rzeczy jest konieczność przeprowadzania przez beneficjentów nowego postępowania, pomimo tego</w:t>
      </w:r>
      <w:r w:rsidR="005B632C">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 xml:space="preserve"> że w poprzednio prowadzonym </w:t>
      </w:r>
      <w:r w:rsidRPr="00640DE0">
        <w:rPr>
          <w:rFonts w:ascii="Times New Roman" w:eastAsia="Times New Roman" w:hAnsi="Times New Roman" w:cs="Times New Roman"/>
          <w:bCs/>
          <w:sz w:val="24"/>
          <w:szCs w:val="20"/>
          <w:lang w:eastAsia="pl-PL"/>
        </w:rPr>
        <w:lastRenderedPageBreak/>
        <w:t>postępowaniu złożone zostały niepodlegające odrzuce</w:t>
      </w:r>
      <w:r w:rsidR="00F8109F">
        <w:rPr>
          <w:rFonts w:ascii="Times New Roman" w:eastAsia="Times New Roman" w:hAnsi="Times New Roman" w:cs="Times New Roman"/>
          <w:bCs/>
          <w:sz w:val="24"/>
          <w:szCs w:val="20"/>
          <w:lang w:eastAsia="pl-PL"/>
        </w:rPr>
        <w:t>niu oferty. Wobec powyższego, w </w:t>
      </w:r>
      <w:r w:rsidRPr="00640DE0">
        <w:rPr>
          <w:rFonts w:ascii="Times New Roman" w:eastAsia="Times New Roman" w:hAnsi="Times New Roman" w:cs="Times New Roman"/>
          <w:bCs/>
          <w:sz w:val="24"/>
          <w:szCs w:val="20"/>
          <w:lang w:eastAsia="pl-PL"/>
        </w:rPr>
        <w:t>celu ułatwienia podmiotom ubiegającym się o przyznanie pomocy lub pomocy technicznej oraz beneficjentom procedowania postępowań w sprawie wyboru wykonawcy danego zadania ujętego w zestawieniu rzeczowo-finansowym operacji, proponuje</w:t>
      </w:r>
      <w:r w:rsidR="006C50EC">
        <w:rPr>
          <w:rFonts w:ascii="Times New Roman" w:eastAsia="Times New Roman" w:hAnsi="Times New Roman" w:cs="Times New Roman"/>
          <w:bCs/>
          <w:sz w:val="24"/>
          <w:szCs w:val="20"/>
          <w:lang w:eastAsia="pl-PL"/>
        </w:rPr>
        <w:t xml:space="preserve"> się uregulowanie ww. sytuacji </w:t>
      </w:r>
      <w:r w:rsidRPr="00640DE0">
        <w:rPr>
          <w:rFonts w:ascii="Times New Roman" w:eastAsia="Times New Roman" w:hAnsi="Times New Roman" w:cs="Times New Roman"/>
          <w:bCs/>
          <w:sz w:val="24"/>
          <w:szCs w:val="20"/>
          <w:lang w:eastAsia="pl-PL"/>
        </w:rPr>
        <w:t>przez wskazanie w przypadku ich wystąpienia możliwości zawarcia umowy z wykonawc</w:t>
      </w:r>
      <w:r w:rsidR="005B632C">
        <w:rPr>
          <w:rFonts w:ascii="Times New Roman" w:eastAsia="Times New Roman" w:hAnsi="Times New Roman" w:cs="Times New Roman"/>
          <w:bCs/>
          <w:sz w:val="24"/>
          <w:szCs w:val="20"/>
          <w:lang w:eastAsia="pl-PL"/>
        </w:rPr>
        <w:t>ą</w:t>
      </w:r>
      <w:r w:rsidRPr="00640DE0">
        <w:rPr>
          <w:rFonts w:ascii="Times New Roman" w:eastAsia="Times New Roman" w:hAnsi="Times New Roman" w:cs="Times New Roman"/>
          <w:bCs/>
          <w:sz w:val="24"/>
          <w:szCs w:val="20"/>
          <w:lang w:eastAsia="pl-PL"/>
        </w:rPr>
        <w:t>, którego oferta była kolejną najkorzystniejszą spośród pozostałych ofert, bez przeprowadzania ponownego postępowania. Z kolei stosownie do regulacji zaproponowanej w ust. 5e</w:t>
      </w:r>
      <w:r w:rsidR="00953A85">
        <w:rPr>
          <w:rFonts w:ascii="Times New Roman" w:eastAsia="Times New Roman" w:hAnsi="Times New Roman" w:cs="Times New Roman"/>
          <w:bCs/>
          <w:sz w:val="24"/>
          <w:szCs w:val="20"/>
          <w:lang w:eastAsia="pl-PL"/>
        </w:rPr>
        <w:t>,</w:t>
      </w:r>
      <w:r w:rsidRPr="00640DE0">
        <w:rPr>
          <w:rFonts w:ascii="Times New Roman" w:eastAsia="Times New Roman" w:hAnsi="Times New Roman" w:cs="Times New Roman"/>
          <w:bCs/>
          <w:sz w:val="24"/>
          <w:szCs w:val="20"/>
          <w:lang w:eastAsia="pl-PL"/>
        </w:rPr>
        <w:t xml:space="preserve"> w przypadku gdy wybrany wykonawca uchyla się od zawarcia umowy na wykonanie danego zadania ujętego w zestawieniu rzeczowo-finansowym operacji i nie ma możliwości wybrania innego wykonawcy tego zadania w wyżej opisanym trybie, proponuje się odpowiednie zastosowanie przepisu ust. 5c, z zastrzeżeniem, że nie można zawrzeć umowy na wykonanie tego zadania z wykonawcą, który uchylił się od zawarcia umowy na wykonanie tego zadania.</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Jednocześnie zaproponowano rozszerzenie zakresu delegacji do wydania rozporządzenia określonej w art. 43a ust. 6 ustawy o wspieraniu rozwoju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2020 o</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warunki wyboru wykonawcy danego zadania ujętego w zestawieniu rzeczowo</w:t>
      </w:r>
      <w:r w:rsidR="00F8109F">
        <w:rPr>
          <w:rFonts w:ascii="Times New Roman" w:eastAsia="Times New Roman" w:hAnsi="Times New Roman" w:cs="Times New Roman"/>
          <w:bCs/>
          <w:sz w:val="24"/>
          <w:szCs w:val="20"/>
          <w:lang w:eastAsia="pl-PL"/>
        </w:rPr>
        <w:t>-</w:t>
      </w:r>
      <w:r w:rsidR="00F8109F">
        <w:rPr>
          <w:rFonts w:ascii="Times New Roman" w:eastAsia="Times New Roman" w:hAnsi="Times New Roman" w:cs="Times New Roman"/>
          <w:bCs/>
          <w:sz w:val="24"/>
          <w:szCs w:val="20"/>
          <w:lang w:eastAsia="pl-PL"/>
        </w:rPr>
        <w:br/>
      </w:r>
      <w:r w:rsidRPr="00640DE0">
        <w:rPr>
          <w:rFonts w:ascii="Times New Roman" w:eastAsia="Times New Roman" w:hAnsi="Times New Roman" w:cs="Times New Roman"/>
          <w:bCs/>
          <w:sz w:val="24"/>
          <w:szCs w:val="20"/>
          <w:lang w:eastAsia="pl-PL"/>
        </w:rPr>
        <w:t>-finansowym operacji w przypadku braku możliwości wyboru najkorzystniejszej oferty (projektowany art. 3 pkt 5 lit. d ustawy).</w:t>
      </w:r>
    </w:p>
    <w:p w:rsidR="00640DE0" w:rsidRPr="00640DE0" w:rsidRDefault="00640DE0" w:rsidP="00F8109F">
      <w:pPr>
        <w:widowControl w:val="0"/>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40DE0">
        <w:rPr>
          <w:rFonts w:ascii="Times" w:eastAsia="Times New Roman" w:hAnsi="Times" w:cs="Arial"/>
          <w:bCs/>
          <w:sz w:val="24"/>
          <w:szCs w:val="20"/>
          <w:lang w:eastAsia="pl-PL"/>
        </w:rPr>
        <w:t>Art. 8 ust. 2 pkt 1 projektu ustawy zawiera przepis przejściowy stanowiący, że do postępowań w sprawie wyboru wykonawcy danego zadania ujętego w zestawieniu rzeczowo-finansowym operacji w trybie, o którym mowa w art. 43a w ust. 1 ustawy zmienianej w art. 3, w przypadku których udostępnienie zapytania ofertowego na stronie internetowej prowadzonej przez ARiMR nastąpiło przed dniem wejścia w życie niniejszej ustawy i w wyniku których przed tym dniem nie została zawarta umowa z</w:t>
      </w:r>
      <w:r w:rsidR="00F8109F">
        <w:rPr>
          <w:rFonts w:ascii="Times" w:eastAsia="Times New Roman" w:hAnsi="Times" w:cs="Arial"/>
          <w:bCs/>
          <w:sz w:val="24"/>
          <w:szCs w:val="20"/>
          <w:lang w:eastAsia="pl-PL"/>
        </w:rPr>
        <w:t> </w:t>
      </w:r>
      <w:r w:rsidRPr="00640DE0">
        <w:rPr>
          <w:rFonts w:ascii="Times" w:eastAsia="Times New Roman" w:hAnsi="Times" w:cs="Arial"/>
          <w:bCs/>
          <w:sz w:val="24"/>
          <w:szCs w:val="20"/>
          <w:lang w:eastAsia="pl-PL"/>
        </w:rPr>
        <w:t>wybranym wykonawcą, stosuje się przepisy ustawy zmienianej w art. 3 w brzmieniu dotychczasowym. Postępowania w uproszonym trybie wyboru wykonawców, wprowadzonym w projektowanej ustawie, przeprowadzane będą bowiem na innych zasadach niż dotychczas prowadzone postępowania. Zastosowanie nowych przepisów do rozpoczętych już postępowań oznaczałoby konieczność unieważnienia tych postępowań i przeprowadzenie postępowań na nowych zasadach</w:t>
      </w:r>
      <w:r w:rsidR="00953A85">
        <w:rPr>
          <w:rFonts w:ascii="Times" w:eastAsia="Times New Roman" w:hAnsi="Times" w:cs="Arial"/>
          <w:bCs/>
          <w:sz w:val="24"/>
          <w:szCs w:val="20"/>
          <w:lang w:eastAsia="pl-PL"/>
        </w:rPr>
        <w:t>,</w:t>
      </w:r>
      <w:r w:rsidRPr="00640DE0">
        <w:rPr>
          <w:rFonts w:ascii="Times" w:eastAsia="Times New Roman" w:hAnsi="Times" w:cs="Arial"/>
          <w:bCs/>
          <w:sz w:val="24"/>
          <w:szCs w:val="20"/>
          <w:lang w:eastAsia="pl-PL"/>
        </w:rPr>
        <w:t xml:space="preserve"> co miałoby negatywny wpływ na termin realizacji i rozliczenia operacji.</w:t>
      </w:r>
    </w:p>
    <w:p w:rsidR="00640DE0" w:rsidRPr="00640DE0" w:rsidRDefault="00640DE0" w:rsidP="00F8109F">
      <w:pPr>
        <w:widowControl w:val="0"/>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640DE0">
        <w:rPr>
          <w:rFonts w:ascii="Times" w:eastAsia="Times New Roman" w:hAnsi="Times" w:cs="Arial"/>
          <w:bCs/>
          <w:sz w:val="24"/>
          <w:szCs w:val="20"/>
          <w:lang w:eastAsia="pl-PL"/>
        </w:rPr>
        <w:lastRenderedPageBreak/>
        <w:t>Z kolei art. 8 ust. 2 pkt 2 projektu ustawy zawiera przepis przejściowy stanowiący, że przepisy ustawy o wspieraniu rozwoju 2014</w:t>
      </w:r>
      <w:r w:rsidRPr="00640DE0">
        <w:rPr>
          <w:rFonts w:ascii="Times" w:eastAsia="Times New Roman" w:hAnsi="Times" w:cs="Arial"/>
          <w:bCs/>
          <w:sz w:val="24"/>
          <w:szCs w:val="20"/>
          <w:lang w:eastAsia="pl-PL"/>
        </w:rPr>
        <w:sym w:font="Symbol" w:char="F02D"/>
      </w:r>
      <w:r w:rsidRPr="00640DE0">
        <w:rPr>
          <w:rFonts w:ascii="Times" w:eastAsia="Times New Roman" w:hAnsi="Times" w:cs="Arial"/>
          <w:bCs/>
          <w:sz w:val="24"/>
          <w:szCs w:val="20"/>
          <w:lang w:eastAsia="pl-PL"/>
        </w:rPr>
        <w:t>2020 w brzmieniu nadanym projektowaną ustawą stosuje się w przypadku postępowań o udzielenie zamówienia publicznego, przeprowadzonych przez podmiot ubiegający się o przyznanie pomocy lub pomocy technicznej oraz beneficjenta, którzy nie są obowiązani do stosowania przepisów o</w:t>
      </w:r>
      <w:r w:rsidR="00F8109F">
        <w:rPr>
          <w:rFonts w:ascii="Times" w:eastAsia="Times New Roman" w:hAnsi="Times" w:cs="Arial"/>
          <w:bCs/>
          <w:sz w:val="24"/>
          <w:szCs w:val="20"/>
          <w:lang w:eastAsia="pl-PL"/>
        </w:rPr>
        <w:t> </w:t>
      </w:r>
      <w:r w:rsidRPr="00640DE0">
        <w:rPr>
          <w:rFonts w:ascii="Times" w:eastAsia="Times New Roman" w:hAnsi="Times" w:cs="Arial"/>
          <w:bCs/>
          <w:sz w:val="24"/>
          <w:szCs w:val="20"/>
          <w:lang w:eastAsia="pl-PL"/>
        </w:rPr>
        <w:t>zamówieniach publicznych</w:t>
      </w:r>
      <w:r w:rsidR="00953A85">
        <w:rPr>
          <w:rFonts w:ascii="Times" w:eastAsia="Times New Roman" w:hAnsi="Times" w:cs="Arial"/>
          <w:bCs/>
          <w:sz w:val="24"/>
          <w:szCs w:val="20"/>
          <w:lang w:eastAsia="pl-PL"/>
        </w:rPr>
        <w:t>,</w:t>
      </w:r>
      <w:r w:rsidRPr="00640DE0">
        <w:rPr>
          <w:rFonts w:ascii="Times" w:eastAsia="Times New Roman" w:hAnsi="Times" w:cs="Arial"/>
          <w:bCs/>
          <w:sz w:val="24"/>
          <w:szCs w:val="20"/>
          <w:lang w:eastAsia="pl-PL"/>
        </w:rPr>
        <w:t xml:space="preserve"> a mimo to do ponoszenia kosztów kwalifikowalnych zastosowali tryb przetargu nieograniczonego albo przetargu ograniczonego, o których mowa w przepisach o zamówieniach publicznych. Projektowana zmiana polegająca na wyłączeniu stosowania zasady konkurencyjności w przypadku dobrowolnego zastosowania konkurencyjnych trybów udzielania zamówienia publicznego jest korzystna dla beneficjentów</w:t>
      </w:r>
      <w:r w:rsidR="00953A85">
        <w:rPr>
          <w:rFonts w:ascii="Times" w:eastAsia="Times New Roman" w:hAnsi="Times" w:cs="Arial"/>
          <w:bCs/>
          <w:sz w:val="24"/>
          <w:szCs w:val="20"/>
          <w:lang w:eastAsia="pl-PL"/>
        </w:rPr>
        <w:t>,</w:t>
      </w:r>
      <w:r w:rsidRPr="00640DE0">
        <w:rPr>
          <w:rFonts w:ascii="Times" w:eastAsia="Times New Roman" w:hAnsi="Times" w:cs="Arial"/>
          <w:bCs/>
          <w:sz w:val="24"/>
          <w:szCs w:val="20"/>
          <w:lang w:eastAsia="pl-PL"/>
        </w:rPr>
        <w:t xml:space="preserve"> dlatego też proponuje się, </w:t>
      </w:r>
      <w:r w:rsidR="00953A85">
        <w:rPr>
          <w:rFonts w:ascii="Times" w:eastAsia="Times New Roman" w:hAnsi="Times" w:cs="Arial"/>
          <w:bCs/>
          <w:sz w:val="24"/>
          <w:szCs w:val="20"/>
          <w:lang w:eastAsia="pl-PL"/>
        </w:rPr>
        <w:t>a</w:t>
      </w:r>
      <w:r w:rsidRPr="00640DE0">
        <w:rPr>
          <w:rFonts w:ascii="Times" w:eastAsia="Times New Roman" w:hAnsi="Times" w:cs="Arial"/>
          <w:bCs/>
          <w:sz w:val="24"/>
          <w:szCs w:val="20"/>
          <w:lang w:eastAsia="pl-PL"/>
        </w:rPr>
        <w:t>by dotyczyła postępowań, które zostały wszczęte i niezakończone przed dniem wejścia w życie projektowanej ustawy, tj. tych postępowań, w wyniku których umowa z wybranym wykonawcą została zawarta od dnia wejścia w życie projektowanej ustawy.</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Art. 9 projektu ustawy zachowuje w mocy, do dnia wejścia w życie nowych rozporządzeń, nie dłużej jednak niż przez 12 miesięcy od dnia wejścia w życie projektowanej ustawy, przepisy wykonawcze wydane na podstawie zmienianych przepisów ustawowych.</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Zgodnie z projektowanym art. 10, ustawa wejdzie w życie po upływie 14 dni od dnia ogłoszenia. Wyjątek stanowią przepisy umożliwiające składanie w odniesieniu do roku 2018 – zamiast wniosków o przyznanie płatności – stosownych oświadczeń potwierdzających brak zmian w porównaniu do roku 2017, które wchodzą w życie z</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dniem 15 lutego 2018 r., tj. w pierwszym dniu terminu składania tych oświadczeń. Proponowany termin wejścia w życie ustawy nie narusza zasad demokratycznego państwa prawnego.</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Projektowana ustawa jest zgodna z prawem Unii Europejskiej.</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Projekt ustawy wraz z dokumentami dotyczącymi prac nad tym projektem został udostępniony w Biuletynie Informacji Publicznej na stronie podmiotowej Ministerstwa Rolnictwa i Rozwoju Wsi, zgodnie z przepisami ustawy z dnia 7 lipca 2005 r. o</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działalności lobbingowej w procesie stanowienia prawa (Dz. U. z 2017 r. poz. 248), oraz w Biuletynie Informacji Publicznej na stronie podmiotowej Rządowego Centrum Legislacji.</w:t>
      </w:r>
      <w:r w:rsidRPr="00640DE0">
        <w:rPr>
          <w:rFonts w:ascii="Times New Roman" w:eastAsia="Calibri" w:hAnsi="Times New Roman" w:cs="Times New Roman"/>
          <w:sz w:val="24"/>
          <w:szCs w:val="24"/>
          <w:lang w:eastAsia="pl-PL"/>
        </w:rPr>
        <w:t xml:space="preserve"> </w:t>
      </w:r>
      <w:r w:rsidRPr="00640DE0">
        <w:rPr>
          <w:rFonts w:ascii="Times New Roman" w:eastAsia="Times New Roman" w:hAnsi="Times New Roman" w:cs="Times New Roman"/>
          <w:bCs/>
          <w:sz w:val="24"/>
          <w:szCs w:val="20"/>
          <w:lang w:eastAsia="pl-PL"/>
        </w:rPr>
        <w:t xml:space="preserve">Żaden podmiot nie zgłosił zainteresowania podjęciem prac nad projektem </w:t>
      </w:r>
      <w:r w:rsidRPr="00640DE0">
        <w:rPr>
          <w:rFonts w:ascii="Times New Roman" w:eastAsia="Times New Roman" w:hAnsi="Times New Roman" w:cs="Times New Roman"/>
          <w:bCs/>
          <w:sz w:val="24"/>
          <w:szCs w:val="20"/>
          <w:lang w:eastAsia="pl-PL"/>
        </w:rPr>
        <w:lastRenderedPageBreak/>
        <w:t>w</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trybie art. 7 tej ustawy.</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 xml:space="preserve">Projekt ustawy nie wymagał zasięgnięcia opinii, dokonania konsultacji albo uzgodnienia z organami i instytucjami Unii Europejskiej, w tym </w:t>
      </w:r>
      <w:r w:rsidR="00953A85">
        <w:rPr>
          <w:rFonts w:ascii="Times New Roman" w:eastAsia="Times New Roman" w:hAnsi="Times New Roman" w:cs="Times New Roman"/>
          <w:bCs/>
          <w:sz w:val="24"/>
          <w:szCs w:val="20"/>
          <w:lang w:eastAsia="pl-PL"/>
        </w:rPr>
        <w:t xml:space="preserve">z </w:t>
      </w:r>
      <w:r w:rsidRPr="00640DE0">
        <w:rPr>
          <w:rFonts w:ascii="Times New Roman" w:eastAsia="Times New Roman" w:hAnsi="Times New Roman" w:cs="Times New Roman"/>
          <w:bCs/>
          <w:sz w:val="24"/>
          <w:szCs w:val="20"/>
          <w:lang w:eastAsia="pl-PL"/>
        </w:rPr>
        <w:t>Europejskim Bankiem Centralnym.</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4"/>
          <w:lang w:eastAsia="pl-PL"/>
        </w:rPr>
        <w:t>Projekt ustawy nie zawiera przepisów technicznych, w związku</w:t>
      </w:r>
      <w:r w:rsidRPr="00640DE0">
        <w:rPr>
          <w:rFonts w:ascii="Times New Roman" w:eastAsia="Times New Roman" w:hAnsi="Times New Roman" w:cs="Times New Roman"/>
          <w:bCs/>
          <w:sz w:val="24"/>
          <w:szCs w:val="20"/>
          <w:lang w:eastAsia="pl-PL"/>
        </w:rPr>
        <w:t xml:space="preserve"> z tym nie podlegał procedurze notyfikacji zgodnie z rozporządzeniem Rady Ministrów z dnia 23 grudnia 2002 r. w sprawie sposobu funkcjonowania krajowego systemu notyfikacji norm i</w:t>
      </w:r>
      <w:r w:rsidR="00F8109F">
        <w:rPr>
          <w:rFonts w:ascii="Times New Roman" w:eastAsia="Times New Roman" w:hAnsi="Times New Roman" w:cs="Times New Roman"/>
          <w:bCs/>
          <w:sz w:val="24"/>
          <w:szCs w:val="20"/>
          <w:lang w:eastAsia="pl-PL"/>
        </w:rPr>
        <w:t> </w:t>
      </w:r>
      <w:r w:rsidRPr="00640DE0">
        <w:rPr>
          <w:rFonts w:ascii="Times New Roman" w:eastAsia="Times New Roman" w:hAnsi="Times New Roman" w:cs="Times New Roman"/>
          <w:bCs/>
          <w:sz w:val="24"/>
          <w:szCs w:val="20"/>
          <w:lang w:eastAsia="pl-PL"/>
        </w:rPr>
        <w:t xml:space="preserve">aktów prawnych (Dz. U. poz. 2039, z </w:t>
      </w:r>
      <w:proofErr w:type="spellStart"/>
      <w:r w:rsidRPr="00640DE0">
        <w:rPr>
          <w:rFonts w:ascii="Times New Roman" w:eastAsia="Times New Roman" w:hAnsi="Times New Roman" w:cs="Times New Roman"/>
          <w:bCs/>
          <w:sz w:val="24"/>
          <w:szCs w:val="20"/>
          <w:lang w:eastAsia="pl-PL"/>
        </w:rPr>
        <w:t>późn</w:t>
      </w:r>
      <w:proofErr w:type="spellEnd"/>
      <w:r w:rsidRPr="00640DE0">
        <w:rPr>
          <w:rFonts w:ascii="Times New Roman" w:eastAsia="Times New Roman" w:hAnsi="Times New Roman" w:cs="Times New Roman"/>
          <w:bCs/>
          <w:sz w:val="24"/>
          <w:szCs w:val="20"/>
          <w:lang w:eastAsia="pl-PL"/>
        </w:rPr>
        <w:t>. zm.).</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Projekt ustawy został zamieszczony w Wykazie prac legislacyjnych Rady Ministrów</w:t>
      </w:r>
      <w:r w:rsidRPr="00640DE0">
        <w:rPr>
          <w:rFonts w:ascii="Times New Roman" w:eastAsia="Times New Roman" w:hAnsi="Times New Roman" w:cs="Times New Roman"/>
          <w:spacing w:val="-1"/>
          <w:sz w:val="18"/>
          <w:szCs w:val="18"/>
          <w:lang w:eastAsia="pl-PL"/>
        </w:rPr>
        <w:t xml:space="preserve"> </w:t>
      </w:r>
      <w:r w:rsidRPr="00640DE0">
        <w:rPr>
          <w:rFonts w:ascii="Times New Roman" w:eastAsia="Times New Roman" w:hAnsi="Times New Roman" w:cs="Times New Roman"/>
          <w:bCs/>
          <w:sz w:val="24"/>
          <w:szCs w:val="20"/>
          <w:lang w:eastAsia="pl-PL"/>
        </w:rPr>
        <w:t>(UD327).</w:t>
      </w:r>
    </w:p>
    <w:p w:rsidR="00640DE0" w:rsidRPr="00640DE0" w:rsidRDefault="00640DE0" w:rsidP="00F8109F">
      <w:pPr>
        <w:widowControl w:val="0"/>
        <w:suppressAutoHyphens/>
        <w:autoSpaceDE w:val="0"/>
        <w:autoSpaceDN w:val="0"/>
        <w:adjustRightInd w:val="0"/>
        <w:spacing w:before="240" w:after="0" w:line="360" w:lineRule="auto"/>
        <w:jc w:val="both"/>
        <w:rPr>
          <w:rFonts w:ascii="Times New Roman" w:eastAsia="Times New Roman" w:hAnsi="Times New Roman" w:cs="Times New Roman"/>
          <w:b/>
          <w:bCs/>
          <w:sz w:val="24"/>
          <w:szCs w:val="20"/>
          <w:lang w:eastAsia="pl-PL"/>
        </w:rPr>
      </w:pPr>
      <w:r w:rsidRPr="00640DE0">
        <w:rPr>
          <w:rFonts w:ascii="Times New Roman" w:eastAsia="Times New Roman" w:hAnsi="Times New Roman" w:cs="Times New Roman"/>
          <w:b/>
          <w:bCs/>
          <w:sz w:val="24"/>
          <w:szCs w:val="20"/>
          <w:lang w:eastAsia="pl-PL"/>
        </w:rPr>
        <w:t xml:space="preserve">Ocena przewidywanego wpływu projektu ustawy na działalność </w:t>
      </w:r>
      <w:proofErr w:type="spellStart"/>
      <w:r w:rsidRPr="00640DE0">
        <w:rPr>
          <w:rFonts w:ascii="Times New Roman" w:eastAsia="Times New Roman" w:hAnsi="Times New Roman" w:cs="Times New Roman"/>
          <w:b/>
          <w:bCs/>
          <w:sz w:val="24"/>
          <w:szCs w:val="20"/>
          <w:lang w:eastAsia="pl-PL"/>
        </w:rPr>
        <w:t>mikroprzedsiębiorców</w:t>
      </w:r>
      <w:proofErr w:type="spellEnd"/>
      <w:r w:rsidRPr="00640DE0">
        <w:rPr>
          <w:rFonts w:ascii="Times New Roman" w:eastAsia="Times New Roman" w:hAnsi="Times New Roman" w:cs="Times New Roman"/>
          <w:b/>
          <w:bCs/>
          <w:sz w:val="24"/>
          <w:szCs w:val="20"/>
          <w:lang w:eastAsia="pl-PL"/>
        </w:rPr>
        <w:t xml:space="preserve"> oraz małych i średnich przedsiębiorców:</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Projektowane zmiany w art. 43a ustawy o wspieraniu rozwoju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 xml:space="preserve">2020 mają pozytywny wpływ na działalność </w:t>
      </w:r>
      <w:proofErr w:type="spellStart"/>
      <w:r w:rsidRPr="00640DE0">
        <w:rPr>
          <w:rFonts w:ascii="Times New Roman" w:eastAsia="Times New Roman" w:hAnsi="Times New Roman" w:cs="Times New Roman"/>
          <w:bCs/>
          <w:sz w:val="24"/>
          <w:szCs w:val="20"/>
          <w:lang w:eastAsia="pl-PL"/>
        </w:rPr>
        <w:t>mikroprzedsiębiorców</w:t>
      </w:r>
      <w:proofErr w:type="spellEnd"/>
      <w:r w:rsidRPr="00640DE0">
        <w:rPr>
          <w:rFonts w:ascii="Times New Roman" w:eastAsia="Times New Roman" w:hAnsi="Times New Roman" w:cs="Times New Roman"/>
          <w:bCs/>
          <w:sz w:val="24"/>
          <w:szCs w:val="20"/>
          <w:lang w:eastAsia="pl-PL"/>
        </w:rPr>
        <w:t xml:space="preserve"> oraz małych i średnich przedsiębiorców, ponieważ zmienione zostaną przepisy, które zapewnią równe traktowanie wnioskodawców i beneficjentów, a także wprowadzone zostaną rozwiązania upraszczające przyznawanie oraz wypłatę pomocy w ramach PROW 2014</w:t>
      </w:r>
      <w:r w:rsidRPr="00640DE0">
        <w:rPr>
          <w:rFonts w:ascii="Times New Roman" w:eastAsia="Times New Roman" w:hAnsi="Times New Roman" w:cs="Times New Roman"/>
          <w:bCs/>
          <w:sz w:val="24"/>
          <w:szCs w:val="20"/>
          <w:lang w:eastAsia="pl-PL"/>
        </w:rPr>
        <w:sym w:font="Symbol" w:char="F02D"/>
      </w:r>
      <w:r w:rsidRPr="00640DE0">
        <w:rPr>
          <w:rFonts w:ascii="Times New Roman" w:eastAsia="Times New Roman" w:hAnsi="Times New Roman" w:cs="Times New Roman"/>
          <w:bCs/>
          <w:sz w:val="24"/>
          <w:szCs w:val="20"/>
          <w:lang w:eastAsia="pl-PL"/>
        </w:rPr>
        <w:t>2020.</w:t>
      </w:r>
    </w:p>
    <w:p w:rsidR="00640DE0" w:rsidRPr="00640DE0" w:rsidRDefault="00640DE0" w:rsidP="00F8109F">
      <w:pPr>
        <w:widowControl w:val="0"/>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640DE0">
        <w:rPr>
          <w:rFonts w:ascii="Times New Roman" w:eastAsia="Times New Roman" w:hAnsi="Times New Roman" w:cs="Times New Roman"/>
          <w:bCs/>
          <w:sz w:val="24"/>
          <w:szCs w:val="20"/>
          <w:lang w:eastAsia="pl-PL"/>
        </w:rPr>
        <w:t xml:space="preserve">W pozostałej części projekt ustawy nie ma wpływu na działalność </w:t>
      </w:r>
      <w:proofErr w:type="spellStart"/>
      <w:r w:rsidRPr="00640DE0">
        <w:rPr>
          <w:rFonts w:ascii="Times New Roman" w:eastAsia="Times New Roman" w:hAnsi="Times New Roman" w:cs="Times New Roman"/>
          <w:bCs/>
          <w:sz w:val="24"/>
          <w:szCs w:val="20"/>
          <w:lang w:eastAsia="pl-PL"/>
        </w:rPr>
        <w:t>mikroprzedsiębiorców</w:t>
      </w:r>
      <w:proofErr w:type="spellEnd"/>
      <w:r w:rsidRPr="00640DE0">
        <w:rPr>
          <w:rFonts w:ascii="Times New Roman" w:eastAsia="Times New Roman" w:hAnsi="Times New Roman" w:cs="Times New Roman"/>
          <w:bCs/>
          <w:sz w:val="24"/>
          <w:szCs w:val="20"/>
          <w:lang w:eastAsia="pl-PL"/>
        </w:rPr>
        <w:t xml:space="preserve"> oraz małych i średnich przedsiębiorców.</w:t>
      </w:r>
    </w:p>
    <w:sectPr w:rsidR="00640DE0" w:rsidRPr="00640DE0" w:rsidSect="00F8109F">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DE0" w:rsidRDefault="00640DE0" w:rsidP="00640DE0">
      <w:pPr>
        <w:spacing w:after="0" w:line="240" w:lineRule="auto"/>
      </w:pPr>
      <w:r>
        <w:separator/>
      </w:r>
    </w:p>
  </w:endnote>
  <w:endnote w:type="continuationSeparator" w:id="0">
    <w:p w:rsidR="00640DE0" w:rsidRDefault="00640DE0" w:rsidP="00640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43" w:usb2="00000009" w:usb3="00000000" w:csb0="000001FF" w:csb1="00000000"/>
  </w:font>
  <w:font w:name="A">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9470580"/>
      <w:docPartObj>
        <w:docPartGallery w:val="Page Numbers (Bottom of Page)"/>
        <w:docPartUnique/>
      </w:docPartObj>
    </w:sdtPr>
    <w:sdtEndPr>
      <w:rPr>
        <w:rFonts w:ascii="Times New Roman" w:hAnsi="Times New Roman" w:cs="Times New Roman"/>
        <w:sz w:val="24"/>
        <w:szCs w:val="24"/>
      </w:rPr>
    </w:sdtEndPr>
    <w:sdtContent>
      <w:p w:rsidR="00F8109F" w:rsidRPr="00F8109F" w:rsidRDefault="00F8109F" w:rsidP="00F8109F">
        <w:pPr>
          <w:pStyle w:val="Stopka"/>
          <w:jc w:val="center"/>
          <w:rPr>
            <w:rFonts w:ascii="Times New Roman" w:hAnsi="Times New Roman" w:cs="Times New Roman"/>
            <w:sz w:val="24"/>
            <w:szCs w:val="24"/>
          </w:rPr>
        </w:pPr>
        <w:r w:rsidRPr="00F8109F">
          <w:rPr>
            <w:rFonts w:ascii="Times New Roman" w:hAnsi="Times New Roman" w:cs="Times New Roman"/>
            <w:sz w:val="24"/>
            <w:szCs w:val="24"/>
          </w:rPr>
          <w:fldChar w:fldCharType="begin"/>
        </w:r>
        <w:r w:rsidRPr="00F8109F">
          <w:rPr>
            <w:rFonts w:ascii="Times New Roman" w:hAnsi="Times New Roman" w:cs="Times New Roman"/>
            <w:sz w:val="24"/>
            <w:szCs w:val="24"/>
          </w:rPr>
          <w:instrText>PAGE   \* MERGEFORMAT</w:instrText>
        </w:r>
        <w:r w:rsidRPr="00F8109F">
          <w:rPr>
            <w:rFonts w:ascii="Times New Roman" w:hAnsi="Times New Roman" w:cs="Times New Roman"/>
            <w:sz w:val="24"/>
            <w:szCs w:val="24"/>
          </w:rPr>
          <w:fldChar w:fldCharType="separate"/>
        </w:r>
        <w:r w:rsidR="00DE52D3">
          <w:rPr>
            <w:rFonts w:ascii="Times New Roman" w:hAnsi="Times New Roman" w:cs="Times New Roman"/>
            <w:noProof/>
            <w:sz w:val="24"/>
            <w:szCs w:val="24"/>
          </w:rPr>
          <w:t>12</w:t>
        </w:r>
        <w:r w:rsidRPr="00F8109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DE0" w:rsidRDefault="00640DE0" w:rsidP="00640DE0">
      <w:pPr>
        <w:spacing w:after="0" w:line="240" w:lineRule="auto"/>
      </w:pPr>
      <w:r>
        <w:separator/>
      </w:r>
    </w:p>
  </w:footnote>
  <w:footnote w:type="continuationSeparator" w:id="0">
    <w:p w:rsidR="00640DE0" w:rsidRDefault="00640DE0" w:rsidP="00640DE0">
      <w:pPr>
        <w:spacing w:after="0" w:line="240" w:lineRule="auto"/>
      </w:pPr>
      <w:r>
        <w:continuationSeparator/>
      </w:r>
    </w:p>
  </w:footnote>
  <w:footnote w:id="1">
    <w:p w:rsidR="00640DE0" w:rsidRPr="00F33C80" w:rsidRDefault="00640DE0" w:rsidP="00640DE0">
      <w:pPr>
        <w:pStyle w:val="ODNONIKtreodnonika"/>
      </w:pPr>
      <w:r w:rsidRPr="00F33C80">
        <w:rPr>
          <w:rStyle w:val="Odwoanieprzypisudolnego"/>
        </w:rPr>
        <w:footnoteRef/>
      </w:r>
      <w:r w:rsidRPr="00D661A8">
        <w:rPr>
          <w:rStyle w:val="IGindeksgrny"/>
        </w:rPr>
        <w:t>)</w:t>
      </w:r>
      <w:r w:rsidR="00F8109F">
        <w:tab/>
      </w:r>
      <w:r w:rsidRPr="00F33C80">
        <w:t xml:space="preserve">Rozporządzenie wykonawcze Komisji (UE) nr 809/2014 z dnia 17 lipca 2014 r. ustanawiające zasady stosowania rozporządzenia Parlamentu Europejskiego i Rady (UE) nr 1306/2013 w odniesieniu do zintegrowanego systemu zarządzania i kontroli, środków rozwoju obszarów wiejskich oraz zasady wzajemnej zgodności (Dz. Urz. UE L 227 z 31.07.2014, str. 69, z </w:t>
      </w:r>
      <w:proofErr w:type="spellStart"/>
      <w:r w:rsidRPr="00F33C80">
        <w:t>późn</w:t>
      </w:r>
      <w:proofErr w:type="spellEnd"/>
      <w:r w:rsidRPr="00F33C80">
        <w:t>. zm.).</w:t>
      </w:r>
    </w:p>
  </w:footnote>
  <w:footnote w:id="2">
    <w:p w:rsidR="00640DE0" w:rsidRDefault="00640DE0" w:rsidP="00640DE0">
      <w:pPr>
        <w:pStyle w:val="ODNONIKtreodnonika"/>
      </w:pPr>
      <w:r w:rsidRPr="00E41135">
        <w:rPr>
          <w:rStyle w:val="Odwoanieprzypisudolnego"/>
        </w:rPr>
        <w:footnoteRef/>
      </w:r>
      <w:r w:rsidRPr="00774B1B">
        <w:rPr>
          <w:rStyle w:val="IGindeksgrny"/>
        </w:rPr>
        <w:t>)</w:t>
      </w:r>
      <w:r w:rsidR="00F8109F">
        <w:tab/>
      </w:r>
      <w:r w:rsidRPr="00E41135">
        <w:t>Rozporządzenie Parlamentu Europejskiego i Rady (UE) nr 1306/2</w:t>
      </w:r>
      <w:r w:rsidR="00F8109F">
        <w:t>013 z dnia 17 grudnia 2013 r. w </w:t>
      </w:r>
      <w:r w:rsidRPr="00E41135">
        <w:t>sprawie finansowania wspólnej polityki rolnej, zarządzania nią i monitorowania jej oraz uchylające</w:t>
      </w:r>
      <w:r>
        <w:t xml:space="preserve"> </w:t>
      </w:r>
      <w:r w:rsidRPr="00E41135">
        <w:t xml:space="preserve">rozporządzenia Rady (EWG) nr 352/78, (WE) nr 165/94, (WE) nr 2799/98, (WE) nr 814/2000, (WE) nr 1290/2005 i (WE) nr 485/2008 (Dz. Urz. UE L 347 z 20.12.2013, str. 549, z </w:t>
      </w:r>
      <w:proofErr w:type="spellStart"/>
      <w:r w:rsidRPr="00E41135">
        <w:t>późn</w:t>
      </w:r>
      <w:proofErr w:type="spellEnd"/>
      <w:r w:rsidRPr="00E41135">
        <w:t>. zm.)</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C17E4"/>
    <w:multiLevelType w:val="hybridMultilevel"/>
    <w:tmpl w:val="9CC0F7FA"/>
    <w:lvl w:ilvl="0" w:tplc="238AD1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5D2D47A2"/>
    <w:multiLevelType w:val="hybridMultilevel"/>
    <w:tmpl w:val="8878C9B2"/>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 w15:restartNumberingAfterBreak="0">
    <w:nsid w:val="7B984C7D"/>
    <w:multiLevelType w:val="hybridMultilevel"/>
    <w:tmpl w:val="47A025B6"/>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DE0"/>
    <w:rsid w:val="00263F46"/>
    <w:rsid w:val="0039238E"/>
    <w:rsid w:val="003C5374"/>
    <w:rsid w:val="004869E4"/>
    <w:rsid w:val="004B6990"/>
    <w:rsid w:val="004F473C"/>
    <w:rsid w:val="005B632C"/>
    <w:rsid w:val="00640DE0"/>
    <w:rsid w:val="006C50EC"/>
    <w:rsid w:val="006D4921"/>
    <w:rsid w:val="00953A85"/>
    <w:rsid w:val="009C3DFE"/>
    <w:rsid w:val="00A2431A"/>
    <w:rsid w:val="00AD73DC"/>
    <w:rsid w:val="00AE131E"/>
    <w:rsid w:val="00BE66F9"/>
    <w:rsid w:val="00C259AE"/>
    <w:rsid w:val="00D5163F"/>
    <w:rsid w:val="00DE52D3"/>
    <w:rsid w:val="00EE2A20"/>
    <w:rsid w:val="00F810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55EE97-BF8F-4565-B2BA-41BE43099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aliases w:val="Odwołanie przypisu"/>
    <w:uiPriority w:val="99"/>
    <w:semiHidden/>
    <w:rsid w:val="00640DE0"/>
    <w:rPr>
      <w:rFonts w:cs="Times New Roman"/>
      <w:vertAlign w:val="superscript"/>
    </w:rPr>
  </w:style>
  <w:style w:type="paragraph" w:customStyle="1" w:styleId="ODNONIKtreodnonika">
    <w:name w:val="ODNOŚNIK – treść odnośnika"/>
    <w:uiPriority w:val="19"/>
    <w:qFormat/>
    <w:rsid w:val="00640DE0"/>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basedOn w:val="Domylnaczcionkaakapitu"/>
    <w:uiPriority w:val="2"/>
    <w:qFormat/>
    <w:rsid w:val="00640DE0"/>
    <w:rPr>
      <w:b w:val="0"/>
      <w:i w:val="0"/>
      <w:vanish w:val="0"/>
      <w:spacing w:val="0"/>
      <w:vertAlign w:val="superscript"/>
    </w:rPr>
  </w:style>
  <w:style w:type="paragraph" w:styleId="Nagwek">
    <w:name w:val="header"/>
    <w:basedOn w:val="Normalny"/>
    <w:link w:val="NagwekZnak"/>
    <w:uiPriority w:val="99"/>
    <w:unhideWhenUsed/>
    <w:rsid w:val="00F8109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109F"/>
  </w:style>
  <w:style w:type="paragraph" w:styleId="Stopka">
    <w:name w:val="footer"/>
    <w:basedOn w:val="Normalny"/>
    <w:link w:val="StopkaZnak"/>
    <w:uiPriority w:val="99"/>
    <w:unhideWhenUsed/>
    <w:rsid w:val="00F8109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109F"/>
  </w:style>
  <w:style w:type="paragraph" w:styleId="Tekstdymka">
    <w:name w:val="Balloon Text"/>
    <w:basedOn w:val="Normalny"/>
    <w:link w:val="TekstdymkaZnak"/>
    <w:uiPriority w:val="99"/>
    <w:semiHidden/>
    <w:unhideWhenUsed/>
    <w:rsid w:val="004869E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869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5E337-8A55-48ED-B2FF-41F53A33B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3902</Words>
  <Characters>23415</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27263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Chmielewska Róża</dc:creator>
  <cp:lastModifiedBy>Grażyna D. Grabowska</cp:lastModifiedBy>
  <cp:revision>2</cp:revision>
  <dcterms:created xsi:type="dcterms:W3CDTF">2018-01-03T13:09:00Z</dcterms:created>
  <dcterms:modified xsi:type="dcterms:W3CDTF">2018-01-03T13:09:00Z</dcterms:modified>
</cp:coreProperties>
</file>