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2B2" w:rsidRPr="00710FD7" w:rsidRDefault="00DD52B2" w:rsidP="00DD52B2">
      <w:pPr>
        <w:pStyle w:val="OZNRODZAKTUtznustawalubrozporzdzenieiorganwydajcy"/>
        <w:rPr>
          <w:rFonts w:ascii="Times New Roman" w:hAnsi="Times New Roman"/>
          <w:b w:val="0"/>
        </w:rPr>
      </w:pPr>
      <w:bookmarkStart w:id="0" w:name="_GoBack"/>
      <w:bookmarkEnd w:id="0"/>
      <w:r w:rsidRPr="00710FD7">
        <w:rPr>
          <w:rFonts w:ascii="Times New Roman" w:hAnsi="Times New Roman"/>
          <w:b w:val="0"/>
          <w:spacing w:val="0"/>
        </w:rPr>
        <w:t>UZASADNIENIE</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Zasadniczym założeniem, które legło u podstaw prac nad niniejszym projektem zmian Kodeksu karnego</w:t>
      </w:r>
      <w:r w:rsidR="00B84A6C">
        <w:rPr>
          <w:rFonts w:ascii="Times New Roman" w:hAnsi="Times New Roman" w:cs="Times New Roman"/>
        </w:rPr>
        <w:t>,</w:t>
      </w:r>
      <w:r w:rsidRPr="00DD52B2">
        <w:rPr>
          <w:rFonts w:ascii="Times New Roman" w:hAnsi="Times New Roman" w:cs="Times New Roman"/>
        </w:rPr>
        <w:t xml:space="preserve"> była potrzeba wzmocnienia ochrony prawnokarnej w zakresie czynów godzących w tak fundamentalne dobro prawne</w:t>
      </w:r>
      <w:r w:rsidR="00B84A6C">
        <w:rPr>
          <w:rFonts w:ascii="Times New Roman" w:hAnsi="Times New Roman" w:cs="Times New Roman"/>
        </w:rPr>
        <w:t>,</w:t>
      </w:r>
      <w:r w:rsidRPr="00DD52B2">
        <w:rPr>
          <w:rFonts w:ascii="Times New Roman" w:hAnsi="Times New Roman" w:cs="Times New Roman"/>
        </w:rPr>
        <w:t xml:space="preserve"> jak wolność, w tym wolność seksualna. Prawo karne jest instrumentem, które ma służyć zaspokojeniu społecznego poczucia bezpieczeństwa i sprawiedliwości. Ta funkcja prawa karnego jest w</w:t>
      </w:r>
      <w:r>
        <w:rPr>
          <w:rFonts w:ascii="Times New Roman" w:hAnsi="Times New Roman" w:cs="Times New Roman"/>
        </w:rPr>
        <w:t>ykonywana w sposób prawidłowy i </w:t>
      </w:r>
      <w:r w:rsidRPr="00DD52B2">
        <w:rPr>
          <w:rFonts w:ascii="Times New Roman" w:hAnsi="Times New Roman" w:cs="Times New Roman"/>
        </w:rPr>
        <w:t>skuteczny nie tylko (i nie tyle) wówczas, gdy zagrożen</w:t>
      </w:r>
      <w:r>
        <w:rPr>
          <w:rFonts w:ascii="Times New Roman" w:hAnsi="Times New Roman" w:cs="Times New Roman"/>
        </w:rPr>
        <w:t>ia sankcjami karnymi za czyny o </w:t>
      </w:r>
      <w:r w:rsidRPr="00DD52B2">
        <w:rPr>
          <w:rFonts w:ascii="Times New Roman" w:hAnsi="Times New Roman" w:cs="Times New Roman"/>
        </w:rPr>
        <w:t xml:space="preserve">wysokiej szkodliwości społecznej są ukształtowane na odpowiednio dolegliwym poziomie, ale także wtedy, gdy zamierzona reakcja prawnokarna jest wieloaspektowa </w:t>
      </w:r>
      <w:r>
        <w:rPr>
          <w:rFonts w:ascii="Times New Roman" w:hAnsi="Times New Roman" w:cs="Times New Roman"/>
        </w:rPr>
        <w:t>–</w:t>
      </w:r>
      <w:r w:rsidRPr="00DD52B2">
        <w:rPr>
          <w:rFonts w:ascii="Times New Roman" w:hAnsi="Times New Roman" w:cs="Times New Roman"/>
        </w:rPr>
        <w:t xml:space="preserve"> gdy oprócz kar odpowiednio operuje innymi środkami, w szczególności o charakterze prewencyjnym czy kompensacyjnym. Zamysłem projektodawcy jest właśnie dokonanie takiej racjonalizacji reakcji prawnokarnej na czyny zabronione skierowane zwłaszcza przeciwko wolności seksualnej, która w pełniejszym stopniu będzie odzwierciedlała charakter danego czynu oraz zagrożenie stwarzane przez danego sprawcę. Jest przy tym oczywiste, że w wypadkach zachowań odznaczających się brutalnością, szczególnym ok</w:t>
      </w:r>
      <w:r>
        <w:rPr>
          <w:rFonts w:ascii="Times New Roman" w:hAnsi="Times New Roman" w:cs="Times New Roman"/>
        </w:rPr>
        <w:t>rucieństwem, eskalacją krzywd i </w:t>
      </w:r>
      <w:r w:rsidRPr="00DD52B2">
        <w:rPr>
          <w:rFonts w:ascii="Times New Roman" w:hAnsi="Times New Roman" w:cs="Times New Roman"/>
        </w:rPr>
        <w:t>cierpień dla pokrzywdzonego, a przy tym w odniesi</w:t>
      </w:r>
      <w:r>
        <w:rPr>
          <w:rFonts w:ascii="Times New Roman" w:hAnsi="Times New Roman" w:cs="Times New Roman"/>
        </w:rPr>
        <w:t>eniu do sprawców działających w </w:t>
      </w:r>
      <w:r w:rsidRPr="00DD52B2">
        <w:rPr>
          <w:rFonts w:ascii="Times New Roman" w:hAnsi="Times New Roman" w:cs="Times New Roman"/>
        </w:rPr>
        <w:t>warunkach powrotu do przestępstwa czy zagrażających ponawianiem tego typu zachowań, środki reakcji karnej powinny zmierzać do trwałej, wieloletniej izolacji sprawców, a nawet bezterminowej, gdy będzie to niezbędne z uwagi na charakter czynu i konieczność zapewnienia bezpieczeństwa społeczeństwu. Zapewnienie takich ram normatywnych dla racjonalnego i skutecznego działania prawa karnego w celu ochrony społeczeństwa oraz jego sprawnego egzekwowania jest podstawowym zadaniem państwa.</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Kształt normatywny niniejszego projektu wynika z analizy obowiązującego w Polsce stanu prawnego w zakresie przestępstw przeciwko wolności seksualnej oraz praktyki stosowania tego prawa na podstawie danych statystycznych gromadzonych przez Ministerstwo Sprawiedliwości. Pomocne przy proponowaniu zmian odnoszących się do konkretnych instytucji okazały się również kierunki rozwiązań przyjętych przez ustawodawstwa innych krajów, które są postrzegane jako skutecznie walczące z przestępczością na tle seksualnym.</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Niewątpliwie pierwszej i najogólniejszej refleksji nad aktualnym stanem przestępczości przeciwko wolności seksualnej oraz reakcją prawnokarną na to zjawisko dostarczają dane statystyczne obejmujące prawomocne skazania za przestępstw</w:t>
      </w:r>
      <w:r>
        <w:rPr>
          <w:rFonts w:ascii="Times New Roman" w:hAnsi="Times New Roman" w:cs="Times New Roman"/>
        </w:rPr>
        <w:t>a z art. 197 k.k. (zgwałcenie i </w:t>
      </w:r>
      <w:r w:rsidRPr="00DD52B2">
        <w:rPr>
          <w:rFonts w:ascii="Times New Roman" w:hAnsi="Times New Roman" w:cs="Times New Roman"/>
        </w:rPr>
        <w:t>wymuszenie czynności seksualnej). W perspektywie dziesięcioletniej (lata 2006</w:t>
      </w:r>
      <w:r>
        <w:rPr>
          <w:rFonts w:ascii="Times New Roman" w:hAnsi="Times New Roman" w:cs="Times New Roman"/>
        </w:rPr>
        <w:t>–</w:t>
      </w:r>
      <w:r w:rsidRPr="00DD52B2">
        <w:rPr>
          <w:rFonts w:ascii="Times New Roman" w:hAnsi="Times New Roman" w:cs="Times New Roman"/>
        </w:rPr>
        <w:t xml:space="preserve">2016) </w:t>
      </w:r>
      <w:r w:rsidRPr="00DD52B2">
        <w:rPr>
          <w:rFonts w:ascii="Times New Roman" w:hAnsi="Times New Roman" w:cs="Times New Roman"/>
        </w:rPr>
        <w:lastRenderedPageBreak/>
        <w:t>odnotowywano od ok. 650 do ok. 850 skazań rocznie, przy czym liczba ta podlega wahaniom w poszczególnych latach (np. 723 w 2012 r., 644 w 2015 r., a 684 w 2016 r.). Biorąc pod uwagę różne czynniki związane z czasokresem rozp</w:t>
      </w:r>
      <w:r>
        <w:rPr>
          <w:rFonts w:ascii="Times New Roman" w:hAnsi="Times New Roman" w:cs="Times New Roman"/>
        </w:rPr>
        <w:t>oznawania tych spraw, zarówno w </w:t>
      </w:r>
      <w:r w:rsidRPr="00DD52B2">
        <w:rPr>
          <w:rFonts w:ascii="Times New Roman" w:hAnsi="Times New Roman" w:cs="Times New Roman"/>
        </w:rPr>
        <w:t xml:space="preserve">postępowaniu przygotowawczym, jak i sądowym </w:t>
      </w:r>
      <w:r>
        <w:rPr>
          <w:rFonts w:ascii="Times New Roman" w:hAnsi="Times New Roman" w:cs="Times New Roman"/>
        </w:rPr>
        <w:t>(często w dwóch instancjach), w </w:t>
      </w:r>
      <w:r w:rsidRPr="00DD52B2">
        <w:rPr>
          <w:rFonts w:ascii="Times New Roman" w:hAnsi="Times New Roman" w:cs="Times New Roman"/>
        </w:rPr>
        <w:t>zależności od ich skomplikowania i pracochłonności, można przyjąć, że poziom tej przestępczości jest mniej więcej stały. Dalszych istotnych, ze względu na przedmiot zamierzeń legislacyjnych, informacji dostarczają dane odnos</w:t>
      </w:r>
      <w:r>
        <w:rPr>
          <w:rFonts w:ascii="Times New Roman" w:hAnsi="Times New Roman" w:cs="Times New Roman"/>
        </w:rPr>
        <w:t xml:space="preserve">zące się do struktury skazań, </w:t>
      </w:r>
      <w:r w:rsidR="00B84A6C">
        <w:rPr>
          <w:rFonts w:ascii="Times New Roman" w:hAnsi="Times New Roman" w:cs="Times New Roman"/>
        </w:rPr>
        <w:t>w</w:t>
      </w:r>
      <w:r>
        <w:rPr>
          <w:rFonts w:ascii="Times New Roman" w:hAnsi="Times New Roman" w:cs="Times New Roman"/>
        </w:rPr>
        <w:t> </w:t>
      </w:r>
      <w:r w:rsidRPr="00DD52B2">
        <w:rPr>
          <w:rFonts w:ascii="Times New Roman" w:hAnsi="Times New Roman" w:cs="Times New Roman"/>
        </w:rPr>
        <w:t xml:space="preserve">zakresie wymierzanych sankcji karnych. Przed ich przedstawieniem warto przypomnieć ustawowe zagrożenie karne przewidziane dla typów czynów zabronionych, o których mowa. Zgwałcenie w typie podstawowym </w:t>
      </w:r>
      <w:r w:rsidR="00382E05" w:rsidRPr="00DD52B2">
        <w:rPr>
          <w:rFonts w:ascii="Times New Roman" w:hAnsi="Times New Roman" w:cs="Times New Roman"/>
        </w:rPr>
        <w:t xml:space="preserve">jest </w:t>
      </w:r>
      <w:r w:rsidRPr="00DD52B2">
        <w:rPr>
          <w:rFonts w:ascii="Times New Roman" w:hAnsi="Times New Roman" w:cs="Times New Roman"/>
        </w:rPr>
        <w:t xml:space="preserve">zagrożone karą pozbawienia wolności od lat 2 do 12 (art. 197 § 1 k.k.), zgwałcenie zbiorowe, kazirodcze oraz wobec małoletniego poniżej lat 15 jest zagrożone karą pozbawienia wolności na czas nie krótszy od lat 3 (art. 197 § 3 k.k.), natomiast zgwałcenie i wymuszenie czynności seksualnej popełnione ze szczególnym okrucieństwem podlega karze pozbawienia wolności na czas nie krótszy od lat 5. Zgodnie natomiast z art. 69 § 1 k.k. warunkowe zawieszenie wykonania kary pozbawienia wolności może być zastosowane w odniesieniu do kary pozbawienia wolności orzeczonej w wymiarze nieprzekraczającym roku. Analizując zaś dane liczbowe </w:t>
      </w:r>
      <w:r>
        <w:rPr>
          <w:rFonts w:ascii="Times New Roman" w:hAnsi="Times New Roman" w:cs="Times New Roman"/>
        </w:rPr>
        <w:t>dotyczące prawomocnych skazań w </w:t>
      </w:r>
      <w:r w:rsidRPr="00DD52B2">
        <w:rPr>
          <w:rFonts w:ascii="Times New Roman" w:hAnsi="Times New Roman" w:cs="Times New Roman"/>
        </w:rPr>
        <w:t>2016 r.</w:t>
      </w:r>
      <w:r w:rsidR="00B84A6C">
        <w:rPr>
          <w:rFonts w:ascii="Times New Roman" w:hAnsi="Times New Roman" w:cs="Times New Roman"/>
        </w:rPr>
        <w:t>,</w:t>
      </w:r>
      <w:r w:rsidRPr="00DD52B2">
        <w:rPr>
          <w:rFonts w:ascii="Times New Roman" w:hAnsi="Times New Roman" w:cs="Times New Roman"/>
        </w:rPr>
        <w:t xml:space="preserve"> należy stwierdzić, że na 376 skazań za przestępstwo zgwałcenia z art. 197 § 1 k.k. 127 kar zostało wymierzonych z warunkowym zawieszeniem ich wykonania, co stanowi aż jedną trzecią. Czyli co trzecia kara została wymierzona poniżej ustawowych dolnych granic</w:t>
      </w:r>
      <w:r>
        <w:rPr>
          <w:rFonts w:ascii="Times New Roman" w:hAnsi="Times New Roman" w:cs="Times New Roman"/>
        </w:rPr>
        <w:t xml:space="preserve"> </w:t>
      </w:r>
      <w:r w:rsidRPr="00DD52B2">
        <w:rPr>
          <w:rFonts w:ascii="Times New Roman" w:hAnsi="Times New Roman" w:cs="Times New Roman"/>
        </w:rPr>
        <w:t>(z zastosowaniem dobrodziejstwa nadzwyczajnego złagodzenia kary) i dodatkowo jej wykonanie zostało warunkowo zawieszone. Co więcej, nawet w stosunku do zgwałceń zbiorowych i zgwałceń w stos</w:t>
      </w:r>
      <w:r>
        <w:rPr>
          <w:rFonts w:ascii="Times New Roman" w:hAnsi="Times New Roman" w:cs="Times New Roman"/>
        </w:rPr>
        <w:t>unku do małoletniego do lat 15 –</w:t>
      </w:r>
      <w:r w:rsidRPr="00DD52B2">
        <w:rPr>
          <w:rFonts w:ascii="Times New Roman" w:hAnsi="Times New Roman" w:cs="Times New Roman"/>
        </w:rPr>
        <w:t xml:space="preserve"> będących zbr</w:t>
      </w:r>
      <w:r>
        <w:rPr>
          <w:rFonts w:ascii="Times New Roman" w:hAnsi="Times New Roman" w:cs="Times New Roman"/>
        </w:rPr>
        <w:t xml:space="preserve">odniami – </w:t>
      </w:r>
      <w:r w:rsidR="00710FD7">
        <w:rPr>
          <w:rFonts w:ascii="Times New Roman" w:hAnsi="Times New Roman" w:cs="Times New Roman"/>
        </w:rPr>
        <w:t>około 10</w:t>
      </w:r>
      <w:r w:rsidRPr="00DD52B2">
        <w:rPr>
          <w:rFonts w:ascii="Times New Roman" w:hAnsi="Times New Roman" w:cs="Times New Roman"/>
        </w:rPr>
        <w:t>% skazań stanowiła kara pozbawienia wolności z warunkowym zawieszeniem jej wykonania (odpowiednio 5 na 55 skazań oraz 8 n</w:t>
      </w:r>
      <w:r>
        <w:rPr>
          <w:rFonts w:ascii="Times New Roman" w:hAnsi="Times New Roman" w:cs="Times New Roman"/>
        </w:rPr>
        <w:t>a 79 skazań). Dane te świadczą –</w:t>
      </w:r>
      <w:r w:rsidRPr="00DD52B2">
        <w:rPr>
          <w:rFonts w:ascii="Times New Roman" w:hAnsi="Times New Roman" w:cs="Times New Roman"/>
        </w:rPr>
        <w:t xml:space="preserve"> szczególnie w odniesieniu d</w:t>
      </w:r>
      <w:r>
        <w:rPr>
          <w:rFonts w:ascii="Times New Roman" w:hAnsi="Times New Roman" w:cs="Times New Roman"/>
        </w:rPr>
        <w:t>o zgwałceń w typie podstawowym –</w:t>
      </w:r>
      <w:r w:rsidRPr="00DD52B2">
        <w:rPr>
          <w:rFonts w:ascii="Times New Roman" w:hAnsi="Times New Roman" w:cs="Times New Roman"/>
        </w:rPr>
        <w:t xml:space="preserve"> o wadliwej strukturze skazań, nieodpowiadającej stopniowi społecznej szkodliwości tych czynów, niezapewniającej skutecznemu i efektywnemu przeciwdziałaniu tej przestępczości. Nie budzi przy tym</w:t>
      </w:r>
      <w:r>
        <w:rPr>
          <w:rFonts w:ascii="Times New Roman" w:hAnsi="Times New Roman" w:cs="Times New Roman"/>
        </w:rPr>
        <w:t xml:space="preserve"> </w:t>
      </w:r>
      <w:r w:rsidRPr="00DD52B2">
        <w:rPr>
          <w:rFonts w:ascii="Times New Roman" w:hAnsi="Times New Roman" w:cs="Times New Roman"/>
        </w:rPr>
        <w:t>wątpliwości, że każdy wypadek popełnienia takiego przestępstwa należy ocenić indywidualnie i w związku z tym nie jest wykluczone w poszczególnych sprawach zastosowanie nadzwyczajnego złagodzenia kary i orzeczenia kary wolnościowej, jednakże stan, w którym dotyczy to aż jednej trzeciej skazań</w:t>
      </w:r>
      <w:r w:rsidR="00382E05">
        <w:rPr>
          <w:rFonts w:ascii="Times New Roman" w:hAnsi="Times New Roman" w:cs="Times New Roman"/>
        </w:rPr>
        <w:t>,</w:t>
      </w:r>
      <w:r w:rsidRPr="00DD52B2">
        <w:rPr>
          <w:rFonts w:ascii="Times New Roman" w:hAnsi="Times New Roman" w:cs="Times New Roman"/>
        </w:rPr>
        <w:t xml:space="preserve"> nasuwa wniosek o nadużywaniu tej instytucji niezgodnie z potrzebami w zakresie prawidłowego oddziaływania szczególno-</w:t>
      </w:r>
      <w:r>
        <w:rPr>
          <w:rFonts w:ascii="Times New Roman" w:hAnsi="Times New Roman" w:cs="Times New Roman"/>
        </w:rPr>
        <w:t xml:space="preserve"> </w:t>
      </w:r>
      <w:r w:rsidRPr="00DD52B2">
        <w:rPr>
          <w:rFonts w:ascii="Times New Roman" w:hAnsi="Times New Roman" w:cs="Times New Roman"/>
        </w:rPr>
        <w:lastRenderedPageBreak/>
        <w:t>i</w:t>
      </w:r>
      <w:r>
        <w:rPr>
          <w:rFonts w:ascii="Times New Roman" w:hAnsi="Times New Roman" w:cs="Times New Roman"/>
        </w:rPr>
        <w:t> </w:t>
      </w:r>
      <w:r w:rsidRPr="00DD52B2">
        <w:rPr>
          <w:rFonts w:ascii="Times New Roman" w:hAnsi="Times New Roman" w:cs="Times New Roman"/>
        </w:rPr>
        <w:t xml:space="preserve">ogólnoprewencyjnego. Nie zmienia tego fakt, że część z tych orzeczeń o warunkowym zawieszeniu wykonania kary opiera się jeszcze na poprzednio obowiązującym do dnia 1 lipca 2015 r. stanie prawnym (art. 4 § 1 k.k.), w którym </w:t>
      </w:r>
      <w:r w:rsidR="00382E05" w:rsidRPr="00DD52B2">
        <w:rPr>
          <w:rFonts w:ascii="Times New Roman" w:hAnsi="Times New Roman" w:cs="Times New Roman"/>
        </w:rPr>
        <w:t xml:space="preserve">było </w:t>
      </w:r>
      <w:r w:rsidRPr="00DD52B2">
        <w:rPr>
          <w:rFonts w:ascii="Times New Roman" w:hAnsi="Times New Roman" w:cs="Times New Roman"/>
        </w:rPr>
        <w:t>możliwe warunkowe zawieszenie wykonania kary orzeczonej w wymiarze do 2 lat pozbawienia wolności. Chodzi o to, że przy tak surowym ustawowym zagrożeniu karą przyjęcie, że co trzeci sprawca zasługuje na karę wolnościową wydaje się wypaczać cel kryminologiczny stojący u podstaw uznania tych czynów za społecznie szkodliwe w wysokim stopniu, co wymusza stosowanie odpowiednio surowych kar.</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Przeprowadzona analiza uzasadnia ogólny wniosek, że obecny stan prawny w zakresie ochrony wyżej wymienionych dóbr nie w pełni odpowiada postulatom wynikającym z funkcji ochronnej prawa karnego, przez co nie zapewnia wystarczających narzędzi dla ograniczenia przestępczości i zabezpieczenia istotnych wartości społecznych. Okoliczności te uzasadniają podjęcie działań legislacyjnych zmierzających do zracjonalizowania reakcji karnej na te przestępstwa w sposób, który ukierunkowałby sądy do kształtowania tej reakcji odpowiednio do stopnia społecznej szkodliwości tych czynów i rzeczywistego zagrożenia społecznego, jakie stwarzają.</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Projektowane rozwiązania nie dotyczą jedynie zwiększenia punitywnego oddziaływania sankcji karnych wobec sprawców przestępstw przec</w:t>
      </w:r>
      <w:r>
        <w:rPr>
          <w:rFonts w:ascii="Times New Roman" w:hAnsi="Times New Roman" w:cs="Times New Roman"/>
        </w:rPr>
        <w:t>iwko wolności seksualnej, lecz –</w:t>
      </w:r>
      <w:r w:rsidRPr="00DD52B2">
        <w:rPr>
          <w:rFonts w:ascii="Times New Roman" w:hAnsi="Times New Roman" w:cs="Times New Roman"/>
        </w:rPr>
        <w:t xml:space="preserve"> stosownie do założenia wieloasp</w:t>
      </w:r>
      <w:r>
        <w:rPr>
          <w:rFonts w:ascii="Times New Roman" w:hAnsi="Times New Roman" w:cs="Times New Roman"/>
        </w:rPr>
        <w:t>ektowej ochrony prawnokarnej –</w:t>
      </w:r>
      <w:r w:rsidRPr="00DD52B2">
        <w:rPr>
          <w:rFonts w:ascii="Times New Roman" w:hAnsi="Times New Roman" w:cs="Times New Roman"/>
        </w:rPr>
        <w:t xml:space="preserve"> odnoszą się również do środków karnych mających na celu ochronę pokrzywdzonego i zapewnienie mu wolności od obawy przed kontaktem ze sprawcą. Projekt przewiduje w związku z tym wprowadzenie dodatkowej podstawy obligatoryjnego orzeczenia środka karnego w postaci zakazu kontaktowania się z pokrzywdzonym lub zbliżania się do niego, w razie skazania za przestępstwo przeciwko wolności seksualnej (projektowany art. 41a § 1a k.k.). Zakaz mógłby być połączony z obowiązkiem zgłaszania się do Policji l</w:t>
      </w:r>
      <w:r>
        <w:rPr>
          <w:rFonts w:ascii="Times New Roman" w:hAnsi="Times New Roman" w:cs="Times New Roman"/>
        </w:rPr>
        <w:t>ub innego wyznaczonego organu w </w:t>
      </w:r>
      <w:r w:rsidRPr="00DD52B2">
        <w:rPr>
          <w:rFonts w:ascii="Times New Roman" w:hAnsi="Times New Roman" w:cs="Times New Roman"/>
        </w:rPr>
        <w:t>określonych odstępac</w:t>
      </w:r>
      <w:r>
        <w:rPr>
          <w:rFonts w:ascii="Times New Roman" w:hAnsi="Times New Roman" w:cs="Times New Roman"/>
        </w:rPr>
        <w:t>h czasu, a zakaz zbliżania się –</w:t>
      </w:r>
      <w:r w:rsidRPr="00DD52B2">
        <w:rPr>
          <w:rFonts w:ascii="Times New Roman" w:hAnsi="Times New Roman" w:cs="Times New Roman"/>
        </w:rPr>
        <w:t xml:space="preserve"> również kontrolowany w systemie dozoru elektronicznego. Obligatoryjne orzeczenie tego środka karnego przez sąd następowałoby na wniosek pokrzywdzonego, gdyż celem tego środka jest zapewnienie mu bezpieczeństwa, komfortu psychicznego i nienaruszalności jego osoby, tak więc pokrzywdzony jest osobą, która w najpełniejszym stopniu będzie w stanie ocenić, czy jego dobra osobiste w tym zakresie wymagają ochrony. Oczywiście wprowadzana regulacja nie </w:t>
      </w:r>
      <w:r w:rsidRPr="00DD52B2">
        <w:rPr>
          <w:rFonts w:ascii="Times New Roman" w:hAnsi="Times New Roman" w:cs="Times New Roman"/>
        </w:rPr>
        <w:lastRenderedPageBreak/>
        <w:t>wyłącza możliwości orzeczenia tego typu środka karnego z urzędu przez sąd na podstawie art. 41a § 1 lub 2 k.k.</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Odnosząc się do przedstawionych wyżej danych statystycznych obrazujących sankcje karne stosowane wobec sprawców przestępstw z art. 197 k.k., należy stwierdzić, że o ile nie sposób wykluczyć w poszczególnych przypadkach celowości zastosowania nadzwyczajnego złagodzenia kary, to jednak zazwyczaj trudno wskazać na okoliczności uzasadniające takie łagodne potraktowanie sprawców, którzy poprzednio dopuścili się już podobnego przestępstwa przeciwko wolności seksualnej. Dlatego projektodawca uznał, że z punktu widzenia zamierzonego celu, istotniejsze niż podniesienie sankcji za poszczególne typy czynów zabronionych, przewidziane w rozdziale XXV Kodeksu karnego, jest wprowadzenie obostrzenia skierowanego przeciwko sprawcom działającym w warunkach recydywy obejmującej czyny przeciwko wolności seksualnej i obyczajności. Sprawcy powracający do przestępstwa zbliżonego rodzajowo</w:t>
      </w:r>
      <w:r w:rsidR="002D5747">
        <w:rPr>
          <w:rFonts w:ascii="Times New Roman" w:hAnsi="Times New Roman" w:cs="Times New Roman"/>
        </w:rPr>
        <w:t>,</w:t>
      </w:r>
      <w:r w:rsidRPr="00DD52B2">
        <w:rPr>
          <w:rFonts w:ascii="Times New Roman" w:hAnsi="Times New Roman" w:cs="Times New Roman"/>
        </w:rPr>
        <w:t xml:space="preserve"> do przestępstwa za które zostali już skazani</w:t>
      </w:r>
      <w:r w:rsidR="00EE1845">
        <w:rPr>
          <w:rFonts w:ascii="Times New Roman" w:hAnsi="Times New Roman" w:cs="Times New Roman"/>
        </w:rPr>
        <w:t>.</w:t>
      </w:r>
      <w:r w:rsidRPr="00DD52B2">
        <w:rPr>
          <w:rFonts w:ascii="Times New Roman" w:hAnsi="Times New Roman" w:cs="Times New Roman"/>
        </w:rPr>
        <w:t xml:space="preserve"> wykazują większy stopień demoralizacji i nieprzystosowania społecznego, co nie powinno pozostać bez odzwierciedlenia na płaszczyźnie wymiaru kary. W przypadku sprawców skazanych po raz drugi za przestępstwo przeciwko wolności seksualnej i obyczajności</w:t>
      </w:r>
      <w:r w:rsidR="00EE1845">
        <w:rPr>
          <w:rFonts w:ascii="Times New Roman" w:hAnsi="Times New Roman" w:cs="Times New Roman"/>
        </w:rPr>
        <w:t>,</w:t>
      </w:r>
      <w:r w:rsidRPr="00DD52B2">
        <w:rPr>
          <w:rFonts w:ascii="Times New Roman" w:hAnsi="Times New Roman" w:cs="Times New Roman"/>
        </w:rPr>
        <w:t xml:space="preserve"> ochrona społeczeństwa (potencjalnych ofiar) wymaga wręcz zdecydowanego wyeksponowania izolacyjnej funkcji kary tym bardziej, że jak wskazują dane empiryczne, powr</w:t>
      </w:r>
      <w:r w:rsidR="008C07B0">
        <w:rPr>
          <w:rFonts w:ascii="Times New Roman" w:hAnsi="Times New Roman" w:cs="Times New Roman"/>
        </w:rPr>
        <w:t>ót</w:t>
      </w:r>
      <w:r w:rsidRPr="00DD52B2">
        <w:rPr>
          <w:rFonts w:ascii="Times New Roman" w:hAnsi="Times New Roman" w:cs="Times New Roman"/>
        </w:rPr>
        <w:t xml:space="preserve"> do przestępstwa sprawców zgwałcenia jest dwa razy większ</w:t>
      </w:r>
      <w:r w:rsidR="008C07B0">
        <w:rPr>
          <w:rFonts w:ascii="Times New Roman" w:hAnsi="Times New Roman" w:cs="Times New Roman"/>
        </w:rPr>
        <w:t>y</w:t>
      </w:r>
      <w:r w:rsidRPr="00DD52B2">
        <w:rPr>
          <w:rFonts w:ascii="Times New Roman" w:hAnsi="Times New Roman" w:cs="Times New Roman"/>
        </w:rPr>
        <w:t xml:space="preserve"> niż pozostałych sprawców. W 2016 r. odsetek recydywistów w ogólnej liczbie skazany</w:t>
      </w:r>
      <w:r>
        <w:rPr>
          <w:rFonts w:ascii="Times New Roman" w:hAnsi="Times New Roman" w:cs="Times New Roman"/>
        </w:rPr>
        <w:t>ch z art. 197 k.k. wyniósł 11,7</w:t>
      </w:r>
      <w:r w:rsidRPr="00DD52B2">
        <w:rPr>
          <w:rFonts w:ascii="Times New Roman" w:hAnsi="Times New Roman" w:cs="Times New Roman"/>
        </w:rPr>
        <w:t xml:space="preserve">%, podczas gdy </w:t>
      </w:r>
      <w:r>
        <w:rPr>
          <w:rFonts w:ascii="Times New Roman" w:hAnsi="Times New Roman" w:cs="Times New Roman"/>
        </w:rPr>
        <w:t>w </w:t>
      </w:r>
      <w:r w:rsidRPr="00DD52B2">
        <w:rPr>
          <w:rFonts w:ascii="Times New Roman" w:hAnsi="Times New Roman" w:cs="Times New Roman"/>
        </w:rPr>
        <w:t>przypadku sprawców pozostałych prz</w:t>
      </w:r>
      <w:r>
        <w:rPr>
          <w:rFonts w:ascii="Times New Roman" w:hAnsi="Times New Roman" w:cs="Times New Roman"/>
        </w:rPr>
        <w:t>estępstw odsetek ten wynosi 5,6</w:t>
      </w:r>
      <w:r w:rsidRPr="00DD52B2">
        <w:rPr>
          <w:rFonts w:ascii="Times New Roman" w:hAnsi="Times New Roman" w:cs="Times New Roman"/>
        </w:rPr>
        <w:t xml:space="preserve">%. Proponowane rozwiązanie stanowi </w:t>
      </w:r>
      <w:r w:rsidRPr="00DD52B2">
        <w:rPr>
          <w:rStyle w:val="Kkursywa"/>
          <w:rFonts w:ascii="Times New Roman" w:hAnsi="Times New Roman" w:cs="Times New Roman"/>
        </w:rPr>
        <w:t>lex specialis</w:t>
      </w:r>
      <w:r w:rsidRPr="00DD52B2">
        <w:rPr>
          <w:rFonts w:ascii="Times New Roman" w:hAnsi="Times New Roman" w:cs="Times New Roman"/>
        </w:rPr>
        <w:t xml:space="preserve"> względem instytucji recydywy specjalnej podstawowej przewidzianej w art. 64 § 1 k.k. Zgodnie z projektowanym art. 64a § 1 k.k. „fundamentem” instytucji prowadzącej do nadzwyczajnego obostrzenia kary względem wskazanej wyżej kategorii sprawców jest układ dwóch umyślnych przestępstw przeciwko wolności seksualnej</w:t>
      </w:r>
      <w:r>
        <w:rPr>
          <w:rFonts w:ascii="Times New Roman" w:hAnsi="Times New Roman" w:cs="Times New Roman"/>
        </w:rPr>
        <w:t xml:space="preserve"> i </w:t>
      </w:r>
      <w:r w:rsidRPr="00DD52B2">
        <w:rPr>
          <w:rFonts w:ascii="Times New Roman" w:hAnsi="Times New Roman" w:cs="Times New Roman"/>
        </w:rPr>
        <w:t xml:space="preserve">obyczajności popełnionych przez tego samego sprawcę: uprzedniego, za które skazano daną osobę na karę pozbawienia wolności, i ponownego, popełnionego przez tę osobę w ciągu 5 lat po odbyciu co najmniej 6 miesięcy kary za przestępstwo pierwsze. Konsekwencje prawne popełnienia przestępstwa w wymienionych warunkach polegają na obligatoryjnym podwyższeniu zarówno dolnej, jak i górnej granicy zagrożenia. Kara powinna być wymierzona w granicach nie niższych od podwójnej wysokości dolnego zagrożenia do najwyższego ustawowego zagrożenia zwiększonego o połowę. Chodzi tu tylko o karę pozbawienia wolności, co oznacza, że nawet gdyby występek, popełniony w warunkach </w:t>
      </w:r>
      <w:r w:rsidRPr="00DD52B2">
        <w:rPr>
          <w:rFonts w:ascii="Times New Roman" w:hAnsi="Times New Roman" w:cs="Times New Roman"/>
        </w:rPr>
        <w:lastRenderedPageBreak/>
        <w:t xml:space="preserve">określonych w art. 64a k.k. </w:t>
      </w:r>
      <w:r w:rsidR="002D5747" w:rsidRPr="00DD52B2">
        <w:rPr>
          <w:rFonts w:ascii="Times New Roman" w:hAnsi="Times New Roman" w:cs="Times New Roman"/>
        </w:rPr>
        <w:t xml:space="preserve">był </w:t>
      </w:r>
      <w:r w:rsidRPr="00DD52B2">
        <w:rPr>
          <w:rFonts w:ascii="Times New Roman" w:hAnsi="Times New Roman" w:cs="Times New Roman"/>
        </w:rPr>
        <w:t>zagrożony alternatywnie karą pozbawienia wolności, ograniczenia wolności lub grzywny, nie można wymierzyć kary łagodniejszego rodzaju, lecz tylko karę pozbawienia wolności. Zarówno doświadczenia praktyczne, o których była mowa wyżej, jak i wyniki znanych badań kryminologicznych prowadzą do jednoznacznego wniosku, że jedynie obligatoryjne podwyższenie dolnej granicy ustawowego zagrożenia wywiera oczekiwan</w:t>
      </w:r>
      <w:r w:rsidR="00710FD7">
        <w:rPr>
          <w:rFonts w:ascii="Times New Roman" w:hAnsi="Times New Roman" w:cs="Times New Roman"/>
        </w:rPr>
        <w:t>e oddziaływanie generalno-</w:t>
      </w:r>
      <w:r w:rsidRPr="00DD52B2">
        <w:rPr>
          <w:rFonts w:ascii="Times New Roman" w:hAnsi="Times New Roman" w:cs="Times New Roman"/>
        </w:rPr>
        <w:t xml:space="preserve">prewencyjne, w szczególności na płaszczyźnie oddziaływania ustawy, podwyższając w sposób pewny, a nie jedynie prawdopodobny, „koszt” przestępczego zachowania, który sprawca będzie musiał ponieść dopuszczając się karalnego bezprawia w warunkach skutkujących modyfikacją granic ustawowego zagrożenia. Projektowana zmiana pozwoli objąć instytucją recydywy specjalnej w zakresie skutkującym zaostrzeniem kary </w:t>
      </w:r>
      <w:r w:rsidR="00EE1845">
        <w:rPr>
          <w:rFonts w:ascii="Times New Roman" w:hAnsi="Times New Roman" w:cs="Times New Roman"/>
        </w:rPr>
        <w:t xml:space="preserve">za </w:t>
      </w:r>
      <w:r w:rsidRPr="00DD52B2">
        <w:rPr>
          <w:rFonts w:ascii="Times New Roman" w:hAnsi="Times New Roman" w:cs="Times New Roman"/>
        </w:rPr>
        <w:t xml:space="preserve">rzeczywiście najgroźniejsze akty bezprawia popełniane przez sprawców powrotnych, atakujące jedne z najistotniejszych dóbr prawem chronionych, jak </w:t>
      </w:r>
      <w:r>
        <w:rPr>
          <w:rFonts w:ascii="Times New Roman" w:hAnsi="Times New Roman" w:cs="Times New Roman"/>
        </w:rPr>
        <w:t>i </w:t>
      </w:r>
      <w:r w:rsidRPr="00DD52B2">
        <w:rPr>
          <w:rFonts w:ascii="Times New Roman" w:hAnsi="Times New Roman" w:cs="Times New Roman"/>
        </w:rPr>
        <w:t>charakteryzujące się najbardziej nagannym sposobem działania sprawcy, w odniesieniu do których potrzeba w zakresie wzmożenia ochrony prawnej atakowanych dóbr, jak i</w:t>
      </w:r>
      <w:r>
        <w:rPr>
          <w:rFonts w:ascii="Times New Roman" w:hAnsi="Times New Roman" w:cs="Times New Roman"/>
        </w:rPr>
        <w:t> </w:t>
      </w:r>
      <w:r w:rsidRPr="00DD52B2">
        <w:rPr>
          <w:rFonts w:ascii="Times New Roman" w:hAnsi="Times New Roman" w:cs="Times New Roman"/>
        </w:rPr>
        <w:t>wzmocnienia oddziaływania prewencyjnego, czyni w pełni uzasadnionym i racjonalnym krokiem podniesienie dolnego progu kary wymierzanej sprawcom takich czynów. Proponowanemu rozwiązaniu nie sprzeciwia się limitująca funkcja winy. Nie powinno ulegać wątpliwości, że w przypadku recydywistów występuje co do zasady zwiększony stopień zawinienia. Zlekceważenie ostrzeżenia, jakim jest uprzednie ukaranie i odbycie kary, wskazuje, że sprawca mimo wymaganej wobec niego świadomości obowiązywania normy sankcjonowanej oraz świadomości normy sankcjonującej, która w przypadku zmaterializowania się przesłanek recydywy przewiduje wyższą karę, nie powstrzymał się pomimo posiadania świadomości zarówno tego, co może zrobić oraz jak jego zachowanie z</w:t>
      </w:r>
      <w:r>
        <w:rPr>
          <w:rFonts w:ascii="Times New Roman" w:hAnsi="Times New Roman" w:cs="Times New Roman"/>
        </w:rPr>
        <w:t> </w:t>
      </w:r>
      <w:r w:rsidRPr="00DD52B2">
        <w:rPr>
          <w:rFonts w:ascii="Times New Roman" w:hAnsi="Times New Roman" w:cs="Times New Roman"/>
        </w:rPr>
        <w:t xml:space="preserve">punktu widzenia wymogów społecznych i prawnych zostanie ocenione. W związku </w:t>
      </w:r>
      <w:r>
        <w:rPr>
          <w:rFonts w:ascii="Times New Roman" w:hAnsi="Times New Roman" w:cs="Times New Roman"/>
        </w:rPr>
        <w:t>z </w:t>
      </w:r>
      <w:r w:rsidRPr="00DD52B2">
        <w:rPr>
          <w:rFonts w:ascii="Times New Roman" w:hAnsi="Times New Roman" w:cs="Times New Roman"/>
        </w:rPr>
        <w:t>wprowadzeniem nowego rodzaju instytucji recydywy projekt określa limit czasowy minimalnego okresu odbycia kary pozbawienia wolności jako warunku formalnego dopuszczalności zastosowania wobec skazanego dobrodziejstwa warunkowego przedterminowego zwolnienia. Projekt zrównuje w tym zakresie sytuację prawną skazanego w warunkach art. 64a k.k. z sytuacją prawną skazanego określonego w art. 64 § 2 k.k., bowiem w art. 78 § 2 przewiduje, że można go warunkowo zwolnić po odbyciu trzech czwartych kary pozbawienia wolności.</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 xml:space="preserve">Postać recydywy przewidziana w proponowanym art. 64a k.k. ma charakter </w:t>
      </w:r>
      <w:r w:rsidRPr="00AA5404">
        <w:rPr>
          <w:rFonts w:ascii="Times New Roman" w:hAnsi="Times New Roman" w:cs="Times New Roman"/>
          <w:i/>
        </w:rPr>
        <w:t>lex specialis</w:t>
      </w:r>
      <w:r w:rsidRPr="00DD52B2">
        <w:rPr>
          <w:rFonts w:ascii="Times New Roman" w:hAnsi="Times New Roman" w:cs="Times New Roman"/>
        </w:rPr>
        <w:t xml:space="preserve"> wobec istniejących już w polskim porządku prawnym instytucji recydywy specjalnej zwykłej </w:t>
      </w:r>
      <w:r w:rsidRPr="00DD52B2">
        <w:rPr>
          <w:rFonts w:ascii="Times New Roman" w:hAnsi="Times New Roman" w:cs="Times New Roman"/>
        </w:rPr>
        <w:lastRenderedPageBreak/>
        <w:t xml:space="preserve">i recydywy specjalnej szczególnej, określonych w art. 64 § 1 i 2 k.k. Intencją projektodawcy nie jest bowiem modyfikowanie ogólnych zasad odpowiedzialności karnej przestępców powrotnych, lecz specyficzne i adekwatne do charakteru tej kategorii czynów zabronionych uregulowanie zaostrzonej odpowiedzialności karnej sprawców powracających do przestępstwa przeciwko wolności seksualnej lub obyczajności. Są to bowiem czyny o takim stopniu społecznej szkodliwości i zakresie naruszenia najgłębszej sfery prywatności, że podstawowym środkiem oddziaływania karnego wobec sprawców powrotnych powinna być długotrwała izolacja penitencjarna, która ponadto jest w stanie zabezpieczyć społeczeństwo przed potencjalnym niebezpieczeństwem grożącym ze strony sprawcy. Biorąc pod uwagę wskazane </w:t>
      </w:r>
      <w:r w:rsidRPr="00AA5404">
        <w:rPr>
          <w:rFonts w:ascii="Times New Roman" w:hAnsi="Times New Roman" w:cs="Times New Roman"/>
          <w:i/>
        </w:rPr>
        <w:t>ratio legis</w:t>
      </w:r>
      <w:r w:rsidRPr="00DD52B2">
        <w:rPr>
          <w:rFonts w:ascii="Times New Roman" w:hAnsi="Times New Roman" w:cs="Times New Roman"/>
        </w:rPr>
        <w:t xml:space="preserve"> odrębnego uregulowania recydywy w stosunku do sprawców przestępstw przeciwko wolności seksualnej lub obyczajności</w:t>
      </w:r>
      <w:r w:rsidR="00EE1845">
        <w:rPr>
          <w:rFonts w:ascii="Times New Roman" w:hAnsi="Times New Roman" w:cs="Times New Roman"/>
        </w:rPr>
        <w:t>,</w:t>
      </w:r>
      <w:r w:rsidRPr="00DD52B2">
        <w:rPr>
          <w:rFonts w:ascii="Times New Roman" w:hAnsi="Times New Roman" w:cs="Times New Roman"/>
        </w:rPr>
        <w:t xml:space="preserve"> należy również odnieść się do normatywnej relacji projektowanego art. 64a k.k. i aktualnie istniejących w art. 64 k.k. postaci recydywy.</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Projektowany przepis art.</w:t>
      </w:r>
      <w:r>
        <w:rPr>
          <w:rFonts w:ascii="Times New Roman" w:hAnsi="Times New Roman" w:cs="Times New Roman"/>
        </w:rPr>
        <w:t xml:space="preserve"> </w:t>
      </w:r>
      <w:r w:rsidRPr="00DD52B2">
        <w:rPr>
          <w:rFonts w:ascii="Times New Roman" w:hAnsi="Times New Roman" w:cs="Times New Roman"/>
        </w:rPr>
        <w:t>64a k.k.</w:t>
      </w:r>
      <w:r>
        <w:rPr>
          <w:rFonts w:ascii="Times New Roman" w:hAnsi="Times New Roman" w:cs="Times New Roman"/>
        </w:rPr>
        <w:t xml:space="preserve"> </w:t>
      </w:r>
      <w:r w:rsidRPr="00DD52B2">
        <w:rPr>
          <w:rFonts w:ascii="Times New Roman" w:hAnsi="Times New Roman" w:cs="Times New Roman"/>
        </w:rPr>
        <w:t xml:space="preserve">przewiduje odrębne, surowsze zasady wymierzania kary wyłącznie wobec sprawców tam określonych, działających w warunkach wskazanych w tym przepisie. Tak więc dotyczy on odpowiedzialności sprawcy uprzednio skazanego za przestępstwo umyślne przeciwko wolności seksualnej lub obyczajności na karę pozbawienia wolności, który popełnił w ciągu 5 lat po odbyciu co najmniej 6 miesięcy kary ponownie umyślne przestępstwo przeciwko wolności seksualnej lub obyczajności. Tylko zatem wobec takiego sprawcy sąd w oparciu o tę podstawę prawną powinien wymierzyć karę pozbawienia wolności w granicach od podwójnej wysokości dolnego zagrożenia do górnej granicy ustawowego zagrożenia zwiększonego o połowę. </w:t>
      </w:r>
      <w:r>
        <w:rPr>
          <w:rFonts w:ascii="Times New Roman" w:hAnsi="Times New Roman" w:cs="Times New Roman"/>
        </w:rPr>
        <w:t>W sytuacjach nieuregulowanych w </w:t>
      </w:r>
      <w:r w:rsidRPr="00DD52B2">
        <w:rPr>
          <w:rFonts w:ascii="Times New Roman" w:hAnsi="Times New Roman" w:cs="Times New Roman"/>
        </w:rPr>
        <w:t>projektowanym art. 64a k.k., wobec sprawców działających w warunkach recydywy znajdą zastosowanie ogólne unormowania wskazane w art. 64 k.k. Jest przy tym oczywiste, że ze względu na surowsze reguły odpowiedzialności dla powracających do przestępstwa przeciwko wolności seksualnej lub obyczajności, przewidziane w projektowanym art. 64a k.k., ten właśnie przepis znajdzie zastosowanie w stosunku do sprawcy przestępstwa zgwałcenia (wymienionego również wśród przestępstw kwalifikujących powrotność w art. 64 § 2 k.k.), spełniającego warunki projektowanego art. 64a k.k. (zasada specjalności), natomiast w pozostałych przypadkach – nieobjętych dyspozycją projektowanego art. 64a k.k., mieszczących się zaś w zakresie unormowania art. 64</w:t>
      </w:r>
      <w:r>
        <w:rPr>
          <w:rFonts w:ascii="Times New Roman" w:hAnsi="Times New Roman" w:cs="Times New Roman"/>
        </w:rPr>
        <w:t xml:space="preserve"> k.k. –</w:t>
      </w:r>
      <w:r w:rsidRPr="00DD52B2">
        <w:rPr>
          <w:rFonts w:ascii="Times New Roman" w:hAnsi="Times New Roman" w:cs="Times New Roman"/>
        </w:rPr>
        <w:t xml:space="preserve"> sprawca zgwałcenia będzie ponosił surowszą odpowiedzialność na podstawie tego ostatniego przepisu.</w:t>
      </w:r>
    </w:p>
    <w:p w:rsidR="00DD52B2" w:rsidRPr="00DD52B2" w:rsidRDefault="00DD52B2" w:rsidP="00DD52B2">
      <w:pPr>
        <w:pStyle w:val="ARTartustawynprozporzdzenia"/>
        <w:rPr>
          <w:rFonts w:ascii="Times New Roman" w:hAnsi="Times New Roman" w:cs="Times New Roman"/>
        </w:rPr>
      </w:pPr>
      <w:r w:rsidRPr="00DD52B2">
        <w:rPr>
          <w:rFonts w:ascii="Times New Roman" w:hAnsi="Times New Roman" w:cs="Times New Roman"/>
        </w:rPr>
        <w:lastRenderedPageBreak/>
        <w:t xml:space="preserve">Nie ma zaś </w:t>
      </w:r>
      <w:r>
        <w:rPr>
          <w:rFonts w:ascii="Times New Roman" w:hAnsi="Times New Roman" w:cs="Times New Roman"/>
        </w:rPr>
        <w:t>–</w:t>
      </w:r>
      <w:r w:rsidRPr="00DD52B2">
        <w:rPr>
          <w:rFonts w:ascii="Times New Roman" w:hAnsi="Times New Roman" w:cs="Times New Roman"/>
        </w:rPr>
        <w:t xml:space="preserve"> jak już wskazano </w:t>
      </w:r>
      <w:r>
        <w:rPr>
          <w:rFonts w:ascii="Times New Roman" w:hAnsi="Times New Roman" w:cs="Times New Roman"/>
        </w:rPr>
        <w:t>–</w:t>
      </w:r>
      <w:r w:rsidRPr="00DD52B2">
        <w:rPr>
          <w:rFonts w:ascii="Times New Roman" w:hAnsi="Times New Roman" w:cs="Times New Roman"/>
        </w:rPr>
        <w:t xml:space="preserve"> z uwagi na wprowadzenie szczególnej postaci recydywy w proponowanym art. 64a k.k., konieczności modyfikacji istniejących już unormowań w tym zakresie, zawartych w art. 64 k.k. Przepis art. 64a k.k. dotyczy bowiem ściśle określonych sytuacji powrotu do przestępstwa, </w:t>
      </w:r>
      <w:r>
        <w:rPr>
          <w:rFonts w:ascii="Times New Roman" w:hAnsi="Times New Roman" w:cs="Times New Roman"/>
        </w:rPr>
        <w:t>do których –</w:t>
      </w:r>
      <w:r w:rsidRPr="00DD52B2">
        <w:rPr>
          <w:rFonts w:ascii="Times New Roman" w:hAnsi="Times New Roman" w:cs="Times New Roman"/>
        </w:rPr>
        <w:t xml:space="preserve"> w razie ich zaistnienia </w:t>
      </w:r>
      <w:r>
        <w:rPr>
          <w:rFonts w:ascii="Times New Roman" w:hAnsi="Times New Roman" w:cs="Times New Roman"/>
        </w:rPr>
        <w:t>–</w:t>
      </w:r>
      <w:r w:rsidRPr="00DD52B2">
        <w:rPr>
          <w:rFonts w:ascii="Times New Roman" w:hAnsi="Times New Roman" w:cs="Times New Roman"/>
        </w:rPr>
        <w:t xml:space="preserve"> należałoby stosować przedmiotową regulację prawną, natomiast zachowanie pozostałych sprawców przestępstw przeciwko wolności seksualnej i obyczajności</w:t>
      </w:r>
      <w:r>
        <w:rPr>
          <w:rFonts w:ascii="Times New Roman" w:hAnsi="Times New Roman" w:cs="Times New Roman"/>
        </w:rPr>
        <w:t>, popełniających czyn w </w:t>
      </w:r>
      <w:r w:rsidRPr="00DD52B2">
        <w:rPr>
          <w:rFonts w:ascii="Times New Roman" w:hAnsi="Times New Roman" w:cs="Times New Roman"/>
        </w:rPr>
        <w:t>warunkach recydywy, trzeba odnosić do regulacji przewidzianych w art. 64 §</w:t>
      </w:r>
      <w:r>
        <w:rPr>
          <w:rFonts w:ascii="Times New Roman" w:hAnsi="Times New Roman" w:cs="Times New Roman"/>
        </w:rPr>
        <w:t xml:space="preserve"> 1 lub 2 k.k. I </w:t>
      </w:r>
      <w:r w:rsidRPr="00DD52B2">
        <w:rPr>
          <w:rFonts w:ascii="Times New Roman" w:hAnsi="Times New Roman" w:cs="Times New Roman"/>
        </w:rPr>
        <w:t>tak np. jeżeli sprawca skazany za przestępstwo popełnione z zastosowaniem przemocy skierowane przeciwko innemu dobru prawnemu niż wolność seksualna i obyczajność popełni następnie przestępstwo z zastosowaniem przemocy przeciwko wolności seksualnej (są to przestę</w:t>
      </w:r>
      <w:r>
        <w:rPr>
          <w:rFonts w:ascii="Times New Roman" w:hAnsi="Times New Roman" w:cs="Times New Roman"/>
        </w:rPr>
        <w:t>pstwa podobne –</w:t>
      </w:r>
      <w:r w:rsidRPr="00DD52B2">
        <w:rPr>
          <w:rFonts w:ascii="Times New Roman" w:hAnsi="Times New Roman" w:cs="Times New Roman"/>
        </w:rPr>
        <w:t xml:space="preserve"> art. 115 § 3 k.k.), będzie ponosił zaostrzoną odpowiedzialność karną według art. 64 § 1 k.k. Z kolei sprawca uprzednio skazany w warunkach art. 64 § 1 k.k., lecz nie za przestępstwo przeciwko wolności seksualnej lub obyczajności, a za inne </w:t>
      </w:r>
      <w:r>
        <w:rPr>
          <w:rFonts w:ascii="Times New Roman" w:hAnsi="Times New Roman" w:cs="Times New Roman"/>
        </w:rPr>
        <w:t>wskazane w </w:t>
      </w:r>
      <w:r w:rsidRPr="00DD52B2">
        <w:rPr>
          <w:rFonts w:ascii="Times New Roman" w:hAnsi="Times New Roman" w:cs="Times New Roman"/>
        </w:rPr>
        <w:t xml:space="preserve">katalogu z art. 64 § 2 </w:t>
      </w:r>
      <w:r w:rsidRPr="00596EA5">
        <w:rPr>
          <w:rFonts w:ascii="Times New Roman" w:hAnsi="Times New Roman" w:cs="Times New Roman"/>
          <w:i/>
        </w:rPr>
        <w:t>in principio</w:t>
      </w:r>
      <w:r w:rsidRPr="00DD52B2">
        <w:rPr>
          <w:rFonts w:ascii="Times New Roman" w:hAnsi="Times New Roman" w:cs="Times New Roman"/>
        </w:rPr>
        <w:t xml:space="preserve"> k.k., popełniający następnie przestępstwo zgwałcenia (wymienione w katalogu ponownie popełnianych przestępstw w art. 64 § 2 k.k.), będzie ponosić surowszą odpowiedzialność z art. 64 § 2 k.k. (por. wyr. SN z dnia 17</w:t>
      </w:r>
      <w:r w:rsidR="00004CDD">
        <w:rPr>
          <w:rFonts w:ascii="Times New Roman" w:hAnsi="Times New Roman" w:cs="Times New Roman"/>
        </w:rPr>
        <w:t xml:space="preserve"> listopada </w:t>
      </w:r>
      <w:r w:rsidRPr="00DD52B2">
        <w:rPr>
          <w:rFonts w:ascii="Times New Roman" w:hAnsi="Times New Roman" w:cs="Times New Roman"/>
        </w:rPr>
        <w:t>2004</w:t>
      </w:r>
      <w:r w:rsidR="00004CDD">
        <w:rPr>
          <w:rFonts w:ascii="Times New Roman" w:hAnsi="Times New Roman" w:cs="Times New Roman"/>
        </w:rPr>
        <w:t> </w:t>
      </w:r>
      <w:r w:rsidRPr="00DD52B2">
        <w:rPr>
          <w:rFonts w:ascii="Times New Roman" w:hAnsi="Times New Roman" w:cs="Times New Roman"/>
        </w:rPr>
        <w:t>r., sygn. akt V KK 321/04, OSNwSK 2004, poz. 2107), gdyż art. 64a k.k. w takim przypadku nie będzie miał zastosowania.</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Charakter dostosowawczy ma zmiana art. 79 § 1 k.k., który określa minima wymagane do przedterminowego zwolnienia przy karach pozbawienia wolności, które nie podlegają łączeniu. Projekt przewiduje, że w przypadku skazania na podstawie projektowanego art. 64a, podobnie jak przy skazaniu w warunkach multirecydywy, przestępczości zawodowej, zorganizowanej lub terrorystycznej, choć za jedno z przestę</w:t>
      </w:r>
      <w:r>
        <w:rPr>
          <w:rFonts w:ascii="Times New Roman" w:hAnsi="Times New Roman" w:cs="Times New Roman"/>
        </w:rPr>
        <w:t>pstw niepozostających ze sobą w </w:t>
      </w:r>
      <w:r w:rsidRPr="00DD52B2">
        <w:rPr>
          <w:rFonts w:ascii="Times New Roman" w:hAnsi="Times New Roman" w:cs="Times New Roman"/>
        </w:rPr>
        <w:t>zbiegu, za które orzeczono kary pozbawienia wolności niepodlegające łączeniu, jest wymagane odbycie minimum 3/4 sumy wszystkich przeznaczonych do odbycia kar pozbawienia wolności. Zmianą o charakterze wynikowym jest również projektowany art. 80 § 2 k.k., który określa okres próby przy warunkowym zwolnieniu z odbywania tzw. zwykłej kary pozbawienia wolności. Podobnie jak w przypadku skazanych w oparciu o art. 64 § 2 k.k., względy prewencji indywidualnej zadecydowały o wydłużeniu minimalnego okresu próby do 3 lat względem skazanych na podstawie projektowanego art. 64a k.k. Konsekwentnie projektodawca przewiduje obligatoryjn</w:t>
      </w:r>
      <w:r>
        <w:rPr>
          <w:rFonts w:ascii="Times New Roman" w:hAnsi="Times New Roman" w:cs="Times New Roman"/>
        </w:rPr>
        <w:t>e oddanie pod dozór skazanego w </w:t>
      </w:r>
      <w:r w:rsidRPr="00DD52B2">
        <w:rPr>
          <w:rFonts w:ascii="Times New Roman" w:hAnsi="Times New Roman" w:cs="Times New Roman"/>
        </w:rPr>
        <w:t>oparciu o projektowany art. 64a k.k. w razie zawieszenia wykonania kary pozbawienia wolności, co umożliwia wzmocnienie oddziaływania wychowawczego w okresie próby.</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lastRenderedPageBreak/>
        <w:t>Stosownie do przyjętych założeń, projekt przewiduje dodanie do art. 77 § 3, który stwarza podstawę prawną do fakultatywnego wyłączenia możliwości warunkowego przedterminowego zwolnienia</w:t>
      </w:r>
      <w:r w:rsidR="008C07B0">
        <w:rPr>
          <w:rFonts w:ascii="Times New Roman" w:hAnsi="Times New Roman" w:cs="Times New Roman"/>
        </w:rPr>
        <w:t>,</w:t>
      </w:r>
      <w:r w:rsidRPr="00DD52B2">
        <w:rPr>
          <w:rFonts w:ascii="Times New Roman" w:hAnsi="Times New Roman" w:cs="Times New Roman"/>
        </w:rPr>
        <w:t xml:space="preserve"> w przypadku wymierzenia kary dożywotniego pozbawienia wolności wobec sprawcy zabójstwa w związku ze zgwałceniem na szkodę małoletniego, popełnionym w związku z zaburzeniem preferencji seksualnych. Analogiczne rozwiązanie obowiązuje we francuskim kodeksie karnym, który w art. 221-4 przewiduje, że w razie skazania na karę dożywotniego pozbawienia wolności za zabójstwo w związku ze zgwałceniem bądź te</w:t>
      </w:r>
      <w:r w:rsidR="00527C78">
        <w:rPr>
          <w:rFonts w:ascii="Times New Roman" w:hAnsi="Times New Roman" w:cs="Times New Roman"/>
        </w:rPr>
        <w:t>ż</w:t>
      </w:r>
      <w:r w:rsidRPr="00DD52B2">
        <w:rPr>
          <w:rFonts w:ascii="Times New Roman" w:hAnsi="Times New Roman" w:cs="Times New Roman"/>
        </w:rPr>
        <w:t xml:space="preserve"> zabójstwo</w:t>
      </w:r>
      <w:r w:rsidR="00A41CE8">
        <w:rPr>
          <w:rFonts w:ascii="Times New Roman" w:hAnsi="Times New Roman" w:cs="Times New Roman"/>
        </w:rPr>
        <w:t>,</w:t>
      </w:r>
      <w:r w:rsidRPr="00DD52B2">
        <w:rPr>
          <w:rFonts w:ascii="Times New Roman" w:hAnsi="Times New Roman" w:cs="Times New Roman"/>
        </w:rPr>
        <w:t xml:space="preserve"> któremu towarzyszyły tortury lub inne nieludzkie traktowanie, jeśli pokrzywdzonym jest małoletni poniżej 15 lat, sąd może wyłączyć możliwość ubiegania się przez skazanego o warunkowe zwolnienie. Orzeczenie zakazu warunkowego przedterminowego zwolnienia ma na celu skuteczną ochronę społeczeństwa przed szczególnie brutalnymi przestępstwami, jeżeli w ocenie sądu zachodzi prawdopodobieństwo, że dopuszczą się ich ponownie. W ten sposób zostanie przywrócony rzeczywisty charakter kary dożywotniego pozbawienia </w:t>
      </w:r>
      <w:r w:rsidR="00A41CE8">
        <w:rPr>
          <w:rFonts w:ascii="Times New Roman" w:hAnsi="Times New Roman" w:cs="Times New Roman"/>
        </w:rPr>
        <w:t xml:space="preserve">wolności </w:t>
      </w:r>
      <w:r w:rsidRPr="00DD52B2">
        <w:rPr>
          <w:rFonts w:ascii="Times New Roman" w:hAnsi="Times New Roman" w:cs="Times New Roman"/>
        </w:rPr>
        <w:t xml:space="preserve">jako kary pozwalającej na trwałą eliminację najbardziej niebezpiecznych sprawców, w przypadku których zarówno względy sprawiedliwościowe, jak i prewencyjne, przemawiają za niedokonywaniem na etapie wykonania kary jakichkolwiek modyfikacji jej wymiaru. Innymi słowy: dzięki projektowanemu przepisowi wprowadza się instytucję umożliwiającą </w:t>
      </w:r>
      <w:r>
        <w:rPr>
          <w:rFonts w:ascii="Times New Roman" w:hAnsi="Times New Roman" w:cs="Times New Roman"/>
        </w:rPr>
        <w:t>wieloletnią, a czasem i </w:t>
      </w:r>
      <w:r w:rsidRPr="00DD52B2">
        <w:rPr>
          <w:rFonts w:ascii="Times New Roman" w:hAnsi="Times New Roman" w:cs="Times New Roman"/>
        </w:rPr>
        <w:t xml:space="preserve">dożywotnią, izolację tych sprawców, którzy popełnili taki czyn, że ich dalsze przebywanie na wolności kłóci się zarówno z poczuciem sprawiedliwości, jak i potrzebą ochrony społeczeństwa. W odniesieniu do takich przypadków priorytetowe znaczenie ma aspekt eliminacyjny kary pozbawienia wolności. Jednocześnie należy wskazać, że przyjęcie proponowanego rozwiązania nie oznacza całkowitego wyłączenia prawnych możliwości skrócenia kary dożywotniego pozbawienia wolności. W razie zaistnienia wyjątkowych, szczególnych okoliczności redukcja kary dożywotniego pozbawienia wolności będzie możliwa w drodze indywidualnego prawa łaski. Możliwość zastosowania tej instytucji zapewnia realizację celów resocjalizacyjnych kary pozbawienia wolności oraz uwzględnia względy humanitarne przy jednoczesnym poszanowaniu zasady, że ułaskawianie przestępców skazanych na najsurowsze, wyjątkowe kary stanowi tradycyjną domenę głowy państwa. </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Projekt zaostrza odpowiedzialność karną za bezprawne pozbawienie wolności, które</w:t>
      </w:r>
      <w:r>
        <w:rPr>
          <w:rFonts w:ascii="Times New Roman" w:hAnsi="Times New Roman" w:cs="Times New Roman"/>
        </w:rPr>
        <w:t xml:space="preserve"> </w:t>
      </w:r>
      <w:r w:rsidRPr="00DD52B2">
        <w:rPr>
          <w:rFonts w:ascii="Times New Roman" w:hAnsi="Times New Roman" w:cs="Times New Roman"/>
        </w:rPr>
        <w:t>łączy się ze szczególnym udręczeniem (art. 189 §</w:t>
      </w:r>
      <w:r>
        <w:rPr>
          <w:rFonts w:ascii="Times New Roman" w:hAnsi="Times New Roman" w:cs="Times New Roman"/>
        </w:rPr>
        <w:t xml:space="preserve"> </w:t>
      </w:r>
      <w:r w:rsidRPr="00DD52B2">
        <w:rPr>
          <w:rFonts w:ascii="Times New Roman" w:hAnsi="Times New Roman" w:cs="Times New Roman"/>
        </w:rPr>
        <w:t>3 k.k.)</w:t>
      </w:r>
      <w:r w:rsidR="00A41CE8">
        <w:rPr>
          <w:rFonts w:ascii="Times New Roman" w:hAnsi="Times New Roman" w:cs="Times New Roman"/>
        </w:rPr>
        <w:t>,</w:t>
      </w:r>
      <w:r w:rsidRPr="00DD52B2">
        <w:rPr>
          <w:rFonts w:ascii="Times New Roman" w:hAnsi="Times New Roman" w:cs="Times New Roman"/>
        </w:rPr>
        <w:t xml:space="preserve"> przez pod</w:t>
      </w:r>
      <w:r>
        <w:rPr>
          <w:rFonts w:ascii="Times New Roman" w:hAnsi="Times New Roman" w:cs="Times New Roman"/>
        </w:rPr>
        <w:t>niesienie zarówno górnej, jak i </w:t>
      </w:r>
      <w:r w:rsidRPr="00DD52B2">
        <w:rPr>
          <w:rFonts w:ascii="Times New Roman" w:hAnsi="Times New Roman" w:cs="Times New Roman"/>
        </w:rPr>
        <w:t>dolnej granicy ustawowego zagrożenia karą. Zmiana jest podyktowana</w:t>
      </w:r>
      <w:r>
        <w:rPr>
          <w:rFonts w:ascii="Times New Roman" w:hAnsi="Times New Roman" w:cs="Times New Roman"/>
        </w:rPr>
        <w:t xml:space="preserve"> </w:t>
      </w:r>
      <w:r w:rsidRPr="00DD52B2">
        <w:rPr>
          <w:rFonts w:ascii="Times New Roman" w:hAnsi="Times New Roman" w:cs="Times New Roman"/>
        </w:rPr>
        <w:t xml:space="preserve">wysokim natężeniem społecznej szkodliwości tego czynu, w szczególności determinowanym stopniem płynącej </w:t>
      </w:r>
      <w:r w:rsidRPr="00DD52B2">
        <w:rPr>
          <w:rFonts w:ascii="Times New Roman" w:hAnsi="Times New Roman" w:cs="Times New Roman"/>
        </w:rPr>
        <w:lastRenderedPageBreak/>
        <w:t>z</w:t>
      </w:r>
      <w:r>
        <w:rPr>
          <w:rFonts w:ascii="Times New Roman" w:hAnsi="Times New Roman" w:cs="Times New Roman"/>
        </w:rPr>
        <w:t> </w:t>
      </w:r>
      <w:r w:rsidRPr="00DD52B2">
        <w:rPr>
          <w:rFonts w:ascii="Times New Roman" w:hAnsi="Times New Roman" w:cs="Times New Roman"/>
        </w:rPr>
        <w:t>niego dolegliwości dla pokrzywdzonego, którego nie odzwierciedla należycie aktualna wysokość zagrożenia ustawowego przewidzianego za ten typ przestępstwa. Ponadto z uwagi na stopniowalny i pojemny zakresowo charakter znamienia „szczególne udręczenie”, jest konieczne, aby odstęp pomiędzy dolną a górną granicą ustawowego zagrożenia karą został ukształtowany w miarę szeroko, co pozwoli na wymierzenie sankcji karnej dostosowanej do okoliczności konkretnego przypadku.</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Zasadniczą część projektu stanowią zmiany w odniesieniu do art. 197 k.k. Nie ulega wątpliwości, że zgwałcenia są przestępstwami o dużym ciężarze gatunkowym</w:t>
      </w:r>
      <w:r>
        <w:rPr>
          <w:rFonts w:ascii="Times New Roman" w:hAnsi="Times New Roman" w:cs="Times New Roman"/>
        </w:rPr>
        <w:t>, godzą one w </w:t>
      </w:r>
      <w:r w:rsidRPr="00DD52B2">
        <w:rPr>
          <w:rFonts w:ascii="Times New Roman" w:hAnsi="Times New Roman" w:cs="Times New Roman"/>
        </w:rPr>
        <w:t>wolność człowieka w zakresie najbardziej intymnej sfery jego życia. Wysoka liczba tych przestępstw, często bardzo drastyczne f</w:t>
      </w:r>
      <w:r>
        <w:rPr>
          <w:rFonts w:ascii="Times New Roman" w:hAnsi="Times New Roman" w:cs="Times New Roman"/>
        </w:rPr>
        <w:t>ormy ich popełniania, wywołują –</w:t>
      </w:r>
      <w:r w:rsidRPr="00DD52B2">
        <w:rPr>
          <w:rFonts w:ascii="Times New Roman" w:hAnsi="Times New Roman" w:cs="Times New Roman"/>
        </w:rPr>
        <w:t xml:space="preserve"> niezależnie od konieczności podjęcia działań zmierzających do skutecznego i sprawnego egzekwowania odpowiedzialności karnej sprawców </w:t>
      </w:r>
      <w:r>
        <w:rPr>
          <w:rFonts w:ascii="Times New Roman" w:hAnsi="Times New Roman" w:cs="Times New Roman"/>
        </w:rPr>
        <w:t>–</w:t>
      </w:r>
      <w:r w:rsidRPr="00DD52B2">
        <w:rPr>
          <w:rFonts w:ascii="Times New Roman" w:hAnsi="Times New Roman" w:cs="Times New Roman"/>
        </w:rPr>
        <w:t xml:space="preserve"> potrzebę skuteczniejszego zwalczania tego typu przestępczości przez zapewnienie jednolitości orzecznictwa sądów zarówno w zakresie właściwej polityki kryminalnej, jak i w zakresie interpretowania przepisów art. 197 k.k. </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Mimo to społeczna szkodliwość przestępstw określonych w art. 197 k.k. jest często nieuwzględniana przez sądy, a rozbieżności w ocenie okoliczności wpływających na wymiar kary jest znaczna, przy czym nawet w najdrastyczniejszych wypadkach nie są na ogół wymierzane kary zbliżone do górnej granicy ustawowego zagrożenia. Należy też stwierdzić, że niektóre zagadnienia prawne występujące przy rozpoznawaniu spraw o te przestępstwa nie są rozstrzygane jednolicie. Najistotniejszą zatem przyczyną modyfikacji w obrębie przestępstwa zgwałcenia są względy polityki kryminalnej w zakresie zwalczania przestępczości skierowanej przeciwko wolności seksualnej w dw</w:t>
      </w:r>
      <w:r w:rsidR="00A41CE8">
        <w:rPr>
          <w:rFonts w:ascii="Times New Roman" w:hAnsi="Times New Roman" w:cs="Times New Roman"/>
        </w:rPr>
        <w:t>óch</w:t>
      </w:r>
      <w:r w:rsidRPr="00DD52B2">
        <w:rPr>
          <w:rFonts w:ascii="Times New Roman" w:hAnsi="Times New Roman" w:cs="Times New Roman"/>
        </w:rPr>
        <w:t xml:space="preserve"> aspektach. Po pierwsze, zwiększone ustawowe zagrożenie przy typach kwalifikowanych ma pewną wartość odstraszającą, co oznacza większą zdolność oddziaływania powściągającego niż zagrożenie typu podstawowego. Typy zmodyfikowane, którym towarzyszy odmienne względem typu podstawowego zagrożenie karą, stanowią czytelną informację dla społeczeństwa (potencjalnych sprawców) o odmiennej ocenie prawnej odrębnie określonych czynów. Drugi aspekt uzasadniający proponowane zmiany łączy się z problemem wymiaru kary. Zmodyfikowane ustawowe (zwyczajne) zagrożenie karą daje pełną gwarancję, że zostanie zrealizowana pożądana polityka karania w odniesieniu do tych przypadków szczególnych. Wyodrębnienie kwalifikowanych typów zgwałcenia wynika z dążenia do tego, aby najsurowsze kary orzekano za najcięższe wypadki tego typu czynów. Niezaprzeczalnym </w:t>
      </w:r>
      <w:r w:rsidRPr="00DD52B2">
        <w:rPr>
          <w:rFonts w:ascii="Times New Roman" w:hAnsi="Times New Roman" w:cs="Times New Roman"/>
        </w:rPr>
        <w:lastRenderedPageBreak/>
        <w:t>argumentem dla wyodrębnienia wyższej karalności jest wyższa społeczna szkodliwość czynu sprawcy, o której decyduje sposób działania sprawcy, szczególne właściwości ofiary czy też skutki wynikające z zachowania sprawcy. Ten zwiększony stopień materialnej zawartości bezprawia wymaga wyższej kary, która będzie adekwatną karnoprawną reakcją na taki czyn. W ten sposób typy zmodyfikowane pozwalają uniknąć konieczności skonstruowania</w:t>
      </w:r>
      <w:r>
        <w:rPr>
          <w:rFonts w:ascii="Times New Roman" w:hAnsi="Times New Roman" w:cs="Times New Roman"/>
        </w:rPr>
        <w:t xml:space="preserve"> sankcji o </w:t>
      </w:r>
      <w:r w:rsidRPr="00DD52B2">
        <w:rPr>
          <w:rFonts w:ascii="Times New Roman" w:hAnsi="Times New Roman" w:cs="Times New Roman"/>
        </w:rPr>
        <w:t>ekstremalnie „rozciągniętych” granicach grożącej kary (niska dolna granica ustawowego zagrożenia i wysoka górna granica), co z kolei zapewnia – przynajmniej w części – jednolitość orzecznictwa w zakresie wymiaru sankcji karnej. W doktrynie podkreśla się, że penalizacja określonych czynów i jej stopień (w szczególności zaliczenie ich do kategorii przestępstw typu podstawowego lub kwalifikowanego) stanowi element polityki karnej państwa, która jest kształtowana zgodnie z przyjętymi w tej mierze założeniami aksjologicznymi. Ustawodawca, decydując się na rozwarstwienie typu, opiera się na obserwacji sytuacji, w których dochodzi do przypadków szczególnych i zasługujących na odrębne uregulowanie, mając na uwadze przede wszystkim intensywność ich powtarzania się i częstotliwość ich występowania jako ujemnych zjawisk życia społecznego. Należy podkreślić, że ustawodawca ma prawo wyznaczać wyższy poziom punitywności dotychczasowych rozwiązań. Trybunał Konstytucyjny wielokrotnie wskazywał, że ustawodawcy przysługuje znaczna swoboda w zakresie krymin</w:t>
      </w:r>
      <w:r>
        <w:rPr>
          <w:rFonts w:ascii="Times New Roman" w:hAnsi="Times New Roman" w:cs="Times New Roman"/>
        </w:rPr>
        <w:t>alizacji i penalizacji. I tak w </w:t>
      </w:r>
      <w:r w:rsidRPr="00DD52B2">
        <w:rPr>
          <w:rFonts w:ascii="Times New Roman" w:hAnsi="Times New Roman" w:cs="Times New Roman"/>
        </w:rPr>
        <w:t>wyroku z dnia 9 października 2001 r. (sygn. akt SK 8/00 OTK 2001, nr 7, poz. 211) Trybunał stwierdził, iż: „Z zasady demokratycznego państwa prawa, którego ustrój oparty jest na zasadzie podziału władzy, wynika, że stanowienie prawa należy do władzy ustawodawczej. Ustawodawcy przyznana została przy tym znaczna swoboda w kształtowaniu obowiązującego prawa. Jej granice wyznaczają w szczególności normy konstytucyjne (…) ustawodawca uprawniony jest do stanowienia prawa odpowiadającego m.in. założonym celom politycznym, a więc także</w:t>
      </w:r>
      <w:r>
        <w:rPr>
          <w:rFonts w:ascii="Times New Roman" w:hAnsi="Times New Roman" w:cs="Times New Roman"/>
        </w:rPr>
        <w:t xml:space="preserve"> </w:t>
      </w:r>
      <w:r w:rsidRPr="00DD52B2">
        <w:rPr>
          <w:rFonts w:ascii="Times New Roman" w:hAnsi="Times New Roman" w:cs="Times New Roman"/>
        </w:rPr>
        <w:t xml:space="preserve">celom kryminalnopolitycznym”. Jak wynika z powyższego, granicą swobody ustawodawcy w kształtowaniu reakcji prawnej na dane zachowanie przestępne, jest zasada proporcjonalności określona w art. 31 ust. 3 </w:t>
      </w:r>
      <w:r w:rsidR="00A41CE8">
        <w:rPr>
          <w:rFonts w:ascii="Times New Roman" w:hAnsi="Times New Roman" w:cs="Times New Roman"/>
        </w:rPr>
        <w:t>u</w:t>
      </w:r>
      <w:r w:rsidRPr="00DD52B2">
        <w:rPr>
          <w:rFonts w:ascii="Times New Roman" w:hAnsi="Times New Roman" w:cs="Times New Roman"/>
        </w:rPr>
        <w:t xml:space="preserve">stawy </w:t>
      </w:r>
      <w:r w:rsidR="00A41CE8">
        <w:rPr>
          <w:rFonts w:ascii="Times New Roman" w:hAnsi="Times New Roman" w:cs="Times New Roman"/>
        </w:rPr>
        <w:t>z</w:t>
      </w:r>
      <w:r w:rsidRPr="00DD52B2">
        <w:rPr>
          <w:rFonts w:ascii="Times New Roman" w:hAnsi="Times New Roman" w:cs="Times New Roman"/>
        </w:rPr>
        <w:t xml:space="preserve">asadniczej. Zasada ta zakłada, że prowadzące do ograniczenia konstytucyjnych wolności środki zastosowane przez ustawodawcę muszą być: niezbędne z uwagi na założony cel (warunek konieczności/wymagalności), skuteczne (warunek przydatności/odpowiedniości), a przy tym rzeczywiste efekty ich zastosowania powinny być proporcjonalne do ciężarów nakładanych na obywatela (proporcjonalność </w:t>
      </w:r>
      <w:r w:rsidRPr="003A40F4">
        <w:rPr>
          <w:rFonts w:ascii="Times New Roman" w:hAnsi="Times New Roman" w:cs="Times New Roman"/>
          <w:i/>
        </w:rPr>
        <w:t>sensu stricto</w:t>
      </w:r>
      <w:r w:rsidRPr="00DD52B2">
        <w:rPr>
          <w:rFonts w:ascii="Times New Roman" w:hAnsi="Times New Roman" w:cs="Times New Roman"/>
        </w:rPr>
        <w:t xml:space="preserve">). W literaturze podnosi się, że przy ocenie, że inne środki służące zapobieganiu naruszeniom zakazów prawnokarnych nie są podobnie </w:t>
      </w:r>
      <w:r w:rsidRPr="00DD52B2">
        <w:rPr>
          <w:rFonts w:ascii="Times New Roman" w:hAnsi="Times New Roman" w:cs="Times New Roman"/>
        </w:rPr>
        <w:lastRenderedPageBreak/>
        <w:t>skuteczne, nie chodzi o ścisłe dane empiryczne, ale o przekonywującą argumentację wyjaśniającą powody wzmożonej ingerencji prawnokarnej. Wskazane już względy, a zatem szczególna waga dóbr prawnych chronionych na mocy nowelizowanych przepisów oraz powołane dane statystyczne, wskazujące na nad wyraz łagodne traktowanie sprawców przestępstwa uzasadnia tezę, że jest konieczne dostosowanie sankcji karnej do stopnia społecznej szkodliwości czynów naruszających te dobra, a tym samym zadośćuczynienie funkcji ochronnej prawa karnego. W tym kontekście należy podkreślić, że swoistą przeciwwagą dla zasady konieczności sankcji karnych jest pozytywny aspekt dyrektywy sprawiedliwościowej zasady proporcjonalności, któremu towarzyszy nakaz zapewnienia dostatecznej ochrony dóbr konstytucyjnych. Co więcej zaniechanie ustanowienia odpowiedniej ochrony praw człowieka tzw. pierwszej generacji, można traktować jako szczególną formę ingerencji w dane prawo lub interes (vide M. Królikowski [w:] Kodeks karny. Częś</w:t>
      </w:r>
      <w:r>
        <w:rPr>
          <w:rFonts w:ascii="Times New Roman" w:hAnsi="Times New Roman" w:cs="Times New Roman"/>
        </w:rPr>
        <w:t>ć ogólna. Komentarz do art. 1–</w:t>
      </w:r>
      <w:r w:rsidRPr="00DD52B2">
        <w:rPr>
          <w:rFonts w:ascii="Times New Roman" w:hAnsi="Times New Roman" w:cs="Times New Roman"/>
        </w:rPr>
        <w:t xml:space="preserve">31 k.k., Warszawa 2010, s. 35). </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Wysoki stopień społecznej szkodliwości zgwałceń, a zwłaszcza niektórych ich postaci, znajduje odbicie w nowym rozwiązaniu ustawowym (art. 197 §</w:t>
      </w:r>
      <w:r w:rsidR="00710FD7">
        <w:rPr>
          <w:rFonts w:ascii="Times New Roman" w:hAnsi="Times New Roman" w:cs="Times New Roman"/>
        </w:rPr>
        <w:t xml:space="preserve"> 3</w:t>
      </w:r>
      <w:r>
        <w:rPr>
          <w:rFonts w:ascii="Times New Roman" w:hAnsi="Times New Roman" w:cs="Times New Roman"/>
        </w:rPr>
        <w:t>–</w:t>
      </w:r>
      <w:r w:rsidRPr="00DD52B2">
        <w:rPr>
          <w:rFonts w:ascii="Times New Roman" w:hAnsi="Times New Roman" w:cs="Times New Roman"/>
        </w:rPr>
        <w:t xml:space="preserve">5 k.k.), które wprowadza kwalifikowane postacie tego przestępstwa oraz zaostrza ustawowe zagrożenia. </w:t>
      </w:r>
      <w:r>
        <w:rPr>
          <w:rFonts w:ascii="Times New Roman" w:hAnsi="Times New Roman" w:cs="Times New Roman"/>
        </w:rPr>
        <w:t>Zgodnie z </w:t>
      </w:r>
      <w:r w:rsidRPr="00DD52B2">
        <w:rPr>
          <w:rFonts w:ascii="Times New Roman" w:hAnsi="Times New Roman" w:cs="Times New Roman"/>
        </w:rPr>
        <w:t>przewidzianymi rozwiązaniami dotychczasowy art. 197 § 3 k.k. zostanie uzupełniony o</w:t>
      </w:r>
      <w:r>
        <w:rPr>
          <w:rFonts w:ascii="Times New Roman" w:hAnsi="Times New Roman" w:cs="Times New Roman"/>
        </w:rPr>
        <w:t> </w:t>
      </w:r>
      <w:r w:rsidRPr="00DD52B2">
        <w:rPr>
          <w:rFonts w:ascii="Times New Roman" w:hAnsi="Times New Roman" w:cs="Times New Roman"/>
        </w:rPr>
        <w:t>znamiona kwalifikujące w postaci: szczególnych właściwości ofiary, które wpływają na jej bezradność,</w:t>
      </w:r>
      <w:r>
        <w:rPr>
          <w:rFonts w:ascii="Times New Roman" w:hAnsi="Times New Roman" w:cs="Times New Roman"/>
        </w:rPr>
        <w:t xml:space="preserve"> </w:t>
      </w:r>
      <w:r w:rsidRPr="00DD52B2">
        <w:rPr>
          <w:rFonts w:ascii="Times New Roman" w:hAnsi="Times New Roman" w:cs="Times New Roman"/>
        </w:rPr>
        <w:t>brutalnego sposobu działania sprawcy, łączącego</w:t>
      </w:r>
      <w:r>
        <w:rPr>
          <w:rFonts w:ascii="Times New Roman" w:hAnsi="Times New Roman" w:cs="Times New Roman"/>
        </w:rPr>
        <w:t xml:space="preserve"> się ze stosowaniem dotkliwej i </w:t>
      </w:r>
      <w:r w:rsidRPr="00DD52B2">
        <w:rPr>
          <w:rFonts w:ascii="Times New Roman" w:hAnsi="Times New Roman" w:cs="Times New Roman"/>
        </w:rPr>
        <w:t>intensywnej przemocy wobec ofiary lub też zmierzającego nie tylko do naruszenia sfery wolności seksualnej osoby pokrzywdzonej, ale także stanowiącego zamach skierowany przeciwko jej innym dobrom osobistym, z czym wiąże się poniżenie jej i wyrządzenie dodatkowych cierpień psychicznych, zastosowania środków prowadzących do braku możliwości wyrażenia woli w przedmiocie kontaktu seksualnego z uwagi na wyłączenie aparatu decyzyjnego ofiary.</w:t>
      </w:r>
      <w:r>
        <w:rPr>
          <w:rFonts w:ascii="Times New Roman" w:hAnsi="Times New Roman" w:cs="Times New Roman"/>
        </w:rPr>
        <w:t xml:space="preserve"> </w:t>
      </w:r>
      <w:r w:rsidRPr="00DD52B2">
        <w:rPr>
          <w:rFonts w:ascii="Times New Roman" w:hAnsi="Times New Roman" w:cs="Times New Roman"/>
        </w:rPr>
        <w:t>Znamiona zbrodni zgwałcenia ze szczególnym okrucieństwem, określonej w art. 197 § 4 k.k., uzupełniono o znamię zgwałcenia małoletniego poniżej lat 15 oraz spowodowania ciężkiego uszczerbku na zdrowiu. Zmiana ta aksjologicznie koresponduje z ukształtowaną, wieloletnią linią orzeczniczą, przyjmującą, że wiek ofiary przestę</w:t>
      </w:r>
      <w:r>
        <w:rPr>
          <w:rFonts w:ascii="Times New Roman" w:hAnsi="Times New Roman" w:cs="Times New Roman"/>
        </w:rPr>
        <w:t>pstw określonych w art. 197 § 1–</w:t>
      </w:r>
      <w:r w:rsidRPr="00DD52B2">
        <w:rPr>
          <w:rFonts w:ascii="Times New Roman" w:hAnsi="Times New Roman" w:cs="Times New Roman"/>
        </w:rPr>
        <w:t xml:space="preserve">3 k.k., niższy od 15 lat, może w istotnym stopniu, przy uwzględnieniu innych okoliczności charakteryzujących czyn sprawcy, uzasadniać zakwalifikowanie takiego czynu jako popełnionego ze szczególnym okrucieństwem, z uwagi na wyjątkową dotkliwość czynności sprawczych oraz ich skutków dla takiej ofiary, jak również pomniejszoną w stosunku do osoby dorosłej możliwość obrony przed napastnikiem </w:t>
      </w:r>
      <w:r w:rsidRPr="00DD52B2">
        <w:rPr>
          <w:rFonts w:ascii="Times New Roman" w:hAnsi="Times New Roman" w:cs="Times New Roman"/>
        </w:rPr>
        <w:lastRenderedPageBreak/>
        <w:t>(</w:t>
      </w:r>
      <w:r w:rsidRPr="007B6F49">
        <w:rPr>
          <w:rFonts w:ascii="Times New Roman" w:hAnsi="Times New Roman" w:cs="Times New Roman"/>
          <w:i/>
        </w:rPr>
        <w:t>vide</w:t>
      </w:r>
      <w:r w:rsidRPr="00DD52B2">
        <w:rPr>
          <w:rFonts w:ascii="Times New Roman" w:hAnsi="Times New Roman" w:cs="Times New Roman"/>
        </w:rPr>
        <w:t xml:space="preserve"> wyrok SA w Gdańsku z dnia 25 stycznia 2001 r., sygn. akt </w:t>
      </w:r>
      <w:r>
        <w:rPr>
          <w:rFonts w:ascii="Times New Roman" w:hAnsi="Times New Roman" w:cs="Times New Roman"/>
        </w:rPr>
        <w:t>II AKa 382/00, Prok. I Pr. </w:t>
      </w:r>
      <w:r w:rsidRPr="00DD52B2">
        <w:rPr>
          <w:rFonts w:ascii="Times New Roman" w:hAnsi="Times New Roman" w:cs="Times New Roman"/>
        </w:rPr>
        <w:t>2001, nr 11, s. 14;</w:t>
      </w:r>
      <w:r>
        <w:rPr>
          <w:rFonts w:ascii="Times New Roman" w:hAnsi="Times New Roman" w:cs="Times New Roman"/>
        </w:rPr>
        <w:t xml:space="preserve"> </w:t>
      </w:r>
      <w:r w:rsidRPr="00DD52B2">
        <w:rPr>
          <w:rFonts w:ascii="Times New Roman" w:hAnsi="Times New Roman" w:cs="Times New Roman"/>
        </w:rPr>
        <w:t xml:space="preserve">wyrok SA w Krakowie z dnia 6 czerwca 2002 r., </w:t>
      </w:r>
      <w:bookmarkStart w:id="1" w:name="#hiperlinkText.rpc?hiperlink=type=tresc:"/>
      <w:r w:rsidRPr="00DD52B2">
        <w:rPr>
          <w:rFonts w:ascii="Times New Roman" w:hAnsi="Times New Roman" w:cs="Times New Roman"/>
        </w:rPr>
        <w:t>sygn. akt II AKa 110/02</w:t>
      </w:r>
      <w:bookmarkEnd w:id="1"/>
      <w:r>
        <w:rPr>
          <w:rFonts w:ascii="Times New Roman" w:hAnsi="Times New Roman" w:cs="Times New Roman"/>
        </w:rPr>
        <w:t>, KZS 2002, z. 7–</w:t>
      </w:r>
      <w:r w:rsidRPr="00DD52B2">
        <w:rPr>
          <w:rFonts w:ascii="Times New Roman" w:hAnsi="Times New Roman" w:cs="Times New Roman"/>
        </w:rPr>
        <w:t xml:space="preserve">8, poz. 45; uchwała SN z dnia 21 grudnia 1972 r. sygn. akt </w:t>
      </w:r>
      <w:r>
        <w:rPr>
          <w:rFonts w:ascii="Times New Roman" w:hAnsi="Times New Roman" w:cs="Times New Roman"/>
        </w:rPr>
        <w:t>VI KZP 64/72, OSNKW 1973, nr 2–</w:t>
      </w:r>
      <w:r w:rsidRPr="00DD52B2">
        <w:rPr>
          <w:rFonts w:ascii="Times New Roman" w:hAnsi="Times New Roman" w:cs="Times New Roman"/>
        </w:rPr>
        <w:t xml:space="preserve">3, poz. 18; wyrok SN z dnia 15 maja 1986 r., sygn. akt II KR 121/86, OSNPG 1987, nr 5, poz. 56; wyrok SN z dnia 27 czerwca 1997 r., sygn. akt </w:t>
      </w:r>
      <w:r>
        <w:rPr>
          <w:rFonts w:ascii="Times New Roman" w:hAnsi="Times New Roman" w:cs="Times New Roman"/>
        </w:rPr>
        <w:t>WA 16/97, OSNKW 1997, nr 11–</w:t>
      </w:r>
      <w:r w:rsidRPr="00DD52B2">
        <w:rPr>
          <w:rFonts w:ascii="Times New Roman" w:hAnsi="Times New Roman" w:cs="Times New Roman"/>
        </w:rPr>
        <w:t>12, poz. 97, z glosą M. Filara, OSP 1998, z. 5, poz. 96). Podobnie skutki działania sprawcy zgwałcenia są w praktyce sądowej traktowane jako okoliczności decydujące o wystąpieni</w:t>
      </w:r>
      <w:r>
        <w:rPr>
          <w:rFonts w:ascii="Times New Roman" w:hAnsi="Times New Roman" w:cs="Times New Roman"/>
        </w:rPr>
        <w:t>u znamienia w postaci „szczególnego okrucieństwa”</w:t>
      </w:r>
      <w:r w:rsidRPr="00DD52B2">
        <w:rPr>
          <w:rFonts w:ascii="Times New Roman" w:hAnsi="Times New Roman" w:cs="Times New Roman"/>
        </w:rPr>
        <w:t xml:space="preserve"> (</w:t>
      </w:r>
      <w:r w:rsidRPr="007B6F49">
        <w:rPr>
          <w:rFonts w:ascii="Times New Roman" w:hAnsi="Times New Roman" w:cs="Times New Roman"/>
          <w:i/>
        </w:rPr>
        <w:t>vide</w:t>
      </w:r>
      <w:r w:rsidRPr="00DD52B2">
        <w:rPr>
          <w:rFonts w:ascii="Times New Roman" w:hAnsi="Times New Roman" w:cs="Times New Roman"/>
        </w:rPr>
        <w:t xml:space="preserve"> wyrok SN z dnia 2 września 1971 r., sygn. akt IV KR </w:t>
      </w:r>
      <w:r>
        <w:rPr>
          <w:rFonts w:ascii="Times New Roman" w:hAnsi="Times New Roman" w:cs="Times New Roman"/>
        </w:rPr>
        <w:t>170/71, OSPiKA 1973, z. 8, poz. </w:t>
      </w:r>
      <w:r w:rsidRPr="00DD52B2">
        <w:rPr>
          <w:rFonts w:ascii="Times New Roman" w:hAnsi="Times New Roman" w:cs="Times New Roman"/>
        </w:rPr>
        <w:t>164, z glosą M. Filara OSPiKA 1973, z. 8, poz. 360; wyrok SN z dnia 5 marca 1974 r., sygn. akt III KR 399/73, OSNKW 1974, nr 6, poz. 113, z glos</w:t>
      </w:r>
      <w:r>
        <w:rPr>
          <w:rFonts w:ascii="Times New Roman" w:hAnsi="Times New Roman" w:cs="Times New Roman"/>
        </w:rPr>
        <w:t>ą M. Filara, PiP 1975, z. 2, s. </w:t>
      </w:r>
      <w:r w:rsidRPr="00DD52B2">
        <w:rPr>
          <w:rFonts w:ascii="Times New Roman" w:hAnsi="Times New Roman" w:cs="Times New Roman"/>
        </w:rPr>
        <w:t xml:space="preserve">173). </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 xml:space="preserve">Kolejnym typem zmodyfikowanym jest typ kwalifikowany zgwałcenia przez następstwo (znamię dynamiczne) w postaci śmierci człowieka. Zważywszy na to, że skutek śmiertelny może wynikać z takiego działania sprawcy przestępstwa zgwałcenia, który wskazuje na demonstracyjne lekceważenie wartości ludzkiego życia i pozostającego na granicy umyślnego spowodowania śmierci w zamiarze ewentualnym, </w:t>
      </w:r>
      <w:r w:rsidR="00FE5A4C" w:rsidRPr="00DD52B2">
        <w:rPr>
          <w:rFonts w:ascii="Times New Roman" w:hAnsi="Times New Roman" w:cs="Times New Roman"/>
        </w:rPr>
        <w:t xml:space="preserve">jest </w:t>
      </w:r>
      <w:r w:rsidRPr="00DD52B2">
        <w:rPr>
          <w:rFonts w:ascii="Times New Roman" w:hAnsi="Times New Roman" w:cs="Times New Roman"/>
        </w:rPr>
        <w:t>wskazane umożliwienie orzeczenia kary dożywotniego pozbawienia wolności. W obecnym stanie prawnym szereg poważnych przestępstw posiada typy kwalifikowane przez następstw</w:t>
      </w:r>
      <w:r>
        <w:rPr>
          <w:rFonts w:ascii="Times New Roman" w:hAnsi="Times New Roman" w:cs="Times New Roman"/>
        </w:rPr>
        <w:t>o, jednak ustawodawca nie był w </w:t>
      </w:r>
      <w:r w:rsidRPr="00DD52B2">
        <w:rPr>
          <w:rFonts w:ascii="Times New Roman" w:hAnsi="Times New Roman" w:cs="Times New Roman"/>
        </w:rPr>
        <w:t>tworzeniu typów tych wystarczająco konsekwentny, nie przewidując zaostrzonej karalności ze względu na następstwo w przypadku tak poważnych przestępstw, jak zgwałcenie.</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 xml:space="preserve">Podobna konstrukcja typów zmodyfikowanych przestępstwa zgwałcenia </w:t>
      </w:r>
      <w:r w:rsidR="00FE5A4C" w:rsidRPr="00DD52B2">
        <w:rPr>
          <w:rFonts w:ascii="Times New Roman" w:hAnsi="Times New Roman" w:cs="Times New Roman"/>
        </w:rPr>
        <w:t xml:space="preserve">jest </w:t>
      </w:r>
      <w:r w:rsidRPr="00DD52B2">
        <w:rPr>
          <w:rFonts w:ascii="Times New Roman" w:hAnsi="Times New Roman" w:cs="Times New Roman"/>
        </w:rPr>
        <w:t>znana ustawodawstwom innych państw europejskich.</w:t>
      </w:r>
      <w:r>
        <w:rPr>
          <w:rFonts w:ascii="Times New Roman" w:hAnsi="Times New Roman" w:cs="Times New Roman"/>
        </w:rPr>
        <w:t xml:space="preserve"> </w:t>
      </w:r>
      <w:r w:rsidRPr="00DD52B2">
        <w:rPr>
          <w:rFonts w:ascii="Times New Roman" w:hAnsi="Times New Roman" w:cs="Times New Roman"/>
        </w:rPr>
        <w:t>We Francji przestępstwo to</w:t>
      </w:r>
      <w:r>
        <w:rPr>
          <w:rFonts w:ascii="Times New Roman" w:hAnsi="Times New Roman" w:cs="Times New Roman"/>
        </w:rPr>
        <w:t xml:space="preserve"> zagrożone jest w </w:t>
      </w:r>
      <w:r w:rsidRPr="00DD52B2">
        <w:rPr>
          <w:rFonts w:ascii="Times New Roman" w:hAnsi="Times New Roman" w:cs="Times New Roman"/>
        </w:rPr>
        <w:t>typie podstawowym karą pozbawienia wolności do lat 15 (art. 222–23 fr. k.k.). Zagrożenie karą wzrasta do lat 20, jeżeli zachodzą m.in. następujące okoliczności: skutkiem zgwałcenia jest trwałe uszkodzenie ciała lub trwała niepełnosprawność (art. 222–24 p. 1); przestępstwo zostało popełnione na szkodę małoletniego poniżej 15 roku życia (art. 222–24 p. 2); przestępstwo zostało popełnione na szkodę osoby, której szczególna bezbronność, ze względu na wiek, chorobę, ułomność lub inne fizyczne lub psychiczne upośledzenie, a</w:t>
      </w:r>
      <w:r>
        <w:rPr>
          <w:rFonts w:ascii="Times New Roman" w:hAnsi="Times New Roman" w:cs="Times New Roman"/>
        </w:rPr>
        <w:t xml:space="preserve"> </w:t>
      </w:r>
      <w:r w:rsidRPr="00DD52B2">
        <w:rPr>
          <w:rFonts w:ascii="Times New Roman" w:hAnsi="Times New Roman" w:cs="Times New Roman"/>
        </w:rPr>
        <w:t xml:space="preserve">także ze względu na bycie w ciąży, jest oczywista lub znana sprawcy (art. 222–24 p. 3). Za zgwałcenie, którego skutkiem była śmierć ofiary, maksymalna kara to 30 lat pozbawienia wolności (art. 222–25). Wreszcie, jeżeli przestępstwo gwałtu było poprzedzone, towarzyszyły </w:t>
      </w:r>
      <w:r w:rsidRPr="00DD52B2">
        <w:rPr>
          <w:rFonts w:ascii="Times New Roman" w:hAnsi="Times New Roman" w:cs="Times New Roman"/>
        </w:rPr>
        <w:lastRenderedPageBreak/>
        <w:t>mu lub nastąpiły po nim tortury lub inne nieludzkie traktowanie, maksymalną karą jest dożywotnie pozbawienie wolności. Z kolei w Niemczech typ podstawowy przestępstwa zgwałcenia jest zagrożony karą pozbawienia wolności od roku do lat 15. Dolna granica ustawowego zagrożenia za ten typ czynu zabronionego wzrasta do lat 3, jeśli sprawca posiada broń lub inne niebezpieczne narzędzie, posiada narzędzie do zastraszania lub przełamania oporu innej osoby za pomocą przemocy lub groźby użycia przemocy, jego czyn stwarza poważne zagrożenie uszczerbku zdrowia dla ofiary. Kolejny typ kwalifikowany przestępstwa zgwałcenia jest zagrożony karą pozbawienia wolności od lat 5 do 15. Okolicznościami wpływającymi na zaostrzenie sankcji karnej są: używanie przez sprawcę broni lub innego podobnego narzędzia podczas popełnienia przestępstwa, spowodował poważny uszczerbek dla zdrowia ofiary, swoim czynem spowodował, że ofiara znalazła się w stanie niebezpieczeństwa dla życia. Jeśli zaś sprawca zgwałcenia, chociażby wskutek rażącego niedbalstwa</w:t>
      </w:r>
      <w:r w:rsidR="00DD4990">
        <w:rPr>
          <w:rFonts w:ascii="Times New Roman" w:hAnsi="Times New Roman" w:cs="Times New Roman"/>
        </w:rPr>
        <w:t>,</w:t>
      </w:r>
      <w:r w:rsidRPr="00DD52B2">
        <w:rPr>
          <w:rFonts w:ascii="Times New Roman" w:hAnsi="Times New Roman" w:cs="Times New Roman"/>
        </w:rPr>
        <w:t xml:space="preserve"> spowodował śmierć ofiary podlega karze pozbawienia wolności nie krótszej od 10 lat albo karze dożywotniego pozbawienia wolności.</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Zmiany unormowań o charakterze materialnoprawnym pociągnęły za sobą konieczność dokonania</w:t>
      </w:r>
      <w:r>
        <w:rPr>
          <w:rFonts w:ascii="Times New Roman" w:hAnsi="Times New Roman" w:cs="Times New Roman"/>
        </w:rPr>
        <w:t xml:space="preserve"> </w:t>
      </w:r>
      <w:r w:rsidRPr="00DD52B2">
        <w:rPr>
          <w:rFonts w:ascii="Times New Roman" w:hAnsi="Times New Roman" w:cs="Times New Roman"/>
        </w:rPr>
        <w:t>odpowiednich modyfikacji na gruncie prawa karnego procesowego i prawa karnego wykonawczego.</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Przyznanie pokrzywdzonemu uprawnienia do wiążąc</w:t>
      </w:r>
      <w:r>
        <w:rPr>
          <w:rFonts w:ascii="Times New Roman" w:hAnsi="Times New Roman" w:cs="Times New Roman"/>
        </w:rPr>
        <w:t>ego wnioskowania o orzeczenie w </w:t>
      </w:r>
      <w:r w:rsidRPr="00DD52B2">
        <w:rPr>
          <w:rFonts w:ascii="Times New Roman" w:hAnsi="Times New Roman" w:cs="Times New Roman"/>
        </w:rPr>
        <w:t xml:space="preserve">stosunku do oskarżonego zakazu kontaktowania się z nim lub zbliżania się do niego (projektowany art. 41a § 1a k.k.) implikowało z punktu widzenia procesowego potrzebę określenia terminu prekluzyjnego, w którym pokrzywdzony mógłby realizować to uprawnienie. Uwzględnienie wniosku musi być bowiem poprzedzone dokonaniem ustaleń faktycznych na podstawie przeprowadzonych dowodów, do czego należy stworzyć sądowi odpowiednie warunki. W ocenie projektodawcy </w:t>
      </w:r>
      <w:r w:rsidR="00FE5A4C" w:rsidRPr="00DD52B2">
        <w:rPr>
          <w:rFonts w:ascii="Times New Roman" w:hAnsi="Times New Roman" w:cs="Times New Roman"/>
        </w:rPr>
        <w:t xml:space="preserve">będzie </w:t>
      </w:r>
      <w:r w:rsidRPr="00DD52B2">
        <w:rPr>
          <w:rFonts w:ascii="Times New Roman" w:hAnsi="Times New Roman" w:cs="Times New Roman"/>
        </w:rPr>
        <w:t>zasadne skorzystanie z regulacji procesowych dotyczących orzekania obowiązku odszkodowawczego (w tym alternatywnie</w:t>
      </w:r>
      <w:r>
        <w:rPr>
          <w:rFonts w:ascii="Times New Roman" w:hAnsi="Times New Roman" w:cs="Times New Roman"/>
        </w:rPr>
        <w:t xml:space="preserve"> w </w:t>
      </w:r>
      <w:r w:rsidRPr="00DD52B2">
        <w:rPr>
          <w:rFonts w:ascii="Times New Roman" w:hAnsi="Times New Roman" w:cs="Times New Roman"/>
        </w:rPr>
        <w:t xml:space="preserve">postaci nawiązki) na wniosek pokrzywdzonego (art. 46 k.k.), które przewidują możliwość złożenia takiego wniosku w prekluzyjnym terminie do zamknięcia przewodu sądowego na rozprawie głównej (art. 49a k.p.k.). Dotychczasową treść art. 49a k.p.k. oznaczono zatem jako § 1 oraz dodano analogiczną regulację dotyczącą składania przez pokrzywdzonego wniosku o orzeczenie zakazu kontaktowania się lub zbliżania. Oznacza to, że wniosek nie będzie mógł zostać złożony w czasie głosów końcowych, jak również w toku postępowania odwoławczego. Ponieważ jednak przepis ten nie ogranicza prawa do złożenia wniosku do </w:t>
      </w:r>
      <w:r w:rsidRPr="00DD52B2">
        <w:rPr>
          <w:rFonts w:ascii="Times New Roman" w:hAnsi="Times New Roman" w:cs="Times New Roman"/>
        </w:rPr>
        <w:lastRenderedPageBreak/>
        <w:t>pierwszej rozprawy głównej, będzie dopuszczalne jego złożenie do czasu zamknięcia przewodu sądowego na rozprawie głównej prowadzonej w postępowaniu ponownym</w:t>
      </w:r>
      <w:r>
        <w:rPr>
          <w:rFonts w:ascii="Times New Roman" w:hAnsi="Times New Roman" w:cs="Times New Roman"/>
        </w:rPr>
        <w:t xml:space="preserve"> w </w:t>
      </w:r>
      <w:r w:rsidRPr="00DD52B2">
        <w:rPr>
          <w:rFonts w:ascii="Times New Roman" w:hAnsi="Times New Roman" w:cs="Times New Roman"/>
        </w:rPr>
        <w:t>pierwszej instancji.</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 xml:space="preserve">W ustawie procesowej niezbędne </w:t>
      </w:r>
      <w:r w:rsidR="00DD4990">
        <w:rPr>
          <w:rFonts w:ascii="Times New Roman" w:hAnsi="Times New Roman" w:cs="Times New Roman"/>
        </w:rPr>
        <w:t>po</w:t>
      </w:r>
      <w:r w:rsidRPr="00DD52B2">
        <w:rPr>
          <w:rFonts w:ascii="Times New Roman" w:hAnsi="Times New Roman" w:cs="Times New Roman"/>
        </w:rPr>
        <w:t>nadto okazało się dokonanie zmian w art. 213 § 2 i art</w:t>
      </w:r>
      <w:r w:rsidR="00DD4990" w:rsidRPr="00DD52B2">
        <w:rPr>
          <w:rFonts w:ascii="Times New Roman" w:hAnsi="Times New Roman" w:cs="Times New Roman"/>
        </w:rPr>
        <w:t>.</w:t>
      </w:r>
      <w:r w:rsidR="00DD4990">
        <w:rPr>
          <w:rFonts w:ascii="Times New Roman" w:hAnsi="Times New Roman" w:cs="Times New Roman"/>
        </w:rPr>
        <w:t> </w:t>
      </w:r>
      <w:r w:rsidRPr="00DD52B2">
        <w:rPr>
          <w:rFonts w:ascii="Times New Roman" w:hAnsi="Times New Roman" w:cs="Times New Roman"/>
        </w:rPr>
        <w:t>332 § 1 pkt 3 k.p.k. Zmiany te wynikają z wprowadzenia nowej</w:t>
      </w:r>
      <w:r>
        <w:rPr>
          <w:rFonts w:ascii="Times New Roman" w:hAnsi="Times New Roman" w:cs="Times New Roman"/>
        </w:rPr>
        <w:t xml:space="preserve"> postaci recydywy, określonej w</w:t>
      </w:r>
      <w:r w:rsidR="004332DC">
        <w:rPr>
          <w:rFonts w:ascii="Times New Roman" w:hAnsi="Times New Roman" w:cs="Times New Roman"/>
        </w:rPr>
        <w:t xml:space="preserve"> </w:t>
      </w:r>
      <w:r w:rsidRPr="00DD52B2">
        <w:rPr>
          <w:rFonts w:ascii="Times New Roman" w:hAnsi="Times New Roman" w:cs="Times New Roman"/>
        </w:rPr>
        <w:t>projektowanym art. 64a k.k., której skutki mają być dla sprawcy o wiele bardziej dolegliwe niż działanie w warunkach aktualnie obowiązującej recydywy szczególn</w:t>
      </w:r>
      <w:r w:rsidR="004332DC">
        <w:rPr>
          <w:rFonts w:ascii="Times New Roman" w:hAnsi="Times New Roman" w:cs="Times New Roman"/>
        </w:rPr>
        <w:t xml:space="preserve">ie </w:t>
      </w:r>
      <w:r w:rsidRPr="00DD52B2">
        <w:rPr>
          <w:rFonts w:ascii="Times New Roman" w:hAnsi="Times New Roman" w:cs="Times New Roman"/>
        </w:rPr>
        <w:t>wielokrotnej</w:t>
      </w:r>
      <w:r>
        <w:rPr>
          <w:rFonts w:ascii="Times New Roman" w:hAnsi="Times New Roman" w:cs="Times New Roman"/>
        </w:rPr>
        <w:t xml:space="preserve"> (art. </w:t>
      </w:r>
      <w:r w:rsidRPr="00DD52B2">
        <w:rPr>
          <w:rFonts w:ascii="Times New Roman" w:hAnsi="Times New Roman" w:cs="Times New Roman"/>
        </w:rPr>
        <w:t>64 § 2 k.k.). Z tego względu sprawcy powracający do przestępstw, o których mowa</w:t>
      </w:r>
      <w:r>
        <w:rPr>
          <w:rFonts w:ascii="Times New Roman" w:hAnsi="Times New Roman" w:cs="Times New Roman"/>
        </w:rPr>
        <w:t xml:space="preserve"> w</w:t>
      </w:r>
      <w:r w:rsidR="004332DC">
        <w:rPr>
          <w:rFonts w:ascii="Times New Roman" w:hAnsi="Times New Roman" w:cs="Times New Roman"/>
        </w:rPr>
        <w:t xml:space="preserve"> </w:t>
      </w:r>
      <w:r w:rsidRPr="00DD52B2">
        <w:rPr>
          <w:rFonts w:ascii="Times New Roman" w:hAnsi="Times New Roman" w:cs="Times New Roman"/>
        </w:rPr>
        <w:t>projektowanym art. 64a k.k., powinni być traktowani na gruncie przepisów procesowych przynajmniej tak</w:t>
      </w:r>
      <w:r w:rsidR="009E27E8">
        <w:rPr>
          <w:rFonts w:ascii="Times New Roman" w:hAnsi="Times New Roman" w:cs="Times New Roman"/>
        </w:rPr>
        <w:t>,</w:t>
      </w:r>
      <w:r w:rsidRPr="00DD52B2">
        <w:rPr>
          <w:rFonts w:ascii="Times New Roman" w:hAnsi="Times New Roman" w:cs="Times New Roman"/>
        </w:rPr>
        <w:t xml:space="preserve"> jak recydywiści określeni w art. 64 § 2 k.k. Konstatacja ta odnosi się w tym samym stopniu do regulacji zawartych w Kodeksie karnym wykonawczym.</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I tak, również dla ustalenia, czy przestępstwo zostało popełnione w warunkach</w:t>
      </w:r>
      <w:r>
        <w:rPr>
          <w:rFonts w:ascii="Times New Roman" w:hAnsi="Times New Roman" w:cs="Times New Roman"/>
        </w:rPr>
        <w:t xml:space="preserve"> </w:t>
      </w:r>
      <w:r w:rsidRPr="00DD52B2">
        <w:rPr>
          <w:rFonts w:ascii="Times New Roman" w:hAnsi="Times New Roman" w:cs="Times New Roman"/>
        </w:rPr>
        <w:t>art. 64a k.k., należy dołączyć do akt postępowania odpis lub wyciąg wyroku oraz dane dotyczące odbycia kary, co powoduje konieczność dokonania zmiany art. 213 § 2 k.p.k. Podobnie</w:t>
      </w:r>
      <w:r>
        <w:rPr>
          <w:rFonts w:ascii="Times New Roman" w:hAnsi="Times New Roman" w:cs="Times New Roman"/>
        </w:rPr>
        <w:t xml:space="preserve"> </w:t>
      </w:r>
      <w:r w:rsidRPr="00DD52B2">
        <w:rPr>
          <w:rFonts w:ascii="Times New Roman" w:hAnsi="Times New Roman" w:cs="Times New Roman"/>
        </w:rPr>
        <w:t>w akcie oskarżenia należy wskazać, czy czyn został popełniony w warunkach wymienionych</w:t>
      </w:r>
      <w:r>
        <w:rPr>
          <w:rFonts w:ascii="Times New Roman" w:hAnsi="Times New Roman" w:cs="Times New Roman"/>
        </w:rPr>
        <w:t xml:space="preserve"> w </w:t>
      </w:r>
      <w:r w:rsidRPr="00DD52B2">
        <w:rPr>
          <w:rFonts w:ascii="Times New Roman" w:hAnsi="Times New Roman" w:cs="Times New Roman"/>
        </w:rPr>
        <w:t>projektowanym art. 64a k.k. – analogicznie jak w innych przypadkach recydywy, stąd propozycja nowelizacji art. 332 § 1 pkt 3 k.p.k.</w:t>
      </w:r>
    </w:p>
    <w:p w:rsidR="00DD52B2" w:rsidRPr="00DD52B2" w:rsidRDefault="00DD52B2" w:rsidP="00DD52B2">
      <w:pPr>
        <w:pStyle w:val="ARTartustawynprozporzdzenia"/>
        <w:ind w:firstLine="0"/>
        <w:rPr>
          <w:rFonts w:ascii="Times New Roman" w:hAnsi="Times New Roman" w:cs="Times New Roman"/>
        </w:rPr>
      </w:pPr>
      <w:r w:rsidRPr="00DD52B2">
        <w:rPr>
          <w:rFonts w:ascii="Times New Roman" w:hAnsi="Times New Roman" w:cs="Times New Roman"/>
        </w:rPr>
        <w:t xml:space="preserve">Zmiany wprowadzone w Kodeksie karnym wykonawczym są podyktowane potrzebą potraktowania recydywistów określonych w projektowanym art. 64a k.k. przynajmniej tak samo restryktywnie jak tych, o których mowa w art. 64 § 2 k.k. (z przyczyn wskazanych powyżej) – w analogicznych kwestiach. Stąd konieczność dokonania zmian w art. 43la § 1 pkt 1, art. 110 § 2b pkt 2, art. 151 § 2, art. 159 § 1 oraz art. 169b § 3 pkt 1 k.k.w. Należy zauważyć, że sprawcy określeni w art. 64a k.k. są jednocześnie recydywistami w świetle aktualnie obowiązujących przepisów, co uzasadnia rozciągnięcie na nich unormowań odnoszących się do tych ostatnich. W przeciwnym przypadku recydywiści – sprawcy przestępstw przeciwko wolności seksualnej lub obyczajności – nie byliby objęci tymi unormowaniami, gdyż projektowany przepis art. 64a k.k. stanowiłby </w:t>
      </w:r>
      <w:r w:rsidRPr="001C63EC">
        <w:rPr>
          <w:rFonts w:ascii="Times New Roman" w:hAnsi="Times New Roman" w:cs="Times New Roman"/>
          <w:i/>
        </w:rPr>
        <w:t>lex specialis</w:t>
      </w:r>
      <w:r w:rsidRPr="00DD52B2">
        <w:rPr>
          <w:rFonts w:ascii="Times New Roman" w:hAnsi="Times New Roman" w:cs="Times New Roman"/>
        </w:rPr>
        <w:t xml:space="preserve"> wobec treści art. 64 k.k. Należy jeszcze wyjaśnić, że wprowadzenie osobnej kategorii skazanych</w:t>
      </w:r>
      <w:r>
        <w:rPr>
          <w:rFonts w:ascii="Times New Roman" w:hAnsi="Times New Roman" w:cs="Times New Roman"/>
        </w:rPr>
        <w:t xml:space="preserve"> w </w:t>
      </w:r>
      <w:r w:rsidRPr="00DD52B2">
        <w:rPr>
          <w:rFonts w:ascii="Times New Roman" w:hAnsi="Times New Roman" w:cs="Times New Roman"/>
        </w:rPr>
        <w:t>warunkach określonych w art. 64a k.k. było niezbędne, pomimo tego</w:t>
      </w:r>
      <w:r w:rsidR="00DD4990">
        <w:rPr>
          <w:rFonts w:ascii="Times New Roman" w:hAnsi="Times New Roman" w:cs="Times New Roman"/>
        </w:rPr>
        <w:t>,</w:t>
      </w:r>
      <w:r w:rsidRPr="00DD52B2">
        <w:rPr>
          <w:rFonts w:ascii="Times New Roman" w:hAnsi="Times New Roman" w:cs="Times New Roman"/>
        </w:rPr>
        <w:t xml:space="preserve"> że Kodeks karny wykonawczy posługuje się już kategorią skazanych za przestępstw</w:t>
      </w:r>
      <w:r w:rsidR="001C63EC">
        <w:rPr>
          <w:rFonts w:ascii="Times New Roman" w:hAnsi="Times New Roman" w:cs="Times New Roman"/>
        </w:rPr>
        <w:t>a</w:t>
      </w:r>
      <w:r w:rsidRPr="00DD52B2">
        <w:rPr>
          <w:rFonts w:ascii="Times New Roman" w:hAnsi="Times New Roman" w:cs="Times New Roman"/>
        </w:rPr>
        <w:t xml:space="preserve"> określone w art. 197</w:t>
      </w:r>
      <w:r>
        <w:rPr>
          <w:rFonts w:ascii="Times New Roman" w:hAnsi="Times New Roman" w:cs="Times New Roman"/>
        </w:rPr>
        <w:t>–203 </w:t>
      </w:r>
      <w:r w:rsidRPr="00DD52B2">
        <w:rPr>
          <w:rFonts w:ascii="Times New Roman" w:hAnsi="Times New Roman" w:cs="Times New Roman"/>
        </w:rPr>
        <w:t xml:space="preserve">k.k. (por. np. art. 110 § 2b pkt 3 k.k.w.). Rzecz w tym, że ta ostatnia kategoria nie obejmuje wszystkich przestępstw przeciwko wolności seksualnej lub obyczajności, </w:t>
      </w:r>
      <w:r w:rsidRPr="00DD52B2">
        <w:rPr>
          <w:rFonts w:ascii="Times New Roman" w:hAnsi="Times New Roman" w:cs="Times New Roman"/>
        </w:rPr>
        <w:lastRenderedPageBreak/>
        <w:t>stypizowanych</w:t>
      </w:r>
      <w:r>
        <w:rPr>
          <w:rFonts w:ascii="Times New Roman" w:hAnsi="Times New Roman" w:cs="Times New Roman"/>
        </w:rPr>
        <w:t xml:space="preserve"> </w:t>
      </w:r>
      <w:r w:rsidRPr="00DD52B2">
        <w:rPr>
          <w:rFonts w:ascii="Times New Roman" w:hAnsi="Times New Roman" w:cs="Times New Roman"/>
        </w:rPr>
        <w:t>w ustawie karnej – pomija skazanych za</w:t>
      </w:r>
      <w:r>
        <w:rPr>
          <w:rFonts w:ascii="Times New Roman" w:hAnsi="Times New Roman" w:cs="Times New Roman"/>
        </w:rPr>
        <w:t xml:space="preserve"> stręczycielstwo, sutenerstwo i </w:t>
      </w:r>
      <w:r w:rsidRPr="00DD52B2">
        <w:rPr>
          <w:rFonts w:ascii="Times New Roman" w:hAnsi="Times New Roman" w:cs="Times New Roman"/>
        </w:rPr>
        <w:t>kuplerstwo</w:t>
      </w:r>
      <w:r>
        <w:rPr>
          <w:rFonts w:ascii="Times New Roman" w:hAnsi="Times New Roman" w:cs="Times New Roman"/>
        </w:rPr>
        <w:t xml:space="preserve"> </w:t>
      </w:r>
      <w:r w:rsidRPr="00DD52B2">
        <w:rPr>
          <w:rFonts w:ascii="Times New Roman" w:hAnsi="Times New Roman" w:cs="Times New Roman"/>
        </w:rPr>
        <w:t>(art. 204 k.k.). W przeciwnym razie skazani za to przestępstwo w warunkach projektowanego art. 64a k.k. nie byliby traktowani ma gruncie regulacji Kodeksu karnego wykonawczego</w:t>
      </w:r>
      <w:r>
        <w:rPr>
          <w:rFonts w:ascii="Times New Roman" w:hAnsi="Times New Roman" w:cs="Times New Roman"/>
        </w:rPr>
        <w:t xml:space="preserve"> </w:t>
      </w:r>
      <w:r w:rsidRPr="00DD52B2">
        <w:rPr>
          <w:rFonts w:ascii="Times New Roman" w:hAnsi="Times New Roman" w:cs="Times New Roman"/>
        </w:rPr>
        <w:t xml:space="preserve">w ogóle jako recydywiści. </w:t>
      </w:r>
    </w:p>
    <w:p w:rsidR="00DD52B2" w:rsidRPr="00DD52B2" w:rsidRDefault="00DD52B2" w:rsidP="00DD52B2">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Zaproponowana zmiana art. 56 ustawy z dnia 22 listopada 2013 r. o postępowaniu wobec osób z zaburzeniami psychicznymi stwarzających zagrożenie życia, zdrowa lub wolności seksualnej innych osób (Dz. U. z 2014 r. poz. 24, z 2015 r. poz. 396 oraz z 2016 r. poz. 2205) jest konieczna ze względu na potrzebę zwiększenia dofinansowania Krajowego Ośrodka Zapobiegania Zachowaniom Dyssocjalnym w Gostyninie, zwanego dalej „Ośrodkiem”, mającego na celu inwestycje umożliwiające zapewnienie właściwych warunków postępowania terapeutycznego wobec osób stwarzających zagrożenie dla życia, zdrowia lub wolności seksualnej innych osób, a także utrzymania właściwych warunków bezpieczeństwa zarówno osobom w nim umieszczonym, jak i personelowi Ośrodka.</w:t>
      </w:r>
      <w:r>
        <w:rPr>
          <w:rFonts w:ascii="Times New Roman" w:hAnsi="Times New Roman" w:cs="Times New Roman"/>
        </w:rPr>
        <w:t xml:space="preserve"> </w:t>
      </w:r>
      <w:r w:rsidRPr="00DD52B2">
        <w:rPr>
          <w:rFonts w:ascii="Times New Roman" w:hAnsi="Times New Roman" w:cs="Times New Roman"/>
        </w:rPr>
        <w:t>W Ośrodku aktualnie przebywa 43 pacjentów. Ośrodek obecnie wykorzystuje infrastrukturę Regionalnego Ośrodka Psychiatrii Sądowej w Gostyninie, zwanego dalej „ROPS”. Na bazie ROPS w Gostyninie działają obecnie III oddziały Ośrodka, a w niedługim czasie ze względu na stale rosnącą liczbę pacjentów przewiduje się potrzebę utworzenia IV oddzi</w:t>
      </w:r>
      <w:r w:rsidR="00710FD7">
        <w:rPr>
          <w:rFonts w:ascii="Times New Roman" w:hAnsi="Times New Roman" w:cs="Times New Roman"/>
        </w:rPr>
        <w:t>ału. Związane to będzie także z </w:t>
      </w:r>
      <w:r w:rsidRPr="00DD52B2">
        <w:rPr>
          <w:rFonts w:ascii="Times New Roman" w:hAnsi="Times New Roman" w:cs="Times New Roman"/>
        </w:rPr>
        <w:t>przejęciem kadry pracowniczej ROPS oraz pozyskaniem z zewnątrz innych, niezbędnych pracowników działalności podstawowej, w tym najliczniejszą grupę zawodową stanowić będą pracownicy ochron</w:t>
      </w:r>
      <w:r w:rsidR="00710FD7">
        <w:rPr>
          <w:rFonts w:ascii="Times New Roman" w:hAnsi="Times New Roman" w:cs="Times New Roman"/>
        </w:rPr>
        <w:t>y. Zatrudnienie w latach 2018–</w:t>
      </w:r>
      <w:r w:rsidRPr="00DD52B2">
        <w:rPr>
          <w:rFonts w:ascii="Times New Roman" w:hAnsi="Times New Roman" w:cs="Times New Roman"/>
        </w:rPr>
        <w:t xml:space="preserve">2020, czyli w okresie przejściowym działalności Ośrodka, </w:t>
      </w:r>
      <w:r w:rsidR="003C075B" w:rsidRPr="00DD52B2">
        <w:rPr>
          <w:rFonts w:ascii="Times New Roman" w:hAnsi="Times New Roman" w:cs="Times New Roman"/>
        </w:rPr>
        <w:t xml:space="preserve">jest </w:t>
      </w:r>
      <w:r w:rsidRPr="00DD52B2">
        <w:rPr>
          <w:rFonts w:ascii="Times New Roman" w:hAnsi="Times New Roman" w:cs="Times New Roman"/>
        </w:rPr>
        <w:t xml:space="preserve">planowane w </w:t>
      </w:r>
      <w:r w:rsidR="00DD4990">
        <w:rPr>
          <w:rFonts w:ascii="Times New Roman" w:hAnsi="Times New Roman" w:cs="Times New Roman"/>
        </w:rPr>
        <w:t>liczbie</w:t>
      </w:r>
      <w:r w:rsidR="00DD4990" w:rsidRPr="00DD52B2">
        <w:rPr>
          <w:rFonts w:ascii="Times New Roman" w:hAnsi="Times New Roman" w:cs="Times New Roman"/>
        </w:rPr>
        <w:t xml:space="preserve"> </w:t>
      </w:r>
      <w:r w:rsidRPr="00DD52B2">
        <w:rPr>
          <w:rFonts w:ascii="Times New Roman" w:hAnsi="Times New Roman" w:cs="Times New Roman"/>
        </w:rPr>
        <w:t>381 osób, która obejmuje pełną obsadę kadrową dla czterech oddziałów Ośrodka, wraz z kadrą administracyjno-gospodarczo-</w:t>
      </w:r>
      <w:r w:rsidR="00710FD7">
        <w:rPr>
          <w:rFonts w:ascii="Times New Roman" w:hAnsi="Times New Roman" w:cs="Times New Roman"/>
        </w:rPr>
        <w:br/>
        <w:t>-</w:t>
      </w:r>
      <w:r w:rsidRPr="00DD52B2">
        <w:rPr>
          <w:rFonts w:ascii="Times New Roman" w:hAnsi="Times New Roman" w:cs="Times New Roman"/>
        </w:rPr>
        <w:t>techniczną i biurem ochrony, co jest niezbędne dla prawidłowego funkcjonowania jednostki</w:t>
      </w:r>
      <w:r>
        <w:rPr>
          <w:rFonts w:ascii="Times New Roman" w:hAnsi="Times New Roman" w:cs="Times New Roman"/>
        </w:rPr>
        <w:t xml:space="preserve"> </w:t>
      </w:r>
      <w:r w:rsidRPr="00DD52B2">
        <w:rPr>
          <w:rFonts w:ascii="Times New Roman" w:hAnsi="Times New Roman" w:cs="Times New Roman"/>
        </w:rPr>
        <w:t xml:space="preserve">z zachowaniem wymogów bezpieczeństwa. </w:t>
      </w:r>
    </w:p>
    <w:p w:rsidR="00DD52B2" w:rsidRPr="00DD52B2" w:rsidRDefault="00DD52B2" w:rsidP="00710FD7">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 xml:space="preserve">Należy podkreślić, że inwestycja pn. „Budowa docelowego Krajowego Ośrodka Zapobiegania Zachowaniom Dyssocjalnym w Gostyninie”, została przewidziana na etapie tworzenia ustawy z dnia 22 listopada 2013 r. o postępowaniu wobec osób z zaburzeniami psychicznymi stwarzających zagrożenie życia, zdrowia lub wolności seksualnej innych osób. Początkowo termin realizacji inwestycji wyznaczono na lata 2016–2018, jednak z uwagi na przedłużające się procedury, związane z opracowaniem i zmianą dokumentacji inwestycyjnej, terminy budowy Ośrodka ulegają zmianie. Nowy termin realizacji inwestycji został wyznaczony na lata 2016–2020. Ośrodek będzie docelowo przeznaczony dla 60 pacjentów. </w:t>
      </w:r>
      <w:r w:rsidRPr="00DD52B2">
        <w:rPr>
          <w:rFonts w:ascii="Times New Roman" w:hAnsi="Times New Roman" w:cs="Times New Roman"/>
        </w:rPr>
        <w:lastRenderedPageBreak/>
        <w:t xml:space="preserve">Zgodnie z planem inwestycji, w skład nowego Ośrodka wchodzić będą pawilony dla pacjentów </w:t>
      </w:r>
      <w:r>
        <w:rPr>
          <w:rFonts w:ascii="Times New Roman" w:hAnsi="Times New Roman" w:cs="Times New Roman"/>
        </w:rPr>
        <w:t>–</w:t>
      </w:r>
      <w:r w:rsidRPr="00DD52B2">
        <w:rPr>
          <w:rFonts w:ascii="Times New Roman" w:hAnsi="Times New Roman" w:cs="Times New Roman"/>
        </w:rPr>
        <w:t xml:space="preserve"> </w:t>
      </w:r>
      <w:r w:rsidR="00DF1ED2">
        <w:rPr>
          <w:rFonts w:ascii="Times New Roman" w:hAnsi="Times New Roman" w:cs="Times New Roman"/>
        </w:rPr>
        <w:t>o</w:t>
      </w:r>
      <w:r w:rsidRPr="00DD52B2">
        <w:rPr>
          <w:rFonts w:ascii="Times New Roman" w:hAnsi="Times New Roman" w:cs="Times New Roman"/>
        </w:rPr>
        <w:t xml:space="preserve">ddziały oraz budynek administracji połączone ze sobą łącznikiem. Nowo wybudowany obiekt </w:t>
      </w:r>
      <w:r w:rsidR="003C075B" w:rsidRPr="00DD52B2">
        <w:rPr>
          <w:rFonts w:ascii="Times New Roman" w:hAnsi="Times New Roman" w:cs="Times New Roman"/>
        </w:rPr>
        <w:t xml:space="preserve">będzie </w:t>
      </w:r>
      <w:r w:rsidRPr="00DD52B2">
        <w:rPr>
          <w:rFonts w:ascii="Times New Roman" w:hAnsi="Times New Roman" w:cs="Times New Roman"/>
        </w:rPr>
        <w:t>posiadać pomieszczenia określone</w:t>
      </w:r>
      <w:r>
        <w:rPr>
          <w:rFonts w:ascii="Times New Roman" w:hAnsi="Times New Roman" w:cs="Times New Roman"/>
        </w:rPr>
        <w:t xml:space="preserve"> </w:t>
      </w:r>
      <w:r w:rsidRPr="00DD52B2">
        <w:rPr>
          <w:rFonts w:ascii="Times New Roman" w:hAnsi="Times New Roman" w:cs="Times New Roman"/>
        </w:rPr>
        <w:t>w rozporządzeniu Ministra Zdrowia z dnia 16 stycznia 2014 r. w sprawie Krajowego Ośrodka Zapobiegania Zachowaniom Dyssocjalnym (Dz. U. z 2016 r. poz. 1480), tj</w:t>
      </w:r>
      <w:r w:rsidR="00710FD7">
        <w:rPr>
          <w:rFonts w:ascii="Times New Roman" w:hAnsi="Times New Roman" w:cs="Times New Roman"/>
        </w:rPr>
        <w:t>. sale dla osób umieszczonych w </w:t>
      </w:r>
      <w:r w:rsidRPr="00DD52B2">
        <w:rPr>
          <w:rFonts w:ascii="Times New Roman" w:hAnsi="Times New Roman" w:cs="Times New Roman"/>
        </w:rPr>
        <w:t>Ośrodku, świetlice, stołówki, pokoje do prowadzenia terapii, pokoje indywidualnych rozmów z osobami umieszczonymi, gabinety zabiegowe oraz pokoje</w:t>
      </w:r>
      <w:r>
        <w:rPr>
          <w:rFonts w:ascii="Times New Roman" w:hAnsi="Times New Roman" w:cs="Times New Roman"/>
        </w:rPr>
        <w:t xml:space="preserve"> </w:t>
      </w:r>
      <w:r w:rsidRPr="00DD52B2">
        <w:rPr>
          <w:rFonts w:ascii="Times New Roman" w:hAnsi="Times New Roman" w:cs="Times New Roman"/>
        </w:rPr>
        <w:t xml:space="preserve">i sanitariaty dla personelu. Wymagania ogólnoprzestrzenne, sanitarne i instalacyjne oraz warunki zabezpieczenia Ośrodka będą zgodne z przepisami ww. rozporządzenia. </w:t>
      </w:r>
    </w:p>
    <w:p w:rsidR="00DD52B2" w:rsidRPr="00DD52B2" w:rsidRDefault="00DD52B2" w:rsidP="00710FD7">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Zwiększeniu powinny ulec także limity na bieżącą działalność Ośrodka, z uwagi na wyższą niż pierwotnie zakładano liczbę osób tam umieszczonych, (aktualn</w:t>
      </w:r>
      <w:r w:rsidR="00710FD7">
        <w:rPr>
          <w:rFonts w:ascii="Times New Roman" w:hAnsi="Times New Roman" w:cs="Times New Roman"/>
        </w:rPr>
        <w:t>ie w Ośrodku przebywa ponad 400</w:t>
      </w:r>
      <w:r w:rsidRPr="00DD52B2">
        <w:rPr>
          <w:rFonts w:ascii="Times New Roman" w:hAnsi="Times New Roman" w:cs="Times New Roman"/>
        </w:rPr>
        <w:t xml:space="preserve">% osób więcej niż zakładany pierwotnie limit osób stwarzających zagrożenie), jak również konieczny wzrost zatrudnienia. Zakłada się, że w docelowym Ośrodku </w:t>
      </w:r>
      <w:r w:rsidR="00FF3346" w:rsidRPr="00DD52B2">
        <w:rPr>
          <w:rFonts w:ascii="Times New Roman" w:hAnsi="Times New Roman" w:cs="Times New Roman"/>
        </w:rPr>
        <w:t xml:space="preserve">jest </w:t>
      </w:r>
      <w:r w:rsidRPr="00DD52B2">
        <w:rPr>
          <w:rFonts w:ascii="Times New Roman" w:hAnsi="Times New Roman" w:cs="Times New Roman"/>
        </w:rPr>
        <w:t xml:space="preserve">niezbędne zatrudnienie na poziomie 515 pracowników składających się przede wszystkim z grup zawodowych należących do działalności podstawowej Ośrodka i pracowników ochrony. Wskazana powyżej liczba pracowników jest niezbędna </w:t>
      </w:r>
      <w:r w:rsidR="00DD4990">
        <w:rPr>
          <w:rFonts w:ascii="Times New Roman" w:hAnsi="Times New Roman" w:cs="Times New Roman"/>
        </w:rPr>
        <w:t xml:space="preserve">w </w:t>
      </w:r>
      <w:r w:rsidRPr="00DD52B2">
        <w:rPr>
          <w:rFonts w:ascii="Times New Roman" w:hAnsi="Times New Roman" w:cs="Times New Roman"/>
        </w:rPr>
        <w:t>cel</w:t>
      </w:r>
      <w:r w:rsidR="00DD4990">
        <w:rPr>
          <w:rFonts w:ascii="Times New Roman" w:hAnsi="Times New Roman" w:cs="Times New Roman"/>
        </w:rPr>
        <w:t>u</w:t>
      </w:r>
      <w:r w:rsidRPr="00DD52B2">
        <w:rPr>
          <w:rFonts w:ascii="Times New Roman" w:hAnsi="Times New Roman" w:cs="Times New Roman"/>
        </w:rPr>
        <w:t xml:space="preserve"> zapewnienia prawidłowej opieki pacjentom hospitalizowanym w Krajowym Ośrodku oraz dla bezpieczeństwa zarówno pacjentów, jak i zatrudnionego w nim personelu. </w:t>
      </w:r>
    </w:p>
    <w:p w:rsidR="00DD52B2" w:rsidRPr="00DD52B2" w:rsidRDefault="00DD52B2" w:rsidP="00710FD7">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 xml:space="preserve">Jednocześnie, w związku ze stale rosnącą liczbą osób stwarzających zagrożenie kierowaną do Ośrodka, </w:t>
      </w:r>
      <w:r w:rsidR="00FF3346" w:rsidRPr="00DD52B2">
        <w:rPr>
          <w:rFonts w:ascii="Times New Roman" w:hAnsi="Times New Roman" w:cs="Times New Roman"/>
        </w:rPr>
        <w:t xml:space="preserve">jest </w:t>
      </w:r>
      <w:r w:rsidRPr="00DD52B2">
        <w:rPr>
          <w:rFonts w:ascii="Times New Roman" w:hAnsi="Times New Roman" w:cs="Times New Roman"/>
        </w:rPr>
        <w:t xml:space="preserve">niezbędne zabezpieczenie środków finansowych na dostosowanie kolejnych pomieszczeń ROPS do potrzeb Ośrodka, a tym samym przeznaczenie wydatków inwestycyjnych na przebudowę ROPS na potrzeby okresu przejściowego. </w:t>
      </w:r>
    </w:p>
    <w:p w:rsidR="00DD52B2" w:rsidRPr="00DD52B2" w:rsidRDefault="00DD52B2" w:rsidP="00710FD7">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 xml:space="preserve">Podsumowując powyższe, zmiana maksymalnych limitów wydatków jest niezbędna </w:t>
      </w:r>
      <w:r w:rsidR="00DD4990">
        <w:rPr>
          <w:rFonts w:ascii="Times New Roman" w:hAnsi="Times New Roman" w:cs="Times New Roman"/>
        </w:rPr>
        <w:t xml:space="preserve">w </w:t>
      </w:r>
      <w:r w:rsidRPr="00DD52B2">
        <w:rPr>
          <w:rFonts w:ascii="Times New Roman" w:hAnsi="Times New Roman" w:cs="Times New Roman"/>
        </w:rPr>
        <w:t>cel</w:t>
      </w:r>
      <w:r w:rsidR="00DD4990">
        <w:rPr>
          <w:rFonts w:ascii="Times New Roman" w:hAnsi="Times New Roman" w:cs="Times New Roman"/>
        </w:rPr>
        <w:t>u</w:t>
      </w:r>
      <w:r w:rsidRPr="00DD52B2">
        <w:rPr>
          <w:rFonts w:ascii="Times New Roman" w:hAnsi="Times New Roman" w:cs="Times New Roman"/>
        </w:rPr>
        <w:t xml:space="preserve"> zrealizowania planowanej inwestycji, która zabezpieczy prawidłowe funkcjonowanie Ośrodka. Zgodnie z pierwotną Oceną Skutków Regulacji ustaw</w:t>
      </w:r>
      <w:r w:rsidR="00710FD7">
        <w:rPr>
          <w:rFonts w:ascii="Times New Roman" w:hAnsi="Times New Roman" w:cs="Times New Roman"/>
        </w:rPr>
        <w:t>y z dnia 22 listopada 2013 r. o </w:t>
      </w:r>
      <w:r w:rsidRPr="00DD52B2">
        <w:rPr>
          <w:rFonts w:ascii="Times New Roman" w:hAnsi="Times New Roman" w:cs="Times New Roman"/>
        </w:rPr>
        <w:t xml:space="preserve">postępowaniu wobec osób z zaburzeniami psychicznymi stwarzających zagrożenie życia, zdrowia lub wolności seksualnej innych osób, limity zostały </w:t>
      </w:r>
      <w:r w:rsidR="00710FD7">
        <w:rPr>
          <w:rFonts w:ascii="Times New Roman" w:hAnsi="Times New Roman" w:cs="Times New Roman"/>
        </w:rPr>
        <w:t>oszacowane przy założeniu, iż w </w:t>
      </w:r>
      <w:r w:rsidRPr="00DD52B2">
        <w:rPr>
          <w:rFonts w:ascii="Times New Roman" w:hAnsi="Times New Roman" w:cs="Times New Roman"/>
        </w:rPr>
        <w:t xml:space="preserve">Ośrodku do czasu wybudowania docelowej siedziby będzie </w:t>
      </w:r>
      <w:r w:rsidR="00710FD7">
        <w:rPr>
          <w:rFonts w:ascii="Times New Roman" w:hAnsi="Times New Roman" w:cs="Times New Roman"/>
        </w:rPr>
        <w:t>przebywać maksymalnie do 12 </w:t>
      </w:r>
      <w:r w:rsidRPr="00DD52B2">
        <w:rPr>
          <w:rFonts w:ascii="Times New Roman" w:hAnsi="Times New Roman" w:cs="Times New Roman"/>
        </w:rPr>
        <w:t xml:space="preserve">pacjentów, tymczasem na podstawie posiadanych informacji zakłada </w:t>
      </w:r>
      <w:r w:rsidR="00710FD7">
        <w:rPr>
          <w:rFonts w:ascii="Times New Roman" w:hAnsi="Times New Roman" w:cs="Times New Roman"/>
        </w:rPr>
        <w:t>się, że do końca 2017 </w:t>
      </w:r>
      <w:r w:rsidRPr="00DD52B2">
        <w:rPr>
          <w:rFonts w:ascii="Times New Roman" w:hAnsi="Times New Roman" w:cs="Times New Roman"/>
        </w:rPr>
        <w:t xml:space="preserve">r. liczba pacjentów wzrośnie do 48 osób. </w:t>
      </w:r>
    </w:p>
    <w:p w:rsidR="00DD52B2" w:rsidRPr="00DD52B2" w:rsidRDefault="00DD52B2" w:rsidP="00710FD7">
      <w:pPr>
        <w:pStyle w:val="ARTartustawynprozporzdzenia"/>
        <w:ind w:firstLine="0"/>
        <w:rPr>
          <w:rFonts w:ascii="Times New Roman" w:hAnsi="Times New Roman" w:cs="Times New Roman"/>
        </w:rPr>
      </w:pPr>
      <w:r w:rsidRPr="00DD52B2">
        <w:rPr>
          <w:rFonts w:ascii="Times New Roman" w:hAnsi="Times New Roman" w:cs="Times New Roman"/>
        </w:rPr>
        <w:t xml:space="preserve">Projekt nie wpływa na działalność przedsiębiorców oraz małych i średnich przedsiębiorców. </w:t>
      </w:r>
    </w:p>
    <w:p w:rsidR="00DD52B2" w:rsidRPr="00DD52B2" w:rsidRDefault="00DD52B2" w:rsidP="00710FD7">
      <w:pPr>
        <w:pStyle w:val="ARTartustawynprozporzdzenia"/>
        <w:ind w:firstLine="0"/>
        <w:rPr>
          <w:rFonts w:ascii="Times New Roman" w:hAnsi="Times New Roman" w:cs="Times New Roman"/>
        </w:rPr>
      </w:pPr>
      <w:r w:rsidRPr="00DD52B2">
        <w:rPr>
          <w:rFonts w:ascii="Times New Roman" w:hAnsi="Times New Roman" w:cs="Times New Roman"/>
        </w:rPr>
        <w:t xml:space="preserve">Przedmiot projektowanej regulacji nie jest objęty zakresem prawa Unii Europejskiej. </w:t>
      </w:r>
    </w:p>
    <w:p w:rsidR="00DD52B2" w:rsidRPr="00DD52B2" w:rsidRDefault="00DD52B2" w:rsidP="00710FD7">
      <w:pPr>
        <w:pStyle w:val="ARTartustawynprozporzdzenia"/>
        <w:ind w:firstLine="0"/>
        <w:rPr>
          <w:rFonts w:ascii="Times New Roman" w:hAnsi="Times New Roman" w:cs="Times New Roman"/>
        </w:rPr>
      </w:pPr>
      <w:r w:rsidRPr="00DD52B2">
        <w:rPr>
          <w:rFonts w:ascii="Times New Roman" w:hAnsi="Times New Roman" w:cs="Times New Roman"/>
        </w:rPr>
        <w:lastRenderedPageBreak/>
        <w:t>Zgodnie z § 4 rozporządzenia Rady Ministrów z dnia 23 grudnia 2002 r. w sprawie sposobu funkcjonowania krajowego systemu notyfikacji norm i aktów prawnych (Dz. U. poz. 2039 oraz z 2004 r. poz. 597) projektowana ustawa nie podlega notyfikacji Komisji Europejskiej.</w:t>
      </w:r>
    </w:p>
    <w:p w:rsidR="00DD52B2" w:rsidRPr="00DD52B2" w:rsidRDefault="00DD52B2" w:rsidP="00710FD7">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 xml:space="preserve">Zgodnie z art. 5 ustawy z dnia 7 lipca 2005 r. o działalności lobbingowej w procesie stanowienia prawa (Dz. U. z 2017 r. poz. 248) projekt został udostępniony w Biuletynie Informacji Publicznej na stronie podmiotowej Rządowego Centrum Legislacji, w serwisie Rządowy Proces Legislacyjny oraz na stronach internetowych Ministerstwa Sprawiedliwości w zakładce „Projekty aktów prawnych – prawo karne”. Po udostępnieniu projektu na stronach BIP RCL i BIP MS nie zgłosiły się podmioty zainteresowane pracami nad nim. </w:t>
      </w:r>
    </w:p>
    <w:p w:rsidR="00DD52B2" w:rsidRPr="00DD52B2" w:rsidRDefault="00DD52B2" w:rsidP="00710FD7">
      <w:pPr>
        <w:pStyle w:val="NIEARTTEKSTtekstnieartykuowanynppodstprawnarozplubpreambua"/>
        <w:ind w:firstLine="0"/>
        <w:rPr>
          <w:rFonts w:ascii="Times New Roman" w:hAnsi="Times New Roman" w:cs="Times New Roman"/>
        </w:rPr>
      </w:pPr>
      <w:r w:rsidRPr="00DD52B2">
        <w:rPr>
          <w:rFonts w:ascii="Times New Roman" w:hAnsi="Times New Roman" w:cs="Times New Roman"/>
        </w:rPr>
        <w:t>Do projektu uwagi zgłosił Pan Henryk Kowalczyk Minister</w:t>
      </w:r>
      <w:r w:rsidR="00DD4990">
        <w:rPr>
          <w:rFonts w:ascii="Times New Roman" w:hAnsi="Times New Roman" w:cs="Times New Roman"/>
        </w:rPr>
        <w:t xml:space="preserve"> – </w:t>
      </w:r>
      <w:r w:rsidRPr="00DD52B2">
        <w:rPr>
          <w:rFonts w:ascii="Times New Roman" w:hAnsi="Times New Roman" w:cs="Times New Roman"/>
        </w:rPr>
        <w:t xml:space="preserve">Członek Rady Ministrów. Uwagi dotyczyły uzupełnienia projektowanego art. 41a § 1a o nakaz okresowego opuszczenia lokalu zajmowanego wspólnie z pokrzywdzonym oraz zastąpienia w art. 64a k.k. sformułowania „do najwyższego ustawowego zagrożenia zwiększonego o połowę” zwrotem „do górnej granicy ustawowego zagrożenia zwiększonego o połowę”. Obie uwagi zostały uwzględnione. </w:t>
      </w:r>
    </w:p>
    <w:sectPr w:rsidR="00DD52B2" w:rsidRPr="00DD52B2" w:rsidSect="00710FD7">
      <w:footerReference w:type="default" r:id="rId7"/>
      <w:footnotePr>
        <w:numRestart w:val="eachSect"/>
      </w:footnotePr>
      <w:pgSz w:w="11906" w:h="16838" w:code="9"/>
      <w:pgMar w:top="1559" w:right="1435" w:bottom="1559" w:left="1418"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FD7" w:rsidRDefault="00710FD7" w:rsidP="00710FD7">
      <w:pPr>
        <w:spacing w:line="240" w:lineRule="auto"/>
      </w:pPr>
      <w:r>
        <w:separator/>
      </w:r>
    </w:p>
  </w:endnote>
  <w:endnote w:type="continuationSeparator" w:id="0">
    <w:p w:rsidR="00710FD7" w:rsidRDefault="00710FD7" w:rsidP="00710F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605891"/>
      <w:docPartObj>
        <w:docPartGallery w:val="Page Numbers (Bottom of Page)"/>
        <w:docPartUnique/>
      </w:docPartObj>
    </w:sdtPr>
    <w:sdtEndPr/>
    <w:sdtContent>
      <w:p w:rsidR="00710FD7" w:rsidRDefault="00710FD7">
        <w:pPr>
          <w:pStyle w:val="Stopka"/>
          <w:jc w:val="center"/>
        </w:pPr>
        <w:r>
          <w:fldChar w:fldCharType="begin"/>
        </w:r>
        <w:r>
          <w:instrText>PAGE   \* MERGEFORMAT</w:instrText>
        </w:r>
        <w:r>
          <w:fldChar w:fldCharType="separate"/>
        </w:r>
        <w:r w:rsidR="00127F03">
          <w:rPr>
            <w:noProof/>
          </w:rPr>
          <w:t>17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FD7" w:rsidRDefault="00710FD7" w:rsidP="00710FD7">
      <w:pPr>
        <w:spacing w:line="240" w:lineRule="auto"/>
      </w:pPr>
      <w:r>
        <w:separator/>
      </w:r>
    </w:p>
  </w:footnote>
  <w:footnote w:type="continuationSeparator" w:id="0">
    <w:p w:rsidR="00710FD7" w:rsidRDefault="00710FD7" w:rsidP="00710FD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2B2"/>
    <w:rsid w:val="00004CDD"/>
    <w:rsid w:val="00047012"/>
    <w:rsid w:val="00056519"/>
    <w:rsid w:val="00127F03"/>
    <w:rsid w:val="001342CF"/>
    <w:rsid w:val="001C63EC"/>
    <w:rsid w:val="002D5747"/>
    <w:rsid w:val="00380345"/>
    <w:rsid w:val="00382E05"/>
    <w:rsid w:val="003A40F4"/>
    <w:rsid w:val="003C075B"/>
    <w:rsid w:val="003E4233"/>
    <w:rsid w:val="004332DC"/>
    <w:rsid w:val="00527C78"/>
    <w:rsid w:val="00596EA5"/>
    <w:rsid w:val="005E24E5"/>
    <w:rsid w:val="00666398"/>
    <w:rsid w:val="00710FD7"/>
    <w:rsid w:val="007B6F49"/>
    <w:rsid w:val="007E159F"/>
    <w:rsid w:val="008C07B0"/>
    <w:rsid w:val="009E27E8"/>
    <w:rsid w:val="00A0419B"/>
    <w:rsid w:val="00A07539"/>
    <w:rsid w:val="00A41CE8"/>
    <w:rsid w:val="00AA5404"/>
    <w:rsid w:val="00B84A6C"/>
    <w:rsid w:val="00DD4990"/>
    <w:rsid w:val="00DD52B2"/>
    <w:rsid w:val="00DF1ED2"/>
    <w:rsid w:val="00EE1845"/>
    <w:rsid w:val="00FE3F9B"/>
    <w:rsid w:val="00FE5A4C"/>
    <w:rsid w:val="00FF33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D52B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DD52B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DD52B2"/>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DD52B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D52B2"/>
    <w:rPr>
      <w:bCs/>
    </w:rPr>
  </w:style>
  <w:style w:type="paragraph" w:customStyle="1" w:styleId="OZNRODZAKTUtznustawalubrozporzdzenieiorganwydajcy">
    <w:name w:val="OZN_RODZ_AKTU – tzn. ustawa lub rozporządzenie i organ wydający"/>
    <w:next w:val="Normalny"/>
    <w:uiPriority w:val="5"/>
    <w:qFormat/>
    <w:rsid w:val="00DD52B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Kkursywa">
    <w:name w:val="_K_ – kursywa"/>
    <w:basedOn w:val="Domylnaczcionkaakapitu"/>
    <w:uiPriority w:val="1"/>
    <w:qFormat/>
    <w:rsid w:val="00DD52B2"/>
    <w:rPr>
      <w:i/>
    </w:rPr>
  </w:style>
  <w:style w:type="paragraph" w:styleId="Stopka">
    <w:name w:val="footer"/>
    <w:basedOn w:val="Normalny"/>
    <w:link w:val="StopkaZnak"/>
    <w:uiPriority w:val="99"/>
    <w:unhideWhenUsed/>
    <w:rsid w:val="00710FD7"/>
    <w:pPr>
      <w:tabs>
        <w:tab w:val="center" w:pos="4536"/>
        <w:tab w:val="right" w:pos="9072"/>
      </w:tabs>
      <w:spacing w:line="240" w:lineRule="auto"/>
    </w:pPr>
  </w:style>
  <w:style w:type="character" w:customStyle="1" w:styleId="StopkaZnak">
    <w:name w:val="Stopka Znak"/>
    <w:basedOn w:val="Domylnaczcionkaakapitu"/>
    <w:link w:val="Stopka"/>
    <w:uiPriority w:val="99"/>
    <w:rsid w:val="00710FD7"/>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B84A6C"/>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4A6C"/>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D52B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DD52B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DD52B2"/>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DD52B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D52B2"/>
    <w:rPr>
      <w:bCs/>
    </w:rPr>
  </w:style>
  <w:style w:type="paragraph" w:customStyle="1" w:styleId="OZNRODZAKTUtznustawalubrozporzdzenieiorganwydajcy">
    <w:name w:val="OZN_RODZ_AKTU – tzn. ustawa lub rozporządzenie i organ wydający"/>
    <w:next w:val="Normalny"/>
    <w:uiPriority w:val="5"/>
    <w:qFormat/>
    <w:rsid w:val="00DD52B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Kkursywa">
    <w:name w:val="_K_ – kursywa"/>
    <w:basedOn w:val="Domylnaczcionkaakapitu"/>
    <w:uiPriority w:val="1"/>
    <w:qFormat/>
    <w:rsid w:val="00DD52B2"/>
    <w:rPr>
      <w:i/>
    </w:rPr>
  </w:style>
  <w:style w:type="paragraph" w:styleId="Stopka">
    <w:name w:val="footer"/>
    <w:basedOn w:val="Normalny"/>
    <w:link w:val="StopkaZnak"/>
    <w:uiPriority w:val="99"/>
    <w:unhideWhenUsed/>
    <w:rsid w:val="00710FD7"/>
    <w:pPr>
      <w:tabs>
        <w:tab w:val="center" w:pos="4536"/>
        <w:tab w:val="right" w:pos="9072"/>
      </w:tabs>
      <w:spacing w:line="240" w:lineRule="auto"/>
    </w:pPr>
  </w:style>
  <w:style w:type="character" w:customStyle="1" w:styleId="StopkaZnak">
    <w:name w:val="Stopka Znak"/>
    <w:basedOn w:val="Domylnaczcionkaakapitu"/>
    <w:link w:val="Stopka"/>
    <w:uiPriority w:val="99"/>
    <w:rsid w:val="00710FD7"/>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B84A6C"/>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4A6C"/>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6298</Words>
  <Characters>37788</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43999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Ewa A. Genert</cp:lastModifiedBy>
  <cp:revision>2</cp:revision>
  <dcterms:created xsi:type="dcterms:W3CDTF">2018-01-09T10:36:00Z</dcterms:created>
  <dcterms:modified xsi:type="dcterms:W3CDTF">2018-01-09T10:36:00Z</dcterms:modified>
</cp:coreProperties>
</file>