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3BD" w:rsidRPr="002813BD" w:rsidRDefault="002813BD" w:rsidP="002813BD">
      <w:pPr>
        <w:jc w:val="center"/>
        <w:rPr>
          <w:rFonts w:ascii="Times New Roman" w:hAnsi="Times New Roman" w:cs="Times New Roman"/>
          <w:sz w:val="24"/>
          <w:szCs w:val="24"/>
        </w:rPr>
      </w:pPr>
      <w:bookmarkStart w:id="0" w:name="_GoBack"/>
      <w:bookmarkEnd w:id="0"/>
      <w:r w:rsidRPr="002813BD">
        <w:rPr>
          <w:rFonts w:ascii="Times New Roman" w:hAnsi="Times New Roman" w:cs="Times New Roman"/>
          <w:sz w:val="24"/>
          <w:szCs w:val="24"/>
        </w:rPr>
        <w:t>UZASADNIENIE</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Projektowana ustawa o bezpieczeństwie obrotu prekursorami materiałów wybuchowych wprowadza do polskiego porządku prawnego zharmonizowane przepisy ograniczające dostęp osób fizycznych (przeciętnych użytkowników) do wybranych substancji chemicznych wysokiego ryzyka w stężeniach, które mogą być użyte do nielegalnego wytwarzania materiałów wybuchowych i wykorzystywania ich do przeprowadzania a</w:t>
      </w:r>
      <w:r w:rsidR="00F525EC">
        <w:rPr>
          <w:rFonts w:ascii="Times New Roman" w:hAnsi="Times New Roman" w:cs="Times New Roman"/>
          <w:sz w:val="24"/>
          <w:szCs w:val="24"/>
        </w:rPr>
        <w:t>taków terrorystycznych. Ponadto</w:t>
      </w:r>
      <w:r w:rsidRPr="002813BD">
        <w:rPr>
          <w:rFonts w:ascii="Times New Roman" w:hAnsi="Times New Roman" w:cs="Times New Roman"/>
          <w:sz w:val="24"/>
          <w:szCs w:val="24"/>
        </w:rPr>
        <w:t xml:space="preserve"> projektowana ustawa wprowadza uregulowania umożliwiające monitorowanie i kontrolę wykonywania postanowień rozporządzenia Parlamentu Europejskiego i Rady (UE) nr 98/2013 z dnia 15 stycznia 2013 r. w sprawie wprowadzania do obrotu i używania prekursorów materiałów wybuchowych (Dz. U</w:t>
      </w:r>
      <w:r w:rsidR="001D6BDE">
        <w:rPr>
          <w:rFonts w:ascii="Times New Roman" w:hAnsi="Times New Roman" w:cs="Times New Roman"/>
          <w:sz w:val="24"/>
          <w:szCs w:val="24"/>
        </w:rPr>
        <w:t>rz</w:t>
      </w:r>
      <w:r w:rsidRPr="002813BD">
        <w:rPr>
          <w:rFonts w:ascii="Times New Roman" w:hAnsi="Times New Roman" w:cs="Times New Roman"/>
          <w:sz w:val="24"/>
          <w:szCs w:val="24"/>
        </w:rPr>
        <w:t>. UE L 39 z 09.02.2013, str.</w:t>
      </w:r>
      <w:r w:rsidR="001D6BDE">
        <w:rPr>
          <w:rFonts w:ascii="Times New Roman" w:hAnsi="Times New Roman" w:cs="Times New Roman"/>
          <w:sz w:val="24"/>
          <w:szCs w:val="24"/>
        </w:rPr>
        <w:t xml:space="preserve"> </w:t>
      </w:r>
      <w:r w:rsidRPr="002813BD">
        <w:rPr>
          <w:rFonts w:ascii="Times New Roman" w:hAnsi="Times New Roman" w:cs="Times New Roman"/>
          <w:sz w:val="24"/>
          <w:szCs w:val="24"/>
        </w:rPr>
        <w:t>1), zwanego dalej „rozporządzeniem (UE) nr 98/2013”.</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 xml:space="preserve">Celem projektu ustawy o bezpieczeństwie obrotu prekursorami materiałów wybuchowych jest stosowanie przepisów rozporządzenia (UE) nr 98/2013. Wydanie przepisów krajowych będzie służyło określeniu właściwości organów krajowych odpowiedzialnych za wykonanie rozporządzenia (UE) nr 98/2013 oraz określeniu sankcji na wypadek naruszenia postanowień rozporządzenia (UE) nr 98/2013. Głównym celem rozporządzenia (UE) nr 98/2013 jest ograniczenie dostępu dla przeciętnych użytkowników do substancji i mieszanin, które mogą być użyte do nielegalnego wytwarzania materiałów wybuchowych (wymienionych w załączniku I), oraz określenie innych substancji (wymienionych w załączniku II), które również mogą być użyte niezgodnie z przeznaczeniem, a które trudno kontrolować ze względu na szerokie zastosowanie w powszechnych produktach konsumenckich. </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Tematyka, którą reguluje niniejszy projekt ustawy (dostępność prekursorów materiałów wybuchowych podlegających ograniczeniom)</w:t>
      </w:r>
      <w:r w:rsidR="001D6BDE">
        <w:rPr>
          <w:rFonts w:ascii="Times New Roman" w:hAnsi="Times New Roman" w:cs="Times New Roman"/>
          <w:sz w:val="24"/>
          <w:szCs w:val="24"/>
        </w:rPr>
        <w:t>,</w:t>
      </w:r>
      <w:r w:rsidRPr="002813BD">
        <w:rPr>
          <w:rFonts w:ascii="Times New Roman" w:hAnsi="Times New Roman" w:cs="Times New Roman"/>
          <w:sz w:val="24"/>
          <w:szCs w:val="24"/>
        </w:rPr>
        <w:t xml:space="preserve"> obecnie nie jest objęta regulacją krajową. Przed wejściem w życie rozporządzenia (UE) nr 98/2013 udostępnianie prekursorów materiałów wybuchowych przeciętnym użytkownikom oraz ich posiadanie i używanie przez nich było nieuregulowane. </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 xml:space="preserve">Z dniem 2 września 2014 r. na mocy rozporządzenia (UE) nr 98/2013 weszły w życie przepisy ograniczające dostęp przeciętnych użytkowników do prekursorów materiałów wybuchowych podlegających ograniczeniom. Konieczne jest zatem niezwłoczne ustanowienie krajowego punktu kontaktowego z podaniem numeru telefonu i adresu poczty elektronicznej, wskazanie organów właściwych w zakresie kontroli i nadzoru nad przestrzeganiem przepisów rozporządzenia (UE) nr 98/2013 oraz ustalenie sankcji za </w:t>
      </w:r>
      <w:r w:rsidRPr="002813BD">
        <w:rPr>
          <w:rFonts w:ascii="Times New Roman" w:hAnsi="Times New Roman" w:cs="Times New Roman"/>
          <w:sz w:val="24"/>
          <w:szCs w:val="24"/>
        </w:rPr>
        <w:lastRenderedPageBreak/>
        <w:t xml:space="preserve">nieprzestrzeganie tych przepisów, a także wprowadzenie uregulowań umożliwiających monitorowanie i kontrolę wykonywania postanowień rozporządzenia w celu podniesienia poziomu bezpieczeństwa publicznego. </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 xml:space="preserve">Projekt ustawy tworzy i określa zasady funkcjonowania ogólnopolskiego systemu zgłaszania podejrzanych transakcji lub prób dokonania takich transakcji, zniknięć i kradzieży znacznych ilości substancji wymienionych w załącznikach I i II </w:t>
      </w:r>
      <w:r w:rsidR="001D6BDE">
        <w:rPr>
          <w:rFonts w:ascii="Times New Roman" w:hAnsi="Times New Roman" w:cs="Times New Roman"/>
          <w:sz w:val="24"/>
          <w:szCs w:val="24"/>
        </w:rPr>
        <w:t xml:space="preserve">do rozporządzenia </w:t>
      </w:r>
      <w:r w:rsidRPr="002813BD">
        <w:rPr>
          <w:rFonts w:ascii="Times New Roman" w:hAnsi="Times New Roman" w:cs="Times New Roman"/>
          <w:sz w:val="24"/>
          <w:szCs w:val="24"/>
        </w:rPr>
        <w:t xml:space="preserve">(UE) nr 98/2013 lub w aktach delegowanych wydanych na podstawie art. 12 tego rozporządzenia oraz mieszanin lub substancji zawierających te substancje, zwanego dalej „systemem zgłaszania”. Komendant Główny Policji prowadzi system zgłaszania i wykonuje zadania krajowego punktu kontaktowego, zgodnie z wprowadzonymi w art. 13 projektu zmianami do ustawy z dnia </w:t>
      </w:r>
      <w:r w:rsidR="00F525EC">
        <w:rPr>
          <w:rFonts w:ascii="Times New Roman" w:hAnsi="Times New Roman" w:cs="Times New Roman"/>
          <w:sz w:val="24"/>
          <w:szCs w:val="24"/>
        </w:rPr>
        <w:t>6 </w:t>
      </w:r>
      <w:r w:rsidRPr="002813BD">
        <w:rPr>
          <w:rFonts w:ascii="Times New Roman" w:hAnsi="Times New Roman" w:cs="Times New Roman"/>
          <w:sz w:val="24"/>
          <w:szCs w:val="24"/>
        </w:rPr>
        <w:t xml:space="preserve">lipca 1990 r. o Policji (Dz. U. z 2015 r. poz. 355, z późn. zm.) rozszerzającymi zakres jego działania. </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 xml:space="preserve">Zgodnie z przyjętym Stanowiskiem Rzeczypospolitej Polskiej do rozporządzenia (UE) </w:t>
      </w:r>
      <w:r w:rsidR="00F525EC">
        <w:rPr>
          <w:rFonts w:ascii="Times New Roman" w:hAnsi="Times New Roman" w:cs="Times New Roman"/>
          <w:sz w:val="24"/>
          <w:szCs w:val="24"/>
        </w:rPr>
        <w:br/>
        <w:t>nr </w:t>
      </w:r>
      <w:r w:rsidRPr="002813BD">
        <w:rPr>
          <w:rFonts w:ascii="Times New Roman" w:hAnsi="Times New Roman" w:cs="Times New Roman"/>
          <w:sz w:val="24"/>
          <w:szCs w:val="24"/>
        </w:rPr>
        <w:t xml:space="preserve">98/2013 krajowy punkt kontaktowy powinien funkcjonować w strukturach Komendy Głównej Policji z uwagi na zakres zadań wymienionych w art. 1 ust. 2 ustawy o Policji oraz zakres uprawnień Policji określony w </w:t>
      </w:r>
      <w:r w:rsidR="001D6BDE">
        <w:rPr>
          <w:rFonts w:ascii="Times New Roman" w:hAnsi="Times New Roman" w:cs="Times New Roman"/>
          <w:sz w:val="24"/>
          <w:szCs w:val="24"/>
        </w:rPr>
        <w:t>r</w:t>
      </w:r>
      <w:r w:rsidRPr="002813BD">
        <w:rPr>
          <w:rFonts w:ascii="Times New Roman" w:hAnsi="Times New Roman" w:cs="Times New Roman"/>
          <w:sz w:val="24"/>
          <w:szCs w:val="24"/>
        </w:rPr>
        <w:t xml:space="preserve">ozdziale 3 ustawy o Policji i być prowadzony przez Komendanta Głównego Policji. Krajowy punkt kontaktowy w ramach współpracy między właściwymi organami i podmiotami gospodarczymi będzie upowszechniał wytyczne Komisji Europejskiej i Stałego Komitetu ds. Prekursorów dotyczące rozporządzenia (UE) nr 98/2013. Na potrzeby funkcjonowania systemu zgłaszania, uruchomiona zostanie całodobowa linia telefoniczna oraz adres poczty elektronicznej. Komendant Główny Policji będzie prowadził ewidencję zgłoszeń podejrzanych transakcji, prób dokonania takich transakcji, zniknięć i kradzieży. Tak jak w innych państwach członkowskich Unii Europejskiej, zgodnie z motywem 22 preambuły do rozporządzenia (UE) nr 98/2013, aby ułatwić wykrywanie sprawców i ostrzeganie właściwych organów przed możliwymi zagrożeniami, krajowy punkt kontaktowy w indywidualnych przypadkach będzie korzystał z systemu wczesnego ostrzegania Europolu. </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Projekt ustawy umożliwia wymianę informacji między krajowymi punktami kontaktowymi państw członkowskich z uwagi na możliwość transgranicznego przemieszczania prekursorów materiałów wybuchowych podlegających ograniczeniom, jeśli istnieją uzasadnione obawy, że mogą one być użyte niezgodnie z prawem.</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lastRenderedPageBreak/>
        <w:t>W związku z powyższym w art.</w:t>
      </w:r>
      <w:r w:rsidR="001D6BDE">
        <w:rPr>
          <w:rFonts w:ascii="Times New Roman" w:hAnsi="Times New Roman" w:cs="Times New Roman"/>
          <w:sz w:val="24"/>
          <w:szCs w:val="24"/>
        </w:rPr>
        <w:t xml:space="preserve"> </w:t>
      </w:r>
      <w:r w:rsidRPr="002813BD">
        <w:rPr>
          <w:rFonts w:ascii="Times New Roman" w:hAnsi="Times New Roman" w:cs="Times New Roman"/>
          <w:sz w:val="24"/>
          <w:szCs w:val="24"/>
        </w:rPr>
        <w:t xml:space="preserve">13 projektu ustawy przewidziano stosowną nowelizację </w:t>
      </w:r>
      <w:r w:rsidR="00F525EC">
        <w:rPr>
          <w:rFonts w:ascii="Times New Roman" w:hAnsi="Times New Roman" w:cs="Times New Roman"/>
          <w:sz w:val="24"/>
          <w:szCs w:val="24"/>
        </w:rPr>
        <w:br/>
        <w:t>art. </w:t>
      </w:r>
      <w:r w:rsidRPr="002813BD">
        <w:rPr>
          <w:rFonts w:ascii="Times New Roman" w:hAnsi="Times New Roman" w:cs="Times New Roman"/>
          <w:sz w:val="24"/>
          <w:szCs w:val="24"/>
        </w:rPr>
        <w:t>145j ustawy o Policji. Informacje zgromadzone w systemie zgłaszania będą udostępniane na pisemny zawierający uzasadnienie wniosek służbom wymienionym w art. 7 projektowanej ustawy, o ile są one niezbędne do realizacji ich ustawowych zadań. Pozwoli to na współpracę wymienionych organów z krajowym punktem kontaktowym w celu ochrony bezpieczeństwa publicznego. Nie ma potrzeby zmiany ustaw dotyczących następujących służb: Żandarmerii Wojskowej, Agencji Bezpieczeństwa Wewnętrznego, Agencji Wywiadu oraz Służb Wywiadu i Kontrwywiadu Wojskowego, gdyż udostępniane dane i informacje muszą służyć realizacji ich ustawowych zadań bez nakładania dodatkowych obowiązków. W przypadku Policji, Inspekcji Handlowej, Straży Granicznej i Służby Celnej konieczne jest wprowadzenie odpowiednich zmian w ustawach dotyczących tych służb w celu:</w:t>
      </w:r>
    </w:p>
    <w:p w:rsidR="002813BD" w:rsidRPr="002813BD" w:rsidRDefault="00F525EC" w:rsidP="002813BD">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2813BD" w:rsidRPr="002813BD">
        <w:rPr>
          <w:rFonts w:ascii="Times New Roman" w:hAnsi="Times New Roman" w:cs="Times New Roman"/>
          <w:sz w:val="24"/>
          <w:szCs w:val="24"/>
        </w:rPr>
        <w:t xml:space="preserve"> wykonywania zadań krajowego punktu kontaktowego,</w:t>
      </w:r>
    </w:p>
    <w:p w:rsidR="002813BD" w:rsidRPr="002813BD" w:rsidRDefault="00F525EC" w:rsidP="002813BD">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2813BD" w:rsidRPr="002813BD">
        <w:rPr>
          <w:rFonts w:ascii="Times New Roman" w:hAnsi="Times New Roman" w:cs="Times New Roman"/>
          <w:sz w:val="24"/>
          <w:szCs w:val="24"/>
        </w:rPr>
        <w:t xml:space="preserve"> wypełniania zadań w sprawach kontroli podmiotów prowadzących działalność gospodarczą w zakresie udostępniania prekursorów materiałów wybuchowych podlegających ograniczeniom oraz w sprawie kontroli przeciętnych użytkowników w zakresie posiadania i używania prekursorów materiałów wybuchowych podlegających ograniczeniom,</w:t>
      </w:r>
    </w:p>
    <w:p w:rsidR="002813BD" w:rsidRPr="002813BD" w:rsidRDefault="00F525EC" w:rsidP="002813BD">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2813BD" w:rsidRPr="002813BD">
        <w:rPr>
          <w:rFonts w:ascii="Times New Roman" w:hAnsi="Times New Roman" w:cs="Times New Roman"/>
          <w:sz w:val="24"/>
          <w:szCs w:val="24"/>
        </w:rPr>
        <w:t xml:space="preserve"> wypełniania zadań organów i jednostek właściwych w sprawach kontroli przejść granicznych pod kątem przywozu i wywozu prekursorów materiałów wybuchowych podlegających ograniczeniom.</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 xml:space="preserve">Dane osobowe zgromadzone w systemie zgłaszania, zgodnie z ustawą z dnia 27 sierpnia </w:t>
      </w:r>
      <w:r w:rsidR="00F525EC">
        <w:rPr>
          <w:rFonts w:ascii="Times New Roman" w:hAnsi="Times New Roman" w:cs="Times New Roman"/>
          <w:sz w:val="24"/>
          <w:szCs w:val="24"/>
        </w:rPr>
        <w:br/>
        <w:t>1997 </w:t>
      </w:r>
      <w:r w:rsidRPr="002813BD">
        <w:rPr>
          <w:rFonts w:ascii="Times New Roman" w:hAnsi="Times New Roman" w:cs="Times New Roman"/>
          <w:sz w:val="24"/>
          <w:szCs w:val="24"/>
        </w:rPr>
        <w:t>r. o ochronie danych osobowych (Dz. U. z 2015 r. poz. 2135 i 2281)</w:t>
      </w:r>
      <w:r w:rsidR="008301B9">
        <w:rPr>
          <w:rFonts w:ascii="Times New Roman" w:hAnsi="Times New Roman" w:cs="Times New Roman"/>
          <w:sz w:val="24"/>
          <w:szCs w:val="24"/>
        </w:rPr>
        <w:t>,</w:t>
      </w:r>
      <w:r w:rsidRPr="002813BD">
        <w:rPr>
          <w:rFonts w:ascii="Times New Roman" w:hAnsi="Times New Roman" w:cs="Times New Roman"/>
          <w:sz w:val="24"/>
          <w:szCs w:val="24"/>
        </w:rPr>
        <w:t xml:space="preserve"> mogą być przechowywane przez 2 lata. Taki, a nie dłuższy okres retencji zapewnia także zgodność z Konstytucją RP. Dane uzyskane przez podmioty wymienione w art. 7 projektowanej ustawy mogą być przez nie przechowywane przez okres dłuższy, zgodnie z ustalonymi dla nich zasadami, jeżeli podejrzenia znajdą potwierdzenie.</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 xml:space="preserve">Ponadto, zgodnie z art. 9 projektowanej ustawy, Komendant Główny Policji będzie miał obowiązek sporządzać roczny raport dotyczący funkcjonowania krajowego punktu kontaktowego i ogólnopolskiego systemu zgłaszania podejrzanych transakcji lub prób dokonania takich transakcji, zniknięć i kradzieży znacznych ilości substancji wymienionych w załącznikach do rozporządzenia (UE) </w:t>
      </w:r>
      <w:r w:rsidR="008301B9">
        <w:rPr>
          <w:rFonts w:ascii="Times New Roman" w:hAnsi="Times New Roman" w:cs="Times New Roman"/>
          <w:sz w:val="24"/>
          <w:szCs w:val="24"/>
        </w:rPr>
        <w:t xml:space="preserve">nr </w:t>
      </w:r>
      <w:r w:rsidRPr="002813BD">
        <w:rPr>
          <w:rFonts w:ascii="Times New Roman" w:hAnsi="Times New Roman" w:cs="Times New Roman"/>
          <w:sz w:val="24"/>
          <w:szCs w:val="24"/>
        </w:rPr>
        <w:t xml:space="preserve">98/2013 i aktach delegowanych wydanych na podstawie art. 12 tego rozporządzenia oraz mieszanin i substancji zawierających te substancje </w:t>
      </w:r>
      <w:r w:rsidRPr="002813BD">
        <w:rPr>
          <w:rFonts w:ascii="Times New Roman" w:hAnsi="Times New Roman" w:cs="Times New Roman"/>
          <w:sz w:val="24"/>
          <w:szCs w:val="24"/>
        </w:rPr>
        <w:lastRenderedPageBreak/>
        <w:t>uzyskane na podstawie prowadzonej przez krajowy punkt kontaktowy ewidencji takich zgłoszeń. Raport ten będzie przekazywany ministrowi właściwemu do spraw wewnętrznych, który sprawuje nadzór nad Komendantem Głównym Policji i którego przedstawiciele powinni uczestniczyć w pracach Komitetu ds. Prekursorów w Komisji Europejskiej, a także do wiadomości ministrowi właściwemu do spraw gospodarki. Informacje zawarte w raporcie będą służyły określeniu stanu bezpieczeństwa publicznego.</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Znaczne ilości w rozumieniu projektowanej ustawy oznaczają takie ilości, które z powodzeniem mogą być wykorzystane do wytwarzania materiałów wybuchowych zagrażających bezpieczeństwu publicznemu. Zgodnie z Wytycznymi Komisji Europejskiej i Stałego Komitetu ds. Prekursorów dotyczącymi rozporządzenia (</w:t>
      </w:r>
      <w:r w:rsidR="008301B9">
        <w:rPr>
          <w:rFonts w:ascii="Times New Roman" w:hAnsi="Times New Roman" w:cs="Times New Roman"/>
          <w:sz w:val="24"/>
          <w:szCs w:val="24"/>
        </w:rPr>
        <w:t>U</w:t>
      </w:r>
      <w:r w:rsidRPr="002813BD">
        <w:rPr>
          <w:rFonts w:ascii="Times New Roman" w:hAnsi="Times New Roman" w:cs="Times New Roman"/>
          <w:sz w:val="24"/>
          <w:szCs w:val="24"/>
        </w:rPr>
        <w:t xml:space="preserve">E) nr 98/2013 Parlamentu Europejskiego i Rady z dnia 15 stycznia 2013 r. w sprawie wprowadzania do </w:t>
      </w:r>
      <w:r w:rsidR="008301B9">
        <w:rPr>
          <w:rFonts w:ascii="Times New Roman" w:hAnsi="Times New Roman" w:cs="Times New Roman"/>
          <w:sz w:val="24"/>
          <w:szCs w:val="24"/>
        </w:rPr>
        <w:t>obrotu</w:t>
      </w:r>
      <w:r w:rsidR="008301B9" w:rsidRPr="002813BD">
        <w:rPr>
          <w:rFonts w:ascii="Times New Roman" w:hAnsi="Times New Roman" w:cs="Times New Roman"/>
          <w:sz w:val="24"/>
          <w:szCs w:val="24"/>
        </w:rPr>
        <w:t xml:space="preserve"> </w:t>
      </w:r>
      <w:r w:rsidRPr="002813BD">
        <w:rPr>
          <w:rFonts w:ascii="Times New Roman" w:hAnsi="Times New Roman" w:cs="Times New Roman"/>
          <w:sz w:val="24"/>
          <w:szCs w:val="24"/>
        </w:rPr>
        <w:t xml:space="preserve">i używania prekursorów materiałów wybuchowych (wersja ostateczna z dnia 20 stycznia </w:t>
      </w:r>
      <w:r w:rsidR="00F525EC">
        <w:rPr>
          <w:rFonts w:ascii="Times New Roman" w:hAnsi="Times New Roman" w:cs="Times New Roman"/>
          <w:sz w:val="24"/>
          <w:szCs w:val="24"/>
        </w:rPr>
        <w:br/>
        <w:t>2014 </w:t>
      </w:r>
      <w:r w:rsidRPr="002813BD">
        <w:rPr>
          <w:rFonts w:ascii="Times New Roman" w:hAnsi="Times New Roman" w:cs="Times New Roman"/>
          <w:sz w:val="24"/>
          <w:szCs w:val="24"/>
        </w:rPr>
        <w:t xml:space="preserve">r.) zgłoszenia podejrzanych transakcji obejmują ilości, które wydadzą się podejrzane dokonującym transakcje: zależą one m.in. od rodzaju substancji, warunków transakcji, pory roku (np. sprzedaż azotanu amonu latem/wczesną zimą), rodzaju klienta (mała/duża firma), a także regionu kraju. W związku z tym, nie można określić ich wartości granicznych. </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 xml:space="preserve">Zgodnie z przepisami przejściowymi zawartymi w art. 16 rozporządzenia (UE) nr 98/2013 posiadanie i używanie przez przeciętnych użytkowników prekursorów materiałów wybuchowych podlegających ograniczeniom jest dozwolone do dnia 2 marca 2016 r. Przeciętny użytkownik od dnia 2 września 2014 r. nie może nabywać prekursorów materiałów wybuchowych. Projektowana ustawa określa, że przeciętni użytkownicy nie będą mieć możliwości nabywania, wprowadzania, posiadania ani użycia prekursorów materiałów wybuchowych w stężeniach powyżej stężeń granicznych określonych w załączniku do rozporządzenia (UE) nr 98/2013 od dnia 3 marca 2016 r. </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Należy podkreślić, że przeciętni użytkownicy, którzy na mocy rozporządzenia (UE) nr 98/2013 z dniem 3 marca 2016 r. nie będą mogli posiadać ani używać prekursorów materiałów wybuchowych, będą mogli unieszkodliwić posiadane przez siebie substancje i mieszaniny podlegające restrykcjom</w:t>
      </w:r>
      <w:r w:rsidR="00172F42">
        <w:rPr>
          <w:rFonts w:ascii="Times New Roman" w:hAnsi="Times New Roman" w:cs="Times New Roman"/>
          <w:sz w:val="24"/>
          <w:szCs w:val="24"/>
        </w:rPr>
        <w:t>,</w:t>
      </w:r>
      <w:r w:rsidRPr="002813BD">
        <w:rPr>
          <w:rFonts w:ascii="Times New Roman" w:hAnsi="Times New Roman" w:cs="Times New Roman"/>
          <w:sz w:val="24"/>
          <w:szCs w:val="24"/>
        </w:rPr>
        <w:t xml:space="preserve"> korzystając z usług wyspecjalizowanych firm, trudniących się utylizacją odpadów </w:t>
      </w:r>
      <w:r w:rsidR="00F525EC">
        <w:rPr>
          <w:rFonts w:ascii="Times New Roman" w:hAnsi="Times New Roman" w:cs="Times New Roman"/>
          <w:sz w:val="24"/>
          <w:szCs w:val="24"/>
        </w:rPr>
        <w:t>niebezpiecznych (kod 16 05 06* –</w:t>
      </w:r>
      <w:r w:rsidRPr="002813BD">
        <w:rPr>
          <w:rFonts w:ascii="Times New Roman" w:hAnsi="Times New Roman" w:cs="Times New Roman"/>
          <w:sz w:val="24"/>
          <w:szCs w:val="24"/>
        </w:rPr>
        <w:t xml:space="preserve"> Chemikalia laboratoryjne i analityczne). Zgodnie z informacjami przekazanymi przez Główny Inspektorat Ochrony Środowiska, obecnie w Polsce znajduje się 36 podmiotów posiadających zezwolenie na unieszkodliwianie odpadów o ww. kodzie.</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lastRenderedPageBreak/>
        <w:t>Niezależnie od powyższego państwa członkowskie mogą zgodnie z art. 4 rozporządzenia (UE) nr 98/2013 utrzymywać lub ustanowić system pozwoleń bądź system rejestracji zezwalający na udostępnianie przeciętnym użytkownikom, posiadanie lub używanie przez nich prekursorów materiałów wybuchowych podlegających ograniczeniom pod warunkami określonymi w rozporządzeniu. Należy zauważyć, że system rejestracji nabywania przez przeciętnych użytkowników wybranych substancji byłby dodatkowym obciążeniem dla przedsiębiorców i nie zapewniłby odpowiedniej kontroli przez organy państwowe</w:t>
      </w:r>
      <w:r w:rsidR="00F525EC">
        <w:rPr>
          <w:rFonts w:ascii="Times New Roman" w:hAnsi="Times New Roman" w:cs="Times New Roman"/>
          <w:sz w:val="24"/>
          <w:szCs w:val="24"/>
        </w:rPr>
        <w:t>. W przypadku systemu pozwoleń –</w:t>
      </w:r>
      <w:r w:rsidRPr="002813BD">
        <w:rPr>
          <w:rFonts w:ascii="Times New Roman" w:hAnsi="Times New Roman" w:cs="Times New Roman"/>
          <w:sz w:val="24"/>
          <w:szCs w:val="24"/>
        </w:rPr>
        <w:t xml:space="preserve"> decyzja o ustanowieniu takiego systemu również wydaje się nie być zasadna. Nieskorzystanie z tego odstępstwa pozwoli na lepszą kontrolę i nadzór nad substancjami wysokostężonymi i wpłynie na poprawę bezpieczeństwa publicznego. Ponadto, podczas gdy z systemu pozwoleń korzystałaby prawdopodobnie niewielka grupa osób fizycznych (hobbystów – np. modelarzy), generowałby on dodatkowe koszt</w:t>
      </w:r>
      <w:r w:rsidR="00172F42">
        <w:rPr>
          <w:rFonts w:ascii="Times New Roman" w:hAnsi="Times New Roman" w:cs="Times New Roman"/>
          <w:sz w:val="24"/>
          <w:szCs w:val="24"/>
        </w:rPr>
        <w:t>y dla budżetu p</w:t>
      </w:r>
      <w:r w:rsidRPr="002813BD">
        <w:rPr>
          <w:rFonts w:ascii="Times New Roman" w:hAnsi="Times New Roman" w:cs="Times New Roman"/>
          <w:sz w:val="24"/>
          <w:szCs w:val="24"/>
        </w:rPr>
        <w:t xml:space="preserve">aństwa. Powszechnie dostępne wyroby zawierają substancje w stężeniach poniżej określonych w załączniku I, stąd nie ma potrzeby ustanawiania systemu pozwoleń. System pozwoleń dotyczyłby co do zasady niestandardowych zastosowań (o podwyższonym stężeniu). </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W kilku krajach członkowskich (np. Irlandia, Portugalia, Dania) istnieją krajowe środki ograniczające lub zakazujące udostępnianie, posiadanie i używanie określonych substancji lub mieszanin ze względu na możliwość użycia ich do nielegalnego wytwarzania materiałów wybuchowych. Niemniej jednak nie zwalnia to ich od dostosowania regulacji krajowych do postanowień rozporządzenia (UE) nr 98/2013. Na posiedzeniu S</w:t>
      </w:r>
      <w:r w:rsidR="00F525EC">
        <w:rPr>
          <w:rFonts w:ascii="Times New Roman" w:hAnsi="Times New Roman" w:cs="Times New Roman"/>
          <w:sz w:val="24"/>
          <w:szCs w:val="24"/>
        </w:rPr>
        <w:t>tałego Komitetu ds. Prekursorów</w:t>
      </w:r>
      <w:r w:rsidRPr="002813BD">
        <w:rPr>
          <w:rFonts w:ascii="Times New Roman" w:hAnsi="Times New Roman" w:cs="Times New Roman"/>
          <w:sz w:val="24"/>
          <w:szCs w:val="24"/>
        </w:rPr>
        <w:t xml:space="preserve"> 16 krajów przekazało deklaracje dotyczące planowanych rozwiązań: 5 państw (tj. Belgia, Bułgaria, Łotwa, Włochy i Norwegia) nie skorzysta ani z systemu pozwoleń</w:t>
      </w:r>
      <w:r w:rsidR="00172F42">
        <w:rPr>
          <w:rFonts w:ascii="Times New Roman" w:hAnsi="Times New Roman" w:cs="Times New Roman"/>
          <w:sz w:val="24"/>
          <w:szCs w:val="24"/>
        </w:rPr>
        <w:t>,</w:t>
      </w:r>
      <w:r w:rsidRPr="002813BD">
        <w:rPr>
          <w:rFonts w:ascii="Times New Roman" w:hAnsi="Times New Roman" w:cs="Times New Roman"/>
          <w:sz w:val="24"/>
          <w:szCs w:val="24"/>
        </w:rPr>
        <w:t xml:space="preserve"> ani z systemu rejestracji; 2 państwa (tj. Austria i Litwa) nie skorzystają z systemu pozwoleń</w:t>
      </w:r>
      <w:r w:rsidR="00172F42">
        <w:rPr>
          <w:rFonts w:ascii="Times New Roman" w:hAnsi="Times New Roman" w:cs="Times New Roman"/>
          <w:sz w:val="24"/>
          <w:szCs w:val="24"/>
        </w:rPr>
        <w:t>,</w:t>
      </w:r>
      <w:r w:rsidRPr="002813BD">
        <w:rPr>
          <w:rFonts w:ascii="Times New Roman" w:hAnsi="Times New Roman" w:cs="Times New Roman"/>
          <w:sz w:val="24"/>
          <w:szCs w:val="24"/>
        </w:rPr>
        <w:t xml:space="preserve"> ale zapewnią funkcjonowanie systemu rejestracji; 7 państw (tj. Cypr, Dania, Finlandia, Holandia, Portugalia, Szwecja i Wielka Brytania) wprowadz</w:t>
      </w:r>
      <w:r w:rsidR="00172F42">
        <w:rPr>
          <w:rFonts w:ascii="Times New Roman" w:hAnsi="Times New Roman" w:cs="Times New Roman"/>
          <w:sz w:val="24"/>
          <w:szCs w:val="24"/>
        </w:rPr>
        <w:t>i</w:t>
      </w:r>
      <w:r w:rsidRPr="002813BD">
        <w:rPr>
          <w:rFonts w:ascii="Times New Roman" w:hAnsi="Times New Roman" w:cs="Times New Roman"/>
          <w:sz w:val="24"/>
          <w:szCs w:val="24"/>
        </w:rPr>
        <w:t xml:space="preserve"> system pozwoleń</w:t>
      </w:r>
      <w:r w:rsidR="00172F42">
        <w:rPr>
          <w:rFonts w:ascii="Times New Roman" w:hAnsi="Times New Roman" w:cs="Times New Roman"/>
          <w:sz w:val="24"/>
          <w:szCs w:val="24"/>
        </w:rPr>
        <w:t>,</w:t>
      </w:r>
      <w:r w:rsidRPr="002813BD">
        <w:rPr>
          <w:rFonts w:ascii="Times New Roman" w:hAnsi="Times New Roman" w:cs="Times New Roman"/>
          <w:sz w:val="24"/>
          <w:szCs w:val="24"/>
        </w:rPr>
        <w:t xml:space="preserve"> ale zrezygnuj</w:t>
      </w:r>
      <w:r w:rsidR="00172F42">
        <w:rPr>
          <w:rFonts w:ascii="Times New Roman" w:hAnsi="Times New Roman" w:cs="Times New Roman"/>
          <w:sz w:val="24"/>
          <w:szCs w:val="24"/>
        </w:rPr>
        <w:t>e</w:t>
      </w:r>
      <w:r w:rsidRPr="002813BD">
        <w:rPr>
          <w:rFonts w:ascii="Times New Roman" w:hAnsi="Times New Roman" w:cs="Times New Roman"/>
          <w:sz w:val="24"/>
          <w:szCs w:val="24"/>
        </w:rPr>
        <w:t xml:space="preserve"> z systemu rejestracji; 2 państwa (tj. Hiszpania i Czechy) zamierzają skorzystać z obu systemów.</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 xml:space="preserve">Projekt ustawy w swoim zakresie wprowadza sankcje za naruszenie przepisów dotyczących udostępniania, wprowadzania, posiadania i używania substancji i mieszanin, które mogą być użyte do nielegalnego wytwarzania materiałów wybuchowych, a także przepisy dotyczące obowiązku zgłaszania podejrzanych transakcji w ramach całego łańcucha dostaw. Zgodnie z art. 11 rozporządzenia (UE) nr 98/2013 państwa członkowskie zostały zobowiązane do </w:t>
      </w:r>
      <w:r w:rsidRPr="002813BD">
        <w:rPr>
          <w:rFonts w:ascii="Times New Roman" w:hAnsi="Times New Roman" w:cs="Times New Roman"/>
          <w:sz w:val="24"/>
          <w:szCs w:val="24"/>
        </w:rPr>
        <w:lastRenderedPageBreak/>
        <w:t>określenia sankcji, które będą stosowane w przypadkach naruszeń przepisów wspólnotowych oraz krajowych. Kary powinny być skuteczne, proporcjonalne i odstraszające.</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Za udostępnienie prekursorów materiałów wybuchowych podlegających ograniczeniom przeciętnym użytkownikom, a także za ich wprowadzanie, posiadanie lub używanie przez przeciętnych użytkowników, wbrew przepisom rozporządzenia (UE) nr 98/2013</w:t>
      </w:r>
      <w:r w:rsidR="009E7386">
        <w:rPr>
          <w:rFonts w:ascii="Times New Roman" w:hAnsi="Times New Roman" w:cs="Times New Roman"/>
          <w:sz w:val="24"/>
          <w:szCs w:val="24"/>
        </w:rPr>
        <w:t>,</w:t>
      </w:r>
      <w:r w:rsidRPr="002813BD">
        <w:rPr>
          <w:rFonts w:ascii="Times New Roman" w:hAnsi="Times New Roman" w:cs="Times New Roman"/>
          <w:sz w:val="24"/>
          <w:szCs w:val="24"/>
        </w:rPr>
        <w:t xml:space="preserve"> będą nakładane kary grzywny, ograniczenia wolności albo pozbawienia wolności do lat 2. Niezgłoszenie niezwłocznie podejrzanej transakcji lub próby jej dokonania, zniknięcia lub kradzieży znacznych ilości substancji wymienionych w załącznikach do rozporządzenia (UE) </w:t>
      </w:r>
      <w:r w:rsidR="00172F42">
        <w:rPr>
          <w:rFonts w:ascii="Times New Roman" w:hAnsi="Times New Roman" w:cs="Times New Roman"/>
          <w:sz w:val="24"/>
          <w:szCs w:val="24"/>
        </w:rPr>
        <w:t xml:space="preserve">nr </w:t>
      </w:r>
      <w:r w:rsidRPr="002813BD">
        <w:rPr>
          <w:rFonts w:ascii="Times New Roman" w:hAnsi="Times New Roman" w:cs="Times New Roman"/>
          <w:sz w:val="24"/>
          <w:szCs w:val="24"/>
        </w:rPr>
        <w:t>98/2013 lub aktach delegowanych wydanych na podstawie art. 12 tego rozporządzenia oraz mieszanin lub substancji zawierających te substancje, podlega grzywnie albo karze ograniczenia wolności.</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 xml:space="preserve">Kontrolę przestrzegania przepisów projektowanej ustawy oraz przepisów rozporządzenia (UE) nr 98/2013 sprawować będą, zgodnie ze swoją właściwością, organy Inspekcji Handlowej (UOKiK), Policji (MSWiA), Straży Granicznej, Służby Celnej (MF), oraz Agencji Bezpieczeństwa Wewnętrznego. Nadzór ww. podmioty będą sprawowały na zasadach i w trybie określonym w odrębnych przepisach zgodnie z posiadanymi uprawnieniami w zakresie niezbędnym do realizacji ich ustawowych zadań. </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W zakresie sprawowanej kontroli, stosownie do zmian przewidzianych w art. 3 ust. 1 ustawy z dnia 15 grudnia 2000 r. o Inspekcji Handlowej (Dz. U. z 2014 r. poz. 148, z późn. zm.)</w:t>
      </w:r>
      <w:r w:rsidR="00172F42">
        <w:rPr>
          <w:rFonts w:ascii="Times New Roman" w:hAnsi="Times New Roman" w:cs="Times New Roman"/>
          <w:sz w:val="24"/>
          <w:szCs w:val="24"/>
        </w:rPr>
        <w:t xml:space="preserve"> – </w:t>
      </w:r>
      <w:r w:rsidR="00F525EC">
        <w:rPr>
          <w:rFonts w:ascii="Times New Roman" w:hAnsi="Times New Roman" w:cs="Times New Roman"/>
          <w:sz w:val="24"/>
          <w:szCs w:val="24"/>
        </w:rPr>
        <w:br/>
        <w:t>art. </w:t>
      </w:r>
      <w:r w:rsidRPr="002813BD">
        <w:rPr>
          <w:rFonts w:ascii="Times New Roman" w:hAnsi="Times New Roman" w:cs="Times New Roman"/>
          <w:sz w:val="24"/>
          <w:szCs w:val="24"/>
        </w:rPr>
        <w:t>15 projektowanej ustawy, organy Inspekcji Handlowej zostaną zobowiązane do przeprowadzania kontroli podmiotów gospodarczych udostępniających prekursory materiałów wybuchowych podlegające ograniczeniom</w:t>
      </w:r>
      <w:r w:rsidR="00172F42">
        <w:rPr>
          <w:rFonts w:ascii="Times New Roman" w:hAnsi="Times New Roman" w:cs="Times New Roman"/>
          <w:sz w:val="24"/>
          <w:szCs w:val="24"/>
        </w:rPr>
        <w:t>,</w:t>
      </w:r>
      <w:r w:rsidRPr="002813BD">
        <w:rPr>
          <w:rFonts w:ascii="Times New Roman" w:hAnsi="Times New Roman" w:cs="Times New Roman"/>
          <w:sz w:val="24"/>
          <w:szCs w:val="24"/>
        </w:rPr>
        <w:t xml:space="preserve"> tj. sprawdzeniu</w:t>
      </w:r>
      <w:r w:rsidR="00172F42">
        <w:rPr>
          <w:rFonts w:ascii="Times New Roman" w:hAnsi="Times New Roman" w:cs="Times New Roman"/>
          <w:sz w:val="24"/>
          <w:szCs w:val="24"/>
        </w:rPr>
        <w:t>,</w:t>
      </w:r>
      <w:r w:rsidRPr="002813BD">
        <w:rPr>
          <w:rFonts w:ascii="Times New Roman" w:hAnsi="Times New Roman" w:cs="Times New Roman"/>
          <w:sz w:val="24"/>
          <w:szCs w:val="24"/>
        </w:rPr>
        <w:t xml:space="preserve"> czy podmioty te nie udostępniają prekursorów materiałów wybuchowych podlegających ograniczeniom przeciętnym użytkownikom. </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Organy Inspekcji Handlowej będą właściwe w zakresie kontroli przestrzegania rozporządzenia (UE) nr 98/2013 przez podmioty gospodarcze wprowadzające do obrotu prekursory materiałów wybuchowych podlegające ograniczeniom w odniesieniu do sprzedawców detalicznych i hurtowych. Ponadto należy zauważyć, że w art. 3 ustawy o Inspekcji Handlowej zostały nałożone na jej organy obowiązki dotyczące kontroli sprzedawców hurtowych i detalicznych, również w odniesieniu do substancji i mieszanin chemi</w:t>
      </w:r>
      <w:r w:rsidR="00F525EC">
        <w:rPr>
          <w:rFonts w:ascii="Times New Roman" w:hAnsi="Times New Roman" w:cs="Times New Roman"/>
          <w:sz w:val="24"/>
          <w:szCs w:val="24"/>
        </w:rPr>
        <w:t>cznych. W związku z tym zasadn</w:t>
      </w:r>
      <w:r w:rsidR="00172F42">
        <w:rPr>
          <w:rFonts w:ascii="Times New Roman" w:hAnsi="Times New Roman" w:cs="Times New Roman"/>
          <w:sz w:val="24"/>
          <w:szCs w:val="24"/>
        </w:rPr>
        <w:t>e,</w:t>
      </w:r>
      <w:r w:rsidRPr="002813BD">
        <w:rPr>
          <w:rFonts w:ascii="Times New Roman" w:hAnsi="Times New Roman" w:cs="Times New Roman"/>
          <w:sz w:val="24"/>
          <w:szCs w:val="24"/>
        </w:rPr>
        <w:t xml:space="preserve"> jest rozszerzenie zakresu zadań o kontrolę nad </w:t>
      </w:r>
      <w:r w:rsidRPr="002813BD">
        <w:rPr>
          <w:rFonts w:ascii="Times New Roman" w:hAnsi="Times New Roman" w:cs="Times New Roman"/>
          <w:sz w:val="24"/>
          <w:szCs w:val="24"/>
        </w:rPr>
        <w:lastRenderedPageBreak/>
        <w:t xml:space="preserve">sprzedawcami również w zakresie prekursorów materiałów wybuchowych podlegających ograniczeniom. </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 xml:space="preserve">W art. 14 projektu ustawy została wprowadzona zmiana przepisów ustawy z dnia </w:t>
      </w:r>
      <w:r w:rsidR="00F525EC">
        <w:rPr>
          <w:rFonts w:ascii="Times New Roman" w:hAnsi="Times New Roman" w:cs="Times New Roman"/>
          <w:sz w:val="24"/>
          <w:szCs w:val="24"/>
        </w:rPr>
        <w:br/>
        <w:t>12 </w:t>
      </w:r>
      <w:r w:rsidRPr="002813BD">
        <w:rPr>
          <w:rFonts w:ascii="Times New Roman" w:hAnsi="Times New Roman" w:cs="Times New Roman"/>
          <w:sz w:val="24"/>
          <w:szCs w:val="24"/>
        </w:rPr>
        <w:t xml:space="preserve">października 1990 r. o Straży Granicznej (Dz. U. z 2014 r. poz. 1402, z późn. zm.), która reguluje możliwość reagowania w przypadku przestępstw i wykroczeń związanych z przemieszczeniem prekursorów materiałów wybuchowych podlegających ograniczeniom. </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W art. 16 projektu ustawy została wprowadzona zmiana przepisów ustawy z dnia 27 sierpnia 2009 r. o Służbie Celnej (Dz. U. z 2015 r. poz. 990, z późn. zm.). W zakresie sprawowanej kontroli, organy Służby Celnej, mając na względzie cel powołania Służby Celnej, zgodnie z art. 1 ustawy o Służbie Celnej, a mianowicie „zapewnienie ochrony i bezpieczeństwa obszaru celnego Unii Europejskiej</w:t>
      </w:r>
      <w:r w:rsidR="00D434A0">
        <w:rPr>
          <w:rFonts w:ascii="Times New Roman" w:hAnsi="Times New Roman" w:cs="Times New Roman"/>
          <w:sz w:val="24"/>
          <w:szCs w:val="24"/>
        </w:rPr>
        <w:t>,</w:t>
      </w:r>
      <w:r w:rsidRPr="002813BD">
        <w:rPr>
          <w:rFonts w:ascii="Times New Roman" w:hAnsi="Times New Roman" w:cs="Times New Roman"/>
          <w:sz w:val="24"/>
          <w:szCs w:val="24"/>
        </w:rPr>
        <w:t xml:space="preserve"> w tym zgodności z prawem przywozu towarów na ten obszar oraz wywozu towarów z tego obszaru […]”, zostaną zobowiązane do przeprowadzania kontroli podczas próby bezprawnego przywozu na terytorium Rzeczypospolitej Polskiej lub wywozu z terytorium Rzeczypospolitej Polskiej prekursorów materiałów wybuchowych podlegających ograniczeniom.</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 xml:space="preserve">Mając na względzie pilną potrzebę zapewnienia stosowania postanowień rozporządzenia (UE) nr 98/2013 niezbędne jest jak najszybsze wejście w życie projektowanej ustawy. Uzasadnia to skrócenie 90-dniowego </w:t>
      </w:r>
      <w:r w:rsidRPr="00F463AB">
        <w:rPr>
          <w:rFonts w:ascii="Times New Roman" w:hAnsi="Times New Roman" w:cs="Times New Roman"/>
          <w:i/>
          <w:sz w:val="24"/>
          <w:szCs w:val="24"/>
        </w:rPr>
        <w:t>vacatio legis</w:t>
      </w:r>
      <w:r w:rsidRPr="00F525EC">
        <w:rPr>
          <w:rFonts w:ascii="Times New Roman" w:hAnsi="Times New Roman" w:cs="Times New Roman"/>
          <w:i/>
          <w:sz w:val="24"/>
          <w:szCs w:val="24"/>
        </w:rPr>
        <w:t xml:space="preserve"> </w:t>
      </w:r>
      <w:r w:rsidRPr="002813BD">
        <w:rPr>
          <w:rFonts w:ascii="Times New Roman" w:hAnsi="Times New Roman" w:cs="Times New Roman"/>
          <w:sz w:val="24"/>
          <w:szCs w:val="24"/>
        </w:rPr>
        <w:t>do 30-dniowego i odstąpienie od wy</w:t>
      </w:r>
      <w:r w:rsidR="00172F42">
        <w:rPr>
          <w:rFonts w:ascii="Times New Roman" w:hAnsi="Times New Roman" w:cs="Times New Roman"/>
          <w:sz w:val="24"/>
          <w:szCs w:val="24"/>
        </w:rPr>
        <w:t>nikającej z postanowień uchwały nr 20</w:t>
      </w:r>
      <w:r w:rsidR="00F525EC">
        <w:rPr>
          <w:rFonts w:ascii="Times New Roman" w:hAnsi="Times New Roman" w:cs="Times New Roman"/>
          <w:sz w:val="24"/>
          <w:szCs w:val="24"/>
        </w:rPr>
        <w:t xml:space="preserve"> </w:t>
      </w:r>
      <w:r w:rsidRPr="002813BD">
        <w:rPr>
          <w:rFonts w:ascii="Times New Roman" w:hAnsi="Times New Roman" w:cs="Times New Roman"/>
          <w:sz w:val="24"/>
          <w:szCs w:val="24"/>
        </w:rPr>
        <w:t>Rady Ministrów z dnia 18 lutego 2014 r. w sprawie zaleceń ujednolicenia terminów wejścia w życie niektórych aktów normatywnych (M.P. poz. 205) zasady ustalania na dzień 1 stycznia albo 1 czerwca daty wejścia w życie przepisów określających warunki prowadzenia działalności gospodarczej. Wyjątkiem jest art. 11 projektu ustawy, który wchodzi w życie z dniem 3 marca 2016 r., zgodnie z przepisami przejściowymi do rozporządzenia (UE) nr 98/2013.</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Projekt ustawy nie podlega procedurze notyfikacji określonej w przepisach rozporządzenia Rady Ministrów z dnia 23 grudnia 2002 r. w sprawie sposobu funkcjonowania krajowego systemu notyfikacji norm i aktów prawnych (Dz. U. Nr 239, poz. 2039 oraz z 2004 r. Nr 65, poz. 597).</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Projekt ustawy nie podlega przedstawieniu właściwym organom i instytucjom Unii Europejskiej, w tym Europejskiemu Bankowi Centralnemu</w:t>
      </w:r>
      <w:r w:rsidR="00172F42">
        <w:rPr>
          <w:rFonts w:ascii="Times New Roman" w:hAnsi="Times New Roman" w:cs="Times New Roman"/>
          <w:sz w:val="24"/>
          <w:szCs w:val="24"/>
        </w:rPr>
        <w:t>,</w:t>
      </w:r>
      <w:r w:rsidRPr="002813BD">
        <w:rPr>
          <w:rFonts w:ascii="Times New Roman" w:hAnsi="Times New Roman" w:cs="Times New Roman"/>
          <w:sz w:val="24"/>
          <w:szCs w:val="24"/>
        </w:rPr>
        <w:t xml:space="preserve"> w celu uzyskania opinii, dokonania powiadomienia, konsultacji albo uzgodnienia</w:t>
      </w:r>
      <w:r w:rsidR="00172F42">
        <w:rPr>
          <w:rFonts w:ascii="Times New Roman" w:hAnsi="Times New Roman" w:cs="Times New Roman"/>
          <w:sz w:val="24"/>
          <w:szCs w:val="24"/>
        </w:rPr>
        <w:t xml:space="preserve"> zgodnie z § 27 ust. 4 uchwały n</w:t>
      </w:r>
      <w:r w:rsidRPr="002813BD">
        <w:rPr>
          <w:rFonts w:ascii="Times New Roman" w:hAnsi="Times New Roman" w:cs="Times New Roman"/>
          <w:sz w:val="24"/>
          <w:szCs w:val="24"/>
        </w:rPr>
        <w:t xml:space="preserve">r 190 </w:t>
      </w:r>
      <w:r w:rsidRPr="002813BD">
        <w:rPr>
          <w:rFonts w:ascii="Times New Roman" w:hAnsi="Times New Roman" w:cs="Times New Roman"/>
          <w:sz w:val="24"/>
          <w:szCs w:val="24"/>
        </w:rPr>
        <w:lastRenderedPageBreak/>
        <w:t>Rady Ministrów z dnia 29 października 2013 r. – Reg</w:t>
      </w:r>
      <w:r w:rsidR="00F525EC">
        <w:rPr>
          <w:rFonts w:ascii="Times New Roman" w:hAnsi="Times New Roman" w:cs="Times New Roman"/>
          <w:sz w:val="24"/>
          <w:szCs w:val="24"/>
        </w:rPr>
        <w:t xml:space="preserve">ulamin pracy Rady Ministrów </w:t>
      </w:r>
      <w:r w:rsidR="00F525EC">
        <w:rPr>
          <w:rFonts w:ascii="Times New Roman" w:hAnsi="Times New Roman" w:cs="Times New Roman"/>
          <w:sz w:val="24"/>
          <w:szCs w:val="24"/>
        </w:rPr>
        <w:br/>
        <w:t>(M.</w:t>
      </w:r>
      <w:r w:rsidRPr="002813BD">
        <w:rPr>
          <w:rFonts w:ascii="Times New Roman" w:hAnsi="Times New Roman" w:cs="Times New Roman"/>
          <w:sz w:val="24"/>
          <w:szCs w:val="24"/>
        </w:rPr>
        <w:t>P. poz. 979, z późn. zm</w:t>
      </w:r>
      <w:r w:rsidR="00F525EC">
        <w:rPr>
          <w:rFonts w:ascii="Times New Roman" w:hAnsi="Times New Roman" w:cs="Times New Roman"/>
          <w:sz w:val="24"/>
          <w:szCs w:val="24"/>
        </w:rPr>
        <w:t>.</w:t>
      </w:r>
      <w:r w:rsidRPr="002813BD">
        <w:rPr>
          <w:rFonts w:ascii="Times New Roman" w:hAnsi="Times New Roman" w:cs="Times New Roman"/>
          <w:sz w:val="24"/>
          <w:szCs w:val="24"/>
        </w:rPr>
        <w:t>).</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 xml:space="preserve">Z chwilą przekazania do uzgodnień międzyresortowych projekt ustawy został udostępniony w Biuletynie Informacji Publicznej na stronie podmiotowej Rządowego Centrum Legislacji, w serwisie Rządowy Proces Legislacyjny, zgodnie z ustawą z dnia 7 lipca 2005 r. o działalności lobbingowej w procesie stosowania prawa (Dz. U. Nr 169, poz. 1414, </w:t>
      </w:r>
      <w:r w:rsidR="00172F42">
        <w:rPr>
          <w:rFonts w:ascii="Times New Roman" w:hAnsi="Times New Roman" w:cs="Times New Roman"/>
          <w:sz w:val="24"/>
          <w:szCs w:val="24"/>
        </w:rPr>
        <w:t>z późn. zm.) oraz § 52 uchwały n</w:t>
      </w:r>
      <w:r w:rsidRPr="002813BD">
        <w:rPr>
          <w:rFonts w:ascii="Times New Roman" w:hAnsi="Times New Roman" w:cs="Times New Roman"/>
          <w:sz w:val="24"/>
          <w:szCs w:val="24"/>
        </w:rPr>
        <w:t xml:space="preserve">r 190 Rady Ministrów z dnia 29 października 2013 r. – Regulamin pracy Rady Ministrów. </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Projekt ustawy został udostępniony w Biuletynie Informacji Publicznej Ministerstwa Gospodarki, zgodnie z przepisami ustawy z dnia 7 lipca 2005 r. o działalności lobbingowej w procesie stanowienia prawa.</w:t>
      </w:r>
    </w:p>
    <w:p w:rsidR="002813BD" w:rsidRPr="002813BD" w:rsidRDefault="002813BD" w:rsidP="002813BD">
      <w:pPr>
        <w:spacing w:line="360" w:lineRule="auto"/>
        <w:jc w:val="both"/>
        <w:rPr>
          <w:rFonts w:ascii="Times New Roman" w:hAnsi="Times New Roman" w:cs="Times New Roman"/>
          <w:sz w:val="24"/>
          <w:szCs w:val="24"/>
        </w:rPr>
      </w:pPr>
      <w:r w:rsidRPr="002813BD">
        <w:rPr>
          <w:rFonts w:ascii="Times New Roman" w:hAnsi="Times New Roman" w:cs="Times New Roman"/>
          <w:sz w:val="24"/>
          <w:szCs w:val="24"/>
        </w:rPr>
        <w:t>Projekt ustawy jest zgodny z przepisami prawa Unii Europejskiej.</w:t>
      </w:r>
    </w:p>
    <w:p w:rsidR="00DE7F16" w:rsidRDefault="00DE7F16">
      <w:r>
        <w:br w:type="page"/>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94"/>
        <w:gridCol w:w="537"/>
        <w:gridCol w:w="451"/>
        <w:gridCol w:w="281"/>
        <w:gridCol w:w="286"/>
        <w:gridCol w:w="283"/>
        <w:gridCol w:w="288"/>
        <w:gridCol w:w="280"/>
        <w:gridCol w:w="287"/>
        <w:gridCol w:w="138"/>
        <w:gridCol w:w="420"/>
        <w:gridCol w:w="9"/>
        <w:gridCol w:w="142"/>
        <w:gridCol w:w="138"/>
        <w:gridCol w:w="287"/>
        <w:gridCol w:w="567"/>
        <w:gridCol w:w="528"/>
        <w:gridCol w:w="43"/>
        <w:gridCol w:w="280"/>
        <w:gridCol w:w="280"/>
        <w:gridCol w:w="7"/>
        <w:gridCol w:w="421"/>
        <w:gridCol w:w="146"/>
        <w:gridCol w:w="567"/>
        <w:gridCol w:w="571"/>
        <w:gridCol w:w="1134"/>
      </w:tblGrid>
      <w:tr w:rsidR="00DE7F16" w:rsidRPr="00DE7F16" w:rsidTr="002C0F75">
        <w:trPr>
          <w:trHeight w:val="1611"/>
        </w:trPr>
        <w:tc>
          <w:tcPr>
            <w:tcW w:w="6616" w:type="dxa"/>
            <w:gridSpan w:val="17"/>
            <w:shd w:val="clear" w:color="auto" w:fill="auto"/>
          </w:tcPr>
          <w:p w:rsidR="00DE7F16" w:rsidRPr="00DE7F16" w:rsidRDefault="00DE7F16" w:rsidP="00DE3FC6">
            <w:pPr>
              <w:spacing w:after="0" w:line="240" w:lineRule="auto"/>
              <w:jc w:val="both"/>
              <w:rPr>
                <w:rFonts w:ascii="Times New Roman" w:hAnsi="Times New Roman" w:cs="Times New Roman"/>
                <w:sz w:val="24"/>
                <w:szCs w:val="24"/>
              </w:rPr>
            </w:pPr>
            <w:bookmarkStart w:id="1" w:name="t1"/>
            <w:r w:rsidRPr="00DE7F16">
              <w:rPr>
                <w:rFonts w:ascii="Times New Roman" w:hAnsi="Times New Roman" w:cs="Times New Roman"/>
                <w:b/>
                <w:sz w:val="24"/>
                <w:szCs w:val="24"/>
              </w:rPr>
              <w:lastRenderedPageBreak/>
              <w:t>Nazwa projektu</w:t>
            </w:r>
          </w:p>
          <w:p w:rsidR="00DE3FC6" w:rsidRDefault="005C08A5" w:rsidP="00DE3FC6">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o bezpieczeństwie obrotu prekursorami materiałów wybuchowych</w:t>
            </w:r>
          </w:p>
          <w:p w:rsidR="005C08A5" w:rsidRPr="005C08A5" w:rsidRDefault="005C08A5" w:rsidP="00DE3FC6">
            <w:pPr>
              <w:shd w:val="clear" w:color="auto" w:fill="FFFFFF" w:themeFill="background1"/>
              <w:spacing w:after="0" w:line="240" w:lineRule="auto"/>
              <w:jc w:val="both"/>
              <w:rPr>
                <w:rFonts w:ascii="Times New Roman" w:hAnsi="Times New Roman" w:cs="Times New Roman"/>
                <w:sz w:val="16"/>
                <w:szCs w:val="16"/>
              </w:rPr>
            </w:pPr>
          </w:p>
          <w:p w:rsidR="00DE7F16" w:rsidRPr="00DE7F16" w:rsidRDefault="00DE7F16" w:rsidP="00DE3FC6">
            <w:pPr>
              <w:shd w:val="clear" w:color="auto" w:fill="FFFFFF" w:themeFill="background1"/>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Ministerstwo wiodące i ministerstwa współpracujące</w:t>
            </w:r>
          </w:p>
          <w:bookmarkEnd w:id="1"/>
          <w:p w:rsidR="00DE7F16" w:rsidRDefault="005C08A5" w:rsidP="005C08A5">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Ministerstwo Rozwoju we współpracy z Ministerstwem Spraw Wewnętrznych i Administracji</w:t>
            </w:r>
          </w:p>
          <w:p w:rsidR="005C08A5" w:rsidRPr="005C08A5" w:rsidRDefault="005C08A5" w:rsidP="005C08A5">
            <w:pPr>
              <w:shd w:val="clear" w:color="auto" w:fill="FFFFFF" w:themeFill="background1"/>
              <w:spacing w:after="0" w:line="240" w:lineRule="auto"/>
              <w:jc w:val="both"/>
              <w:rPr>
                <w:rFonts w:ascii="Times New Roman" w:hAnsi="Times New Roman" w:cs="Times New Roman"/>
                <w:color w:val="000000" w:themeColor="text1"/>
                <w:sz w:val="16"/>
                <w:szCs w:val="16"/>
                <w14:shadow w14:blurRad="50800" w14:dist="50800" w14:dir="5400000" w14:sx="0" w14:sy="0" w14:kx="0" w14:ky="0" w14:algn="ctr">
                  <w14:schemeClr w14:val="bg1"/>
                </w14:shadow>
              </w:rPr>
            </w:pPr>
          </w:p>
          <w:p w:rsidR="00DE7F16" w:rsidRPr="00DE7F16" w:rsidRDefault="00DE7F16" w:rsidP="00DE7F16">
            <w:p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 xml:space="preserve">Osoba odpowiedzialna za projekt w randze Ministra, Sekretarza Stanu lub Podsekretarza Stanu </w:t>
            </w:r>
          </w:p>
          <w:p w:rsidR="00DE7F16" w:rsidRDefault="00DE7F16" w:rsidP="00DE7F16">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Jadwiga Emilewicz, Podsekretarz Stanu w Ministerstwie Rozwoju</w:t>
            </w:r>
          </w:p>
          <w:p w:rsidR="00DE3FC6" w:rsidRPr="005C08A5" w:rsidRDefault="00DE3FC6" w:rsidP="00DE7F16">
            <w:pPr>
              <w:spacing w:after="0" w:line="240" w:lineRule="auto"/>
              <w:jc w:val="both"/>
              <w:rPr>
                <w:rFonts w:ascii="Times New Roman" w:hAnsi="Times New Roman" w:cs="Times New Roman"/>
                <w:sz w:val="16"/>
                <w:szCs w:val="16"/>
              </w:rPr>
            </w:pPr>
          </w:p>
          <w:p w:rsidR="00DE7F16" w:rsidRPr="00DE7F16" w:rsidRDefault="00DE7F16" w:rsidP="00DE7F16">
            <w:p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Kontakt do opiekuna merytorycznego projektu</w:t>
            </w:r>
          </w:p>
          <w:p w:rsidR="00DE7F16" w:rsidRPr="00DE7F16" w:rsidRDefault="00DE7F16" w:rsidP="00DE7F16">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 xml:space="preserve">Piotr Zabadała, tel.: 22 693 50 62, </w:t>
            </w:r>
          </w:p>
          <w:p w:rsidR="00DE7F16" w:rsidRPr="004A3DBF" w:rsidRDefault="00DE7F16" w:rsidP="00DE7F16">
            <w:pPr>
              <w:spacing w:after="0" w:line="240" w:lineRule="auto"/>
              <w:jc w:val="both"/>
              <w:rPr>
                <w:rFonts w:ascii="Times New Roman" w:hAnsi="Times New Roman" w:cs="Times New Roman"/>
                <w:sz w:val="24"/>
                <w:szCs w:val="24"/>
                <w:lang w:val="en-US"/>
              </w:rPr>
            </w:pPr>
            <w:r w:rsidRPr="00DE7F16">
              <w:rPr>
                <w:rFonts w:ascii="Times New Roman" w:hAnsi="Times New Roman" w:cs="Times New Roman"/>
                <w:sz w:val="24"/>
                <w:szCs w:val="24"/>
                <w:lang w:val="fr-FR"/>
              </w:rPr>
              <w:t xml:space="preserve">e-mail: </w:t>
            </w:r>
            <w:hyperlink r:id="rId8" w:history="1">
              <w:r w:rsidRPr="00DE7F16">
                <w:rPr>
                  <w:rStyle w:val="Hipercze"/>
                  <w:rFonts w:ascii="Times New Roman" w:hAnsi="Times New Roman" w:cs="Times New Roman"/>
                  <w:sz w:val="24"/>
                  <w:szCs w:val="24"/>
                  <w:lang w:val="fr-FR"/>
                </w:rPr>
                <w:t>piotr.zabadala@mg.gov.pl</w:t>
              </w:r>
            </w:hyperlink>
          </w:p>
        </w:tc>
        <w:tc>
          <w:tcPr>
            <w:tcW w:w="3449" w:type="dxa"/>
            <w:gridSpan w:val="9"/>
            <w:shd w:val="clear" w:color="auto" w:fill="FFFFFF"/>
          </w:tcPr>
          <w:p w:rsidR="00DE7F16" w:rsidRDefault="00DE7F16" w:rsidP="005C08A5">
            <w:pPr>
              <w:spacing w:after="0" w:line="240" w:lineRule="auto"/>
              <w:ind w:right="34"/>
              <w:rPr>
                <w:rFonts w:ascii="Times New Roman" w:hAnsi="Times New Roman" w:cs="Times New Roman"/>
                <w:sz w:val="24"/>
                <w:szCs w:val="24"/>
              </w:rPr>
            </w:pPr>
            <w:r w:rsidRPr="00DE7F16">
              <w:rPr>
                <w:rFonts w:ascii="Times New Roman" w:hAnsi="Times New Roman" w:cs="Times New Roman"/>
                <w:b/>
                <w:sz w:val="24"/>
                <w:szCs w:val="24"/>
              </w:rPr>
              <w:t>Data sporządzenia</w:t>
            </w:r>
            <w:r w:rsidRPr="00DE7F16">
              <w:rPr>
                <w:rFonts w:ascii="Times New Roman" w:hAnsi="Times New Roman" w:cs="Times New Roman"/>
                <w:b/>
                <w:sz w:val="24"/>
                <w:szCs w:val="24"/>
              </w:rPr>
              <w:br/>
            </w:r>
            <w:r w:rsidR="005C08A5" w:rsidRPr="005C08A5">
              <w:rPr>
                <w:rFonts w:ascii="Times New Roman" w:hAnsi="Times New Roman" w:cs="Times New Roman"/>
                <w:sz w:val="24"/>
                <w:szCs w:val="24"/>
              </w:rPr>
              <w:t xml:space="preserve">15 stycznia 2016 r. </w:t>
            </w:r>
          </w:p>
          <w:p w:rsidR="005C08A5" w:rsidRPr="005C08A5" w:rsidRDefault="005C08A5" w:rsidP="005C08A5">
            <w:pPr>
              <w:spacing w:after="0" w:line="240" w:lineRule="auto"/>
              <w:ind w:right="34"/>
              <w:rPr>
                <w:rFonts w:ascii="Times New Roman" w:hAnsi="Times New Roman" w:cs="Times New Roman"/>
                <w:b/>
                <w:sz w:val="16"/>
                <w:szCs w:val="16"/>
              </w:rPr>
            </w:pPr>
          </w:p>
          <w:p w:rsidR="00DE7F16" w:rsidRPr="00DE7F16" w:rsidRDefault="00DE7F16" w:rsidP="00DE7F16">
            <w:p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 xml:space="preserve">Źródło: </w:t>
            </w:r>
            <w:bookmarkStart w:id="2" w:name="Lista1"/>
          </w:p>
          <w:p w:rsidR="00DE7F16" w:rsidRPr="00DE7F16" w:rsidRDefault="00DE7F16" w:rsidP="002C0F75">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 xml:space="preserve">Rozporządzenie (UE) </w:t>
            </w:r>
            <w:r w:rsidR="001F5A21">
              <w:rPr>
                <w:rFonts w:ascii="Times New Roman" w:hAnsi="Times New Roman" w:cs="Times New Roman"/>
                <w:sz w:val="24"/>
                <w:szCs w:val="24"/>
              </w:rPr>
              <w:t xml:space="preserve">nr </w:t>
            </w:r>
            <w:r w:rsidRPr="00DE7F16">
              <w:rPr>
                <w:rFonts w:ascii="Times New Roman" w:hAnsi="Times New Roman" w:cs="Times New Roman"/>
                <w:sz w:val="24"/>
                <w:szCs w:val="24"/>
              </w:rPr>
              <w:t xml:space="preserve">98/2013 z dnia 15 stycznia 2013 r. </w:t>
            </w:r>
            <w:r w:rsidRPr="00DE7F16">
              <w:rPr>
                <w:rFonts w:ascii="Times New Roman" w:hAnsi="Times New Roman" w:cs="Times New Roman"/>
                <w:i/>
                <w:sz w:val="24"/>
                <w:szCs w:val="24"/>
              </w:rPr>
              <w:t xml:space="preserve">w sprawie wprowadzania do obrotu i używania prekursorów materiałów wybuchowych </w:t>
            </w:r>
            <w:r w:rsidR="001F5A21">
              <w:rPr>
                <w:rFonts w:ascii="Times New Roman" w:hAnsi="Times New Roman" w:cs="Times New Roman"/>
                <w:i/>
                <w:sz w:val="24"/>
                <w:szCs w:val="24"/>
              </w:rPr>
              <w:br/>
            </w:r>
            <w:r w:rsidRPr="00DE7F16">
              <w:rPr>
                <w:rFonts w:ascii="Times New Roman" w:hAnsi="Times New Roman" w:cs="Times New Roman"/>
                <w:i/>
                <w:sz w:val="24"/>
                <w:szCs w:val="24"/>
              </w:rPr>
              <w:t>(Dz.</w:t>
            </w:r>
            <w:r w:rsidR="001F5A21">
              <w:rPr>
                <w:rFonts w:ascii="Times New Roman" w:hAnsi="Times New Roman" w:cs="Times New Roman"/>
                <w:i/>
                <w:sz w:val="24"/>
                <w:szCs w:val="24"/>
              </w:rPr>
              <w:t xml:space="preserve"> </w:t>
            </w:r>
            <w:r w:rsidRPr="00DE7F16">
              <w:rPr>
                <w:rFonts w:ascii="Times New Roman" w:hAnsi="Times New Roman" w:cs="Times New Roman"/>
                <w:i/>
                <w:sz w:val="24"/>
                <w:szCs w:val="24"/>
              </w:rPr>
              <w:t>U</w:t>
            </w:r>
            <w:r w:rsidR="001F5A21">
              <w:rPr>
                <w:rFonts w:ascii="Times New Roman" w:hAnsi="Times New Roman" w:cs="Times New Roman"/>
                <w:i/>
                <w:sz w:val="24"/>
                <w:szCs w:val="24"/>
              </w:rPr>
              <w:t>rz</w:t>
            </w:r>
            <w:r w:rsidRPr="00DE7F16">
              <w:rPr>
                <w:rFonts w:ascii="Times New Roman" w:hAnsi="Times New Roman" w:cs="Times New Roman"/>
                <w:i/>
                <w:sz w:val="24"/>
                <w:szCs w:val="24"/>
              </w:rPr>
              <w:t>. UE L 39</w:t>
            </w:r>
            <w:r w:rsidR="002C0F75">
              <w:rPr>
                <w:rFonts w:ascii="Times New Roman" w:hAnsi="Times New Roman" w:cs="Times New Roman"/>
                <w:i/>
                <w:sz w:val="24"/>
                <w:szCs w:val="24"/>
              </w:rPr>
              <w:t xml:space="preserve"> </w:t>
            </w:r>
            <w:r w:rsidR="001F5A21">
              <w:rPr>
                <w:rFonts w:ascii="Times New Roman" w:hAnsi="Times New Roman" w:cs="Times New Roman"/>
                <w:i/>
                <w:sz w:val="24"/>
                <w:szCs w:val="24"/>
              </w:rPr>
              <w:t>z 09.02.2013, str. 1</w:t>
            </w:r>
            <w:r w:rsidRPr="00DE7F16">
              <w:rPr>
                <w:rFonts w:ascii="Times New Roman" w:hAnsi="Times New Roman" w:cs="Times New Roman"/>
                <w:i/>
                <w:sz w:val="24"/>
                <w:szCs w:val="24"/>
              </w:rPr>
              <w:t>)</w:t>
            </w:r>
          </w:p>
          <w:p w:rsidR="00DE7F16" w:rsidRPr="005C08A5" w:rsidRDefault="00DE7F16" w:rsidP="00DE7F16">
            <w:pPr>
              <w:spacing w:after="0" w:line="240" w:lineRule="auto"/>
              <w:jc w:val="both"/>
              <w:rPr>
                <w:rFonts w:ascii="Times New Roman" w:hAnsi="Times New Roman" w:cs="Times New Roman"/>
                <w:b/>
                <w:sz w:val="16"/>
                <w:szCs w:val="16"/>
              </w:rPr>
            </w:pPr>
          </w:p>
          <w:bookmarkEnd w:id="2"/>
          <w:p w:rsidR="00DE7F16" w:rsidRPr="00DE7F16" w:rsidRDefault="00DE7F16" w:rsidP="00DE7F16">
            <w:pPr>
              <w:spacing w:after="0" w:line="240" w:lineRule="auto"/>
              <w:rPr>
                <w:rFonts w:ascii="Times New Roman" w:hAnsi="Times New Roman" w:cs="Times New Roman"/>
                <w:sz w:val="24"/>
                <w:szCs w:val="24"/>
              </w:rPr>
            </w:pPr>
            <w:r w:rsidRPr="00DE7F16">
              <w:rPr>
                <w:rFonts w:ascii="Times New Roman" w:hAnsi="Times New Roman" w:cs="Times New Roman"/>
                <w:b/>
                <w:sz w:val="24"/>
                <w:szCs w:val="24"/>
              </w:rPr>
              <w:t xml:space="preserve">Nr w wykazie prac: </w:t>
            </w:r>
            <w:r w:rsidRPr="00DE7F16">
              <w:rPr>
                <w:rFonts w:ascii="Times New Roman" w:hAnsi="Times New Roman" w:cs="Times New Roman"/>
                <w:sz w:val="24"/>
                <w:szCs w:val="24"/>
              </w:rPr>
              <w:t>UC24</w:t>
            </w:r>
          </w:p>
          <w:p w:rsidR="00DE7F16" w:rsidRPr="00DE7F16" w:rsidRDefault="00DE7F16" w:rsidP="00DE7F16">
            <w:pPr>
              <w:spacing w:line="360" w:lineRule="auto"/>
              <w:jc w:val="both"/>
              <w:rPr>
                <w:rFonts w:ascii="Times New Roman" w:hAnsi="Times New Roman" w:cs="Times New Roman"/>
                <w:sz w:val="24"/>
                <w:szCs w:val="24"/>
              </w:rPr>
            </w:pPr>
          </w:p>
        </w:tc>
      </w:tr>
      <w:tr w:rsidR="00DE7F16" w:rsidRPr="00DE7F16" w:rsidTr="00DE3FC6">
        <w:trPr>
          <w:trHeight w:val="310"/>
        </w:trPr>
        <w:tc>
          <w:tcPr>
            <w:tcW w:w="10065" w:type="dxa"/>
            <w:gridSpan w:val="26"/>
            <w:shd w:val="clear" w:color="auto" w:fill="99CCFF"/>
          </w:tcPr>
          <w:p w:rsidR="00DE7F16" w:rsidRPr="00DE7F16" w:rsidRDefault="00DE7F16" w:rsidP="002271B0">
            <w:pPr>
              <w:spacing w:after="0" w:line="360" w:lineRule="auto"/>
              <w:jc w:val="center"/>
              <w:rPr>
                <w:rFonts w:ascii="Times New Roman" w:hAnsi="Times New Roman" w:cs="Times New Roman"/>
                <w:b/>
                <w:sz w:val="24"/>
                <w:szCs w:val="24"/>
              </w:rPr>
            </w:pPr>
            <w:r w:rsidRPr="00DE7F16">
              <w:rPr>
                <w:rFonts w:ascii="Times New Roman" w:hAnsi="Times New Roman" w:cs="Times New Roman"/>
                <w:b/>
                <w:sz w:val="24"/>
                <w:szCs w:val="24"/>
              </w:rPr>
              <w:t>OCENA SKUTKÓW REGULACJI</w:t>
            </w:r>
          </w:p>
        </w:tc>
      </w:tr>
      <w:tr w:rsidR="00DE7F16" w:rsidRPr="00DE7F16" w:rsidTr="00DE3FC6">
        <w:trPr>
          <w:trHeight w:val="248"/>
        </w:trPr>
        <w:tc>
          <w:tcPr>
            <w:tcW w:w="10065" w:type="dxa"/>
            <w:gridSpan w:val="26"/>
            <w:shd w:val="clear" w:color="auto" w:fill="99CCFF"/>
            <w:vAlign w:val="center"/>
          </w:tcPr>
          <w:p w:rsidR="00DE7F16" w:rsidRPr="00DE7F16" w:rsidRDefault="00DE7F16" w:rsidP="002271B0">
            <w:pPr>
              <w:numPr>
                <w:ilvl w:val="0"/>
                <w:numId w:val="1"/>
              </w:numPr>
              <w:spacing w:after="0" w:line="360" w:lineRule="auto"/>
              <w:jc w:val="both"/>
              <w:rPr>
                <w:rFonts w:ascii="Times New Roman" w:hAnsi="Times New Roman" w:cs="Times New Roman"/>
                <w:b/>
                <w:sz w:val="24"/>
                <w:szCs w:val="24"/>
              </w:rPr>
            </w:pPr>
            <w:r w:rsidRPr="00DE7F16">
              <w:rPr>
                <w:rFonts w:ascii="Times New Roman" w:hAnsi="Times New Roman" w:cs="Times New Roman"/>
                <w:b/>
                <w:sz w:val="24"/>
                <w:szCs w:val="24"/>
              </w:rPr>
              <w:t>Jaki problem jest rozwiązywany?</w:t>
            </w:r>
            <w:bookmarkStart w:id="3" w:name="Wybór1"/>
            <w:bookmarkEnd w:id="3"/>
          </w:p>
        </w:tc>
      </w:tr>
      <w:tr w:rsidR="00DE7F16" w:rsidRPr="00DE7F16" w:rsidTr="00DE7F16">
        <w:trPr>
          <w:trHeight w:val="142"/>
        </w:trPr>
        <w:tc>
          <w:tcPr>
            <w:tcW w:w="10065" w:type="dxa"/>
            <w:gridSpan w:val="26"/>
            <w:shd w:val="clear" w:color="auto" w:fill="FFFFFF"/>
          </w:tcPr>
          <w:p w:rsidR="00DE7F16" w:rsidRPr="00DE7F16" w:rsidRDefault="00DE7F16" w:rsidP="001F5A21">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 xml:space="preserve">Projektowana ustawa służy stosowaniu rozporządzenia (UE) nr 98/2013. Z dniem 2 września 2014 r., na mocy rozporządzenia Parlamentu Europejskiego i Rady (UE) nr 98/2013 z dnia 15 stycznia 2013 r. w sprawie wprowadzania do obrotu i używania prekursorów materiałów wybuchowych weszły w życie przepisy ograniczające dostęp osób fizycznych (przeciętnych użytkowników) do prekursorów materiałów wybuchowych w stężeniach wyższych niż wskazane w załączniku I do rozporządzenia. </w:t>
            </w:r>
          </w:p>
        </w:tc>
      </w:tr>
      <w:tr w:rsidR="00DE7F16" w:rsidRPr="00DE7F16" w:rsidTr="00DE7F16">
        <w:trPr>
          <w:trHeight w:val="142"/>
        </w:trPr>
        <w:tc>
          <w:tcPr>
            <w:tcW w:w="10065" w:type="dxa"/>
            <w:gridSpan w:val="26"/>
            <w:shd w:val="clear" w:color="auto" w:fill="99CCFF"/>
            <w:vAlign w:val="center"/>
          </w:tcPr>
          <w:p w:rsidR="00DE7F16" w:rsidRPr="00DE7F16" w:rsidRDefault="00DE7F16" w:rsidP="002271B0">
            <w:pPr>
              <w:numPr>
                <w:ilvl w:val="0"/>
                <w:numId w:val="1"/>
              </w:numPr>
              <w:spacing w:after="0" w:line="360" w:lineRule="auto"/>
              <w:jc w:val="both"/>
              <w:rPr>
                <w:rFonts w:ascii="Times New Roman" w:hAnsi="Times New Roman" w:cs="Times New Roman"/>
                <w:b/>
                <w:sz w:val="24"/>
                <w:szCs w:val="24"/>
              </w:rPr>
            </w:pPr>
            <w:r w:rsidRPr="00DE7F16">
              <w:rPr>
                <w:rFonts w:ascii="Times New Roman" w:hAnsi="Times New Roman" w:cs="Times New Roman"/>
                <w:b/>
                <w:sz w:val="24"/>
                <w:szCs w:val="24"/>
              </w:rPr>
              <w:t>Rekomendowane rozwiązanie, w tym planowane narzędzia interwencji, i oczekiwany efekt</w:t>
            </w:r>
          </w:p>
        </w:tc>
      </w:tr>
      <w:tr w:rsidR="00DE7F16" w:rsidRPr="00DE7F16" w:rsidTr="00DE3FC6">
        <w:trPr>
          <w:trHeight w:val="127"/>
        </w:trPr>
        <w:tc>
          <w:tcPr>
            <w:tcW w:w="10065" w:type="dxa"/>
            <w:gridSpan w:val="26"/>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 xml:space="preserve">Niezwłoczne dostosowanie prawa krajowego do prawa unijnego poprzez ustanowienie krajowych przepisów uzupełniających rozporządzenie (UE) nr 98/2013. </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 xml:space="preserve">Uregulowania w przepisach krajowych wymagają kwestie w zakresie: </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 xml:space="preserve">1) </w:t>
            </w:r>
            <w:r w:rsidR="001F5A21">
              <w:rPr>
                <w:rFonts w:ascii="Times New Roman" w:hAnsi="Times New Roman" w:cs="Times New Roman"/>
                <w:sz w:val="24"/>
                <w:szCs w:val="24"/>
              </w:rPr>
              <w:t>u</w:t>
            </w:r>
            <w:r w:rsidRPr="00DE7F16">
              <w:rPr>
                <w:rFonts w:ascii="Times New Roman" w:hAnsi="Times New Roman" w:cs="Times New Roman"/>
                <w:sz w:val="24"/>
                <w:szCs w:val="24"/>
              </w:rPr>
              <w:t>tworzeni</w:t>
            </w:r>
            <w:r w:rsidR="001F5A21">
              <w:rPr>
                <w:rFonts w:ascii="Times New Roman" w:hAnsi="Times New Roman" w:cs="Times New Roman"/>
                <w:sz w:val="24"/>
                <w:szCs w:val="24"/>
              </w:rPr>
              <w:t>a</w:t>
            </w:r>
            <w:r w:rsidRPr="00DE7F16">
              <w:rPr>
                <w:rFonts w:ascii="Times New Roman" w:hAnsi="Times New Roman" w:cs="Times New Roman"/>
                <w:sz w:val="24"/>
                <w:szCs w:val="24"/>
              </w:rPr>
              <w:t xml:space="preserve"> ogólnopolskiego systemu zgłaszania podejrzanych transakcji lub prób dokonania takich transakcji, zniknięć i kradzieży, w którego skład wchodzi </w:t>
            </w:r>
            <w:r w:rsidR="001F5A21">
              <w:rPr>
                <w:rFonts w:ascii="Times New Roman" w:hAnsi="Times New Roman" w:cs="Times New Roman"/>
                <w:sz w:val="24"/>
                <w:szCs w:val="24"/>
              </w:rPr>
              <w:t>k</w:t>
            </w:r>
            <w:r w:rsidRPr="00DE7F16">
              <w:rPr>
                <w:rFonts w:ascii="Times New Roman" w:hAnsi="Times New Roman" w:cs="Times New Roman"/>
                <w:sz w:val="24"/>
                <w:szCs w:val="24"/>
              </w:rPr>
              <w:t xml:space="preserve">rajowy </w:t>
            </w:r>
            <w:r w:rsidR="001F5A21">
              <w:rPr>
                <w:rFonts w:ascii="Times New Roman" w:hAnsi="Times New Roman" w:cs="Times New Roman"/>
                <w:sz w:val="24"/>
                <w:szCs w:val="24"/>
              </w:rPr>
              <w:t>p</w:t>
            </w:r>
            <w:r w:rsidRPr="00DE7F16">
              <w:rPr>
                <w:rFonts w:ascii="Times New Roman" w:hAnsi="Times New Roman" w:cs="Times New Roman"/>
                <w:sz w:val="24"/>
                <w:szCs w:val="24"/>
              </w:rPr>
              <w:t xml:space="preserve">unkt </w:t>
            </w:r>
            <w:r w:rsidR="001F5A21">
              <w:rPr>
                <w:rFonts w:ascii="Times New Roman" w:hAnsi="Times New Roman" w:cs="Times New Roman"/>
                <w:sz w:val="24"/>
                <w:szCs w:val="24"/>
              </w:rPr>
              <w:t>k</w:t>
            </w:r>
            <w:r w:rsidRPr="00DE7F16">
              <w:rPr>
                <w:rFonts w:ascii="Times New Roman" w:hAnsi="Times New Roman" w:cs="Times New Roman"/>
                <w:sz w:val="24"/>
                <w:szCs w:val="24"/>
              </w:rPr>
              <w:t>ontaktowy</w:t>
            </w:r>
            <w:r w:rsidR="001F5A21">
              <w:rPr>
                <w:rFonts w:ascii="Times New Roman" w:hAnsi="Times New Roman" w:cs="Times New Roman"/>
                <w:sz w:val="24"/>
                <w:szCs w:val="24"/>
              </w:rPr>
              <w:t>;</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 xml:space="preserve">2) </w:t>
            </w:r>
            <w:r w:rsidR="001F5A21">
              <w:rPr>
                <w:rFonts w:ascii="Times New Roman" w:hAnsi="Times New Roman" w:cs="Times New Roman"/>
                <w:sz w:val="24"/>
                <w:szCs w:val="24"/>
              </w:rPr>
              <w:t>u</w:t>
            </w:r>
            <w:r w:rsidRPr="00DE7F16">
              <w:rPr>
                <w:rFonts w:ascii="Times New Roman" w:hAnsi="Times New Roman" w:cs="Times New Roman"/>
                <w:sz w:val="24"/>
                <w:szCs w:val="24"/>
              </w:rPr>
              <w:t>staleni</w:t>
            </w:r>
            <w:r w:rsidR="001F5A21">
              <w:rPr>
                <w:rFonts w:ascii="Times New Roman" w:hAnsi="Times New Roman" w:cs="Times New Roman"/>
                <w:sz w:val="24"/>
                <w:szCs w:val="24"/>
              </w:rPr>
              <w:t>a</w:t>
            </w:r>
            <w:r w:rsidRPr="00DE7F16">
              <w:rPr>
                <w:rFonts w:ascii="Times New Roman" w:hAnsi="Times New Roman" w:cs="Times New Roman"/>
                <w:sz w:val="24"/>
                <w:szCs w:val="24"/>
              </w:rPr>
              <w:t xml:space="preserve"> zadań organów i jednostek właściwych w sprawach kontroli podmiotów prowadzących działalność gospodarczą w zakresie udostępniania prekursorów materiałów wybuchowych oraz w sprawie kontroli przeciętnych użytkowników w zakresie posiadania i używania prekursorów materiałów wybuchowych podlegających ograniczeniom</w:t>
            </w:r>
            <w:r w:rsidR="001F5A21">
              <w:rPr>
                <w:rFonts w:ascii="Times New Roman" w:hAnsi="Times New Roman" w:cs="Times New Roman"/>
                <w:sz w:val="24"/>
                <w:szCs w:val="24"/>
              </w:rPr>
              <w:t>;</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 xml:space="preserve">3) </w:t>
            </w:r>
            <w:r w:rsidR="001F5A21">
              <w:rPr>
                <w:rFonts w:ascii="Times New Roman" w:hAnsi="Times New Roman" w:cs="Times New Roman"/>
                <w:sz w:val="24"/>
                <w:szCs w:val="24"/>
              </w:rPr>
              <w:t>u</w:t>
            </w:r>
            <w:r w:rsidRPr="00DE7F16">
              <w:rPr>
                <w:rFonts w:ascii="Times New Roman" w:hAnsi="Times New Roman" w:cs="Times New Roman"/>
                <w:sz w:val="24"/>
                <w:szCs w:val="24"/>
              </w:rPr>
              <w:t>staleni</w:t>
            </w:r>
            <w:r w:rsidR="001F5A21">
              <w:rPr>
                <w:rFonts w:ascii="Times New Roman" w:hAnsi="Times New Roman" w:cs="Times New Roman"/>
                <w:sz w:val="24"/>
                <w:szCs w:val="24"/>
              </w:rPr>
              <w:t>a</w:t>
            </w:r>
            <w:r w:rsidRPr="00DE7F16">
              <w:rPr>
                <w:rFonts w:ascii="Times New Roman" w:hAnsi="Times New Roman" w:cs="Times New Roman"/>
                <w:sz w:val="24"/>
                <w:szCs w:val="24"/>
              </w:rPr>
              <w:t xml:space="preserve"> zadań organów i jednostek właściwych w sprawach kontroli przejść granicznych pod kątem wprowadzania prekursorów materiałów wybuchowych podlegających ograniczeniom na terytorium Rzeczypospolitej Polskiej</w:t>
            </w:r>
            <w:r w:rsidR="001F5A21">
              <w:rPr>
                <w:rFonts w:ascii="Times New Roman" w:hAnsi="Times New Roman" w:cs="Times New Roman"/>
                <w:sz w:val="24"/>
                <w:szCs w:val="24"/>
              </w:rPr>
              <w:t>;</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 xml:space="preserve">4) </w:t>
            </w:r>
            <w:r w:rsidR="001F5A21">
              <w:rPr>
                <w:rFonts w:ascii="Times New Roman" w:hAnsi="Times New Roman" w:cs="Times New Roman"/>
                <w:sz w:val="24"/>
                <w:szCs w:val="24"/>
              </w:rPr>
              <w:t>u</w:t>
            </w:r>
            <w:r w:rsidRPr="00DE7F16">
              <w:rPr>
                <w:rFonts w:ascii="Times New Roman" w:hAnsi="Times New Roman" w:cs="Times New Roman"/>
                <w:sz w:val="24"/>
                <w:szCs w:val="24"/>
              </w:rPr>
              <w:t>staleni</w:t>
            </w:r>
            <w:r w:rsidR="001F5A21">
              <w:rPr>
                <w:rFonts w:ascii="Times New Roman" w:hAnsi="Times New Roman" w:cs="Times New Roman"/>
                <w:sz w:val="24"/>
                <w:szCs w:val="24"/>
              </w:rPr>
              <w:t>a</w:t>
            </w:r>
            <w:r w:rsidRPr="00DE7F16">
              <w:rPr>
                <w:rFonts w:ascii="Times New Roman" w:hAnsi="Times New Roman" w:cs="Times New Roman"/>
                <w:sz w:val="24"/>
                <w:szCs w:val="24"/>
              </w:rPr>
              <w:t xml:space="preserve"> sankcji za naruszenie przepisów dotyczących udostępniania, wprowadzania, posiadania i używania substancji i mieszanin, które mogą być użyte do nielegalnego wytwarzania materiałów wybuchowych, oraz przepisów dotyczących obowiązku zgłaszania podejrzanych transakcji w ramach całego łańcucha dostaw.</w:t>
            </w:r>
          </w:p>
          <w:p w:rsidR="00DE3FC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 xml:space="preserve">Oczekiwanym efektem będzie zwiększenie bezpieczeństwa publicznego. </w:t>
            </w:r>
          </w:p>
        </w:tc>
      </w:tr>
      <w:tr w:rsidR="00DE7F16" w:rsidRPr="00DE7F16" w:rsidTr="00DE7F16">
        <w:trPr>
          <w:trHeight w:val="307"/>
        </w:trPr>
        <w:tc>
          <w:tcPr>
            <w:tcW w:w="10065" w:type="dxa"/>
            <w:gridSpan w:val="26"/>
            <w:shd w:val="clear" w:color="auto" w:fill="99CCFF"/>
            <w:vAlign w:val="center"/>
          </w:tcPr>
          <w:p w:rsidR="00DE7F16" w:rsidRPr="00DE7F16" w:rsidRDefault="00DE7F16" w:rsidP="002271B0">
            <w:pPr>
              <w:numPr>
                <w:ilvl w:val="0"/>
                <w:numId w:val="1"/>
              </w:num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Jak problem został rozwiązany w innych krajach, w szczególności krajach członkowskich OECD/UE?</w:t>
            </w:r>
            <w:r w:rsidRPr="00DE7F16">
              <w:rPr>
                <w:rFonts w:ascii="Times New Roman" w:hAnsi="Times New Roman" w:cs="Times New Roman"/>
                <w:i/>
                <w:sz w:val="24"/>
                <w:szCs w:val="24"/>
              </w:rPr>
              <w:t xml:space="preserve"> </w:t>
            </w:r>
          </w:p>
        </w:tc>
      </w:tr>
      <w:tr w:rsidR="00DE7F16" w:rsidRPr="00DE7F16" w:rsidTr="00DE7F16">
        <w:trPr>
          <w:trHeight w:val="142"/>
        </w:trPr>
        <w:tc>
          <w:tcPr>
            <w:tcW w:w="10065" w:type="dxa"/>
            <w:gridSpan w:val="26"/>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 xml:space="preserve">W kilku krajach członkowskich (np. Irlandia, Portugalia, Dania) istnieją krajowe środki ograniczające lub zakazujące udostępnianie, posiadanie i używanie określonych substancji lub mieszanin ze względu na możliwość użycia ich do nielegalnego wytwarzania materiałów wybuchowych. Niemniej jednak nie zwalnia to ich od dostosowania regulacji krajowych do postanowień rozporządzenia (UE) </w:t>
            </w:r>
            <w:r w:rsidR="001F5A21">
              <w:rPr>
                <w:rFonts w:ascii="Times New Roman" w:hAnsi="Times New Roman" w:cs="Times New Roman"/>
                <w:sz w:val="24"/>
                <w:szCs w:val="24"/>
              </w:rPr>
              <w:t xml:space="preserve">nr </w:t>
            </w:r>
            <w:r w:rsidRPr="00DE7F16">
              <w:rPr>
                <w:rFonts w:ascii="Times New Roman" w:hAnsi="Times New Roman" w:cs="Times New Roman"/>
                <w:sz w:val="24"/>
                <w:szCs w:val="24"/>
              </w:rPr>
              <w:t>98/2013. Na ostatnim posiedzeniu Stałego Komitetu ds. Prekursorów, 16 krajów przekazało deklaracje dotyczące planowanych rozwiązań: 5 państw (tj. Belgia, Bułgaria, Łotwa, Włochy i Norwegia) nie skorzysta ani z systemu pozwoleń</w:t>
            </w:r>
            <w:r w:rsidR="001F5A21">
              <w:rPr>
                <w:rFonts w:ascii="Times New Roman" w:hAnsi="Times New Roman" w:cs="Times New Roman"/>
                <w:sz w:val="24"/>
                <w:szCs w:val="24"/>
              </w:rPr>
              <w:t>,</w:t>
            </w:r>
            <w:r w:rsidRPr="00DE7F16">
              <w:rPr>
                <w:rFonts w:ascii="Times New Roman" w:hAnsi="Times New Roman" w:cs="Times New Roman"/>
                <w:sz w:val="24"/>
                <w:szCs w:val="24"/>
              </w:rPr>
              <w:t xml:space="preserve"> ani z systemu rejestracji; 2 państwa (tj. Austria i </w:t>
            </w:r>
            <w:r w:rsidRPr="00DE7F16">
              <w:rPr>
                <w:rFonts w:ascii="Times New Roman" w:hAnsi="Times New Roman" w:cs="Times New Roman"/>
                <w:sz w:val="24"/>
                <w:szCs w:val="24"/>
              </w:rPr>
              <w:lastRenderedPageBreak/>
              <w:t>Litwa) nie skorzystają z systemu pozwoleń</w:t>
            </w:r>
            <w:r w:rsidR="001F5A21">
              <w:rPr>
                <w:rFonts w:ascii="Times New Roman" w:hAnsi="Times New Roman" w:cs="Times New Roman"/>
                <w:sz w:val="24"/>
                <w:szCs w:val="24"/>
              </w:rPr>
              <w:t>,</w:t>
            </w:r>
            <w:r w:rsidRPr="00DE7F16">
              <w:rPr>
                <w:rFonts w:ascii="Times New Roman" w:hAnsi="Times New Roman" w:cs="Times New Roman"/>
                <w:sz w:val="24"/>
                <w:szCs w:val="24"/>
              </w:rPr>
              <w:t xml:space="preserve"> ale zapewnią funkcjonowanie systemu rejestracji; 7 państw (tj. Cypr, Dania, Finlandia, Holandia, Portugalia, Szwecja i Wielka Brytania) wprowadzą system pozwoleń</w:t>
            </w:r>
            <w:r w:rsidR="001F5A21">
              <w:rPr>
                <w:rFonts w:ascii="Times New Roman" w:hAnsi="Times New Roman" w:cs="Times New Roman"/>
                <w:sz w:val="24"/>
                <w:szCs w:val="24"/>
              </w:rPr>
              <w:t>,</w:t>
            </w:r>
            <w:r w:rsidRPr="00DE7F16">
              <w:rPr>
                <w:rFonts w:ascii="Times New Roman" w:hAnsi="Times New Roman" w:cs="Times New Roman"/>
                <w:sz w:val="24"/>
                <w:szCs w:val="24"/>
              </w:rPr>
              <w:t xml:space="preserve"> ale zrezygnuj</w:t>
            </w:r>
            <w:r w:rsidR="001F5A21">
              <w:rPr>
                <w:rFonts w:ascii="Times New Roman" w:hAnsi="Times New Roman" w:cs="Times New Roman"/>
                <w:sz w:val="24"/>
                <w:szCs w:val="24"/>
              </w:rPr>
              <w:t>e</w:t>
            </w:r>
            <w:r w:rsidRPr="00DE7F16">
              <w:rPr>
                <w:rFonts w:ascii="Times New Roman" w:hAnsi="Times New Roman" w:cs="Times New Roman"/>
                <w:sz w:val="24"/>
                <w:szCs w:val="24"/>
              </w:rPr>
              <w:t xml:space="preserve"> z systemu rejestracji; 2 państwa (tj. Hiszpania i Czechy) zamierzają skorzystać z obu systemów.</w:t>
            </w:r>
          </w:p>
        </w:tc>
      </w:tr>
      <w:tr w:rsidR="00DE7F16" w:rsidRPr="00DE7F16" w:rsidTr="00DE7F16">
        <w:trPr>
          <w:trHeight w:val="359"/>
        </w:trPr>
        <w:tc>
          <w:tcPr>
            <w:tcW w:w="10065" w:type="dxa"/>
            <w:gridSpan w:val="26"/>
            <w:shd w:val="clear" w:color="auto" w:fill="99CCFF"/>
            <w:vAlign w:val="center"/>
          </w:tcPr>
          <w:p w:rsidR="00DE7F16" w:rsidRPr="00DE7F16" w:rsidRDefault="00DE7F16" w:rsidP="002271B0">
            <w:pPr>
              <w:numPr>
                <w:ilvl w:val="0"/>
                <w:numId w:val="1"/>
              </w:num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lastRenderedPageBreak/>
              <w:t>Podmioty, na które oddziałuje projekt</w:t>
            </w:r>
          </w:p>
        </w:tc>
      </w:tr>
      <w:tr w:rsidR="00DE7F16" w:rsidRPr="00DE7F16" w:rsidTr="002C0F75">
        <w:trPr>
          <w:trHeight w:val="142"/>
        </w:trPr>
        <w:tc>
          <w:tcPr>
            <w:tcW w:w="2963" w:type="dxa"/>
            <w:gridSpan w:val="4"/>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Grupa</w:t>
            </w:r>
          </w:p>
        </w:tc>
        <w:tc>
          <w:tcPr>
            <w:tcW w:w="1982" w:type="dxa"/>
            <w:gridSpan w:val="7"/>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Wielkość</w:t>
            </w:r>
          </w:p>
        </w:tc>
        <w:tc>
          <w:tcPr>
            <w:tcW w:w="2274" w:type="dxa"/>
            <w:gridSpan w:val="9"/>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Źródło danych</w:t>
            </w:r>
            <w:r w:rsidRPr="00DE7F16" w:rsidDel="00260F33">
              <w:rPr>
                <w:rFonts w:ascii="Times New Roman" w:hAnsi="Times New Roman" w:cs="Times New Roman"/>
                <w:sz w:val="24"/>
                <w:szCs w:val="24"/>
              </w:rPr>
              <w:t xml:space="preserve"> </w:t>
            </w:r>
          </w:p>
        </w:tc>
        <w:tc>
          <w:tcPr>
            <w:tcW w:w="2846" w:type="dxa"/>
            <w:gridSpan w:val="6"/>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Oddziaływanie</w:t>
            </w:r>
          </w:p>
        </w:tc>
      </w:tr>
      <w:tr w:rsidR="00DE7F16" w:rsidRPr="00DE7F16" w:rsidTr="002C0F75">
        <w:trPr>
          <w:trHeight w:val="142"/>
        </w:trPr>
        <w:tc>
          <w:tcPr>
            <w:tcW w:w="2963" w:type="dxa"/>
            <w:gridSpan w:val="4"/>
            <w:shd w:val="clear" w:color="auto" w:fill="auto"/>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 xml:space="preserve">Podmioty gospodarcze udostępniające przeciętnym użytkownikom substancje/mieszaniny zawierające substancje  wymienione w rozporządzeniu </w:t>
            </w:r>
            <w:r w:rsidR="001F5A21">
              <w:rPr>
                <w:rFonts w:ascii="Times New Roman" w:hAnsi="Times New Roman" w:cs="Times New Roman"/>
                <w:sz w:val="24"/>
                <w:szCs w:val="24"/>
              </w:rPr>
              <w:t xml:space="preserve">nr </w:t>
            </w:r>
            <w:r w:rsidRPr="00DE7F16">
              <w:rPr>
                <w:rFonts w:ascii="Times New Roman" w:hAnsi="Times New Roman" w:cs="Times New Roman"/>
                <w:sz w:val="24"/>
                <w:szCs w:val="24"/>
              </w:rPr>
              <w:t>(UE) 98/2013 (w tym sklepy małe i średnie, stacje benzynowe, supermarkety, hipermarkety, kioski</w:t>
            </w:r>
            <w:r w:rsidR="001F5A21">
              <w:rPr>
                <w:rFonts w:ascii="Times New Roman" w:hAnsi="Times New Roman" w:cs="Times New Roman"/>
                <w:sz w:val="24"/>
                <w:szCs w:val="24"/>
              </w:rPr>
              <w:t>,</w:t>
            </w:r>
            <w:r w:rsidRPr="00DE7F16">
              <w:rPr>
                <w:rFonts w:ascii="Times New Roman" w:hAnsi="Times New Roman" w:cs="Times New Roman"/>
                <w:sz w:val="24"/>
                <w:szCs w:val="24"/>
              </w:rPr>
              <w:t xml:space="preserve"> a także sklepy z odczynnikami chemicznymi)</w:t>
            </w:r>
          </w:p>
        </w:tc>
        <w:tc>
          <w:tcPr>
            <w:tcW w:w="1982" w:type="dxa"/>
            <w:gridSpan w:val="7"/>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Ok. 140 000</w:t>
            </w:r>
          </w:p>
        </w:tc>
        <w:tc>
          <w:tcPr>
            <w:tcW w:w="2274" w:type="dxa"/>
            <w:gridSpan w:val="9"/>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Polska Izba Handlu</w:t>
            </w:r>
          </w:p>
        </w:tc>
        <w:tc>
          <w:tcPr>
            <w:tcW w:w="2846" w:type="dxa"/>
            <w:gridSpan w:val="6"/>
            <w:shd w:val="clear" w:color="auto" w:fill="auto"/>
          </w:tcPr>
          <w:p w:rsidR="00DE7F16" w:rsidRPr="00DE7F16" w:rsidRDefault="00DE7F16" w:rsidP="00897901">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 xml:space="preserve">Umożliwienie spełnienia obowiązków wynikających z rozporządzenia (UE) </w:t>
            </w:r>
            <w:r w:rsidR="001F5A21">
              <w:rPr>
                <w:rFonts w:ascii="Times New Roman" w:hAnsi="Times New Roman" w:cs="Times New Roman"/>
                <w:sz w:val="24"/>
                <w:szCs w:val="24"/>
              </w:rPr>
              <w:t xml:space="preserve">nr </w:t>
            </w:r>
            <w:r w:rsidRPr="00DE7F16">
              <w:rPr>
                <w:rFonts w:ascii="Times New Roman" w:hAnsi="Times New Roman" w:cs="Times New Roman"/>
                <w:sz w:val="24"/>
                <w:szCs w:val="24"/>
              </w:rPr>
              <w:t>98/2013 ciążących na podmiotach gospodarczych, w szczególności w odniesieniu do zgłaszania podejrzanych transakcji, zniknięć i kradzieży; ustalenie sankcji za złamanie postanowień przedmiotowego rozporządzenia; dopełnienie obowiązków związanych z systemem pozwoleń i rejestracji</w:t>
            </w:r>
          </w:p>
        </w:tc>
      </w:tr>
      <w:tr w:rsidR="00DE7F16" w:rsidRPr="00DE7F16" w:rsidTr="002C0F75">
        <w:trPr>
          <w:trHeight w:val="142"/>
        </w:trPr>
        <w:tc>
          <w:tcPr>
            <w:tcW w:w="2963" w:type="dxa"/>
            <w:gridSpan w:val="4"/>
            <w:shd w:val="clear" w:color="auto" w:fill="auto"/>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Producenci podstawowych chemikaliów, nawozów azotowych, tworzyw sztucznych, detergentów, środków myjących i czyszczących, wyrobów kosmetycznych</w:t>
            </w:r>
          </w:p>
        </w:tc>
        <w:tc>
          <w:tcPr>
            <w:tcW w:w="1982" w:type="dxa"/>
            <w:gridSpan w:val="7"/>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Ok. 300</w:t>
            </w:r>
          </w:p>
        </w:tc>
        <w:tc>
          <w:tcPr>
            <w:tcW w:w="2274" w:type="dxa"/>
            <w:gridSpan w:val="9"/>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Dane z bazy MG Insigos</w:t>
            </w:r>
          </w:p>
        </w:tc>
        <w:tc>
          <w:tcPr>
            <w:tcW w:w="2846" w:type="dxa"/>
            <w:gridSpan w:val="6"/>
            <w:shd w:val="clear" w:color="auto" w:fill="auto"/>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 xml:space="preserve">Umożliwienie spełnienia obowiązków wynikających z rozporządzenia (UE) </w:t>
            </w:r>
            <w:r w:rsidR="001F5A21">
              <w:rPr>
                <w:rFonts w:ascii="Times New Roman" w:hAnsi="Times New Roman" w:cs="Times New Roman"/>
                <w:sz w:val="24"/>
                <w:szCs w:val="24"/>
              </w:rPr>
              <w:t xml:space="preserve">nr </w:t>
            </w:r>
            <w:r w:rsidRPr="00DE7F16">
              <w:rPr>
                <w:rFonts w:ascii="Times New Roman" w:hAnsi="Times New Roman" w:cs="Times New Roman"/>
                <w:sz w:val="24"/>
                <w:szCs w:val="24"/>
              </w:rPr>
              <w:t>98/2013 ciążących na podmiotach gospodarczych, w szczególności w odniesieniu do zgłaszania podejrzanych transakcji, zniknięć i kradzieży; ustalenie sankcji za złamanie postanowień przedmiotowego rozporządzenia</w:t>
            </w:r>
          </w:p>
        </w:tc>
      </w:tr>
      <w:tr w:rsidR="00DE7F16" w:rsidRPr="00DE7F16" w:rsidTr="002C0F75">
        <w:trPr>
          <w:trHeight w:val="142"/>
        </w:trPr>
        <w:tc>
          <w:tcPr>
            <w:tcW w:w="2963" w:type="dxa"/>
            <w:gridSpan w:val="4"/>
            <w:shd w:val="clear" w:color="auto" w:fill="auto"/>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Jednostka organizacyjna podległa Ministrowi Spraw Wewnętrznych</w:t>
            </w:r>
            <w:r w:rsidR="001F5A21">
              <w:rPr>
                <w:rFonts w:ascii="Times New Roman" w:hAnsi="Times New Roman" w:cs="Times New Roman"/>
                <w:sz w:val="24"/>
                <w:szCs w:val="24"/>
              </w:rPr>
              <w:t xml:space="preserve"> i Administracji</w:t>
            </w:r>
            <w:r w:rsidRPr="00DE7F16">
              <w:rPr>
                <w:rFonts w:ascii="Times New Roman" w:hAnsi="Times New Roman" w:cs="Times New Roman"/>
                <w:sz w:val="24"/>
                <w:szCs w:val="24"/>
              </w:rPr>
              <w:t xml:space="preserve"> – Komenda Główna Policji w Warszawie</w:t>
            </w:r>
          </w:p>
        </w:tc>
        <w:tc>
          <w:tcPr>
            <w:tcW w:w="1982" w:type="dxa"/>
            <w:gridSpan w:val="7"/>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1</w:t>
            </w:r>
          </w:p>
        </w:tc>
        <w:tc>
          <w:tcPr>
            <w:tcW w:w="2274" w:type="dxa"/>
            <w:gridSpan w:val="9"/>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MSW</w:t>
            </w:r>
            <w:r w:rsidR="001F5A21">
              <w:rPr>
                <w:rFonts w:ascii="Times New Roman" w:hAnsi="Times New Roman" w:cs="Times New Roman"/>
                <w:sz w:val="24"/>
                <w:szCs w:val="24"/>
              </w:rPr>
              <w:t>iA</w:t>
            </w:r>
          </w:p>
        </w:tc>
        <w:tc>
          <w:tcPr>
            <w:tcW w:w="2846" w:type="dxa"/>
            <w:gridSpan w:val="6"/>
            <w:shd w:val="clear" w:color="auto" w:fill="auto"/>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 xml:space="preserve">Utworzenie i obsługa </w:t>
            </w:r>
            <w:r w:rsidR="001F5A21">
              <w:rPr>
                <w:rFonts w:ascii="Times New Roman" w:hAnsi="Times New Roman" w:cs="Times New Roman"/>
                <w:sz w:val="24"/>
                <w:szCs w:val="24"/>
              </w:rPr>
              <w:t>k</w:t>
            </w:r>
            <w:r w:rsidRPr="00DE7F16">
              <w:rPr>
                <w:rFonts w:ascii="Times New Roman" w:hAnsi="Times New Roman" w:cs="Times New Roman"/>
                <w:sz w:val="24"/>
                <w:szCs w:val="24"/>
              </w:rPr>
              <w:t xml:space="preserve">rajowego </w:t>
            </w:r>
            <w:r w:rsidR="001F5A21">
              <w:rPr>
                <w:rFonts w:ascii="Times New Roman" w:hAnsi="Times New Roman" w:cs="Times New Roman"/>
                <w:sz w:val="24"/>
                <w:szCs w:val="24"/>
              </w:rPr>
              <w:t>p</w:t>
            </w:r>
            <w:r w:rsidRPr="00DE7F16">
              <w:rPr>
                <w:rFonts w:ascii="Times New Roman" w:hAnsi="Times New Roman" w:cs="Times New Roman"/>
                <w:sz w:val="24"/>
                <w:szCs w:val="24"/>
              </w:rPr>
              <w:t xml:space="preserve">unktu </w:t>
            </w:r>
            <w:r w:rsidR="001F5A21">
              <w:rPr>
                <w:rFonts w:ascii="Times New Roman" w:hAnsi="Times New Roman" w:cs="Times New Roman"/>
                <w:sz w:val="24"/>
                <w:szCs w:val="24"/>
              </w:rPr>
              <w:t>k</w:t>
            </w:r>
            <w:r w:rsidRPr="00DE7F16">
              <w:rPr>
                <w:rFonts w:ascii="Times New Roman" w:hAnsi="Times New Roman" w:cs="Times New Roman"/>
                <w:sz w:val="24"/>
                <w:szCs w:val="24"/>
              </w:rPr>
              <w:t>ontaktowego;</w:t>
            </w:r>
          </w:p>
        </w:tc>
      </w:tr>
      <w:tr w:rsidR="00DE7F16" w:rsidRPr="00DE7F16" w:rsidTr="002C0F75">
        <w:trPr>
          <w:trHeight w:val="142"/>
        </w:trPr>
        <w:tc>
          <w:tcPr>
            <w:tcW w:w="2963" w:type="dxa"/>
            <w:gridSpan w:val="4"/>
            <w:shd w:val="clear" w:color="auto" w:fill="auto"/>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Organy Inspekcji Handlowej</w:t>
            </w:r>
          </w:p>
        </w:tc>
        <w:tc>
          <w:tcPr>
            <w:tcW w:w="1982" w:type="dxa"/>
            <w:gridSpan w:val="7"/>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50</w:t>
            </w:r>
          </w:p>
        </w:tc>
        <w:tc>
          <w:tcPr>
            <w:tcW w:w="2274" w:type="dxa"/>
            <w:gridSpan w:val="9"/>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UOKiK</w:t>
            </w:r>
          </w:p>
        </w:tc>
        <w:tc>
          <w:tcPr>
            <w:tcW w:w="2846" w:type="dxa"/>
            <w:gridSpan w:val="6"/>
            <w:shd w:val="clear" w:color="auto" w:fill="auto"/>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Zwiększenie zakresu obowiązków o czynności kontrolne w odniesieniu do handlu hurtowego i detalicznego</w:t>
            </w:r>
          </w:p>
        </w:tc>
      </w:tr>
      <w:tr w:rsidR="00DE7F16" w:rsidRPr="00DE7F16" w:rsidTr="002C0F75">
        <w:trPr>
          <w:trHeight w:val="653"/>
        </w:trPr>
        <w:tc>
          <w:tcPr>
            <w:tcW w:w="2963" w:type="dxa"/>
            <w:gridSpan w:val="4"/>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lastRenderedPageBreak/>
              <w:t>Izby celne</w:t>
            </w:r>
          </w:p>
        </w:tc>
        <w:tc>
          <w:tcPr>
            <w:tcW w:w="1982" w:type="dxa"/>
            <w:gridSpan w:val="7"/>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16</w:t>
            </w:r>
          </w:p>
        </w:tc>
        <w:tc>
          <w:tcPr>
            <w:tcW w:w="2274" w:type="dxa"/>
            <w:gridSpan w:val="9"/>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MF</w:t>
            </w:r>
          </w:p>
        </w:tc>
        <w:tc>
          <w:tcPr>
            <w:tcW w:w="2846" w:type="dxa"/>
            <w:gridSpan w:val="6"/>
            <w:shd w:val="clear" w:color="auto" w:fill="auto"/>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Zwiększenie zakresu obowiązków o czynności kontrolne w odniesieniu do wwozu na teren Polski prekursorów materiałów wybuchowych podlegających ograniczeniom</w:t>
            </w:r>
          </w:p>
        </w:tc>
      </w:tr>
      <w:tr w:rsidR="00DE7F16" w:rsidRPr="00DE7F16" w:rsidTr="002C0F75">
        <w:trPr>
          <w:trHeight w:val="655"/>
        </w:trPr>
        <w:tc>
          <w:tcPr>
            <w:tcW w:w="2963" w:type="dxa"/>
            <w:gridSpan w:val="4"/>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Organy Straży Granicznej</w:t>
            </w:r>
          </w:p>
        </w:tc>
        <w:tc>
          <w:tcPr>
            <w:tcW w:w="1982" w:type="dxa"/>
            <w:gridSpan w:val="7"/>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9</w:t>
            </w:r>
          </w:p>
        </w:tc>
        <w:tc>
          <w:tcPr>
            <w:tcW w:w="2274" w:type="dxa"/>
            <w:gridSpan w:val="9"/>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SG</w:t>
            </w:r>
          </w:p>
        </w:tc>
        <w:tc>
          <w:tcPr>
            <w:tcW w:w="2846" w:type="dxa"/>
            <w:gridSpan w:val="6"/>
            <w:shd w:val="clear" w:color="auto" w:fill="auto"/>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Zwiększenie zakresu obowiązków o czynności kontrolne w odniesieniu do przestępstw i wykroczeń związanych z przemieszczaniem przez granicę państwową pre</w:t>
            </w:r>
            <w:r w:rsidR="00DE3FC6">
              <w:rPr>
                <w:rFonts w:ascii="Times New Roman" w:hAnsi="Times New Roman" w:cs="Times New Roman"/>
                <w:sz w:val="24"/>
                <w:szCs w:val="24"/>
              </w:rPr>
              <w:t>kursorów materiałów wybuchowych</w:t>
            </w:r>
          </w:p>
        </w:tc>
      </w:tr>
      <w:tr w:rsidR="00DE7F16" w:rsidRPr="00DE7F16" w:rsidTr="002C0F75">
        <w:trPr>
          <w:trHeight w:val="142"/>
        </w:trPr>
        <w:tc>
          <w:tcPr>
            <w:tcW w:w="2963" w:type="dxa"/>
            <w:gridSpan w:val="4"/>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Organy Policji</w:t>
            </w:r>
          </w:p>
        </w:tc>
        <w:tc>
          <w:tcPr>
            <w:tcW w:w="1982" w:type="dxa"/>
            <w:gridSpan w:val="7"/>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17</w:t>
            </w:r>
          </w:p>
        </w:tc>
        <w:tc>
          <w:tcPr>
            <w:tcW w:w="2274" w:type="dxa"/>
            <w:gridSpan w:val="9"/>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MSWiA</w:t>
            </w:r>
          </w:p>
        </w:tc>
        <w:tc>
          <w:tcPr>
            <w:tcW w:w="2846" w:type="dxa"/>
            <w:gridSpan w:val="6"/>
            <w:shd w:val="clear" w:color="auto" w:fill="auto"/>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Zwiększenie zakresu obowiązków o czynności kontrolne w odniesieniu do przeciętnych użytkowników</w:t>
            </w:r>
          </w:p>
        </w:tc>
      </w:tr>
      <w:tr w:rsidR="00DE7F16" w:rsidRPr="00DE7F16" w:rsidTr="00DE7F16">
        <w:trPr>
          <w:trHeight w:val="302"/>
        </w:trPr>
        <w:tc>
          <w:tcPr>
            <w:tcW w:w="10065" w:type="dxa"/>
            <w:gridSpan w:val="26"/>
            <w:shd w:val="clear" w:color="auto" w:fill="99CCFF"/>
            <w:vAlign w:val="center"/>
          </w:tcPr>
          <w:p w:rsidR="00DE7F16" w:rsidRPr="00DE7F16" w:rsidRDefault="00DE7F16" w:rsidP="002271B0">
            <w:pPr>
              <w:numPr>
                <w:ilvl w:val="0"/>
                <w:numId w:val="1"/>
              </w:num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Informacje na temat zakresu, czasu trwania i podsumowanie wyników konsultacji</w:t>
            </w:r>
          </w:p>
        </w:tc>
      </w:tr>
      <w:tr w:rsidR="00DE7F16" w:rsidRPr="00DE7F16" w:rsidTr="00DE7F16">
        <w:trPr>
          <w:trHeight w:val="342"/>
        </w:trPr>
        <w:tc>
          <w:tcPr>
            <w:tcW w:w="10065" w:type="dxa"/>
            <w:gridSpan w:val="26"/>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Projekt ustawy w celu konsultacji został opublikowany na stronach RCL w ramach Rządowego Procesu Legislacyjnego or</w:t>
            </w:r>
            <w:r w:rsidR="001F5A21">
              <w:rPr>
                <w:rFonts w:ascii="Times New Roman" w:hAnsi="Times New Roman" w:cs="Times New Roman"/>
                <w:sz w:val="24"/>
                <w:szCs w:val="24"/>
              </w:rPr>
              <w:t>az na platformie konsultacji on-</w:t>
            </w:r>
            <w:r w:rsidRPr="00DE7F16">
              <w:rPr>
                <w:rFonts w:ascii="Times New Roman" w:hAnsi="Times New Roman" w:cs="Times New Roman"/>
                <w:sz w:val="24"/>
                <w:szCs w:val="24"/>
              </w:rPr>
              <w:t>line (</w:t>
            </w:r>
            <w:r w:rsidRPr="00DE3FC6">
              <w:rPr>
                <w:rFonts w:ascii="Times New Roman" w:hAnsi="Times New Roman" w:cs="Times New Roman"/>
                <w:sz w:val="24"/>
                <w:szCs w:val="24"/>
              </w:rPr>
              <w:t>www.konsultacje.gov.pl</w:t>
            </w:r>
            <w:r w:rsidRPr="00DE7F16">
              <w:rPr>
                <w:rFonts w:ascii="Times New Roman" w:hAnsi="Times New Roman" w:cs="Times New Roman"/>
                <w:sz w:val="24"/>
                <w:szCs w:val="24"/>
              </w:rPr>
              <w:t xml:space="preserve">). Konsultacje trwały od 18 maja do 18 czerwca 2015 r. </w:t>
            </w:r>
          </w:p>
          <w:p w:rsidR="00DE7F16" w:rsidRPr="00DE7F16" w:rsidRDefault="00DE7F16" w:rsidP="002271B0">
            <w:pPr>
              <w:spacing w:after="0" w:line="240" w:lineRule="auto"/>
              <w:jc w:val="both"/>
              <w:rPr>
                <w:rFonts w:ascii="Times New Roman" w:hAnsi="Times New Roman" w:cs="Times New Roman"/>
                <w:iCs/>
                <w:sz w:val="24"/>
                <w:szCs w:val="24"/>
              </w:rPr>
            </w:pPr>
            <w:r w:rsidRPr="00DE7F16">
              <w:rPr>
                <w:rFonts w:ascii="Times New Roman" w:hAnsi="Times New Roman" w:cs="Times New Roman"/>
                <w:iCs/>
                <w:sz w:val="24"/>
                <w:szCs w:val="24"/>
              </w:rPr>
              <w:t>Większość ze zgłoszonych uwag o charakterze prawno-legislacyjnym, merytorycznym</w:t>
            </w:r>
            <w:r w:rsidR="004A3DBF">
              <w:rPr>
                <w:rFonts w:ascii="Times New Roman" w:hAnsi="Times New Roman" w:cs="Times New Roman"/>
                <w:iCs/>
                <w:sz w:val="24"/>
                <w:szCs w:val="24"/>
              </w:rPr>
              <w:t>,</w:t>
            </w:r>
            <w:r w:rsidRPr="00DE7F16">
              <w:rPr>
                <w:rFonts w:ascii="Times New Roman" w:hAnsi="Times New Roman" w:cs="Times New Roman"/>
                <w:iCs/>
                <w:sz w:val="24"/>
                <w:szCs w:val="24"/>
              </w:rPr>
              <w:t xml:space="preserve"> jak i redakcyjnym została uwzględniona. </w:t>
            </w:r>
          </w:p>
        </w:tc>
      </w:tr>
      <w:tr w:rsidR="00DE7F16" w:rsidRPr="00DE7F16" w:rsidTr="00DE7F16">
        <w:trPr>
          <w:trHeight w:val="363"/>
        </w:trPr>
        <w:tc>
          <w:tcPr>
            <w:tcW w:w="10065" w:type="dxa"/>
            <w:gridSpan w:val="26"/>
            <w:shd w:val="clear" w:color="auto" w:fill="99CCFF"/>
            <w:vAlign w:val="center"/>
          </w:tcPr>
          <w:p w:rsidR="00DE7F16" w:rsidRPr="00DE7F16" w:rsidRDefault="00DE7F16" w:rsidP="002271B0">
            <w:pPr>
              <w:numPr>
                <w:ilvl w:val="0"/>
                <w:numId w:val="1"/>
              </w:num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 xml:space="preserve"> Wpływ na sektor finansów publicznych</w:t>
            </w:r>
          </w:p>
        </w:tc>
      </w:tr>
      <w:tr w:rsidR="00DE7F16" w:rsidRPr="00DE7F16" w:rsidTr="004A3DBF">
        <w:trPr>
          <w:trHeight w:val="142"/>
        </w:trPr>
        <w:tc>
          <w:tcPr>
            <w:tcW w:w="2682" w:type="dxa"/>
            <w:gridSpan w:val="3"/>
            <w:vMerge w:val="restart"/>
            <w:shd w:val="clear" w:color="auto" w:fill="FFFFFF"/>
          </w:tcPr>
          <w:p w:rsidR="00DE7F16" w:rsidRPr="00DE7F16" w:rsidRDefault="00DE7F16" w:rsidP="002271B0">
            <w:pPr>
              <w:spacing w:after="0" w:line="240" w:lineRule="auto"/>
              <w:jc w:val="both"/>
              <w:rPr>
                <w:rFonts w:ascii="Times New Roman" w:hAnsi="Times New Roman" w:cs="Times New Roman"/>
                <w:i/>
                <w:sz w:val="24"/>
                <w:szCs w:val="24"/>
              </w:rPr>
            </w:pPr>
            <w:r w:rsidRPr="00DE7F16">
              <w:rPr>
                <w:rFonts w:ascii="Times New Roman" w:hAnsi="Times New Roman" w:cs="Times New Roman"/>
                <w:sz w:val="24"/>
                <w:szCs w:val="24"/>
              </w:rPr>
              <w:t>(ceny stałe z 2013 r.)</w:t>
            </w:r>
          </w:p>
        </w:tc>
        <w:tc>
          <w:tcPr>
            <w:tcW w:w="7383" w:type="dxa"/>
            <w:gridSpan w:val="23"/>
            <w:shd w:val="clear" w:color="auto" w:fill="FFFFFF"/>
          </w:tcPr>
          <w:p w:rsidR="00DE7F16" w:rsidRPr="00DE7F16" w:rsidRDefault="00DE7F16" w:rsidP="002271B0">
            <w:pPr>
              <w:spacing w:after="0" w:line="240" w:lineRule="auto"/>
              <w:jc w:val="both"/>
              <w:rPr>
                <w:rFonts w:ascii="Times New Roman" w:hAnsi="Times New Roman" w:cs="Times New Roman"/>
                <w:i/>
                <w:sz w:val="24"/>
                <w:szCs w:val="24"/>
              </w:rPr>
            </w:pPr>
            <w:r w:rsidRPr="00DE7F16">
              <w:rPr>
                <w:rFonts w:ascii="Times New Roman" w:hAnsi="Times New Roman" w:cs="Times New Roman"/>
                <w:sz w:val="24"/>
                <w:szCs w:val="24"/>
              </w:rPr>
              <w:t>Skutki w okresie 10 lat od wejścia w życie zmian [mln zł]</w:t>
            </w:r>
          </w:p>
        </w:tc>
      </w:tr>
      <w:tr w:rsidR="00DE7F16" w:rsidRPr="00DE7F16" w:rsidTr="004A3DBF">
        <w:trPr>
          <w:trHeight w:val="142"/>
        </w:trPr>
        <w:tc>
          <w:tcPr>
            <w:tcW w:w="2682" w:type="dxa"/>
            <w:gridSpan w:val="3"/>
            <w:vMerge/>
            <w:shd w:val="clear" w:color="auto" w:fill="FFFFFF"/>
          </w:tcPr>
          <w:p w:rsidR="00DE7F16" w:rsidRPr="00DE7F16" w:rsidRDefault="00DE7F16" w:rsidP="002271B0">
            <w:pPr>
              <w:spacing w:after="0" w:line="240" w:lineRule="auto"/>
              <w:jc w:val="both"/>
              <w:rPr>
                <w:rFonts w:ascii="Times New Roman" w:hAnsi="Times New Roman" w:cs="Times New Roman"/>
                <w:i/>
                <w:sz w:val="24"/>
                <w:szCs w:val="24"/>
              </w:rPr>
            </w:pP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1</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2</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3</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4</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5</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6</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7</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8</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9</w:t>
            </w:r>
          </w:p>
        </w:tc>
        <w:tc>
          <w:tcPr>
            <w:tcW w:w="571"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10</w:t>
            </w:r>
          </w:p>
        </w:tc>
        <w:tc>
          <w:tcPr>
            <w:tcW w:w="1134" w:type="dxa"/>
            <w:shd w:val="clear" w:color="auto" w:fill="FFFFFF"/>
          </w:tcPr>
          <w:p w:rsidR="00DE7F16" w:rsidRPr="00DE7F16" w:rsidRDefault="00DE7F16" w:rsidP="002271B0">
            <w:pPr>
              <w:spacing w:after="0" w:line="240" w:lineRule="auto"/>
              <w:jc w:val="both"/>
              <w:rPr>
                <w:rFonts w:ascii="Times New Roman" w:hAnsi="Times New Roman" w:cs="Times New Roman"/>
                <w:i/>
              </w:rPr>
            </w:pPr>
            <w:r>
              <w:rPr>
                <w:rFonts w:ascii="Times New Roman" w:hAnsi="Times New Roman" w:cs="Times New Roman"/>
                <w:i/>
              </w:rPr>
              <w:t>Łącznie (0–</w:t>
            </w:r>
            <w:r w:rsidRPr="00DE7F16">
              <w:rPr>
                <w:rFonts w:ascii="Times New Roman" w:hAnsi="Times New Roman" w:cs="Times New Roman"/>
                <w:i/>
              </w:rPr>
              <w:t>10)</w:t>
            </w:r>
          </w:p>
        </w:tc>
      </w:tr>
      <w:tr w:rsidR="00DE7F16" w:rsidRPr="00DE7F16" w:rsidTr="004A3DBF">
        <w:trPr>
          <w:trHeight w:val="321"/>
        </w:trPr>
        <w:tc>
          <w:tcPr>
            <w:tcW w:w="2682" w:type="dxa"/>
            <w:gridSpan w:val="3"/>
            <w:shd w:val="clear" w:color="auto" w:fill="FFFFFF"/>
            <w:vAlign w:val="center"/>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b/>
                <w:sz w:val="24"/>
                <w:szCs w:val="24"/>
              </w:rPr>
              <w:t>Dochody ogółem</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0</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0</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0</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0</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0</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0</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0</w:t>
            </w:r>
          </w:p>
        </w:tc>
        <w:tc>
          <w:tcPr>
            <w:tcW w:w="571" w:type="dxa"/>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0</w:t>
            </w:r>
          </w:p>
        </w:tc>
        <w:tc>
          <w:tcPr>
            <w:tcW w:w="1134" w:type="dxa"/>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0</w:t>
            </w:r>
          </w:p>
        </w:tc>
      </w:tr>
      <w:tr w:rsidR="00DE7F16" w:rsidRPr="00DE7F16" w:rsidTr="004A3DBF">
        <w:trPr>
          <w:trHeight w:val="321"/>
        </w:trPr>
        <w:tc>
          <w:tcPr>
            <w:tcW w:w="2682" w:type="dxa"/>
            <w:gridSpan w:val="3"/>
            <w:shd w:val="clear" w:color="auto" w:fill="FFFFFF"/>
            <w:vAlign w:val="center"/>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budżet państwa</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1134"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r>
      <w:tr w:rsidR="00DE7F16" w:rsidRPr="00DE7F16" w:rsidTr="004A3DBF">
        <w:trPr>
          <w:trHeight w:val="344"/>
        </w:trPr>
        <w:tc>
          <w:tcPr>
            <w:tcW w:w="2682" w:type="dxa"/>
            <w:gridSpan w:val="3"/>
            <w:shd w:val="clear" w:color="auto" w:fill="FFFFFF"/>
            <w:vAlign w:val="center"/>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JST</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1134"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r>
      <w:tr w:rsidR="00DE7F16" w:rsidRPr="00DE7F16" w:rsidTr="004A3DBF">
        <w:trPr>
          <w:trHeight w:val="344"/>
        </w:trPr>
        <w:tc>
          <w:tcPr>
            <w:tcW w:w="2682" w:type="dxa"/>
            <w:gridSpan w:val="3"/>
            <w:shd w:val="clear" w:color="auto" w:fill="FFFFFF"/>
            <w:vAlign w:val="center"/>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pozostałe jednostki (oddzielnie)</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1134"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r>
      <w:tr w:rsidR="00DE7F16" w:rsidRPr="00DE7F16" w:rsidTr="004A3DBF">
        <w:trPr>
          <w:trHeight w:val="253"/>
        </w:trPr>
        <w:tc>
          <w:tcPr>
            <w:tcW w:w="2682" w:type="dxa"/>
            <w:gridSpan w:val="3"/>
            <w:shd w:val="clear" w:color="auto" w:fill="FFFFFF"/>
            <w:vAlign w:val="center"/>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b/>
                <w:sz w:val="24"/>
                <w:szCs w:val="24"/>
              </w:rPr>
              <w:t>Wydatki ogółem</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0,442</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571" w:type="dxa"/>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1134" w:type="dxa"/>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4,162</w:t>
            </w:r>
          </w:p>
        </w:tc>
      </w:tr>
      <w:tr w:rsidR="00DE7F16" w:rsidRPr="00DE7F16" w:rsidTr="004A3DBF">
        <w:trPr>
          <w:trHeight w:val="330"/>
        </w:trPr>
        <w:tc>
          <w:tcPr>
            <w:tcW w:w="2682" w:type="dxa"/>
            <w:gridSpan w:val="3"/>
            <w:shd w:val="clear" w:color="auto" w:fill="FFFFFF"/>
            <w:vAlign w:val="center"/>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budżet państwa</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0,442</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571"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1134"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4,162</w:t>
            </w:r>
          </w:p>
        </w:tc>
      </w:tr>
      <w:tr w:rsidR="00DE7F16" w:rsidRPr="00DE7F16" w:rsidTr="004A3DBF">
        <w:trPr>
          <w:trHeight w:val="351"/>
        </w:trPr>
        <w:tc>
          <w:tcPr>
            <w:tcW w:w="2682" w:type="dxa"/>
            <w:gridSpan w:val="3"/>
            <w:shd w:val="clear" w:color="auto" w:fill="FFFFFF"/>
            <w:vAlign w:val="center"/>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JST</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1134"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r>
      <w:tr w:rsidR="00DE7F16" w:rsidRPr="00DE7F16" w:rsidTr="004A3DBF">
        <w:trPr>
          <w:trHeight w:val="351"/>
        </w:trPr>
        <w:tc>
          <w:tcPr>
            <w:tcW w:w="2682" w:type="dxa"/>
            <w:gridSpan w:val="3"/>
            <w:shd w:val="clear" w:color="auto" w:fill="FFFFFF"/>
            <w:vAlign w:val="center"/>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pozostałe jednostki (oddzielnie)</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1134"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r>
      <w:tr w:rsidR="00DE7F16" w:rsidRPr="00DE7F16" w:rsidTr="004A3DBF">
        <w:trPr>
          <w:trHeight w:val="360"/>
        </w:trPr>
        <w:tc>
          <w:tcPr>
            <w:tcW w:w="2682" w:type="dxa"/>
            <w:gridSpan w:val="3"/>
            <w:shd w:val="clear" w:color="auto" w:fill="FFFFFF"/>
            <w:vAlign w:val="center"/>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b/>
                <w:sz w:val="24"/>
                <w:szCs w:val="24"/>
              </w:rPr>
              <w:t>Saldo ogółem (ujemne)</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0,442</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571" w:type="dxa"/>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0,372</w:t>
            </w:r>
          </w:p>
        </w:tc>
        <w:tc>
          <w:tcPr>
            <w:tcW w:w="1134" w:type="dxa"/>
            <w:shd w:val="clear" w:color="auto" w:fill="FFFFFF"/>
          </w:tcPr>
          <w:p w:rsidR="00DE7F16" w:rsidRPr="00DE7F16" w:rsidRDefault="00DE7F16" w:rsidP="002271B0">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t>4,162</w:t>
            </w:r>
          </w:p>
        </w:tc>
      </w:tr>
      <w:tr w:rsidR="00DE7F16" w:rsidRPr="00DE7F16" w:rsidTr="004A3DBF">
        <w:trPr>
          <w:trHeight w:val="360"/>
        </w:trPr>
        <w:tc>
          <w:tcPr>
            <w:tcW w:w="2682" w:type="dxa"/>
            <w:gridSpan w:val="3"/>
            <w:shd w:val="clear" w:color="auto" w:fill="FFFFFF"/>
            <w:vAlign w:val="center"/>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budżet państwa (saldo ujemne)</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0,442</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571"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0,372</w:t>
            </w:r>
          </w:p>
        </w:tc>
        <w:tc>
          <w:tcPr>
            <w:tcW w:w="1134"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4,162</w:t>
            </w:r>
          </w:p>
        </w:tc>
      </w:tr>
      <w:tr w:rsidR="00DE7F16" w:rsidRPr="00DE7F16" w:rsidTr="004A3DBF">
        <w:trPr>
          <w:trHeight w:val="357"/>
        </w:trPr>
        <w:tc>
          <w:tcPr>
            <w:tcW w:w="2682" w:type="dxa"/>
            <w:gridSpan w:val="3"/>
            <w:shd w:val="clear" w:color="auto" w:fill="FFFFFF"/>
            <w:vAlign w:val="center"/>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lastRenderedPageBreak/>
              <w:t>JST</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1134"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r>
      <w:tr w:rsidR="00DE7F16" w:rsidRPr="00DE7F16" w:rsidTr="004A3DBF">
        <w:trPr>
          <w:trHeight w:val="357"/>
        </w:trPr>
        <w:tc>
          <w:tcPr>
            <w:tcW w:w="2682" w:type="dxa"/>
            <w:gridSpan w:val="3"/>
            <w:shd w:val="clear" w:color="auto" w:fill="FFFFFF"/>
            <w:vAlign w:val="center"/>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pozostałe jednostki (oddzielnie)</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67"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571"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c>
          <w:tcPr>
            <w:tcW w:w="1134" w:type="dxa"/>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0</w:t>
            </w:r>
          </w:p>
        </w:tc>
      </w:tr>
      <w:tr w:rsidR="00DE7F16" w:rsidRPr="00DE7F16" w:rsidTr="004A3DBF">
        <w:trPr>
          <w:trHeight w:val="348"/>
        </w:trPr>
        <w:tc>
          <w:tcPr>
            <w:tcW w:w="2231" w:type="dxa"/>
            <w:gridSpan w:val="2"/>
            <w:shd w:val="clear" w:color="auto" w:fill="FFFFFF"/>
            <w:vAlign w:val="center"/>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 xml:space="preserve">Źródła finansowania </w:t>
            </w:r>
          </w:p>
        </w:tc>
        <w:tc>
          <w:tcPr>
            <w:tcW w:w="7834" w:type="dxa"/>
            <w:gridSpan w:val="24"/>
            <w:shd w:val="clear" w:color="auto" w:fill="FFFFFF"/>
            <w:vAlign w:val="center"/>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 xml:space="preserve">Wejście w życie projektowanej ustawy pociągnie za sobą konieczność zwiększenia wydatków budżetu państwa w związku z wydatkami związanymi z utworzeniem i prowadzeniem </w:t>
            </w:r>
            <w:r w:rsidR="004A3DBF">
              <w:rPr>
                <w:rFonts w:ascii="Times New Roman" w:hAnsi="Times New Roman" w:cs="Times New Roman"/>
                <w:sz w:val="24"/>
                <w:szCs w:val="24"/>
              </w:rPr>
              <w:t>k</w:t>
            </w:r>
            <w:r w:rsidRPr="00DE7F16">
              <w:rPr>
                <w:rFonts w:ascii="Times New Roman" w:hAnsi="Times New Roman" w:cs="Times New Roman"/>
                <w:sz w:val="24"/>
                <w:szCs w:val="24"/>
              </w:rPr>
              <w:t xml:space="preserve">rajowego </w:t>
            </w:r>
            <w:r w:rsidR="004A3DBF">
              <w:rPr>
                <w:rFonts w:ascii="Times New Roman" w:hAnsi="Times New Roman" w:cs="Times New Roman"/>
                <w:sz w:val="24"/>
                <w:szCs w:val="24"/>
              </w:rPr>
              <w:t>p</w:t>
            </w:r>
            <w:r w:rsidRPr="00DE7F16">
              <w:rPr>
                <w:rFonts w:ascii="Times New Roman" w:hAnsi="Times New Roman" w:cs="Times New Roman"/>
                <w:sz w:val="24"/>
                <w:szCs w:val="24"/>
              </w:rPr>
              <w:t xml:space="preserve">unktu </w:t>
            </w:r>
            <w:r w:rsidR="004A3DBF">
              <w:rPr>
                <w:rFonts w:ascii="Times New Roman" w:hAnsi="Times New Roman" w:cs="Times New Roman"/>
                <w:sz w:val="24"/>
                <w:szCs w:val="24"/>
              </w:rPr>
              <w:t>k</w:t>
            </w:r>
            <w:r w:rsidRPr="00DE7F16">
              <w:rPr>
                <w:rFonts w:ascii="Times New Roman" w:hAnsi="Times New Roman" w:cs="Times New Roman"/>
                <w:sz w:val="24"/>
                <w:szCs w:val="24"/>
              </w:rPr>
              <w:t>ontaktowego. Wydatki te będą pokryte ze środków ministra właściwego do spraw wewnętrznych.</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Wejście w życie projektowanej ustawy nie przyczyni się do zwiększenia dochodów budżetu państwa, JST oraz pozostałych jednostek administracji.</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Wobec powyższego saldo dochodów/wydatków będzie ujemne i wyniesie ok. 416 tys. zł rocznie (4,162 mln zł w okresie 10 lat).</w:t>
            </w:r>
          </w:p>
        </w:tc>
      </w:tr>
      <w:tr w:rsidR="00DE7F16" w:rsidRPr="00DE7F16" w:rsidTr="004A3DBF">
        <w:trPr>
          <w:trHeight w:val="552"/>
        </w:trPr>
        <w:tc>
          <w:tcPr>
            <w:tcW w:w="2231" w:type="dxa"/>
            <w:gridSpan w:val="2"/>
            <w:shd w:val="clear" w:color="auto" w:fill="FFFFFF"/>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Dodatkowe informacje, w tym wskazanie źródeł danych i przyjętych do obliczeń założeń</w:t>
            </w:r>
          </w:p>
        </w:tc>
        <w:tc>
          <w:tcPr>
            <w:tcW w:w="7834" w:type="dxa"/>
            <w:gridSpan w:val="24"/>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 xml:space="preserve">Krajowy </w:t>
            </w:r>
            <w:r w:rsidR="004A3DBF">
              <w:rPr>
                <w:rFonts w:ascii="Times New Roman" w:hAnsi="Times New Roman" w:cs="Times New Roman"/>
                <w:sz w:val="24"/>
                <w:szCs w:val="24"/>
              </w:rPr>
              <w:t>p</w:t>
            </w:r>
            <w:r w:rsidRPr="00DE7F16">
              <w:rPr>
                <w:rFonts w:ascii="Times New Roman" w:hAnsi="Times New Roman" w:cs="Times New Roman"/>
                <w:sz w:val="24"/>
                <w:szCs w:val="24"/>
              </w:rPr>
              <w:t xml:space="preserve">unkt </w:t>
            </w:r>
            <w:r w:rsidR="004A3DBF">
              <w:rPr>
                <w:rFonts w:ascii="Times New Roman" w:hAnsi="Times New Roman" w:cs="Times New Roman"/>
                <w:sz w:val="24"/>
                <w:szCs w:val="24"/>
              </w:rPr>
              <w:t>k</w:t>
            </w:r>
            <w:r w:rsidRPr="00DE7F16">
              <w:rPr>
                <w:rFonts w:ascii="Times New Roman" w:hAnsi="Times New Roman" w:cs="Times New Roman"/>
                <w:sz w:val="24"/>
                <w:szCs w:val="24"/>
              </w:rPr>
              <w:t xml:space="preserve">ontaktowy będzie mieścił się w Komendzie Głównej Policji. Przewiduje się utworzenie dodatkowych etatów. Wydatki zostaną poniesione na wynagrodzenia, opłacenie powierzchni biurowej, przygotowanie stanowiska pracy, podłączenie do sieci, zakup oprogramowania, utworzenie bazy danych zgłoszeń podejrzanych transakcji, kradzieży i zniknięć. Należy również przewidzieć także opłacenie udziału pracowników w delegacjach i szkoleniach. Łączne koszty utrzymania </w:t>
            </w:r>
            <w:r w:rsidR="004A3DBF">
              <w:rPr>
                <w:rFonts w:ascii="Times New Roman" w:hAnsi="Times New Roman" w:cs="Times New Roman"/>
                <w:sz w:val="24"/>
                <w:szCs w:val="24"/>
              </w:rPr>
              <w:t>k</w:t>
            </w:r>
            <w:r w:rsidR="002C0F75">
              <w:rPr>
                <w:rFonts w:ascii="Times New Roman" w:hAnsi="Times New Roman" w:cs="Times New Roman"/>
                <w:sz w:val="24"/>
                <w:szCs w:val="24"/>
              </w:rPr>
              <w:t>.</w:t>
            </w:r>
            <w:r w:rsidR="004A3DBF">
              <w:rPr>
                <w:rFonts w:ascii="Times New Roman" w:hAnsi="Times New Roman" w:cs="Times New Roman"/>
                <w:sz w:val="24"/>
                <w:szCs w:val="24"/>
              </w:rPr>
              <w:t>p</w:t>
            </w:r>
            <w:r w:rsidR="002C0F75">
              <w:rPr>
                <w:rFonts w:ascii="Times New Roman" w:hAnsi="Times New Roman" w:cs="Times New Roman"/>
                <w:sz w:val="24"/>
                <w:szCs w:val="24"/>
              </w:rPr>
              <w:t>.</w:t>
            </w:r>
            <w:r w:rsidR="004A3DBF">
              <w:rPr>
                <w:rFonts w:ascii="Times New Roman" w:hAnsi="Times New Roman" w:cs="Times New Roman"/>
                <w:sz w:val="24"/>
                <w:szCs w:val="24"/>
              </w:rPr>
              <w:t>k</w:t>
            </w:r>
            <w:r w:rsidRPr="00DE7F16">
              <w:rPr>
                <w:rFonts w:ascii="Times New Roman" w:hAnsi="Times New Roman" w:cs="Times New Roman"/>
                <w:sz w:val="24"/>
                <w:szCs w:val="24"/>
              </w:rPr>
              <w:t xml:space="preserve">: 372 tys. zł rocznie + 70 tys. zł kosztów poniesionych jednorazowo wraz z utworzeniem punktu. </w:t>
            </w:r>
          </w:p>
        </w:tc>
      </w:tr>
      <w:tr w:rsidR="00DE7F16" w:rsidRPr="00DE7F16" w:rsidTr="00DE7F16">
        <w:trPr>
          <w:trHeight w:val="345"/>
        </w:trPr>
        <w:tc>
          <w:tcPr>
            <w:tcW w:w="10065" w:type="dxa"/>
            <w:gridSpan w:val="26"/>
            <w:shd w:val="clear" w:color="auto" w:fill="99CCFF"/>
          </w:tcPr>
          <w:p w:rsidR="00DE7F16" w:rsidRPr="00DE7F16" w:rsidRDefault="00DE7F16" w:rsidP="002271B0">
            <w:pPr>
              <w:numPr>
                <w:ilvl w:val="0"/>
                <w:numId w:val="1"/>
              </w:num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 xml:space="preserve">Wpływ na konkurencyjność gospodarki i przedsiębiorczość, w tym funkcjonowanie przedsiębiorców oraz na rodzinę, obywateli i gospodarstwa domowe </w:t>
            </w:r>
          </w:p>
        </w:tc>
      </w:tr>
      <w:tr w:rsidR="00DE7F16" w:rsidRPr="00DE7F16" w:rsidTr="00DE7F16">
        <w:trPr>
          <w:trHeight w:val="142"/>
        </w:trPr>
        <w:tc>
          <w:tcPr>
            <w:tcW w:w="10065" w:type="dxa"/>
            <w:gridSpan w:val="26"/>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Skutki</w:t>
            </w:r>
          </w:p>
        </w:tc>
      </w:tr>
      <w:tr w:rsidR="00DE7F16" w:rsidRPr="00DE7F16" w:rsidTr="002C0F75">
        <w:trPr>
          <w:trHeight w:val="142"/>
        </w:trPr>
        <w:tc>
          <w:tcPr>
            <w:tcW w:w="4100" w:type="dxa"/>
            <w:gridSpan w:val="8"/>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Czas w latach od wejścia w życie zmian</w:t>
            </w:r>
          </w:p>
        </w:tc>
        <w:tc>
          <w:tcPr>
            <w:tcW w:w="425" w:type="dxa"/>
            <w:gridSpan w:val="2"/>
            <w:shd w:val="clear" w:color="auto" w:fill="FFFFFF"/>
          </w:tcPr>
          <w:p w:rsidR="00DE7F16" w:rsidRPr="00DE7F16" w:rsidRDefault="00DE7F16" w:rsidP="002271B0">
            <w:pPr>
              <w:spacing w:after="0" w:line="240" w:lineRule="auto"/>
              <w:jc w:val="center"/>
              <w:rPr>
                <w:rFonts w:ascii="Times New Roman" w:hAnsi="Times New Roman" w:cs="Times New Roman"/>
                <w:sz w:val="24"/>
                <w:szCs w:val="24"/>
              </w:rPr>
            </w:pPr>
            <w:r w:rsidRPr="00DE7F16">
              <w:rPr>
                <w:rFonts w:ascii="Times New Roman" w:hAnsi="Times New Roman" w:cs="Times New Roman"/>
                <w:sz w:val="24"/>
                <w:szCs w:val="24"/>
              </w:rPr>
              <w:t>0</w:t>
            </w:r>
          </w:p>
        </w:tc>
        <w:tc>
          <w:tcPr>
            <w:tcW w:w="709" w:type="dxa"/>
            <w:gridSpan w:val="4"/>
            <w:shd w:val="clear" w:color="auto" w:fill="FFFFFF"/>
          </w:tcPr>
          <w:p w:rsidR="00DE7F16" w:rsidRPr="00DE7F16" w:rsidRDefault="00DE7F16" w:rsidP="002271B0">
            <w:pPr>
              <w:spacing w:after="0" w:line="240" w:lineRule="auto"/>
              <w:jc w:val="center"/>
              <w:rPr>
                <w:rFonts w:ascii="Times New Roman" w:hAnsi="Times New Roman" w:cs="Times New Roman"/>
                <w:sz w:val="24"/>
                <w:szCs w:val="24"/>
              </w:rPr>
            </w:pPr>
            <w:r w:rsidRPr="00DE7F16">
              <w:rPr>
                <w:rFonts w:ascii="Times New Roman" w:hAnsi="Times New Roman" w:cs="Times New Roman"/>
                <w:sz w:val="24"/>
                <w:szCs w:val="24"/>
              </w:rPr>
              <w:t>1</w:t>
            </w:r>
          </w:p>
        </w:tc>
        <w:tc>
          <w:tcPr>
            <w:tcW w:w="854" w:type="dxa"/>
            <w:gridSpan w:val="2"/>
            <w:shd w:val="clear" w:color="auto" w:fill="FFFFFF"/>
          </w:tcPr>
          <w:p w:rsidR="00DE7F16" w:rsidRPr="00DE7F16" w:rsidRDefault="00DE7F16" w:rsidP="002271B0">
            <w:pPr>
              <w:spacing w:after="0" w:line="240" w:lineRule="auto"/>
              <w:jc w:val="center"/>
              <w:rPr>
                <w:rFonts w:ascii="Times New Roman" w:hAnsi="Times New Roman" w:cs="Times New Roman"/>
                <w:sz w:val="24"/>
                <w:szCs w:val="24"/>
              </w:rPr>
            </w:pPr>
            <w:r w:rsidRPr="00DE7F16">
              <w:rPr>
                <w:rFonts w:ascii="Times New Roman" w:hAnsi="Times New Roman" w:cs="Times New Roman"/>
                <w:sz w:val="24"/>
                <w:szCs w:val="24"/>
              </w:rPr>
              <w:t>2</w:t>
            </w:r>
          </w:p>
        </w:tc>
        <w:tc>
          <w:tcPr>
            <w:tcW w:w="851" w:type="dxa"/>
            <w:gridSpan w:val="3"/>
            <w:shd w:val="clear" w:color="auto" w:fill="FFFFFF"/>
          </w:tcPr>
          <w:p w:rsidR="00DE7F16" w:rsidRPr="00DE7F16" w:rsidRDefault="00DE7F16" w:rsidP="002271B0">
            <w:pPr>
              <w:spacing w:after="0" w:line="240" w:lineRule="auto"/>
              <w:jc w:val="center"/>
              <w:rPr>
                <w:rFonts w:ascii="Times New Roman" w:hAnsi="Times New Roman" w:cs="Times New Roman"/>
                <w:sz w:val="24"/>
                <w:szCs w:val="24"/>
              </w:rPr>
            </w:pPr>
            <w:r w:rsidRPr="00DE7F16">
              <w:rPr>
                <w:rFonts w:ascii="Times New Roman" w:hAnsi="Times New Roman" w:cs="Times New Roman"/>
                <w:sz w:val="24"/>
                <w:szCs w:val="24"/>
              </w:rPr>
              <w:t>3</w:t>
            </w:r>
          </w:p>
        </w:tc>
        <w:tc>
          <w:tcPr>
            <w:tcW w:w="708" w:type="dxa"/>
            <w:gridSpan w:val="3"/>
            <w:shd w:val="clear" w:color="auto" w:fill="FFFFFF"/>
          </w:tcPr>
          <w:p w:rsidR="00DE7F16" w:rsidRPr="00DE7F16" w:rsidRDefault="00DE7F16" w:rsidP="002271B0">
            <w:pPr>
              <w:spacing w:after="0" w:line="240" w:lineRule="auto"/>
              <w:jc w:val="center"/>
              <w:rPr>
                <w:rFonts w:ascii="Times New Roman" w:hAnsi="Times New Roman" w:cs="Times New Roman"/>
                <w:sz w:val="24"/>
                <w:szCs w:val="24"/>
              </w:rPr>
            </w:pPr>
            <w:r w:rsidRPr="00DE7F16">
              <w:rPr>
                <w:rFonts w:ascii="Times New Roman" w:hAnsi="Times New Roman" w:cs="Times New Roman"/>
                <w:sz w:val="24"/>
                <w:szCs w:val="24"/>
              </w:rPr>
              <w:t>5</w:t>
            </w:r>
          </w:p>
        </w:tc>
        <w:tc>
          <w:tcPr>
            <w:tcW w:w="713" w:type="dxa"/>
            <w:gridSpan w:val="2"/>
            <w:shd w:val="clear" w:color="auto" w:fill="FFFFFF"/>
          </w:tcPr>
          <w:p w:rsidR="00DE7F16" w:rsidRPr="00DE7F16" w:rsidRDefault="00DE7F16" w:rsidP="002271B0">
            <w:pPr>
              <w:spacing w:after="0" w:line="240" w:lineRule="auto"/>
              <w:jc w:val="center"/>
              <w:rPr>
                <w:rFonts w:ascii="Times New Roman" w:hAnsi="Times New Roman" w:cs="Times New Roman"/>
                <w:sz w:val="24"/>
                <w:szCs w:val="24"/>
              </w:rPr>
            </w:pPr>
            <w:r w:rsidRPr="00DE7F16">
              <w:rPr>
                <w:rFonts w:ascii="Times New Roman" w:hAnsi="Times New Roman" w:cs="Times New Roman"/>
                <w:sz w:val="24"/>
                <w:szCs w:val="24"/>
              </w:rPr>
              <w:t>10</w:t>
            </w:r>
          </w:p>
        </w:tc>
        <w:tc>
          <w:tcPr>
            <w:tcW w:w="1705" w:type="dxa"/>
            <w:gridSpan w:val="2"/>
            <w:shd w:val="clear" w:color="auto" w:fill="FFFFFF"/>
          </w:tcPr>
          <w:p w:rsidR="00DE7F16" w:rsidRPr="00DE7F16" w:rsidRDefault="00DE7F16" w:rsidP="002271B0">
            <w:pPr>
              <w:spacing w:after="0" w:line="240" w:lineRule="auto"/>
              <w:jc w:val="both"/>
              <w:rPr>
                <w:rFonts w:ascii="Times New Roman" w:hAnsi="Times New Roman" w:cs="Times New Roman"/>
                <w:i/>
                <w:sz w:val="24"/>
                <w:szCs w:val="24"/>
              </w:rPr>
            </w:pPr>
            <w:r w:rsidRPr="00DE7F16">
              <w:rPr>
                <w:rFonts w:ascii="Times New Roman" w:hAnsi="Times New Roman" w:cs="Times New Roman"/>
                <w:i/>
                <w:sz w:val="24"/>
                <w:szCs w:val="24"/>
              </w:rPr>
              <w:t>Łącznie</w:t>
            </w:r>
            <w:r w:rsidRPr="00DE7F16" w:rsidDel="0073273A">
              <w:rPr>
                <w:rFonts w:ascii="Times New Roman" w:hAnsi="Times New Roman" w:cs="Times New Roman"/>
                <w:i/>
                <w:sz w:val="24"/>
                <w:szCs w:val="24"/>
              </w:rPr>
              <w:t xml:space="preserve"> </w:t>
            </w:r>
            <w:r>
              <w:rPr>
                <w:rFonts w:ascii="Times New Roman" w:hAnsi="Times New Roman" w:cs="Times New Roman"/>
                <w:i/>
                <w:sz w:val="24"/>
                <w:szCs w:val="24"/>
              </w:rPr>
              <w:t>(0–</w:t>
            </w:r>
            <w:r w:rsidRPr="00DE7F16">
              <w:rPr>
                <w:rFonts w:ascii="Times New Roman" w:hAnsi="Times New Roman" w:cs="Times New Roman"/>
                <w:i/>
                <w:sz w:val="24"/>
                <w:szCs w:val="24"/>
              </w:rPr>
              <w:t>10)</w:t>
            </w:r>
          </w:p>
        </w:tc>
      </w:tr>
      <w:tr w:rsidR="00DE7F16" w:rsidRPr="00DE7F16" w:rsidTr="002C0F75">
        <w:trPr>
          <w:trHeight w:val="142"/>
        </w:trPr>
        <w:tc>
          <w:tcPr>
            <w:tcW w:w="1694" w:type="dxa"/>
            <w:vMerge w:val="restart"/>
            <w:shd w:val="clear" w:color="auto" w:fill="FFFFFF"/>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W ujęciu pieniężnym</w:t>
            </w:r>
          </w:p>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 xml:space="preserve">(w mln zł, </w:t>
            </w:r>
          </w:p>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ceny stałe z 2013 r.)</w:t>
            </w:r>
          </w:p>
        </w:tc>
        <w:tc>
          <w:tcPr>
            <w:tcW w:w="2406" w:type="dxa"/>
            <w:gridSpan w:val="7"/>
            <w:shd w:val="clear" w:color="auto" w:fill="FFFFFF"/>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duże przedsiębiorstwa</w:t>
            </w:r>
          </w:p>
        </w:tc>
        <w:tc>
          <w:tcPr>
            <w:tcW w:w="425"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c>
          <w:tcPr>
            <w:tcW w:w="709" w:type="dxa"/>
            <w:gridSpan w:val="4"/>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c>
          <w:tcPr>
            <w:tcW w:w="854"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c>
          <w:tcPr>
            <w:tcW w:w="851"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c>
          <w:tcPr>
            <w:tcW w:w="708"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c>
          <w:tcPr>
            <w:tcW w:w="713"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c>
          <w:tcPr>
            <w:tcW w:w="1705"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r>
      <w:tr w:rsidR="00DE7F16" w:rsidRPr="00DE7F16" w:rsidTr="002C0F75">
        <w:trPr>
          <w:trHeight w:val="142"/>
        </w:trPr>
        <w:tc>
          <w:tcPr>
            <w:tcW w:w="1694" w:type="dxa"/>
            <w:vMerge/>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tc>
        <w:tc>
          <w:tcPr>
            <w:tcW w:w="2406" w:type="dxa"/>
            <w:gridSpan w:val="7"/>
            <w:shd w:val="clear" w:color="auto" w:fill="FFFFFF"/>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sektor mikroprzedsiębiorstw</w:t>
            </w:r>
          </w:p>
        </w:tc>
        <w:tc>
          <w:tcPr>
            <w:tcW w:w="425"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c>
          <w:tcPr>
            <w:tcW w:w="709" w:type="dxa"/>
            <w:gridSpan w:val="4"/>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c>
          <w:tcPr>
            <w:tcW w:w="854"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c>
          <w:tcPr>
            <w:tcW w:w="851"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c>
          <w:tcPr>
            <w:tcW w:w="708"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c>
          <w:tcPr>
            <w:tcW w:w="713"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c>
          <w:tcPr>
            <w:tcW w:w="1705"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r>
      <w:tr w:rsidR="00DE7F16" w:rsidRPr="00DE7F16" w:rsidTr="002C0F75">
        <w:trPr>
          <w:trHeight w:val="142"/>
        </w:trPr>
        <w:tc>
          <w:tcPr>
            <w:tcW w:w="1694" w:type="dxa"/>
            <w:vMerge/>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tc>
        <w:tc>
          <w:tcPr>
            <w:tcW w:w="2406" w:type="dxa"/>
            <w:gridSpan w:val="7"/>
            <w:shd w:val="clear" w:color="auto" w:fill="FFFFFF"/>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sektor małych przedsiębiorstw</w:t>
            </w:r>
          </w:p>
        </w:tc>
        <w:tc>
          <w:tcPr>
            <w:tcW w:w="425"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tc>
        <w:tc>
          <w:tcPr>
            <w:tcW w:w="709" w:type="dxa"/>
            <w:gridSpan w:val="4"/>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tc>
        <w:tc>
          <w:tcPr>
            <w:tcW w:w="854"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tc>
        <w:tc>
          <w:tcPr>
            <w:tcW w:w="851"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tc>
        <w:tc>
          <w:tcPr>
            <w:tcW w:w="708"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tc>
        <w:tc>
          <w:tcPr>
            <w:tcW w:w="713"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tc>
        <w:tc>
          <w:tcPr>
            <w:tcW w:w="1705"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tc>
      </w:tr>
      <w:tr w:rsidR="00DE7F16" w:rsidRPr="00DE7F16" w:rsidTr="002C0F75">
        <w:trPr>
          <w:trHeight w:val="142"/>
        </w:trPr>
        <w:tc>
          <w:tcPr>
            <w:tcW w:w="1694" w:type="dxa"/>
            <w:vMerge/>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tc>
        <w:tc>
          <w:tcPr>
            <w:tcW w:w="2406" w:type="dxa"/>
            <w:gridSpan w:val="7"/>
            <w:shd w:val="clear" w:color="auto" w:fill="FFFFFF"/>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sektor średnich przedsiębiorstw</w:t>
            </w:r>
          </w:p>
        </w:tc>
        <w:tc>
          <w:tcPr>
            <w:tcW w:w="425"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tc>
        <w:tc>
          <w:tcPr>
            <w:tcW w:w="709" w:type="dxa"/>
            <w:gridSpan w:val="4"/>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tc>
        <w:tc>
          <w:tcPr>
            <w:tcW w:w="854"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tc>
        <w:tc>
          <w:tcPr>
            <w:tcW w:w="851"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tc>
        <w:tc>
          <w:tcPr>
            <w:tcW w:w="708"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tc>
        <w:tc>
          <w:tcPr>
            <w:tcW w:w="713"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tc>
        <w:tc>
          <w:tcPr>
            <w:tcW w:w="1705"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tc>
      </w:tr>
      <w:tr w:rsidR="00DE7F16" w:rsidRPr="00DE7F16" w:rsidTr="002C0F75">
        <w:trPr>
          <w:trHeight w:val="142"/>
        </w:trPr>
        <w:tc>
          <w:tcPr>
            <w:tcW w:w="1694" w:type="dxa"/>
            <w:vMerge/>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tc>
        <w:tc>
          <w:tcPr>
            <w:tcW w:w="2406" w:type="dxa"/>
            <w:gridSpan w:val="7"/>
            <w:shd w:val="clear" w:color="auto" w:fill="FFFFFF"/>
          </w:tcPr>
          <w:p w:rsidR="00DE7F16" w:rsidRPr="00DE7F16" w:rsidRDefault="00DE7F16" w:rsidP="002271B0">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rodzina, obywatele oraz gospodarstwa domowe</w:t>
            </w:r>
          </w:p>
        </w:tc>
        <w:tc>
          <w:tcPr>
            <w:tcW w:w="425"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c>
          <w:tcPr>
            <w:tcW w:w="709" w:type="dxa"/>
            <w:gridSpan w:val="4"/>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c>
          <w:tcPr>
            <w:tcW w:w="854"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c>
          <w:tcPr>
            <w:tcW w:w="851"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c>
          <w:tcPr>
            <w:tcW w:w="708" w:type="dxa"/>
            <w:gridSpan w:val="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c>
          <w:tcPr>
            <w:tcW w:w="713"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c>
          <w:tcPr>
            <w:tcW w:w="1705" w:type="dxa"/>
            <w:gridSpan w:val="2"/>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t>
            </w:r>
          </w:p>
        </w:tc>
      </w:tr>
      <w:tr w:rsidR="00DE7F16" w:rsidRPr="00DE7F16" w:rsidTr="002C0F75">
        <w:trPr>
          <w:trHeight w:val="552"/>
        </w:trPr>
        <w:tc>
          <w:tcPr>
            <w:tcW w:w="1694" w:type="dxa"/>
            <w:vMerge w:val="restart"/>
            <w:shd w:val="clear" w:color="auto" w:fill="FFFFFF"/>
          </w:tcPr>
          <w:p w:rsidR="00DE7F16" w:rsidRPr="00DE7F16" w:rsidRDefault="00DE7F16" w:rsidP="00897901">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W ujęciu niepieniężnym</w:t>
            </w:r>
          </w:p>
          <w:p w:rsidR="00DE7F16" w:rsidRPr="00DE7F16" w:rsidRDefault="00DE7F16" w:rsidP="00897901">
            <w:pPr>
              <w:spacing w:after="0" w:line="240" w:lineRule="auto"/>
              <w:jc w:val="both"/>
              <w:rPr>
                <w:rFonts w:ascii="Times New Roman" w:hAnsi="Times New Roman" w:cs="Times New Roman"/>
                <w:sz w:val="24"/>
                <w:szCs w:val="24"/>
              </w:rPr>
            </w:pPr>
          </w:p>
        </w:tc>
        <w:tc>
          <w:tcPr>
            <w:tcW w:w="2406" w:type="dxa"/>
            <w:gridSpan w:val="7"/>
            <w:shd w:val="clear" w:color="auto" w:fill="FFFFFF"/>
          </w:tcPr>
          <w:p w:rsidR="00DE7F16" w:rsidRPr="00DE7F16" w:rsidRDefault="00DE7F16" w:rsidP="00897901">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duże przedsiębiorstwa</w:t>
            </w:r>
          </w:p>
        </w:tc>
        <w:tc>
          <w:tcPr>
            <w:tcW w:w="5965" w:type="dxa"/>
            <w:gridSpan w:val="18"/>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Nieokreślony</w:t>
            </w:r>
          </w:p>
        </w:tc>
      </w:tr>
      <w:tr w:rsidR="00DE7F16" w:rsidRPr="00DE7F16" w:rsidTr="002C0F75">
        <w:trPr>
          <w:trHeight w:val="704"/>
        </w:trPr>
        <w:tc>
          <w:tcPr>
            <w:tcW w:w="1694" w:type="dxa"/>
            <w:vMerge/>
            <w:shd w:val="clear" w:color="auto" w:fill="FFFFFF"/>
          </w:tcPr>
          <w:p w:rsidR="00DE7F16" w:rsidRPr="00DE7F16" w:rsidDel="00C27772" w:rsidRDefault="00DE7F16" w:rsidP="00897901">
            <w:pPr>
              <w:spacing w:after="0" w:line="240" w:lineRule="auto"/>
              <w:jc w:val="both"/>
              <w:rPr>
                <w:rFonts w:ascii="Times New Roman" w:hAnsi="Times New Roman" w:cs="Times New Roman"/>
                <w:sz w:val="24"/>
                <w:szCs w:val="24"/>
              </w:rPr>
            </w:pPr>
          </w:p>
        </w:tc>
        <w:tc>
          <w:tcPr>
            <w:tcW w:w="2406" w:type="dxa"/>
            <w:gridSpan w:val="7"/>
            <w:shd w:val="clear" w:color="auto" w:fill="FFFFFF"/>
          </w:tcPr>
          <w:p w:rsidR="00DE7F16" w:rsidRPr="00DE7F16" w:rsidDel="00C27772" w:rsidRDefault="00DE7F16" w:rsidP="008979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sektor mikroprzedsiębiorst</w:t>
            </w:r>
            <w:r w:rsidRPr="00DE7F16">
              <w:rPr>
                <w:rFonts w:ascii="Times New Roman" w:hAnsi="Times New Roman" w:cs="Times New Roman"/>
                <w:sz w:val="24"/>
                <w:szCs w:val="24"/>
              </w:rPr>
              <w:t>w</w:t>
            </w:r>
          </w:p>
        </w:tc>
        <w:tc>
          <w:tcPr>
            <w:tcW w:w="5965" w:type="dxa"/>
            <w:gridSpan w:val="18"/>
            <w:shd w:val="clear" w:color="auto" w:fill="FFFFFF"/>
          </w:tcPr>
          <w:p w:rsidR="00DE7F16" w:rsidRPr="00DE7F16" w:rsidRDefault="00DE7F16" w:rsidP="002271B0">
            <w:pPr>
              <w:spacing w:after="0" w:line="360" w:lineRule="auto"/>
              <w:jc w:val="both"/>
              <w:rPr>
                <w:rFonts w:ascii="Times New Roman" w:hAnsi="Times New Roman" w:cs="Times New Roman"/>
                <w:sz w:val="24"/>
                <w:szCs w:val="24"/>
              </w:rPr>
            </w:pPr>
            <w:r w:rsidRPr="00DE7F16">
              <w:rPr>
                <w:rFonts w:ascii="Times New Roman" w:hAnsi="Times New Roman" w:cs="Times New Roman"/>
                <w:sz w:val="24"/>
                <w:szCs w:val="24"/>
              </w:rPr>
              <w:t>Nieokreślony</w:t>
            </w:r>
          </w:p>
        </w:tc>
      </w:tr>
      <w:tr w:rsidR="00DE7F16" w:rsidRPr="00DE7F16" w:rsidTr="002C0F75">
        <w:trPr>
          <w:trHeight w:val="789"/>
        </w:trPr>
        <w:tc>
          <w:tcPr>
            <w:tcW w:w="1694" w:type="dxa"/>
            <w:vMerge/>
            <w:shd w:val="clear" w:color="auto" w:fill="FFFFFF"/>
          </w:tcPr>
          <w:p w:rsidR="00DE7F16" w:rsidRPr="00DE7F16" w:rsidDel="00C27772" w:rsidRDefault="00DE7F16" w:rsidP="00897901">
            <w:pPr>
              <w:spacing w:after="0" w:line="240" w:lineRule="auto"/>
              <w:jc w:val="both"/>
              <w:rPr>
                <w:rFonts w:ascii="Times New Roman" w:hAnsi="Times New Roman" w:cs="Times New Roman"/>
                <w:sz w:val="24"/>
                <w:szCs w:val="24"/>
              </w:rPr>
            </w:pPr>
          </w:p>
        </w:tc>
        <w:tc>
          <w:tcPr>
            <w:tcW w:w="2406" w:type="dxa"/>
            <w:gridSpan w:val="7"/>
            <w:shd w:val="clear" w:color="auto" w:fill="FFFFFF"/>
          </w:tcPr>
          <w:p w:rsidR="00DE7F16" w:rsidRPr="00DE7F16" w:rsidRDefault="00DE7F16" w:rsidP="00897901">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sektor małych przedsiębiorstw</w:t>
            </w:r>
          </w:p>
        </w:tc>
        <w:tc>
          <w:tcPr>
            <w:tcW w:w="5965" w:type="dxa"/>
            <w:gridSpan w:val="18"/>
            <w:shd w:val="clear" w:color="auto" w:fill="FFFFFF"/>
          </w:tcPr>
          <w:p w:rsidR="00DE7F16" w:rsidRPr="00DE7F16" w:rsidRDefault="00DE7F16" w:rsidP="002271B0">
            <w:pPr>
              <w:spacing w:after="0" w:line="360" w:lineRule="auto"/>
              <w:jc w:val="both"/>
              <w:rPr>
                <w:rFonts w:ascii="Times New Roman" w:hAnsi="Times New Roman" w:cs="Times New Roman"/>
                <w:sz w:val="24"/>
                <w:szCs w:val="24"/>
              </w:rPr>
            </w:pPr>
            <w:r w:rsidRPr="00DE7F16">
              <w:rPr>
                <w:rFonts w:ascii="Times New Roman" w:hAnsi="Times New Roman" w:cs="Times New Roman"/>
                <w:sz w:val="24"/>
                <w:szCs w:val="24"/>
              </w:rPr>
              <w:t>Nieokreślony</w:t>
            </w:r>
          </w:p>
        </w:tc>
      </w:tr>
      <w:tr w:rsidR="00DE7F16" w:rsidRPr="00DE7F16" w:rsidTr="002C0F75">
        <w:trPr>
          <w:trHeight w:val="748"/>
        </w:trPr>
        <w:tc>
          <w:tcPr>
            <w:tcW w:w="1694" w:type="dxa"/>
            <w:vMerge/>
            <w:shd w:val="clear" w:color="auto" w:fill="FFFFFF"/>
          </w:tcPr>
          <w:p w:rsidR="00DE7F16" w:rsidRPr="00DE7F16" w:rsidDel="00C27772" w:rsidRDefault="00DE7F16" w:rsidP="00897901">
            <w:pPr>
              <w:spacing w:after="0" w:line="240" w:lineRule="auto"/>
              <w:jc w:val="both"/>
              <w:rPr>
                <w:rFonts w:ascii="Times New Roman" w:hAnsi="Times New Roman" w:cs="Times New Roman"/>
                <w:sz w:val="24"/>
                <w:szCs w:val="24"/>
              </w:rPr>
            </w:pPr>
          </w:p>
        </w:tc>
        <w:tc>
          <w:tcPr>
            <w:tcW w:w="2406" w:type="dxa"/>
            <w:gridSpan w:val="7"/>
            <w:shd w:val="clear" w:color="auto" w:fill="FFFFFF"/>
          </w:tcPr>
          <w:p w:rsidR="00DE7F16" w:rsidRPr="00DE7F16" w:rsidRDefault="00DE7F16" w:rsidP="00897901">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sektor średnich przedsiębiorstw</w:t>
            </w:r>
          </w:p>
        </w:tc>
        <w:tc>
          <w:tcPr>
            <w:tcW w:w="5965" w:type="dxa"/>
            <w:gridSpan w:val="18"/>
            <w:shd w:val="clear" w:color="auto" w:fill="FFFFFF"/>
          </w:tcPr>
          <w:p w:rsidR="00DE7F16" w:rsidRPr="00DE7F16" w:rsidRDefault="00DE7F16" w:rsidP="002271B0">
            <w:pPr>
              <w:spacing w:after="0" w:line="360" w:lineRule="auto"/>
              <w:jc w:val="both"/>
              <w:rPr>
                <w:rFonts w:ascii="Times New Roman" w:hAnsi="Times New Roman" w:cs="Times New Roman"/>
                <w:sz w:val="24"/>
                <w:szCs w:val="24"/>
              </w:rPr>
            </w:pPr>
            <w:r w:rsidRPr="00DE7F16">
              <w:rPr>
                <w:rFonts w:ascii="Times New Roman" w:hAnsi="Times New Roman" w:cs="Times New Roman"/>
                <w:sz w:val="24"/>
                <w:szCs w:val="24"/>
              </w:rPr>
              <w:t>Nieokreślony</w:t>
            </w:r>
          </w:p>
        </w:tc>
      </w:tr>
      <w:tr w:rsidR="00DE7F16" w:rsidRPr="00DE7F16" w:rsidTr="002C0F75">
        <w:trPr>
          <w:trHeight w:val="1088"/>
        </w:trPr>
        <w:tc>
          <w:tcPr>
            <w:tcW w:w="1694" w:type="dxa"/>
            <w:vMerge/>
            <w:shd w:val="clear" w:color="auto" w:fill="FFFFFF"/>
          </w:tcPr>
          <w:p w:rsidR="00DE7F16" w:rsidRPr="00DE7F16" w:rsidRDefault="00DE7F16" w:rsidP="00897901">
            <w:pPr>
              <w:spacing w:after="0" w:line="240" w:lineRule="auto"/>
              <w:jc w:val="both"/>
              <w:rPr>
                <w:rFonts w:ascii="Times New Roman" w:hAnsi="Times New Roman" w:cs="Times New Roman"/>
                <w:sz w:val="24"/>
                <w:szCs w:val="24"/>
              </w:rPr>
            </w:pPr>
          </w:p>
        </w:tc>
        <w:tc>
          <w:tcPr>
            <w:tcW w:w="2406" w:type="dxa"/>
            <w:gridSpan w:val="7"/>
            <w:shd w:val="clear" w:color="auto" w:fill="FFFFFF"/>
          </w:tcPr>
          <w:p w:rsidR="00DE7F16" w:rsidRPr="00DE7F16" w:rsidRDefault="00DE7F16" w:rsidP="00897901">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t>rodzina, obywatele oraz gospodarstwa domowe</w:t>
            </w:r>
            <w:r w:rsidRPr="00DE7F16" w:rsidDel="00EA1A53">
              <w:rPr>
                <w:rFonts w:ascii="Times New Roman" w:hAnsi="Times New Roman" w:cs="Times New Roman"/>
                <w:sz w:val="24"/>
                <w:szCs w:val="24"/>
              </w:rPr>
              <w:t xml:space="preserve"> </w:t>
            </w:r>
          </w:p>
        </w:tc>
        <w:tc>
          <w:tcPr>
            <w:tcW w:w="5965" w:type="dxa"/>
            <w:gridSpan w:val="18"/>
            <w:shd w:val="clear" w:color="auto" w:fill="FFFFFF"/>
          </w:tcPr>
          <w:p w:rsidR="00DE7F16" w:rsidRPr="00DE7F16" w:rsidRDefault="00DE7F16" w:rsidP="002271B0">
            <w:pPr>
              <w:spacing w:after="0" w:line="360" w:lineRule="auto"/>
              <w:jc w:val="both"/>
              <w:rPr>
                <w:rFonts w:ascii="Times New Roman" w:hAnsi="Times New Roman" w:cs="Times New Roman"/>
                <w:sz w:val="24"/>
                <w:szCs w:val="24"/>
              </w:rPr>
            </w:pPr>
            <w:r w:rsidRPr="00DE7F16">
              <w:rPr>
                <w:rFonts w:ascii="Times New Roman" w:hAnsi="Times New Roman" w:cs="Times New Roman"/>
                <w:sz w:val="24"/>
                <w:szCs w:val="24"/>
              </w:rPr>
              <w:t>Zwiększenie bezpieczeństwa obywateli.</w:t>
            </w:r>
          </w:p>
        </w:tc>
      </w:tr>
      <w:tr w:rsidR="00DE7F16" w:rsidRPr="00DE7F16" w:rsidTr="002C0F75">
        <w:trPr>
          <w:trHeight w:val="142"/>
        </w:trPr>
        <w:tc>
          <w:tcPr>
            <w:tcW w:w="1694" w:type="dxa"/>
            <w:shd w:val="clear" w:color="auto" w:fill="FFFFFF"/>
          </w:tcPr>
          <w:p w:rsidR="00DE7F16" w:rsidRPr="00DE7F16" w:rsidRDefault="00DE7F16" w:rsidP="00897901">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Niemierzalne</w:t>
            </w:r>
          </w:p>
        </w:tc>
        <w:tc>
          <w:tcPr>
            <w:tcW w:w="8371" w:type="dxa"/>
            <w:gridSpan w:val="25"/>
            <w:shd w:val="clear" w:color="auto" w:fill="FFFFFF"/>
          </w:tcPr>
          <w:p w:rsidR="00DE7F16" w:rsidRPr="00DE7F16" w:rsidRDefault="00DE7F16" w:rsidP="00897901">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Nie dotyczy</w:t>
            </w:r>
          </w:p>
        </w:tc>
      </w:tr>
      <w:tr w:rsidR="00DE7F16" w:rsidRPr="00DE7F16" w:rsidTr="002C0F75">
        <w:trPr>
          <w:trHeight w:val="1643"/>
        </w:trPr>
        <w:tc>
          <w:tcPr>
            <w:tcW w:w="1694" w:type="dxa"/>
            <w:shd w:val="clear" w:color="auto" w:fill="FFFFFF"/>
          </w:tcPr>
          <w:p w:rsidR="00DE7F16" w:rsidRPr="00DE7F16" w:rsidRDefault="00DE7F16" w:rsidP="00897901">
            <w:pPr>
              <w:spacing w:after="0" w:line="240" w:lineRule="auto"/>
              <w:rPr>
                <w:rFonts w:ascii="Times New Roman" w:hAnsi="Times New Roman" w:cs="Times New Roman"/>
                <w:sz w:val="24"/>
                <w:szCs w:val="24"/>
              </w:rPr>
            </w:pPr>
            <w:r w:rsidRPr="00DE7F16">
              <w:rPr>
                <w:rFonts w:ascii="Times New Roman" w:hAnsi="Times New Roman" w:cs="Times New Roman"/>
                <w:sz w:val="24"/>
                <w:szCs w:val="24"/>
              </w:rPr>
              <w:lastRenderedPageBreak/>
              <w:t xml:space="preserve">Dodatkowe informacje, w tym wskazanie źródeł danych i przyjętych do obliczeń założeń </w:t>
            </w:r>
          </w:p>
        </w:tc>
        <w:tc>
          <w:tcPr>
            <w:tcW w:w="8371" w:type="dxa"/>
            <w:gridSpan w:val="25"/>
            <w:shd w:val="clear" w:color="auto" w:fill="FFFFFF"/>
            <w:vAlign w:val="center"/>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 xml:space="preserve">Wpływ proponowanych zmian w przepisach na konkurencyjność gospodarki i przedsiębiorczość będzie znikomy, a ponadto niemożliwy do zwymiarowania. </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Dodatkowe koszty trudne do oszacowania, ze względu na brak danych na temat skali stosowania substancji w zawyżonych stężeniach przez przeciętnych użytkowników.</w:t>
            </w:r>
          </w:p>
        </w:tc>
      </w:tr>
      <w:tr w:rsidR="00DE7F16" w:rsidRPr="00DE7F16" w:rsidTr="00DE7F16">
        <w:trPr>
          <w:trHeight w:val="342"/>
        </w:trPr>
        <w:tc>
          <w:tcPr>
            <w:tcW w:w="10065" w:type="dxa"/>
            <w:gridSpan w:val="26"/>
            <w:shd w:val="clear" w:color="auto" w:fill="99CCFF"/>
            <w:vAlign w:val="center"/>
          </w:tcPr>
          <w:p w:rsidR="00DE7F16" w:rsidRPr="00DE7F16" w:rsidRDefault="00DE7F16" w:rsidP="002271B0">
            <w:pPr>
              <w:numPr>
                <w:ilvl w:val="0"/>
                <w:numId w:val="1"/>
              </w:num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 xml:space="preserve"> Zmiana obciążeń regulacyjnych (w tym obowiązków informacyjnych) wynikających z projektu</w:t>
            </w:r>
          </w:p>
        </w:tc>
      </w:tr>
      <w:tr w:rsidR="00DE7F16" w:rsidRPr="00DE7F16" w:rsidTr="00DE7F16">
        <w:trPr>
          <w:trHeight w:val="151"/>
        </w:trPr>
        <w:tc>
          <w:tcPr>
            <w:tcW w:w="10065" w:type="dxa"/>
            <w:gridSpan w:val="26"/>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Wybór1"/>
                  <w:enabled/>
                  <w:calcOnExit w:val="0"/>
                  <w:checkBox>
                    <w:sizeAuto/>
                    <w:default w:val="0"/>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nie dotyczy</w:t>
            </w:r>
          </w:p>
        </w:tc>
      </w:tr>
      <w:tr w:rsidR="00DE7F16" w:rsidRPr="00DE7F16" w:rsidTr="004A3DBF">
        <w:trPr>
          <w:trHeight w:val="946"/>
        </w:trPr>
        <w:tc>
          <w:tcPr>
            <w:tcW w:w="5096" w:type="dxa"/>
            <w:gridSpan w:val="1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Wprowadzane są obciążenia poza bezwzględnie wymaganymi przez UE (szczegóły w odwróconej tabeli zgodności).</w:t>
            </w:r>
          </w:p>
        </w:tc>
        <w:tc>
          <w:tcPr>
            <w:tcW w:w="4969" w:type="dxa"/>
            <w:gridSpan w:val="1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Wybór1"/>
                  <w:enabled/>
                  <w:calcOnExit w:val="0"/>
                  <w:checkBox>
                    <w:sizeAuto/>
                    <w:default w:val="0"/>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tak</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
                  <w:enabled/>
                  <w:calcOnExit w:val="0"/>
                  <w:checkBox>
                    <w:sizeAuto/>
                    <w:default w:val="1"/>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nie</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Wybór1"/>
                  <w:enabled/>
                  <w:calcOnExit w:val="0"/>
                  <w:checkBox>
                    <w:sizeAuto/>
                    <w:default w:val="0"/>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nie dotyczy</w:t>
            </w:r>
          </w:p>
        </w:tc>
      </w:tr>
      <w:tr w:rsidR="00DE7F16" w:rsidRPr="00DE7F16" w:rsidTr="004A3DBF">
        <w:trPr>
          <w:trHeight w:val="1245"/>
        </w:trPr>
        <w:tc>
          <w:tcPr>
            <w:tcW w:w="5096" w:type="dxa"/>
            <w:gridSpan w:val="1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Wybór1"/>
                  <w:enabled/>
                  <w:calcOnExit w:val="0"/>
                  <w:checkBox>
                    <w:sizeAuto/>
                    <w:default w:val="0"/>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zmniejszenie liczby dokumentów </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Wybór1"/>
                  <w:enabled/>
                  <w:calcOnExit w:val="0"/>
                  <w:checkBox>
                    <w:sizeAuto/>
                    <w:default w:val="0"/>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zmniejszenie liczby procedur</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
                  <w:enabled/>
                  <w:calcOnExit w:val="0"/>
                  <w:checkBox>
                    <w:sizeAuto/>
                    <w:default w:val="0"/>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skrócenie czasu na załatwienie sprawy</w:t>
            </w:r>
          </w:p>
          <w:p w:rsidR="00DE7F16" w:rsidRPr="00DE7F16" w:rsidRDefault="00DE7F16" w:rsidP="00897901">
            <w:pPr>
              <w:spacing w:after="0" w:line="240" w:lineRule="auto"/>
              <w:jc w:val="both"/>
              <w:rPr>
                <w:rFonts w:ascii="Times New Roman" w:hAnsi="Times New Roman" w:cs="Times New Roman"/>
                <w:b/>
                <w:sz w:val="24"/>
                <w:szCs w:val="24"/>
              </w:rPr>
            </w:pPr>
            <w:r w:rsidRPr="00DE7F16">
              <w:rPr>
                <w:rFonts w:ascii="Times New Roman" w:hAnsi="Times New Roman" w:cs="Times New Roman"/>
                <w:sz w:val="24"/>
                <w:szCs w:val="24"/>
              </w:rPr>
              <w:fldChar w:fldCharType="begin">
                <w:ffData>
                  <w:name w:val="Wybór1"/>
                  <w:enabled/>
                  <w:calcOnExit w:val="0"/>
                  <w:checkBox>
                    <w:sizeAuto/>
                    <w:default w:val="0"/>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inne: </w:t>
            </w:r>
          </w:p>
        </w:tc>
        <w:tc>
          <w:tcPr>
            <w:tcW w:w="4969" w:type="dxa"/>
            <w:gridSpan w:val="1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
                  <w:enabled/>
                  <w:calcOnExit w:val="0"/>
                  <w:checkBox>
                    <w:sizeAuto/>
                    <w:default w:val="1"/>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zwiększenie liczby dokumentów</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
                  <w:enabled/>
                  <w:calcOnExit w:val="0"/>
                  <w:checkBox>
                    <w:sizeAuto/>
                    <w:default w:val="1"/>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zwiększenie liczby procedur</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
                  <w:enabled/>
                  <w:calcOnExit w:val="0"/>
                  <w:checkBox>
                    <w:sizeAuto/>
                    <w:default w:val="0"/>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wydłużenie czasu na załatwienie sprawy</w:t>
            </w:r>
          </w:p>
          <w:p w:rsidR="00DE7F16" w:rsidRPr="00DE7F16" w:rsidRDefault="00DE7F16" w:rsidP="00897901">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Wybór1"/>
                  <w:enabled/>
                  <w:calcOnExit w:val="0"/>
                  <w:checkBox>
                    <w:sizeAuto/>
                    <w:default w:val="0"/>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inne: </w:t>
            </w:r>
          </w:p>
        </w:tc>
      </w:tr>
      <w:tr w:rsidR="00DE7F16" w:rsidRPr="00DE7F16" w:rsidTr="004A3DBF">
        <w:trPr>
          <w:trHeight w:val="870"/>
        </w:trPr>
        <w:tc>
          <w:tcPr>
            <w:tcW w:w="5096" w:type="dxa"/>
            <w:gridSpan w:val="1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 xml:space="preserve">Wprowadzane obciążenia są przystosowane do ich elektronizacji. </w:t>
            </w:r>
          </w:p>
        </w:tc>
        <w:tc>
          <w:tcPr>
            <w:tcW w:w="4969" w:type="dxa"/>
            <w:gridSpan w:val="13"/>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
                  <w:enabled/>
                  <w:calcOnExit w:val="0"/>
                  <w:checkBox>
                    <w:sizeAuto/>
                    <w:default w:val="0"/>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tak</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
                  <w:enabled/>
                  <w:calcOnExit w:val="0"/>
                  <w:checkBox>
                    <w:sizeAuto/>
                    <w:default w:val="0"/>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nie</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
                  <w:enabled/>
                  <w:calcOnExit w:val="0"/>
                  <w:checkBox>
                    <w:sizeAuto/>
                    <w:default w:val="1"/>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nie dotyczy</w:t>
            </w:r>
          </w:p>
        </w:tc>
      </w:tr>
      <w:tr w:rsidR="00DE7F16" w:rsidRPr="00DE7F16" w:rsidTr="00DE7F16">
        <w:trPr>
          <w:trHeight w:val="630"/>
        </w:trPr>
        <w:tc>
          <w:tcPr>
            <w:tcW w:w="10065" w:type="dxa"/>
            <w:gridSpan w:val="26"/>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 xml:space="preserve">Komentarz: </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Projektowana ustawa nakłada na podmioty gospodarcze sankcje i kary za niezgłaszanie do punktu kontaktowego podejrzanych transakcji, zniknięć i kradzieży – obowiązek ten wynika jednak z przepisów UE (dostosowanie do przepisów rozporządzenia UE). Powołanie punktu kontaktowego ma na celu ułatwienie spełnienia tego obowiązku przez przedsiębiorców. Projekt nie nakłada obowiązków ponad te wynikające ze zobowiązań UE.</w:t>
            </w:r>
          </w:p>
        </w:tc>
      </w:tr>
      <w:tr w:rsidR="00DE7F16" w:rsidRPr="00DE7F16" w:rsidTr="00DE7F16">
        <w:trPr>
          <w:trHeight w:val="142"/>
        </w:trPr>
        <w:tc>
          <w:tcPr>
            <w:tcW w:w="10065" w:type="dxa"/>
            <w:gridSpan w:val="26"/>
            <w:shd w:val="clear" w:color="auto" w:fill="99CCFF"/>
          </w:tcPr>
          <w:p w:rsidR="00DE7F16" w:rsidRPr="00DE7F16" w:rsidRDefault="00DE7F16" w:rsidP="002271B0">
            <w:pPr>
              <w:numPr>
                <w:ilvl w:val="0"/>
                <w:numId w:val="1"/>
              </w:num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 xml:space="preserve">Wpływ na rynek pracy </w:t>
            </w:r>
          </w:p>
        </w:tc>
      </w:tr>
      <w:tr w:rsidR="00DE7F16" w:rsidRPr="00DE7F16" w:rsidTr="00DE7F16">
        <w:trPr>
          <w:trHeight w:val="142"/>
        </w:trPr>
        <w:tc>
          <w:tcPr>
            <w:tcW w:w="10065" w:type="dxa"/>
            <w:gridSpan w:val="26"/>
            <w:shd w:val="clear" w:color="auto" w:fill="auto"/>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Ustawa nie będzie miała wpływu na rynek pracy.</w:t>
            </w:r>
          </w:p>
        </w:tc>
      </w:tr>
      <w:tr w:rsidR="00DE7F16" w:rsidRPr="00DE7F16" w:rsidTr="00DE7F16">
        <w:trPr>
          <w:trHeight w:val="142"/>
        </w:trPr>
        <w:tc>
          <w:tcPr>
            <w:tcW w:w="10065" w:type="dxa"/>
            <w:gridSpan w:val="26"/>
            <w:shd w:val="clear" w:color="auto" w:fill="99CCFF"/>
          </w:tcPr>
          <w:p w:rsidR="00DE7F16" w:rsidRPr="00DE7F16" w:rsidRDefault="00DE7F16" w:rsidP="002271B0">
            <w:pPr>
              <w:numPr>
                <w:ilvl w:val="0"/>
                <w:numId w:val="1"/>
              </w:num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Wpływ na pozostałe obszary</w:t>
            </w:r>
          </w:p>
        </w:tc>
      </w:tr>
      <w:tr w:rsidR="00DE7F16" w:rsidRPr="00DE7F16" w:rsidTr="004A3DBF">
        <w:trPr>
          <w:trHeight w:val="1031"/>
        </w:trPr>
        <w:tc>
          <w:tcPr>
            <w:tcW w:w="3532" w:type="dxa"/>
            <w:gridSpan w:val="6"/>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Wybór1"/>
                  <w:enabled/>
                  <w:calcOnExit w:val="0"/>
                  <w:checkBox>
                    <w:sizeAuto/>
                    <w:default w:val="0"/>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środowisko naturalne</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
                  <w:enabled/>
                  <w:calcOnExit w:val="0"/>
                  <w:checkBox>
                    <w:sizeAuto/>
                    <w:default w:val="0"/>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sytuacja i rozwój regionalny</w:t>
            </w:r>
          </w:p>
          <w:p w:rsidR="00DE7F16" w:rsidRPr="00DE7F16" w:rsidRDefault="00DE7F16" w:rsidP="00897901">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Wybór1"/>
                  <w:enabled/>
                  <w:calcOnExit w:val="0"/>
                  <w:checkBox>
                    <w:sizeAuto/>
                    <w:default w:val="0"/>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inne: </w:t>
            </w:r>
          </w:p>
        </w:tc>
        <w:tc>
          <w:tcPr>
            <w:tcW w:w="3687" w:type="dxa"/>
            <w:gridSpan w:val="14"/>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Wybór1"/>
                  <w:enabled/>
                  <w:calcOnExit w:val="0"/>
                  <w:checkBox>
                    <w:sizeAuto/>
                    <w:default w:val="0"/>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demografia</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
                  <w:enabled/>
                  <w:calcOnExit w:val="0"/>
                  <w:checkBox>
                    <w:sizeAuto/>
                    <w:default w:val="0"/>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mienie państwowe</w:t>
            </w:r>
          </w:p>
        </w:tc>
        <w:tc>
          <w:tcPr>
            <w:tcW w:w="2846" w:type="dxa"/>
            <w:gridSpan w:val="6"/>
            <w:shd w:val="clear" w:color="auto" w:fill="FFFFFF"/>
          </w:tcPr>
          <w:p w:rsidR="00DE7F16" w:rsidRPr="00DE7F16" w:rsidRDefault="00DE7F16" w:rsidP="002271B0">
            <w:pPr>
              <w:spacing w:after="0" w:line="240" w:lineRule="auto"/>
              <w:jc w:val="both"/>
              <w:rPr>
                <w:rFonts w:ascii="Times New Roman" w:hAnsi="Times New Roman" w:cs="Times New Roman"/>
                <w:sz w:val="24"/>
                <w:szCs w:val="24"/>
              </w:rPr>
            </w:pP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Wybór1"/>
                  <w:enabled/>
                  <w:calcOnExit w:val="0"/>
                  <w:checkBox>
                    <w:sizeAuto/>
                    <w:default w:val="0"/>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informatyzacja</w:t>
            </w:r>
          </w:p>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fldChar w:fldCharType="begin">
                <w:ffData>
                  <w:name w:val=""/>
                  <w:enabled/>
                  <w:calcOnExit w:val="0"/>
                  <w:checkBox>
                    <w:sizeAuto/>
                    <w:default w:val="1"/>
                  </w:checkBox>
                </w:ffData>
              </w:fldChar>
            </w:r>
            <w:r w:rsidRPr="00DE7F16">
              <w:rPr>
                <w:rFonts w:ascii="Times New Roman" w:hAnsi="Times New Roman" w:cs="Times New Roman"/>
                <w:sz w:val="24"/>
                <w:szCs w:val="24"/>
              </w:rPr>
              <w:instrText xml:space="preserve"> FORMCHECKBOX </w:instrText>
            </w:r>
            <w:r w:rsidR="00AB0229">
              <w:rPr>
                <w:rFonts w:ascii="Times New Roman" w:hAnsi="Times New Roman" w:cs="Times New Roman"/>
                <w:sz w:val="24"/>
                <w:szCs w:val="24"/>
              </w:rPr>
            </w:r>
            <w:r w:rsidR="00AB0229">
              <w:rPr>
                <w:rFonts w:ascii="Times New Roman" w:hAnsi="Times New Roman" w:cs="Times New Roman"/>
                <w:sz w:val="24"/>
                <w:szCs w:val="24"/>
              </w:rPr>
              <w:fldChar w:fldCharType="separate"/>
            </w:r>
            <w:r w:rsidRPr="00DE7F16">
              <w:rPr>
                <w:rFonts w:ascii="Times New Roman" w:hAnsi="Times New Roman" w:cs="Times New Roman"/>
                <w:sz w:val="24"/>
                <w:szCs w:val="24"/>
              </w:rPr>
              <w:fldChar w:fldCharType="end"/>
            </w:r>
            <w:r w:rsidRPr="00DE7F16">
              <w:rPr>
                <w:rFonts w:ascii="Times New Roman" w:hAnsi="Times New Roman" w:cs="Times New Roman"/>
                <w:sz w:val="24"/>
                <w:szCs w:val="24"/>
              </w:rPr>
              <w:t xml:space="preserve"> zdrowie</w:t>
            </w:r>
          </w:p>
        </w:tc>
      </w:tr>
      <w:tr w:rsidR="00DE7F16" w:rsidRPr="00DE7F16" w:rsidTr="004A3DBF">
        <w:trPr>
          <w:trHeight w:val="411"/>
        </w:trPr>
        <w:tc>
          <w:tcPr>
            <w:tcW w:w="2231" w:type="dxa"/>
            <w:gridSpan w:val="2"/>
            <w:shd w:val="clear" w:color="auto" w:fill="FFFFFF"/>
            <w:vAlign w:val="center"/>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Omówienie wpływu</w:t>
            </w:r>
          </w:p>
        </w:tc>
        <w:tc>
          <w:tcPr>
            <w:tcW w:w="7834" w:type="dxa"/>
            <w:gridSpan w:val="24"/>
            <w:shd w:val="clear" w:color="auto" w:fill="FFFFFF"/>
            <w:vAlign w:val="center"/>
          </w:tcPr>
          <w:p w:rsidR="00DE7F16" w:rsidRPr="00DE7F16" w:rsidRDefault="00DE7F16" w:rsidP="002271B0">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Działania zmierzające do wzmocnienia bezpieczeństwa publicznego. W Polsce brak jest danych dotyczących domowej produkcji materiałów wybuchowych z prekursorów.</w:t>
            </w:r>
          </w:p>
        </w:tc>
      </w:tr>
      <w:tr w:rsidR="00DE7F16" w:rsidRPr="00DE7F16" w:rsidTr="00DE7F16">
        <w:trPr>
          <w:trHeight w:val="142"/>
        </w:trPr>
        <w:tc>
          <w:tcPr>
            <w:tcW w:w="10065" w:type="dxa"/>
            <w:gridSpan w:val="26"/>
            <w:shd w:val="clear" w:color="auto" w:fill="99CCFF"/>
          </w:tcPr>
          <w:p w:rsidR="00DE7F16" w:rsidRPr="00DE7F16" w:rsidRDefault="00DE7F16" w:rsidP="002271B0">
            <w:pPr>
              <w:numPr>
                <w:ilvl w:val="0"/>
                <w:numId w:val="1"/>
              </w:num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Planowane wykonanie przepisów aktu prawnego</w:t>
            </w:r>
          </w:p>
        </w:tc>
      </w:tr>
      <w:tr w:rsidR="00DE7F16" w:rsidRPr="00DE7F16" w:rsidTr="00897901">
        <w:trPr>
          <w:trHeight w:val="2319"/>
        </w:trPr>
        <w:tc>
          <w:tcPr>
            <w:tcW w:w="10065" w:type="dxa"/>
            <w:gridSpan w:val="26"/>
            <w:shd w:val="clear" w:color="auto" w:fill="FFFFFF"/>
          </w:tcPr>
          <w:p w:rsidR="00DE7F16" w:rsidRPr="00DE7F16" w:rsidRDefault="00DE7F16" w:rsidP="00897901">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Stosowanie przepisów ustawy planowane jest w 201</w:t>
            </w:r>
            <w:r w:rsidR="004A3DBF">
              <w:rPr>
                <w:rFonts w:ascii="Times New Roman" w:hAnsi="Times New Roman" w:cs="Times New Roman"/>
                <w:sz w:val="24"/>
                <w:szCs w:val="24"/>
              </w:rPr>
              <w:t>6</w:t>
            </w:r>
            <w:r w:rsidRPr="00DE7F16">
              <w:rPr>
                <w:rFonts w:ascii="Times New Roman" w:hAnsi="Times New Roman" w:cs="Times New Roman"/>
                <w:sz w:val="24"/>
                <w:szCs w:val="24"/>
              </w:rPr>
              <w:t xml:space="preserve"> r. z wyjątkiem przepis</w:t>
            </w:r>
            <w:r w:rsidR="004A3DBF">
              <w:rPr>
                <w:rFonts w:ascii="Times New Roman" w:hAnsi="Times New Roman" w:cs="Times New Roman"/>
                <w:sz w:val="24"/>
                <w:szCs w:val="24"/>
              </w:rPr>
              <w:t>u</w:t>
            </w:r>
            <w:r w:rsidRPr="00DE7F16">
              <w:rPr>
                <w:rFonts w:ascii="Times New Roman" w:hAnsi="Times New Roman" w:cs="Times New Roman"/>
                <w:sz w:val="24"/>
                <w:szCs w:val="24"/>
              </w:rPr>
              <w:t xml:space="preserve"> art. 11, któr</w:t>
            </w:r>
            <w:r w:rsidR="004A3DBF">
              <w:rPr>
                <w:rFonts w:ascii="Times New Roman" w:hAnsi="Times New Roman" w:cs="Times New Roman"/>
                <w:sz w:val="24"/>
                <w:szCs w:val="24"/>
              </w:rPr>
              <w:t>y</w:t>
            </w:r>
            <w:r w:rsidRPr="00DE7F16">
              <w:rPr>
                <w:rFonts w:ascii="Times New Roman" w:hAnsi="Times New Roman" w:cs="Times New Roman"/>
                <w:sz w:val="24"/>
                <w:szCs w:val="24"/>
              </w:rPr>
              <w:t xml:space="preserve"> będ</w:t>
            </w:r>
            <w:r w:rsidR="004A3DBF">
              <w:rPr>
                <w:rFonts w:ascii="Times New Roman" w:hAnsi="Times New Roman" w:cs="Times New Roman"/>
                <w:sz w:val="24"/>
                <w:szCs w:val="24"/>
              </w:rPr>
              <w:t>zie</w:t>
            </w:r>
            <w:r w:rsidRPr="00DE7F16">
              <w:rPr>
                <w:rFonts w:ascii="Times New Roman" w:hAnsi="Times New Roman" w:cs="Times New Roman"/>
                <w:sz w:val="24"/>
                <w:szCs w:val="24"/>
              </w:rPr>
              <w:t xml:space="preserve"> obowiązywał od dnia 3 marca 2016 r. zgodnie z przepisami przejściowymi rozporządzeni</w:t>
            </w:r>
            <w:r w:rsidR="00397D6F">
              <w:rPr>
                <w:rFonts w:ascii="Times New Roman" w:hAnsi="Times New Roman" w:cs="Times New Roman"/>
                <w:sz w:val="24"/>
                <w:szCs w:val="24"/>
              </w:rPr>
              <w:t>a</w:t>
            </w:r>
            <w:r w:rsidRPr="00DE7F16">
              <w:rPr>
                <w:rFonts w:ascii="Times New Roman" w:hAnsi="Times New Roman" w:cs="Times New Roman"/>
                <w:sz w:val="24"/>
                <w:szCs w:val="24"/>
              </w:rPr>
              <w:t xml:space="preserve"> (UE) nr 98/2013.</w:t>
            </w:r>
          </w:p>
          <w:p w:rsidR="00897901" w:rsidRPr="00DE7F16" w:rsidRDefault="00DE7F16" w:rsidP="00897901">
            <w:pPr>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 xml:space="preserve">Prekursory materiałów wybuchowych podlegających ograniczeniom zakupione przez przeciętnych użytkowników przed dniem 2 września 2014 r. mogą pozostawać w ich posiadaniu do dnia 2 marca 2016 r. </w:t>
            </w:r>
          </w:p>
        </w:tc>
      </w:tr>
      <w:tr w:rsidR="00DE7F16" w:rsidRPr="00DE7F16" w:rsidTr="00DE7F16">
        <w:trPr>
          <w:trHeight w:val="142"/>
        </w:trPr>
        <w:tc>
          <w:tcPr>
            <w:tcW w:w="10065" w:type="dxa"/>
            <w:gridSpan w:val="26"/>
            <w:shd w:val="clear" w:color="auto" w:fill="99CCFF"/>
          </w:tcPr>
          <w:p w:rsidR="00DE7F16" w:rsidRPr="00DE7F16" w:rsidRDefault="00DE7F16" w:rsidP="00897901">
            <w:pPr>
              <w:keepNext/>
              <w:numPr>
                <w:ilvl w:val="0"/>
                <w:numId w:val="1"/>
              </w:num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lastRenderedPageBreak/>
              <w:t xml:space="preserve"> W jaki sposób i kiedy nastąpi ewaluacja efektów projektu oraz jakie mierniki zostaną zastosowane?</w:t>
            </w:r>
          </w:p>
        </w:tc>
      </w:tr>
      <w:tr w:rsidR="00DE7F16" w:rsidRPr="00DE7F16" w:rsidTr="00893528">
        <w:trPr>
          <w:trHeight w:val="1686"/>
        </w:trPr>
        <w:tc>
          <w:tcPr>
            <w:tcW w:w="10065" w:type="dxa"/>
            <w:gridSpan w:val="26"/>
            <w:shd w:val="clear" w:color="auto" w:fill="FFFFFF"/>
          </w:tcPr>
          <w:p w:rsidR="00DE7F16" w:rsidRPr="00DE7F16" w:rsidRDefault="00DE7F16" w:rsidP="00897901">
            <w:pPr>
              <w:keepNext/>
              <w:spacing w:after="0" w:line="240" w:lineRule="auto"/>
              <w:jc w:val="both"/>
              <w:rPr>
                <w:rFonts w:ascii="Times New Roman" w:hAnsi="Times New Roman" w:cs="Times New Roman"/>
                <w:sz w:val="24"/>
                <w:szCs w:val="24"/>
              </w:rPr>
            </w:pPr>
            <w:r w:rsidRPr="00DE7F16">
              <w:rPr>
                <w:rFonts w:ascii="Times New Roman" w:hAnsi="Times New Roman" w:cs="Times New Roman"/>
                <w:sz w:val="24"/>
                <w:szCs w:val="24"/>
              </w:rPr>
              <w:t>Proponowane w projekcie ustawy rozwiązania wynikają z konieczności stosowania rozporządzenia</w:t>
            </w:r>
            <w:r w:rsidR="004A3DBF">
              <w:rPr>
                <w:rFonts w:ascii="Times New Roman" w:hAnsi="Times New Roman" w:cs="Times New Roman"/>
                <w:sz w:val="24"/>
                <w:szCs w:val="24"/>
              </w:rPr>
              <w:t xml:space="preserve"> (UE) </w:t>
            </w:r>
            <w:r w:rsidRPr="00DE7F16">
              <w:rPr>
                <w:rFonts w:ascii="Times New Roman" w:hAnsi="Times New Roman" w:cs="Times New Roman"/>
                <w:sz w:val="24"/>
                <w:szCs w:val="24"/>
              </w:rPr>
              <w:t>nr 98/2013. W związku z tym Komisja Europejska zapowiada, iż po pewnym czasie (w tej chwili jeszcze nieokreślonym) zwróci się do państw członkowskich o informacje na temat efektów funkcjonowania tych przepisów, sporządzone w oparciu o wskazane przez Komisję kryteria. Nadzór nad stosowaniem rozporządzeni</w:t>
            </w:r>
            <w:r w:rsidR="004A3DBF">
              <w:rPr>
                <w:rFonts w:ascii="Times New Roman" w:hAnsi="Times New Roman" w:cs="Times New Roman"/>
                <w:sz w:val="24"/>
                <w:szCs w:val="24"/>
              </w:rPr>
              <w:t>a</w:t>
            </w:r>
            <w:r w:rsidRPr="00DE7F16">
              <w:rPr>
                <w:rFonts w:ascii="Times New Roman" w:hAnsi="Times New Roman" w:cs="Times New Roman"/>
                <w:sz w:val="24"/>
                <w:szCs w:val="24"/>
              </w:rPr>
              <w:t xml:space="preserve"> będzie mierzony poprzez liczbę rocznych zgłoszeń podejrzanych transakcji, zniknięć i kradzieży; liczbę i skutki kontroli przeprowadzonych w podmiotach gospodarczych udostępniających prekursory</w:t>
            </w:r>
            <w:r w:rsidR="004A3DBF">
              <w:rPr>
                <w:rFonts w:ascii="Times New Roman" w:hAnsi="Times New Roman" w:cs="Times New Roman"/>
                <w:sz w:val="24"/>
                <w:szCs w:val="24"/>
              </w:rPr>
              <w:t>,</w:t>
            </w:r>
            <w:r w:rsidRPr="00DE7F16">
              <w:rPr>
                <w:rFonts w:ascii="Times New Roman" w:hAnsi="Times New Roman" w:cs="Times New Roman"/>
                <w:sz w:val="24"/>
                <w:szCs w:val="24"/>
              </w:rPr>
              <w:t xml:space="preserve"> o których mowa w rozporządzeniu </w:t>
            </w:r>
            <w:r w:rsidR="004A3DBF">
              <w:rPr>
                <w:rFonts w:ascii="Times New Roman" w:hAnsi="Times New Roman" w:cs="Times New Roman"/>
                <w:sz w:val="24"/>
                <w:szCs w:val="24"/>
              </w:rPr>
              <w:t xml:space="preserve">(UE) </w:t>
            </w:r>
            <w:r w:rsidRPr="00DE7F16">
              <w:rPr>
                <w:rFonts w:ascii="Times New Roman" w:hAnsi="Times New Roman" w:cs="Times New Roman"/>
                <w:sz w:val="24"/>
                <w:szCs w:val="24"/>
              </w:rPr>
              <w:t xml:space="preserve">nr 98/2013. </w:t>
            </w:r>
          </w:p>
        </w:tc>
      </w:tr>
      <w:tr w:rsidR="00DE7F16" w:rsidRPr="00DE7F16" w:rsidTr="00DE7F16">
        <w:trPr>
          <w:trHeight w:val="142"/>
        </w:trPr>
        <w:tc>
          <w:tcPr>
            <w:tcW w:w="10065" w:type="dxa"/>
            <w:gridSpan w:val="26"/>
            <w:shd w:val="clear" w:color="auto" w:fill="99CCFF"/>
          </w:tcPr>
          <w:p w:rsidR="00DE7F16" w:rsidRPr="00DE7F16" w:rsidRDefault="00DE7F16" w:rsidP="002271B0">
            <w:pPr>
              <w:numPr>
                <w:ilvl w:val="0"/>
                <w:numId w:val="1"/>
              </w:numPr>
              <w:spacing w:after="0" w:line="240" w:lineRule="auto"/>
              <w:jc w:val="both"/>
              <w:rPr>
                <w:rFonts w:ascii="Times New Roman" w:hAnsi="Times New Roman" w:cs="Times New Roman"/>
                <w:b/>
                <w:sz w:val="24"/>
                <w:szCs w:val="24"/>
              </w:rPr>
            </w:pPr>
            <w:r w:rsidRPr="00DE7F16">
              <w:rPr>
                <w:rFonts w:ascii="Times New Roman" w:hAnsi="Times New Roman" w:cs="Times New Roman"/>
                <w:b/>
                <w:sz w:val="24"/>
                <w:szCs w:val="24"/>
              </w:rPr>
              <w:t xml:space="preserve">Załączniki (istotne dokumenty źródłowe, badania, analizy itp.) </w:t>
            </w:r>
          </w:p>
        </w:tc>
      </w:tr>
      <w:tr w:rsidR="00DE7F16" w:rsidRPr="00DE7F16" w:rsidTr="00DE7F16">
        <w:trPr>
          <w:trHeight w:val="142"/>
        </w:trPr>
        <w:tc>
          <w:tcPr>
            <w:tcW w:w="10065" w:type="dxa"/>
            <w:gridSpan w:val="26"/>
            <w:shd w:val="clear" w:color="auto" w:fill="FFFFFF"/>
          </w:tcPr>
          <w:p w:rsidR="00DE7F16" w:rsidRPr="00DE7F16" w:rsidRDefault="00DE7F16" w:rsidP="002271B0">
            <w:pPr>
              <w:spacing w:after="0" w:line="240" w:lineRule="auto"/>
              <w:jc w:val="both"/>
              <w:rPr>
                <w:rFonts w:ascii="Times New Roman" w:hAnsi="Times New Roman" w:cs="Times New Roman"/>
                <w:bCs/>
                <w:sz w:val="24"/>
                <w:szCs w:val="24"/>
              </w:rPr>
            </w:pPr>
            <w:r w:rsidRPr="00DE7F16">
              <w:rPr>
                <w:rFonts w:ascii="Times New Roman" w:hAnsi="Times New Roman" w:cs="Times New Roman"/>
                <w:bCs/>
                <w:sz w:val="24"/>
                <w:szCs w:val="24"/>
              </w:rPr>
              <w:t>Raport z konsultacji publicznych oraz opiniowania projektu ustawy o bezpieczeństwie obrotu prekursorami materiałów wybuchowych</w:t>
            </w:r>
            <w:r w:rsidR="00897901">
              <w:rPr>
                <w:rFonts w:ascii="Times New Roman" w:hAnsi="Times New Roman" w:cs="Times New Roman"/>
                <w:bCs/>
                <w:sz w:val="24"/>
                <w:szCs w:val="24"/>
              </w:rPr>
              <w:t>.</w:t>
            </w:r>
          </w:p>
        </w:tc>
      </w:tr>
    </w:tbl>
    <w:p w:rsidR="00F53F03" w:rsidRPr="00DE7F16" w:rsidRDefault="00F53F03" w:rsidP="002271B0">
      <w:pPr>
        <w:spacing w:after="0" w:line="360" w:lineRule="auto"/>
        <w:jc w:val="both"/>
        <w:rPr>
          <w:rFonts w:ascii="Times New Roman" w:hAnsi="Times New Roman" w:cs="Times New Roman"/>
          <w:sz w:val="24"/>
          <w:szCs w:val="24"/>
        </w:rPr>
      </w:pPr>
    </w:p>
    <w:sectPr w:rsidR="00F53F03" w:rsidRPr="00DE7F16" w:rsidSect="00915CCB">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7386" w:rsidRDefault="009E7386" w:rsidP="00915CCB">
      <w:pPr>
        <w:spacing w:after="0" w:line="240" w:lineRule="auto"/>
      </w:pPr>
      <w:r>
        <w:separator/>
      </w:r>
    </w:p>
  </w:endnote>
  <w:endnote w:type="continuationSeparator" w:id="0">
    <w:p w:rsidR="009E7386" w:rsidRDefault="009E7386" w:rsidP="00915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0704484"/>
      <w:docPartObj>
        <w:docPartGallery w:val="Page Numbers (Bottom of Page)"/>
        <w:docPartUnique/>
      </w:docPartObj>
    </w:sdtPr>
    <w:sdtEndPr>
      <w:rPr>
        <w:rFonts w:ascii="Times New Roman" w:hAnsi="Times New Roman" w:cs="Times New Roman"/>
        <w:sz w:val="24"/>
        <w:szCs w:val="24"/>
      </w:rPr>
    </w:sdtEndPr>
    <w:sdtContent>
      <w:p w:rsidR="009E7386" w:rsidRPr="00915CCB" w:rsidRDefault="009E7386">
        <w:pPr>
          <w:pStyle w:val="Stopka"/>
          <w:jc w:val="center"/>
          <w:rPr>
            <w:rFonts w:ascii="Times New Roman" w:hAnsi="Times New Roman" w:cs="Times New Roman"/>
            <w:sz w:val="24"/>
            <w:szCs w:val="24"/>
          </w:rPr>
        </w:pPr>
        <w:r w:rsidRPr="00915CCB">
          <w:rPr>
            <w:rFonts w:ascii="Times New Roman" w:hAnsi="Times New Roman" w:cs="Times New Roman"/>
            <w:sz w:val="24"/>
            <w:szCs w:val="24"/>
          </w:rPr>
          <w:fldChar w:fldCharType="begin"/>
        </w:r>
        <w:r w:rsidRPr="00915CCB">
          <w:rPr>
            <w:rFonts w:ascii="Times New Roman" w:hAnsi="Times New Roman" w:cs="Times New Roman"/>
            <w:sz w:val="24"/>
            <w:szCs w:val="24"/>
          </w:rPr>
          <w:instrText>PAGE   \* MERGEFORMAT</w:instrText>
        </w:r>
        <w:r w:rsidRPr="00915CCB">
          <w:rPr>
            <w:rFonts w:ascii="Times New Roman" w:hAnsi="Times New Roman" w:cs="Times New Roman"/>
            <w:sz w:val="24"/>
            <w:szCs w:val="24"/>
          </w:rPr>
          <w:fldChar w:fldCharType="separate"/>
        </w:r>
        <w:r w:rsidR="00AB0229">
          <w:rPr>
            <w:rFonts w:ascii="Times New Roman" w:hAnsi="Times New Roman" w:cs="Times New Roman"/>
            <w:noProof/>
            <w:sz w:val="24"/>
            <w:szCs w:val="24"/>
          </w:rPr>
          <w:t>14</w:t>
        </w:r>
        <w:r w:rsidRPr="00915CCB">
          <w:rPr>
            <w:rFonts w:ascii="Times New Roman" w:hAnsi="Times New Roman" w:cs="Times New Roman"/>
            <w:sz w:val="24"/>
            <w:szCs w:val="24"/>
          </w:rPr>
          <w:fldChar w:fldCharType="end"/>
        </w:r>
      </w:p>
    </w:sdtContent>
  </w:sdt>
  <w:p w:rsidR="009E7386" w:rsidRDefault="009E738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7386" w:rsidRDefault="009E7386" w:rsidP="00915CCB">
      <w:pPr>
        <w:spacing w:after="0" w:line="240" w:lineRule="auto"/>
      </w:pPr>
      <w:r>
        <w:separator/>
      </w:r>
    </w:p>
  </w:footnote>
  <w:footnote w:type="continuationSeparator" w:id="0">
    <w:p w:rsidR="009E7386" w:rsidRDefault="009E7386" w:rsidP="00915C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3BD"/>
    <w:rsid w:val="000903E1"/>
    <w:rsid w:val="0009136B"/>
    <w:rsid w:val="000D46E4"/>
    <w:rsid w:val="000F2773"/>
    <w:rsid w:val="00105FEE"/>
    <w:rsid w:val="00134AA0"/>
    <w:rsid w:val="00140E45"/>
    <w:rsid w:val="00166549"/>
    <w:rsid w:val="00172F42"/>
    <w:rsid w:val="00175990"/>
    <w:rsid w:val="001A4725"/>
    <w:rsid w:val="001D6BDE"/>
    <w:rsid w:val="001E3D97"/>
    <w:rsid w:val="001F5A21"/>
    <w:rsid w:val="00222E8D"/>
    <w:rsid w:val="00223C23"/>
    <w:rsid w:val="002271B0"/>
    <w:rsid w:val="00270830"/>
    <w:rsid w:val="00277C97"/>
    <w:rsid w:val="002813BD"/>
    <w:rsid w:val="0028689B"/>
    <w:rsid w:val="002B3021"/>
    <w:rsid w:val="002C0F75"/>
    <w:rsid w:val="00333F23"/>
    <w:rsid w:val="00370146"/>
    <w:rsid w:val="00373B18"/>
    <w:rsid w:val="00397D6F"/>
    <w:rsid w:val="003B1D6C"/>
    <w:rsid w:val="003E2A21"/>
    <w:rsid w:val="00414BA6"/>
    <w:rsid w:val="004208C1"/>
    <w:rsid w:val="004402A1"/>
    <w:rsid w:val="0046610C"/>
    <w:rsid w:val="004669E8"/>
    <w:rsid w:val="0047360B"/>
    <w:rsid w:val="00474494"/>
    <w:rsid w:val="004A3DBF"/>
    <w:rsid w:val="0056742D"/>
    <w:rsid w:val="005C08A5"/>
    <w:rsid w:val="00614027"/>
    <w:rsid w:val="00623018"/>
    <w:rsid w:val="006A5873"/>
    <w:rsid w:val="006B7FB3"/>
    <w:rsid w:val="00752357"/>
    <w:rsid w:val="00776C8F"/>
    <w:rsid w:val="007C3C0D"/>
    <w:rsid w:val="007D6831"/>
    <w:rsid w:val="008301B9"/>
    <w:rsid w:val="00867505"/>
    <w:rsid w:val="00884BBD"/>
    <w:rsid w:val="00893528"/>
    <w:rsid w:val="00897901"/>
    <w:rsid w:val="00915CCB"/>
    <w:rsid w:val="00977685"/>
    <w:rsid w:val="009A7F20"/>
    <w:rsid w:val="009E7386"/>
    <w:rsid w:val="009E757F"/>
    <w:rsid w:val="00A14B45"/>
    <w:rsid w:val="00A73550"/>
    <w:rsid w:val="00AA03CE"/>
    <w:rsid w:val="00AA0DFF"/>
    <w:rsid w:val="00AB0229"/>
    <w:rsid w:val="00AF6B39"/>
    <w:rsid w:val="00B0306A"/>
    <w:rsid w:val="00B87FF6"/>
    <w:rsid w:val="00BA0613"/>
    <w:rsid w:val="00C25BFE"/>
    <w:rsid w:val="00C35BC8"/>
    <w:rsid w:val="00D22717"/>
    <w:rsid w:val="00D24492"/>
    <w:rsid w:val="00D24850"/>
    <w:rsid w:val="00D434A0"/>
    <w:rsid w:val="00D4535C"/>
    <w:rsid w:val="00D51C9C"/>
    <w:rsid w:val="00DC4A8F"/>
    <w:rsid w:val="00DE3FC6"/>
    <w:rsid w:val="00DE7F16"/>
    <w:rsid w:val="00E4513B"/>
    <w:rsid w:val="00F018FE"/>
    <w:rsid w:val="00F35180"/>
    <w:rsid w:val="00F463AB"/>
    <w:rsid w:val="00F525EC"/>
    <w:rsid w:val="00F53F03"/>
    <w:rsid w:val="00F61195"/>
    <w:rsid w:val="00FA6C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E7F16"/>
    <w:rPr>
      <w:color w:val="0000FF" w:themeColor="hyperlink"/>
      <w:u w:val="single"/>
    </w:rPr>
  </w:style>
  <w:style w:type="paragraph" w:styleId="Tekstdymka">
    <w:name w:val="Balloon Text"/>
    <w:basedOn w:val="Normalny"/>
    <w:link w:val="TekstdymkaZnak"/>
    <w:uiPriority w:val="99"/>
    <w:semiHidden/>
    <w:unhideWhenUsed/>
    <w:rsid w:val="00DE7F1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E7F16"/>
    <w:rPr>
      <w:rFonts w:ascii="Tahoma" w:hAnsi="Tahoma" w:cs="Tahoma"/>
      <w:sz w:val="16"/>
      <w:szCs w:val="16"/>
    </w:rPr>
  </w:style>
  <w:style w:type="paragraph" w:styleId="Nagwek">
    <w:name w:val="header"/>
    <w:basedOn w:val="Normalny"/>
    <w:link w:val="NagwekZnak"/>
    <w:uiPriority w:val="99"/>
    <w:unhideWhenUsed/>
    <w:rsid w:val="00915CC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15CCB"/>
  </w:style>
  <w:style w:type="paragraph" w:styleId="Stopka">
    <w:name w:val="footer"/>
    <w:basedOn w:val="Normalny"/>
    <w:link w:val="StopkaZnak"/>
    <w:uiPriority w:val="99"/>
    <w:unhideWhenUsed/>
    <w:rsid w:val="00915CC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15CCB"/>
  </w:style>
  <w:style w:type="paragraph" w:styleId="Poprawka">
    <w:name w:val="Revision"/>
    <w:hidden/>
    <w:uiPriority w:val="99"/>
    <w:semiHidden/>
    <w:rsid w:val="004A3DB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E7F16"/>
    <w:rPr>
      <w:color w:val="0000FF" w:themeColor="hyperlink"/>
      <w:u w:val="single"/>
    </w:rPr>
  </w:style>
  <w:style w:type="paragraph" w:styleId="Tekstdymka">
    <w:name w:val="Balloon Text"/>
    <w:basedOn w:val="Normalny"/>
    <w:link w:val="TekstdymkaZnak"/>
    <w:uiPriority w:val="99"/>
    <w:semiHidden/>
    <w:unhideWhenUsed/>
    <w:rsid w:val="00DE7F1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E7F16"/>
    <w:rPr>
      <w:rFonts w:ascii="Tahoma" w:hAnsi="Tahoma" w:cs="Tahoma"/>
      <w:sz w:val="16"/>
      <w:szCs w:val="16"/>
    </w:rPr>
  </w:style>
  <w:style w:type="paragraph" w:styleId="Nagwek">
    <w:name w:val="header"/>
    <w:basedOn w:val="Normalny"/>
    <w:link w:val="NagwekZnak"/>
    <w:uiPriority w:val="99"/>
    <w:unhideWhenUsed/>
    <w:rsid w:val="00915CC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15CCB"/>
  </w:style>
  <w:style w:type="paragraph" w:styleId="Stopka">
    <w:name w:val="footer"/>
    <w:basedOn w:val="Normalny"/>
    <w:link w:val="StopkaZnak"/>
    <w:uiPriority w:val="99"/>
    <w:unhideWhenUsed/>
    <w:rsid w:val="00915CC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15CCB"/>
  </w:style>
  <w:style w:type="paragraph" w:styleId="Poprawka">
    <w:name w:val="Revision"/>
    <w:hidden/>
    <w:uiPriority w:val="99"/>
    <w:semiHidden/>
    <w:rsid w:val="004A3D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rzy.Majchrzak@mg.gov.p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4429</Words>
  <Characters>26576</Characters>
  <Application>Microsoft Office Word</Application>
  <DocSecurity>0</DocSecurity>
  <Lines>221</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Jankowska-Słomianko Dorota</dc:creator>
  <cp:lastModifiedBy>Ewa A. Genert</cp:lastModifiedBy>
  <cp:revision>2</cp:revision>
  <cp:lastPrinted>2016-01-21T09:45:00Z</cp:lastPrinted>
  <dcterms:created xsi:type="dcterms:W3CDTF">2016-02-03T12:45:00Z</dcterms:created>
  <dcterms:modified xsi:type="dcterms:W3CDTF">2016-02-03T12:45:00Z</dcterms:modified>
</cp:coreProperties>
</file>