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C82" w:rsidRPr="000D5473" w:rsidRDefault="00BF2C82" w:rsidP="00BF2C82">
      <w:pPr>
        <w:pStyle w:val="OZNPROJEKTUwskazaniedatylubwersjiprojektu"/>
        <w:keepNext/>
        <w:rPr>
          <w:rFonts w:ascii="Tahoma" w:hAnsi="Tahoma" w:cs="Tahoma"/>
        </w:rPr>
      </w:pPr>
      <w:bookmarkStart w:id="0" w:name="_GoBack"/>
      <w:bookmarkEnd w:id="0"/>
      <w:r w:rsidRPr="000D5473">
        <w:rPr>
          <w:rFonts w:ascii="Tahoma" w:hAnsi="Tahoma" w:cs="Tahoma"/>
        </w:rPr>
        <w:t>Projekt</w:t>
      </w:r>
    </w:p>
    <w:p w:rsidR="00BF2C82" w:rsidRPr="000D5473" w:rsidRDefault="00BF2C82" w:rsidP="00BF2C82">
      <w:pPr>
        <w:pStyle w:val="OZNRODZAKTUtznustawalubrozporzdzenieiorganwydajcy"/>
        <w:rPr>
          <w:rFonts w:ascii="Tahoma" w:hAnsi="Tahoma" w:cs="Tahoma"/>
        </w:rPr>
      </w:pPr>
      <w:r w:rsidRPr="000D5473">
        <w:rPr>
          <w:rFonts w:ascii="Tahoma" w:hAnsi="Tahoma" w:cs="Tahoma"/>
        </w:rPr>
        <w:t>USTAWA</w:t>
      </w:r>
    </w:p>
    <w:p w:rsidR="00BF2C82" w:rsidRPr="000D5473" w:rsidRDefault="00BF2C82" w:rsidP="00BF2C82">
      <w:pPr>
        <w:pStyle w:val="DATAAKTUdatauchwalenialubwydaniaaktu"/>
        <w:rPr>
          <w:rFonts w:ascii="Tahoma" w:hAnsi="Tahoma" w:cs="Tahoma"/>
        </w:rPr>
      </w:pPr>
      <w:r w:rsidRPr="000D5473">
        <w:rPr>
          <w:rFonts w:ascii="Tahoma" w:hAnsi="Tahoma" w:cs="Tahoma"/>
        </w:rPr>
        <w:t xml:space="preserve">z dnia ………………….. 2018 r. </w:t>
      </w:r>
    </w:p>
    <w:p w:rsidR="00BF2C82" w:rsidRPr="000D5473" w:rsidRDefault="00BF2C82" w:rsidP="00BF2C82">
      <w:pPr>
        <w:pStyle w:val="TYTUAKTUprzedmiotregulacjiustawylubrozporzdzenia"/>
        <w:rPr>
          <w:rFonts w:ascii="Tahoma" w:hAnsi="Tahoma" w:cs="Tahoma"/>
        </w:rPr>
      </w:pPr>
      <w:r w:rsidRPr="000D5473">
        <w:rPr>
          <w:rFonts w:ascii="Tahoma" w:hAnsi="Tahoma" w:cs="Tahoma"/>
        </w:rPr>
        <w:t>o zmianie ustawy o własności lokali</w:t>
      </w:r>
    </w:p>
    <w:p w:rsidR="004717BA" w:rsidRPr="000D5473" w:rsidRDefault="004717BA" w:rsidP="00BF2C82">
      <w:pPr>
        <w:pStyle w:val="ARTartustawynprozporzdzenia"/>
        <w:keepNext/>
        <w:rPr>
          <w:rStyle w:val="Ppogrubienie"/>
          <w:rFonts w:ascii="Tahoma" w:hAnsi="Tahoma" w:cs="Tahoma"/>
          <w:szCs w:val="24"/>
        </w:rPr>
      </w:pPr>
    </w:p>
    <w:p w:rsidR="004717BA" w:rsidRPr="000D5473" w:rsidRDefault="004717BA" w:rsidP="00BF2C82">
      <w:pPr>
        <w:pStyle w:val="ARTartustawynprozporzdzenia"/>
        <w:keepNext/>
        <w:rPr>
          <w:rStyle w:val="Ppogrubienie"/>
          <w:rFonts w:ascii="Tahoma" w:hAnsi="Tahoma" w:cs="Tahoma"/>
          <w:szCs w:val="24"/>
        </w:rPr>
      </w:pPr>
    </w:p>
    <w:p w:rsidR="004717BA" w:rsidRPr="000D5473" w:rsidRDefault="004717BA" w:rsidP="00BF2C82">
      <w:pPr>
        <w:pStyle w:val="ARTartustawynprozporzdzenia"/>
        <w:keepNext/>
        <w:rPr>
          <w:rStyle w:val="Ppogrubienie"/>
          <w:rFonts w:ascii="Tahoma" w:hAnsi="Tahoma" w:cs="Tahoma"/>
          <w:szCs w:val="24"/>
        </w:rPr>
      </w:pPr>
    </w:p>
    <w:p w:rsidR="00BF2C82" w:rsidRDefault="00BF2C82" w:rsidP="004717BA">
      <w:pPr>
        <w:pStyle w:val="ARTartustawynprozporzdzenia"/>
        <w:keepNext/>
        <w:spacing w:before="0" w:after="120"/>
        <w:rPr>
          <w:rFonts w:ascii="Tahoma" w:hAnsi="Tahoma" w:cs="Tahoma"/>
          <w:color w:val="000000"/>
          <w:szCs w:val="24"/>
          <w:shd w:val="clear" w:color="auto" w:fill="FFFFFF"/>
        </w:rPr>
      </w:pPr>
      <w:r w:rsidRPr="000D5473">
        <w:rPr>
          <w:rStyle w:val="Ppogrubienie"/>
          <w:rFonts w:ascii="Tahoma" w:hAnsi="Tahoma" w:cs="Tahoma"/>
          <w:szCs w:val="24"/>
        </w:rPr>
        <w:t>Art. 1.</w:t>
      </w:r>
      <w:r w:rsidRPr="000D5473">
        <w:rPr>
          <w:rFonts w:ascii="Tahoma" w:hAnsi="Tahoma" w:cs="Tahoma"/>
          <w:szCs w:val="24"/>
        </w:rPr>
        <w:t xml:space="preserve"> </w:t>
      </w:r>
      <w:r w:rsidRPr="000D5473">
        <w:rPr>
          <w:rFonts w:ascii="Tahoma" w:hAnsi="Tahoma" w:cs="Tahoma"/>
          <w:color w:val="000000"/>
          <w:szCs w:val="24"/>
          <w:shd w:val="clear" w:color="auto" w:fill="FFFFFF"/>
        </w:rPr>
        <w:t>W </w:t>
      </w:r>
      <w:bookmarkStart w:id="1" w:name="highlightHit_119"/>
      <w:bookmarkEnd w:id="1"/>
      <w:r w:rsidRPr="000D5473">
        <w:rPr>
          <w:rStyle w:val="highlight-disabled"/>
          <w:rFonts w:ascii="Tahoma" w:hAnsi="Tahoma" w:cs="Tahoma"/>
          <w:color w:val="000000"/>
          <w:szCs w:val="24"/>
          <w:shd w:val="clear" w:color="auto" w:fill="FFFFFF"/>
        </w:rPr>
        <w:t>ustawie</w:t>
      </w:r>
      <w:r w:rsidR="000D5473">
        <w:rPr>
          <w:rStyle w:val="highlight-disabled"/>
          <w:rFonts w:ascii="Tahoma" w:hAnsi="Tahoma" w:cs="Tahoma"/>
          <w:color w:val="000000"/>
          <w:szCs w:val="24"/>
          <w:shd w:val="clear" w:color="auto" w:fill="FFFFFF"/>
        </w:rPr>
        <w:t xml:space="preserve"> </w:t>
      </w:r>
      <w:r w:rsidRPr="000D5473">
        <w:rPr>
          <w:rFonts w:ascii="Tahoma" w:hAnsi="Tahoma" w:cs="Tahoma"/>
          <w:color w:val="000000"/>
          <w:szCs w:val="24"/>
          <w:shd w:val="clear" w:color="auto" w:fill="FFFFFF"/>
        </w:rPr>
        <w:t>z dnia 24 czerwca 1994 r.</w:t>
      </w:r>
      <w:bookmarkStart w:id="2" w:name="highlightHit_120"/>
      <w:bookmarkEnd w:id="2"/>
      <w:r w:rsidR="000D5473">
        <w:rPr>
          <w:rFonts w:ascii="Tahoma" w:hAnsi="Tahoma" w:cs="Tahoma"/>
          <w:color w:val="000000"/>
          <w:szCs w:val="24"/>
          <w:shd w:val="clear" w:color="auto" w:fill="FFFFFF"/>
        </w:rPr>
        <w:t xml:space="preserve"> </w:t>
      </w:r>
      <w:r w:rsidRPr="000D5473">
        <w:rPr>
          <w:rStyle w:val="highlight-disabled"/>
          <w:rFonts w:ascii="Tahoma" w:hAnsi="Tahoma" w:cs="Tahoma"/>
          <w:color w:val="000000"/>
          <w:szCs w:val="24"/>
          <w:shd w:val="clear" w:color="auto" w:fill="FFFFFF"/>
        </w:rPr>
        <w:t>o</w:t>
      </w:r>
      <w:r w:rsidR="000D5473">
        <w:rPr>
          <w:rStyle w:val="highlight-disabled"/>
          <w:rFonts w:ascii="Tahoma" w:hAnsi="Tahoma" w:cs="Tahoma"/>
          <w:color w:val="000000"/>
          <w:szCs w:val="24"/>
          <w:shd w:val="clear" w:color="auto" w:fill="FFFFFF"/>
        </w:rPr>
        <w:t xml:space="preserve"> </w:t>
      </w:r>
      <w:r w:rsidRPr="000D5473">
        <w:rPr>
          <w:rFonts w:ascii="Tahoma" w:hAnsi="Tahoma" w:cs="Tahoma"/>
          <w:color w:val="000000"/>
          <w:szCs w:val="24"/>
          <w:shd w:val="clear" w:color="auto" w:fill="FFFFFF"/>
        </w:rPr>
        <w:t>własności lokali (Dz.U. z 2015 r</w:t>
      </w:r>
      <w:r w:rsidR="004717BA" w:rsidRPr="000D5473">
        <w:rPr>
          <w:rFonts w:ascii="Tahoma" w:hAnsi="Tahoma" w:cs="Tahoma"/>
        </w:rPr>
        <w:t xml:space="preserve">. </w:t>
      </w:r>
      <w:hyperlink r:id="rId7" w:history="1">
        <w:r w:rsidRPr="000D5473">
          <w:rPr>
            <w:rFonts w:ascii="Tahoma" w:hAnsi="Tahoma" w:cs="Tahoma"/>
          </w:rPr>
          <w:t>poz. 1892</w:t>
        </w:r>
      </w:hyperlink>
      <w:r w:rsidR="000D5473">
        <w:rPr>
          <w:rFonts w:ascii="Tahoma" w:hAnsi="Tahoma" w:cs="Tahoma"/>
        </w:rPr>
        <w:t xml:space="preserve"> oraz z 2017 r. poz. 1529</w:t>
      </w:r>
      <w:r w:rsidRPr="000D5473">
        <w:rPr>
          <w:rFonts w:ascii="Tahoma" w:hAnsi="Tahoma" w:cs="Tahoma"/>
        </w:rPr>
        <w:t>)</w:t>
      </w:r>
      <w:r w:rsidRPr="000D5473">
        <w:rPr>
          <w:rFonts w:ascii="Tahoma" w:hAnsi="Tahoma" w:cs="Tahoma"/>
          <w:color w:val="000000"/>
          <w:szCs w:val="24"/>
          <w:shd w:val="clear" w:color="auto" w:fill="FFFFFF"/>
        </w:rPr>
        <w:t xml:space="preserve"> wprowadza się następujące zmiany:</w:t>
      </w:r>
    </w:p>
    <w:p w:rsidR="000D5473" w:rsidRPr="000D5473" w:rsidRDefault="000D5473" w:rsidP="004717BA">
      <w:pPr>
        <w:pStyle w:val="ARTartustawynprozporzdzenia"/>
        <w:keepNext/>
        <w:spacing w:before="0" w:after="120"/>
        <w:rPr>
          <w:rFonts w:ascii="Tahoma" w:hAnsi="Tahoma" w:cs="Tahoma"/>
          <w:color w:val="000000"/>
          <w:szCs w:val="24"/>
          <w:shd w:val="clear" w:color="auto" w:fill="FFFFFF"/>
        </w:rPr>
      </w:pPr>
    </w:p>
    <w:p w:rsidR="00BF2C82" w:rsidRPr="000D5473" w:rsidRDefault="00BF2C82" w:rsidP="004717BA">
      <w:pPr>
        <w:pStyle w:val="ARTartustawynprozporzdzenia"/>
        <w:keepNext/>
        <w:tabs>
          <w:tab w:val="left" w:pos="567"/>
        </w:tabs>
        <w:spacing w:before="0" w:after="120"/>
        <w:ind w:firstLine="0"/>
        <w:rPr>
          <w:rFonts w:ascii="Tahoma" w:hAnsi="Tahoma" w:cs="Tahoma"/>
          <w:color w:val="000000"/>
          <w:szCs w:val="24"/>
          <w:shd w:val="clear" w:color="auto" w:fill="FFFFFF"/>
        </w:rPr>
      </w:pPr>
      <w:r w:rsidRPr="000D5473">
        <w:rPr>
          <w:rFonts w:ascii="Tahoma" w:hAnsi="Tahoma" w:cs="Tahoma"/>
          <w:color w:val="000000"/>
          <w:szCs w:val="24"/>
          <w:shd w:val="clear" w:color="auto" w:fill="FFFFFF"/>
        </w:rPr>
        <w:t>1)</w:t>
      </w:r>
      <w:r w:rsidRPr="000D5473">
        <w:rPr>
          <w:rFonts w:ascii="Tahoma" w:hAnsi="Tahoma" w:cs="Tahoma"/>
          <w:color w:val="000000"/>
          <w:szCs w:val="24"/>
          <w:shd w:val="clear" w:color="auto" w:fill="FFFFFF"/>
        </w:rPr>
        <w:tab/>
        <w:t>w art. 2 ust. 3 otrzymuje brzmienie:</w:t>
      </w:r>
    </w:p>
    <w:p w:rsidR="00BF2C82" w:rsidRDefault="00BF2C82" w:rsidP="004717BA">
      <w:pPr>
        <w:pStyle w:val="ARTartustawynprozporzdzenia"/>
        <w:keepNext/>
        <w:spacing w:before="0" w:after="120"/>
        <w:ind w:left="567" w:firstLine="567"/>
        <w:rPr>
          <w:rFonts w:ascii="Tahoma" w:hAnsi="Tahoma" w:cs="Tahoma"/>
          <w:color w:val="000000"/>
          <w:szCs w:val="24"/>
          <w:shd w:val="clear" w:color="auto" w:fill="FFFFFF"/>
        </w:rPr>
      </w:pPr>
      <w:r w:rsidRPr="000D5473">
        <w:rPr>
          <w:rFonts w:ascii="Tahoma" w:hAnsi="Tahoma" w:cs="Tahoma"/>
          <w:color w:val="000000"/>
          <w:szCs w:val="24"/>
          <w:shd w:val="clear" w:color="auto" w:fill="FFFFFF"/>
        </w:rPr>
        <w:t>„3. Spełnienie wymagań, o których mowa w ust. 1a i 2, stwierdza starosta w formie zaświadczenia.”;</w:t>
      </w:r>
    </w:p>
    <w:p w:rsidR="00BF2C82" w:rsidRPr="000D5473" w:rsidRDefault="00BF2C82" w:rsidP="004717BA">
      <w:pPr>
        <w:pStyle w:val="ARTartustawynprozporzdzenia"/>
        <w:keepNext/>
        <w:tabs>
          <w:tab w:val="left" w:pos="567"/>
        </w:tabs>
        <w:spacing w:before="0" w:after="120"/>
        <w:ind w:firstLine="0"/>
        <w:rPr>
          <w:rFonts w:ascii="Tahoma" w:hAnsi="Tahoma" w:cs="Tahoma"/>
          <w:color w:val="000000"/>
          <w:szCs w:val="24"/>
          <w:shd w:val="clear" w:color="auto" w:fill="FFFFFF"/>
        </w:rPr>
      </w:pPr>
      <w:r w:rsidRPr="000D5473">
        <w:rPr>
          <w:rFonts w:ascii="Tahoma" w:hAnsi="Tahoma" w:cs="Tahoma"/>
          <w:color w:val="000000"/>
          <w:szCs w:val="24"/>
          <w:shd w:val="clear" w:color="auto" w:fill="FFFFFF"/>
        </w:rPr>
        <w:t>2)</w:t>
      </w:r>
      <w:r w:rsidRPr="000D5473">
        <w:rPr>
          <w:rFonts w:ascii="Tahoma" w:hAnsi="Tahoma" w:cs="Tahoma"/>
          <w:color w:val="000000"/>
          <w:szCs w:val="24"/>
          <w:shd w:val="clear" w:color="auto" w:fill="FFFFFF"/>
        </w:rPr>
        <w:tab/>
      </w:r>
      <w:r w:rsidR="009F2E0B" w:rsidRPr="000D5473">
        <w:rPr>
          <w:rFonts w:ascii="Tahoma" w:hAnsi="Tahoma" w:cs="Tahoma"/>
          <w:color w:val="000000"/>
          <w:szCs w:val="24"/>
          <w:shd w:val="clear" w:color="auto" w:fill="FFFFFF"/>
        </w:rPr>
        <w:t>po art. 40 dodaje się art. 40a w brzmieniu:</w:t>
      </w:r>
    </w:p>
    <w:p w:rsidR="009F2E0B" w:rsidRPr="000D5473" w:rsidRDefault="009F2E0B" w:rsidP="004717BA">
      <w:pPr>
        <w:pStyle w:val="ARTartustawynprozporzdzenia"/>
        <w:keepNext/>
        <w:spacing w:before="0" w:after="120"/>
        <w:ind w:left="567" w:firstLine="567"/>
        <w:rPr>
          <w:rStyle w:val="Ppogrubienie"/>
          <w:rFonts w:ascii="Tahoma" w:hAnsi="Tahoma" w:cs="Tahoma"/>
          <w:b w:val="0"/>
          <w:szCs w:val="24"/>
        </w:rPr>
      </w:pPr>
      <w:r w:rsidRPr="000D5473">
        <w:rPr>
          <w:rStyle w:val="Ppogrubienie"/>
          <w:rFonts w:ascii="Tahoma" w:hAnsi="Tahoma" w:cs="Tahoma"/>
          <w:b w:val="0"/>
          <w:szCs w:val="24"/>
        </w:rPr>
        <w:t xml:space="preserve">„Art. 40a. </w:t>
      </w:r>
      <w:r w:rsidR="00BF2C82" w:rsidRPr="000D5473">
        <w:rPr>
          <w:rStyle w:val="Ppogrubienie"/>
          <w:rFonts w:ascii="Tahoma" w:hAnsi="Tahoma" w:cs="Tahoma"/>
          <w:b w:val="0"/>
          <w:szCs w:val="24"/>
        </w:rPr>
        <w:t xml:space="preserve">Przepis art. 2 ust. 1a stosuje się do ustanowienia odrębnej własności lokali znajdujących się w budynkach, których budowa rozpoczęła się po </w:t>
      </w:r>
      <w:r w:rsidRPr="000D5473">
        <w:rPr>
          <w:rStyle w:val="Ppogrubienie"/>
          <w:rFonts w:ascii="Tahoma" w:hAnsi="Tahoma" w:cs="Tahoma"/>
          <w:b w:val="0"/>
          <w:szCs w:val="24"/>
        </w:rPr>
        <w:t>dniu 11 września 2017 r.”</w:t>
      </w:r>
      <w:r w:rsidR="00D92FB6">
        <w:rPr>
          <w:rStyle w:val="Ppogrubienie"/>
          <w:rFonts w:ascii="Tahoma" w:hAnsi="Tahoma" w:cs="Tahoma"/>
          <w:b w:val="0"/>
          <w:szCs w:val="24"/>
        </w:rPr>
        <w:t>.</w:t>
      </w:r>
    </w:p>
    <w:p w:rsidR="004717BA" w:rsidRPr="000D5473" w:rsidRDefault="004717BA" w:rsidP="004717BA">
      <w:pPr>
        <w:pStyle w:val="ARTartustawynprozporzdzenia"/>
        <w:keepNext/>
        <w:spacing w:before="0" w:after="120"/>
        <w:ind w:firstLine="567"/>
        <w:rPr>
          <w:rStyle w:val="Ppogrubienie"/>
          <w:rFonts w:ascii="Tahoma" w:hAnsi="Tahoma" w:cs="Tahoma"/>
          <w:szCs w:val="24"/>
        </w:rPr>
      </w:pPr>
    </w:p>
    <w:p w:rsidR="00BF2C82" w:rsidRPr="000D5473" w:rsidRDefault="004717BA" w:rsidP="004717BA">
      <w:pPr>
        <w:pStyle w:val="ARTartustawynprozporzdzenia"/>
        <w:keepNext/>
        <w:spacing w:before="0" w:after="120"/>
        <w:ind w:firstLine="567"/>
        <w:rPr>
          <w:rFonts w:ascii="Tahoma" w:hAnsi="Tahoma" w:cs="Tahoma"/>
          <w:b/>
          <w:szCs w:val="24"/>
        </w:rPr>
      </w:pPr>
      <w:r w:rsidRPr="000D5473">
        <w:rPr>
          <w:rStyle w:val="Ppogrubienie"/>
          <w:rFonts w:ascii="Tahoma" w:hAnsi="Tahoma" w:cs="Tahoma"/>
          <w:szCs w:val="24"/>
        </w:rPr>
        <w:t>Art. 2.</w:t>
      </w:r>
      <w:r w:rsidR="00BF2C82" w:rsidRPr="000D5473">
        <w:rPr>
          <w:rStyle w:val="Ppogrubienie"/>
          <w:rFonts w:ascii="Tahoma" w:hAnsi="Tahoma" w:cs="Tahoma"/>
          <w:b w:val="0"/>
          <w:szCs w:val="24"/>
        </w:rPr>
        <w:t xml:space="preserve"> Ustawa wchodzi w życie w dniu następującym po dniu ogłoszenia.</w:t>
      </w:r>
    </w:p>
    <w:p w:rsidR="00BF2C82" w:rsidRPr="000D5473" w:rsidRDefault="00BF2C82" w:rsidP="004717BA">
      <w:pPr>
        <w:spacing w:after="120"/>
        <w:rPr>
          <w:rFonts w:ascii="Tahoma" w:hAnsi="Tahoma" w:cs="Tahoma"/>
          <w:sz w:val="24"/>
          <w:szCs w:val="24"/>
        </w:rPr>
      </w:pPr>
    </w:p>
    <w:p w:rsidR="00BF2C82" w:rsidRPr="000D5473" w:rsidRDefault="00BF2C82" w:rsidP="004717BA">
      <w:pPr>
        <w:spacing w:after="120"/>
        <w:rPr>
          <w:rFonts w:ascii="Tahoma" w:hAnsi="Tahoma" w:cs="Tahoma"/>
          <w:sz w:val="24"/>
          <w:szCs w:val="24"/>
        </w:rPr>
      </w:pPr>
    </w:p>
    <w:p w:rsidR="004717BA" w:rsidRPr="000D5473" w:rsidRDefault="004717BA" w:rsidP="00BF2C82">
      <w:pPr>
        <w:rPr>
          <w:rFonts w:ascii="Tahoma" w:hAnsi="Tahoma" w:cs="Tahoma"/>
          <w:sz w:val="24"/>
          <w:szCs w:val="24"/>
        </w:rPr>
      </w:pPr>
    </w:p>
    <w:p w:rsidR="004717BA" w:rsidRDefault="004717BA" w:rsidP="00BF2C82">
      <w:pPr>
        <w:rPr>
          <w:rFonts w:ascii="Tahoma" w:hAnsi="Tahoma" w:cs="Tahoma"/>
          <w:sz w:val="24"/>
          <w:szCs w:val="24"/>
        </w:rPr>
      </w:pPr>
    </w:p>
    <w:p w:rsidR="00A7365E" w:rsidRPr="000D5473" w:rsidRDefault="00A7365E" w:rsidP="00BF2C82">
      <w:pPr>
        <w:rPr>
          <w:rFonts w:ascii="Tahoma" w:hAnsi="Tahoma" w:cs="Tahoma"/>
          <w:sz w:val="24"/>
          <w:szCs w:val="24"/>
        </w:rPr>
      </w:pPr>
    </w:p>
    <w:p w:rsidR="004717BA" w:rsidRPr="000D5473" w:rsidRDefault="004717BA" w:rsidP="00BF2C82">
      <w:pPr>
        <w:rPr>
          <w:rFonts w:ascii="Tahoma" w:hAnsi="Tahoma" w:cs="Tahoma"/>
          <w:sz w:val="24"/>
          <w:szCs w:val="24"/>
        </w:rPr>
      </w:pPr>
    </w:p>
    <w:p w:rsidR="004717BA" w:rsidRPr="000D5473" w:rsidRDefault="004717BA" w:rsidP="00BF2C82">
      <w:pPr>
        <w:rPr>
          <w:rFonts w:ascii="Tahoma" w:hAnsi="Tahoma" w:cs="Tahoma"/>
          <w:sz w:val="24"/>
          <w:szCs w:val="24"/>
        </w:rPr>
      </w:pPr>
    </w:p>
    <w:p w:rsidR="00BF2C82" w:rsidRPr="000D5473" w:rsidRDefault="00BF2C82" w:rsidP="00BF2C82">
      <w:pPr>
        <w:rPr>
          <w:rFonts w:ascii="Tahoma" w:hAnsi="Tahoma" w:cs="Tahoma"/>
          <w:sz w:val="24"/>
          <w:szCs w:val="24"/>
        </w:rPr>
      </w:pPr>
    </w:p>
    <w:p w:rsidR="00BF2C82" w:rsidRPr="000D5473" w:rsidRDefault="00BF2C82" w:rsidP="00BF2C82">
      <w:pPr>
        <w:jc w:val="center"/>
        <w:rPr>
          <w:rFonts w:ascii="Tahoma" w:hAnsi="Tahoma" w:cs="Tahoma"/>
          <w:b/>
          <w:sz w:val="24"/>
          <w:szCs w:val="24"/>
        </w:rPr>
      </w:pPr>
      <w:r w:rsidRPr="000D5473">
        <w:rPr>
          <w:rFonts w:ascii="Tahoma" w:hAnsi="Tahoma" w:cs="Tahoma"/>
          <w:b/>
          <w:sz w:val="24"/>
          <w:szCs w:val="24"/>
        </w:rPr>
        <w:lastRenderedPageBreak/>
        <w:t>UZASADNIENIE</w:t>
      </w:r>
    </w:p>
    <w:p w:rsidR="00BF2C82" w:rsidRPr="000D5473" w:rsidRDefault="00BF2C82" w:rsidP="00BF2C82">
      <w:pPr>
        <w:rPr>
          <w:rFonts w:ascii="Tahoma" w:hAnsi="Tahoma" w:cs="Tahoma"/>
          <w:sz w:val="24"/>
          <w:szCs w:val="24"/>
        </w:rPr>
      </w:pPr>
    </w:p>
    <w:p w:rsidR="00BF2C82" w:rsidRPr="000D5473" w:rsidRDefault="00BF2C82" w:rsidP="00BF2C82">
      <w:pPr>
        <w:jc w:val="both"/>
        <w:rPr>
          <w:rFonts w:ascii="Tahoma" w:hAnsi="Tahoma" w:cs="Tahoma"/>
          <w:b/>
          <w:sz w:val="24"/>
          <w:szCs w:val="24"/>
        </w:rPr>
      </w:pPr>
      <w:r w:rsidRPr="000D5473">
        <w:rPr>
          <w:rFonts w:ascii="Tahoma" w:hAnsi="Tahoma" w:cs="Tahoma"/>
          <w:b/>
          <w:sz w:val="24"/>
          <w:szCs w:val="24"/>
        </w:rPr>
        <w:t>I. Cel uchwalenia ustawy</w:t>
      </w:r>
    </w:p>
    <w:p w:rsidR="00BF2C82" w:rsidRPr="000D5473" w:rsidRDefault="00BF2C82" w:rsidP="00BF2C82">
      <w:pPr>
        <w:jc w:val="both"/>
        <w:rPr>
          <w:rFonts w:ascii="Tahoma" w:hAnsi="Tahoma" w:cs="Tahoma"/>
          <w:sz w:val="24"/>
          <w:szCs w:val="24"/>
        </w:rPr>
      </w:pPr>
      <w:r w:rsidRPr="000D5473">
        <w:rPr>
          <w:rFonts w:ascii="Tahoma" w:hAnsi="Tahoma" w:cs="Tahoma"/>
          <w:sz w:val="24"/>
          <w:szCs w:val="24"/>
        </w:rPr>
        <w:t>Celem uchwalenia ustawy jest usunięcie luki prawnej w zakresie normy kompetencyjnej, która powstała w wyniku zmiany ustawy o własności lokali, dalej: „</w:t>
      </w:r>
      <w:proofErr w:type="spellStart"/>
      <w:r w:rsidRPr="000D5473">
        <w:rPr>
          <w:rFonts w:ascii="Tahoma" w:hAnsi="Tahoma" w:cs="Tahoma"/>
          <w:sz w:val="24"/>
          <w:szCs w:val="24"/>
        </w:rPr>
        <w:t>uwl</w:t>
      </w:r>
      <w:proofErr w:type="spellEnd"/>
      <w:r w:rsidRPr="000D5473">
        <w:rPr>
          <w:rFonts w:ascii="Tahoma" w:hAnsi="Tahoma" w:cs="Tahoma"/>
          <w:sz w:val="24"/>
          <w:szCs w:val="24"/>
        </w:rPr>
        <w:t>”, wprowadzonej ustawą o Krajowym Zasobie Nieruchomości oraz doprecyzowanie przepisów przejściowych zawartych w tej ustawie.</w:t>
      </w:r>
    </w:p>
    <w:p w:rsidR="004717BA" w:rsidRPr="000D5473" w:rsidRDefault="004717BA" w:rsidP="00BF2C82">
      <w:pPr>
        <w:jc w:val="both"/>
        <w:rPr>
          <w:rFonts w:ascii="Tahoma" w:hAnsi="Tahoma" w:cs="Tahoma"/>
          <w:sz w:val="24"/>
          <w:szCs w:val="24"/>
        </w:rPr>
      </w:pPr>
    </w:p>
    <w:p w:rsidR="00BF2C82" w:rsidRPr="000D5473" w:rsidRDefault="00BF2C82" w:rsidP="00BF2C82">
      <w:pPr>
        <w:jc w:val="both"/>
        <w:rPr>
          <w:rFonts w:ascii="Tahoma" w:hAnsi="Tahoma" w:cs="Tahoma"/>
          <w:b/>
          <w:sz w:val="24"/>
          <w:szCs w:val="24"/>
        </w:rPr>
      </w:pPr>
      <w:r w:rsidRPr="000D5473">
        <w:rPr>
          <w:rFonts w:ascii="Tahoma" w:hAnsi="Tahoma" w:cs="Tahoma"/>
          <w:b/>
          <w:sz w:val="24"/>
          <w:szCs w:val="24"/>
        </w:rPr>
        <w:t>II. Analiza dotychczasowych przepisów</w:t>
      </w:r>
    </w:p>
    <w:p w:rsidR="00BF2C82" w:rsidRPr="000D5473" w:rsidRDefault="00BF2C82" w:rsidP="00BF2C82">
      <w:pPr>
        <w:jc w:val="both"/>
        <w:rPr>
          <w:rFonts w:ascii="Tahoma" w:hAnsi="Tahoma" w:cs="Tahoma"/>
          <w:sz w:val="24"/>
          <w:szCs w:val="24"/>
        </w:rPr>
      </w:pPr>
      <w:r w:rsidRPr="000D5473">
        <w:rPr>
          <w:rFonts w:ascii="Tahoma" w:hAnsi="Tahoma" w:cs="Tahoma"/>
          <w:sz w:val="24"/>
          <w:szCs w:val="24"/>
        </w:rPr>
        <w:t xml:space="preserve">Ustawą z dnia 20 lipca 2017 roku o Krajowym Zasobie Nieruchomości </w:t>
      </w:r>
      <w:hyperlink r:id="rId8" w:history="1">
        <w:r w:rsidRPr="000D5473">
          <w:rPr>
            <w:rFonts w:ascii="Tahoma" w:hAnsi="Tahoma" w:cs="Tahoma"/>
            <w:sz w:val="24"/>
            <w:szCs w:val="24"/>
          </w:rPr>
          <w:t>(Dz.U. z 2017 r. poz. 1529)</w:t>
        </w:r>
      </w:hyperlink>
      <w:r w:rsidRPr="000D5473">
        <w:rPr>
          <w:rFonts w:ascii="Tahoma" w:hAnsi="Tahoma" w:cs="Tahoma"/>
          <w:sz w:val="24"/>
          <w:szCs w:val="24"/>
        </w:rPr>
        <w:t xml:space="preserve"> wprowadzono zmianę art. 2 </w:t>
      </w:r>
      <w:proofErr w:type="spellStart"/>
      <w:r w:rsidRPr="000D5473">
        <w:rPr>
          <w:rFonts w:ascii="Tahoma" w:hAnsi="Tahoma" w:cs="Tahoma"/>
          <w:sz w:val="24"/>
          <w:szCs w:val="24"/>
        </w:rPr>
        <w:t>uwl</w:t>
      </w:r>
      <w:proofErr w:type="spellEnd"/>
      <w:r w:rsidRPr="000D5473">
        <w:rPr>
          <w:rFonts w:ascii="Tahoma" w:hAnsi="Tahoma" w:cs="Tahoma"/>
          <w:sz w:val="24"/>
          <w:szCs w:val="24"/>
        </w:rPr>
        <w:t xml:space="preserve"> poprzez dodanie po ust. 1 ust. 1a </w:t>
      </w:r>
      <w:r w:rsidR="000D5473">
        <w:rPr>
          <w:rFonts w:ascii="Tahoma" w:hAnsi="Tahoma" w:cs="Tahoma"/>
          <w:sz w:val="24"/>
          <w:szCs w:val="24"/>
        </w:rPr>
        <w:br/>
      </w:r>
      <w:r w:rsidRPr="000D5473">
        <w:rPr>
          <w:rFonts w:ascii="Tahoma" w:hAnsi="Tahoma" w:cs="Tahoma"/>
          <w:sz w:val="24"/>
          <w:szCs w:val="24"/>
        </w:rPr>
        <w:t>w brzmieniu:</w:t>
      </w:r>
    </w:p>
    <w:p w:rsidR="00BF2C82" w:rsidRPr="000D5473" w:rsidRDefault="00BF2C82" w:rsidP="00BF2C82">
      <w:pPr>
        <w:jc w:val="both"/>
        <w:rPr>
          <w:rFonts w:ascii="Tahoma" w:hAnsi="Tahoma" w:cs="Tahoma"/>
          <w:sz w:val="24"/>
          <w:szCs w:val="24"/>
        </w:rPr>
      </w:pPr>
      <w:r w:rsidRPr="000D5473">
        <w:rPr>
          <w:rFonts w:ascii="Tahoma" w:hAnsi="Tahoma" w:cs="Tahoma"/>
          <w:sz w:val="24"/>
          <w:szCs w:val="24"/>
        </w:rPr>
        <w:t>„1a. Ustanowienie odrębnej własności samodzielnego lokalu mieszkalnego następuje zgodnie z ustaleniami miejscowego planu zagospodarowania przestrzennego albo treścią decyzji o warunkach zabudowy i zagospodarowania terenu oraz zgodnie z pozwoleniem na budowę albo skutecznie dokonanym zgłoszeniem, i zgodnie z pozwoleniem na użytkowanie. Odrębną nieruchomość w budynku mieszkalnym jednorodzinnym mogą stanowić co najwyżej dwa samodzielne lokale mieszkalne.”</w:t>
      </w:r>
    </w:p>
    <w:p w:rsidR="00BF2C82" w:rsidRPr="000D5473" w:rsidRDefault="00BF2C82" w:rsidP="00BF2C82">
      <w:pPr>
        <w:jc w:val="both"/>
        <w:rPr>
          <w:rFonts w:ascii="Tahoma" w:hAnsi="Tahoma" w:cs="Tahoma"/>
          <w:sz w:val="24"/>
          <w:szCs w:val="24"/>
        </w:rPr>
      </w:pPr>
      <w:r w:rsidRPr="000D5473">
        <w:rPr>
          <w:rFonts w:ascii="Tahoma" w:hAnsi="Tahoma" w:cs="Tahoma"/>
          <w:sz w:val="24"/>
          <w:szCs w:val="24"/>
        </w:rPr>
        <w:t xml:space="preserve">Celem nowej regulacji było ukrócenie praktyk niektórych deweloperów (głównie małych), polegających na ustanawianiu odrębnej własności większej liczby lokali </w:t>
      </w:r>
      <w:r w:rsidR="000D5473">
        <w:rPr>
          <w:rFonts w:ascii="Tahoma" w:hAnsi="Tahoma" w:cs="Tahoma"/>
          <w:sz w:val="24"/>
          <w:szCs w:val="24"/>
        </w:rPr>
        <w:br/>
      </w:r>
      <w:r w:rsidRPr="000D5473">
        <w:rPr>
          <w:rFonts w:ascii="Tahoma" w:hAnsi="Tahoma" w:cs="Tahoma"/>
          <w:sz w:val="24"/>
          <w:szCs w:val="24"/>
        </w:rPr>
        <w:t>w budynkach jednorodzinnych wbrew ustaleniom miejscowego planu zagospodarowania przestrzennego, decyzji o pozwoleniu na budowę oraz pozwoleniu na użytkowanie. Nie ulega kwestii, że zmiana przepisów w założeniu miała dotyczyć budynków nowobudowanych.</w:t>
      </w:r>
    </w:p>
    <w:p w:rsidR="00BF2C82" w:rsidRPr="000D5473" w:rsidRDefault="00BF2C82" w:rsidP="00BF2C82">
      <w:pPr>
        <w:jc w:val="both"/>
        <w:rPr>
          <w:rFonts w:ascii="Tahoma" w:hAnsi="Tahoma" w:cs="Tahoma"/>
          <w:sz w:val="24"/>
          <w:szCs w:val="24"/>
        </w:rPr>
      </w:pPr>
      <w:r w:rsidRPr="000D5473">
        <w:rPr>
          <w:rFonts w:ascii="Tahoma" w:hAnsi="Tahoma" w:cs="Tahoma"/>
          <w:sz w:val="24"/>
          <w:szCs w:val="24"/>
        </w:rPr>
        <w:t xml:space="preserve">W konsekwencji zmiana przepisów wprowadziła nową przesłankę ustanowienia odrębnej własności lokali. Obecnie, w myśl art. 2 </w:t>
      </w:r>
      <w:proofErr w:type="spellStart"/>
      <w:r w:rsidRPr="000D5473">
        <w:rPr>
          <w:rFonts w:ascii="Tahoma" w:hAnsi="Tahoma" w:cs="Tahoma"/>
          <w:sz w:val="24"/>
          <w:szCs w:val="24"/>
        </w:rPr>
        <w:t>uwl</w:t>
      </w:r>
      <w:proofErr w:type="spellEnd"/>
      <w:r w:rsidRPr="000D5473">
        <w:rPr>
          <w:rFonts w:ascii="Tahoma" w:hAnsi="Tahoma" w:cs="Tahoma"/>
          <w:sz w:val="24"/>
          <w:szCs w:val="24"/>
        </w:rPr>
        <w:t xml:space="preserve">, ustanowienie odrębnej własności lokalu może nastąpić, jeżeli odpowiada warunkom określonym w ust. 1a oraz, jeżeli lokal spełnia warunki samodzielności określone w ust. 2. Wprowadzona norma </w:t>
      </w:r>
      <w:r w:rsidR="000D5473">
        <w:rPr>
          <w:rFonts w:ascii="Tahoma" w:hAnsi="Tahoma" w:cs="Tahoma"/>
          <w:sz w:val="24"/>
          <w:szCs w:val="24"/>
        </w:rPr>
        <w:br/>
      </w:r>
      <w:r w:rsidRPr="000D5473">
        <w:rPr>
          <w:rFonts w:ascii="Tahoma" w:hAnsi="Tahoma" w:cs="Tahoma"/>
          <w:sz w:val="24"/>
          <w:szCs w:val="24"/>
        </w:rPr>
        <w:t>w zasadniczy sposób wpływa na możliwość ustanawiania odrębnej własności lokali, ponieważ jej naruszenie powoduje nieważność czynności prawnej dotyczącej takiego ustanowienia.</w:t>
      </w:r>
    </w:p>
    <w:p w:rsidR="00BF2C82" w:rsidRPr="000D5473" w:rsidRDefault="00BF2C82" w:rsidP="00BF2C82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0D5473">
        <w:rPr>
          <w:rFonts w:ascii="Tahoma" w:hAnsi="Tahoma" w:cs="Tahoma"/>
          <w:sz w:val="24"/>
          <w:szCs w:val="24"/>
        </w:rPr>
        <w:t xml:space="preserve">Zgodnie z art. 2 ust. 3 </w:t>
      </w:r>
      <w:proofErr w:type="spellStart"/>
      <w:r w:rsidRPr="000D5473">
        <w:rPr>
          <w:rFonts w:ascii="Tahoma" w:hAnsi="Tahoma" w:cs="Tahoma"/>
          <w:sz w:val="24"/>
          <w:szCs w:val="24"/>
        </w:rPr>
        <w:t>uwl</w:t>
      </w:r>
      <w:proofErr w:type="spellEnd"/>
      <w:r w:rsidRPr="000D5473">
        <w:rPr>
          <w:rFonts w:ascii="Tahoma" w:hAnsi="Tahoma" w:cs="Tahoma"/>
          <w:sz w:val="24"/>
          <w:szCs w:val="24"/>
        </w:rPr>
        <w:t>, s</w:t>
      </w: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pełnienie wymagań, o których mowa w ust. 2, stwierdza starosta w formie zaświadczenia. W nowelizacji nie wskazano jednak, kto ma stwierdzić spełnienie przesłanki określonej w ust. 1a tego artykułu. W związku z powyższym od momentu wejścia w życie nowych przepisów w środowiskach prawniczych trwa ożywiona debata, na kim spoczywa obowiązek sprawdzenia spełnienia nowej przesłanki.</w:t>
      </w:r>
    </w:p>
    <w:p w:rsidR="00BF2C82" w:rsidRPr="000D5473" w:rsidRDefault="00BF2C82" w:rsidP="00BF2C82">
      <w:pPr>
        <w:shd w:val="clear" w:color="auto" w:fill="FFFFFF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lastRenderedPageBreak/>
        <w:t xml:space="preserve">Stosownie do treści art. 7 </w:t>
      </w:r>
      <w:proofErr w:type="spellStart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uwl</w:t>
      </w:r>
      <w:proofErr w:type="spellEnd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, </w:t>
      </w:r>
      <w:r w:rsidRPr="000D547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odrębną</w:t>
      </w:r>
      <w:bookmarkStart w:id="3" w:name="highlightHit_76"/>
      <w:bookmarkEnd w:id="3"/>
      <w:r w:rsidRPr="000D547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własność</w:t>
      </w:r>
      <w:bookmarkStart w:id="4" w:name="highlightHit_77"/>
      <w:bookmarkEnd w:id="4"/>
      <w:r w:rsidRPr="000D547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lokalu można ustanowić w drodze umowy, a także jednostronnej czynności prawnej właściciela nieruchomości albo orzeczenia sądu znoszącego współwłasność.</w:t>
      </w:r>
      <w:bookmarkStart w:id="5" w:name="mip32753680"/>
      <w:bookmarkEnd w:id="5"/>
      <w:r w:rsidRPr="000D547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Nadto umowa o ustanowieniu odrębnej</w:t>
      </w:r>
      <w:bookmarkStart w:id="6" w:name="highlightHit_78"/>
      <w:bookmarkEnd w:id="6"/>
      <w:r w:rsidRPr="000D547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własności</w:t>
      </w:r>
      <w:bookmarkStart w:id="7" w:name="highlightHit_79"/>
      <w:bookmarkEnd w:id="7"/>
      <w:r w:rsidRPr="000D547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lokalu powinna być dokonana w formie aktu notarialnego; do powstania tej</w:t>
      </w:r>
      <w:bookmarkStart w:id="8" w:name="highlightHit_80"/>
      <w:bookmarkEnd w:id="8"/>
      <w:r w:rsidRPr="000D5473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własności niezbędny jest wpis do księgi wieczystej. W procesie ustanowienia odrębnej własności lokalu uczestniczą zatem: notariusz lub sąd cywilny, orzekający o zniesieniu współwłasności oraz sąd wieczystoksięgowy.</w:t>
      </w:r>
    </w:p>
    <w:p w:rsidR="00BF2C82" w:rsidRPr="000D5473" w:rsidRDefault="00BF2C82" w:rsidP="00BF2C82">
      <w:pPr>
        <w:jc w:val="both"/>
        <w:rPr>
          <w:rFonts w:ascii="Tahoma" w:hAnsi="Tahoma" w:cs="Tahoma"/>
          <w:sz w:val="24"/>
          <w:szCs w:val="24"/>
        </w:rPr>
      </w:pPr>
      <w:r w:rsidRPr="000D5473">
        <w:rPr>
          <w:rFonts w:ascii="Tahoma" w:hAnsi="Tahoma" w:cs="Tahoma"/>
          <w:sz w:val="24"/>
          <w:szCs w:val="24"/>
        </w:rPr>
        <w:t xml:space="preserve">Mimo bardzo krótkiego okresu obowiązywania znowelizowanych przepisów, </w:t>
      </w:r>
      <w:r w:rsidR="000D5473">
        <w:rPr>
          <w:rFonts w:ascii="Tahoma" w:hAnsi="Tahoma" w:cs="Tahoma"/>
          <w:sz w:val="24"/>
          <w:szCs w:val="24"/>
        </w:rPr>
        <w:br/>
      </w:r>
      <w:r w:rsidRPr="000D5473">
        <w:rPr>
          <w:rFonts w:ascii="Tahoma" w:hAnsi="Tahoma" w:cs="Tahoma"/>
          <w:sz w:val="24"/>
          <w:szCs w:val="24"/>
        </w:rPr>
        <w:t xml:space="preserve">w doktrynie wykształcił się silny pogląd, że sędziowie i referendarze orzekający </w:t>
      </w:r>
      <w:r w:rsidR="000D5473">
        <w:rPr>
          <w:rFonts w:ascii="Tahoma" w:hAnsi="Tahoma" w:cs="Tahoma"/>
          <w:sz w:val="24"/>
          <w:szCs w:val="24"/>
        </w:rPr>
        <w:br/>
      </w:r>
      <w:r w:rsidRPr="000D5473">
        <w:rPr>
          <w:rFonts w:ascii="Tahoma" w:hAnsi="Tahoma" w:cs="Tahoma"/>
          <w:sz w:val="24"/>
          <w:szCs w:val="24"/>
        </w:rPr>
        <w:t xml:space="preserve">w sprawach wieczystoksięgowych nie posiadają specjalistycznej wiedzy (w zakresie budownictwa, projektowania, zagospodarowania przestrzennego), która umożliwiłaby im stwierdzenie, czy przesłanka ukonstytuowana w art. 2 ust. 1a </w:t>
      </w:r>
      <w:proofErr w:type="spellStart"/>
      <w:r w:rsidRPr="000D5473">
        <w:rPr>
          <w:rFonts w:ascii="Tahoma" w:hAnsi="Tahoma" w:cs="Tahoma"/>
          <w:sz w:val="24"/>
          <w:szCs w:val="24"/>
        </w:rPr>
        <w:t>uwl</w:t>
      </w:r>
      <w:proofErr w:type="spellEnd"/>
      <w:r w:rsidRPr="000D5473">
        <w:rPr>
          <w:rFonts w:ascii="Tahoma" w:hAnsi="Tahoma" w:cs="Tahoma"/>
          <w:sz w:val="24"/>
          <w:szCs w:val="24"/>
        </w:rPr>
        <w:t xml:space="preserve"> została spełniona. Analogicznie rzecz się ma z notariuszami i sędziami orzekającymi w wydziałach cywilnych w sprawach o zniesienie współwłasności. W konsekwencji ponad wszelką wątpliwość należy przyjąć, że zarówno sądy cywilne i wieczystoksięgowe, orzekające w sprawach ustanowienia odrębnej własności lokali, jak też notariusze nie są w stanie zapewnić skutecznego egzekwowania znowelizowanych przepisów.</w:t>
      </w:r>
    </w:p>
    <w:p w:rsidR="00BF2C82" w:rsidRPr="000D5473" w:rsidRDefault="00BF2C82" w:rsidP="00BF2C82">
      <w:pPr>
        <w:jc w:val="both"/>
        <w:rPr>
          <w:rFonts w:ascii="Tahoma" w:hAnsi="Tahoma" w:cs="Tahoma"/>
          <w:sz w:val="24"/>
          <w:szCs w:val="24"/>
        </w:rPr>
      </w:pPr>
      <w:r w:rsidRPr="000D5473">
        <w:rPr>
          <w:rFonts w:ascii="Tahoma" w:hAnsi="Tahoma" w:cs="Tahoma"/>
          <w:sz w:val="24"/>
          <w:szCs w:val="24"/>
        </w:rPr>
        <w:t>Otwartym zatem pozostaje pytanie, do kogo adresowana jest nowa regulacja i kto posiada kompetencje, aby stwierdzić ustanowioną nią przesłankę. Nie powinno budzić wątpliwości, że powinien być to organ administracji właściwy do spraw architektoniczno-budowlanych, jako organ wydający pozwolenia na budowę, który bada w tym celu plan zagospodarowania przestrzennego lub decyzję o warunkach zabudowy i zagospodarowania terenu, który posiada wykwalifikowane do tego kadry, i któremu w końcu podlega organ nadzoru budowlanego, który wydaje pozwolenie na użytkowanie budynku.</w:t>
      </w:r>
    </w:p>
    <w:p w:rsidR="00BF2C82" w:rsidRPr="000D5473" w:rsidRDefault="00BF2C82" w:rsidP="00BF2C82">
      <w:pPr>
        <w:jc w:val="both"/>
        <w:rPr>
          <w:rFonts w:ascii="Tahoma" w:hAnsi="Tahoma" w:cs="Tahoma"/>
          <w:sz w:val="24"/>
          <w:szCs w:val="24"/>
        </w:rPr>
      </w:pPr>
      <w:r w:rsidRPr="000D5473">
        <w:rPr>
          <w:rFonts w:ascii="Tahoma" w:hAnsi="Tahoma" w:cs="Tahoma"/>
          <w:sz w:val="24"/>
          <w:szCs w:val="24"/>
        </w:rPr>
        <w:t xml:space="preserve">Zgodnie z art. 80 ustawy z dnia 7 lipca 1994 roku Prawo budowlane </w:t>
      </w:r>
      <w:hyperlink r:id="rId9" w:history="1">
        <w:r w:rsidRPr="000D5473">
          <w:rPr>
            <w:rFonts w:ascii="Tahoma" w:hAnsi="Tahoma" w:cs="Tahoma"/>
            <w:sz w:val="24"/>
            <w:szCs w:val="24"/>
          </w:rPr>
          <w:t>(Dz.U. z 2017 r. poz. 1332)</w:t>
        </w:r>
      </w:hyperlink>
      <w:r w:rsidRPr="000D5473">
        <w:rPr>
          <w:rFonts w:ascii="Tahoma" w:hAnsi="Tahoma" w:cs="Tahoma"/>
          <w:sz w:val="24"/>
          <w:szCs w:val="24"/>
        </w:rPr>
        <w:t>, podstawowym organem wykonującym zadania z zakresu administracji architektoniczno-budowlanej jest starosta. Ponadto, w myśl art. 81 ust. 1 pkt 1 lit. a, do podstawowych obowiązków organów administracji architektoniczno-budowlanej należy nadzór i kontrola nad przestrzeganiem zgodności zagospodarowania terenu z miejscowymi planami zagospodarowania przestrzennego.</w:t>
      </w:r>
    </w:p>
    <w:p w:rsidR="00BF2C82" w:rsidRPr="00A7365E" w:rsidRDefault="00BF2C82" w:rsidP="00BF2C82">
      <w:pPr>
        <w:jc w:val="both"/>
        <w:rPr>
          <w:rFonts w:ascii="Tahoma" w:hAnsi="Tahoma" w:cs="Tahoma"/>
          <w:sz w:val="24"/>
          <w:szCs w:val="24"/>
        </w:rPr>
      </w:pPr>
      <w:r w:rsidRPr="000D5473">
        <w:rPr>
          <w:rFonts w:ascii="Tahoma" w:hAnsi="Tahoma" w:cs="Tahoma"/>
          <w:sz w:val="24"/>
          <w:szCs w:val="24"/>
        </w:rPr>
        <w:t xml:space="preserve">W praktyce jednak starostowie odmawiają wydawania zaświadczeń o spełnieniu przesłanek </w:t>
      </w:r>
      <w:r w:rsidRPr="00A7365E">
        <w:rPr>
          <w:rFonts w:ascii="Tahoma" w:hAnsi="Tahoma" w:cs="Tahoma"/>
          <w:sz w:val="24"/>
          <w:szCs w:val="24"/>
        </w:rPr>
        <w:t xml:space="preserve">wynikających z art. 2 ust. 1a </w:t>
      </w:r>
      <w:proofErr w:type="spellStart"/>
      <w:r w:rsidRPr="00A7365E">
        <w:rPr>
          <w:rFonts w:ascii="Tahoma" w:hAnsi="Tahoma" w:cs="Tahoma"/>
          <w:sz w:val="24"/>
          <w:szCs w:val="24"/>
        </w:rPr>
        <w:t>uwl</w:t>
      </w:r>
      <w:proofErr w:type="spellEnd"/>
      <w:r w:rsidRPr="00A7365E">
        <w:rPr>
          <w:rFonts w:ascii="Tahoma" w:hAnsi="Tahoma" w:cs="Tahoma"/>
          <w:sz w:val="24"/>
          <w:szCs w:val="24"/>
        </w:rPr>
        <w:t xml:space="preserve">, twierdząc, że ich kompetencje w tym zakresie ogranicza ust. 3 powyższego artykułu, zgodnie z którym posiadają uprawnienia jedynie do stwierdzenia samodzielności lokalu. Zgodnie z zasadami logicznej wykładni prawa trudno odmówić im racji. Jeżeli w jednym przepisie prawa ustawodawca ustanawia dwie przesłanki ustanowienia odrębnej własności lokalu i w tym samym przepisie nadaje określonemu podmiotowi kompetencje do stwierdzenia jednej z nich, to stosując zasadę ustawodawcy racjonalnego na zasadzie argumentu </w:t>
      </w:r>
      <w:r w:rsidRPr="00A7365E">
        <w:rPr>
          <w:rFonts w:ascii="Tahoma" w:hAnsi="Tahoma" w:cs="Tahoma"/>
          <w:i/>
          <w:sz w:val="24"/>
          <w:szCs w:val="24"/>
        </w:rPr>
        <w:t>a contrario</w:t>
      </w:r>
      <w:r w:rsidRPr="00A7365E">
        <w:rPr>
          <w:rFonts w:ascii="Tahoma" w:hAnsi="Tahoma" w:cs="Tahoma"/>
          <w:sz w:val="24"/>
          <w:szCs w:val="24"/>
        </w:rPr>
        <w:t xml:space="preserve"> należy przyjąć, że nie nadaje temu podmiotowi kompetencji do stwierdzenia drugiej.</w:t>
      </w:r>
    </w:p>
    <w:p w:rsidR="00BF2C82" w:rsidRPr="000D5473" w:rsidRDefault="00BF2C82" w:rsidP="00BF2C82">
      <w:pPr>
        <w:jc w:val="both"/>
        <w:rPr>
          <w:rFonts w:ascii="Tahoma" w:hAnsi="Tahoma" w:cs="Tahoma"/>
          <w:sz w:val="24"/>
          <w:szCs w:val="24"/>
        </w:rPr>
      </w:pPr>
      <w:r w:rsidRPr="00A7365E">
        <w:rPr>
          <w:rFonts w:ascii="Tahoma" w:hAnsi="Tahoma" w:cs="Tahoma"/>
          <w:sz w:val="24"/>
          <w:szCs w:val="24"/>
        </w:rPr>
        <w:lastRenderedPageBreak/>
        <w:t xml:space="preserve">W konsekwencji, od dnia wejścia w życie nowelizacji </w:t>
      </w:r>
      <w:proofErr w:type="spellStart"/>
      <w:r w:rsidRPr="00A7365E">
        <w:rPr>
          <w:rFonts w:ascii="Tahoma" w:hAnsi="Tahoma" w:cs="Tahoma"/>
          <w:sz w:val="24"/>
          <w:szCs w:val="24"/>
        </w:rPr>
        <w:t>uwl</w:t>
      </w:r>
      <w:proofErr w:type="spellEnd"/>
      <w:r w:rsidRPr="00A7365E">
        <w:rPr>
          <w:rFonts w:ascii="Tahoma" w:hAnsi="Tahoma" w:cs="Tahoma"/>
          <w:sz w:val="24"/>
          <w:szCs w:val="24"/>
        </w:rPr>
        <w:t>, to jest od dnia 11 września</w:t>
      </w:r>
      <w:r w:rsidRPr="000D5473">
        <w:rPr>
          <w:rFonts w:ascii="Tahoma" w:hAnsi="Tahoma" w:cs="Tahoma"/>
          <w:sz w:val="24"/>
          <w:szCs w:val="24"/>
        </w:rPr>
        <w:t xml:space="preserve"> 2017 roku, nie ma możliwości stwierdzenia przesłanki niezbędnej do skutecznego ustanowienia odrębnej własności lokali, a co za tym idzie nie istnieje możliwość dokonywania takich czynności.</w:t>
      </w:r>
    </w:p>
    <w:p w:rsidR="00BF2C82" w:rsidRPr="000D5473" w:rsidRDefault="00BF2C82" w:rsidP="00BF2C82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0D5473">
        <w:rPr>
          <w:rFonts w:ascii="Tahoma" w:hAnsi="Tahoma" w:cs="Tahoma"/>
          <w:sz w:val="24"/>
          <w:szCs w:val="24"/>
        </w:rPr>
        <w:t>Kolejnym problemem, który zaistniał na kanwie nowowprowadzonych przepisów, jest brak precyzyjnych przepisów przejściowych. Jedyną regulacją odnoszącą się do tej kwestii jest art. 137 ust. 1 ustawy o Krajowym Zasobie Nieruchomości, zgodnie z którym d</w:t>
      </w: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o spraw wszczętych i niezakończonych przed dniem wejścia w życie ustawy stosuje się przepisy dotychczasowe. Przepis ten, o ile może mieć zastosowanie do postępowań administracyjnych, bądź sądowych, o tyle w żadnej mierze nie odnosi się do czynności cywilnoprawnych, które wywołują skutek w momencie ich dokonania.</w:t>
      </w:r>
    </w:p>
    <w:p w:rsidR="00BF2C82" w:rsidRPr="000D5473" w:rsidRDefault="00BF2C82" w:rsidP="00BF2C82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Należy w tym miejscu zwrócić uwagę na wyżej przytoczony cel nowych uregulowań (nowe budynki wybudowane przez deweloperów). Niemniej, przy braku przepisów intertemporalnych, art. 2 ust. 1a </w:t>
      </w:r>
      <w:proofErr w:type="spellStart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uwl</w:t>
      </w:r>
      <w:proofErr w:type="spellEnd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dotyczy wszystkich lokali, których odrębna własność ma być ustanowiona, z lokalami zbywanymi przez gminy i spółdzielnie mieszkaniowe włącznie. Jeśli wziąć pod uwagę, że olbrzymią część zasobów mieszkaniowych gmin stanowią budynki wybudowane przed II wojną światową bądź wkrótce po niej, a większą część budynków stanowiących własność spółdzielni mieszkaniowych to budynki z lat 60-tych, 70-tych i 80-tych ubiegłego stulecia, to łatwo zrozumieć, że stwierdzenie powyższej przesłanki w stosunku do tych lokali, a co za tym idzie, ustanowienie ich odrębnej własności i zbycie na rzecz najemców jest niemożliwe. Problem ten dotyczy praktycznie wszystkich budynków, które zostały wybudowane przed 1994 rokiem (wejście w życie aktualnego prawa budowlanego), ponieważ dopiero od tego roku istnieje obowiązek przechowywania przez właściciela kompletnej dokumentacji budowy i powykonawczej przez okres istnienia obiektu budowlanego, choć i tak trudno przyjąć, że pomimo obowiązku prawnego, ktokolwiek będzie trzymał taką dokumentację lat, na przykład, pięćdziesiąt i jaka będzie jej wartość dowodowa po takim czasie.</w:t>
      </w:r>
    </w:p>
    <w:p w:rsidR="00BF2C82" w:rsidRPr="000D5473" w:rsidRDefault="00BF2C82" w:rsidP="00BF2C82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Kolejnym pytaniem, na które trzeba odpowiedzieć, to zgodnie z jakim planem zagospodarowania przestrzennego ma nastąpić ustanowienie odrębnej własności lokalu? Aktualnym, czy z okresu wybudowania budynku? W końcu to wtedy i zgodnie ówczesnym planem wydawano pozwolenie na budowę i pozwolenie na użytkowanie. A co z budynkami wybudowanymi przykładowo w roku 1898 na ziemiach odzyskanych? Skąd pozyskać dokumenty, aby stwierdzić przesłanki wynikające z art. 2 ust. 1a </w:t>
      </w:r>
      <w:proofErr w:type="spellStart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uwl</w:t>
      </w:r>
      <w:proofErr w:type="spellEnd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. Wbrew pozorom problem nie jest teoretyczny. W zasobach mieszkaniowych takich gmin jak Gdańsk, Poznań, Wrocław, Sopot, Szczecin i wiele innych, znajdują się tysiące mieszkań wybudowanych przed II wojną światową, których najemcy nie mogą ich nabyć zgodnie z nowymi regulacjami. Podobna sytuacja dotyczy wielu kamienic prywatnych.</w:t>
      </w:r>
    </w:p>
    <w:p w:rsidR="00BF2C82" w:rsidRPr="000D5473" w:rsidRDefault="00BF2C82" w:rsidP="00BF2C82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Podsumowując, w obecnym stanie prawnym nie ma faktycznej możliwości ustanawiania odrębnej własności lokali, gdyż nawet przedłożenie do aktu notarialnego bądź do orzeczenia sądowego o zniesieniu współwłasności dokumentów </w:t>
      </w: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lastRenderedPageBreak/>
        <w:t xml:space="preserve">wymienionych w art. 2 ust. 1a </w:t>
      </w:r>
      <w:proofErr w:type="spellStart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uwl</w:t>
      </w:r>
      <w:proofErr w:type="spellEnd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nie daje rękojmi spełnienia przesłanki określonej w tym przepisie. Ponadto, wprowadzenie normy kompetencyjnej – co w obecnym stanie rzeczy wydaje się jedną z najpilniejszych potrzeb legislacyjnych w Polsce – bez doprecyzowania przepisów przejściowych będzie jedynie częściowym rozwiązaniem problemu i będzie dotyczyło tylko stosunkowo nowych budynków.</w:t>
      </w:r>
    </w:p>
    <w:p w:rsidR="00BF2C82" w:rsidRPr="000D5473" w:rsidRDefault="00BF2C82" w:rsidP="00BF2C82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Uzasadnieniem zmian wprowadzonych ustawą </w:t>
      </w:r>
      <w:r w:rsidRPr="000D5473">
        <w:rPr>
          <w:rFonts w:ascii="Tahoma" w:hAnsi="Tahoma" w:cs="Tahoma"/>
          <w:sz w:val="24"/>
          <w:szCs w:val="24"/>
        </w:rPr>
        <w:t>o Krajowym Zasobie Nieruchomości</w:t>
      </w: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było „zwiększenie dostępności mieszkań dla grup społecznych o umiarkowanych dochodach, […]</w:t>
      </w:r>
      <w:r w:rsidRPr="000D5473">
        <w:rPr>
          <w:rFonts w:ascii="Tahoma" w:hAnsi="Tahoma" w:cs="Tahoma"/>
        </w:rPr>
        <w:t xml:space="preserve"> </w:t>
      </w: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zwiększenie podaży dostępnych nieruchomości pod budownictwo mieszkaniowe, […] oraz budowa dostępnych mieszkań na wynajem (w tym z opcją stopniowego uzyskiwania własności przez najemcę)”.</w:t>
      </w:r>
    </w:p>
    <w:p w:rsidR="00BF2C82" w:rsidRPr="000D5473" w:rsidRDefault="00BF2C82" w:rsidP="00BF2C82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Skonstatować należy, że obecna regulacja art. 2 ust 1a </w:t>
      </w:r>
      <w:proofErr w:type="spellStart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uwl</w:t>
      </w:r>
      <w:proofErr w:type="spellEnd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pozostaje w sprzeczności z powyższymi założeniami, w szczególności w zakresie nabywania lokali mieszkalnych od gmin i spółdzielni na preferencyjnych warunkach, dlatego istnieje pilna społeczna potrzeba zmiany aktualnie obowiązujących przepisów. Sytuacja, w której ustanawianie odrębnej własności lokali, a co za tym idzie obrót nimi jest, zgodnie z prawem, niemożliwy jest ze społecznego punktu widzenia nie do zaakceptowania.</w:t>
      </w:r>
    </w:p>
    <w:p w:rsidR="004717BA" w:rsidRPr="000D5473" w:rsidRDefault="004717BA" w:rsidP="00BF2C82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</w:p>
    <w:p w:rsidR="00BF2C82" w:rsidRPr="000D5473" w:rsidRDefault="00BF2C82" w:rsidP="00BF2C82">
      <w:pPr>
        <w:jc w:val="both"/>
        <w:rPr>
          <w:rFonts w:ascii="Tahoma" w:hAnsi="Tahoma" w:cs="Tahoma"/>
          <w:b/>
          <w:color w:val="000000"/>
          <w:sz w:val="24"/>
          <w:szCs w:val="24"/>
          <w:shd w:val="clear" w:color="auto" w:fill="FFFFFF"/>
        </w:rPr>
      </w:pPr>
      <w:r w:rsidRPr="000D5473">
        <w:rPr>
          <w:rFonts w:ascii="Tahoma" w:hAnsi="Tahoma" w:cs="Tahoma"/>
          <w:b/>
          <w:color w:val="000000"/>
          <w:sz w:val="24"/>
          <w:szCs w:val="24"/>
          <w:shd w:val="clear" w:color="auto" w:fill="FFFFFF"/>
        </w:rPr>
        <w:t>III. Uzasadnienie rozwiązań przyjętych w projekcie</w:t>
      </w:r>
    </w:p>
    <w:p w:rsidR="00BF2C82" w:rsidRPr="000D5473" w:rsidRDefault="00BF2C82" w:rsidP="00BF2C82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Jak wcześniej wykazano, przyjęcie normy kompetencyjnej, określającej podmiot uprawniony do stwierdzenia przesłanek wynikających z art. 2 ust 1a </w:t>
      </w:r>
      <w:proofErr w:type="spellStart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uwl</w:t>
      </w:r>
      <w:proofErr w:type="spellEnd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, jest niezbędny. Jedyną kwestią pozostaje, jaki to ma być podmiot.</w:t>
      </w:r>
    </w:p>
    <w:p w:rsidR="00BF2C82" w:rsidRPr="000D5473" w:rsidRDefault="00BF2C82" w:rsidP="00BF2C82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0D5473">
        <w:rPr>
          <w:rFonts w:ascii="Tahoma" w:hAnsi="Tahoma" w:cs="Tahoma"/>
          <w:sz w:val="24"/>
          <w:szCs w:val="24"/>
        </w:rPr>
        <w:t xml:space="preserve">Zgodnie z cytowaną wcześniej ustawą Prawo budowlane, podstawowym organem administracji architektoniczno-budowlanej jest starosta. To w jego gestii pozostaje wydawanie pozwoleń na budowę i – siłą rzeczy – badanie planów zagospodarowania przestrzennego lub warunków zabudowy i zagospodarowania terenu. To pod nadzorem tego organu pozostaje powiatowy inspektor nadzoru budowlanego, który wydaje decyzje o pozwoleniu na użytkowanie. Reasumując, to w rękach tego organu znajdują się wszystkie instrumenty do stwierdzenia wszystkich przesłanek określonych w </w:t>
      </w: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art. 2 ust 1a </w:t>
      </w:r>
      <w:proofErr w:type="spellStart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uwl</w:t>
      </w:r>
      <w:proofErr w:type="spellEnd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. Ponadto, z funkcjonalnego punktu widzenia, skumulowanie w jednym zaświadczeniu wszystkich przesłanek wynikających z art. 2 </w:t>
      </w:r>
      <w:proofErr w:type="spellStart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uwl</w:t>
      </w:r>
      <w:proofErr w:type="spellEnd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, wydaje się wysoce uzasadnione.</w:t>
      </w:r>
    </w:p>
    <w:p w:rsidR="00BF2C82" w:rsidRPr="000D5473" w:rsidRDefault="00BF2C82" w:rsidP="00BF2C82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>Kolejną, niebudzącą chyba wątpliwości, zmianą jest sprecyzowanie przepisów przejściowych. Jak wynika z wcześniejszych wywodów, w odniesieniu do budynków wybudowanych ponad 23 lata temu w większości niemożliwe będzie stwierdzenie okoliczności wynikających z nowelizowanego przepisu. Uniemożliwienie ustanawiania odrębnej własności lokali w takich budynkach byłoby ze społecznego punktu widzenia bardzo niepożądane. Pozostaje jedynie pytanie, jaką cezurę czasową przyjąć.</w:t>
      </w:r>
    </w:p>
    <w:p w:rsidR="00BF2C82" w:rsidRPr="000D5473" w:rsidRDefault="00BF2C82" w:rsidP="00BF2C82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Ta kwestia wymaga głębszego rozważenia. Z jednej strony należy wziąć po uwagę istotę wprowadzonej regulacji, polegającą na wyeliminowaniu niepożądanych praktyk w zakresie ustanawiania odrębnej własności lokali. Z drugiej zaś strony </w:t>
      </w: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lastRenderedPageBreak/>
        <w:t xml:space="preserve">fundamentalną – z punktu widzenia bezpieczeństwa obrotu prawnego – zasadę </w:t>
      </w:r>
      <w:r w:rsidRPr="000D5473">
        <w:rPr>
          <w:rFonts w:ascii="Tahoma" w:hAnsi="Tahoma" w:cs="Tahoma"/>
          <w:i/>
          <w:color w:val="000000"/>
          <w:sz w:val="24"/>
          <w:szCs w:val="24"/>
          <w:shd w:val="clear" w:color="auto" w:fill="FFFFFF"/>
        </w:rPr>
        <w:t xml:space="preserve">lex retro non </w:t>
      </w:r>
      <w:proofErr w:type="spellStart"/>
      <w:r w:rsidRPr="000D5473">
        <w:rPr>
          <w:rFonts w:ascii="Tahoma" w:hAnsi="Tahoma" w:cs="Tahoma"/>
          <w:i/>
          <w:color w:val="000000"/>
          <w:sz w:val="24"/>
          <w:szCs w:val="24"/>
          <w:shd w:val="clear" w:color="auto" w:fill="FFFFFF"/>
        </w:rPr>
        <w:t>agit</w:t>
      </w:r>
      <w:proofErr w:type="spellEnd"/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i związaną z nią zasadę praw nabytych. O ile jak najszybsze osiągnięcie stanu objętego nowymi przepisami jest </w:t>
      </w:r>
      <w:r w:rsidRPr="00A7365E">
        <w:rPr>
          <w:rFonts w:ascii="Tahoma" w:hAnsi="Tahoma" w:cs="Tahoma"/>
          <w:color w:val="000000"/>
          <w:sz w:val="24"/>
          <w:szCs w:val="24"/>
          <w:shd w:val="clear" w:color="auto" w:fill="FFFFFF"/>
        </w:rPr>
        <w:t>wysoce wskazane, o tyle trudno obarczać konsekwencjami ich wprowadzenia kogoś, kto w oparciu o dotychczasowe przepisy dokonał inwestycji i wybudował już budynek (należy w tym miejscu podkreślić, że do niedawna prawo dopuszczało czterolokalowe budynki jednorodzinne i w wielu planach zagospodarowania przestrzennego takie są dopuszczone), bądź też zainwestował znaczne środki, doprowadzając budowę do określonego etapu. W związku z tym, że na poziomie ustawowym wartościowanie poszczególnych etapów</w:t>
      </w: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inwestycji nie wydaje się możliwe, jedyną cezurą jaka jest możliwa do przyjęcia, jest rozpoczęcie inwestycji zgodnie z przepisami prawa budowlanego.</w:t>
      </w:r>
    </w:p>
    <w:p w:rsidR="00BF2C82" w:rsidRPr="000D5473" w:rsidRDefault="00BF2C82" w:rsidP="00BF2C82">
      <w:pPr>
        <w:jc w:val="both"/>
        <w:rPr>
          <w:rFonts w:ascii="Tahoma" w:hAnsi="Tahoma" w:cs="Tahoma"/>
          <w:color w:val="000000"/>
          <w:sz w:val="24"/>
          <w:szCs w:val="24"/>
          <w:shd w:val="clear" w:color="auto" w:fill="FFFFFF"/>
        </w:rPr>
      </w:pP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Ostatnią kwestią wymagającą uzasadnienia jest brak </w:t>
      </w:r>
      <w:r w:rsidRPr="000D5473">
        <w:rPr>
          <w:rFonts w:ascii="Tahoma" w:hAnsi="Tahoma" w:cs="Tahoma"/>
          <w:i/>
          <w:color w:val="000000"/>
          <w:sz w:val="24"/>
          <w:szCs w:val="24"/>
          <w:shd w:val="clear" w:color="auto" w:fill="FFFFFF"/>
        </w:rPr>
        <w:t>vacatio legis</w:t>
      </w:r>
      <w:r w:rsidRPr="000D5473">
        <w:rPr>
          <w:rFonts w:ascii="Tahoma" w:hAnsi="Tahoma" w:cs="Tahoma"/>
          <w:color w:val="000000"/>
          <w:sz w:val="24"/>
          <w:szCs w:val="24"/>
          <w:shd w:val="clear" w:color="auto" w:fill="FFFFFF"/>
        </w:rPr>
        <w:t xml:space="preserve"> dla niniejszej ustawy.</w:t>
      </w:r>
    </w:p>
    <w:p w:rsidR="00BF2C82" w:rsidRPr="000D5473" w:rsidRDefault="00BF2C82" w:rsidP="00BF2C82">
      <w:pPr>
        <w:jc w:val="both"/>
        <w:rPr>
          <w:rFonts w:ascii="Tahoma" w:hAnsi="Tahoma" w:cs="Tahoma"/>
          <w:sz w:val="24"/>
          <w:szCs w:val="24"/>
        </w:rPr>
      </w:pPr>
      <w:r w:rsidRPr="000D5473">
        <w:rPr>
          <w:rFonts w:ascii="Tahoma" w:hAnsi="Tahoma" w:cs="Tahoma"/>
          <w:sz w:val="24"/>
          <w:szCs w:val="24"/>
        </w:rPr>
        <w:t>Ponieważ od dnia 11 września 2017 roku nie jest możliwe, zgodnie z prawem, ustanawianie odrębnej własności lokali, a czynności prawne z tym związane, dokonywane od tej daty, mogą być obarczone sankcją nieważności i grożą odmowami wpisów w księgach wieczystych, co będzie godziło w interes obywateli, Wysoce pożądanym jest jak najszybsze wejście w życie projektowanej ustawy.</w:t>
      </w:r>
    </w:p>
    <w:p w:rsidR="000D5473" w:rsidRDefault="000D5473" w:rsidP="00BF2C82">
      <w:pPr>
        <w:jc w:val="both"/>
        <w:rPr>
          <w:rFonts w:ascii="Tahoma" w:hAnsi="Tahoma" w:cs="Tahoma"/>
          <w:b/>
          <w:sz w:val="24"/>
          <w:szCs w:val="24"/>
        </w:rPr>
      </w:pPr>
    </w:p>
    <w:p w:rsidR="00BF2C82" w:rsidRPr="000D5473" w:rsidRDefault="00BF2C82" w:rsidP="00BF2C82">
      <w:pPr>
        <w:jc w:val="both"/>
        <w:rPr>
          <w:rFonts w:ascii="Tahoma" w:hAnsi="Tahoma" w:cs="Tahoma"/>
          <w:sz w:val="24"/>
          <w:szCs w:val="24"/>
        </w:rPr>
      </w:pPr>
      <w:r w:rsidRPr="000D5473">
        <w:rPr>
          <w:rFonts w:ascii="Tahoma" w:hAnsi="Tahoma" w:cs="Tahoma"/>
          <w:sz w:val="24"/>
          <w:szCs w:val="24"/>
        </w:rPr>
        <w:t>Projektowana ustawa nie rodzi skutków dla budżetu państwa oraz budżetów jednostek samorządu terytorialnego.</w:t>
      </w:r>
    </w:p>
    <w:p w:rsidR="000D5473" w:rsidRPr="000D5473" w:rsidRDefault="000D5473" w:rsidP="000D5473">
      <w:pPr>
        <w:autoSpaceDN w:val="0"/>
        <w:spacing w:after="0" w:line="360" w:lineRule="auto"/>
        <w:jc w:val="both"/>
        <w:rPr>
          <w:rFonts w:ascii="Tahoma" w:eastAsia="Calibri" w:hAnsi="Tahoma" w:cs="Tahoma"/>
          <w:sz w:val="24"/>
          <w:szCs w:val="24"/>
        </w:rPr>
      </w:pPr>
    </w:p>
    <w:p w:rsidR="000D5473" w:rsidRPr="000D5473" w:rsidRDefault="000D5473" w:rsidP="000D5473">
      <w:pPr>
        <w:autoSpaceDN w:val="0"/>
        <w:spacing w:after="0" w:line="360" w:lineRule="auto"/>
        <w:contextualSpacing/>
        <w:jc w:val="both"/>
        <w:rPr>
          <w:rFonts w:ascii="Tahoma" w:eastAsia="Calibri" w:hAnsi="Tahoma" w:cs="Tahoma"/>
          <w:b/>
          <w:sz w:val="24"/>
          <w:szCs w:val="24"/>
        </w:rPr>
      </w:pPr>
      <w:r>
        <w:rPr>
          <w:rFonts w:ascii="Tahoma" w:eastAsia="Calibri" w:hAnsi="Tahoma" w:cs="Tahoma"/>
          <w:b/>
          <w:sz w:val="24"/>
          <w:szCs w:val="24"/>
        </w:rPr>
        <w:t>I</w:t>
      </w:r>
      <w:r w:rsidRPr="000D5473">
        <w:rPr>
          <w:rFonts w:ascii="Tahoma" w:eastAsia="Calibri" w:hAnsi="Tahoma" w:cs="Tahoma"/>
          <w:b/>
          <w:sz w:val="24"/>
          <w:szCs w:val="24"/>
        </w:rPr>
        <w:t>V.</w:t>
      </w:r>
      <w:r w:rsidRPr="000D5473">
        <w:rPr>
          <w:rFonts w:ascii="Tahoma" w:eastAsia="Calibri" w:hAnsi="Tahoma" w:cs="Tahoma"/>
          <w:b/>
          <w:sz w:val="24"/>
          <w:szCs w:val="24"/>
        </w:rPr>
        <w:tab/>
        <w:t>Ocena zgodności projektu z prawem Unii Europejskiej</w:t>
      </w:r>
    </w:p>
    <w:p w:rsidR="00BF2C82" w:rsidRPr="000D5473" w:rsidRDefault="00BF2C82" w:rsidP="00BF2C82">
      <w:pPr>
        <w:jc w:val="both"/>
        <w:rPr>
          <w:rFonts w:ascii="Tahoma" w:hAnsi="Tahoma" w:cs="Tahoma"/>
          <w:sz w:val="24"/>
          <w:szCs w:val="24"/>
        </w:rPr>
      </w:pPr>
      <w:r w:rsidRPr="000D5473">
        <w:rPr>
          <w:rFonts w:ascii="Tahoma" w:hAnsi="Tahoma" w:cs="Tahoma"/>
          <w:sz w:val="24"/>
          <w:szCs w:val="24"/>
        </w:rPr>
        <w:t>Projekt ustawy jest zgodny z prawem Unii Europejskiej.</w:t>
      </w:r>
    </w:p>
    <w:p w:rsidR="00690921" w:rsidRPr="000D5473" w:rsidRDefault="000C3AC1">
      <w:pPr>
        <w:rPr>
          <w:rFonts w:ascii="Tahoma" w:hAnsi="Tahoma" w:cs="Tahoma"/>
        </w:rPr>
      </w:pPr>
    </w:p>
    <w:sectPr w:rsidR="00690921" w:rsidRPr="000D54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B415D6"/>
    <w:multiLevelType w:val="multilevel"/>
    <w:tmpl w:val="BD9C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C82"/>
    <w:rsid w:val="000333DE"/>
    <w:rsid w:val="000A6495"/>
    <w:rsid w:val="000C3AC1"/>
    <w:rsid w:val="000D5473"/>
    <w:rsid w:val="0012791C"/>
    <w:rsid w:val="00366339"/>
    <w:rsid w:val="004717BA"/>
    <w:rsid w:val="009F2E0B"/>
    <w:rsid w:val="00A7365E"/>
    <w:rsid w:val="00BF2C82"/>
    <w:rsid w:val="00D92FB6"/>
    <w:rsid w:val="00F203FB"/>
    <w:rsid w:val="00F3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C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BF2C8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F2C82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F2C82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F2C82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F2C82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BF2C82"/>
    <w:rPr>
      <w:b/>
    </w:rPr>
  </w:style>
  <w:style w:type="character" w:customStyle="1" w:styleId="highlight-disabled">
    <w:name w:val="highlight-disabled"/>
    <w:basedOn w:val="Domylnaczcionkaakapitu"/>
    <w:rsid w:val="00BF2C82"/>
  </w:style>
  <w:style w:type="paragraph" w:styleId="Akapitzlist">
    <w:name w:val="List Paragraph"/>
    <w:basedOn w:val="Normalny"/>
    <w:uiPriority w:val="34"/>
    <w:qFormat/>
    <w:rsid w:val="000D547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F2C8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BF2C8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BF2C82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BF2C82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BF2C82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BF2C82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BF2C82"/>
    <w:rPr>
      <w:b/>
    </w:rPr>
  </w:style>
  <w:style w:type="character" w:customStyle="1" w:styleId="highlight-disabled">
    <w:name w:val="highlight-disabled"/>
    <w:basedOn w:val="Domylnaczcionkaakapitu"/>
    <w:rsid w:val="00BF2C82"/>
  </w:style>
  <w:style w:type="paragraph" w:styleId="Akapitzlist">
    <w:name w:val="List Paragraph"/>
    <w:basedOn w:val="Normalny"/>
    <w:uiPriority w:val="34"/>
    <w:qFormat/>
    <w:rsid w:val="000D5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cmzwgm3tq" TargetMode="External"/><Relationship Id="rId3" Type="http://schemas.openxmlformats.org/officeDocument/2006/relationships/styles" Target="styles.xml"/><Relationship Id="rId7" Type="http://schemas.openxmlformats.org/officeDocument/2006/relationships/hyperlink" Target="https://sip.legalis.pl/document-view.seam?documentId=mfrxilrtgi2tqnrygqyd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sip.legalis.pl/document-view.seam?documentId=mfrxilrtg4ytcmrvge2ds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12A3A-EB70-46F8-A510-DC82D11ED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1990</Words>
  <Characters>11946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A. Genert</dc:creator>
  <cp:lastModifiedBy>Ewa A. Genert</cp:lastModifiedBy>
  <cp:revision>2</cp:revision>
  <dcterms:created xsi:type="dcterms:W3CDTF">2018-01-25T13:04:00Z</dcterms:created>
  <dcterms:modified xsi:type="dcterms:W3CDTF">2018-01-25T13:04:00Z</dcterms:modified>
</cp:coreProperties>
</file>