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F8DC7" w14:textId="2420FFB7" w:rsidR="006C5B25" w:rsidRPr="00205E56" w:rsidRDefault="006C5B25" w:rsidP="006B3F3E">
      <w:pPr>
        <w:spacing w:after="0" w:line="360" w:lineRule="auto"/>
        <w:jc w:val="center"/>
        <w:rPr>
          <w:rFonts w:ascii="Times New Roman" w:hAnsi="Times New Roman" w:cs="Times New Roman"/>
          <w:sz w:val="24"/>
          <w:szCs w:val="24"/>
        </w:rPr>
      </w:pPr>
      <w:bookmarkStart w:id="0" w:name="_GoBack"/>
      <w:bookmarkEnd w:id="0"/>
      <w:r w:rsidRPr="00205E56">
        <w:rPr>
          <w:rFonts w:ascii="Times New Roman" w:hAnsi="Times New Roman" w:cs="Times New Roman"/>
          <w:sz w:val="24"/>
          <w:szCs w:val="24"/>
        </w:rPr>
        <w:t>UZASADNIENIE</w:t>
      </w:r>
    </w:p>
    <w:p w14:paraId="298AB93B" w14:textId="77777777" w:rsidR="00A30483" w:rsidRPr="00205E56" w:rsidRDefault="00A30483" w:rsidP="006B3F3E">
      <w:pPr>
        <w:spacing w:after="0" w:line="360" w:lineRule="auto"/>
        <w:jc w:val="both"/>
        <w:rPr>
          <w:rFonts w:ascii="Times New Roman" w:hAnsi="Times New Roman" w:cs="Times New Roman"/>
          <w:b/>
          <w:sz w:val="24"/>
          <w:szCs w:val="24"/>
        </w:rPr>
      </w:pPr>
    </w:p>
    <w:p w14:paraId="52126C93" w14:textId="090201FF" w:rsidR="00E04360" w:rsidRPr="00205E56" w:rsidRDefault="006D0387"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Podstawowym celem projektu jest dostosowanie krajowych regulacji dotyczących sposobu świadczenia usług płatniczych do postanowień </w:t>
      </w:r>
      <w:r w:rsidR="001D6653" w:rsidRPr="00205E56">
        <w:rPr>
          <w:rFonts w:ascii="Times New Roman" w:hAnsi="Times New Roman" w:cs="Times New Roman"/>
          <w:sz w:val="24"/>
          <w:szCs w:val="24"/>
        </w:rPr>
        <w:t>dyrektywy Parlamentu Europejskiego i Rady (UE) 2015/2366 z dnia 25 listopada 2015 r. w sprawie usług płatniczych w ramach rynku wewnętrznego</w:t>
      </w:r>
      <w:r w:rsidR="00B65401">
        <w:rPr>
          <w:rFonts w:ascii="Times New Roman" w:hAnsi="Times New Roman" w:cs="Times New Roman"/>
          <w:sz w:val="24"/>
          <w:szCs w:val="24"/>
        </w:rPr>
        <w:t>,</w:t>
      </w:r>
      <w:r w:rsidR="001D6653" w:rsidRPr="00205E56">
        <w:rPr>
          <w:rFonts w:ascii="Times New Roman" w:hAnsi="Times New Roman" w:cs="Times New Roman"/>
          <w:sz w:val="24"/>
          <w:szCs w:val="24"/>
        </w:rPr>
        <w:t xml:space="preserve"> zmieniającej dyrektywy 2002/65/WE, 2009/110/WE, 2013/36/UE i rozporządzenie (UE) nr 1093/2010 oraz uchylającej dyrektywę 2007/64/WE (Dz.</w:t>
      </w:r>
      <w:r w:rsidR="00446C54" w:rsidRPr="00205E56">
        <w:rPr>
          <w:rFonts w:ascii="Times New Roman" w:hAnsi="Times New Roman" w:cs="Times New Roman"/>
          <w:sz w:val="24"/>
          <w:szCs w:val="24"/>
        </w:rPr>
        <w:t xml:space="preserve"> </w:t>
      </w:r>
      <w:r w:rsidR="001D6653" w:rsidRPr="00205E56">
        <w:rPr>
          <w:rFonts w:ascii="Times New Roman" w:hAnsi="Times New Roman" w:cs="Times New Roman"/>
          <w:sz w:val="24"/>
          <w:szCs w:val="24"/>
        </w:rPr>
        <w:t>U</w:t>
      </w:r>
      <w:r w:rsidR="00310E0F">
        <w:rPr>
          <w:rFonts w:ascii="Times New Roman" w:hAnsi="Times New Roman" w:cs="Times New Roman"/>
          <w:sz w:val="24"/>
          <w:szCs w:val="24"/>
        </w:rPr>
        <w:t>rz</w:t>
      </w:r>
      <w:r w:rsidR="001D6653" w:rsidRPr="00205E56">
        <w:rPr>
          <w:rFonts w:ascii="Times New Roman" w:hAnsi="Times New Roman" w:cs="Times New Roman"/>
          <w:sz w:val="24"/>
          <w:szCs w:val="24"/>
        </w:rPr>
        <w:t xml:space="preserve">. </w:t>
      </w:r>
      <w:r w:rsidR="00310E0F">
        <w:rPr>
          <w:rFonts w:ascii="Times New Roman" w:hAnsi="Times New Roman" w:cs="Times New Roman"/>
          <w:sz w:val="24"/>
          <w:szCs w:val="24"/>
        </w:rPr>
        <w:t xml:space="preserve">UE </w:t>
      </w:r>
      <w:r w:rsidR="001D6653" w:rsidRPr="00205E56">
        <w:rPr>
          <w:rFonts w:ascii="Times New Roman" w:hAnsi="Times New Roman" w:cs="Times New Roman"/>
          <w:sz w:val="24"/>
          <w:szCs w:val="24"/>
        </w:rPr>
        <w:t>L 337 z 23.12.2015, s</w:t>
      </w:r>
      <w:r w:rsidR="00310E0F">
        <w:rPr>
          <w:rFonts w:ascii="Times New Roman" w:hAnsi="Times New Roman" w:cs="Times New Roman"/>
          <w:sz w:val="24"/>
          <w:szCs w:val="24"/>
        </w:rPr>
        <w:t>tr</w:t>
      </w:r>
      <w:r w:rsidR="001D6653" w:rsidRPr="00205E56">
        <w:rPr>
          <w:rFonts w:ascii="Times New Roman" w:hAnsi="Times New Roman" w:cs="Times New Roman"/>
          <w:sz w:val="24"/>
          <w:szCs w:val="24"/>
        </w:rPr>
        <w:t>. 35)</w:t>
      </w:r>
      <w:r w:rsidRPr="00205E56">
        <w:rPr>
          <w:rFonts w:ascii="Times New Roman" w:hAnsi="Times New Roman" w:cs="Times New Roman"/>
          <w:sz w:val="24"/>
          <w:szCs w:val="24"/>
        </w:rPr>
        <w:t>, dalej</w:t>
      </w:r>
      <w:r w:rsidR="001252C4" w:rsidRPr="00205E56">
        <w:rPr>
          <w:rFonts w:ascii="Times New Roman" w:hAnsi="Times New Roman" w:cs="Times New Roman"/>
          <w:sz w:val="24"/>
          <w:szCs w:val="24"/>
        </w:rPr>
        <w:t>:</w:t>
      </w:r>
      <w:r w:rsidRPr="00205E56">
        <w:rPr>
          <w:rFonts w:ascii="Times New Roman" w:hAnsi="Times New Roman" w:cs="Times New Roman"/>
          <w:sz w:val="24"/>
          <w:szCs w:val="24"/>
        </w:rPr>
        <w:t xml:space="preserve"> </w:t>
      </w:r>
      <w:r w:rsidR="00761EE3" w:rsidRPr="00205E56">
        <w:rPr>
          <w:rFonts w:ascii="Times New Roman" w:hAnsi="Times New Roman" w:cs="Times New Roman"/>
          <w:sz w:val="24"/>
          <w:szCs w:val="24"/>
        </w:rPr>
        <w:t xml:space="preserve">„dyrektywa </w:t>
      </w:r>
      <w:r w:rsidRPr="00205E56">
        <w:rPr>
          <w:rFonts w:ascii="Times New Roman" w:hAnsi="Times New Roman" w:cs="Times New Roman"/>
          <w:sz w:val="24"/>
          <w:szCs w:val="24"/>
        </w:rPr>
        <w:t>PSD</w:t>
      </w:r>
      <w:r w:rsidR="001525DC">
        <w:rPr>
          <w:rFonts w:ascii="Times New Roman" w:hAnsi="Times New Roman" w:cs="Times New Roman"/>
          <w:sz w:val="24"/>
          <w:szCs w:val="24"/>
        </w:rPr>
        <w:t> </w:t>
      </w:r>
      <w:r w:rsidRPr="00205E56">
        <w:rPr>
          <w:rFonts w:ascii="Times New Roman" w:hAnsi="Times New Roman" w:cs="Times New Roman"/>
          <w:sz w:val="24"/>
          <w:szCs w:val="24"/>
        </w:rPr>
        <w:t>2</w:t>
      </w:r>
      <w:r w:rsidR="00761EE3" w:rsidRPr="00205E56">
        <w:rPr>
          <w:rFonts w:ascii="Times New Roman" w:hAnsi="Times New Roman" w:cs="Times New Roman"/>
          <w:sz w:val="24"/>
          <w:szCs w:val="24"/>
        </w:rPr>
        <w:t>” albo „PSD 2”</w:t>
      </w:r>
      <w:r w:rsidRPr="00205E56">
        <w:rPr>
          <w:rFonts w:ascii="Times New Roman" w:hAnsi="Times New Roman" w:cs="Times New Roman"/>
          <w:sz w:val="24"/>
          <w:szCs w:val="24"/>
        </w:rPr>
        <w:t xml:space="preserve">. </w:t>
      </w:r>
    </w:p>
    <w:p w14:paraId="1EE93C37" w14:textId="5383D09A" w:rsidR="00474DFD" w:rsidRPr="00205E56" w:rsidRDefault="005922F3"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Projekt dokonuje obszernej nowelizacji </w:t>
      </w:r>
      <w:r w:rsidR="001D6653" w:rsidRPr="00205E56">
        <w:rPr>
          <w:rFonts w:ascii="Times New Roman" w:hAnsi="Times New Roman" w:cs="Times New Roman"/>
          <w:sz w:val="24"/>
          <w:szCs w:val="24"/>
        </w:rPr>
        <w:t>ustawy z dnia 19 sierpnia 2011 r. o usługach płatniczych (Dz. U. z 2016 r. poz. 1572 i 1997)</w:t>
      </w:r>
      <w:r w:rsidR="00A8052F" w:rsidRPr="00205E56">
        <w:rPr>
          <w:rFonts w:ascii="Times New Roman" w:hAnsi="Times New Roman" w:cs="Times New Roman"/>
          <w:sz w:val="24"/>
          <w:szCs w:val="24"/>
        </w:rPr>
        <w:t>, dalej: „ustawa”</w:t>
      </w:r>
      <w:r w:rsidRPr="00205E56">
        <w:rPr>
          <w:rFonts w:ascii="Times New Roman" w:hAnsi="Times New Roman" w:cs="Times New Roman"/>
          <w:sz w:val="24"/>
          <w:szCs w:val="24"/>
        </w:rPr>
        <w:t xml:space="preserve">. </w:t>
      </w:r>
      <w:r w:rsidR="001D6653" w:rsidRPr="00205E56">
        <w:rPr>
          <w:rFonts w:ascii="Times New Roman" w:hAnsi="Times New Roman" w:cs="Times New Roman"/>
          <w:sz w:val="24"/>
          <w:szCs w:val="24"/>
        </w:rPr>
        <w:t xml:space="preserve">Od czasu przyjęcia </w:t>
      </w:r>
      <w:r w:rsidR="00310E0F">
        <w:rPr>
          <w:rFonts w:ascii="Times New Roman" w:hAnsi="Times New Roman" w:cs="Times New Roman"/>
          <w:sz w:val="24"/>
          <w:szCs w:val="24"/>
        </w:rPr>
        <w:t>d</w:t>
      </w:r>
      <w:r w:rsidR="001D6653" w:rsidRPr="00205E56">
        <w:rPr>
          <w:rFonts w:ascii="Times New Roman" w:hAnsi="Times New Roman" w:cs="Times New Roman"/>
          <w:sz w:val="24"/>
          <w:szCs w:val="24"/>
        </w:rPr>
        <w:t>yrektywy 2007/64/WE Parlamentu Europejskiego i Rad</w:t>
      </w:r>
      <w:r w:rsidR="001525DC">
        <w:rPr>
          <w:rFonts w:ascii="Times New Roman" w:hAnsi="Times New Roman" w:cs="Times New Roman"/>
          <w:sz w:val="24"/>
          <w:szCs w:val="24"/>
        </w:rPr>
        <w:t>y z dnia 13 listopada 2007 r. w </w:t>
      </w:r>
      <w:r w:rsidR="001D6653" w:rsidRPr="00205E56">
        <w:rPr>
          <w:rFonts w:ascii="Times New Roman" w:hAnsi="Times New Roman" w:cs="Times New Roman"/>
          <w:sz w:val="24"/>
          <w:szCs w:val="24"/>
        </w:rPr>
        <w:t>sprawie usług płatniczych w ramach rynku wewnętrznego zmieniającej dyrektywy 97/7/WE, 2002/65/WE, 2005/60/WE i 2006/48/WE i uchylającej dyrektywę 97/5/WE (Dz.</w:t>
      </w:r>
      <w:r w:rsidR="00446C54" w:rsidRPr="00205E56">
        <w:rPr>
          <w:rFonts w:ascii="Times New Roman" w:hAnsi="Times New Roman" w:cs="Times New Roman"/>
          <w:sz w:val="24"/>
          <w:szCs w:val="24"/>
        </w:rPr>
        <w:t xml:space="preserve"> </w:t>
      </w:r>
      <w:r w:rsidR="001D6653" w:rsidRPr="00205E56">
        <w:rPr>
          <w:rFonts w:ascii="Times New Roman" w:hAnsi="Times New Roman" w:cs="Times New Roman"/>
          <w:sz w:val="24"/>
          <w:szCs w:val="24"/>
        </w:rPr>
        <w:t>U</w:t>
      </w:r>
      <w:r w:rsidR="00310E0F">
        <w:rPr>
          <w:rFonts w:ascii="Times New Roman" w:hAnsi="Times New Roman" w:cs="Times New Roman"/>
          <w:sz w:val="24"/>
          <w:szCs w:val="24"/>
        </w:rPr>
        <w:t>rz</w:t>
      </w:r>
      <w:r w:rsidR="001D6653" w:rsidRPr="00205E56">
        <w:rPr>
          <w:rFonts w:ascii="Times New Roman" w:hAnsi="Times New Roman" w:cs="Times New Roman"/>
          <w:sz w:val="24"/>
          <w:szCs w:val="24"/>
        </w:rPr>
        <w:t>.</w:t>
      </w:r>
      <w:r w:rsidR="00310E0F">
        <w:rPr>
          <w:rFonts w:ascii="Times New Roman" w:hAnsi="Times New Roman" w:cs="Times New Roman"/>
          <w:sz w:val="24"/>
          <w:szCs w:val="24"/>
        </w:rPr>
        <w:t xml:space="preserve"> UE</w:t>
      </w:r>
      <w:r w:rsidR="001D6653" w:rsidRPr="00205E56">
        <w:rPr>
          <w:rFonts w:ascii="Times New Roman" w:hAnsi="Times New Roman" w:cs="Times New Roman"/>
          <w:sz w:val="24"/>
          <w:szCs w:val="24"/>
        </w:rPr>
        <w:t xml:space="preserve"> L 319</w:t>
      </w:r>
      <w:r w:rsidR="00B65401">
        <w:rPr>
          <w:rFonts w:ascii="Times New Roman" w:hAnsi="Times New Roman" w:cs="Times New Roman"/>
          <w:sz w:val="24"/>
          <w:szCs w:val="24"/>
        </w:rPr>
        <w:t xml:space="preserve"> z</w:t>
      </w:r>
      <w:r w:rsidR="001D6653" w:rsidRPr="00205E56">
        <w:rPr>
          <w:rFonts w:ascii="Times New Roman" w:hAnsi="Times New Roman" w:cs="Times New Roman"/>
          <w:sz w:val="24"/>
          <w:szCs w:val="24"/>
        </w:rPr>
        <w:t xml:space="preserve"> </w:t>
      </w:r>
      <w:r w:rsidR="00B65401">
        <w:rPr>
          <w:rFonts w:ascii="Times New Roman" w:hAnsi="Times New Roman" w:cs="Times New Roman"/>
          <w:sz w:val="24"/>
          <w:szCs w:val="24"/>
        </w:rPr>
        <w:t>0</w:t>
      </w:r>
      <w:r w:rsidR="001D6653" w:rsidRPr="00205E56">
        <w:rPr>
          <w:rFonts w:ascii="Times New Roman" w:hAnsi="Times New Roman" w:cs="Times New Roman"/>
          <w:sz w:val="24"/>
          <w:szCs w:val="24"/>
        </w:rPr>
        <w:t>5.12.2007, s</w:t>
      </w:r>
      <w:r w:rsidR="00310E0F">
        <w:rPr>
          <w:rFonts w:ascii="Times New Roman" w:hAnsi="Times New Roman" w:cs="Times New Roman"/>
          <w:sz w:val="24"/>
          <w:szCs w:val="24"/>
        </w:rPr>
        <w:t>tr</w:t>
      </w:r>
      <w:r w:rsidR="001D6653" w:rsidRPr="00205E56">
        <w:rPr>
          <w:rFonts w:ascii="Times New Roman" w:hAnsi="Times New Roman" w:cs="Times New Roman"/>
          <w:sz w:val="24"/>
          <w:szCs w:val="24"/>
        </w:rPr>
        <w:t>. 1)</w:t>
      </w:r>
      <w:r w:rsidRPr="00205E56">
        <w:rPr>
          <w:rFonts w:ascii="Times New Roman" w:hAnsi="Times New Roman" w:cs="Times New Roman"/>
          <w:sz w:val="24"/>
          <w:szCs w:val="24"/>
        </w:rPr>
        <w:t xml:space="preserve">, </w:t>
      </w:r>
      <w:r w:rsidR="001252C4" w:rsidRPr="00205E56">
        <w:rPr>
          <w:rFonts w:ascii="Times New Roman" w:hAnsi="Times New Roman" w:cs="Times New Roman"/>
          <w:sz w:val="24"/>
          <w:szCs w:val="24"/>
        </w:rPr>
        <w:t xml:space="preserve">dalej: </w:t>
      </w:r>
      <w:r w:rsidRPr="00205E56">
        <w:rPr>
          <w:rFonts w:ascii="Times New Roman" w:hAnsi="Times New Roman" w:cs="Times New Roman"/>
          <w:sz w:val="24"/>
          <w:szCs w:val="24"/>
        </w:rPr>
        <w:t>„dyrektywa PSD” albo „PSD”</w:t>
      </w:r>
      <w:r w:rsidR="00761EE3" w:rsidRPr="00205E56">
        <w:rPr>
          <w:rFonts w:ascii="Times New Roman" w:hAnsi="Times New Roman" w:cs="Times New Roman"/>
          <w:sz w:val="24"/>
          <w:szCs w:val="24"/>
        </w:rPr>
        <w:t xml:space="preserve">, </w:t>
      </w:r>
      <w:r w:rsidR="00474DFD" w:rsidRPr="00205E56">
        <w:rPr>
          <w:rFonts w:ascii="Times New Roman" w:hAnsi="Times New Roman" w:cs="Times New Roman"/>
          <w:sz w:val="24"/>
          <w:szCs w:val="24"/>
        </w:rPr>
        <w:t xml:space="preserve">na rynku płatności detalicznych zaszły znaczne zmiany pod względem innowacji technicznych, przejawiające się gwałtownym wzrostem liczby płatności elektronicznych i płatności realizowanych za pośrednictwem urządzeń przenośnych oraz pojawieniem się na rynku nowych rodzajów usług płatniczych, co zakwestionowało przydatność obecnych ram prawnych. Przegląd unijnych regulacji dotyczących usług płatniczych, w szczególności analiza skutków dyrektywy </w:t>
      </w:r>
      <w:r w:rsidR="00B65401">
        <w:rPr>
          <w:rFonts w:ascii="Times New Roman" w:hAnsi="Times New Roman" w:cs="Times New Roman"/>
          <w:sz w:val="24"/>
          <w:szCs w:val="24"/>
        </w:rPr>
        <w:t>PSD</w:t>
      </w:r>
      <w:r w:rsidR="00474DFD" w:rsidRPr="00205E56">
        <w:rPr>
          <w:rFonts w:ascii="Times New Roman" w:hAnsi="Times New Roman" w:cs="Times New Roman"/>
          <w:sz w:val="24"/>
          <w:szCs w:val="24"/>
        </w:rPr>
        <w:t xml:space="preserve"> oraz konsultacje w sprawie zielonej księgi Komisji z</w:t>
      </w:r>
      <w:r w:rsidR="00B65401">
        <w:rPr>
          <w:rFonts w:ascii="Times New Roman" w:hAnsi="Times New Roman" w:cs="Times New Roman"/>
          <w:sz w:val="24"/>
          <w:szCs w:val="24"/>
        </w:rPr>
        <w:t> </w:t>
      </w:r>
      <w:r w:rsidR="00474DFD" w:rsidRPr="00205E56">
        <w:rPr>
          <w:rFonts w:ascii="Times New Roman" w:hAnsi="Times New Roman" w:cs="Times New Roman"/>
          <w:sz w:val="24"/>
          <w:szCs w:val="24"/>
        </w:rPr>
        <w:t xml:space="preserve">dnia 11 stycznia 2012 r. </w:t>
      </w:r>
      <w:r w:rsidR="00761EE3" w:rsidRPr="00205E56">
        <w:rPr>
          <w:rFonts w:ascii="Times New Roman" w:hAnsi="Times New Roman" w:cs="Times New Roman"/>
          <w:sz w:val="24"/>
          <w:szCs w:val="24"/>
        </w:rPr>
        <w:t>(</w:t>
      </w:r>
      <w:r w:rsidR="00474DFD" w:rsidRPr="00205E56">
        <w:rPr>
          <w:rFonts w:ascii="Times New Roman" w:hAnsi="Times New Roman" w:cs="Times New Roman"/>
          <w:sz w:val="24"/>
          <w:szCs w:val="24"/>
        </w:rPr>
        <w:t xml:space="preserve">zatytułowanej „W kierunku zintegrowanego europejskiego rynku płatności realizowanych przy pomocy kart płatniczych, przez </w:t>
      </w:r>
      <w:proofErr w:type="spellStart"/>
      <w:r w:rsidR="00474DFD" w:rsidRPr="00205E56">
        <w:rPr>
          <w:rFonts w:ascii="Times New Roman" w:hAnsi="Times New Roman" w:cs="Times New Roman"/>
          <w:sz w:val="24"/>
          <w:szCs w:val="24"/>
        </w:rPr>
        <w:t>internet</w:t>
      </w:r>
      <w:proofErr w:type="spellEnd"/>
      <w:r w:rsidR="00474DFD" w:rsidRPr="00205E56">
        <w:rPr>
          <w:rFonts w:ascii="Times New Roman" w:hAnsi="Times New Roman" w:cs="Times New Roman"/>
          <w:sz w:val="24"/>
          <w:szCs w:val="24"/>
        </w:rPr>
        <w:t xml:space="preserve"> i za pośrednictwem urządzeń przenośnych”</w:t>
      </w:r>
      <w:r w:rsidR="00761EE3" w:rsidRPr="00205E56">
        <w:rPr>
          <w:rFonts w:ascii="Times New Roman" w:hAnsi="Times New Roman" w:cs="Times New Roman"/>
          <w:sz w:val="24"/>
          <w:szCs w:val="24"/>
        </w:rPr>
        <w:t>)</w:t>
      </w:r>
      <w:r w:rsidR="00474DFD" w:rsidRPr="00205E56">
        <w:rPr>
          <w:rFonts w:ascii="Times New Roman" w:hAnsi="Times New Roman" w:cs="Times New Roman"/>
          <w:sz w:val="24"/>
          <w:szCs w:val="24"/>
        </w:rPr>
        <w:t xml:space="preserve"> wykazały, że zaistniałe zmiany stały się źródłem istotnych wyzwań z regulacyjnego punktu widzenia. Istotne obszary rynku płatności, </w:t>
      </w:r>
      <w:r w:rsidR="001A7581" w:rsidRPr="00205E56">
        <w:rPr>
          <w:rFonts w:ascii="Times New Roman" w:hAnsi="Times New Roman" w:cs="Times New Roman"/>
          <w:sz w:val="24"/>
          <w:szCs w:val="24"/>
        </w:rPr>
        <w:t>w</w:t>
      </w:r>
      <w:r w:rsidR="001A7581">
        <w:rPr>
          <w:rFonts w:ascii="Times New Roman" w:hAnsi="Times New Roman" w:cs="Times New Roman"/>
          <w:sz w:val="24"/>
          <w:szCs w:val="24"/>
        </w:rPr>
        <w:t> </w:t>
      </w:r>
      <w:r w:rsidR="00474DFD" w:rsidRPr="00205E56">
        <w:rPr>
          <w:rFonts w:ascii="Times New Roman" w:hAnsi="Times New Roman" w:cs="Times New Roman"/>
          <w:sz w:val="24"/>
          <w:szCs w:val="24"/>
        </w:rPr>
        <w:t>szczególności płatności realizowane prz</w:t>
      </w:r>
      <w:r w:rsidR="001525DC">
        <w:rPr>
          <w:rFonts w:ascii="Times New Roman" w:hAnsi="Times New Roman" w:cs="Times New Roman"/>
          <w:sz w:val="24"/>
          <w:szCs w:val="24"/>
        </w:rPr>
        <w:t xml:space="preserve">y użyciu kart, przez </w:t>
      </w:r>
      <w:proofErr w:type="spellStart"/>
      <w:r w:rsidR="001525DC">
        <w:rPr>
          <w:rFonts w:ascii="Times New Roman" w:hAnsi="Times New Roman" w:cs="Times New Roman"/>
          <w:sz w:val="24"/>
          <w:szCs w:val="24"/>
        </w:rPr>
        <w:t>internet</w:t>
      </w:r>
      <w:proofErr w:type="spellEnd"/>
      <w:r w:rsidR="001525DC">
        <w:rPr>
          <w:rFonts w:ascii="Times New Roman" w:hAnsi="Times New Roman" w:cs="Times New Roman"/>
          <w:sz w:val="24"/>
          <w:szCs w:val="24"/>
        </w:rPr>
        <w:t xml:space="preserve"> i </w:t>
      </w:r>
      <w:r w:rsidR="00474DFD" w:rsidRPr="00205E56">
        <w:rPr>
          <w:rFonts w:ascii="Times New Roman" w:hAnsi="Times New Roman" w:cs="Times New Roman"/>
          <w:sz w:val="24"/>
          <w:szCs w:val="24"/>
        </w:rPr>
        <w:t xml:space="preserve">za pośrednictwem urządzeń przenośnych, pozostają rozdrobnione na obszary wyznaczone granicami państw. Wiele innowacyjnych produktów lub usług płatniczych nie wchodzi – w całości lub w znacznej części – w zakres stosowania dyrektywy </w:t>
      </w:r>
      <w:r w:rsidR="00B65401">
        <w:rPr>
          <w:rFonts w:ascii="Times New Roman" w:hAnsi="Times New Roman" w:cs="Times New Roman"/>
          <w:sz w:val="24"/>
          <w:szCs w:val="24"/>
        </w:rPr>
        <w:t>PSD</w:t>
      </w:r>
      <w:r w:rsidR="00474DFD" w:rsidRPr="00205E56">
        <w:rPr>
          <w:rFonts w:ascii="Times New Roman" w:hAnsi="Times New Roman" w:cs="Times New Roman"/>
          <w:sz w:val="24"/>
          <w:szCs w:val="24"/>
        </w:rPr>
        <w:t xml:space="preserve">. Ponadto zakres stosowania dyrektywy </w:t>
      </w:r>
      <w:r w:rsidR="00B65401">
        <w:rPr>
          <w:rFonts w:ascii="Times New Roman" w:hAnsi="Times New Roman" w:cs="Times New Roman"/>
          <w:sz w:val="24"/>
          <w:szCs w:val="24"/>
        </w:rPr>
        <w:t>PSD</w:t>
      </w:r>
      <w:r w:rsidR="00474DFD" w:rsidRPr="00205E56">
        <w:rPr>
          <w:rFonts w:ascii="Times New Roman" w:hAnsi="Times New Roman" w:cs="Times New Roman"/>
          <w:sz w:val="24"/>
          <w:szCs w:val="24"/>
        </w:rPr>
        <w:t xml:space="preserve">, w szczególności </w:t>
      </w:r>
      <w:r w:rsidR="00761EE3" w:rsidRPr="00205E56">
        <w:rPr>
          <w:rFonts w:ascii="Times New Roman" w:hAnsi="Times New Roman" w:cs="Times New Roman"/>
          <w:sz w:val="24"/>
          <w:szCs w:val="24"/>
        </w:rPr>
        <w:t xml:space="preserve">obowiązujące </w:t>
      </w:r>
      <w:r w:rsidR="00474DFD" w:rsidRPr="00205E56">
        <w:rPr>
          <w:rFonts w:ascii="Times New Roman" w:hAnsi="Times New Roman" w:cs="Times New Roman"/>
          <w:sz w:val="24"/>
          <w:szCs w:val="24"/>
        </w:rPr>
        <w:t>wyłącz</w:t>
      </w:r>
      <w:r w:rsidR="00761EE3" w:rsidRPr="00205E56">
        <w:rPr>
          <w:rFonts w:ascii="Times New Roman" w:hAnsi="Times New Roman" w:cs="Times New Roman"/>
          <w:sz w:val="24"/>
          <w:szCs w:val="24"/>
        </w:rPr>
        <w:t xml:space="preserve">enia (np. </w:t>
      </w:r>
      <w:r w:rsidR="00474DFD" w:rsidRPr="00205E56">
        <w:rPr>
          <w:rFonts w:ascii="Times New Roman" w:hAnsi="Times New Roman" w:cs="Times New Roman"/>
          <w:sz w:val="24"/>
          <w:szCs w:val="24"/>
        </w:rPr>
        <w:t>niektóre rodzaje działalności związanej z płatnościami</w:t>
      </w:r>
      <w:r w:rsidR="00761EE3" w:rsidRPr="00205E56">
        <w:rPr>
          <w:rFonts w:ascii="Times New Roman" w:hAnsi="Times New Roman" w:cs="Times New Roman"/>
          <w:sz w:val="24"/>
          <w:szCs w:val="24"/>
        </w:rPr>
        <w:t xml:space="preserve">) </w:t>
      </w:r>
      <w:r w:rsidR="001525DC">
        <w:rPr>
          <w:rFonts w:ascii="Times New Roman" w:hAnsi="Times New Roman" w:cs="Times New Roman"/>
          <w:sz w:val="24"/>
          <w:szCs w:val="24"/>
        </w:rPr>
        <w:t>w </w:t>
      </w:r>
      <w:r w:rsidR="00474DFD" w:rsidRPr="00205E56">
        <w:rPr>
          <w:rFonts w:ascii="Times New Roman" w:hAnsi="Times New Roman" w:cs="Times New Roman"/>
          <w:sz w:val="24"/>
          <w:szCs w:val="24"/>
        </w:rPr>
        <w:t xml:space="preserve">niektórych przypadkach okazały się – w świetle zmian na rynku – zbyt wieloznaczne, zbyt ogólne lub przestarzałe. Doprowadziło to do braku pewności prawa, potencjalnych </w:t>
      </w:r>
      <w:proofErr w:type="spellStart"/>
      <w:r w:rsidR="00474DFD" w:rsidRPr="00205E56">
        <w:rPr>
          <w:rFonts w:ascii="Times New Roman" w:hAnsi="Times New Roman" w:cs="Times New Roman"/>
          <w:sz w:val="24"/>
          <w:szCs w:val="24"/>
        </w:rPr>
        <w:t>ryzyk</w:t>
      </w:r>
      <w:proofErr w:type="spellEnd"/>
      <w:r w:rsidR="00474DFD" w:rsidRPr="00205E56">
        <w:rPr>
          <w:rFonts w:ascii="Times New Roman" w:hAnsi="Times New Roman" w:cs="Times New Roman"/>
          <w:sz w:val="24"/>
          <w:szCs w:val="24"/>
        </w:rPr>
        <w:t xml:space="preserve"> dla </w:t>
      </w:r>
      <w:r w:rsidR="00474DFD" w:rsidRPr="00205E56">
        <w:rPr>
          <w:rFonts w:ascii="Times New Roman" w:hAnsi="Times New Roman" w:cs="Times New Roman"/>
          <w:sz w:val="24"/>
          <w:szCs w:val="24"/>
        </w:rPr>
        <w:lastRenderedPageBreak/>
        <w:t>bezpieczeństwa w łańcuchu płatności o</w:t>
      </w:r>
      <w:r w:rsidR="001525DC">
        <w:rPr>
          <w:rFonts w:ascii="Times New Roman" w:hAnsi="Times New Roman" w:cs="Times New Roman"/>
          <w:sz w:val="24"/>
          <w:szCs w:val="24"/>
        </w:rPr>
        <w:t>raz braku ochrony konsumentów w </w:t>
      </w:r>
      <w:r w:rsidR="00474DFD" w:rsidRPr="00205E56">
        <w:rPr>
          <w:rFonts w:ascii="Times New Roman" w:hAnsi="Times New Roman" w:cs="Times New Roman"/>
          <w:sz w:val="24"/>
          <w:szCs w:val="24"/>
        </w:rPr>
        <w:t>niektórych obszarach. Wystąpiły trudności dl</w:t>
      </w:r>
      <w:r w:rsidR="001525DC">
        <w:rPr>
          <w:rFonts w:ascii="Times New Roman" w:hAnsi="Times New Roman" w:cs="Times New Roman"/>
          <w:sz w:val="24"/>
          <w:szCs w:val="24"/>
        </w:rPr>
        <w:t>a dostawców usług płatniczych z </w:t>
      </w:r>
      <w:r w:rsidR="00474DFD" w:rsidRPr="00205E56">
        <w:rPr>
          <w:rFonts w:ascii="Times New Roman" w:hAnsi="Times New Roman" w:cs="Times New Roman"/>
          <w:sz w:val="24"/>
          <w:szCs w:val="24"/>
        </w:rPr>
        <w:t xml:space="preserve">wprowadzaniem na rynek innowacyjnych, bezpiecznych i łatwych w użyciu cyfrowych usług płatniczych </w:t>
      </w:r>
      <w:r w:rsidR="001A7581" w:rsidRPr="00205E56">
        <w:rPr>
          <w:rFonts w:ascii="Times New Roman" w:hAnsi="Times New Roman" w:cs="Times New Roman"/>
          <w:sz w:val="24"/>
          <w:szCs w:val="24"/>
        </w:rPr>
        <w:t>i</w:t>
      </w:r>
      <w:r w:rsidR="001A7581">
        <w:rPr>
          <w:rFonts w:ascii="Times New Roman" w:hAnsi="Times New Roman" w:cs="Times New Roman"/>
          <w:sz w:val="24"/>
          <w:szCs w:val="24"/>
        </w:rPr>
        <w:t> </w:t>
      </w:r>
      <w:r w:rsidR="00474DFD" w:rsidRPr="00205E56">
        <w:rPr>
          <w:rFonts w:ascii="Times New Roman" w:hAnsi="Times New Roman" w:cs="Times New Roman"/>
          <w:sz w:val="24"/>
          <w:szCs w:val="24"/>
        </w:rPr>
        <w:t xml:space="preserve">z zapewnieniem konsumentom i sprzedawcom detalicznym skutecznych, wygodnych </w:t>
      </w:r>
      <w:r w:rsidR="001A7581" w:rsidRPr="00205E56">
        <w:rPr>
          <w:rFonts w:ascii="Times New Roman" w:hAnsi="Times New Roman" w:cs="Times New Roman"/>
          <w:sz w:val="24"/>
          <w:szCs w:val="24"/>
        </w:rPr>
        <w:t>i</w:t>
      </w:r>
      <w:r w:rsidR="001A7581">
        <w:rPr>
          <w:rFonts w:ascii="Times New Roman" w:hAnsi="Times New Roman" w:cs="Times New Roman"/>
          <w:sz w:val="24"/>
          <w:szCs w:val="24"/>
        </w:rPr>
        <w:t> </w:t>
      </w:r>
      <w:r w:rsidR="00474DFD" w:rsidRPr="00205E56">
        <w:rPr>
          <w:rFonts w:ascii="Times New Roman" w:hAnsi="Times New Roman" w:cs="Times New Roman"/>
          <w:sz w:val="24"/>
          <w:szCs w:val="24"/>
        </w:rPr>
        <w:t>bezpiecznych metod pła</w:t>
      </w:r>
      <w:r w:rsidR="001525DC">
        <w:rPr>
          <w:rFonts w:ascii="Times New Roman" w:hAnsi="Times New Roman" w:cs="Times New Roman"/>
          <w:sz w:val="24"/>
          <w:szCs w:val="24"/>
        </w:rPr>
        <w:t>tności w Unii. W </w:t>
      </w:r>
      <w:r w:rsidR="00474DFD" w:rsidRPr="00205E56">
        <w:rPr>
          <w:rFonts w:ascii="Times New Roman" w:hAnsi="Times New Roman" w:cs="Times New Roman"/>
          <w:sz w:val="24"/>
          <w:szCs w:val="24"/>
        </w:rPr>
        <w:t xml:space="preserve">ostatnich latach nastąpił również wzrost </w:t>
      </w:r>
      <w:proofErr w:type="spellStart"/>
      <w:r w:rsidR="00474DFD" w:rsidRPr="00205E56">
        <w:rPr>
          <w:rFonts w:ascii="Times New Roman" w:hAnsi="Times New Roman" w:cs="Times New Roman"/>
          <w:sz w:val="24"/>
          <w:szCs w:val="24"/>
        </w:rPr>
        <w:t>ryzyk</w:t>
      </w:r>
      <w:proofErr w:type="spellEnd"/>
      <w:r w:rsidR="00474DFD" w:rsidRPr="00205E56">
        <w:rPr>
          <w:rFonts w:ascii="Times New Roman" w:hAnsi="Times New Roman" w:cs="Times New Roman"/>
          <w:sz w:val="24"/>
          <w:szCs w:val="24"/>
        </w:rPr>
        <w:t xml:space="preserve"> </w:t>
      </w:r>
      <w:r w:rsidR="001525DC">
        <w:rPr>
          <w:rFonts w:ascii="Times New Roman" w:hAnsi="Times New Roman" w:cs="Times New Roman"/>
          <w:sz w:val="24"/>
          <w:szCs w:val="24"/>
        </w:rPr>
        <w:t>dla bezpieczeństwa związanych z </w:t>
      </w:r>
      <w:r w:rsidR="00474DFD" w:rsidRPr="00205E56">
        <w:rPr>
          <w:rFonts w:ascii="Times New Roman" w:hAnsi="Times New Roman" w:cs="Times New Roman"/>
          <w:sz w:val="24"/>
          <w:szCs w:val="24"/>
        </w:rPr>
        <w:t xml:space="preserve">płatnościami elektronicznymi. Jest on wynikiem zwiększającej się technicznej złożoności płatności elektronicznych, stale rosnącego wolumenu płatności elektronicznych na całym świecie oraz pojawiających się nowych rodzajów usług płatniczych. Usługi płatnicze mają decydujące znaczenie dla funkcjonowania działalności w dziedzinach kluczowych dla gospodarki </w:t>
      </w:r>
      <w:r w:rsidR="001A7581" w:rsidRPr="00205E56">
        <w:rPr>
          <w:rFonts w:ascii="Times New Roman" w:hAnsi="Times New Roman" w:cs="Times New Roman"/>
          <w:sz w:val="24"/>
          <w:szCs w:val="24"/>
        </w:rPr>
        <w:t>i</w:t>
      </w:r>
      <w:r w:rsidR="001A7581">
        <w:rPr>
          <w:rFonts w:ascii="Times New Roman" w:hAnsi="Times New Roman" w:cs="Times New Roman"/>
          <w:sz w:val="24"/>
          <w:szCs w:val="24"/>
        </w:rPr>
        <w:t> </w:t>
      </w:r>
      <w:r w:rsidR="00474DFD" w:rsidRPr="00205E56">
        <w:rPr>
          <w:rFonts w:ascii="Times New Roman" w:hAnsi="Times New Roman" w:cs="Times New Roman"/>
          <w:sz w:val="24"/>
          <w:szCs w:val="24"/>
        </w:rPr>
        <w:t xml:space="preserve">społeczeństwa, a bezpieczne usługi płatnicze stanowią zasadniczy warunek prawidłowego funkcjonowania rynku usług płatniczych. Z tego powodu użytkownicy usług płatniczych powinni być przed takimi </w:t>
      </w:r>
      <w:proofErr w:type="spellStart"/>
      <w:r w:rsidR="00474DFD" w:rsidRPr="00205E56">
        <w:rPr>
          <w:rFonts w:ascii="Times New Roman" w:hAnsi="Times New Roman" w:cs="Times New Roman"/>
          <w:sz w:val="24"/>
          <w:szCs w:val="24"/>
        </w:rPr>
        <w:t>ryzykami</w:t>
      </w:r>
      <w:proofErr w:type="spellEnd"/>
      <w:r w:rsidR="00474DFD" w:rsidRPr="00205E56">
        <w:rPr>
          <w:rFonts w:ascii="Times New Roman" w:hAnsi="Times New Roman" w:cs="Times New Roman"/>
          <w:sz w:val="24"/>
          <w:szCs w:val="24"/>
        </w:rPr>
        <w:t xml:space="preserve"> należycie chronieni. </w:t>
      </w:r>
    </w:p>
    <w:p w14:paraId="74B7CE2A" w14:textId="0C093F25" w:rsidR="00474DFD" w:rsidRPr="00205E56" w:rsidRDefault="00474DF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Według </w:t>
      </w:r>
      <w:r w:rsidR="00E04360" w:rsidRPr="00205E56">
        <w:rPr>
          <w:rFonts w:ascii="Times New Roman" w:hAnsi="Times New Roman" w:cs="Times New Roman"/>
          <w:sz w:val="24"/>
          <w:szCs w:val="24"/>
        </w:rPr>
        <w:t xml:space="preserve">Komisji Europejskiej – </w:t>
      </w:r>
      <w:r w:rsidRPr="00205E56">
        <w:rPr>
          <w:rFonts w:ascii="Times New Roman" w:hAnsi="Times New Roman" w:cs="Times New Roman"/>
          <w:sz w:val="24"/>
          <w:szCs w:val="24"/>
        </w:rPr>
        <w:t>rozwiązaniem jest ciągły rozwój zintegrowanego rynku wewnętrznego bezpiecznych płatności elektronicznych ma zasadnicze znaczenie dla wspierania wzrostu unijnej gospodarki i zapewni</w:t>
      </w:r>
      <w:r w:rsidR="001525DC">
        <w:rPr>
          <w:rFonts w:ascii="Times New Roman" w:hAnsi="Times New Roman" w:cs="Times New Roman"/>
          <w:sz w:val="24"/>
          <w:szCs w:val="24"/>
        </w:rPr>
        <w:t>enia konsumentom, akceptantom i </w:t>
      </w:r>
      <w:r w:rsidRPr="00205E56">
        <w:rPr>
          <w:rFonts w:ascii="Times New Roman" w:hAnsi="Times New Roman" w:cs="Times New Roman"/>
          <w:sz w:val="24"/>
          <w:szCs w:val="24"/>
        </w:rPr>
        <w:t xml:space="preserve">przedsiębiorstwom wyboru i przejrzystości usług płatniczych, tak by mogli w pełni korzystać z rynku wewnętrznego, którego elementem jest wdrażana dyrektywa </w:t>
      </w:r>
      <w:r w:rsidR="00605A01" w:rsidRPr="00205E56">
        <w:rPr>
          <w:rFonts w:ascii="Times New Roman" w:hAnsi="Times New Roman" w:cs="Times New Roman"/>
          <w:sz w:val="24"/>
          <w:szCs w:val="24"/>
        </w:rPr>
        <w:t xml:space="preserve">PSD 2. </w:t>
      </w:r>
    </w:p>
    <w:p w14:paraId="4A6D0656" w14:textId="4EDE99D8" w:rsidR="00474DFD" w:rsidRPr="00205E56" w:rsidRDefault="00605A01"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związku z tym </w:t>
      </w:r>
      <w:r w:rsidR="00474DFD" w:rsidRPr="00205E56">
        <w:rPr>
          <w:rFonts w:ascii="Times New Roman" w:hAnsi="Times New Roman" w:cs="Times New Roman"/>
          <w:sz w:val="24"/>
          <w:szCs w:val="24"/>
        </w:rPr>
        <w:t>Komisja</w:t>
      </w:r>
      <w:r w:rsidR="00E04360" w:rsidRPr="00205E56">
        <w:rPr>
          <w:rFonts w:ascii="Times New Roman" w:hAnsi="Times New Roman" w:cs="Times New Roman"/>
          <w:sz w:val="24"/>
          <w:szCs w:val="24"/>
        </w:rPr>
        <w:t xml:space="preserve"> Europejska</w:t>
      </w:r>
      <w:r w:rsidR="00474DFD" w:rsidRPr="00205E56">
        <w:rPr>
          <w:rFonts w:ascii="Times New Roman" w:hAnsi="Times New Roman" w:cs="Times New Roman"/>
          <w:sz w:val="24"/>
          <w:szCs w:val="24"/>
        </w:rPr>
        <w:t xml:space="preserve"> zaproponowała</w:t>
      </w:r>
      <w:r w:rsidRPr="00205E56">
        <w:rPr>
          <w:rFonts w:ascii="Times New Roman" w:hAnsi="Times New Roman" w:cs="Times New Roman"/>
          <w:sz w:val="24"/>
          <w:szCs w:val="24"/>
        </w:rPr>
        <w:t xml:space="preserve"> </w:t>
      </w:r>
      <w:r w:rsidR="00474DFD" w:rsidRPr="00205E56">
        <w:rPr>
          <w:rFonts w:ascii="Times New Roman" w:hAnsi="Times New Roman" w:cs="Times New Roman"/>
          <w:sz w:val="24"/>
          <w:szCs w:val="24"/>
        </w:rPr>
        <w:t xml:space="preserve">znowelizowanie </w:t>
      </w:r>
      <w:r w:rsidRPr="00205E56">
        <w:rPr>
          <w:rFonts w:ascii="Times New Roman" w:hAnsi="Times New Roman" w:cs="Times New Roman"/>
          <w:sz w:val="24"/>
          <w:szCs w:val="24"/>
        </w:rPr>
        <w:t xml:space="preserve">dyrektywy </w:t>
      </w:r>
      <w:r w:rsidR="00474DFD" w:rsidRPr="00205E56">
        <w:rPr>
          <w:rFonts w:ascii="Times New Roman" w:hAnsi="Times New Roman" w:cs="Times New Roman"/>
          <w:sz w:val="24"/>
          <w:szCs w:val="24"/>
        </w:rPr>
        <w:t xml:space="preserve">PSD pod kątem unowocześnienia jej w kierunku uwzględnienia nowych rodzajów usług płatniczych, takich jak usługi inicjowania płatności. Usługodawcy wnieśli innowacyjne i konkurencyjne produkty, zapewniając szersze i często tańsze alternatywy dla płatności internetowych, które wcześniej nie były uregulowane. Włączenie ich do zakresu regulowanego przez </w:t>
      </w:r>
      <w:r w:rsidR="005922F3" w:rsidRPr="00205E56">
        <w:rPr>
          <w:rFonts w:ascii="Times New Roman" w:hAnsi="Times New Roman" w:cs="Times New Roman"/>
          <w:sz w:val="24"/>
          <w:szCs w:val="24"/>
        </w:rPr>
        <w:t xml:space="preserve">dyrektywę </w:t>
      </w:r>
      <w:r w:rsidR="00474DFD" w:rsidRPr="00205E56">
        <w:rPr>
          <w:rFonts w:ascii="Times New Roman" w:hAnsi="Times New Roman" w:cs="Times New Roman"/>
          <w:sz w:val="24"/>
          <w:szCs w:val="24"/>
        </w:rPr>
        <w:t>PSD zwiększyło przejrzystość</w:t>
      </w:r>
      <w:r w:rsidR="001F4919" w:rsidRPr="00205E56">
        <w:rPr>
          <w:rFonts w:ascii="Times New Roman" w:hAnsi="Times New Roman" w:cs="Times New Roman"/>
          <w:sz w:val="24"/>
          <w:szCs w:val="24"/>
        </w:rPr>
        <w:t xml:space="preserve"> i poszerzyło</w:t>
      </w:r>
      <w:r w:rsidR="00474DFD" w:rsidRPr="00205E56">
        <w:rPr>
          <w:rFonts w:ascii="Times New Roman" w:hAnsi="Times New Roman" w:cs="Times New Roman"/>
          <w:sz w:val="24"/>
          <w:szCs w:val="24"/>
        </w:rPr>
        <w:t xml:space="preserve"> zakres innowacji w ramach jednolitego rynku i stworzyło pole do konkurowania między różnymi dostawcami usług płatniczych. Jednocześnie pewne zasady określone w PSD, takie jak zwolnienia z szeregu działań związanych z płatnościami (usług płatniczych świadczonych w ramach </w:t>
      </w:r>
      <w:r w:rsidR="00E96025" w:rsidRPr="00205E56">
        <w:rPr>
          <w:rFonts w:ascii="Times New Roman" w:hAnsi="Times New Roman" w:cs="Times New Roman"/>
          <w:sz w:val="24"/>
          <w:szCs w:val="24"/>
        </w:rPr>
        <w:t>„</w:t>
      </w:r>
      <w:r w:rsidR="00474DFD" w:rsidRPr="00205E56">
        <w:rPr>
          <w:rFonts w:ascii="Times New Roman" w:hAnsi="Times New Roman" w:cs="Times New Roman"/>
          <w:sz w:val="24"/>
          <w:szCs w:val="24"/>
        </w:rPr>
        <w:t>ograniczonej sieci</w:t>
      </w:r>
      <w:r w:rsidR="00E96025" w:rsidRPr="00205E56">
        <w:rPr>
          <w:rFonts w:ascii="Times New Roman" w:hAnsi="Times New Roman" w:cs="Times New Roman"/>
          <w:sz w:val="24"/>
          <w:szCs w:val="24"/>
        </w:rPr>
        <w:t>”</w:t>
      </w:r>
      <w:r w:rsidR="00474DFD" w:rsidRPr="00205E56">
        <w:rPr>
          <w:rFonts w:ascii="Times New Roman" w:hAnsi="Times New Roman" w:cs="Times New Roman"/>
          <w:sz w:val="24"/>
          <w:szCs w:val="24"/>
        </w:rPr>
        <w:t xml:space="preserve"> lub za pośrednictwem telefonów komórkowych lub innych urządzeń IT) zostały zaimplementowane przez państwa członkowskie w różny sposób, co prowadziło do arbitrażu regulacyjnego i niepewności prawnej. W wielu dziedzinach doprowadziło to również do zmniejszenia ochrony konsumentów i zakłócenia konkurencji. Zaktualizowane </w:t>
      </w:r>
      <w:r w:rsidRPr="00205E56">
        <w:rPr>
          <w:rFonts w:ascii="Times New Roman" w:hAnsi="Times New Roman" w:cs="Times New Roman"/>
          <w:sz w:val="24"/>
          <w:szCs w:val="24"/>
        </w:rPr>
        <w:t xml:space="preserve">w </w:t>
      </w:r>
      <w:r w:rsidR="005922F3" w:rsidRPr="00205E56">
        <w:rPr>
          <w:rFonts w:ascii="Times New Roman" w:hAnsi="Times New Roman" w:cs="Times New Roman"/>
          <w:sz w:val="24"/>
          <w:szCs w:val="24"/>
        </w:rPr>
        <w:t xml:space="preserve">omawianym </w:t>
      </w:r>
      <w:r w:rsidRPr="00205E56">
        <w:rPr>
          <w:rFonts w:ascii="Times New Roman" w:hAnsi="Times New Roman" w:cs="Times New Roman"/>
          <w:sz w:val="24"/>
          <w:szCs w:val="24"/>
        </w:rPr>
        <w:t xml:space="preserve">projekcie </w:t>
      </w:r>
      <w:r w:rsidR="00474DFD" w:rsidRPr="00205E56">
        <w:rPr>
          <w:rFonts w:ascii="Times New Roman" w:hAnsi="Times New Roman" w:cs="Times New Roman"/>
          <w:sz w:val="24"/>
          <w:szCs w:val="24"/>
        </w:rPr>
        <w:t xml:space="preserve">definicje zapewnią lepszą ochronę konkurencyjności między różnymi dostawcami usług </w:t>
      </w:r>
      <w:r w:rsidR="00474DFD" w:rsidRPr="00205E56">
        <w:rPr>
          <w:rFonts w:ascii="Times New Roman" w:hAnsi="Times New Roman" w:cs="Times New Roman"/>
          <w:sz w:val="24"/>
          <w:szCs w:val="24"/>
        </w:rPr>
        <w:lastRenderedPageBreak/>
        <w:t xml:space="preserve">płatniczych oraz bardziej efektywny sposób ochrony konsumentów korzystających </w:t>
      </w:r>
      <w:r w:rsidR="001A7581" w:rsidRPr="00205E56">
        <w:rPr>
          <w:rFonts w:ascii="Times New Roman" w:hAnsi="Times New Roman" w:cs="Times New Roman"/>
          <w:sz w:val="24"/>
          <w:szCs w:val="24"/>
        </w:rPr>
        <w:t>z</w:t>
      </w:r>
      <w:r w:rsidR="001A7581">
        <w:rPr>
          <w:rFonts w:ascii="Times New Roman" w:hAnsi="Times New Roman" w:cs="Times New Roman"/>
          <w:sz w:val="24"/>
          <w:szCs w:val="24"/>
        </w:rPr>
        <w:t> </w:t>
      </w:r>
      <w:r w:rsidR="00474DFD" w:rsidRPr="00205E56">
        <w:rPr>
          <w:rFonts w:ascii="Times New Roman" w:hAnsi="Times New Roman" w:cs="Times New Roman"/>
          <w:sz w:val="24"/>
          <w:szCs w:val="24"/>
        </w:rPr>
        <w:t>tych usług.</w:t>
      </w:r>
    </w:p>
    <w:p w14:paraId="5398EC6E" w14:textId="24A7C6CF" w:rsidR="00474DFD" w:rsidRPr="00205E56" w:rsidRDefault="00474DF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PSD</w:t>
      </w:r>
      <w:r w:rsidR="00605A01" w:rsidRPr="00205E56">
        <w:rPr>
          <w:rFonts w:ascii="Times New Roman" w:hAnsi="Times New Roman" w:cs="Times New Roman"/>
          <w:sz w:val="24"/>
          <w:szCs w:val="24"/>
        </w:rPr>
        <w:t xml:space="preserve"> </w:t>
      </w:r>
      <w:r w:rsidRPr="00205E56">
        <w:rPr>
          <w:rFonts w:ascii="Times New Roman" w:hAnsi="Times New Roman" w:cs="Times New Roman"/>
          <w:sz w:val="24"/>
          <w:szCs w:val="24"/>
        </w:rPr>
        <w:t>2 rozszerza zakres PSD</w:t>
      </w:r>
      <w:r w:rsidR="00310E0F">
        <w:rPr>
          <w:rFonts w:ascii="Times New Roman" w:hAnsi="Times New Roman" w:cs="Times New Roman"/>
          <w:sz w:val="24"/>
          <w:szCs w:val="24"/>
        </w:rPr>
        <w:t>,</w:t>
      </w:r>
      <w:r w:rsidRPr="00205E56">
        <w:rPr>
          <w:rFonts w:ascii="Times New Roman" w:hAnsi="Times New Roman" w:cs="Times New Roman"/>
          <w:sz w:val="24"/>
          <w:szCs w:val="24"/>
        </w:rPr>
        <w:t xml:space="preserve"> obejmując nowe usługi i</w:t>
      </w:r>
      <w:r w:rsidR="001525DC">
        <w:rPr>
          <w:rFonts w:ascii="Times New Roman" w:hAnsi="Times New Roman" w:cs="Times New Roman"/>
          <w:sz w:val="24"/>
          <w:szCs w:val="24"/>
        </w:rPr>
        <w:t xml:space="preserve"> dostawców usług płatniczych, a </w:t>
      </w:r>
      <w:r w:rsidRPr="00205E56">
        <w:rPr>
          <w:rFonts w:ascii="Times New Roman" w:hAnsi="Times New Roman" w:cs="Times New Roman"/>
          <w:sz w:val="24"/>
          <w:szCs w:val="24"/>
        </w:rPr>
        <w:t>także poszerza zakresu istniejących usług (instrumenty płatnicze wydawane przez dostawców usług płatniczych, którzy nie prowadzą konta użytkownika usług płatniczych, umożliwiając im dostęp do rachunków płatniczych).</w:t>
      </w:r>
    </w:p>
    <w:p w14:paraId="2CB313F9" w14:textId="1F06798B" w:rsidR="00474DFD" w:rsidRPr="00205E56" w:rsidRDefault="00474DF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PSD</w:t>
      </w:r>
      <w:r w:rsidR="00605A01" w:rsidRPr="00205E56">
        <w:rPr>
          <w:rFonts w:ascii="Times New Roman" w:hAnsi="Times New Roman" w:cs="Times New Roman"/>
          <w:sz w:val="24"/>
          <w:szCs w:val="24"/>
        </w:rPr>
        <w:t xml:space="preserve"> </w:t>
      </w:r>
      <w:r w:rsidRPr="00205E56">
        <w:rPr>
          <w:rFonts w:ascii="Times New Roman" w:hAnsi="Times New Roman" w:cs="Times New Roman"/>
          <w:sz w:val="24"/>
          <w:szCs w:val="24"/>
        </w:rPr>
        <w:t>2 dokonuje zmiany zwolnienia telekomunikacyjnego przez ograniczenie go głównie do mikropłatności za usługi cyfrowe</w:t>
      </w:r>
      <w:r w:rsidR="00D07BEB" w:rsidRPr="00205E56">
        <w:rPr>
          <w:rFonts w:ascii="Times New Roman" w:hAnsi="Times New Roman" w:cs="Times New Roman"/>
          <w:sz w:val="24"/>
          <w:szCs w:val="24"/>
        </w:rPr>
        <w:t xml:space="preserve"> </w:t>
      </w:r>
      <w:r w:rsidRPr="00205E56">
        <w:rPr>
          <w:rFonts w:ascii="Times New Roman" w:hAnsi="Times New Roman" w:cs="Times New Roman"/>
          <w:sz w:val="24"/>
          <w:szCs w:val="24"/>
        </w:rPr>
        <w:t>i obejmuje transakcje z krajami trzecimi</w:t>
      </w:r>
      <w:r w:rsidR="00310E0F">
        <w:rPr>
          <w:rFonts w:ascii="Times New Roman" w:hAnsi="Times New Roman" w:cs="Times New Roman"/>
          <w:sz w:val="24"/>
          <w:szCs w:val="24"/>
        </w:rPr>
        <w:t>,</w:t>
      </w:r>
      <w:r w:rsidR="005922F3" w:rsidRPr="00205E56">
        <w:rPr>
          <w:rFonts w:ascii="Times New Roman" w:hAnsi="Times New Roman" w:cs="Times New Roman"/>
          <w:sz w:val="24"/>
          <w:szCs w:val="24"/>
        </w:rPr>
        <w:t xml:space="preserve"> w przypadku </w:t>
      </w:r>
      <w:r w:rsidRPr="00205E56">
        <w:rPr>
          <w:rFonts w:ascii="Times New Roman" w:hAnsi="Times New Roman" w:cs="Times New Roman"/>
          <w:sz w:val="24"/>
          <w:szCs w:val="24"/>
        </w:rPr>
        <w:t>gdy tylko jeden z dostawców usług płatniczych znajduje się na terytorium UE (</w:t>
      </w:r>
      <w:r w:rsidR="00E96025" w:rsidRPr="00205E56">
        <w:rPr>
          <w:rFonts w:ascii="Times New Roman" w:hAnsi="Times New Roman" w:cs="Times New Roman"/>
          <w:sz w:val="24"/>
          <w:szCs w:val="24"/>
        </w:rPr>
        <w:t>„</w:t>
      </w:r>
      <w:r w:rsidRPr="00205E56">
        <w:rPr>
          <w:rFonts w:ascii="Times New Roman" w:hAnsi="Times New Roman" w:cs="Times New Roman"/>
          <w:sz w:val="24"/>
          <w:szCs w:val="24"/>
        </w:rPr>
        <w:t>transakcje jednostronne</w:t>
      </w:r>
      <w:r w:rsidR="00E96025" w:rsidRPr="00205E56">
        <w:rPr>
          <w:rFonts w:ascii="Times New Roman" w:hAnsi="Times New Roman" w:cs="Times New Roman"/>
          <w:sz w:val="24"/>
          <w:szCs w:val="24"/>
        </w:rPr>
        <w:t>”</w:t>
      </w:r>
      <w:r w:rsidRPr="00205E56">
        <w:rPr>
          <w:rFonts w:ascii="Times New Roman" w:hAnsi="Times New Roman" w:cs="Times New Roman"/>
          <w:sz w:val="24"/>
          <w:szCs w:val="24"/>
        </w:rPr>
        <w:t xml:space="preserve">). Zwiększa to współpracę i wymianę informacji między rządami w zakresie zezwoleń i nadzoru nad instytucjami płatniczymi. W celu wykonywania bezpieczniejszych i lepiej zabezpieczonych płatności elektronicznych PSD2 wprowadza ulepszone środki bezpieczeństwa, które mają zostać wprowadzone przez wszystkich dostawców usług płatniczych, w tym </w:t>
      </w:r>
      <w:r w:rsidR="001525DC">
        <w:rPr>
          <w:rFonts w:ascii="Times New Roman" w:hAnsi="Times New Roman" w:cs="Times New Roman"/>
          <w:sz w:val="24"/>
          <w:szCs w:val="24"/>
        </w:rPr>
        <w:t>banki. EBA opracuje konkretne i </w:t>
      </w:r>
      <w:r w:rsidRPr="00205E56">
        <w:rPr>
          <w:rFonts w:ascii="Times New Roman" w:hAnsi="Times New Roman" w:cs="Times New Roman"/>
          <w:sz w:val="24"/>
          <w:szCs w:val="24"/>
        </w:rPr>
        <w:t>obiektywne standardy bezpieczeństwa w tym zakresie.</w:t>
      </w:r>
    </w:p>
    <w:p w14:paraId="6D121364" w14:textId="1B992554" w:rsidR="00474DFD" w:rsidRPr="00205E56" w:rsidRDefault="00474DFD" w:rsidP="00D14A5F">
      <w:pPr>
        <w:spacing w:before="120" w:after="0" w:line="360" w:lineRule="auto"/>
        <w:jc w:val="both"/>
        <w:rPr>
          <w:rFonts w:ascii="Times New Roman" w:hAnsi="Times New Roman" w:cs="Times New Roman"/>
          <w:iCs/>
          <w:color w:val="000000"/>
          <w:sz w:val="24"/>
          <w:szCs w:val="24"/>
        </w:rPr>
      </w:pPr>
      <w:r w:rsidRPr="00205E56">
        <w:rPr>
          <w:rFonts w:ascii="Times New Roman" w:hAnsi="Times New Roman" w:cs="Times New Roman"/>
          <w:iCs/>
          <w:color w:val="000000"/>
          <w:sz w:val="24"/>
          <w:szCs w:val="24"/>
        </w:rPr>
        <w:t xml:space="preserve">Dyrektywa PSD2, a </w:t>
      </w:r>
      <w:r w:rsidR="005922F3" w:rsidRPr="00205E56">
        <w:rPr>
          <w:rFonts w:ascii="Times New Roman" w:hAnsi="Times New Roman" w:cs="Times New Roman"/>
          <w:iCs/>
          <w:color w:val="000000"/>
          <w:sz w:val="24"/>
          <w:szCs w:val="24"/>
        </w:rPr>
        <w:t>w konsekwencji projektowana</w:t>
      </w:r>
      <w:r w:rsidR="00D07BEB" w:rsidRPr="00205E56">
        <w:rPr>
          <w:rFonts w:ascii="Times New Roman" w:hAnsi="Times New Roman" w:cs="Times New Roman"/>
          <w:iCs/>
          <w:color w:val="000000"/>
          <w:sz w:val="24"/>
          <w:szCs w:val="24"/>
        </w:rPr>
        <w:t xml:space="preserve"> </w:t>
      </w:r>
      <w:r w:rsidRPr="00205E56">
        <w:rPr>
          <w:rFonts w:ascii="Times New Roman" w:hAnsi="Times New Roman" w:cs="Times New Roman"/>
          <w:iCs/>
          <w:color w:val="000000"/>
          <w:sz w:val="24"/>
          <w:szCs w:val="24"/>
        </w:rPr>
        <w:t>nowelizacja ustawy o usługach płatniczych mają za zadanie ustanowić przepisy, które wyeliminują zidentyfikowane luki regulacyjne, zapewniając jednocześnie większą jasność prawa i spójne stosowanie ram legislacyjnych w całej Unii. Dotychczasowym oraz nowym uczestnikom rynku zagwarantowane zostaną równorzędne warunki działania, umożliwiając</w:t>
      </w:r>
      <w:r w:rsidR="009F2253" w:rsidRPr="00205E56">
        <w:rPr>
          <w:rFonts w:ascii="Times New Roman" w:hAnsi="Times New Roman" w:cs="Times New Roman"/>
          <w:iCs/>
          <w:color w:val="000000"/>
          <w:sz w:val="24"/>
          <w:szCs w:val="24"/>
        </w:rPr>
        <w:t>e</w:t>
      </w:r>
      <w:r w:rsidRPr="00205E56">
        <w:rPr>
          <w:rFonts w:ascii="Times New Roman" w:hAnsi="Times New Roman" w:cs="Times New Roman"/>
          <w:iCs/>
          <w:color w:val="000000"/>
          <w:sz w:val="24"/>
          <w:szCs w:val="24"/>
        </w:rPr>
        <w:t xml:space="preserve"> upowszechnienie nowych sposobów płatności wśród </w:t>
      </w:r>
      <w:r w:rsidR="001525DC">
        <w:rPr>
          <w:rFonts w:ascii="Times New Roman" w:hAnsi="Times New Roman" w:cs="Times New Roman"/>
          <w:iCs/>
          <w:color w:val="000000"/>
          <w:sz w:val="24"/>
          <w:szCs w:val="24"/>
        </w:rPr>
        <w:t>szerokiego kręgu użytkowników i </w:t>
      </w:r>
      <w:r w:rsidRPr="00205E56">
        <w:rPr>
          <w:rFonts w:ascii="Times New Roman" w:hAnsi="Times New Roman" w:cs="Times New Roman"/>
          <w:iCs/>
          <w:color w:val="000000"/>
          <w:sz w:val="24"/>
          <w:szCs w:val="24"/>
        </w:rPr>
        <w:t>zapewniając wysoki poziom ochrony konsumentów przy korzystaniu z tych usług płatniczych w całej Unii. Powinno to podnieść efektywność całego systemu płatn</w:t>
      </w:r>
      <w:r w:rsidR="001F4919" w:rsidRPr="00205E56">
        <w:rPr>
          <w:rFonts w:ascii="Times New Roman" w:hAnsi="Times New Roman" w:cs="Times New Roman"/>
          <w:iCs/>
          <w:color w:val="000000"/>
          <w:sz w:val="24"/>
          <w:szCs w:val="24"/>
        </w:rPr>
        <w:t>iczego</w:t>
      </w:r>
      <w:r w:rsidRPr="00205E56">
        <w:rPr>
          <w:rFonts w:ascii="Times New Roman" w:hAnsi="Times New Roman" w:cs="Times New Roman"/>
          <w:iCs/>
          <w:color w:val="000000"/>
          <w:sz w:val="24"/>
          <w:szCs w:val="24"/>
        </w:rPr>
        <w:t xml:space="preserve"> i doprowadzić do powstania szerszej oferty usług płatniczych i ich większej przejrzystości, przy jednoczesnym wzmocnieniu zaufania konsumentów do zharmonizowanego rynku płatności.</w:t>
      </w:r>
    </w:p>
    <w:p w14:paraId="697EDEA8" w14:textId="77777777" w:rsidR="00474DFD" w:rsidRPr="00205E56" w:rsidRDefault="00474DFD" w:rsidP="00D14A5F">
      <w:pPr>
        <w:spacing w:before="120" w:after="0" w:line="360" w:lineRule="auto"/>
        <w:jc w:val="both"/>
        <w:rPr>
          <w:rFonts w:ascii="Times New Roman" w:hAnsi="Times New Roman" w:cs="Times New Roman"/>
          <w:b/>
          <w:color w:val="000000"/>
          <w:sz w:val="24"/>
          <w:szCs w:val="24"/>
        </w:rPr>
      </w:pPr>
      <w:r w:rsidRPr="00205E56">
        <w:rPr>
          <w:rFonts w:ascii="Times New Roman" w:hAnsi="Times New Roman" w:cs="Times New Roman"/>
          <w:b/>
          <w:color w:val="000000"/>
          <w:sz w:val="24"/>
          <w:szCs w:val="24"/>
        </w:rPr>
        <w:t xml:space="preserve">Główne cele dyrektywy </w:t>
      </w:r>
      <w:r w:rsidR="009F2253" w:rsidRPr="00205E56">
        <w:rPr>
          <w:rFonts w:ascii="Times New Roman" w:hAnsi="Times New Roman" w:cs="Times New Roman"/>
          <w:b/>
          <w:color w:val="000000"/>
          <w:sz w:val="24"/>
          <w:szCs w:val="24"/>
        </w:rPr>
        <w:t xml:space="preserve">PSD 2 </w:t>
      </w:r>
      <w:r w:rsidRPr="00205E56">
        <w:rPr>
          <w:rFonts w:ascii="Times New Roman" w:hAnsi="Times New Roman" w:cs="Times New Roman"/>
          <w:b/>
          <w:color w:val="000000"/>
          <w:sz w:val="24"/>
          <w:szCs w:val="24"/>
        </w:rPr>
        <w:t>są następujące:</w:t>
      </w:r>
    </w:p>
    <w:p w14:paraId="4330D2A2" w14:textId="6E4B3185" w:rsidR="00474DFD" w:rsidRPr="00205E56" w:rsidRDefault="00D14A5F" w:rsidP="00D14A5F">
      <w:pPr>
        <w:spacing w:after="0"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sidR="00474DFD" w:rsidRPr="00205E56">
        <w:rPr>
          <w:rFonts w:ascii="Times New Roman" w:hAnsi="Times New Roman" w:cs="Times New Roman"/>
          <w:color w:val="000000"/>
          <w:sz w:val="24"/>
          <w:szCs w:val="24"/>
        </w:rPr>
        <w:t>dalszy wkład do bardziej zintegrowanego i efektywnego europejskiego rynku płatności;</w:t>
      </w:r>
    </w:p>
    <w:p w14:paraId="430D7781" w14:textId="51FFDAD5" w:rsidR="00474DFD" w:rsidRPr="00205E56" w:rsidRDefault="00D14A5F" w:rsidP="00D14A5F">
      <w:pPr>
        <w:spacing w:after="0"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sidR="00474DFD" w:rsidRPr="00205E56">
        <w:rPr>
          <w:rFonts w:ascii="Times New Roman" w:hAnsi="Times New Roman" w:cs="Times New Roman"/>
          <w:color w:val="000000"/>
          <w:sz w:val="24"/>
          <w:szCs w:val="24"/>
        </w:rPr>
        <w:t>poprawa zasad konkurowania dla dostawców usług płatniczych (w tym nowych graczy);</w:t>
      </w:r>
    </w:p>
    <w:p w14:paraId="76AE63DB" w14:textId="3FF7141A" w:rsidR="00474DFD" w:rsidRPr="00205E56" w:rsidRDefault="00D14A5F" w:rsidP="00D14A5F">
      <w:pPr>
        <w:spacing w:after="0"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r>
      <w:r w:rsidR="00474DFD" w:rsidRPr="00205E56">
        <w:rPr>
          <w:rFonts w:ascii="Times New Roman" w:hAnsi="Times New Roman" w:cs="Times New Roman"/>
          <w:color w:val="000000"/>
          <w:sz w:val="24"/>
          <w:szCs w:val="24"/>
        </w:rPr>
        <w:t>bezpieczniejsze i lepiej zabezpieczone dokonywanie płatności;</w:t>
      </w:r>
    </w:p>
    <w:p w14:paraId="1B39BA27" w14:textId="786011C9" w:rsidR="00474DFD" w:rsidRPr="00205E56" w:rsidRDefault="00D14A5F" w:rsidP="00D14A5F">
      <w:pPr>
        <w:spacing w:after="0"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r>
        <w:rPr>
          <w:rFonts w:ascii="Times New Roman" w:hAnsi="Times New Roman" w:cs="Times New Roman"/>
          <w:color w:val="000000"/>
          <w:sz w:val="24"/>
          <w:szCs w:val="24"/>
        </w:rPr>
        <w:tab/>
      </w:r>
      <w:r w:rsidR="00474DFD" w:rsidRPr="00205E56">
        <w:rPr>
          <w:rFonts w:ascii="Times New Roman" w:hAnsi="Times New Roman" w:cs="Times New Roman"/>
          <w:color w:val="000000"/>
          <w:sz w:val="24"/>
          <w:szCs w:val="24"/>
        </w:rPr>
        <w:t>ochrona konsumentów;</w:t>
      </w:r>
    </w:p>
    <w:p w14:paraId="10A72BBC" w14:textId="028A1951" w:rsidR="00474DFD" w:rsidRPr="00205E56" w:rsidRDefault="00D14A5F" w:rsidP="00D14A5F">
      <w:pPr>
        <w:spacing w:after="0"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r>
      <w:r w:rsidR="00474DFD" w:rsidRPr="00205E56">
        <w:rPr>
          <w:rFonts w:ascii="Times New Roman" w:hAnsi="Times New Roman" w:cs="Times New Roman"/>
          <w:color w:val="000000"/>
          <w:sz w:val="24"/>
          <w:szCs w:val="24"/>
        </w:rPr>
        <w:t>wpływ na obniżenia kosztów dokonywania płatności.</w:t>
      </w:r>
    </w:p>
    <w:p w14:paraId="78457C4C" w14:textId="1A4BC8AD" w:rsidR="00474DFD" w:rsidRPr="00205E56" w:rsidRDefault="00474DFD" w:rsidP="00D14A5F">
      <w:pPr>
        <w:spacing w:before="120" w:after="0" w:line="360" w:lineRule="auto"/>
        <w:jc w:val="both"/>
        <w:rPr>
          <w:rFonts w:ascii="Times New Roman" w:hAnsi="Times New Roman" w:cs="Times New Roman"/>
          <w:color w:val="000000"/>
          <w:sz w:val="24"/>
          <w:szCs w:val="24"/>
        </w:rPr>
      </w:pPr>
      <w:r w:rsidRPr="00205E56">
        <w:rPr>
          <w:rFonts w:ascii="Times New Roman" w:hAnsi="Times New Roman" w:cs="Times New Roman"/>
          <w:color w:val="000000"/>
          <w:sz w:val="24"/>
          <w:szCs w:val="24"/>
        </w:rPr>
        <w:t>Dyrektywa</w:t>
      </w:r>
      <w:r w:rsidR="00D07BEB" w:rsidRPr="00205E56">
        <w:rPr>
          <w:rFonts w:ascii="Times New Roman" w:hAnsi="Times New Roman" w:cs="Times New Roman"/>
          <w:color w:val="000000"/>
          <w:sz w:val="24"/>
          <w:szCs w:val="24"/>
        </w:rPr>
        <w:t xml:space="preserve"> </w:t>
      </w:r>
      <w:r w:rsidRPr="00205E56">
        <w:rPr>
          <w:rFonts w:ascii="Times New Roman" w:hAnsi="Times New Roman" w:cs="Times New Roman"/>
          <w:color w:val="000000"/>
          <w:sz w:val="24"/>
          <w:szCs w:val="24"/>
        </w:rPr>
        <w:t>PSD</w:t>
      </w:r>
      <w:r w:rsidR="009F2253" w:rsidRPr="00205E56">
        <w:rPr>
          <w:rFonts w:ascii="Times New Roman" w:hAnsi="Times New Roman" w:cs="Times New Roman"/>
          <w:color w:val="000000"/>
          <w:sz w:val="24"/>
          <w:szCs w:val="24"/>
        </w:rPr>
        <w:t xml:space="preserve"> </w:t>
      </w:r>
      <w:r w:rsidRPr="00205E56">
        <w:rPr>
          <w:rFonts w:ascii="Times New Roman" w:hAnsi="Times New Roman" w:cs="Times New Roman"/>
          <w:color w:val="000000"/>
          <w:sz w:val="24"/>
          <w:szCs w:val="24"/>
        </w:rPr>
        <w:t>2 stanowi podstawę prawną dla stworzenia jednolitego rynku płatności w UE opartego o bezpieczne i bardziej innowacyjne usługi płatnicze na obszarze całej UE. Celem jest dokonywanie płatności transgraniczn</w:t>
      </w:r>
      <w:r w:rsidR="001525DC">
        <w:rPr>
          <w:rFonts w:ascii="Times New Roman" w:hAnsi="Times New Roman" w:cs="Times New Roman"/>
          <w:color w:val="000000"/>
          <w:sz w:val="24"/>
          <w:szCs w:val="24"/>
        </w:rPr>
        <w:t>ych równie prosto, skutecznie i </w:t>
      </w:r>
      <w:r w:rsidRPr="00205E56">
        <w:rPr>
          <w:rFonts w:ascii="Times New Roman" w:hAnsi="Times New Roman" w:cs="Times New Roman"/>
          <w:color w:val="000000"/>
          <w:sz w:val="24"/>
          <w:szCs w:val="24"/>
        </w:rPr>
        <w:t>bezpiecznie jak płatności krajowych w poszczególnych państwach członkowskich. Postanowienia PSD</w:t>
      </w:r>
      <w:r w:rsidR="009F2253" w:rsidRPr="00205E56">
        <w:rPr>
          <w:rFonts w:ascii="Times New Roman" w:hAnsi="Times New Roman" w:cs="Times New Roman"/>
          <w:color w:val="000000"/>
          <w:sz w:val="24"/>
          <w:szCs w:val="24"/>
        </w:rPr>
        <w:t xml:space="preserve"> </w:t>
      </w:r>
      <w:r w:rsidRPr="00205E56">
        <w:rPr>
          <w:rFonts w:ascii="Times New Roman" w:hAnsi="Times New Roman" w:cs="Times New Roman"/>
          <w:color w:val="000000"/>
          <w:sz w:val="24"/>
          <w:szCs w:val="24"/>
        </w:rPr>
        <w:t xml:space="preserve">2 wpłyną w znaczącym stopniu na kształt całego rynku </w:t>
      </w:r>
      <w:r w:rsidR="00F91C4C" w:rsidRPr="00205E56">
        <w:rPr>
          <w:rFonts w:ascii="Times New Roman" w:hAnsi="Times New Roman" w:cs="Times New Roman"/>
          <w:color w:val="000000"/>
          <w:sz w:val="24"/>
          <w:szCs w:val="24"/>
        </w:rPr>
        <w:t>usług płatniczych, a tym samym</w:t>
      </w:r>
      <w:r w:rsidRPr="00205E56">
        <w:rPr>
          <w:rFonts w:ascii="Times New Roman" w:hAnsi="Times New Roman" w:cs="Times New Roman"/>
          <w:color w:val="000000"/>
          <w:sz w:val="24"/>
          <w:szCs w:val="24"/>
        </w:rPr>
        <w:t xml:space="preserve"> na działalność banków oraz instytucji płatniczych, a także podmiotów oferujących karty sklepowe, karty paliwowe itd. (działających w ramach tzw. ograniczonej sieci), tzw. niezależnych operatorów bankomatów, jak również innych </w:t>
      </w:r>
      <w:proofErr w:type="spellStart"/>
      <w:r w:rsidRPr="00205E56">
        <w:rPr>
          <w:rFonts w:ascii="Times New Roman" w:hAnsi="Times New Roman" w:cs="Times New Roman"/>
          <w:color w:val="000000"/>
          <w:sz w:val="24"/>
          <w:szCs w:val="24"/>
        </w:rPr>
        <w:t>niebankowych</w:t>
      </w:r>
      <w:proofErr w:type="spellEnd"/>
      <w:r w:rsidRPr="00205E56">
        <w:rPr>
          <w:rFonts w:ascii="Times New Roman" w:hAnsi="Times New Roman" w:cs="Times New Roman"/>
          <w:color w:val="000000"/>
          <w:sz w:val="24"/>
          <w:szCs w:val="24"/>
        </w:rPr>
        <w:t xml:space="preserve"> dostawców usług płatniczych, zainteresowanych w szczególności rozwojem szeroko pojętych płatności mobilnych.</w:t>
      </w:r>
    </w:p>
    <w:p w14:paraId="1CBE67DF" w14:textId="77777777" w:rsidR="00703BBD" w:rsidRPr="00205E56" w:rsidRDefault="00703BBD" w:rsidP="00D14A5F">
      <w:pPr>
        <w:spacing w:before="120" w:after="0" w:line="360" w:lineRule="auto"/>
        <w:jc w:val="both"/>
        <w:rPr>
          <w:rFonts w:ascii="Times New Roman" w:hAnsi="Times New Roman" w:cs="Times New Roman"/>
          <w:b/>
          <w:sz w:val="24"/>
          <w:szCs w:val="24"/>
        </w:rPr>
      </w:pPr>
      <w:r w:rsidRPr="00205E56">
        <w:rPr>
          <w:rFonts w:ascii="Times New Roman" w:hAnsi="Times New Roman" w:cs="Times New Roman"/>
          <w:b/>
          <w:sz w:val="24"/>
          <w:szCs w:val="24"/>
        </w:rPr>
        <w:t>Korzyści dla konsumentów wynikające z dyrektywy PSD2</w:t>
      </w:r>
    </w:p>
    <w:p w14:paraId="4FA39E04" w14:textId="3F3781CE" w:rsidR="00703BBD" w:rsidRPr="00205E56" w:rsidRDefault="00A22D80" w:rsidP="00D14A5F">
      <w:pPr>
        <w:spacing w:before="120" w:after="0" w:line="360" w:lineRule="auto"/>
        <w:ind w:left="284" w:hanging="284"/>
        <w:jc w:val="both"/>
        <w:rPr>
          <w:rFonts w:ascii="Times New Roman" w:hAnsi="Times New Roman" w:cs="Times New Roman"/>
          <w:sz w:val="24"/>
          <w:szCs w:val="24"/>
        </w:rPr>
      </w:pPr>
      <w:r w:rsidRPr="00205E56">
        <w:rPr>
          <w:rFonts w:ascii="Times New Roman" w:hAnsi="Times New Roman" w:cs="Times New Roman"/>
          <w:sz w:val="24"/>
          <w:szCs w:val="24"/>
        </w:rPr>
        <w:t>1)</w:t>
      </w:r>
      <w:r w:rsidR="00D14A5F">
        <w:rPr>
          <w:rFonts w:ascii="Times New Roman" w:hAnsi="Times New Roman" w:cs="Times New Roman"/>
          <w:sz w:val="24"/>
          <w:szCs w:val="24"/>
        </w:rPr>
        <w:tab/>
      </w:r>
      <w:r w:rsidR="00703BBD" w:rsidRPr="00205E56">
        <w:rPr>
          <w:rFonts w:ascii="Times New Roman" w:hAnsi="Times New Roman" w:cs="Times New Roman"/>
          <w:sz w:val="24"/>
          <w:szCs w:val="24"/>
        </w:rPr>
        <w:t>Korzyści ekonomiczne</w:t>
      </w:r>
    </w:p>
    <w:p w14:paraId="52F1EEA5" w14:textId="56717939" w:rsidR="00703BBD" w:rsidRPr="00205E56" w:rsidRDefault="00703BB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Nowe przepisy powinny przyczynić się do zwiększenia konkurencji na rynku płatności elektronicznych, przez zapewnienie niezbędnego zabezpieczenia prawnego dla firm rozpoczynających działalność bądź kontynuującyc</w:t>
      </w:r>
      <w:r w:rsidR="001525DC">
        <w:rPr>
          <w:rFonts w:ascii="Times New Roman" w:hAnsi="Times New Roman" w:cs="Times New Roman"/>
          <w:sz w:val="24"/>
          <w:szCs w:val="24"/>
        </w:rPr>
        <w:t>h funkcjonowanie na rynku. To z </w:t>
      </w:r>
      <w:r w:rsidRPr="00205E56">
        <w:rPr>
          <w:rFonts w:ascii="Times New Roman" w:hAnsi="Times New Roman" w:cs="Times New Roman"/>
          <w:sz w:val="24"/>
          <w:szCs w:val="24"/>
        </w:rPr>
        <w:t>kolei umożliwi konsumentom korzystanie z większej liczby lepszych możliwości wyboru między różnymi rodzajami usług płatniczych oraz różnymi dostawcami usług.</w:t>
      </w:r>
    </w:p>
    <w:p w14:paraId="265D1F10" w14:textId="3FF5D687" w:rsidR="00703BBD" w:rsidRPr="00205E56" w:rsidRDefault="00703BB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ciągu ostatnich lat pojawili się nowi dostawcy usług w dziedzinie płatności internetowych oferujący konsumentom możliwość płatności natychmiastowych za rezerwacje internetowe lub zakupy online, bez konieczności posiadania karty kredytowej (około 60% </w:t>
      </w:r>
      <w:r w:rsidR="009F2253" w:rsidRPr="00205E56">
        <w:rPr>
          <w:rFonts w:ascii="Times New Roman" w:hAnsi="Times New Roman" w:cs="Times New Roman"/>
          <w:sz w:val="24"/>
          <w:szCs w:val="24"/>
        </w:rPr>
        <w:t xml:space="preserve">ludności </w:t>
      </w:r>
      <w:r w:rsidRPr="00205E56">
        <w:rPr>
          <w:rFonts w:ascii="Times New Roman" w:hAnsi="Times New Roman" w:cs="Times New Roman"/>
          <w:sz w:val="24"/>
          <w:szCs w:val="24"/>
        </w:rPr>
        <w:t>UE nie posiada karty kredytowej). Usługi te ustanawiają powiązanie płatności między płatnikiem a sprzedawcą internetowym za pośrednictwem modułu bankowości internet</w:t>
      </w:r>
      <w:r w:rsidR="001525DC">
        <w:rPr>
          <w:rFonts w:ascii="Times New Roman" w:hAnsi="Times New Roman" w:cs="Times New Roman"/>
          <w:sz w:val="24"/>
          <w:szCs w:val="24"/>
        </w:rPr>
        <w:t>owej płatnika. Te innowacyjne i </w:t>
      </w:r>
      <w:r w:rsidRPr="00205E56">
        <w:rPr>
          <w:rFonts w:ascii="Times New Roman" w:hAnsi="Times New Roman" w:cs="Times New Roman"/>
          <w:sz w:val="24"/>
          <w:szCs w:val="24"/>
        </w:rPr>
        <w:t xml:space="preserve">konkurencyjne cenowo rozwiązania płatnicze nazywane są usługami inicjowania płatności i są już dostępne w wielu państwach członkowskich (np. </w:t>
      </w:r>
      <w:proofErr w:type="spellStart"/>
      <w:r w:rsidRPr="00205E56">
        <w:rPr>
          <w:rFonts w:ascii="Times New Roman" w:hAnsi="Times New Roman" w:cs="Times New Roman"/>
          <w:sz w:val="24"/>
          <w:szCs w:val="24"/>
        </w:rPr>
        <w:t>Sofort</w:t>
      </w:r>
      <w:proofErr w:type="spellEnd"/>
      <w:r w:rsidRPr="00205E56">
        <w:rPr>
          <w:rFonts w:ascii="Times New Roman" w:hAnsi="Times New Roman" w:cs="Times New Roman"/>
          <w:sz w:val="24"/>
          <w:szCs w:val="24"/>
        </w:rPr>
        <w:t xml:space="preserve"> w Niemczech, </w:t>
      </w:r>
      <w:proofErr w:type="spellStart"/>
      <w:r w:rsidRPr="00205E56">
        <w:rPr>
          <w:rFonts w:ascii="Times New Roman" w:hAnsi="Times New Roman" w:cs="Times New Roman"/>
          <w:sz w:val="24"/>
          <w:szCs w:val="24"/>
        </w:rPr>
        <w:t>IDeal</w:t>
      </w:r>
      <w:proofErr w:type="spellEnd"/>
      <w:r w:rsidRPr="00205E56">
        <w:rPr>
          <w:rFonts w:ascii="Times New Roman" w:hAnsi="Times New Roman" w:cs="Times New Roman"/>
          <w:sz w:val="24"/>
          <w:szCs w:val="24"/>
        </w:rPr>
        <w:t xml:space="preserve"> w Holandii, </w:t>
      </w:r>
      <w:proofErr w:type="spellStart"/>
      <w:r w:rsidRPr="00205E56">
        <w:rPr>
          <w:rFonts w:ascii="Times New Roman" w:hAnsi="Times New Roman" w:cs="Times New Roman"/>
          <w:sz w:val="24"/>
          <w:szCs w:val="24"/>
        </w:rPr>
        <w:t>Trustly</w:t>
      </w:r>
      <w:proofErr w:type="spellEnd"/>
      <w:r w:rsidRPr="00205E56">
        <w:rPr>
          <w:rFonts w:ascii="Times New Roman" w:hAnsi="Times New Roman" w:cs="Times New Roman"/>
          <w:sz w:val="24"/>
          <w:szCs w:val="24"/>
        </w:rPr>
        <w:t xml:space="preserve"> w Szwecji). Do tej pory działalność tych nowych dostawców nie była regulowana na poziomie UE. </w:t>
      </w:r>
      <w:r w:rsidR="009F2253" w:rsidRPr="00205E56">
        <w:rPr>
          <w:rFonts w:ascii="Times New Roman" w:hAnsi="Times New Roman" w:cs="Times New Roman"/>
          <w:sz w:val="24"/>
          <w:szCs w:val="24"/>
        </w:rPr>
        <w:t xml:space="preserve">PSD 2 </w:t>
      </w:r>
      <w:r w:rsidRPr="00205E56">
        <w:rPr>
          <w:rFonts w:ascii="Times New Roman" w:hAnsi="Times New Roman" w:cs="Times New Roman"/>
          <w:sz w:val="24"/>
          <w:szCs w:val="24"/>
        </w:rPr>
        <w:t>obejmuje tych dostawców, regulując kwestie odnoszące się do poufności, pewności i bezpieczeństwa takich transakcji.</w:t>
      </w:r>
    </w:p>
    <w:p w14:paraId="5D7D6A99" w14:textId="6D7E35DB" w:rsidR="00703BBD" w:rsidRPr="00205E56" w:rsidRDefault="00703BB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Ponadto PSD2 pomoże obniżyć opłaty dla konsumentów i zakaże pobierania dodatkowych prowizji </w:t>
      </w:r>
      <w:r w:rsidR="00E96025" w:rsidRPr="00205E56">
        <w:rPr>
          <w:rFonts w:ascii="Times New Roman" w:hAnsi="Times New Roman" w:cs="Times New Roman"/>
          <w:sz w:val="24"/>
          <w:szCs w:val="24"/>
        </w:rPr>
        <w:t>„</w:t>
      </w:r>
      <w:proofErr w:type="spellStart"/>
      <w:r w:rsidRPr="00205E56">
        <w:rPr>
          <w:rFonts w:ascii="Times New Roman" w:hAnsi="Times New Roman" w:cs="Times New Roman"/>
          <w:sz w:val="24"/>
          <w:szCs w:val="24"/>
        </w:rPr>
        <w:t>surcharging</w:t>
      </w:r>
      <w:proofErr w:type="spellEnd"/>
      <w:r w:rsidR="00E96025" w:rsidRPr="00205E56">
        <w:rPr>
          <w:rFonts w:ascii="Times New Roman" w:hAnsi="Times New Roman" w:cs="Times New Roman"/>
          <w:sz w:val="24"/>
          <w:szCs w:val="24"/>
        </w:rPr>
        <w:t>”</w:t>
      </w:r>
      <w:r w:rsidRPr="00205E56">
        <w:rPr>
          <w:rFonts w:ascii="Times New Roman" w:hAnsi="Times New Roman" w:cs="Times New Roman"/>
          <w:sz w:val="24"/>
          <w:szCs w:val="24"/>
        </w:rPr>
        <w:t xml:space="preserve"> za płatność kartami w zdecydowanej większości </w:t>
      </w:r>
      <w:r w:rsidRPr="00205E56">
        <w:rPr>
          <w:rFonts w:ascii="Times New Roman" w:hAnsi="Times New Roman" w:cs="Times New Roman"/>
          <w:sz w:val="24"/>
          <w:szCs w:val="24"/>
        </w:rPr>
        <w:lastRenderedPageBreak/>
        <w:t>przypadków (w tym dotyczących wszystkic</w:t>
      </w:r>
      <w:r w:rsidR="001525DC">
        <w:rPr>
          <w:rFonts w:ascii="Times New Roman" w:hAnsi="Times New Roman" w:cs="Times New Roman"/>
          <w:sz w:val="24"/>
          <w:szCs w:val="24"/>
        </w:rPr>
        <w:t>h popularnych kart debetowych i </w:t>
      </w:r>
      <w:r w:rsidRPr="00205E56">
        <w:rPr>
          <w:rFonts w:ascii="Times New Roman" w:hAnsi="Times New Roman" w:cs="Times New Roman"/>
          <w:sz w:val="24"/>
          <w:szCs w:val="24"/>
        </w:rPr>
        <w:t>kredytowych), zarówno dla płatności internetowych</w:t>
      </w:r>
      <w:r w:rsidR="009F2253" w:rsidRPr="00205E56">
        <w:rPr>
          <w:rFonts w:ascii="Times New Roman" w:hAnsi="Times New Roman" w:cs="Times New Roman"/>
          <w:sz w:val="24"/>
          <w:szCs w:val="24"/>
        </w:rPr>
        <w:t>,</w:t>
      </w:r>
      <w:r w:rsidR="00D07BEB" w:rsidRPr="00205E56">
        <w:rPr>
          <w:rFonts w:ascii="Times New Roman" w:hAnsi="Times New Roman" w:cs="Times New Roman"/>
          <w:sz w:val="24"/>
          <w:szCs w:val="24"/>
        </w:rPr>
        <w:t xml:space="preserve"> </w:t>
      </w:r>
      <w:r w:rsidRPr="00205E56">
        <w:rPr>
          <w:rFonts w:ascii="Times New Roman" w:hAnsi="Times New Roman" w:cs="Times New Roman"/>
          <w:sz w:val="24"/>
          <w:szCs w:val="24"/>
        </w:rPr>
        <w:t xml:space="preserve">jak i w tradycyjnych. Praktyka pobierania dodatkowych opłat za płatność kartą jest powszechna w niektórych państwach członkowskich, zwłaszcza w przypadku płatności online, oraz w przypadku niektórych sektorów takich jak branża turystyczna i hotelarska. We wszystkich przypadkach, w których opłaty za karty nakładane na sprzedawców są ograniczone, zgodnie z </w:t>
      </w:r>
      <w:r w:rsidR="001D6653" w:rsidRPr="00205E56">
        <w:rPr>
          <w:rFonts w:ascii="Times New Roman" w:hAnsi="Times New Roman" w:cs="Times New Roman"/>
          <w:sz w:val="24"/>
          <w:szCs w:val="24"/>
        </w:rPr>
        <w:t>rozporządzeniem Parlamentu Europejskiego i Rady (U</w:t>
      </w:r>
      <w:r w:rsidR="001525DC">
        <w:rPr>
          <w:rFonts w:ascii="Times New Roman" w:hAnsi="Times New Roman" w:cs="Times New Roman"/>
          <w:sz w:val="24"/>
          <w:szCs w:val="24"/>
        </w:rPr>
        <w:t>E) 2015/751 z dnia 29 </w:t>
      </w:r>
      <w:r w:rsidR="001D6653" w:rsidRPr="00205E56">
        <w:rPr>
          <w:rFonts w:ascii="Times New Roman" w:hAnsi="Times New Roman" w:cs="Times New Roman"/>
          <w:sz w:val="24"/>
          <w:szCs w:val="24"/>
        </w:rPr>
        <w:t xml:space="preserve">kwietnia 2015 r. w sprawie opłat </w:t>
      </w:r>
      <w:proofErr w:type="spellStart"/>
      <w:r w:rsidR="001D6653" w:rsidRPr="00205E56">
        <w:rPr>
          <w:rFonts w:ascii="Times New Roman" w:hAnsi="Times New Roman" w:cs="Times New Roman"/>
          <w:sz w:val="24"/>
          <w:szCs w:val="24"/>
        </w:rPr>
        <w:t>interchange</w:t>
      </w:r>
      <w:proofErr w:type="spellEnd"/>
      <w:r w:rsidR="001D6653" w:rsidRPr="00205E56">
        <w:rPr>
          <w:rFonts w:ascii="Times New Roman" w:hAnsi="Times New Roman" w:cs="Times New Roman"/>
          <w:sz w:val="24"/>
          <w:szCs w:val="24"/>
        </w:rPr>
        <w:t xml:space="preserve"> w odniesieniu do transakcji płatniczych realizowanych w oparciu o kartę (Dz.</w:t>
      </w:r>
      <w:r w:rsidR="00446C54" w:rsidRPr="00205E56">
        <w:rPr>
          <w:rFonts w:ascii="Times New Roman" w:hAnsi="Times New Roman" w:cs="Times New Roman"/>
          <w:sz w:val="24"/>
          <w:szCs w:val="24"/>
        </w:rPr>
        <w:t xml:space="preserve"> </w:t>
      </w:r>
      <w:r w:rsidR="001D6653" w:rsidRPr="00205E56">
        <w:rPr>
          <w:rFonts w:ascii="Times New Roman" w:hAnsi="Times New Roman" w:cs="Times New Roman"/>
          <w:sz w:val="24"/>
          <w:szCs w:val="24"/>
        </w:rPr>
        <w:t>U</w:t>
      </w:r>
      <w:r w:rsidR="00310E0F">
        <w:rPr>
          <w:rFonts w:ascii="Times New Roman" w:hAnsi="Times New Roman" w:cs="Times New Roman"/>
          <w:sz w:val="24"/>
          <w:szCs w:val="24"/>
        </w:rPr>
        <w:t>rz</w:t>
      </w:r>
      <w:r w:rsidR="001D6653" w:rsidRPr="00205E56">
        <w:rPr>
          <w:rFonts w:ascii="Times New Roman" w:hAnsi="Times New Roman" w:cs="Times New Roman"/>
          <w:sz w:val="24"/>
          <w:szCs w:val="24"/>
        </w:rPr>
        <w:t>.</w:t>
      </w:r>
      <w:r w:rsidR="00310E0F">
        <w:rPr>
          <w:rFonts w:ascii="Times New Roman" w:hAnsi="Times New Roman" w:cs="Times New Roman"/>
          <w:sz w:val="24"/>
          <w:szCs w:val="24"/>
        </w:rPr>
        <w:t xml:space="preserve"> UE</w:t>
      </w:r>
      <w:r w:rsidR="001D6653" w:rsidRPr="00205E56">
        <w:rPr>
          <w:rFonts w:ascii="Times New Roman" w:hAnsi="Times New Roman" w:cs="Times New Roman"/>
          <w:sz w:val="24"/>
          <w:szCs w:val="24"/>
        </w:rPr>
        <w:t xml:space="preserve"> L 123 z 19.</w:t>
      </w:r>
      <w:r w:rsidR="00A87FAA">
        <w:rPr>
          <w:rFonts w:ascii="Times New Roman" w:hAnsi="Times New Roman" w:cs="Times New Roman"/>
          <w:sz w:val="24"/>
          <w:szCs w:val="24"/>
        </w:rPr>
        <w:t>0</w:t>
      </w:r>
      <w:r w:rsidR="001D6653" w:rsidRPr="00205E56">
        <w:rPr>
          <w:rFonts w:ascii="Times New Roman" w:hAnsi="Times New Roman" w:cs="Times New Roman"/>
          <w:sz w:val="24"/>
          <w:szCs w:val="24"/>
        </w:rPr>
        <w:t>5.2015, s</w:t>
      </w:r>
      <w:r w:rsidR="00A87FAA">
        <w:rPr>
          <w:rFonts w:ascii="Times New Roman" w:hAnsi="Times New Roman" w:cs="Times New Roman"/>
          <w:sz w:val="24"/>
          <w:szCs w:val="24"/>
        </w:rPr>
        <w:t>tr</w:t>
      </w:r>
      <w:r w:rsidR="001D6653" w:rsidRPr="00205E56">
        <w:rPr>
          <w:rFonts w:ascii="Times New Roman" w:hAnsi="Times New Roman" w:cs="Times New Roman"/>
          <w:sz w:val="24"/>
          <w:szCs w:val="24"/>
        </w:rPr>
        <w:t>. 1)</w:t>
      </w:r>
      <w:r w:rsidRPr="00205E56">
        <w:rPr>
          <w:rFonts w:ascii="Times New Roman" w:hAnsi="Times New Roman" w:cs="Times New Roman"/>
          <w:sz w:val="24"/>
          <w:szCs w:val="24"/>
        </w:rPr>
        <w:t xml:space="preserve"> (</w:t>
      </w:r>
      <w:r w:rsidR="00E04360" w:rsidRPr="00205E56">
        <w:rPr>
          <w:rFonts w:ascii="Times New Roman" w:hAnsi="Times New Roman" w:cs="Times New Roman"/>
          <w:sz w:val="24"/>
          <w:szCs w:val="24"/>
        </w:rPr>
        <w:t>„</w:t>
      </w:r>
      <w:r w:rsidRPr="00205E56">
        <w:rPr>
          <w:rFonts w:ascii="Times New Roman" w:hAnsi="Times New Roman" w:cs="Times New Roman"/>
          <w:sz w:val="24"/>
          <w:szCs w:val="24"/>
        </w:rPr>
        <w:t>rozporządzenie MIFREG</w:t>
      </w:r>
      <w:r w:rsidR="00E04360" w:rsidRPr="00205E56">
        <w:rPr>
          <w:rFonts w:ascii="Times New Roman" w:hAnsi="Times New Roman" w:cs="Times New Roman"/>
          <w:sz w:val="24"/>
          <w:szCs w:val="24"/>
        </w:rPr>
        <w:t>”</w:t>
      </w:r>
      <w:r w:rsidRPr="00205E56">
        <w:rPr>
          <w:rFonts w:ascii="Times New Roman" w:hAnsi="Times New Roman" w:cs="Times New Roman"/>
          <w:sz w:val="24"/>
          <w:szCs w:val="24"/>
        </w:rPr>
        <w:t xml:space="preserve">), sprzedawcy nie będą mogli pobierać dodatkowych opłat od klientów za korzystanie z karty płatniczej. Będzie to miało zastosowanie zarówno dla płatności krajowych jak i zagranicznych. W praktyce zakaz pobierania dodatkowych opłat obejmie około 95% wszystkich płatności kartami płatniczymi w UE, dzięki czemu konsumenci będą mogli zaoszczędzić 730 mln </w:t>
      </w:r>
      <w:r w:rsidR="009F2253" w:rsidRPr="00205E56">
        <w:rPr>
          <w:rFonts w:ascii="Times New Roman" w:hAnsi="Times New Roman" w:cs="Times New Roman"/>
          <w:sz w:val="24"/>
          <w:szCs w:val="24"/>
        </w:rPr>
        <w:t xml:space="preserve">euro </w:t>
      </w:r>
      <w:r w:rsidRPr="00205E56">
        <w:rPr>
          <w:rFonts w:ascii="Times New Roman" w:hAnsi="Times New Roman" w:cs="Times New Roman"/>
          <w:sz w:val="24"/>
          <w:szCs w:val="24"/>
        </w:rPr>
        <w:t>rocznie. Nowe przepisy przyczynią się do wyższego poziomu obsługi konsumentów podczas płacenia kartą w całej Unii Europejskiej.</w:t>
      </w:r>
    </w:p>
    <w:p w14:paraId="2F6F5BDB" w14:textId="65F95149" w:rsidR="00703BBD" w:rsidRPr="00205E56" w:rsidRDefault="00703BB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Konsumenci będą lepiej chronieni przed nadużyciami finansowymi dzięki odpowiednim zabezpieczeniom. Nowe regulacje zawężą i dalej ujednolicą zasady odpowiedzialności w zakresie nieautoryzowanych transakcji, zapewniając lepszą ochronę płatników. Z wyjątkiem przypadków oszustwa lub rażącego niedbalstwa płatnika, maksymalna kwota, którą płatnik mo</w:t>
      </w:r>
      <w:r w:rsidR="001525DC">
        <w:rPr>
          <w:rFonts w:ascii="Times New Roman" w:hAnsi="Times New Roman" w:cs="Times New Roman"/>
          <w:sz w:val="24"/>
          <w:szCs w:val="24"/>
        </w:rPr>
        <w:t>że być zobowiązany do zapłaty w </w:t>
      </w:r>
      <w:r w:rsidRPr="00205E56">
        <w:rPr>
          <w:rFonts w:ascii="Times New Roman" w:hAnsi="Times New Roman" w:cs="Times New Roman"/>
          <w:sz w:val="24"/>
          <w:szCs w:val="24"/>
        </w:rPr>
        <w:t xml:space="preserve">przypadku nieautoryzowanej transakcji płatniczej będzie się zmniejszać od 150 </w:t>
      </w:r>
      <w:r w:rsidR="00981E72" w:rsidRPr="00205E56">
        <w:rPr>
          <w:rFonts w:ascii="Times New Roman" w:hAnsi="Times New Roman" w:cs="Times New Roman"/>
          <w:sz w:val="24"/>
          <w:szCs w:val="24"/>
        </w:rPr>
        <w:t xml:space="preserve">euro </w:t>
      </w:r>
      <w:r w:rsidRPr="00205E56">
        <w:rPr>
          <w:rFonts w:ascii="Times New Roman" w:hAnsi="Times New Roman" w:cs="Times New Roman"/>
          <w:sz w:val="24"/>
          <w:szCs w:val="24"/>
        </w:rPr>
        <w:t>do 50</w:t>
      </w:r>
      <w:r w:rsidR="00981E72" w:rsidRPr="00205E56">
        <w:rPr>
          <w:rFonts w:ascii="Times New Roman" w:hAnsi="Times New Roman" w:cs="Times New Roman"/>
          <w:sz w:val="24"/>
          <w:szCs w:val="24"/>
        </w:rPr>
        <w:t xml:space="preserve"> euro</w:t>
      </w:r>
      <w:r w:rsidRPr="00205E56">
        <w:rPr>
          <w:rFonts w:ascii="Times New Roman" w:hAnsi="Times New Roman" w:cs="Times New Roman"/>
          <w:sz w:val="24"/>
          <w:szCs w:val="24"/>
        </w:rPr>
        <w:t>.</w:t>
      </w:r>
    </w:p>
    <w:p w14:paraId="5E23A617" w14:textId="572CC4A7" w:rsidR="00703BBD" w:rsidRPr="00205E56" w:rsidRDefault="00D14A5F" w:rsidP="00D14A5F">
      <w:pPr>
        <w:spacing w:before="120"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703BBD" w:rsidRPr="00205E56">
        <w:rPr>
          <w:rFonts w:ascii="Times New Roman" w:hAnsi="Times New Roman" w:cs="Times New Roman"/>
          <w:sz w:val="24"/>
          <w:szCs w:val="24"/>
        </w:rPr>
        <w:t>Prawa konsumentów</w:t>
      </w:r>
    </w:p>
    <w:p w14:paraId="18A7AFC7" w14:textId="1DE4FA90" w:rsidR="00703BBD" w:rsidRPr="00205E56" w:rsidRDefault="00703BB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Dyrektywa PSD chroniła prawa konsumenta w przypa</w:t>
      </w:r>
      <w:r w:rsidR="001525DC">
        <w:rPr>
          <w:rFonts w:ascii="Times New Roman" w:hAnsi="Times New Roman" w:cs="Times New Roman"/>
          <w:sz w:val="24"/>
          <w:szCs w:val="24"/>
        </w:rPr>
        <w:t>dku nieautoryzowan</w:t>
      </w:r>
      <w:r w:rsidR="00A87FAA">
        <w:rPr>
          <w:rFonts w:ascii="Times New Roman" w:hAnsi="Times New Roman" w:cs="Times New Roman"/>
          <w:sz w:val="24"/>
          <w:szCs w:val="24"/>
        </w:rPr>
        <w:t xml:space="preserve">ej </w:t>
      </w:r>
      <w:r w:rsidR="001525DC">
        <w:rPr>
          <w:rFonts w:ascii="Times New Roman" w:hAnsi="Times New Roman" w:cs="Times New Roman"/>
          <w:sz w:val="24"/>
          <w:szCs w:val="24"/>
        </w:rPr>
        <w:t>zapłaty z </w:t>
      </w:r>
      <w:r w:rsidRPr="00205E56">
        <w:rPr>
          <w:rFonts w:ascii="Times New Roman" w:hAnsi="Times New Roman" w:cs="Times New Roman"/>
          <w:sz w:val="24"/>
          <w:szCs w:val="24"/>
        </w:rPr>
        <w:t>konta, pod pewnymi jednak warunkami. Polecenie zapłaty jest oparte na koncepcji żądania przelewu środków z czyjegoś konta po jeg</w:t>
      </w:r>
      <w:r w:rsidR="001525DC">
        <w:rPr>
          <w:rFonts w:ascii="Times New Roman" w:hAnsi="Times New Roman" w:cs="Times New Roman"/>
          <w:sz w:val="24"/>
          <w:szCs w:val="24"/>
        </w:rPr>
        <w:t>o uprzedniej zgodzie. Płatnik i </w:t>
      </w:r>
      <w:r w:rsidRPr="00205E56">
        <w:rPr>
          <w:rFonts w:ascii="Times New Roman" w:hAnsi="Times New Roman" w:cs="Times New Roman"/>
          <w:sz w:val="24"/>
          <w:szCs w:val="24"/>
        </w:rPr>
        <w:t>akceptant muszą posiadać konto u dostawcy usług płatniczych</w:t>
      </w:r>
      <w:r w:rsidR="009F2253" w:rsidRPr="00205E56">
        <w:rPr>
          <w:rFonts w:ascii="Times New Roman" w:hAnsi="Times New Roman" w:cs="Times New Roman"/>
          <w:sz w:val="24"/>
          <w:szCs w:val="24"/>
        </w:rPr>
        <w:t>,</w:t>
      </w:r>
      <w:r w:rsidR="00D07BEB" w:rsidRPr="00205E56">
        <w:rPr>
          <w:rFonts w:ascii="Times New Roman" w:hAnsi="Times New Roman" w:cs="Times New Roman"/>
          <w:sz w:val="24"/>
          <w:szCs w:val="24"/>
        </w:rPr>
        <w:t xml:space="preserve"> </w:t>
      </w:r>
      <w:r w:rsidRPr="00205E56">
        <w:rPr>
          <w:rFonts w:ascii="Times New Roman" w:hAnsi="Times New Roman" w:cs="Times New Roman"/>
          <w:sz w:val="24"/>
          <w:szCs w:val="24"/>
        </w:rPr>
        <w:t>a transfer środków (pieniędzy) odbywa się między bankiem płatnika a bankiem akceptanta. Jednak ponieważ akceptant może ściągać środki pieniężne z konta płatnika pod warunkiem uprzedniej zgody płatnika, płatnik powinien również mieć prawo zwrotu pieniędzy. Obecnie państwa członkowskie stosują różne zasady w odniesieniu do tej kwestii.</w:t>
      </w:r>
    </w:p>
    <w:p w14:paraId="740F1C96" w14:textId="77777777" w:rsidR="00703BBD" w:rsidRPr="00205E56" w:rsidRDefault="00703BB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lastRenderedPageBreak/>
        <w:t>W celu dalszego wzmocnienia ochrony konsumentów i wspierania instrumentów dających pewność prawną, PSD</w:t>
      </w:r>
      <w:r w:rsidR="00D751D5" w:rsidRPr="00205E56">
        <w:rPr>
          <w:rFonts w:ascii="Times New Roman" w:hAnsi="Times New Roman" w:cs="Times New Roman"/>
          <w:sz w:val="24"/>
          <w:szCs w:val="24"/>
        </w:rPr>
        <w:t xml:space="preserve"> </w:t>
      </w:r>
      <w:r w:rsidRPr="00205E56">
        <w:rPr>
          <w:rFonts w:ascii="Times New Roman" w:hAnsi="Times New Roman" w:cs="Times New Roman"/>
          <w:sz w:val="24"/>
          <w:szCs w:val="24"/>
        </w:rPr>
        <w:t>2 stanowi podstawę prawną do bezwarunkowego zwrotu, która istnieje już od usta</w:t>
      </w:r>
      <w:r w:rsidR="00F91C4C" w:rsidRPr="00205E56">
        <w:rPr>
          <w:rFonts w:ascii="Times New Roman" w:hAnsi="Times New Roman" w:cs="Times New Roman"/>
          <w:sz w:val="24"/>
          <w:szCs w:val="24"/>
        </w:rPr>
        <w:t>nowienia poleceń zapłaty SEPA (</w:t>
      </w:r>
      <w:r w:rsidRPr="00205E56">
        <w:rPr>
          <w:rFonts w:ascii="Times New Roman" w:hAnsi="Times New Roman" w:cs="Times New Roman"/>
          <w:sz w:val="24"/>
          <w:szCs w:val="24"/>
        </w:rPr>
        <w:t>w euro). W takich przypadkach podatnicy mogą zażądać zwrotu nawet w przypadku kwestionowanej transakcji płatniczej.</w:t>
      </w:r>
    </w:p>
    <w:p w14:paraId="02C8A8A6" w14:textId="22872EEA" w:rsidR="00703BBD" w:rsidRPr="00205E56" w:rsidRDefault="009F2253"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B</w:t>
      </w:r>
      <w:r w:rsidR="00703BBD" w:rsidRPr="00205E56">
        <w:rPr>
          <w:rFonts w:ascii="Times New Roman" w:hAnsi="Times New Roman" w:cs="Times New Roman"/>
          <w:sz w:val="24"/>
          <w:szCs w:val="24"/>
        </w:rPr>
        <w:t>ezpośredni</w:t>
      </w:r>
      <w:r w:rsidRPr="00205E56">
        <w:rPr>
          <w:rFonts w:ascii="Times New Roman" w:hAnsi="Times New Roman" w:cs="Times New Roman"/>
          <w:sz w:val="24"/>
          <w:szCs w:val="24"/>
        </w:rPr>
        <w:t>e</w:t>
      </w:r>
      <w:r w:rsidR="004F212C" w:rsidRPr="00205E56">
        <w:rPr>
          <w:rFonts w:ascii="Times New Roman" w:hAnsi="Times New Roman" w:cs="Times New Roman"/>
          <w:sz w:val="24"/>
          <w:szCs w:val="24"/>
        </w:rPr>
        <w:t xml:space="preserve"> </w:t>
      </w:r>
      <w:r w:rsidR="00703BBD" w:rsidRPr="00205E56">
        <w:rPr>
          <w:rFonts w:ascii="Times New Roman" w:hAnsi="Times New Roman" w:cs="Times New Roman"/>
          <w:sz w:val="24"/>
          <w:szCs w:val="24"/>
        </w:rPr>
        <w:t>debetow</w:t>
      </w:r>
      <w:r w:rsidRPr="00205E56">
        <w:rPr>
          <w:rFonts w:ascii="Times New Roman" w:hAnsi="Times New Roman" w:cs="Times New Roman"/>
          <w:sz w:val="24"/>
          <w:szCs w:val="24"/>
        </w:rPr>
        <w:t>e</w:t>
      </w:r>
      <w:r w:rsidR="004F212C" w:rsidRPr="00205E56">
        <w:rPr>
          <w:rFonts w:ascii="Times New Roman" w:hAnsi="Times New Roman" w:cs="Times New Roman"/>
          <w:sz w:val="24"/>
          <w:szCs w:val="24"/>
        </w:rPr>
        <w:t xml:space="preserve"> </w:t>
      </w:r>
      <w:r w:rsidR="00703BBD" w:rsidRPr="00205E56">
        <w:rPr>
          <w:rFonts w:ascii="Times New Roman" w:hAnsi="Times New Roman" w:cs="Times New Roman"/>
          <w:sz w:val="24"/>
          <w:szCs w:val="24"/>
        </w:rPr>
        <w:t>system</w:t>
      </w:r>
      <w:r w:rsidRPr="00205E56">
        <w:rPr>
          <w:rFonts w:ascii="Times New Roman" w:hAnsi="Times New Roman" w:cs="Times New Roman"/>
          <w:sz w:val="24"/>
          <w:szCs w:val="24"/>
        </w:rPr>
        <w:t xml:space="preserve">y </w:t>
      </w:r>
      <w:r w:rsidR="00703BBD" w:rsidRPr="00205E56">
        <w:rPr>
          <w:rFonts w:ascii="Times New Roman" w:hAnsi="Times New Roman" w:cs="Times New Roman"/>
          <w:sz w:val="24"/>
          <w:szCs w:val="24"/>
        </w:rPr>
        <w:t xml:space="preserve">płatności </w:t>
      </w:r>
      <w:r w:rsidRPr="00205E56">
        <w:rPr>
          <w:rFonts w:ascii="Times New Roman" w:hAnsi="Times New Roman" w:cs="Times New Roman"/>
          <w:sz w:val="24"/>
          <w:szCs w:val="24"/>
        </w:rPr>
        <w:t xml:space="preserve">w walucie </w:t>
      </w:r>
      <w:r w:rsidR="00703BBD" w:rsidRPr="00205E56">
        <w:rPr>
          <w:rFonts w:ascii="Times New Roman" w:hAnsi="Times New Roman" w:cs="Times New Roman"/>
          <w:sz w:val="24"/>
          <w:szCs w:val="24"/>
        </w:rPr>
        <w:t>inn</w:t>
      </w:r>
      <w:r w:rsidRPr="00205E56">
        <w:rPr>
          <w:rFonts w:ascii="Times New Roman" w:hAnsi="Times New Roman" w:cs="Times New Roman"/>
          <w:sz w:val="24"/>
          <w:szCs w:val="24"/>
        </w:rPr>
        <w:t xml:space="preserve">ej </w:t>
      </w:r>
      <w:r w:rsidR="00703BBD" w:rsidRPr="00205E56">
        <w:rPr>
          <w:rFonts w:ascii="Times New Roman" w:hAnsi="Times New Roman" w:cs="Times New Roman"/>
          <w:sz w:val="24"/>
          <w:szCs w:val="24"/>
        </w:rPr>
        <w:t>niż w euro, oferujących ochronę na zasadach określonych w PSD będą mogły nadal funkcjonować na obecnych zasadach. Jednakże państwa członkowskie mogą wymagać, aby w przypadku tego typu systemów prawa zwrotu były bardziej korzystne dla podatników.</w:t>
      </w:r>
    </w:p>
    <w:p w14:paraId="66FA890C" w14:textId="4D741B2D" w:rsidR="00703BBD" w:rsidRPr="00205E56" w:rsidRDefault="00703BB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Konsumenci będą również lepiej chronieni</w:t>
      </w:r>
      <w:r w:rsidR="009F2253" w:rsidRPr="00205E56">
        <w:rPr>
          <w:rFonts w:ascii="Times New Roman" w:hAnsi="Times New Roman" w:cs="Times New Roman"/>
          <w:sz w:val="24"/>
          <w:szCs w:val="24"/>
        </w:rPr>
        <w:t xml:space="preserve"> w przypadku</w:t>
      </w:r>
      <w:r w:rsidR="004F212C" w:rsidRPr="00205E56">
        <w:rPr>
          <w:rFonts w:ascii="Times New Roman" w:hAnsi="Times New Roman" w:cs="Times New Roman"/>
          <w:sz w:val="24"/>
          <w:szCs w:val="24"/>
        </w:rPr>
        <w:t xml:space="preserve"> </w:t>
      </w:r>
      <w:r w:rsidRPr="00205E56">
        <w:rPr>
          <w:rFonts w:ascii="Times New Roman" w:hAnsi="Times New Roman" w:cs="Times New Roman"/>
          <w:sz w:val="24"/>
          <w:szCs w:val="24"/>
        </w:rPr>
        <w:t>gdy kwota transakcji nie jest znana z góry. Taka sytuacja może wystąpić w przypadku wynajmu samochodów, rezerwacji hotelowych lub na stacjach benzynowych. Odbiorca będzie mógł zablokować środki na koncie płatnika jedynie</w:t>
      </w:r>
      <w:r w:rsidR="009F2253" w:rsidRPr="00205E56">
        <w:rPr>
          <w:rFonts w:ascii="Times New Roman" w:hAnsi="Times New Roman" w:cs="Times New Roman"/>
          <w:sz w:val="24"/>
          <w:szCs w:val="24"/>
        </w:rPr>
        <w:t xml:space="preserve"> w przypadku </w:t>
      </w:r>
      <w:r w:rsidRPr="00205E56">
        <w:rPr>
          <w:rFonts w:ascii="Times New Roman" w:hAnsi="Times New Roman" w:cs="Times New Roman"/>
          <w:sz w:val="24"/>
          <w:szCs w:val="24"/>
        </w:rPr>
        <w:t>gdy płatnik zatwierdzi dokładną kwotę, która może zostać zablokowana. Bank płatnika niezwłocznie uwolni zablokowane fundusze po otrzymaniu informacji o dokładnej kwocie, a najpóźniej po otrzymaniu zlecenia płatniczego.</w:t>
      </w:r>
    </w:p>
    <w:p w14:paraId="346879AA" w14:textId="746D1E48" w:rsidR="00703BBD" w:rsidRPr="00205E56" w:rsidRDefault="009F2253"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PSD 2</w:t>
      </w:r>
      <w:r w:rsidR="00D07BEB" w:rsidRPr="00205E56">
        <w:rPr>
          <w:rFonts w:ascii="Times New Roman" w:hAnsi="Times New Roman" w:cs="Times New Roman"/>
          <w:sz w:val="24"/>
          <w:szCs w:val="24"/>
        </w:rPr>
        <w:t xml:space="preserve"> </w:t>
      </w:r>
      <w:r w:rsidR="00703BBD" w:rsidRPr="00205E56">
        <w:rPr>
          <w:rFonts w:ascii="Times New Roman" w:hAnsi="Times New Roman" w:cs="Times New Roman"/>
          <w:sz w:val="24"/>
          <w:szCs w:val="24"/>
        </w:rPr>
        <w:t>zwiększ</w:t>
      </w:r>
      <w:r w:rsidRPr="00205E56">
        <w:rPr>
          <w:rFonts w:ascii="Times New Roman" w:hAnsi="Times New Roman" w:cs="Times New Roman"/>
          <w:sz w:val="24"/>
          <w:szCs w:val="24"/>
        </w:rPr>
        <w:t>a</w:t>
      </w:r>
      <w:r w:rsidR="00703BBD" w:rsidRPr="00205E56">
        <w:rPr>
          <w:rFonts w:ascii="Times New Roman" w:hAnsi="Times New Roman" w:cs="Times New Roman"/>
          <w:sz w:val="24"/>
          <w:szCs w:val="24"/>
        </w:rPr>
        <w:t xml:space="preserve"> prawa konsumentów podczas wysyłania przelewów i przekazów pieniężnych poza UE lub płatności w walutach spoza UE. PSD odnosi się jedynie do transferów wewnątrz UE i jest ograniczona do walut państw członkowskich. PSD</w:t>
      </w:r>
      <w:r w:rsidR="00A0791F" w:rsidRPr="00205E56">
        <w:rPr>
          <w:rFonts w:ascii="Times New Roman" w:hAnsi="Times New Roman" w:cs="Times New Roman"/>
          <w:sz w:val="24"/>
          <w:szCs w:val="24"/>
        </w:rPr>
        <w:t xml:space="preserve"> </w:t>
      </w:r>
      <w:r w:rsidR="00703BBD" w:rsidRPr="00205E56">
        <w:rPr>
          <w:rFonts w:ascii="Times New Roman" w:hAnsi="Times New Roman" w:cs="Times New Roman"/>
          <w:sz w:val="24"/>
          <w:szCs w:val="24"/>
        </w:rPr>
        <w:t xml:space="preserve">2 rozszerza </w:t>
      </w:r>
      <w:r w:rsidRPr="00205E56">
        <w:rPr>
          <w:rFonts w:ascii="Times New Roman" w:hAnsi="Times New Roman" w:cs="Times New Roman"/>
          <w:sz w:val="24"/>
          <w:szCs w:val="24"/>
        </w:rPr>
        <w:t xml:space="preserve">natomiast </w:t>
      </w:r>
      <w:r w:rsidR="00703BBD" w:rsidRPr="00205E56">
        <w:rPr>
          <w:rFonts w:ascii="Times New Roman" w:hAnsi="Times New Roman" w:cs="Times New Roman"/>
          <w:sz w:val="24"/>
          <w:szCs w:val="24"/>
        </w:rPr>
        <w:t xml:space="preserve">stosowanie zasad PSD dotyczących przejrzystości w odniesieniu do transakcji </w:t>
      </w:r>
      <w:r w:rsidR="00A87FAA">
        <w:rPr>
          <w:rFonts w:ascii="Times New Roman" w:hAnsi="Times New Roman" w:cs="Times New Roman"/>
          <w:sz w:val="24"/>
          <w:szCs w:val="24"/>
        </w:rPr>
        <w:t>„</w:t>
      </w:r>
      <w:r w:rsidR="00703BBD" w:rsidRPr="00205E56">
        <w:rPr>
          <w:rFonts w:ascii="Times New Roman" w:hAnsi="Times New Roman" w:cs="Times New Roman"/>
          <w:sz w:val="24"/>
          <w:szCs w:val="24"/>
        </w:rPr>
        <w:t xml:space="preserve">one leg”, </w:t>
      </w:r>
      <w:r w:rsidRPr="00205E56">
        <w:rPr>
          <w:rFonts w:ascii="Times New Roman" w:hAnsi="Times New Roman" w:cs="Times New Roman"/>
          <w:sz w:val="24"/>
          <w:szCs w:val="24"/>
        </w:rPr>
        <w:t xml:space="preserve">tj. </w:t>
      </w:r>
      <w:r w:rsidR="00703BBD" w:rsidRPr="00205E56">
        <w:rPr>
          <w:rFonts w:ascii="Times New Roman" w:hAnsi="Times New Roman" w:cs="Times New Roman"/>
          <w:sz w:val="24"/>
          <w:szCs w:val="24"/>
        </w:rPr>
        <w:t>transakcj</w:t>
      </w:r>
      <w:r w:rsidR="00A0791F" w:rsidRPr="00205E56">
        <w:rPr>
          <w:rFonts w:ascii="Times New Roman" w:hAnsi="Times New Roman" w:cs="Times New Roman"/>
          <w:sz w:val="24"/>
          <w:szCs w:val="24"/>
        </w:rPr>
        <w:t xml:space="preserve">i, </w:t>
      </w:r>
      <w:r w:rsidR="00703BBD" w:rsidRPr="00205E56">
        <w:rPr>
          <w:rFonts w:ascii="Times New Roman" w:hAnsi="Times New Roman" w:cs="Times New Roman"/>
          <w:sz w:val="24"/>
          <w:szCs w:val="24"/>
        </w:rPr>
        <w:t>w których jedna strona znajduje się w UE. Powinno to przyczynić się do lepszej informacji o przekazach pieniężnych oraz do obniżenia kosztów przekazów pieniężnych, w wyniku lepszej przejrzystości rynku.</w:t>
      </w:r>
    </w:p>
    <w:p w14:paraId="2710333E" w14:textId="1C70DDD5" w:rsidR="00703BBD" w:rsidRPr="00205E56" w:rsidRDefault="002B56D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PSD 2 </w:t>
      </w:r>
      <w:r w:rsidR="00703BBD" w:rsidRPr="00205E56">
        <w:rPr>
          <w:rFonts w:ascii="Times New Roman" w:hAnsi="Times New Roman" w:cs="Times New Roman"/>
          <w:sz w:val="24"/>
          <w:szCs w:val="24"/>
        </w:rPr>
        <w:t>zobowiązuje też państwa członkowskie do wyznaczenia właściwych organów do rozpatrywania skarg użytkowników usług płatniczych i innych</w:t>
      </w:r>
      <w:r w:rsidRPr="00205E56">
        <w:rPr>
          <w:rFonts w:ascii="Times New Roman" w:hAnsi="Times New Roman" w:cs="Times New Roman"/>
          <w:sz w:val="24"/>
          <w:szCs w:val="24"/>
        </w:rPr>
        <w:t>,</w:t>
      </w:r>
      <w:r w:rsidR="00703BBD" w:rsidRPr="00205E56">
        <w:rPr>
          <w:rFonts w:ascii="Times New Roman" w:hAnsi="Times New Roman" w:cs="Times New Roman"/>
          <w:sz w:val="24"/>
          <w:szCs w:val="24"/>
        </w:rPr>
        <w:t xml:space="preserve"> np. stowarzyszeń konsumentów, dotyczących domniemanego naruszenia dyrektywy. Dostawcy usług płatniczych, którzy podlegają przepisom dyrektywy, po swojej stronie powinni wdrożyć procedurę rozpatrywania skarg konsumentów, którą mogą wykorzystać w pierwszej kolejności, w celu pozasądowego rozwiązywania sporów lub przed rozpoczęciem postępowania sądowego. Nowe przepisy będą zobowiązywać dostawców usług płatniczych do wystosowywania odpowiedzi, w formie pisemnej, do każdej reklamacji, w terminie do 15 dni roboczych.</w:t>
      </w:r>
    </w:p>
    <w:p w14:paraId="338AAC1D" w14:textId="5DB34BD0" w:rsidR="00703BBD" w:rsidRPr="00205E56" w:rsidRDefault="00D14A5F" w:rsidP="00D14A5F">
      <w:pPr>
        <w:spacing w:before="120"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r>
      <w:r w:rsidR="00703BBD" w:rsidRPr="00205E56">
        <w:rPr>
          <w:rFonts w:ascii="Times New Roman" w:hAnsi="Times New Roman" w:cs="Times New Roman"/>
          <w:sz w:val="24"/>
          <w:szCs w:val="24"/>
        </w:rPr>
        <w:t>Zabezpieczenie płatności</w:t>
      </w:r>
    </w:p>
    <w:p w14:paraId="69F99F29" w14:textId="192FA44C" w:rsidR="00703BBD" w:rsidRPr="00205E56" w:rsidRDefault="00703BB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Nowe przepisy przewidują także wysoki poziom bezpieczeństwa płatności. Jest to kluczowa kwestia dla wielu użytkowników usług płatniczych, a zwłaszcza konsumentów płacących za pośrednictwem Internetu. Wszyscy dostawcy usług płatniczych, w tym banki, instytucje płatnicz</w:t>
      </w:r>
      <w:r w:rsidR="00A87FAA">
        <w:rPr>
          <w:rFonts w:ascii="Times New Roman" w:hAnsi="Times New Roman" w:cs="Times New Roman"/>
          <w:sz w:val="24"/>
          <w:szCs w:val="24"/>
        </w:rPr>
        <w:t>e</w:t>
      </w:r>
      <w:r w:rsidRPr="00205E56">
        <w:rPr>
          <w:rFonts w:ascii="Times New Roman" w:hAnsi="Times New Roman" w:cs="Times New Roman"/>
          <w:sz w:val="24"/>
          <w:szCs w:val="24"/>
        </w:rPr>
        <w:t xml:space="preserve"> lub dostawcy zewnętrzni </w:t>
      </w:r>
      <w:r w:rsidR="00205E56" w:rsidRPr="00205E56">
        <w:rPr>
          <w:rFonts w:ascii="Times New Roman" w:hAnsi="Times New Roman" w:cs="Times New Roman"/>
          <w:sz w:val="24"/>
          <w:szCs w:val="24"/>
        </w:rPr>
        <w:t>–</w:t>
      </w:r>
      <w:r w:rsidR="00D751D5" w:rsidRPr="00205E56">
        <w:rPr>
          <w:rFonts w:ascii="Times New Roman" w:hAnsi="Times New Roman" w:cs="Times New Roman"/>
          <w:sz w:val="24"/>
          <w:szCs w:val="24"/>
        </w:rPr>
        <w:t xml:space="preserve"> dostawcy niezależni, tzw. TPP (</w:t>
      </w:r>
      <w:r w:rsidR="00A22D80" w:rsidRPr="00205E56">
        <w:rPr>
          <w:rFonts w:ascii="Times New Roman" w:hAnsi="Times New Roman" w:cs="Times New Roman"/>
          <w:sz w:val="24"/>
          <w:szCs w:val="24"/>
        </w:rPr>
        <w:t xml:space="preserve">TPP </w:t>
      </w:r>
      <w:r w:rsidR="00205E56" w:rsidRPr="00205E56">
        <w:rPr>
          <w:rFonts w:ascii="Times New Roman" w:hAnsi="Times New Roman" w:cs="Times New Roman"/>
          <w:sz w:val="24"/>
          <w:szCs w:val="24"/>
        </w:rPr>
        <w:t>–</w:t>
      </w:r>
      <w:r w:rsidR="00A22D80" w:rsidRPr="00205E56">
        <w:rPr>
          <w:rFonts w:ascii="Times New Roman" w:hAnsi="Times New Roman" w:cs="Times New Roman"/>
          <w:sz w:val="24"/>
          <w:szCs w:val="24"/>
        </w:rPr>
        <w:t xml:space="preserve"> </w:t>
      </w:r>
      <w:r w:rsidR="00D751D5" w:rsidRPr="00205E56">
        <w:rPr>
          <w:rFonts w:ascii="Times New Roman" w:hAnsi="Times New Roman" w:cs="Times New Roman"/>
          <w:sz w:val="24"/>
          <w:szCs w:val="24"/>
        </w:rPr>
        <w:t xml:space="preserve">third party </w:t>
      </w:r>
      <w:proofErr w:type="spellStart"/>
      <w:r w:rsidR="00D751D5" w:rsidRPr="00205E56">
        <w:rPr>
          <w:rFonts w:ascii="Times New Roman" w:hAnsi="Times New Roman" w:cs="Times New Roman"/>
          <w:sz w:val="24"/>
          <w:szCs w:val="24"/>
        </w:rPr>
        <w:t>provider</w:t>
      </w:r>
      <w:r w:rsidR="003C6DC0" w:rsidRPr="00205E56">
        <w:rPr>
          <w:rFonts w:ascii="Times New Roman" w:hAnsi="Times New Roman" w:cs="Times New Roman"/>
          <w:sz w:val="24"/>
          <w:szCs w:val="24"/>
        </w:rPr>
        <w:t>s</w:t>
      </w:r>
      <w:proofErr w:type="spellEnd"/>
      <w:r w:rsidR="00D751D5" w:rsidRPr="00205E56">
        <w:rPr>
          <w:rFonts w:ascii="Times New Roman" w:hAnsi="Times New Roman" w:cs="Times New Roman"/>
          <w:sz w:val="24"/>
          <w:szCs w:val="24"/>
        </w:rPr>
        <w:t>)</w:t>
      </w:r>
      <w:r w:rsidRPr="00205E56">
        <w:rPr>
          <w:rFonts w:ascii="Times New Roman" w:hAnsi="Times New Roman" w:cs="Times New Roman"/>
          <w:sz w:val="24"/>
          <w:szCs w:val="24"/>
        </w:rPr>
        <w:t>, będą musieli udowodnić, że posiadają właściwe środki bezpieczeństwa w celu zapewnienia odpowiedniego zabezpieczenia płatności. Dostawcy usług płatniczych będą musieli przeprowadzać ocenę ryzyka operacyjnego i ryzyka w zakresie zabezpieczeń jak również podejmowanych działań w tym zakresie, w stosunku rocznym.</w:t>
      </w:r>
    </w:p>
    <w:p w14:paraId="285BE4CD" w14:textId="77777777" w:rsidR="00703BBD" w:rsidRPr="00205E56" w:rsidRDefault="00703BBD" w:rsidP="00D14A5F">
      <w:pPr>
        <w:spacing w:before="120" w:after="0" w:line="360" w:lineRule="auto"/>
        <w:jc w:val="both"/>
        <w:rPr>
          <w:rFonts w:ascii="Times New Roman" w:hAnsi="Times New Roman" w:cs="Times New Roman"/>
          <w:b/>
          <w:sz w:val="24"/>
          <w:szCs w:val="24"/>
        </w:rPr>
      </w:pPr>
      <w:r w:rsidRPr="00205E56">
        <w:rPr>
          <w:rFonts w:ascii="Times New Roman" w:hAnsi="Times New Roman" w:cs="Times New Roman"/>
          <w:b/>
          <w:sz w:val="24"/>
          <w:szCs w:val="24"/>
        </w:rPr>
        <w:t>Korzyści z PSD2 dla nowych uczestników rynku</w:t>
      </w:r>
    </w:p>
    <w:p w14:paraId="68655E71" w14:textId="57D558B6" w:rsidR="00703BBD" w:rsidRPr="00205E56" w:rsidRDefault="00703BB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Od przyjęcia PSD w 2007 r. pojawiły się nowe usługi w dziedzinie płatności internetowych, wśród których </w:t>
      </w:r>
      <w:r w:rsidR="00D751D5" w:rsidRPr="00205E56">
        <w:rPr>
          <w:rFonts w:ascii="Times New Roman" w:hAnsi="Times New Roman" w:cs="Times New Roman"/>
          <w:sz w:val="24"/>
          <w:szCs w:val="24"/>
        </w:rPr>
        <w:t>TPP</w:t>
      </w:r>
      <w:r w:rsidR="00D07BEB" w:rsidRPr="00205E56">
        <w:rPr>
          <w:rFonts w:ascii="Times New Roman" w:hAnsi="Times New Roman" w:cs="Times New Roman"/>
          <w:sz w:val="24"/>
          <w:szCs w:val="24"/>
        </w:rPr>
        <w:t xml:space="preserve"> </w:t>
      </w:r>
      <w:r w:rsidRPr="00205E56">
        <w:rPr>
          <w:rFonts w:ascii="Times New Roman" w:hAnsi="Times New Roman" w:cs="Times New Roman"/>
          <w:sz w:val="24"/>
          <w:szCs w:val="24"/>
        </w:rPr>
        <w:t>oferują konkretne rozwiązania płatnicze lub usługowe dla klientów. Na przykład istnieją usługodawcy, którzy zbierają i konsolidują informacj</w:t>
      </w:r>
      <w:r w:rsidR="00D751D5" w:rsidRPr="00205E56">
        <w:rPr>
          <w:rFonts w:ascii="Times New Roman" w:hAnsi="Times New Roman" w:cs="Times New Roman"/>
          <w:sz w:val="24"/>
          <w:szCs w:val="24"/>
        </w:rPr>
        <w:t>e</w:t>
      </w:r>
      <w:r w:rsidRPr="00205E56">
        <w:rPr>
          <w:rFonts w:ascii="Times New Roman" w:hAnsi="Times New Roman" w:cs="Times New Roman"/>
          <w:sz w:val="24"/>
          <w:szCs w:val="24"/>
        </w:rPr>
        <w:t xml:space="preserve"> na temat różnych rachunków bankowych konsumenta w jednym miejscu (usługi informacyjne dla kont </w:t>
      </w:r>
      <w:r w:rsidR="00205E56" w:rsidRPr="00205E56">
        <w:rPr>
          <w:rFonts w:ascii="Times New Roman" w:hAnsi="Times New Roman" w:cs="Times New Roman"/>
          <w:sz w:val="24"/>
          <w:szCs w:val="24"/>
        </w:rPr>
        <w:t>–</w:t>
      </w:r>
      <w:r w:rsidRPr="00205E56">
        <w:rPr>
          <w:rFonts w:ascii="Times New Roman" w:hAnsi="Times New Roman" w:cs="Times New Roman"/>
          <w:sz w:val="24"/>
          <w:szCs w:val="24"/>
        </w:rPr>
        <w:t xml:space="preserve"> AIS </w:t>
      </w:r>
      <w:proofErr w:type="spellStart"/>
      <w:r w:rsidRPr="00205E56">
        <w:rPr>
          <w:rFonts w:ascii="Times New Roman" w:hAnsi="Times New Roman" w:cs="Times New Roman"/>
          <w:sz w:val="24"/>
          <w:szCs w:val="24"/>
        </w:rPr>
        <w:t>account</w:t>
      </w:r>
      <w:proofErr w:type="spellEnd"/>
      <w:r w:rsidRPr="00205E56">
        <w:rPr>
          <w:rFonts w:ascii="Times New Roman" w:hAnsi="Times New Roman" w:cs="Times New Roman"/>
          <w:sz w:val="24"/>
          <w:szCs w:val="24"/>
        </w:rPr>
        <w:t xml:space="preserve"> </w:t>
      </w:r>
      <w:proofErr w:type="spellStart"/>
      <w:r w:rsidRPr="00205E56">
        <w:rPr>
          <w:rFonts w:ascii="Times New Roman" w:hAnsi="Times New Roman" w:cs="Times New Roman"/>
          <w:sz w:val="24"/>
          <w:szCs w:val="24"/>
        </w:rPr>
        <w:t>information</w:t>
      </w:r>
      <w:proofErr w:type="spellEnd"/>
      <w:r w:rsidRPr="00205E56">
        <w:rPr>
          <w:rFonts w:ascii="Times New Roman" w:hAnsi="Times New Roman" w:cs="Times New Roman"/>
          <w:sz w:val="24"/>
          <w:szCs w:val="24"/>
        </w:rPr>
        <w:t xml:space="preserve"> services). Usługi te zazwyczaj pozwalają konsumentom na całościowy ogląd na ich sytuację finansową, pozwalając analizować strukturę wydatków, dokonane zakupy i potrzeby finansowe w sposób przyjazny dla użytkownika. Inni niezależni dostawcy ułatwiają korzysta</w:t>
      </w:r>
      <w:r w:rsidR="001525DC">
        <w:rPr>
          <w:rFonts w:ascii="Times New Roman" w:hAnsi="Times New Roman" w:cs="Times New Roman"/>
          <w:sz w:val="24"/>
          <w:szCs w:val="24"/>
        </w:rPr>
        <w:t>nie z </w:t>
      </w:r>
      <w:r w:rsidRPr="00205E56">
        <w:rPr>
          <w:rFonts w:ascii="Times New Roman" w:hAnsi="Times New Roman" w:cs="Times New Roman"/>
          <w:sz w:val="24"/>
          <w:szCs w:val="24"/>
        </w:rPr>
        <w:t xml:space="preserve">bankowości internetowej w zakresie dokonywania płatności internetowych (usługi inicjacji płatności </w:t>
      </w:r>
      <w:r w:rsidR="00205E56" w:rsidRPr="00205E56">
        <w:rPr>
          <w:rFonts w:ascii="Times New Roman" w:hAnsi="Times New Roman" w:cs="Times New Roman"/>
          <w:sz w:val="24"/>
          <w:szCs w:val="24"/>
        </w:rPr>
        <w:t>–</w:t>
      </w:r>
      <w:r w:rsidRPr="00205E56">
        <w:rPr>
          <w:rFonts w:ascii="Times New Roman" w:hAnsi="Times New Roman" w:cs="Times New Roman"/>
          <w:sz w:val="24"/>
          <w:szCs w:val="24"/>
        </w:rPr>
        <w:t xml:space="preserve"> PIS </w:t>
      </w:r>
      <w:r w:rsidR="00205E56" w:rsidRPr="00205E56">
        <w:rPr>
          <w:rFonts w:ascii="Times New Roman" w:hAnsi="Times New Roman" w:cs="Times New Roman"/>
          <w:sz w:val="24"/>
          <w:szCs w:val="24"/>
        </w:rPr>
        <w:t>–</w:t>
      </w:r>
      <w:r w:rsidRPr="00205E56">
        <w:rPr>
          <w:rFonts w:ascii="Times New Roman" w:hAnsi="Times New Roman" w:cs="Times New Roman"/>
          <w:sz w:val="24"/>
          <w:szCs w:val="24"/>
        </w:rPr>
        <w:t xml:space="preserve"> </w:t>
      </w:r>
      <w:proofErr w:type="spellStart"/>
      <w:r w:rsidRPr="00205E56">
        <w:rPr>
          <w:rFonts w:ascii="Times New Roman" w:hAnsi="Times New Roman" w:cs="Times New Roman"/>
          <w:sz w:val="24"/>
          <w:szCs w:val="24"/>
        </w:rPr>
        <w:t>payment</w:t>
      </w:r>
      <w:proofErr w:type="spellEnd"/>
      <w:r w:rsidRPr="00205E56">
        <w:rPr>
          <w:rFonts w:ascii="Times New Roman" w:hAnsi="Times New Roman" w:cs="Times New Roman"/>
          <w:sz w:val="24"/>
          <w:szCs w:val="24"/>
        </w:rPr>
        <w:t xml:space="preserve"> </w:t>
      </w:r>
      <w:proofErr w:type="spellStart"/>
      <w:r w:rsidRPr="00205E56">
        <w:rPr>
          <w:rFonts w:ascii="Times New Roman" w:hAnsi="Times New Roman" w:cs="Times New Roman"/>
          <w:sz w:val="24"/>
          <w:szCs w:val="24"/>
        </w:rPr>
        <w:t>initiation</w:t>
      </w:r>
      <w:proofErr w:type="spellEnd"/>
      <w:r w:rsidRPr="00205E56">
        <w:rPr>
          <w:rFonts w:ascii="Times New Roman" w:hAnsi="Times New Roman" w:cs="Times New Roman"/>
          <w:sz w:val="24"/>
          <w:szCs w:val="24"/>
        </w:rPr>
        <w:t xml:space="preserve"> services). Pozwalają na zainicjowanie płatności z konta użytkownika na konto sprzedawcy, tworzą pomost między tymi kontami</w:t>
      </w:r>
      <w:r w:rsidR="00C06BF0" w:rsidRPr="00205E56">
        <w:rPr>
          <w:rFonts w:ascii="Times New Roman" w:hAnsi="Times New Roman" w:cs="Times New Roman"/>
          <w:sz w:val="24"/>
          <w:szCs w:val="24"/>
        </w:rPr>
        <w:t xml:space="preserve">, </w:t>
      </w:r>
      <w:r w:rsidRPr="00205E56">
        <w:rPr>
          <w:rFonts w:ascii="Times New Roman" w:hAnsi="Times New Roman" w:cs="Times New Roman"/>
          <w:sz w:val="24"/>
          <w:szCs w:val="24"/>
        </w:rPr>
        <w:t>wprowadzają informacje niezbędne do przelewu (kwotę transakcji, numer konta, wiadomości) i informują sprzedawcę</w:t>
      </w:r>
      <w:r w:rsidR="00C06BF0" w:rsidRPr="00205E56">
        <w:rPr>
          <w:rFonts w:ascii="Times New Roman" w:hAnsi="Times New Roman" w:cs="Times New Roman"/>
          <w:sz w:val="24"/>
          <w:szCs w:val="24"/>
        </w:rPr>
        <w:t xml:space="preserve"> w momencie </w:t>
      </w:r>
      <w:r w:rsidRPr="00205E56">
        <w:rPr>
          <w:rFonts w:ascii="Times New Roman" w:hAnsi="Times New Roman" w:cs="Times New Roman"/>
          <w:sz w:val="24"/>
          <w:szCs w:val="24"/>
        </w:rPr>
        <w:t>gdy transakcja została zainicjowana.</w:t>
      </w:r>
    </w:p>
    <w:p w14:paraId="13E50A51" w14:textId="2EB91CC1" w:rsidR="00703BBD" w:rsidRPr="00205E56" w:rsidRDefault="00703BB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Do tej pory wejście na rynek płatności było skomplikowan</w:t>
      </w:r>
      <w:r w:rsidR="00A87FAA">
        <w:rPr>
          <w:rFonts w:ascii="Times New Roman" w:hAnsi="Times New Roman" w:cs="Times New Roman"/>
          <w:sz w:val="24"/>
          <w:szCs w:val="24"/>
        </w:rPr>
        <w:t>e</w:t>
      </w:r>
      <w:r w:rsidRPr="00205E56">
        <w:rPr>
          <w:rFonts w:ascii="Times New Roman" w:hAnsi="Times New Roman" w:cs="Times New Roman"/>
          <w:sz w:val="24"/>
          <w:szCs w:val="24"/>
        </w:rPr>
        <w:t xml:space="preserve"> dla </w:t>
      </w:r>
      <w:r w:rsidR="00D751D5" w:rsidRPr="00205E56">
        <w:rPr>
          <w:rFonts w:ascii="Times New Roman" w:hAnsi="Times New Roman" w:cs="Times New Roman"/>
          <w:sz w:val="24"/>
          <w:szCs w:val="24"/>
        </w:rPr>
        <w:t>TPP</w:t>
      </w:r>
      <w:r w:rsidR="00C06BF0" w:rsidRPr="00205E56">
        <w:rPr>
          <w:rFonts w:ascii="Times New Roman" w:hAnsi="Times New Roman" w:cs="Times New Roman"/>
          <w:sz w:val="24"/>
          <w:szCs w:val="24"/>
        </w:rPr>
        <w:t>, ponieważ</w:t>
      </w:r>
      <w:r w:rsidR="00D07BEB" w:rsidRPr="00205E56">
        <w:rPr>
          <w:rFonts w:ascii="Times New Roman" w:hAnsi="Times New Roman" w:cs="Times New Roman"/>
          <w:sz w:val="24"/>
          <w:szCs w:val="24"/>
        </w:rPr>
        <w:t xml:space="preserve"> </w:t>
      </w:r>
      <w:r w:rsidRPr="00205E56">
        <w:rPr>
          <w:rFonts w:ascii="Times New Roman" w:hAnsi="Times New Roman" w:cs="Times New Roman"/>
          <w:sz w:val="24"/>
          <w:szCs w:val="24"/>
        </w:rPr>
        <w:t xml:space="preserve">wiele barier uniemożliwiało im oferowanie swoich rozwiązań na dużą skalę. Po usunięciu tych barier można spodziewać się większej konkurencji ze strony nowych graczy wchodzących na nowe rynki i oferujących tańsze rozwiązania w zakresie płatności dla coraz większej liczby konsumentów w całej Europie. TPP będą musiały spełniać takie same warunki jak tradycyjni dostawcy usług płatniczych, dotyczące rejestracji, licencjonowania i nadzoru przez właściwe organy. Ponadto nowe wymogi </w:t>
      </w:r>
      <w:r w:rsidRPr="00205E56">
        <w:rPr>
          <w:rFonts w:ascii="Times New Roman" w:hAnsi="Times New Roman" w:cs="Times New Roman"/>
          <w:sz w:val="24"/>
          <w:szCs w:val="24"/>
        </w:rPr>
        <w:lastRenderedPageBreak/>
        <w:t>bezpieczeństwa zawarte w PSD</w:t>
      </w:r>
      <w:r w:rsidR="00C06BF0" w:rsidRPr="00205E56">
        <w:rPr>
          <w:rFonts w:ascii="Times New Roman" w:hAnsi="Times New Roman" w:cs="Times New Roman"/>
          <w:sz w:val="24"/>
          <w:szCs w:val="24"/>
        </w:rPr>
        <w:t xml:space="preserve"> </w:t>
      </w:r>
      <w:r w:rsidRPr="00205E56">
        <w:rPr>
          <w:rFonts w:ascii="Times New Roman" w:hAnsi="Times New Roman" w:cs="Times New Roman"/>
          <w:sz w:val="24"/>
          <w:szCs w:val="24"/>
        </w:rPr>
        <w:t>2 zmuszą wszystkich dostawców usług płatniczych do zwiększenia bezpieczeństwa w zakresie płatności internetowych.</w:t>
      </w:r>
    </w:p>
    <w:p w14:paraId="54C9832A" w14:textId="3327648B" w:rsidR="00703BBD" w:rsidRPr="00205E56" w:rsidRDefault="00703BB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Wdrożenie PSD</w:t>
      </w:r>
      <w:r w:rsidR="00C06BF0" w:rsidRPr="00205E56">
        <w:rPr>
          <w:rFonts w:ascii="Times New Roman" w:hAnsi="Times New Roman" w:cs="Times New Roman"/>
          <w:sz w:val="24"/>
          <w:szCs w:val="24"/>
        </w:rPr>
        <w:t xml:space="preserve"> </w:t>
      </w:r>
      <w:r w:rsidRPr="00205E56">
        <w:rPr>
          <w:rFonts w:ascii="Times New Roman" w:hAnsi="Times New Roman" w:cs="Times New Roman"/>
          <w:sz w:val="24"/>
          <w:szCs w:val="24"/>
        </w:rPr>
        <w:t xml:space="preserve">2 pozwoli konsumentom i sprzedawcom w pełni korzystać z rynku wewnętrznego, zwłaszcza w zakresie e-commerce. Dyrektywa </w:t>
      </w:r>
      <w:r w:rsidR="00C06BF0" w:rsidRPr="00205E56">
        <w:rPr>
          <w:rFonts w:ascii="Times New Roman" w:hAnsi="Times New Roman" w:cs="Times New Roman"/>
          <w:sz w:val="24"/>
          <w:szCs w:val="24"/>
        </w:rPr>
        <w:t xml:space="preserve">PSD 2 </w:t>
      </w:r>
      <w:r w:rsidRPr="00205E56">
        <w:rPr>
          <w:rFonts w:ascii="Times New Roman" w:hAnsi="Times New Roman" w:cs="Times New Roman"/>
          <w:sz w:val="24"/>
          <w:szCs w:val="24"/>
        </w:rPr>
        <w:t>ma na celu pomóc w rozwoju unijnego rynku płatności elektronicznych, które umożliwią konsumentom, sprzedawcom w handlu detalicznym i innym uczest</w:t>
      </w:r>
      <w:r w:rsidR="001525DC">
        <w:rPr>
          <w:rFonts w:ascii="Times New Roman" w:hAnsi="Times New Roman" w:cs="Times New Roman"/>
          <w:sz w:val="24"/>
          <w:szCs w:val="24"/>
        </w:rPr>
        <w:t>nikom rynku w pełni korzystać z </w:t>
      </w:r>
      <w:r w:rsidRPr="00205E56">
        <w:rPr>
          <w:rFonts w:ascii="Times New Roman" w:hAnsi="Times New Roman" w:cs="Times New Roman"/>
          <w:sz w:val="24"/>
          <w:szCs w:val="24"/>
        </w:rPr>
        <w:t>rynku wewnętrznego UE w połączeniu z jednolitym rynkiem cyfrowym. Taka dalsza integracja staje się coraz ważniejsza</w:t>
      </w:r>
      <w:r w:rsidR="00C06BF0" w:rsidRPr="00205E56">
        <w:rPr>
          <w:rFonts w:ascii="Times New Roman" w:hAnsi="Times New Roman" w:cs="Times New Roman"/>
          <w:sz w:val="24"/>
          <w:szCs w:val="24"/>
        </w:rPr>
        <w:t xml:space="preserve"> w czasach </w:t>
      </w:r>
      <w:r w:rsidRPr="00205E56">
        <w:rPr>
          <w:rFonts w:ascii="Times New Roman" w:hAnsi="Times New Roman" w:cs="Times New Roman"/>
          <w:sz w:val="24"/>
          <w:szCs w:val="24"/>
        </w:rPr>
        <w:t>gdy świat migruje od tradycyjnej gospodarki do modelu gospodarki cyfrowej.</w:t>
      </w:r>
    </w:p>
    <w:p w14:paraId="51B9D5DF" w14:textId="67B481A8" w:rsidR="00703BBD" w:rsidRPr="00205E56" w:rsidRDefault="00703BBD" w:rsidP="00D14A5F">
      <w:pPr>
        <w:spacing w:before="120" w:after="0" w:line="360" w:lineRule="auto"/>
        <w:jc w:val="both"/>
        <w:rPr>
          <w:rFonts w:ascii="Times New Roman" w:hAnsi="Times New Roman" w:cs="Times New Roman"/>
          <w:color w:val="000000"/>
          <w:sz w:val="24"/>
          <w:szCs w:val="24"/>
        </w:rPr>
      </w:pPr>
      <w:r w:rsidRPr="00205E56">
        <w:rPr>
          <w:rFonts w:ascii="Times New Roman" w:hAnsi="Times New Roman" w:cs="Times New Roman"/>
          <w:color w:val="000000"/>
          <w:sz w:val="24"/>
          <w:szCs w:val="24"/>
        </w:rPr>
        <w:t>Dyrektywa PSD</w:t>
      </w:r>
      <w:r w:rsidR="00C06BF0" w:rsidRPr="00205E56">
        <w:rPr>
          <w:rFonts w:ascii="Times New Roman" w:hAnsi="Times New Roman" w:cs="Times New Roman"/>
          <w:color w:val="000000"/>
          <w:sz w:val="24"/>
          <w:szCs w:val="24"/>
        </w:rPr>
        <w:t xml:space="preserve"> </w:t>
      </w:r>
      <w:r w:rsidRPr="00205E56">
        <w:rPr>
          <w:rFonts w:ascii="Times New Roman" w:hAnsi="Times New Roman" w:cs="Times New Roman"/>
          <w:color w:val="000000"/>
          <w:sz w:val="24"/>
          <w:szCs w:val="24"/>
        </w:rPr>
        <w:t>2 w całości zastąpi stosowane dotychczas przepisy dyrektywy PSD.</w:t>
      </w:r>
      <w:r w:rsidRPr="00205E56">
        <w:rPr>
          <w:rFonts w:ascii="Times New Roman" w:hAnsi="Times New Roman" w:cs="Times New Roman"/>
          <w:sz w:val="24"/>
          <w:szCs w:val="24"/>
        </w:rPr>
        <w:t xml:space="preserve"> </w:t>
      </w:r>
      <w:r w:rsidR="00C06BF0" w:rsidRPr="00205E56">
        <w:rPr>
          <w:rFonts w:ascii="Times New Roman" w:hAnsi="Times New Roman" w:cs="Times New Roman"/>
          <w:sz w:val="24"/>
          <w:szCs w:val="24"/>
        </w:rPr>
        <w:t xml:space="preserve">Projektowana regulacja zapewnia </w:t>
      </w:r>
      <w:r w:rsidR="00474DFD" w:rsidRPr="00205E56">
        <w:rPr>
          <w:rFonts w:ascii="Times New Roman" w:hAnsi="Times New Roman" w:cs="Times New Roman"/>
          <w:color w:val="000000"/>
          <w:sz w:val="24"/>
          <w:szCs w:val="24"/>
        </w:rPr>
        <w:t>pełn</w:t>
      </w:r>
      <w:r w:rsidR="00C06BF0" w:rsidRPr="00205E56">
        <w:rPr>
          <w:rFonts w:ascii="Times New Roman" w:hAnsi="Times New Roman" w:cs="Times New Roman"/>
          <w:color w:val="000000"/>
          <w:sz w:val="24"/>
          <w:szCs w:val="24"/>
        </w:rPr>
        <w:t xml:space="preserve">ą </w:t>
      </w:r>
      <w:r w:rsidR="00474DFD" w:rsidRPr="00205E56">
        <w:rPr>
          <w:rFonts w:ascii="Times New Roman" w:hAnsi="Times New Roman" w:cs="Times New Roman"/>
          <w:color w:val="000000"/>
          <w:sz w:val="24"/>
          <w:szCs w:val="24"/>
        </w:rPr>
        <w:t>transpo</w:t>
      </w:r>
      <w:r w:rsidR="00C06BF0" w:rsidRPr="00205E56">
        <w:rPr>
          <w:rFonts w:ascii="Times New Roman" w:hAnsi="Times New Roman" w:cs="Times New Roman"/>
          <w:color w:val="000000"/>
          <w:sz w:val="24"/>
          <w:szCs w:val="24"/>
        </w:rPr>
        <w:t xml:space="preserve">zycję PSD 2 </w:t>
      </w:r>
      <w:r w:rsidR="00474DFD" w:rsidRPr="00205E56">
        <w:rPr>
          <w:rFonts w:ascii="Times New Roman" w:hAnsi="Times New Roman" w:cs="Times New Roman"/>
          <w:color w:val="000000"/>
          <w:sz w:val="24"/>
          <w:szCs w:val="24"/>
        </w:rPr>
        <w:t>do polskiego systemu prawnego.</w:t>
      </w:r>
    </w:p>
    <w:p w14:paraId="614EB044" w14:textId="0DAD3E9B" w:rsidR="00D7284A" w:rsidRPr="00205E56" w:rsidRDefault="00D7284A" w:rsidP="00D14A5F">
      <w:pPr>
        <w:spacing w:before="120" w:after="0" w:line="360" w:lineRule="auto"/>
        <w:jc w:val="both"/>
        <w:rPr>
          <w:rFonts w:ascii="Times New Roman" w:hAnsi="Times New Roman" w:cs="Times New Roman"/>
          <w:b/>
          <w:color w:val="000000"/>
          <w:sz w:val="24"/>
          <w:szCs w:val="24"/>
        </w:rPr>
      </w:pPr>
      <w:r w:rsidRPr="00205E56">
        <w:rPr>
          <w:rFonts w:ascii="Times New Roman" w:hAnsi="Times New Roman" w:cs="Times New Roman"/>
          <w:b/>
          <w:color w:val="000000"/>
          <w:sz w:val="24"/>
          <w:szCs w:val="24"/>
        </w:rPr>
        <w:t>Ogólny opis n</w:t>
      </w:r>
      <w:r w:rsidR="00474DFD" w:rsidRPr="00205E56">
        <w:rPr>
          <w:rFonts w:ascii="Times New Roman" w:hAnsi="Times New Roman" w:cs="Times New Roman"/>
          <w:b/>
          <w:color w:val="000000"/>
          <w:sz w:val="24"/>
          <w:szCs w:val="24"/>
        </w:rPr>
        <w:t>ajważniejsz</w:t>
      </w:r>
      <w:r w:rsidRPr="00205E56">
        <w:rPr>
          <w:rFonts w:ascii="Times New Roman" w:hAnsi="Times New Roman" w:cs="Times New Roman"/>
          <w:b/>
          <w:color w:val="000000"/>
          <w:sz w:val="24"/>
          <w:szCs w:val="24"/>
        </w:rPr>
        <w:t>ych</w:t>
      </w:r>
      <w:r w:rsidR="00474DFD" w:rsidRPr="00205E56">
        <w:rPr>
          <w:rFonts w:ascii="Times New Roman" w:hAnsi="Times New Roman" w:cs="Times New Roman"/>
          <w:b/>
          <w:color w:val="000000"/>
          <w:sz w:val="24"/>
          <w:szCs w:val="24"/>
        </w:rPr>
        <w:t xml:space="preserve"> zmian wprowadzan</w:t>
      </w:r>
      <w:r w:rsidRPr="00205E56">
        <w:rPr>
          <w:rFonts w:ascii="Times New Roman" w:hAnsi="Times New Roman" w:cs="Times New Roman"/>
          <w:b/>
          <w:color w:val="000000"/>
          <w:sz w:val="24"/>
          <w:szCs w:val="24"/>
        </w:rPr>
        <w:t>ych w ustaw</w:t>
      </w:r>
      <w:r w:rsidR="00A8052F" w:rsidRPr="00205E56">
        <w:rPr>
          <w:rFonts w:ascii="Times New Roman" w:hAnsi="Times New Roman" w:cs="Times New Roman"/>
          <w:b/>
          <w:color w:val="000000"/>
          <w:sz w:val="24"/>
          <w:szCs w:val="24"/>
        </w:rPr>
        <w:t>ie:</w:t>
      </w:r>
    </w:p>
    <w:p w14:paraId="22CCFBE5" w14:textId="6BEDE7B2" w:rsidR="00474DFD" w:rsidRPr="00205E56" w:rsidRDefault="00474DFD" w:rsidP="00D14A5F">
      <w:pPr>
        <w:spacing w:before="120" w:after="0" w:line="360" w:lineRule="auto"/>
        <w:ind w:left="426" w:hanging="426"/>
        <w:jc w:val="both"/>
        <w:rPr>
          <w:rFonts w:ascii="Times New Roman" w:hAnsi="Times New Roman" w:cs="Times New Roman"/>
          <w:color w:val="000000"/>
          <w:sz w:val="24"/>
          <w:szCs w:val="24"/>
        </w:rPr>
      </w:pPr>
      <w:r w:rsidRPr="00205E56">
        <w:rPr>
          <w:rFonts w:ascii="Times New Roman" w:hAnsi="Times New Roman" w:cs="Times New Roman"/>
          <w:bCs/>
          <w:color w:val="000000"/>
          <w:sz w:val="24"/>
          <w:szCs w:val="24"/>
        </w:rPr>
        <w:t>1)</w:t>
      </w:r>
      <w:r w:rsidR="00D14A5F">
        <w:rPr>
          <w:rFonts w:ascii="Times New Roman" w:hAnsi="Times New Roman" w:cs="Times New Roman"/>
          <w:bCs/>
          <w:color w:val="000000"/>
          <w:sz w:val="24"/>
          <w:szCs w:val="24"/>
        </w:rPr>
        <w:tab/>
      </w:r>
      <w:r w:rsidRPr="00205E56">
        <w:rPr>
          <w:rFonts w:ascii="Times New Roman" w:hAnsi="Times New Roman" w:cs="Times New Roman"/>
          <w:bCs/>
          <w:color w:val="000000"/>
          <w:sz w:val="24"/>
          <w:szCs w:val="24"/>
        </w:rPr>
        <w:t xml:space="preserve">wprowadzenie nowej kategorii dostawców </w:t>
      </w:r>
      <w:r w:rsidR="00205E56" w:rsidRPr="00205E56">
        <w:rPr>
          <w:rFonts w:ascii="Times New Roman" w:hAnsi="Times New Roman" w:cs="Times New Roman"/>
          <w:bCs/>
          <w:color w:val="000000"/>
          <w:sz w:val="24"/>
          <w:szCs w:val="24"/>
        </w:rPr>
        <w:t>–</w:t>
      </w:r>
      <w:r w:rsidRPr="00205E56">
        <w:rPr>
          <w:rFonts w:ascii="Times New Roman" w:hAnsi="Times New Roman" w:cs="Times New Roman"/>
          <w:b/>
          <w:bCs/>
          <w:color w:val="000000"/>
          <w:sz w:val="24"/>
          <w:szCs w:val="24"/>
        </w:rPr>
        <w:t xml:space="preserve"> </w:t>
      </w:r>
      <w:r w:rsidRPr="00205E56">
        <w:rPr>
          <w:rFonts w:ascii="Times New Roman" w:hAnsi="Times New Roman" w:cs="Times New Roman"/>
          <w:bCs/>
          <w:color w:val="000000"/>
          <w:sz w:val="24"/>
          <w:szCs w:val="24"/>
        </w:rPr>
        <w:t>k</w:t>
      </w:r>
      <w:r w:rsidRPr="00205E56">
        <w:rPr>
          <w:rFonts w:ascii="Times New Roman" w:hAnsi="Times New Roman" w:cs="Times New Roman"/>
          <w:color w:val="000000"/>
          <w:sz w:val="24"/>
          <w:szCs w:val="24"/>
        </w:rPr>
        <w:t xml:space="preserve">atalog usług płatniczych rozszerzony został o dwa nowe typy usług: </w:t>
      </w:r>
    </w:p>
    <w:p w14:paraId="2CE835D7" w14:textId="125600C9" w:rsidR="00474DFD" w:rsidRPr="00205E56" w:rsidRDefault="00E04360" w:rsidP="00D14A5F">
      <w:pPr>
        <w:spacing w:after="0" w:line="360" w:lineRule="auto"/>
        <w:ind w:left="709" w:hanging="284"/>
        <w:jc w:val="both"/>
        <w:rPr>
          <w:rFonts w:ascii="Times New Roman" w:hAnsi="Times New Roman" w:cs="Times New Roman"/>
          <w:color w:val="000000"/>
          <w:sz w:val="24"/>
          <w:szCs w:val="24"/>
        </w:rPr>
      </w:pPr>
      <w:r w:rsidRPr="00205E56">
        <w:rPr>
          <w:rFonts w:ascii="Times New Roman" w:hAnsi="Times New Roman" w:cs="Times New Roman"/>
          <w:color w:val="000000"/>
          <w:sz w:val="24"/>
          <w:szCs w:val="24"/>
        </w:rPr>
        <w:t>–</w:t>
      </w:r>
      <w:r w:rsidR="00D14A5F">
        <w:rPr>
          <w:rFonts w:ascii="Times New Roman" w:hAnsi="Times New Roman" w:cs="Times New Roman"/>
          <w:color w:val="000000"/>
          <w:sz w:val="24"/>
          <w:szCs w:val="24"/>
        </w:rPr>
        <w:tab/>
      </w:r>
      <w:r w:rsidR="00474DFD" w:rsidRPr="00205E56">
        <w:rPr>
          <w:rFonts w:ascii="Times New Roman" w:hAnsi="Times New Roman" w:cs="Times New Roman"/>
          <w:color w:val="000000"/>
          <w:sz w:val="24"/>
          <w:szCs w:val="24"/>
        </w:rPr>
        <w:t>usługę inicjowania transakcji płatniczej (</w:t>
      </w:r>
      <w:proofErr w:type="spellStart"/>
      <w:r w:rsidR="00474DFD" w:rsidRPr="00205E56">
        <w:rPr>
          <w:rFonts w:ascii="Times New Roman" w:hAnsi="Times New Roman" w:cs="Times New Roman"/>
          <w:color w:val="000000"/>
          <w:sz w:val="24"/>
          <w:szCs w:val="24"/>
        </w:rPr>
        <w:t>payment</w:t>
      </w:r>
      <w:proofErr w:type="spellEnd"/>
      <w:r w:rsidR="00474DFD" w:rsidRPr="00205E56">
        <w:rPr>
          <w:rFonts w:ascii="Times New Roman" w:hAnsi="Times New Roman" w:cs="Times New Roman"/>
          <w:color w:val="000000"/>
          <w:sz w:val="24"/>
          <w:szCs w:val="24"/>
        </w:rPr>
        <w:t xml:space="preserve"> </w:t>
      </w:r>
      <w:proofErr w:type="spellStart"/>
      <w:r w:rsidR="00474DFD" w:rsidRPr="00205E56">
        <w:rPr>
          <w:rFonts w:ascii="Times New Roman" w:hAnsi="Times New Roman" w:cs="Times New Roman"/>
          <w:color w:val="000000"/>
          <w:sz w:val="24"/>
          <w:szCs w:val="24"/>
        </w:rPr>
        <w:t>initiation</w:t>
      </w:r>
      <w:proofErr w:type="spellEnd"/>
      <w:r w:rsidR="00474DFD" w:rsidRPr="00205E56">
        <w:rPr>
          <w:rFonts w:ascii="Times New Roman" w:hAnsi="Times New Roman" w:cs="Times New Roman"/>
          <w:color w:val="000000"/>
          <w:sz w:val="24"/>
          <w:szCs w:val="24"/>
        </w:rPr>
        <w:t xml:space="preserve"> service; „PIS”) oraz</w:t>
      </w:r>
    </w:p>
    <w:p w14:paraId="6366550A" w14:textId="3ABEA885" w:rsidR="00474DFD" w:rsidRPr="00205E56" w:rsidRDefault="00E04360" w:rsidP="00D14A5F">
      <w:pPr>
        <w:spacing w:after="0" w:line="360" w:lineRule="auto"/>
        <w:ind w:left="709" w:hanging="284"/>
        <w:jc w:val="both"/>
        <w:rPr>
          <w:rFonts w:ascii="Times New Roman" w:hAnsi="Times New Roman" w:cs="Times New Roman"/>
          <w:color w:val="000000"/>
          <w:sz w:val="24"/>
          <w:szCs w:val="24"/>
        </w:rPr>
      </w:pPr>
      <w:r w:rsidRPr="00205E56">
        <w:rPr>
          <w:rFonts w:ascii="Times New Roman" w:hAnsi="Times New Roman" w:cs="Times New Roman"/>
          <w:color w:val="000000"/>
          <w:sz w:val="24"/>
          <w:szCs w:val="24"/>
        </w:rPr>
        <w:t>–</w:t>
      </w:r>
      <w:r w:rsidR="00D14A5F">
        <w:rPr>
          <w:rFonts w:ascii="Times New Roman" w:hAnsi="Times New Roman" w:cs="Times New Roman"/>
          <w:color w:val="000000"/>
          <w:sz w:val="24"/>
          <w:szCs w:val="24"/>
        </w:rPr>
        <w:tab/>
      </w:r>
      <w:r w:rsidR="00474DFD" w:rsidRPr="00205E56">
        <w:rPr>
          <w:rFonts w:ascii="Times New Roman" w:hAnsi="Times New Roman" w:cs="Times New Roman"/>
          <w:color w:val="000000"/>
          <w:sz w:val="24"/>
          <w:szCs w:val="24"/>
        </w:rPr>
        <w:t>usługę dostępu do informacji o rachunku (</w:t>
      </w:r>
      <w:proofErr w:type="spellStart"/>
      <w:r w:rsidR="00474DFD" w:rsidRPr="00205E56">
        <w:rPr>
          <w:rFonts w:ascii="Times New Roman" w:hAnsi="Times New Roman" w:cs="Times New Roman"/>
          <w:color w:val="000000"/>
          <w:sz w:val="24"/>
          <w:szCs w:val="24"/>
        </w:rPr>
        <w:t>account</w:t>
      </w:r>
      <w:proofErr w:type="spellEnd"/>
      <w:r w:rsidR="00474DFD" w:rsidRPr="00205E56">
        <w:rPr>
          <w:rFonts w:ascii="Times New Roman" w:hAnsi="Times New Roman" w:cs="Times New Roman"/>
          <w:color w:val="000000"/>
          <w:sz w:val="24"/>
          <w:szCs w:val="24"/>
        </w:rPr>
        <w:t xml:space="preserve"> </w:t>
      </w:r>
      <w:proofErr w:type="spellStart"/>
      <w:r w:rsidR="00474DFD" w:rsidRPr="00205E56">
        <w:rPr>
          <w:rFonts w:ascii="Times New Roman" w:hAnsi="Times New Roman" w:cs="Times New Roman"/>
          <w:color w:val="000000"/>
          <w:sz w:val="24"/>
          <w:szCs w:val="24"/>
        </w:rPr>
        <w:t>information</w:t>
      </w:r>
      <w:proofErr w:type="spellEnd"/>
      <w:r w:rsidR="00474DFD" w:rsidRPr="00205E56">
        <w:rPr>
          <w:rFonts w:ascii="Times New Roman" w:hAnsi="Times New Roman" w:cs="Times New Roman"/>
          <w:color w:val="000000"/>
          <w:sz w:val="24"/>
          <w:szCs w:val="24"/>
        </w:rPr>
        <w:t xml:space="preserve"> service; „AIS”).</w:t>
      </w:r>
    </w:p>
    <w:p w14:paraId="67D95BF6" w14:textId="34F1F802" w:rsidR="00474DFD" w:rsidRPr="00205E56" w:rsidRDefault="00474DFD" w:rsidP="00D14A5F">
      <w:pPr>
        <w:spacing w:before="120" w:after="0" w:line="360" w:lineRule="auto"/>
        <w:jc w:val="both"/>
        <w:rPr>
          <w:rFonts w:ascii="Times New Roman" w:hAnsi="Times New Roman" w:cs="Times New Roman"/>
          <w:color w:val="000000"/>
          <w:sz w:val="24"/>
          <w:szCs w:val="24"/>
        </w:rPr>
      </w:pPr>
      <w:r w:rsidRPr="00205E56">
        <w:rPr>
          <w:rFonts w:ascii="Times New Roman" w:hAnsi="Times New Roman" w:cs="Times New Roman"/>
          <w:color w:val="000000"/>
          <w:sz w:val="24"/>
          <w:szCs w:val="24"/>
        </w:rPr>
        <w:t>Dostawca świadczący usługę dostępu do informacji o rachunku zapewni klientowi zagregowane informacje online o co najmniej jednym lub kilku rachunkach płatniczych, prowadzonych przez jednego lub kilku dostawców usług płatniczych. W ten sposób klient zysk</w:t>
      </w:r>
      <w:r w:rsidR="00853153" w:rsidRPr="00205E56">
        <w:rPr>
          <w:rFonts w:ascii="Times New Roman" w:hAnsi="Times New Roman" w:cs="Times New Roman"/>
          <w:color w:val="000000"/>
          <w:sz w:val="24"/>
          <w:szCs w:val="24"/>
        </w:rPr>
        <w:t xml:space="preserve">a </w:t>
      </w:r>
      <w:r w:rsidRPr="00205E56">
        <w:rPr>
          <w:rFonts w:ascii="Times New Roman" w:hAnsi="Times New Roman" w:cs="Times New Roman"/>
          <w:color w:val="000000"/>
          <w:sz w:val="24"/>
          <w:szCs w:val="24"/>
        </w:rPr>
        <w:t>możliwość natychmiastowego uzyskania obrazu jego sytuacji finansowej na dany moment.</w:t>
      </w:r>
    </w:p>
    <w:p w14:paraId="18A9EBD3" w14:textId="7A43684F" w:rsidR="00474DFD" w:rsidRPr="00205E56" w:rsidRDefault="00474DFD" w:rsidP="00D14A5F">
      <w:pPr>
        <w:spacing w:before="120" w:after="0" w:line="360" w:lineRule="auto"/>
        <w:jc w:val="both"/>
        <w:rPr>
          <w:rFonts w:ascii="Times New Roman" w:hAnsi="Times New Roman" w:cs="Times New Roman"/>
          <w:color w:val="000000"/>
          <w:sz w:val="24"/>
          <w:szCs w:val="24"/>
        </w:rPr>
      </w:pPr>
      <w:r w:rsidRPr="00205E56">
        <w:rPr>
          <w:rFonts w:ascii="Times New Roman" w:hAnsi="Times New Roman" w:cs="Times New Roman"/>
          <w:bCs/>
          <w:color w:val="000000"/>
          <w:sz w:val="24"/>
          <w:szCs w:val="24"/>
        </w:rPr>
        <w:t>Usługa inicjowania płatności</w:t>
      </w:r>
      <w:r w:rsidRPr="00205E56">
        <w:rPr>
          <w:rFonts w:ascii="Times New Roman" w:hAnsi="Times New Roman" w:cs="Times New Roman"/>
          <w:color w:val="000000"/>
          <w:sz w:val="24"/>
          <w:szCs w:val="24"/>
        </w:rPr>
        <w:t xml:space="preserve"> polega na udzieleniu dostawcy tej usługi dostępu do rachunku online płatnika</w:t>
      </w:r>
      <w:r w:rsidR="004F212C" w:rsidRPr="00205E56">
        <w:rPr>
          <w:rFonts w:ascii="Times New Roman" w:hAnsi="Times New Roman" w:cs="Times New Roman"/>
          <w:color w:val="000000"/>
          <w:sz w:val="24"/>
          <w:szCs w:val="24"/>
        </w:rPr>
        <w:t xml:space="preserve"> </w:t>
      </w:r>
      <w:r w:rsidRPr="00205E56">
        <w:rPr>
          <w:rFonts w:ascii="Times New Roman" w:hAnsi="Times New Roman" w:cs="Times New Roman"/>
          <w:color w:val="000000"/>
          <w:sz w:val="24"/>
          <w:szCs w:val="24"/>
        </w:rPr>
        <w:t>w celu sprawdzenia dostępności środków pieniężnych, zainicjowania płatności, po czym – przedstawienia płatnikowi informacji o dokonaniu płatności.</w:t>
      </w:r>
    </w:p>
    <w:p w14:paraId="49C8B001" w14:textId="57751A4D" w:rsidR="00474DFD" w:rsidRPr="00205E56" w:rsidRDefault="00474DFD" w:rsidP="00D14A5F">
      <w:pPr>
        <w:spacing w:before="120" w:after="0" w:line="360" w:lineRule="auto"/>
        <w:jc w:val="both"/>
        <w:rPr>
          <w:rFonts w:ascii="Times New Roman" w:hAnsi="Times New Roman" w:cs="Times New Roman"/>
          <w:color w:val="000000"/>
          <w:sz w:val="24"/>
          <w:szCs w:val="24"/>
        </w:rPr>
      </w:pPr>
      <w:r w:rsidRPr="00205E56">
        <w:rPr>
          <w:rFonts w:ascii="Times New Roman" w:hAnsi="Times New Roman" w:cs="Times New Roman"/>
          <w:color w:val="000000"/>
          <w:sz w:val="24"/>
          <w:szCs w:val="24"/>
        </w:rPr>
        <w:t>Obie usługi mają charakter pomocniczy w stosunku do „usług właściwych”, t</w:t>
      </w:r>
      <w:r w:rsidR="00853153" w:rsidRPr="00205E56">
        <w:rPr>
          <w:rFonts w:ascii="Times New Roman" w:hAnsi="Times New Roman" w:cs="Times New Roman"/>
          <w:color w:val="000000"/>
          <w:sz w:val="24"/>
          <w:szCs w:val="24"/>
        </w:rPr>
        <w:t>j. usług, skutkujących</w:t>
      </w:r>
      <w:r w:rsidR="00D07BEB" w:rsidRPr="00205E56">
        <w:rPr>
          <w:rFonts w:ascii="Times New Roman" w:hAnsi="Times New Roman" w:cs="Times New Roman"/>
          <w:color w:val="000000"/>
          <w:sz w:val="24"/>
          <w:szCs w:val="24"/>
        </w:rPr>
        <w:t xml:space="preserve"> </w:t>
      </w:r>
      <w:r w:rsidRPr="00205E56">
        <w:rPr>
          <w:rFonts w:ascii="Times New Roman" w:hAnsi="Times New Roman" w:cs="Times New Roman"/>
          <w:color w:val="000000"/>
          <w:sz w:val="24"/>
          <w:szCs w:val="24"/>
        </w:rPr>
        <w:t>faktyczn</w:t>
      </w:r>
      <w:r w:rsidR="00853153" w:rsidRPr="00205E56">
        <w:rPr>
          <w:rFonts w:ascii="Times New Roman" w:hAnsi="Times New Roman" w:cs="Times New Roman"/>
          <w:color w:val="000000"/>
          <w:sz w:val="24"/>
          <w:szCs w:val="24"/>
        </w:rPr>
        <w:t xml:space="preserve">ym </w:t>
      </w:r>
      <w:r w:rsidRPr="00205E56">
        <w:rPr>
          <w:rFonts w:ascii="Times New Roman" w:hAnsi="Times New Roman" w:cs="Times New Roman"/>
          <w:color w:val="000000"/>
          <w:sz w:val="24"/>
          <w:szCs w:val="24"/>
        </w:rPr>
        <w:t>przesunięci</w:t>
      </w:r>
      <w:r w:rsidR="00853153" w:rsidRPr="00205E56">
        <w:rPr>
          <w:rFonts w:ascii="Times New Roman" w:hAnsi="Times New Roman" w:cs="Times New Roman"/>
          <w:color w:val="000000"/>
          <w:sz w:val="24"/>
          <w:szCs w:val="24"/>
        </w:rPr>
        <w:t>em</w:t>
      </w:r>
      <w:r w:rsidRPr="00205E56">
        <w:rPr>
          <w:rFonts w:ascii="Times New Roman" w:hAnsi="Times New Roman" w:cs="Times New Roman"/>
          <w:color w:val="000000"/>
          <w:sz w:val="24"/>
          <w:szCs w:val="24"/>
        </w:rPr>
        <w:t xml:space="preserve"> środków pieniężnych klienta. Dostawcy tych usług nie wchodzą na żadnym etapie w posiadanie środków pieniężnych klienta.</w:t>
      </w:r>
    </w:p>
    <w:p w14:paraId="3314F29A" w14:textId="0E90DB67" w:rsidR="00474DFD" w:rsidRPr="00205E56" w:rsidRDefault="00474DFD" w:rsidP="00D14A5F">
      <w:pPr>
        <w:spacing w:before="120" w:after="0" w:line="360" w:lineRule="auto"/>
        <w:jc w:val="both"/>
        <w:rPr>
          <w:rFonts w:ascii="Times New Roman" w:hAnsi="Times New Roman" w:cs="Times New Roman"/>
          <w:color w:val="000000"/>
          <w:sz w:val="24"/>
          <w:szCs w:val="24"/>
        </w:rPr>
      </w:pPr>
      <w:r w:rsidRPr="00205E56">
        <w:rPr>
          <w:rFonts w:ascii="Times New Roman" w:hAnsi="Times New Roman" w:cs="Times New Roman"/>
          <w:color w:val="000000"/>
          <w:sz w:val="24"/>
          <w:szCs w:val="24"/>
        </w:rPr>
        <w:t xml:space="preserve">Co do zasady wszystkie instytucje płatnicze, w tym także świadczący ww. usługi, muszą uzyskać zezwolenie na świadczenie usług płatniczych. Wyjątkiem jest </w:t>
      </w:r>
      <w:r w:rsidRPr="00205E56">
        <w:rPr>
          <w:rFonts w:ascii="Times New Roman" w:hAnsi="Times New Roman" w:cs="Times New Roman"/>
          <w:color w:val="000000"/>
          <w:sz w:val="24"/>
          <w:szCs w:val="24"/>
        </w:rPr>
        <w:lastRenderedPageBreak/>
        <w:t>dostarczanie usług dostępu do informacji o r</w:t>
      </w:r>
      <w:r w:rsidR="001525DC">
        <w:rPr>
          <w:rFonts w:ascii="Times New Roman" w:hAnsi="Times New Roman" w:cs="Times New Roman"/>
          <w:color w:val="000000"/>
          <w:sz w:val="24"/>
          <w:szCs w:val="24"/>
        </w:rPr>
        <w:t>achunku, które będą zwolnione z </w:t>
      </w:r>
      <w:r w:rsidRPr="00205E56">
        <w:rPr>
          <w:rFonts w:ascii="Times New Roman" w:hAnsi="Times New Roman" w:cs="Times New Roman"/>
          <w:color w:val="000000"/>
          <w:sz w:val="24"/>
          <w:szCs w:val="24"/>
        </w:rPr>
        <w:t>obowiązku uzyskania zezwolenia</w:t>
      </w:r>
      <w:r w:rsidR="00853153" w:rsidRPr="00205E56">
        <w:rPr>
          <w:rFonts w:ascii="Times New Roman" w:hAnsi="Times New Roman" w:cs="Times New Roman"/>
          <w:color w:val="000000"/>
          <w:sz w:val="24"/>
          <w:szCs w:val="24"/>
        </w:rPr>
        <w:t xml:space="preserve"> – będą </w:t>
      </w:r>
      <w:r w:rsidRPr="00205E56">
        <w:rPr>
          <w:rFonts w:ascii="Times New Roman" w:hAnsi="Times New Roman" w:cs="Times New Roman"/>
          <w:color w:val="000000"/>
          <w:sz w:val="24"/>
          <w:szCs w:val="24"/>
        </w:rPr>
        <w:t>podlega</w:t>
      </w:r>
      <w:r w:rsidR="00853153" w:rsidRPr="00205E56">
        <w:rPr>
          <w:rFonts w:ascii="Times New Roman" w:hAnsi="Times New Roman" w:cs="Times New Roman"/>
          <w:color w:val="000000"/>
          <w:sz w:val="24"/>
          <w:szCs w:val="24"/>
        </w:rPr>
        <w:t xml:space="preserve">ć </w:t>
      </w:r>
      <w:r w:rsidRPr="00205E56">
        <w:rPr>
          <w:rFonts w:ascii="Times New Roman" w:hAnsi="Times New Roman" w:cs="Times New Roman"/>
          <w:color w:val="000000"/>
          <w:sz w:val="24"/>
          <w:szCs w:val="24"/>
        </w:rPr>
        <w:t>tylko rejestracji. Ponadto ww. usługodawcy będą zwolnieni z niektórych wymogów, które muszą spełniać instytucje płatnicze (m.in. posiadanie funduszy własnych i wymogi ochrony środków pieniężnych klienta)</w:t>
      </w:r>
      <w:r w:rsidR="00853153" w:rsidRPr="00205E56">
        <w:rPr>
          <w:rFonts w:ascii="Times New Roman" w:hAnsi="Times New Roman" w:cs="Times New Roman"/>
          <w:color w:val="000000"/>
          <w:sz w:val="24"/>
          <w:szCs w:val="24"/>
        </w:rPr>
        <w:t xml:space="preserve">, jednak </w:t>
      </w:r>
      <w:r w:rsidRPr="00205E56">
        <w:rPr>
          <w:rFonts w:ascii="Times New Roman" w:hAnsi="Times New Roman" w:cs="Times New Roman"/>
          <w:color w:val="000000"/>
          <w:sz w:val="24"/>
          <w:szCs w:val="24"/>
        </w:rPr>
        <w:t>będą mieli obowiązek posiadania ubezpieczenia odpowiedzialności cywilnej</w:t>
      </w:r>
      <w:r w:rsidR="00853153" w:rsidRPr="00205E56">
        <w:rPr>
          <w:rFonts w:ascii="Times New Roman" w:hAnsi="Times New Roman" w:cs="Times New Roman"/>
          <w:color w:val="000000"/>
          <w:sz w:val="24"/>
          <w:szCs w:val="24"/>
        </w:rPr>
        <w:t xml:space="preserve">; </w:t>
      </w:r>
    </w:p>
    <w:p w14:paraId="45ABC86D" w14:textId="632A8A38" w:rsidR="00474DFD" w:rsidRPr="00205E56" w:rsidRDefault="00D14A5F" w:rsidP="00D14A5F">
      <w:pPr>
        <w:spacing w:before="120" w:after="0" w:line="360" w:lineRule="auto"/>
        <w:ind w:left="426" w:hanging="426"/>
        <w:jc w:val="both"/>
        <w:rPr>
          <w:rFonts w:ascii="Times New Roman" w:hAnsi="Times New Roman" w:cs="Times New Roman"/>
          <w:color w:val="000000"/>
          <w:sz w:val="24"/>
          <w:szCs w:val="24"/>
        </w:rPr>
      </w:pPr>
      <w:r>
        <w:rPr>
          <w:rFonts w:ascii="Times New Roman" w:hAnsi="Times New Roman" w:cs="Times New Roman"/>
          <w:bCs/>
          <w:color w:val="000000"/>
          <w:sz w:val="24"/>
          <w:szCs w:val="24"/>
        </w:rPr>
        <w:t>2)</w:t>
      </w:r>
      <w:r>
        <w:rPr>
          <w:rFonts w:ascii="Times New Roman" w:hAnsi="Times New Roman" w:cs="Times New Roman"/>
          <w:bCs/>
          <w:color w:val="000000"/>
          <w:sz w:val="24"/>
          <w:szCs w:val="24"/>
        </w:rPr>
        <w:tab/>
      </w:r>
      <w:r w:rsidR="00474DFD" w:rsidRPr="00205E56">
        <w:rPr>
          <w:rFonts w:ascii="Times New Roman" w:hAnsi="Times New Roman" w:cs="Times New Roman"/>
          <w:bCs/>
          <w:color w:val="000000"/>
          <w:sz w:val="24"/>
          <w:szCs w:val="24"/>
        </w:rPr>
        <w:t xml:space="preserve">modyfikacja zakresu </w:t>
      </w:r>
      <w:proofErr w:type="spellStart"/>
      <w:r w:rsidR="00474DFD" w:rsidRPr="00205E56">
        <w:rPr>
          <w:rFonts w:ascii="Times New Roman" w:hAnsi="Times New Roman" w:cs="Times New Roman"/>
          <w:bCs/>
          <w:color w:val="000000"/>
          <w:sz w:val="24"/>
          <w:szCs w:val="24"/>
        </w:rPr>
        <w:t>wyłączeń</w:t>
      </w:r>
      <w:proofErr w:type="spellEnd"/>
      <w:r w:rsidR="003F0C00" w:rsidRPr="00205E56">
        <w:rPr>
          <w:rFonts w:ascii="Times New Roman" w:hAnsi="Times New Roman" w:cs="Times New Roman"/>
          <w:bCs/>
          <w:color w:val="000000"/>
          <w:sz w:val="24"/>
          <w:szCs w:val="24"/>
        </w:rPr>
        <w:t>:</w:t>
      </w:r>
    </w:p>
    <w:p w14:paraId="0339C387" w14:textId="69417D10" w:rsidR="001252C4" w:rsidRPr="00205E56" w:rsidRDefault="00D14A5F" w:rsidP="00D14A5F">
      <w:pPr>
        <w:spacing w:after="0" w:line="360" w:lineRule="auto"/>
        <w:ind w:left="850"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r>
      <w:r w:rsidR="00474DFD" w:rsidRPr="00205E56">
        <w:rPr>
          <w:rFonts w:ascii="Times New Roman" w:hAnsi="Times New Roman" w:cs="Times New Roman"/>
          <w:color w:val="000000"/>
          <w:sz w:val="24"/>
          <w:szCs w:val="24"/>
        </w:rPr>
        <w:t>utrzymano wyłączenie spod regulacji</w:t>
      </w:r>
      <w:r w:rsidR="004F212C" w:rsidRPr="00205E56">
        <w:rPr>
          <w:rFonts w:ascii="Times New Roman" w:hAnsi="Times New Roman" w:cs="Times New Roman"/>
          <w:color w:val="000000"/>
          <w:sz w:val="24"/>
          <w:szCs w:val="24"/>
        </w:rPr>
        <w:t xml:space="preserve"> </w:t>
      </w:r>
      <w:r w:rsidR="00474DFD" w:rsidRPr="00205E56">
        <w:rPr>
          <w:rFonts w:ascii="Times New Roman" w:hAnsi="Times New Roman" w:cs="Times New Roman"/>
          <w:color w:val="000000"/>
          <w:sz w:val="24"/>
          <w:szCs w:val="24"/>
        </w:rPr>
        <w:t xml:space="preserve">usług płatniczych oferowanych przez </w:t>
      </w:r>
      <w:r w:rsidR="00474DFD" w:rsidRPr="00205E56">
        <w:rPr>
          <w:rFonts w:ascii="Times New Roman" w:hAnsi="Times New Roman" w:cs="Times New Roman"/>
          <w:bCs/>
          <w:color w:val="000000"/>
          <w:sz w:val="24"/>
          <w:szCs w:val="24"/>
        </w:rPr>
        <w:t>operatorów bankomatów,</w:t>
      </w:r>
      <w:r w:rsidR="00474DFD" w:rsidRPr="00205E56">
        <w:rPr>
          <w:rFonts w:ascii="Times New Roman" w:hAnsi="Times New Roman" w:cs="Times New Roman"/>
          <w:color w:val="000000"/>
          <w:sz w:val="24"/>
          <w:szCs w:val="24"/>
        </w:rPr>
        <w:t xml:space="preserve"> niezależnych od dostawców usług płatniczych prowadzących rachunek</w:t>
      </w:r>
      <w:r w:rsidR="00853153" w:rsidRPr="00205E56">
        <w:rPr>
          <w:rFonts w:ascii="Times New Roman" w:hAnsi="Times New Roman" w:cs="Times New Roman"/>
          <w:color w:val="000000"/>
          <w:sz w:val="24"/>
          <w:szCs w:val="24"/>
        </w:rPr>
        <w:t>. N</w:t>
      </w:r>
      <w:r w:rsidR="00474DFD" w:rsidRPr="00205E56">
        <w:rPr>
          <w:rFonts w:ascii="Times New Roman" w:hAnsi="Times New Roman" w:cs="Times New Roman"/>
          <w:color w:val="000000"/>
          <w:sz w:val="24"/>
          <w:szCs w:val="24"/>
        </w:rPr>
        <w:t xml:space="preserve">ałożono jednak na operatorów bankomatów obowiązek przestrzegania </w:t>
      </w:r>
      <w:r w:rsidR="00853153" w:rsidRPr="00205E56">
        <w:rPr>
          <w:rFonts w:ascii="Times New Roman" w:hAnsi="Times New Roman" w:cs="Times New Roman"/>
          <w:color w:val="000000"/>
          <w:sz w:val="24"/>
          <w:szCs w:val="24"/>
        </w:rPr>
        <w:t xml:space="preserve">wymogów </w:t>
      </w:r>
      <w:r w:rsidR="00474DFD" w:rsidRPr="00205E56">
        <w:rPr>
          <w:rFonts w:ascii="Times New Roman" w:hAnsi="Times New Roman" w:cs="Times New Roman"/>
          <w:color w:val="000000"/>
          <w:sz w:val="24"/>
          <w:szCs w:val="24"/>
        </w:rPr>
        <w:t>w zakresie przejrzystości (tj. obowiązek podania informacji o opłatach, zarówno przed jak i po pobraniu opłaty)</w:t>
      </w:r>
      <w:r w:rsidR="00853153" w:rsidRPr="00205E56">
        <w:rPr>
          <w:rFonts w:ascii="Times New Roman" w:hAnsi="Times New Roman" w:cs="Times New Roman"/>
          <w:color w:val="000000"/>
          <w:sz w:val="24"/>
          <w:szCs w:val="24"/>
        </w:rPr>
        <w:t>. P</w:t>
      </w:r>
      <w:r w:rsidR="00474DFD" w:rsidRPr="00205E56">
        <w:rPr>
          <w:rFonts w:ascii="Times New Roman" w:hAnsi="Times New Roman" w:cs="Times New Roman"/>
          <w:color w:val="000000"/>
          <w:sz w:val="24"/>
          <w:szCs w:val="24"/>
        </w:rPr>
        <w:t>onadto</w:t>
      </w:r>
      <w:r w:rsidR="00662374" w:rsidRPr="00205E56">
        <w:rPr>
          <w:rFonts w:ascii="Times New Roman" w:hAnsi="Times New Roman" w:cs="Times New Roman"/>
          <w:color w:val="000000"/>
          <w:sz w:val="24"/>
          <w:szCs w:val="24"/>
        </w:rPr>
        <w:t xml:space="preserve"> </w:t>
      </w:r>
      <w:r w:rsidR="00474DFD" w:rsidRPr="00205E56">
        <w:rPr>
          <w:rFonts w:ascii="Times New Roman" w:hAnsi="Times New Roman" w:cs="Times New Roman"/>
          <w:color w:val="000000"/>
          <w:sz w:val="24"/>
          <w:szCs w:val="24"/>
        </w:rPr>
        <w:t xml:space="preserve">opłaty pobierane przez operatorów bankomatów nie </w:t>
      </w:r>
      <w:r w:rsidR="00853153" w:rsidRPr="00205E56">
        <w:rPr>
          <w:rFonts w:ascii="Times New Roman" w:hAnsi="Times New Roman" w:cs="Times New Roman"/>
          <w:color w:val="000000"/>
          <w:sz w:val="24"/>
          <w:szCs w:val="24"/>
        </w:rPr>
        <w:t xml:space="preserve">będą mogły </w:t>
      </w:r>
      <w:r w:rsidR="00474DFD" w:rsidRPr="00205E56">
        <w:rPr>
          <w:rFonts w:ascii="Times New Roman" w:hAnsi="Times New Roman" w:cs="Times New Roman"/>
          <w:color w:val="000000"/>
          <w:sz w:val="24"/>
          <w:szCs w:val="24"/>
        </w:rPr>
        <w:t xml:space="preserve">naruszać rozporządzenia </w:t>
      </w:r>
      <w:r w:rsidR="001D6653" w:rsidRPr="00205E56">
        <w:rPr>
          <w:rFonts w:ascii="Times New Roman" w:hAnsi="Times New Roman" w:cs="Times New Roman"/>
          <w:color w:val="000000"/>
          <w:sz w:val="24"/>
          <w:szCs w:val="24"/>
        </w:rPr>
        <w:t xml:space="preserve">Parlamentu Europejskiego i Rady (WE) nr </w:t>
      </w:r>
      <w:hyperlink r:id="rId9" w:history="1">
        <w:r w:rsidR="001D6653" w:rsidRPr="00205E56">
          <w:rPr>
            <w:rFonts w:ascii="Times New Roman" w:hAnsi="Times New Roman" w:cs="Times New Roman"/>
            <w:color w:val="000000"/>
            <w:sz w:val="24"/>
            <w:szCs w:val="24"/>
          </w:rPr>
          <w:t>924/2009</w:t>
        </w:r>
      </w:hyperlink>
      <w:r w:rsidR="001525DC">
        <w:rPr>
          <w:rFonts w:ascii="Times New Roman" w:hAnsi="Times New Roman" w:cs="Times New Roman"/>
          <w:color w:val="000000"/>
          <w:sz w:val="24"/>
          <w:szCs w:val="24"/>
        </w:rPr>
        <w:t xml:space="preserve"> z </w:t>
      </w:r>
      <w:r w:rsidR="001D6653" w:rsidRPr="00205E56">
        <w:rPr>
          <w:rFonts w:ascii="Times New Roman" w:hAnsi="Times New Roman" w:cs="Times New Roman"/>
          <w:color w:val="000000"/>
          <w:sz w:val="24"/>
          <w:szCs w:val="24"/>
        </w:rPr>
        <w:t>dnia 16 września 2009 r. w sprawie płatności transgranicznych we Wspólnocie oraz uchylającego rozporządzenie (WE) nr 2560/2001 (</w:t>
      </w:r>
      <w:hyperlink r:id="rId10" w:history="1">
        <w:r w:rsidR="001D6653" w:rsidRPr="00205E56">
          <w:rPr>
            <w:rFonts w:ascii="Times New Roman" w:hAnsi="Times New Roman" w:cs="Times New Roman"/>
            <w:color w:val="000000"/>
            <w:sz w:val="24"/>
            <w:szCs w:val="24"/>
          </w:rPr>
          <w:t>Dz.</w:t>
        </w:r>
        <w:r w:rsidR="00A87FAA">
          <w:rPr>
            <w:rFonts w:ascii="Times New Roman" w:hAnsi="Times New Roman" w:cs="Times New Roman"/>
            <w:color w:val="000000"/>
            <w:sz w:val="24"/>
            <w:szCs w:val="24"/>
          </w:rPr>
          <w:t xml:space="preserve"> </w:t>
        </w:r>
        <w:r w:rsidR="001D6653" w:rsidRPr="00205E56">
          <w:rPr>
            <w:rFonts w:ascii="Times New Roman" w:hAnsi="Times New Roman" w:cs="Times New Roman"/>
            <w:color w:val="000000"/>
            <w:sz w:val="24"/>
            <w:szCs w:val="24"/>
          </w:rPr>
          <w:t>U</w:t>
        </w:r>
        <w:r w:rsidR="00A87FAA">
          <w:rPr>
            <w:rFonts w:ascii="Times New Roman" w:hAnsi="Times New Roman" w:cs="Times New Roman"/>
            <w:color w:val="000000"/>
            <w:sz w:val="24"/>
            <w:szCs w:val="24"/>
          </w:rPr>
          <w:t>rz</w:t>
        </w:r>
        <w:r w:rsidR="001D6653" w:rsidRPr="00205E56">
          <w:rPr>
            <w:rFonts w:ascii="Times New Roman" w:hAnsi="Times New Roman" w:cs="Times New Roman"/>
            <w:color w:val="000000"/>
            <w:sz w:val="24"/>
            <w:szCs w:val="24"/>
          </w:rPr>
          <w:t xml:space="preserve">. </w:t>
        </w:r>
        <w:r w:rsidR="00A87FAA">
          <w:rPr>
            <w:rFonts w:ascii="Times New Roman" w:hAnsi="Times New Roman" w:cs="Times New Roman"/>
            <w:color w:val="000000"/>
            <w:sz w:val="24"/>
            <w:szCs w:val="24"/>
          </w:rPr>
          <w:t xml:space="preserve">UE </w:t>
        </w:r>
        <w:r w:rsidR="001D6653" w:rsidRPr="00205E56">
          <w:rPr>
            <w:rFonts w:ascii="Times New Roman" w:hAnsi="Times New Roman" w:cs="Times New Roman"/>
            <w:color w:val="000000"/>
            <w:sz w:val="24"/>
            <w:szCs w:val="24"/>
          </w:rPr>
          <w:t xml:space="preserve">L 266 z </w:t>
        </w:r>
        <w:r w:rsidR="00A87FAA">
          <w:rPr>
            <w:rFonts w:ascii="Times New Roman" w:hAnsi="Times New Roman" w:cs="Times New Roman"/>
            <w:color w:val="000000"/>
            <w:sz w:val="24"/>
            <w:szCs w:val="24"/>
          </w:rPr>
          <w:t>0</w:t>
        </w:r>
        <w:r w:rsidR="001D6653" w:rsidRPr="00205E56">
          <w:rPr>
            <w:rFonts w:ascii="Times New Roman" w:hAnsi="Times New Roman" w:cs="Times New Roman"/>
            <w:color w:val="000000"/>
            <w:sz w:val="24"/>
            <w:szCs w:val="24"/>
          </w:rPr>
          <w:t>9.10.2009, s</w:t>
        </w:r>
        <w:r w:rsidR="00A87FAA">
          <w:rPr>
            <w:rFonts w:ascii="Times New Roman" w:hAnsi="Times New Roman" w:cs="Times New Roman"/>
            <w:color w:val="000000"/>
            <w:sz w:val="24"/>
            <w:szCs w:val="24"/>
          </w:rPr>
          <w:t>tr</w:t>
        </w:r>
        <w:r w:rsidR="001D6653" w:rsidRPr="00205E56">
          <w:rPr>
            <w:rFonts w:ascii="Times New Roman" w:hAnsi="Times New Roman" w:cs="Times New Roman"/>
            <w:color w:val="000000"/>
            <w:sz w:val="24"/>
            <w:szCs w:val="24"/>
          </w:rPr>
          <w:t>. 11</w:t>
        </w:r>
      </w:hyperlink>
      <w:r w:rsidR="001D6653" w:rsidRPr="00205E56">
        <w:rPr>
          <w:rFonts w:ascii="Times New Roman" w:hAnsi="Times New Roman" w:cs="Times New Roman"/>
          <w:color w:val="000000"/>
          <w:sz w:val="24"/>
          <w:szCs w:val="24"/>
        </w:rPr>
        <w:t>)</w:t>
      </w:r>
      <w:r w:rsidR="00A87FAA">
        <w:rPr>
          <w:rFonts w:ascii="Times New Roman" w:hAnsi="Times New Roman" w:cs="Times New Roman"/>
          <w:color w:val="000000"/>
          <w:sz w:val="24"/>
          <w:szCs w:val="24"/>
        </w:rPr>
        <w:t>,</w:t>
      </w:r>
    </w:p>
    <w:p w14:paraId="05A4931C" w14:textId="5A447498" w:rsidR="00474DFD" w:rsidRPr="00205E56" w:rsidRDefault="00D14A5F" w:rsidP="00D14A5F">
      <w:pPr>
        <w:spacing w:after="0" w:line="360" w:lineRule="auto"/>
        <w:ind w:left="850"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Pr>
          <w:rFonts w:ascii="Times New Roman" w:hAnsi="Times New Roman" w:cs="Times New Roman"/>
          <w:color w:val="000000"/>
          <w:sz w:val="24"/>
          <w:szCs w:val="24"/>
        </w:rPr>
        <w:tab/>
      </w:r>
      <w:r w:rsidR="00474DFD" w:rsidRPr="00205E56">
        <w:rPr>
          <w:rFonts w:ascii="Times New Roman" w:hAnsi="Times New Roman" w:cs="Times New Roman"/>
          <w:color w:val="000000"/>
          <w:sz w:val="24"/>
          <w:szCs w:val="24"/>
        </w:rPr>
        <w:t xml:space="preserve">ograniczono wyłączenie transakcji płatniczych realizowanych za pośrednictwem </w:t>
      </w:r>
      <w:r w:rsidR="00474DFD" w:rsidRPr="00205E56">
        <w:rPr>
          <w:rFonts w:ascii="Times New Roman" w:hAnsi="Times New Roman" w:cs="Times New Roman"/>
          <w:bCs/>
          <w:color w:val="000000"/>
          <w:sz w:val="24"/>
          <w:szCs w:val="24"/>
        </w:rPr>
        <w:t>agenta handlowego</w:t>
      </w:r>
      <w:r w:rsidR="00474DFD" w:rsidRPr="00205E56">
        <w:rPr>
          <w:rFonts w:ascii="Times New Roman" w:hAnsi="Times New Roman" w:cs="Times New Roman"/>
          <w:color w:val="000000"/>
          <w:sz w:val="24"/>
          <w:szCs w:val="24"/>
        </w:rPr>
        <w:t xml:space="preserve"> do sytuacji gdy działają jedynie w imieniu płatnika lub jedynie w imieniu odbiorcy albo gdy działają zarówno w imieniu płatnika, jak i odbiorcy</w:t>
      </w:r>
      <w:r w:rsidR="00853153" w:rsidRPr="00205E56">
        <w:rPr>
          <w:rFonts w:ascii="Times New Roman" w:hAnsi="Times New Roman" w:cs="Times New Roman"/>
          <w:color w:val="000000"/>
          <w:sz w:val="24"/>
          <w:szCs w:val="24"/>
        </w:rPr>
        <w:t>,</w:t>
      </w:r>
      <w:r w:rsidR="004F212C" w:rsidRPr="00205E56">
        <w:rPr>
          <w:rFonts w:ascii="Times New Roman" w:hAnsi="Times New Roman" w:cs="Times New Roman"/>
          <w:color w:val="000000"/>
          <w:sz w:val="24"/>
          <w:szCs w:val="24"/>
        </w:rPr>
        <w:t xml:space="preserve"> </w:t>
      </w:r>
      <w:r w:rsidR="00474DFD" w:rsidRPr="00205E56">
        <w:rPr>
          <w:rFonts w:ascii="Times New Roman" w:hAnsi="Times New Roman" w:cs="Times New Roman"/>
          <w:color w:val="000000"/>
          <w:sz w:val="24"/>
          <w:szCs w:val="24"/>
        </w:rPr>
        <w:t>jednak w ża</w:t>
      </w:r>
      <w:r w:rsidR="001525DC">
        <w:rPr>
          <w:rFonts w:ascii="Times New Roman" w:hAnsi="Times New Roman" w:cs="Times New Roman"/>
          <w:color w:val="000000"/>
          <w:sz w:val="24"/>
          <w:szCs w:val="24"/>
        </w:rPr>
        <w:t>dnym momencie nie wchodzą oni w </w:t>
      </w:r>
      <w:r w:rsidR="00474DFD" w:rsidRPr="00205E56">
        <w:rPr>
          <w:rFonts w:ascii="Times New Roman" w:hAnsi="Times New Roman" w:cs="Times New Roman"/>
          <w:color w:val="000000"/>
          <w:sz w:val="24"/>
          <w:szCs w:val="24"/>
        </w:rPr>
        <w:t>posiadanie środków pieniężnych klientów ani nie uzyskują nad tymi środkami kontroli</w:t>
      </w:r>
      <w:r w:rsidR="00A87FAA">
        <w:rPr>
          <w:rFonts w:ascii="Times New Roman" w:hAnsi="Times New Roman" w:cs="Times New Roman"/>
          <w:color w:val="000000"/>
          <w:sz w:val="24"/>
          <w:szCs w:val="24"/>
        </w:rPr>
        <w:t>,</w:t>
      </w:r>
    </w:p>
    <w:p w14:paraId="15AC40F6" w14:textId="78E824D9" w:rsidR="00474DFD" w:rsidRPr="00205E56" w:rsidRDefault="00D14A5F" w:rsidP="00D14A5F">
      <w:pPr>
        <w:spacing w:after="0" w:line="360" w:lineRule="auto"/>
        <w:ind w:left="850"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Pr>
          <w:rFonts w:ascii="Times New Roman" w:hAnsi="Times New Roman" w:cs="Times New Roman"/>
          <w:color w:val="000000"/>
          <w:sz w:val="24"/>
          <w:szCs w:val="24"/>
        </w:rPr>
        <w:tab/>
      </w:r>
      <w:r w:rsidR="00474DFD" w:rsidRPr="00205E56">
        <w:rPr>
          <w:rFonts w:ascii="Times New Roman" w:hAnsi="Times New Roman" w:cs="Times New Roman"/>
          <w:color w:val="000000"/>
          <w:sz w:val="24"/>
          <w:szCs w:val="24"/>
        </w:rPr>
        <w:t xml:space="preserve">działalność związana z płatnościami objęta wyłączeniem z tytułu </w:t>
      </w:r>
      <w:r w:rsidR="00474DFD" w:rsidRPr="00205E56">
        <w:rPr>
          <w:rFonts w:ascii="Times New Roman" w:hAnsi="Times New Roman" w:cs="Times New Roman"/>
          <w:bCs/>
          <w:color w:val="000000"/>
          <w:sz w:val="24"/>
          <w:szCs w:val="24"/>
        </w:rPr>
        <w:t>tzw.</w:t>
      </w:r>
      <w:r w:rsidR="00474DFD" w:rsidRPr="00205E56">
        <w:rPr>
          <w:rFonts w:ascii="Times New Roman" w:hAnsi="Times New Roman" w:cs="Times New Roman"/>
          <w:color w:val="000000"/>
          <w:sz w:val="24"/>
          <w:szCs w:val="24"/>
        </w:rPr>
        <w:t xml:space="preserve"> </w:t>
      </w:r>
      <w:r w:rsidR="00474DFD" w:rsidRPr="00205E56">
        <w:rPr>
          <w:rFonts w:ascii="Times New Roman" w:hAnsi="Times New Roman" w:cs="Times New Roman"/>
          <w:bCs/>
          <w:color w:val="000000"/>
          <w:sz w:val="24"/>
          <w:szCs w:val="24"/>
        </w:rPr>
        <w:t>ograniczonej siec</w:t>
      </w:r>
      <w:r w:rsidR="00474DFD" w:rsidRPr="00205E56">
        <w:rPr>
          <w:rFonts w:ascii="Times New Roman" w:hAnsi="Times New Roman" w:cs="Times New Roman"/>
          <w:color w:val="000000"/>
          <w:sz w:val="24"/>
          <w:szCs w:val="24"/>
        </w:rPr>
        <w:t>i pozostała objęta wyłączeniem, jednak nie będzie możliwe wykorzystanie tego instrumentu m.in. do dokonywania transakcji płatniczych w celu nabycia towarów i usług w obrębie więcej niż jednej ograniczonej sieci lub w celu nabycia nieograniczonego asortymentu towarów i usług</w:t>
      </w:r>
      <w:r w:rsidR="00A87FAA">
        <w:rPr>
          <w:rFonts w:ascii="Times New Roman" w:hAnsi="Times New Roman" w:cs="Times New Roman"/>
          <w:color w:val="000000"/>
          <w:sz w:val="24"/>
          <w:szCs w:val="24"/>
        </w:rPr>
        <w:t>,</w:t>
      </w:r>
    </w:p>
    <w:p w14:paraId="0C44E228" w14:textId="31CEC7C9" w:rsidR="00474DFD" w:rsidRPr="00205E56" w:rsidRDefault="00D14A5F" w:rsidP="00D14A5F">
      <w:pPr>
        <w:spacing w:after="0" w:line="360" w:lineRule="auto"/>
        <w:ind w:left="850"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Pr>
          <w:rFonts w:ascii="Times New Roman" w:hAnsi="Times New Roman" w:cs="Times New Roman"/>
          <w:color w:val="000000"/>
          <w:sz w:val="24"/>
          <w:szCs w:val="24"/>
        </w:rPr>
        <w:tab/>
      </w:r>
      <w:r w:rsidR="00474DFD" w:rsidRPr="00205E56">
        <w:rPr>
          <w:rFonts w:ascii="Times New Roman" w:hAnsi="Times New Roman" w:cs="Times New Roman"/>
          <w:color w:val="000000"/>
          <w:sz w:val="24"/>
          <w:szCs w:val="24"/>
        </w:rPr>
        <w:t xml:space="preserve">ograniczono zakres wyłączenia transakcji płatniczych przeprowadzanych przez </w:t>
      </w:r>
      <w:r w:rsidR="00474DFD" w:rsidRPr="00205E56">
        <w:rPr>
          <w:rFonts w:ascii="Times New Roman" w:hAnsi="Times New Roman" w:cs="Times New Roman"/>
          <w:bCs/>
          <w:color w:val="000000"/>
          <w:sz w:val="24"/>
          <w:szCs w:val="24"/>
        </w:rPr>
        <w:t xml:space="preserve">dostawcę sieci </w:t>
      </w:r>
      <w:r w:rsidR="00474DFD" w:rsidRPr="00205E56">
        <w:rPr>
          <w:rFonts w:ascii="Times New Roman" w:hAnsi="Times New Roman" w:cs="Times New Roman"/>
          <w:color w:val="000000"/>
          <w:sz w:val="24"/>
          <w:szCs w:val="24"/>
        </w:rPr>
        <w:t>lub</w:t>
      </w:r>
      <w:r w:rsidR="00474DFD" w:rsidRPr="00205E56">
        <w:rPr>
          <w:rFonts w:ascii="Times New Roman" w:hAnsi="Times New Roman" w:cs="Times New Roman"/>
          <w:bCs/>
          <w:color w:val="000000"/>
          <w:sz w:val="24"/>
          <w:szCs w:val="24"/>
        </w:rPr>
        <w:t xml:space="preserve"> usług łączności elektronicznej</w:t>
      </w:r>
      <w:r w:rsidR="00853153" w:rsidRPr="00205E56">
        <w:rPr>
          <w:rFonts w:ascii="Times New Roman" w:hAnsi="Times New Roman" w:cs="Times New Roman"/>
          <w:bCs/>
          <w:color w:val="000000"/>
          <w:sz w:val="24"/>
          <w:szCs w:val="24"/>
        </w:rPr>
        <w:t>;</w:t>
      </w:r>
    </w:p>
    <w:p w14:paraId="49A4C244" w14:textId="098E5E86" w:rsidR="00474DFD" w:rsidRPr="00205E56" w:rsidRDefault="00D14A5F" w:rsidP="00D14A5F">
      <w:pPr>
        <w:keepNext/>
        <w:spacing w:before="120" w:after="0" w:line="360" w:lineRule="auto"/>
        <w:ind w:left="425" w:hanging="425"/>
        <w:jc w:val="both"/>
        <w:rPr>
          <w:rFonts w:ascii="Times New Roman" w:hAnsi="Times New Roman" w:cs="Times New Roman"/>
          <w:color w:val="000000"/>
          <w:sz w:val="24"/>
          <w:szCs w:val="24"/>
        </w:rPr>
      </w:pPr>
      <w:r>
        <w:rPr>
          <w:rFonts w:ascii="Times New Roman" w:hAnsi="Times New Roman" w:cs="Times New Roman"/>
          <w:bCs/>
          <w:color w:val="000000"/>
          <w:sz w:val="24"/>
          <w:szCs w:val="24"/>
        </w:rPr>
        <w:t>3)</w:t>
      </w:r>
      <w:r>
        <w:rPr>
          <w:rFonts w:ascii="Times New Roman" w:hAnsi="Times New Roman" w:cs="Times New Roman"/>
          <w:bCs/>
          <w:color w:val="000000"/>
          <w:sz w:val="24"/>
          <w:szCs w:val="24"/>
        </w:rPr>
        <w:tab/>
      </w:r>
      <w:r w:rsidR="00474DFD" w:rsidRPr="00D14A5F">
        <w:rPr>
          <w:rFonts w:ascii="Times New Roman" w:hAnsi="Times New Roman" w:cs="Times New Roman"/>
          <w:bCs/>
          <w:color w:val="000000"/>
          <w:sz w:val="24"/>
          <w:szCs w:val="24"/>
        </w:rPr>
        <w:t>modyfikacja</w:t>
      </w:r>
      <w:r w:rsidR="00474DFD" w:rsidRPr="00205E56">
        <w:rPr>
          <w:rFonts w:ascii="Times New Roman" w:hAnsi="Times New Roman" w:cs="Times New Roman"/>
          <w:color w:val="000000"/>
          <w:sz w:val="24"/>
          <w:szCs w:val="24"/>
        </w:rPr>
        <w:t xml:space="preserve"> zasad odpowiedzialności za nieautoryzowaną transakcję</w:t>
      </w:r>
      <w:r w:rsidR="003F0C00" w:rsidRPr="00205E56">
        <w:rPr>
          <w:rFonts w:ascii="Times New Roman" w:hAnsi="Times New Roman" w:cs="Times New Roman"/>
          <w:color w:val="000000"/>
          <w:sz w:val="24"/>
          <w:szCs w:val="24"/>
        </w:rPr>
        <w:t>:</w:t>
      </w:r>
      <w:r w:rsidR="00474DFD" w:rsidRPr="00205E56">
        <w:rPr>
          <w:rFonts w:ascii="Times New Roman" w:hAnsi="Times New Roman" w:cs="Times New Roman"/>
          <w:bCs/>
          <w:color w:val="000000"/>
          <w:sz w:val="24"/>
          <w:szCs w:val="24"/>
        </w:rPr>
        <w:t xml:space="preserve"> </w:t>
      </w:r>
    </w:p>
    <w:p w14:paraId="50BD8B36" w14:textId="3BB93E56" w:rsidR="00474DFD" w:rsidRPr="00205E56" w:rsidRDefault="00853153" w:rsidP="00D14A5F">
      <w:pPr>
        <w:spacing w:after="0" w:line="360" w:lineRule="auto"/>
        <w:ind w:left="850" w:hanging="425"/>
        <w:jc w:val="both"/>
        <w:rPr>
          <w:rFonts w:ascii="Times New Roman" w:hAnsi="Times New Roman" w:cs="Times New Roman"/>
          <w:color w:val="000000"/>
          <w:sz w:val="24"/>
          <w:szCs w:val="24"/>
        </w:rPr>
      </w:pPr>
      <w:r w:rsidRPr="00205E56">
        <w:rPr>
          <w:rFonts w:ascii="Times New Roman" w:hAnsi="Times New Roman" w:cs="Times New Roman"/>
          <w:color w:val="000000"/>
          <w:sz w:val="24"/>
          <w:szCs w:val="24"/>
        </w:rPr>
        <w:t>a)</w:t>
      </w:r>
      <w:r w:rsidR="00D14A5F">
        <w:rPr>
          <w:rFonts w:ascii="Times New Roman" w:hAnsi="Times New Roman" w:cs="Times New Roman"/>
          <w:color w:val="000000"/>
          <w:sz w:val="24"/>
          <w:szCs w:val="24"/>
        </w:rPr>
        <w:tab/>
      </w:r>
      <w:r w:rsidR="00474DFD" w:rsidRPr="00205E56">
        <w:rPr>
          <w:rFonts w:ascii="Times New Roman" w:hAnsi="Times New Roman" w:cs="Times New Roman"/>
          <w:color w:val="000000"/>
          <w:sz w:val="24"/>
          <w:szCs w:val="24"/>
        </w:rPr>
        <w:t>ograniczono odpowiedzialność płatnika</w:t>
      </w:r>
      <w:r w:rsidR="003F0C00" w:rsidRPr="00205E56">
        <w:rPr>
          <w:rFonts w:ascii="Times New Roman" w:hAnsi="Times New Roman" w:cs="Times New Roman"/>
          <w:color w:val="000000"/>
          <w:sz w:val="24"/>
          <w:szCs w:val="24"/>
        </w:rPr>
        <w:t>,</w:t>
      </w:r>
      <w:r w:rsidR="00474DFD" w:rsidRPr="00205E56">
        <w:rPr>
          <w:rFonts w:ascii="Times New Roman" w:hAnsi="Times New Roman" w:cs="Times New Roman"/>
          <w:color w:val="000000"/>
          <w:sz w:val="24"/>
          <w:szCs w:val="24"/>
        </w:rPr>
        <w:t xml:space="preserve"> w szczególności przez zobowiązanie dostawcy usług płatniczych do niezwłocznego zwrotu płatnikowi kwoty </w:t>
      </w:r>
      <w:r w:rsidR="00474DFD" w:rsidRPr="00205E56">
        <w:rPr>
          <w:rFonts w:ascii="Times New Roman" w:hAnsi="Times New Roman" w:cs="Times New Roman"/>
          <w:color w:val="000000"/>
          <w:sz w:val="24"/>
          <w:szCs w:val="24"/>
        </w:rPr>
        <w:lastRenderedPageBreak/>
        <w:t>nieautoryzowanej transakcji</w:t>
      </w:r>
      <w:r w:rsidR="003F0C00" w:rsidRPr="00205E56">
        <w:rPr>
          <w:rFonts w:ascii="Times New Roman" w:hAnsi="Times New Roman" w:cs="Times New Roman"/>
          <w:color w:val="000000"/>
          <w:sz w:val="24"/>
          <w:szCs w:val="24"/>
        </w:rPr>
        <w:t>. P</w:t>
      </w:r>
      <w:r w:rsidR="00474DFD" w:rsidRPr="00205E56">
        <w:rPr>
          <w:rFonts w:ascii="Times New Roman" w:hAnsi="Times New Roman" w:cs="Times New Roman"/>
          <w:color w:val="000000"/>
          <w:sz w:val="24"/>
          <w:szCs w:val="24"/>
        </w:rPr>
        <w:t>łatnik nie będzie również ponosił odpowiedzialności, jeżeli nie mógł sobie zdawać sprawy z utraty, kradzieży lub sprzeniewierzenia instrumentu płatniczego</w:t>
      </w:r>
      <w:r w:rsidR="003F0C00" w:rsidRPr="00205E56">
        <w:rPr>
          <w:rFonts w:ascii="Times New Roman" w:hAnsi="Times New Roman" w:cs="Times New Roman"/>
          <w:color w:val="000000"/>
          <w:sz w:val="24"/>
          <w:szCs w:val="24"/>
        </w:rPr>
        <w:t xml:space="preserve">. W razie </w:t>
      </w:r>
      <w:r w:rsidR="00474DFD" w:rsidRPr="00205E56">
        <w:rPr>
          <w:rFonts w:ascii="Times New Roman" w:hAnsi="Times New Roman" w:cs="Times New Roman"/>
          <w:color w:val="000000"/>
          <w:sz w:val="24"/>
          <w:szCs w:val="24"/>
        </w:rPr>
        <w:t>braku wymogu silnego uwierzytelnienia klienta – płatnik nie poniesie odpowiedzialności za zaistniałą szkodę</w:t>
      </w:r>
      <w:r w:rsidR="00B65401">
        <w:rPr>
          <w:rFonts w:ascii="Times New Roman" w:hAnsi="Times New Roman" w:cs="Times New Roman"/>
          <w:color w:val="000000"/>
          <w:sz w:val="24"/>
          <w:szCs w:val="24"/>
        </w:rPr>
        <w:t>,</w:t>
      </w:r>
    </w:p>
    <w:p w14:paraId="12926EA9" w14:textId="7CDA88B2" w:rsidR="00474DFD" w:rsidRPr="00205E56" w:rsidRDefault="00D14A5F" w:rsidP="00D14A5F">
      <w:pPr>
        <w:spacing w:after="0" w:line="360" w:lineRule="auto"/>
        <w:ind w:left="850"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Pr>
          <w:rFonts w:ascii="Times New Roman" w:hAnsi="Times New Roman" w:cs="Times New Roman"/>
          <w:color w:val="000000"/>
          <w:sz w:val="24"/>
          <w:szCs w:val="24"/>
        </w:rPr>
        <w:tab/>
      </w:r>
      <w:r w:rsidR="00474DFD" w:rsidRPr="00205E56">
        <w:rPr>
          <w:rFonts w:ascii="Times New Roman" w:hAnsi="Times New Roman" w:cs="Times New Roman"/>
          <w:color w:val="000000"/>
          <w:sz w:val="24"/>
          <w:szCs w:val="24"/>
        </w:rPr>
        <w:t xml:space="preserve">zmniejszono próg odpowiedzialności płatnika za straty spowodowane nieautoryzowanymi transakcjami płatniczymi ze 150 </w:t>
      </w:r>
      <w:r w:rsidR="003F0C00" w:rsidRPr="00205E56">
        <w:rPr>
          <w:rFonts w:ascii="Times New Roman" w:hAnsi="Times New Roman" w:cs="Times New Roman"/>
          <w:color w:val="000000"/>
          <w:sz w:val="24"/>
          <w:szCs w:val="24"/>
        </w:rPr>
        <w:t xml:space="preserve">euro </w:t>
      </w:r>
      <w:r w:rsidR="00474DFD" w:rsidRPr="00205E56">
        <w:rPr>
          <w:rFonts w:ascii="Times New Roman" w:hAnsi="Times New Roman" w:cs="Times New Roman"/>
          <w:color w:val="000000"/>
          <w:sz w:val="24"/>
          <w:szCs w:val="24"/>
        </w:rPr>
        <w:t xml:space="preserve">do 50 </w:t>
      </w:r>
      <w:r w:rsidR="003F0C00" w:rsidRPr="00205E56">
        <w:rPr>
          <w:rFonts w:ascii="Times New Roman" w:hAnsi="Times New Roman" w:cs="Times New Roman"/>
          <w:color w:val="000000"/>
          <w:sz w:val="24"/>
          <w:szCs w:val="24"/>
        </w:rPr>
        <w:t>euro</w:t>
      </w:r>
      <w:r w:rsidR="00A87FAA">
        <w:rPr>
          <w:rFonts w:ascii="Times New Roman" w:hAnsi="Times New Roman" w:cs="Times New Roman"/>
          <w:color w:val="000000"/>
          <w:sz w:val="24"/>
          <w:szCs w:val="24"/>
        </w:rPr>
        <w:t>,</w:t>
      </w:r>
    </w:p>
    <w:p w14:paraId="16AC0D48" w14:textId="50038DFA" w:rsidR="00474DFD" w:rsidRPr="00205E56" w:rsidRDefault="00D14A5F" w:rsidP="00D14A5F">
      <w:pPr>
        <w:spacing w:after="0" w:line="360" w:lineRule="auto"/>
        <w:ind w:left="850"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Pr>
          <w:rFonts w:ascii="Times New Roman" w:hAnsi="Times New Roman" w:cs="Times New Roman"/>
          <w:color w:val="000000"/>
          <w:sz w:val="24"/>
          <w:szCs w:val="24"/>
        </w:rPr>
        <w:tab/>
      </w:r>
      <w:r w:rsidR="00474DFD" w:rsidRPr="00205E56">
        <w:rPr>
          <w:rFonts w:ascii="Times New Roman" w:hAnsi="Times New Roman" w:cs="Times New Roman"/>
          <w:color w:val="000000"/>
          <w:sz w:val="24"/>
          <w:szCs w:val="24"/>
        </w:rPr>
        <w:t>w przypadku transakcji z nieznaną kwotą</w:t>
      </w:r>
      <w:r w:rsidR="004F212C" w:rsidRPr="00205E56">
        <w:rPr>
          <w:rFonts w:ascii="Times New Roman" w:hAnsi="Times New Roman" w:cs="Times New Roman"/>
          <w:color w:val="000000"/>
          <w:sz w:val="24"/>
          <w:szCs w:val="24"/>
        </w:rPr>
        <w:t xml:space="preserve"> </w:t>
      </w:r>
      <w:r w:rsidR="00474DFD" w:rsidRPr="00205E56">
        <w:rPr>
          <w:rFonts w:ascii="Times New Roman" w:hAnsi="Times New Roman" w:cs="Times New Roman"/>
          <w:color w:val="000000"/>
          <w:sz w:val="24"/>
          <w:szCs w:val="24"/>
        </w:rPr>
        <w:t>dla blokady środków pieniężnych na rachunku płatnika</w:t>
      </w:r>
      <w:r w:rsidR="004F212C" w:rsidRPr="00205E56">
        <w:rPr>
          <w:rFonts w:ascii="Times New Roman" w:hAnsi="Times New Roman" w:cs="Times New Roman"/>
          <w:color w:val="000000"/>
          <w:sz w:val="24"/>
          <w:szCs w:val="24"/>
        </w:rPr>
        <w:t xml:space="preserve"> </w:t>
      </w:r>
      <w:r w:rsidR="00474DFD" w:rsidRPr="00205E56">
        <w:rPr>
          <w:rFonts w:ascii="Times New Roman" w:hAnsi="Times New Roman" w:cs="Times New Roman"/>
          <w:color w:val="000000"/>
          <w:sz w:val="24"/>
          <w:szCs w:val="24"/>
        </w:rPr>
        <w:t>niezbędna będzie autoryzacja tego ostatniego oraz podanie dokładnej kwoty środków pieniężnych, które podlegać mają blokadzie.</w:t>
      </w:r>
    </w:p>
    <w:p w14:paraId="61864C5C" w14:textId="0F39D2D9" w:rsidR="00474DFD" w:rsidRPr="00205E56" w:rsidRDefault="00474DFD" w:rsidP="00D14A5F">
      <w:pPr>
        <w:spacing w:before="120" w:after="0" w:line="360" w:lineRule="auto"/>
        <w:jc w:val="both"/>
        <w:rPr>
          <w:rFonts w:ascii="Times New Roman" w:hAnsi="Times New Roman" w:cs="Times New Roman"/>
          <w:color w:val="000000"/>
          <w:sz w:val="24"/>
          <w:szCs w:val="24"/>
        </w:rPr>
      </w:pPr>
      <w:r w:rsidRPr="00205E56">
        <w:rPr>
          <w:rFonts w:ascii="Times New Roman" w:hAnsi="Times New Roman" w:cs="Times New Roman"/>
          <w:color w:val="000000"/>
          <w:sz w:val="24"/>
          <w:szCs w:val="24"/>
        </w:rPr>
        <w:t xml:space="preserve">Dużą zmianą jest </w:t>
      </w:r>
      <w:r w:rsidR="003F0C00" w:rsidRPr="00205E56">
        <w:rPr>
          <w:rFonts w:ascii="Times New Roman" w:hAnsi="Times New Roman" w:cs="Times New Roman"/>
          <w:color w:val="000000"/>
          <w:sz w:val="24"/>
          <w:szCs w:val="24"/>
        </w:rPr>
        <w:t xml:space="preserve">uregulowanie </w:t>
      </w:r>
      <w:r w:rsidRPr="00205E56">
        <w:rPr>
          <w:rFonts w:ascii="Times New Roman" w:hAnsi="Times New Roman" w:cs="Times New Roman"/>
          <w:color w:val="000000"/>
          <w:sz w:val="24"/>
          <w:szCs w:val="24"/>
        </w:rPr>
        <w:t>odpowiedzialnoś</w:t>
      </w:r>
      <w:r w:rsidR="003F0C00" w:rsidRPr="00205E56">
        <w:rPr>
          <w:rFonts w:ascii="Times New Roman" w:hAnsi="Times New Roman" w:cs="Times New Roman"/>
          <w:color w:val="000000"/>
          <w:sz w:val="24"/>
          <w:szCs w:val="24"/>
        </w:rPr>
        <w:t xml:space="preserve">ci </w:t>
      </w:r>
      <w:r w:rsidRPr="00205E56">
        <w:rPr>
          <w:rFonts w:ascii="Times New Roman" w:hAnsi="Times New Roman" w:cs="Times New Roman"/>
          <w:color w:val="000000"/>
          <w:sz w:val="24"/>
          <w:szCs w:val="24"/>
        </w:rPr>
        <w:t>dostawcy</w:t>
      </w:r>
      <w:r w:rsidR="003F0C00" w:rsidRPr="00205E56">
        <w:rPr>
          <w:rFonts w:ascii="Times New Roman" w:hAnsi="Times New Roman" w:cs="Times New Roman"/>
          <w:color w:val="000000"/>
          <w:sz w:val="24"/>
          <w:szCs w:val="24"/>
        </w:rPr>
        <w:t xml:space="preserve"> w przypadku </w:t>
      </w:r>
      <w:r w:rsidRPr="00205E56">
        <w:rPr>
          <w:rFonts w:ascii="Times New Roman" w:hAnsi="Times New Roman" w:cs="Times New Roman"/>
          <w:color w:val="000000"/>
          <w:sz w:val="24"/>
          <w:szCs w:val="24"/>
        </w:rPr>
        <w:t>gdy nie wymaga on silnego uwierzytelnienia dla transakcji, a płatnik zachowuje dobrą wiarę co do transakcji. W takim przypadku odpowiedzialność za nieautoryzowaną transakcję ponosi w całości dostawca usług płatniczych. Na dostawcy spoczywa również ciężar udowodnienia złej wiary płatnika. Planowana zmiana ma na celu stosowanie coraz skuteczniejszych metod weryfikacji tożsamości płatnika oraz szersze stosowanie metody silnego uwierzytelniania klienta.</w:t>
      </w:r>
    </w:p>
    <w:p w14:paraId="782C5104" w14:textId="4E439F75" w:rsidR="00474DFD" w:rsidRPr="00205E56" w:rsidRDefault="00474DFD" w:rsidP="00D14A5F">
      <w:pPr>
        <w:spacing w:before="120" w:after="0" w:line="360" w:lineRule="auto"/>
        <w:jc w:val="both"/>
        <w:rPr>
          <w:rFonts w:ascii="Times New Roman" w:hAnsi="Times New Roman" w:cs="Times New Roman"/>
          <w:color w:val="000000"/>
          <w:sz w:val="24"/>
          <w:szCs w:val="24"/>
        </w:rPr>
      </w:pPr>
      <w:r w:rsidRPr="00205E56">
        <w:rPr>
          <w:rFonts w:ascii="Times New Roman" w:hAnsi="Times New Roman" w:cs="Times New Roman"/>
          <w:color w:val="000000"/>
          <w:sz w:val="24"/>
          <w:szCs w:val="24"/>
        </w:rPr>
        <w:t>W przypadku transakcji z udziałem dostawcy PIS to na nim spoczywać będzie ciężar udowodnienia, ż</w:t>
      </w:r>
      <w:r w:rsidR="003F0C00" w:rsidRPr="00205E56">
        <w:rPr>
          <w:rFonts w:ascii="Times New Roman" w:hAnsi="Times New Roman" w:cs="Times New Roman"/>
          <w:color w:val="000000"/>
          <w:sz w:val="24"/>
          <w:szCs w:val="24"/>
        </w:rPr>
        <w:t>e</w:t>
      </w:r>
      <w:r w:rsidRPr="00205E56">
        <w:rPr>
          <w:rFonts w:ascii="Times New Roman" w:hAnsi="Times New Roman" w:cs="Times New Roman"/>
          <w:color w:val="000000"/>
          <w:sz w:val="24"/>
          <w:szCs w:val="24"/>
        </w:rPr>
        <w:t xml:space="preserve"> – w zakresie jego kompetencji – dokonana transakcja płatnicza została uwierzytelniona, dokładnie zapisana i że na transakcję płatniczą nie miała wpływu awaria techniczna ani innego rodzaju usterka związana z usługą płatniczą, za którą ten dostawca odpowiada.</w:t>
      </w:r>
    </w:p>
    <w:p w14:paraId="572D005C" w14:textId="385A8A53" w:rsidR="00D7284A" w:rsidRPr="00205E56" w:rsidRDefault="003F0C00" w:rsidP="00D14A5F">
      <w:pPr>
        <w:spacing w:before="120" w:after="0" w:line="360" w:lineRule="auto"/>
        <w:jc w:val="both"/>
        <w:rPr>
          <w:rFonts w:ascii="Times New Roman" w:hAnsi="Times New Roman" w:cs="Times New Roman"/>
          <w:color w:val="000000"/>
          <w:sz w:val="24"/>
          <w:szCs w:val="24"/>
        </w:rPr>
      </w:pPr>
      <w:r w:rsidRPr="00205E56">
        <w:rPr>
          <w:rFonts w:ascii="Times New Roman" w:hAnsi="Times New Roman" w:cs="Times New Roman"/>
          <w:color w:val="000000"/>
          <w:sz w:val="24"/>
          <w:szCs w:val="24"/>
        </w:rPr>
        <w:t>Niezależnie od</w:t>
      </w:r>
      <w:r w:rsidR="00D07BEB" w:rsidRPr="00205E56">
        <w:rPr>
          <w:rFonts w:ascii="Times New Roman" w:hAnsi="Times New Roman" w:cs="Times New Roman"/>
          <w:color w:val="000000"/>
          <w:sz w:val="24"/>
          <w:szCs w:val="24"/>
        </w:rPr>
        <w:t xml:space="preserve"> </w:t>
      </w:r>
      <w:r w:rsidR="00474DFD" w:rsidRPr="00205E56">
        <w:rPr>
          <w:rFonts w:ascii="Times New Roman" w:hAnsi="Times New Roman" w:cs="Times New Roman"/>
          <w:color w:val="000000"/>
          <w:sz w:val="24"/>
          <w:szCs w:val="24"/>
        </w:rPr>
        <w:t>udziału dostawcy PIS w transakcji płatniczej</w:t>
      </w:r>
      <w:r w:rsidR="004F212C" w:rsidRPr="00205E56">
        <w:rPr>
          <w:rFonts w:ascii="Times New Roman" w:hAnsi="Times New Roman" w:cs="Times New Roman"/>
          <w:color w:val="000000"/>
          <w:sz w:val="24"/>
          <w:szCs w:val="24"/>
        </w:rPr>
        <w:t xml:space="preserve"> </w:t>
      </w:r>
      <w:r w:rsidR="00474DFD" w:rsidRPr="00205E56">
        <w:rPr>
          <w:rFonts w:ascii="Times New Roman" w:hAnsi="Times New Roman" w:cs="Times New Roman"/>
          <w:color w:val="000000"/>
          <w:sz w:val="24"/>
          <w:szCs w:val="24"/>
        </w:rPr>
        <w:t>płatnik zawsze będzie miał prawo wystąpić z roszczeniem o zwrot do swojego dostawcy usług płatniczych, prowadzącego rachunek</w:t>
      </w:r>
      <w:r w:rsidR="00EF1AD4" w:rsidRPr="00205E56">
        <w:rPr>
          <w:rFonts w:ascii="Times New Roman" w:hAnsi="Times New Roman" w:cs="Times New Roman"/>
          <w:color w:val="000000"/>
          <w:sz w:val="24"/>
          <w:szCs w:val="24"/>
        </w:rPr>
        <w:t>. P</w:t>
      </w:r>
      <w:r w:rsidR="00474DFD" w:rsidRPr="00205E56">
        <w:rPr>
          <w:rFonts w:ascii="Times New Roman" w:hAnsi="Times New Roman" w:cs="Times New Roman"/>
          <w:color w:val="000000"/>
          <w:sz w:val="24"/>
          <w:szCs w:val="24"/>
        </w:rPr>
        <w:t>ozosta</w:t>
      </w:r>
      <w:r w:rsidR="00EF1AD4" w:rsidRPr="00205E56">
        <w:rPr>
          <w:rFonts w:ascii="Times New Roman" w:hAnsi="Times New Roman" w:cs="Times New Roman"/>
          <w:color w:val="000000"/>
          <w:sz w:val="24"/>
          <w:szCs w:val="24"/>
        </w:rPr>
        <w:t xml:space="preserve">nie </w:t>
      </w:r>
      <w:r w:rsidR="00474DFD" w:rsidRPr="00205E56">
        <w:rPr>
          <w:rFonts w:ascii="Times New Roman" w:hAnsi="Times New Roman" w:cs="Times New Roman"/>
          <w:color w:val="000000"/>
          <w:sz w:val="24"/>
          <w:szCs w:val="24"/>
        </w:rPr>
        <w:t>to bez wpływu na kwestię podziału odpowiedzialności między dostawcami usług płatniczych</w:t>
      </w:r>
      <w:r w:rsidRPr="00205E56">
        <w:rPr>
          <w:rFonts w:ascii="Times New Roman" w:hAnsi="Times New Roman" w:cs="Times New Roman"/>
          <w:color w:val="000000"/>
          <w:sz w:val="24"/>
          <w:szCs w:val="24"/>
        </w:rPr>
        <w:t>;</w:t>
      </w:r>
    </w:p>
    <w:p w14:paraId="7473B7A3" w14:textId="701BBD6C" w:rsidR="00474DFD" w:rsidRPr="00205E56" w:rsidRDefault="00474DFD" w:rsidP="00D14A5F">
      <w:pPr>
        <w:keepNext/>
        <w:spacing w:before="120" w:after="0" w:line="360" w:lineRule="auto"/>
        <w:ind w:left="425" w:hanging="425"/>
        <w:jc w:val="both"/>
        <w:rPr>
          <w:rFonts w:ascii="Times New Roman" w:hAnsi="Times New Roman" w:cs="Times New Roman"/>
          <w:color w:val="000000"/>
          <w:sz w:val="24"/>
          <w:szCs w:val="24"/>
        </w:rPr>
      </w:pPr>
      <w:r w:rsidRPr="00205E56">
        <w:rPr>
          <w:rFonts w:ascii="Times New Roman" w:hAnsi="Times New Roman" w:cs="Times New Roman"/>
          <w:color w:val="000000"/>
          <w:sz w:val="24"/>
          <w:szCs w:val="24"/>
        </w:rPr>
        <w:t>4)</w:t>
      </w:r>
      <w:r w:rsidR="00D14A5F">
        <w:rPr>
          <w:rFonts w:ascii="Times New Roman" w:hAnsi="Times New Roman" w:cs="Times New Roman"/>
          <w:color w:val="000000"/>
          <w:sz w:val="24"/>
          <w:szCs w:val="24"/>
        </w:rPr>
        <w:tab/>
      </w:r>
      <w:r w:rsidRPr="00D14A5F">
        <w:rPr>
          <w:rFonts w:ascii="Times New Roman" w:hAnsi="Times New Roman" w:cs="Times New Roman"/>
          <w:bCs/>
          <w:color w:val="000000"/>
          <w:sz w:val="24"/>
          <w:szCs w:val="24"/>
        </w:rPr>
        <w:t>wprowadzenie</w:t>
      </w:r>
      <w:r w:rsidRPr="00205E56">
        <w:rPr>
          <w:rFonts w:ascii="Times New Roman" w:hAnsi="Times New Roman" w:cs="Times New Roman"/>
          <w:color w:val="000000"/>
          <w:sz w:val="24"/>
          <w:szCs w:val="24"/>
        </w:rPr>
        <w:t xml:space="preserve"> małej instytucji płatniczej</w:t>
      </w:r>
      <w:r w:rsidR="003F0C00" w:rsidRPr="00205E56">
        <w:rPr>
          <w:rFonts w:ascii="Times New Roman" w:hAnsi="Times New Roman" w:cs="Times New Roman"/>
          <w:color w:val="000000"/>
          <w:sz w:val="24"/>
          <w:szCs w:val="24"/>
        </w:rPr>
        <w:t>:</w:t>
      </w:r>
    </w:p>
    <w:p w14:paraId="1658EFD7" w14:textId="0479748A" w:rsidR="00474DFD" w:rsidRPr="00205E56" w:rsidRDefault="00474DF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color w:val="000000"/>
          <w:sz w:val="24"/>
          <w:szCs w:val="24"/>
        </w:rPr>
        <w:t xml:space="preserve">Korzystając z opcji narodowej wprowadza </w:t>
      </w:r>
      <w:r w:rsidR="00EF1AD4" w:rsidRPr="00205E56">
        <w:rPr>
          <w:rFonts w:ascii="Times New Roman" w:hAnsi="Times New Roman" w:cs="Times New Roman"/>
          <w:color w:val="000000"/>
          <w:sz w:val="24"/>
          <w:szCs w:val="24"/>
        </w:rPr>
        <w:t xml:space="preserve">się </w:t>
      </w:r>
      <w:r w:rsidRPr="00205E56">
        <w:rPr>
          <w:rFonts w:ascii="Times New Roman" w:hAnsi="Times New Roman" w:cs="Times New Roman"/>
          <w:color w:val="000000"/>
          <w:sz w:val="24"/>
          <w:szCs w:val="24"/>
        </w:rPr>
        <w:t xml:space="preserve">nowy podmiot uprawniony do świadczenia usług płatniczych </w:t>
      </w:r>
      <w:r w:rsidR="00205E56" w:rsidRPr="00205E56">
        <w:rPr>
          <w:rFonts w:ascii="Times New Roman" w:hAnsi="Times New Roman" w:cs="Times New Roman"/>
          <w:color w:val="000000"/>
          <w:sz w:val="24"/>
          <w:szCs w:val="24"/>
        </w:rPr>
        <w:t>–</w:t>
      </w:r>
      <w:r w:rsidRPr="00205E56">
        <w:rPr>
          <w:rFonts w:ascii="Times New Roman" w:hAnsi="Times New Roman" w:cs="Times New Roman"/>
          <w:color w:val="000000"/>
          <w:sz w:val="24"/>
          <w:szCs w:val="24"/>
        </w:rPr>
        <w:t xml:space="preserve"> małą instytucję płatniczą (MIP)</w:t>
      </w:r>
      <w:r w:rsidR="00EF1AD4" w:rsidRPr="00205E56">
        <w:rPr>
          <w:rFonts w:ascii="Times New Roman" w:hAnsi="Times New Roman" w:cs="Times New Roman"/>
          <w:color w:val="000000"/>
          <w:sz w:val="24"/>
          <w:szCs w:val="24"/>
        </w:rPr>
        <w:t>, tj.</w:t>
      </w:r>
      <w:r w:rsidR="00D07BEB" w:rsidRPr="00205E56">
        <w:rPr>
          <w:rFonts w:ascii="Times New Roman" w:hAnsi="Times New Roman" w:cs="Times New Roman"/>
          <w:color w:val="000000"/>
          <w:sz w:val="24"/>
          <w:szCs w:val="24"/>
        </w:rPr>
        <w:t xml:space="preserve"> </w:t>
      </w:r>
      <w:r w:rsidRPr="00205E56">
        <w:rPr>
          <w:rFonts w:ascii="Times New Roman" w:hAnsi="Times New Roman" w:cs="Times New Roman"/>
          <w:color w:val="000000"/>
          <w:sz w:val="24"/>
          <w:szCs w:val="24"/>
        </w:rPr>
        <w:t xml:space="preserve">osobę fizyczną, osobę prawną oraz jednostkę organizacyjną niebędącą osobą prawną, której ustawa przyznaje zdolność prawną, wpisaną do rejestru małych instytucji płatniczych, prowadzącą działalność w zakresie usług płatniczych. MIP będą mogły wykonywać </w:t>
      </w:r>
      <w:r w:rsidRPr="00205E56">
        <w:rPr>
          <w:rFonts w:ascii="Times New Roman" w:hAnsi="Times New Roman" w:cs="Times New Roman"/>
          <w:color w:val="000000"/>
          <w:sz w:val="24"/>
          <w:szCs w:val="24"/>
        </w:rPr>
        <w:lastRenderedPageBreak/>
        <w:t>swoją działalność wyłącznie na terytorium Rzeczypospolitej Polskiej po uzyskaniu wpisu do rejestru małych instytucji płatniczych</w:t>
      </w:r>
      <w:r w:rsidR="00EF1AD4" w:rsidRPr="00205E56">
        <w:rPr>
          <w:rFonts w:ascii="Times New Roman" w:hAnsi="Times New Roman" w:cs="Times New Roman"/>
          <w:color w:val="000000"/>
          <w:sz w:val="24"/>
          <w:szCs w:val="24"/>
        </w:rPr>
        <w:t xml:space="preserve">. Dozwolone będzie także </w:t>
      </w:r>
      <w:r w:rsidRPr="00205E56">
        <w:rPr>
          <w:rFonts w:ascii="Times New Roman" w:hAnsi="Times New Roman" w:cs="Times New Roman"/>
          <w:color w:val="000000"/>
          <w:sz w:val="24"/>
          <w:szCs w:val="24"/>
        </w:rPr>
        <w:t>prowadz</w:t>
      </w:r>
      <w:r w:rsidR="00EF1AD4" w:rsidRPr="00205E56">
        <w:rPr>
          <w:rFonts w:ascii="Times New Roman" w:hAnsi="Times New Roman" w:cs="Times New Roman"/>
          <w:color w:val="000000"/>
          <w:sz w:val="24"/>
          <w:szCs w:val="24"/>
        </w:rPr>
        <w:t>enie</w:t>
      </w:r>
      <w:r w:rsidR="004F212C" w:rsidRPr="00205E56">
        <w:rPr>
          <w:rFonts w:ascii="Times New Roman" w:hAnsi="Times New Roman" w:cs="Times New Roman"/>
          <w:color w:val="000000"/>
          <w:sz w:val="24"/>
          <w:szCs w:val="24"/>
        </w:rPr>
        <w:t xml:space="preserve"> </w:t>
      </w:r>
      <w:r w:rsidRPr="00205E56">
        <w:rPr>
          <w:rFonts w:ascii="Times New Roman" w:hAnsi="Times New Roman" w:cs="Times New Roman"/>
          <w:color w:val="000000"/>
          <w:sz w:val="24"/>
          <w:szCs w:val="24"/>
        </w:rPr>
        <w:t>działalnoś</w:t>
      </w:r>
      <w:r w:rsidR="00EF1AD4" w:rsidRPr="00205E56">
        <w:rPr>
          <w:rFonts w:ascii="Times New Roman" w:hAnsi="Times New Roman" w:cs="Times New Roman"/>
          <w:color w:val="000000"/>
          <w:sz w:val="24"/>
          <w:szCs w:val="24"/>
        </w:rPr>
        <w:t>ci</w:t>
      </w:r>
      <w:r w:rsidRPr="00205E56">
        <w:rPr>
          <w:rFonts w:ascii="Times New Roman" w:hAnsi="Times New Roman" w:cs="Times New Roman"/>
          <w:color w:val="000000"/>
          <w:sz w:val="24"/>
          <w:szCs w:val="24"/>
        </w:rPr>
        <w:t xml:space="preserve"> gospodarcz</w:t>
      </w:r>
      <w:r w:rsidR="00EF1AD4" w:rsidRPr="00205E56">
        <w:rPr>
          <w:rFonts w:ascii="Times New Roman" w:hAnsi="Times New Roman" w:cs="Times New Roman"/>
          <w:color w:val="000000"/>
          <w:sz w:val="24"/>
          <w:szCs w:val="24"/>
        </w:rPr>
        <w:t xml:space="preserve">ej </w:t>
      </w:r>
      <w:r w:rsidRPr="00205E56">
        <w:rPr>
          <w:rFonts w:ascii="Times New Roman" w:hAnsi="Times New Roman" w:cs="Times New Roman"/>
          <w:color w:val="000000"/>
          <w:sz w:val="24"/>
          <w:szCs w:val="24"/>
        </w:rPr>
        <w:t>inn</w:t>
      </w:r>
      <w:r w:rsidR="00EF1AD4" w:rsidRPr="00205E56">
        <w:rPr>
          <w:rFonts w:ascii="Times New Roman" w:hAnsi="Times New Roman" w:cs="Times New Roman"/>
          <w:color w:val="000000"/>
          <w:sz w:val="24"/>
          <w:szCs w:val="24"/>
        </w:rPr>
        <w:t xml:space="preserve">ej </w:t>
      </w:r>
      <w:r w:rsidRPr="00205E56">
        <w:rPr>
          <w:rFonts w:ascii="Times New Roman" w:hAnsi="Times New Roman" w:cs="Times New Roman"/>
          <w:color w:val="000000"/>
          <w:sz w:val="24"/>
          <w:szCs w:val="24"/>
        </w:rPr>
        <w:t>niż świadczenie usług płatniczych. Dopuszczalna wielkość obrotu wykonanego przez MIP nie będzie mogła przekroczyć kwoty 1</w:t>
      </w:r>
      <w:r w:rsidR="001525DC">
        <w:rPr>
          <w:rFonts w:ascii="Times New Roman" w:hAnsi="Times New Roman" w:cs="Times New Roman"/>
          <w:color w:val="000000"/>
          <w:sz w:val="24"/>
          <w:szCs w:val="24"/>
        </w:rPr>
        <w:t> </w:t>
      </w:r>
      <w:r w:rsidRPr="00205E56">
        <w:rPr>
          <w:rFonts w:ascii="Times New Roman" w:hAnsi="Times New Roman" w:cs="Times New Roman"/>
          <w:color w:val="000000"/>
          <w:sz w:val="24"/>
          <w:szCs w:val="24"/>
        </w:rPr>
        <w:t>500</w:t>
      </w:r>
      <w:r w:rsidR="001525DC">
        <w:rPr>
          <w:rFonts w:ascii="Times New Roman" w:hAnsi="Times New Roman" w:cs="Times New Roman"/>
          <w:color w:val="000000"/>
          <w:sz w:val="24"/>
          <w:szCs w:val="24"/>
        </w:rPr>
        <w:t> </w:t>
      </w:r>
      <w:r w:rsidRPr="00205E56">
        <w:rPr>
          <w:rFonts w:ascii="Times New Roman" w:hAnsi="Times New Roman" w:cs="Times New Roman"/>
          <w:color w:val="000000"/>
          <w:sz w:val="24"/>
          <w:szCs w:val="24"/>
        </w:rPr>
        <w:t>000 euro miesięcznie. Właściwym organem sprawującym nadzór nad działalnością MIP będzie KNF. Mała instytucja płatnicza będzie obowiązana do wnoszenia wpłat na pokrycie kosztów nadzoru w kwocie stanowiącej iloczyn całkowitej kwoty transakcji płatniczych wykonanych przez MIP, w</w:t>
      </w:r>
      <w:r w:rsidR="001525DC">
        <w:rPr>
          <w:rFonts w:ascii="Times New Roman" w:hAnsi="Times New Roman" w:cs="Times New Roman"/>
          <w:color w:val="000000"/>
          <w:sz w:val="24"/>
          <w:szCs w:val="24"/>
        </w:rPr>
        <w:t xml:space="preserve"> tym także przez jej agentów, i </w:t>
      </w:r>
      <w:r w:rsidRPr="00205E56">
        <w:rPr>
          <w:rFonts w:ascii="Times New Roman" w:hAnsi="Times New Roman" w:cs="Times New Roman"/>
          <w:color w:val="000000"/>
          <w:sz w:val="24"/>
          <w:szCs w:val="24"/>
        </w:rPr>
        <w:t>stawki nieprzekraczającej 0,025%. W tym celu zostanie wydane przez Prezesa Rady Ministrów rozporządzenie w sprawie terminów uiszczania, wysokości i sposobu obliczania wpłat oraz sposobu i terminów rozliczenia należności z tytułu wpłat</w:t>
      </w:r>
      <w:r w:rsidR="00EF1AD4" w:rsidRPr="00205E56">
        <w:rPr>
          <w:rFonts w:ascii="Times New Roman" w:hAnsi="Times New Roman" w:cs="Times New Roman"/>
          <w:color w:val="000000"/>
          <w:sz w:val="24"/>
          <w:szCs w:val="24"/>
        </w:rPr>
        <w:t>.</w:t>
      </w:r>
    </w:p>
    <w:p w14:paraId="6CF5B5E3" w14:textId="67DA0ABA" w:rsidR="00D32743" w:rsidRPr="00205E56" w:rsidRDefault="00D32743" w:rsidP="00D14A5F">
      <w:pPr>
        <w:suppressAutoHyphens/>
        <w:autoSpaceDE w:val="0"/>
        <w:autoSpaceDN w:val="0"/>
        <w:adjustRightInd w:val="0"/>
        <w:spacing w:before="120" w:after="0" w:line="360" w:lineRule="auto"/>
        <w:jc w:val="both"/>
        <w:rPr>
          <w:rFonts w:ascii="Times New Roman" w:eastAsia="Calibri" w:hAnsi="Times New Roman" w:cs="Times New Roman"/>
          <w:b/>
          <w:bCs/>
          <w:sz w:val="24"/>
          <w:szCs w:val="24"/>
          <w:lang w:eastAsia="pl-PL"/>
        </w:rPr>
      </w:pPr>
      <w:r w:rsidRPr="00205E56">
        <w:rPr>
          <w:rFonts w:ascii="Times New Roman" w:eastAsia="Calibri" w:hAnsi="Times New Roman" w:cs="Times New Roman"/>
          <w:b/>
          <w:bCs/>
          <w:sz w:val="24"/>
          <w:szCs w:val="24"/>
          <w:lang w:eastAsia="pl-PL"/>
        </w:rPr>
        <w:t>Szczegółow</w:t>
      </w:r>
      <w:r w:rsidR="00D7284A" w:rsidRPr="00205E56">
        <w:rPr>
          <w:rFonts w:ascii="Times New Roman" w:eastAsia="Calibri" w:hAnsi="Times New Roman" w:cs="Times New Roman"/>
          <w:b/>
          <w:bCs/>
          <w:sz w:val="24"/>
          <w:szCs w:val="24"/>
          <w:lang w:eastAsia="pl-PL"/>
        </w:rPr>
        <w:t>y opis</w:t>
      </w:r>
      <w:r w:rsidRPr="00205E56">
        <w:rPr>
          <w:rFonts w:ascii="Times New Roman" w:eastAsia="Calibri" w:hAnsi="Times New Roman" w:cs="Times New Roman"/>
          <w:b/>
          <w:bCs/>
          <w:sz w:val="24"/>
          <w:szCs w:val="24"/>
          <w:lang w:eastAsia="pl-PL"/>
        </w:rPr>
        <w:t xml:space="preserve"> zmian wprowadzan</w:t>
      </w:r>
      <w:r w:rsidR="00D7284A" w:rsidRPr="00205E56">
        <w:rPr>
          <w:rFonts w:ascii="Times New Roman" w:eastAsia="Calibri" w:hAnsi="Times New Roman" w:cs="Times New Roman"/>
          <w:b/>
          <w:bCs/>
          <w:sz w:val="24"/>
          <w:szCs w:val="24"/>
          <w:lang w:eastAsia="pl-PL"/>
        </w:rPr>
        <w:t>ych</w:t>
      </w:r>
      <w:r w:rsidRPr="00205E56">
        <w:rPr>
          <w:rFonts w:ascii="Times New Roman" w:eastAsia="Calibri" w:hAnsi="Times New Roman" w:cs="Times New Roman"/>
          <w:b/>
          <w:bCs/>
          <w:sz w:val="24"/>
          <w:szCs w:val="24"/>
          <w:lang w:eastAsia="pl-PL"/>
        </w:rPr>
        <w:t xml:space="preserve"> w ustaw</w:t>
      </w:r>
      <w:r w:rsidR="00A8052F" w:rsidRPr="00205E56">
        <w:rPr>
          <w:rFonts w:ascii="Times New Roman" w:eastAsia="Calibri" w:hAnsi="Times New Roman" w:cs="Times New Roman"/>
          <w:b/>
          <w:bCs/>
          <w:sz w:val="24"/>
          <w:szCs w:val="24"/>
          <w:lang w:eastAsia="pl-PL"/>
        </w:rPr>
        <w:t>ie</w:t>
      </w:r>
    </w:p>
    <w:p w14:paraId="294FBACE" w14:textId="54F339D9" w:rsidR="00956FE7" w:rsidRPr="00205E56" w:rsidRDefault="00956FE7" w:rsidP="00D14A5F">
      <w:pPr>
        <w:suppressAutoHyphens/>
        <w:autoSpaceDE w:val="0"/>
        <w:autoSpaceDN w:val="0"/>
        <w:adjustRightInd w:val="0"/>
        <w:spacing w:before="120" w:after="0" w:line="360" w:lineRule="auto"/>
        <w:jc w:val="both"/>
        <w:rPr>
          <w:rFonts w:ascii="Times New Roman" w:eastAsia="Calibri" w:hAnsi="Times New Roman" w:cs="Times New Roman"/>
          <w:bCs/>
          <w:sz w:val="24"/>
          <w:szCs w:val="24"/>
          <w:lang w:eastAsia="pl-PL"/>
        </w:rPr>
      </w:pPr>
      <w:r w:rsidRPr="00205E56">
        <w:rPr>
          <w:rFonts w:ascii="Times New Roman" w:eastAsia="Calibri" w:hAnsi="Times New Roman" w:cs="Times New Roman"/>
          <w:b/>
          <w:bCs/>
          <w:sz w:val="24"/>
          <w:szCs w:val="24"/>
          <w:lang w:eastAsia="pl-PL"/>
        </w:rPr>
        <w:t>Art. 1 projektu</w:t>
      </w:r>
      <w:r w:rsidRPr="00205E56">
        <w:rPr>
          <w:rFonts w:ascii="Times New Roman" w:eastAsia="Calibri" w:hAnsi="Times New Roman" w:cs="Times New Roman"/>
          <w:bCs/>
          <w:sz w:val="24"/>
          <w:szCs w:val="24"/>
          <w:lang w:eastAsia="pl-PL"/>
        </w:rPr>
        <w:t xml:space="preserve"> wprowadza zmiany w ustawie o usługach płatniczych, zwanej dalej </w:t>
      </w:r>
      <w:r w:rsidR="00E96025" w:rsidRPr="00205E56">
        <w:rPr>
          <w:rFonts w:ascii="Times New Roman" w:eastAsia="Calibri" w:hAnsi="Times New Roman" w:cs="Times New Roman"/>
          <w:bCs/>
          <w:sz w:val="24"/>
          <w:szCs w:val="24"/>
          <w:lang w:eastAsia="pl-PL"/>
        </w:rPr>
        <w:t>„</w:t>
      </w:r>
      <w:r w:rsidRPr="00205E56">
        <w:rPr>
          <w:rFonts w:ascii="Times New Roman" w:eastAsia="Calibri" w:hAnsi="Times New Roman" w:cs="Times New Roman"/>
          <w:bCs/>
          <w:sz w:val="24"/>
          <w:szCs w:val="24"/>
          <w:lang w:eastAsia="pl-PL"/>
        </w:rPr>
        <w:t>ustawą</w:t>
      </w:r>
      <w:r w:rsidR="00E96025" w:rsidRPr="00205E56">
        <w:rPr>
          <w:rFonts w:ascii="Times New Roman" w:eastAsia="Calibri" w:hAnsi="Times New Roman" w:cs="Times New Roman"/>
          <w:bCs/>
          <w:sz w:val="24"/>
          <w:szCs w:val="24"/>
          <w:lang w:eastAsia="pl-PL"/>
        </w:rPr>
        <w:t>”</w:t>
      </w:r>
      <w:r w:rsidRPr="00205E56">
        <w:rPr>
          <w:rFonts w:ascii="Times New Roman" w:eastAsia="Calibri" w:hAnsi="Times New Roman" w:cs="Times New Roman"/>
          <w:bCs/>
          <w:sz w:val="24"/>
          <w:szCs w:val="24"/>
          <w:lang w:eastAsia="pl-PL"/>
        </w:rPr>
        <w:t>.</w:t>
      </w:r>
    </w:p>
    <w:p w14:paraId="72BE35B1" w14:textId="77777777" w:rsidR="00956FE7" w:rsidRPr="00205E56" w:rsidRDefault="00956FE7" w:rsidP="00D14A5F">
      <w:pPr>
        <w:suppressAutoHyphens/>
        <w:autoSpaceDE w:val="0"/>
        <w:autoSpaceDN w:val="0"/>
        <w:adjustRightInd w:val="0"/>
        <w:spacing w:before="120" w:after="0" w:line="360" w:lineRule="auto"/>
        <w:jc w:val="both"/>
        <w:rPr>
          <w:rFonts w:ascii="Times New Roman" w:eastAsia="Calibri" w:hAnsi="Times New Roman" w:cs="Times New Roman"/>
          <w:bCs/>
          <w:sz w:val="24"/>
          <w:szCs w:val="24"/>
          <w:lang w:eastAsia="pl-PL"/>
        </w:rPr>
      </w:pPr>
      <w:r w:rsidRPr="00205E56">
        <w:rPr>
          <w:rFonts w:ascii="Times New Roman" w:eastAsia="Calibri" w:hAnsi="Times New Roman" w:cs="Times New Roman"/>
          <w:bCs/>
          <w:sz w:val="24"/>
          <w:szCs w:val="24"/>
          <w:lang w:eastAsia="pl-PL"/>
        </w:rPr>
        <w:t xml:space="preserve">W </w:t>
      </w:r>
      <w:r w:rsidRPr="00205E56">
        <w:rPr>
          <w:rFonts w:ascii="Times New Roman" w:eastAsia="Calibri" w:hAnsi="Times New Roman" w:cs="Times New Roman"/>
          <w:b/>
          <w:bCs/>
          <w:sz w:val="24"/>
          <w:szCs w:val="24"/>
          <w:lang w:eastAsia="pl-PL"/>
        </w:rPr>
        <w:t>pkt 1</w:t>
      </w:r>
      <w:r w:rsidRPr="00205E56">
        <w:rPr>
          <w:rFonts w:ascii="Times New Roman" w:eastAsia="Calibri" w:hAnsi="Times New Roman" w:cs="Times New Roman"/>
          <w:bCs/>
          <w:sz w:val="24"/>
          <w:szCs w:val="24"/>
          <w:lang w:eastAsia="pl-PL"/>
        </w:rPr>
        <w:t xml:space="preserve"> wprowadza się zmiany w art. 1 ustawy, określającym jej zakres przedmiotowy.</w:t>
      </w:r>
    </w:p>
    <w:p w14:paraId="061EC4BC" w14:textId="57DF4F46" w:rsidR="001C502E" w:rsidRPr="00205E56" w:rsidRDefault="00956FE7" w:rsidP="00D14A5F">
      <w:pPr>
        <w:spacing w:before="120" w:after="0" w:line="360" w:lineRule="auto"/>
        <w:jc w:val="both"/>
        <w:rPr>
          <w:rFonts w:ascii="Times New Roman" w:eastAsia="Calibri" w:hAnsi="Times New Roman" w:cs="Times New Roman"/>
          <w:sz w:val="24"/>
          <w:szCs w:val="24"/>
        </w:rPr>
      </w:pPr>
      <w:r w:rsidRPr="00205E56">
        <w:rPr>
          <w:rFonts w:ascii="Times New Roman" w:eastAsia="Calibri" w:hAnsi="Times New Roman" w:cs="Times New Roman"/>
          <w:sz w:val="24"/>
          <w:szCs w:val="24"/>
        </w:rPr>
        <w:t xml:space="preserve">Ustawa będzie regulowała także zasady prowadzenia działalności </w:t>
      </w:r>
      <w:r w:rsidR="00FD70E7" w:rsidRPr="00205E56">
        <w:rPr>
          <w:rFonts w:ascii="Times New Roman" w:eastAsia="Calibri" w:hAnsi="Times New Roman" w:cs="Times New Roman"/>
          <w:sz w:val="24"/>
          <w:szCs w:val="24"/>
        </w:rPr>
        <w:t xml:space="preserve">przez małe instytucje płatnicze. </w:t>
      </w:r>
      <w:r w:rsidRPr="00205E56">
        <w:rPr>
          <w:rFonts w:ascii="Times New Roman" w:eastAsia="Calibri" w:hAnsi="Times New Roman" w:cs="Times New Roman"/>
          <w:sz w:val="24"/>
          <w:szCs w:val="24"/>
        </w:rPr>
        <w:t xml:space="preserve">Konsekwencją tej zmiany są zmiany w art. 1 ust. 1 ustawy </w:t>
      </w:r>
      <w:r w:rsidR="00A8052F" w:rsidRPr="00205E56">
        <w:rPr>
          <w:rFonts w:ascii="Times New Roman" w:eastAsia="Calibri" w:hAnsi="Times New Roman" w:cs="Times New Roman"/>
          <w:sz w:val="24"/>
          <w:szCs w:val="24"/>
        </w:rPr>
        <w:t>(</w:t>
      </w:r>
      <w:r w:rsidRPr="00205E56">
        <w:rPr>
          <w:rFonts w:ascii="Times New Roman" w:eastAsia="Calibri" w:hAnsi="Times New Roman" w:cs="Times New Roman"/>
          <w:sz w:val="24"/>
          <w:szCs w:val="24"/>
        </w:rPr>
        <w:t>zmian</w:t>
      </w:r>
      <w:r w:rsidR="00A8052F" w:rsidRPr="00205E56">
        <w:rPr>
          <w:rFonts w:ascii="Times New Roman" w:eastAsia="Calibri" w:hAnsi="Times New Roman" w:cs="Times New Roman"/>
          <w:sz w:val="24"/>
          <w:szCs w:val="24"/>
        </w:rPr>
        <w:t xml:space="preserve">a </w:t>
      </w:r>
      <w:r w:rsidRPr="00205E56">
        <w:rPr>
          <w:rFonts w:ascii="Times New Roman" w:eastAsia="Calibri" w:hAnsi="Times New Roman" w:cs="Times New Roman"/>
          <w:sz w:val="24"/>
          <w:szCs w:val="24"/>
        </w:rPr>
        <w:t>ust. 1 pkt</w:t>
      </w:r>
      <w:r w:rsidR="001525DC">
        <w:rPr>
          <w:rFonts w:ascii="Times New Roman" w:eastAsia="Calibri" w:hAnsi="Times New Roman" w:cs="Times New Roman"/>
          <w:sz w:val="24"/>
          <w:szCs w:val="24"/>
        </w:rPr>
        <w:t> </w:t>
      </w:r>
      <w:r w:rsidRPr="00205E56">
        <w:rPr>
          <w:rFonts w:ascii="Times New Roman" w:eastAsia="Calibri" w:hAnsi="Times New Roman" w:cs="Times New Roman"/>
          <w:sz w:val="24"/>
          <w:szCs w:val="24"/>
        </w:rPr>
        <w:t>3</w:t>
      </w:r>
      <w:r w:rsidR="00A8052F" w:rsidRPr="00205E56">
        <w:rPr>
          <w:rFonts w:ascii="Times New Roman" w:eastAsia="Calibri" w:hAnsi="Times New Roman" w:cs="Times New Roman"/>
          <w:sz w:val="24"/>
          <w:szCs w:val="24"/>
        </w:rPr>
        <w:t>)</w:t>
      </w:r>
      <w:r w:rsidRPr="00205E56">
        <w:rPr>
          <w:rFonts w:ascii="Times New Roman" w:eastAsia="Calibri" w:hAnsi="Times New Roman" w:cs="Times New Roman"/>
          <w:sz w:val="24"/>
          <w:szCs w:val="24"/>
        </w:rPr>
        <w:t>.</w:t>
      </w:r>
    </w:p>
    <w:p w14:paraId="656E1678" w14:textId="0D076B06" w:rsidR="00956FE7" w:rsidRPr="00205E56" w:rsidRDefault="00956FE7"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2</w:t>
      </w:r>
      <w:r w:rsidRPr="00205E56">
        <w:rPr>
          <w:rFonts w:ascii="Times New Roman" w:hAnsi="Times New Roman" w:cs="Times New Roman"/>
          <w:sz w:val="24"/>
          <w:szCs w:val="24"/>
        </w:rPr>
        <w:t xml:space="preserve"> wprowadza się zmiany w art. 2 ustawy, zawierającym słowniczek pojęć używanych w ustawie. Dodawane pojęcia to: „co-</w:t>
      </w:r>
      <w:proofErr w:type="spellStart"/>
      <w:r w:rsidRPr="00205E56">
        <w:rPr>
          <w:rFonts w:ascii="Times New Roman" w:hAnsi="Times New Roman" w:cs="Times New Roman"/>
          <w:sz w:val="24"/>
          <w:szCs w:val="24"/>
        </w:rPr>
        <w:t>badging</w:t>
      </w:r>
      <w:proofErr w:type="spellEnd"/>
      <w:r w:rsidRPr="00205E56">
        <w:rPr>
          <w:rFonts w:ascii="Times New Roman" w:hAnsi="Times New Roman" w:cs="Times New Roman"/>
          <w:sz w:val="24"/>
          <w:szCs w:val="24"/>
        </w:rPr>
        <w:t xml:space="preserve">” (pkt 3a), dostawca prowadzący rachunek (pkt 4c), dostawca świadczący usługę inicjowania </w:t>
      </w:r>
      <w:r w:rsidR="00C77F95" w:rsidRPr="00205E56">
        <w:rPr>
          <w:rFonts w:ascii="Times New Roman" w:hAnsi="Times New Roman" w:cs="Times New Roman"/>
          <w:sz w:val="24"/>
          <w:szCs w:val="24"/>
        </w:rPr>
        <w:t xml:space="preserve">transakcji </w:t>
      </w:r>
      <w:r w:rsidR="00174EE0" w:rsidRPr="00205E56">
        <w:rPr>
          <w:rFonts w:ascii="Times New Roman" w:hAnsi="Times New Roman" w:cs="Times New Roman"/>
          <w:sz w:val="24"/>
          <w:szCs w:val="24"/>
        </w:rPr>
        <w:t>płatniczej</w:t>
      </w:r>
      <w:r w:rsidRPr="00205E56">
        <w:rPr>
          <w:rFonts w:ascii="Times New Roman" w:hAnsi="Times New Roman" w:cs="Times New Roman"/>
          <w:sz w:val="24"/>
          <w:szCs w:val="24"/>
        </w:rPr>
        <w:t xml:space="preserve"> (pkt 4d), dostawca świadczący usługę dostęp</w:t>
      </w:r>
      <w:r w:rsidR="001525DC">
        <w:rPr>
          <w:rFonts w:ascii="Times New Roman" w:hAnsi="Times New Roman" w:cs="Times New Roman"/>
          <w:sz w:val="24"/>
          <w:szCs w:val="24"/>
        </w:rPr>
        <w:t>u do informacji o rachunku (pkt </w:t>
      </w:r>
      <w:r w:rsidRPr="00205E56">
        <w:rPr>
          <w:rFonts w:ascii="Times New Roman" w:hAnsi="Times New Roman" w:cs="Times New Roman"/>
          <w:sz w:val="24"/>
          <w:szCs w:val="24"/>
        </w:rPr>
        <w:t xml:space="preserve">4e), </w:t>
      </w:r>
      <w:r w:rsidR="00C85AC2" w:rsidRPr="00205E56">
        <w:rPr>
          <w:rFonts w:ascii="Times New Roman" w:hAnsi="Times New Roman" w:cs="Times New Roman"/>
          <w:sz w:val="24"/>
          <w:szCs w:val="24"/>
        </w:rPr>
        <w:t>dostawca świadczący wyłącznie usługę dostęp</w:t>
      </w:r>
      <w:r w:rsidR="001525DC">
        <w:rPr>
          <w:rFonts w:ascii="Times New Roman" w:hAnsi="Times New Roman" w:cs="Times New Roman"/>
          <w:sz w:val="24"/>
          <w:szCs w:val="24"/>
        </w:rPr>
        <w:t>u do informacji o rachunku (pkt </w:t>
      </w:r>
      <w:r w:rsidR="00C85AC2" w:rsidRPr="00205E56">
        <w:rPr>
          <w:rFonts w:ascii="Times New Roman" w:hAnsi="Times New Roman" w:cs="Times New Roman"/>
          <w:sz w:val="24"/>
          <w:szCs w:val="24"/>
        </w:rPr>
        <w:t xml:space="preserve">4f), </w:t>
      </w:r>
      <w:r w:rsidRPr="00205E56">
        <w:rPr>
          <w:rFonts w:ascii="Times New Roman" w:hAnsi="Times New Roman" w:cs="Times New Roman"/>
          <w:sz w:val="24"/>
          <w:szCs w:val="24"/>
        </w:rPr>
        <w:t xml:space="preserve">hybrydowa mała instytucja płatnicza (pkt 9aa), </w:t>
      </w:r>
      <w:r w:rsidR="007E0969" w:rsidRPr="00205E56">
        <w:rPr>
          <w:rFonts w:ascii="Times New Roman" w:hAnsi="Times New Roman" w:cs="Times New Roman"/>
          <w:sz w:val="24"/>
          <w:szCs w:val="24"/>
        </w:rPr>
        <w:t xml:space="preserve">incydent (pkt 9c), </w:t>
      </w:r>
      <w:r w:rsidRPr="00205E56">
        <w:rPr>
          <w:rFonts w:ascii="Times New Roman" w:hAnsi="Times New Roman" w:cs="Times New Roman"/>
          <w:sz w:val="24"/>
          <w:szCs w:val="24"/>
        </w:rPr>
        <w:t>indywidualne dane uwierzytelniające (pkt 9</w:t>
      </w:r>
      <w:r w:rsidR="007E0969" w:rsidRPr="00205E56">
        <w:rPr>
          <w:rFonts w:ascii="Times New Roman" w:hAnsi="Times New Roman" w:cs="Times New Roman"/>
          <w:sz w:val="24"/>
          <w:szCs w:val="24"/>
        </w:rPr>
        <w:t>d</w:t>
      </w:r>
      <w:r w:rsidRPr="00205E56">
        <w:rPr>
          <w:rFonts w:ascii="Times New Roman" w:hAnsi="Times New Roman" w:cs="Times New Roman"/>
          <w:sz w:val="24"/>
          <w:szCs w:val="24"/>
        </w:rPr>
        <w:t xml:space="preserve">), marka płatnicza (pkt 17b), mała instytucja płatnicza (pkt 17c), </w:t>
      </w:r>
      <w:r w:rsidR="00C85AC2" w:rsidRPr="00205E56">
        <w:rPr>
          <w:rFonts w:ascii="Times New Roman" w:hAnsi="Times New Roman" w:cs="Times New Roman"/>
          <w:sz w:val="24"/>
          <w:szCs w:val="24"/>
        </w:rPr>
        <w:t>reklamacja (pkt 2</w:t>
      </w:r>
      <w:r w:rsidR="00B62EFA" w:rsidRPr="00205E56">
        <w:rPr>
          <w:rFonts w:ascii="Times New Roman" w:hAnsi="Times New Roman" w:cs="Times New Roman"/>
          <w:sz w:val="24"/>
          <w:szCs w:val="24"/>
        </w:rPr>
        <w:t>6</w:t>
      </w:r>
      <w:r w:rsidR="00B62EFA" w:rsidRPr="00205E56">
        <w:rPr>
          <w:rFonts w:ascii="Times New Roman" w:hAnsi="Times New Roman" w:cs="Times New Roman"/>
          <w:sz w:val="24"/>
          <w:szCs w:val="24"/>
          <w:vertAlign w:val="superscript"/>
        </w:rPr>
        <w:t>1</w:t>
      </w:r>
      <w:r w:rsidR="00C85AC2" w:rsidRPr="00205E56">
        <w:rPr>
          <w:rFonts w:ascii="Times New Roman" w:hAnsi="Times New Roman" w:cs="Times New Roman"/>
          <w:sz w:val="24"/>
          <w:szCs w:val="24"/>
        </w:rPr>
        <w:t xml:space="preserve">), </w:t>
      </w:r>
      <w:r w:rsidRPr="00205E56">
        <w:rPr>
          <w:rFonts w:ascii="Times New Roman" w:hAnsi="Times New Roman" w:cs="Times New Roman"/>
          <w:sz w:val="24"/>
          <w:szCs w:val="24"/>
        </w:rPr>
        <w:t xml:space="preserve">silne uwierzytelnianie </w:t>
      </w:r>
      <w:r w:rsidR="00C85AC2" w:rsidRPr="00205E56">
        <w:rPr>
          <w:rFonts w:ascii="Times New Roman" w:hAnsi="Times New Roman" w:cs="Times New Roman"/>
          <w:sz w:val="24"/>
          <w:szCs w:val="24"/>
        </w:rPr>
        <w:t xml:space="preserve">użytkownika </w:t>
      </w:r>
      <w:r w:rsidRPr="00205E56">
        <w:rPr>
          <w:rFonts w:ascii="Times New Roman" w:hAnsi="Times New Roman" w:cs="Times New Roman"/>
          <w:sz w:val="24"/>
          <w:szCs w:val="24"/>
        </w:rPr>
        <w:t>(pkt 26</w:t>
      </w:r>
      <w:r w:rsidR="00B62EFA" w:rsidRPr="00205E56">
        <w:rPr>
          <w:rFonts w:ascii="Times New Roman" w:hAnsi="Times New Roman" w:cs="Times New Roman"/>
          <w:sz w:val="24"/>
          <w:szCs w:val="24"/>
        </w:rPr>
        <w:t>aa</w:t>
      </w:r>
      <w:r w:rsidRPr="00205E56">
        <w:rPr>
          <w:rFonts w:ascii="Times New Roman" w:hAnsi="Times New Roman" w:cs="Times New Roman"/>
          <w:sz w:val="24"/>
          <w:szCs w:val="24"/>
        </w:rPr>
        <w:t>), szczególnie chronione dane dotyczące płatności (pkt 27</w:t>
      </w:r>
      <w:r w:rsidR="00B62EFA" w:rsidRPr="00205E56">
        <w:rPr>
          <w:rFonts w:ascii="Times New Roman" w:hAnsi="Times New Roman" w:cs="Times New Roman"/>
          <w:sz w:val="24"/>
          <w:szCs w:val="24"/>
          <w:vertAlign w:val="superscript"/>
        </w:rPr>
        <w:t>1</w:t>
      </w:r>
      <w:r w:rsidRPr="00205E56">
        <w:rPr>
          <w:rFonts w:ascii="Times New Roman" w:hAnsi="Times New Roman" w:cs="Times New Roman"/>
          <w:sz w:val="24"/>
          <w:szCs w:val="24"/>
        </w:rPr>
        <w:t xml:space="preserve">), </w:t>
      </w:r>
      <w:r w:rsidR="00E03135" w:rsidRPr="00205E56">
        <w:rPr>
          <w:rFonts w:ascii="Times New Roman" w:hAnsi="Times New Roman" w:cs="Times New Roman"/>
          <w:sz w:val="24"/>
          <w:szCs w:val="24"/>
        </w:rPr>
        <w:t>treści cyfrowe (pkt 29a), uwierzytelnianie (pkt 33</w:t>
      </w:r>
      <w:r w:rsidR="00B62EFA" w:rsidRPr="00205E56">
        <w:rPr>
          <w:rFonts w:ascii="Times New Roman" w:hAnsi="Times New Roman" w:cs="Times New Roman"/>
          <w:sz w:val="24"/>
          <w:szCs w:val="24"/>
        </w:rPr>
        <w:t>b</w:t>
      </w:r>
      <w:r w:rsidR="00E03135" w:rsidRPr="00205E56">
        <w:rPr>
          <w:rFonts w:ascii="Times New Roman" w:hAnsi="Times New Roman" w:cs="Times New Roman"/>
          <w:sz w:val="24"/>
          <w:szCs w:val="24"/>
        </w:rPr>
        <w:t>)</w:t>
      </w:r>
      <w:r w:rsidR="007F667B" w:rsidRPr="00205E56">
        <w:rPr>
          <w:rFonts w:ascii="Times New Roman" w:hAnsi="Times New Roman" w:cs="Times New Roman"/>
          <w:sz w:val="24"/>
          <w:szCs w:val="24"/>
        </w:rPr>
        <w:t>.</w:t>
      </w:r>
      <w:r w:rsidR="00D07BEB" w:rsidRPr="00205E56">
        <w:rPr>
          <w:rFonts w:ascii="Times New Roman" w:hAnsi="Times New Roman" w:cs="Times New Roman"/>
          <w:sz w:val="24"/>
          <w:szCs w:val="24"/>
        </w:rPr>
        <w:t xml:space="preserve"> </w:t>
      </w:r>
    </w:p>
    <w:p w14:paraId="4B60DFF2" w14:textId="42787234" w:rsidR="00DE0B79" w:rsidRPr="00205E56" w:rsidRDefault="00E03135"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3</w:t>
      </w:r>
      <w:r w:rsidRPr="00205E56">
        <w:rPr>
          <w:rFonts w:ascii="Times New Roman" w:hAnsi="Times New Roman" w:cs="Times New Roman"/>
          <w:sz w:val="24"/>
          <w:szCs w:val="24"/>
        </w:rPr>
        <w:t xml:space="preserve"> wprowadza się zmianę w art. 3 ustawy, przez zmianę ust. 1 pkt </w:t>
      </w:r>
      <w:r w:rsidR="00133EEA" w:rsidRPr="00205E56">
        <w:rPr>
          <w:rFonts w:ascii="Times New Roman" w:hAnsi="Times New Roman" w:cs="Times New Roman"/>
          <w:sz w:val="24"/>
          <w:szCs w:val="24"/>
        </w:rPr>
        <w:t xml:space="preserve">5 i </w:t>
      </w:r>
      <w:r w:rsidRPr="00205E56">
        <w:rPr>
          <w:rFonts w:ascii="Times New Roman" w:hAnsi="Times New Roman" w:cs="Times New Roman"/>
          <w:sz w:val="24"/>
          <w:szCs w:val="24"/>
        </w:rPr>
        <w:t xml:space="preserve">7 oraz dodanie w ust. 1 pkt 8, które rozszerzają katalog usług płatniczych o </w:t>
      </w:r>
      <w:r w:rsidR="00064982" w:rsidRPr="00205E56">
        <w:rPr>
          <w:rFonts w:ascii="Times New Roman" w:hAnsi="Times New Roman" w:cs="Times New Roman"/>
          <w:sz w:val="24"/>
          <w:szCs w:val="24"/>
        </w:rPr>
        <w:t>świadczenie</w:t>
      </w:r>
      <w:r w:rsidRPr="00205E56">
        <w:rPr>
          <w:rFonts w:ascii="Times New Roman" w:hAnsi="Times New Roman" w:cs="Times New Roman"/>
          <w:sz w:val="24"/>
          <w:szCs w:val="24"/>
        </w:rPr>
        <w:t xml:space="preserve"> usługi inicjowania płatności</w:t>
      </w:r>
      <w:r w:rsidR="00064982" w:rsidRPr="00205E56">
        <w:rPr>
          <w:rFonts w:ascii="Times New Roman" w:hAnsi="Times New Roman" w:cs="Times New Roman"/>
          <w:sz w:val="24"/>
          <w:szCs w:val="24"/>
        </w:rPr>
        <w:t xml:space="preserve"> oraz świadczenie usługi dostępu do informacji o rachunku.</w:t>
      </w:r>
      <w:r w:rsidR="00142D27" w:rsidRPr="00205E56">
        <w:rPr>
          <w:rFonts w:ascii="Times New Roman" w:hAnsi="Times New Roman" w:cs="Times New Roman"/>
          <w:sz w:val="24"/>
          <w:szCs w:val="24"/>
        </w:rPr>
        <w:t xml:space="preserve"> Dodaje się również ust. 5</w:t>
      </w:r>
      <w:r w:rsidR="00A70B86" w:rsidRPr="00205E56">
        <w:rPr>
          <w:rFonts w:ascii="Times New Roman" w:hAnsi="Times New Roman" w:cs="Times New Roman"/>
          <w:sz w:val="24"/>
          <w:szCs w:val="24"/>
        </w:rPr>
        <w:t xml:space="preserve"> i 6</w:t>
      </w:r>
      <w:r w:rsidR="00142D27" w:rsidRPr="00205E56">
        <w:rPr>
          <w:rFonts w:ascii="Times New Roman" w:hAnsi="Times New Roman" w:cs="Times New Roman"/>
          <w:sz w:val="24"/>
          <w:szCs w:val="24"/>
        </w:rPr>
        <w:t xml:space="preserve">, które zawierają definicję usług: inicjowania </w:t>
      </w:r>
      <w:r w:rsidR="00A70B86" w:rsidRPr="00205E56">
        <w:rPr>
          <w:rFonts w:ascii="Times New Roman" w:hAnsi="Times New Roman" w:cs="Times New Roman"/>
          <w:sz w:val="24"/>
          <w:szCs w:val="24"/>
        </w:rPr>
        <w:t xml:space="preserve">transakcji </w:t>
      </w:r>
      <w:r w:rsidR="00A70B86" w:rsidRPr="00205E56">
        <w:rPr>
          <w:rFonts w:ascii="Times New Roman" w:hAnsi="Times New Roman" w:cs="Times New Roman"/>
          <w:sz w:val="24"/>
          <w:szCs w:val="24"/>
        </w:rPr>
        <w:lastRenderedPageBreak/>
        <w:t>płatniczej oraz</w:t>
      </w:r>
      <w:r w:rsidR="00142D27" w:rsidRPr="00205E56">
        <w:rPr>
          <w:rFonts w:ascii="Times New Roman" w:hAnsi="Times New Roman" w:cs="Times New Roman"/>
          <w:sz w:val="24"/>
          <w:szCs w:val="24"/>
        </w:rPr>
        <w:t xml:space="preserve"> usługi dostępu do informacji o rachunku. </w:t>
      </w:r>
      <w:r w:rsidR="00C9045C" w:rsidRPr="00205E56">
        <w:rPr>
          <w:rFonts w:ascii="Times New Roman" w:hAnsi="Times New Roman" w:cs="Times New Roman"/>
          <w:sz w:val="24"/>
          <w:szCs w:val="24"/>
        </w:rPr>
        <w:t>Zmiana w art. 3 ust. 1 pkt 7 zastępuje działalność polegającą na „wykonywaniu transakcji płatniczych, w przypadku których zgoda płatnika na wykonanie transakcji udzielana jest przy użyciu urządzenia telekomunikacyjnego, cyfrowego lub informatycznego, a płatność przekazywana jest dostawcy usług telekomunikacyjnych, cyfrowych lub informatycznych, działającemu jedynie jako pośrednik między użytkownikiem zl</w:t>
      </w:r>
      <w:r w:rsidR="001525DC">
        <w:rPr>
          <w:rFonts w:ascii="Times New Roman" w:hAnsi="Times New Roman" w:cs="Times New Roman"/>
          <w:sz w:val="24"/>
          <w:szCs w:val="24"/>
        </w:rPr>
        <w:t>ecającym transakcję płatniczą a </w:t>
      </w:r>
      <w:r w:rsidR="00C9045C" w:rsidRPr="00205E56">
        <w:rPr>
          <w:rFonts w:ascii="Times New Roman" w:hAnsi="Times New Roman" w:cs="Times New Roman"/>
          <w:sz w:val="24"/>
          <w:szCs w:val="24"/>
        </w:rPr>
        <w:t xml:space="preserve">odbiorcą” działalnością polegającą na „świadczeniu usługi inicjowania transakcji płatniczej”. </w:t>
      </w:r>
      <w:r w:rsidR="00356DE5" w:rsidRPr="00205E56">
        <w:rPr>
          <w:rFonts w:ascii="Times New Roman" w:hAnsi="Times New Roman" w:cs="Times New Roman"/>
          <w:sz w:val="24"/>
          <w:szCs w:val="24"/>
        </w:rPr>
        <w:t>Zgodnie z art. 11 projektu, wprowadzającym przepisy przejściowe dla tych instytucji płatniczych,</w:t>
      </w:r>
      <w:r w:rsidR="00205E56" w:rsidRPr="00205E56">
        <w:rPr>
          <w:rFonts w:ascii="Times New Roman" w:hAnsi="Times New Roman" w:cs="Times New Roman"/>
          <w:sz w:val="24"/>
          <w:szCs w:val="24"/>
        </w:rPr>
        <w:t xml:space="preserve"> </w:t>
      </w:r>
      <w:r w:rsidR="00356DE5" w:rsidRPr="00205E56">
        <w:rPr>
          <w:rFonts w:ascii="Times New Roman" w:hAnsi="Times New Roman" w:cs="Times New Roman"/>
          <w:sz w:val="24"/>
          <w:szCs w:val="24"/>
        </w:rPr>
        <w:t>mogą one prowadzić swoją działalność na terytorium Rzeczypospolitej Polskiej na podstawie dotychczasowego zezwolenia, jeżeli w terminie do dnia 13 stycznia 2020 r. przekażą KNF dokumentację potwierdzającą spełnienie wymogów określonych w art. 64 ust.</w:t>
      </w:r>
      <w:r w:rsidR="00205E56" w:rsidRPr="00205E56">
        <w:rPr>
          <w:rFonts w:ascii="Times New Roman" w:hAnsi="Times New Roman" w:cs="Times New Roman"/>
          <w:sz w:val="24"/>
          <w:szCs w:val="24"/>
        </w:rPr>
        <w:t xml:space="preserve"> </w:t>
      </w:r>
      <w:r w:rsidR="00356DE5" w:rsidRPr="00205E56">
        <w:rPr>
          <w:rFonts w:ascii="Times New Roman" w:hAnsi="Times New Roman" w:cs="Times New Roman"/>
          <w:sz w:val="24"/>
          <w:szCs w:val="24"/>
        </w:rPr>
        <w:t>1 pkt 1 lit.</w:t>
      </w:r>
      <w:r w:rsidR="00205E56" w:rsidRPr="00205E56">
        <w:rPr>
          <w:rFonts w:ascii="Times New Roman" w:hAnsi="Times New Roman" w:cs="Times New Roman"/>
          <w:sz w:val="24"/>
          <w:szCs w:val="24"/>
        </w:rPr>
        <w:t xml:space="preserve"> </w:t>
      </w:r>
      <w:r w:rsidR="00356DE5" w:rsidRPr="00205E56">
        <w:rPr>
          <w:rFonts w:ascii="Times New Roman" w:hAnsi="Times New Roman" w:cs="Times New Roman"/>
          <w:sz w:val="24"/>
          <w:szCs w:val="24"/>
        </w:rPr>
        <w:t xml:space="preserve">a i art. 77 znowelizowanej </w:t>
      </w:r>
      <w:r w:rsidR="00EA3DCE" w:rsidRPr="00205E56">
        <w:rPr>
          <w:rFonts w:ascii="Times New Roman" w:hAnsi="Times New Roman" w:cs="Times New Roman"/>
          <w:sz w:val="24"/>
          <w:szCs w:val="24"/>
        </w:rPr>
        <w:t>UUP</w:t>
      </w:r>
      <w:r w:rsidR="00356DE5" w:rsidRPr="00205E56">
        <w:rPr>
          <w:rFonts w:ascii="Times New Roman" w:hAnsi="Times New Roman" w:cs="Times New Roman"/>
          <w:sz w:val="24"/>
          <w:szCs w:val="24"/>
        </w:rPr>
        <w:t xml:space="preserve">. Usługę świadczoną na podstawie wcześniejszych zapisów art. 3 ust. 1 pkt 7 uznaje się od wejścia w życie znowelizowanej </w:t>
      </w:r>
      <w:r w:rsidR="00EA3DCE" w:rsidRPr="00205E56">
        <w:rPr>
          <w:rFonts w:ascii="Times New Roman" w:hAnsi="Times New Roman" w:cs="Times New Roman"/>
          <w:sz w:val="24"/>
          <w:szCs w:val="24"/>
        </w:rPr>
        <w:t xml:space="preserve">UUP </w:t>
      </w:r>
      <w:r w:rsidR="00356DE5" w:rsidRPr="00205E56">
        <w:rPr>
          <w:rFonts w:ascii="Times New Roman" w:hAnsi="Times New Roman" w:cs="Times New Roman"/>
          <w:sz w:val="24"/>
          <w:szCs w:val="24"/>
        </w:rPr>
        <w:t xml:space="preserve">za usługę płatniczą, o której mowa w art. 3 ust. 1 pkt 2 znowelizowanej </w:t>
      </w:r>
      <w:r w:rsidR="00EA3DCE" w:rsidRPr="00205E56">
        <w:rPr>
          <w:rFonts w:ascii="Times New Roman" w:hAnsi="Times New Roman" w:cs="Times New Roman"/>
          <w:sz w:val="24"/>
          <w:szCs w:val="24"/>
        </w:rPr>
        <w:t>UUP</w:t>
      </w:r>
      <w:r w:rsidR="00356DE5" w:rsidRPr="00205E56">
        <w:rPr>
          <w:rFonts w:ascii="Times New Roman" w:hAnsi="Times New Roman" w:cs="Times New Roman"/>
          <w:sz w:val="24"/>
          <w:szCs w:val="24"/>
        </w:rPr>
        <w:t>.</w:t>
      </w:r>
    </w:p>
    <w:p w14:paraId="3C38FC98" w14:textId="16ACA5CD" w:rsidR="008C3A87" w:rsidRPr="00205E56" w:rsidRDefault="00064982"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4</w:t>
      </w:r>
      <w:r w:rsidR="00393474" w:rsidRPr="00205E56">
        <w:rPr>
          <w:rFonts w:ascii="Times New Roman" w:hAnsi="Times New Roman" w:cs="Times New Roman"/>
          <w:sz w:val="24"/>
          <w:szCs w:val="24"/>
        </w:rPr>
        <w:t xml:space="preserve"> wprowadza się </w:t>
      </w:r>
      <w:r w:rsidR="00C02CC5" w:rsidRPr="00205E56">
        <w:rPr>
          <w:rFonts w:ascii="Times New Roman" w:hAnsi="Times New Roman" w:cs="Times New Roman"/>
          <w:sz w:val="24"/>
          <w:szCs w:val="24"/>
        </w:rPr>
        <w:t>zmiany</w:t>
      </w:r>
      <w:r w:rsidR="00393474" w:rsidRPr="00205E56">
        <w:rPr>
          <w:rFonts w:ascii="Times New Roman" w:hAnsi="Times New Roman" w:cs="Times New Roman"/>
          <w:sz w:val="24"/>
          <w:szCs w:val="24"/>
        </w:rPr>
        <w:t xml:space="preserve"> w art. 4 ustawy, przez zmianę w ust. </w:t>
      </w:r>
      <w:r w:rsidR="00C02CC5" w:rsidRPr="00205E56">
        <w:rPr>
          <w:rFonts w:ascii="Times New Roman" w:hAnsi="Times New Roman" w:cs="Times New Roman"/>
          <w:sz w:val="24"/>
          <w:szCs w:val="24"/>
        </w:rPr>
        <w:t xml:space="preserve">2 pkt 3, </w:t>
      </w:r>
      <w:r w:rsidR="00393474" w:rsidRPr="00205E56">
        <w:rPr>
          <w:rFonts w:ascii="Times New Roman" w:hAnsi="Times New Roman" w:cs="Times New Roman"/>
          <w:sz w:val="24"/>
          <w:szCs w:val="24"/>
        </w:rPr>
        <w:t>4</w:t>
      </w:r>
      <w:r w:rsidR="00C02CC5" w:rsidRPr="00205E56">
        <w:rPr>
          <w:rFonts w:ascii="Times New Roman" w:hAnsi="Times New Roman" w:cs="Times New Roman"/>
          <w:sz w:val="24"/>
          <w:szCs w:val="24"/>
        </w:rPr>
        <w:t xml:space="preserve"> oraz 7</w:t>
      </w:r>
      <w:r w:rsidR="00393474" w:rsidRPr="00205E56">
        <w:rPr>
          <w:rFonts w:ascii="Times New Roman" w:hAnsi="Times New Roman" w:cs="Times New Roman"/>
          <w:sz w:val="24"/>
          <w:szCs w:val="24"/>
        </w:rPr>
        <w:t xml:space="preserve">, które </w:t>
      </w:r>
      <w:r w:rsidR="00C02CC5" w:rsidRPr="00205E56">
        <w:rPr>
          <w:rFonts w:ascii="Times New Roman" w:hAnsi="Times New Roman" w:cs="Times New Roman"/>
          <w:sz w:val="24"/>
          <w:szCs w:val="24"/>
        </w:rPr>
        <w:t>doprecyzowują katalog dostawców usług płatniczych. Dodaje się również w ust. 2 pkt 11 i 12 przez dodanie dwóch nowych dostawców usług płatniczych</w:t>
      </w:r>
      <w:r w:rsidR="00391A04" w:rsidRPr="00205E56">
        <w:rPr>
          <w:rFonts w:ascii="Times New Roman" w:hAnsi="Times New Roman" w:cs="Times New Roman"/>
          <w:sz w:val="24"/>
          <w:szCs w:val="24"/>
        </w:rPr>
        <w:t>:</w:t>
      </w:r>
      <w:r w:rsidR="00D07BEB" w:rsidRPr="00205E56">
        <w:rPr>
          <w:rFonts w:ascii="Times New Roman" w:hAnsi="Times New Roman" w:cs="Times New Roman"/>
          <w:sz w:val="24"/>
          <w:szCs w:val="24"/>
        </w:rPr>
        <w:t xml:space="preserve"> </w:t>
      </w:r>
      <w:r w:rsidR="00C02CC5" w:rsidRPr="00205E56">
        <w:rPr>
          <w:rFonts w:ascii="Times New Roman" w:hAnsi="Times New Roman" w:cs="Times New Roman"/>
          <w:sz w:val="24"/>
          <w:szCs w:val="24"/>
        </w:rPr>
        <w:t>mał</w:t>
      </w:r>
      <w:r w:rsidR="00391A04" w:rsidRPr="00205E56">
        <w:rPr>
          <w:rFonts w:ascii="Times New Roman" w:hAnsi="Times New Roman" w:cs="Times New Roman"/>
          <w:sz w:val="24"/>
          <w:szCs w:val="24"/>
        </w:rPr>
        <w:t>ej</w:t>
      </w:r>
      <w:r w:rsidR="00C02CC5" w:rsidRPr="00205E56">
        <w:rPr>
          <w:rFonts w:ascii="Times New Roman" w:hAnsi="Times New Roman" w:cs="Times New Roman"/>
          <w:sz w:val="24"/>
          <w:szCs w:val="24"/>
        </w:rPr>
        <w:t xml:space="preserve"> instytucj</w:t>
      </w:r>
      <w:r w:rsidR="00391A04" w:rsidRPr="00205E56">
        <w:rPr>
          <w:rFonts w:ascii="Times New Roman" w:hAnsi="Times New Roman" w:cs="Times New Roman"/>
          <w:sz w:val="24"/>
          <w:szCs w:val="24"/>
        </w:rPr>
        <w:t>i</w:t>
      </w:r>
      <w:r w:rsidR="00C02CC5" w:rsidRPr="00205E56">
        <w:rPr>
          <w:rFonts w:ascii="Times New Roman" w:hAnsi="Times New Roman" w:cs="Times New Roman"/>
          <w:sz w:val="24"/>
          <w:szCs w:val="24"/>
        </w:rPr>
        <w:t xml:space="preserve"> płatnicz</w:t>
      </w:r>
      <w:r w:rsidR="00391A04" w:rsidRPr="00205E56">
        <w:rPr>
          <w:rFonts w:ascii="Times New Roman" w:hAnsi="Times New Roman" w:cs="Times New Roman"/>
          <w:sz w:val="24"/>
          <w:szCs w:val="24"/>
        </w:rPr>
        <w:t xml:space="preserve">ej </w:t>
      </w:r>
      <w:r w:rsidR="00C02CC5" w:rsidRPr="00205E56">
        <w:rPr>
          <w:rFonts w:ascii="Times New Roman" w:hAnsi="Times New Roman" w:cs="Times New Roman"/>
          <w:sz w:val="24"/>
          <w:szCs w:val="24"/>
        </w:rPr>
        <w:t>oraz dostawc</w:t>
      </w:r>
      <w:r w:rsidR="00391A04" w:rsidRPr="00205E56">
        <w:rPr>
          <w:rFonts w:ascii="Times New Roman" w:hAnsi="Times New Roman" w:cs="Times New Roman"/>
          <w:sz w:val="24"/>
          <w:szCs w:val="24"/>
        </w:rPr>
        <w:t>y</w:t>
      </w:r>
      <w:r w:rsidR="00C528F2" w:rsidRPr="00205E56">
        <w:rPr>
          <w:rFonts w:ascii="Times New Roman" w:hAnsi="Times New Roman" w:cs="Times New Roman"/>
          <w:sz w:val="24"/>
          <w:szCs w:val="24"/>
        </w:rPr>
        <w:t xml:space="preserve"> </w:t>
      </w:r>
      <w:r w:rsidR="00C02CC5" w:rsidRPr="00205E56">
        <w:rPr>
          <w:rFonts w:ascii="Times New Roman" w:hAnsi="Times New Roman" w:cs="Times New Roman"/>
          <w:sz w:val="24"/>
          <w:szCs w:val="24"/>
        </w:rPr>
        <w:t>świadczącego</w:t>
      </w:r>
      <w:r w:rsidR="00B62EFA" w:rsidRPr="00205E56">
        <w:rPr>
          <w:rFonts w:ascii="Times New Roman" w:hAnsi="Times New Roman" w:cs="Times New Roman"/>
          <w:sz w:val="24"/>
          <w:szCs w:val="24"/>
        </w:rPr>
        <w:t xml:space="preserve"> wyłącznie</w:t>
      </w:r>
      <w:r w:rsidR="001525DC">
        <w:rPr>
          <w:rFonts w:ascii="Times New Roman" w:hAnsi="Times New Roman" w:cs="Times New Roman"/>
          <w:sz w:val="24"/>
          <w:szCs w:val="24"/>
        </w:rPr>
        <w:t xml:space="preserve"> usługę dostępu do informacji o </w:t>
      </w:r>
      <w:r w:rsidR="00C02CC5" w:rsidRPr="00205E56">
        <w:rPr>
          <w:rFonts w:ascii="Times New Roman" w:hAnsi="Times New Roman" w:cs="Times New Roman"/>
          <w:sz w:val="24"/>
          <w:szCs w:val="24"/>
        </w:rPr>
        <w:t xml:space="preserve">rachunku. </w:t>
      </w:r>
      <w:r w:rsidR="007E003C" w:rsidRPr="00205E56">
        <w:rPr>
          <w:rFonts w:ascii="Times New Roman" w:hAnsi="Times New Roman" w:cs="Times New Roman"/>
          <w:sz w:val="24"/>
          <w:szCs w:val="24"/>
        </w:rPr>
        <w:t xml:space="preserve">Wprowadza się również zmianę do ust. 3, która zobowiązuje małe instytucje płatnicze oraz dostawców świadczących </w:t>
      </w:r>
      <w:r w:rsidR="00B62EFA" w:rsidRPr="00205E56">
        <w:rPr>
          <w:rFonts w:ascii="Times New Roman" w:hAnsi="Times New Roman" w:cs="Times New Roman"/>
          <w:sz w:val="24"/>
          <w:szCs w:val="24"/>
        </w:rPr>
        <w:t xml:space="preserve">wyłącznie </w:t>
      </w:r>
      <w:r w:rsidR="007E003C" w:rsidRPr="00205E56">
        <w:rPr>
          <w:rFonts w:ascii="Times New Roman" w:hAnsi="Times New Roman" w:cs="Times New Roman"/>
          <w:sz w:val="24"/>
          <w:szCs w:val="24"/>
        </w:rPr>
        <w:t xml:space="preserve">usługę dostępu do informacji o rachunku do </w:t>
      </w:r>
      <w:r w:rsidR="00391A04" w:rsidRPr="00205E56">
        <w:rPr>
          <w:rFonts w:ascii="Times New Roman" w:hAnsi="Times New Roman" w:cs="Times New Roman"/>
          <w:sz w:val="24"/>
          <w:szCs w:val="24"/>
        </w:rPr>
        <w:t>uzyskania</w:t>
      </w:r>
      <w:r w:rsidR="004F212C" w:rsidRPr="00205E56">
        <w:rPr>
          <w:rFonts w:ascii="Times New Roman" w:hAnsi="Times New Roman" w:cs="Times New Roman"/>
          <w:sz w:val="24"/>
          <w:szCs w:val="24"/>
        </w:rPr>
        <w:t xml:space="preserve"> </w:t>
      </w:r>
      <w:r w:rsidR="007E003C" w:rsidRPr="00205E56">
        <w:rPr>
          <w:rFonts w:ascii="Times New Roman" w:hAnsi="Times New Roman" w:cs="Times New Roman"/>
          <w:sz w:val="24"/>
          <w:szCs w:val="24"/>
        </w:rPr>
        <w:t>wpis</w:t>
      </w:r>
      <w:r w:rsidR="00391A04" w:rsidRPr="00205E56">
        <w:rPr>
          <w:rFonts w:ascii="Times New Roman" w:hAnsi="Times New Roman" w:cs="Times New Roman"/>
          <w:sz w:val="24"/>
          <w:szCs w:val="24"/>
        </w:rPr>
        <w:t>u</w:t>
      </w:r>
      <w:r w:rsidR="007E003C" w:rsidRPr="00205E56">
        <w:rPr>
          <w:rFonts w:ascii="Times New Roman" w:hAnsi="Times New Roman" w:cs="Times New Roman"/>
          <w:sz w:val="24"/>
          <w:szCs w:val="24"/>
        </w:rPr>
        <w:t xml:space="preserve"> do rejestru dostawców. </w:t>
      </w:r>
    </w:p>
    <w:p w14:paraId="5E7C2566" w14:textId="2B407EAE" w:rsidR="00064982" w:rsidRPr="00205E56" w:rsidRDefault="007E003C"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Wprowadza się również zmianę do ust. 5</w:t>
      </w:r>
      <w:r w:rsidR="00391A04" w:rsidRPr="00205E56">
        <w:rPr>
          <w:rFonts w:ascii="Times New Roman" w:hAnsi="Times New Roman" w:cs="Times New Roman"/>
          <w:sz w:val="24"/>
          <w:szCs w:val="24"/>
        </w:rPr>
        <w:t>,</w:t>
      </w:r>
      <w:r w:rsidRPr="00205E56">
        <w:rPr>
          <w:rFonts w:ascii="Times New Roman" w:hAnsi="Times New Roman" w:cs="Times New Roman"/>
          <w:sz w:val="24"/>
          <w:szCs w:val="24"/>
        </w:rPr>
        <w:t xml:space="preserve"> przez dodanie małej instytucji płatniczej </w:t>
      </w:r>
      <w:r w:rsidR="00F95B28" w:rsidRPr="00205E56">
        <w:rPr>
          <w:rFonts w:ascii="Times New Roman" w:hAnsi="Times New Roman" w:cs="Times New Roman"/>
          <w:sz w:val="24"/>
          <w:szCs w:val="24"/>
        </w:rPr>
        <w:t>jako dostawcy usług płatniczych uprawnionego</w:t>
      </w:r>
      <w:r w:rsidRPr="00205E56">
        <w:rPr>
          <w:rFonts w:ascii="Times New Roman" w:hAnsi="Times New Roman" w:cs="Times New Roman"/>
          <w:sz w:val="24"/>
          <w:szCs w:val="24"/>
        </w:rPr>
        <w:t xml:space="preserve"> do używania w nazwie firmy</w:t>
      </w:r>
      <w:r w:rsidR="00F95B28" w:rsidRPr="00205E56">
        <w:rPr>
          <w:rFonts w:ascii="Times New Roman" w:hAnsi="Times New Roman" w:cs="Times New Roman"/>
          <w:sz w:val="24"/>
          <w:szCs w:val="24"/>
        </w:rPr>
        <w:t xml:space="preserve"> określenia „mała instytucja płatnicza”.</w:t>
      </w:r>
      <w:r w:rsidR="008B2A85" w:rsidRPr="00205E56">
        <w:rPr>
          <w:rFonts w:ascii="Times New Roman" w:hAnsi="Times New Roman" w:cs="Times New Roman"/>
          <w:sz w:val="24"/>
          <w:szCs w:val="24"/>
        </w:rPr>
        <w:t xml:space="preserve"> Zmiana ma również na celu wyjaśnienie, że wpisowi do rejestru dostawców i wydawców pieniądza elektronicznego są wyłącznie krajowe podmioty świadczące usługi dostępu do rachunku, a</w:t>
      </w:r>
      <w:r w:rsidR="001525DC">
        <w:rPr>
          <w:rFonts w:ascii="Times New Roman" w:hAnsi="Times New Roman" w:cs="Times New Roman"/>
          <w:sz w:val="24"/>
          <w:szCs w:val="24"/>
        </w:rPr>
        <w:t>nalogicznie jak ma to miejsce w </w:t>
      </w:r>
      <w:r w:rsidR="008B2A85" w:rsidRPr="00205E56">
        <w:rPr>
          <w:rFonts w:ascii="Times New Roman" w:hAnsi="Times New Roman" w:cs="Times New Roman"/>
          <w:sz w:val="24"/>
          <w:szCs w:val="24"/>
        </w:rPr>
        <w:t xml:space="preserve">przypadku innych typów dostawców. </w:t>
      </w:r>
    </w:p>
    <w:p w14:paraId="5BB395C4" w14:textId="11AF1D08" w:rsidR="002022E5" w:rsidRPr="00205E56" w:rsidRDefault="00F11F42"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5</w:t>
      </w:r>
      <w:r w:rsidRPr="00205E56">
        <w:rPr>
          <w:rFonts w:ascii="Times New Roman" w:hAnsi="Times New Roman" w:cs="Times New Roman"/>
          <w:sz w:val="24"/>
          <w:szCs w:val="24"/>
        </w:rPr>
        <w:t xml:space="preserve"> wprowadza się zmiany w art. 5 ustawy, </w:t>
      </w:r>
      <w:r w:rsidR="002F74C4" w:rsidRPr="00205E56">
        <w:rPr>
          <w:rFonts w:ascii="Times New Roman" w:hAnsi="Times New Roman" w:cs="Times New Roman"/>
          <w:sz w:val="24"/>
          <w:szCs w:val="24"/>
        </w:rPr>
        <w:t xml:space="preserve">określające zakres terytorialny stosowania ustawy i rozszerzając jej działanie na tzw. one-leg </w:t>
      </w:r>
      <w:proofErr w:type="spellStart"/>
      <w:r w:rsidR="002F74C4" w:rsidRPr="00205E56">
        <w:rPr>
          <w:rFonts w:ascii="Times New Roman" w:hAnsi="Times New Roman" w:cs="Times New Roman"/>
          <w:sz w:val="24"/>
          <w:szCs w:val="24"/>
        </w:rPr>
        <w:t>transactions</w:t>
      </w:r>
      <w:proofErr w:type="spellEnd"/>
      <w:r w:rsidR="002F74C4" w:rsidRPr="00205E56">
        <w:rPr>
          <w:rFonts w:ascii="Times New Roman" w:hAnsi="Times New Roman" w:cs="Times New Roman"/>
          <w:sz w:val="24"/>
          <w:szCs w:val="24"/>
        </w:rPr>
        <w:t>, w których tylko jeden z dostawców znajduje się na terytorium państwa członkowskiego</w:t>
      </w:r>
      <w:r w:rsidR="002022E5" w:rsidRPr="00205E56">
        <w:rPr>
          <w:rFonts w:ascii="Times New Roman" w:hAnsi="Times New Roman" w:cs="Times New Roman"/>
          <w:sz w:val="24"/>
          <w:szCs w:val="24"/>
        </w:rPr>
        <w:t>.</w:t>
      </w:r>
      <w:r w:rsidR="001525DC">
        <w:rPr>
          <w:rFonts w:ascii="Times New Roman" w:hAnsi="Times New Roman" w:cs="Times New Roman"/>
          <w:sz w:val="24"/>
          <w:szCs w:val="24"/>
        </w:rPr>
        <w:t xml:space="preserve"> Użyte </w:t>
      </w:r>
      <w:r w:rsidR="001525DC">
        <w:rPr>
          <w:rFonts w:ascii="Times New Roman" w:hAnsi="Times New Roman" w:cs="Times New Roman"/>
          <w:sz w:val="24"/>
          <w:szCs w:val="24"/>
        </w:rPr>
        <w:lastRenderedPageBreak/>
        <w:t>w </w:t>
      </w:r>
      <w:r w:rsidR="002F74C4" w:rsidRPr="00205E56">
        <w:rPr>
          <w:rFonts w:ascii="Times New Roman" w:hAnsi="Times New Roman" w:cs="Times New Roman"/>
          <w:sz w:val="24"/>
          <w:szCs w:val="24"/>
        </w:rPr>
        <w:t>przepisach „jedyny dostawca w danej transakcji” należy rozumieć jako dostawcę będącego w danej transakcji zarówno dostawcą płatnika jak i dostawcą odbiorcy.</w:t>
      </w:r>
    </w:p>
    <w:p w14:paraId="16A8FDEE" w14:textId="3837B55B" w:rsidR="00394323" w:rsidRPr="00205E56" w:rsidRDefault="00F11F42"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6</w:t>
      </w:r>
      <w:r w:rsidRPr="00205E56">
        <w:rPr>
          <w:rFonts w:ascii="Times New Roman" w:hAnsi="Times New Roman" w:cs="Times New Roman"/>
          <w:sz w:val="24"/>
          <w:szCs w:val="24"/>
        </w:rPr>
        <w:t xml:space="preserve"> wprowadza się zmiany w art. 6 ustawy, </w:t>
      </w:r>
      <w:r w:rsidR="00A95920" w:rsidRPr="00205E56">
        <w:rPr>
          <w:rFonts w:ascii="Times New Roman" w:hAnsi="Times New Roman" w:cs="Times New Roman"/>
          <w:sz w:val="24"/>
          <w:szCs w:val="24"/>
        </w:rPr>
        <w:t>który wymienia transakcje</w:t>
      </w:r>
      <w:r w:rsidR="00F53887" w:rsidRPr="00205E56">
        <w:rPr>
          <w:rFonts w:ascii="Times New Roman" w:hAnsi="Times New Roman" w:cs="Times New Roman"/>
          <w:sz w:val="24"/>
          <w:szCs w:val="24"/>
        </w:rPr>
        <w:t>,</w:t>
      </w:r>
      <w:r w:rsidR="00A95920" w:rsidRPr="00205E56">
        <w:rPr>
          <w:rFonts w:ascii="Times New Roman" w:hAnsi="Times New Roman" w:cs="Times New Roman"/>
          <w:sz w:val="24"/>
          <w:szCs w:val="24"/>
        </w:rPr>
        <w:t xml:space="preserve"> do których nie stosuje się przepisów ustawy.</w:t>
      </w:r>
      <w:r w:rsidR="008B2A85" w:rsidRPr="00205E56">
        <w:rPr>
          <w:rFonts w:ascii="Times New Roman" w:hAnsi="Times New Roman" w:cs="Times New Roman"/>
          <w:sz w:val="24"/>
          <w:szCs w:val="24"/>
        </w:rPr>
        <w:t xml:space="preserve"> Zgodnie z polskim prawem cywilnym osoba wykonująca czynności może być upoważniona nie t</w:t>
      </w:r>
      <w:r w:rsidR="001525DC">
        <w:rPr>
          <w:rFonts w:ascii="Times New Roman" w:hAnsi="Times New Roman" w:cs="Times New Roman"/>
          <w:sz w:val="24"/>
          <w:szCs w:val="24"/>
        </w:rPr>
        <w:t>ylko przez umowę, ale także w </w:t>
      </w:r>
      <w:r w:rsidR="008B2A85" w:rsidRPr="00205E56">
        <w:rPr>
          <w:rFonts w:ascii="Times New Roman" w:hAnsi="Times New Roman" w:cs="Times New Roman"/>
          <w:sz w:val="24"/>
          <w:szCs w:val="24"/>
        </w:rPr>
        <w:t xml:space="preserve">oparciu o inną czynność prawną i jest to częstszy przypadek upoważnienia niż umowa. Kryterium wyłączności odnosi się do obu form działania pośrednika. </w:t>
      </w:r>
      <w:r w:rsidR="00394323" w:rsidRPr="00205E56">
        <w:rPr>
          <w:rFonts w:ascii="Times New Roman" w:hAnsi="Times New Roman" w:cs="Times New Roman"/>
          <w:sz w:val="24"/>
          <w:szCs w:val="24"/>
        </w:rPr>
        <w:t>Informacje zwrotne pochodzące z rynku wskazy</w:t>
      </w:r>
      <w:r w:rsidR="001525DC">
        <w:rPr>
          <w:rFonts w:ascii="Times New Roman" w:hAnsi="Times New Roman" w:cs="Times New Roman"/>
          <w:sz w:val="24"/>
          <w:szCs w:val="24"/>
        </w:rPr>
        <w:t>wały, że działalność związana z </w:t>
      </w:r>
      <w:r w:rsidR="00394323" w:rsidRPr="00205E56">
        <w:rPr>
          <w:rFonts w:ascii="Times New Roman" w:hAnsi="Times New Roman" w:cs="Times New Roman"/>
          <w:sz w:val="24"/>
          <w:szCs w:val="24"/>
        </w:rPr>
        <w:t xml:space="preserve">płatnościami objęta wyłączeniem z tytułu ograniczonej sieci często obejmowała znaczące wolumeny i wartości płatności oraz oferowała konsumentom setki lub tysiące różnych produktów i usług. Pozostawało to sprzeczne z celem wyłączenia z tytułu ograniczonej sieci przewidzianego w implementowanych przepisach dyrektywy </w:t>
      </w:r>
      <w:r w:rsidR="00EC13CD">
        <w:rPr>
          <w:rFonts w:ascii="Times New Roman" w:hAnsi="Times New Roman" w:cs="Times New Roman"/>
          <w:sz w:val="24"/>
          <w:szCs w:val="24"/>
        </w:rPr>
        <w:t xml:space="preserve">PSD </w:t>
      </w:r>
      <w:r w:rsidR="00394323" w:rsidRPr="00205E56">
        <w:rPr>
          <w:rFonts w:ascii="Times New Roman" w:hAnsi="Times New Roman" w:cs="Times New Roman"/>
          <w:sz w:val="24"/>
          <w:szCs w:val="24"/>
        </w:rPr>
        <w:t>i</w:t>
      </w:r>
      <w:r w:rsidR="00EC13CD">
        <w:rPr>
          <w:rFonts w:ascii="Times New Roman" w:hAnsi="Times New Roman" w:cs="Times New Roman"/>
          <w:sz w:val="24"/>
          <w:szCs w:val="24"/>
        </w:rPr>
        <w:t> </w:t>
      </w:r>
      <w:r w:rsidR="00394323" w:rsidRPr="00205E56">
        <w:rPr>
          <w:rFonts w:ascii="Times New Roman" w:hAnsi="Times New Roman" w:cs="Times New Roman"/>
          <w:sz w:val="24"/>
          <w:szCs w:val="24"/>
        </w:rPr>
        <w:t xml:space="preserve">wiązało się z większymi </w:t>
      </w:r>
      <w:proofErr w:type="spellStart"/>
      <w:r w:rsidR="00394323" w:rsidRPr="00205E56">
        <w:rPr>
          <w:rFonts w:ascii="Times New Roman" w:hAnsi="Times New Roman" w:cs="Times New Roman"/>
          <w:sz w:val="24"/>
          <w:szCs w:val="24"/>
        </w:rPr>
        <w:t>ryzykami</w:t>
      </w:r>
      <w:proofErr w:type="spellEnd"/>
      <w:r w:rsidR="00394323" w:rsidRPr="00205E56">
        <w:rPr>
          <w:rFonts w:ascii="Times New Roman" w:hAnsi="Times New Roman" w:cs="Times New Roman"/>
          <w:sz w:val="24"/>
          <w:szCs w:val="24"/>
        </w:rPr>
        <w:t xml:space="preserve"> i brakiem ochrony prawnej dla użytkowników usług płatniczych, zwłaszcza konsumentów, oraz stawiało w wyraźnie niekorzystnym położeniu regulowanych uczestników rynku. </w:t>
      </w:r>
    </w:p>
    <w:p w14:paraId="1559F4E1" w14:textId="4C354863" w:rsidR="00394323" w:rsidRPr="00205E56" w:rsidRDefault="00394323"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Aby pomóc w ograniczeniu tych </w:t>
      </w:r>
      <w:proofErr w:type="spellStart"/>
      <w:r w:rsidRPr="00205E56">
        <w:rPr>
          <w:rFonts w:ascii="Times New Roman" w:hAnsi="Times New Roman" w:cs="Times New Roman"/>
          <w:sz w:val="24"/>
          <w:szCs w:val="24"/>
        </w:rPr>
        <w:t>ryzyk</w:t>
      </w:r>
      <w:proofErr w:type="spellEnd"/>
      <w:r w:rsidRPr="00205E56">
        <w:rPr>
          <w:rFonts w:ascii="Times New Roman" w:hAnsi="Times New Roman" w:cs="Times New Roman"/>
          <w:sz w:val="24"/>
          <w:szCs w:val="24"/>
        </w:rPr>
        <w:t>, ten sam instrument nie powinien być wykorzystywany do dokonywania transakcji płatniczych w celu nabycia to</w:t>
      </w:r>
      <w:r w:rsidR="001525DC">
        <w:rPr>
          <w:rFonts w:ascii="Times New Roman" w:hAnsi="Times New Roman" w:cs="Times New Roman"/>
          <w:sz w:val="24"/>
          <w:szCs w:val="24"/>
        </w:rPr>
        <w:t>warów i </w:t>
      </w:r>
      <w:r w:rsidRPr="00205E56">
        <w:rPr>
          <w:rFonts w:ascii="Times New Roman" w:hAnsi="Times New Roman" w:cs="Times New Roman"/>
          <w:sz w:val="24"/>
          <w:szCs w:val="24"/>
        </w:rPr>
        <w:t>usług w obrębie więcej niż jednej ograniczonej sieci lub w celu nabycia nieograniczonego asortymentu towarów i usług. Instrument płatniczy należy uznać za wykorzystywany w ramach takiej ograniczonej sieci, je</w:t>
      </w:r>
      <w:r w:rsidR="003307D4">
        <w:rPr>
          <w:rFonts w:ascii="Times New Roman" w:hAnsi="Times New Roman" w:cs="Times New Roman"/>
          <w:sz w:val="24"/>
          <w:szCs w:val="24"/>
        </w:rPr>
        <w:t>że</w:t>
      </w:r>
      <w:r w:rsidRPr="00205E56">
        <w:rPr>
          <w:rFonts w:ascii="Times New Roman" w:hAnsi="Times New Roman" w:cs="Times New Roman"/>
          <w:sz w:val="24"/>
          <w:szCs w:val="24"/>
        </w:rPr>
        <w:t>li można go wykorzystać wyłącznie w następujących okolicznościach: po pierwsze, do nabycia towarów i usług u</w:t>
      </w:r>
      <w:r w:rsidR="001525DC">
        <w:rPr>
          <w:rFonts w:ascii="Times New Roman" w:hAnsi="Times New Roman" w:cs="Times New Roman"/>
          <w:sz w:val="24"/>
          <w:szCs w:val="24"/>
        </w:rPr>
        <w:t> </w:t>
      </w:r>
      <w:r w:rsidRPr="00205E56">
        <w:rPr>
          <w:rFonts w:ascii="Times New Roman" w:hAnsi="Times New Roman" w:cs="Times New Roman"/>
          <w:sz w:val="24"/>
          <w:szCs w:val="24"/>
        </w:rPr>
        <w:t>określonego sprzedawcy detalicznego lub w określonej sieci detalicznej, jeżeli dane podmioty związane są bezpośrednio umową handlową, przewidującą np. używanie jednej marki płatniczej, a dana marka płatnicza używ</w:t>
      </w:r>
      <w:r w:rsidR="001525DC">
        <w:rPr>
          <w:rFonts w:ascii="Times New Roman" w:hAnsi="Times New Roman" w:cs="Times New Roman"/>
          <w:sz w:val="24"/>
          <w:szCs w:val="24"/>
        </w:rPr>
        <w:t>ana jest w punktach sprzedaży i </w:t>
      </w:r>
      <w:r w:rsidRPr="00205E56">
        <w:rPr>
          <w:rFonts w:ascii="Times New Roman" w:hAnsi="Times New Roman" w:cs="Times New Roman"/>
          <w:sz w:val="24"/>
          <w:szCs w:val="24"/>
        </w:rPr>
        <w:t xml:space="preserve">figuruje – w miarę możliwości – na instrumencie płatniczym, który można wykorzystywać w tych punktach; po drugie, do nabycia bardzo ograniczonego asortymentu towarów lub usług, jeżeli np. zakres wykorzystania jest faktycznie ograniczony do sprecyzowanej liczby funkcjonalnie powiązanych towarów lub usług, bez względu na geograficzne położenie punktu sprzedaży; lub, po trzecie, jeżeli instrument płatniczy jest regulowany – w szczególnych celach społecznych lub podatkowych – przez krajowy lub regionalny organ publiczny na potrzeby nabywania konkretnych towarów lub usług. </w:t>
      </w:r>
    </w:p>
    <w:p w14:paraId="3BAA8597" w14:textId="626F74D0" w:rsidR="00394323" w:rsidRPr="00205E56" w:rsidRDefault="00394323"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lastRenderedPageBreak/>
        <w:t>Instrumenty płatnicze, które są objęte wyłączeniem z tytułu ograniczonej sieci, mogą obejmować karty sklepowe, karty paliwowe, karty członkowskie, karty transportu publicznego, bilety parkingowe, bony na posiłki lub bony na konkretne usługi, które podlegają niekiedy szczególnym przepisom prawa podatkowego lub prawa pracy, mającym wspierać korzystanie z tych instrumentów, aby osiągnąć cel</w:t>
      </w:r>
      <w:r w:rsidR="001525DC">
        <w:rPr>
          <w:rFonts w:ascii="Times New Roman" w:hAnsi="Times New Roman" w:cs="Times New Roman"/>
          <w:sz w:val="24"/>
          <w:szCs w:val="24"/>
        </w:rPr>
        <w:t>e określone w </w:t>
      </w:r>
      <w:r w:rsidRPr="00205E56">
        <w:rPr>
          <w:rFonts w:ascii="Times New Roman" w:hAnsi="Times New Roman" w:cs="Times New Roman"/>
          <w:sz w:val="24"/>
          <w:szCs w:val="24"/>
        </w:rPr>
        <w:t xml:space="preserve">ustawodawstwie dotyczącym kwestii społecznych. W przypadku gdy taki instrument o celu szczególnym przeradza się w instrument o celu ogólnym, wyłączenie z zakresu niniejszej ustawy nie będzie dłużej miało zastosowania. Z zakresu niniejszej ustawy nie są wyłączone instrumenty, które można wykorzystywać do zakupów w sklepach określonej grupy akceptantów, ponieważ takie instrumenty są zazwyczaj zaprojektowane z myślą o ciągle powiększających się sieciach dostawców usług. Wyłączenie z tytułu ograniczonej sieci stosuje się w połączeniu ze spoczywającym na potencjalnych dostawcach usług płatniczych </w:t>
      </w:r>
      <w:r w:rsidR="001525DC">
        <w:rPr>
          <w:rFonts w:ascii="Times New Roman" w:hAnsi="Times New Roman" w:cs="Times New Roman"/>
          <w:sz w:val="24"/>
          <w:szCs w:val="24"/>
        </w:rPr>
        <w:t>obowiązkiem powiadamiania KNF o </w:t>
      </w:r>
      <w:r w:rsidRPr="00205E56">
        <w:rPr>
          <w:rFonts w:ascii="Times New Roman" w:hAnsi="Times New Roman" w:cs="Times New Roman"/>
          <w:sz w:val="24"/>
          <w:szCs w:val="24"/>
        </w:rPr>
        <w:t>rodzajach działalności wchodzących w jej zakres.</w:t>
      </w:r>
    </w:p>
    <w:p w14:paraId="038B6EE8" w14:textId="76AA1A99" w:rsidR="001E6BCE" w:rsidRPr="00205E56" w:rsidRDefault="001E6BC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Z</w:t>
      </w:r>
      <w:r w:rsidR="00F135A5" w:rsidRPr="00205E56">
        <w:rPr>
          <w:rFonts w:ascii="Times New Roman" w:hAnsi="Times New Roman" w:cs="Times New Roman"/>
          <w:sz w:val="24"/>
          <w:szCs w:val="24"/>
        </w:rPr>
        <w:t xml:space="preserve"> zakresu stosowania </w:t>
      </w:r>
      <w:r w:rsidRPr="00205E56">
        <w:rPr>
          <w:rFonts w:ascii="Times New Roman" w:hAnsi="Times New Roman" w:cs="Times New Roman"/>
          <w:sz w:val="24"/>
          <w:szCs w:val="24"/>
        </w:rPr>
        <w:t xml:space="preserve">ustawy </w:t>
      </w:r>
      <w:r w:rsidR="00F135A5" w:rsidRPr="00205E56">
        <w:rPr>
          <w:rFonts w:ascii="Times New Roman" w:hAnsi="Times New Roman" w:cs="Times New Roman"/>
          <w:sz w:val="24"/>
          <w:szCs w:val="24"/>
        </w:rPr>
        <w:t xml:space="preserve">wyłączono niektóre transakcje płatnicze realizowane za pośrednictwem urządzeń telekomunikacyjnych lub informatycznych, w których operator sieci nie tylko pełni rolę pośrednika przy dostawie cyfrowych towarów i usług za pośrednictwem danego urządzenia, ale także wnosi do tych towarów lub usług wartość dodaną. W szczególności wyłączenie to umożliwia dokonywanie zakupów, za które opłaty są pobierane przez operatora lub wykazywane na rachunku telefonicznym, co – począwszy od dzwonków do telefonów lub usług SMS o podwyższonej wartości – przyczynia się do rozwoju nowych modeli biznesowych opierających się na sprzedaży treści cyfrowych i usług głosowych o niewielkiej wartości. Do usług tych należą: usługi rozrywkowe, takie jak czaty, pliki do pobierania zawierające np. filmy, muzykę i gry, usługi informacyjne, takie jak informacje o pogodzie, aktualności, informacje sportowe, giełdowe, informacje o numerach telefonów, usługi dla telewidzów i radiosłuchaczy, takie jak udział w głosowaniach, zgłaszanie do konkursów oraz publikowanie reakcji na żywo. Z informacji zwrotnych pochodzących z rynku wynika, że brak jest dowodów na to, by takie transakcje płatnicze, cieszące się zaufaniem konsumentów jako wygodne narzędzie w przypadku płatności o niskim progu, przerodziły się w ogólną usługę pośrednictwa w płatnościach. Ze względu jednak na fakt, że to wyłączenie </w:t>
      </w:r>
      <w:r w:rsidRPr="00205E56">
        <w:rPr>
          <w:rFonts w:ascii="Times New Roman" w:hAnsi="Times New Roman" w:cs="Times New Roman"/>
          <w:sz w:val="24"/>
          <w:szCs w:val="24"/>
        </w:rPr>
        <w:t xml:space="preserve">przed nowelizacją </w:t>
      </w:r>
      <w:r w:rsidR="00F135A5" w:rsidRPr="00205E56">
        <w:rPr>
          <w:rFonts w:ascii="Times New Roman" w:hAnsi="Times New Roman" w:cs="Times New Roman"/>
          <w:sz w:val="24"/>
          <w:szCs w:val="24"/>
        </w:rPr>
        <w:t xml:space="preserve">zostało sformułowane w sposób niejednoznaczny, prowadząc do braku pewności prawa dla operatorów i konsumentów oraz umożliwiając w niektórych </w:t>
      </w:r>
      <w:r w:rsidR="00F135A5" w:rsidRPr="00205E56">
        <w:rPr>
          <w:rFonts w:ascii="Times New Roman" w:hAnsi="Times New Roman" w:cs="Times New Roman"/>
          <w:sz w:val="24"/>
          <w:szCs w:val="24"/>
        </w:rPr>
        <w:lastRenderedPageBreak/>
        <w:t xml:space="preserve">przypadkach dostawcom usług pośrednictwa w płatnościach roszczenie sobie prawa do objęcia tych usług nieograniczonym wyłączeniem z zakresu stosowania </w:t>
      </w:r>
      <w:r w:rsidRPr="00205E56">
        <w:rPr>
          <w:rFonts w:ascii="Times New Roman" w:hAnsi="Times New Roman" w:cs="Times New Roman"/>
          <w:sz w:val="24"/>
          <w:szCs w:val="24"/>
        </w:rPr>
        <w:t>ustawy</w:t>
      </w:r>
      <w:r w:rsidR="00F135A5" w:rsidRPr="00205E56">
        <w:rPr>
          <w:rFonts w:ascii="Times New Roman" w:hAnsi="Times New Roman" w:cs="Times New Roman"/>
          <w:sz w:val="24"/>
          <w:szCs w:val="24"/>
        </w:rPr>
        <w:t>.</w:t>
      </w:r>
    </w:p>
    <w:p w14:paraId="4C7F4978" w14:textId="3326E01F" w:rsidR="00F135A5" w:rsidRPr="00205E56" w:rsidRDefault="00F135A5"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Wyłączenie dotyczące niektórych transakcji płatniczych realizowanych za pośrednictwem urządzeń telekomunikacyjnych lub informatycznych ob</w:t>
      </w:r>
      <w:r w:rsidR="001E6BCE" w:rsidRPr="00205E56">
        <w:rPr>
          <w:rFonts w:ascii="Times New Roman" w:hAnsi="Times New Roman" w:cs="Times New Roman"/>
          <w:sz w:val="24"/>
          <w:szCs w:val="24"/>
        </w:rPr>
        <w:t>ejmuje</w:t>
      </w:r>
      <w:r w:rsidRPr="00205E56">
        <w:rPr>
          <w:rFonts w:ascii="Times New Roman" w:hAnsi="Times New Roman" w:cs="Times New Roman"/>
          <w:sz w:val="24"/>
          <w:szCs w:val="24"/>
        </w:rPr>
        <w:t xml:space="preserve"> mikropłatności za treści cyfrowe i usługi głosowe. </w:t>
      </w:r>
      <w:r w:rsidR="001E6BCE" w:rsidRPr="00205E56">
        <w:rPr>
          <w:rFonts w:ascii="Times New Roman" w:hAnsi="Times New Roman" w:cs="Times New Roman"/>
          <w:sz w:val="24"/>
          <w:szCs w:val="24"/>
        </w:rPr>
        <w:t xml:space="preserve">Zawarto odniesienie </w:t>
      </w:r>
      <w:r w:rsidRPr="00205E56">
        <w:rPr>
          <w:rFonts w:ascii="Times New Roman" w:hAnsi="Times New Roman" w:cs="Times New Roman"/>
          <w:sz w:val="24"/>
          <w:szCs w:val="24"/>
        </w:rPr>
        <w:t>do transakcji płatniczych z tytułu zakupu biletów elektronicz</w:t>
      </w:r>
      <w:r w:rsidR="001525DC">
        <w:rPr>
          <w:rFonts w:ascii="Times New Roman" w:hAnsi="Times New Roman" w:cs="Times New Roman"/>
          <w:sz w:val="24"/>
          <w:szCs w:val="24"/>
        </w:rPr>
        <w:t>nych, aby uwzględnić ewolucję w </w:t>
      </w:r>
      <w:r w:rsidRPr="00205E56">
        <w:rPr>
          <w:rFonts w:ascii="Times New Roman" w:hAnsi="Times New Roman" w:cs="Times New Roman"/>
          <w:sz w:val="24"/>
          <w:szCs w:val="24"/>
        </w:rPr>
        <w:t xml:space="preserve">dziedzinie płatności, szczególnie fakt, że klienci mogą zamawiać bilety elektroniczne, płacić za nie oraz otrzymywać je i walidować z dowolnego miejsca i w dowolnym momencie przy użyciu telefonów komórkowych lub innych urządzeń. Bilety elektroniczne umożliwiają i ułatwiają dostarczanie usług, które konsumenci mogliby także nabyć w formie biletu papierowego i które obejmują transport, rozrywkę, usługi parkingowe, wstęp do obiektów, ale nie obejmują towarów fizycznych. W ten sposób obniżają one koszty produkcji i dystrybucji związane z tradycyjnymi kanałami sprzedaży biletów papierowych oraz zwiększają wygodę konsumenta, oferując mu nowe i proste sposoby zakupu biletów. Aby zmniejszyć obciążenie dla podmiotów, które zbierają darowizny na cele charytatywne, </w:t>
      </w:r>
      <w:r w:rsidR="001E6BCE" w:rsidRPr="00205E56">
        <w:rPr>
          <w:rFonts w:ascii="Times New Roman" w:hAnsi="Times New Roman" w:cs="Times New Roman"/>
          <w:sz w:val="24"/>
          <w:szCs w:val="24"/>
        </w:rPr>
        <w:t>dokonano również wyłączenia</w:t>
      </w:r>
      <w:r w:rsidRPr="00205E56">
        <w:rPr>
          <w:rFonts w:ascii="Times New Roman" w:hAnsi="Times New Roman" w:cs="Times New Roman"/>
          <w:sz w:val="24"/>
          <w:szCs w:val="24"/>
        </w:rPr>
        <w:t xml:space="preserve"> transakcj</w:t>
      </w:r>
      <w:r w:rsidR="001E6BCE" w:rsidRPr="00205E56">
        <w:rPr>
          <w:rFonts w:ascii="Times New Roman" w:hAnsi="Times New Roman" w:cs="Times New Roman"/>
          <w:sz w:val="24"/>
          <w:szCs w:val="24"/>
        </w:rPr>
        <w:t>i</w:t>
      </w:r>
      <w:r w:rsidRPr="00205E56">
        <w:rPr>
          <w:rFonts w:ascii="Times New Roman" w:hAnsi="Times New Roman" w:cs="Times New Roman"/>
          <w:sz w:val="24"/>
          <w:szCs w:val="24"/>
        </w:rPr>
        <w:t xml:space="preserve"> płatnicz</w:t>
      </w:r>
      <w:r w:rsidR="001E6BCE" w:rsidRPr="00205E56">
        <w:rPr>
          <w:rFonts w:ascii="Times New Roman" w:hAnsi="Times New Roman" w:cs="Times New Roman"/>
          <w:sz w:val="24"/>
          <w:szCs w:val="24"/>
        </w:rPr>
        <w:t>ych</w:t>
      </w:r>
      <w:r w:rsidRPr="00205E56">
        <w:rPr>
          <w:rFonts w:ascii="Times New Roman" w:hAnsi="Times New Roman" w:cs="Times New Roman"/>
          <w:sz w:val="24"/>
          <w:szCs w:val="24"/>
        </w:rPr>
        <w:t xml:space="preserve"> dotycząc</w:t>
      </w:r>
      <w:r w:rsidR="001E6BCE" w:rsidRPr="00205E56">
        <w:rPr>
          <w:rFonts w:ascii="Times New Roman" w:hAnsi="Times New Roman" w:cs="Times New Roman"/>
          <w:sz w:val="24"/>
          <w:szCs w:val="24"/>
        </w:rPr>
        <w:t>ych</w:t>
      </w:r>
      <w:r w:rsidRPr="00205E56">
        <w:rPr>
          <w:rFonts w:ascii="Times New Roman" w:hAnsi="Times New Roman" w:cs="Times New Roman"/>
          <w:sz w:val="24"/>
          <w:szCs w:val="24"/>
        </w:rPr>
        <w:t xml:space="preserve"> takich darowizn. Ogólnie rzecz biorąc, wyłączenie powinno m</w:t>
      </w:r>
      <w:r w:rsidR="003307D4">
        <w:rPr>
          <w:rFonts w:ascii="Times New Roman" w:hAnsi="Times New Roman" w:cs="Times New Roman"/>
          <w:sz w:val="24"/>
          <w:szCs w:val="24"/>
        </w:rPr>
        <w:t>ieć</w:t>
      </w:r>
      <w:r w:rsidRPr="00205E56">
        <w:rPr>
          <w:rFonts w:ascii="Times New Roman" w:hAnsi="Times New Roman" w:cs="Times New Roman"/>
          <w:sz w:val="24"/>
          <w:szCs w:val="24"/>
        </w:rPr>
        <w:t xml:space="preserve"> zastosowanie jedynie wtedy, gdy wartość transakcji płatniczej nie przekracza określonego </w:t>
      </w:r>
      <w:r w:rsidR="001E6BCE" w:rsidRPr="00205E56">
        <w:rPr>
          <w:rFonts w:ascii="Times New Roman" w:hAnsi="Times New Roman" w:cs="Times New Roman"/>
          <w:sz w:val="24"/>
          <w:szCs w:val="24"/>
        </w:rPr>
        <w:t xml:space="preserve">w ustawie </w:t>
      </w:r>
      <w:r w:rsidRPr="00205E56">
        <w:rPr>
          <w:rFonts w:ascii="Times New Roman" w:hAnsi="Times New Roman" w:cs="Times New Roman"/>
          <w:sz w:val="24"/>
          <w:szCs w:val="24"/>
        </w:rPr>
        <w:t>progu, tak by ograniczyć je wyraźnie do płatności o niskim profilu ryzyka.</w:t>
      </w:r>
    </w:p>
    <w:p w14:paraId="138566A2" w14:textId="64489321" w:rsidR="00F11F42" w:rsidRPr="00205E56" w:rsidRDefault="008B2A85"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Zmiana w pkt 8 uwzględni</w:t>
      </w:r>
      <w:r w:rsidR="0009061C" w:rsidRPr="00205E56">
        <w:rPr>
          <w:rFonts w:ascii="Times New Roman" w:hAnsi="Times New Roman" w:cs="Times New Roman"/>
          <w:sz w:val="24"/>
          <w:szCs w:val="24"/>
        </w:rPr>
        <w:t xml:space="preserve">a </w:t>
      </w:r>
      <w:r w:rsidRPr="00205E56">
        <w:rPr>
          <w:rFonts w:ascii="Times New Roman" w:hAnsi="Times New Roman" w:cs="Times New Roman"/>
          <w:sz w:val="24"/>
          <w:szCs w:val="24"/>
        </w:rPr>
        <w:t>wprowadzeni</w:t>
      </w:r>
      <w:r w:rsidR="003307D4">
        <w:rPr>
          <w:rFonts w:ascii="Times New Roman" w:hAnsi="Times New Roman" w:cs="Times New Roman"/>
          <w:sz w:val="24"/>
          <w:szCs w:val="24"/>
        </w:rPr>
        <w:t>e</w:t>
      </w:r>
      <w:r w:rsidRPr="00205E56">
        <w:rPr>
          <w:rFonts w:ascii="Times New Roman" w:hAnsi="Times New Roman" w:cs="Times New Roman"/>
          <w:sz w:val="24"/>
          <w:szCs w:val="24"/>
        </w:rPr>
        <w:t xml:space="preserve"> w Polsce schematów płatniczych (zmiana poza zakresem PSD</w:t>
      </w:r>
      <w:r w:rsidR="00426034" w:rsidRPr="00205E56">
        <w:rPr>
          <w:rFonts w:ascii="Times New Roman" w:hAnsi="Times New Roman" w:cs="Times New Roman"/>
          <w:sz w:val="24"/>
          <w:szCs w:val="24"/>
        </w:rPr>
        <w:t xml:space="preserve"> </w:t>
      </w:r>
      <w:r w:rsidRPr="00205E56">
        <w:rPr>
          <w:rFonts w:ascii="Times New Roman" w:hAnsi="Times New Roman" w:cs="Times New Roman"/>
          <w:sz w:val="24"/>
          <w:szCs w:val="24"/>
        </w:rPr>
        <w:t xml:space="preserve">2). Pozostałe zmiany mają na celu eliminację wątpliwości interpretacyjnych oraz zwiększenie przejrzystości przepisu. Zmiana w pkt 15 usuwa rozbieżność między PSD a </w:t>
      </w:r>
      <w:r w:rsidR="00333F55" w:rsidRPr="00205E56">
        <w:rPr>
          <w:rFonts w:ascii="Times New Roman" w:hAnsi="Times New Roman" w:cs="Times New Roman"/>
          <w:sz w:val="24"/>
          <w:szCs w:val="24"/>
        </w:rPr>
        <w:t>ustawą</w:t>
      </w:r>
      <w:r w:rsidR="004F212C" w:rsidRPr="00205E56">
        <w:rPr>
          <w:rFonts w:ascii="Times New Roman" w:hAnsi="Times New Roman" w:cs="Times New Roman"/>
          <w:sz w:val="24"/>
          <w:szCs w:val="24"/>
        </w:rPr>
        <w:t xml:space="preserve"> </w:t>
      </w:r>
      <w:r w:rsidRPr="00205E56">
        <w:rPr>
          <w:rFonts w:ascii="Times New Roman" w:hAnsi="Times New Roman" w:cs="Times New Roman"/>
          <w:sz w:val="24"/>
          <w:szCs w:val="24"/>
        </w:rPr>
        <w:t xml:space="preserve">co do pojęcia „dostawca”. Dotychczasowe brzmienie </w:t>
      </w:r>
      <w:r w:rsidR="0009061C" w:rsidRPr="00205E56">
        <w:rPr>
          <w:rFonts w:ascii="Times New Roman" w:hAnsi="Times New Roman" w:cs="Times New Roman"/>
          <w:sz w:val="24"/>
          <w:szCs w:val="24"/>
        </w:rPr>
        <w:t xml:space="preserve">ustawy </w:t>
      </w:r>
      <w:r w:rsidRPr="00205E56">
        <w:rPr>
          <w:rFonts w:ascii="Times New Roman" w:hAnsi="Times New Roman" w:cs="Times New Roman"/>
          <w:sz w:val="24"/>
          <w:szCs w:val="24"/>
        </w:rPr>
        <w:t>(które definiuje „dostawcę” jako „dos</w:t>
      </w:r>
      <w:r w:rsidR="001525DC">
        <w:rPr>
          <w:rFonts w:ascii="Times New Roman" w:hAnsi="Times New Roman" w:cs="Times New Roman"/>
          <w:sz w:val="24"/>
          <w:szCs w:val="24"/>
        </w:rPr>
        <w:t>tawcę usług płatniczych” – art. </w:t>
      </w:r>
      <w:r w:rsidRPr="00205E56">
        <w:rPr>
          <w:rFonts w:ascii="Times New Roman" w:hAnsi="Times New Roman" w:cs="Times New Roman"/>
          <w:sz w:val="24"/>
          <w:szCs w:val="24"/>
        </w:rPr>
        <w:t xml:space="preserve">4 ust. 1) sugeruje, </w:t>
      </w:r>
      <w:r w:rsidR="0009061C" w:rsidRPr="00205E56">
        <w:rPr>
          <w:rFonts w:ascii="Times New Roman" w:hAnsi="Times New Roman" w:cs="Times New Roman"/>
          <w:sz w:val="24"/>
          <w:szCs w:val="24"/>
        </w:rPr>
        <w:t xml:space="preserve">że </w:t>
      </w:r>
      <w:r w:rsidRPr="00205E56">
        <w:rPr>
          <w:rFonts w:ascii="Times New Roman" w:hAnsi="Times New Roman" w:cs="Times New Roman"/>
          <w:sz w:val="24"/>
          <w:szCs w:val="24"/>
        </w:rPr>
        <w:t xml:space="preserve">wyłączenie dla usług bankomatowych dostępne </w:t>
      </w:r>
      <w:r w:rsidR="0009061C" w:rsidRPr="00205E56">
        <w:rPr>
          <w:rFonts w:ascii="Times New Roman" w:hAnsi="Times New Roman" w:cs="Times New Roman"/>
          <w:sz w:val="24"/>
          <w:szCs w:val="24"/>
        </w:rPr>
        <w:t xml:space="preserve">jest </w:t>
      </w:r>
      <w:r w:rsidRPr="00205E56">
        <w:rPr>
          <w:rFonts w:ascii="Times New Roman" w:hAnsi="Times New Roman" w:cs="Times New Roman"/>
          <w:sz w:val="24"/>
          <w:szCs w:val="24"/>
        </w:rPr>
        <w:t>tylko dla dostawców usług płatniczych. W efekcie każdy przepi</w:t>
      </w:r>
      <w:r w:rsidR="001525DC">
        <w:rPr>
          <w:rFonts w:ascii="Times New Roman" w:hAnsi="Times New Roman" w:cs="Times New Roman"/>
          <w:sz w:val="24"/>
          <w:szCs w:val="24"/>
        </w:rPr>
        <w:t>s przeniesiony z PSD (a także z </w:t>
      </w:r>
      <w:r w:rsidRPr="00205E56">
        <w:rPr>
          <w:rFonts w:ascii="Times New Roman" w:hAnsi="Times New Roman" w:cs="Times New Roman"/>
          <w:sz w:val="24"/>
          <w:szCs w:val="24"/>
        </w:rPr>
        <w:t>PSD</w:t>
      </w:r>
      <w:r w:rsidR="00426034" w:rsidRPr="00205E56">
        <w:rPr>
          <w:rFonts w:ascii="Times New Roman" w:hAnsi="Times New Roman" w:cs="Times New Roman"/>
          <w:sz w:val="24"/>
          <w:szCs w:val="24"/>
        </w:rPr>
        <w:t xml:space="preserve"> </w:t>
      </w:r>
      <w:r w:rsidRPr="00205E56">
        <w:rPr>
          <w:rFonts w:ascii="Times New Roman" w:hAnsi="Times New Roman" w:cs="Times New Roman"/>
          <w:sz w:val="24"/>
          <w:szCs w:val="24"/>
        </w:rPr>
        <w:t xml:space="preserve">2), </w:t>
      </w:r>
      <w:r w:rsidR="001A7581" w:rsidRPr="00205E56">
        <w:rPr>
          <w:rFonts w:ascii="Times New Roman" w:hAnsi="Times New Roman" w:cs="Times New Roman"/>
          <w:sz w:val="24"/>
          <w:szCs w:val="24"/>
        </w:rPr>
        <w:t>w</w:t>
      </w:r>
      <w:r w:rsidR="001A7581">
        <w:rPr>
          <w:rFonts w:ascii="Times New Roman" w:hAnsi="Times New Roman" w:cs="Times New Roman"/>
          <w:sz w:val="24"/>
          <w:szCs w:val="24"/>
        </w:rPr>
        <w:t> </w:t>
      </w:r>
      <w:r w:rsidRPr="00205E56">
        <w:rPr>
          <w:rFonts w:ascii="Times New Roman" w:hAnsi="Times New Roman" w:cs="Times New Roman"/>
          <w:sz w:val="24"/>
          <w:szCs w:val="24"/>
        </w:rPr>
        <w:t xml:space="preserve">którym dyrektywa używa pojęcia „dostawca”, w </w:t>
      </w:r>
      <w:r w:rsidR="0009061C" w:rsidRPr="00205E56">
        <w:rPr>
          <w:rFonts w:ascii="Times New Roman" w:hAnsi="Times New Roman" w:cs="Times New Roman"/>
          <w:sz w:val="24"/>
          <w:szCs w:val="24"/>
        </w:rPr>
        <w:t xml:space="preserve">ustawie </w:t>
      </w:r>
      <w:r w:rsidRPr="00205E56">
        <w:rPr>
          <w:rFonts w:ascii="Times New Roman" w:hAnsi="Times New Roman" w:cs="Times New Roman"/>
          <w:sz w:val="24"/>
          <w:szCs w:val="24"/>
        </w:rPr>
        <w:t xml:space="preserve">automatycznie oznacza „dostawcę usług płatniczych”, nawet jeśli dotyczy to </w:t>
      </w:r>
      <w:proofErr w:type="spellStart"/>
      <w:r w:rsidRPr="00205E56">
        <w:rPr>
          <w:rFonts w:ascii="Times New Roman" w:hAnsi="Times New Roman" w:cs="Times New Roman"/>
          <w:sz w:val="24"/>
          <w:szCs w:val="24"/>
        </w:rPr>
        <w:t>wyłączeń</w:t>
      </w:r>
      <w:proofErr w:type="spellEnd"/>
      <w:r w:rsidRPr="00205E56">
        <w:rPr>
          <w:rFonts w:ascii="Times New Roman" w:hAnsi="Times New Roman" w:cs="Times New Roman"/>
          <w:sz w:val="24"/>
          <w:szCs w:val="24"/>
        </w:rPr>
        <w:t xml:space="preserve"> zastosowania PSD. Aby usunąć tę rozbieżność </w:t>
      </w:r>
      <w:r w:rsidR="00B549D4" w:rsidRPr="00205E56">
        <w:rPr>
          <w:rFonts w:ascii="Times New Roman" w:hAnsi="Times New Roman" w:cs="Times New Roman"/>
          <w:sz w:val="24"/>
          <w:szCs w:val="24"/>
        </w:rPr>
        <w:t>projekt przewiduje w</w:t>
      </w:r>
      <w:r w:rsidRPr="00205E56">
        <w:rPr>
          <w:rFonts w:ascii="Times New Roman" w:hAnsi="Times New Roman" w:cs="Times New Roman"/>
          <w:sz w:val="24"/>
          <w:szCs w:val="24"/>
        </w:rPr>
        <w:t xml:space="preserve"> przepisach o </w:t>
      </w:r>
      <w:proofErr w:type="spellStart"/>
      <w:r w:rsidRPr="00205E56">
        <w:rPr>
          <w:rFonts w:ascii="Times New Roman" w:hAnsi="Times New Roman" w:cs="Times New Roman"/>
          <w:sz w:val="24"/>
          <w:szCs w:val="24"/>
        </w:rPr>
        <w:t>wyłączeniach</w:t>
      </w:r>
      <w:proofErr w:type="spellEnd"/>
      <w:r w:rsidRPr="00205E56">
        <w:rPr>
          <w:rFonts w:ascii="Times New Roman" w:hAnsi="Times New Roman" w:cs="Times New Roman"/>
          <w:sz w:val="24"/>
          <w:szCs w:val="24"/>
        </w:rPr>
        <w:t xml:space="preserve"> zami</w:t>
      </w:r>
      <w:r w:rsidR="00B549D4" w:rsidRPr="00205E56">
        <w:rPr>
          <w:rFonts w:ascii="Times New Roman" w:hAnsi="Times New Roman" w:cs="Times New Roman"/>
          <w:sz w:val="24"/>
          <w:szCs w:val="24"/>
        </w:rPr>
        <w:t>anę</w:t>
      </w:r>
      <w:r w:rsidRPr="00205E56">
        <w:rPr>
          <w:rFonts w:ascii="Times New Roman" w:hAnsi="Times New Roman" w:cs="Times New Roman"/>
          <w:sz w:val="24"/>
          <w:szCs w:val="24"/>
        </w:rPr>
        <w:t xml:space="preserve"> termin</w:t>
      </w:r>
      <w:r w:rsidR="00B549D4" w:rsidRPr="00205E56">
        <w:rPr>
          <w:rFonts w:ascii="Times New Roman" w:hAnsi="Times New Roman" w:cs="Times New Roman"/>
          <w:sz w:val="24"/>
          <w:szCs w:val="24"/>
        </w:rPr>
        <w:t>u</w:t>
      </w:r>
      <w:r w:rsidRPr="00205E56">
        <w:rPr>
          <w:rFonts w:ascii="Times New Roman" w:hAnsi="Times New Roman" w:cs="Times New Roman"/>
          <w:sz w:val="24"/>
          <w:szCs w:val="24"/>
        </w:rPr>
        <w:t xml:space="preserve"> „dostawca” na „podmiot” wszędzie tam, gdzie PSD</w:t>
      </w:r>
      <w:r w:rsidR="00426034" w:rsidRPr="00205E56">
        <w:rPr>
          <w:rFonts w:ascii="Times New Roman" w:hAnsi="Times New Roman" w:cs="Times New Roman"/>
          <w:sz w:val="24"/>
          <w:szCs w:val="24"/>
        </w:rPr>
        <w:t xml:space="preserve"> </w:t>
      </w:r>
      <w:r w:rsidRPr="00205E56">
        <w:rPr>
          <w:rFonts w:ascii="Times New Roman" w:hAnsi="Times New Roman" w:cs="Times New Roman"/>
          <w:sz w:val="24"/>
          <w:szCs w:val="24"/>
        </w:rPr>
        <w:t>2 nie przewiduje wprost, że określone wyłączenie jest dostępne tylko je</w:t>
      </w:r>
      <w:r w:rsidR="003307D4">
        <w:rPr>
          <w:rFonts w:ascii="Times New Roman" w:hAnsi="Times New Roman" w:cs="Times New Roman"/>
          <w:sz w:val="24"/>
          <w:szCs w:val="24"/>
        </w:rPr>
        <w:t>że</w:t>
      </w:r>
      <w:r w:rsidRPr="00205E56">
        <w:rPr>
          <w:rFonts w:ascii="Times New Roman" w:hAnsi="Times New Roman" w:cs="Times New Roman"/>
          <w:sz w:val="24"/>
          <w:szCs w:val="24"/>
        </w:rPr>
        <w:t>li usługę lub transakcję wykonuje licencjonowany dostawca usług płatniczych.</w:t>
      </w:r>
    </w:p>
    <w:p w14:paraId="7FBF13F0" w14:textId="74413359" w:rsidR="00F92B30" w:rsidRPr="00205E56" w:rsidRDefault="00D421D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lastRenderedPageBreak/>
        <w:t xml:space="preserve">W </w:t>
      </w:r>
      <w:r w:rsidRPr="00205E56">
        <w:rPr>
          <w:rFonts w:ascii="Times New Roman" w:hAnsi="Times New Roman" w:cs="Times New Roman"/>
          <w:b/>
          <w:sz w:val="24"/>
          <w:szCs w:val="24"/>
        </w:rPr>
        <w:t>pkt 7</w:t>
      </w:r>
      <w:r w:rsidRPr="00205E56">
        <w:rPr>
          <w:rFonts w:ascii="Times New Roman" w:hAnsi="Times New Roman" w:cs="Times New Roman"/>
          <w:sz w:val="24"/>
          <w:szCs w:val="24"/>
        </w:rPr>
        <w:t xml:space="preserve"> dodaje się </w:t>
      </w:r>
      <w:r w:rsidR="00F92B30" w:rsidRPr="00205E56">
        <w:rPr>
          <w:rFonts w:ascii="Times New Roman" w:hAnsi="Times New Roman" w:cs="Times New Roman"/>
          <w:sz w:val="24"/>
          <w:szCs w:val="24"/>
        </w:rPr>
        <w:t>art. 6b</w:t>
      </w:r>
      <w:r w:rsidR="00205E56" w:rsidRPr="00205E56">
        <w:rPr>
          <w:rFonts w:ascii="Times New Roman" w:hAnsi="Times New Roman" w:cs="Times New Roman"/>
          <w:sz w:val="24"/>
          <w:szCs w:val="24"/>
        </w:rPr>
        <w:t>–</w:t>
      </w:r>
      <w:r w:rsidR="00382760" w:rsidRPr="00205E56">
        <w:rPr>
          <w:rFonts w:ascii="Times New Roman" w:hAnsi="Times New Roman" w:cs="Times New Roman"/>
          <w:sz w:val="24"/>
          <w:szCs w:val="24"/>
        </w:rPr>
        <w:t>6e. Art. 6b</w:t>
      </w:r>
      <w:r w:rsidR="00790E72" w:rsidRPr="00205E56">
        <w:rPr>
          <w:rFonts w:ascii="Times New Roman" w:hAnsi="Times New Roman" w:cs="Times New Roman"/>
          <w:sz w:val="24"/>
          <w:szCs w:val="24"/>
        </w:rPr>
        <w:t xml:space="preserve"> zawiera przepisy, do których stosuje się transakcje wymienione w art. 6 pkt 15. </w:t>
      </w:r>
      <w:r w:rsidR="00E2025B" w:rsidRPr="00205E56">
        <w:rPr>
          <w:rFonts w:ascii="Times New Roman" w:hAnsi="Times New Roman" w:cs="Times New Roman"/>
          <w:sz w:val="24"/>
          <w:szCs w:val="24"/>
        </w:rPr>
        <w:t>Do wskazanych w art. 6b transakcji stosuje się przepisy art. 20c, art. 23, art. 24 oraz art. 25</w:t>
      </w:r>
      <w:r w:rsidR="00205E56" w:rsidRPr="00205E56">
        <w:rPr>
          <w:rFonts w:ascii="Times New Roman" w:hAnsi="Times New Roman" w:cs="Times New Roman"/>
          <w:sz w:val="24"/>
          <w:szCs w:val="24"/>
        </w:rPr>
        <w:t xml:space="preserve"> </w:t>
      </w:r>
      <w:r w:rsidR="001525DC">
        <w:rPr>
          <w:rFonts w:ascii="Times New Roman" w:hAnsi="Times New Roman" w:cs="Times New Roman"/>
          <w:sz w:val="24"/>
          <w:szCs w:val="24"/>
        </w:rPr>
        <w:t>w zakresie informacji o </w:t>
      </w:r>
      <w:r w:rsidR="00E2025B" w:rsidRPr="00205E56">
        <w:rPr>
          <w:rFonts w:ascii="Times New Roman" w:hAnsi="Times New Roman" w:cs="Times New Roman"/>
          <w:sz w:val="24"/>
          <w:szCs w:val="24"/>
        </w:rPr>
        <w:t xml:space="preserve">ewentualnych opłatach pobieranych za wypłatę gotówki, o których klient musi zostać poinformowany przed dokonaniem wypłaty oraz w momencie otrzymania gotówki na koniec transakcji po dokonaniu wypłaty. Klient otrzymuje też możliwość </w:t>
      </w:r>
      <w:r w:rsidR="008B0B7C" w:rsidRPr="00205E56">
        <w:rPr>
          <w:rFonts w:ascii="Times New Roman" w:hAnsi="Times New Roman" w:cs="Times New Roman"/>
          <w:sz w:val="24"/>
          <w:szCs w:val="24"/>
        </w:rPr>
        <w:t>otrzymania tych informacji w</w:t>
      </w:r>
      <w:r w:rsidR="00350C71">
        <w:rPr>
          <w:rFonts w:ascii="Times New Roman" w:hAnsi="Times New Roman" w:cs="Times New Roman"/>
          <w:sz w:val="24"/>
          <w:szCs w:val="24"/>
        </w:rPr>
        <w:t> </w:t>
      </w:r>
      <w:r w:rsidR="008B0B7C" w:rsidRPr="00205E56">
        <w:rPr>
          <w:rFonts w:ascii="Times New Roman" w:hAnsi="Times New Roman" w:cs="Times New Roman"/>
          <w:sz w:val="24"/>
          <w:szCs w:val="24"/>
        </w:rPr>
        <w:t>postaci papierowej lub na innym trwałym nośniku informacji.</w:t>
      </w:r>
      <w:r w:rsidR="00E2025B" w:rsidRPr="00205E56">
        <w:rPr>
          <w:rFonts w:ascii="Times New Roman" w:hAnsi="Times New Roman" w:cs="Times New Roman"/>
          <w:sz w:val="24"/>
          <w:szCs w:val="24"/>
        </w:rPr>
        <w:t xml:space="preserve"> </w:t>
      </w:r>
      <w:r w:rsidR="00790E72" w:rsidRPr="00205E56">
        <w:rPr>
          <w:rFonts w:ascii="Times New Roman" w:hAnsi="Times New Roman" w:cs="Times New Roman"/>
          <w:sz w:val="24"/>
          <w:szCs w:val="24"/>
        </w:rPr>
        <w:t>Dodaje się również art.</w:t>
      </w:r>
      <w:r w:rsidR="00350C71">
        <w:rPr>
          <w:rFonts w:ascii="Times New Roman" w:hAnsi="Times New Roman" w:cs="Times New Roman"/>
          <w:sz w:val="24"/>
          <w:szCs w:val="24"/>
        </w:rPr>
        <w:t> </w:t>
      </w:r>
      <w:r w:rsidR="00790E72" w:rsidRPr="00205E56">
        <w:rPr>
          <w:rFonts w:ascii="Times New Roman" w:hAnsi="Times New Roman" w:cs="Times New Roman"/>
          <w:sz w:val="24"/>
          <w:szCs w:val="24"/>
        </w:rPr>
        <w:t>6c, który zobowiązuje dostawców prowadzących jeden z rodzajów działalności określonych w art. 6 pkt 11 lit. a</w:t>
      </w:r>
      <w:r w:rsidR="00382760" w:rsidRPr="00205E56">
        <w:rPr>
          <w:rFonts w:ascii="Times New Roman" w:hAnsi="Times New Roman" w:cs="Times New Roman"/>
          <w:sz w:val="24"/>
          <w:szCs w:val="24"/>
        </w:rPr>
        <w:t xml:space="preserve"> lub</w:t>
      </w:r>
      <w:r w:rsidR="00790E72" w:rsidRPr="00205E56">
        <w:rPr>
          <w:rFonts w:ascii="Times New Roman" w:hAnsi="Times New Roman" w:cs="Times New Roman"/>
          <w:sz w:val="24"/>
          <w:szCs w:val="24"/>
        </w:rPr>
        <w:t xml:space="preserve"> b do przekazywania KNF powiadomienia zawierającego opis oferowanych usług, </w:t>
      </w:r>
      <w:r w:rsidR="0009061C" w:rsidRPr="00205E56">
        <w:rPr>
          <w:rFonts w:ascii="Times New Roman" w:hAnsi="Times New Roman" w:cs="Times New Roman"/>
          <w:sz w:val="24"/>
          <w:szCs w:val="24"/>
        </w:rPr>
        <w:t>i wskazania,</w:t>
      </w:r>
      <w:r w:rsidR="00790E72" w:rsidRPr="00205E56">
        <w:rPr>
          <w:rFonts w:ascii="Times New Roman" w:hAnsi="Times New Roman" w:cs="Times New Roman"/>
          <w:sz w:val="24"/>
          <w:szCs w:val="24"/>
        </w:rPr>
        <w:t xml:space="preserve"> na podstawie którego z </w:t>
      </w:r>
      <w:proofErr w:type="spellStart"/>
      <w:r w:rsidR="00790E72" w:rsidRPr="00205E56">
        <w:rPr>
          <w:rFonts w:ascii="Times New Roman" w:hAnsi="Times New Roman" w:cs="Times New Roman"/>
          <w:sz w:val="24"/>
          <w:szCs w:val="24"/>
        </w:rPr>
        <w:t>wyłączeń</w:t>
      </w:r>
      <w:proofErr w:type="spellEnd"/>
      <w:r w:rsidR="00790E72" w:rsidRPr="00205E56">
        <w:rPr>
          <w:rFonts w:ascii="Times New Roman" w:hAnsi="Times New Roman" w:cs="Times New Roman"/>
          <w:sz w:val="24"/>
          <w:szCs w:val="24"/>
        </w:rPr>
        <w:t>, o których mowa w art. 6 pkt 11 lit. a</w:t>
      </w:r>
      <w:r w:rsidR="00382760" w:rsidRPr="00205E56">
        <w:rPr>
          <w:rFonts w:ascii="Times New Roman" w:hAnsi="Times New Roman" w:cs="Times New Roman"/>
          <w:sz w:val="24"/>
          <w:szCs w:val="24"/>
        </w:rPr>
        <w:t xml:space="preserve"> lub b</w:t>
      </w:r>
      <w:r w:rsidR="0009061C" w:rsidRPr="00205E56">
        <w:rPr>
          <w:rFonts w:ascii="Times New Roman" w:hAnsi="Times New Roman" w:cs="Times New Roman"/>
          <w:sz w:val="24"/>
          <w:szCs w:val="24"/>
        </w:rPr>
        <w:t>,</w:t>
      </w:r>
      <w:r w:rsidR="00D07BEB" w:rsidRPr="00205E56">
        <w:rPr>
          <w:rFonts w:ascii="Times New Roman" w:hAnsi="Times New Roman" w:cs="Times New Roman"/>
          <w:sz w:val="24"/>
          <w:szCs w:val="24"/>
        </w:rPr>
        <w:t xml:space="preserve"> </w:t>
      </w:r>
      <w:r w:rsidR="00B85C5E" w:rsidRPr="00205E56">
        <w:rPr>
          <w:rFonts w:ascii="Times New Roman" w:hAnsi="Times New Roman" w:cs="Times New Roman"/>
          <w:sz w:val="24"/>
          <w:szCs w:val="24"/>
        </w:rPr>
        <w:t>wykonują swoją działalność. KNF</w:t>
      </w:r>
      <w:r w:rsidR="0009061C" w:rsidRPr="00205E56">
        <w:rPr>
          <w:rFonts w:ascii="Times New Roman" w:hAnsi="Times New Roman" w:cs="Times New Roman"/>
          <w:sz w:val="24"/>
          <w:szCs w:val="24"/>
        </w:rPr>
        <w:t>,</w:t>
      </w:r>
      <w:r w:rsidR="00B85C5E" w:rsidRPr="00205E56">
        <w:rPr>
          <w:rFonts w:ascii="Times New Roman" w:hAnsi="Times New Roman" w:cs="Times New Roman"/>
          <w:sz w:val="24"/>
          <w:szCs w:val="24"/>
        </w:rPr>
        <w:t xml:space="preserve"> </w:t>
      </w:r>
      <w:r w:rsidR="00BA7B28" w:rsidRPr="00205E56">
        <w:rPr>
          <w:rFonts w:ascii="Times New Roman" w:hAnsi="Times New Roman" w:cs="Times New Roman"/>
          <w:sz w:val="24"/>
          <w:szCs w:val="24"/>
        </w:rPr>
        <w:t>zgodnie z ust. 2 w art. 6c</w:t>
      </w:r>
      <w:r w:rsidR="0009061C" w:rsidRPr="00205E56">
        <w:rPr>
          <w:rFonts w:ascii="Times New Roman" w:hAnsi="Times New Roman" w:cs="Times New Roman"/>
          <w:sz w:val="24"/>
          <w:szCs w:val="24"/>
        </w:rPr>
        <w:t>,</w:t>
      </w:r>
      <w:r w:rsidR="00D07BEB" w:rsidRPr="00205E56">
        <w:rPr>
          <w:rFonts w:ascii="Times New Roman" w:hAnsi="Times New Roman" w:cs="Times New Roman"/>
          <w:sz w:val="24"/>
          <w:szCs w:val="24"/>
        </w:rPr>
        <w:t xml:space="preserve"> </w:t>
      </w:r>
      <w:r w:rsidR="00B85C5E" w:rsidRPr="00205E56">
        <w:rPr>
          <w:rFonts w:ascii="Times New Roman" w:hAnsi="Times New Roman" w:cs="Times New Roman"/>
          <w:sz w:val="24"/>
          <w:szCs w:val="24"/>
        </w:rPr>
        <w:t xml:space="preserve">na podstawie powiadomienia podejmuje decyzje w przedmiocie kwalifikacji danej działalności. </w:t>
      </w:r>
      <w:r w:rsidR="0009061C" w:rsidRPr="00205E56">
        <w:rPr>
          <w:rFonts w:ascii="Times New Roman" w:hAnsi="Times New Roman" w:cs="Times New Roman"/>
          <w:sz w:val="24"/>
          <w:szCs w:val="24"/>
        </w:rPr>
        <w:t xml:space="preserve">Przepis ust. </w:t>
      </w:r>
      <w:r w:rsidR="00215DB0" w:rsidRPr="00205E56">
        <w:rPr>
          <w:rFonts w:ascii="Times New Roman" w:hAnsi="Times New Roman" w:cs="Times New Roman"/>
          <w:sz w:val="24"/>
          <w:szCs w:val="24"/>
        </w:rPr>
        <w:t>3 wprowadza nowe obowiązki dla dostawców prowadzących działalność określoną w art. 6 ust. 12, które polegają na przekazywaniu KNF powiadomienia zawierającego opis oferowanych usług oraz roczną opinię pokontrolną</w:t>
      </w:r>
      <w:r w:rsidR="0009061C" w:rsidRPr="00205E56">
        <w:rPr>
          <w:rFonts w:ascii="Times New Roman" w:hAnsi="Times New Roman" w:cs="Times New Roman"/>
          <w:sz w:val="24"/>
          <w:szCs w:val="24"/>
        </w:rPr>
        <w:t xml:space="preserve"> i </w:t>
      </w:r>
      <w:r w:rsidR="00215DB0" w:rsidRPr="00205E56">
        <w:rPr>
          <w:rFonts w:ascii="Times New Roman" w:hAnsi="Times New Roman" w:cs="Times New Roman"/>
          <w:sz w:val="24"/>
          <w:szCs w:val="24"/>
        </w:rPr>
        <w:t>poświadcz</w:t>
      </w:r>
      <w:r w:rsidR="0009061C" w:rsidRPr="00205E56">
        <w:rPr>
          <w:rFonts w:ascii="Times New Roman" w:hAnsi="Times New Roman" w:cs="Times New Roman"/>
          <w:sz w:val="24"/>
          <w:szCs w:val="24"/>
        </w:rPr>
        <w:t xml:space="preserve">enie </w:t>
      </w:r>
      <w:r w:rsidR="00215DB0" w:rsidRPr="00205E56">
        <w:rPr>
          <w:rFonts w:ascii="Times New Roman" w:hAnsi="Times New Roman" w:cs="Times New Roman"/>
          <w:sz w:val="24"/>
          <w:szCs w:val="24"/>
        </w:rPr>
        <w:t>zgodn</w:t>
      </w:r>
      <w:r w:rsidR="001525DC">
        <w:rPr>
          <w:rFonts w:ascii="Times New Roman" w:hAnsi="Times New Roman" w:cs="Times New Roman"/>
          <w:sz w:val="24"/>
          <w:szCs w:val="24"/>
        </w:rPr>
        <w:t>ości wykonywania działalności z </w:t>
      </w:r>
      <w:r w:rsidR="00215DB0" w:rsidRPr="00205E56">
        <w:rPr>
          <w:rFonts w:ascii="Times New Roman" w:hAnsi="Times New Roman" w:cs="Times New Roman"/>
          <w:sz w:val="24"/>
          <w:szCs w:val="24"/>
        </w:rPr>
        <w:t>limitami określonymi w art. 6 pkt 12. K</w:t>
      </w:r>
      <w:r w:rsidR="00B22A49" w:rsidRPr="00205E56">
        <w:rPr>
          <w:rFonts w:ascii="Times New Roman" w:hAnsi="Times New Roman" w:cs="Times New Roman"/>
          <w:sz w:val="24"/>
          <w:szCs w:val="24"/>
        </w:rPr>
        <w:t>NF</w:t>
      </w:r>
      <w:r w:rsidR="0009061C" w:rsidRPr="00205E56">
        <w:rPr>
          <w:rFonts w:ascii="Times New Roman" w:hAnsi="Times New Roman" w:cs="Times New Roman"/>
          <w:sz w:val="24"/>
          <w:szCs w:val="24"/>
        </w:rPr>
        <w:t>,</w:t>
      </w:r>
      <w:r w:rsidR="00B22A49" w:rsidRPr="00205E56">
        <w:rPr>
          <w:rFonts w:ascii="Times New Roman" w:hAnsi="Times New Roman" w:cs="Times New Roman"/>
          <w:sz w:val="24"/>
          <w:szCs w:val="24"/>
        </w:rPr>
        <w:t xml:space="preserve"> na mocy </w:t>
      </w:r>
      <w:r w:rsidR="00215DB0" w:rsidRPr="00205E56">
        <w:rPr>
          <w:rFonts w:ascii="Times New Roman" w:hAnsi="Times New Roman" w:cs="Times New Roman"/>
          <w:sz w:val="24"/>
          <w:szCs w:val="24"/>
        </w:rPr>
        <w:t>art. 6</w:t>
      </w:r>
      <w:r w:rsidR="00EC13CD">
        <w:rPr>
          <w:rFonts w:ascii="Times New Roman" w:hAnsi="Times New Roman" w:cs="Times New Roman"/>
          <w:sz w:val="24"/>
          <w:szCs w:val="24"/>
        </w:rPr>
        <w:t>e</w:t>
      </w:r>
      <w:r w:rsidR="0009061C" w:rsidRPr="00205E56">
        <w:rPr>
          <w:rFonts w:ascii="Times New Roman" w:hAnsi="Times New Roman" w:cs="Times New Roman"/>
          <w:sz w:val="24"/>
          <w:szCs w:val="24"/>
        </w:rPr>
        <w:t>,</w:t>
      </w:r>
      <w:r w:rsidR="00215DB0" w:rsidRPr="00205E56">
        <w:rPr>
          <w:rFonts w:ascii="Times New Roman" w:hAnsi="Times New Roman" w:cs="Times New Roman"/>
          <w:sz w:val="24"/>
          <w:szCs w:val="24"/>
        </w:rPr>
        <w:t xml:space="preserve"> </w:t>
      </w:r>
      <w:r w:rsidR="00B22A49" w:rsidRPr="00205E56">
        <w:rPr>
          <w:rFonts w:ascii="Times New Roman" w:hAnsi="Times New Roman" w:cs="Times New Roman"/>
          <w:sz w:val="24"/>
          <w:szCs w:val="24"/>
        </w:rPr>
        <w:t>będzie informował</w:t>
      </w:r>
      <w:r w:rsidR="00215DB0" w:rsidRPr="00205E56">
        <w:rPr>
          <w:rFonts w:ascii="Times New Roman" w:hAnsi="Times New Roman" w:cs="Times New Roman"/>
          <w:sz w:val="24"/>
          <w:szCs w:val="24"/>
        </w:rPr>
        <w:t xml:space="preserve"> EUNB o</w:t>
      </w:r>
      <w:r w:rsidR="00350C71">
        <w:rPr>
          <w:rFonts w:ascii="Times New Roman" w:hAnsi="Times New Roman" w:cs="Times New Roman"/>
          <w:sz w:val="24"/>
          <w:szCs w:val="24"/>
        </w:rPr>
        <w:t> </w:t>
      </w:r>
      <w:r w:rsidR="00215DB0" w:rsidRPr="00205E56">
        <w:rPr>
          <w:rFonts w:ascii="Times New Roman" w:hAnsi="Times New Roman" w:cs="Times New Roman"/>
          <w:sz w:val="24"/>
          <w:szCs w:val="24"/>
        </w:rPr>
        <w:t xml:space="preserve">usługach będących przedmiotem powiadomień zgodnie z ust. 1 i 3, </w:t>
      </w:r>
      <w:r w:rsidR="001525DC">
        <w:rPr>
          <w:rFonts w:ascii="Times New Roman" w:hAnsi="Times New Roman" w:cs="Times New Roman"/>
          <w:sz w:val="24"/>
          <w:szCs w:val="24"/>
        </w:rPr>
        <w:t>z </w:t>
      </w:r>
      <w:r w:rsidR="00215DB0" w:rsidRPr="00205E56">
        <w:rPr>
          <w:rFonts w:ascii="Times New Roman" w:hAnsi="Times New Roman" w:cs="Times New Roman"/>
          <w:sz w:val="24"/>
          <w:szCs w:val="24"/>
        </w:rPr>
        <w:t>informacj</w:t>
      </w:r>
      <w:r w:rsidR="006B7897" w:rsidRPr="00205E56">
        <w:rPr>
          <w:rFonts w:ascii="Times New Roman" w:hAnsi="Times New Roman" w:cs="Times New Roman"/>
          <w:sz w:val="24"/>
          <w:szCs w:val="24"/>
        </w:rPr>
        <w:t>ą</w:t>
      </w:r>
      <w:r w:rsidR="00215DB0" w:rsidRPr="00205E56">
        <w:rPr>
          <w:rFonts w:ascii="Times New Roman" w:hAnsi="Times New Roman" w:cs="Times New Roman"/>
          <w:sz w:val="24"/>
          <w:szCs w:val="24"/>
        </w:rPr>
        <w:t xml:space="preserve"> o</w:t>
      </w:r>
      <w:r w:rsidR="00350C71">
        <w:rPr>
          <w:rFonts w:ascii="Times New Roman" w:hAnsi="Times New Roman" w:cs="Times New Roman"/>
          <w:sz w:val="24"/>
          <w:szCs w:val="24"/>
        </w:rPr>
        <w:t> </w:t>
      </w:r>
      <w:r w:rsidR="00215DB0" w:rsidRPr="00205E56">
        <w:rPr>
          <w:rFonts w:ascii="Times New Roman" w:hAnsi="Times New Roman" w:cs="Times New Roman"/>
          <w:sz w:val="24"/>
          <w:szCs w:val="24"/>
        </w:rPr>
        <w:t>wyłączeniu</w:t>
      </w:r>
      <w:r w:rsidR="0009061C" w:rsidRPr="00205E56">
        <w:rPr>
          <w:rFonts w:ascii="Times New Roman" w:hAnsi="Times New Roman" w:cs="Times New Roman"/>
          <w:sz w:val="24"/>
          <w:szCs w:val="24"/>
        </w:rPr>
        <w:t>,</w:t>
      </w:r>
      <w:r w:rsidR="00215DB0" w:rsidRPr="00205E56">
        <w:rPr>
          <w:rFonts w:ascii="Times New Roman" w:hAnsi="Times New Roman" w:cs="Times New Roman"/>
          <w:sz w:val="24"/>
          <w:szCs w:val="24"/>
        </w:rPr>
        <w:t xml:space="preserve"> na mocy, którego prowadzona jest działalność.</w:t>
      </w:r>
      <w:r w:rsidR="00B549D4" w:rsidRPr="00205E56">
        <w:rPr>
          <w:rFonts w:ascii="Times New Roman" w:hAnsi="Times New Roman" w:cs="Times New Roman"/>
          <w:sz w:val="24"/>
          <w:szCs w:val="24"/>
        </w:rPr>
        <w:t xml:space="preserve"> </w:t>
      </w:r>
    </w:p>
    <w:p w14:paraId="606CDC24" w14:textId="2783C997" w:rsidR="00274D8C" w:rsidRPr="00205E56" w:rsidRDefault="00F92B30"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8</w:t>
      </w:r>
      <w:r w:rsidRPr="00205E56">
        <w:rPr>
          <w:rFonts w:ascii="Times New Roman" w:hAnsi="Times New Roman" w:cs="Times New Roman"/>
          <w:sz w:val="24"/>
          <w:szCs w:val="24"/>
        </w:rPr>
        <w:t xml:space="preserve"> wprowadza się zmiany </w:t>
      </w:r>
      <w:r w:rsidR="009C583A" w:rsidRPr="00205E56">
        <w:rPr>
          <w:rFonts w:ascii="Times New Roman" w:hAnsi="Times New Roman" w:cs="Times New Roman"/>
          <w:sz w:val="24"/>
          <w:szCs w:val="24"/>
        </w:rPr>
        <w:t xml:space="preserve">w art. 7, </w:t>
      </w:r>
      <w:r w:rsidR="006B7897" w:rsidRPr="00205E56">
        <w:rPr>
          <w:rFonts w:ascii="Times New Roman" w:hAnsi="Times New Roman" w:cs="Times New Roman"/>
          <w:sz w:val="24"/>
          <w:szCs w:val="24"/>
        </w:rPr>
        <w:t xml:space="preserve">przez </w:t>
      </w:r>
      <w:r w:rsidR="00B22A49" w:rsidRPr="00205E56">
        <w:rPr>
          <w:rFonts w:ascii="Times New Roman" w:hAnsi="Times New Roman" w:cs="Times New Roman"/>
          <w:sz w:val="24"/>
          <w:szCs w:val="24"/>
        </w:rPr>
        <w:t>doda</w:t>
      </w:r>
      <w:r w:rsidR="006B7897" w:rsidRPr="00205E56">
        <w:rPr>
          <w:rFonts w:ascii="Times New Roman" w:hAnsi="Times New Roman" w:cs="Times New Roman"/>
          <w:sz w:val="24"/>
          <w:szCs w:val="24"/>
        </w:rPr>
        <w:t xml:space="preserve">nie </w:t>
      </w:r>
      <w:r w:rsidR="00274D8C" w:rsidRPr="00205E56">
        <w:rPr>
          <w:rFonts w:ascii="Times New Roman" w:hAnsi="Times New Roman" w:cs="Times New Roman"/>
          <w:sz w:val="24"/>
          <w:szCs w:val="24"/>
        </w:rPr>
        <w:t>mał</w:t>
      </w:r>
      <w:r w:rsidR="006B7897" w:rsidRPr="00205E56">
        <w:rPr>
          <w:rFonts w:ascii="Times New Roman" w:hAnsi="Times New Roman" w:cs="Times New Roman"/>
          <w:sz w:val="24"/>
          <w:szCs w:val="24"/>
        </w:rPr>
        <w:t>ych</w:t>
      </w:r>
      <w:r w:rsidR="004F212C" w:rsidRPr="00205E56">
        <w:rPr>
          <w:rFonts w:ascii="Times New Roman" w:hAnsi="Times New Roman" w:cs="Times New Roman"/>
          <w:sz w:val="24"/>
          <w:szCs w:val="24"/>
        </w:rPr>
        <w:t xml:space="preserve"> </w:t>
      </w:r>
      <w:r w:rsidR="00274D8C" w:rsidRPr="00205E56">
        <w:rPr>
          <w:rFonts w:ascii="Times New Roman" w:hAnsi="Times New Roman" w:cs="Times New Roman"/>
          <w:sz w:val="24"/>
          <w:szCs w:val="24"/>
        </w:rPr>
        <w:t>instytucj</w:t>
      </w:r>
      <w:r w:rsidR="006B7897" w:rsidRPr="00205E56">
        <w:rPr>
          <w:rFonts w:ascii="Times New Roman" w:hAnsi="Times New Roman" w:cs="Times New Roman"/>
          <w:sz w:val="24"/>
          <w:szCs w:val="24"/>
        </w:rPr>
        <w:t>i</w:t>
      </w:r>
      <w:r w:rsidR="00274D8C" w:rsidRPr="00205E56">
        <w:rPr>
          <w:rFonts w:ascii="Times New Roman" w:hAnsi="Times New Roman" w:cs="Times New Roman"/>
          <w:sz w:val="24"/>
          <w:szCs w:val="24"/>
        </w:rPr>
        <w:t xml:space="preserve"> płatnicz</w:t>
      </w:r>
      <w:r w:rsidR="006B7897" w:rsidRPr="00205E56">
        <w:rPr>
          <w:rFonts w:ascii="Times New Roman" w:hAnsi="Times New Roman" w:cs="Times New Roman"/>
          <w:sz w:val="24"/>
          <w:szCs w:val="24"/>
        </w:rPr>
        <w:t>ych</w:t>
      </w:r>
      <w:r w:rsidR="00274D8C" w:rsidRPr="00205E56">
        <w:rPr>
          <w:rFonts w:ascii="Times New Roman" w:hAnsi="Times New Roman" w:cs="Times New Roman"/>
          <w:sz w:val="24"/>
          <w:szCs w:val="24"/>
        </w:rPr>
        <w:t>.</w:t>
      </w:r>
      <w:r w:rsidR="00B549D4" w:rsidRPr="00205E56">
        <w:rPr>
          <w:rFonts w:ascii="Times New Roman" w:hAnsi="Times New Roman" w:cs="Times New Roman"/>
          <w:sz w:val="24"/>
          <w:szCs w:val="24"/>
        </w:rPr>
        <w:t xml:space="preserve"> Ponadto dokonano zmian brzmienia przepisu z uwagi</w:t>
      </w:r>
      <w:r w:rsidR="006B7897" w:rsidRPr="00205E56">
        <w:rPr>
          <w:rFonts w:ascii="Times New Roman" w:hAnsi="Times New Roman" w:cs="Times New Roman"/>
          <w:sz w:val="24"/>
          <w:szCs w:val="24"/>
        </w:rPr>
        <w:t xml:space="preserve"> na to</w:t>
      </w:r>
      <w:r w:rsidR="00B549D4" w:rsidRPr="00205E56">
        <w:rPr>
          <w:rFonts w:ascii="Times New Roman" w:hAnsi="Times New Roman" w:cs="Times New Roman"/>
          <w:sz w:val="24"/>
          <w:szCs w:val="24"/>
        </w:rPr>
        <w:t>, że dotychczasowe sformułowanie rodziło znaczne problemy interpretacyjne związane między innymi z</w:t>
      </w:r>
      <w:r w:rsidR="001525DC">
        <w:rPr>
          <w:rFonts w:ascii="Times New Roman" w:hAnsi="Times New Roman" w:cs="Times New Roman"/>
          <w:sz w:val="24"/>
          <w:szCs w:val="24"/>
        </w:rPr>
        <w:t> </w:t>
      </w:r>
      <w:r w:rsidR="00B549D4" w:rsidRPr="00205E56">
        <w:rPr>
          <w:rFonts w:ascii="Times New Roman" w:hAnsi="Times New Roman" w:cs="Times New Roman"/>
          <w:sz w:val="24"/>
          <w:szCs w:val="24"/>
        </w:rPr>
        <w:t xml:space="preserve">faktem, że instytucje płatnicze są uprawnione do przyjmowania środków na rachunki płatnicze oraz dokonywania wypłat z tych rachunków. Wątpliwości te mogły stwarzać niepotrzebne bariery rozwoju rynku </w:t>
      </w:r>
      <w:proofErr w:type="spellStart"/>
      <w:r w:rsidR="00B549D4" w:rsidRPr="00205E56">
        <w:rPr>
          <w:rFonts w:ascii="Times New Roman" w:hAnsi="Times New Roman" w:cs="Times New Roman"/>
          <w:sz w:val="24"/>
          <w:szCs w:val="24"/>
        </w:rPr>
        <w:t>FinTech</w:t>
      </w:r>
      <w:proofErr w:type="spellEnd"/>
      <w:r w:rsidR="00B549D4" w:rsidRPr="00205E56">
        <w:rPr>
          <w:rFonts w:ascii="Times New Roman" w:hAnsi="Times New Roman" w:cs="Times New Roman"/>
          <w:sz w:val="24"/>
          <w:szCs w:val="24"/>
        </w:rPr>
        <w:t xml:space="preserve">. Proponowane brzmienie </w:t>
      </w:r>
      <w:r w:rsidR="006B7897" w:rsidRPr="00205E56">
        <w:rPr>
          <w:rFonts w:ascii="Times New Roman" w:hAnsi="Times New Roman" w:cs="Times New Roman"/>
          <w:sz w:val="24"/>
          <w:szCs w:val="24"/>
        </w:rPr>
        <w:t xml:space="preserve">eliminuje </w:t>
      </w:r>
      <w:r w:rsidR="00B549D4" w:rsidRPr="00205E56">
        <w:rPr>
          <w:rFonts w:ascii="Times New Roman" w:hAnsi="Times New Roman" w:cs="Times New Roman"/>
          <w:sz w:val="24"/>
          <w:szCs w:val="24"/>
        </w:rPr>
        <w:t>te wątpliwości przy równoczesnym zachowaniu celu przepisu (zmiana poza zakresem PSD</w:t>
      </w:r>
      <w:r w:rsidR="006B7897" w:rsidRPr="00205E56">
        <w:rPr>
          <w:rFonts w:ascii="Times New Roman" w:hAnsi="Times New Roman" w:cs="Times New Roman"/>
          <w:sz w:val="24"/>
          <w:szCs w:val="24"/>
        </w:rPr>
        <w:t xml:space="preserve"> </w:t>
      </w:r>
      <w:r w:rsidR="00B549D4" w:rsidRPr="00205E56">
        <w:rPr>
          <w:rFonts w:ascii="Times New Roman" w:hAnsi="Times New Roman" w:cs="Times New Roman"/>
          <w:sz w:val="24"/>
          <w:szCs w:val="24"/>
        </w:rPr>
        <w:t>2).</w:t>
      </w:r>
    </w:p>
    <w:p w14:paraId="4B4637F4" w14:textId="6E9F7D0E" w:rsidR="00C77F95" w:rsidRPr="00205E56" w:rsidRDefault="009C583A"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9</w:t>
      </w:r>
      <w:r w:rsidRPr="00205E56">
        <w:rPr>
          <w:rFonts w:ascii="Times New Roman" w:hAnsi="Times New Roman" w:cs="Times New Roman"/>
          <w:sz w:val="24"/>
          <w:szCs w:val="24"/>
        </w:rPr>
        <w:t xml:space="preserve"> </w:t>
      </w:r>
      <w:r w:rsidR="00C77F95" w:rsidRPr="00205E56">
        <w:rPr>
          <w:rFonts w:ascii="Times New Roman" w:hAnsi="Times New Roman" w:cs="Times New Roman"/>
          <w:sz w:val="24"/>
          <w:szCs w:val="24"/>
        </w:rPr>
        <w:t>wprowadza się zmiany w art. 9 przez dodanie ust. 4a</w:t>
      </w:r>
      <w:r w:rsidR="006B7897" w:rsidRPr="00205E56">
        <w:rPr>
          <w:rFonts w:ascii="Times New Roman" w:hAnsi="Times New Roman" w:cs="Times New Roman"/>
          <w:sz w:val="24"/>
          <w:szCs w:val="24"/>
        </w:rPr>
        <w:t>, który</w:t>
      </w:r>
      <w:r w:rsidR="00D07BEB" w:rsidRPr="00205E56">
        <w:rPr>
          <w:rFonts w:ascii="Times New Roman" w:hAnsi="Times New Roman" w:cs="Times New Roman"/>
          <w:sz w:val="24"/>
          <w:szCs w:val="24"/>
        </w:rPr>
        <w:t xml:space="preserve"> </w:t>
      </w:r>
      <w:r w:rsidR="00C77F95" w:rsidRPr="00205E56">
        <w:rPr>
          <w:rFonts w:ascii="Times New Roman" w:hAnsi="Times New Roman" w:cs="Times New Roman"/>
          <w:sz w:val="24"/>
          <w:szCs w:val="24"/>
        </w:rPr>
        <w:t>zapewni</w:t>
      </w:r>
      <w:r w:rsidR="006B7897" w:rsidRPr="00205E56">
        <w:rPr>
          <w:rFonts w:ascii="Times New Roman" w:hAnsi="Times New Roman" w:cs="Times New Roman"/>
          <w:sz w:val="24"/>
          <w:szCs w:val="24"/>
        </w:rPr>
        <w:t xml:space="preserve"> </w:t>
      </w:r>
      <w:r w:rsidR="00C77F95" w:rsidRPr="00205E56">
        <w:rPr>
          <w:rFonts w:ascii="Times New Roman" w:hAnsi="Times New Roman" w:cs="Times New Roman"/>
          <w:sz w:val="24"/>
          <w:szCs w:val="24"/>
        </w:rPr>
        <w:t>dostawcom niebędącym uczestnik</w:t>
      </w:r>
      <w:r w:rsidR="006B7897" w:rsidRPr="00205E56">
        <w:rPr>
          <w:rFonts w:ascii="Times New Roman" w:hAnsi="Times New Roman" w:cs="Times New Roman"/>
          <w:sz w:val="24"/>
          <w:szCs w:val="24"/>
        </w:rPr>
        <w:t>ami</w:t>
      </w:r>
      <w:r w:rsidR="00C77F95" w:rsidRPr="00205E56">
        <w:rPr>
          <w:rFonts w:ascii="Times New Roman" w:hAnsi="Times New Roman" w:cs="Times New Roman"/>
          <w:sz w:val="24"/>
          <w:szCs w:val="24"/>
        </w:rPr>
        <w:t xml:space="preserve"> systemu, a posiadającym stosowne zezwolenie, przekazywanie zleceń transferu w tym systemie w sposób obiektywny, niedyskryminujący i równy </w:t>
      </w:r>
      <w:r w:rsidR="006B7897" w:rsidRPr="00205E56">
        <w:rPr>
          <w:rFonts w:ascii="Times New Roman" w:hAnsi="Times New Roman" w:cs="Times New Roman"/>
          <w:sz w:val="24"/>
          <w:szCs w:val="24"/>
        </w:rPr>
        <w:t>w stosunk</w:t>
      </w:r>
      <w:r w:rsidR="00021110" w:rsidRPr="00205E56">
        <w:rPr>
          <w:rFonts w:ascii="Times New Roman" w:hAnsi="Times New Roman" w:cs="Times New Roman"/>
          <w:sz w:val="24"/>
          <w:szCs w:val="24"/>
        </w:rPr>
        <w:t>u</w:t>
      </w:r>
      <w:r w:rsidR="006B7897" w:rsidRPr="00205E56">
        <w:rPr>
          <w:rFonts w:ascii="Times New Roman" w:hAnsi="Times New Roman" w:cs="Times New Roman"/>
          <w:sz w:val="24"/>
          <w:szCs w:val="24"/>
        </w:rPr>
        <w:t xml:space="preserve"> do </w:t>
      </w:r>
      <w:r w:rsidR="00C77F95" w:rsidRPr="00205E56">
        <w:rPr>
          <w:rFonts w:ascii="Times New Roman" w:hAnsi="Times New Roman" w:cs="Times New Roman"/>
          <w:sz w:val="24"/>
          <w:szCs w:val="24"/>
        </w:rPr>
        <w:t>inny</w:t>
      </w:r>
      <w:r w:rsidR="006B7897" w:rsidRPr="00205E56">
        <w:rPr>
          <w:rFonts w:ascii="Times New Roman" w:hAnsi="Times New Roman" w:cs="Times New Roman"/>
          <w:sz w:val="24"/>
          <w:szCs w:val="24"/>
        </w:rPr>
        <w:t xml:space="preserve">ch dostawców </w:t>
      </w:r>
      <w:r w:rsidR="00C77F95" w:rsidRPr="00205E56">
        <w:rPr>
          <w:rFonts w:ascii="Times New Roman" w:hAnsi="Times New Roman" w:cs="Times New Roman"/>
          <w:sz w:val="24"/>
          <w:szCs w:val="24"/>
        </w:rPr>
        <w:t>posiadający</w:t>
      </w:r>
      <w:r w:rsidR="006B7897" w:rsidRPr="00205E56">
        <w:rPr>
          <w:rFonts w:ascii="Times New Roman" w:hAnsi="Times New Roman" w:cs="Times New Roman"/>
          <w:sz w:val="24"/>
          <w:szCs w:val="24"/>
        </w:rPr>
        <w:t>ch</w:t>
      </w:r>
      <w:r w:rsidR="00C528F2" w:rsidRPr="00205E56">
        <w:rPr>
          <w:rFonts w:ascii="Times New Roman" w:hAnsi="Times New Roman" w:cs="Times New Roman"/>
          <w:sz w:val="24"/>
          <w:szCs w:val="24"/>
        </w:rPr>
        <w:t xml:space="preserve"> </w:t>
      </w:r>
      <w:r w:rsidR="00C77F95" w:rsidRPr="00205E56">
        <w:rPr>
          <w:rFonts w:ascii="Times New Roman" w:hAnsi="Times New Roman" w:cs="Times New Roman"/>
          <w:sz w:val="24"/>
          <w:szCs w:val="24"/>
        </w:rPr>
        <w:t>zezwolenie lub wpisany</w:t>
      </w:r>
      <w:r w:rsidR="006B7897" w:rsidRPr="00205E56">
        <w:rPr>
          <w:rFonts w:ascii="Times New Roman" w:hAnsi="Times New Roman" w:cs="Times New Roman"/>
          <w:sz w:val="24"/>
          <w:szCs w:val="24"/>
        </w:rPr>
        <w:t xml:space="preserve">ch </w:t>
      </w:r>
      <w:r w:rsidR="00C77F95" w:rsidRPr="00205E56">
        <w:rPr>
          <w:rFonts w:ascii="Times New Roman" w:hAnsi="Times New Roman" w:cs="Times New Roman"/>
          <w:sz w:val="24"/>
          <w:szCs w:val="24"/>
        </w:rPr>
        <w:t>do rejestru.</w:t>
      </w:r>
    </w:p>
    <w:p w14:paraId="4DCCB75C" w14:textId="4193D678" w:rsidR="000B2B46" w:rsidRPr="00205E56" w:rsidRDefault="000B2B46"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lastRenderedPageBreak/>
        <w:t xml:space="preserve">W </w:t>
      </w:r>
      <w:r w:rsidRPr="00205E56">
        <w:rPr>
          <w:rFonts w:ascii="Times New Roman" w:hAnsi="Times New Roman" w:cs="Times New Roman"/>
          <w:b/>
          <w:sz w:val="24"/>
          <w:szCs w:val="24"/>
        </w:rPr>
        <w:t>pkt 1</w:t>
      </w:r>
      <w:r w:rsidR="009B7B31" w:rsidRPr="00205E56">
        <w:rPr>
          <w:rFonts w:ascii="Times New Roman" w:hAnsi="Times New Roman" w:cs="Times New Roman"/>
          <w:b/>
          <w:sz w:val="24"/>
          <w:szCs w:val="24"/>
        </w:rPr>
        <w:t>0</w:t>
      </w:r>
      <w:r w:rsidRPr="00205E56">
        <w:rPr>
          <w:rFonts w:ascii="Times New Roman" w:hAnsi="Times New Roman" w:cs="Times New Roman"/>
          <w:sz w:val="24"/>
          <w:szCs w:val="24"/>
        </w:rPr>
        <w:t xml:space="preserve"> wprowadza się zmianę w art. 14 ust. 1,</w:t>
      </w:r>
      <w:r w:rsidR="007604F5" w:rsidRPr="00205E56">
        <w:rPr>
          <w:rFonts w:ascii="Times New Roman" w:hAnsi="Times New Roman" w:cs="Times New Roman"/>
          <w:sz w:val="24"/>
          <w:szCs w:val="24"/>
        </w:rPr>
        <w:t xml:space="preserve"> </w:t>
      </w:r>
      <w:r w:rsidRPr="00205E56">
        <w:rPr>
          <w:rFonts w:ascii="Times New Roman" w:hAnsi="Times New Roman" w:cs="Times New Roman"/>
          <w:sz w:val="24"/>
          <w:szCs w:val="24"/>
        </w:rPr>
        <w:t>który określa zakres nadzoru nad dostawcami usług płatniczych oraz wskazuje właściwe organy nadzorcze. Zakres przedmiotowy nadzoru uzupełniono o nadzór nad małymi instytucjami płatniczymi oraz dostawcami świadczącymi usługę dostępu do informacji o rachunku.</w:t>
      </w:r>
    </w:p>
    <w:p w14:paraId="41A32D79" w14:textId="00181EED" w:rsidR="0065115D" w:rsidRPr="00205E56" w:rsidRDefault="0065115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1</w:t>
      </w:r>
      <w:r w:rsidR="009B7B31" w:rsidRPr="00205E56">
        <w:rPr>
          <w:rFonts w:ascii="Times New Roman" w:hAnsi="Times New Roman" w:cs="Times New Roman"/>
          <w:b/>
          <w:sz w:val="24"/>
          <w:szCs w:val="24"/>
        </w:rPr>
        <w:t>1</w:t>
      </w:r>
      <w:r w:rsidRPr="00205E56">
        <w:rPr>
          <w:rFonts w:ascii="Times New Roman" w:hAnsi="Times New Roman" w:cs="Times New Roman"/>
          <w:sz w:val="24"/>
          <w:szCs w:val="24"/>
        </w:rPr>
        <w:t xml:space="preserve"> wprowadza się zmianę w art. 14e ust. 3, </w:t>
      </w:r>
      <w:r w:rsidR="00B448C7" w:rsidRPr="00205E56">
        <w:rPr>
          <w:rFonts w:ascii="Times New Roman" w:hAnsi="Times New Roman" w:cs="Times New Roman"/>
          <w:sz w:val="24"/>
          <w:szCs w:val="24"/>
        </w:rPr>
        <w:t>zgodnie z którą KNF</w:t>
      </w:r>
      <w:r w:rsidR="006B7897" w:rsidRPr="00205E56">
        <w:rPr>
          <w:rFonts w:ascii="Times New Roman" w:hAnsi="Times New Roman" w:cs="Times New Roman"/>
          <w:sz w:val="24"/>
          <w:szCs w:val="24"/>
        </w:rPr>
        <w:t>,</w:t>
      </w:r>
      <w:r w:rsidR="00B448C7" w:rsidRPr="00205E56">
        <w:rPr>
          <w:rFonts w:ascii="Times New Roman" w:hAnsi="Times New Roman" w:cs="Times New Roman"/>
          <w:sz w:val="24"/>
          <w:szCs w:val="24"/>
        </w:rPr>
        <w:t xml:space="preserve"> w przypadku odrzucenia wniosku o podjęcie współpracy </w:t>
      </w:r>
      <w:r w:rsidR="00762AF2" w:rsidRPr="00205E56">
        <w:rPr>
          <w:rFonts w:ascii="Times New Roman" w:hAnsi="Times New Roman" w:cs="Times New Roman"/>
          <w:sz w:val="24"/>
          <w:szCs w:val="24"/>
        </w:rPr>
        <w:t>w celu w</w:t>
      </w:r>
      <w:r w:rsidR="001525DC">
        <w:rPr>
          <w:rFonts w:ascii="Times New Roman" w:hAnsi="Times New Roman" w:cs="Times New Roman"/>
          <w:sz w:val="24"/>
          <w:szCs w:val="24"/>
        </w:rPr>
        <w:t>ykonywania zadań wynikających z </w:t>
      </w:r>
      <w:r w:rsidR="00762AF2" w:rsidRPr="00205E56">
        <w:rPr>
          <w:rFonts w:ascii="Times New Roman" w:hAnsi="Times New Roman" w:cs="Times New Roman"/>
          <w:sz w:val="24"/>
          <w:szCs w:val="24"/>
        </w:rPr>
        <w:t xml:space="preserve">przepisów działu V i VI </w:t>
      </w:r>
      <w:r w:rsidR="00B448C7" w:rsidRPr="00205E56">
        <w:rPr>
          <w:rFonts w:ascii="Times New Roman" w:hAnsi="Times New Roman" w:cs="Times New Roman"/>
          <w:sz w:val="24"/>
          <w:szCs w:val="24"/>
        </w:rPr>
        <w:t xml:space="preserve">z właściwymi organami nadzorczymi innego państwa członkowskiego, może zwrócić się do EUNB </w:t>
      </w:r>
      <w:r w:rsidR="00762AF2" w:rsidRPr="00205E56">
        <w:rPr>
          <w:rFonts w:ascii="Times New Roman" w:hAnsi="Times New Roman" w:cs="Times New Roman"/>
          <w:sz w:val="24"/>
          <w:szCs w:val="24"/>
        </w:rPr>
        <w:t>o udzielenie pomocy.</w:t>
      </w:r>
    </w:p>
    <w:p w14:paraId="71188708" w14:textId="11B2DE13" w:rsidR="009B7B31" w:rsidRPr="00205E56" w:rsidRDefault="00115664"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1</w:t>
      </w:r>
      <w:r w:rsidR="009B7B31" w:rsidRPr="00205E56">
        <w:rPr>
          <w:rFonts w:ascii="Times New Roman" w:hAnsi="Times New Roman" w:cs="Times New Roman"/>
          <w:b/>
          <w:sz w:val="24"/>
          <w:szCs w:val="24"/>
        </w:rPr>
        <w:t>2</w:t>
      </w:r>
      <w:r w:rsidRPr="00205E56">
        <w:rPr>
          <w:rFonts w:ascii="Times New Roman" w:hAnsi="Times New Roman" w:cs="Times New Roman"/>
          <w:sz w:val="24"/>
          <w:szCs w:val="24"/>
        </w:rPr>
        <w:t xml:space="preserve"> </w:t>
      </w:r>
      <w:r w:rsidR="008B2A85" w:rsidRPr="00205E56">
        <w:rPr>
          <w:rFonts w:ascii="Times New Roman" w:hAnsi="Times New Roman" w:cs="Times New Roman"/>
          <w:sz w:val="24"/>
          <w:szCs w:val="24"/>
        </w:rPr>
        <w:t>wprowadza się zmianę w art. 14g</w:t>
      </w:r>
      <w:r w:rsidR="009B7B31" w:rsidRPr="00205E56">
        <w:rPr>
          <w:rFonts w:ascii="Times New Roman" w:hAnsi="Times New Roman" w:cs="Times New Roman"/>
          <w:sz w:val="24"/>
          <w:szCs w:val="24"/>
        </w:rPr>
        <w:t xml:space="preserve"> i </w:t>
      </w:r>
      <w:r w:rsidR="003307D4">
        <w:rPr>
          <w:rFonts w:ascii="Times New Roman" w:hAnsi="Times New Roman" w:cs="Times New Roman"/>
          <w:sz w:val="24"/>
          <w:szCs w:val="24"/>
        </w:rPr>
        <w:t xml:space="preserve">art. </w:t>
      </w:r>
      <w:r w:rsidR="009B7B31" w:rsidRPr="00205E56">
        <w:rPr>
          <w:rFonts w:ascii="Times New Roman" w:hAnsi="Times New Roman" w:cs="Times New Roman"/>
          <w:sz w:val="24"/>
          <w:szCs w:val="24"/>
        </w:rPr>
        <w:t>14h</w:t>
      </w:r>
      <w:r w:rsidR="00382760" w:rsidRPr="00205E56">
        <w:rPr>
          <w:rFonts w:ascii="Times New Roman" w:hAnsi="Times New Roman" w:cs="Times New Roman"/>
          <w:sz w:val="24"/>
          <w:szCs w:val="24"/>
        </w:rPr>
        <w:t xml:space="preserve"> dotyczące </w:t>
      </w:r>
      <w:proofErr w:type="spellStart"/>
      <w:r w:rsidR="00382760" w:rsidRPr="00205E56">
        <w:rPr>
          <w:rFonts w:ascii="Times New Roman" w:hAnsi="Times New Roman" w:cs="Times New Roman"/>
          <w:sz w:val="24"/>
          <w:szCs w:val="24"/>
        </w:rPr>
        <w:t>porównywarek</w:t>
      </w:r>
      <w:proofErr w:type="spellEnd"/>
      <w:r w:rsidR="00382760" w:rsidRPr="00205E56">
        <w:rPr>
          <w:rFonts w:ascii="Times New Roman" w:hAnsi="Times New Roman" w:cs="Times New Roman"/>
          <w:sz w:val="24"/>
          <w:szCs w:val="24"/>
        </w:rPr>
        <w:t xml:space="preserve"> opłat pobieranych przez dostawców prowadzących rachunki płatnicze</w:t>
      </w:r>
      <w:r w:rsidR="009B7B31" w:rsidRPr="00205E56">
        <w:rPr>
          <w:rFonts w:ascii="Times New Roman" w:hAnsi="Times New Roman" w:cs="Times New Roman"/>
          <w:sz w:val="24"/>
          <w:szCs w:val="24"/>
        </w:rPr>
        <w:t>. Proponuje się ograniczenie obowiązkowego zakresu porównywanych informacji dotyczących rachunków płatniczych do elementów wymaganych przez dyrektywę, tj. do opłat pobieranych przez dostawców usług płatniczych prowadzących rachunki płatnicze konsumentów. Jednocześnie wprost dopuszcza się porównanie dodatkowych informacji dotyczących rachunków płatniczych, takich jak liczba bankomatów lub placówek znajdujących się na terytorium Rzeczypospolitej Polskiej, z których konsument może dokonywać wypłaty gotówki bez opłat. Wydaje się, iż obowiązkowe porównywanie informacji o lokalizacji wszystkich bankomatów i placówek znajdujących się na terytorium Rzeczypospolitej Polskiej, z których konsument może dokonywać wypłaty gotówki bez opłat jest trudne do zrealizowania. Po pierwsze wymaga to wskazania konkretnych lokalizacji (wraz z adresem) wszy</w:t>
      </w:r>
      <w:r w:rsidR="001525DC">
        <w:rPr>
          <w:rFonts w:ascii="Times New Roman" w:hAnsi="Times New Roman" w:cs="Times New Roman"/>
          <w:sz w:val="24"/>
          <w:szCs w:val="24"/>
        </w:rPr>
        <w:t>stkich placówek i bankomatów. W </w:t>
      </w:r>
      <w:r w:rsidR="009B7B31" w:rsidRPr="00205E56">
        <w:rPr>
          <w:rFonts w:ascii="Times New Roman" w:hAnsi="Times New Roman" w:cs="Times New Roman"/>
          <w:sz w:val="24"/>
          <w:szCs w:val="24"/>
        </w:rPr>
        <w:t>przypadku ofert obejmujących możliwość darmowej wypłaty z wszystkich bankomatów znajdujących się na terytorium Rzeczypospolitej Polskiej wymagałoby to wskazania lokalizacji wszystkich bankomatów znajduj</w:t>
      </w:r>
      <w:r w:rsidR="001525DC">
        <w:rPr>
          <w:rFonts w:ascii="Times New Roman" w:hAnsi="Times New Roman" w:cs="Times New Roman"/>
          <w:sz w:val="24"/>
          <w:szCs w:val="24"/>
        </w:rPr>
        <w:t>ących się na terytorium RP (ok. </w:t>
      </w:r>
      <w:r w:rsidR="009B7B31" w:rsidRPr="00205E56">
        <w:rPr>
          <w:rFonts w:ascii="Times New Roman" w:hAnsi="Times New Roman" w:cs="Times New Roman"/>
          <w:sz w:val="24"/>
          <w:szCs w:val="24"/>
        </w:rPr>
        <w:t>22</w:t>
      </w:r>
      <w:r w:rsidR="004B2636" w:rsidRPr="00205E56">
        <w:rPr>
          <w:rFonts w:ascii="Times New Roman" w:hAnsi="Times New Roman" w:cs="Times New Roman"/>
          <w:sz w:val="24"/>
          <w:szCs w:val="24"/>
        </w:rPr>
        <w:t xml:space="preserve"> </w:t>
      </w:r>
      <w:r w:rsidR="009B7B31" w:rsidRPr="00205E56">
        <w:rPr>
          <w:rFonts w:ascii="Times New Roman" w:hAnsi="Times New Roman" w:cs="Times New Roman"/>
          <w:sz w:val="24"/>
          <w:szCs w:val="24"/>
        </w:rPr>
        <w:t>000). Problematyczne byłoby również uwzględnianie w takiej informacji wszelkich zmian lokalizacji tych bankomatów wynikających np. z ich przeniesienia, czy awarii, które uniemożliwiają darmową wypłatę.</w:t>
      </w:r>
    </w:p>
    <w:p w14:paraId="55013963" w14:textId="15A085A9" w:rsidR="009B7B31" w:rsidRPr="00205E56" w:rsidRDefault="009B7B31"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Proponuje się również usunąć z katalogu warunków pozwalających uznać niezależność podmiotu prowadzącego stroną porównującą opłaty pobierane przez dostawców usług płatniczych prowadzących rachunki płatnicze kryterium nieprowadzenia działalności reklamowej dostawców oferujących usługę prowadzenia rachunku płatniczego. Określone w UUP kryteria bardzo ograniczają możliwość stworzenia modelu </w:t>
      </w:r>
      <w:r w:rsidRPr="00205E56">
        <w:rPr>
          <w:rFonts w:ascii="Times New Roman" w:hAnsi="Times New Roman" w:cs="Times New Roman"/>
          <w:sz w:val="24"/>
          <w:szCs w:val="24"/>
        </w:rPr>
        <w:lastRenderedPageBreak/>
        <w:t xml:space="preserve">biznesowego prowadzenia tzw. porównywarki internetowej, co może zniechęcić do tworzenia takich </w:t>
      </w:r>
      <w:proofErr w:type="spellStart"/>
      <w:r w:rsidRPr="00205E56">
        <w:rPr>
          <w:rFonts w:ascii="Times New Roman" w:hAnsi="Times New Roman" w:cs="Times New Roman"/>
          <w:sz w:val="24"/>
          <w:szCs w:val="24"/>
        </w:rPr>
        <w:t>porównywarek</w:t>
      </w:r>
      <w:proofErr w:type="spellEnd"/>
      <w:r w:rsidRPr="00205E56">
        <w:rPr>
          <w:rFonts w:ascii="Times New Roman" w:hAnsi="Times New Roman" w:cs="Times New Roman"/>
          <w:sz w:val="24"/>
          <w:szCs w:val="24"/>
        </w:rPr>
        <w:t xml:space="preserve"> spełniających ustawowe wymogi przez inne podmioty niż UKNF. Wydaje się, iż możliwość zamieszczania na stronie internetowej, na której prowadzona jest porównywarka, reklam dostawców może zachęcać podmioty prywatne do tworzenia </w:t>
      </w:r>
      <w:proofErr w:type="spellStart"/>
      <w:r w:rsidRPr="00205E56">
        <w:rPr>
          <w:rFonts w:ascii="Times New Roman" w:hAnsi="Times New Roman" w:cs="Times New Roman"/>
          <w:sz w:val="24"/>
          <w:szCs w:val="24"/>
        </w:rPr>
        <w:t>porównywarek</w:t>
      </w:r>
      <w:proofErr w:type="spellEnd"/>
      <w:r w:rsidRPr="00205E56">
        <w:rPr>
          <w:rFonts w:ascii="Times New Roman" w:hAnsi="Times New Roman" w:cs="Times New Roman"/>
          <w:sz w:val="24"/>
          <w:szCs w:val="24"/>
        </w:rPr>
        <w:t xml:space="preserve"> spełniających ustawowe wymogi. Jednocześnie wprowadzony warunek określenia jednoznacznych i obiektywnych kryteriów porównywania </w:t>
      </w:r>
      <w:r w:rsidR="003307D4">
        <w:rPr>
          <w:rFonts w:ascii="Times New Roman" w:hAnsi="Times New Roman" w:cs="Times New Roman"/>
          <w:sz w:val="24"/>
          <w:szCs w:val="24"/>
        </w:rPr>
        <w:t>po</w:t>
      </w:r>
      <w:r w:rsidRPr="00205E56">
        <w:rPr>
          <w:rFonts w:ascii="Times New Roman" w:hAnsi="Times New Roman" w:cs="Times New Roman"/>
          <w:sz w:val="24"/>
          <w:szCs w:val="24"/>
        </w:rPr>
        <w:t>winien zapobiegać przypadkom braku obiektywizmu co do porównywalności opłat. Ponadto proponuje się wprowadzenie możliwości prowadzenia przez UKNF porównywarki internetowej niezależnie od liczby podmiotów prowadzących porównywarki spełniające ustawowe wymogi.</w:t>
      </w:r>
    </w:p>
    <w:p w14:paraId="2B0371FE" w14:textId="77777777" w:rsidR="009B7B31" w:rsidRPr="00205E56" w:rsidRDefault="009B7B31"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Należy również zwrócić uwagę na wprowadzony obowiązek przekazywania przez dostawców odpowiednich informacji, które są niezbędne do wykonywania przez UKNF obowiązku stworzenia porównywarki.</w:t>
      </w:r>
    </w:p>
    <w:p w14:paraId="3E38EDBF" w14:textId="4A346C7A" w:rsidR="009B7B31" w:rsidRPr="00205E56" w:rsidRDefault="009B7B31"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Istotna jest także zmiana terminu udostępnienia takiej porównywarki. Według art. 29 ust. 2 pkt b) dyrektywy</w:t>
      </w:r>
      <w:r w:rsidR="00412DEF">
        <w:rPr>
          <w:rFonts w:ascii="Times New Roman" w:hAnsi="Times New Roman" w:cs="Times New Roman"/>
          <w:sz w:val="24"/>
          <w:szCs w:val="24"/>
        </w:rPr>
        <w:t xml:space="preserve"> Parlamentu Europejskiego i Rady 2014/92/UE z dnia 23 lipca 2014 r. w sprawie porównywalności opłat związanych z rachunkami płatniczymi, przenoszenia rachunku płatniczego oraz dostępu do podstawowego rachunku płatniczego (Dz. Urz. UE L 257 z 28.08.2014, str. 214),</w:t>
      </w:r>
      <w:r w:rsidR="00EC13CD">
        <w:rPr>
          <w:rFonts w:ascii="Times New Roman" w:hAnsi="Times New Roman" w:cs="Times New Roman"/>
          <w:sz w:val="24"/>
          <w:szCs w:val="24"/>
        </w:rPr>
        <w:t xml:space="preserve"> dalej</w:t>
      </w:r>
      <w:r w:rsidRPr="00205E56">
        <w:rPr>
          <w:rFonts w:ascii="Times New Roman" w:hAnsi="Times New Roman" w:cs="Times New Roman"/>
          <w:sz w:val="24"/>
          <w:szCs w:val="24"/>
        </w:rPr>
        <w:t xml:space="preserve"> </w:t>
      </w:r>
      <w:r w:rsidR="00EC13CD">
        <w:rPr>
          <w:rFonts w:ascii="Times New Roman" w:hAnsi="Times New Roman" w:cs="Times New Roman"/>
          <w:sz w:val="24"/>
          <w:szCs w:val="24"/>
        </w:rPr>
        <w:t>„</w:t>
      </w:r>
      <w:r w:rsidRPr="00205E56">
        <w:rPr>
          <w:rFonts w:ascii="Times New Roman" w:hAnsi="Times New Roman" w:cs="Times New Roman"/>
          <w:sz w:val="24"/>
          <w:szCs w:val="24"/>
        </w:rPr>
        <w:t>PAD</w:t>
      </w:r>
      <w:r w:rsidR="00EC13CD">
        <w:rPr>
          <w:rFonts w:ascii="Times New Roman" w:hAnsi="Times New Roman" w:cs="Times New Roman"/>
          <w:sz w:val="24"/>
          <w:szCs w:val="24"/>
        </w:rPr>
        <w:t>”</w:t>
      </w:r>
      <w:r w:rsidRPr="00205E56">
        <w:rPr>
          <w:rFonts w:ascii="Times New Roman" w:hAnsi="Times New Roman" w:cs="Times New Roman"/>
          <w:sz w:val="24"/>
          <w:szCs w:val="24"/>
        </w:rPr>
        <w:t xml:space="preserve">, przepisy art. 7 dotyczące </w:t>
      </w:r>
      <w:proofErr w:type="spellStart"/>
      <w:r w:rsidRPr="00205E56">
        <w:rPr>
          <w:rFonts w:ascii="Times New Roman" w:hAnsi="Times New Roman" w:cs="Times New Roman"/>
          <w:sz w:val="24"/>
          <w:szCs w:val="24"/>
        </w:rPr>
        <w:t>porównywarek</w:t>
      </w:r>
      <w:proofErr w:type="spellEnd"/>
      <w:r w:rsidRPr="00205E56">
        <w:rPr>
          <w:rFonts w:ascii="Times New Roman" w:hAnsi="Times New Roman" w:cs="Times New Roman"/>
          <w:sz w:val="24"/>
          <w:szCs w:val="24"/>
        </w:rPr>
        <w:t xml:space="preserve"> powinny być stosowane w ciągu 9 miesięcy od wejścia w</w:t>
      </w:r>
      <w:r w:rsidR="00412DEF">
        <w:rPr>
          <w:rFonts w:ascii="Times New Roman" w:hAnsi="Times New Roman" w:cs="Times New Roman"/>
          <w:sz w:val="24"/>
          <w:szCs w:val="24"/>
        </w:rPr>
        <w:t> </w:t>
      </w:r>
      <w:r w:rsidRPr="00205E56">
        <w:rPr>
          <w:rFonts w:ascii="Times New Roman" w:hAnsi="Times New Roman" w:cs="Times New Roman"/>
          <w:sz w:val="24"/>
          <w:szCs w:val="24"/>
        </w:rPr>
        <w:t>życie aktu delegowanego, o którym mowa w art. 3 ust. 4 tejże dyrektywy</w:t>
      </w:r>
      <w:r w:rsidR="003307D4">
        <w:rPr>
          <w:rFonts w:ascii="Times New Roman" w:hAnsi="Times New Roman" w:cs="Times New Roman"/>
          <w:sz w:val="24"/>
          <w:szCs w:val="24"/>
        </w:rPr>
        <w:t>,</w:t>
      </w:r>
      <w:r w:rsidRPr="00205E56">
        <w:rPr>
          <w:rFonts w:ascii="Times New Roman" w:hAnsi="Times New Roman" w:cs="Times New Roman"/>
          <w:sz w:val="24"/>
          <w:szCs w:val="24"/>
        </w:rPr>
        <w:t xml:space="preserve"> tj. regulacyjnego standardu technicznego ustanawiającego ujednoliconą terminologię Unii dla tych usług, które są wspólne przynajmniej dla większości państw członkowskich. Zgodnie z art. 3 ust. 5 PAD państwa członkowskie włączają ujednoliconą terminologię Unii do ostatecznego wykazu najbardziej reprezentatywnych usług powiązanych z</w:t>
      </w:r>
      <w:r w:rsidR="00CD594C">
        <w:rPr>
          <w:rFonts w:ascii="Times New Roman" w:hAnsi="Times New Roman" w:cs="Times New Roman"/>
          <w:sz w:val="24"/>
          <w:szCs w:val="24"/>
        </w:rPr>
        <w:t> </w:t>
      </w:r>
      <w:r w:rsidRPr="00205E56">
        <w:rPr>
          <w:rFonts w:ascii="Times New Roman" w:hAnsi="Times New Roman" w:cs="Times New Roman"/>
          <w:sz w:val="24"/>
          <w:szCs w:val="24"/>
        </w:rPr>
        <w:t xml:space="preserve">rachunkiem płatniczym. Taki przepis PAD uzależnia termin udostępnienia porównywarki internetowej od publikacji </w:t>
      </w:r>
      <w:r w:rsidR="00CD594C">
        <w:rPr>
          <w:rFonts w:ascii="Times New Roman" w:hAnsi="Times New Roman" w:cs="Times New Roman"/>
          <w:sz w:val="24"/>
          <w:szCs w:val="24"/>
        </w:rPr>
        <w:t>regulacyjnych standardów technicznych.</w:t>
      </w:r>
    </w:p>
    <w:p w14:paraId="29059560" w14:textId="7343FDF1" w:rsidR="009B7B31" w:rsidRPr="00205E56" w:rsidRDefault="009B7B31"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Tymczasem art. 16 ustawy z dnia 30 listopada 2016 r. o zmianie </w:t>
      </w:r>
      <w:r w:rsidR="00CD594C">
        <w:rPr>
          <w:rFonts w:ascii="Times New Roman" w:hAnsi="Times New Roman" w:cs="Times New Roman"/>
          <w:sz w:val="24"/>
          <w:szCs w:val="24"/>
        </w:rPr>
        <w:t xml:space="preserve">ustawy o usługach płatniczych </w:t>
      </w:r>
      <w:r w:rsidRPr="00205E56">
        <w:rPr>
          <w:rFonts w:ascii="Times New Roman" w:hAnsi="Times New Roman" w:cs="Times New Roman"/>
          <w:sz w:val="24"/>
          <w:szCs w:val="24"/>
        </w:rPr>
        <w:t xml:space="preserve">oraz niektórych innych ustaw </w:t>
      </w:r>
      <w:r w:rsidR="00CD594C">
        <w:rPr>
          <w:rFonts w:ascii="Times New Roman" w:hAnsi="Times New Roman" w:cs="Times New Roman"/>
          <w:sz w:val="24"/>
          <w:szCs w:val="24"/>
        </w:rPr>
        <w:t xml:space="preserve">(Dz. U. poz. 1997) </w:t>
      </w:r>
      <w:r w:rsidRPr="00205E56">
        <w:rPr>
          <w:rFonts w:ascii="Times New Roman" w:hAnsi="Times New Roman" w:cs="Times New Roman"/>
          <w:sz w:val="24"/>
          <w:szCs w:val="24"/>
        </w:rPr>
        <w:t>wiąże termin rozpoczęcia funkcjonowania strony internetowej porównującej oferty dostawców usług płatniczych pr</w:t>
      </w:r>
      <w:r w:rsidR="001525DC">
        <w:rPr>
          <w:rFonts w:ascii="Times New Roman" w:hAnsi="Times New Roman" w:cs="Times New Roman"/>
          <w:sz w:val="24"/>
          <w:szCs w:val="24"/>
        </w:rPr>
        <w:t>owadzących rachunki płatnicze z </w:t>
      </w:r>
      <w:r w:rsidRPr="00205E56">
        <w:rPr>
          <w:rFonts w:ascii="Times New Roman" w:hAnsi="Times New Roman" w:cs="Times New Roman"/>
          <w:sz w:val="24"/>
          <w:szCs w:val="24"/>
        </w:rPr>
        <w:t xml:space="preserve">terminem wejścia w życie tej ustawy </w:t>
      </w:r>
      <w:r w:rsidR="00205E56" w:rsidRPr="00205E56">
        <w:rPr>
          <w:rFonts w:ascii="Times New Roman" w:hAnsi="Times New Roman" w:cs="Times New Roman"/>
          <w:sz w:val="24"/>
          <w:szCs w:val="24"/>
        </w:rPr>
        <w:t>–</w:t>
      </w:r>
      <w:r w:rsidRPr="00205E56">
        <w:rPr>
          <w:rFonts w:ascii="Times New Roman" w:hAnsi="Times New Roman" w:cs="Times New Roman"/>
          <w:sz w:val="24"/>
          <w:szCs w:val="24"/>
        </w:rPr>
        <w:t xml:space="preserve"> 6 miesięcy po wejściu w życie, co oznacza, że porównywarka powinna funkcjonować od około 10</w:t>
      </w:r>
      <w:r w:rsidR="00CD594C">
        <w:rPr>
          <w:rFonts w:ascii="Times New Roman" w:hAnsi="Times New Roman" w:cs="Times New Roman"/>
          <w:sz w:val="24"/>
          <w:szCs w:val="24"/>
        </w:rPr>
        <w:t> </w:t>
      </w:r>
      <w:r w:rsidRPr="00205E56">
        <w:rPr>
          <w:rFonts w:ascii="Times New Roman" w:hAnsi="Times New Roman" w:cs="Times New Roman"/>
          <w:sz w:val="24"/>
          <w:szCs w:val="24"/>
        </w:rPr>
        <w:t>sierpnia 2017 r. Tak ustalony termin nie uwzględnia</w:t>
      </w:r>
      <w:r w:rsidR="00CD594C">
        <w:rPr>
          <w:rFonts w:ascii="Times New Roman" w:hAnsi="Times New Roman" w:cs="Times New Roman"/>
          <w:sz w:val="24"/>
          <w:szCs w:val="24"/>
        </w:rPr>
        <w:t>ł</w:t>
      </w:r>
      <w:r w:rsidRPr="00205E56">
        <w:rPr>
          <w:rFonts w:ascii="Times New Roman" w:hAnsi="Times New Roman" w:cs="Times New Roman"/>
          <w:sz w:val="24"/>
          <w:szCs w:val="24"/>
        </w:rPr>
        <w:t xml:space="preserve"> faktu, że warunkiem </w:t>
      </w:r>
      <w:r w:rsidRPr="00205E56">
        <w:rPr>
          <w:rFonts w:ascii="Times New Roman" w:hAnsi="Times New Roman" w:cs="Times New Roman"/>
          <w:sz w:val="24"/>
          <w:szCs w:val="24"/>
        </w:rPr>
        <w:lastRenderedPageBreak/>
        <w:t>możliwości porównywania opłat za usługi jest opublikowanie wykazu usług reprezentatywnych, który zawiera także ujednoliconą terminologię Unii, która znajd</w:t>
      </w:r>
      <w:r w:rsidR="00CD594C">
        <w:rPr>
          <w:rFonts w:ascii="Times New Roman" w:hAnsi="Times New Roman" w:cs="Times New Roman"/>
          <w:sz w:val="24"/>
          <w:szCs w:val="24"/>
        </w:rPr>
        <w:t>uje</w:t>
      </w:r>
      <w:r w:rsidRPr="00205E56">
        <w:rPr>
          <w:rFonts w:ascii="Times New Roman" w:hAnsi="Times New Roman" w:cs="Times New Roman"/>
          <w:sz w:val="24"/>
          <w:szCs w:val="24"/>
        </w:rPr>
        <w:t xml:space="preserve"> się w </w:t>
      </w:r>
      <w:r w:rsidR="00CD594C">
        <w:rPr>
          <w:rFonts w:ascii="Times New Roman" w:hAnsi="Times New Roman" w:cs="Times New Roman"/>
          <w:sz w:val="24"/>
          <w:szCs w:val="24"/>
        </w:rPr>
        <w:t>regulacyjnych standardach technicznych</w:t>
      </w:r>
      <w:r w:rsidRPr="00205E56">
        <w:rPr>
          <w:rFonts w:ascii="Times New Roman" w:hAnsi="Times New Roman" w:cs="Times New Roman"/>
          <w:sz w:val="24"/>
          <w:szCs w:val="24"/>
        </w:rPr>
        <w:t xml:space="preserve">. Z powyższych powodów, nałożony na UKNF obowiązek prowadzenia takiej porównywarki </w:t>
      </w:r>
      <w:r w:rsidR="00205E56" w:rsidRPr="00205E56">
        <w:rPr>
          <w:rFonts w:ascii="Times New Roman" w:hAnsi="Times New Roman" w:cs="Times New Roman"/>
          <w:sz w:val="24"/>
          <w:szCs w:val="24"/>
        </w:rPr>
        <w:t>–</w:t>
      </w:r>
      <w:r w:rsidRPr="00205E56">
        <w:rPr>
          <w:rFonts w:ascii="Times New Roman" w:hAnsi="Times New Roman" w:cs="Times New Roman"/>
          <w:sz w:val="24"/>
          <w:szCs w:val="24"/>
        </w:rPr>
        <w:t xml:space="preserve"> w przypadku, gdy żaden podmiot nie będzie prowadził strony internetowej spełniającej wymogi ustawowe, ze względu na konieczność wprowad</w:t>
      </w:r>
      <w:r w:rsidR="001525DC">
        <w:rPr>
          <w:rFonts w:ascii="Times New Roman" w:hAnsi="Times New Roman" w:cs="Times New Roman"/>
          <w:sz w:val="24"/>
          <w:szCs w:val="24"/>
        </w:rPr>
        <w:t>zenia odpowiednich rozwiązań, w </w:t>
      </w:r>
      <w:r w:rsidRPr="00205E56">
        <w:rPr>
          <w:rFonts w:ascii="Times New Roman" w:hAnsi="Times New Roman" w:cs="Times New Roman"/>
          <w:sz w:val="24"/>
          <w:szCs w:val="24"/>
        </w:rPr>
        <w:t xml:space="preserve">szczególności rozwiązań technicznych (własnych </w:t>
      </w:r>
      <w:r w:rsidR="00CD594C">
        <w:rPr>
          <w:rFonts w:ascii="Times New Roman" w:hAnsi="Times New Roman" w:cs="Times New Roman"/>
          <w:sz w:val="24"/>
          <w:szCs w:val="24"/>
        </w:rPr>
        <w:t>l</w:t>
      </w:r>
      <w:r w:rsidRPr="00205E56">
        <w:rPr>
          <w:rFonts w:ascii="Times New Roman" w:hAnsi="Times New Roman" w:cs="Times New Roman"/>
          <w:sz w:val="24"/>
          <w:szCs w:val="24"/>
        </w:rPr>
        <w:t xml:space="preserve">ub przy pomocy podmiotów zewnętrznych) </w:t>
      </w:r>
      <w:r w:rsidR="00205E56" w:rsidRPr="00205E56">
        <w:rPr>
          <w:rFonts w:ascii="Times New Roman" w:hAnsi="Times New Roman" w:cs="Times New Roman"/>
          <w:sz w:val="24"/>
          <w:szCs w:val="24"/>
        </w:rPr>
        <w:t>–</w:t>
      </w:r>
      <w:r w:rsidRPr="00205E56">
        <w:rPr>
          <w:rFonts w:ascii="Times New Roman" w:hAnsi="Times New Roman" w:cs="Times New Roman"/>
          <w:sz w:val="24"/>
          <w:szCs w:val="24"/>
        </w:rPr>
        <w:t xml:space="preserve"> </w:t>
      </w:r>
      <w:r w:rsidR="00CD594C">
        <w:rPr>
          <w:rFonts w:ascii="Times New Roman" w:hAnsi="Times New Roman" w:cs="Times New Roman"/>
          <w:sz w:val="24"/>
          <w:szCs w:val="24"/>
        </w:rPr>
        <w:t>okazał się</w:t>
      </w:r>
      <w:r w:rsidRPr="00205E56">
        <w:rPr>
          <w:rFonts w:ascii="Times New Roman" w:hAnsi="Times New Roman" w:cs="Times New Roman"/>
          <w:sz w:val="24"/>
          <w:szCs w:val="24"/>
        </w:rPr>
        <w:t xml:space="preserve"> niemożliwy do zrealizowania w wyznaczonym terminie. Wobec powyższego, w celu umożliwienia wywiązania się przez UKNF z nałożonego obowiązku projekt zawiera rozwiązania umożliwiające uruchomienie porównywarki przez organ nadzoru, tak aby była ona gotowa przed upływem terminu określonego w</w:t>
      </w:r>
      <w:r w:rsidR="00CD594C">
        <w:rPr>
          <w:rFonts w:ascii="Times New Roman" w:hAnsi="Times New Roman" w:cs="Times New Roman"/>
          <w:sz w:val="24"/>
          <w:szCs w:val="24"/>
        </w:rPr>
        <w:t> </w:t>
      </w:r>
      <w:r w:rsidRPr="00205E56">
        <w:rPr>
          <w:rFonts w:ascii="Times New Roman" w:hAnsi="Times New Roman" w:cs="Times New Roman"/>
          <w:sz w:val="24"/>
          <w:szCs w:val="24"/>
        </w:rPr>
        <w:t>art. 1</w:t>
      </w:r>
      <w:r w:rsidR="00CD594C">
        <w:rPr>
          <w:rFonts w:ascii="Times New Roman" w:hAnsi="Times New Roman" w:cs="Times New Roman"/>
          <w:sz w:val="24"/>
          <w:szCs w:val="24"/>
        </w:rPr>
        <w:t>9</w:t>
      </w:r>
      <w:r w:rsidRPr="00205E56">
        <w:rPr>
          <w:rFonts w:ascii="Times New Roman" w:hAnsi="Times New Roman" w:cs="Times New Roman"/>
          <w:sz w:val="24"/>
          <w:szCs w:val="24"/>
        </w:rPr>
        <w:t xml:space="preserve"> </w:t>
      </w:r>
      <w:r w:rsidR="00CD594C">
        <w:rPr>
          <w:rFonts w:ascii="Times New Roman" w:hAnsi="Times New Roman" w:cs="Times New Roman"/>
          <w:sz w:val="24"/>
          <w:szCs w:val="24"/>
        </w:rPr>
        <w:t>projektu</w:t>
      </w:r>
      <w:r w:rsidRPr="00205E56">
        <w:rPr>
          <w:rFonts w:ascii="Times New Roman" w:hAnsi="Times New Roman" w:cs="Times New Roman"/>
          <w:sz w:val="24"/>
          <w:szCs w:val="24"/>
        </w:rPr>
        <w:t>.</w:t>
      </w:r>
    </w:p>
    <w:p w14:paraId="2111BE49" w14:textId="1271EF74" w:rsidR="00115664" w:rsidRPr="00205E56" w:rsidRDefault="00174EE0"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1</w:t>
      </w:r>
      <w:r w:rsidR="009B7B31" w:rsidRPr="00205E56">
        <w:rPr>
          <w:rFonts w:ascii="Times New Roman" w:hAnsi="Times New Roman" w:cs="Times New Roman"/>
          <w:b/>
          <w:sz w:val="24"/>
          <w:szCs w:val="24"/>
        </w:rPr>
        <w:t>3</w:t>
      </w:r>
      <w:r w:rsidRPr="00205E56">
        <w:rPr>
          <w:rFonts w:ascii="Times New Roman" w:hAnsi="Times New Roman" w:cs="Times New Roman"/>
          <w:sz w:val="24"/>
          <w:szCs w:val="24"/>
        </w:rPr>
        <w:t xml:space="preserve"> </w:t>
      </w:r>
      <w:r w:rsidR="00115664" w:rsidRPr="00205E56">
        <w:rPr>
          <w:rFonts w:ascii="Times New Roman" w:hAnsi="Times New Roman" w:cs="Times New Roman"/>
          <w:sz w:val="24"/>
          <w:szCs w:val="24"/>
        </w:rPr>
        <w:t>wprowadza się zmian</w:t>
      </w:r>
      <w:r w:rsidR="003307D4">
        <w:rPr>
          <w:rFonts w:ascii="Times New Roman" w:hAnsi="Times New Roman" w:cs="Times New Roman"/>
          <w:sz w:val="24"/>
          <w:szCs w:val="24"/>
        </w:rPr>
        <w:t>ę</w:t>
      </w:r>
      <w:r w:rsidR="00115664" w:rsidRPr="00205E56">
        <w:rPr>
          <w:rFonts w:ascii="Times New Roman" w:hAnsi="Times New Roman" w:cs="Times New Roman"/>
          <w:sz w:val="24"/>
          <w:szCs w:val="24"/>
        </w:rPr>
        <w:t xml:space="preserve"> w art. 15,</w:t>
      </w:r>
      <w:r w:rsidR="006738DD" w:rsidRPr="00205E56">
        <w:rPr>
          <w:rFonts w:ascii="Times New Roman" w:hAnsi="Times New Roman" w:cs="Times New Roman"/>
          <w:sz w:val="24"/>
          <w:szCs w:val="24"/>
        </w:rPr>
        <w:t xml:space="preserve"> polegającą na dodaniu ust. 1a</w:t>
      </w:r>
      <w:r w:rsidR="006B7897" w:rsidRPr="00205E56">
        <w:rPr>
          <w:rFonts w:ascii="Times New Roman" w:hAnsi="Times New Roman" w:cs="Times New Roman"/>
          <w:sz w:val="24"/>
          <w:szCs w:val="24"/>
        </w:rPr>
        <w:t>,</w:t>
      </w:r>
      <w:r w:rsidR="006738DD" w:rsidRPr="00205E56">
        <w:rPr>
          <w:rFonts w:ascii="Times New Roman" w:hAnsi="Times New Roman" w:cs="Times New Roman"/>
          <w:sz w:val="24"/>
          <w:szCs w:val="24"/>
        </w:rPr>
        <w:t xml:space="preserve"> na mocy którego użytkownik będzie mógł wnieść do KNF skargę na działanie agenta lub oddziału dostawcy usług płatniczych.</w:t>
      </w:r>
    </w:p>
    <w:p w14:paraId="40BDC412" w14:textId="02D1C705" w:rsidR="00115664" w:rsidRPr="00205E56" w:rsidRDefault="00115664"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1</w:t>
      </w:r>
      <w:r w:rsidR="009B7B31" w:rsidRPr="00205E56">
        <w:rPr>
          <w:rFonts w:ascii="Times New Roman" w:hAnsi="Times New Roman" w:cs="Times New Roman"/>
          <w:b/>
          <w:sz w:val="24"/>
          <w:szCs w:val="24"/>
        </w:rPr>
        <w:t>4</w:t>
      </w:r>
      <w:r w:rsidRPr="00205E56">
        <w:rPr>
          <w:rFonts w:ascii="Times New Roman" w:hAnsi="Times New Roman" w:cs="Times New Roman"/>
          <w:sz w:val="24"/>
          <w:szCs w:val="24"/>
        </w:rPr>
        <w:t xml:space="preserve"> dodaje się art. 15a–15d,</w:t>
      </w:r>
      <w:r w:rsidR="00AE1993" w:rsidRPr="00205E56">
        <w:rPr>
          <w:rFonts w:ascii="Times New Roman" w:hAnsi="Times New Roman" w:cs="Times New Roman"/>
          <w:sz w:val="24"/>
          <w:szCs w:val="24"/>
        </w:rPr>
        <w:t xml:space="preserve"> które nakładają na dostawców obowiązek wprowadzenia i stosowania procedur rozpatrywania skarg użytkowników. KNF</w:t>
      </w:r>
      <w:r w:rsidR="00251844" w:rsidRPr="00205E56">
        <w:rPr>
          <w:rFonts w:ascii="Times New Roman" w:hAnsi="Times New Roman" w:cs="Times New Roman"/>
          <w:sz w:val="24"/>
          <w:szCs w:val="24"/>
        </w:rPr>
        <w:t>,</w:t>
      </w:r>
      <w:r w:rsidR="00AE1993" w:rsidRPr="00205E56">
        <w:rPr>
          <w:rFonts w:ascii="Times New Roman" w:hAnsi="Times New Roman" w:cs="Times New Roman"/>
          <w:sz w:val="24"/>
          <w:szCs w:val="24"/>
        </w:rPr>
        <w:t xml:space="preserve"> zgodnie z ust. 4</w:t>
      </w:r>
      <w:r w:rsidR="00251844" w:rsidRPr="00205E56">
        <w:rPr>
          <w:rFonts w:ascii="Times New Roman" w:hAnsi="Times New Roman" w:cs="Times New Roman"/>
          <w:sz w:val="24"/>
          <w:szCs w:val="24"/>
        </w:rPr>
        <w:t>,</w:t>
      </w:r>
      <w:r w:rsidR="00AE1993" w:rsidRPr="00205E56">
        <w:rPr>
          <w:rFonts w:ascii="Times New Roman" w:hAnsi="Times New Roman" w:cs="Times New Roman"/>
          <w:sz w:val="24"/>
          <w:szCs w:val="24"/>
        </w:rPr>
        <w:t xml:space="preserve"> w ramach sprawowanego nadzoru będzie monitorować stosowanie przez dostawców obowiązków ww. procedur. </w:t>
      </w:r>
      <w:r w:rsidR="00F23395" w:rsidRPr="00205E56">
        <w:rPr>
          <w:rFonts w:ascii="Times New Roman" w:hAnsi="Times New Roman" w:cs="Times New Roman"/>
          <w:sz w:val="24"/>
          <w:szCs w:val="24"/>
        </w:rPr>
        <w:t xml:space="preserve">Dotychczasowa praktyka nadzorcza wskazuje na konieczność właściwego </w:t>
      </w:r>
      <w:r w:rsidR="00251844" w:rsidRPr="00205E56">
        <w:rPr>
          <w:rFonts w:ascii="Times New Roman" w:hAnsi="Times New Roman" w:cs="Times New Roman"/>
          <w:sz w:val="24"/>
          <w:szCs w:val="24"/>
        </w:rPr>
        <w:t xml:space="preserve">ustalenia </w:t>
      </w:r>
      <w:r w:rsidR="00F23395" w:rsidRPr="00205E56">
        <w:rPr>
          <w:rFonts w:ascii="Times New Roman" w:hAnsi="Times New Roman" w:cs="Times New Roman"/>
          <w:sz w:val="24"/>
          <w:szCs w:val="24"/>
        </w:rPr>
        <w:t>kompetencji w rozpatrywaniu skarg klientów podmiotów rynku usług płatniczych, które pojawiły się w związku z wejściem w życie ustawy z dnia 5 sierpnia 2015 r. o rozpatrywaniu reklamacji przez podmioty rynku finansowego i o Rzeczniku Finansowym</w:t>
      </w:r>
      <w:r w:rsidR="00251844" w:rsidRPr="00205E56">
        <w:rPr>
          <w:rFonts w:ascii="Times New Roman" w:hAnsi="Times New Roman" w:cs="Times New Roman"/>
          <w:sz w:val="24"/>
          <w:szCs w:val="24"/>
        </w:rPr>
        <w:t xml:space="preserve"> (</w:t>
      </w:r>
      <w:r w:rsidR="001D6653" w:rsidRPr="00205E56">
        <w:rPr>
          <w:rFonts w:ascii="Times New Roman" w:hAnsi="Times New Roman" w:cs="Times New Roman"/>
          <w:sz w:val="24"/>
          <w:szCs w:val="24"/>
        </w:rPr>
        <w:t>Dz.</w:t>
      </w:r>
      <w:r w:rsidR="003307D4">
        <w:rPr>
          <w:rFonts w:ascii="Times New Roman" w:hAnsi="Times New Roman" w:cs="Times New Roman"/>
          <w:sz w:val="24"/>
          <w:szCs w:val="24"/>
        </w:rPr>
        <w:t xml:space="preserve"> </w:t>
      </w:r>
      <w:r w:rsidR="001D6653" w:rsidRPr="00205E56">
        <w:rPr>
          <w:rFonts w:ascii="Times New Roman" w:hAnsi="Times New Roman" w:cs="Times New Roman"/>
          <w:sz w:val="24"/>
          <w:szCs w:val="24"/>
        </w:rPr>
        <w:t xml:space="preserve">U. </w:t>
      </w:r>
      <w:r w:rsidR="003307D4">
        <w:rPr>
          <w:rFonts w:ascii="Times New Roman" w:hAnsi="Times New Roman" w:cs="Times New Roman"/>
          <w:sz w:val="24"/>
          <w:szCs w:val="24"/>
        </w:rPr>
        <w:t xml:space="preserve">z </w:t>
      </w:r>
      <w:r w:rsidR="001D6653" w:rsidRPr="00205E56">
        <w:rPr>
          <w:rFonts w:ascii="Times New Roman" w:hAnsi="Times New Roman" w:cs="Times New Roman"/>
          <w:sz w:val="24"/>
          <w:szCs w:val="24"/>
        </w:rPr>
        <w:t>201</w:t>
      </w:r>
      <w:r w:rsidR="00CD594C">
        <w:rPr>
          <w:rFonts w:ascii="Times New Roman" w:hAnsi="Times New Roman" w:cs="Times New Roman"/>
          <w:sz w:val="24"/>
          <w:szCs w:val="24"/>
        </w:rPr>
        <w:t>7</w:t>
      </w:r>
      <w:r w:rsidR="001D6653" w:rsidRPr="00205E56">
        <w:rPr>
          <w:rFonts w:ascii="Times New Roman" w:hAnsi="Times New Roman" w:cs="Times New Roman"/>
          <w:sz w:val="24"/>
          <w:szCs w:val="24"/>
        </w:rPr>
        <w:t xml:space="preserve"> </w:t>
      </w:r>
      <w:r w:rsidR="003307D4">
        <w:rPr>
          <w:rFonts w:ascii="Times New Roman" w:hAnsi="Times New Roman" w:cs="Times New Roman"/>
          <w:sz w:val="24"/>
          <w:szCs w:val="24"/>
        </w:rPr>
        <w:t xml:space="preserve">r. </w:t>
      </w:r>
      <w:r w:rsidR="001D6653" w:rsidRPr="00205E56">
        <w:rPr>
          <w:rFonts w:ascii="Times New Roman" w:hAnsi="Times New Roman" w:cs="Times New Roman"/>
          <w:sz w:val="24"/>
          <w:szCs w:val="24"/>
        </w:rPr>
        <w:t xml:space="preserve">poz. </w:t>
      </w:r>
      <w:r w:rsidR="00CD594C">
        <w:rPr>
          <w:rFonts w:ascii="Times New Roman" w:hAnsi="Times New Roman" w:cs="Times New Roman"/>
          <w:sz w:val="24"/>
          <w:szCs w:val="24"/>
        </w:rPr>
        <w:t>2270 i 2486</w:t>
      </w:r>
      <w:r w:rsidR="00251844" w:rsidRPr="00205E56">
        <w:rPr>
          <w:rFonts w:ascii="Times New Roman" w:hAnsi="Times New Roman" w:cs="Times New Roman"/>
          <w:sz w:val="24"/>
          <w:szCs w:val="24"/>
        </w:rPr>
        <w:t>)</w:t>
      </w:r>
      <w:r w:rsidR="00F23395" w:rsidRPr="00205E56">
        <w:rPr>
          <w:rFonts w:ascii="Times New Roman" w:hAnsi="Times New Roman" w:cs="Times New Roman"/>
          <w:sz w:val="24"/>
          <w:szCs w:val="24"/>
        </w:rPr>
        <w:t>. W</w:t>
      </w:r>
      <w:r w:rsidR="00CD594C">
        <w:rPr>
          <w:rFonts w:ascii="Times New Roman" w:hAnsi="Times New Roman" w:cs="Times New Roman"/>
          <w:sz w:val="24"/>
          <w:szCs w:val="24"/>
        </w:rPr>
        <w:t> </w:t>
      </w:r>
      <w:r w:rsidR="00F23395" w:rsidRPr="00205E56">
        <w:rPr>
          <w:rFonts w:ascii="Times New Roman" w:hAnsi="Times New Roman" w:cs="Times New Roman"/>
          <w:sz w:val="24"/>
          <w:szCs w:val="24"/>
        </w:rPr>
        <w:t xml:space="preserve">Polsce instytucją nadzorującą podmioty świadczące usługi płatnicze w kontekście przede wszystkim bezpieczeństwa funkcjonowania, stabilności finansowej systemu finansowego jest KNF (tzw. nadzór ostrożnościowy), natomiast instytucją właściwą do przyjmowania skarg o charakterze konsumenckim (naruszenia indywidualnych praw konsumenckich klienta) na podmioty rynku finansowego jest Rzecznik Finansowy. Niezbędne jest doprecyzowanie podziału kompetencji w obszarze rozpatrywania na naruszenia ustawy między Rzecznika Finansowego i KNF, w celu wyeliminowania funkcjonującego dualizmu w tym zakresie. </w:t>
      </w:r>
      <w:r w:rsidR="00C61B74" w:rsidRPr="00205E56">
        <w:rPr>
          <w:rFonts w:ascii="Times New Roman" w:hAnsi="Times New Roman" w:cs="Times New Roman"/>
          <w:sz w:val="24"/>
          <w:szCs w:val="24"/>
        </w:rPr>
        <w:t>R</w:t>
      </w:r>
      <w:r w:rsidR="00F23395" w:rsidRPr="00205E56">
        <w:rPr>
          <w:rFonts w:ascii="Times New Roman" w:hAnsi="Times New Roman" w:cs="Times New Roman"/>
          <w:sz w:val="24"/>
          <w:szCs w:val="24"/>
        </w:rPr>
        <w:t>eklamacje użytkowników usług płatniczych</w:t>
      </w:r>
      <w:r w:rsidR="00C61B74" w:rsidRPr="00205E56">
        <w:rPr>
          <w:rFonts w:ascii="Times New Roman" w:hAnsi="Times New Roman" w:cs="Times New Roman"/>
          <w:sz w:val="24"/>
          <w:szCs w:val="24"/>
        </w:rPr>
        <w:t>, o ile z treści tych reklamacji wynika, ż</w:t>
      </w:r>
      <w:r w:rsidR="001525DC">
        <w:rPr>
          <w:rFonts w:ascii="Times New Roman" w:hAnsi="Times New Roman" w:cs="Times New Roman"/>
          <w:sz w:val="24"/>
          <w:szCs w:val="24"/>
        </w:rPr>
        <w:t>e ich rozpatrzenie mieści się w </w:t>
      </w:r>
      <w:r w:rsidR="00C61B74" w:rsidRPr="00205E56">
        <w:rPr>
          <w:rFonts w:ascii="Times New Roman" w:hAnsi="Times New Roman" w:cs="Times New Roman"/>
          <w:sz w:val="24"/>
          <w:szCs w:val="24"/>
        </w:rPr>
        <w:t>zakresie kompetencji Rzecznika Finansowego,</w:t>
      </w:r>
      <w:r w:rsidR="004F212C" w:rsidRPr="00205E56">
        <w:rPr>
          <w:rFonts w:ascii="Times New Roman" w:hAnsi="Times New Roman" w:cs="Times New Roman"/>
          <w:sz w:val="24"/>
          <w:szCs w:val="24"/>
        </w:rPr>
        <w:t xml:space="preserve"> </w:t>
      </w:r>
      <w:r w:rsidR="00F23395" w:rsidRPr="00205E56">
        <w:rPr>
          <w:rFonts w:ascii="Times New Roman" w:hAnsi="Times New Roman" w:cs="Times New Roman"/>
          <w:sz w:val="24"/>
          <w:szCs w:val="24"/>
        </w:rPr>
        <w:t xml:space="preserve">powinny być </w:t>
      </w:r>
      <w:r w:rsidR="00C61B74" w:rsidRPr="00205E56">
        <w:rPr>
          <w:rFonts w:ascii="Times New Roman" w:hAnsi="Times New Roman" w:cs="Times New Roman"/>
          <w:sz w:val="24"/>
          <w:szCs w:val="24"/>
        </w:rPr>
        <w:t xml:space="preserve">do niego </w:t>
      </w:r>
      <w:r w:rsidR="00F23395" w:rsidRPr="00205E56">
        <w:rPr>
          <w:rFonts w:ascii="Times New Roman" w:hAnsi="Times New Roman" w:cs="Times New Roman"/>
          <w:sz w:val="24"/>
          <w:szCs w:val="24"/>
        </w:rPr>
        <w:t>kierowane do rozpatrzenia</w:t>
      </w:r>
      <w:r w:rsidR="00C61B74" w:rsidRPr="00205E56">
        <w:rPr>
          <w:rFonts w:ascii="Times New Roman" w:hAnsi="Times New Roman" w:cs="Times New Roman"/>
          <w:sz w:val="24"/>
          <w:szCs w:val="24"/>
        </w:rPr>
        <w:t>.</w:t>
      </w:r>
      <w:r w:rsidR="00F23395" w:rsidRPr="00205E56">
        <w:rPr>
          <w:rFonts w:ascii="Times New Roman" w:hAnsi="Times New Roman" w:cs="Times New Roman"/>
          <w:sz w:val="24"/>
          <w:szCs w:val="24"/>
        </w:rPr>
        <w:t xml:space="preserve"> Rzecznik Finansow</w:t>
      </w:r>
      <w:r w:rsidR="00C61B74" w:rsidRPr="00205E56">
        <w:rPr>
          <w:rFonts w:ascii="Times New Roman" w:hAnsi="Times New Roman" w:cs="Times New Roman"/>
          <w:sz w:val="24"/>
          <w:szCs w:val="24"/>
        </w:rPr>
        <w:t>y</w:t>
      </w:r>
      <w:r w:rsidR="00F23395" w:rsidRPr="00205E56">
        <w:rPr>
          <w:rFonts w:ascii="Times New Roman" w:hAnsi="Times New Roman" w:cs="Times New Roman"/>
          <w:sz w:val="24"/>
          <w:szCs w:val="24"/>
        </w:rPr>
        <w:t xml:space="preserve"> następnie – w związku z art. 17 ust. 1 pkt 5 ustawy </w:t>
      </w:r>
      <w:r w:rsidR="001525DC">
        <w:rPr>
          <w:rFonts w:ascii="Times New Roman" w:hAnsi="Times New Roman" w:cs="Times New Roman"/>
          <w:sz w:val="24"/>
          <w:szCs w:val="24"/>
        </w:rPr>
        <w:lastRenderedPageBreak/>
        <w:t>z </w:t>
      </w:r>
      <w:r w:rsidR="00657F81" w:rsidRPr="00205E56">
        <w:rPr>
          <w:rFonts w:ascii="Times New Roman" w:hAnsi="Times New Roman" w:cs="Times New Roman"/>
          <w:sz w:val="24"/>
          <w:szCs w:val="24"/>
        </w:rPr>
        <w:t>dnia 5 sierpnia 2015 r. o rozpatrywaniu reklamacji przez podmioty rynku finansowego i o Rzeczniku Finansowym</w:t>
      </w:r>
      <w:r w:rsidR="00657F81" w:rsidRPr="00205E56" w:rsidDel="00657F81">
        <w:rPr>
          <w:rFonts w:ascii="Times New Roman" w:hAnsi="Times New Roman" w:cs="Times New Roman"/>
          <w:sz w:val="24"/>
          <w:szCs w:val="24"/>
        </w:rPr>
        <w:t xml:space="preserve"> </w:t>
      </w:r>
      <w:r w:rsidR="00F23395" w:rsidRPr="00205E56">
        <w:rPr>
          <w:rFonts w:ascii="Times New Roman" w:hAnsi="Times New Roman" w:cs="Times New Roman"/>
          <w:sz w:val="24"/>
          <w:szCs w:val="24"/>
        </w:rPr>
        <w:t xml:space="preserve">– </w:t>
      </w:r>
      <w:r w:rsidR="00C61B74" w:rsidRPr="00205E56">
        <w:rPr>
          <w:rFonts w:ascii="Times New Roman" w:hAnsi="Times New Roman" w:cs="Times New Roman"/>
          <w:sz w:val="24"/>
          <w:szCs w:val="24"/>
        </w:rPr>
        <w:t xml:space="preserve">będzie </w:t>
      </w:r>
      <w:r w:rsidR="001525DC">
        <w:rPr>
          <w:rFonts w:ascii="Times New Roman" w:hAnsi="Times New Roman" w:cs="Times New Roman"/>
          <w:sz w:val="24"/>
          <w:szCs w:val="24"/>
        </w:rPr>
        <w:t>informował KNF o </w:t>
      </w:r>
      <w:r w:rsidR="00F23395" w:rsidRPr="00205E56">
        <w:rPr>
          <w:rFonts w:ascii="Times New Roman" w:hAnsi="Times New Roman" w:cs="Times New Roman"/>
          <w:sz w:val="24"/>
          <w:szCs w:val="24"/>
        </w:rPr>
        <w:t>nieprawidłowościach w</w:t>
      </w:r>
      <w:r w:rsidR="00C74838">
        <w:rPr>
          <w:rFonts w:ascii="Times New Roman" w:hAnsi="Times New Roman" w:cs="Times New Roman"/>
          <w:sz w:val="24"/>
          <w:szCs w:val="24"/>
        </w:rPr>
        <w:t> </w:t>
      </w:r>
      <w:r w:rsidR="00F23395" w:rsidRPr="00205E56">
        <w:rPr>
          <w:rFonts w:ascii="Times New Roman" w:hAnsi="Times New Roman" w:cs="Times New Roman"/>
          <w:sz w:val="24"/>
          <w:szCs w:val="24"/>
        </w:rPr>
        <w:t xml:space="preserve">funkcjonowaniu podmiotów rynku finansowego, w tym naruszeniach przepisów </w:t>
      </w:r>
      <w:r w:rsidR="00251844" w:rsidRPr="00205E56">
        <w:rPr>
          <w:rFonts w:ascii="Times New Roman" w:hAnsi="Times New Roman" w:cs="Times New Roman"/>
          <w:sz w:val="24"/>
          <w:szCs w:val="24"/>
        </w:rPr>
        <w:t>ustawy</w:t>
      </w:r>
      <w:r w:rsidR="00F23395" w:rsidRPr="00205E56">
        <w:rPr>
          <w:rFonts w:ascii="Times New Roman" w:hAnsi="Times New Roman" w:cs="Times New Roman"/>
          <w:sz w:val="24"/>
          <w:szCs w:val="24"/>
        </w:rPr>
        <w:t>. Wprowadzenie nowej regulacji będzie więc oznaczało, że KNF będzie badała skargi w celu oceny prawidłowości działania podmiotu nadzorowanego i konieczności interwencji nadzorczej eliminującej negatywny wpływ podmiotu na rynek, w tym analizy zjawisk o znaczeniu systemowym. W tym celu KNF powinna posiadać informacje o wszystkich skargach składanych przez uczestników rynku finansowego. Natomiast rozpatrywaniem skarg indywidualnych w celu zadbania o indywidualny interes konsumencki, zgodnie z podziałem kompetencji, powinien zajmować się Rzecznik Finansowy.</w:t>
      </w:r>
    </w:p>
    <w:p w14:paraId="4B17C04E" w14:textId="0BADE6E7" w:rsidR="00115664" w:rsidRPr="00205E56" w:rsidRDefault="00115664"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1</w:t>
      </w:r>
      <w:r w:rsidR="00382760" w:rsidRPr="00205E56">
        <w:rPr>
          <w:rFonts w:ascii="Times New Roman" w:hAnsi="Times New Roman" w:cs="Times New Roman"/>
          <w:b/>
          <w:sz w:val="24"/>
          <w:szCs w:val="24"/>
        </w:rPr>
        <w:t>5</w:t>
      </w:r>
      <w:r w:rsidRPr="00205E56">
        <w:rPr>
          <w:rFonts w:ascii="Times New Roman" w:hAnsi="Times New Roman" w:cs="Times New Roman"/>
          <w:sz w:val="24"/>
          <w:szCs w:val="24"/>
        </w:rPr>
        <w:t xml:space="preserve"> wprowadza się zmiany w art. 17,</w:t>
      </w:r>
      <w:r w:rsidR="00AE1993" w:rsidRPr="00205E56">
        <w:rPr>
          <w:rFonts w:ascii="Times New Roman" w:hAnsi="Times New Roman" w:cs="Times New Roman"/>
          <w:sz w:val="24"/>
          <w:szCs w:val="24"/>
        </w:rPr>
        <w:t xml:space="preserve"> </w:t>
      </w:r>
      <w:r w:rsidR="004A52F1" w:rsidRPr="00205E56">
        <w:rPr>
          <w:rFonts w:ascii="Times New Roman" w:hAnsi="Times New Roman" w:cs="Times New Roman"/>
          <w:sz w:val="24"/>
          <w:szCs w:val="24"/>
        </w:rPr>
        <w:t xml:space="preserve">zgodnie z którymi dostawcy nie mogą pobierać od użytkownika opłat za dostarczanie lub udostępnianie informacji wymaganych na podstawie niniejszej ustawy. Na mocy ust. 2 dostawca i użytkownik </w:t>
      </w:r>
      <w:r w:rsidR="00251844" w:rsidRPr="00205E56">
        <w:rPr>
          <w:rFonts w:ascii="Times New Roman" w:hAnsi="Times New Roman" w:cs="Times New Roman"/>
          <w:sz w:val="24"/>
          <w:szCs w:val="24"/>
        </w:rPr>
        <w:t xml:space="preserve">będą </w:t>
      </w:r>
      <w:r w:rsidR="004A52F1" w:rsidRPr="00205E56">
        <w:rPr>
          <w:rFonts w:ascii="Times New Roman" w:hAnsi="Times New Roman" w:cs="Times New Roman"/>
          <w:sz w:val="24"/>
          <w:szCs w:val="24"/>
        </w:rPr>
        <w:t>mog</w:t>
      </w:r>
      <w:r w:rsidR="00251844" w:rsidRPr="00205E56">
        <w:rPr>
          <w:rFonts w:ascii="Times New Roman" w:hAnsi="Times New Roman" w:cs="Times New Roman"/>
          <w:sz w:val="24"/>
          <w:szCs w:val="24"/>
        </w:rPr>
        <w:t>li</w:t>
      </w:r>
      <w:r w:rsidR="004A52F1" w:rsidRPr="00205E56">
        <w:rPr>
          <w:rFonts w:ascii="Times New Roman" w:hAnsi="Times New Roman" w:cs="Times New Roman"/>
          <w:sz w:val="24"/>
          <w:szCs w:val="24"/>
        </w:rPr>
        <w:t xml:space="preserve"> uzgodnić opłaty za przekazywanie na wniosek użytkownika informacji innych niż wymagane na podstawie przepisów ustawy.</w:t>
      </w:r>
      <w:r w:rsidR="00D07BEB" w:rsidRPr="00205E56">
        <w:rPr>
          <w:rFonts w:ascii="Times New Roman" w:hAnsi="Times New Roman" w:cs="Times New Roman"/>
          <w:sz w:val="24"/>
          <w:szCs w:val="24"/>
        </w:rPr>
        <w:t xml:space="preserve"> </w:t>
      </w:r>
    </w:p>
    <w:p w14:paraId="69393B0A" w14:textId="297FEB9C" w:rsidR="00115664" w:rsidRPr="00205E56" w:rsidRDefault="00115664"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1</w:t>
      </w:r>
      <w:r w:rsidR="002A5C62" w:rsidRPr="00205E56">
        <w:rPr>
          <w:rFonts w:ascii="Times New Roman" w:hAnsi="Times New Roman" w:cs="Times New Roman"/>
          <w:b/>
          <w:sz w:val="24"/>
          <w:szCs w:val="24"/>
        </w:rPr>
        <w:t>6</w:t>
      </w:r>
      <w:r w:rsidR="00205E56" w:rsidRPr="00205E56">
        <w:rPr>
          <w:rFonts w:ascii="Times New Roman" w:hAnsi="Times New Roman" w:cs="Times New Roman"/>
          <w:sz w:val="24"/>
          <w:szCs w:val="24"/>
        </w:rPr>
        <w:t>–</w:t>
      </w:r>
      <w:r w:rsidR="00F742E3" w:rsidRPr="00205E56">
        <w:rPr>
          <w:rFonts w:ascii="Times New Roman" w:hAnsi="Times New Roman" w:cs="Times New Roman"/>
          <w:b/>
          <w:sz w:val="24"/>
          <w:szCs w:val="24"/>
        </w:rPr>
        <w:t>19</w:t>
      </w:r>
      <w:r w:rsidRPr="00205E56">
        <w:rPr>
          <w:rFonts w:ascii="Times New Roman" w:hAnsi="Times New Roman" w:cs="Times New Roman"/>
          <w:sz w:val="24"/>
          <w:szCs w:val="24"/>
        </w:rPr>
        <w:t xml:space="preserve"> </w:t>
      </w:r>
      <w:r w:rsidR="004B00A4" w:rsidRPr="00205E56">
        <w:rPr>
          <w:rFonts w:ascii="Times New Roman" w:hAnsi="Times New Roman" w:cs="Times New Roman"/>
          <w:sz w:val="24"/>
          <w:szCs w:val="24"/>
        </w:rPr>
        <w:t>wprowadza</w:t>
      </w:r>
      <w:r w:rsidR="008D6940" w:rsidRPr="00205E56">
        <w:rPr>
          <w:rFonts w:ascii="Times New Roman" w:hAnsi="Times New Roman" w:cs="Times New Roman"/>
          <w:sz w:val="24"/>
          <w:szCs w:val="24"/>
        </w:rPr>
        <w:t>ne są</w:t>
      </w:r>
      <w:r w:rsidR="004B00A4" w:rsidRPr="00205E56">
        <w:rPr>
          <w:rFonts w:ascii="Times New Roman" w:hAnsi="Times New Roman" w:cs="Times New Roman"/>
          <w:sz w:val="24"/>
          <w:szCs w:val="24"/>
        </w:rPr>
        <w:t xml:space="preserve"> zmiany redakcyjne.</w:t>
      </w:r>
    </w:p>
    <w:p w14:paraId="539ACC24" w14:textId="5D8AD9BD" w:rsidR="00115664" w:rsidRPr="00205E56" w:rsidRDefault="00115664"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8D6940" w:rsidRPr="00205E56">
        <w:rPr>
          <w:rFonts w:ascii="Times New Roman" w:hAnsi="Times New Roman" w:cs="Times New Roman"/>
          <w:b/>
          <w:sz w:val="24"/>
          <w:szCs w:val="24"/>
        </w:rPr>
        <w:t>2</w:t>
      </w:r>
      <w:r w:rsidR="002A5C62" w:rsidRPr="00205E56">
        <w:rPr>
          <w:rFonts w:ascii="Times New Roman" w:hAnsi="Times New Roman" w:cs="Times New Roman"/>
          <w:b/>
          <w:sz w:val="24"/>
          <w:szCs w:val="24"/>
        </w:rPr>
        <w:t>0</w:t>
      </w:r>
      <w:r w:rsidRPr="00205E56">
        <w:rPr>
          <w:rFonts w:ascii="Times New Roman" w:hAnsi="Times New Roman" w:cs="Times New Roman"/>
          <w:sz w:val="24"/>
          <w:szCs w:val="24"/>
        </w:rPr>
        <w:t xml:space="preserve"> dodaje się art. 20c,</w:t>
      </w:r>
      <w:r w:rsidR="004A52F1" w:rsidRPr="00205E56">
        <w:rPr>
          <w:rFonts w:ascii="Times New Roman" w:hAnsi="Times New Roman" w:cs="Times New Roman"/>
          <w:sz w:val="24"/>
          <w:szCs w:val="24"/>
        </w:rPr>
        <w:t xml:space="preserve"> zgodnie z którym strona oferująca płatnikowi usługę przeliczenia waluty przekazuje płatnikowi informacje dotyczące wszelkich opłat, jak również kurs walutowy, który ma być zastosowany przy przeliczaniu waluty transakcji płatniczej. Na podstawie tych informacji płatnik wyra</w:t>
      </w:r>
      <w:r w:rsidR="00251844" w:rsidRPr="00205E56">
        <w:rPr>
          <w:rFonts w:ascii="Times New Roman" w:hAnsi="Times New Roman" w:cs="Times New Roman"/>
          <w:sz w:val="24"/>
          <w:szCs w:val="24"/>
        </w:rPr>
        <w:t xml:space="preserve">zi </w:t>
      </w:r>
      <w:r w:rsidR="004A52F1" w:rsidRPr="00205E56">
        <w:rPr>
          <w:rFonts w:ascii="Times New Roman" w:hAnsi="Times New Roman" w:cs="Times New Roman"/>
          <w:sz w:val="24"/>
          <w:szCs w:val="24"/>
        </w:rPr>
        <w:t>zgodę na usługę przeliczenia waluty</w:t>
      </w:r>
      <w:r w:rsidR="003307D4">
        <w:rPr>
          <w:rFonts w:ascii="Times New Roman" w:hAnsi="Times New Roman" w:cs="Times New Roman"/>
          <w:sz w:val="24"/>
          <w:szCs w:val="24"/>
        </w:rPr>
        <w:t>.</w:t>
      </w:r>
    </w:p>
    <w:p w14:paraId="7496754A" w14:textId="32D00698" w:rsidR="00115664" w:rsidRPr="00205E56" w:rsidRDefault="00115664"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8D6940" w:rsidRPr="00205E56">
        <w:rPr>
          <w:rFonts w:ascii="Times New Roman" w:hAnsi="Times New Roman" w:cs="Times New Roman"/>
          <w:b/>
          <w:sz w:val="24"/>
          <w:szCs w:val="24"/>
        </w:rPr>
        <w:t>2</w:t>
      </w:r>
      <w:r w:rsidR="00B55D2B" w:rsidRPr="00205E56">
        <w:rPr>
          <w:rFonts w:ascii="Times New Roman" w:hAnsi="Times New Roman" w:cs="Times New Roman"/>
          <w:b/>
          <w:sz w:val="24"/>
          <w:szCs w:val="24"/>
        </w:rPr>
        <w:t>1</w:t>
      </w:r>
      <w:r w:rsidRPr="00205E56">
        <w:rPr>
          <w:rFonts w:ascii="Times New Roman" w:hAnsi="Times New Roman" w:cs="Times New Roman"/>
          <w:sz w:val="24"/>
          <w:szCs w:val="24"/>
        </w:rPr>
        <w:t xml:space="preserve"> wprowadza się zmiany w art. 22</w:t>
      </w:r>
      <w:r w:rsidR="008D6940" w:rsidRPr="00205E56">
        <w:rPr>
          <w:rFonts w:ascii="Times New Roman" w:hAnsi="Times New Roman" w:cs="Times New Roman"/>
          <w:sz w:val="24"/>
          <w:szCs w:val="24"/>
        </w:rPr>
        <w:t>.</w:t>
      </w:r>
      <w:r w:rsidR="00846093" w:rsidRPr="00205E56">
        <w:rPr>
          <w:rFonts w:ascii="Times New Roman" w:hAnsi="Times New Roman" w:cs="Times New Roman"/>
          <w:sz w:val="24"/>
          <w:szCs w:val="24"/>
        </w:rPr>
        <w:t xml:space="preserve"> </w:t>
      </w:r>
      <w:r w:rsidR="008D6940" w:rsidRPr="00205E56">
        <w:rPr>
          <w:rFonts w:ascii="Times New Roman" w:hAnsi="Times New Roman" w:cs="Times New Roman"/>
          <w:sz w:val="24"/>
          <w:szCs w:val="24"/>
        </w:rPr>
        <w:t xml:space="preserve">Dodawany </w:t>
      </w:r>
      <w:r w:rsidR="00846093" w:rsidRPr="00205E56">
        <w:rPr>
          <w:rFonts w:ascii="Times New Roman" w:hAnsi="Times New Roman" w:cs="Times New Roman"/>
          <w:sz w:val="24"/>
          <w:szCs w:val="24"/>
        </w:rPr>
        <w:t xml:space="preserve">ust. 2a nakłada na dostawcę świadczącego usługę inicjowania </w:t>
      </w:r>
      <w:r w:rsidR="008D6940" w:rsidRPr="00205E56">
        <w:rPr>
          <w:rFonts w:ascii="Times New Roman" w:hAnsi="Times New Roman" w:cs="Times New Roman"/>
          <w:sz w:val="24"/>
          <w:szCs w:val="24"/>
        </w:rPr>
        <w:t xml:space="preserve">transakcji płatniczej </w:t>
      </w:r>
      <w:r w:rsidR="00846093" w:rsidRPr="00205E56">
        <w:rPr>
          <w:rFonts w:ascii="Times New Roman" w:hAnsi="Times New Roman" w:cs="Times New Roman"/>
          <w:sz w:val="24"/>
          <w:szCs w:val="24"/>
        </w:rPr>
        <w:t>dostarczani</w:t>
      </w:r>
      <w:r w:rsidR="008D6940" w:rsidRPr="00205E56">
        <w:rPr>
          <w:rFonts w:ascii="Times New Roman" w:hAnsi="Times New Roman" w:cs="Times New Roman"/>
          <w:sz w:val="24"/>
          <w:szCs w:val="24"/>
        </w:rPr>
        <w:t>e</w:t>
      </w:r>
      <w:r w:rsidR="00846093" w:rsidRPr="00205E56">
        <w:rPr>
          <w:rFonts w:ascii="Times New Roman" w:hAnsi="Times New Roman" w:cs="Times New Roman"/>
          <w:sz w:val="24"/>
          <w:szCs w:val="24"/>
        </w:rPr>
        <w:t xml:space="preserve"> lub udostępniani</w:t>
      </w:r>
      <w:r w:rsidR="008D6940" w:rsidRPr="00205E56">
        <w:rPr>
          <w:rFonts w:ascii="Times New Roman" w:hAnsi="Times New Roman" w:cs="Times New Roman"/>
          <w:sz w:val="24"/>
          <w:szCs w:val="24"/>
        </w:rPr>
        <w:t>e</w:t>
      </w:r>
      <w:r w:rsidR="00846093" w:rsidRPr="00205E56">
        <w:rPr>
          <w:rFonts w:ascii="Times New Roman" w:hAnsi="Times New Roman" w:cs="Times New Roman"/>
          <w:sz w:val="24"/>
          <w:szCs w:val="24"/>
        </w:rPr>
        <w:t xml:space="preserve"> użytkownikowi informacji określonych w art. 23 ust.</w:t>
      </w:r>
      <w:r w:rsidR="003307D4">
        <w:rPr>
          <w:rFonts w:ascii="Times New Roman" w:hAnsi="Times New Roman" w:cs="Times New Roman"/>
          <w:sz w:val="24"/>
          <w:szCs w:val="24"/>
        </w:rPr>
        <w:t xml:space="preserve"> </w:t>
      </w:r>
      <w:r w:rsidR="00846093" w:rsidRPr="00205E56">
        <w:rPr>
          <w:rFonts w:ascii="Times New Roman" w:hAnsi="Times New Roman" w:cs="Times New Roman"/>
          <w:sz w:val="24"/>
          <w:szCs w:val="24"/>
        </w:rPr>
        <w:t xml:space="preserve">1a. </w:t>
      </w:r>
    </w:p>
    <w:p w14:paraId="4B1E8D85" w14:textId="020991A1" w:rsidR="00115664" w:rsidRPr="00205E56" w:rsidRDefault="00115664"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8D6940" w:rsidRPr="00205E56">
        <w:rPr>
          <w:rFonts w:ascii="Times New Roman" w:hAnsi="Times New Roman" w:cs="Times New Roman"/>
          <w:b/>
          <w:sz w:val="24"/>
          <w:szCs w:val="24"/>
        </w:rPr>
        <w:t>2</w:t>
      </w:r>
      <w:r w:rsidR="00B55D2B" w:rsidRPr="00205E56">
        <w:rPr>
          <w:rFonts w:ascii="Times New Roman" w:hAnsi="Times New Roman" w:cs="Times New Roman"/>
          <w:b/>
          <w:sz w:val="24"/>
          <w:szCs w:val="24"/>
        </w:rPr>
        <w:t>2</w:t>
      </w:r>
      <w:r w:rsidRPr="00205E56">
        <w:rPr>
          <w:rFonts w:ascii="Times New Roman" w:hAnsi="Times New Roman" w:cs="Times New Roman"/>
          <w:sz w:val="24"/>
          <w:szCs w:val="24"/>
        </w:rPr>
        <w:t xml:space="preserve"> wprowadza się zmiany w art. 23,</w:t>
      </w:r>
      <w:r w:rsidR="00846093" w:rsidRPr="00205E56">
        <w:rPr>
          <w:rFonts w:ascii="Times New Roman" w:hAnsi="Times New Roman" w:cs="Times New Roman"/>
          <w:sz w:val="24"/>
          <w:szCs w:val="24"/>
        </w:rPr>
        <w:t xml:space="preserve"> </w:t>
      </w:r>
      <w:r w:rsidR="00251844" w:rsidRPr="00205E56">
        <w:rPr>
          <w:rFonts w:ascii="Times New Roman" w:hAnsi="Times New Roman" w:cs="Times New Roman"/>
          <w:sz w:val="24"/>
          <w:szCs w:val="24"/>
        </w:rPr>
        <w:t xml:space="preserve">które </w:t>
      </w:r>
      <w:r w:rsidR="00846093" w:rsidRPr="00205E56">
        <w:rPr>
          <w:rFonts w:ascii="Times New Roman" w:hAnsi="Times New Roman" w:cs="Times New Roman"/>
          <w:sz w:val="24"/>
          <w:szCs w:val="24"/>
        </w:rPr>
        <w:t>określ</w:t>
      </w:r>
      <w:r w:rsidR="00251844" w:rsidRPr="00205E56">
        <w:rPr>
          <w:rFonts w:ascii="Times New Roman" w:hAnsi="Times New Roman" w:cs="Times New Roman"/>
          <w:sz w:val="24"/>
          <w:szCs w:val="24"/>
        </w:rPr>
        <w:t xml:space="preserve">ą, </w:t>
      </w:r>
      <w:r w:rsidR="00846093" w:rsidRPr="00205E56">
        <w:rPr>
          <w:rFonts w:ascii="Times New Roman" w:hAnsi="Times New Roman" w:cs="Times New Roman"/>
          <w:sz w:val="24"/>
          <w:szCs w:val="24"/>
        </w:rPr>
        <w:t xml:space="preserve">jakie informacje dostawca świadczący usługę inicjowania płatności jest dodatkowo zobowiązany dostarczyć lub udostępnić użytkownikowi. </w:t>
      </w:r>
    </w:p>
    <w:p w14:paraId="10C9A14F" w14:textId="4424744D" w:rsidR="006A20A1" w:rsidRPr="00205E56" w:rsidRDefault="006A20A1"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2</w:t>
      </w:r>
      <w:r w:rsidR="00B55D2B" w:rsidRPr="00205E56">
        <w:rPr>
          <w:rFonts w:ascii="Times New Roman" w:hAnsi="Times New Roman" w:cs="Times New Roman"/>
          <w:b/>
          <w:sz w:val="24"/>
          <w:szCs w:val="24"/>
        </w:rPr>
        <w:t>3</w:t>
      </w:r>
      <w:r w:rsidR="002B779D" w:rsidRPr="00205E56">
        <w:rPr>
          <w:rFonts w:ascii="Times New Roman" w:hAnsi="Times New Roman" w:cs="Times New Roman"/>
          <w:b/>
          <w:sz w:val="24"/>
          <w:szCs w:val="24"/>
        </w:rPr>
        <w:t xml:space="preserve"> i</w:t>
      </w:r>
      <w:r w:rsidRPr="00205E56">
        <w:rPr>
          <w:rFonts w:ascii="Times New Roman" w:hAnsi="Times New Roman" w:cs="Times New Roman"/>
          <w:b/>
          <w:sz w:val="24"/>
          <w:szCs w:val="24"/>
        </w:rPr>
        <w:t xml:space="preserve"> 2</w:t>
      </w:r>
      <w:r w:rsidR="00B55D2B" w:rsidRPr="00205E56">
        <w:rPr>
          <w:rFonts w:ascii="Times New Roman" w:hAnsi="Times New Roman" w:cs="Times New Roman"/>
          <w:b/>
          <w:sz w:val="24"/>
          <w:szCs w:val="24"/>
        </w:rPr>
        <w:t>4</w:t>
      </w:r>
      <w:r w:rsidRPr="00205E56">
        <w:rPr>
          <w:rFonts w:ascii="Times New Roman" w:hAnsi="Times New Roman" w:cs="Times New Roman"/>
          <w:sz w:val="24"/>
          <w:szCs w:val="24"/>
        </w:rPr>
        <w:t xml:space="preserve"> </w:t>
      </w:r>
      <w:r w:rsidR="002B779D" w:rsidRPr="00205E56">
        <w:rPr>
          <w:rFonts w:ascii="Times New Roman" w:hAnsi="Times New Roman" w:cs="Times New Roman"/>
          <w:sz w:val="24"/>
          <w:szCs w:val="24"/>
        </w:rPr>
        <w:t>wprowadzane są zmiany redakcyjne.</w:t>
      </w:r>
    </w:p>
    <w:p w14:paraId="69BB1AFE" w14:textId="615CD36F" w:rsidR="008E7A8E" w:rsidRDefault="00115664"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2</w:t>
      </w:r>
      <w:r w:rsidR="00B55D2B" w:rsidRPr="00205E56">
        <w:rPr>
          <w:rFonts w:ascii="Times New Roman" w:hAnsi="Times New Roman" w:cs="Times New Roman"/>
          <w:b/>
          <w:sz w:val="24"/>
          <w:szCs w:val="24"/>
        </w:rPr>
        <w:t>5</w:t>
      </w:r>
      <w:r w:rsidR="00205E56" w:rsidRPr="00205E56">
        <w:rPr>
          <w:rFonts w:ascii="Times New Roman" w:hAnsi="Times New Roman" w:cs="Times New Roman"/>
          <w:b/>
          <w:sz w:val="24"/>
          <w:szCs w:val="24"/>
        </w:rPr>
        <w:t>–</w:t>
      </w:r>
      <w:r w:rsidR="001D3336" w:rsidRPr="00205E56">
        <w:rPr>
          <w:rFonts w:ascii="Times New Roman" w:hAnsi="Times New Roman" w:cs="Times New Roman"/>
          <w:b/>
          <w:sz w:val="24"/>
          <w:szCs w:val="24"/>
        </w:rPr>
        <w:t>3</w:t>
      </w:r>
      <w:r w:rsidR="00EE2835" w:rsidRPr="00205E56">
        <w:rPr>
          <w:rFonts w:ascii="Times New Roman" w:hAnsi="Times New Roman" w:cs="Times New Roman"/>
          <w:b/>
          <w:sz w:val="24"/>
          <w:szCs w:val="24"/>
        </w:rPr>
        <w:t>1</w:t>
      </w:r>
      <w:r w:rsidRPr="00205E56">
        <w:rPr>
          <w:rFonts w:ascii="Times New Roman" w:hAnsi="Times New Roman" w:cs="Times New Roman"/>
          <w:sz w:val="24"/>
          <w:szCs w:val="24"/>
        </w:rPr>
        <w:t xml:space="preserve"> wprowadza się zmiany w </w:t>
      </w:r>
      <w:r w:rsidR="00251844" w:rsidRPr="00205E56">
        <w:rPr>
          <w:rFonts w:ascii="Times New Roman" w:hAnsi="Times New Roman" w:cs="Times New Roman"/>
          <w:sz w:val="24"/>
          <w:szCs w:val="24"/>
        </w:rPr>
        <w:t xml:space="preserve">przepisach </w:t>
      </w:r>
      <w:r w:rsidR="00E841E6" w:rsidRPr="00205E56">
        <w:rPr>
          <w:rFonts w:ascii="Times New Roman" w:hAnsi="Times New Roman" w:cs="Times New Roman"/>
          <w:sz w:val="24"/>
          <w:szCs w:val="24"/>
        </w:rPr>
        <w:t>określa</w:t>
      </w:r>
      <w:r w:rsidR="001D3336" w:rsidRPr="00205E56">
        <w:rPr>
          <w:rFonts w:ascii="Times New Roman" w:hAnsi="Times New Roman" w:cs="Times New Roman"/>
          <w:sz w:val="24"/>
          <w:szCs w:val="24"/>
        </w:rPr>
        <w:t>jących</w:t>
      </w:r>
      <w:r w:rsidR="00251844" w:rsidRPr="00205E56">
        <w:rPr>
          <w:rFonts w:ascii="Times New Roman" w:hAnsi="Times New Roman" w:cs="Times New Roman"/>
          <w:sz w:val="24"/>
          <w:szCs w:val="24"/>
        </w:rPr>
        <w:t>,</w:t>
      </w:r>
      <w:r w:rsidR="00E841E6" w:rsidRPr="00205E56">
        <w:rPr>
          <w:rFonts w:ascii="Times New Roman" w:hAnsi="Times New Roman" w:cs="Times New Roman"/>
          <w:sz w:val="24"/>
          <w:szCs w:val="24"/>
        </w:rPr>
        <w:t xml:space="preserve"> jakie informacje dostawca powinien przekazać użytkownikowi w ramach zawartej mi</w:t>
      </w:r>
      <w:r w:rsidR="003307D4">
        <w:rPr>
          <w:rFonts w:ascii="Times New Roman" w:hAnsi="Times New Roman" w:cs="Times New Roman"/>
          <w:sz w:val="24"/>
          <w:szCs w:val="24"/>
        </w:rPr>
        <w:t>ę</w:t>
      </w:r>
      <w:r w:rsidR="00E841E6" w:rsidRPr="00205E56">
        <w:rPr>
          <w:rFonts w:ascii="Times New Roman" w:hAnsi="Times New Roman" w:cs="Times New Roman"/>
          <w:sz w:val="24"/>
          <w:szCs w:val="24"/>
        </w:rPr>
        <w:t xml:space="preserve">dzy nimi umowy </w:t>
      </w:r>
      <w:r w:rsidR="00E841E6" w:rsidRPr="00205E56">
        <w:rPr>
          <w:rFonts w:ascii="Times New Roman" w:hAnsi="Times New Roman" w:cs="Times New Roman"/>
          <w:sz w:val="24"/>
          <w:szCs w:val="24"/>
        </w:rPr>
        <w:lastRenderedPageBreak/>
        <w:t xml:space="preserve">ramowej. Zmiany dotyczą </w:t>
      </w:r>
      <w:r w:rsidR="001E1EB6" w:rsidRPr="00205E56">
        <w:rPr>
          <w:rFonts w:ascii="Times New Roman" w:hAnsi="Times New Roman" w:cs="Times New Roman"/>
          <w:sz w:val="24"/>
          <w:szCs w:val="24"/>
        </w:rPr>
        <w:t xml:space="preserve">informacji dotyczących korzystania z </w:t>
      </w:r>
      <w:r w:rsidR="00E841E6" w:rsidRPr="00205E56">
        <w:rPr>
          <w:rFonts w:ascii="Times New Roman" w:hAnsi="Times New Roman" w:cs="Times New Roman"/>
          <w:sz w:val="24"/>
          <w:szCs w:val="24"/>
        </w:rPr>
        <w:t xml:space="preserve">usługi zainicjowania zlecenia płatniczego oraz usługi „co – </w:t>
      </w:r>
      <w:proofErr w:type="spellStart"/>
      <w:r w:rsidR="00E841E6" w:rsidRPr="00205E56">
        <w:rPr>
          <w:rFonts w:ascii="Times New Roman" w:hAnsi="Times New Roman" w:cs="Times New Roman"/>
          <w:sz w:val="24"/>
          <w:szCs w:val="24"/>
        </w:rPr>
        <w:t>badgingu</w:t>
      </w:r>
      <w:proofErr w:type="spellEnd"/>
      <w:r w:rsidR="00E841E6" w:rsidRPr="00205E56">
        <w:rPr>
          <w:rFonts w:ascii="Times New Roman" w:hAnsi="Times New Roman" w:cs="Times New Roman"/>
          <w:sz w:val="24"/>
          <w:szCs w:val="24"/>
        </w:rPr>
        <w:t>”</w:t>
      </w:r>
      <w:r w:rsidR="001E1EB6" w:rsidRPr="00205E56">
        <w:rPr>
          <w:rFonts w:ascii="Times New Roman" w:hAnsi="Times New Roman" w:cs="Times New Roman"/>
          <w:sz w:val="24"/>
          <w:szCs w:val="24"/>
        </w:rPr>
        <w:t>.</w:t>
      </w:r>
      <w:r w:rsidR="00D07BEB" w:rsidRPr="00205E56">
        <w:rPr>
          <w:rFonts w:ascii="Times New Roman" w:hAnsi="Times New Roman" w:cs="Times New Roman"/>
          <w:sz w:val="24"/>
          <w:szCs w:val="24"/>
        </w:rPr>
        <w:t xml:space="preserve"> </w:t>
      </w:r>
      <w:r w:rsidR="00832F04" w:rsidRPr="00205E56">
        <w:rPr>
          <w:rFonts w:ascii="Times New Roman" w:hAnsi="Times New Roman" w:cs="Times New Roman"/>
          <w:sz w:val="24"/>
          <w:szCs w:val="24"/>
        </w:rPr>
        <w:t>Inte</w:t>
      </w:r>
      <w:r w:rsidR="001525DC">
        <w:rPr>
          <w:rFonts w:ascii="Times New Roman" w:hAnsi="Times New Roman" w:cs="Times New Roman"/>
          <w:sz w:val="24"/>
          <w:szCs w:val="24"/>
        </w:rPr>
        <w:t>rpretacja zmiany wprowadzanej w </w:t>
      </w:r>
      <w:r w:rsidR="00832F04" w:rsidRPr="00205E56">
        <w:rPr>
          <w:rFonts w:ascii="Times New Roman" w:hAnsi="Times New Roman" w:cs="Times New Roman"/>
          <w:sz w:val="24"/>
          <w:szCs w:val="24"/>
        </w:rPr>
        <w:t xml:space="preserve">art. 26 ust. 1, jest taka, że sposób, w jaki dostawca usług płatniczych przekazuje wymagane informacje użytkownikowi usług płatniczych, powinien uwzględniać potrzeby tego ostatniego, jak również praktyczne aspekty techniczne i efektywność pod względem kosztów, w zależności od sytuacji wynikającej z uzgodnień w odpowiedniej umowie o usługę płatniczą. W praktyce powinno to oznaczać </w:t>
      </w:r>
      <w:r w:rsidR="00832F04" w:rsidRPr="0027254D">
        <w:rPr>
          <w:rFonts w:ascii="Times New Roman" w:hAnsi="Times New Roman" w:cs="Times New Roman"/>
          <w:i/>
          <w:sz w:val="24"/>
          <w:szCs w:val="24"/>
        </w:rPr>
        <w:t>de facto</w:t>
      </w:r>
      <w:r w:rsidR="00832F04" w:rsidRPr="00205E56">
        <w:rPr>
          <w:rFonts w:ascii="Times New Roman" w:hAnsi="Times New Roman" w:cs="Times New Roman"/>
          <w:sz w:val="24"/>
          <w:szCs w:val="24"/>
        </w:rPr>
        <w:t xml:space="preserve"> każdorazowo uzgodnienie (wybór) między użytkownikiem a dostawcą sposobu przekazania informacji, spośród kanałów określonych przez ustawę – postaci papierowej lub innego trwałego nośnika, takiego jak wydruki z drukarek wyciągów, płyty CD-ROM, DVD, twarde dyski komputerów osobistych, które umożliwiają przechowywanie poczty elektronicznej, oraz strony internetowe, o ile strony tak</w:t>
      </w:r>
      <w:r w:rsidR="001525DC">
        <w:rPr>
          <w:rFonts w:ascii="Times New Roman" w:hAnsi="Times New Roman" w:cs="Times New Roman"/>
          <w:sz w:val="24"/>
          <w:szCs w:val="24"/>
        </w:rPr>
        <w:t>ie umożliwiają dostęp do nich w </w:t>
      </w:r>
      <w:r w:rsidR="00832F04" w:rsidRPr="00205E56">
        <w:rPr>
          <w:rFonts w:ascii="Times New Roman" w:hAnsi="Times New Roman" w:cs="Times New Roman"/>
          <w:sz w:val="24"/>
          <w:szCs w:val="24"/>
        </w:rPr>
        <w:t>przyszłości przez wystarczający okres do celów dostępu do tych informacji i pod warunkiem, że strony te umożliwiają odtworzen</w:t>
      </w:r>
      <w:r w:rsidR="001525DC">
        <w:rPr>
          <w:rFonts w:ascii="Times New Roman" w:hAnsi="Times New Roman" w:cs="Times New Roman"/>
          <w:sz w:val="24"/>
          <w:szCs w:val="24"/>
        </w:rPr>
        <w:t>ie przechowywanych informacji w </w:t>
      </w:r>
      <w:r w:rsidR="00832F04" w:rsidRPr="00205E56">
        <w:rPr>
          <w:rFonts w:ascii="Times New Roman" w:hAnsi="Times New Roman" w:cs="Times New Roman"/>
          <w:sz w:val="24"/>
          <w:szCs w:val="24"/>
        </w:rPr>
        <w:t xml:space="preserve">niezmienionej postaci. </w:t>
      </w:r>
      <w:r w:rsidR="008E7A8E" w:rsidRPr="00205E56">
        <w:rPr>
          <w:rFonts w:ascii="Times New Roman" w:hAnsi="Times New Roman" w:cs="Times New Roman"/>
          <w:sz w:val="24"/>
          <w:szCs w:val="24"/>
        </w:rPr>
        <w:t>W świetle orzecznictwa TSUE</w:t>
      </w:r>
      <w:r w:rsidR="008E7A8E" w:rsidRPr="00205E56">
        <w:rPr>
          <w:rStyle w:val="Odwoanieprzypisudolnego"/>
          <w:rFonts w:ascii="Times New Roman" w:hAnsi="Times New Roman" w:cs="Times New Roman"/>
          <w:sz w:val="24"/>
          <w:szCs w:val="24"/>
        </w:rPr>
        <w:footnoteReference w:id="1"/>
      </w:r>
      <w:r w:rsidR="00D14A5F">
        <w:rPr>
          <w:rFonts w:ascii="Times New Roman" w:hAnsi="Times New Roman" w:cs="Times New Roman"/>
          <w:sz w:val="24"/>
          <w:szCs w:val="24"/>
          <w:vertAlign w:val="superscript"/>
        </w:rPr>
        <w:t>)</w:t>
      </w:r>
      <w:r w:rsidR="008E7A8E" w:rsidRPr="00205E56">
        <w:rPr>
          <w:rFonts w:ascii="Times New Roman" w:hAnsi="Times New Roman" w:cs="Times New Roman"/>
          <w:sz w:val="24"/>
          <w:szCs w:val="24"/>
        </w:rPr>
        <w:t xml:space="preserve"> i orzecznictwa Prezesa UOKIK</w:t>
      </w:r>
      <w:r w:rsidR="008E7A8E" w:rsidRPr="00205E56">
        <w:rPr>
          <w:rFonts w:ascii="Times New Roman" w:eastAsia="Calibri" w:hAnsi="Times New Roman" w:cs="Times New Roman"/>
          <w:sz w:val="24"/>
          <w:szCs w:val="24"/>
          <w:vertAlign w:val="superscript"/>
        </w:rPr>
        <w:footnoteReference w:id="2"/>
      </w:r>
      <w:r w:rsidR="00D14A5F">
        <w:rPr>
          <w:rFonts w:ascii="Times New Roman" w:hAnsi="Times New Roman" w:cs="Times New Roman"/>
          <w:sz w:val="24"/>
          <w:szCs w:val="24"/>
          <w:vertAlign w:val="superscript"/>
        </w:rPr>
        <w:t>)</w:t>
      </w:r>
      <w:r w:rsidR="008E7A8E" w:rsidRPr="00205E56">
        <w:rPr>
          <w:rFonts w:ascii="Times New Roman" w:hAnsi="Times New Roman" w:cs="Times New Roman"/>
          <w:sz w:val="24"/>
          <w:szCs w:val="24"/>
        </w:rPr>
        <w:t xml:space="preserve">, bankowość elektroniczna i skrzynka pocztowa funkcjonująca w jej ramach nie stanowi trwałego nośnika. Zmiany w projektowanym art. 26 ust. 1 nie powinny prowadzić do zmiany takiej wykładni przepisów, gdyż zapewnia odpowiedni poziom ochrony użytkownikom. </w:t>
      </w:r>
    </w:p>
    <w:p w14:paraId="4A077DFB" w14:textId="0920F546" w:rsidR="008E7A8E" w:rsidRDefault="008E7A8E" w:rsidP="00EF543B">
      <w:pPr>
        <w:spacing w:before="240" w:after="0" w:line="360" w:lineRule="auto"/>
        <w:jc w:val="both"/>
        <w:rPr>
          <w:rFonts w:ascii="Times New Roman" w:hAnsi="Times New Roman" w:cs="Times New Roman"/>
          <w:i/>
          <w:sz w:val="24"/>
          <w:szCs w:val="24"/>
        </w:rPr>
      </w:pPr>
      <w:r w:rsidRPr="00205E56">
        <w:rPr>
          <w:rFonts w:ascii="Times New Roman" w:hAnsi="Times New Roman" w:cs="Times New Roman"/>
          <w:sz w:val="24"/>
          <w:szCs w:val="24"/>
        </w:rPr>
        <w:t xml:space="preserve">W tym kontekście warto też dodać, że zgodnie z motywem 57 </w:t>
      </w:r>
      <w:proofErr w:type="spellStart"/>
      <w:r w:rsidRPr="00205E56">
        <w:rPr>
          <w:rFonts w:ascii="Times New Roman" w:hAnsi="Times New Roman" w:cs="Times New Roman"/>
          <w:sz w:val="24"/>
          <w:szCs w:val="24"/>
        </w:rPr>
        <w:t>zd</w:t>
      </w:r>
      <w:proofErr w:type="spellEnd"/>
      <w:r w:rsidRPr="00205E56">
        <w:rPr>
          <w:rFonts w:ascii="Times New Roman" w:hAnsi="Times New Roman" w:cs="Times New Roman"/>
          <w:sz w:val="24"/>
          <w:szCs w:val="24"/>
        </w:rPr>
        <w:t>. 3 preambuły dyrektywy</w:t>
      </w:r>
      <w:r w:rsidR="00EF543B" w:rsidRPr="00EF543B">
        <w:rPr>
          <w:rFonts w:ascii="Times New Roman" w:hAnsi="Times New Roman" w:cs="Times New Roman"/>
          <w:sz w:val="24"/>
          <w:szCs w:val="24"/>
        </w:rPr>
        <w:t xml:space="preserve"> </w:t>
      </w:r>
      <w:r w:rsidR="00EF543B">
        <w:rPr>
          <w:rFonts w:ascii="Times New Roman" w:hAnsi="Times New Roman" w:cs="Times New Roman"/>
          <w:sz w:val="24"/>
          <w:szCs w:val="24"/>
        </w:rPr>
        <w:t>PSD 2</w:t>
      </w:r>
      <w:r w:rsidRPr="00205E56">
        <w:rPr>
          <w:rFonts w:ascii="Times New Roman" w:hAnsi="Times New Roman" w:cs="Times New Roman"/>
          <w:sz w:val="24"/>
          <w:szCs w:val="24"/>
        </w:rPr>
        <w:t xml:space="preserve">: </w:t>
      </w:r>
      <w:r w:rsidRPr="00205E56">
        <w:rPr>
          <w:rFonts w:ascii="Times New Roman" w:hAnsi="Times New Roman" w:cs="Times New Roman"/>
          <w:i/>
          <w:sz w:val="24"/>
          <w:szCs w:val="24"/>
        </w:rPr>
        <w:t>„Wymogi dotyczące informacji wstępnych o umowach ramowych powinny być zatem wszechstronne, a informacje p</w:t>
      </w:r>
      <w:r w:rsidR="001525DC">
        <w:rPr>
          <w:rFonts w:ascii="Times New Roman" w:hAnsi="Times New Roman" w:cs="Times New Roman"/>
          <w:i/>
          <w:sz w:val="24"/>
          <w:szCs w:val="24"/>
        </w:rPr>
        <w:t>owinny być zawsze dostarczane w </w:t>
      </w:r>
      <w:r w:rsidRPr="00205E56">
        <w:rPr>
          <w:rFonts w:ascii="Times New Roman" w:hAnsi="Times New Roman" w:cs="Times New Roman"/>
          <w:i/>
          <w:sz w:val="24"/>
          <w:szCs w:val="24"/>
        </w:rPr>
        <w:t xml:space="preserve">formie papierowej lub na innym trwałym nośniku </w:t>
      </w:r>
      <w:r w:rsidR="001525DC">
        <w:rPr>
          <w:rFonts w:ascii="Times New Roman" w:hAnsi="Times New Roman" w:cs="Times New Roman"/>
          <w:i/>
          <w:sz w:val="24"/>
          <w:szCs w:val="24"/>
        </w:rPr>
        <w:t>informacji, takim jak wydruki z </w:t>
      </w:r>
      <w:r w:rsidRPr="00205E56">
        <w:rPr>
          <w:rFonts w:ascii="Times New Roman" w:hAnsi="Times New Roman" w:cs="Times New Roman"/>
          <w:i/>
          <w:sz w:val="24"/>
          <w:szCs w:val="24"/>
        </w:rPr>
        <w:t>drukarek wyciągów, płyty CD-ROM, DVD, twarde dyski komputerów osobistych, które umożliwiają przechowywanie poczty elektronicznej, oraz strony internetowe, o ile strony takie umożliwiają dostęp do nich w przyszłości przez wystarczający okres do celów dostępu do tych informacji i pod warunkiem że strony te umożliwiają odtworzenie przechowywanych informacji w niezmienionej postaci”.</w:t>
      </w:r>
    </w:p>
    <w:p w14:paraId="248F88DB" w14:textId="77777777" w:rsidR="00EF543B" w:rsidRPr="00205E56" w:rsidRDefault="00EF543B" w:rsidP="00D14A5F">
      <w:pPr>
        <w:spacing w:before="120" w:after="0" w:line="360" w:lineRule="auto"/>
        <w:jc w:val="both"/>
        <w:rPr>
          <w:rFonts w:ascii="Times New Roman" w:hAnsi="Times New Roman" w:cs="Times New Roman"/>
          <w:i/>
          <w:sz w:val="24"/>
          <w:szCs w:val="24"/>
        </w:rPr>
      </w:pPr>
    </w:p>
    <w:p w14:paraId="223E0B60" w14:textId="542F9FEE" w:rsidR="0049202B" w:rsidRPr="00205E56" w:rsidRDefault="008E7A8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lastRenderedPageBreak/>
        <w:t xml:space="preserve">W motywie tym mowa jest o twardych dyskach komputerów osobistych, które mogą przechowywać pocztę elektroniczną, co sugeruje, że poczta </w:t>
      </w:r>
      <w:r w:rsidR="00980432">
        <w:rPr>
          <w:rFonts w:ascii="Times New Roman" w:hAnsi="Times New Roman" w:cs="Times New Roman"/>
          <w:sz w:val="24"/>
          <w:szCs w:val="24"/>
        </w:rPr>
        <w:t xml:space="preserve">ta </w:t>
      </w:r>
      <w:r w:rsidRPr="00205E56">
        <w:rPr>
          <w:rFonts w:ascii="Times New Roman" w:hAnsi="Times New Roman" w:cs="Times New Roman"/>
          <w:sz w:val="24"/>
          <w:szCs w:val="24"/>
        </w:rPr>
        <w:t xml:space="preserve">nie stanowi trwałego nośnika. </w:t>
      </w:r>
      <w:r w:rsidR="00251844" w:rsidRPr="00205E56">
        <w:rPr>
          <w:rFonts w:ascii="Times New Roman" w:hAnsi="Times New Roman" w:cs="Times New Roman"/>
          <w:sz w:val="24"/>
          <w:szCs w:val="24"/>
        </w:rPr>
        <w:t>Zmiana w a</w:t>
      </w:r>
      <w:r w:rsidR="0049202B" w:rsidRPr="00205E56">
        <w:rPr>
          <w:rFonts w:ascii="Times New Roman" w:hAnsi="Times New Roman" w:cs="Times New Roman"/>
          <w:sz w:val="24"/>
          <w:szCs w:val="24"/>
        </w:rPr>
        <w:t xml:space="preserve">rt. 28 </w:t>
      </w:r>
      <w:r w:rsidR="003E491B" w:rsidRPr="00205E56">
        <w:rPr>
          <w:rFonts w:ascii="Times New Roman" w:hAnsi="Times New Roman" w:cs="Times New Roman"/>
          <w:sz w:val="24"/>
          <w:szCs w:val="24"/>
        </w:rPr>
        <w:t>powinna być interpretowana analogicznie</w:t>
      </w:r>
      <w:r w:rsidR="00251844" w:rsidRPr="00205E56">
        <w:rPr>
          <w:rFonts w:ascii="Times New Roman" w:hAnsi="Times New Roman" w:cs="Times New Roman"/>
          <w:sz w:val="24"/>
          <w:szCs w:val="24"/>
        </w:rPr>
        <w:t xml:space="preserve"> </w:t>
      </w:r>
      <w:r w:rsidR="0049202B" w:rsidRPr="00205E56">
        <w:rPr>
          <w:rFonts w:ascii="Times New Roman" w:hAnsi="Times New Roman" w:cs="Times New Roman"/>
          <w:sz w:val="24"/>
          <w:szCs w:val="24"/>
        </w:rPr>
        <w:t xml:space="preserve">do </w:t>
      </w:r>
      <w:r w:rsidR="003E491B" w:rsidRPr="00205E56">
        <w:rPr>
          <w:rFonts w:ascii="Times New Roman" w:hAnsi="Times New Roman" w:cs="Times New Roman"/>
          <w:sz w:val="24"/>
          <w:szCs w:val="24"/>
        </w:rPr>
        <w:t xml:space="preserve">powyżej opisanej </w:t>
      </w:r>
      <w:r w:rsidR="0049202B" w:rsidRPr="00205E56">
        <w:rPr>
          <w:rFonts w:ascii="Times New Roman" w:hAnsi="Times New Roman" w:cs="Times New Roman"/>
          <w:sz w:val="24"/>
          <w:szCs w:val="24"/>
        </w:rPr>
        <w:t>zmiany w art. 26 ust. 1.</w:t>
      </w:r>
      <w:r w:rsidR="00F74C85" w:rsidRPr="00205E56">
        <w:rPr>
          <w:rFonts w:ascii="Times New Roman" w:hAnsi="Times New Roman" w:cs="Times New Roman"/>
          <w:sz w:val="24"/>
          <w:szCs w:val="24"/>
        </w:rPr>
        <w:t xml:space="preserve"> </w:t>
      </w:r>
      <w:r w:rsidR="00EE2835" w:rsidRPr="00205E56">
        <w:rPr>
          <w:rFonts w:ascii="Times New Roman" w:hAnsi="Times New Roman" w:cs="Times New Roman"/>
          <w:sz w:val="24"/>
          <w:szCs w:val="24"/>
        </w:rPr>
        <w:t xml:space="preserve">Zmiana w art. 30 </w:t>
      </w:r>
      <w:r w:rsidR="006B03F8" w:rsidRPr="00205E56">
        <w:rPr>
          <w:rFonts w:ascii="Times New Roman" w:hAnsi="Times New Roman" w:cs="Times New Roman"/>
          <w:sz w:val="24"/>
          <w:szCs w:val="24"/>
        </w:rPr>
        <w:t xml:space="preserve">(pkt 29 projektu) ma charakter redakcyjny i związana jest z wprowadzonym w art. 5 ust. 3 i 3a odwołaniem do art. 30 pkt 1. </w:t>
      </w:r>
      <w:r w:rsidR="00251844" w:rsidRPr="00205E56">
        <w:rPr>
          <w:rFonts w:ascii="Times New Roman" w:hAnsi="Times New Roman" w:cs="Times New Roman"/>
          <w:sz w:val="24"/>
          <w:szCs w:val="24"/>
        </w:rPr>
        <w:t xml:space="preserve">Zmiana w art. </w:t>
      </w:r>
      <w:r w:rsidR="00F74C85" w:rsidRPr="00205E56">
        <w:rPr>
          <w:rFonts w:ascii="Times New Roman" w:hAnsi="Times New Roman" w:cs="Times New Roman"/>
          <w:sz w:val="24"/>
          <w:szCs w:val="24"/>
        </w:rPr>
        <w:t xml:space="preserve">31 </w:t>
      </w:r>
      <w:r w:rsidR="00251844" w:rsidRPr="00205E56">
        <w:rPr>
          <w:rFonts w:ascii="Times New Roman" w:hAnsi="Times New Roman" w:cs="Times New Roman"/>
          <w:sz w:val="24"/>
          <w:szCs w:val="24"/>
        </w:rPr>
        <w:t>przewiduje</w:t>
      </w:r>
      <w:r w:rsidR="00205E56" w:rsidRPr="00205E56">
        <w:rPr>
          <w:rFonts w:ascii="Times New Roman" w:hAnsi="Times New Roman" w:cs="Times New Roman"/>
          <w:sz w:val="24"/>
          <w:szCs w:val="24"/>
        </w:rPr>
        <w:t xml:space="preserve"> </w:t>
      </w:r>
      <w:r w:rsidR="00251844" w:rsidRPr="00205E56">
        <w:rPr>
          <w:rFonts w:ascii="Times New Roman" w:hAnsi="Times New Roman" w:cs="Times New Roman"/>
          <w:sz w:val="24"/>
          <w:szCs w:val="24"/>
        </w:rPr>
        <w:t>możliwość</w:t>
      </w:r>
      <w:r w:rsidR="00D07BEB" w:rsidRPr="00205E56">
        <w:rPr>
          <w:rFonts w:ascii="Times New Roman" w:hAnsi="Times New Roman" w:cs="Times New Roman"/>
          <w:sz w:val="24"/>
          <w:szCs w:val="24"/>
        </w:rPr>
        <w:t xml:space="preserve"> </w:t>
      </w:r>
      <w:r w:rsidR="00F74C85" w:rsidRPr="00205E56">
        <w:rPr>
          <w:rFonts w:ascii="Times New Roman" w:hAnsi="Times New Roman" w:cs="Times New Roman"/>
          <w:sz w:val="24"/>
          <w:szCs w:val="24"/>
        </w:rPr>
        <w:t>zawarcia w umowie postanowienia, zgodnie z którym informacje mogą być udostępniane lub dostarczane w formie okresowych wyciągów</w:t>
      </w:r>
      <w:r w:rsidR="00251844" w:rsidRPr="00205E56">
        <w:rPr>
          <w:rFonts w:ascii="Times New Roman" w:hAnsi="Times New Roman" w:cs="Times New Roman"/>
          <w:sz w:val="24"/>
          <w:szCs w:val="24"/>
        </w:rPr>
        <w:t xml:space="preserve">; w przypadku braku takiego uzgodnienia umowa ramowa musi zawierać postanowienie, zgodnie z którym płatnik może wymagać, </w:t>
      </w:r>
      <w:r w:rsidR="002438BA">
        <w:rPr>
          <w:rFonts w:ascii="Times New Roman" w:hAnsi="Times New Roman" w:cs="Times New Roman"/>
          <w:sz w:val="24"/>
          <w:szCs w:val="24"/>
        </w:rPr>
        <w:t>a</w:t>
      </w:r>
      <w:r w:rsidR="00251844" w:rsidRPr="00205E56">
        <w:rPr>
          <w:rFonts w:ascii="Times New Roman" w:hAnsi="Times New Roman" w:cs="Times New Roman"/>
          <w:sz w:val="24"/>
          <w:szCs w:val="24"/>
        </w:rPr>
        <w:t>by ww. informacje były dostarczone lub udostępniane okresowo co najmniej raz w miesiącu</w:t>
      </w:r>
      <w:r w:rsidR="00963E28">
        <w:rPr>
          <w:rFonts w:ascii="Times New Roman" w:hAnsi="Times New Roman" w:cs="Times New Roman"/>
          <w:sz w:val="24"/>
          <w:szCs w:val="24"/>
        </w:rPr>
        <w:t>.</w:t>
      </w:r>
      <w:r w:rsidR="00F74C85" w:rsidRPr="00205E56">
        <w:rPr>
          <w:rFonts w:ascii="Times New Roman" w:hAnsi="Times New Roman" w:cs="Times New Roman"/>
          <w:i/>
          <w:sz w:val="24"/>
          <w:szCs w:val="24"/>
        </w:rPr>
        <w:t xml:space="preserve"> </w:t>
      </w:r>
      <w:r w:rsidR="001525DC">
        <w:rPr>
          <w:rFonts w:ascii="Times New Roman" w:hAnsi="Times New Roman" w:cs="Times New Roman"/>
          <w:sz w:val="24"/>
          <w:szCs w:val="24"/>
        </w:rPr>
        <w:t>W </w:t>
      </w:r>
      <w:r w:rsidR="00F74C85" w:rsidRPr="00205E56">
        <w:rPr>
          <w:rFonts w:ascii="Times New Roman" w:hAnsi="Times New Roman" w:cs="Times New Roman"/>
          <w:sz w:val="24"/>
          <w:szCs w:val="24"/>
        </w:rPr>
        <w:t>przeciwnym razie wykonanie obowiązków z art. 31</w:t>
      </w:r>
      <w:r w:rsidR="00251844" w:rsidRPr="00205E56">
        <w:rPr>
          <w:rFonts w:ascii="Times New Roman" w:hAnsi="Times New Roman" w:cs="Times New Roman"/>
          <w:sz w:val="24"/>
          <w:szCs w:val="24"/>
        </w:rPr>
        <w:t xml:space="preserve"> ustawy</w:t>
      </w:r>
      <w:r w:rsidR="00D07BEB" w:rsidRPr="00205E56">
        <w:rPr>
          <w:rFonts w:ascii="Times New Roman" w:hAnsi="Times New Roman" w:cs="Times New Roman"/>
          <w:sz w:val="24"/>
          <w:szCs w:val="24"/>
        </w:rPr>
        <w:t xml:space="preserve"> </w:t>
      </w:r>
      <w:r w:rsidR="00F74C85" w:rsidRPr="00205E56">
        <w:rPr>
          <w:rFonts w:ascii="Times New Roman" w:hAnsi="Times New Roman" w:cs="Times New Roman"/>
          <w:sz w:val="24"/>
          <w:szCs w:val="24"/>
        </w:rPr>
        <w:t>może dla dostawców wiązać się z nieproporcjonalnymi trudnościami (zmiana poza PSD</w:t>
      </w:r>
      <w:r w:rsidR="00251844" w:rsidRPr="00205E56">
        <w:rPr>
          <w:rFonts w:ascii="Times New Roman" w:hAnsi="Times New Roman" w:cs="Times New Roman"/>
          <w:sz w:val="24"/>
          <w:szCs w:val="24"/>
        </w:rPr>
        <w:t xml:space="preserve"> </w:t>
      </w:r>
      <w:r w:rsidR="00F74C85" w:rsidRPr="00205E56">
        <w:rPr>
          <w:rFonts w:ascii="Times New Roman" w:hAnsi="Times New Roman" w:cs="Times New Roman"/>
          <w:sz w:val="24"/>
          <w:szCs w:val="24"/>
        </w:rPr>
        <w:t xml:space="preserve">2). </w:t>
      </w:r>
      <w:r w:rsidR="00251844" w:rsidRPr="00205E56">
        <w:rPr>
          <w:rFonts w:ascii="Times New Roman" w:hAnsi="Times New Roman" w:cs="Times New Roman"/>
          <w:sz w:val="24"/>
          <w:szCs w:val="24"/>
        </w:rPr>
        <w:t xml:space="preserve">Zmiana w art. </w:t>
      </w:r>
      <w:r w:rsidR="00F74C85" w:rsidRPr="00205E56">
        <w:rPr>
          <w:rFonts w:ascii="Times New Roman" w:hAnsi="Times New Roman" w:cs="Times New Roman"/>
          <w:sz w:val="24"/>
          <w:szCs w:val="24"/>
        </w:rPr>
        <w:t xml:space="preserve">32 </w:t>
      </w:r>
      <w:r w:rsidR="00251844" w:rsidRPr="00205E56">
        <w:rPr>
          <w:rFonts w:ascii="Times New Roman" w:hAnsi="Times New Roman" w:cs="Times New Roman"/>
          <w:sz w:val="24"/>
          <w:szCs w:val="24"/>
        </w:rPr>
        <w:t xml:space="preserve">ma charakter </w:t>
      </w:r>
      <w:r w:rsidR="00F74C85" w:rsidRPr="00205E56">
        <w:rPr>
          <w:rFonts w:ascii="Times New Roman" w:hAnsi="Times New Roman" w:cs="Times New Roman"/>
          <w:sz w:val="24"/>
          <w:szCs w:val="24"/>
        </w:rPr>
        <w:t>stylistyczn</w:t>
      </w:r>
      <w:r w:rsidR="00251844" w:rsidRPr="00205E56">
        <w:rPr>
          <w:rFonts w:ascii="Times New Roman" w:hAnsi="Times New Roman" w:cs="Times New Roman"/>
          <w:sz w:val="24"/>
          <w:szCs w:val="24"/>
        </w:rPr>
        <w:t>y</w:t>
      </w:r>
      <w:r w:rsidR="00F74C85" w:rsidRPr="00205E56">
        <w:rPr>
          <w:rFonts w:ascii="Times New Roman" w:hAnsi="Times New Roman" w:cs="Times New Roman"/>
          <w:sz w:val="24"/>
          <w:szCs w:val="24"/>
        </w:rPr>
        <w:t xml:space="preserve">. </w:t>
      </w:r>
    </w:p>
    <w:p w14:paraId="414713C7" w14:textId="0881594B" w:rsidR="00BD1B5F" w:rsidRPr="00205E56" w:rsidRDefault="006E5F94"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2058E6" w:rsidRPr="00205E56">
        <w:rPr>
          <w:rFonts w:ascii="Times New Roman" w:hAnsi="Times New Roman" w:cs="Times New Roman"/>
          <w:b/>
          <w:sz w:val="24"/>
          <w:szCs w:val="24"/>
        </w:rPr>
        <w:t>3</w:t>
      </w:r>
      <w:r w:rsidR="00EE2835" w:rsidRPr="00205E56">
        <w:rPr>
          <w:rFonts w:ascii="Times New Roman" w:hAnsi="Times New Roman" w:cs="Times New Roman"/>
          <w:b/>
          <w:sz w:val="24"/>
          <w:szCs w:val="24"/>
        </w:rPr>
        <w:t>2</w:t>
      </w:r>
      <w:r w:rsidRPr="00205E56">
        <w:rPr>
          <w:rFonts w:ascii="Times New Roman" w:hAnsi="Times New Roman" w:cs="Times New Roman"/>
          <w:sz w:val="24"/>
          <w:szCs w:val="24"/>
        </w:rPr>
        <w:t xml:space="preserve"> </w:t>
      </w:r>
      <w:r w:rsidR="00C7048F" w:rsidRPr="00205E56">
        <w:rPr>
          <w:rFonts w:ascii="Times New Roman" w:hAnsi="Times New Roman" w:cs="Times New Roman"/>
          <w:sz w:val="24"/>
          <w:szCs w:val="24"/>
        </w:rPr>
        <w:t xml:space="preserve">dodaje dział </w:t>
      </w:r>
      <w:proofErr w:type="spellStart"/>
      <w:r w:rsidR="00C7048F" w:rsidRPr="00205E56">
        <w:rPr>
          <w:rFonts w:ascii="Times New Roman" w:hAnsi="Times New Roman" w:cs="Times New Roman"/>
          <w:sz w:val="24"/>
          <w:szCs w:val="24"/>
        </w:rPr>
        <w:t>II</w:t>
      </w:r>
      <w:r w:rsidR="00360932" w:rsidRPr="00205E56">
        <w:rPr>
          <w:rFonts w:ascii="Times New Roman" w:hAnsi="Times New Roman" w:cs="Times New Roman"/>
          <w:sz w:val="24"/>
          <w:szCs w:val="24"/>
        </w:rPr>
        <w:t>a</w:t>
      </w:r>
      <w:proofErr w:type="spellEnd"/>
      <w:r w:rsidR="00C7048F" w:rsidRPr="00205E56">
        <w:rPr>
          <w:rFonts w:ascii="Times New Roman" w:hAnsi="Times New Roman" w:cs="Times New Roman"/>
          <w:sz w:val="24"/>
          <w:szCs w:val="24"/>
        </w:rPr>
        <w:t xml:space="preserve"> „Bezpieczeństwo świadczenia usług płatniczych”,</w:t>
      </w:r>
      <w:r w:rsidR="00310523" w:rsidRPr="00205E56">
        <w:rPr>
          <w:rFonts w:ascii="Times New Roman" w:hAnsi="Times New Roman" w:cs="Times New Roman"/>
          <w:sz w:val="24"/>
          <w:szCs w:val="24"/>
        </w:rPr>
        <w:t xml:space="preserve"> który zobowiązuje dostawców usług płatnicz</w:t>
      </w:r>
      <w:r w:rsidR="005D50F0" w:rsidRPr="00205E56">
        <w:rPr>
          <w:rFonts w:ascii="Times New Roman" w:hAnsi="Times New Roman" w:cs="Times New Roman"/>
          <w:sz w:val="24"/>
          <w:szCs w:val="24"/>
        </w:rPr>
        <w:t>ych do podejmowania</w:t>
      </w:r>
      <w:r w:rsidR="00310523" w:rsidRPr="00205E56">
        <w:rPr>
          <w:rFonts w:ascii="Times New Roman" w:hAnsi="Times New Roman" w:cs="Times New Roman"/>
          <w:sz w:val="24"/>
          <w:szCs w:val="24"/>
        </w:rPr>
        <w:t xml:space="preserve"> odpowiednich środków ograniczających ryzyko oraz ustanowienia mechanizmów kontroli służących zarządzaniu </w:t>
      </w:r>
      <w:proofErr w:type="spellStart"/>
      <w:r w:rsidR="00310523" w:rsidRPr="00205E56">
        <w:rPr>
          <w:rFonts w:ascii="Times New Roman" w:hAnsi="Times New Roman" w:cs="Times New Roman"/>
          <w:sz w:val="24"/>
          <w:szCs w:val="24"/>
        </w:rPr>
        <w:t>ryzykami</w:t>
      </w:r>
      <w:proofErr w:type="spellEnd"/>
      <w:r w:rsidR="00310523" w:rsidRPr="00205E56">
        <w:rPr>
          <w:rFonts w:ascii="Times New Roman" w:hAnsi="Times New Roman" w:cs="Times New Roman"/>
          <w:sz w:val="24"/>
          <w:szCs w:val="24"/>
        </w:rPr>
        <w:t xml:space="preserve"> operacyjnymi oraz </w:t>
      </w:r>
      <w:proofErr w:type="spellStart"/>
      <w:r w:rsidR="00310523" w:rsidRPr="00205E56">
        <w:rPr>
          <w:rFonts w:ascii="Times New Roman" w:hAnsi="Times New Roman" w:cs="Times New Roman"/>
          <w:sz w:val="24"/>
          <w:szCs w:val="24"/>
        </w:rPr>
        <w:t>ryzykami</w:t>
      </w:r>
      <w:proofErr w:type="spellEnd"/>
      <w:r w:rsidR="00310523" w:rsidRPr="00205E56">
        <w:rPr>
          <w:rFonts w:ascii="Times New Roman" w:hAnsi="Times New Roman" w:cs="Times New Roman"/>
          <w:sz w:val="24"/>
          <w:szCs w:val="24"/>
        </w:rPr>
        <w:t xml:space="preserve"> dla bezpieczeństwa usług</w:t>
      </w:r>
      <w:r w:rsidR="00D07BEB" w:rsidRPr="00205E56">
        <w:rPr>
          <w:rFonts w:ascii="Times New Roman" w:hAnsi="Times New Roman" w:cs="Times New Roman"/>
          <w:sz w:val="24"/>
          <w:szCs w:val="24"/>
        </w:rPr>
        <w:t xml:space="preserve"> </w:t>
      </w:r>
      <w:r w:rsidR="00310523" w:rsidRPr="00205E56">
        <w:rPr>
          <w:rFonts w:ascii="Times New Roman" w:hAnsi="Times New Roman" w:cs="Times New Roman"/>
          <w:sz w:val="24"/>
          <w:szCs w:val="24"/>
        </w:rPr>
        <w:t xml:space="preserve">płatniczych świadczonych przez dostawców. </w:t>
      </w:r>
      <w:r w:rsidR="005D50F0" w:rsidRPr="00205E56">
        <w:rPr>
          <w:rFonts w:ascii="Times New Roman" w:hAnsi="Times New Roman" w:cs="Times New Roman"/>
          <w:sz w:val="24"/>
          <w:szCs w:val="24"/>
        </w:rPr>
        <w:t>Zgodnie z dodawanymi przepisami dostawcy będą zobowiązani przekazywać KNF aktualizowan</w:t>
      </w:r>
      <w:r w:rsidR="003909AA" w:rsidRPr="00205E56">
        <w:rPr>
          <w:rFonts w:ascii="Times New Roman" w:hAnsi="Times New Roman" w:cs="Times New Roman"/>
          <w:sz w:val="24"/>
          <w:szCs w:val="24"/>
        </w:rPr>
        <w:t>ą</w:t>
      </w:r>
      <w:r w:rsidR="00205E56" w:rsidRPr="00205E56">
        <w:rPr>
          <w:rFonts w:ascii="Times New Roman" w:hAnsi="Times New Roman" w:cs="Times New Roman"/>
          <w:sz w:val="24"/>
          <w:szCs w:val="24"/>
        </w:rPr>
        <w:t xml:space="preserve"> </w:t>
      </w:r>
      <w:r w:rsidR="003909AA" w:rsidRPr="00205E56">
        <w:rPr>
          <w:rFonts w:ascii="Times New Roman" w:hAnsi="Times New Roman" w:cs="Times New Roman"/>
          <w:sz w:val="24"/>
          <w:szCs w:val="24"/>
        </w:rPr>
        <w:t xml:space="preserve">co roku </w:t>
      </w:r>
      <w:r w:rsidR="005D50F0" w:rsidRPr="00205E56">
        <w:rPr>
          <w:rFonts w:ascii="Times New Roman" w:hAnsi="Times New Roman" w:cs="Times New Roman"/>
          <w:sz w:val="24"/>
          <w:szCs w:val="24"/>
        </w:rPr>
        <w:t xml:space="preserve">i kompleksową ocenę </w:t>
      </w:r>
      <w:r w:rsidR="00DF05FE" w:rsidRPr="00205E56">
        <w:rPr>
          <w:rFonts w:ascii="Times New Roman" w:hAnsi="Times New Roman" w:cs="Times New Roman"/>
          <w:sz w:val="24"/>
          <w:szCs w:val="24"/>
        </w:rPr>
        <w:t xml:space="preserve">dotyczącą </w:t>
      </w:r>
      <w:proofErr w:type="spellStart"/>
      <w:r w:rsidR="00DF05FE" w:rsidRPr="00205E56">
        <w:rPr>
          <w:rFonts w:ascii="Times New Roman" w:hAnsi="Times New Roman" w:cs="Times New Roman"/>
          <w:sz w:val="24"/>
          <w:szCs w:val="24"/>
        </w:rPr>
        <w:t>ryzyk</w:t>
      </w:r>
      <w:proofErr w:type="spellEnd"/>
      <w:r w:rsidR="00DF05FE" w:rsidRPr="00205E56">
        <w:rPr>
          <w:rFonts w:ascii="Times New Roman" w:hAnsi="Times New Roman" w:cs="Times New Roman"/>
          <w:sz w:val="24"/>
          <w:szCs w:val="24"/>
        </w:rPr>
        <w:t xml:space="preserve"> operacyjnych i </w:t>
      </w:r>
      <w:proofErr w:type="spellStart"/>
      <w:r w:rsidR="00DF05FE" w:rsidRPr="00205E56">
        <w:rPr>
          <w:rFonts w:ascii="Times New Roman" w:hAnsi="Times New Roman" w:cs="Times New Roman"/>
          <w:sz w:val="24"/>
          <w:szCs w:val="24"/>
        </w:rPr>
        <w:t>ryzyk</w:t>
      </w:r>
      <w:proofErr w:type="spellEnd"/>
      <w:r w:rsidR="00DF05FE" w:rsidRPr="00205E56">
        <w:rPr>
          <w:rFonts w:ascii="Times New Roman" w:hAnsi="Times New Roman" w:cs="Times New Roman"/>
          <w:sz w:val="24"/>
          <w:szCs w:val="24"/>
        </w:rPr>
        <w:t xml:space="preserve"> dla bezpieczeństwa usług płatniczych</w:t>
      </w:r>
      <w:r w:rsidR="003909AA" w:rsidRPr="00205E56">
        <w:rPr>
          <w:rFonts w:ascii="Times New Roman" w:hAnsi="Times New Roman" w:cs="Times New Roman"/>
          <w:sz w:val="24"/>
          <w:szCs w:val="24"/>
        </w:rPr>
        <w:t>,</w:t>
      </w:r>
      <w:r w:rsidR="00DF05FE" w:rsidRPr="00205E56">
        <w:rPr>
          <w:rFonts w:ascii="Times New Roman" w:hAnsi="Times New Roman" w:cs="Times New Roman"/>
          <w:sz w:val="24"/>
          <w:szCs w:val="24"/>
        </w:rPr>
        <w:t xml:space="preserve"> jakie świadczą</w:t>
      </w:r>
      <w:r w:rsidR="003909AA" w:rsidRPr="00205E56">
        <w:rPr>
          <w:rFonts w:ascii="Times New Roman" w:hAnsi="Times New Roman" w:cs="Times New Roman"/>
          <w:sz w:val="24"/>
          <w:szCs w:val="24"/>
        </w:rPr>
        <w:t>,</w:t>
      </w:r>
      <w:r w:rsidR="00DF05FE" w:rsidRPr="00205E56">
        <w:rPr>
          <w:rFonts w:ascii="Times New Roman" w:hAnsi="Times New Roman" w:cs="Times New Roman"/>
          <w:sz w:val="24"/>
          <w:szCs w:val="24"/>
        </w:rPr>
        <w:t xml:space="preserve"> oraz ocenę środków ograniczających ryzyko, a także mechanizmy kontroli, jakie zostały podjęte w wyniku </w:t>
      </w:r>
      <w:r w:rsidR="00C07816" w:rsidRPr="00205E56">
        <w:rPr>
          <w:rFonts w:ascii="Times New Roman" w:hAnsi="Times New Roman" w:cs="Times New Roman"/>
          <w:sz w:val="24"/>
          <w:szCs w:val="24"/>
        </w:rPr>
        <w:t xml:space="preserve">konsekwencji wystąpienia </w:t>
      </w:r>
      <w:r w:rsidR="003909AA" w:rsidRPr="00205E56">
        <w:rPr>
          <w:rFonts w:ascii="Times New Roman" w:hAnsi="Times New Roman" w:cs="Times New Roman"/>
          <w:sz w:val="24"/>
          <w:szCs w:val="24"/>
        </w:rPr>
        <w:t xml:space="preserve">tych </w:t>
      </w:r>
      <w:proofErr w:type="spellStart"/>
      <w:r w:rsidR="00C07816" w:rsidRPr="00205E56">
        <w:rPr>
          <w:rFonts w:ascii="Times New Roman" w:hAnsi="Times New Roman" w:cs="Times New Roman"/>
          <w:sz w:val="24"/>
          <w:szCs w:val="24"/>
        </w:rPr>
        <w:t>ryzyk</w:t>
      </w:r>
      <w:proofErr w:type="spellEnd"/>
      <w:r w:rsidR="00DF05FE" w:rsidRPr="00205E56">
        <w:rPr>
          <w:rFonts w:ascii="Times New Roman" w:hAnsi="Times New Roman" w:cs="Times New Roman"/>
          <w:sz w:val="24"/>
          <w:szCs w:val="24"/>
        </w:rPr>
        <w:t xml:space="preserve">. </w:t>
      </w:r>
      <w:r w:rsidR="00C07816" w:rsidRPr="00205E56">
        <w:rPr>
          <w:rFonts w:ascii="Times New Roman" w:hAnsi="Times New Roman" w:cs="Times New Roman"/>
          <w:sz w:val="24"/>
          <w:szCs w:val="24"/>
        </w:rPr>
        <w:t xml:space="preserve">Przepisy nakładają również na dostawców obowiązki w zakresie zgłaszania do KNF incydentów związanych z bezpieczeństwem dostawcy. Dodawany art. 32i wprowadza nowe </w:t>
      </w:r>
      <w:r w:rsidR="00F04994" w:rsidRPr="00205E56">
        <w:rPr>
          <w:rFonts w:ascii="Times New Roman" w:hAnsi="Times New Roman" w:cs="Times New Roman"/>
          <w:sz w:val="24"/>
          <w:szCs w:val="24"/>
        </w:rPr>
        <w:t xml:space="preserve">obowiązki </w:t>
      </w:r>
      <w:r w:rsidR="00696AD3" w:rsidRPr="00205E56">
        <w:rPr>
          <w:rFonts w:ascii="Times New Roman" w:hAnsi="Times New Roman" w:cs="Times New Roman"/>
          <w:sz w:val="24"/>
          <w:szCs w:val="24"/>
        </w:rPr>
        <w:t xml:space="preserve">dla </w:t>
      </w:r>
      <w:r w:rsidR="00F04994" w:rsidRPr="00205E56">
        <w:rPr>
          <w:rFonts w:ascii="Times New Roman" w:hAnsi="Times New Roman" w:cs="Times New Roman"/>
          <w:sz w:val="24"/>
          <w:szCs w:val="24"/>
        </w:rPr>
        <w:t>dostawców</w:t>
      </w:r>
      <w:r w:rsidR="00696AD3" w:rsidRPr="00205E56">
        <w:rPr>
          <w:rFonts w:ascii="Times New Roman" w:hAnsi="Times New Roman" w:cs="Times New Roman"/>
          <w:sz w:val="24"/>
          <w:szCs w:val="24"/>
        </w:rPr>
        <w:t xml:space="preserve"> w zakresie </w:t>
      </w:r>
      <w:r w:rsidR="00F04994" w:rsidRPr="00205E56">
        <w:rPr>
          <w:rFonts w:ascii="Times New Roman" w:hAnsi="Times New Roman" w:cs="Times New Roman"/>
          <w:sz w:val="24"/>
          <w:szCs w:val="24"/>
        </w:rPr>
        <w:t>siln</w:t>
      </w:r>
      <w:r w:rsidR="00696AD3" w:rsidRPr="00205E56">
        <w:rPr>
          <w:rFonts w:ascii="Times New Roman" w:hAnsi="Times New Roman" w:cs="Times New Roman"/>
          <w:sz w:val="24"/>
          <w:szCs w:val="24"/>
        </w:rPr>
        <w:t xml:space="preserve">ego </w:t>
      </w:r>
      <w:r w:rsidR="00F04994" w:rsidRPr="00205E56">
        <w:rPr>
          <w:rFonts w:ascii="Times New Roman" w:hAnsi="Times New Roman" w:cs="Times New Roman"/>
          <w:sz w:val="24"/>
          <w:szCs w:val="24"/>
        </w:rPr>
        <w:t>uwierzytelni</w:t>
      </w:r>
      <w:r w:rsidR="00696AD3" w:rsidRPr="00205E56">
        <w:rPr>
          <w:rFonts w:ascii="Times New Roman" w:hAnsi="Times New Roman" w:cs="Times New Roman"/>
          <w:sz w:val="24"/>
          <w:szCs w:val="24"/>
        </w:rPr>
        <w:t>ania</w:t>
      </w:r>
      <w:r w:rsidR="00205E56" w:rsidRPr="00205E56">
        <w:rPr>
          <w:rFonts w:ascii="Times New Roman" w:hAnsi="Times New Roman" w:cs="Times New Roman"/>
          <w:sz w:val="24"/>
          <w:szCs w:val="24"/>
        </w:rPr>
        <w:t xml:space="preserve"> </w:t>
      </w:r>
      <w:r w:rsidR="003614A2" w:rsidRPr="00205E56">
        <w:rPr>
          <w:rFonts w:ascii="Times New Roman" w:hAnsi="Times New Roman" w:cs="Times New Roman"/>
          <w:sz w:val="24"/>
          <w:szCs w:val="24"/>
        </w:rPr>
        <w:t>klienta</w:t>
      </w:r>
      <w:r w:rsidR="00BD1B5F" w:rsidRPr="00205E56">
        <w:rPr>
          <w:rFonts w:ascii="Times New Roman" w:hAnsi="Times New Roman" w:cs="Times New Roman"/>
          <w:sz w:val="24"/>
          <w:szCs w:val="24"/>
        </w:rPr>
        <w:t xml:space="preserve"> w odniesieniu do konkretnych przypadków</w:t>
      </w:r>
      <w:r w:rsidR="00696AD3" w:rsidRPr="00205E56">
        <w:rPr>
          <w:rFonts w:ascii="Times New Roman" w:hAnsi="Times New Roman" w:cs="Times New Roman"/>
          <w:sz w:val="24"/>
          <w:szCs w:val="24"/>
        </w:rPr>
        <w:t>,</w:t>
      </w:r>
      <w:r w:rsidR="0017777C" w:rsidRPr="00205E56">
        <w:rPr>
          <w:rFonts w:ascii="Times New Roman" w:hAnsi="Times New Roman" w:cs="Times New Roman"/>
          <w:sz w:val="24"/>
          <w:szCs w:val="24"/>
        </w:rPr>
        <w:t xml:space="preserve"> gdy płatnik uzyskuje dostęp do swojego rachunku w trybie online, inicjuje elektroniczną transakcję płatniczą, a także przeprowadza czynność za pomocą kanału zdalnego, która może wiązać się z ryzykiem oszustwa płatniczego lub innych nadużyć. </w:t>
      </w:r>
      <w:r w:rsidR="00FB409D" w:rsidRPr="00205E56">
        <w:rPr>
          <w:rFonts w:ascii="Times New Roman" w:hAnsi="Times New Roman" w:cs="Times New Roman"/>
          <w:sz w:val="24"/>
          <w:szCs w:val="24"/>
        </w:rPr>
        <w:t xml:space="preserve">Celem przepisu w art. 32i ust. 3 jest nakazanie dostawcom ochrony poufności i integralności danych, w obliczu stale zmieniających się technologii informatycznych, z zachowaniem należytej staranności w tym zakresie, pozostawiając dostawcom jednocześnie swobodę w wyborze środków prowadzących do osiągnięcia </w:t>
      </w:r>
      <w:r w:rsidR="00FB409D" w:rsidRPr="00205E56">
        <w:rPr>
          <w:rFonts w:ascii="Times New Roman" w:hAnsi="Times New Roman" w:cs="Times New Roman"/>
          <w:sz w:val="24"/>
          <w:szCs w:val="24"/>
        </w:rPr>
        <w:lastRenderedPageBreak/>
        <w:t xml:space="preserve">tego celu. </w:t>
      </w:r>
      <w:r w:rsidR="00B55D2B" w:rsidRPr="00205E56">
        <w:rPr>
          <w:rFonts w:ascii="Times New Roman" w:hAnsi="Times New Roman" w:cs="Times New Roman"/>
          <w:sz w:val="24"/>
          <w:szCs w:val="24"/>
        </w:rPr>
        <w:t xml:space="preserve">Do przepisów art. 32i odnoszą się przepisy przejściowe określone w art. 18 </w:t>
      </w:r>
      <w:r w:rsidR="00AF3DF5" w:rsidRPr="00205E56">
        <w:rPr>
          <w:rFonts w:ascii="Times New Roman" w:hAnsi="Times New Roman" w:cs="Times New Roman"/>
          <w:sz w:val="24"/>
          <w:szCs w:val="24"/>
        </w:rPr>
        <w:t>projektu</w:t>
      </w:r>
      <w:r w:rsidR="00B55D2B" w:rsidRPr="00205E56">
        <w:rPr>
          <w:rFonts w:ascii="Times New Roman" w:hAnsi="Times New Roman" w:cs="Times New Roman"/>
          <w:sz w:val="24"/>
          <w:szCs w:val="24"/>
        </w:rPr>
        <w:t xml:space="preserve"> ustawy. </w:t>
      </w:r>
    </w:p>
    <w:p w14:paraId="5C67EA1D" w14:textId="42E5982F" w:rsidR="00360932" w:rsidRPr="00205E56" w:rsidRDefault="00360932"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3</w:t>
      </w:r>
      <w:r w:rsidR="00EE2835" w:rsidRPr="00205E56">
        <w:rPr>
          <w:rFonts w:ascii="Times New Roman" w:hAnsi="Times New Roman" w:cs="Times New Roman"/>
          <w:b/>
          <w:sz w:val="24"/>
          <w:szCs w:val="24"/>
        </w:rPr>
        <w:t>3</w:t>
      </w:r>
      <w:r w:rsidRPr="00205E56">
        <w:rPr>
          <w:rFonts w:ascii="Times New Roman" w:hAnsi="Times New Roman" w:cs="Times New Roman"/>
          <w:sz w:val="24"/>
          <w:szCs w:val="24"/>
        </w:rPr>
        <w:t xml:space="preserve"> reguluje się kwestię opłat użytkownika za wypowiedzenie opłaty ramowej.</w:t>
      </w:r>
    </w:p>
    <w:p w14:paraId="35C712D6" w14:textId="5832541E" w:rsidR="00C7048F" w:rsidRPr="00205E56" w:rsidRDefault="00C7048F"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3</w:t>
      </w:r>
      <w:r w:rsidR="00EE2835" w:rsidRPr="00205E56">
        <w:rPr>
          <w:rFonts w:ascii="Times New Roman" w:hAnsi="Times New Roman" w:cs="Times New Roman"/>
          <w:b/>
          <w:sz w:val="24"/>
          <w:szCs w:val="24"/>
        </w:rPr>
        <w:t>4</w:t>
      </w:r>
      <w:r w:rsidR="00221C93" w:rsidRPr="00205E56">
        <w:rPr>
          <w:rFonts w:ascii="Times New Roman" w:hAnsi="Times New Roman" w:cs="Times New Roman"/>
          <w:sz w:val="24"/>
          <w:szCs w:val="24"/>
        </w:rPr>
        <w:t xml:space="preserve"> wprowadza się zmianę</w:t>
      </w:r>
      <w:r w:rsidRPr="00205E56">
        <w:rPr>
          <w:rFonts w:ascii="Times New Roman" w:hAnsi="Times New Roman" w:cs="Times New Roman"/>
          <w:sz w:val="24"/>
          <w:szCs w:val="24"/>
        </w:rPr>
        <w:t xml:space="preserve"> w art. </w:t>
      </w:r>
      <w:r w:rsidR="00657F81" w:rsidRPr="00205E56">
        <w:rPr>
          <w:rFonts w:ascii="Times New Roman" w:hAnsi="Times New Roman" w:cs="Times New Roman"/>
          <w:sz w:val="24"/>
          <w:szCs w:val="24"/>
        </w:rPr>
        <w:t>37a</w:t>
      </w:r>
      <w:r w:rsidRPr="00205E56">
        <w:rPr>
          <w:rFonts w:ascii="Times New Roman" w:hAnsi="Times New Roman" w:cs="Times New Roman"/>
          <w:sz w:val="24"/>
          <w:szCs w:val="24"/>
        </w:rPr>
        <w:t>,</w:t>
      </w:r>
      <w:r w:rsidR="00221C93" w:rsidRPr="00205E56">
        <w:rPr>
          <w:rFonts w:ascii="Times New Roman" w:hAnsi="Times New Roman" w:cs="Times New Roman"/>
          <w:sz w:val="24"/>
          <w:szCs w:val="24"/>
        </w:rPr>
        <w:t xml:space="preserve"> </w:t>
      </w:r>
      <w:r w:rsidR="00762AF2" w:rsidRPr="00205E56">
        <w:rPr>
          <w:rFonts w:ascii="Times New Roman" w:hAnsi="Times New Roman" w:cs="Times New Roman"/>
          <w:sz w:val="24"/>
          <w:szCs w:val="24"/>
        </w:rPr>
        <w:t>która dotyczy przypadków transakcji płatniczych realizowanych na terytorium Unii</w:t>
      </w:r>
      <w:r w:rsidR="00ED24A9" w:rsidRPr="00205E56">
        <w:rPr>
          <w:rFonts w:ascii="Times New Roman" w:hAnsi="Times New Roman" w:cs="Times New Roman"/>
          <w:sz w:val="24"/>
          <w:szCs w:val="24"/>
        </w:rPr>
        <w:t xml:space="preserve"> w przypadku </w:t>
      </w:r>
      <w:r w:rsidR="00762AF2" w:rsidRPr="00205E56">
        <w:rPr>
          <w:rFonts w:ascii="Times New Roman" w:hAnsi="Times New Roman" w:cs="Times New Roman"/>
          <w:sz w:val="24"/>
          <w:szCs w:val="24"/>
        </w:rPr>
        <w:t>gdy zarówno dostawca płatnika, jak i dostawca odbiorcy, bądź też jedyny dostawca w danej transakcji płatniczej znajdują się na terytorium Unii</w:t>
      </w:r>
      <w:r w:rsidR="00ED24A9" w:rsidRPr="00205E56">
        <w:rPr>
          <w:rFonts w:ascii="Times New Roman" w:hAnsi="Times New Roman" w:cs="Times New Roman"/>
          <w:sz w:val="24"/>
          <w:szCs w:val="24"/>
        </w:rPr>
        <w:t xml:space="preserve"> </w:t>
      </w:r>
      <w:r w:rsidR="00205E56" w:rsidRPr="00205E56">
        <w:rPr>
          <w:rFonts w:ascii="Times New Roman" w:hAnsi="Times New Roman" w:cs="Times New Roman"/>
          <w:sz w:val="24"/>
          <w:szCs w:val="24"/>
        </w:rPr>
        <w:t>–</w:t>
      </w:r>
      <w:r w:rsidR="00ED24A9" w:rsidRPr="00205E56">
        <w:rPr>
          <w:rFonts w:ascii="Times New Roman" w:hAnsi="Times New Roman" w:cs="Times New Roman"/>
          <w:sz w:val="24"/>
          <w:szCs w:val="24"/>
        </w:rPr>
        <w:t xml:space="preserve"> </w:t>
      </w:r>
      <w:r w:rsidR="00762AF2" w:rsidRPr="00205E56">
        <w:rPr>
          <w:rFonts w:ascii="Times New Roman" w:hAnsi="Times New Roman" w:cs="Times New Roman"/>
          <w:sz w:val="24"/>
          <w:szCs w:val="24"/>
        </w:rPr>
        <w:t xml:space="preserve">płatnik i odbiorca ponoszą opłaty określone w umowie zawartej przez każdego z nich ze swoim dostawcą. </w:t>
      </w:r>
      <w:r w:rsidR="00041487" w:rsidRPr="00205E56">
        <w:rPr>
          <w:rFonts w:ascii="Times New Roman" w:hAnsi="Times New Roman" w:cs="Times New Roman"/>
          <w:sz w:val="24"/>
          <w:szCs w:val="24"/>
        </w:rPr>
        <w:t>Z</w:t>
      </w:r>
      <w:r w:rsidR="00041487" w:rsidRPr="00205E56">
        <w:rPr>
          <w:rFonts w:ascii="Times New Roman" w:hAnsi="Times New Roman" w:cs="Times New Roman"/>
          <w:sz w:val="24"/>
          <w:szCs w:val="24"/>
          <w:lang w:eastAsia="pl-PL"/>
        </w:rPr>
        <w:t>asada pobierania opłat będzie miała zastosowanie także wtedy, gdy zachodzi konwersja waluty.</w:t>
      </w:r>
      <w:r w:rsidR="00041487" w:rsidRPr="00205E56">
        <w:rPr>
          <w:rFonts w:ascii="Times New Roman" w:hAnsi="Times New Roman" w:cs="Times New Roman"/>
          <w:sz w:val="24"/>
          <w:szCs w:val="24"/>
        </w:rPr>
        <w:t xml:space="preserve"> </w:t>
      </w:r>
      <w:r w:rsidR="00762AF2" w:rsidRPr="00205E56">
        <w:rPr>
          <w:rFonts w:ascii="Times New Roman" w:hAnsi="Times New Roman" w:cs="Times New Roman"/>
          <w:sz w:val="24"/>
          <w:szCs w:val="24"/>
        </w:rPr>
        <w:t xml:space="preserve">Dostawca nie uniemożliwia odbiorcy żądania od płatnika opłaty, oferowania mu zniżki lub kierunkowania jego wyboru w inny sposób tak, </w:t>
      </w:r>
      <w:r w:rsidR="002438BA">
        <w:rPr>
          <w:rFonts w:ascii="Times New Roman" w:hAnsi="Times New Roman" w:cs="Times New Roman"/>
          <w:sz w:val="24"/>
          <w:szCs w:val="24"/>
        </w:rPr>
        <w:t>a</w:t>
      </w:r>
      <w:r w:rsidR="00762AF2" w:rsidRPr="00205E56">
        <w:rPr>
          <w:rFonts w:ascii="Times New Roman" w:hAnsi="Times New Roman" w:cs="Times New Roman"/>
          <w:sz w:val="24"/>
          <w:szCs w:val="24"/>
        </w:rPr>
        <w:t>by skorzystał z określonego instrumentu płatniczego. Ewentualne zastosowane opłaty nie mogą przekraczać kosztów bezpośrednich ponoszonych przez odbiorcę z tytułu korzystania z określonego instrumentu płatniczego.</w:t>
      </w:r>
      <w:r w:rsidR="00F74C85" w:rsidRPr="00205E56">
        <w:rPr>
          <w:rFonts w:ascii="Times New Roman" w:hAnsi="Times New Roman" w:cs="Times New Roman"/>
          <w:sz w:val="24"/>
          <w:szCs w:val="24"/>
        </w:rPr>
        <w:t xml:space="preserve"> Zmiana ma również</w:t>
      </w:r>
      <w:r w:rsidR="001525DC">
        <w:rPr>
          <w:rFonts w:ascii="Times New Roman" w:hAnsi="Times New Roman" w:cs="Times New Roman"/>
          <w:sz w:val="24"/>
          <w:szCs w:val="24"/>
        </w:rPr>
        <w:t xml:space="preserve"> na celu zachowanie spójności z </w:t>
      </w:r>
      <w:r w:rsidR="00F74C85" w:rsidRPr="00205E56">
        <w:rPr>
          <w:rFonts w:ascii="Times New Roman" w:hAnsi="Times New Roman" w:cs="Times New Roman"/>
          <w:sz w:val="24"/>
          <w:szCs w:val="24"/>
        </w:rPr>
        <w:t xml:space="preserve">przepisami o zakresie zastosowania </w:t>
      </w:r>
      <w:r w:rsidR="00ED24A9" w:rsidRPr="00205E56">
        <w:rPr>
          <w:rFonts w:ascii="Times New Roman" w:hAnsi="Times New Roman" w:cs="Times New Roman"/>
          <w:sz w:val="24"/>
          <w:szCs w:val="24"/>
        </w:rPr>
        <w:t>ustawy</w:t>
      </w:r>
      <w:r w:rsidR="00F74C85" w:rsidRPr="00205E56">
        <w:rPr>
          <w:rFonts w:ascii="Times New Roman" w:hAnsi="Times New Roman" w:cs="Times New Roman"/>
          <w:sz w:val="24"/>
          <w:szCs w:val="24"/>
        </w:rPr>
        <w:t>. Pojęcie</w:t>
      </w:r>
      <w:r w:rsidR="001525DC">
        <w:rPr>
          <w:rFonts w:ascii="Times New Roman" w:hAnsi="Times New Roman" w:cs="Times New Roman"/>
          <w:sz w:val="24"/>
          <w:szCs w:val="24"/>
        </w:rPr>
        <w:t xml:space="preserve"> „Unii” nie jest zdefiniowane w </w:t>
      </w:r>
      <w:r w:rsidR="00ED24A9" w:rsidRPr="00205E56">
        <w:rPr>
          <w:rFonts w:ascii="Times New Roman" w:hAnsi="Times New Roman" w:cs="Times New Roman"/>
          <w:sz w:val="24"/>
          <w:szCs w:val="24"/>
        </w:rPr>
        <w:t>ustawie</w:t>
      </w:r>
      <w:r w:rsidR="00F74C85" w:rsidRPr="00205E56">
        <w:rPr>
          <w:rFonts w:ascii="Times New Roman" w:hAnsi="Times New Roman" w:cs="Times New Roman"/>
          <w:sz w:val="24"/>
          <w:szCs w:val="24"/>
        </w:rPr>
        <w:t xml:space="preserve">, co może budzić wątpliwości interpretacyjne, zwłaszcza z uwagi na to, że </w:t>
      </w:r>
      <w:r w:rsidR="00ED24A9" w:rsidRPr="00205E56">
        <w:rPr>
          <w:rFonts w:ascii="Times New Roman" w:hAnsi="Times New Roman" w:cs="Times New Roman"/>
          <w:sz w:val="24"/>
          <w:szCs w:val="24"/>
        </w:rPr>
        <w:t>ustawa</w:t>
      </w:r>
      <w:r w:rsidR="00F74C85" w:rsidRPr="00205E56">
        <w:rPr>
          <w:rFonts w:ascii="Times New Roman" w:hAnsi="Times New Roman" w:cs="Times New Roman"/>
          <w:sz w:val="24"/>
          <w:szCs w:val="24"/>
        </w:rPr>
        <w:t xml:space="preserve"> definiuje „państwo członkowskie” jako państwo EOG (PSD została inkorporowana do </w:t>
      </w:r>
      <w:proofErr w:type="spellStart"/>
      <w:r w:rsidR="00F74C85" w:rsidRPr="0027254D">
        <w:rPr>
          <w:rFonts w:ascii="Times New Roman" w:hAnsi="Times New Roman" w:cs="Times New Roman"/>
          <w:i/>
          <w:sz w:val="24"/>
          <w:szCs w:val="24"/>
        </w:rPr>
        <w:t>acquis</w:t>
      </w:r>
      <w:proofErr w:type="spellEnd"/>
      <w:r w:rsidR="00F74C85" w:rsidRPr="00205E56">
        <w:rPr>
          <w:rFonts w:ascii="Times New Roman" w:hAnsi="Times New Roman" w:cs="Times New Roman"/>
          <w:sz w:val="24"/>
          <w:szCs w:val="24"/>
        </w:rPr>
        <w:t xml:space="preserve"> EOG i ma zastosowanie również do Norwegi</w:t>
      </w:r>
      <w:r w:rsidR="001525DC">
        <w:rPr>
          <w:rFonts w:ascii="Times New Roman" w:hAnsi="Times New Roman" w:cs="Times New Roman"/>
          <w:sz w:val="24"/>
          <w:szCs w:val="24"/>
        </w:rPr>
        <w:t>i, Islandii i </w:t>
      </w:r>
      <w:r w:rsidR="00F74C85" w:rsidRPr="00205E56">
        <w:rPr>
          <w:rFonts w:ascii="Times New Roman" w:hAnsi="Times New Roman" w:cs="Times New Roman"/>
          <w:sz w:val="24"/>
          <w:szCs w:val="24"/>
        </w:rPr>
        <w:t>Liechtensteinu).</w:t>
      </w:r>
    </w:p>
    <w:p w14:paraId="021844E8" w14:textId="467DE86C" w:rsidR="00657F81" w:rsidRPr="00205E56" w:rsidRDefault="00657F81"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3</w:t>
      </w:r>
      <w:r w:rsidR="00EE2835" w:rsidRPr="00205E56">
        <w:rPr>
          <w:rFonts w:ascii="Times New Roman" w:hAnsi="Times New Roman" w:cs="Times New Roman"/>
          <w:b/>
          <w:sz w:val="24"/>
          <w:szCs w:val="24"/>
        </w:rPr>
        <w:t>5</w:t>
      </w:r>
      <w:r w:rsidRPr="00205E56">
        <w:rPr>
          <w:rFonts w:ascii="Times New Roman" w:hAnsi="Times New Roman" w:cs="Times New Roman"/>
          <w:sz w:val="24"/>
          <w:szCs w:val="24"/>
        </w:rPr>
        <w:t xml:space="preserve"> uchyla się art. 38 w związku z wprowadzeniem art. 37a. </w:t>
      </w:r>
    </w:p>
    <w:p w14:paraId="312A621A" w14:textId="674A635B" w:rsidR="00C7048F" w:rsidRPr="00205E56" w:rsidRDefault="00C7048F"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3</w:t>
      </w:r>
      <w:r w:rsidR="00EE2835" w:rsidRPr="00205E56">
        <w:rPr>
          <w:rFonts w:ascii="Times New Roman" w:hAnsi="Times New Roman" w:cs="Times New Roman"/>
          <w:b/>
          <w:sz w:val="24"/>
          <w:szCs w:val="24"/>
        </w:rPr>
        <w:t>6</w:t>
      </w:r>
      <w:r w:rsidRPr="00205E56">
        <w:rPr>
          <w:rFonts w:ascii="Times New Roman" w:hAnsi="Times New Roman" w:cs="Times New Roman"/>
          <w:sz w:val="24"/>
          <w:szCs w:val="24"/>
        </w:rPr>
        <w:t xml:space="preserve"> wprowadza się zmiany w art. 40,</w:t>
      </w:r>
      <w:r w:rsidR="00404433" w:rsidRPr="00205E56">
        <w:rPr>
          <w:rFonts w:ascii="Times New Roman" w:hAnsi="Times New Roman" w:cs="Times New Roman"/>
          <w:sz w:val="24"/>
          <w:szCs w:val="24"/>
        </w:rPr>
        <w:t xml:space="preserve"> zgodnie z którą udzielenie zgody na wykonanie transakcji płatniczej można również udzielić za pośrednictwem odbiorcy lub dostawcy świadczącego usługę inicjowania płatności.</w:t>
      </w:r>
    </w:p>
    <w:p w14:paraId="4202486D" w14:textId="2BD27805" w:rsidR="00C7048F" w:rsidRPr="00205E56" w:rsidRDefault="00C7048F"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3</w:t>
      </w:r>
      <w:r w:rsidR="00EE2835" w:rsidRPr="00205E56">
        <w:rPr>
          <w:rFonts w:ascii="Times New Roman" w:hAnsi="Times New Roman" w:cs="Times New Roman"/>
          <w:b/>
          <w:sz w:val="24"/>
          <w:szCs w:val="24"/>
        </w:rPr>
        <w:t>7</w:t>
      </w:r>
      <w:r w:rsidRPr="00205E56">
        <w:rPr>
          <w:rFonts w:ascii="Times New Roman" w:hAnsi="Times New Roman" w:cs="Times New Roman"/>
          <w:sz w:val="24"/>
          <w:szCs w:val="24"/>
        </w:rPr>
        <w:t xml:space="preserve"> wprowadza się zmiany </w:t>
      </w:r>
      <w:r w:rsidR="00404433" w:rsidRPr="00205E56">
        <w:rPr>
          <w:rFonts w:ascii="Times New Roman" w:hAnsi="Times New Roman" w:cs="Times New Roman"/>
          <w:sz w:val="24"/>
          <w:szCs w:val="24"/>
        </w:rPr>
        <w:t xml:space="preserve">w art. 41, </w:t>
      </w:r>
      <w:r w:rsidR="00ED24A9" w:rsidRPr="00205E56">
        <w:rPr>
          <w:rFonts w:ascii="Times New Roman" w:hAnsi="Times New Roman" w:cs="Times New Roman"/>
          <w:sz w:val="24"/>
          <w:szCs w:val="24"/>
        </w:rPr>
        <w:t xml:space="preserve">zgodnie z którymi </w:t>
      </w:r>
      <w:r w:rsidR="00404433" w:rsidRPr="00205E56">
        <w:rPr>
          <w:rFonts w:ascii="Times New Roman" w:hAnsi="Times New Roman" w:cs="Times New Roman"/>
          <w:sz w:val="24"/>
          <w:szCs w:val="24"/>
        </w:rPr>
        <w:t xml:space="preserve">dostawcy prowadzący rachunek płatniczy będą mogli odmówić dostawcy świadczącemu usługę dostępu do informacji o rachunku lub dostawcy świadczącemu usługę inicjowania płatności </w:t>
      </w:r>
      <w:r w:rsidR="00390EB9" w:rsidRPr="00205E56">
        <w:rPr>
          <w:rFonts w:ascii="Times New Roman" w:hAnsi="Times New Roman" w:cs="Times New Roman"/>
          <w:sz w:val="24"/>
          <w:szCs w:val="24"/>
        </w:rPr>
        <w:t xml:space="preserve">dostępu do danego rachunku płatniczego z uzasadnionych i udokumentowanych względów związanych z nieuprawnionym lub nielegalnym dostępem do rachunku płatniczego przez tych dostawców, a także z nieuprawnionym lub nielegalnym zainicjowaniem transakcji płatniczej. </w:t>
      </w:r>
    </w:p>
    <w:p w14:paraId="6CA1544A" w14:textId="1FCC6A3F" w:rsidR="00390EB9" w:rsidRPr="00205E56" w:rsidRDefault="00C7048F"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B55D2B" w:rsidRPr="00205E56">
        <w:rPr>
          <w:rFonts w:ascii="Times New Roman" w:hAnsi="Times New Roman" w:cs="Times New Roman"/>
          <w:b/>
          <w:sz w:val="24"/>
          <w:szCs w:val="24"/>
        </w:rPr>
        <w:t>3</w:t>
      </w:r>
      <w:r w:rsidR="00EE2835" w:rsidRPr="00205E56">
        <w:rPr>
          <w:rFonts w:ascii="Times New Roman" w:hAnsi="Times New Roman" w:cs="Times New Roman"/>
          <w:b/>
          <w:sz w:val="24"/>
          <w:szCs w:val="24"/>
        </w:rPr>
        <w:t>8</w:t>
      </w:r>
      <w:r w:rsidR="00390EB9" w:rsidRPr="00205E56">
        <w:rPr>
          <w:rFonts w:ascii="Times New Roman" w:hAnsi="Times New Roman" w:cs="Times New Roman"/>
          <w:sz w:val="24"/>
          <w:szCs w:val="24"/>
        </w:rPr>
        <w:t xml:space="preserve"> wprowadza się zmianę w art. 42 </w:t>
      </w:r>
      <w:r w:rsidR="00777DC5" w:rsidRPr="00205E56">
        <w:rPr>
          <w:rFonts w:ascii="Times New Roman" w:hAnsi="Times New Roman" w:cs="Times New Roman"/>
          <w:sz w:val="24"/>
          <w:szCs w:val="24"/>
        </w:rPr>
        <w:t xml:space="preserve">ust. 1 </w:t>
      </w:r>
      <w:r w:rsidR="00390EB9" w:rsidRPr="00205E56">
        <w:rPr>
          <w:rFonts w:ascii="Times New Roman" w:hAnsi="Times New Roman" w:cs="Times New Roman"/>
          <w:sz w:val="24"/>
          <w:szCs w:val="24"/>
        </w:rPr>
        <w:t xml:space="preserve">pkt </w:t>
      </w:r>
      <w:r w:rsidR="004C7D0D" w:rsidRPr="00205E56">
        <w:rPr>
          <w:rFonts w:ascii="Times New Roman" w:hAnsi="Times New Roman" w:cs="Times New Roman"/>
          <w:sz w:val="24"/>
          <w:szCs w:val="24"/>
        </w:rPr>
        <w:t xml:space="preserve">1, </w:t>
      </w:r>
      <w:r w:rsidR="00390EB9" w:rsidRPr="00205E56">
        <w:rPr>
          <w:rFonts w:ascii="Times New Roman" w:hAnsi="Times New Roman" w:cs="Times New Roman"/>
          <w:sz w:val="24"/>
          <w:szCs w:val="24"/>
        </w:rPr>
        <w:t xml:space="preserve">polegającą na określeniu obowiązku użytkownika usług płatniczych uprawnionego do korzystania z danego </w:t>
      </w:r>
      <w:r w:rsidR="00390EB9" w:rsidRPr="00205E56">
        <w:rPr>
          <w:rFonts w:ascii="Times New Roman" w:hAnsi="Times New Roman" w:cs="Times New Roman"/>
          <w:sz w:val="24"/>
          <w:szCs w:val="24"/>
        </w:rPr>
        <w:lastRenderedPageBreak/>
        <w:t>instrumentu płatniczego, zgodnie z umow</w:t>
      </w:r>
      <w:r w:rsidR="00B55D2B" w:rsidRPr="00205E56">
        <w:rPr>
          <w:rFonts w:ascii="Times New Roman" w:hAnsi="Times New Roman" w:cs="Times New Roman"/>
          <w:sz w:val="24"/>
          <w:szCs w:val="24"/>
        </w:rPr>
        <w:t>ą</w:t>
      </w:r>
      <w:r w:rsidR="00390EB9" w:rsidRPr="00205E56">
        <w:rPr>
          <w:rFonts w:ascii="Times New Roman" w:hAnsi="Times New Roman" w:cs="Times New Roman"/>
          <w:sz w:val="24"/>
          <w:szCs w:val="24"/>
        </w:rPr>
        <w:t xml:space="preserve"> ramow</w:t>
      </w:r>
      <w:r w:rsidR="00B55D2B" w:rsidRPr="00205E56">
        <w:rPr>
          <w:rFonts w:ascii="Times New Roman" w:hAnsi="Times New Roman" w:cs="Times New Roman"/>
          <w:sz w:val="24"/>
          <w:szCs w:val="24"/>
        </w:rPr>
        <w:t>ą</w:t>
      </w:r>
      <w:r w:rsidR="00390EB9" w:rsidRPr="00205E56">
        <w:rPr>
          <w:rFonts w:ascii="Times New Roman" w:hAnsi="Times New Roman" w:cs="Times New Roman"/>
          <w:sz w:val="24"/>
          <w:szCs w:val="24"/>
        </w:rPr>
        <w:t>, która powinna zawierać</w:t>
      </w:r>
      <w:r w:rsidR="00D07BEB" w:rsidRPr="00205E56">
        <w:rPr>
          <w:rFonts w:ascii="Times New Roman" w:hAnsi="Times New Roman" w:cs="Times New Roman"/>
          <w:sz w:val="24"/>
          <w:szCs w:val="24"/>
        </w:rPr>
        <w:t xml:space="preserve"> </w:t>
      </w:r>
      <w:r w:rsidR="00390EB9" w:rsidRPr="00205E56">
        <w:rPr>
          <w:rFonts w:ascii="Times New Roman" w:hAnsi="Times New Roman" w:cs="Times New Roman"/>
          <w:sz w:val="24"/>
          <w:szCs w:val="24"/>
        </w:rPr>
        <w:t xml:space="preserve">obiektywne, niedyskryminujące i proporcjonalne postanowienia. </w:t>
      </w:r>
    </w:p>
    <w:p w14:paraId="042B7ACC" w14:textId="21B37005" w:rsidR="00C7048F" w:rsidRPr="00205E56" w:rsidRDefault="00C7048F"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B55D2B" w:rsidRPr="00205E56">
        <w:rPr>
          <w:rFonts w:ascii="Times New Roman" w:hAnsi="Times New Roman" w:cs="Times New Roman"/>
          <w:b/>
          <w:sz w:val="24"/>
          <w:szCs w:val="24"/>
        </w:rPr>
        <w:t>3</w:t>
      </w:r>
      <w:r w:rsidR="00EE2835" w:rsidRPr="00205E56">
        <w:rPr>
          <w:rFonts w:ascii="Times New Roman" w:hAnsi="Times New Roman" w:cs="Times New Roman"/>
          <w:b/>
          <w:sz w:val="24"/>
          <w:szCs w:val="24"/>
        </w:rPr>
        <w:t>9</w:t>
      </w:r>
      <w:r w:rsidR="00657F81" w:rsidRPr="00205E56">
        <w:rPr>
          <w:rFonts w:ascii="Times New Roman" w:hAnsi="Times New Roman" w:cs="Times New Roman"/>
          <w:sz w:val="24"/>
          <w:szCs w:val="24"/>
        </w:rPr>
        <w:t xml:space="preserve"> </w:t>
      </w:r>
      <w:r w:rsidRPr="00205E56">
        <w:rPr>
          <w:rFonts w:ascii="Times New Roman" w:hAnsi="Times New Roman" w:cs="Times New Roman"/>
          <w:sz w:val="24"/>
          <w:szCs w:val="24"/>
        </w:rPr>
        <w:t>wprowadza się zmiany w art. 43</w:t>
      </w:r>
      <w:r w:rsidR="00777DC5" w:rsidRPr="00205E56">
        <w:rPr>
          <w:rFonts w:ascii="Times New Roman" w:hAnsi="Times New Roman" w:cs="Times New Roman"/>
          <w:sz w:val="24"/>
          <w:szCs w:val="24"/>
        </w:rPr>
        <w:t xml:space="preserve">; </w:t>
      </w:r>
      <w:r w:rsidR="008910BB" w:rsidRPr="00205E56">
        <w:rPr>
          <w:rFonts w:ascii="Times New Roman" w:hAnsi="Times New Roman" w:cs="Times New Roman"/>
          <w:sz w:val="24"/>
          <w:szCs w:val="24"/>
        </w:rPr>
        <w:t xml:space="preserve">zmiana dotyczy obowiązku dostawcy wydającego instrument płatniczy, aby upewniał się, że indywidualne dane uwierzytelniające nie są dostępne dla stron innych niż użytkownik, który jest uprawniony do posługiwania się danym instrumentem płatniczym. </w:t>
      </w:r>
      <w:r w:rsidR="0084443F" w:rsidRPr="00205E56">
        <w:rPr>
          <w:rFonts w:ascii="Times New Roman" w:hAnsi="Times New Roman" w:cs="Times New Roman"/>
          <w:sz w:val="24"/>
          <w:szCs w:val="24"/>
        </w:rPr>
        <w:t>R</w:t>
      </w:r>
      <w:r w:rsidR="008910BB" w:rsidRPr="00205E56">
        <w:rPr>
          <w:rFonts w:ascii="Times New Roman" w:hAnsi="Times New Roman" w:cs="Times New Roman"/>
          <w:sz w:val="24"/>
          <w:szCs w:val="24"/>
        </w:rPr>
        <w:t>yzyk</w:t>
      </w:r>
      <w:r w:rsidR="0084443F" w:rsidRPr="00205E56">
        <w:rPr>
          <w:rFonts w:ascii="Times New Roman" w:hAnsi="Times New Roman" w:cs="Times New Roman"/>
          <w:sz w:val="24"/>
          <w:szCs w:val="24"/>
        </w:rPr>
        <w:t>o</w:t>
      </w:r>
      <w:r w:rsidR="008910BB" w:rsidRPr="00205E56">
        <w:rPr>
          <w:rFonts w:ascii="Times New Roman" w:hAnsi="Times New Roman" w:cs="Times New Roman"/>
          <w:sz w:val="24"/>
          <w:szCs w:val="24"/>
        </w:rPr>
        <w:t xml:space="preserve"> </w:t>
      </w:r>
      <w:r w:rsidR="0084443F" w:rsidRPr="00205E56">
        <w:rPr>
          <w:rFonts w:ascii="Times New Roman" w:hAnsi="Times New Roman" w:cs="Times New Roman"/>
          <w:sz w:val="24"/>
          <w:szCs w:val="24"/>
        </w:rPr>
        <w:t>związane</w:t>
      </w:r>
      <w:r w:rsidR="001525DC">
        <w:rPr>
          <w:rFonts w:ascii="Times New Roman" w:hAnsi="Times New Roman" w:cs="Times New Roman"/>
          <w:sz w:val="24"/>
          <w:szCs w:val="24"/>
        </w:rPr>
        <w:t xml:space="preserve"> z </w:t>
      </w:r>
      <w:r w:rsidR="008910BB" w:rsidRPr="00205E56">
        <w:rPr>
          <w:rFonts w:ascii="Times New Roman" w:hAnsi="Times New Roman" w:cs="Times New Roman"/>
          <w:sz w:val="24"/>
          <w:szCs w:val="24"/>
        </w:rPr>
        <w:t xml:space="preserve">przesłaniem płatnikowi instrumentu płatniczego lub wszelkich danych uwierzytelniających </w:t>
      </w:r>
      <w:r w:rsidR="0084443F" w:rsidRPr="00205E56">
        <w:rPr>
          <w:rFonts w:ascii="Times New Roman" w:hAnsi="Times New Roman" w:cs="Times New Roman"/>
          <w:sz w:val="24"/>
          <w:szCs w:val="24"/>
        </w:rPr>
        <w:t xml:space="preserve">ponosi dostawca usług. </w:t>
      </w:r>
    </w:p>
    <w:p w14:paraId="13128468" w14:textId="4D55DDAE" w:rsidR="00C7048F" w:rsidRPr="00205E56" w:rsidRDefault="00C7048F"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EE2835" w:rsidRPr="00205E56">
        <w:rPr>
          <w:rFonts w:ascii="Times New Roman" w:hAnsi="Times New Roman" w:cs="Times New Roman"/>
          <w:b/>
          <w:sz w:val="24"/>
          <w:szCs w:val="24"/>
        </w:rPr>
        <w:t>40</w:t>
      </w:r>
      <w:r w:rsidR="0084443F" w:rsidRPr="00205E56">
        <w:rPr>
          <w:rFonts w:ascii="Times New Roman" w:hAnsi="Times New Roman" w:cs="Times New Roman"/>
          <w:sz w:val="24"/>
          <w:szCs w:val="24"/>
        </w:rPr>
        <w:t xml:space="preserve"> wprowadza się zmianę w art. 44 przez dodanie ust. 3a, zgodnie z </w:t>
      </w:r>
      <w:r w:rsidR="001B6445" w:rsidRPr="00205E56">
        <w:rPr>
          <w:rFonts w:ascii="Times New Roman" w:hAnsi="Times New Roman" w:cs="Times New Roman"/>
          <w:sz w:val="24"/>
          <w:szCs w:val="24"/>
        </w:rPr>
        <w:t>którym</w:t>
      </w:r>
      <w:r w:rsidR="0084443F" w:rsidRPr="00205E56">
        <w:rPr>
          <w:rFonts w:ascii="Times New Roman" w:hAnsi="Times New Roman" w:cs="Times New Roman"/>
          <w:sz w:val="24"/>
          <w:szCs w:val="24"/>
        </w:rPr>
        <w:t xml:space="preserve"> użytkownik </w:t>
      </w:r>
      <w:r w:rsidR="001B6445" w:rsidRPr="00205E56">
        <w:rPr>
          <w:rFonts w:ascii="Times New Roman" w:hAnsi="Times New Roman" w:cs="Times New Roman"/>
          <w:sz w:val="24"/>
          <w:szCs w:val="24"/>
        </w:rPr>
        <w:t xml:space="preserve">uzyskuje korektę </w:t>
      </w:r>
      <w:r w:rsidR="0084443F" w:rsidRPr="00205E56">
        <w:rPr>
          <w:rFonts w:ascii="Times New Roman" w:hAnsi="Times New Roman" w:cs="Times New Roman"/>
          <w:sz w:val="24"/>
          <w:szCs w:val="24"/>
        </w:rPr>
        <w:t xml:space="preserve">nieautoryzowanych </w:t>
      </w:r>
      <w:r w:rsidR="001B6445" w:rsidRPr="00205E56">
        <w:rPr>
          <w:rFonts w:ascii="Times New Roman" w:hAnsi="Times New Roman" w:cs="Times New Roman"/>
          <w:sz w:val="24"/>
          <w:szCs w:val="24"/>
        </w:rPr>
        <w:t>lub nieprawidłowo wykonanych transakcj</w:t>
      </w:r>
      <w:r w:rsidR="00041487" w:rsidRPr="00205E56">
        <w:rPr>
          <w:rFonts w:ascii="Times New Roman" w:hAnsi="Times New Roman" w:cs="Times New Roman"/>
          <w:sz w:val="24"/>
          <w:szCs w:val="24"/>
        </w:rPr>
        <w:t>i</w:t>
      </w:r>
      <w:r w:rsidR="001B6445" w:rsidRPr="00205E56">
        <w:rPr>
          <w:rFonts w:ascii="Times New Roman" w:hAnsi="Times New Roman" w:cs="Times New Roman"/>
          <w:sz w:val="24"/>
          <w:szCs w:val="24"/>
        </w:rPr>
        <w:t xml:space="preserve"> płatniczych, w których udział bierze dostawca świadczący usługę inicjowania płatności</w:t>
      </w:r>
      <w:r w:rsidR="00777DC5" w:rsidRPr="00205E56">
        <w:rPr>
          <w:rFonts w:ascii="Times New Roman" w:hAnsi="Times New Roman" w:cs="Times New Roman"/>
          <w:sz w:val="24"/>
          <w:szCs w:val="24"/>
        </w:rPr>
        <w:t>,</w:t>
      </w:r>
      <w:r w:rsidR="001B6445" w:rsidRPr="00205E56">
        <w:rPr>
          <w:rFonts w:ascii="Times New Roman" w:hAnsi="Times New Roman" w:cs="Times New Roman"/>
          <w:sz w:val="24"/>
          <w:szCs w:val="24"/>
        </w:rPr>
        <w:t xml:space="preserve"> od dostawcy usług płatniczych prowadzącego rachunek.</w:t>
      </w:r>
    </w:p>
    <w:p w14:paraId="486E4845" w14:textId="72263F6A" w:rsidR="0054663B" w:rsidRPr="00205E56" w:rsidRDefault="00C7048F"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773BE1" w:rsidRPr="00205E56">
        <w:rPr>
          <w:rFonts w:ascii="Times New Roman" w:hAnsi="Times New Roman" w:cs="Times New Roman"/>
          <w:b/>
          <w:sz w:val="24"/>
          <w:szCs w:val="24"/>
        </w:rPr>
        <w:t>4</w:t>
      </w:r>
      <w:r w:rsidR="00EE2835" w:rsidRPr="00205E56">
        <w:rPr>
          <w:rFonts w:ascii="Times New Roman" w:hAnsi="Times New Roman" w:cs="Times New Roman"/>
          <w:b/>
          <w:sz w:val="24"/>
          <w:szCs w:val="24"/>
        </w:rPr>
        <w:t>1</w:t>
      </w:r>
      <w:r w:rsidR="005A0404" w:rsidRPr="00205E56">
        <w:rPr>
          <w:rFonts w:ascii="Times New Roman" w:hAnsi="Times New Roman" w:cs="Times New Roman"/>
          <w:sz w:val="24"/>
          <w:szCs w:val="24"/>
        </w:rPr>
        <w:t xml:space="preserve"> wprowadza się </w:t>
      </w:r>
      <w:r w:rsidR="001B6445" w:rsidRPr="00205E56">
        <w:rPr>
          <w:rFonts w:ascii="Times New Roman" w:hAnsi="Times New Roman" w:cs="Times New Roman"/>
          <w:sz w:val="24"/>
          <w:szCs w:val="24"/>
        </w:rPr>
        <w:t>zmiany w art. 45</w:t>
      </w:r>
      <w:r w:rsidR="00777DC5" w:rsidRPr="00205E56">
        <w:rPr>
          <w:rFonts w:ascii="Times New Roman" w:hAnsi="Times New Roman" w:cs="Times New Roman"/>
          <w:sz w:val="24"/>
          <w:szCs w:val="24"/>
        </w:rPr>
        <w:t xml:space="preserve">; </w:t>
      </w:r>
      <w:r w:rsidR="001B6445" w:rsidRPr="00205E56">
        <w:rPr>
          <w:rFonts w:ascii="Times New Roman" w:hAnsi="Times New Roman" w:cs="Times New Roman"/>
          <w:sz w:val="24"/>
          <w:szCs w:val="24"/>
        </w:rPr>
        <w:t xml:space="preserve">dodawany ust. 1a </w:t>
      </w:r>
      <w:r w:rsidR="00537902" w:rsidRPr="00205E56">
        <w:rPr>
          <w:rFonts w:ascii="Times New Roman" w:hAnsi="Times New Roman" w:cs="Times New Roman"/>
          <w:sz w:val="24"/>
          <w:szCs w:val="24"/>
        </w:rPr>
        <w:t>nakłada obowiązek udowodnienia</w:t>
      </w:r>
      <w:r w:rsidR="0054663B" w:rsidRPr="00205E56">
        <w:rPr>
          <w:rFonts w:ascii="Times New Roman" w:hAnsi="Times New Roman" w:cs="Times New Roman"/>
          <w:sz w:val="24"/>
          <w:szCs w:val="24"/>
        </w:rPr>
        <w:t xml:space="preserve"> przez dostawcę świadczącego usługę inicjowania płatności, </w:t>
      </w:r>
      <w:r w:rsidR="00013941" w:rsidRPr="00205E56">
        <w:rPr>
          <w:rFonts w:ascii="Times New Roman" w:hAnsi="Times New Roman" w:cs="Times New Roman"/>
          <w:sz w:val="24"/>
          <w:szCs w:val="24"/>
        </w:rPr>
        <w:t xml:space="preserve">że transakcja płatnicza została prawidłowo </w:t>
      </w:r>
      <w:r w:rsidR="00537902" w:rsidRPr="00205E56">
        <w:rPr>
          <w:rFonts w:ascii="Times New Roman" w:hAnsi="Times New Roman" w:cs="Times New Roman"/>
          <w:sz w:val="24"/>
          <w:szCs w:val="24"/>
        </w:rPr>
        <w:t>uwierzy</w:t>
      </w:r>
      <w:r w:rsidR="00013941" w:rsidRPr="00205E56">
        <w:rPr>
          <w:rFonts w:ascii="Times New Roman" w:hAnsi="Times New Roman" w:cs="Times New Roman"/>
          <w:sz w:val="24"/>
          <w:szCs w:val="24"/>
        </w:rPr>
        <w:t>telniona</w:t>
      </w:r>
      <w:r w:rsidR="0054663B" w:rsidRPr="00205E56">
        <w:rPr>
          <w:rFonts w:ascii="Times New Roman" w:hAnsi="Times New Roman" w:cs="Times New Roman"/>
          <w:sz w:val="24"/>
          <w:szCs w:val="24"/>
        </w:rPr>
        <w:t>.</w:t>
      </w:r>
      <w:r w:rsidR="00E30F32" w:rsidRPr="00205E56">
        <w:rPr>
          <w:rFonts w:ascii="Times New Roman" w:hAnsi="Times New Roman" w:cs="Times New Roman"/>
          <w:sz w:val="24"/>
          <w:szCs w:val="24"/>
        </w:rPr>
        <w:t xml:space="preserve"> Wykreśla się również </w:t>
      </w:r>
      <w:r w:rsidR="00777DC5" w:rsidRPr="00205E56">
        <w:rPr>
          <w:rFonts w:ascii="Times New Roman" w:hAnsi="Times New Roman" w:cs="Times New Roman"/>
          <w:sz w:val="24"/>
          <w:szCs w:val="24"/>
        </w:rPr>
        <w:t xml:space="preserve">wyrazy </w:t>
      </w:r>
      <w:r w:rsidR="00E30F32" w:rsidRPr="00205E56">
        <w:rPr>
          <w:rFonts w:ascii="Times New Roman" w:hAnsi="Times New Roman" w:cs="Times New Roman"/>
          <w:sz w:val="24"/>
          <w:szCs w:val="24"/>
        </w:rPr>
        <w:t>„przez użytkownika” – użytkownik autoryzuje płatność, podczas gdy do autentykacji dochodzi – co najmniej w istotnej części – przez zastosowanie określonej procedury przez dostawcę. Zmiany w ust. 2 wynikają z dostosowania do treści art. 72 ust. 2 PSD</w:t>
      </w:r>
      <w:r w:rsidR="00777DC5" w:rsidRPr="00205E56">
        <w:rPr>
          <w:rFonts w:ascii="Times New Roman" w:hAnsi="Times New Roman" w:cs="Times New Roman"/>
          <w:sz w:val="24"/>
          <w:szCs w:val="24"/>
        </w:rPr>
        <w:t xml:space="preserve"> </w:t>
      </w:r>
      <w:r w:rsidR="00E30F32" w:rsidRPr="00205E56">
        <w:rPr>
          <w:rFonts w:ascii="Times New Roman" w:hAnsi="Times New Roman" w:cs="Times New Roman"/>
          <w:sz w:val="24"/>
          <w:szCs w:val="24"/>
        </w:rPr>
        <w:t xml:space="preserve">2 oraz dostosowania terminologicznego do pozostałych przepisów </w:t>
      </w:r>
      <w:r w:rsidR="00777DC5" w:rsidRPr="00205E56">
        <w:rPr>
          <w:rFonts w:ascii="Times New Roman" w:hAnsi="Times New Roman" w:cs="Times New Roman"/>
          <w:sz w:val="24"/>
          <w:szCs w:val="24"/>
        </w:rPr>
        <w:t>ustawy</w:t>
      </w:r>
      <w:r w:rsidR="00E30F32" w:rsidRPr="00205E56">
        <w:rPr>
          <w:rFonts w:ascii="Times New Roman" w:hAnsi="Times New Roman" w:cs="Times New Roman"/>
          <w:sz w:val="24"/>
          <w:szCs w:val="24"/>
        </w:rPr>
        <w:t>.</w:t>
      </w:r>
    </w:p>
    <w:p w14:paraId="49D76BA3" w14:textId="0F3C9A56" w:rsidR="00573F5D" w:rsidRPr="00205E56" w:rsidRDefault="00573F5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773BE1" w:rsidRPr="00205E56">
        <w:rPr>
          <w:rFonts w:ascii="Times New Roman" w:hAnsi="Times New Roman" w:cs="Times New Roman"/>
          <w:b/>
          <w:sz w:val="24"/>
          <w:szCs w:val="24"/>
        </w:rPr>
        <w:t>4</w:t>
      </w:r>
      <w:r w:rsidR="00EE2835" w:rsidRPr="00205E56">
        <w:rPr>
          <w:rFonts w:ascii="Times New Roman" w:hAnsi="Times New Roman" w:cs="Times New Roman"/>
          <w:b/>
          <w:sz w:val="24"/>
          <w:szCs w:val="24"/>
        </w:rPr>
        <w:t>2</w:t>
      </w:r>
      <w:r w:rsidRPr="00205E56">
        <w:rPr>
          <w:rFonts w:ascii="Times New Roman" w:hAnsi="Times New Roman" w:cs="Times New Roman"/>
          <w:sz w:val="24"/>
          <w:szCs w:val="24"/>
        </w:rPr>
        <w:t xml:space="preserve"> wprowadza się zmiany w art. 46,</w:t>
      </w:r>
      <w:r w:rsidR="009C73E6" w:rsidRPr="00205E56">
        <w:rPr>
          <w:rFonts w:ascii="Times New Roman" w:hAnsi="Times New Roman" w:cs="Times New Roman"/>
          <w:sz w:val="24"/>
          <w:szCs w:val="24"/>
        </w:rPr>
        <w:t xml:space="preserve"> dod</w:t>
      </w:r>
      <w:r w:rsidR="001525DC">
        <w:rPr>
          <w:rFonts w:ascii="Times New Roman" w:hAnsi="Times New Roman" w:cs="Times New Roman"/>
          <w:sz w:val="24"/>
          <w:szCs w:val="24"/>
        </w:rPr>
        <w:t>aje się ust. 1a–</w:t>
      </w:r>
      <w:r w:rsidR="009C73E6" w:rsidRPr="00205E56">
        <w:rPr>
          <w:rFonts w:ascii="Times New Roman" w:hAnsi="Times New Roman" w:cs="Times New Roman"/>
          <w:sz w:val="24"/>
          <w:szCs w:val="24"/>
        </w:rPr>
        <w:t xml:space="preserve">1c, które nakładają na dostawców świadczących sługę inicjowania płatności </w:t>
      </w:r>
      <w:r w:rsidR="005012CF" w:rsidRPr="00205E56">
        <w:rPr>
          <w:rFonts w:ascii="Times New Roman" w:hAnsi="Times New Roman" w:cs="Times New Roman"/>
          <w:sz w:val="24"/>
          <w:szCs w:val="24"/>
        </w:rPr>
        <w:t>obowiązek</w:t>
      </w:r>
      <w:r w:rsidR="009C73E6" w:rsidRPr="00205E56">
        <w:rPr>
          <w:rFonts w:ascii="Times New Roman" w:hAnsi="Times New Roman" w:cs="Times New Roman"/>
          <w:sz w:val="24"/>
          <w:szCs w:val="24"/>
        </w:rPr>
        <w:t xml:space="preserve"> odpowiedzialności za nieautoryzowane transakcje płatnicze. </w:t>
      </w:r>
      <w:r w:rsidR="00041487" w:rsidRPr="00205E56">
        <w:rPr>
          <w:rFonts w:ascii="Times New Roman" w:hAnsi="Times New Roman" w:cs="Times New Roman"/>
          <w:sz w:val="24"/>
          <w:szCs w:val="24"/>
        </w:rPr>
        <w:t>W ust. 2 dokonano zmiany polegającej na zmniejszeniu progu odpowiedzialności płatnika za straty spowodowane nieautoryzowanymi transakcjami płatniczymi ze 150 euro do 50 euro.</w:t>
      </w:r>
    </w:p>
    <w:p w14:paraId="68492D9F" w14:textId="18D14A7E" w:rsidR="00573F5D" w:rsidRPr="00205E56" w:rsidRDefault="00573F5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773BE1" w:rsidRPr="00205E56">
        <w:rPr>
          <w:rFonts w:ascii="Times New Roman" w:hAnsi="Times New Roman" w:cs="Times New Roman"/>
          <w:b/>
          <w:sz w:val="24"/>
          <w:szCs w:val="24"/>
        </w:rPr>
        <w:t>4</w:t>
      </w:r>
      <w:r w:rsidR="00EE2835" w:rsidRPr="00205E56">
        <w:rPr>
          <w:rFonts w:ascii="Times New Roman" w:hAnsi="Times New Roman" w:cs="Times New Roman"/>
          <w:b/>
          <w:sz w:val="24"/>
          <w:szCs w:val="24"/>
        </w:rPr>
        <w:t>3</w:t>
      </w:r>
      <w:r w:rsidRPr="00205E56">
        <w:rPr>
          <w:rFonts w:ascii="Times New Roman" w:hAnsi="Times New Roman" w:cs="Times New Roman"/>
          <w:sz w:val="24"/>
          <w:szCs w:val="24"/>
        </w:rPr>
        <w:t xml:space="preserve"> wprowadza się zmiany w art. 47, </w:t>
      </w:r>
      <w:r w:rsidR="00C96DC6" w:rsidRPr="00205E56">
        <w:rPr>
          <w:rFonts w:ascii="Times New Roman" w:hAnsi="Times New Roman" w:cs="Times New Roman"/>
          <w:sz w:val="24"/>
          <w:szCs w:val="24"/>
        </w:rPr>
        <w:t>zgodnie z którymi płatnik jest uprawniony do otrzymania zwrotu kwoty z tytułu transakcji płatniczych zainicjowanych przez odbiorcę lub za jego pośrednictwem, które już zostały wykonane</w:t>
      </w:r>
      <w:r w:rsidR="00405910" w:rsidRPr="00205E56">
        <w:rPr>
          <w:rFonts w:ascii="Times New Roman" w:hAnsi="Times New Roman" w:cs="Times New Roman"/>
          <w:sz w:val="24"/>
          <w:szCs w:val="24"/>
        </w:rPr>
        <w:t xml:space="preserve"> (po spełnieniu określonych warunków).</w:t>
      </w:r>
      <w:r w:rsidR="00A5023A" w:rsidRPr="00205E56">
        <w:rPr>
          <w:rFonts w:ascii="Times New Roman" w:hAnsi="Times New Roman" w:cs="Times New Roman"/>
          <w:sz w:val="24"/>
          <w:szCs w:val="24"/>
        </w:rPr>
        <w:t xml:space="preserve"> Zwrot obejmuje pełną kwotę wykonanej transakcji</w:t>
      </w:r>
      <w:r w:rsidR="00405910" w:rsidRPr="00205E56">
        <w:rPr>
          <w:rFonts w:ascii="Times New Roman" w:hAnsi="Times New Roman" w:cs="Times New Roman"/>
          <w:sz w:val="24"/>
          <w:szCs w:val="24"/>
        </w:rPr>
        <w:t xml:space="preserve"> płatniczej, przy czym data waluty w odniesieniu do uznania rachunku płatniczego płatnika nie jest późniejsza od daty obciążenia tą kwotą. </w:t>
      </w:r>
    </w:p>
    <w:p w14:paraId="5A680BB2" w14:textId="040EC0A0" w:rsidR="00B44CE0" w:rsidRPr="00205E56" w:rsidRDefault="00350187"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773BE1" w:rsidRPr="00205E56">
        <w:rPr>
          <w:rFonts w:ascii="Times New Roman" w:hAnsi="Times New Roman" w:cs="Times New Roman"/>
          <w:b/>
          <w:sz w:val="24"/>
          <w:szCs w:val="24"/>
        </w:rPr>
        <w:t>4</w:t>
      </w:r>
      <w:r w:rsidR="00EE2835" w:rsidRPr="00205E56">
        <w:rPr>
          <w:rFonts w:ascii="Times New Roman" w:hAnsi="Times New Roman" w:cs="Times New Roman"/>
          <w:b/>
          <w:sz w:val="24"/>
          <w:szCs w:val="24"/>
        </w:rPr>
        <w:t>4</w:t>
      </w:r>
      <w:r w:rsidRPr="00205E56">
        <w:rPr>
          <w:rFonts w:ascii="Times New Roman" w:hAnsi="Times New Roman" w:cs="Times New Roman"/>
          <w:sz w:val="24"/>
          <w:szCs w:val="24"/>
        </w:rPr>
        <w:t xml:space="preserve"> wprowad</w:t>
      </w:r>
      <w:r w:rsidR="00327843" w:rsidRPr="00205E56">
        <w:rPr>
          <w:rFonts w:ascii="Times New Roman" w:hAnsi="Times New Roman" w:cs="Times New Roman"/>
          <w:sz w:val="24"/>
          <w:szCs w:val="24"/>
        </w:rPr>
        <w:t xml:space="preserve">za się zmiany w art. 49 </w:t>
      </w:r>
      <w:r w:rsidR="00B44CE0" w:rsidRPr="00205E56">
        <w:rPr>
          <w:rFonts w:ascii="Times New Roman" w:hAnsi="Times New Roman" w:cs="Times New Roman"/>
          <w:sz w:val="24"/>
          <w:szCs w:val="24"/>
        </w:rPr>
        <w:t>w ust. 1</w:t>
      </w:r>
      <w:r w:rsidR="006E5530" w:rsidRPr="00205E56">
        <w:rPr>
          <w:rFonts w:ascii="Times New Roman" w:hAnsi="Times New Roman" w:cs="Times New Roman"/>
          <w:sz w:val="24"/>
          <w:szCs w:val="24"/>
        </w:rPr>
        <w:t xml:space="preserve"> </w:t>
      </w:r>
      <w:r w:rsidR="00205E56" w:rsidRPr="00205E56">
        <w:rPr>
          <w:rFonts w:ascii="Times New Roman" w:hAnsi="Times New Roman" w:cs="Times New Roman"/>
          <w:sz w:val="24"/>
          <w:szCs w:val="24"/>
        </w:rPr>
        <w:t>–</w:t>
      </w:r>
      <w:r w:rsidR="006E5530" w:rsidRPr="00205E56">
        <w:rPr>
          <w:rFonts w:ascii="Times New Roman" w:hAnsi="Times New Roman" w:cs="Times New Roman"/>
          <w:sz w:val="24"/>
          <w:szCs w:val="24"/>
        </w:rPr>
        <w:t xml:space="preserve"> </w:t>
      </w:r>
      <w:r w:rsidR="00B44CE0" w:rsidRPr="00205E56">
        <w:rPr>
          <w:rFonts w:ascii="Times New Roman" w:hAnsi="Times New Roman" w:cs="Times New Roman"/>
          <w:sz w:val="24"/>
          <w:szCs w:val="24"/>
        </w:rPr>
        <w:t>za moment otrzymania zlecenia płatniczego uznawan</w:t>
      </w:r>
      <w:r w:rsidR="006E5530" w:rsidRPr="00205E56">
        <w:rPr>
          <w:rFonts w:ascii="Times New Roman" w:hAnsi="Times New Roman" w:cs="Times New Roman"/>
          <w:sz w:val="24"/>
          <w:szCs w:val="24"/>
        </w:rPr>
        <w:t xml:space="preserve">e będzie </w:t>
      </w:r>
      <w:r w:rsidR="00B44CE0" w:rsidRPr="00205E56">
        <w:rPr>
          <w:rFonts w:ascii="Times New Roman" w:hAnsi="Times New Roman" w:cs="Times New Roman"/>
          <w:sz w:val="24"/>
          <w:szCs w:val="24"/>
        </w:rPr>
        <w:t xml:space="preserve">otrzymanie zlecenia płatniczego przez dostawcę usług </w:t>
      </w:r>
      <w:r w:rsidR="00B44CE0" w:rsidRPr="00205E56">
        <w:rPr>
          <w:rFonts w:ascii="Times New Roman" w:hAnsi="Times New Roman" w:cs="Times New Roman"/>
          <w:sz w:val="24"/>
          <w:szCs w:val="24"/>
        </w:rPr>
        <w:lastRenderedPageBreak/>
        <w:t>płatniczych płatnika</w:t>
      </w:r>
      <w:r w:rsidR="006E5530" w:rsidRPr="00205E56">
        <w:rPr>
          <w:rFonts w:ascii="Times New Roman" w:hAnsi="Times New Roman" w:cs="Times New Roman"/>
          <w:sz w:val="24"/>
          <w:szCs w:val="24"/>
        </w:rPr>
        <w:t>; wprowadza się także</w:t>
      </w:r>
      <w:r w:rsidR="00D07BEB" w:rsidRPr="00205E56">
        <w:rPr>
          <w:rFonts w:ascii="Times New Roman" w:hAnsi="Times New Roman" w:cs="Times New Roman"/>
          <w:sz w:val="24"/>
          <w:szCs w:val="24"/>
        </w:rPr>
        <w:t xml:space="preserve"> </w:t>
      </w:r>
      <w:r w:rsidR="00327843" w:rsidRPr="00205E56">
        <w:rPr>
          <w:rFonts w:ascii="Times New Roman" w:hAnsi="Times New Roman" w:cs="Times New Roman"/>
          <w:sz w:val="24"/>
          <w:szCs w:val="24"/>
        </w:rPr>
        <w:t>zakaz obciążania prze</w:t>
      </w:r>
      <w:r w:rsidR="002438BA">
        <w:rPr>
          <w:rFonts w:ascii="Times New Roman" w:hAnsi="Times New Roman" w:cs="Times New Roman"/>
          <w:sz w:val="24"/>
          <w:szCs w:val="24"/>
        </w:rPr>
        <w:t>z</w:t>
      </w:r>
      <w:r w:rsidR="00327843" w:rsidRPr="00205E56">
        <w:rPr>
          <w:rFonts w:ascii="Times New Roman" w:hAnsi="Times New Roman" w:cs="Times New Roman"/>
          <w:sz w:val="24"/>
          <w:szCs w:val="24"/>
        </w:rPr>
        <w:t xml:space="preserve"> dostawców rachunku płatnika przed otrzymaniem zlecenia płatniczego.</w:t>
      </w:r>
      <w:r w:rsidR="00B44CE0" w:rsidRPr="00205E56">
        <w:rPr>
          <w:rFonts w:ascii="Times New Roman" w:hAnsi="Times New Roman" w:cs="Times New Roman"/>
          <w:sz w:val="24"/>
          <w:szCs w:val="24"/>
        </w:rPr>
        <w:t xml:space="preserve"> </w:t>
      </w:r>
    </w:p>
    <w:p w14:paraId="64958AD2" w14:textId="3AECD077" w:rsidR="00350187" w:rsidRPr="00205E56" w:rsidRDefault="00350187"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773BE1" w:rsidRPr="00205E56">
        <w:rPr>
          <w:rFonts w:ascii="Times New Roman" w:hAnsi="Times New Roman" w:cs="Times New Roman"/>
          <w:b/>
          <w:sz w:val="24"/>
          <w:szCs w:val="24"/>
        </w:rPr>
        <w:t>4</w:t>
      </w:r>
      <w:r w:rsidR="00EE2835" w:rsidRPr="00205E56">
        <w:rPr>
          <w:rFonts w:ascii="Times New Roman" w:hAnsi="Times New Roman" w:cs="Times New Roman"/>
          <w:b/>
          <w:sz w:val="24"/>
          <w:szCs w:val="24"/>
        </w:rPr>
        <w:t>5</w:t>
      </w:r>
      <w:r w:rsidRPr="00205E56">
        <w:rPr>
          <w:rFonts w:ascii="Times New Roman" w:hAnsi="Times New Roman" w:cs="Times New Roman"/>
          <w:sz w:val="24"/>
          <w:szCs w:val="24"/>
        </w:rPr>
        <w:t xml:space="preserve"> dodaje się art. 49a i </w:t>
      </w:r>
      <w:r w:rsidR="002438BA">
        <w:rPr>
          <w:rFonts w:ascii="Times New Roman" w:hAnsi="Times New Roman" w:cs="Times New Roman"/>
          <w:sz w:val="24"/>
          <w:szCs w:val="24"/>
        </w:rPr>
        <w:t xml:space="preserve">art. </w:t>
      </w:r>
      <w:r w:rsidRPr="00205E56">
        <w:rPr>
          <w:rFonts w:ascii="Times New Roman" w:hAnsi="Times New Roman" w:cs="Times New Roman"/>
          <w:sz w:val="24"/>
          <w:szCs w:val="24"/>
        </w:rPr>
        <w:t>49b</w:t>
      </w:r>
      <w:r w:rsidR="006E5530" w:rsidRPr="00205E56">
        <w:rPr>
          <w:rFonts w:ascii="Times New Roman" w:hAnsi="Times New Roman" w:cs="Times New Roman"/>
          <w:sz w:val="24"/>
          <w:szCs w:val="24"/>
        </w:rPr>
        <w:t>. D</w:t>
      </w:r>
      <w:r w:rsidR="00685F94" w:rsidRPr="00205E56">
        <w:rPr>
          <w:rFonts w:ascii="Times New Roman" w:hAnsi="Times New Roman" w:cs="Times New Roman"/>
          <w:sz w:val="24"/>
          <w:szCs w:val="24"/>
        </w:rPr>
        <w:t xml:space="preserve">odawany art. 49a nakłada nowe obowiązki na </w:t>
      </w:r>
      <w:r w:rsidR="00925EF9" w:rsidRPr="00205E56">
        <w:rPr>
          <w:rFonts w:ascii="Times New Roman" w:hAnsi="Times New Roman" w:cs="Times New Roman"/>
          <w:sz w:val="24"/>
          <w:szCs w:val="24"/>
        </w:rPr>
        <w:t>dostawcę</w:t>
      </w:r>
      <w:r w:rsidR="00685F94" w:rsidRPr="00205E56">
        <w:rPr>
          <w:rFonts w:ascii="Times New Roman" w:hAnsi="Times New Roman" w:cs="Times New Roman"/>
          <w:sz w:val="24"/>
          <w:szCs w:val="24"/>
        </w:rPr>
        <w:t xml:space="preserve"> usług płatniczych </w:t>
      </w:r>
      <w:r w:rsidR="00925EF9" w:rsidRPr="00205E56">
        <w:rPr>
          <w:rFonts w:ascii="Times New Roman" w:hAnsi="Times New Roman" w:cs="Times New Roman"/>
          <w:sz w:val="24"/>
          <w:szCs w:val="24"/>
        </w:rPr>
        <w:t>prowadzącego</w:t>
      </w:r>
      <w:r w:rsidR="00685F94" w:rsidRPr="00205E56">
        <w:rPr>
          <w:rFonts w:ascii="Times New Roman" w:hAnsi="Times New Roman" w:cs="Times New Roman"/>
          <w:sz w:val="24"/>
          <w:szCs w:val="24"/>
        </w:rPr>
        <w:t xml:space="preserve"> rachunek</w:t>
      </w:r>
      <w:r w:rsidR="00925EF9" w:rsidRPr="00205E56">
        <w:rPr>
          <w:rFonts w:ascii="Times New Roman" w:hAnsi="Times New Roman" w:cs="Times New Roman"/>
          <w:sz w:val="24"/>
          <w:szCs w:val="24"/>
        </w:rPr>
        <w:t xml:space="preserve">, </w:t>
      </w:r>
      <w:r w:rsidR="009769E7" w:rsidRPr="00205E56">
        <w:rPr>
          <w:rFonts w:ascii="Times New Roman" w:hAnsi="Times New Roman" w:cs="Times New Roman"/>
          <w:sz w:val="24"/>
          <w:szCs w:val="24"/>
        </w:rPr>
        <w:t xml:space="preserve">które </w:t>
      </w:r>
      <w:r w:rsidR="00925EF9" w:rsidRPr="00205E56">
        <w:rPr>
          <w:rFonts w:ascii="Times New Roman" w:hAnsi="Times New Roman" w:cs="Times New Roman"/>
          <w:sz w:val="24"/>
          <w:szCs w:val="24"/>
        </w:rPr>
        <w:t>dotyczą niezwłocznego potwierdzania (na wniosek dostawcy usług płatniczych wydającego instrumenty płatnicze oparte na karcie) dostępności na rachunku płatniczym płatnika kwoty niezbędnej do wykonania transakcji płatniczej realizowanej za pomocą karty. Przepis zawiera również przesłanki</w:t>
      </w:r>
      <w:r w:rsidR="00D61BE8" w:rsidRPr="00205E56">
        <w:rPr>
          <w:rFonts w:ascii="Times New Roman" w:hAnsi="Times New Roman" w:cs="Times New Roman"/>
          <w:sz w:val="24"/>
          <w:szCs w:val="24"/>
        </w:rPr>
        <w:t xml:space="preserve">, które muszą zostać spełnione, aby dostawca mógł realizować obowiązek potwierdzania dostępności środków pieniężnych na rachunku płatniczym płatnika. </w:t>
      </w:r>
      <w:r w:rsidR="006E5530" w:rsidRPr="00205E56">
        <w:rPr>
          <w:rFonts w:ascii="Times New Roman" w:hAnsi="Times New Roman" w:cs="Times New Roman"/>
          <w:sz w:val="24"/>
          <w:szCs w:val="24"/>
        </w:rPr>
        <w:t xml:space="preserve">Przepis ust. 2 tego artykułu </w:t>
      </w:r>
      <w:r w:rsidR="00D61BE8" w:rsidRPr="00205E56">
        <w:rPr>
          <w:rFonts w:ascii="Times New Roman" w:hAnsi="Times New Roman" w:cs="Times New Roman"/>
          <w:sz w:val="24"/>
          <w:szCs w:val="24"/>
        </w:rPr>
        <w:t>określa warunki</w:t>
      </w:r>
      <w:r w:rsidR="006E5530" w:rsidRPr="00205E56">
        <w:rPr>
          <w:rFonts w:ascii="Times New Roman" w:hAnsi="Times New Roman" w:cs="Times New Roman"/>
          <w:sz w:val="24"/>
          <w:szCs w:val="24"/>
        </w:rPr>
        <w:t>,</w:t>
      </w:r>
      <w:r w:rsidR="00D61BE8" w:rsidRPr="00205E56">
        <w:rPr>
          <w:rFonts w:ascii="Times New Roman" w:hAnsi="Times New Roman" w:cs="Times New Roman"/>
          <w:sz w:val="24"/>
          <w:szCs w:val="24"/>
        </w:rPr>
        <w:t xml:space="preserve"> jakie muszą zostać spełnione, aby dostawca usług płatniczych mógł wystąpić z wnioskiem o potwierdzenie dostępności środków.</w:t>
      </w:r>
      <w:r w:rsidR="00162491" w:rsidRPr="00205E56">
        <w:rPr>
          <w:rFonts w:ascii="Times New Roman" w:hAnsi="Times New Roman" w:cs="Times New Roman"/>
          <w:sz w:val="24"/>
          <w:szCs w:val="24"/>
        </w:rPr>
        <w:t xml:space="preserve"> Dodawany art. 49b reguluje sytuację, w której transakcja płatnicza realizowana w oparciu o kartę inicjowana jest przez odbiorcę lub za jego pośrednictwem, a dokładna kwota </w:t>
      </w:r>
      <w:r w:rsidR="009303DB" w:rsidRPr="00205E56">
        <w:rPr>
          <w:rFonts w:ascii="Times New Roman" w:hAnsi="Times New Roman" w:cs="Times New Roman"/>
          <w:sz w:val="24"/>
          <w:szCs w:val="24"/>
        </w:rPr>
        <w:t>transakcji nie</w:t>
      </w:r>
      <w:r w:rsidR="00162491" w:rsidRPr="00205E56">
        <w:rPr>
          <w:rFonts w:ascii="Times New Roman" w:hAnsi="Times New Roman" w:cs="Times New Roman"/>
          <w:sz w:val="24"/>
          <w:szCs w:val="24"/>
        </w:rPr>
        <w:t xml:space="preserve"> jest znana w momencie gdy płatnik wyraża zgodę na wykonanie transakcji płatniczej</w:t>
      </w:r>
      <w:r w:rsidR="006E5530" w:rsidRPr="00205E56">
        <w:rPr>
          <w:rFonts w:ascii="Times New Roman" w:hAnsi="Times New Roman" w:cs="Times New Roman"/>
          <w:sz w:val="24"/>
          <w:szCs w:val="24"/>
        </w:rPr>
        <w:t xml:space="preserve"> </w:t>
      </w:r>
      <w:r w:rsidR="00205E56" w:rsidRPr="00205E56">
        <w:rPr>
          <w:rFonts w:ascii="Times New Roman" w:hAnsi="Times New Roman" w:cs="Times New Roman"/>
          <w:sz w:val="24"/>
          <w:szCs w:val="24"/>
        </w:rPr>
        <w:t>–</w:t>
      </w:r>
      <w:r w:rsidR="006E5530" w:rsidRPr="00205E56">
        <w:rPr>
          <w:rFonts w:ascii="Times New Roman" w:hAnsi="Times New Roman" w:cs="Times New Roman"/>
          <w:sz w:val="24"/>
          <w:szCs w:val="24"/>
        </w:rPr>
        <w:t xml:space="preserve"> </w:t>
      </w:r>
      <w:r w:rsidR="009769E7" w:rsidRPr="00205E56">
        <w:rPr>
          <w:rFonts w:ascii="Times New Roman" w:hAnsi="Times New Roman" w:cs="Times New Roman"/>
          <w:sz w:val="24"/>
          <w:szCs w:val="24"/>
        </w:rPr>
        <w:t xml:space="preserve">wówczas </w:t>
      </w:r>
      <w:r w:rsidR="00162491" w:rsidRPr="00205E56">
        <w:rPr>
          <w:rFonts w:ascii="Times New Roman" w:hAnsi="Times New Roman" w:cs="Times New Roman"/>
          <w:sz w:val="24"/>
          <w:szCs w:val="24"/>
        </w:rPr>
        <w:t>dostawca płatnika może zablokować środki pieniężne na rachunku płatniczym płatnika wyłącznie wtedy, gdy płatnik wyraził zgodę na zablokowanie dokładnej kwoty środków pieniężnych.</w:t>
      </w:r>
    </w:p>
    <w:p w14:paraId="57FB8E5A" w14:textId="017E868D" w:rsidR="00350187" w:rsidRPr="00205E56" w:rsidRDefault="00350187"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4</w:t>
      </w:r>
      <w:r w:rsidR="00EE2835" w:rsidRPr="00205E56">
        <w:rPr>
          <w:rFonts w:ascii="Times New Roman" w:hAnsi="Times New Roman" w:cs="Times New Roman"/>
          <w:b/>
          <w:sz w:val="24"/>
          <w:szCs w:val="24"/>
        </w:rPr>
        <w:t>6</w:t>
      </w:r>
      <w:r w:rsidRPr="00205E56">
        <w:rPr>
          <w:rFonts w:ascii="Times New Roman" w:hAnsi="Times New Roman" w:cs="Times New Roman"/>
          <w:sz w:val="24"/>
          <w:szCs w:val="24"/>
        </w:rPr>
        <w:t xml:space="preserve"> wprowadza się zmiany w art. 50</w:t>
      </w:r>
      <w:r w:rsidR="009769E7" w:rsidRPr="00205E56">
        <w:rPr>
          <w:rFonts w:ascii="Times New Roman" w:hAnsi="Times New Roman" w:cs="Times New Roman"/>
          <w:sz w:val="24"/>
          <w:szCs w:val="24"/>
        </w:rPr>
        <w:t>. Zmiany dotyczą odmowy wykonania przez dostawcę prowadzącego rachunek zlecenia płatniczego inicjowanego przez płatnika oraz za pośrednictwem</w:t>
      </w:r>
      <w:r w:rsidR="00E25954" w:rsidRPr="00205E56">
        <w:rPr>
          <w:rFonts w:ascii="Times New Roman" w:hAnsi="Times New Roman" w:cs="Times New Roman"/>
          <w:sz w:val="24"/>
          <w:szCs w:val="24"/>
        </w:rPr>
        <w:t xml:space="preserve"> dostawcy świadczącego usługę inicjowania płatności. </w:t>
      </w:r>
      <w:r w:rsidR="001653E9" w:rsidRPr="00205E56">
        <w:rPr>
          <w:rFonts w:ascii="Times New Roman" w:hAnsi="Times New Roman" w:cs="Times New Roman"/>
          <w:sz w:val="24"/>
          <w:szCs w:val="24"/>
        </w:rPr>
        <w:t xml:space="preserve">Przepis ust. </w:t>
      </w:r>
      <w:r w:rsidR="00E25954" w:rsidRPr="00205E56">
        <w:rPr>
          <w:rFonts w:ascii="Times New Roman" w:hAnsi="Times New Roman" w:cs="Times New Roman"/>
          <w:sz w:val="24"/>
          <w:szCs w:val="24"/>
        </w:rPr>
        <w:t xml:space="preserve">3 </w:t>
      </w:r>
      <w:r w:rsidR="001653E9" w:rsidRPr="00205E56">
        <w:rPr>
          <w:rFonts w:ascii="Times New Roman" w:hAnsi="Times New Roman" w:cs="Times New Roman"/>
          <w:sz w:val="24"/>
          <w:szCs w:val="24"/>
        </w:rPr>
        <w:t xml:space="preserve">tego artykułu </w:t>
      </w:r>
      <w:r w:rsidR="00E25954" w:rsidRPr="00205E56">
        <w:rPr>
          <w:rFonts w:ascii="Times New Roman" w:hAnsi="Times New Roman" w:cs="Times New Roman"/>
          <w:sz w:val="24"/>
          <w:szCs w:val="24"/>
        </w:rPr>
        <w:t>pozwala stronom na zastrzeżenie w umowie, że dostawca może pobierać rozsądne opłaty za odmowę wykonania zlecenia płatniczego, jeżeli odmowa została obiektywnie uzasadniona przez dostawcę.</w:t>
      </w:r>
    </w:p>
    <w:p w14:paraId="6890FA65" w14:textId="5BEA3DEE" w:rsidR="00A40013" w:rsidRPr="00205E56" w:rsidRDefault="00350187"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4</w:t>
      </w:r>
      <w:r w:rsidR="00EE2835" w:rsidRPr="00205E56">
        <w:rPr>
          <w:rFonts w:ascii="Times New Roman" w:hAnsi="Times New Roman" w:cs="Times New Roman"/>
          <w:b/>
          <w:sz w:val="24"/>
          <w:szCs w:val="24"/>
        </w:rPr>
        <w:t>7</w:t>
      </w:r>
      <w:r w:rsidRPr="00205E56">
        <w:rPr>
          <w:rFonts w:ascii="Times New Roman" w:hAnsi="Times New Roman" w:cs="Times New Roman"/>
          <w:sz w:val="24"/>
          <w:szCs w:val="24"/>
        </w:rPr>
        <w:t xml:space="preserve"> wprowadza się zmiany w art. 51</w:t>
      </w:r>
      <w:r w:rsidR="003F64B2" w:rsidRPr="00205E56">
        <w:rPr>
          <w:rFonts w:ascii="Times New Roman" w:hAnsi="Times New Roman" w:cs="Times New Roman"/>
          <w:sz w:val="24"/>
          <w:szCs w:val="24"/>
        </w:rPr>
        <w:t xml:space="preserve"> w ust.</w:t>
      </w:r>
      <w:r w:rsidR="00A40013" w:rsidRPr="00205E56">
        <w:rPr>
          <w:rFonts w:ascii="Times New Roman" w:hAnsi="Times New Roman" w:cs="Times New Roman"/>
          <w:sz w:val="24"/>
          <w:szCs w:val="24"/>
        </w:rPr>
        <w:t xml:space="preserve"> </w:t>
      </w:r>
      <w:r w:rsidR="003F64B2" w:rsidRPr="00205E56">
        <w:rPr>
          <w:rFonts w:ascii="Times New Roman" w:hAnsi="Times New Roman" w:cs="Times New Roman"/>
          <w:sz w:val="24"/>
          <w:szCs w:val="24"/>
        </w:rPr>
        <w:t>2</w:t>
      </w:r>
      <w:r w:rsidR="001653E9" w:rsidRPr="00205E56">
        <w:rPr>
          <w:rFonts w:ascii="Times New Roman" w:hAnsi="Times New Roman" w:cs="Times New Roman"/>
          <w:sz w:val="24"/>
          <w:szCs w:val="24"/>
        </w:rPr>
        <w:t>,</w:t>
      </w:r>
      <w:r w:rsidR="003F64B2" w:rsidRPr="00205E56">
        <w:rPr>
          <w:rFonts w:ascii="Times New Roman" w:hAnsi="Times New Roman" w:cs="Times New Roman"/>
          <w:sz w:val="24"/>
          <w:szCs w:val="24"/>
        </w:rPr>
        <w:t xml:space="preserve"> zgodnie z którym </w:t>
      </w:r>
      <w:r w:rsidR="00205E56" w:rsidRPr="00205E56">
        <w:rPr>
          <w:rFonts w:ascii="Times New Roman" w:hAnsi="Times New Roman" w:cs="Times New Roman"/>
          <w:sz w:val="24"/>
          <w:szCs w:val="24"/>
        </w:rPr>
        <w:t>–</w:t>
      </w:r>
      <w:r w:rsidR="001653E9" w:rsidRPr="00205E56">
        <w:rPr>
          <w:rFonts w:ascii="Times New Roman" w:hAnsi="Times New Roman" w:cs="Times New Roman"/>
          <w:sz w:val="24"/>
          <w:szCs w:val="24"/>
        </w:rPr>
        <w:t xml:space="preserve"> </w:t>
      </w:r>
      <w:r w:rsidR="00A40013" w:rsidRPr="00205E56">
        <w:rPr>
          <w:rFonts w:ascii="Times New Roman" w:hAnsi="Times New Roman" w:cs="Times New Roman"/>
          <w:sz w:val="24"/>
          <w:szCs w:val="24"/>
        </w:rPr>
        <w:t>w sytuacji kiedy transakcja płatnicza jest inicjowana przez dostawcę świadczącego usługę inicjowania płatności lub przez odbiorcę lub za jego pośrednictwem</w:t>
      </w:r>
      <w:r w:rsidR="001653E9" w:rsidRPr="00205E56">
        <w:rPr>
          <w:rFonts w:ascii="Times New Roman" w:hAnsi="Times New Roman" w:cs="Times New Roman"/>
          <w:sz w:val="24"/>
          <w:szCs w:val="24"/>
        </w:rPr>
        <w:t xml:space="preserve"> </w:t>
      </w:r>
      <w:r w:rsidR="00205E56" w:rsidRPr="00205E56">
        <w:rPr>
          <w:rFonts w:ascii="Times New Roman" w:hAnsi="Times New Roman" w:cs="Times New Roman"/>
          <w:sz w:val="24"/>
          <w:szCs w:val="24"/>
        </w:rPr>
        <w:t>–</w:t>
      </w:r>
      <w:r w:rsidR="001653E9" w:rsidRPr="00205E56">
        <w:rPr>
          <w:rFonts w:ascii="Times New Roman" w:hAnsi="Times New Roman" w:cs="Times New Roman"/>
          <w:sz w:val="24"/>
          <w:szCs w:val="24"/>
        </w:rPr>
        <w:t xml:space="preserve"> </w:t>
      </w:r>
      <w:r w:rsidR="00A40013" w:rsidRPr="00205E56">
        <w:rPr>
          <w:rFonts w:ascii="Times New Roman" w:hAnsi="Times New Roman" w:cs="Times New Roman"/>
          <w:sz w:val="24"/>
          <w:szCs w:val="24"/>
        </w:rPr>
        <w:t>płatnik nie może odwołać zlecenia płatniczego po udzieleniu dostawcy świadczącemu usługę inicjowania płatności zgody na zainicjowanie transakcji płatniczej bądź też po udzieleniu zgody na wykonanie transakcji płatniczej na rzecz odbiorcy.</w:t>
      </w:r>
      <w:r w:rsidR="00D07BEB" w:rsidRPr="00205E56">
        <w:rPr>
          <w:rFonts w:ascii="Times New Roman" w:hAnsi="Times New Roman" w:cs="Times New Roman"/>
          <w:sz w:val="24"/>
          <w:szCs w:val="24"/>
        </w:rPr>
        <w:t xml:space="preserve"> </w:t>
      </w:r>
    </w:p>
    <w:p w14:paraId="1CE2DD85" w14:textId="2A0637E1" w:rsidR="00773BE1" w:rsidRPr="00205E56" w:rsidRDefault="00773BE1"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0808F7" w:rsidRPr="00205E56">
        <w:rPr>
          <w:rFonts w:ascii="Times New Roman" w:hAnsi="Times New Roman" w:cs="Times New Roman"/>
          <w:b/>
          <w:sz w:val="24"/>
          <w:szCs w:val="24"/>
        </w:rPr>
        <w:t>4</w:t>
      </w:r>
      <w:r w:rsidR="006B03F8" w:rsidRPr="00205E56">
        <w:rPr>
          <w:rFonts w:ascii="Times New Roman" w:hAnsi="Times New Roman" w:cs="Times New Roman"/>
          <w:b/>
          <w:sz w:val="24"/>
          <w:szCs w:val="24"/>
        </w:rPr>
        <w:t>8</w:t>
      </w:r>
      <w:r w:rsidRPr="00205E56">
        <w:rPr>
          <w:rFonts w:ascii="Times New Roman" w:hAnsi="Times New Roman" w:cs="Times New Roman"/>
          <w:sz w:val="24"/>
          <w:szCs w:val="24"/>
        </w:rPr>
        <w:t xml:space="preserve"> wprowadza się zmiany w art. 52 </w:t>
      </w:r>
      <w:r w:rsidR="001653E9" w:rsidRPr="00205E56">
        <w:rPr>
          <w:rFonts w:ascii="Times New Roman" w:hAnsi="Times New Roman" w:cs="Times New Roman"/>
          <w:sz w:val="24"/>
          <w:szCs w:val="24"/>
        </w:rPr>
        <w:t xml:space="preserve">– zmiana polega na </w:t>
      </w:r>
      <w:r w:rsidR="00152FB7" w:rsidRPr="00205E56">
        <w:rPr>
          <w:rFonts w:ascii="Times New Roman" w:hAnsi="Times New Roman" w:cs="Times New Roman"/>
          <w:sz w:val="24"/>
          <w:szCs w:val="24"/>
        </w:rPr>
        <w:t>rozszerz</w:t>
      </w:r>
      <w:r w:rsidR="001653E9" w:rsidRPr="00205E56">
        <w:rPr>
          <w:rFonts w:ascii="Times New Roman" w:hAnsi="Times New Roman" w:cs="Times New Roman"/>
          <w:sz w:val="24"/>
          <w:szCs w:val="24"/>
        </w:rPr>
        <w:t>eniu</w:t>
      </w:r>
      <w:r w:rsidR="00152FB7" w:rsidRPr="00205E56">
        <w:rPr>
          <w:rFonts w:ascii="Times New Roman" w:hAnsi="Times New Roman" w:cs="Times New Roman"/>
          <w:sz w:val="24"/>
          <w:szCs w:val="24"/>
        </w:rPr>
        <w:t xml:space="preserve"> dotychczasowe</w:t>
      </w:r>
      <w:r w:rsidR="002438BA">
        <w:rPr>
          <w:rFonts w:ascii="Times New Roman" w:hAnsi="Times New Roman" w:cs="Times New Roman"/>
          <w:sz w:val="24"/>
          <w:szCs w:val="24"/>
        </w:rPr>
        <w:t>go</w:t>
      </w:r>
      <w:r w:rsidR="00152FB7" w:rsidRPr="00205E56">
        <w:rPr>
          <w:rFonts w:ascii="Times New Roman" w:hAnsi="Times New Roman" w:cs="Times New Roman"/>
          <w:sz w:val="24"/>
          <w:szCs w:val="24"/>
        </w:rPr>
        <w:t xml:space="preserve"> brzmieni</w:t>
      </w:r>
      <w:r w:rsidR="002438BA">
        <w:rPr>
          <w:rFonts w:ascii="Times New Roman" w:hAnsi="Times New Roman" w:cs="Times New Roman"/>
          <w:sz w:val="24"/>
          <w:szCs w:val="24"/>
        </w:rPr>
        <w:t>a</w:t>
      </w:r>
      <w:r w:rsidR="00152FB7" w:rsidRPr="00205E56">
        <w:rPr>
          <w:rFonts w:ascii="Times New Roman" w:hAnsi="Times New Roman" w:cs="Times New Roman"/>
          <w:sz w:val="24"/>
          <w:szCs w:val="24"/>
        </w:rPr>
        <w:t xml:space="preserve"> w ten sposób</w:t>
      </w:r>
      <w:r w:rsidRPr="00205E56">
        <w:rPr>
          <w:rFonts w:ascii="Times New Roman" w:hAnsi="Times New Roman" w:cs="Times New Roman"/>
          <w:sz w:val="24"/>
          <w:szCs w:val="24"/>
        </w:rPr>
        <w:t xml:space="preserve">, że </w:t>
      </w:r>
      <w:r w:rsidR="00152FB7" w:rsidRPr="00205E56">
        <w:rPr>
          <w:rFonts w:ascii="Times New Roman" w:hAnsi="Times New Roman" w:cs="Times New Roman"/>
          <w:sz w:val="24"/>
          <w:szCs w:val="24"/>
        </w:rPr>
        <w:t>po stronie płatnika jak i odbiorcy może występować nieokreślona liczba dostawców.</w:t>
      </w:r>
    </w:p>
    <w:p w14:paraId="59243147" w14:textId="5A0A44D5" w:rsidR="000808F7" w:rsidRPr="00205E56" w:rsidRDefault="000808F7"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lastRenderedPageBreak/>
        <w:t xml:space="preserve">W </w:t>
      </w:r>
      <w:r w:rsidRPr="00205E56">
        <w:rPr>
          <w:rFonts w:ascii="Times New Roman" w:hAnsi="Times New Roman" w:cs="Times New Roman"/>
          <w:b/>
          <w:sz w:val="24"/>
          <w:szCs w:val="24"/>
        </w:rPr>
        <w:t>pkt 4</w:t>
      </w:r>
      <w:r w:rsidR="006B03F8" w:rsidRPr="00205E56">
        <w:rPr>
          <w:rFonts w:ascii="Times New Roman" w:hAnsi="Times New Roman" w:cs="Times New Roman"/>
          <w:b/>
          <w:sz w:val="24"/>
          <w:szCs w:val="24"/>
        </w:rPr>
        <w:t>9</w:t>
      </w:r>
      <w:r w:rsidRPr="00205E56">
        <w:rPr>
          <w:rFonts w:ascii="Times New Roman" w:hAnsi="Times New Roman" w:cs="Times New Roman"/>
          <w:b/>
          <w:sz w:val="24"/>
          <w:szCs w:val="24"/>
        </w:rPr>
        <w:t xml:space="preserve"> </w:t>
      </w:r>
      <w:r w:rsidRPr="00205E56">
        <w:rPr>
          <w:rFonts w:ascii="Times New Roman" w:hAnsi="Times New Roman" w:cs="Times New Roman"/>
          <w:sz w:val="24"/>
          <w:szCs w:val="24"/>
        </w:rPr>
        <w:t xml:space="preserve">wprowadza się zmiany </w:t>
      </w:r>
      <w:r w:rsidR="00341FA9" w:rsidRPr="00205E56">
        <w:rPr>
          <w:rFonts w:ascii="Times New Roman" w:hAnsi="Times New Roman" w:cs="Times New Roman"/>
          <w:sz w:val="24"/>
          <w:szCs w:val="24"/>
        </w:rPr>
        <w:t xml:space="preserve">do </w:t>
      </w:r>
      <w:r w:rsidRPr="00205E56">
        <w:rPr>
          <w:rFonts w:ascii="Times New Roman" w:hAnsi="Times New Roman" w:cs="Times New Roman"/>
          <w:sz w:val="24"/>
          <w:szCs w:val="24"/>
        </w:rPr>
        <w:t>art. 5</w:t>
      </w:r>
      <w:r w:rsidR="00341FA9" w:rsidRPr="00205E56">
        <w:rPr>
          <w:rFonts w:ascii="Times New Roman" w:hAnsi="Times New Roman" w:cs="Times New Roman"/>
          <w:sz w:val="24"/>
          <w:szCs w:val="24"/>
        </w:rPr>
        <w:t xml:space="preserve">3 w związku z dodaniem do art. 5 ust. 3a dotyczącego tzw. „one-leg </w:t>
      </w:r>
      <w:proofErr w:type="spellStart"/>
      <w:r w:rsidR="00341FA9" w:rsidRPr="00205E56">
        <w:rPr>
          <w:rFonts w:ascii="Times New Roman" w:hAnsi="Times New Roman" w:cs="Times New Roman"/>
          <w:sz w:val="24"/>
          <w:szCs w:val="24"/>
        </w:rPr>
        <w:t>transactions</w:t>
      </w:r>
      <w:proofErr w:type="spellEnd"/>
      <w:r w:rsidR="00341FA9" w:rsidRPr="00205E56">
        <w:rPr>
          <w:rFonts w:ascii="Times New Roman" w:hAnsi="Times New Roman" w:cs="Times New Roman"/>
          <w:sz w:val="24"/>
          <w:szCs w:val="24"/>
        </w:rPr>
        <w:t>”, w których</w:t>
      </w:r>
      <w:r w:rsidR="00205E56" w:rsidRPr="00205E56">
        <w:rPr>
          <w:rFonts w:ascii="Times New Roman" w:hAnsi="Times New Roman" w:cs="Times New Roman"/>
          <w:sz w:val="24"/>
          <w:szCs w:val="24"/>
        </w:rPr>
        <w:t xml:space="preserve"> </w:t>
      </w:r>
      <w:r w:rsidR="00341FA9" w:rsidRPr="00205E56">
        <w:rPr>
          <w:rFonts w:ascii="Times New Roman" w:hAnsi="Times New Roman" w:cs="Times New Roman"/>
          <w:sz w:val="24"/>
          <w:szCs w:val="24"/>
        </w:rPr>
        <w:t>tylko jeden z dostawców usług płatniczych znajduje się na terytorium Rzeczypospolitej Polskiej lub innego państwa członkowskiego.</w:t>
      </w:r>
    </w:p>
    <w:p w14:paraId="4658EF36" w14:textId="03318A9A" w:rsidR="00350187" w:rsidRDefault="00350187"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6B03F8" w:rsidRPr="00205E56">
        <w:rPr>
          <w:rFonts w:ascii="Times New Roman" w:hAnsi="Times New Roman" w:cs="Times New Roman"/>
          <w:b/>
          <w:sz w:val="24"/>
          <w:szCs w:val="24"/>
        </w:rPr>
        <w:t>5</w:t>
      </w:r>
      <w:r w:rsidR="00B76209">
        <w:rPr>
          <w:rFonts w:ascii="Times New Roman" w:hAnsi="Times New Roman" w:cs="Times New Roman"/>
          <w:b/>
          <w:sz w:val="24"/>
          <w:szCs w:val="24"/>
        </w:rPr>
        <w:t>0</w:t>
      </w:r>
      <w:r w:rsidR="00657F81" w:rsidRPr="00205E56">
        <w:rPr>
          <w:rFonts w:ascii="Times New Roman" w:hAnsi="Times New Roman" w:cs="Times New Roman"/>
          <w:sz w:val="24"/>
          <w:szCs w:val="24"/>
        </w:rPr>
        <w:t xml:space="preserve"> </w:t>
      </w:r>
      <w:r w:rsidRPr="00205E56">
        <w:rPr>
          <w:rFonts w:ascii="Times New Roman" w:hAnsi="Times New Roman" w:cs="Times New Roman"/>
          <w:sz w:val="24"/>
          <w:szCs w:val="24"/>
        </w:rPr>
        <w:t>wprowadza się zmiany w art. 59</w:t>
      </w:r>
      <w:r w:rsidR="001653E9" w:rsidRPr="00205E56">
        <w:rPr>
          <w:rFonts w:ascii="Times New Roman" w:hAnsi="Times New Roman" w:cs="Times New Roman"/>
          <w:sz w:val="24"/>
          <w:szCs w:val="24"/>
        </w:rPr>
        <w:t xml:space="preserve">; </w:t>
      </w:r>
      <w:r w:rsidR="00272597" w:rsidRPr="00205E56">
        <w:rPr>
          <w:rFonts w:ascii="Times New Roman" w:hAnsi="Times New Roman" w:cs="Times New Roman"/>
          <w:sz w:val="24"/>
          <w:szCs w:val="24"/>
        </w:rPr>
        <w:t xml:space="preserve">zmieniany ust. 2 dotyczy sytuacji, w której dostawca usług płatniczych odbiorcy zapewnia, </w:t>
      </w:r>
      <w:r w:rsidR="001653E9" w:rsidRPr="00205E56">
        <w:rPr>
          <w:rFonts w:ascii="Times New Roman" w:hAnsi="Times New Roman" w:cs="Times New Roman"/>
          <w:sz w:val="24"/>
          <w:szCs w:val="24"/>
        </w:rPr>
        <w:t>a</w:t>
      </w:r>
      <w:r w:rsidR="00272597" w:rsidRPr="00205E56">
        <w:rPr>
          <w:rFonts w:ascii="Times New Roman" w:hAnsi="Times New Roman" w:cs="Times New Roman"/>
          <w:sz w:val="24"/>
          <w:szCs w:val="24"/>
        </w:rPr>
        <w:t>by kwota transakcji płatniczej była do dyspozycji odbiorcy natychmiast po uznaniu t</w:t>
      </w:r>
      <w:r w:rsidR="00994326">
        <w:rPr>
          <w:rFonts w:ascii="Times New Roman" w:hAnsi="Times New Roman" w:cs="Times New Roman"/>
          <w:sz w:val="24"/>
          <w:szCs w:val="24"/>
        </w:rPr>
        <w:t>ą</w:t>
      </w:r>
      <w:r w:rsidR="00272597" w:rsidRPr="00205E56">
        <w:rPr>
          <w:rFonts w:ascii="Times New Roman" w:hAnsi="Times New Roman" w:cs="Times New Roman"/>
          <w:sz w:val="24"/>
          <w:szCs w:val="24"/>
        </w:rPr>
        <w:t xml:space="preserve"> kwotą rachunku dostawcy usług płatniczych odbiorcy</w:t>
      </w:r>
      <w:r w:rsidR="001653E9" w:rsidRPr="00205E56">
        <w:rPr>
          <w:rFonts w:ascii="Times New Roman" w:hAnsi="Times New Roman" w:cs="Times New Roman"/>
          <w:sz w:val="24"/>
          <w:szCs w:val="24"/>
        </w:rPr>
        <w:t xml:space="preserve"> – dotyczy to </w:t>
      </w:r>
      <w:r w:rsidR="00272597" w:rsidRPr="00205E56">
        <w:rPr>
          <w:rFonts w:ascii="Times New Roman" w:hAnsi="Times New Roman" w:cs="Times New Roman"/>
          <w:sz w:val="24"/>
          <w:szCs w:val="24"/>
        </w:rPr>
        <w:t xml:space="preserve">przypadku gdy po stronie dostawcy usług płatniczych odbiorcy nie następuje przeliczanie waluty lub następuje przeliczanie waluty między euro a walutą państwa członkowskiego lub między dwiema walutami państw członkowskich. </w:t>
      </w:r>
    </w:p>
    <w:p w14:paraId="265B71A3" w14:textId="77777777" w:rsidR="00B76209" w:rsidRPr="00205E56" w:rsidRDefault="00B76209" w:rsidP="00B76209">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5</w:t>
      </w:r>
      <w:r>
        <w:rPr>
          <w:rFonts w:ascii="Times New Roman" w:hAnsi="Times New Roman" w:cs="Times New Roman"/>
          <w:b/>
          <w:sz w:val="24"/>
          <w:szCs w:val="24"/>
        </w:rPr>
        <w:t>1</w:t>
      </w:r>
      <w:r w:rsidRPr="00205E56">
        <w:rPr>
          <w:rFonts w:ascii="Times New Roman" w:hAnsi="Times New Roman" w:cs="Times New Roman"/>
          <w:sz w:val="24"/>
          <w:szCs w:val="24"/>
        </w:rPr>
        <w:t xml:space="preserve"> wprowadza się zmianę redakcyjną do art. 59ia dot. podstawowego rachunku płatniczego. Zmiana niezwiązana z PSD2. </w:t>
      </w:r>
    </w:p>
    <w:p w14:paraId="410C1980" w14:textId="734E6F55" w:rsidR="004F3BE8" w:rsidRPr="00205E56" w:rsidRDefault="004374F5"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5</w:t>
      </w:r>
      <w:r w:rsidR="006B03F8" w:rsidRPr="00205E56">
        <w:rPr>
          <w:rFonts w:ascii="Times New Roman" w:hAnsi="Times New Roman" w:cs="Times New Roman"/>
          <w:b/>
          <w:sz w:val="24"/>
          <w:szCs w:val="24"/>
        </w:rPr>
        <w:t>2</w:t>
      </w:r>
      <w:r w:rsidRPr="00205E56">
        <w:rPr>
          <w:rFonts w:ascii="Times New Roman" w:hAnsi="Times New Roman" w:cs="Times New Roman"/>
          <w:sz w:val="24"/>
          <w:szCs w:val="24"/>
        </w:rPr>
        <w:t xml:space="preserve"> </w:t>
      </w:r>
      <w:r w:rsidR="004F3BE8" w:rsidRPr="00205E56">
        <w:rPr>
          <w:rFonts w:ascii="Times New Roman" w:hAnsi="Times New Roman" w:cs="Times New Roman"/>
          <w:sz w:val="24"/>
          <w:szCs w:val="24"/>
        </w:rPr>
        <w:t xml:space="preserve">dodaje się dział </w:t>
      </w:r>
      <w:proofErr w:type="spellStart"/>
      <w:r w:rsidR="004F3BE8" w:rsidRPr="00205E56">
        <w:rPr>
          <w:rFonts w:ascii="Times New Roman" w:hAnsi="Times New Roman" w:cs="Times New Roman"/>
          <w:sz w:val="24"/>
          <w:szCs w:val="24"/>
        </w:rPr>
        <w:t>IIIb</w:t>
      </w:r>
      <w:proofErr w:type="spellEnd"/>
      <w:r w:rsidR="004F3BE8" w:rsidRPr="00205E56">
        <w:rPr>
          <w:rFonts w:ascii="Times New Roman" w:hAnsi="Times New Roman" w:cs="Times New Roman"/>
          <w:sz w:val="24"/>
          <w:szCs w:val="24"/>
        </w:rPr>
        <w:t xml:space="preserve"> regulujący świadczenie usług inicjowania transakcji płatniczych i usług dostępu do informacji o rachunku.</w:t>
      </w:r>
      <w:r w:rsidR="003B1D7A" w:rsidRPr="00205E56">
        <w:rPr>
          <w:rFonts w:ascii="Times New Roman" w:hAnsi="Times New Roman" w:cs="Times New Roman"/>
          <w:sz w:val="24"/>
          <w:szCs w:val="24"/>
        </w:rPr>
        <w:t xml:space="preserve"> W art. 59u dokonano zapisów mających na celu wyłączenie</w:t>
      </w:r>
      <w:r w:rsidR="00205E56" w:rsidRPr="00205E56">
        <w:rPr>
          <w:rFonts w:ascii="Times New Roman" w:hAnsi="Times New Roman" w:cs="Times New Roman"/>
          <w:sz w:val="24"/>
          <w:szCs w:val="24"/>
        </w:rPr>
        <w:t xml:space="preserve"> </w:t>
      </w:r>
      <w:r w:rsidR="003B1D7A" w:rsidRPr="00205E56">
        <w:rPr>
          <w:rFonts w:ascii="Times New Roman" w:hAnsi="Times New Roman" w:cs="Times New Roman"/>
          <w:sz w:val="24"/>
          <w:szCs w:val="24"/>
        </w:rPr>
        <w:t>Narodowego Banku Polskiego</w:t>
      </w:r>
      <w:r w:rsidR="00205E56" w:rsidRPr="00205E56">
        <w:rPr>
          <w:rFonts w:ascii="Times New Roman" w:hAnsi="Times New Roman" w:cs="Times New Roman"/>
          <w:sz w:val="24"/>
          <w:szCs w:val="24"/>
        </w:rPr>
        <w:t xml:space="preserve"> </w:t>
      </w:r>
      <w:bookmarkStart w:id="1" w:name="_Hlk494892924"/>
      <w:r w:rsidR="003B1D7A" w:rsidRPr="00205E56">
        <w:rPr>
          <w:rFonts w:ascii="Times New Roman" w:hAnsi="Times New Roman" w:cs="Times New Roman"/>
          <w:sz w:val="24"/>
          <w:szCs w:val="24"/>
        </w:rPr>
        <w:t>z obowiązku zapewnienia posiadaczom rachunków możliwości korzystania</w:t>
      </w:r>
      <w:r w:rsidR="00205E56" w:rsidRPr="00205E56">
        <w:rPr>
          <w:rFonts w:ascii="Times New Roman" w:hAnsi="Times New Roman" w:cs="Times New Roman"/>
          <w:sz w:val="24"/>
          <w:szCs w:val="24"/>
        </w:rPr>
        <w:t xml:space="preserve"> </w:t>
      </w:r>
      <w:r w:rsidR="003B1D7A" w:rsidRPr="00205E56">
        <w:rPr>
          <w:rFonts w:ascii="Times New Roman" w:hAnsi="Times New Roman" w:cs="Times New Roman"/>
          <w:sz w:val="24"/>
          <w:szCs w:val="24"/>
        </w:rPr>
        <w:t>z usług świadczonych przez dostawcę niezależnego</w:t>
      </w:r>
      <w:bookmarkEnd w:id="1"/>
      <w:r w:rsidR="003B1D7A" w:rsidRPr="00205E56">
        <w:rPr>
          <w:rFonts w:ascii="Times New Roman" w:hAnsi="Times New Roman" w:cs="Times New Roman"/>
          <w:sz w:val="24"/>
          <w:szCs w:val="24"/>
        </w:rPr>
        <w:t xml:space="preserve"> z powodu specyfiki obsługiwanych przez NBP rachunków obejmujących wyłącznie podmioty sektora finansów publicznych, </w:t>
      </w:r>
      <w:r w:rsidR="00ED5C26" w:rsidRPr="00205E56">
        <w:rPr>
          <w:rFonts w:ascii="Times New Roman" w:hAnsi="Times New Roman" w:cs="Times New Roman"/>
          <w:sz w:val="24"/>
          <w:szCs w:val="24"/>
        </w:rPr>
        <w:t xml:space="preserve">objętych </w:t>
      </w:r>
      <w:r w:rsidR="003B1D7A" w:rsidRPr="00205E56">
        <w:rPr>
          <w:rFonts w:ascii="Times New Roman" w:hAnsi="Times New Roman" w:cs="Times New Roman"/>
          <w:sz w:val="24"/>
          <w:szCs w:val="24"/>
        </w:rPr>
        <w:t>przepis</w:t>
      </w:r>
      <w:r w:rsidR="00ED5C26" w:rsidRPr="00205E56">
        <w:rPr>
          <w:rFonts w:ascii="Times New Roman" w:hAnsi="Times New Roman" w:cs="Times New Roman"/>
          <w:sz w:val="24"/>
          <w:szCs w:val="24"/>
        </w:rPr>
        <w:t>ami</w:t>
      </w:r>
      <w:r w:rsidR="003B1D7A" w:rsidRPr="00205E56">
        <w:rPr>
          <w:rFonts w:ascii="Times New Roman" w:hAnsi="Times New Roman" w:cs="Times New Roman"/>
          <w:sz w:val="24"/>
          <w:szCs w:val="24"/>
        </w:rPr>
        <w:t xml:space="preserve"> prawa określający</w:t>
      </w:r>
      <w:r w:rsidR="00ED5C26" w:rsidRPr="00205E56">
        <w:rPr>
          <w:rFonts w:ascii="Times New Roman" w:hAnsi="Times New Roman" w:cs="Times New Roman"/>
          <w:sz w:val="24"/>
          <w:szCs w:val="24"/>
        </w:rPr>
        <w:t>mi</w:t>
      </w:r>
      <w:r w:rsidR="003B1D7A" w:rsidRPr="00205E56">
        <w:rPr>
          <w:rFonts w:ascii="Times New Roman" w:hAnsi="Times New Roman" w:cs="Times New Roman"/>
          <w:sz w:val="24"/>
          <w:szCs w:val="24"/>
        </w:rPr>
        <w:t xml:space="preserve"> zarówno zasady bankowej obsługi b</w:t>
      </w:r>
      <w:r w:rsidR="001525DC">
        <w:rPr>
          <w:rFonts w:ascii="Times New Roman" w:hAnsi="Times New Roman" w:cs="Times New Roman"/>
          <w:sz w:val="24"/>
          <w:szCs w:val="24"/>
        </w:rPr>
        <w:t>udżetu państwa przez NBP, jak i </w:t>
      </w:r>
      <w:r w:rsidR="003B1D7A" w:rsidRPr="00205E56">
        <w:rPr>
          <w:rFonts w:ascii="Times New Roman" w:hAnsi="Times New Roman" w:cs="Times New Roman"/>
          <w:sz w:val="24"/>
          <w:szCs w:val="24"/>
        </w:rPr>
        <w:t>prawa i obowiązki jednostek budżetu państwa w obszarze obsługi bankowej.</w:t>
      </w:r>
    </w:p>
    <w:p w14:paraId="5CDDD7C9" w14:textId="4BFB57E1" w:rsidR="00350187" w:rsidRPr="00205E56" w:rsidRDefault="00350187"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152FB7" w:rsidRPr="00205E56">
        <w:rPr>
          <w:rFonts w:ascii="Times New Roman" w:hAnsi="Times New Roman" w:cs="Times New Roman"/>
          <w:b/>
          <w:sz w:val="24"/>
          <w:szCs w:val="24"/>
        </w:rPr>
        <w:t>5</w:t>
      </w:r>
      <w:r w:rsidR="006B03F8" w:rsidRPr="00205E56">
        <w:rPr>
          <w:rFonts w:ascii="Times New Roman" w:hAnsi="Times New Roman" w:cs="Times New Roman"/>
          <w:b/>
          <w:sz w:val="24"/>
          <w:szCs w:val="24"/>
        </w:rPr>
        <w:t>3</w:t>
      </w:r>
      <w:r w:rsidR="00A77E88" w:rsidRPr="00205E56">
        <w:rPr>
          <w:rFonts w:ascii="Times New Roman" w:hAnsi="Times New Roman" w:cs="Times New Roman"/>
          <w:sz w:val="24"/>
          <w:szCs w:val="24"/>
        </w:rPr>
        <w:t xml:space="preserve"> wprowadza się zmianę</w:t>
      </w:r>
      <w:r w:rsidRPr="00205E56">
        <w:rPr>
          <w:rFonts w:ascii="Times New Roman" w:hAnsi="Times New Roman" w:cs="Times New Roman"/>
          <w:sz w:val="24"/>
          <w:szCs w:val="24"/>
        </w:rPr>
        <w:t xml:space="preserve"> w art. 60</w:t>
      </w:r>
      <w:r w:rsidR="001653E9" w:rsidRPr="00205E56">
        <w:rPr>
          <w:rFonts w:ascii="Times New Roman" w:hAnsi="Times New Roman" w:cs="Times New Roman"/>
          <w:sz w:val="24"/>
          <w:szCs w:val="24"/>
        </w:rPr>
        <w:t xml:space="preserve"> </w:t>
      </w:r>
      <w:r w:rsidR="00205E56" w:rsidRPr="00205E56">
        <w:rPr>
          <w:rFonts w:ascii="Times New Roman" w:hAnsi="Times New Roman" w:cs="Times New Roman"/>
          <w:sz w:val="24"/>
          <w:szCs w:val="24"/>
        </w:rPr>
        <w:t>–</w:t>
      </w:r>
      <w:r w:rsidR="001653E9" w:rsidRPr="00205E56">
        <w:rPr>
          <w:rFonts w:ascii="Times New Roman" w:hAnsi="Times New Roman" w:cs="Times New Roman"/>
          <w:sz w:val="24"/>
          <w:szCs w:val="24"/>
        </w:rPr>
        <w:t xml:space="preserve"> </w:t>
      </w:r>
      <w:r w:rsidR="009B2535" w:rsidRPr="00205E56">
        <w:rPr>
          <w:rFonts w:ascii="Times New Roman" w:hAnsi="Times New Roman" w:cs="Times New Roman"/>
          <w:sz w:val="24"/>
          <w:szCs w:val="24"/>
        </w:rPr>
        <w:t xml:space="preserve">zmieniany ust. 2 dotyczy zezwolenia </w:t>
      </w:r>
      <w:r w:rsidR="00FD70E7" w:rsidRPr="00205E56">
        <w:rPr>
          <w:rFonts w:ascii="Times New Roman" w:hAnsi="Times New Roman" w:cs="Times New Roman"/>
          <w:sz w:val="24"/>
          <w:szCs w:val="24"/>
        </w:rPr>
        <w:t xml:space="preserve">KNF </w:t>
      </w:r>
      <w:r w:rsidR="009B2535" w:rsidRPr="00205E56">
        <w:rPr>
          <w:rFonts w:ascii="Times New Roman" w:hAnsi="Times New Roman" w:cs="Times New Roman"/>
          <w:sz w:val="24"/>
          <w:szCs w:val="24"/>
        </w:rPr>
        <w:t>na świadczenie usług płatniczych w charakterze krajowej instytucji płatniczej, które może zostać wydane osobie prawnej z siedzibą na terytorium Rzeczypospolitej Polskiej</w:t>
      </w:r>
      <w:r w:rsidR="001653E9" w:rsidRPr="00205E56">
        <w:rPr>
          <w:rFonts w:ascii="Times New Roman" w:hAnsi="Times New Roman" w:cs="Times New Roman"/>
          <w:sz w:val="24"/>
          <w:szCs w:val="24"/>
        </w:rPr>
        <w:t>,</w:t>
      </w:r>
      <w:r w:rsidR="009B2535" w:rsidRPr="00205E56">
        <w:rPr>
          <w:rFonts w:ascii="Times New Roman" w:hAnsi="Times New Roman" w:cs="Times New Roman"/>
          <w:sz w:val="24"/>
          <w:szCs w:val="24"/>
        </w:rPr>
        <w:t xml:space="preserve"> oraz zamierzającej wykonywać na tym terytorium przynajmniej część swojej działalności związanej z usługami płatniczymi, na jej wniosek.</w:t>
      </w:r>
    </w:p>
    <w:p w14:paraId="45AC2CCF" w14:textId="5AC7FE08" w:rsidR="00152FB7" w:rsidRPr="00205E56" w:rsidRDefault="00152FB7"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5</w:t>
      </w:r>
      <w:r w:rsidR="006B03F8" w:rsidRPr="00205E56">
        <w:rPr>
          <w:rFonts w:ascii="Times New Roman" w:hAnsi="Times New Roman" w:cs="Times New Roman"/>
          <w:b/>
          <w:sz w:val="24"/>
          <w:szCs w:val="24"/>
        </w:rPr>
        <w:t>4</w:t>
      </w:r>
      <w:r w:rsidRPr="00205E56">
        <w:rPr>
          <w:rFonts w:ascii="Times New Roman" w:hAnsi="Times New Roman" w:cs="Times New Roman"/>
          <w:sz w:val="24"/>
          <w:szCs w:val="24"/>
        </w:rPr>
        <w:t xml:space="preserve"> wprowadza się zmiany w art. 61 </w:t>
      </w:r>
      <w:r w:rsidR="001653E9" w:rsidRPr="00205E56">
        <w:rPr>
          <w:rFonts w:ascii="Times New Roman" w:hAnsi="Times New Roman" w:cs="Times New Roman"/>
          <w:sz w:val="24"/>
          <w:szCs w:val="24"/>
        </w:rPr>
        <w:t xml:space="preserve">– </w:t>
      </w:r>
      <w:r w:rsidRPr="00205E56">
        <w:rPr>
          <w:rFonts w:ascii="Times New Roman" w:hAnsi="Times New Roman" w:cs="Times New Roman"/>
          <w:sz w:val="24"/>
          <w:szCs w:val="24"/>
        </w:rPr>
        <w:t>dodaj</w:t>
      </w:r>
      <w:r w:rsidR="001653E9" w:rsidRPr="00205E56">
        <w:rPr>
          <w:rFonts w:ascii="Times New Roman" w:hAnsi="Times New Roman" w:cs="Times New Roman"/>
          <w:sz w:val="24"/>
          <w:szCs w:val="24"/>
        </w:rPr>
        <w:t xml:space="preserve">e się </w:t>
      </w:r>
      <w:r w:rsidR="00205E56" w:rsidRPr="00205E56">
        <w:rPr>
          <w:rFonts w:ascii="Times New Roman" w:hAnsi="Times New Roman" w:cs="Times New Roman"/>
          <w:sz w:val="24"/>
          <w:szCs w:val="24"/>
        </w:rPr>
        <w:t>–</w:t>
      </w:r>
      <w:r w:rsidR="001653E9" w:rsidRPr="00205E56">
        <w:rPr>
          <w:rFonts w:ascii="Times New Roman" w:hAnsi="Times New Roman" w:cs="Times New Roman"/>
          <w:sz w:val="24"/>
          <w:szCs w:val="24"/>
        </w:rPr>
        <w:t xml:space="preserve"> </w:t>
      </w:r>
      <w:r w:rsidRPr="00205E56">
        <w:rPr>
          <w:rFonts w:ascii="Times New Roman" w:hAnsi="Times New Roman" w:cs="Times New Roman"/>
          <w:sz w:val="24"/>
          <w:szCs w:val="24"/>
        </w:rPr>
        <w:t xml:space="preserve">w celu większej przejrzystości funkcjonowania podmiotu </w:t>
      </w:r>
      <w:r w:rsidR="001653E9" w:rsidRPr="00205E56">
        <w:rPr>
          <w:rFonts w:ascii="Times New Roman" w:hAnsi="Times New Roman" w:cs="Times New Roman"/>
          <w:sz w:val="24"/>
          <w:szCs w:val="24"/>
        </w:rPr>
        <w:t xml:space="preserve">– przepis </w:t>
      </w:r>
      <w:r w:rsidRPr="00205E56">
        <w:rPr>
          <w:rFonts w:ascii="Times New Roman" w:hAnsi="Times New Roman" w:cs="Times New Roman"/>
          <w:sz w:val="24"/>
          <w:szCs w:val="24"/>
        </w:rPr>
        <w:t>o wymogu posiadania zatwierdzonych regulacji wewnętrznych w zakresie systemu zarządzania ryzykiem i kontroli wewnętrznej.</w:t>
      </w:r>
      <w:r w:rsidR="00E30F32" w:rsidRPr="00205E56">
        <w:rPr>
          <w:rFonts w:ascii="Times New Roman" w:hAnsi="Times New Roman" w:cs="Times New Roman"/>
          <w:sz w:val="24"/>
          <w:szCs w:val="24"/>
        </w:rPr>
        <w:t xml:space="preserve"> </w:t>
      </w:r>
      <w:r w:rsidR="00F23395" w:rsidRPr="00205E56">
        <w:rPr>
          <w:rFonts w:ascii="Times New Roman" w:hAnsi="Times New Roman" w:cs="Times New Roman"/>
          <w:sz w:val="24"/>
          <w:szCs w:val="24"/>
        </w:rPr>
        <w:t xml:space="preserve">Uzasadnieniem proponowanej zmiany jest fakt, że przedstawianie przez wnioskodawcę samych opisów przyjętych rozwiązań (bez regulacji wewnętrznych) uniemożliwia dokonanie ich rzetelnej i kompleksowej oceny. W przypadku braku ww. regulacji </w:t>
      </w:r>
      <w:r w:rsidR="00F23395" w:rsidRPr="00205E56">
        <w:rPr>
          <w:rFonts w:ascii="Times New Roman" w:hAnsi="Times New Roman" w:cs="Times New Roman"/>
          <w:sz w:val="24"/>
          <w:szCs w:val="24"/>
        </w:rPr>
        <w:lastRenderedPageBreak/>
        <w:t>UKNF</w:t>
      </w:r>
      <w:r w:rsidR="001653E9" w:rsidRPr="00205E56">
        <w:rPr>
          <w:rFonts w:ascii="Times New Roman" w:hAnsi="Times New Roman" w:cs="Times New Roman"/>
          <w:sz w:val="24"/>
          <w:szCs w:val="24"/>
        </w:rPr>
        <w:t>,</w:t>
      </w:r>
      <w:r w:rsidR="00F23395" w:rsidRPr="00205E56">
        <w:rPr>
          <w:rFonts w:ascii="Times New Roman" w:hAnsi="Times New Roman" w:cs="Times New Roman"/>
          <w:sz w:val="24"/>
          <w:szCs w:val="24"/>
        </w:rPr>
        <w:t xml:space="preserve"> uczestnicząc w procesie opiniowania wniosku</w:t>
      </w:r>
      <w:r w:rsidR="001653E9" w:rsidRPr="00205E56">
        <w:rPr>
          <w:rFonts w:ascii="Times New Roman" w:hAnsi="Times New Roman" w:cs="Times New Roman"/>
          <w:sz w:val="24"/>
          <w:szCs w:val="24"/>
        </w:rPr>
        <w:t>,</w:t>
      </w:r>
      <w:r w:rsidR="00F23395" w:rsidRPr="00205E56">
        <w:rPr>
          <w:rFonts w:ascii="Times New Roman" w:hAnsi="Times New Roman" w:cs="Times New Roman"/>
          <w:sz w:val="24"/>
          <w:szCs w:val="24"/>
        </w:rPr>
        <w:t xml:space="preserve"> zgłasza ten fakt jako uwagę do przedłożonej dokumentacji, co w efekcie powoduje potrzebę dodatkow</w:t>
      </w:r>
      <w:r w:rsidR="001653E9" w:rsidRPr="00205E56">
        <w:rPr>
          <w:rFonts w:ascii="Times New Roman" w:hAnsi="Times New Roman" w:cs="Times New Roman"/>
          <w:sz w:val="24"/>
          <w:szCs w:val="24"/>
        </w:rPr>
        <w:t xml:space="preserve">ych kontaktów </w:t>
      </w:r>
      <w:r w:rsidR="001525DC">
        <w:rPr>
          <w:rFonts w:ascii="Times New Roman" w:hAnsi="Times New Roman" w:cs="Times New Roman"/>
          <w:sz w:val="24"/>
          <w:szCs w:val="24"/>
        </w:rPr>
        <w:t>z </w:t>
      </w:r>
      <w:r w:rsidR="00F23395" w:rsidRPr="00205E56">
        <w:rPr>
          <w:rFonts w:ascii="Times New Roman" w:hAnsi="Times New Roman" w:cs="Times New Roman"/>
          <w:sz w:val="24"/>
          <w:szCs w:val="24"/>
        </w:rPr>
        <w:t xml:space="preserve">wnioskodawcą i wydłuża proces licencyjny. Ponadto z doświadczeń inspekcyjnych UKNF wynika, że niektórzy wnioskodawcy często nie posiadają formalnie wprowadzonych regulacji wewnętrznych w przedmiotowym zakresie. Po uzyskaniu zezwolenia instytucja płatnicza powinna być w stanie rozpocząć działalność w zakresie usług płatniczych, co oznacza, że posiadanie zatwierdzonych regulacji wewnętrznych jest niezbędne. </w:t>
      </w:r>
      <w:r w:rsidR="00E30F32" w:rsidRPr="00205E56">
        <w:rPr>
          <w:rFonts w:ascii="Times New Roman" w:hAnsi="Times New Roman" w:cs="Times New Roman"/>
          <w:sz w:val="24"/>
          <w:szCs w:val="24"/>
        </w:rPr>
        <w:t xml:space="preserve">Zmiana </w:t>
      </w:r>
      <w:r w:rsidR="00F23395" w:rsidRPr="00205E56">
        <w:rPr>
          <w:rFonts w:ascii="Times New Roman" w:hAnsi="Times New Roman" w:cs="Times New Roman"/>
          <w:sz w:val="24"/>
          <w:szCs w:val="24"/>
        </w:rPr>
        <w:t xml:space="preserve">w ust. 2 </w:t>
      </w:r>
      <w:r w:rsidR="00E30F32" w:rsidRPr="00205E56">
        <w:rPr>
          <w:rFonts w:ascii="Times New Roman" w:hAnsi="Times New Roman" w:cs="Times New Roman"/>
          <w:sz w:val="24"/>
          <w:szCs w:val="24"/>
        </w:rPr>
        <w:t xml:space="preserve">ma na celu dostosowanie </w:t>
      </w:r>
      <w:r w:rsidR="001525DC">
        <w:rPr>
          <w:rFonts w:ascii="Times New Roman" w:hAnsi="Times New Roman" w:cs="Times New Roman"/>
          <w:sz w:val="24"/>
          <w:szCs w:val="24"/>
        </w:rPr>
        <w:t>przepisu do terminologii z art. </w:t>
      </w:r>
      <w:r w:rsidR="00E30F32" w:rsidRPr="00205E56">
        <w:rPr>
          <w:rFonts w:ascii="Times New Roman" w:hAnsi="Times New Roman" w:cs="Times New Roman"/>
          <w:sz w:val="24"/>
          <w:szCs w:val="24"/>
        </w:rPr>
        <w:t>14 PSD, gdzie termin „</w:t>
      </w:r>
      <w:proofErr w:type="spellStart"/>
      <w:r w:rsidR="00E30F32" w:rsidRPr="00205E56">
        <w:rPr>
          <w:rFonts w:ascii="Times New Roman" w:hAnsi="Times New Roman" w:cs="Times New Roman"/>
          <w:sz w:val="24"/>
          <w:szCs w:val="24"/>
        </w:rPr>
        <w:t>accuracy</w:t>
      </w:r>
      <w:proofErr w:type="spellEnd"/>
      <w:r w:rsidR="00E30F32" w:rsidRPr="00205E56">
        <w:rPr>
          <w:rFonts w:ascii="Times New Roman" w:hAnsi="Times New Roman" w:cs="Times New Roman"/>
          <w:sz w:val="24"/>
          <w:szCs w:val="24"/>
        </w:rPr>
        <w:t>” został przetłumaczony jako „dokła</w:t>
      </w:r>
      <w:r w:rsidR="001525DC">
        <w:rPr>
          <w:rFonts w:ascii="Times New Roman" w:hAnsi="Times New Roman" w:cs="Times New Roman"/>
          <w:sz w:val="24"/>
          <w:szCs w:val="24"/>
        </w:rPr>
        <w:t>dność” (w art. </w:t>
      </w:r>
      <w:r w:rsidR="00E30F32" w:rsidRPr="00205E56">
        <w:rPr>
          <w:rFonts w:ascii="Times New Roman" w:hAnsi="Times New Roman" w:cs="Times New Roman"/>
          <w:sz w:val="24"/>
          <w:szCs w:val="24"/>
        </w:rPr>
        <w:t>16 polskiej wersji PSD</w:t>
      </w:r>
      <w:r w:rsidR="001653E9" w:rsidRPr="00205E56">
        <w:rPr>
          <w:rFonts w:ascii="Times New Roman" w:hAnsi="Times New Roman" w:cs="Times New Roman"/>
          <w:sz w:val="24"/>
          <w:szCs w:val="24"/>
        </w:rPr>
        <w:t xml:space="preserve"> </w:t>
      </w:r>
      <w:r w:rsidR="00E30F32" w:rsidRPr="00205E56">
        <w:rPr>
          <w:rFonts w:ascii="Times New Roman" w:hAnsi="Times New Roman" w:cs="Times New Roman"/>
          <w:sz w:val="24"/>
          <w:szCs w:val="24"/>
        </w:rPr>
        <w:t xml:space="preserve">2 nieprawidłowo przetłumaczony jako „prawidłowość”) oraz </w:t>
      </w:r>
      <w:r w:rsidR="00E30F32" w:rsidRPr="0027254D">
        <w:rPr>
          <w:rFonts w:ascii="Times New Roman" w:hAnsi="Times New Roman" w:cs="Times New Roman"/>
          <w:i/>
          <w:sz w:val="24"/>
          <w:szCs w:val="24"/>
        </w:rPr>
        <w:t>ratio legis</w:t>
      </w:r>
      <w:r w:rsidR="00E30F32" w:rsidRPr="00205E56">
        <w:rPr>
          <w:rFonts w:ascii="Times New Roman" w:hAnsi="Times New Roman" w:cs="Times New Roman"/>
          <w:sz w:val="24"/>
          <w:szCs w:val="24"/>
        </w:rPr>
        <w:t xml:space="preserve"> przepisu, którym jest zapewnienie, aby do KNF notyfikowana była nie tyle każda zmiana w aktualności dokumentów (np.</w:t>
      </w:r>
      <w:r w:rsidR="001525DC">
        <w:rPr>
          <w:rFonts w:ascii="Times New Roman" w:hAnsi="Times New Roman" w:cs="Times New Roman"/>
          <w:sz w:val="24"/>
          <w:szCs w:val="24"/>
        </w:rPr>
        <w:t xml:space="preserve"> każda zmiana statutu, zmiana w </w:t>
      </w:r>
      <w:r w:rsidR="001653E9" w:rsidRPr="00205E56">
        <w:rPr>
          <w:rFonts w:ascii="Times New Roman" w:hAnsi="Times New Roman" w:cs="Times New Roman"/>
          <w:sz w:val="24"/>
          <w:szCs w:val="24"/>
        </w:rPr>
        <w:t xml:space="preserve">życiorysach </w:t>
      </w:r>
      <w:r w:rsidR="00E30F32" w:rsidRPr="00205E56">
        <w:rPr>
          <w:rFonts w:ascii="Times New Roman" w:hAnsi="Times New Roman" w:cs="Times New Roman"/>
          <w:sz w:val="24"/>
          <w:szCs w:val="24"/>
        </w:rPr>
        <w:t>osób zarządzających, spłata każdej kolejnej raty w kredycie)</w:t>
      </w:r>
      <w:r w:rsidR="001653E9" w:rsidRPr="00205E56">
        <w:rPr>
          <w:rFonts w:ascii="Times New Roman" w:hAnsi="Times New Roman" w:cs="Times New Roman"/>
          <w:sz w:val="24"/>
          <w:szCs w:val="24"/>
        </w:rPr>
        <w:t>,</w:t>
      </w:r>
      <w:r w:rsidR="00D07BEB" w:rsidRPr="00205E56">
        <w:rPr>
          <w:rFonts w:ascii="Times New Roman" w:hAnsi="Times New Roman" w:cs="Times New Roman"/>
          <w:sz w:val="24"/>
          <w:szCs w:val="24"/>
        </w:rPr>
        <w:t xml:space="preserve"> </w:t>
      </w:r>
      <w:r w:rsidR="00E30F32" w:rsidRPr="00205E56">
        <w:rPr>
          <w:rFonts w:ascii="Times New Roman" w:hAnsi="Times New Roman" w:cs="Times New Roman"/>
          <w:sz w:val="24"/>
          <w:szCs w:val="24"/>
        </w:rPr>
        <w:t>ale taka zmiana</w:t>
      </w:r>
      <w:r w:rsidR="001653E9" w:rsidRPr="00205E56">
        <w:rPr>
          <w:rFonts w:ascii="Times New Roman" w:hAnsi="Times New Roman" w:cs="Times New Roman"/>
          <w:sz w:val="24"/>
          <w:szCs w:val="24"/>
        </w:rPr>
        <w:t>,</w:t>
      </w:r>
      <w:r w:rsidR="00E30F32" w:rsidRPr="00205E56">
        <w:rPr>
          <w:rFonts w:ascii="Times New Roman" w:hAnsi="Times New Roman" w:cs="Times New Roman"/>
          <w:sz w:val="24"/>
          <w:szCs w:val="24"/>
        </w:rPr>
        <w:t xml:space="preserve"> która wywiera „istotny” wpływ na dokładność dokumentów i informacji stanowiących podstawę wydania zezwolenia.</w:t>
      </w:r>
      <w:r w:rsidR="00F23395" w:rsidRPr="00205E56">
        <w:rPr>
          <w:rFonts w:ascii="Times New Roman" w:hAnsi="Times New Roman" w:cs="Times New Roman"/>
          <w:sz w:val="24"/>
          <w:szCs w:val="24"/>
        </w:rPr>
        <w:t xml:space="preserve"> </w:t>
      </w:r>
    </w:p>
    <w:p w14:paraId="793FE586" w14:textId="45D9DDD8" w:rsidR="00350187" w:rsidRPr="00205E56" w:rsidRDefault="00350187"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152FB7" w:rsidRPr="00205E56">
        <w:rPr>
          <w:rFonts w:ascii="Times New Roman" w:hAnsi="Times New Roman" w:cs="Times New Roman"/>
          <w:b/>
          <w:sz w:val="24"/>
          <w:szCs w:val="24"/>
        </w:rPr>
        <w:t>5</w:t>
      </w:r>
      <w:r w:rsidR="006B03F8" w:rsidRPr="00205E56">
        <w:rPr>
          <w:rFonts w:ascii="Times New Roman" w:hAnsi="Times New Roman" w:cs="Times New Roman"/>
          <w:b/>
          <w:sz w:val="24"/>
          <w:szCs w:val="24"/>
        </w:rPr>
        <w:t>5</w:t>
      </w:r>
      <w:r w:rsidR="0065115D" w:rsidRPr="00205E56">
        <w:rPr>
          <w:rFonts w:ascii="Times New Roman" w:hAnsi="Times New Roman" w:cs="Times New Roman"/>
          <w:sz w:val="24"/>
          <w:szCs w:val="24"/>
        </w:rPr>
        <w:t xml:space="preserve"> </w:t>
      </w:r>
      <w:r w:rsidRPr="00205E56">
        <w:rPr>
          <w:rFonts w:ascii="Times New Roman" w:hAnsi="Times New Roman" w:cs="Times New Roman"/>
          <w:sz w:val="24"/>
          <w:szCs w:val="24"/>
        </w:rPr>
        <w:t>dodaje się art. 61b,</w:t>
      </w:r>
      <w:r w:rsidR="008B6C63" w:rsidRPr="00205E56">
        <w:rPr>
          <w:rFonts w:ascii="Times New Roman" w:hAnsi="Times New Roman" w:cs="Times New Roman"/>
          <w:sz w:val="24"/>
          <w:szCs w:val="24"/>
        </w:rPr>
        <w:t xml:space="preserve"> który nakłada na dostawcę świadczącego usługi inicjowania płatności obowiązek </w:t>
      </w:r>
      <w:r w:rsidR="00341FA9" w:rsidRPr="00205E56">
        <w:rPr>
          <w:rFonts w:ascii="Times New Roman" w:hAnsi="Times New Roman" w:cs="Times New Roman"/>
          <w:sz w:val="24"/>
          <w:szCs w:val="24"/>
        </w:rPr>
        <w:t xml:space="preserve">posiadania i </w:t>
      </w:r>
      <w:r w:rsidR="008B6C63" w:rsidRPr="00205E56">
        <w:rPr>
          <w:rFonts w:ascii="Times New Roman" w:hAnsi="Times New Roman" w:cs="Times New Roman"/>
          <w:sz w:val="24"/>
          <w:szCs w:val="24"/>
        </w:rPr>
        <w:t xml:space="preserve">dołączenia do wniosku o wydanie zezwolenia </w:t>
      </w:r>
      <w:r w:rsidR="00FD70E7" w:rsidRPr="00205E56">
        <w:rPr>
          <w:rFonts w:ascii="Times New Roman" w:hAnsi="Times New Roman" w:cs="Times New Roman"/>
          <w:sz w:val="24"/>
          <w:szCs w:val="24"/>
        </w:rPr>
        <w:t xml:space="preserve">KNF </w:t>
      </w:r>
      <w:r w:rsidR="008B6C63" w:rsidRPr="00205E56">
        <w:rPr>
          <w:rFonts w:ascii="Times New Roman" w:hAnsi="Times New Roman" w:cs="Times New Roman"/>
          <w:sz w:val="24"/>
          <w:szCs w:val="24"/>
        </w:rPr>
        <w:t xml:space="preserve">dokumentu </w:t>
      </w:r>
      <w:r w:rsidR="006B16FC" w:rsidRPr="00205E56">
        <w:rPr>
          <w:rFonts w:ascii="Times New Roman" w:hAnsi="Times New Roman" w:cs="Times New Roman"/>
          <w:sz w:val="24"/>
          <w:szCs w:val="24"/>
        </w:rPr>
        <w:t xml:space="preserve">(jako warunku rejestracji) </w:t>
      </w:r>
      <w:r w:rsidR="008B6C63" w:rsidRPr="00205E56">
        <w:rPr>
          <w:rFonts w:ascii="Times New Roman" w:hAnsi="Times New Roman" w:cs="Times New Roman"/>
          <w:sz w:val="24"/>
          <w:szCs w:val="24"/>
        </w:rPr>
        <w:t xml:space="preserve">potwierdzającego posiadanie przez niego ubezpieczenia odpowiedzialności cywilnej z tytułu prowadzenia odpowiedniej działalności gospodarczej lub innej porównywalnej </w:t>
      </w:r>
      <w:r w:rsidR="006B16FC" w:rsidRPr="00205E56">
        <w:rPr>
          <w:rFonts w:ascii="Times New Roman" w:hAnsi="Times New Roman" w:cs="Times New Roman"/>
          <w:sz w:val="24"/>
          <w:szCs w:val="24"/>
        </w:rPr>
        <w:t xml:space="preserve">gwarancji. </w:t>
      </w:r>
      <w:r w:rsidR="001653E9" w:rsidRPr="00205E56">
        <w:rPr>
          <w:rFonts w:ascii="Times New Roman" w:hAnsi="Times New Roman" w:cs="Times New Roman"/>
          <w:sz w:val="24"/>
          <w:szCs w:val="24"/>
        </w:rPr>
        <w:t xml:space="preserve">Przepis ust. </w:t>
      </w:r>
      <w:r w:rsidR="00341FA9" w:rsidRPr="00205E56">
        <w:rPr>
          <w:rFonts w:ascii="Times New Roman" w:hAnsi="Times New Roman" w:cs="Times New Roman"/>
          <w:sz w:val="24"/>
          <w:szCs w:val="24"/>
        </w:rPr>
        <w:t>4</w:t>
      </w:r>
      <w:r w:rsidR="001653E9" w:rsidRPr="00205E56">
        <w:rPr>
          <w:rFonts w:ascii="Times New Roman" w:hAnsi="Times New Roman" w:cs="Times New Roman"/>
          <w:sz w:val="24"/>
          <w:szCs w:val="24"/>
        </w:rPr>
        <w:t xml:space="preserve"> tego artykułu </w:t>
      </w:r>
      <w:r w:rsidR="006B16FC" w:rsidRPr="00205E56">
        <w:rPr>
          <w:rFonts w:ascii="Times New Roman" w:hAnsi="Times New Roman" w:cs="Times New Roman"/>
          <w:sz w:val="24"/>
          <w:szCs w:val="24"/>
        </w:rPr>
        <w:t>stanowi delegację ustawową dla ministra właściwego do spraw instytucji finansowych do wydania rozporządzenia w sprawie szczegółowego zakresu ubezpieczenia oraz minimaln</w:t>
      </w:r>
      <w:r w:rsidR="001653E9" w:rsidRPr="00205E56">
        <w:rPr>
          <w:rFonts w:ascii="Times New Roman" w:hAnsi="Times New Roman" w:cs="Times New Roman"/>
          <w:sz w:val="24"/>
          <w:szCs w:val="24"/>
        </w:rPr>
        <w:t>ej</w:t>
      </w:r>
      <w:r w:rsidR="006B16FC" w:rsidRPr="00205E56">
        <w:rPr>
          <w:rFonts w:ascii="Times New Roman" w:hAnsi="Times New Roman" w:cs="Times New Roman"/>
          <w:sz w:val="24"/>
          <w:szCs w:val="24"/>
        </w:rPr>
        <w:t xml:space="preserve"> kwot</w:t>
      </w:r>
      <w:r w:rsidR="001653E9" w:rsidRPr="00205E56">
        <w:rPr>
          <w:rFonts w:ascii="Times New Roman" w:hAnsi="Times New Roman" w:cs="Times New Roman"/>
          <w:sz w:val="24"/>
          <w:szCs w:val="24"/>
        </w:rPr>
        <w:t>y</w:t>
      </w:r>
      <w:r w:rsidR="006B16FC" w:rsidRPr="00205E56">
        <w:rPr>
          <w:rFonts w:ascii="Times New Roman" w:hAnsi="Times New Roman" w:cs="Times New Roman"/>
          <w:sz w:val="24"/>
          <w:szCs w:val="24"/>
        </w:rPr>
        <w:t xml:space="preserve"> pieniężn</w:t>
      </w:r>
      <w:r w:rsidR="001653E9" w:rsidRPr="00205E56">
        <w:rPr>
          <w:rFonts w:ascii="Times New Roman" w:hAnsi="Times New Roman" w:cs="Times New Roman"/>
          <w:sz w:val="24"/>
          <w:szCs w:val="24"/>
        </w:rPr>
        <w:t>ej</w:t>
      </w:r>
      <w:r w:rsidR="00C528F2" w:rsidRPr="00205E56">
        <w:rPr>
          <w:rFonts w:ascii="Times New Roman" w:hAnsi="Times New Roman" w:cs="Times New Roman"/>
          <w:sz w:val="24"/>
          <w:szCs w:val="24"/>
        </w:rPr>
        <w:t xml:space="preserve"> </w:t>
      </w:r>
      <w:r w:rsidR="006B16FC" w:rsidRPr="00205E56">
        <w:rPr>
          <w:rFonts w:ascii="Times New Roman" w:hAnsi="Times New Roman" w:cs="Times New Roman"/>
          <w:sz w:val="24"/>
          <w:szCs w:val="24"/>
        </w:rPr>
        <w:t>ubezpieczenia lub gwarancji</w:t>
      </w:r>
      <w:r w:rsidR="00341FA9" w:rsidRPr="00205E56">
        <w:rPr>
          <w:rFonts w:ascii="Times New Roman" w:hAnsi="Times New Roman" w:cs="Times New Roman"/>
          <w:sz w:val="24"/>
          <w:szCs w:val="24"/>
        </w:rPr>
        <w:t xml:space="preserve"> lub innego zabezpieczenia roszczeń użytkownika</w:t>
      </w:r>
      <w:r w:rsidR="006B16FC" w:rsidRPr="00205E56">
        <w:rPr>
          <w:rFonts w:ascii="Times New Roman" w:hAnsi="Times New Roman" w:cs="Times New Roman"/>
          <w:sz w:val="24"/>
          <w:szCs w:val="24"/>
        </w:rPr>
        <w:t xml:space="preserve">, </w:t>
      </w:r>
      <w:r w:rsidR="001653E9" w:rsidRPr="00205E56">
        <w:rPr>
          <w:rFonts w:ascii="Times New Roman" w:hAnsi="Times New Roman" w:cs="Times New Roman"/>
          <w:sz w:val="24"/>
          <w:szCs w:val="24"/>
        </w:rPr>
        <w:t xml:space="preserve">z </w:t>
      </w:r>
      <w:r w:rsidR="006B16FC" w:rsidRPr="00205E56">
        <w:rPr>
          <w:rFonts w:ascii="Times New Roman" w:hAnsi="Times New Roman" w:cs="Times New Roman"/>
          <w:sz w:val="24"/>
          <w:szCs w:val="24"/>
        </w:rPr>
        <w:t>uwzględni</w:t>
      </w:r>
      <w:r w:rsidR="001653E9" w:rsidRPr="00205E56">
        <w:rPr>
          <w:rFonts w:ascii="Times New Roman" w:hAnsi="Times New Roman" w:cs="Times New Roman"/>
          <w:sz w:val="24"/>
          <w:szCs w:val="24"/>
        </w:rPr>
        <w:t xml:space="preserve">eniem </w:t>
      </w:r>
      <w:r w:rsidR="006B16FC" w:rsidRPr="00205E56">
        <w:rPr>
          <w:rFonts w:ascii="Times New Roman" w:hAnsi="Times New Roman" w:cs="Times New Roman"/>
          <w:sz w:val="24"/>
          <w:szCs w:val="24"/>
        </w:rPr>
        <w:t>wytyczn</w:t>
      </w:r>
      <w:r w:rsidR="00E607D2" w:rsidRPr="00205E56">
        <w:rPr>
          <w:rFonts w:ascii="Times New Roman" w:hAnsi="Times New Roman" w:cs="Times New Roman"/>
          <w:sz w:val="24"/>
          <w:szCs w:val="24"/>
        </w:rPr>
        <w:t>ych</w:t>
      </w:r>
      <w:r w:rsidR="00C528F2" w:rsidRPr="00205E56">
        <w:rPr>
          <w:rFonts w:ascii="Times New Roman" w:hAnsi="Times New Roman" w:cs="Times New Roman"/>
          <w:sz w:val="24"/>
          <w:szCs w:val="24"/>
        </w:rPr>
        <w:t xml:space="preserve"> </w:t>
      </w:r>
      <w:r w:rsidR="006B16FC" w:rsidRPr="00205E56">
        <w:rPr>
          <w:rFonts w:ascii="Times New Roman" w:hAnsi="Times New Roman" w:cs="Times New Roman"/>
          <w:sz w:val="24"/>
          <w:szCs w:val="24"/>
        </w:rPr>
        <w:t>wydan</w:t>
      </w:r>
      <w:r w:rsidR="00E607D2" w:rsidRPr="00205E56">
        <w:rPr>
          <w:rFonts w:ascii="Times New Roman" w:hAnsi="Times New Roman" w:cs="Times New Roman"/>
          <w:sz w:val="24"/>
          <w:szCs w:val="24"/>
        </w:rPr>
        <w:t xml:space="preserve">ych </w:t>
      </w:r>
      <w:r w:rsidR="006B16FC" w:rsidRPr="00205E56">
        <w:rPr>
          <w:rFonts w:ascii="Times New Roman" w:hAnsi="Times New Roman" w:cs="Times New Roman"/>
          <w:sz w:val="24"/>
          <w:szCs w:val="24"/>
        </w:rPr>
        <w:t>przez EUNB.</w:t>
      </w:r>
    </w:p>
    <w:p w14:paraId="551079A2" w14:textId="1748D610" w:rsidR="004374F5" w:rsidRPr="00205E56" w:rsidRDefault="004374F5"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5</w:t>
      </w:r>
      <w:r w:rsidR="006B03F8" w:rsidRPr="00205E56">
        <w:rPr>
          <w:rFonts w:ascii="Times New Roman" w:hAnsi="Times New Roman" w:cs="Times New Roman"/>
          <w:b/>
          <w:sz w:val="24"/>
          <w:szCs w:val="24"/>
        </w:rPr>
        <w:t>6</w:t>
      </w:r>
      <w:r w:rsidRPr="00205E56">
        <w:rPr>
          <w:rFonts w:ascii="Times New Roman" w:hAnsi="Times New Roman" w:cs="Times New Roman"/>
          <w:b/>
          <w:sz w:val="24"/>
          <w:szCs w:val="24"/>
        </w:rPr>
        <w:t xml:space="preserve"> </w:t>
      </w:r>
      <w:r w:rsidRPr="00205E56">
        <w:rPr>
          <w:rFonts w:ascii="Times New Roman" w:hAnsi="Times New Roman" w:cs="Times New Roman"/>
          <w:sz w:val="24"/>
          <w:szCs w:val="24"/>
        </w:rPr>
        <w:t xml:space="preserve">zmienia się brzmienie art. 64 mówiącego o warunkach wydania zezwolenia </w:t>
      </w:r>
      <w:r w:rsidR="00832F04" w:rsidRPr="00205E56">
        <w:rPr>
          <w:rFonts w:ascii="Times New Roman" w:hAnsi="Times New Roman" w:cs="Times New Roman"/>
          <w:sz w:val="24"/>
          <w:szCs w:val="24"/>
        </w:rPr>
        <w:t>na świadczenie usług płatniczych w charakterze krajowej instytucji płatniczej</w:t>
      </w:r>
      <w:r w:rsidRPr="00205E56">
        <w:rPr>
          <w:rFonts w:ascii="Times New Roman" w:hAnsi="Times New Roman" w:cs="Times New Roman"/>
          <w:sz w:val="24"/>
          <w:szCs w:val="24"/>
        </w:rPr>
        <w:t>, w tym określa wysokość kapitału założycielskiego w zależności od zakresu świadczonych usług.</w:t>
      </w:r>
      <w:r w:rsidR="00CF6A77" w:rsidRPr="00205E56">
        <w:rPr>
          <w:rFonts w:ascii="Times New Roman" w:hAnsi="Times New Roman" w:cs="Times New Roman"/>
          <w:sz w:val="24"/>
          <w:szCs w:val="24"/>
        </w:rPr>
        <w:t xml:space="preserve"> </w:t>
      </w:r>
    </w:p>
    <w:p w14:paraId="16E5D937" w14:textId="2AF69094" w:rsidR="004F3BE8" w:rsidRPr="00205E56" w:rsidRDefault="00350187"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7B68EA" w:rsidRPr="00205E56">
        <w:rPr>
          <w:rFonts w:ascii="Times New Roman" w:hAnsi="Times New Roman" w:cs="Times New Roman"/>
          <w:b/>
          <w:sz w:val="24"/>
          <w:szCs w:val="24"/>
        </w:rPr>
        <w:t>5</w:t>
      </w:r>
      <w:r w:rsidR="006B03F8" w:rsidRPr="00205E56">
        <w:rPr>
          <w:rFonts w:ascii="Times New Roman" w:hAnsi="Times New Roman" w:cs="Times New Roman"/>
          <w:b/>
          <w:sz w:val="24"/>
          <w:szCs w:val="24"/>
        </w:rPr>
        <w:t>7</w:t>
      </w:r>
      <w:r w:rsidRPr="00205E56">
        <w:rPr>
          <w:rFonts w:ascii="Times New Roman" w:hAnsi="Times New Roman" w:cs="Times New Roman"/>
          <w:sz w:val="24"/>
          <w:szCs w:val="24"/>
        </w:rPr>
        <w:t xml:space="preserve"> </w:t>
      </w:r>
      <w:r w:rsidR="001D6600" w:rsidRPr="00205E56">
        <w:rPr>
          <w:rFonts w:ascii="Times New Roman" w:hAnsi="Times New Roman" w:cs="Times New Roman"/>
          <w:sz w:val="24"/>
          <w:szCs w:val="24"/>
        </w:rPr>
        <w:t>wprowadza się zmiany w art. 64a</w:t>
      </w:r>
      <w:r w:rsidR="00E607D2" w:rsidRPr="00205E56">
        <w:rPr>
          <w:rFonts w:ascii="Times New Roman" w:hAnsi="Times New Roman" w:cs="Times New Roman"/>
          <w:sz w:val="24"/>
          <w:szCs w:val="24"/>
        </w:rPr>
        <w:t>. Z</w:t>
      </w:r>
      <w:r w:rsidR="002C6E44" w:rsidRPr="00205E56">
        <w:rPr>
          <w:rFonts w:ascii="Times New Roman" w:hAnsi="Times New Roman" w:cs="Times New Roman"/>
          <w:sz w:val="24"/>
          <w:szCs w:val="24"/>
        </w:rPr>
        <w:t xml:space="preserve">mieniany </w:t>
      </w:r>
      <w:r w:rsidR="00424DD8" w:rsidRPr="00205E56">
        <w:rPr>
          <w:rFonts w:ascii="Times New Roman" w:hAnsi="Times New Roman" w:cs="Times New Roman"/>
          <w:sz w:val="24"/>
          <w:szCs w:val="24"/>
        </w:rPr>
        <w:t xml:space="preserve">ust. 1 </w:t>
      </w:r>
      <w:r w:rsidR="002C6E44" w:rsidRPr="00205E56">
        <w:rPr>
          <w:rFonts w:ascii="Times New Roman" w:hAnsi="Times New Roman" w:cs="Times New Roman"/>
          <w:sz w:val="24"/>
          <w:szCs w:val="24"/>
        </w:rPr>
        <w:t xml:space="preserve">pkt 4 </w:t>
      </w:r>
      <w:r w:rsidR="00FD70E7" w:rsidRPr="00205E56">
        <w:rPr>
          <w:rFonts w:ascii="Times New Roman" w:hAnsi="Times New Roman" w:cs="Times New Roman"/>
          <w:sz w:val="24"/>
          <w:szCs w:val="24"/>
        </w:rPr>
        <w:t>określa szczegółowy opis procedur</w:t>
      </w:r>
      <w:r w:rsidR="002C6E44" w:rsidRPr="00205E56">
        <w:rPr>
          <w:rFonts w:ascii="Times New Roman" w:hAnsi="Times New Roman" w:cs="Times New Roman"/>
          <w:sz w:val="24"/>
          <w:szCs w:val="24"/>
        </w:rPr>
        <w:t xml:space="preserve"> </w:t>
      </w:r>
      <w:r w:rsidR="00FD70E7" w:rsidRPr="00205E56">
        <w:rPr>
          <w:rFonts w:ascii="Times New Roman" w:hAnsi="Times New Roman" w:cs="Times New Roman"/>
          <w:sz w:val="24"/>
          <w:szCs w:val="24"/>
        </w:rPr>
        <w:t>i zasad wchodzących w skład systemu zarz</w:t>
      </w:r>
      <w:r w:rsidR="00994326">
        <w:rPr>
          <w:rFonts w:ascii="Times New Roman" w:hAnsi="Times New Roman" w:cs="Times New Roman"/>
          <w:sz w:val="24"/>
          <w:szCs w:val="24"/>
        </w:rPr>
        <w:t>ą</w:t>
      </w:r>
      <w:r w:rsidR="00FD70E7" w:rsidRPr="00205E56">
        <w:rPr>
          <w:rFonts w:ascii="Times New Roman" w:hAnsi="Times New Roman" w:cs="Times New Roman"/>
          <w:sz w:val="24"/>
          <w:szCs w:val="24"/>
        </w:rPr>
        <w:t>dzania ryzykiem i kontroli wewnętrznej</w:t>
      </w:r>
      <w:r w:rsidR="002C6E44" w:rsidRPr="00205E56">
        <w:rPr>
          <w:rFonts w:ascii="Times New Roman" w:hAnsi="Times New Roman" w:cs="Times New Roman"/>
          <w:sz w:val="24"/>
          <w:szCs w:val="24"/>
        </w:rPr>
        <w:t>, które powinien realizować podmiot</w:t>
      </w:r>
      <w:r w:rsidR="00695550" w:rsidRPr="00205E56">
        <w:rPr>
          <w:rFonts w:ascii="Times New Roman" w:hAnsi="Times New Roman" w:cs="Times New Roman"/>
          <w:sz w:val="24"/>
          <w:szCs w:val="24"/>
        </w:rPr>
        <w:t xml:space="preserve"> ubiegają</w:t>
      </w:r>
      <w:r w:rsidR="002C6E44" w:rsidRPr="00205E56">
        <w:rPr>
          <w:rFonts w:ascii="Times New Roman" w:hAnsi="Times New Roman" w:cs="Times New Roman"/>
          <w:sz w:val="24"/>
          <w:szCs w:val="24"/>
        </w:rPr>
        <w:t>cy</w:t>
      </w:r>
      <w:r w:rsidR="001525DC">
        <w:rPr>
          <w:rFonts w:ascii="Times New Roman" w:hAnsi="Times New Roman" w:cs="Times New Roman"/>
          <w:sz w:val="24"/>
          <w:szCs w:val="24"/>
        </w:rPr>
        <w:t xml:space="preserve"> się </w:t>
      </w:r>
      <w:r w:rsidR="001525DC">
        <w:rPr>
          <w:rFonts w:ascii="Times New Roman" w:hAnsi="Times New Roman" w:cs="Times New Roman"/>
          <w:sz w:val="24"/>
          <w:szCs w:val="24"/>
        </w:rPr>
        <w:lastRenderedPageBreak/>
        <w:t>o </w:t>
      </w:r>
      <w:r w:rsidR="00695550" w:rsidRPr="00205E56">
        <w:rPr>
          <w:rFonts w:ascii="Times New Roman" w:hAnsi="Times New Roman" w:cs="Times New Roman"/>
          <w:sz w:val="24"/>
          <w:szCs w:val="24"/>
        </w:rPr>
        <w:t>wydanie zezwolenia KNF</w:t>
      </w:r>
      <w:r w:rsidR="00FD70E7" w:rsidRPr="00205E56">
        <w:rPr>
          <w:rFonts w:ascii="Times New Roman" w:hAnsi="Times New Roman" w:cs="Times New Roman"/>
          <w:sz w:val="24"/>
          <w:szCs w:val="24"/>
        </w:rPr>
        <w:t xml:space="preserve">. </w:t>
      </w:r>
      <w:r w:rsidR="00695550" w:rsidRPr="00205E56">
        <w:rPr>
          <w:rFonts w:ascii="Times New Roman" w:hAnsi="Times New Roman" w:cs="Times New Roman"/>
          <w:sz w:val="24"/>
          <w:szCs w:val="24"/>
        </w:rPr>
        <w:t>Zezwolenie na prowadzenie działalności w charakterze krajowej instytucji płatniczej może być wydane tylko podmiotom, które zapewniają ostrożne i stabilne zarządzanie działalnością</w:t>
      </w:r>
      <w:r w:rsidR="00E607D2" w:rsidRPr="00205E56">
        <w:rPr>
          <w:rFonts w:ascii="Times New Roman" w:hAnsi="Times New Roman" w:cs="Times New Roman"/>
          <w:sz w:val="24"/>
          <w:szCs w:val="24"/>
        </w:rPr>
        <w:t>,</w:t>
      </w:r>
      <w:r w:rsidR="00695550" w:rsidRPr="00205E56">
        <w:rPr>
          <w:rFonts w:ascii="Times New Roman" w:hAnsi="Times New Roman" w:cs="Times New Roman"/>
          <w:sz w:val="24"/>
          <w:szCs w:val="24"/>
        </w:rPr>
        <w:t xml:space="preserve"> </w:t>
      </w:r>
      <w:r w:rsidR="002C6E44" w:rsidRPr="00205E56">
        <w:rPr>
          <w:rFonts w:ascii="Times New Roman" w:hAnsi="Times New Roman" w:cs="Times New Roman"/>
          <w:sz w:val="24"/>
          <w:szCs w:val="24"/>
        </w:rPr>
        <w:t xml:space="preserve">oraz należycie wykonują obowiązki związane z przeciwdziałaniem praniu pieniędzy i finansowaniu terroryzmu </w:t>
      </w:r>
      <w:r w:rsidR="00695550" w:rsidRPr="00205E56">
        <w:rPr>
          <w:rFonts w:ascii="Times New Roman" w:hAnsi="Times New Roman" w:cs="Times New Roman"/>
          <w:sz w:val="24"/>
          <w:szCs w:val="24"/>
        </w:rPr>
        <w:t>przez posiadanie systemu zarz</w:t>
      </w:r>
      <w:r w:rsidR="00994326">
        <w:rPr>
          <w:rFonts w:ascii="Times New Roman" w:hAnsi="Times New Roman" w:cs="Times New Roman"/>
          <w:sz w:val="24"/>
          <w:szCs w:val="24"/>
        </w:rPr>
        <w:t>ą</w:t>
      </w:r>
      <w:r w:rsidR="00695550" w:rsidRPr="00205E56">
        <w:rPr>
          <w:rFonts w:ascii="Times New Roman" w:hAnsi="Times New Roman" w:cs="Times New Roman"/>
          <w:sz w:val="24"/>
          <w:szCs w:val="24"/>
        </w:rPr>
        <w:t xml:space="preserve">dzania ryzykiem i kontroli wewnętrznej. </w:t>
      </w:r>
      <w:r w:rsidR="002C6E44" w:rsidRPr="00205E56">
        <w:rPr>
          <w:rFonts w:ascii="Times New Roman" w:hAnsi="Times New Roman" w:cs="Times New Roman"/>
          <w:sz w:val="24"/>
          <w:szCs w:val="24"/>
        </w:rPr>
        <w:t xml:space="preserve">Dodawany </w:t>
      </w:r>
      <w:r w:rsidR="00424DD8" w:rsidRPr="00205E56">
        <w:rPr>
          <w:rFonts w:ascii="Times New Roman" w:hAnsi="Times New Roman" w:cs="Times New Roman"/>
          <w:sz w:val="24"/>
          <w:szCs w:val="24"/>
        </w:rPr>
        <w:t xml:space="preserve">ust. </w:t>
      </w:r>
      <w:r w:rsidR="00510A43">
        <w:rPr>
          <w:rFonts w:ascii="Times New Roman" w:hAnsi="Times New Roman" w:cs="Times New Roman"/>
          <w:sz w:val="24"/>
          <w:szCs w:val="24"/>
        </w:rPr>
        <w:t>3</w:t>
      </w:r>
      <w:r w:rsidR="002C6E44" w:rsidRPr="00205E56">
        <w:rPr>
          <w:rFonts w:ascii="Times New Roman" w:hAnsi="Times New Roman" w:cs="Times New Roman"/>
          <w:sz w:val="24"/>
          <w:szCs w:val="24"/>
        </w:rPr>
        <w:t xml:space="preserve">a </w:t>
      </w:r>
      <w:r w:rsidR="00076D01" w:rsidRPr="00205E56">
        <w:rPr>
          <w:rFonts w:ascii="Times New Roman" w:hAnsi="Times New Roman" w:cs="Times New Roman"/>
          <w:sz w:val="24"/>
          <w:szCs w:val="24"/>
        </w:rPr>
        <w:t>nakłada na wnioskodawcę obowiązek, aby ś</w:t>
      </w:r>
      <w:r w:rsidR="001525DC">
        <w:rPr>
          <w:rFonts w:ascii="Times New Roman" w:hAnsi="Times New Roman" w:cs="Times New Roman"/>
          <w:sz w:val="24"/>
          <w:szCs w:val="24"/>
        </w:rPr>
        <w:t>rodki kontroli bezpieczeństwa i </w:t>
      </w:r>
      <w:r w:rsidR="00076D01" w:rsidRPr="00205E56">
        <w:rPr>
          <w:rFonts w:ascii="Times New Roman" w:hAnsi="Times New Roman" w:cs="Times New Roman"/>
          <w:sz w:val="24"/>
          <w:szCs w:val="24"/>
        </w:rPr>
        <w:t xml:space="preserve">ograniczania ryzyka wskazywały sposób zapewnienia wysokiego poziomu bezpieczeństwa technicznego i ochrony danych w </w:t>
      </w:r>
      <w:r w:rsidR="001525DC">
        <w:rPr>
          <w:rFonts w:ascii="Times New Roman" w:hAnsi="Times New Roman" w:cs="Times New Roman"/>
          <w:sz w:val="24"/>
          <w:szCs w:val="24"/>
        </w:rPr>
        <w:t>odniesieniu do oprogramowania i </w:t>
      </w:r>
      <w:r w:rsidR="00076D01" w:rsidRPr="00205E56">
        <w:rPr>
          <w:rFonts w:ascii="Times New Roman" w:hAnsi="Times New Roman" w:cs="Times New Roman"/>
          <w:sz w:val="24"/>
          <w:szCs w:val="24"/>
        </w:rPr>
        <w:t xml:space="preserve">systemów informatycznych stosowanych przez wnioskodawcę lub podmiot, któremu wnioskodawca powierzył wykonywanie całości lub części czynności operacyjnych. </w:t>
      </w:r>
      <w:r w:rsidR="00424DD8" w:rsidRPr="00205E56">
        <w:rPr>
          <w:rFonts w:ascii="Times New Roman" w:hAnsi="Times New Roman" w:cs="Times New Roman"/>
          <w:sz w:val="24"/>
          <w:szCs w:val="24"/>
        </w:rPr>
        <w:t xml:space="preserve">Przepis ust. </w:t>
      </w:r>
      <w:r w:rsidR="00510A43">
        <w:rPr>
          <w:rFonts w:ascii="Times New Roman" w:hAnsi="Times New Roman" w:cs="Times New Roman"/>
          <w:sz w:val="24"/>
          <w:szCs w:val="24"/>
        </w:rPr>
        <w:t>3</w:t>
      </w:r>
      <w:r w:rsidR="00424DD8" w:rsidRPr="00205E56">
        <w:rPr>
          <w:rFonts w:ascii="Times New Roman" w:hAnsi="Times New Roman" w:cs="Times New Roman"/>
          <w:sz w:val="24"/>
          <w:szCs w:val="24"/>
        </w:rPr>
        <w:t>b</w:t>
      </w:r>
      <w:r w:rsidR="00076D01" w:rsidRPr="00205E56">
        <w:rPr>
          <w:rFonts w:ascii="Times New Roman" w:hAnsi="Times New Roman" w:cs="Times New Roman"/>
          <w:sz w:val="24"/>
          <w:szCs w:val="24"/>
        </w:rPr>
        <w:t xml:space="preserve"> stanowi delegację ustawową dla ministra właściwego do spraw instytucji finansowych do określenia</w:t>
      </w:r>
      <w:r w:rsidR="00E607D2" w:rsidRPr="00205E56">
        <w:rPr>
          <w:rFonts w:ascii="Times New Roman" w:hAnsi="Times New Roman" w:cs="Times New Roman"/>
          <w:sz w:val="24"/>
          <w:szCs w:val="24"/>
        </w:rPr>
        <w:t>,</w:t>
      </w:r>
      <w:r w:rsidR="00076D01" w:rsidRPr="00205E56">
        <w:rPr>
          <w:rFonts w:ascii="Times New Roman" w:hAnsi="Times New Roman" w:cs="Times New Roman"/>
          <w:sz w:val="24"/>
          <w:szCs w:val="24"/>
        </w:rPr>
        <w:t xml:space="preserve"> w drodze rozporządzenia</w:t>
      </w:r>
      <w:r w:rsidR="00E607D2" w:rsidRPr="00205E56">
        <w:rPr>
          <w:rFonts w:ascii="Times New Roman" w:hAnsi="Times New Roman" w:cs="Times New Roman"/>
          <w:sz w:val="24"/>
          <w:szCs w:val="24"/>
        </w:rPr>
        <w:t>,</w:t>
      </w:r>
      <w:r w:rsidR="00076D01" w:rsidRPr="00205E56">
        <w:rPr>
          <w:rFonts w:ascii="Times New Roman" w:hAnsi="Times New Roman" w:cs="Times New Roman"/>
          <w:sz w:val="24"/>
          <w:szCs w:val="24"/>
        </w:rPr>
        <w:t xml:space="preserve"> wytycznych dotyczących bezpieczeństwa, </w:t>
      </w:r>
      <w:r w:rsidR="00E607D2" w:rsidRPr="00205E56">
        <w:rPr>
          <w:rFonts w:ascii="Times New Roman" w:hAnsi="Times New Roman" w:cs="Times New Roman"/>
          <w:sz w:val="24"/>
          <w:szCs w:val="24"/>
        </w:rPr>
        <w:t xml:space="preserve">z </w:t>
      </w:r>
      <w:r w:rsidR="00076D01" w:rsidRPr="00205E56">
        <w:rPr>
          <w:rFonts w:ascii="Times New Roman" w:hAnsi="Times New Roman" w:cs="Times New Roman"/>
          <w:sz w:val="24"/>
          <w:szCs w:val="24"/>
        </w:rPr>
        <w:t>uwzględni</w:t>
      </w:r>
      <w:r w:rsidR="00E607D2" w:rsidRPr="00205E56">
        <w:rPr>
          <w:rFonts w:ascii="Times New Roman" w:hAnsi="Times New Roman" w:cs="Times New Roman"/>
          <w:sz w:val="24"/>
          <w:szCs w:val="24"/>
        </w:rPr>
        <w:t xml:space="preserve">eniem </w:t>
      </w:r>
      <w:r w:rsidR="00076D01" w:rsidRPr="00205E56">
        <w:rPr>
          <w:rFonts w:ascii="Times New Roman" w:hAnsi="Times New Roman" w:cs="Times New Roman"/>
          <w:sz w:val="24"/>
          <w:szCs w:val="24"/>
        </w:rPr>
        <w:t>wytyczn</w:t>
      </w:r>
      <w:r w:rsidR="00E607D2" w:rsidRPr="00205E56">
        <w:rPr>
          <w:rFonts w:ascii="Times New Roman" w:hAnsi="Times New Roman" w:cs="Times New Roman"/>
          <w:sz w:val="24"/>
          <w:szCs w:val="24"/>
        </w:rPr>
        <w:t xml:space="preserve">ych </w:t>
      </w:r>
      <w:r w:rsidR="00076D01" w:rsidRPr="00205E56">
        <w:rPr>
          <w:rFonts w:ascii="Times New Roman" w:hAnsi="Times New Roman" w:cs="Times New Roman"/>
          <w:sz w:val="24"/>
          <w:szCs w:val="24"/>
        </w:rPr>
        <w:t>wydan</w:t>
      </w:r>
      <w:r w:rsidR="00E607D2" w:rsidRPr="00205E56">
        <w:rPr>
          <w:rFonts w:ascii="Times New Roman" w:hAnsi="Times New Roman" w:cs="Times New Roman"/>
          <w:sz w:val="24"/>
          <w:szCs w:val="24"/>
        </w:rPr>
        <w:t xml:space="preserve">ych </w:t>
      </w:r>
      <w:r w:rsidR="00076D01" w:rsidRPr="00205E56">
        <w:rPr>
          <w:rFonts w:ascii="Times New Roman" w:hAnsi="Times New Roman" w:cs="Times New Roman"/>
          <w:sz w:val="24"/>
          <w:szCs w:val="24"/>
        </w:rPr>
        <w:t>w tym zakresie przez EUNB.</w:t>
      </w:r>
      <w:r w:rsidR="00D07BEB" w:rsidRPr="00205E56">
        <w:rPr>
          <w:rFonts w:ascii="Times New Roman" w:hAnsi="Times New Roman" w:cs="Times New Roman"/>
          <w:sz w:val="24"/>
          <w:szCs w:val="24"/>
        </w:rPr>
        <w:t xml:space="preserve"> </w:t>
      </w:r>
      <w:r w:rsidR="00236C16" w:rsidRPr="00205E56">
        <w:rPr>
          <w:rFonts w:ascii="Times New Roman" w:hAnsi="Times New Roman" w:cs="Times New Roman"/>
          <w:sz w:val="24"/>
          <w:szCs w:val="24"/>
        </w:rPr>
        <w:t>W</w:t>
      </w:r>
      <w:r w:rsidR="004F3BE8" w:rsidRPr="00205E56">
        <w:rPr>
          <w:rFonts w:ascii="Times New Roman" w:hAnsi="Times New Roman" w:cs="Times New Roman"/>
          <w:sz w:val="24"/>
          <w:szCs w:val="24"/>
        </w:rPr>
        <w:t xml:space="preserve"> celu uzyskania zezwolenia na działalność w charakterze instytucji płatniczej należy złożyć wniosek, załączając </w:t>
      </w:r>
      <w:r w:rsidR="00236C16" w:rsidRPr="00205E56">
        <w:rPr>
          <w:rFonts w:ascii="Times New Roman" w:hAnsi="Times New Roman" w:cs="Times New Roman"/>
          <w:sz w:val="24"/>
          <w:szCs w:val="24"/>
        </w:rPr>
        <w:t xml:space="preserve">m.in. </w:t>
      </w:r>
      <w:r w:rsidR="004F3BE8" w:rsidRPr="00205E56">
        <w:rPr>
          <w:rFonts w:ascii="Times New Roman" w:hAnsi="Times New Roman" w:cs="Times New Roman"/>
          <w:sz w:val="24"/>
          <w:szCs w:val="24"/>
        </w:rPr>
        <w:t xml:space="preserve">opis </w:t>
      </w:r>
      <w:r w:rsidR="00236C16" w:rsidRPr="00205E56">
        <w:rPr>
          <w:rFonts w:ascii="Times New Roman" w:hAnsi="Times New Roman" w:cs="Times New Roman"/>
          <w:sz w:val="24"/>
          <w:szCs w:val="24"/>
        </w:rPr>
        <w:t>„</w:t>
      </w:r>
      <w:r w:rsidR="004F3BE8" w:rsidRPr="00205E56">
        <w:rPr>
          <w:rFonts w:ascii="Times New Roman" w:hAnsi="Times New Roman" w:cs="Times New Roman"/>
          <w:sz w:val="24"/>
          <w:szCs w:val="24"/>
        </w:rPr>
        <w:t xml:space="preserve">rozwiązań zapewniających ciągłość działania, w tym </w:t>
      </w:r>
      <w:r w:rsidR="00236C16" w:rsidRPr="00205E56">
        <w:rPr>
          <w:rFonts w:ascii="Times New Roman" w:hAnsi="Times New Roman" w:cs="Times New Roman"/>
          <w:sz w:val="24"/>
          <w:szCs w:val="24"/>
        </w:rPr>
        <w:t xml:space="preserve">wyczerpujące i dokładne </w:t>
      </w:r>
      <w:r w:rsidR="004F3BE8" w:rsidRPr="00205E56">
        <w:rPr>
          <w:rFonts w:ascii="Times New Roman" w:hAnsi="Times New Roman" w:cs="Times New Roman"/>
          <w:sz w:val="24"/>
          <w:szCs w:val="24"/>
        </w:rPr>
        <w:t>okr</w:t>
      </w:r>
      <w:r w:rsidR="00205E56" w:rsidRPr="00205E56">
        <w:rPr>
          <w:rFonts w:ascii="Times New Roman" w:hAnsi="Times New Roman" w:cs="Times New Roman"/>
          <w:sz w:val="24"/>
          <w:szCs w:val="24"/>
        </w:rPr>
        <w:t>eślenie krytycznych operacji</w:t>
      </w:r>
      <w:r w:rsidR="00510A43">
        <w:rPr>
          <w:rFonts w:ascii="Times New Roman" w:hAnsi="Times New Roman" w:cs="Times New Roman"/>
          <w:sz w:val="24"/>
          <w:szCs w:val="24"/>
        </w:rPr>
        <w:t xml:space="preserve"> </w:t>
      </w:r>
      <w:r w:rsidR="00205E56" w:rsidRPr="00205E56">
        <w:rPr>
          <w:rFonts w:ascii="Times New Roman" w:hAnsi="Times New Roman" w:cs="Times New Roman"/>
          <w:sz w:val="24"/>
          <w:szCs w:val="24"/>
        </w:rPr>
        <w:t>(…)”</w:t>
      </w:r>
      <w:r w:rsidR="004F3BE8" w:rsidRPr="00205E56">
        <w:rPr>
          <w:rFonts w:ascii="Times New Roman" w:hAnsi="Times New Roman" w:cs="Times New Roman"/>
          <w:sz w:val="24"/>
          <w:szCs w:val="24"/>
        </w:rPr>
        <w:t xml:space="preserve">. </w:t>
      </w:r>
      <w:r w:rsidR="00236C16" w:rsidRPr="00205E56">
        <w:rPr>
          <w:rFonts w:ascii="Times New Roman" w:hAnsi="Times New Roman" w:cs="Times New Roman"/>
          <w:sz w:val="24"/>
          <w:szCs w:val="24"/>
        </w:rPr>
        <w:t xml:space="preserve">Zgodnie z dyrektywą </w:t>
      </w:r>
      <w:r w:rsidR="004F3BE8" w:rsidRPr="00205E56">
        <w:rPr>
          <w:rFonts w:ascii="Times New Roman" w:hAnsi="Times New Roman" w:cs="Times New Roman"/>
          <w:sz w:val="24"/>
          <w:szCs w:val="24"/>
        </w:rPr>
        <w:t xml:space="preserve">wskazane w </w:t>
      </w:r>
      <w:r w:rsidR="00236C16" w:rsidRPr="00205E56">
        <w:rPr>
          <w:rFonts w:ascii="Times New Roman" w:hAnsi="Times New Roman" w:cs="Times New Roman"/>
          <w:sz w:val="24"/>
          <w:szCs w:val="24"/>
        </w:rPr>
        <w:t xml:space="preserve">tym przepisie </w:t>
      </w:r>
      <w:r w:rsidR="004F3BE8" w:rsidRPr="00205E56">
        <w:rPr>
          <w:rFonts w:ascii="Times New Roman" w:hAnsi="Times New Roman" w:cs="Times New Roman"/>
          <w:sz w:val="24"/>
          <w:szCs w:val="24"/>
        </w:rPr>
        <w:t xml:space="preserve">kwestie </w:t>
      </w:r>
      <w:r w:rsidR="001525DC">
        <w:rPr>
          <w:rFonts w:ascii="Times New Roman" w:hAnsi="Times New Roman" w:cs="Times New Roman"/>
          <w:sz w:val="24"/>
          <w:szCs w:val="24"/>
        </w:rPr>
        <w:t>powinny być określone w </w:t>
      </w:r>
      <w:r w:rsidR="00205E56" w:rsidRPr="00205E56">
        <w:rPr>
          <w:rFonts w:ascii="Times New Roman" w:hAnsi="Times New Roman" w:cs="Times New Roman"/>
          <w:sz w:val="24"/>
          <w:szCs w:val="24"/>
        </w:rPr>
        <w:t>sposób „jasny”</w:t>
      </w:r>
      <w:r w:rsidR="004F3BE8" w:rsidRPr="00205E56">
        <w:rPr>
          <w:rFonts w:ascii="Times New Roman" w:hAnsi="Times New Roman" w:cs="Times New Roman"/>
          <w:sz w:val="24"/>
          <w:szCs w:val="24"/>
        </w:rPr>
        <w:t xml:space="preserve"> (a więc niebudzący wątpliwości).</w:t>
      </w:r>
    </w:p>
    <w:p w14:paraId="2162BA36" w14:textId="7F518C91" w:rsidR="004F3BE8" w:rsidRPr="00205E56" w:rsidRDefault="004F3BE8"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7B68EA" w:rsidRPr="00205E56">
        <w:rPr>
          <w:rFonts w:ascii="Times New Roman" w:hAnsi="Times New Roman" w:cs="Times New Roman"/>
          <w:b/>
          <w:sz w:val="24"/>
          <w:szCs w:val="24"/>
        </w:rPr>
        <w:t>5</w:t>
      </w:r>
      <w:r w:rsidR="006B03F8" w:rsidRPr="00205E56">
        <w:rPr>
          <w:rFonts w:ascii="Times New Roman" w:hAnsi="Times New Roman" w:cs="Times New Roman"/>
          <w:b/>
          <w:sz w:val="24"/>
          <w:szCs w:val="24"/>
        </w:rPr>
        <w:t>8</w:t>
      </w:r>
      <w:r w:rsidRPr="00205E56">
        <w:rPr>
          <w:rFonts w:ascii="Times New Roman" w:hAnsi="Times New Roman" w:cs="Times New Roman"/>
          <w:sz w:val="24"/>
          <w:szCs w:val="24"/>
        </w:rPr>
        <w:t xml:space="preserve"> uściśla się zasady odmowy wydania zezwolenia</w:t>
      </w:r>
      <w:r w:rsidR="00994326">
        <w:rPr>
          <w:rFonts w:ascii="Times New Roman" w:hAnsi="Times New Roman" w:cs="Times New Roman"/>
          <w:sz w:val="24"/>
          <w:szCs w:val="24"/>
        </w:rPr>
        <w:t>,</w:t>
      </w:r>
      <w:r w:rsidRPr="00205E56">
        <w:rPr>
          <w:rFonts w:ascii="Times New Roman" w:hAnsi="Times New Roman" w:cs="Times New Roman"/>
          <w:sz w:val="24"/>
          <w:szCs w:val="24"/>
        </w:rPr>
        <w:t xml:space="preserve"> o którym mowa w art. 60 ust.</w:t>
      </w:r>
      <w:r w:rsidR="001525DC">
        <w:rPr>
          <w:rFonts w:ascii="Times New Roman" w:hAnsi="Times New Roman" w:cs="Times New Roman"/>
          <w:sz w:val="24"/>
          <w:szCs w:val="24"/>
        </w:rPr>
        <w:t> </w:t>
      </w:r>
      <w:r w:rsidRPr="00205E56">
        <w:rPr>
          <w:rFonts w:ascii="Times New Roman" w:hAnsi="Times New Roman" w:cs="Times New Roman"/>
          <w:sz w:val="24"/>
          <w:szCs w:val="24"/>
        </w:rPr>
        <w:t>1, przez KNF.</w:t>
      </w:r>
    </w:p>
    <w:p w14:paraId="1AA5D292" w14:textId="3B54B8B1" w:rsidR="008550F1" w:rsidRPr="00205E56" w:rsidRDefault="008550F1"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7B68EA" w:rsidRPr="00205E56">
        <w:rPr>
          <w:rFonts w:ascii="Times New Roman" w:hAnsi="Times New Roman" w:cs="Times New Roman"/>
          <w:b/>
          <w:sz w:val="24"/>
          <w:szCs w:val="24"/>
        </w:rPr>
        <w:t>5</w:t>
      </w:r>
      <w:r w:rsidR="006B03F8" w:rsidRPr="00205E56">
        <w:rPr>
          <w:rFonts w:ascii="Times New Roman" w:hAnsi="Times New Roman" w:cs="Times New Roman"/>
          <w:b/>
          <w:sz w:val="24"/>
          <w:szCs w:val="24"/>
        </w:rPr>
        <w:t>9</w:t>
      </w:r>
      <w:r w:rsidRPr="00205E56">
        <w:rPr>
          <w:rFonts w:ascii="Times New Roman" w:hAnsi="Times New Roman" w:cs="Times New Roman"/>
          <w:sz w:val="24"/>
          <w:szCs w:val="24"/>
        </w:rPr>
        <w:t xml:space="preserve"> wprowadza się zmianę w art. 69 </w:t>
      </w:r>
      <w:r w:rsidR="00424DD8" w:rsidRPr="00205E56">
        <w:rPr>
          <w:rFonts w:ascii="Times New Roman" w:hAnsi="Times New Roman" w:cs="Times New Roman"/>
          <w:sz w:val="24"/>
          <w:szCs w:val="24"/>
        </w:rPr>
        <w:t xml:space="preserve">przez dodanie </w:t>
      </w:r>
      <w:r w:rsidRPr="00205E56">
        <w:rPr>
          <w:rFonts w:ascii="Times New Roman" w:hAnsi="Times New Roman" w:cs="Times New Roman"/>
          <w:sz w:val="24"/>
          <w:szCs w:val="24"/>
        </w:rPr>
        <w:t>informacj</w:t>
      </w:r>
      <w:r w:rsidR="00424DD8" w:rsidRPr="00205E56">
        <w:rPr>
          <w:rFonts w:ascii="Times New Roman" w:hAnsi="Times New Roman" w:cs="Times New Roman"/>
          <w:sz w:val="24"/>
          <w:szCs w:val="24"/>
        </w:rPr>
        <w:t>i</w:t>
      </w:r>
      <w:r w:rsidRPr="00205E56">
        <w:rPr>
          <w:rFonts w:ascii="Times New Roman" w:hAnsi="Times New Roman" w:cs="Times New Roman"/>
          <w:sz w:val="24"/>
          <w:szCs w:val="24"/>
        </w:rPr>
        <w:t xml:space="preserve"> o konieczności powiadomienia KNF o istotnych zmianach w zakresie wymogów, od których jest zależne wydanie zezwolenia. Podkreśla się, że instytucja płatnicza nie może stanowić zagrożenia dla stabilności systemu płatniczego ani dla zaufania do tego systemu.</w:t>
      </w:r>
    </w:p>
    <w:p w14:paraId="668BEEEC" w14:textId="04C54313" w:rsidR="00350187" w:rsidRPr="00205E56" w:rsidRDefault="00350187"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6B03F8" w:rsidRPr="00205E56">
        <w:rPr>
          <w:rFonts w:ascii="Times New Roman" w:hAnsi="Times New Roman" w:cs="Times New Roman"/>
          <w:b/>
          <w:sz w:val="24"/>
          <w:szCs w:val="24"/>
        </w:rPr>
        <w:t>60</w:t>
      </w:r>
      <w:r w:rsidRPr="00205E56">
        <w:rPr>
          <w:rFonts w:ascii="Times New Roman" w:hAnsi="Times New Roman" w:cs="Times New Roman"/>
          <w:sz w:val="24"/>
          <w:szCs w:val="24"/>
        </w:rPr>
        <w:t xml:space="preserve"> </w:t>
      </w:r>
      <w:r w:rsidR="007B68EA" w:rsidRPr="00205E56">
        <w:rPr>
          <w:rFonts w:ascii="Times New Roman" w:hAnsi="Times New Roman" w:cs="Times New Roman"/>
          <w:sz w:val="24"/>
          <w:szCs w:val="24"/>
        </w:rPr>
        <w:t>uchyla się</w:t>
      </w:r>
      <w:r w:rsidRPr="00205E56">
        <w:rPr>
          <w:rFonts w:ascii="Times New Roman" w:hAnsi="Times New Roman" w:cs="Times New Roman"/>
          <w:sz w:val="24"/>
          <w:szCs w:val="24"/>
        </w:rPr>
        <w:t xml:space="preserve"> art. 71 </w:t>
      </w:r>
      <w:r w:rsidR="007B68EA" w:rsidRPr="00205E56">
        <w:rPr>
          <w:rFonts w:ascii="Times New Roman" w:hAnsi="Times New Roman" w:cs="Times New Roman"/>
          <w:sz w:val="24"/>
          <w:szCs w:val="24"/>
        </w:rPr>
        <w:t>w związku</w:t>
      </w:r>
      <w:r w:rsidR="00205E56" w:rsidRPr="00205E56">
        <w:rPr>
          <w:rFonts w:ascii="Times New Roman" w:hAnsi="Times New Roman" w:cs="Times New Roman"/>
          <w:sz w:val="24"/>
          <w:szCs w:val="24"/>
        </w:rPr>
        <w:t xml:space="preserve"> </w:t>
      </w:r>
      <w:r w:rsidR="007B68EA" w:rsidRPr="00205E56">
        <w:rPr>
          <w:rFonts w:ascii="Times New Roman" w:hAnsi="Times New Roman" w:cs="Times New Roman"/>
          <w:sz w:val="24"/>
          <w:szCs w:val="24"/>
        </w:rPr>
        <w:t xml:space="preserve">z art. 142a regulującym te kwestie </w:t>
      </w:r>
      <w:r w:rsidR="00510A43">
        <w:rPr>
          <w:rFonts w:ascii="Times New Roman" w:hAnsi="Times New Roman" w:cs="Times New Roman"/>
          <w:sz w:val="24"/>
          <w:szCs w:val="24"/>
        </w:rPr>
        <w:t xml:space="preserve">oraz </w:t>
      </w:r>
      <w:r w:rsidR="001525DC">
        <w:rPr>
          <w:rFonts w:ascii="Times New Roman" w:hAnsi="Times New Roman" w:cs="Times New Roman"/>
          <w:sz w:val="24"/>
          <w:szCs w:val="24"/>
        </w:rPr>
        <w:t>art. </w:t>
      </w:r>
      <w:r w:rsidR="007B68EA" w:rsidRPr="00205E56">
        <w:rPr>
          <w:rFonts w:ascii="Times New Roman" w:hAnsi="Times New Roman" w:cs="Times New Roman"/>
          <w:sz w:val="24"/>
          <w:szCs w:val="24"/>
        </w:rPr>
        <w:t>14 i</w:t>
      </w:r>
      <w:r w:rsidR="00510A43">
        <w:rPr>
          <w:rFonts w:ascii="Times New Roman" w:hAnsi="Times New Roman" w:cs="Times New Roman"/>
          <w:sz w:val="24"/>
          <w:szCs w:val="24"/>
        </w:rPr>
        <w:t> </w:t>
      </w:r>
      <w:r w:rsidR="00994326">
        <w:rPr>
          <w:rFonts w:ascii="Times New Roman" w:hAnsi="Times New Roman" w:cs="Times New Roman"/>
          <w:sz w:val="24"/>
          <w:szCs w:val="24"/>
        </w:rPr>
        <w:t xml:space="preserve">art. </w:t>
      </w:r>
      <w:r w:rsidR="007B68EA" w:rsidRPr="00205E56">
        <w:rPr>
          <w:rFonts w:ascii="Times New Roman" w:hAnsi="Times New Roman" w:cs="Times New Roman"/>
          <w:sz w:val="24"/>
          <w:szCs w:val="24"/>
        </w:rPr>
        <w:t>15 PSD2</w:t>
      </w:r>
      <w:r w:rsidR="008A3388" w:rsidRPr="00205E56">
        <w:rPr>
          <w:rFonts w:ascii="Times New Roman" w:hAnsi="Times New Roman" w:cs="Times New Roman"/>
          <w:sz w:val="24"/>
          <w:szCs w:val="24"/>
        </w:rPr>
        <w:t>.</w:t>
      </w:r>
      <w:r w:rsidR="00D07BEB" w:rsidRPr="00205E56">
        <w:rPr>
          <w:rFonts w:ascii="Times New Roman" w:hAnsi="Times New Roman" w:cs="Times New Roman"/>
          <w:sz w:val="24"/>
          <w:szCs w:val="24"/>
        </w:rPr>
        <w:t xml:space="preserve"> </w:t>
      </w:r>
    </w:p>
    <w:p w14:paraId="2159C34E" w14:textId="0C4C0CE7" w:rsidR="00350187" w:rsidRPr="00205E56" w:rsidRDefault="00350187"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4F3BE8" w:rsidRPr="00205E56">
        <w:rPr>
          <w:rFonts w:ascii="Times New Roman" w:hAnsi="Times New Roman" w:cs="Times New Roman"/>
          <w:b/>
          <w:sz w:val="24"/>
          <w:szCs w:val="24"/>
        </w:rPr>
        <w:t>6</w:t>
      </w:r>
      <w:r w:rsidR="006B03F8" w:rsidRPr="00205E56">
        <w:rPr>
          <w:rFonts w:ascii="Times New Roman" w:hAnsi="Times New Roman" w:cs="Times New Roman"/>
          <w:b/>
          <w:sz w:val="24"/>
          <w:szCs w:val="24"/>
        </w:rPr>
        <w:t>1</w:t>
      </w:r>
      <w:r w:rsidR="007F7D5C" w:rsidRPr="00205E56">
        <w:rPr>
          <w:rFonts w:ascii="Times New Roman" w:hAnsi="Times New Roman" w:cs="Times New Roman"/>
          <w:sz w:val="24"/>
          <w:szCs w:val="24"/>
        </w:rPr>
        <w:t xml:space="preserve"> dodaje się art. 72a</w:t>
      </w:r>
      <w:r w:rsidR="00205E56" w:rsidRPr="00205E56">
        <w:rPr>
          <w:rFonts w:ascii="Times New Roman" w:hAnsi="Times New Roman" w:cs="Times New Roman"/>
          <w:sz w:val="24"/>
          <w:szCs w:val="24"/>
        </w:rPr>
        <w:t>–</w:t>
      </w:r>
      <w:r w:rsidR="007F7D5C" w:rsidRPr="00205E56">
        <w:rPr>
          <w:rFonts w:ascii="Times New Roman" w:hAnsi="Times New Roman" w:cs="Times New Roman"/>
          <w:sz w:val="24"/>
          <w:szCs w:val="24"/>
        </w:rPr>
        <w:t>72d,</w:t>
      </w:r>
      <w:r w:rsidR="008A3388" w:rsidRPr="00205E56">
        <w:rPr>
          <w:rFonts w:ascii="Times New Roman" w:hAnsi="Times New Roman" w:cs="Times New Roman"/>
          <w:sz w:val="24"/>
          <w:szCs w:val="24"/>
        </w:rPr>
        <w:t xml:space="preserve"> </w:t>
      </w:r>
      <w:r w:rsidR="00D40454" w:rsidRPr="00205E56">
        <w:rPr>
          <w:rFonts w:ascii="Times New Roman" w:hAnsi="Times New Roman" w:cs="Times New Roman"/>
          <w:sz w:val="24"/>
          <w:szCs w:val="24"/>
        </w:rPr>
        <w:t xml:space="preserve">które regulują sposób kontroli udziałów w instytucji płatniczej. Zgodnie z przepisami każda osoba fizyczna lub prawna, która podejmie decyzję o nabyciu lub dalszym zwiększeniu, bezpośrednio lub pośrednio, znacznego pakietu akcji w instytucji płatniczej, jeżeli skutkiem </w:t>
      </w:r>
      <w:r w:rsidR="009E52FB" w:rsidRPr="00205E56">
        <w:rPr>
          <w:rFonts w:ascii="Times New Roman" w:hAnsi="Times New Roman" w:cs="Times New Roman"/>
          <w:sz w:val="24"/>
          <w:szCs w:val="24"/>
        </w:rPr>
        <w:t xml:space="preserve">tego </w:t>
      </w:r>
      <w:r w:rsidR="00D40454" w:rsidRPr="00205E56">
        <w:rPr>
          <w:rFonts w:ascii="Times New Roman" w:hAnsi="Times New Roman" w:cs="Times New Roman"/>
          <w:sz w:val="24"/>
          <w:szCs w:val="24"/>
        </w:rPr>
        <w:t>będzie przekroczenie 20%, 30% lub 50% posiadanego kapitału lub posiadanych praw głosu</w:t>
      </w:r>
      <w:r w:rsidR="009E52FB" w:rsidRPr="00205E56">
        <w:rPr>
          <w:rFonts w:ascii="Times New Roman" w:hAnsi="Times New Roman" w:cs="Times New Roman"/>
          <w:sz w:val="24"/>
          <w:szCs w:val="24"/>
        </w:rPr>
        <w:t xml:space="preserve"> lub wskutek czego dana instytucja płatnicza stanie się jednostką zależną danej osoby fizycznej lub prawnej, </w:t>
      </w:r>
      <w:r w:rsidR="009E52FB" w:rsidRPr="00205E56">
        <w:rPr>
          <w:rFonts w:ascii="Times New Roman" w:hAnsi="Times New Roman" w:cs="Times New Roman"/>
          <w:sz w:val="24"/>
          <w:szCs w:val="24"/>
        </w:rPr>
        <w:lastRenderedPageBreak/>
        <w:t>z wyprzedzeniem informuje na piśmie KNF o swoim zamiarze.</w:t>
      </w:r>
      <w:r w:rsidR="00A33B06" w:rsidRPr="00205E56">
        <w:rPr>
          <w:rFonts w:ascii="Times New Roman" w:hAnsi="Times New Roman" w:cs="Times New Roman"/>
          <w:sz w:val="24"/>
          <w:szCs w:val="24"/>
        </w:rPr>
        <w:t xml:space="preserve"> Art. 72c wprowadza również sankcję nieważności uchwały organu, która zos</w:t>
      </w:r>
      <w:r w:rsidR="001525DC">
        <w:rPr>
          <w:rFonts w:ascii="Times New Roman" w:hAnsi="Times New Roman" w:cs="Times New Roman"/>
          <w:sz w:val="24"/>
          <w:szCs w:val="24"/>
        </w:rPr>
        <w:t>tała podjęta z naruszeniem ust. </w:t>
      </w:r>
      <w:r w:rsidR="00A33B06" w:rsidRPr="00205E56">
        <w:rPr>
          <w:rFonts w:ascii="Times New Roman" w:hAnsi="Times New Roman" w:cs="Times New Roman"/>
          <w:sz w:val="24"/>
          <w:szCs w:val="24"/>
        </w:rPr>
        <w:t>3. W art. 72c ust. 8 przewidziano możliwość uchyl</w:t>
      </w:r>
      <w:r w:rsidR="001525DC">
        <w:rPr>
          <w:rFonts w:ascii="Times New Roman" w:hAnsi="Times New Roman" w:cs="Times New Roman"/>
          <w:sz w:val="24"/>
          <w:szCs w:val="24"/>
        </w:rPr>
        <w:t>enia w drodze decyzji zakazu, o </w:t>
      </w:r>
      <w:r w:rsidR="00A33B06" w:rsidRPr="00205E56">
        <w:rPr>
          <w:rFonts w:ascii="Times New Roman" w:hAnsi="Times New Roman" w:cs="Times New Roman"/>
          <w:sz w:val="24"/>
          <w:szCs w:val="24"/>
        </w:rPr>
        <w:t>którym mowa w ust. 3 lub 4. Uchylenie tego zakazu nie wpływa w żaden sposób na uchwały podjęte w czasie jego obowiązywania, lecz podobnie jak w przypadku analogicznych rozwiązań funkcjonujących w</w:t>
      </w:r>
      <w:r w:rsidR="00205E56" w:rsidRPr="00205E56">
        <w:rPr>
          <w:rFonts w:ascii="Times New Roman" w:hAnsi="Times New Roman" w:cs="Times New Roman"/>
          <w:sz w:val="24"/>
          <w:szCs w:val="24"/>
        </w:rPr>
        <w:t xml:space="preserve"> </w:t>
      </w:r>
      <w:r w:rsidR="00A33B06" w:rsidRPr="00205E56">
        <w:rPr>
          <w:rFonts w:ascii="Times New Roman" w:hAnsi="Times New Roman" w:cs="Times New Roman"/>
          <w:sz w:val="24"/>
          <w:szCs w:val="24"/>
        </w:rPr>
        <w:t>innych ustawach,</w:t>
      </w:r>
      <w:r w:rsidR="00205E56" w:rsidRPr="00205E56">
        <w:rPr>
          <w:rFonts w:ascii="Times New Roman" w:hAnsi="Times New Roman" w:cs="Times New Roman"/>
          <w:sz w:val="24"/>
          <w:szCs w:val="24"/>
        </w:rPr>
        <w:t xml:space="preserve"> </w:t>
      </w:r>
      <w:r w:rsidR="00A33B06" w:rsidRPr="00205E56">
        <w:rPr>
          <w:rFonts w:ascii="Times New Roman" w:hAnsi="Times New Roman" w:cs="Times New Roman"/>
          <w:sz w:val="24"/>
          <w:szCs w:val="24"/>
        </w:rPr>
        <w:t>ma skutek wyłącznie na przyszłość. Tożsame rozwiązania przyjęto w</w:t>
      </w:r>
      <w:r w:rsidR="00205E56" w:rsidRPr="00205E56">
        <w:rPr>
          <w:rFonts w:ascii="Times New Roman" w:hAnsi="Times New Roman" w:cs="Times New Roman"/>
          <w:sz w:val="24"/>
          <w:szCs w:val="24"/>
        </w:rPr>
        <w:t xml:space="preserve"> </w:t>
      </w:r>
      <w:r w:rsidR="00A33B06" w:rsidRPr="00205E56">
        <w:rPr>
          <w:rFonts w:ascii="Times New Roman" w:hAnsi="Times New Roman" w:cs="Times New Roman"/>
          <w:sz w:val="24"/>
          <w:szCs w:val="24"/>
        </w:rPr>
        <w:t>dodawanym art. 72d ust. 6</w:t>
      </w:r>
      <w:r w:rsidR="00C531D6" w:rsidRPr="00205E56">
        <w:rPr>
          <w:rFonts w:ascii="Times New Roman" w:hAnsi="Times New Roman" w:cs="Times New Roman"/>
          <w:sz w:val="24"/>
          <w:szCs w:val="24"/>
        </w:rPr>
        <w:t>.</w:t>
      </w:r>
    </w:p>
    <w:p w14:paraId="0BA64C93" w14:textId="1DD1EDE6" w:rsidR="00EF725A" w:rsidRPr="00205E56" w:rsidRDefault="007F7D5C"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4F3BE8" w:rsidRPr="00205E56">
        <w:rPr>
          <w:rFonts w:ascii="Times New Roman" w:hAnsi="Times New Roman" w:cs="Times New Roman"/>
          <w:b/>
          <w:sz w:val="24"/>
          <w:szCs w:val="24"/>
        </w:rPr>
        <w:t>6</w:t>
      </w:r>
      <w:r w:rsidR="006B03F8" w:rsidRPr="00205E56">
        <w:rPr>
          <w:rFonts w:ascii="Times New Roman" w:hAnsi="Times New Roman" w:cs="Times New Roman"/>
          <w:b/>
          <w:sz w:val="24"/>
          <w:szCs w:val="24"/>
        </w:rPr>
        <w:t>2</w:t>
      </w:r>
      <w:r w:rsidRPr="00205E56">
        <w:rPr>
          <w:rFonts w:ascii="Times New Roman" w:hAnsi="Times New Roman" w:cs="Times New Roman"/>
          <w:sz w:val="24"/>
          <w:szCs w:val="24"/>
        </w:rPr>
        <w:t xml:space="preserve"> wprowadza się zmianę w art. 74 ust. 3,</w:t>
      </w:r>
      <w:r w:rsidR="009E52FB" w:rsidRPr="00205E56">
        <w:rPr>
          <w:rFonts w:ascii="Times New Roman" w:hAnsi="Times New Roman" w:cs="Times New Roman"/>
          <w:sz w:val="24"/>
          <w:szCs w:val="24"/>
        </w:rPr>
        <w:t xml:space="preserve"> </w:t>
      </w:r>
      <w:r w:rsidR="00EF725A" w:rsidRPr="00205E56">
        <w:rPr>
          <w:rFonts w:ascii="Times New Roman" w:hAnsi="Times New Roman" w:cs="Times New Roman"/>
          <w:sz w:val="24"/>
          <w:szCs w:val="24"/>
        </w:rPr>
        <w:t>zgodnie z którą krajowa instytucja płatnicza w związku z wykonywaniem usług płatniczych nie może udzielać pożyczki służącej wykonaniu transakcji płatniczej (kredyt płatniczy) w celu wykonywania transakcji płatniczych, w przypadku których zgoda płatnika na wykonanie transakcji udzielana jest przy użyciu urządzenia telekomunikacyjnego, cyfrowego lub informatycznego, a płatność przekazywana jest dostawcy usług telekomunikacyjnych, cyfrowych lub informatycznych, działającemu jedynie jako pośrednik między użytkownikiem zlecającym transakcję płatniczą a odbiorcą.</w:t>
      </w:r>
    </w:p>
    <w:p w14:paraId="436A999F" w14:textId="7FED4A6F" w:rsidR="00316B25" w:rsidRPr="00205E56" w:rsidRDefault="007F7D5C"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4F3BE8" w:rsidRPr="00205E56">
        <w:rPr>
          <w:rFonts w:ascii="Times New Roman" w:hAnsi="Times New Roman" w:cs="Times New Roman"/>
          <w:b/>
          <w:sz w:val="24"/>
          <w:szCs w:val="24"/>
        </w:rPr>
        <w:t>6</w:t>
      </w:r>
      <w:r w:rsidR="006B03F8" w:rsidRPr="00205E56">
        <w:rPr>
          <w:rFonts w:ascii="Times New Roman" w:hAnsi="Times New Roman" w:cs="Times New Roman"/>
          <w:b/>
          <w:sz w:val="24"/>
          <w:szCs w:val="24"/>
        </w:rPr>
        <w:t>3</w:t>
      </w:r>
      <w:r w:rsidRPr="00205E56">
        <w:rPr>
          <w:rFonts w:ascii="Times New Roman" w:hAnsi="Times New Roman" w:cs="Times New Roman"/>
          <w:sz w:val="24"/>
          <w:szCs w:val="24"/>
        </w:rPr>
        <w:t xml:space="preserve"> wprowadza się zmianę w art. 76 ust. 1</w:t>
      </w:r>
      <w:r w:rsidR="00424DD8" w:rsidRPr="00205E56">
        <w:rPr>
          <w:rFonts w:ascii="Times New Roman" w:hAnsi="Times New Roman" w:cs="Times New Roman"/>
          <w:sz w:val="24"/>
          <w:szCs w:val="24"/>
        </w:rPr>
        <w:t>;</w:t>
      </w:r>
      <w:r w:rsidR="009C647A" w:rsidRPr="00205E56">
        <w:rPr>
          <w:rFonts w:ascii="Times New Roman" w:hAnsi="Times New Roman" w:cs="Times New Roman"/>
          <w:sz w:val="24"/>
          <w:szCs w:val="24"/>
        </w:rPr>
        <w:t xml:space="preserve"> zmiana wyłącza krajowe instytucje płatnicze świadczące wyłącznie usługi inicjowania płatności lub usługi dostępu do informacji o rachunku z obowiązku posiadania w każdym czasie funduszy własnych dostosowanych do rozmiaru prowadzonej działalności i rodzaju usług płatniczych. </w:t>
      </w:r>
      <w:r w:rsidR="00F22700" w:rsidRPr="00205E56">
        <w:rPr>
          <w:rFonts w:ascii="Times New Roman" w:hAnsi="Times New Roman" w:cs="Times New Roman"/>
          <w:sz w:val="24"/>
          <w:szCs w:val="24"/>
        </w:rPr>
        <w:t>Wykreślono ust. 3a</w:t>
      </w:r>
      <w:r w:rsidR="00424DD8" w:rsidRPr="00205E56">
        <w:rPr>
          <w:rFonts w:ascii="Times New Roman" w:hAnsi="Times New Roman" w:cs="Times New Roman"/>
          <w:sz w:val="24"/>
          <w:szCs w:val="24"/>
        </w:rPr>
        <w:t xml:space="preserve"> </w:t>
      </w:r>
      <w:r w:rsidR="00205E56" w:rsidRPr="00205E56">
        <w:rPr>
          <w:rFonts w:ascii="Times New Roman" w:hAnsi="Times New Roman" w:cs="Times New Roman"/>
          <w:sz w:val="24"/>
          <w:szCs w:val="24"/>
        </w:rPr>
        <w:t>–</w:t>
      </w:r>
      <w:r w:rsidR="00424DD8" w:rsidRPr="00205E56">
        <w:rPr>
          <w:rFonts w:ascii="Times New Roman" w:hAnsi="Times New Roman" w:cs="Times New Roman"/>
          <w:sz w:val="24"/>
          <w:szCs w:val="24"/>
        </w:rPr>
        <w:t xml:space="preserve"> p</w:t>
      </w:r>
      <w:r w:rsidR="00F22700" w:rsidRPr="00205E56">
        <w:rPr>
          <w:rFonts w:ascii="Times New Roman" w:hAnsi="Times New Roman" w:cs="Times New Roman"/>
          <w:sz w:val="24"/>
          <w:szCs w:val="24"/>
        </w:rPr>
        <w:t>rzepis ten nie jest wymagany przez PSD i PSD</w:t>
      </w:r>
      <w:r w:rsidR="00424DD8" w:rsidRPr="00205E56">
        <w:rPr>
          <w:rFonts w:ascii="Times New Roman" w:hAnsi="Times New Roman" w:cs="Times New Roman"/>
          <w:sz w:val="24"/>
          <w:szCs w:val="24"/>
        </w:rPr>
        <w:t xml:space="preserve"> </w:t>
      </w:r>
      <w:r w:rsidR="00F22700" w:rsidRPr="00205E56">
        <w:rPr>
          <w:rFonts w:ascii="Times New Roman" w:hAnsi="Times New Roman" w:cs="Times New Roman"/>
          <w:sz w:val="24"/>
          <w:szCs w:val="24"/>
        </w:rPr>
        <w:t>2</w:t>
      </w:r>
      <w:r w:rsidR="00424DD8" w:rsidRPr="00205E56">
        <w:rPr>
          <w:rFonts w:ascii="Times New Roman" w:hAnsi="Times New Roman" w:cs="Times New Roman"/>
          <w:sz w:val="24"/>
          <w:szCs w:val="24"/>
        </w:rPr>
        <w:t xml:space="preserve"> i b</w:t>
      </w:r>
      <w:r w:rsidR="00F22700" w:rsidRPr="00205E56">
        <w:rPr>
          <w:rFonts w:ascii="Times New Roman" w:hAnsi="Times New Roman" w:cs="Times New Roman"/>
          <w:sz w:val="24"/>
          <w:szCs w:val="24"/>
        </w:rPr>
        <w:t xml:space="preserve">udzi </w:t>
      </w:r>
      <w:r w:rsidR="00424DD8" w:rsidRPr="00205E56">
        <w:rPr>
          <w:rFonts w:ascii="Times New Roman" w:hAnsi="Times New Roman" w:cs="Times New Roman"/>
          <w:sz w:val="24"/>
          <w:szCs w:val="24"/>
        </w:rPr>
        <w:t>istotne</w:t>
      </w:r>
      <w:r w:rsidR="00D07BEB" w:rsidRPr="00205E56">
        <w:rPr>
          <w:rFonts w:ascii="Times New Roman" w:hAnsi="Times New Roman" w:cs="Times New Roman"/>
          <w:sz w:val="24"/>
          <w:szCs w:val="24"/>
        </w:rPr>
        <w:t xml:space="preserve"> </w:t>
      </w:r>
      <w:r w:rsidR="00F22700" w:rsidRPr="00205E56">
        <w:rPr>
          <w:rFonts w:ascii="Times New Roman" w:hAnsi="Times New Roman" w:cs="Times New Roman"/>
          <w:sz w:val="24"/>
          <w:szCs w:val="24"/>
        </w:rPr>
        <w:t>problemy interpretacyjne w postępowaniu o zezwolenie KNF.</w:t>
      </w:r>
      <w:r w:rsidR="00166D3C" w:rsidRPr="00205E56">
        <w:rPr>
          <w:rFonts w:ascii="Times New Roman" w:hAnsi="Times New Roman" w:cs="Times New Roman"/>
          <w:sz w:val="24"/>
          <w:szCs w:val="24"/>
        </w:rPr>
        <w:t xml:space="preserve"> </w:t>
      </w:r>
      <w:r w:rsidR="00316B25" w:rsidRPr="00205E56">
        <w:rPr>
          <w:rFonts w:ascii="Times New Roman" w:hAnsi="Times New Roman" w:cs="Times New Roman"/>
          <w:sz w:val="24"/>
          <w:szCs w:val="24"/>
        </w:rPr>
        <w:t>Zmieniono</w:t>
      </w:r>
      <w:r w:rsidR="001525DC">
        <w:rPr>
          <w:rFonts w:ascii="Times New Roman" w:hAnsi="Times New Roman" w:cs="Times New Roman"/>
          <w:sz w:val="24"/>
          <w:szCs w:val="24"/>
        </w:rPr>
        <w:t xml:space="preserve"> ust. 5, w </w:t>
      </w:r>
      <w:r w:rsidR="00166D3C" w:rsidRPr="00205E56">
        <w:rPr>
          <w:rFonts w:ascii="Times New Roman" w:hAnsi="Times New Roman" w:cs="Times New Roman"/>
          <w:sz w:val="24"/>
          <w:szCs w:val="24"/>
        </w:rPr>
        <w:t xml:space="preserve">brzmieniu wypracowanym przez zespół roboczy </w:t>
      </w:r>
      <w:r w:rsidR="00316B25" w:rsidRPr="00205E56">
        <w:rPr>
          <w:rFonts w:ascii="Times New Roman" w:hAnsi="Times New Roman" w:cs="Times New Roman"/>
          <w:sz w:val="24"/>
          <w:szCs w:val="24"/>
        </w:rPr>
        <w:t>ds. rozwoju innowacji finansowych (</w:t>
      </w:r>
      <w:proofErr w:type="spellStart"/>
      <w:r w:rsidR="00316B25" w:rsidRPr="00205E56">
        <w:rPr>
          <w:rFonts w:ascii="Times New Roman" w:hAnsi="Times New Roman" w:cs="Times New Roman"/>
          <w:sz w:val="24"/>
          <w:szCs w:val="24"/>
        </w:rPr>
        <w:t>FinTech</w:t>
      </w:r>
      <w:proofErr w:type="spellEnd"/>
      <w:r w:rsidR="00316B25" w:rsidRPr="00205E56">
        <w:rPr>
          <w:rFonts w:ascii="Times New Roman" w:hAnsi="Times New Roman" w:cs="Times New Roman"/>
          <w:sz w:val="24"/>
          <w:szCs w:val="24"/>
        </w:rPr>
        <w:t>)</w:t>
      </w:r>
      <w:r w:rsidR="00166D3C" w:rsidRPr="00205E56">
        <w:rPr>
          <w:rFonts w:ascii="Times New Roman" w:hAnsi="Times New Roman" w:cs="Times New Roman"/>
          <w:sz w:val="24"/>
          <w:szCs w:val="24"/>
        </w:rPr>
        <w:t xml:space="preserve"> działający </w:t>
      </w:r>
      <w:r w:rsidR="00316B25" w:rsidRPr="00205E56">
        <w:rPr>
          <w:rFonts w:ascii="Times New Roman" w:hAnsi="Times New Roman" w:cs="Times New Roman"/>
          <w:sz w:val="24"/>
          <w:szCs w:val="24"/>
        </w:rPr>
        <w:t>przy UKNF, modyfikując dotychczasowy sposób obliczania wymaganych funduszy własnych dla instytucji płatniczych udzielających kredytów płatniczych.</w:t>
      </w:r>
    </w:p>
    <w:p w14:paraId="3D245246" w14:textId="4F5F353E" w:rsidR="00884F8F" w:rsidRPr="00205E56" w:rsidRDefault="00884F8F"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657F81" w:rsidRPr="00205E56">
        <w:rPr>
          <w:rFonts w:ascii="Times New Roman" w:hAnsi="Times New Roman" w:cs="Times New Roman"/>
          <w:b/>
          <w:sz w:val="24"/>
          <w:szCs w:val="24"/>
        </w:rPr>
        <w:t>6</w:t>
      </w:r>
      <w:r w:rsidR="006B03F8" w:rsidRPr="00205E56">
        <w:rPr>
          <w:rFonts w:ascii="Times New Roman" w:hAnsi="Times New Roman" w:cs="Times New Roman"/>
          <w:b/>
          <w:sz w:val="24"/>
          <w:szCs w:val="24"/>
        </w:rPr>
        <w:t>4</w:t>
      </w:r>
      <w:r w:rsidR="00657F81" w:rsidRPr="00205E56">
        <w:rPr>
          <w:rFonts w:ascii="Times New Roman" w:hAnsi="Times New Roman" w:cs="Times New Roman"/>
          <w:sz w:val="24"/>
          <w:szCs w:val="24"/>
        </w:rPr>
        <w:t xml:space="preserve"> </w:t>
      </w:r>
      <w:r w:rsidRPr="00205E56">
        <w:rPr>
          <w:rFonts w:ascii="Times New Roman" w:hAnsi="Times New Roman" w:cs="Times New Roman"/>
          <w:sz w:val="24"/>
          <w:szCs w:val="24"/>
        </w:rPr>
        <w:t>wprowadza się zmianę w art. 78</w:t>
      </w:r>
      <w:r w:rsidR="00424DD8" w:rsidRPr="00205E56">
        <w:rPr>
          <w:rFonts w:ascii="Times New Roman" w:hAnsi="Times New Roman" w:cs="Times New Roman"/>
          <w:sz w:val="24"/>
          <w:szCs w:val="24"/>
        </w:rPr>
        <w:t>;</w:t>
      </w:r>
      <w:r w:rsidR="00D07BEB" w:rsidRPr="00205E56">
        <w:rPr>
          <w:rFonts w:ascii="Times New Roman" w:hAnsi="Times New Roman" w:cs="Times New Roman"/>
          <w:sz w:val="24"/>
          <w:szCs w:val="24"/>
        </w:rPr>
        <w:t xml:space="preserve"> </w:t>
      </w:r>
      <w:r w:rsidR="00424DD8" w:rsidRPr="00205E56">
        <w:rPr>
          <w:rFonts w:ascii="Times New Roman" w:hAnsi="Times New Roman" w:cs="Times New Roman"/>
          <w:sz w:val="24"/>
          <w:szCs w:val="24"/>
        </w:rPr>
        <w:t xml:space="preserve">przepis </w:t>
      </w:r>
      <w:r w:rsidRPr="00205E56">
        <w:rPr>
          <w:rFonts w:ascii="Times New Roman" w:hAnsi="Times New Roman" w:cs="Times New Roman"/>
          <w:sz w:val="24"/>
          <w:szCs w:val="24"/>
        </w:rPr>
        <w:t>precyzuj</w:t>
      </w:r>
      <w:r w:rsidR="00424DD8" w:rsidRPr="00205E56">
        <w:rPr>
          <w:rFonts w:ascii="Times New Roman" w:hAnsi="Times New Roman" w:cs="Times New Roman"/>
          <w:sz w:val="24"/>
          <w:szCs w:val="24"/>
        </w:rPr>
        <w:t>e</w:t>
      </w:r>
      <w:r w:rsidRPr="00205E56">
        <w:rPr>
          <w:rFonts w:ascii="Times New Roman" w:hAnsi="Times New Roman" w:cs="Times New Roman"/>
          <w:sz w:val="24"/>
          <w:szCs w:val="24"/>
        </w:rPr>
        <w:t xml:space="preserve">, że jeżeli kwotę reprezentatywną można oszacować na podstawie dotychczasowych danych, KNF wyrazi zgodę na stosowanie wymogów określonych w </w:t>
      </w:r>
      <w:r w:rsidR="007B68EA" w:rsidRPr="00205E56">
        <w:rPr>
          <w:rFonts w:ascii="Times New Roman" w:hAnsi="Times New Roman" w:cs="Times New Roman"/>
          <w:sz w:val="24"/>
          <w:szCs w:val="24"/>
        </w:rPr>
        <w:t xml:space="preserve">art. 78 </w:t>
      </w:r>
      <w:r w:rsidRPr="00205E56">
        <w:rPr>
          <w:rFonts w:ascii="Times New Roman" w:hAnsi="Times New Roman" w:cs="Times New Roman"/>
          <w:sz w:val="24"/>
          <w:szCs w:val="24"/>
        </w:rPr>
        <w:t>ust. 2.</w:t>
      </w:r>
    </w:p>
    <w:p w14:paraId="357521B8" w14:textId="128A6571" w:rsidR="007F7D5C" w:rsidRPr="00205E56" w:rsidRDefault="007F7D5C"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884F8F" w:rsidRPr="00205E56">
        <w:rPr>
          <w:rFonts w:ascii="Times New Roman" w:hAnsi="Times New Roman" w:cs="Times New Roman"/>
          <w:b/>
          <w:sz w:val="24"/>
          <w:szCs w:val="24"/>
        </w:rPr>
        <w:t>6</w:t>
      </w:r>
      <w:r w:rsidR="006B03F8" w:rsidRPr="00205E56">
        <w:rPr>
          <w:rFonts w:ascii="Times New Roman" w:hAnsi="Times New Roman" w:cs="Times New Roman"/>
          <w:b/>
          <w:sz w:val="24"/>
          <w:szCs w:val="24"/>
        </w:rPr>
        <w:t>5</w:t>
      </w:r>
      <w:r w:rsidRPr="00205E56">
        <w:rPr>
          <w:rFonts w:ascii="Times New Roman" w:hAnsi="Times New Roman" w:cs="Times New Roman"/>
          <w:sz w:val="24"/>
          <w:szCs w:val="24"/>
        </w:rPr>
        <w:t xml:space="preserve"> wprowadza się zmianę w art. 84 przez dodanie ust.</w:t>
      </w:r>
      <w:r w:rsidR="00884F8F" w:rsidRPr="00205E56">
        <w:rPr>
          <w:rFonts w:ascii="Times New Roman" w:hAnsi="Times New Roman" w:cs="Times New Roman"/>
          <w:sz w:val="24"/>
          <w:szCs w:val="24"/>
        </w:rPr>
        <w:t xml:space="preserve"> </w:t>
      </w:r>
      <w:r w:rsidRPr="00205E56">
        <w:rPr>
          <w:rFonts w:ascii="Times New Roman" w:hAnsi="Times New Roman" w:cs="Times New Roman"/>
          <w:sz w:val="24"/>
          <w:szCs w:val="24"/>
        </w:rPr>
        <w:t>3,</w:t>
      </w:r>
      <w:r w:rsidR="009C647A" w:rsidRPr="00205E56">
        <w:rPr>
          <w:rFonts w:ascii="Times New Roman" w:hAnsi="Times New Roman" w:cs="Times New Roman"/>
          <w:sz w:val="24"/>
          <w:szCs w:val="24"/>
        </w:rPr>
        <w:t xml:space="preserve"> zgodnie z któr</w:t>
      </w:r>
      <w:r w:rsidR="00424DD8" w:rsidRPr="00205E56">
        <w:rPr>
          <w:rFonts w:ascii="Times New Roman" w:hAnsi="Times New Roman" w:cs="Times New Roman"/>
          <w:sz w:val="24"/>
          <w:szCs w:val="24"/>
        </w:rPr>
        <w:t>ą</w:t>
      </w:r>
      <w:r w:rsidR="009C647A" w:rsidRPr="00205E56">
        <w:rPr>
          <w:rFonts w:ascii="Times New Roman" w:hAnsi="Times New Roman" w:cs="Times New Roman"/>
          <w:sz w:val="24"/>
          <w:szCs w:val="24"/>
        </w:rPr>
        <w:t xml:space="preserve"> agent może rozpocząć świadczenie usług płatniczych po wpisaniu do rejestru. </w:t>
      </w:r>
    </w:p>
    <w:p w14:paraId="699B64F6" w14:textId="4D4D7970" w:rsidR="007F7D5C" w:rsidRPr="00205E56" w:rsidRDefault="007F7D5C"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884F8F" w:rsidRPr="00205E56">
        <w:rPr>
          <w:rFonts w:ascii="Times New Roman" w:hAnsi="Times New Roman" w:cs="Times New Roman"/>
          <w:b/>
          <w:sz w:val="24"/>
          <w:szCs w:val="24"/>
        </w:rPr>
        <w:t>6</w:t>
      </w:r>
      <w:r w:rsidR="006B03F8" w:rsidRPr="00205E56">
        <w:rPr>
          <w:rFonts w:ascii="Times New Roman" w:hAnsi="Times New Roman" w:cs="Times New Roman"/>
          <w:b/>
          <w:sz w:val="24"/>
          <w:szCs w:val="24"/>
        </w:rPr>
        <w:t>6</w:t>
      </w:r>
      <w:r w:rsidRPr="00205E56">
        <w:rPr>
          <w:rFonts w:ascii="Times New Roman" w:hAnsi="Times New Roman" w:cs="Times New Roman"/>
          <w:sz w:val="24"/>
          <w:szCs w:val="24"/>
        </w:rPr>
        <w:t xml:space="preserve"> </w:t>
      </w:r>
      <w:r w:rsidR="00031B82" w:rsidRPr="00205E56">
        <w:rPr>
          <w:rFonts w:ascii="Times New Roman" w:hAnsi="Times New Roman" w:cs="Times New Roman"/>
          <w:sz w:val="24"/>
          <w:szCs w:val="24"/>
        </w:rPr>
        <w:t>wprowadza się zmiany w art. 85</w:t>
      </w:r>
      <w:r w:rsidR="00FE5359" w:rsidRPr="00205E56">
        <w:rPr>
          <w:rFonts w:ascii="Times New Roman" w:hAnsi="Times New Roman" w:cs="Times New Roman"/>
          <w:sz w:val="24"/>
          <w:szCs w:val="24"/>
        </w:rPr>
        <w:t xml:space="preserve"> dotyczą</w:t>
      </w:r>
      <w:r w:rsidR="00031B82" w:rsidRPr="00205E56">
        <w:rPr>
          <w:rFonts w:ascii="Times New Roman" w:hAnsi="Times New Roman" w:cs="Times New Roman"/>
          <w:sz w:val="24"/>
          <w:szCs w:val="24"/>
        </w:rPr>
        <w:t>ce</w:t>
      </w:r>
      <w:r w:rsidR="00FE5359" w:rsidRPr="00205E56">
        <w:rPr>
          <w:rFonts w:ascii="Times New Roman" w:hAnsi="Times New Roman" w:cs="Times New Roman"/>
          <w:sz w:val="24"/>
          <w:szCs w:val="24"/>
        </w:rPr>
        <w:t xml:space="preserve"> zakresu</w:t>
      </w:r>
      <w:r w:rsidR="0079472F" w:rsidRPr="00205E56">
        <w:rPr>
          <w:rFonts w:ascii="Times New Roman" w:hAnsi="Times New Roman" w:cs="Times New Roman"/>
          <w:sz w:val="24"/>
          <w:szCs w:val="24"/>
        </w:rPr>
        <w:t xml:space="preserve"> danych</w:t>
      </w:r>
      <w:r w:rsidR="00FE5359" w:rsidRPr="00205E56">
        <w:rPr>
          <w:rFonts w:ascii="Times New Roman" w:hAnsi="Times New Roman" w:cs="Times New Roman"/>
          <w:sz w:val="24"/>
          <w:szCs w:val="24"/>
        </w:rPr>
        <w:t xml:space="preserve">, które </w:t>
      </w:r>
      <w:r w:rsidR="00031B82" w:rsidRPr="00205E56">
        <w:rPr>
          <w:rFonts w:ascii="Times New Roman" w:hAnsi="Times New Roman" w:cs="Times New Roman"/>
          <w:sz w:val="24"/>
          <w:szCs w:val="24"/>
        </w:rPr>
        <w:t>powinn</w:t>
      </w:r>
      <w:r w:rsidR="0079472F" w:rsidRPr="00205E56">
        <w:rPr>
          <w:rFonts w:ascii="Times New Roman" w:hAnsi="Times New Roman" w:cs="Times New Roman"/>
          <w:sz w:val="24"/>
          <w:szCs w:val="24"/>
        </w:rPr>
        <w:t>y być</w:t>
      </w:r>
      <w:r w:rsidR="00FE5359" w:rsidRPr="00205E56">
        <w:rPr>
          <w:rFonts w:ascii="Times New Roman" w:hAnsi="Times New Roman" w:cs="Times New Roman"/>
          <w:sz w:val="24"/>
          <w:szCs w:val="24"/>
        </w:rPr>
        <w:t xml:space="preserve"> </w:t>
      </w:r>
      <w:r w:rsidR="0079472F" w:rsidRPr="00205E56">
        <w:rPr>
          <w:rFonts w:ascii="Times New Roman" w:hAnsi="Times New Roman" w:cs="Times New Roman"/>
          <w:sz w:val="24"/>
          <w:szCs w:val="24"/>
        </w:rPr>
        <w:t>zawarte w</w:t>
      </w:r>
      <w:r w:rsidR="00031B82" w:rsidRPr="00205E56">
        <w:rPr>
          <w:rFonts w:ascii="Times New Roman" w:hAnsi="Times New Roman" w:cs="Times New Roman"/>
          <w:sz w:val="24"/>
          <w:szCs w:val="24"/>
        </w:rPr>
        <w:t xml:space="preserve"> </w:t>
      </w:r>
      <w:r w:rsidR="00FE5359" w:rsidRPr="00205E56">
        <w:rPr>
          <w:rFonts w:ascii="Times New Roman" w:hAnsi="Times New Roman" w:cs="Times New Roman"/>
          <w:sz w:val="24"/>
          <w:szCs w:val="24"/>
        </w:rPr>
        <w:t>zawiadomieni</w:t>
      </w:r>
      <w:r w:rsidR="0079472F" w:rsidRPr="00205E56">
        <w:rPr>
          <w:rFonts w:ascii="Times New Roman" w:hAnsi="Times New Roman" w:cs="Times New Roman"/>
          <w:sz w:val="24"/>
          <w:szCs w:val="24"/>
        </w:rPr>
        <w:t>u</w:t>
      </w:r>
      <w:r w:rsidR="00031B82" w:rsidRPr="00205E56">
        <w:rPr>
          <w:rFonts w:ascii="Times New Roman" w:hAnsi="Times New Roman" w:cs="Times New Roman"/>
          <w:sz w:val="24"/>
          <w:szCs w:val="24"/>
        </w:rPr>
        <w:t xml:space="preserve"> </w:t>
      </w:r>
      <w:r w:rsidR="0079472F" w:rsidRPr="00205E56">
        <w:rPr>
          <w:rFonts w:ascii="Times New Roman" w:hAnsi="Times New Roman" w:cs="Times New Roman"/>
          <w:sz w:val="24"/>
          <w:szCs w:val="24"/>
        </w:rPr>
        <w:t>przekazywanym</w:t>
      </w:r>
      <w:r w:rsidR="00031B82" w:rsidRPr="00205E56">
        <w:rPr>
          <w:rFonts w:ascii="Times New Roman" w:hAnsi="Times New Roman" w:cs="Times New Roman"/>
          <w:sz w:val="24"/>
          <w:szCs w:val="24"/>
        </w:rPr>
        <w:t xml:space="preserve"> przez krajowe instytucje płatnicze</w:t>
      </w:r>
      <w:r w:rsidR="00FE5359" w:rsidRPr="00205E56">
        <w:rPr>
          <w:rFonts w:ascii="Times New Roman" w:hAnsi="Times New Roman" w:cs="Times New Roman"/>
          <w:sz w:val="24"/>
          <w:szCs w:val="24"/>
        </w:rPr>
        <w:t xml:space="preserve"> do </w:t>
      </w:r>
      <w:r w:rsidR="00FE5359" w:rsidRPr="00205E56">
        <w:rPr>
          <w:rFonts w:ascii="Times New Roman" w:hAnsi="Times New Roman" w:cs="Times New Roman"/>
          <w:sz w:val="24"/>
          <w:szCs w:val="24"/>
        </w:rPr>
        <w:lastRenderedPageBreak/>
        <w:t>KNF</w:t>
      </w:r>
      <w:r w:rsidR="00031B82" w:rsidRPr="00205E56">
        <w:rPr>
          <w:rFonts w:ascii="Times New Roman" w:hAnsi="Times New Roman" w:cs="Times New Roman"/>
          <w:sz w:val="24"/>
          <w:szCs w:val="24"/>
        </w:rPr>
        <w:t xml:space="preserve"> </w:t>
      </w:r>
      <w:r w:rsidR="0007109F" w:rsidRPr="00205E56">
        <w:rPr>
          <w:rFonts w:ascii="Times New Roman" w:hAnsi="Times New Roman" w:cs="Times New Roman"/>
          <w:sz w:val="24"/>
          <w:szCs w:val="24"/>
        </w:rPr>
        <w:t xml:space="preserve">z informacją </w:t>
      </w:r>
      <w:r w:rsidR="00031B82" w:rsidRPr="00205E56">
        <w:rPr>
          <w:rFonts w:ascii="Times New Roman" w:hAnsi="Times New Roman" w:cs="Times New Roman"/>
          <w:sz w:val="24"/>
          <w:szCs w:val="24"/>
        </w:rPr>
        <w:t>o</w:t>
      </w:r>
      <w:r w:rsidR="00FE5359" w:rsidRPr="00205E56">
        <w:rPr>
          <w:rFonts w:ascii="Times New Roman" w:hAnsi="Times New Roman" w:cs="Times New Roman"/>
          <w:sz w:val="24"/>
          <w:szCs w:val="24"/>
        </w:rPr>
        <w:t xml:space="preserve"> zamiarze świadczenia usług płat</w:t>
      </w:r>
      <w:r w:rsidR="00031B82" w:rsidRPr="00205E56">
        <w:rPr>
          <w:rFonts w:ascii="Times New Roman" w:hAnsi="Times New Roman" w:cs="Times New Roman"/>
          <w:sz w:val="24"/>
          <w:szCs w:val="24"/>
        </w:rPr>
        <w:t xml:space="preserve">niczych za pośrednictwem agenta. </w:t>
      </w:r>
      <w:r w:rsidR="0079472F" w:rsidRPr="00205E56">
        <w:rPr>
          <w:rFonts w:ascii="Times New Roman" w:hAnsi="Times New Roman" w:cs="Times New Roman"/>
          <w:sz w:val="24"/>
          <w:szCs w:val="24"/>
        </w:rPr>
        <w:t>Dodawany ust.</w:t>
      </w:r>
      <w:r w:rsidR="00205E56" w:rsidRPr="00205E56">
        <w:rPr>
          <w:rFonts w:ascii="Times New Roman" w:hAnsi="Times New Roman" w:cs="Times New Roman"/>
          <w:sz w:val="24"/>
          <w:szCs w:val="24"/>
        </w:rPr>
        <w:t xml:space="preserve"> </w:t>
      </w:r>
      <w:r w:rsidR="0079472F" w:rsidRPr="00205E56">
        <w:rPr>
          <w:rFonts w:ascii="Times New Roman" w:hAnsi="Times New Roman" w:cs="Times New Roman"/>
          <w:sz w:val="24"/>
          <w:szCs w:val="24"/>
        </w:rPr>
        <w:t>3 nakłada obowiązek niezwłocznego aktualizowania opisu mechanizmów kontroli wewnętrznej związanych z z</w:t>
      </w:r>
      <w:r w:rsidR="001525DC">
        <w:rPr>
          <w:rFonts w:ascii="Times New Roman" w:hAnsi="Times New Roman" w:cs="Times New Roman"/>
          <w:sz w:val="24"/>
          <w:szCs w:val="24"/>
        </w:rPr>
        <w:t>apobieganiem praniu pieniędzy i </w:t>
      </w:r>
      <w:r w:rsidR="0079472F" w:rsidRPr="00205E56">
        <w:rPr>
          <w:rFonts w:ascii="Times New Roman" w:hAnsi="Times New Roman" w:cs="Times New Roman"/>
          <w:sz w:val="24"/>
          <w:szCs w:val="24"/>
        </w:rPr>
        <w:t>finansowaniu terroryzmu zgodnie z ustawą o prze</w:t>
      </w:r>
      <w:r w:rsidR="001525DC">
        <w:rPr>
          <w:rFonts w:ascii="Times New Roman" w:hAnsi="Times New Roman" w:cs="Times New Roman"/>
          <w:sz w:val="24"/>
          <w:szCs w:val="24"/>
        </w:rPr>
        <w:t>ciwdziałaniu praniu pieniędzy w </w:t>
      </w:r>
      <w:r w:rsidR="0079472F" w:rsidRPr="00205E56">
        <w:rPr>
          <w:rFonts w:ascii="Times New Roman" w:hAnsi="Times New Roman" w:cs="Times New Roman"/>
          <w:sz w:val="24"/>
          <w:szCs w:val="24"/>
        </w:rPr>
        <w:t xml:space="preserve">przypadku każdej istotnej zmiany danych przekazywanych w ramach powiadomienia. </w:t>
      </w:r>
      <w:r w:rsidR="00C26C4B" w:rsidRPr="00205E56">
        <w:rPr>
          <w:rFonts w:ascii="Times New Roman" w:hAnsi="Times New Roman" w:cs="Times New Roman"/>
          <w:sz w:val="24"/>
          <w:szCs w:val="24"/>
        </w:rPr>
        <w:t>Zgodnie z dodawanym ust. 4 KNF</w:t>
      </w:r>
      <w:r w:rsidR="00424DD8" w:rsidRPr="00205E56">
        <w:rPr>
          <w:rFonts w:ascii="Times New Roman" w:hAnsi="Times New Roman" w:cs="Times New Roman"/>
          <w:sz w:val="24"/>
          <w:szCs w:val="24"/>
        </w:rPr>
        <w:t>,</w:t>
      </w:r>
      <w:r w:rsidR="00C26C4B" w:rsidRPr="00205E56">
        <w:rPr>
          <w:rFonts w:ascii="Times New Roman" w:hAnsi="Times New Roman" w:cs="Times New Roman"/>
          <w:sz w:val="24"/>
          <w:szCs w:val="24"/>
        </w:rPr>
        <w:t xml:space="preserve"> w terminie dwóch miesięcy od otrzymania zawiadomienia</w:t>
      </w:r>
      <w:r w:rsidR="00424DD8" w:rsidRPr="00205E56">
        <w:rPr>
          <w:rFonts w:ascii="Times New Roman" w:hAnsi="Times New Roman" w:cs="Times New Roman"/>
          <w:sz w:val="24"/>
          <w:szCs w:val="24"/>
        </w:rPr>
        <w:t>,</w:t>
      </w:r>
      <w:r w:rsidR="00C26C4B" w:rsidRPr="00205E56">
        <w:rPr>
          <w:rFonts w:ascii="Times New Roman" w:hAnsi="Times New Roman" w:cs="Times New Roman"/>
          <w:sz w:val="24"/>
          <w:szCs w:val="24"/>
        </w:rPr>
        <w:t xml:space="preserve"> wraz z wnioskiem o dokonanie wpisu agenta do rejestru powiadamia krajową instytucję płatniczą o tym, czy agent został wpisany do rejestru. </w:t>
      </w:r>
      <w:r w:rsidR="00475C6D" w:rsidRPr="00205E56">
        <w:rPr>
          <w:rFonts w:ascii="Times New Roman" w:hAnsi="Times New Roman" w:cs="Times New Roman"/>
          <w:sz w:val="24"/>
          <w:szCs w:val="24"/>
        </w:rPr>
        <w:t>KNF</w:t>
      </w:r>
      <w:r w:rsidR="00424DD8" w:rsidRPr="00205E56">
        <w:rPr>
          <w:rFonts w:ascii="Times New Roman" w:hAnsi="Times New Roman" w:cs="Times New Roman"/>
          <w:sz w:val="24"/>
          <w:szCs w:val="24"/>
        </w:rPr>
        <w:t>,</w:t>
      </w:r>
      <w:r w:rsidR="001525DC">
        <w:rPr>
          <w:rFonts w:ascii="Times New Roman" w:hAnsi="Times New Roman" w:cs="Times New Roman"/>
          <w:sz w:val="24"/>
          <w:szCs w:val="24"/>
        </w:rPr>
        <w:t xml:space="preserve"> w </w:t>
      </w:r>
      <w:r w:rsidR="00475C6D" w:rsidRPr="00205E56">
        <w:rPr>
          <w:rFonts w:ascii="Times New Roman" w:hAnsi="Times New Roman" w:cs="Times New Roman"/>
          <w:sz w:val="24"/>
          <w:szCs w:val="24"/>
        </w:rPr>
        <w:t>przypadku wątpliwości co do prawidłowości informacji zawartych w zawiadomieniu</w:t>
      </w:r>
      <w:r w:rsidR="00424DD8" w:rsidRPr="00205E56">
        <w:rPr>
          <w:rFonts w:ascii="Times New Roman" w:hAnsi="Times New Roman" w:cs="Times New Roman"/>
          <w:sz w:val="24"/>
          <w:szCs w:val="24"/>
        </w:rPr>
        <w:t>,</w:t>
      </w:r>
      <w:r w:rsidR="00475C6D" w:rsidRPr="00205E56">
        <w:rPr>
          <w:rFonts w:ascii="Times New Roman" w:hAnsi="Times New Roman" w:cs="Times New Roman"/>
          <w:sz w:val="24"/>
          <w:szCs w:val="24"/>
        </w:rPr>
        <w:t xml:space="preserve"> będzie miała prawo do odmowy wpisania agenta do rejestru, </w:t>
      </w:r>
      <w:r w:rsidR="001F7155" w:rsidRPr="00205E56">
        <w:rPr>
          <w:rFonts w:ascii="Times New Roman" w:hAnsi="Times New Roman" w:cs="Times New Roman"/>
          <w:sz w:val="24"/>
          <w:szCs w:val="24"/>
        </w:rPr>
        <w:t>powiadamiając o tym fakcie</w:t>
      </w:r>
      <w:r w:rsidR="00475C6D" w:rsidRPr="00205E56">
        <w:rPr>
          <w:rFonts w:ascii="Times New Roman" w:hAnsi="Times New Roman" w:cs="Times New Roman"/>
          <w:sz w:val="24"/>
          <w:szCs w:val="24"/>
        </w:rPr>
        <w:t xml:space="preserve"> krajową instytucj</w:t>
      </w:r>
      <w:r w:rsidR="00994326">
        <w:rPr>
          <w:rFonts w:ascii="Times New Roman" w:hAnsi="Times New Roman" w:cs="Times New Roman"/>
          <w:sz w:val="24"/>
          <w:szCs w:val="24"/>
        </w:rPr>
        <w:t>ę</w:t>
      </w:r>
      <w:r w:rsidR="00475C6D" w:rsidRPr="00205E56">
        <w:rPr>
          <w:rFonts w:ascii="Times New Roman" w:hAnsi="Times New Roman" w:cs="Times New Roman"/>
          <w:sz w:val="24"/>
          <w:szCs w:val="24"/>
        </w:rPr>
        <w:t xml:space="preserve"> płatniczą bez zbędnej zwłoki. </w:t>
      </w:r>
      <w:r w:rsidR="002F2C80" w:rsidRPr="00205E56">
        <w:rPr>
          <w:rFonts w:ascii="Times New Roman" w:hAnsi="Times New Roman" w:cs="Times New Roman"/>
          <w:sz w:val="24"/>
          <w:szCs w:val="24"/>
        </w:rPr>
        <w:t xml:space="preserve">W </w:t>
      </w:r>
      <w:r w:rsidR="00490B41" w:rsidRPr="00205E56">
        <w:rPr>
          <w:rFonts w:ascii="Times New Roman" w:hAnsi="Times New Roman" w:cs="Times New Roman"/>
          <w:sz w:val="24"/>
          <w:szCs w:val="24"/>
        </w:rPr>
        <w:t>ust. 2 pkt</w:t>
      </w:r>
      <w:r w:rsidR="001525DC">
        <w:rPr>
          <w:rFonts w:ascii="Times New Roman" w:hAnsi="Times New Roman" w:cs="Times New Roman"/>
          <w:sz w:val="24"/>
          <w:szCs w:val="24"/>
        </w:rPr>
        <w:t xml:space="preserve"> 6 jest mowa o </w:t>
      </w:r>
      <w:r w:rsidR="002F2C80" w:rsidRPr="00205E56">
        <w:rPr>
          <w:rFonts w:ascii="Times New Roman" w:hAnsi="Times New Roman" w:cs="Times New Roman"/>
          <w:sz w:val="24"/>
          <w:szCs w:val="24"/>
        </w:rPr>
        <w:t>przekazaniu numeru identyfikac</w:t>
      </w:r>
      <w:r w:rsidR="002A761E" w:rsidRPr="00205E56">
        <w:rPr>
          <w:rFonts w:ascii="Times New Roman" w:hAnsi="Times New Roman" w:cs="Times New Roman"/>
          <w:sz w:val="24"/>
          <w:szCs w:val="24"/>
        </w:rPr>
        <w:t>ji podatkowej</w:t>
      </w:r>
      <w:r w:rsidR="002F2C80" w:rsidRPr="00205E56">
        <w:rPr>
          <w:rFonts w:ascii="Times New Roman" w:hAnsi="Times New Roman" w:cs="Times New Roman"/>
          <w:sz w:val="24"/>
          <w:szCs w:val="24"/>
        </w:rPr>
        <w:t xml:space="preserve"> agenta.</w:t>
      </w:r>
    </w:p>
    <w:p w14:paraId="097D1866" w14:textId="676AA15D" w:rsidR="007F7D5C" w:rsidRPr="00205E56" w:rsidRDefault="007F7D5C"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2A761E" w:rsidRPr="00205E56">
        <w:rPr>
          <w:rFonts w:ascii="Times New Roman" w:hAnsi="Times New Roman" w:cs="Times New Roman"/>
          <w:b/>
          <w:sz w:val="24"/>
          <w:szCs w:val="24"/>
        </w:rPr>
        <w:t>6</w:t>
      </w:r>
      <w:r w:rsidR="006B03F8" w:rsidRPr="00205E56">
        <w:rPr>
          <w:rFonts w:ascii="Times New Roman" w:hAnsi="Times New Roman" w:cs="Times New Roman"/>
          <w:b/>
          <w:sz w:val="24"/>
          <w:szCs w:val="24"/>
        </w:rPr>
        <w:t>7</w:t>
      </w:r>
      <w:r w:rsidR="00316B25" w:rsidRPr="00205E56">
        <w:rPr>
          <w:rFonts w:ascii="Times New Roman" w:hAnsi="Times New Roman" w:cs="Times New Roman"/>
          <w:sz w:val="24"/>
          <w:szCs w:val="24"/>
        </w:rPr>
        <w:t xml:space="preserve"> </w:t>
      </w:r>
      <w:r w:rsidRPr="00205E56">
        <w:rPr>
          <w:rFonts w:ascii="Times New Roman" w:hAnsi="Times New Roman" w:cs="Times New Roman"/>
          <w:sz w:val="24"/>
          <w:szCs w:val="24"/>
        </w:rPr>
        <w:t>wprowadza się zmianę w art. 87 przez dodanie ust. 1a,</w:t>
      </w:r>
      <w:r w:rsidR="001F7155" w:rsidRPr="00205E56">
        <w:rPr>
          <w:rFonts w:ascii="Times New Roman" w:hAnsi="Times New Roman" w:cs="Times New Roman"/>
          <w:sz w:val="24"/>
          <w:szCs w:val="24"/>
        </w:rPr>
        <w:t xml:space="preserve"> który zobowiązuje instytucje płatnicze do informowania KNF o wszelkich zmianach dotyczących korzystania z usług podmiotów, którym powierzono wykonywanie czynności operacyjnych oraz agentów. </w:t>
      </w:r>
    </w:p>
    <w:p w14:paraId="485E3D4F" w14:textId="7B4D9722" w:rsidR="002A761E" w:rsidRPr="00205E56" w:rsidRDefault="00884F8F"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2A761E" w:rsidRPr="00205E56">
        <w:rPr>
          <w:rFonts w:ascii="Times New Roman" w:hAnsi="Times New Roman" w:cs="Times New Roman"/>
          <w:b/>
          <w:sz w:val="24"/>
          <w:szCs w:val="24"/>
        </w:rPr>
        <w:t>6</w:t>
      </w:r>
      <w:r w:rsidR="006B03F8" w:rsidRPr="00205E56">
        <w:rPr>
          <w:rFonts w:ascii="Times New Roman" w:hAnsi="Times New Roman" w:cs="Times New Roman"/>
          <w:b/>
          <w:sz w:val="24"/>
          <w:szCs w:val="24"/>
        </w:rPr>
        <w:t>8</w:t>
      </w:r>
      <w:r w:rsidRPr="00205E56">
        <w:rPr>
          <w:rFonts w:ascii="Times New Roman" w:hAnsi="Times New Roman" w:cs="Times New Roman"/>
          <w:sz w:val="24"/>
          <w:szCs w:val="24"/>
        </w:rPr>
        <w:t xml:space="preserve"> </w:t>
      </w:r>
      <w:r w:rsidR="002A761E" w:rsidRPr="00205E56">
        <w:rPr>
          <w:rFonts w:ascii="Times New Roman" w:hAnsi="Times New Roman" w:cs="Times New Roman"/>
          <w:sz w:val="24"/>
          <w:szCs w:val="24"/>
        </w:rPr>
        <w:t>dokonuje się zmiany tytułu działu V w związku z wprowadzeniem nowej kategorii dostawcy, tj. dostawców świadczących wyłącznie usługę dostępu do informacji o rachunku.</w:t>
      </w:r>
    </w:p>
    <w:p w14:paraId="1F1DAB2B" w14:textId="0C0C58FF" w:rsidR="00884F8F" w:rsidRPr="00205E56" w:rsidRDefault="002A761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6</w:t>
      </w:r>
      <w:r w:rsidR="006B03F8" w:rsidRPr="00205E56">
        <w:rPr>
          <w:rFonts w:ascii="Times New Roman" w:hAnsi="Times New Roman" w:cs="Times New Roman"/>
          <w:b/>
          <w:sz w:val="24"/>
          <w:szCs w:val="24"/>
        </w:rPr>
        <w:t>9</w:t>
      </w:r>
      <w:r w:rsidRPr="00205E56">
        <w:rPr>
          <w:rFonts w:ascii="Times New Roman" w:hAnsi="Times New Roman" w:cs="Times New Roman"/>
          <w:sz w:val="24"/>
          <w:szCs w:val="24"/>
        </w:rPr>
        <w:t xml:space="preserve"> </w:t>
      </w:r>
      <w:r w:rsidR="005604EF" w:rsidRPr="00205E56">
        <w:rPr>
          <w:rFonts w:ascii="Times New Roman" w:hAnsi="Times New Roman" w:cs="Times New Roman"/>
          <w:sz w:val="24"/>
          <w:szCs w:val="24"/>
        </w:rPr>
        <w:t>wprowadza się zmianę w art. 91 umożliwiającą dostawcy świadczącemu wyłącznie usługę dostępu do informacji o rachunku wykonywanie takiej działalności na terytorium innego państwa członkowskiego przez oddział, w ramach działalności transgranicznej lub za pośrednictwem agenta.</w:t>
      </w:r>
    </w:p>
    <w:p w14:paraId="503C473E" w14:textId="3CE3FF1C" w:rsidR="0007109F" w:rsidRPr="00205E56" w:rsidRDefault="00A5421A"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6B03F8" w:rsidRPr="00205E56">
        <w:rPr>
          <w:rFonts w:ascii="Times New Roman" w:hAnsi="Times New Roman" w:cs="Times New Roman"/>
          <w:b/>
          <w:sz w:val="24"/>
          <w:szCs w:val="24"/>
        </w:rPr>
        <w:t>70</w:t>
      </w:r>
      <w:r w:rsidRPr="00205E56">
        <w:rPr>
          <w:rFonts w:ascii="Times New Roman" w:hAnsi="Times New Roman" w:cs="Times New Roman"/>
          <w:sz w:val="24"/>
          <w:szCs w:val="24"/>
        </w:rPr>
        <w:t xml:space="preserve"> wprowadza się zmianę w art. 92 </w:t>
      </w:r>
      <w:r w:rsidR="0021247F" w:rsidRPr="00205E56">
        <w:rPr>
          <w:rFonts w:ascii="Times New Roman" w:hAnsi="Times New Roman" w:cs="Times New Roman"/>
          <w:sz w:val="24"/>
          <w:szCs w:val="24"/>
        </w:rPr>
        <w:t xml:space="preserve">ust. 1 i 2. Zmiana w art. 92 ust. </w:t>
      </w:r>
      <w:r w:rsidRPr="00205E56">
        <w:rPr>
          <w:rFonts w:ascii="Times New Roman" w:hAnsi="Times New Roman" w:cs="Times New Roman"/>
          <w:sz w:val="24"/>
          <w:szCs w:val="24"/>
        </w:rPr>
        <w:t>2,</w:t>
      </w:r>
      <w:r w:rsidR="0007109F" w:rsidRPr="00205E56">
        <w:rPr>
          <w:rFonts w:ascii="Times New Roman" w:hAnsi="Times New Roman" w:cs="Times New Roman"/>
          <w:sz w:val="24"/>
          <w:szCs w:val="24"/>
        </w:rPr>
        <w:t xml:space="preserve"> która </w:t>
      </w:r>
      <w:r w:rsidR="002A3454" w:rsidRPr="00205E56">
        <w:rPr>
          <w:rFonts w:ascii="Times New Roman" w:hAnsi="Times New Roman" w:cs="Times New Roman"/>
          <w:sz w:val="24"/>
          <w:szCs w:val="24"/>
        </w:rPr>
        <w:t>określa</w:t>
      </w:r>
      <w:r w:rsidR="0007109F" w:rsidRPr="00205E56">
        <w:rPr>
          <w:rFonts w:ascii="Times New Roman" w:hAnsi="Times New Roman" w:cs="Times New Roman"/>
          <w:sz w:val="24"/>
          <w:szCs w:val="24"/>
        </w:rPr>
        <w:t xml:space="preserve"> zakres danych, które musi zawierać zawiadomienie krajowej instytucji płatniczej przekazywane do KNF</w:t>
      </w:r>
      <w:r w:rsidR="002A3454" w:rsidRPr="00205E56">
        <w:rPr>
          <w:rFonts w:ascii="Times New Roman" w:hAnsi="Times New Roman" w:cs="Times New Roman"/>
          <w:sz w:val="24"/>
          <w:szCs w:val="24"/>
        </w:rPr>
        <w:t>,</w:t>
      </w:r>
      <w:r w:rsidR="0007109F" w:rsidRPr="00205E56">
        <w:rPr>
          <w:rFonts w:ascii="Times New Roman" w:hAnsi="Times New Roman" w:cs="Times New Roman"/>
          <w:sz w:val="24"/>
          <w:szCs w:val="24"/>
        </w:rPr>
        <w:t xml:space="preserve"> z informacją o zamiarze świadczenia usług płatniczych na terytorium innego państwa członkowskiego przez oddział lub za pośrednictwem agenta.</w:t>
      </w:r>
    </w:p>
    <w:p w14:paraId="3385FF53" w14:textId="337E5F1D" w:rsidR="00A5421A" w:rsidRPr="00205E56" w:rsidRDefault="00A5421A"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21247F" w:rsidRPr="00205E56">
        <w:rPr>
          <w:rFonts w:ascii="Times New Roman" w:hAnsi="Times New Roman" w:cs="Times New Roman"/>
          <w:b/>
          <w:sz w:val="24"/>
          <w:szCs w:val="24"/>
        </w:rPr>
        <w:t>7</w:t>
      </w:r>
      <w:r w:rsidR="006B03F8" w:rsidRPr="00205E56">
        <w:rPr>
          <w:rFonts w:ascii="Times New Roman" w:hAnsi="Times New Roman" w:cs="Times New Roman"/>
          <w:b/>
          <w:sz w:val="24"/>
          <w:szCs w:val="24"/>
        </w:rPr>
        <w:t>1</w:t>
      </w:r>
      <w:r w:rsidR="0021247F" w:rsidRPr="00205E56">
        <w:rPr>
          <w:rFonts w:ascii="Times New Roman" w:hAnsi="Times New Roman" w:cs="Times New Roman"/>
          <w:sz w:val="24"/>
          <w:szCs w:val="24"/>
        </w:rPr>
        <w:t xml:space="preserve"> </w:t>
      </w:r>
      <w:r w:rsidRPr="00205E56">
        <w:rPr>
          <w:rFonts w:ascii="Times New Roman" w:hAnsi="Times New Roman" w:cs="Times New Roman"/>
          <w:sz w:val="24"/>
          <w:szCs w:val="24"/>
        </w:rPr>
        <w:t>wprowadza się zmianę w art. 93,</w:t>
      </w:r>
      <w:r w:rsidR="002A3454" w:rsidRPr="00205E56">
        <w:rPr>
          <w:rFonts w:ascii="Times New Roman" w:hAnsi="Times New Roman" w:cs="Times New Roman"/>
          <w:sz w:val="24"/>
          <w:szCs w:val="24"/>
        </w:rPr>
        <w:t xml:space="preserve"> </w:t>
      </w:r>
      <w:r w:rsidR="003D4870" w:rsidRPr="00205E56">
        <w:rPr>
          <w:rFonts w:ascii="Times New Roman" w:hAnsi="Times New Roman" w:cs="Times New Roman"/>
          <w:sz w:val="24"/>
          <w:szCs w:val="24"/>
        </w:rPr>
        <w:t>zgodnie z którym KNF</w:t>
      </w:r>
      <w:r w:rsidR="00424DD8" w:rsidRPr="00205E56">
        <w:rPr>
          <w:rFonts w:ascii="Times New Roman" w:hAnsi="Times New Roman" w:cs="Times New Roman"/>
          <w:sz w:val="24"/>
          <w:szCs w:val="24"/>
        </w:rPr>
        <w:t>,</w:t>
      </w:r>
      <w:r w:rsidR="003D4870" w:rsidRPr="00205E56">
        <w:rPr>
          <w:rFonts w:ascii="Times New Roman" w:hAnsi="Times New Roman" w:cs="Times New Roman"/>
          <w:sz w:val="24"/>
          <w:szCs w:val="24"/>
        </w:rPr>
        <w:t xml:space="preserve"> w terminie trzech miesięcy od dnia otrzymania zawiadomienia, po zapoznaniu się z oceną oraz zastrzeżeniami przekazanymi przez właściwe organy nadzorcze goszczącego państwa członkowskiego, podejmuje decyzję o wpisie do rejestru odpowiedniego oddziału lub </w:t>
      </w:r>
      <w:r w:rsidR="003D4870" w:rsidRPr="00205E56">
        <w:rPr>
          <w:rFonts w:ascii="Times New Roman" w:hAnsi="Times New Roman" w:cs="Times New Roman"/>
          <w:sz w:val="24"/>
          <w:szCs w:val="24"/>
        </w:rPr>
        <w:lastRenderedPageBreak/>
        <w:t>agenta, albo o odmowie dokonania takiego wpisu lub wykreślenia z rejestru, jeżeli podmiot został do niego uprzednio wpisany.</w:t>
      </w:r>
      <w:r w:rsidR="009D7436" w:rsidRPr="00205E56">
        <w:rPr>
          <w:rFonts w:ascii="Times New Roman" w:hAnsi="Times New Roman" w:cs="Times New Roman"/>
          <w:sz w:val="24"/>
          <w:szCs w:val="24"/>
        </w:rPr>
        <w:t xml:space="preserve"> W prz</w:t>
      </w:r>
      <w:r w:rsidR="001525DC">
        <w:rPr>
          <w:rFonts w:ascii="Times New Roman" w:hAnsi="Times New Roman" w:cs="Times New Roman"/>
          <w:sz w:val="24"/>
          <w:szCs w:val="24"/>
        </w:rPr>
        <w:t>ypadku gdy KNF nie zgadza się z </w:t>
      </w:r>
      <w:r w:rsidR="009D7436" w:rsidRPr="00205E56">
        <w:rPr>
          <w:rFonts w:ascii="Times New Roman" w:hAnsi="Times New Roman" w:cs="Times New Roman"/>
          <w:sz w:val="24"/>
          <w:szCs w:val="24"/>
        </w:rPr>
        <w:t>oceną oraz zastrzeżeniami, przekazuje właściwym organom nadzorczym goszczącego państwa członkowskiego swoj</w:t>
      </w:r>
      <w:r w:rsidR="00994326">
        <w:rPr>
          <w:rFonts w:ascii="Times New Roman" w:hAnsi="Times New Roman" w:cs="Times New Roman"/>
          <w:sz w:val="24"/>
          <w:szCs w:val="24"/>
        </w:rPr>
        <w:t>ą</w:t>
      </w:r>
      <w:r w:rsidR="009D7436" w:rsidRPr="00205E56">
        <w:rPr>
          <w:rFonts w:ascii="Times New Roman" w:hAnsi="Times New Roman" w:cs="Times New Roman"/>
          <w:sz w:val="24"/>
          <w:szCs w:val="24"/>
        </w:rPr>
        <w:t xml:space="preserve"> decyzję </w:t>
      </w:r>
      <w:r w:rsidR="00554A6E" w:rsidRPr="00205E56">
        <w:rPr>
          <w:rFonts w:ascii="Times New Roman" w:hAnsi="Times New Roman" w:cs="Times New Roman"/>
          <w:sz w:val="24"/>
          <w:szCs w:val="24"/>
        </w:rPr>
        <w:t>wraz z jej uzasadnieniem. Zgodnie z ust. 4</w:t>
      </w:r>
      <w:r w:rsidR="00424DD8" w:rsidRPr="00205E56">
        <w:rPr>
          <w:rFonts w:ascii="Times New Roman" w:hAnsi="Times New Roman" w:cs="Times New Roman"/>
          <w:sz w:val="24"/>
          <w:szCs w:val="24"/>
        </w:rPr>
        <w:t>,</w:t>
      </w:r>
      <w:r w:rsidR="00554A6E" w:rsidRPr="00205E56">
        <w:rPr>
          <w:rFonts w:ascii="Times New Roman" w:hAnsi="Times New Roman" w:cs="Times New Roman"/>
          <w:sz w:val="24"/>
          <w:szCs w:val="24"/>
        </w:rPr>
        <w:t xml:space="preserve"> oddział oraz agent mogą rozpocząć wykonywanie działalności na terytorium państwa członkowskiego. Instytucja płatnicza </w:t>
      </w:r>
      <w:r w:rsidR="00994326" w:rsidRPr="00205E56">
        <w:rPr>
          <w:rFonts w:ascii="Times New Roman" w:hAnsi="Times New Roman" w:cs="Times New Roman"/>
          <w:sz w:val="24"/>
          <w:szCs w:val="24"/>
        </w:rPr>
        <w:t xml:space="preserve">jest </w:t>
      </w:r>
      <w:r w:rsidR="00554A6E" w:rsidRPr="00205E56">
        <w:rPr>
          <w:rFonts w:ascii="Times New Roman" w:hAnsi="Times New Roman" w:cs="Times New Roman"/>
          <w:sz w:val="24"/>
          <w:szCs w:val="24"/>
        </w:rPr>
        <w:t>obowiązan</w:t>
      </w:r>
      <w:r w:rsidR="00994326">
        <w:rPr>
          <w:rFonts w:ascii="Times New Roman" w:hAnsi="Times New Roman" w:cs="Times New Roman"/>
          <w:sz w:val="24"/>
          <w:szCs w:val="24"/>
        </w:rPr>
        <w:t>a</w:t>
      </w:r>
      <w:r w:rsidR="00554A6E" w:rsidRPr="00205E56">
        <w:rPr>
          <w:rFonts w:ascii="Times New Roman" w:hAnsi="Times New Roman" w:cs="Times New Roman"/>
          <w:sz w:val="24"/>
          <w:szCs w:val="24"/>
        </w:rPr>
        <w:t xml:space="preserve"> poinformować KNF o dacie rozpoczęcia działalności na terytorium goszczącego państwa członkowskiego. </w:t>
      </w:r>
    </w:p>
    <w:p w14:paraId="36A0D8E9" w14:textId="53427C09" w:rsidR="00A5421A" w:rsidRPr="00205E56" w:rsidRDefault="00BF2790" w:rsidP="00D14A5F">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A5421A" w:rsidRPr="00205E56">
        <w:rPr>
          <w:rFonts w:ascii="Times New Roman" w:hAnsi="Times New Roman" w:cs="Times New Roman"/>
          <w:sz w:val="24"/>
          <w:szCs w:val="24"/>
        </w:rPr>
        <w:t xml:space="preserve">prowadza się </w:t>
      </w:r>
      <w:r w:rsidR="00E9427D" w:rsidRPr="00205E56">
        <w:rPr>
          <w:rFonts w:ascii="Times New Roman" w:hAnsi="Times New Roman" w:cs="Times New Roman"/>
          <w:sz w:val="24"/>
          <w:szCs w:val="24"/>
        </w:rPr>
        <w:t>zmianę w art. 94,</w:t>
      </w:r>
      <w:r w:rsidR="00F92A77" w:rsidRPr="00205E56">
        <w:rPr>
          <w:rFonts w:ascii="Times New Roman" w:hAnsi="Times New Roman" w:cs="Times New Roman"/>
          <w:sz w:val="24"/>
          <w:szCs w:val="24"/>
        </w:rPr>
        <w:t xml:space="preserve"> według której krajowa instytucja płatnicza zawiadamia KNF o zamiarze dokonania zmiany danych zawartych w zawiadomieniu</w:t>
      </w:r>
      <w:r w:rsidR="00424DD8" w:rsidRPr="00205E56">
        <w:rPr>
          <w:rFonts w:ascii="Times New Roman" w:hAnsi="Times New Roman" w:cs="Times New Roman"/>
          <w:sz w:val="24"/>
          <w:szCs w:val="24"/>
        </w:rPr>
        <w:t>,</w:t>
      </w:r>
      <w:r w:rsidR="00F92A77" w:rsidRPr="00205E56">
        <w:rPr>
          <w:rFonts w:ascii="Times New Roman" w:hAnsi="Times New Roman" w:cs="Times New Roman"/>
          <w:sz w:val="24"/>
          <w:szCs w:val="24"/>
        </w:rPr>
        <w:t xml:space="preserve"> jak i również o każdym nowym agencie i oddziale. </w:t>
      </w:r>
    </w:p>
    <w:p w14:paraId="72015AC7" w14:textId="131D765B" w:rsidR="0021247F" w:rsidRPr="00205E56" w:rsidRDefault="0021247F"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7</w:t>
      </w:r>
      <w:r w:rsidR="00BF2790">
        <w:rPr>
          <w:rFonts w:ascii="Times New Roman" w:hAnsi="Times New Roman" w:cs="Times New Roman"/>
          <w:b/>
          <w:sz w:val="24"/>
          <w:szCs w:val="24"/>
        </w:rPr>
        <w:t>2</w:t>
      </w:r>
      <w:r w:rsidRPr="00205E56">
        <w:rPr>
          <w:rFonts w:ascii="Times New Roman" w:hAnsi="Times New Roman" w:cs="Times New Roman"/>
          <w:sz w:val="24"/>
          <w:szCs w:val="24"/>
        </w:rPr>
        <w:t xml:space="preserve"> dodaje się art. 94a zgodnie z którym krajowa instytucja płatnicza zawiadamia KNF o zamiarze powierzenia innemu przedsiębiorcy kraju goszczącego wykonywania czynności operacyjnych związanych ze świadczeniem usług płatniczych.</w:t>
      </w:r>
    </w:p>
    <w:p w14:paraId="53AE409B" w14:textId="28C9C57C" w:rsidR="00064CB6" w:rsidRPr="00205E56" w:rsidRDefault="00A7705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w:t>
      </w:r>
      <w:r w:rsidR="004F3BE8" w:rsidRPr="00205E56">
        <w:rPr>
          <w:rFonts w:ascii="Times New Roman" w:hAnsi="Times New Roman" w:cs="Times New Roman"/>
          <w:b/>
          <w:sz w:val="24"/>
          <w:szCs w:val="24"/>
        </w:rPr>
        <w:t xml:space="preserve"> 7</w:t>
      </w:r>
      <w:r w:rsidR="00BF2790">
        <w:rPr>
          <w:rFonts w:ascii="Times New Roman" w:hAnsi="Times New Roman" w:cs="Times New Roman"/>
          <w:b/>
          <w:sz w:val="24"/>
          <w:szCs w:val="24"/>
        </w:rPr>
        <w:t>3</w:t>
      </w:r>
      <w:r w:rsidR="00E9427D" w:rsidRPr="00205E56">
        <w:rPr>
          <w:rFonts w:ascii="Times New Roman" w:hAnsi="Times New Roman" w:cs="Times New Roman"/>
          <w:sz w:val="24"/>
          <w:szCs w:val="24"/>
        </w:rPr>
        <w:t xml:space="preserve"> </w:t>
      </w:r>
      <w:r w:rsidR="005604EF" w:rsidRPr="00205E56">
        <w:rPr>
          <w:rFonts w:ascii="Times New Roman" w:hAnsi="Times New Roman" w:cs="Times New Roman"/>
          <w:sz w:val="24"/>
          <w:szCs w:val="24"/>
        </w:rPr>
        <w:t>uchyla się</w:t>
      </w:r>
      <w:r w:rsidR="00E9427D" w:rsidRPr="00205E56">
        <w:rPr>
          <w:rFonts w:ascii="Times New Roman" w:hAnsi="Times New Roman" w:cs="Times New Roman"/>
          <w:sz w:val="24"/>
          <w:szCs w:val="24"/>
        </w:rPr>
        <w:t xml:space="preserve"> art. 95,</w:t>
      </w:r>
      <w:r w:rsidR="00F92A77" w:rsidRPr="00205E56">
        <w:rPr>
          <w:rFonts w:ascii="Times New Roman" w:hAnsi="Times New Roman" w:cs="Times New Roman"/>
          <w:sz w:val="24"/>
          <w:szCs w:val="24"/>
        </w:rPr>
        <w:t xml:space="preserve"> któr</w:t>
      </w:r>
      <w:r w:rsidR="00140779" w:rsidRPr="00205E56">
        <w:rPr>
          <w:rFonts w:ascii="Times New Roman" w:hAnsi="Times New Roman" w:cs="Times New Roman"/>
          <w:sz w:val="24"/>
          <w:szCs w:val="24"/>
        </w:rPr>
        <w:t>y</w:t>
      </w:r>
      <w:r w:rsidR="00F92A77" w:rsidRPr="00205E56">
        <w:rPr>
          <w:rFonts w:ascii="Times New Roman" w:hAnsi="Times New Roman" w:cs="Times New Roman"/>
          <w:sz w:val="24"/>
          <w:szCs w:val="24"/>
        </w:rPr>
        <w:t xml:space="preserve"> określa</w:t>
      </w:r>
      <w:r w:rsidR="00140779" w:rsidRPr="00205E56">
        <w:rPr>
          <w:rFonts w:ascii="Times New Roman" w:hAnsi="Times New Roman" w:cs="Times New Roman"/>
          <w:sz w:val="24"/>
          <w:szCs w:val="24"/>
        </w:rPr>
        <w:t>,</w:t>
      </w:r>
      <w:r w:rsidR="00F92A77" w:rsidRPr="00205E56">
        <w:rPr>
          <w:rFonts w:ascii="Times New Roman" w:hAnsi="Times New Roman" w:cs="Times New Roman"/>
          <w:sz w:val="24"/>
          <w:szCs w:val="24"/>
        </w:rPr>
        <w:t xml:space="preserve"> jakie dane powinno zawierać zawiadomienie przekazywane przez krajow</w:t>
      </w:r>
      <w:r w:rsidR="00994326">
        <w:rPr>
          <w:rFonts w:ascii="Times New Roman" w:hAnsi="Times New Roman" w:cs="Times New Roman"/>
          <w:sz w:val="24"/>
          <w:szCs w:val="24"/>
        </w:rPr>
        <w:t>ą</w:t>
      </w:r>
      <w:r w:rsidR="00F92A77" w:rsidRPr="00205E56">
        <w:rPr>
          <w:rFonts w:ascii="Times New Roman" w:hAnsi="Times New Roman" w:cs="Times New Roman"/>
          <w:sz w:val="24"/>
          <w:szCs w:val="24"/>
        </w:rPr>
        <w:t xml:space="preserve"> instytucj</w:t>
      </w:r>
      <w:r w:rsidR="00994326">
        <w:rPr>
          <w:rFonts w:ascii="Times New Roman" w:hAnsi="Times New Roman" w:cs="Times New Roman"/>
          <w:sz w:val="24"/>
          <w:szCs w:val="24"/>
        </w:rPr>
        <w:t>ę</w:t>
      </w:r>
      <w:r w:rsidR="00F92A77" w:rsidRPr="00205E56">
        <w:rPr>
          <w:rFonts w:ascii="Times New Roman" w:hAnsi="Times New Roman" w:cs="Times New Roman"/>
          <w:sz w:val="24"/>
          <w:szCs w:val="24"/>
        </w:rPr>
        <w:t xml:space="preserve"> płatniczą do KNF o zamiarze prowadzenia działalności transgranicznej</w:t>
      </w:r>
      <w:r w:rsidR="00064CB6" w:rsidRPr="00205E56">
        <w:rPr>
          <w:rFonts w:ascii="Times New Roman" w:hAnsi="Times New Roman" w:cs="Times New Roman"/>
          <w:sz w:val="24"/>
          <w:szCs w:val="24"/>
        </w:rPr>
        <w:t>.</w:t>
      </w:r>
      <w:r w:rsidR="00D07BEB" w:rsidRPr="00205E56">
        <w:rPr>
          <w:rFonts w:ascii="Times New Roman" w:hAnsi="Times New Roman" w:cs="Times New Roman"/>
          <w:sz w:val="24"/>
          <w:szCs w:val="24"/>
        </w:rPr>
        <w:t xml:space="preserve"> </w:t>
      </w:r>
      <w:r w:rsidR="00140779" w:rsidRPr="00205E56">
        <w:rPr>
          <w:rFonts w:ascii="Times New Roman" w:hAnsi="Times New Roman" w:cs="Times New Roman"/>
          <w:sz w:val="24"/>
          <w:szCs w:val="24"/>
        </w:rPr>
        <w:t xml:space="preserve">Jest to uzasadnione </w:t>
      </w:r>
      <w:r w:rsidR="00150437" w:rsidRPr="00205E56">
        <w:rPr>
          <w:rFonts w:ascii="Times New Roman" w:hAnsi="Times New Roman" w:cs="Times New Roman"/>
          <w:sz w:val="24"/>
          <w:szCs w:val="24"/>
        </w:rPr>
        <w:t>zmianami wprowadzonymi w art.</w:t>
      </w:r>
      <w:r w:rsidR="00316B25" w:rsidRPr="00205E56">
        <w:rPr>
          <w:rFonts w:ascii="Times New Roman" w:hAnsi="Times New Roman" w:cs="Times New Roman"/>
          <w:sz w:val="24"/>
          <w:szCs w:val="24"/>
        </w:rPr>
        <w:t xml:space="preserve"> </w:t>
      </w:r>
      <w:r w:rsidR="00150437" w:rsidRPr="00205E56">
        <w:rPr>
          <w:rFonts w:ascii="Times New Roman" w:hAnsi="Times New Roman" w:cs="Times New Roman"/>
          <w:sz w:val="24"/>
          <w:szCs w:val="24"/>
        </w:rPr>
        <w:t xml:space="preserve">93 ust. 4. </w:t>
      </w:r>
    </w:p>
    <w:p w14:paraId="69EE5638" w14:textId="5FA9F94A" w:rsidR="005604EF" w:rsidRPr="00205E56" w:rsidRDefault="005604EF"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657F81" w:rsidRPr="00205E56">
        <w:rPr>
          <w:rFonts w:ascii="Times New Roman" w:hAnsi="Times New Roman" w:cs="Times New Roman"/>
          <w:b/>
          <w:sz w:val="24"/>
          <w:szCs w:val="24"/>
        </w:rPr>
        <w:t>7</w:t>
      </w:r>
      <w:r w:rsidR="00BF2790">
        <w:rPr>
          <w:rFonts w:ascii="Times New Roman" w:hAnsi="Times New Roman" w:cs="Times New Roman"/>
          <w:b/>
          <w:sz w:val="24"/>
          <w:szCs w:val="24"/>
        </w:rPr>
        <w:t>4</w:t>
      </w:r>
      <w:r w:rsidR="00657F81" w:rsidRPr="00205E56">
        <w:rPr>
          <w:rFonts w:ascii="Times New Roman" w:hAnsi="Times New Roman" w:cs="Times New Roman"/>
          <w:sz w:val="24"/>
          <w:szCs w:val="24"/>
        </w:rPr>
        <w:t xml:space="preserve"> </w:t>
      </w:r>
      <w:r w:rsidRPr="00205E56">
        <w:rPr>
          <w:rFonts w:ascii="Times New Roman" w:hAnsi="Times New Roman" w:cs="Times New Roman"/>
          <w:sz w:val="24"/>
          <w:szCs w:val="24"/>
        </w:rPr>
        <w:t xml:space="preserve">wprowadza się </w:t>
      </w:r>
      <w:r w:rsidR="008823A4" w:rsidRPr="00205E56">
        <w:rPr>
          <w:rFonts w:ascii="Times New Roman" w:hAnsi="Times New Roman" w:cs="Times New Roman"/>
          <w:sz w:val="24"/>
          <w:szCs w:val="24"/>
        </w:rPr>
        <w:t>zmianę w art. 96 określającą możliwości świadczenia usług na terytorium RP przez unijnych dostawców świadczących wyłącznie usługę dostępu do informacji o rachunku.</w:t>
      </w:r>
    </w:p>
    <w:p w14:paraId="776E852C" w14:textId="6E460130" w:rsidR="00E9427D" w:rsidRPr="00205E56" w:rsidRDefault="00A7705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5604EF" w:rsidRPr="00205E56">
        <w:rPr>
          <w:rFonts w:ascii="Times New Roman" w:hAnsi="Times New Roman" w:cs="Times New Roman"/>
          <w:b/>
          <w:sz w:val="24"/>
          <w:szCs w:val="24"/>
        </w:rPr>
        <w:t>7</w:t>
      </w:r>
      <w:r w:rsidR="00BF2790">
        <w:rPr>
          <w:rFonts w:ascii="Times New Roman" w:hAnsi="Times New Roman" w:cs="Times New Roman"/>
          <w:b/>
          <w:sz w:val="24"/>
          <w:szCs w:val="24"/>
        </w:rPr>
        <w:t>5</w:t>
      </w:r>
      <w:r w:rsidR="00E9427D" w:rsidRPr="00205E56">
        <w:rPr>
          <w:rFonts w:ascii="Times New Roman" w:hAnsi="Times New Roman" w:cs="Times New Roman"/>
          <w:sz w:val="24"/>
          <w:szCs w:val="24"/>
        </w:rPr>
        <w:t xml:space="preserve"> wprowadza się zmianę w art. 97,</w:t>
      </w:r>
      <w:r w:rsidR="00C82B28" w:rsidRPr="00205E56">
        <w:rPr>
          <w:rFonts w:ascii="Times New Roman" w:hAnsi="Times New Roman" w:cs="Times New Roman"/>
          <w:sz w:val="24"/>
          <w:szCs w:val="24"/>
        </w:rPr>
        <w:t xml:space="preserve"> </w:t>
      </w:r>
      <w:r w:rsidR="002866CA" w:rsidRPr="00205E56">
        <w:rPr>
          <w:rFonts w:ascii="Times New Roman" w:hAnsi="Times New Roman" w:cs="Times New Roman"/>
          <w:sz w:val="24"/>
          <w:szCs w:val="24"/>
        </w:rPr>
        <w:t>na mocy które</w:t>
      </w:r>
      <w:r w:rsidR="00140779" w:rsidRPr="00205E56">
        <w:rPr>
          <w:rFonts w:ascii="Times New Roman" w:hAnsi="Times New Roman" w:cs="Times New Roman"/>
          <w:sz w:val="24"/>
          <w:szCs w:val="24"/>
        </w:rPr>
        <w:t>j</w:t>
      </w:r>
      <w:r w:rsidR="002866CA" w:rsidRPr="00205E56">
        <w:rPr>
          <w:rFonts w:ascii="Times New Roman" w:hAnsi="Times New Roman" w:cs="Times New Roman"/>
          <w:sz w:val="24"/>
          <w:szCs w:val="24"/>
        </w:rPr>
        <w:t xml:space="preserve"> </w:t>
      </w:r>
      <w:r w:rsidR="00C82B28" w:rsidRPr="00205E56">
        <w:rPr>
          <w:rFonts w:ascii="Times New Roman" w:hAnsi="Times New Roman" w:cs="Times New Roman"/>
          <w:sz w:val="24"/>
          <w:szCs w:val="24"/>
        </w:rPr>
        <w:t xml:space="preserve">unijna instytucja płatnicza może rozpocząć wykonywanie na terytorium Rzeczypospolitej Polskiej usług płatniczych przez oddział lub za pośrednictwem agenta po wpisaniu tego oddziału lub agenta do odpowiedniego rejestru w państwie macierzystym. </w:t>
      </w:r>
      <w:r w:rsidR="00140779" w:rsidRPr="00205E56">
        <w:rPr>
          <w:rFonts w:ascii="Times New Roman" w:hAnsi="Times New Roman" w:cs="Times New Roman"/>
          <w:sz w:val="24"/>
          <w:szCs w:val="24"/>
        </w:rPr>
        <w:t xml:space="preserve">Zgodnie z </w:t>
      </w:r>
      <w:r w:rsidR="008E3BB9" w:rsidRPr="00205E56">
        <w:rPr>
          <w:rFonts w:ascii="Times New Roman" w:hAnsi="Times New Roman" w:cs="Times New Roman"/>
          <w:sz w:val="24"/>
          <w:szCs w:val="24"/>
        </w:rPr>
        <w:t>ust. 1</w:t>
      </w:r>
      <w:r w:rsidR="00140779" w:rsidRPr="00205E56">
        <w:rPr>
          <w:rFonts w:ascii="Times New Roman" w:hAnsi="Times New Roman" w:cs="Times New Roman"/>
          <w:sz w:val="24"/>
          <w:szCs w:val="24"/>
        </w:rPr>
        <w:t>,</w:t>
      </w:r>
      <w:r w:rsidR="008E3BB9" w:rsidRPr="00205E56">
        <w:rPr>
          <w:rFonts w:ascii="Times New Roman" w:hAnsi="Times New Roman" w:cs="Times New Roman"/>
          <w:sz w:val="24"/>
          <w:szCs w:val="24"/>
        </w:rPr>
        <w:t xml:space="preserve"> KNF</w:t>
      </w:r>
      <w:r w:rsidR="00140779" w:rsidRPr="00205E56">
        <w:rPr>
          <w:rFonts w:ascii="Times New Roman" w:hAnsi="Times New Roman" w:cs="Times New Roman"/>
          <w:sz w:val="24"/>
          <w:szCs w:val="24"/>
        </w:rPr>
        <w:t>,</w:t>
      </w:r>
      <w:r w:rsidR="008E3BB9" w:rsidRPr="00205E56">
        <w:rPr>
          <w:rFonts w:ascii="Times New Roman" w:hAnsi="Times New Roman" w:cs="Times New Roman"/>
          <w:sz w:val="24"/>
          <w:szCs w:val="24"/>
        </w:rPr>
        <w:t xml:space="preserve"> po upływie miesiąca od dnia otrzymania od właściwych organów nadzorczych macierzystego państwa </w:t>
      </w:r>
      <w:r w:rsidR="00E046F9" w:rsidRPr="00205E56">
        <w:rPr>
          <w:rFonts w:ascii="Times New Roman" w:hAnsi="Times New Roman" w:cs="Times New Roman"/>
          <w:sz w:val="24"/>
          <w:szCs w:val="24"/>
        </w:rPr>
        <w:t>członkowskiego informacji wskazanych w zawiadomieniu</w:t>
      </w:r>
      <w:r w:rsidR="00B72289" w:rsidRPr="00205E56">
        <w:rPr>
          <w:rFonts w:ascii="Times New Roman" w:hAnsi="Times New Roman" w:cs="Times New Roman"/>
          <w:sz w:val="24"/>
          <w:szCs w:val="24"/>
        </w:rPr>
        <w:t>, odnoszących się do agenta lub oddziału unijnej instytucji płatniczej, przekazuje tym organom stosowne informacje w związku z zamiarem świadczenia usług płatniczych przez daną instytucję, w szczególności, jeżeli KNF ma uzasadnione podstawy do podejrzeń, że w związku z zamierzonym świadczeniem usług przez unijną instytucję płatniczą przez oddział lub za pośrednictwem agenta jest popełniane lub zostało popełnione przestępstwo</w:t>
      </w:r>
      <w:r w:rsidR="00B958A8" w:rsidRPr="00205E56">
        <w:rPr>
          <w:rFonts w:ascii="Times New Roman" w:hAnsi="Times New Roman" w:cs="Times New Roman"/>
          <w:sz w:val="24"/>
          <w:szCs w:val="24"/>
        </w:rPr>
        <w:t xml:space="preserve"> prania pieniędzy lub finansowania terroryzmu. </w:t>
      </w:r>
    </w:p>
    <w:p w14:paraId="65F7D93A" w14:textId="14D73D30" w:rsidR="008823A4" w:rsidRPr="00205E56" w:rsidRDefault="008823A4"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lastRenderedPageBreak/>
        <w:t xml:space="preserve">W </w:t>
      </w:r>
      <w:r w:rsidRPr="00205E56">
        <w:rPr>
          <w:rFonts w:ascii="Times New Roman" w:hAnsi="Times New Roman" w:cs="Times New Roman"/>
          <w:b/>
          <w:sz w:val="24"/>
          <w:szCs w:val="24"/>
        </w:rPr>
        <w:t>pkt 7</w:t>
      </w:r>
      <w:r w:rsidR="00BF2790">
        <w:rPr>
          <w:rFonts w:ascii="Times New Roman" w:hAnsi="Times New Roman" w:cs="Times New Roman"/>
          <w:b/>
          <w:sz w:val="24"/>
          <w:szCs w:val="24"/>
        </w:rPr>
        <w:t>6</w:t>
      </w:r>
      <w:r w:rsidRPr="00205E56">
        <w:rPr>
          <w:rFonts w:ascii="Times New Roman" w:hAnsi="Times New Roman" w:cs="Times New Roman"/>
          <w:sz w:val="24"/>
          <w:szCs w:val="24"/>
        </w:rPr>
        <w:t xml:space="preserve"> uchyla się art. 98</w:t>
      </w:r>
      <w:r w:rsidR="00140779" w:rsidRPr="00205E56">
        <w:rPr>
          <w:rFonts w:ascii="Times New Roman" w:hAnsi="Times New Roman" w:cs="Times New Roman"/>
          <w:sz w:val="24"/>
          <w:szCs w:val="24"/>
        </w:rPr>
        <w:t xml:space="preserve">, co jest uzasadnione </w:t>
      </w:r>
      <w:r w:rsidR="00230489" w:rsidRPr="00205E56">
        <w:rPr>
          <w:rFonts w:ascii="Times New Roman" w:hAnsi="Times New Roman" w:cs="Times New Roman"/>
          <w:sz w:val="24"/>
          <w:szCs w:val="24"/>
        </w:rPr>
        <w:t xml:space="preserve">dodaniem art. 97 ust. </w:t>
      </w:r>
      <w:r w:rsidR="00BF2790">
        <w:rPr>
          <w:rFonts w:ascii="Times New Roman" w:hAnsi="Times New Roman" w:cs="Times New Roman"/>
          <w:sz w:val="24"/>
          <w:szCs w:val="24"/>
        </w:rPr>
        <w:t>2</w:t>
      </w:r>
      <w:r w:rsidR="00230489" w:rsidRPr="00205E56">
        <w:rPr>
          <w:rFonts w:ascii="Times New Roman" w:hAnsi="Times New Roman" w:cs="Times New Roman"/>
          <w:sz w:val="24"/>
          <w:szCs w:val="24"/>
        </w:rPr>
        <w:t>.</w:t>
      </w:r>
    </w:p>
    <w:p w14:paraId="705563CE" w14:textId="205326B7" w:rsidR="008823A4" w:rsidRPr="00205E56" w:rsidRDefault="00A7705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87543B" w:rsidRPr="00205E56">
        <w:rPr>
          <w:rFonts w:ascii="Times New Roman" w:hAnsi="Times New Roman" w:cs="Times New Roman"/>
          <w:b/>
          <w:sz w:val="24"/>
          <w:szCs w:val="24"/>
        </w:rPr>
        <w:t>7</w:t>
      </w:r>
      <w:r w:rsidR="00BF2790">
        <w:rPr>
          <w:rFonts w:ascii="Times New Roman" w:hAnsi="Times New Roman" w:cs="Times New Roman"/>
          <w:b/>
          <w:sz w:val="24"/>
          <w:szCs w:val="24"/>
        </w:rPr>
        <w:t>7</w:t>
      </w:r>
      <w:r w:rsidR="00316B25" w:rsidRPr="00205E56">
        <w:rPr>
          <w:rFonts w:ascii="Times New Roman" w:hAnsi="Times New Roman" w:cs="Times New Roman"/>
          <w:sz w:val="24"/>
          <w:szCs w:val="24"/>
        </w:rPr>
        <w:t xml:space="preserve"> </w:t>
      </w:r>
      <w:r w:rsidR="008823A4" w:rsidRPr="00205E56">
        <w:rPr>
          <w:rFonts w:ascii="Times New Roman" w:hAnsi="Times New Roman" w:cs="Times New Roman"/>
          <w:sz w:val="24"/>
          <w:szCs w:val="24"/>
        </w:rPr>
        <w:t xml:space="preserve">dodaje się art. 98b </w:t>
      </w:r>
      <w:r w:rsidR="007853C5" w:rsidRPr="00205E56">
        <w:rPr>
          <w:rFonts w:ascii="Times New Roman" w:hAnsi="Times New Roman" w:cs="Times New Roman"/>
          <w:sz w:val="24"/>
          <w:szCs w:val="24"/>
        </w:rPr>
        <w:t xml:space="preserve">dotyczący </w:t>
      </w:r>
      <w:r w:rsidR="008823A4" w:rsidRPr="00205E56">
        <w:rPr>
          <w:rFonts w:ascii="Times New Roman" w:hAnsi="Times New Roman" w:cs="Times New Roman"/>
          <w:sz w:val="24"/>
          <w:szCs w:val="24"/>
        </w:rPr>
        <w:t xml:space="preserve">sprawozdawczości </w:t>
      </w:r>
      <w:r w:rsidR="0084405D" w:rsidRPr="00205E56">
        <w:rPr>
          <w:rFonts w:ascii="Times New Roman" w:hAnsi="Times New Roman" w:cs="Times New Roman"/>
          <w:sz w:val="24"/>
          <w:szCs w:val="24"/>
        </w:rPr>
        <w:t>unijnej instytucji płatniczej bądź unijnego dostawcy świadczącego wyłącznie</w:t>
      </w:r>
      <w:r w:rsidR="001525DC">
        <w:rPr>
          <w:rFonts w:ascii="Times New Roman" w:hAnsi="Times New Roman" w:cs="Times New Roman"/>
          <w:sz w:val="24"/>
          <w:szCs w:val="24"/>
        </w:rPr>
        <w:t xml:space="preserve"> usługę dostępu do informacji o </w:t>
      </w:r>
      <w:r w:rsidR="0084405D" w:rsidRPr="00205E56">
        <w:rPr>
          <w:rFonts w:ascii="Times New Roman" w:hAnsi="Times New Roman" w:cs="Times New Roman"/>
          <w:sz w:val="24"/>
          <w:szCs w:val="24"/>
        </w:rPr>
        <w:t>rachunku wykonujących na terytorium Rzeczypospolitej Polskiej usługi płatnicze.</w:t>
      </w:r>
    </w:p>
    <w:p w14:paraId="16E2B898" w14:textId="310110E0" w:rsidR="00591CB8" w:rsidRPr="00205E56" w:rsidRDefault="00A7705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87543B" w:rsidRPr="00205E56">
        <w:rPr>
          <w:rFonts w:ascii="Times New Roman" w:hAnsi="Times New Roman" w:cs="Times New Roman"/>
          <w:b/>
          <w:sz w:val="24"/>
          <w:szCs w:val="24"/>
        </w:rPr>
        <w:t>7</w:t>
      </w:r>
      <w:r w:rsidR="00BF2790">
        <w:rPr>
          <w:rFonts w:ascii="Times New Roman" w:hAnsi="Times New Roman" w:cs="Times New Roman"/>
          <w:b/>
          <w:sz w:val="24"/>
          <w:szCs w:val="24"/>
        </w:rPr>
        <w:t>8</w:t>
      </w:r>
      <w:r w:rsidR="00591CB8" w:rsidRPr="00205E56">
        <w:rPr>
          <w:rFonts w:ascii="Times New Roman" w:hAnsi="Times New Roman" w:cs="Times New Roman"/>
          <w:sz w:val="24"/>
          <w:szCs w:val="24"/>
        </w:rPr>
        <w:t xml:space="preserve"> zmienia się tytuł działu VI</w:t>
      </w:r>
      <w:r w:rsidR="007853C5" w:rsidRPr="00205E56">
        <w:rPr>
          <w:rFonts w:ascii="Times New Roman" w:hAnsi="Times New Roman" w:cs="Times New Roman"/>
          <w:sz w:val="24"/>
          <w:szCs w:val="24"/>
        </w:rPr>
        <w:t xml:space="preserve">, który </w:t>
      </w:r>
      <w:r w:rsidR="002866CA" w:rsidRPr="00205E56">
        <w:rPr>
          <w:rFonts w:ascii="Times New Roman" w:hAnsi="Times New Roman" w:cs="Times New Roman"/>
          <w:sz w:val="24"/>
          <w:szCs w:val="24"/>
        </w:rPr>
        <w:t>otrzymuje brzmienie</w:t>
      </w:r>
      <w:r w:rsidR="007853C5" w:rsidRPr="00205E56">
        <w:rPr>
          <w:rFonts w:ascii="Times New Roman" w:hAnsi="Times New Roman" w:cs="Times New Roman"/>
          <w:sz w:val="24"/>
          <w:szCs w:val="24"/>
        </w:rPr>
        <w:t>:</w:t>
      </w:r>
      <w:r w:rsidR="002866CA" w:rsidRPr="00205E56">
        <w:rPr>
          <w:rFonts w:ascii="Times New Roman" w:hAnsi="Times New Roman" w:cs="Times New Roman"/>
          <w:sz w:val="24"/>
          <w:szCs w:val="24"/>
        </w:rPr>
        <w:t xml:space="preserve"> „Nadzór nad krajowymi instytucjami płatniczymi oraz działalnością unijnych instytucji płatniczych na terenie Rzecz</w:t>
      </w:r>
      <w:r w:rsidR="00230489" w:rsidRPr="00205E56">
        <w:rPr>
          <w:rFonts w:ascii="Times New Roman" w:hAnsi="Times New Roman" w:cs="Times New Roman"/>
          <w:sz w:val="24"/>
          <w:szCs w:val="24"/>
        </w:rPr>
        <w:t>y</w:t>
      </w:r>
      <w:r w:rsidR="002866CA" w:rsidRPr="00205E56">
        <w:rPr>
          <w:rFonts w:ascii="Times New Roman" w:hAnsi="Times New Roman" w:cs="Times New Roman"/>
          <w:sz w:val="24"/>
          <w:szCs w:val="24"/>
        </w:rPr>
        <w:t>pospolitej Polskiej”.</w:t>
      </w:r>
      <w:r w:rsidR="007853C5" w:rsidRPr="00205E56">
        <w:rPr>
          <w:rFonts w:ascii="Times New Roman" w:hAnsi="Times New Roman" w:cs="Times New Roman"/>
          <w:sz w:val="24"/>
          <w:szCs w:val="24"/>
        </w:rPr>
        <w:t xml:space="preserve"> Zmiana </w:t>
      </w:r>
      <w:r w:rsidR="00C80D89" w:rsidRPr="00205E56">
        <w:rPr>
          <w:rFonts w:ascii="Times New Roman" w:hAnsi="Times New Roman" w:cs="Times New Roman"/>
          <w:sz w:val="24"/>
          <w:szCs w:val="24"/>
        </w:rPr>
        <w:t>ma na celu doprecyzowanie tytułu.</w:t>
      </w:r>
      <w:r w:rsidR="00230489" w:rsidRPr="00205E56">
        <w:rPr>
          <w:rFonts w:ascii="Times New Roman" w:hAnsi="Times New Roman" w:cs="Times New Roman"/>
          <w:sz w:val="24"/>
          <w:szCs w:val="24"/>
        </w:rPr>
        <w:t xml:space="preserve"> </w:t>
      </w:r>
    </w:p>
    <w:p w14:paraId="12D06248" w14:textId="10F1256A" w:rsidR="00591CB8" w:rsidRPr="00205E56" w:rsidRDefault="00A7705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BF2790">
        <w:rPr>
          <w:rFonts w:ascii="Times New Roman" w:hAnsi="Times New Roman" w:cs="Times New Roman"/>
          <w:b/>
          <w:sz w:val="24"/>
          <w:szCs w:val="24"/>
        </w:rPr>
        <w:t>79</w:t>
      </w:r>
      <w:r w:rsidR="00591CB8" w:rsidRPr="00205E56">
        <w:rPr>
          <w:rFonts w:ascii="Times New Roman" w:hAnsi="Times New Roman" w:cs="Times New Roman"/>
          <w:sz w:val="24"/>
          <w:szCs w:val="24"/>
        </w:rPr>
        <w:t xml:space="preserve"> wprowadza się zmianę w art. 102</w:t>
      </w:r>
      <w:r w:rsidR="00B438C5" w:rsidRPr="00205E56">
        <w:rPr>
          <w:rFonts w:ascii="Times New Roman" w:hAnsi="Times New Roman" w:cs="Times New Roman"/>
          <w:sz w:val="24"/>
          <w:szCs w:val="24"/>
        </w:rPr>
        <w:t xml:space="preserve"> w ust. 1 pkt 1, zgodnie z którym KN</w:t>
      </w:r>
      <w:r w:rsidR="001525DC">
        <w:rPr>
          <w:rFonts w:ascii="Times New Roman" w:hAnsi="Times New Roman" w:cs="Times New Roman"/>
          <w:sz w:val="24"/>
          <w:szCs w:val="24"/>
        </w:rPr>
        <w:t>F w </w:t>
      </w:r>
      <w:r w:rsidR="00B438C5" w:rsidRPr="00205E56">
        <w:rPr>
          <w:rFonts w:ascii="Times New Roman" w:hAnsi="Times New Roman" w:cs="Times New Roman"/>
          <w:sz w:val="24"/>
          <w:szCs w:val="24"/>
        </w:rPr>
        <w:t>ramach sprawowanego nadzoru może wezwać krajową instytucję płatniczą do przekazania w wyznaczonym terminie wszelkich informacji niezbędnych dla realizacji celów nadzoru wraz z określeniem celu takiego wezwania.</w:t>
      </w:r>
      <w:r w:rsidR="0087543B" w:rsidRPr="00205E56">
        <w:rPr>
          <w:rFonts w:ascii="Times New Roman" w:hAnsi="Times New Roman" w:cs="Times New Roman"/>
          <w:sz w:val="24"/>
          <w:szCs w:val="24"/>
        </w:rPr>
        <w:t xml:space="preserve"> Art. 102 ust. 2 stanowi wdrożenie opcji narodowej i daje KNF możliwość nakazania unijnej instytucji płatniczej albo</w:t>
      </w:r>
      <w:r w:rsidR="00205E56" w:rsidRPr="00205E56">
        <w:rPr>
          <w:rFonts w:ascii="Times New Roman" w:hAnsi="Times New Roman" w:cs="Times New Roman"/>
          <w:sz w:val="24"/>
          <w:szCs w:val="24"/>
        </w:rPr>
        <w:t xml:space="preserve"> </w:t>
      </w:r>
      <w:r w:rsidR="0087543B" w:rsidRPr="00205E56">
        <w:rPr>
          <w:rFonts w:ascii="Times New Roman" w:hAnsi="Times New Roman" w:cs="Times New Roman"/>
          <w:sz w:val="24"/>
          <w:szCs w:val="24"/>
        </w:rPr>
        <w:t>dostawcy, o którym mowa w art. 96 ust. 2, wykonującemu na terytorium Rzeczypospolitej Polskiej usługi płatnicze za pośrednictwem agenta, wyznaczenie centralnego punktu kontaktowego na terytorium Rzeczypospolitej Polskiej.</w:t>
      </w:r>
    </w:p>
    <w:p w14:paraId="5F572D6F" w14:textId="0ADCD469" w:rsidR="0084405D" w:rsidRPr="00205E56" w:rsidRDefault="0084405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252D8B" w:rsidRPr="00205E56">
        <w:rPr>
          <w:rFonts w:ascii="Times New Roman" w:hAnsi="Times New Roman" w:cs="Times New Roman"/>
          <w:b/>
          <w:sz w:val="24"/>
          <w:szCs w:val="24"/>
        </w:rPr>
        <w:t>8</w:t>
      </w:r>
      <w:r w:rsidR="00BF2790">
        <w:rPr>
          <w:rFonts w:ascii="Times New Roman" w:hAnsi="Times New Roman" w:cs="Times New Roman"/>
          <w:b/>
          <w:sz w:val="24"/>
          <w:szCs w:val="24"/>
        </w:rPr>
        <w:t>0</w:t>
      </w:r>
      <w:r w:rsidRPr="00205E56">
        <w:rPr>
          <w:rFonts w:ascii="Times New Roman" w:hAnsi="Times New Roman" w:cs="Times New Roman"/>
          <w:sz w:val="24"/>
          <w:szCs w:val="24"/>
        </w:rPr>
        <w:t xml:space="preserve"> dodaje się w art. 103 delegację do wydania rozporządzenia w sprawie szczegółowego </w:t>
      </w:r>
      <w:r w:rsidR="00BF2790">
        <w:rPr>
          <w:rFonts w:ascii="Times New Roman" w:hAnsi="Times New Roman" w:cs="Times New Roman"/>
          <w:sz w:val="24"/>
          <w:szCs w:val="24"/>
        </w:rPr>
        <w:t xml:space="preserve">sposobu i </w:t>
      </w:r>
      <w:r w:rsidRPr="00205E56">
        <w:rPr>
          <w:rFonts w:ascii="Times New Roman" w:hAnsi="Times New Roman" w:cs="Times New Roman"/>
          <w:sz w:val="24"/>
          <w:szCs w:val="24"/>
        </w:rPr>
        <w:t>trybu wykonywania kontroli w krajowych instytucjach płatniczych.</w:t>
      </w:r>
      <w:r w:rsidR="00F23395" w:rsidRPr="00205E56">
        <w:rPr>
          <w:rFonts w:ascii="Times New Roman" w:hAnsi="Times New Roman" w:cs="Times New Roman"/>
          <w:sz w:val="24"/>
          <w:szCs w:val="24"/>
        </w:rPr>
        <w:t xml:space="preserve"> Ustawa nie określa w sposób wystarczający t</w:t>
      </w:r>
      <w:r w:rsidR="001525DC">
        <w:rPr>
          <w:rFonts w:ascii="Times New Roman" w:hAnsi="Times New Roman" w:cs="Times New Roman"/>
          <w:sz w:val="24"/>
          <w:szCs w:val="24"/>
        </w:rPr>
        <w:t>rybu przeprowadzania kontroli w </w:t>
      </w:r>
      <w:r w:rsidR="00F23395" w:rsidRPr="00205E56">
        <w:rPr>
          <w:rFonts w:ascii="Times New Roman" w:hAnsi="Times New Roman" w:cs="Times New Roman"/>
          <w:sz w:val="24"/>
          <w:szCs w:val="24"/>
        </w:rPr>
        <w:t xml:space="preserve">krajowych instytucjach płatniczych. Zgodnie z ust. 5 </w:t>
      </w:r>
      <w:r w:rsidR="00665CEA" w:rsidRPr="00205E56">
        <w:rPr>
          <w:rFonts w:ascii="Times New Roman" w:hAnsi="Times New Roman" w:cs="Times New Roman"/>
          <w:sz w:val="24"/>
          <w:szCs w:val="24"/>
        </w:rPr>
        <w:t xml:space="preserve">tego artykułu, </w:t>
      </w:r>
      <w:r w:rsidR="00F23395" w:rsidRPr="00205E56">
        <w:rPr>
          <w:rFonts w:ascii="Times New Roman" w:hAnsi="Times New Roman" w:cs="Times New Roman"/>
          <w:sz w:val="24"/>
          <w:szCs w:val="24"/>
        </w:rPr>
        <w:t>w</w:t>
      </w:r>
      <w:r w:rsidR="00BF2790">
        <w:rPr>
          <w:rFonts w:ascii="Times New Roman" w:hAnsi="Times New Roman" w:cs="Times New Roman"/>
          <w:sz w:val="24"/>
          <w:szCs w:val="24"/>
        </w:rPr>
        <w:t> </w:t>
      </w:r>
      <w:r w:rsidR="00F23395" w:rsidRPr="00205E56">
        <w:rPr>
          <w:rFonts w:ascii="Times New Roman" w:hAnsi="Times New Roman" w:cs="Times New Roman"/>
          <w:sz w:val="24"/>
          <w:szCs w:val="24"/>
        </w:rPr>
        <w:t>zakresie kontroli działalności gospodarczej przedsiębiorcy stosuje się przepisy rozdziału 5 ustawy o swobodzie działalności gospodarczej, który jednak nie zawiera precyzyjnych przepisów w tym względzie</w:t>
      </w:r>
      <w:r w:rsidR="00665CEA" w:rsidRPr="00205E56">
        <w:rPr>
          <w:rFonts w:ascii="Times New Roman" w:hAnsi="Times New Roman" w:cs="Times New Roman"/>
          <w:sz w:val="24"/>
          <w:szCs w:val="24"/>
        </w:rPr>
        <w:t xml:space="preserve"> </w:t>
      </w:r>
      <w:r w:rsidR="00F23395" w:rsidRPr="00205E56">
        <w:rPr>
          <w:rFonts w:ascii="Times New Roman" w:hAnsi="Times New Roman" w:cs="Times New Roman"/>
          <w:sz w:val="24"/>
          <w:szCs w:val="24"/>
        </w:rPr>
        <w:t>(</w:t>
      </w:r>
      <w:r w:rsidR="00665CEA" w:rsidRPr="00205E56">
        <w:rPr>
          <w:rFonts w:ascii="Times New Roman" w:hAnsi="Times New Roman" w:cs="Times New Roman"/>
          <w:sz w:val="24"/>
          <w:szCs w:val="24"/>
        </w:rPr>
        <w:t>z</w:t>
      </w:r>
      <w:r w:rsidR="00F23395" w:rsidRPr="00205E56">
        <w:rPr>
          <w:rFonts w:ascii="Times New Roman" w:hAnsi="Times New Roman" w:cs="Times New Roman"/>
          <w:sz w:val="24"/>
          <w:szCs w:val="24"/>
        </w:rPr>
        <w:t>miana poza PSD</w:t>
      </w:r>
      <w:r w:rsidR="00665CEA" w:rsidRPr="00205E56">
        <w:rPr>
          <w:rFonts w:ascii="Times New Roman" w:hAnsi="Times New Roman" w:cs="Times New Roman"/>
          <w:sz w:val="24"/>
          <w:szCs w:val="24"/>
        </w:rPr>
        <w:t xml:space="preserve"> </w:t>
      </w:r>
      <w:r w:rsidR="00F23395" w:rsidRPr="00205E56">
        <w:rPr>
          <w:rFonts w:ascii="Times New Roman" w:hAnsi="Times New Roman" w:cs="Times New Roman"/>
          <w:sz w:val="24"/>
          <w:szCs w:val="24"/>
        </w:rPr>
        <w:t>2).</w:t>
      </w:r>
    </w:p>
    <w:p w14:paraId="62F3457D" w14:textId="54CD8899" w:rsidR="0087543B" w:rsidRPr="00205E56" w:rsidRDefault="00A7705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252D8B" w:rsidRPr="00205E56">
        <w:rPr>
          <w:rFonts w:ascii="Times New Roman" w:hAnsi="Times New Roman" w:cs="Times New Roman"/>
          <w:b/>
          <w:sz w:val="24"/>
          <w:szCs w:val="24"/>
        </w:rPr>
        <w:t>8</w:t>
      </w:r>
      <w:r w:rsidR="00BF2790">
        <w:rPr>
          <w:rFonts w:ascii="Times New Roman" w:hAnsi="Times New Roman" w:cs="Times New Roman"/>
          <w:b/>
          <w:sz w:val="24"/>
          <w:szCs w:val="24"/>
        </w:rPr>
        <w:t>1</w:t>
      </w:r>
      <w:r w:rsidR="00591CB8" w:rsidRPr="00205E56">
        <w:rPr>
          <w:rFonts w:ascii="Times New Roman" w:hAnsi="Times New Roman" w:cs="Times New Roman"/>
          <w:sz w:val="24"/>
          <w:szCs w:val="24"/>
        </w:rPr>
        <w:t xml:space="preserve"> </w:t>
      </w:r>
      <w:r w:rsidR="0087543B" w:rsidRPr="00205E56">
        <w:rPr>
          <w:rFonts w:ascii="Times New Roman" w:hAnsi="Times New Roman" w:cs="Times New Roman"/>
          <w:sz w:val="24"/>
          <w:szCs w:val="24"/>
        </w:rPr>
        <w:t xml:space="preserve">skreśla się wyraz szczególności w związku </w:t>
      </w:r>
      <w:r w:rsidR="00D41241" w:rsidRPr="00205E56">
        <w:rPr>
          <w:rFonts w:ascii="Times New Roman" w:hAnsi="Times New Roman" w:cs="Times New Roman"/>
          <w:sz w:val="24"/>
          <w:szCs w:val="24"/>
        </w:rPr>
        <w:t>z koniecznością zapewnienia pewności prawnej dla przedsiębiorców w zakresie przepisów karnych.</w:t>
      </w:r>
    </w:p>
    <w:p w14:paraId="2E76EDE4" w14:textId="6BFE4838" w:rsidR="00591CB8" w:rsidRPr="00205E56" w:rsidRDefault="0087543B"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8</w:t>
      </w:r>
      <w:r w:rsidR="00BF2790">
        <w:rPr>
          <w:rFonts w:ascii="Times New Roman" w:hAnsi="Times New Roman" w:cs="Times New Roman"/>
          <w:b/>
          <w:sz w:val="24"/>
          <w:szCs w:val="24"/>
        </w:rPr>
        <w:t>2</w:t>
      </w:r>
      <w:r w:rsidRPr="00205E56">
        <w:rPr>
          <w:rFonts w:ascii="Times New Roman" w:hAnsi="Times New Roman" w:cs="Times New Roman"/>
          <w:sz w:val="24"/>
          <w:szCs w:val="24"/>
        </w:rPr>
        <w:t xml:space="preserve"> dodaje się</w:t>
      </w:r>
      <w:r w:rsidR="00591CB8" w:rsidRPr="00205E56">
        <w:rPr>
          <w:rFonts w:ascii="Times New Roman" w:hAnsi="Times New Roman" w:cs="Times New Roman"/>
          <w:sz w:val="24"/>
          <w:szCs w:val="24"/>
        </w:rPr>
        <w:t xml:space="preserve"> art. 105a,</w:t>
      </w:r>
      <w:r w:rsidR="00F6331B" w:rsidRPr="00205E56">
        <w:rPr>
          <w:rFonts w:ascii="Times New Roman" w:hAnsi="Times New Roman" w:cs="Times New Roman"/>
          <w:sz w:val="24"/>
          <w:szCs w:val="24"/>
        </w:rPr>
        <w:t xml:space="preserve"> który nakłada na KNF nowe obowiązki nadzorcze względem krajowych instytucji płatniczych. KNF, po przeprowadzeniu oceny otrzymanych od właściwego organu nadzorczego goszczącego państwa członkowskiego informacji o nieprzestrzeganiu przez krajową instytucję płatniczą posiadającą agentów lub oddziały na terytorium goszczącego państwa członkowskiego obowiązujących ją przepisów prawa państwa goszczącego odpowiadającym przepisom niniejszej ustawy, niezwłocznie podejmie wszystkie stosowne środki w celu zapewnienia, </w:t>
      </w:r>
      <w:r w:rsidR="003454B3">
        <w:rPr>
          <w:rFonts w:ascii="Times New Roman" w:hAnsi="Times New Roman" w:cs="Times New Roman"/>
          <w:sz w:val="24"/>
          <w:szCs w:val="24"/>
        </w:rPr>
        <w:t>a</w:t>
      </w:r>
      <w:r w:rsidR="00F6331B" w:rsidRPr="00205E56">
        <w:rPr>
          <w:rFonts w:ascii="Times New Roman" w:hAnsi="Times New Roman" w:cs="Times New Roman"/>
          <w:sz w:val="24"/>
          <w:szCs w:val="24"/>
        </w:rPr>
        <w:t xml:space="preserve">by dana instytucja zaprzestała takiego działania. KNF niezwłocznie powiadomi o podjętych </w:t>
      </w:r>
      <w:r w:rsidR="00F6331B" w:rsidRPr="00205E56">
        <w:rPr>
          <w:rFonts w:ascii="Times New Roman" w:hAnsi="Times New Roman" w:cs="Times New Roman"/>
          <w:sz w:val="24"/>
          <w:szCs w:val="24"/>
        </w:rPr>
        <w:lastRenderedPageBreak/>
        <w:t>środkach właściwe organy nadzorcze goszczącego państwa członkowskiego oraz właściwe organy każdego innego zainteresowanego państwa członkowskiego.</w:t>
      </w:r>
    </w:p>
    <w:p w14:paraId="23911341" w14:textId="5C096E8E" w:rsidR="00591CB8" w:rsidRPr="00205E56" w:rsidRDefault="00A7705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252D8B" w:rsidRPr="00205E56">
        <w:rPr>
          <w:rFonts w:ascii="Times New Roman" w:hAnsi="Times New Roman" w:cs="Times New Roman"/>
          <w:b/>
          <w:sz w:val="24"/>
          <w:szCs w:val="24"/>
        </w:rPr>
        <w:t>8</w:t>
      </w:r>
      <w:r w:rsidR="00BF2790">
        <w:rPr>
          <w:rFonts w:ascii="Times New Roman" w:hAnsi="Times New Roman" w:cs="Times New Roman"/>
          <w:b/>
          <w:sz w:val="24"/>
          <w:szCs w:val="24"/>
        </w:rPr>
        <w:t>3</w:t>
      </w:r>
      <w:r w:rsidR="00591CB8" w:rsidRPr="00205E56">
        <w:rPr>
          <w:rFonts w:ascii="Times New Roman" w:hAnsi="Times New Roman" w:cs="Times New Roman"/>
          <w:sz w:val="24"/>
          <w:szCs w:val="24"/>
        </w:rPr>
        <w:t xml:space="preserve"> wprowadza się zmiany w art. 107,</w:t>
      </w:r>
      <w:r w:rsidR="00F6331B" w:rsidRPr="00205E56">
        <w:rPr>
          <w:rFonts w:ascii="Times New Roman" w:hAnsi="Times New Roman" w:cs="Times New Roman"/>
          <w:sz w:val="24"/>
          <w:szCs w:val="24"/>
        </w:rPr>
        <w:t xml:space="preserve"> </w:t>
      </w:r>
      <w:r w:rsidR="000D782E" w:rsidRPr="00205E56">
        <w:rPr>
          <w:rFonts w:ascii="Times New Roman" w:hAnsi="Times New Roman" w:cs="Times New Roman"/>
          <w:sz w:val="24"/>
          <w:szCs w:val="24"/>
        </w:rPr>
        <w:t xml:space="preserve">zgodnie z którym </w:t>
      </w:r>
      <w:r w:rsidR="004A5144" w:rsidRPr="00205E56">
        <w:rPr>
          <w:rFonts w:ascii="Times New Roman" w:hAnsi="Times New Roman" w:cs="Times New Roman"/>
          <w:sz w:val="24"/>
          <w:szCs w:val="24"/>
        </w:rPr>
        <w:t>KNF</w:t>
      </w:r>
      <w:r w:rsidR="00665CEA" w:rsidRPr="00205E56">
        <w:rPr>
          <w:rFonts w:ascii="Times New Roman" w:hAnsi="Times New Roman" w:cs="Times New Roman"/>
          <w:sz w:val="24"/>
          <w:szCs w:val="24"/>
        </w:rPr>
        <w:t>,</w:t>
      </w:r>
      <w:r w:rsidR="004A5144" w:rsidRPr="00205E56">
        <w:rPr>
          <w:rFonts w:ascii="Times New Roman" w:hAnsi="Times New Roman" w:cs="Times New Roman"/>
          <w:sz w:val="24"/>
          <w:szCs w:val="24"/>
        </w:rPr>
        <w:t xml:space="preserve"> bez zbędnej zwłoki lub </w:t>
      </w:r>
      <w:r w:rsidR="0083068C" w:rsidRPr="00205E56">
        <w:rPr>
          <w:rFonts w:ascii="Times New Roman" w:hAnsi="Times New Roman" w:cs="Times New Roman"/>
          <w:sz w:val="24"/>
          <w:szCs w:val="24"/>
        </w:rPr>
        <w:t xml:space="preserve">z </w:t>
      </w:r>
      <w:r w:rsidR="004A5144" w:rsidRPr="00205E56">
        <w:rPr>
          <w:rFonts w:ascii="Times New Roman" w:hAnsi="Times New Roman" w:cs="Times New Roman"/>
          <w:sz w:val="24"/>
          <w:szCs w:val="24"/>
        </w:rPr>
        <w:t>wyprzedzeniem, powiadamia właściwe organy nadzorcze macierzystego państwa członkowskiego i właściwe organy każdego innego zainteresowanego państwa członkowskiego, Komisję Europejską oraz EUNB o zastosowanych środkach nadzorczych oraz o uzasadnieniu zastosowania tych środków.</w:t>
      </w:r>
      <w:r w:rsidR="00D07BEB" w:rsidRPr="00205E56">
        <w:rPr>
          <w:rFonts w:ascii="Times New Roman" w:hAnsi="Times New Roman" w:cs="Times New Roman"/>
          <w:sz w:val="24"/>
          <w:szCs w:val="24"/>
        </w:rPr>
        <w:t xml:space="preserve"> </w:t>
      </w:r>
      <w:r w:rsidR="0083068C" w:rsidRPr="00205E56">
        <w:rPr>
          <w:rFonts w:ascii="Times New Roman" w:hAnsi="Times New Roman" w:cs="Times New Roman"/>
          <w:sz w:val="24"/>
          <w:szCs w:val="24"/>
        </w:rPr>
        <w:t xml:space="preserve">Zgodnie z art. </w:t>
      </w:r>
      <w:r w:rsidR="003F7B1D" w:rsidRPr="00205E56">
        <w:rPr>
          <w:rFonts w:ascii="Times New Roman" w:hAnsi="Times New Roman" w:cs="Times New Roman"/>
          <w:sz w:val="24"/>
          <w:szCs w:val="24"/>
        </w:rPr>
        <w:t xml:space="preserve">31 </w:t>
      </w:r>
      <w:r w:rsidR="0083068C" w:rsidRPr="00205E56">
        <w:rPr>
          <w:rFonts w:ascii="Times New Roman" w:hAnsi="Times New Roman" w:cs="Times New Roman"/>
          <w:sz w:val="24"/>
          <w:szCs w:val="24"/>
        </w:rPr>
        <w:t xml:space="preserve">dyrektywy KNF powiadamia również zainteresowaną instytucję płatniczą, </w:t>
      </w:r>
      <w:r w:rsidR="003F7B1D" w:rsidRPr="00205E56">
        <w:rPr>
          <w:rFonts w:ascii="Times New Roman" w:hAnsi="Times New Roman" w:cs="Times New Roman"/>
          <w:sz w:val="24"/>
          <w:szCs w:val="24"/>
        </w:rPr>
        <w:t>bez uszczerbku dla obowiązków spoczywających na KNF na podstawie wdrażanych przepisów dyrektywy (UE) 2015/849 i rozporządzenia (UE) 2015/847, w szczególności na podstawie art. 48 ust. 1 dyrektywy (UE) 2015/849</w:t>
      </w:r>
      <w:r w:rsidR="00205E56" w:rsidRPr="00205E56">
        <w:rPr>
          <w:rFonts w:ascii="Times New Roman" w:hAnsi="Times New Roman" w:cs="Times New Roman"/>
          <w:sz w:val="24"/>
          <w:szCs w:val="24"/>
        </w:rPr>
        <w:t xml:space="preserve"> </w:t>
      </w:r>
      <w:r w:rsidR="003F7B1D" w:rsidRPr="00205E56">
        <w:rPr>
          <w:rFonts w:ascii="Times New Roman" w:hAnsi="Times New Roman" w:cs="Times New Roman"/>
          <w:sz w:val="24"/>
          <w:szCs w:val="24"/>
        </w:rPr>
        <w:t xml:space="preserve">i art. 22 ust. 1 rozporządzenia (UE) 2015/847 dotyczącego nadzorowania lub monitorowania spełnienia wymogów ustanowionych w tych instrumentach prawnych. </w:t>
      </w:r>
      <w:r w:rsidR="000D782E" w:rsidRPr="00205E56">
        <w:rPr>
          <w:rFonts w:ascii="Times New Roman" w:hAnsi="Times New Roman" w:cs="Times New Roman"/>
          <w:sz w:val="24"/>
          <w:szCs w:val="24"/>
        </w:rPr>
        <w:t xml:space="preserve">Dodawane ust. 6a i 6b określają charakter środków zapobiegawczych </w:t>
      </w:r>
      <w:r w:rsidR="00376442" w:rsidRPr="00205E56">
        <w:rPr>
          <w:rFonts w:ascii="Times New Roman" w:hAnsi="Times New Roman" w:cs="Times New Roman"/>
          <w:sz w:val="24"/>
          <w:szCs w:val="24"/>
        </w:rPr>
        <w:t>podejmowanych odpowiednio i proporcjonalnie do zapewnienia ochrony przed poważnym zagrożeniem dla zbiorowych interesów użytkowników usług płatniczych. Środki mają charakter tymczasowy i zaprzestaje się ich stosowania w sytuacji, kiedy zostanie rozwiązany problem występowania zagrożeń.</w:t>
      </w:r>
      <w:r w:rsidR="00D07BEB" w:rsidRPr="00205E56">
        <w:rPr>
          <w:rFonts w:ascii="Times New Roman" w:hAnsi="Times New Roman" w:cs="Times New Roman"/>
          <w:sz w:val="24"/>
          <w:szCs w:val="24"/>
        </w:rPr>
        <w:t xml:space="preserve"> </w:t>
      </w:r>
    </w:p>
    <w:p w14:paraId="0F9C6CC6" w14:textId="1BC19429" w:rsidR="00591CB8" w:rsidRPr="00205E56" w:rsidRDefault="00A7705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252D8B" w:rsidRPr="00205E56">
        <w:rPr>
          <w:rFonts w:ascii="Times New Roman" w:hAnsi="Times New Roman" w:cs="Times New Roman"/>
          <w:b/>
          <w:sz w:val="24"/>
          <w:szCs w:val="24"/>
        </w:rPr>
        <w:t>8</w:t>
      </w:r>
      <w:r w:rsidR="00BF2790">
        <w:rPr>
          <w:rFonts w:ascii="Times New Roman" w:hAnsi="Times New Roman" w:cs="Times New Roman"/>
          <w:b/>
          <w:sz w:val="24"/>
          <w:szCs w:val="24"/>
        </w:rPr>
        <w:t>4</w:t>
      </w:r>
      <w:r w:rsidR="00591CB8" w:rsidRPr="00205E56">
        <w:rPr>
          <w:rFonts w:ascii="Times New Roman" w:hAnsi="Times New Roman" w:cs="Times New Roman"/>
          <w:sz w:val="24"/>
          <w:szCs w:val="24"/>
        </w:rPr>
        <w:t xml:space="preserve"> </w:t>
      </w:r>
      <w:r w:rsidR="00F620EE" w:rsidRPr="00205E56">
        <w:rPr>
          <w:rFonts w:ascii="Times New Roman" w:hAnsi="Times New Roman" w:cs="Times New Roman"/>
          <w:sz w:val="24"/>
          <w:szCs w:val="24"/>
        </w:rPr>
        <w:t>wprowadza się zmianę w art. 108,</w:t>
      </w:r>
      <w:r w:rsidR="00376442" w:rsidRPr="00205E56">
        <w:rPr>
          <w:rFonts w:ascii="Times New Roman" w:hAnsi="Times New Roman" w:cs="Times New Roman"/>
          <w:sz w:val="24"/>
          <w:szCs w:val="24"/>
        </w:rPr>
        <w:t xml:space="preserve"> która ma na celu dodanie EUNB jako organu, z którym KNF współpracuje w ramach w</w:t>
      </w:r>
      <w:r w:rsidR="001525DC">
        <w:rPr>
          <w:rFonts w:ascii="Times New Roman" w:hAnsi="Times New Roman" w:cs="Times New Roman"/>
          <w:sz w:val="24"/>
          <w:szCs w:val="24"/>
        </w:rPr>
        <w:t>ykonywania zadań wynikających z </w:t>
      </w:r>
      <w:r w:rsidR="00376442" w:rsidRPr="00205E56">
        <w:rPr>
          <w:rFonts w:ascii="Times New Roman" w:hAnsi="Times New Roman" w:cs="Times New Roman"/>
          <w:sz w:val="24"/>
          <w:szCs w:val="24"/>
        </w:rPr>
        <w:t xml:space="preserve">ustawy. </w:t>
      </w:r>
    </w:p>
    <w:p w14:paraId="7F059854" w14:textId="6C5DA79B" w:rsidR="00F620EE" w:rsidRPr="00205E56" w:rsidRDefault="00A7705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657F81" w:rsidRPr="00205E56">
        <w:rPr>
          <w:rFonts w:ascii="Times New Roman" w:hAnsi="Times New Roman" w:cs="Times New Roman"/>
          <w:b/>
          <w:sz w:val="24"/>
          <w:szCs w:val="24"/>
        </w:rPr>
        <w:t>8</w:t>
      </w:r>
      <w:r w:rsidR="00BF2790">
        <w:rPr>
          <w:rFonts w:ascii="Times New Roman" w:hAnsi="Times New Roman" w:cs="Times New Roman"/>
          <w:b/>
          <w:sz w:val="24"/>
          <w:szCs w:val="24"/>
        </w:rPr>
        <w:t>5</w:t>
      </w:r>
      <w:r w:rsidR="00657F81" w:rsidRPr="00205E56">
        <w:rPr>
          <w:rFonts w:ascii="Times New Roman" w:hAnsi="Times New Roman" w:cs="Times New Roman"/>
          <w:sz w:val="24"/>
          <w:szCs w:val="24"/>
        </w:rPr>
        <w:t xml:space="preserve"> </w:t>
      </w:r>
      <w:r w:rsidR="00F620EE" w:rsidRPr="00205E56">
        <w:rPr>
          <w:rFonts w:ascii="Times New Roman" w:hAnsi="Times New Roman" w:cs="Times New Roman"/>
          <w:sz w:val="24"/>
          <w:szCs w:val="24"/>
        </w:rPr>
        <w:t>wprowadza się zmianę w art. 109,</w:t>
      </w:r>
      <w:r w:rsidR="005B279E" w:rsidRPr="00205E56">
        <w:rPr>
          <w:rFonts w:ascii="Times New Roman" w:hAnsi="Times New Roman" w:cs="Times New Roman"/>
          <w:sz w:val="24"/>
          <w:szCs w:val="24"/>
        </w:rPr>
        <w:t xml:space="preserve"> zgodnie z którą</w:t>
      </w:r>
      <w:r w:rsidR="00665CEA" w:rsidRPr="00205E56">
        <w:rPr>
          <w:rFonts w:ascii="Times New Roman" w:hAnsi="Times New Roman" w:cs="Times New Roman"/>
          <w:sz w:val="24"/>
          <w:szCs w:val="24"/>
        </w:rPr>
        <w:t>,</w:t>
      </w:r>
      <w:r w:rsidR="005B279E" w:rsidRPr="00205E56">
        <w:rPr>
          <w:rFonts w:ascii="Times New Roman" w:hAnsi="Times New Roman" w:cs="Times New Roman"/>
          <w:sz w:val="24"/>
          <w:szCs w:val="24"/>
        </w:rPr>
        <w:t xml:space="preserve"> w celu podejmowania działań </w:t>
      </w:r>
      <w:r w:rsidR="005F0F07" w:rsidRPr="00205E56">
        <w:rPr>
          <w:rFonts w:ascii="Times New Roman" w:hAnsi="Times New Roman" w:cs="Times New Roman"/>
          <w:sz w:val="24"/>
          <w:szCs w:val="24"/>
        </w:rPr>
        <w:t>w przypadku naruszania</w:t>
      </w:r>
      <w:r w:rsidR="005B279E" w:rsidRPr="00205E56">
        <w:rPr>
          <w:rFonts w:ascii="Times New Roman" w:hAnsi="Times New Roman" w:cs="Times New Roman"/>
          <w:sz w:val="24"/>
          <w:szCs w:val="24"/>
        </w:rPr>
        <w:t xml:space="preserve"> przepisów przez unijną instytucję płatniczą, a także </w:t>
      </w:r>
      <w:r w:rsidR="001525DC">
        <w:rPr>
          <w:rFonts w:ascii="Times New Roman" w:hAnsi="Times New Roman" w:cs="Times New Roman"/>
          <w:sz w:val="24"/>
          <w:szCs w:val="24"/>
        </w:rPr>
        <w:t>w </w:t>
      </w:r>
      <w:r w:rsidR="005F0F07" w:rsidRPr="00205E56">
        <w:rPr>
          <w:rFonts w:ascii="Times New Roman" w:hAnsi="Times New Roman" w:cs="Times New Roman"/>
          <w:sz w:val="24"/>
          <w:szCs w:val="24"/>
        </w:rPr>
        <w:t>przypadku wykonywania z naruszeniem prawa działalności przez krajową instytucję płatniczą świadczącą</w:t>
      </w:r>
      <w:r w:rsidR="005B279E" w:rsidRPr="00205E56">
        <w:rPr>
          <w:rFonts w:ascii="Times New Roman" w:hAnsi="Times New Roman" w:cs="Times New Roman"/>
          <w:sz w:val="24"/>
          <w:szCs w:val="24"/>
        </w:rPr>
        <w:t xml:space="preserve"> usługi płatnicze na terytorium goszczącego państwa członkowskiego za pośrednictwem agenta lub przez oddział albo z udziałem podmiotu wykonującego czynności</w:t>
      </w:r>
      <w:r w:rsidR="005F0F07" w:rsidRPr="00205E56">
        <w:rPr>
          <w:rFonts w:ascii="Times New Roman" w:hAnsi="Times New Roman" w:cs="Times New Roman"/>
          <w:sz w:val="24"/>
          <w:szCs w:val="24"/>
        </w:rPr>
        <w:t xml:space="preserve"> operacyjne na podstawie umowy, </w:t>
      </w:r>
      <w:r w:rsidR="005B279E" w:rsidRPr="00205E56">
        <w:rPr>
          <w:rFonts w:ascii="Times New Roman" w:hAnsi="Times New Roman" w:cs="Times New Roman"/>
          <w:sz w:val="24"/>
          <w:szCs w:val="24"/>
        </w:rPr>
        <w:t>w ramach działalności transgranicznej, KNF współpracuje z właściwymi organami nadzorczymi odpowiednio macierzystego albo goszczącego państwa członkowskiego</w:t>
      </w:r>
      <w:r w:rsidR="005F0F07" w:rsidRPr="00205E56">
        <w:rPr>
          <w:rFonts w:ascii="Times New Roman" w:hAnsi="Times New Roman" w:cs="Times New Roman"/>
          <w:sz w:val="24"/>
          <w:szCs w:val="24"/>
        </w:rPr>
        <w:t xml:space="preserve">. </w:t>
      </w:r>
    </w:p>
    <w:p w14:paraId="14B1DBC2" w14:textId="5FF3E6C8" w:rsidR="00F620EE" w:rsidRPr="00205E56" w:rsidRDefault="00A7705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84405D" w:rsidRPr="00205E56">
        <w:rPr>
          <w:rFonts w:ascii="Times New Roman" w:hAnsi="Times New Roman" w:cs="Times New Roman"/>
          <w:b/>
          <w:sz w:val="24"/>
          <w:szCs w:val="24"/>
        </w:rPr>
        <w:t>8</w:t>
      </w:r>
      <w:r w:rsidR="00BF2790">
        <w:rPr>
          <w:rFonts w:ascii="Times New Roman" w:hAnsi="Times New Roman" w:cs="Times New Roman"/>
          <w:b/>
          <w:sz w:val="24"/>
          <w:szCs w:val="24"/>
        </w:rPr>
        <w:t>6</w:t>
      </w:r>
      <w:r w:rsidR="00F620EE" w:rsidRPr="00205E56">
        <w:rPr>
          <w:rFonts w:ascii="Times New Roman" w:hAnsi="Times New Roman" w:cs="Times New Roman"/>
          <w:sz w:val="24"/>
          <w:szCs w:val="24"/>
        </w:rPr>
        <w:t xml:space="preserve"> wprowadza się zmianę w art. 110</w:t>
      </w:r>
      <w:r w:rsidR="00665CEA" w:rsidRPr="00205E56">
        <w:rPr>
          <w:rFonts w:ascii="Times New Roman" w:hAnsi="Times New Roman" w:cs="Times New Roman"/>
          <w:sz w:val="24"/>
          <w:szCs w:val="24"/>
        </w:rPr>
        <w:t xml:space="preserve"> polegającą na nałożeniu </w:t>
      </w:r>
      <w:r w:rsidR="005F0F07" w:rsidRPr="00205E56">
        <w:rPr>
          <w:rFonts w:ascii="Times New Roman" w:hAnsi="Times New Roman" w:cs="Times New Roman"/>
          <w:sz w:val="24"/>
          <w:szCs w:val="24"/>
        </w:rPr>
        <w:t>na KNF obowiązk</w:t>
      </w:r>
      <w:r w:rsidR="00665CEA" w:rsidRPr="00205E56">
        <w:rPr>
          <w:rFonts w:ascii="Times New Roman" w:hAnsi="Times New Roman" w:cs="Times New Roman"/>
          <w:sz w:val="24"/>
          <w:szCs w:val="24"/>
        </w:rPr>
        <w:t>u</w:t>
      </w:r>
      <w:r w:rsidR="005F0F07" w:rsidRPr="00205E56">
        <w:rPr>
          <w:rFonts w:ascii="Times New Roman" w:hAnsi="Times New Roman" w:cs="Times New Roman"/>
          <w:sz w:val="24"/>
          <w:szCs w:val="24"/>
        </w:rPr>
        <w:t xml:space="preserve"> przekazywania właściwemu organowi nadzorczemu goszczącego państwa członkowskiego z własnej inicjatywy wszystkich istotnych informacji, a na </w:t>
      </w:r>
      <w:r w:rsidR="00665CEA" w:rsidRPr="00205E56">
        <w:rPr>
          <w:rFonts w:ascii="Times New Roman" w:hAnsi="Times New Roman" w:cs="Times New Roman"/>
          <w:sz w:val="24"/>
          <w:szCs w:val="24"/>
        </w:rPr>
        <w:t xml:space="preserve">ich </w:t>
      </w:r>
      <w:r w:rsidR="005F0F07" w:rsidRPr="00205E56">
        <w:rPr>
          <w:rFonts w:ascii="Times New Roman" w:hAnsi="Times New Roman" w:cs="Times New Roman"/>
          <w:sz w:val="24"/>
          <w:szCs w:val="24"/>
        </w:rPr>
        <w:t xml:space="preserve">żądanie </w:t>
      </w:r>
      <w:r w:rsidR="00205E56" w:rsidRPr="00205E56">
        <w:rPr>
          <w:rFonts w:ascii="Times New Roman" w:hAnsi="Times New Roman" w:cs="Times New Roman"/>
          <w:sz w:val="24"/>
          <w:szCs w:val="24"/>
        </w:rPr>
        <w:t>–</w:t>
      </w:r>
      <w:r w:rsidR="00665CEA" w:rsidRPr="00205E56">
        <w:rPr>
          <w:rFonts w:ascii="Times New Roman" w:hAnsi="Times New Roman" w:cs="Times New Roman"/>
          <w:sz w:val="24"/>
          <w:szCs w:val="24"/>
        </w:rPr>
        <w:t xml:space="preserve"> </w:t>
      </w:r>
      <w:r w:rsidR="005F0F07" w:rsidRPr="00205E56">
        <w:rPr>
          <w:rFonts w:ascii="Times New Roman" w:hAnsi="Times New Roman" w:cs="Times New Roman"/>
          <w:sz w:val="24"/>
          <w:szCs w:val="24"/>
        </w:rPr>
        <w:t>wszelkich stosownych informacji niezbędnych do celów współpracy</w:t>
      </w:r>
      <w:r w:rsidR="00665CEA" w:rsidRPr="00205E56">
        <w:rPr>
          <w:rFonts w:ascii="Times New Roman" w:hAnsi="Times New Roman" w:cs="Times New Roman"/>
          <w:sz w:val="24"/>
          <w:szCs w:val="24"/>
        </w:rPr>
        <w:t>,</w:t>
      </w:r>
      <w:r w:rsidR="005F0F07" w:rsidRPr="00205E56">
        <w:rPr>
          <w:rFonts w:ascii="Times New Roman" w:hAnsi="Times New Roman" w:cs="Times New Roman"/>
          <w:sz w:val="24"/>
          <w:szCs w:val="24"/>
        </w:rPr>
        <w:t xml:space="preserve"> w szczególności </w:t>
      </w:r>
      <w:r w:rsidR="005F0F07" w:rsidRPr="00205E56">
        <w:rPr>
          <w:rFonts w:ascii="Times New Roman" w:hAnsi="Times New Roman" w:cs="Times New Roman"/>
          <w:sz w:val="24"/>
          <w:szCs w:val="24"/>
        </w:rPr>
        <w:lastRenderedPageBreak/>
        <w:t>w przypadkach stwierdzenia lub podejrzenia naruszenia prawa przez agenta, oddział lub w ramach działalności transgranicznej.</w:t>
      </w:r>
    </w:p>
    <w:p w14:paraId="22348C31" w14:textId="0FEF144D" w:rsidR="00320866" w:rsidRPr="00205E56" w:rsidRDefault="00A7705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84405D" w:rsidRPr="00205E56">
        <w:rPr>
          <w:rFonts w:ascii="Times New Roman" w:hAnsi="Times New Roman" w:cs="Times New Roman"/>
          <w:b/>
          <w:sz w:val="24"/>
          <w:szCs w:val="24"/>
        </w:rPr>
        <w:t>8</w:t>
      </w:r>
      <w:r w:rsidR="00BF2790">
        <w:rPr>
          <w:rFonts w:ascii="Times New Roman" w:hAnsi="Times New Roman" w:cs="Times New Roman"/>
          <w:b/>
          <w:sz w:val="24"/>
          <w:szCs w:val="24"/>
        </w:rPr>
        <w:t>7</w:t>
      </w:r>
      <w:r w:rsidR="00F620EE" w:rsidRPr="00205E56">
        <w:rPr>
          <w:rFonts w:ascii="Times New Roman" w:hAnsi="Times New Roman" w:cs="Times New Roman"/>
          <w:sz w:val="24"/>
          <w:szCs w:val="24"/>
        </w:rPr>
        <w:t xml:space="preserve"> dodaje się dział </w:t>
      </w:r>
      <w:proofErr w:type="spellStart"/>
      <w:r w:rsidR="00F620EE" w:rsidRPr="00205E56">
        <w:rPr>
          <w:rFonts w:ascii="Times New Roman" w:hAnsi="Times New Roman" w:cs="Times New Roman"/>
          <w:sz w:val="24"/>
          <w:szCs w:val="24"/>
        </w:rPr>
        <w:t>VIa</w:t>
      </w:r>
      <w:proofErr w:type="spellEnd"/>
      <w:r w:rsidR="00F620EE" w:rsidRPr="00205E56">
        <w:rPr>
          <w:rFonts w:ascii="Times New Roman" w:hAnsi="Times New Roman" w:cs="Times New Roman"/>
          <w:sz w:val="24"/>
          <w:szCs w:val="24"/>
        </w:rPr>
        <w:t xml:space="preserve"> </w:t>
      </w:r>
      <w:r w:rsidR="005F0F07" w:rsidRPr="00205E56">
        <w:rPr>
          <w:rFonts w:ascii="Times New Roman" w:hAnsi="Times New Roman" w:cs="Times New Roman"/>
          <w:sz w:val="24"/>
          <w:szCs w:val="24"/>
        </w:rPr>
        <w:t xml:space="preserve">„Dostawcy świadczący wyłącznie usługę dostępu do informacji o rachunki” oraz dział </w:t>
      </w:r>
      <w:proofErr w:type="spellStart"/>
      <w:r w:rsidR="005F0F07" w:rsidRPr="00205E56">
        <w:rPr>
          <w:rFonts w:ascii="Times New Roman" w:hAnsi="Times New Roman" w:cs="Times New Roman"/>
          <w:sz w:val="24"/>
          <w:szCs w:val="24"/>
        </w:rPr>
        <w:t>VIb</w:t>
      </w:r>
      <w:proofErr w:type="spellEnd"/>
      <w:r w:rsidR="005F0F07" w:rsidRPr="00205E56">
        <w:rPr>
          <w:rFonts w:ascii="Times New Roman" w:hAnsi="Times New Roman" w:cs="Times New Roman"/>
          <w:sz w:val="24"/>
          <w:szCs w:val="24"/>
        </w:rPr>
        <w:t xml:space="preserve"> „Małe instytucje płatnicze”. </w:t>
      </w:r>
      <w:r w:rsidR="00B50432" w:rsidRPr="00205E56">
        <w:rPr>
          <w:rFonts w:ascii="Times New Roman" w:hAnsi="Times New Roman" w:cs="Times New Roman"/>
          <w:sz w:val="24"/>
          <w:szCs w:val="24"/>
        </w:rPr>
        <w:t xml:space="preserve">Dodawany dział </w:t>
      </w:r>
      <w:proofErr w:type="spellStart"/>
      <w:r w:rsidR="00B50432" w:rsidRPr="00205E56">
        <w:rPr>
          <w:rFonts w:ascii="Times New Roman" w:hAnsi="Times New Roman" w:cs="Times New Roman"/>
          <w:sz w:val="24"/>
          <w:szCs w:val="24"/>
        </w:rPr>
        <w:t>VIa</w:t>
      </w:r>
      <w:proofErr w:type="spellEnd"/>
      <w:r w:rsidR="00B50432" w:rsidRPr="00205E56">
        <w:rPr>
          <w:rFonts w:ascii="Times New Roman" w:hAnsi="Times New Roman" w:cs="Times New Roman"/>
          <w:sz w:val="24"/>
          <w:szCs w:val="24"/>
        </w:rPr>
        <w:t xml:space="preserve"> reguluje działalność nowych podmiotów uprawnionych do świadczenia usług płatniczych. W rozumieniu ustawy działalność w zakresie świadczenia usługi dostępu do informacji o rachunku będzie działalnością regulowaną w rozumieniu przepisów ustawy</w:t>
      </w:r>
      <w:r w:rsidR="00D07BEB" w:rsidRPr="00205E56">
        <w:rPr>
          <w:rFonts w:ascii="Times New Roman" w:hAnsi="Times New Roman" w:cs="Times New Roman"/>
          <w:sz w:val="24"/>
          <w:szCs w:val="24"/>
        </w:rPr>
        <w:t xml:space="preserve"> </w:t>
      </w:r>
      <w:r w:rsidR="00665CEA" w:rsidRPr="00205E56">
        <w:rPr>
          <w:rFonts w:ascii="Times New Roman" w:hAnsi="Times New Roman" w:cs="Times New Roman"/>
          <w:sz w:val="24"/>
          <w:szCs w:val="24"/>
        </w:rPr>
        <w:t xml:space="preserve">z dnia </w:t>
      </w:r>
      <w:r w:rsidR="003125C3" w:rsidRPr="00205E56">
        <w:rPr>
          <w:rFonts w:ascii="Times New Roman" w:hAnsi="Times New Roman" w:cs="Times New Roman"/>
          <w:sz w:val="24"/>
          <w:szCs w:val="24"/>
        </w:rPr>
        <w:t>2 lipca 2004 r.</w:t>
      </w:r>
      <w:r w:rsidR="003125C3" w:rsidRPr="00205E56" w:rsidDel="003125C3">
        <w:rPr>
          <w:rFonts w:ascii="Times New Roman" w:hAnsi="Times New Roman" w:cs="Times New Roman"/>
          <w:sz w:val="24"/>
          <w:szCs w:val="24"/>
        </w:rPr>
        <w:t xml:space="preserve"> </w:t>
      </w:r>
      <w:r w:rsidR="00B50432" w:rsidRPr="00205E56">
        <w:rPr>
          <w:rFonts w:ascii="Times New Roman" w:hAnsi="Times New Roman" w:cs="Times New Roman"/>
          <w:sz w:val="24"/>
          <w:szCs w:val="24"/>
        </w:rPr>
        <w:t>o swobodzie działalności gospodarczej</w:t>
      </w:r>
      <w:r w:rsidR="00665CEA" w:rsidRPr="00205E56">
        <w:rPr>
          <w:rFonts w:ascii="Times New Roman" w:hAnsi="Times New Roman" w:cs="Times New Roman"/>
          <w:sz w:val="24"/>
          <w:szCs w:val="24"/>
        </w:rPr>
        <w:t xml:space="preserve"> (</w:t>
      </w:r>
      <w:r w:rsidR="001525DC">
        <w:rPr>
          <w:rFonts w:ascii="Times New Roman" w:hAnsi="Times New Roman" w:cs="Times New Roman"/>
          <w:sz w:val="24"/>
          <w:szCs w:val="24"/>
        </w:rPr>
        <w:t>Dz.</w:t>
      </w:r>
      <w:r w:rsidR="003454B3">
        <w:rPr>
          <w:rFonts w:ascii="Times New Roman" w:hAnsi="Times New Roman" w:cs="Times New Roman"/>
          <w:sz w:val="24"/>
          <w:szCs w:val="24"/>
        </w:rPr>
        <w:t xml:space="preserve"> </w:t>
      </w:r>
      <w:r w:rsidR="001525DC">
        <w:rPr>
          <w:rFonts w:ascii="Times New Roman" w:hAnsi="Times New Roman" w:cs="Times New Roman"/>
          <w:sz w:val="24"/>
          <w:szCs w:val="24"/>
        </w:rPr>
        <w:t>U. z 201</w:t>
      </w:r>
      <w:r w:rsidR="00BF2790">
        <w:rPr>
          <w:rFonts w:ascii="Times New Roman" w:hAnsi="Times New Roman" w:cs="Times New Roman"/>
          <w:sz w:val="24"/>
          <w:szCs w:val="24"/>
        </w:rPr>
        <w:t>7</w:t>
      </w:r>
      <w:r w:rsidR="003454B3">
        <w:rPr>
          <w:rFonts w:ascii="Times New Roman" w:hAnsi="Times New Roman" w:cs="Times New Roman"/>
          <w:sz w:val="24"/>
          <w:szCs w:val="24"/>
        </w:rPr>
        <w:t xml:space="preserve"> r</w:t>
      </w:r>
      <w:r w:rsidR="001525DC">
        <w:rPr>
          <w:rFonts w:ascii="Times New Roman" w:hAnsi="Times New Roman" w:cs="Times New Roman"/>
          <w:sz w:val="24"/>
          <w:szCs w:val="24"/>
        </w:rPr>
        <w:t xml:space="preserve"> poz. </w:t>
      </w:r>
      <w:r w:rsidR="00BF2790">
        <w:rPr>
          <w:rFonts w:ascii="Times New Roman" w:hAnsi="Times New Roman" w:cs="Times New Roman"/>
          <w:sz w:val="24"/>
          <w:szCs w:val="24"/>
        </w:rPr>
        <w:t xml:space="preserve">2168, z </w:t>
      </w:r>
      <w:proofErr w:type="spellStart"/>
      <w:r w:rsidR="00BF2790">
        <w:rPr>
          <w:rFonts w:ascii="Times New Roman" w:hAnsi="Times New Roman" w:cs="Times New Roman"/>
          <w:sz w:val="24"/>
          <w:szCs w:val="24"/>
        </w:rPr>
        <w:t>późn</w:t>
      </w:r>
      <w:proofErr w:type="spellEnd"/>
      <w:r w:rsidR="00BF2790">
        <w:rPr>
          <w:rFonts w:ascii="Times New Roman" w:hAnsi="Times New Roman" w:cs="Times New Roman"/>
          <w:sz w:val="24"/>
          <w:szCs w:val="24"/>
        </w:rPr>
        <w:t>. zm.</w:t>
      </w:r>
      <w:r w:rsidR="00665CEA" w:rsidRPr="00205E56">
        <w:rPr>
          <w:rFonts w:ascii="Times New Roman" w:hAnsi="Times New Roman" w:cs="Times New Roman"/>
          <w:sz w:val="24"/>
          <w:szCs w:val="24"/>
        </w:rPr>
        <w:t>)</w:t>
      </w:r>
      <w:r w:rsidR="00B50432" w:rsidRPr="00205E56">
        <w:rPr>
          <w:rFonts w:ascii="Times New Roman" w:hAnsi="Times New Roman" w:cs="Times New Roman"/>
          <w:sz w:val="24"/>
          <w:szCs w:val="24"/>
        </w:rPr>
        <w:t xml:space="preserve">. Dostawcy świadczący usługę dostępu do informacji o rachunku mogą prowadzić działalność gospodarczą inną niż świadczenie usług płatniczych. Działalność w zakresie świadczenia usługi dostępu do informacji o rachunku może być wykonywana po uzyskaniu wpisu do rejestru. </w:t>
      </w:r>
      <w:r w:rsidR="00701266" w:rsidRPr="00205E56">
        <w:rPr>
          <w:rFonts w:ascii="Times New Roman" w:hAnsi="Times New Roman" w:cs="Times New Roman"/>
          <w:sz w:val="24"/>
          <w:szCs w:val="24"/>
        </w:rPr>
        <w:t>Podmioty w tym celu muszą złożyć w</w:t>
      </w:r>
      <w:r w:rsidR="00B50432" w:rsidRPr="00205E56">
        <w:rPr>
          <w:rFonts w:ascii="Times New Roman" w:hAnsi="Times New Roman" w:cs="Times New Roman"/>
          <w:sz w:val="24"/>
          <w:szCs w:val="24"/>
        </w:rPr>
        <w:t>niosek o dokonanie wpisu do rejestru dostawcy świadczącego wyłącznie usługę dostępu do informacji</w:t>
      </w:r>
      <w:r w:rsidR="00701266" w:rsidRPr="00205E56">
        <w:rPr>
          <w:rFonts w:ascii="Times New Roman" w:hAnsi="Times New Roman" w:cs="Times New Roman"/>
          <w:sz w:val="24"/>
          <w:szCs w:val="24"/>
        </w:rPr>
        <w:t>.</w:t>
      </w:r>
      <w:r w:rsidR="00B50432" w:rsidRPr="00205E56">
        <w:rPr>
          <w:rFonts w:ascii="Times New Roman" w:hAnsi="Times New Roman" w:cs="Times New Roman"/>
          <w:sz w:val="24"/>
          <w:szCs w:val="24"/>
        </w:rPr>
        <w:t xml:space="preserve"> </w:t>
      </w:r>
      <w:r w:rsidR="00701266" w:rsidRPr="00205E56">
        <w:rPr>
          <w:rFonts w:ascii="Times New Roman" w:hAnsi="Times New Roman" w:cs="Times New Roman"/>
          <w:sz w:val="24"/>
          <w:szCs w:val="24"/>
        </w:rPr>
        <w:t>Dostawcy będą również obowiązani posiadać ubezpieczenie odpowiedzialności cywilnej z tytułu prowadzenia odpowiedniej działalności gospodarczej lub innej porównywalnej gwarancji. Szczegółowy zakres ubezpieczenia, minimalną kwotę pieniężną ubezpieczenia lub gwarancji, uwzględniając</w:t>
      </w:r>
      <w:r w:rsidR="00F65ABD" w:rsidRPr="00205E56">
        <w:rPr>
          <w:rFonts w:ascii="Times New Roman" w:hAnsi="Times New Roman" w:cs="Times New Roman"/>
          <w:sz w:val="24"/>
          <w:szCs w:val="24"/>
        </w:rPr>
        <w:t>e</w:t>
      </w:r>
      <w:r w:rsidR="00701266" w:rsidRPr="00205E56">
        <w:rPr>
          <w:rFonts w:ascii="Times New Roman" w:hAnsi="Times New Roman" w:cs="Times New Roman"/>
          <w:sz w:val="24"/>
          <w:szCs w:val="24"/>
        </w:rPr>
        <w:t xml:space="preserve"> wytyczne wydane w tym zakresie przez EUNB</w:t>
      </w:r>
      <w:r w:rsidR="00F65ABD" w:rsidRPr="00205E56">
        <w:rPr>
          <w:rFonts w:ascii="Times New Roman" w:hAnsi="Times New Roman" w:cs="Times New Roman"/>
          <w:sz w:val="24"/>
          <w:szCs w:val="24"/>
        </w:rPr>
        <w:t>,</w:t>
      </w:r>
      <w:r w:rsidR="00701266" w:rsidRPr="00205E56">
        <w:rPr>
          <w:rFonts w:ascii="Times New Roman" w:hAnsi="Times New Roman" w:cs="Times New Roman"/>
          <w:sz w:val="24"/>
          <w:szCs w:val="24"/>
        </w:rPr>
        <w:t xml:space="preserve"> zostaną określone w drodze rozporządzenia ministra właściwego do spraw instytucji finansowych.</w:t>
      </w:r>
      <w:r w:rsidR="00665CEA" w:rsidRPr="00205E56">
        <w:rPr>
          <w:rFonts w:ascii="Times New Roman" w:hAnsi="Times New Roman" w:cs="Times New Roman"/>
          <w:sz w:val="24"/>
          <w:szCs w:val="24"/>
        </w:rPr>
        <w:t xml:space="preserve"> </w:t>
      </w:r>
      <w:r w:rsidR="00320866" w:rsidRPr="00205E56">
        <w:rPr>
          <w:rFonts w:ascii="Times New Roman" w:hAnsi="Times New Roman" w:cs="Times New Roman"/>
          <w:sz w:val="24"/>
          <w:szCs w:val="24"/>
        </w:rPr>
        <w:t xml:space="preserve">Dodawany dział </w:t>
      </w:r>
      <w:proofErr w:type="spellStart"/>
      <w:r w:rsidR="00320866" w:rsidRPr="00205E56">
        <w:rPr>
          <w:rFonts w:ascii="Times New Roman" w:hAnsi="Times New Roman" w:cs="Times New Roman"/>
          <w:sz w:val="24"/>
          <w:szCs w:val="24"/>
        </w:rPr>
        <w:t>VIb</w:t>
      </w:r>
      <w:proofErr w:type="spellEnd"/>
      <w:r w:rsidR="00320866" w:rsidRPr="00205E56">
        <w:rPr>
          <w:rFonts w:ascii="Times New Roman" w:hAnsi="Times New Roman" w:cs="Times New Roman"/>
          <w:sz w:val="24"/>
          <w:szCs w:val="24"/>
        </w:rPr>
        <w:t xml:space="preserve"> </w:t>
      </w:r>
      <w:r w:rsidR="00AA60DB" w:rsidRPr="00205E56">
        <w:rPr>
          <w:rFonts w:ascii="Times New Roman" w:hAnsi="Times New Roman" w:cs="Times New Roman"/>
          <w:sz w:val="24"/>
          <w:szCs w:val="24"/>
        </w:rPr>
        <w:t>reguluje</w:t>
      </w:r>
      <w:r w:rsidR="007A5F71" w:rsidRPr="00205E56">
        <w:rPr>
          <w:rFonts w:ascii="Times New Roman" w:hAnsi="Times New Roman" w:cs="Times New Roman"/>
          <w:sz w:val="24"/>
          <w:szCs w:val="24"/>
        </w:rPr>
        <w:t xml:space="preserve"> działalność nowego podmiotu uprawnionego do świadczenia usług płatniczych, którym jest mała instytucja płatnicza. Działalność w zakresie usług płatniczych w charakterze małej instytucji płatniczej </w:t>
      </w:r>
      <w:r w:rsidR="00665CEA" w:rsidRPr="00205E56">
        <w:rPr>
          <w:rFonts w:ascii="Times New Roman" w:hAnsi="Times New Roman" w:cs="Times New Roman"/>
          <w:sz w:val="24"/>
          <w:szCs w:val="24"/>
        </w:rPr>
        <w:t xml:space="preserve">będzie </w:t>
      </w:r>
      <w:r w:rsidR="007A5F71" w:rsidRPr="00205E56">
        <w:rPr>
          <w:rFonts w:ascii="Times New Roman" w:hAnsi="Times New Roman" w:cs="Times New Roman"/>
          <w:sz w:val="24"/>
          <w:szCs w:val="24"/>
        </w:rPr>
        <w:t xml:space="preserve">działalnością regulowaną w rozumieniu przepisów ustawy o swobodzie działalności gospodarczej. </w:t>
      </w:r>
      <w:r w:rsidR="00F65ABD" w:rsidRPr="00205E56">
        <w:rPr>
          <w:rFonts w:ascii="Times New Roman" w:hAnsi="Times New Roman" w:cs="Times New Roman"/>
          <w:sz w:val="24"/>
          <w:szCs w:val="24"/>
        </w:rPr>
        <w:t>Małe instytucje płatnicze będą mogły wykonywać swoją działalność wyłącznie na terytorium Rzeczypospolitej Polskiej. Działalność w charakterze małej instytucji płatniczej może być wykonywana po uzyskaniu wpisu do rejestru małych instytucji płatniczych (szczegółowy zakres danych wymaganych we wniosku określa art. 117</w:t>
      </w:r>
      <w:r w:rsidR="00BF2790">
        <w:rPr>
          <w:rFonts w:ascii="Times New Roman" w:hAnsi="Times New Roman" w:cs="Times New Roman"/>
          <w:sz w:val="24"/>
          <w:szCs w:val="24"/>
        </w:rPr>
        <w:t>j</w:t>
      </w:r>
      <w:r w:rsidR="00F65ABD" w:rsidRPr="00205E56">
        <w:rPr>
          <w:rFonts w:ascii="Times New Roman" w:hAnsi="Times New Roman" w:cs="Times New Roman"/>
          <w:sz w:val="24"/>
          <w:szCs w:val="24"/>
        </w:rPr>
        <w:t>)</w:t>
      </w:r>
      <w:r w:rsidR="004437EE" w:rsidRPr="00205E56">
        <w:rPr>
          <w:rFonts w:ascii="Times New Roman" w:hAnsi="Times New Roman" w:cs="Times New Roman"/>
          <w:sz w:val="24"/>
          <w:szCs w:val="24"/>
        </w:rPr>
        <w:t>. Uwzględnienie we wniosku wykazu usług płatniczych, które mała instytucja płatn</w:t>
      </w:r>
      <w:r w:rsidR="001525DC">
        <w:rPr>
          <w:rFonts w:ascii="Times New Roman" w:hAnsi="Times New Roman" w:cs="Times New Roman"/>
          <w:sz w:val="24"/>
          <w:szCs w:val="24"/>
        </w:rPr>
        <w:t>icza zamierza świadczyć, wraz z </w:t>
      </w:r>
      <w:r w:rsidR="004437EE" w:rsidRPr="00205E56">
        <w:rPr>
          <w:rFonts w:ascii="Times New Roman" w:hAnsi="Times New Roman" w:cs="Times New Roman"/>
          <w:sz w:val="24"/>
          <w:szCs w:val="24"/>
        </w:rPr>
        <w:t>przedstawieniem tych usług w formie schematu graficznego z opisem oraz kwalifikacją prawną tych usług zgodnie z art. 3 (art. 117</w:t>
      </w:r>
      <w:r w:rsidR="00BF2790">
        <w:rPr>
          <w:rFonts w:ascii="Times New Roman" w:hAnsi="Times New Roman" w:cs="Times New Roman"/>
          <w:sz w:val="24"/>
          <w:szCs w:val="24"/>
        </w:rPr>
        <w:t>j</w:t>
      </w:r>
      <w:r w:rsidR="004437EE" w:rsidRPr="00205E56">
        <w:rPr>
          <w:rFonts w:ascii="Times New Roman" w:hAnsi="Times New Roman" w:cs="Times New Roman"/>
          <w:sz w:val="24"/>
          <w:szCs w:val="24"/>
        </w:rPr>
        <w:t xml:space="preserve"> ust</w:t>
      </w:r>
      <w:r w:rsidR="00BF2790">
        <w:rPr>
          <w:rFonts w:ascii="Times New Roman" w:hAnsi="Times New Roman" w:cs="Times New Roman"/>
          <w:sz w:val="24"/>
          <w:szCs w:val="24"/>
        </w:rPr>
        <w:t>.</w:t>
      </w:r>
      <w:r w:rsidR="004437EE" w:rsidRPr="00205E56">
        <w:rPr>
          <w:rFonts w:ascii="Times New Roman" w:hAnsi="Times New Roman" w:cs="Times New Roman"/>
          <w:sz w:val="24"/>
          <w:szCs w:val="24"/>
        </w:rPr>
        <w:t xml:space="preserve"> 2 pkt </w:t>
      </w:r>
      <w:r w:rsidR="00BF2790">
        <w:rPr>
          <w:rFonts w:ascii="Times New Roman" w:hAnsi="Times New Roman" w:cs="Times New Roman"/>
          <w:sz w:val="24"/>
          <w:szCs w:val="24"/>
        </w:rPr>
        <w:t>1</w:t>
      </w:r>
      <w:r w:rsidR="004437EE" w:rsidRPr="00205E56">
        <w:rPr>
          <w:rFonts w:ascii="Times New Roman" w:hAnsi="Times New Roman" w:cs="Times New Roman"/>
          <w:sz w:val="24"/>
          <w:szCs w:val="24"/>
        </w:rPr>
        <w:t>) ma na celu zapewnić większą spójność regulacyjno-prawną wniosku o wpis MIP do rejestru.</w:t>
      </w:r>
      <w:r w:rsidR="00F65ABD" w:rsidRPr="00205E56">
        <w:rPr>
          <w:rFonts w:ascii="Times New Roman" w:hAnsi="Times New Roman" w:cs="Times New Roman"/>
          <w:sz w:val="24"/>
          <w:szCs w:val="24"/>
        </w:rPr>
        <w:t xml:space="preserve"> Mała instytucja płatnicza może prowadzić działalność gospodarczą inną niż świadczenie usług płatniczych. Dopuszczalna wielkość obrotu </w:t>
      </w:r>
      <w:r w:rsidR="00FA45C4" w:rsidRPr="00205E56">
        <w:rPr>
          <w:rFonts w:ascii="Times New Roman" w:hAnsi="Times New Roman" w:cs="Times New Roman"/>
          <w:sz w:val="24"/>
          <w:szCs w:val="24"/>
        </w:rPr>
        <w:t xml:space="preserve">wykonanego przez małą instytucję </w:t>
      </w:r>
      <w:r w:rsidR="00FA45C4" w:rsidRPr="00205E56">
        <w:rPr>
          <w:rFonts w:ascii="Times New Roman" w:hAnsi="Times New Roman" w:cs="Times New Roman"/>
          <w:sz w:val="24"/>
          <w:szCs w:val="24"/>
        </w:rPr>
        <w:lastRenderedPageBreak/>
        <w:t>płatnicz</w:t>
      </w:r>
      <w:r w:rsidR="003454B3">
        <w:rPr>
          <w:rFonts w:ascii="Times New Roman" w:hAnsi="Times New Roman" w:cs="Times New Roman"/>
          <w:sz w:val="24"/>
          <w:szCs w:val="24"/>
        </w:rPr>
        <w:t>ą</w:t>
      </w:r>
      <w:r w:rsidR="00F65ABD" w:rsidRPr="00205E56">
        <w:rPr>
          <w:rFonts w:ascii="Times New Roman" w:hAnsi="Times New Roman" w:cs="Times New Roman"/>
          <w:sz w:val="24"/>
          <w:szCs w:val="24"/>
        </w:rPr>
        <w:t xml:space="preserve"> </w:t>
      </w:r>
      <w:r w:rsidR="00FA45C4" w:rsidRPr="00205E56">
        <w:rPr>
          <w:rFonts w:ascii="Times New Roman" w:hAnsi="Times New Roman" w:cs="Times New Roman"/>
          <w:sz w:val="24"/>
          <w:szCs w:val="24"/>
        </w:rPr>
        <w:t>nie będzie mogła przekroczyć kwoty 1</w:t>
      </w:r>
      <w:r w:rsidR="00205E56" w:rsidRPr="00205E56">
        <w:rPr>
          <w:rFonts w:ascii="Times New Roman" w:hAnsi="Times New Roman" w:cs="Times New Roman"/>
          <w:sz w:val="24"/>
          <w:szCs w:val="24"/>
        </w:rPr>
        <w:t xml:space="preserve"> </w:t>
      </w:r>
      <w:r w:rsidR="00FA45C4" w:rsidRPr="00205E56">
        <w:rPr>
          <w:rFonts w:ascii="Times New Roman" w:hAnsi="Times New Roman" w:cs="Times New Roman"/>
          <w:sz w:val="24"/>
          <w:szCs w:val="24"/>
        </w:rPr>
        <w:t>500</w:t>
      </w:r>
      <w:r w:rsidR="00205E56" w:rsidRPr="00205E56">
        <w:rPr>
          <w:rFonts w:ascii="Times New Roman" w:hAnsi="Times New Roman" w:cs="Times New Roman"/>
          <w:sz w:val="24"/>
          <w:szCs w:val="24"/>
        </w:rPr>
        <w:t xml:space="preserve"> </w:t>
      </w:r>
      <w:r w:rsidR="00FA45C4" w:rsidRPr="00205E56">
        <w:rPr>
          <w:rFonts w:ascii="Times New Roman" w:hAnsi="Times New Roman" w:cs="Times New Roman"/>
          <w:sz w:val="24"/>
          <w:szCs w:val="24"/>
        </w:rPr>
        <w:t>000 euro miesięcznie. Art. 117f określa warunki, jakie musi spełnić mała instytucja płatnicza, aby świadczyć usługi płatnicze. KNF jako organ właściwy będzie spraw</w:t>
      </w:r>
      <w:r w:rsidR="001525DC">
        <w:rPr>
          <w:rFonts w:ascii="Times New Roman" w:hAnsi="Times New Roman" w:cs="Times New Roman"/>
          <w:sz w:val="24"/>
          <w:szCs w:val="24"/>
        </w:rPr>
        <w:t>ował nadzór nad działalnością w </w:t>
      </w:r>
      <w:r w:rsidR="00FA45C4" w:rsidRPr="00205E56">
        <w:rPr>
          <w:rFonts w:ascii="Times New Roman" w:hAnsi="Times New Roman" w:cs="Times New Roman"/>
          <w:sz w:val="24"/>
          <w:szCs w:val="24"/>
        </w:rPr>
        <w:t xml:space="preserve">zakresie usług płatniczych prowadzoną przez małe instytucje płatnicze. Celem nadzoru jest zapewnienie zgodności działalności </w:t>
      </w:r>
      <w:r w:rsidR="001525DC">
        <w:rPr>
          <w:rFonts w:ascii="Times New Roman" w:hAnsi="Times New Roman" w:cs="Times New Roman"/>
          <w:sz w:val="24"/>
          <w:szCs w:val="24"/>
        </w:rPr>
        <w:t>małych instytucji płatniczych z </w:t>
      </w:r>
      <w:r w:rsidR="00FA45C4" w:rsidRPr="00205E56">
        <w:rPr>
          <w:rFonts w:ascii="Times New Roman" w:hAnsi="Times New Roman" w:cs="Times New Roman"/>
          <w:sz w:val="24"/>
          <w:szCs w:val="24"/>
        </w:rPr>
        <w:t xml:space="preserve">przepisami ustawy i </w:t>
      </w:r>
      <w:r w:rsidR="003125C3" w:rsidRPr="00205E56">
        <w:rPr>
          <w:rFonts w:ascii="Times New Roman" w:hAnsi="Times New Roman" w:cs="Times New Roman"/>
          <w:sz w:val="24"/>
          <w:szCs w:val="24"/>
        </w:rPr>
        <w:t xml:space="preserve">rozporządzenia </w:t>
      </w:r>
      <w:r w:rsidR="0044059E" w:rsidRPr="00205E56">
        <w:rPr>
          <w:rFonts w:ascii="Times New Roman" w:eastAsia="Calibri" w:hAnsi="Times New Roman" w:cs="Times New Roman"/>
          <w:bCs/>
          <w:sz w:val="24"/>
          <w:szCs w:val="24"/>
          <w:lang w:eastAsia="pl-PL"/>
        </w:rPr>
        <w:t>MIFR</w:t>
      </w:r>
      <w:r w:rsidR="00655AEF">
        <w:rPr>
          <w:rFonts w:ascii="Times New Roman" w:eastAsia="Calibri" w:hAnsi="Times New Roman" w:cs="Times New Roman"/>
          <w:bCs/>
          <w:sz w:val="24"/>
          <w:szCs w:val="24"/>
          <w:lang w:eastAsia="pl-PL"/>
        </w:rPr>
        <w:t>EG</w:t>
      </w:r>
      <w:r w:rsidR="0044059E">
        <w:rPr>
          <w:rFonts w:ascii="Times New Roman" w:hAnsi="Times New Roman" w:cs="Times New Roman"/>
          <w:sz w:val="24"/>
          <w:szCs w:val="24"/>
        </w:rPr>
        <w:t xml:space="preserve">. </w:t>
      </w:r>
      <w:r w:rsidR="00FA45C4" w:rsidRPr="00205E56">
        <w:rPr>
          <w:rFonts w:ascii="Times New Roman" w:hAnsi="Times New Roman" w:cs="Times New Roman"/>
          <w:sz w:val="24"/>
          <w:szCs w:val="24"/>
        </w:rPr>
        <w:t xml:space="preserve">Mała instytucja płatnicza jest obowiązana do wnoszenia wpłat na pokrycie kosztów nadzoru w kwocie stanowiącej iloczyn całkowitej kwoty transakcji płatniczych wykonanych przez małą instytucję płatniczą, w tym także przez jej agentów, i stawki nieprzekraczającej 0,025%. W tym celu zostanie wydane przez Prezesa Rady Ministrów rozporządzenie w sprawie terminów uiszczania, wysokości i sposobu obliczania wpłat oraz sposobu i terminów rozliczenia należności z tytułu wpłat, </w:t>
      </w:r>
      <w:r w:rsidR="00665CEA" w:rsidRPr="00205E56">
        <w:rPr>
          <w:rFonts w:ascii="Times New Roman" w:hAnsi="Times New Roman" w:cs="Times New Roman"/>
          <w:sz w:val="24"/>
          <w:szCs w:val="24"/>
        </w:rPr>
        <w:t xml:space="preserve">z </w:t>
      </w:r>
      <w:r w:rsidR="00FA45C4" w:rsidRPr="00205E56">
        <w:rPr>
          <w:rFonts w:ascii="Times New Roman" w:hAnsi="Times New Roman" w:cs="Times New Roman"/>
          <w:sz w:val="24"/>
          <w:szCs w:val="24"/>
        </w:rPr>
        <w:t>uwzględni</w:t>
      </w:r>
      <w:r w:rsidR="00665CEA" w:rsidRPr="00205E56">
        <w:rPr>
          <w:rFonts w:ascii="Times New Roman" w:hAnsi="Times New Roman" w:cs="Times New Roman"/>
          <w:sz w:val="24"/>
          <w:szCs w:val="24"/>
        </w:rPr>
        <w:t xml:space="preserve">eniem </w:t>
      </w:r>
      <w:r w:rsidR="00FA45C4" w:rsidRPr="00205E56">
        <w:rPr>
          <w:rFonts w:ascii="Times New Roman" w:hAnsi="Times New Roman" w:cs="Times New Roman"/>
          <w:sz w:val="24"/>
          <w:szCs w:val="24"/>
        </w:rPr>
        <w:t>koniecznoś</w:t>
      </w:r>
      <w:r w:rsidR="00665CEA" w:rsidRPr="00205E56">
        <w:rPr>
          <w:rFonts w:ascii="Times New Roman" w:hAnsi="Times New Roman" w:cs="Times New Roman"/>
          <w:sz w:val="24"/>
          <w:szCs w:val="24"/>
        </w:rPr>
        <w:t>ci</w:t>
      </w:r>
      <w:r w:rsidR="00FA45C4" w:rsidRPr="00205E56">
        <w:rPr>
          <w:rFonts w:ascii="Times New Roman" w:hAnsi="Times New Roman" w:cs="Times New Roman"/>
          <w:sz w:val="24"/>
          <w:szCs w:val="24"/>
        </w:rPr>
        <w:t xml:space="preserve"> zapewnienia skuteczności sprawowanego nadzoru</w:t>
      </w:r>
      <w:r w:rsidR="00C528F2" w:rsidRPr="00205E56">
        <w:rPr>
          <w:rFonts w:ascii="Times New Roman" w:hAnsi="Times New Roman" w:cs="Times New Roman"/>
          <w:sz w:val="24"/>
          <w:szCs w:val="24"/>
        </w:rPr>
        <w:t xml:space="preserve"> </w:t>
      </w:r>
      <w:r w:rsidR="00665CEA" w:rsidRPr="00205E56">
        <w:rPr>
          <w:rFonts w:ascii="Times New Roman" w:hAnsi="Times New Roman" w:cs="Times New Roman"/>
          <w:sz w:val="24"/>
          <w:szCs w:val="24"/>
        </w:rPr>
        <w:t xml:space="preserve">z tym, że </w:t>
      </w:r>
      <w:r w:rsidR="00FA45C4" w:rsidRPr="00205E56">
        <w:rPr>
          <w:rFonts w:ascii="Times New Roman" w:hAnsi="Times New Roman" w:cs="Times New Roman"/>
          <w:sz w:val="24"/>
          <w:szCs w:val="24"/>
        </w:rPr>
        <w:t xml:space="preserve">wysokość wpłat na pokrycie kosztów nadzoru nie </w:t>
      </w:r>
      <w:r w:rsidR="00665CEA" w:rsidRPr="00205E56">
        <w:rPr>
          <w:rFonts w:ascii="Times New Roman" w:hAnsi="Times New Roman" w:cs="Times New Roman"/>
          <w:sz w:val="24"/>
          <w:szCs w:val="24"/>
        </w:rPr>
        <w:t xml:space="preserve">powinna </w:t>
      </w:r>
      <w:r w:rsidR="00FA45C4" w:rsidRPr="00205E56">
        <w:rPr>
          <w:rFonts w:ascii="Times New Roman" w:hAnsi="Times New Roman" w:cs="Times New Roman"/>
          <w:sz w:val="24"/>
          <w:szCs w:val="24"/>
        </w:rPr>
        <w:t>wpływa</w:t>
      </w:r>
      <w:r w:rsidR="00665CEA" w:rsidRPr="00205E56">
        <w:rPr>
          <w:rFonts w:ascii="Times New Roman" w:hAnsi="Times New Roman" w:cs="Times New Roman"/>
          <w:sz w:val="24"/>
          <w:szCs w:val="24"/>
        </w:rPr>
        <w:t xml:space="preserve">ć </w:t>
      </w:r>
      <w:r w:rsidR="00FA45C4" w:rsidRPr="00205E56">
        <w:rPr>
          <w:rFonts w:ascii="Times New Roman" w:hAnsi="Times New Roman" w:cs="Times New Roman"/>
          <w:sz w:val="24"/>
          <w:szCs w:val="24"/>
        </w:rPr>
        <w:t>w istotny sposób na zwiększenie kosztów działalności podmiotów obowiązanych do ich uiszczenia.</w:t>
      </w:r>
      <w:r w:rsidR="00F23395" w:rsidRPr="00205E56">
        <w:rPr>
          <w:rFonts w:ascii="Times New Roman" w:hAnsi="Times New Roman" w:cs="Times New Roman"/>
          <w:sz w:val="24"/>
          <w:szCs w:val="24"/>
        </w:rPr>
        <w:t xml:space="preserve"> </w:t>
      </w:r>
    </w:p>
    <w:p w14:paraId="0748CD54" w14:textId="23CAE394" w:rsidR="00F23395" w:rsidRPr="00205E56" w:rsidRDefault="00C55EDF"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Proponuje się</w:t>
      </w:r>
      <w:r w:rsidR="00F23395" w:rsidRPr="00205E56">
        <w:rPr>
          <w:rFonts w:ascii="Times New Roman" w:hAnsi="Times New Roman" w:cs="Times New Roman"/>
          <w:sz w:val="24"/>
          <w:szCs w:val="24"/>
        </w:rPr>
        <w:t xml:space="preserve">, </w:t>
      </w:r>
      <w:r w:rsidR="00375E14" w:rsidRPr="00205E56">
        <w:rPr>
          <w:rFonts w:ascii="Times New Roman" w:hAnsi="Times New Roman" w:cs="Times New Roman"/>
          <w:sz w:val="24"/>
          <w:szCs w:val="24"/>
        </w:rPr>
        <w:t>żeb</w:t>
      </w:r>
      <w:r w:rsidR="00F23395" w:rsidRPr="00205E56">
        <w:rPr>
          <w:rFonts w:ascii="Times New Roman" w:hAnsi="Times New Roman" w:cs="Times New Roman"/>
          <w:sz w:val="24"/>
          <w:szCs w:val="24"/>
        </w:rPr>
        <w:t>y rozpatrzenie wniosku podmiotu zamierzającego świadczyć usługę dostępu do informacji o rachunku następowało w terminie 3 miesięcy od dnia wpływu wniosku lub jego uzupełnienia. Tak wyznaczony termin jest właściwy i adekwatny do nakładu pracy wymaganej do rozpatrzenia wniosków nowych podmiotów wchodzących na rynek, o ile składane wnioski będą kompletne i pozbawione błędów. Propozycja ta jest analogiczna do ustawowych rozwiązań funkcjonujących lub przyjmowanych dla regulacji przewidujących konieczności przeprowadzenia postępowania rejestracyjnego lub licencyjnego, a zatem nie jest nadmiarowe.</w:t>
      </w:r>
    </w:p>
    <w:p w14:paraId="0EF9C671" w14:textId="0D880C4B" w:rsidR="00375E14" w:rsidRPr="00205E56" w:rsidRDefault="00375E14"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Wymóg posiadania przez małą instytucję płatniczą procedury zarz</w:t>
      </w:r>
      <w:r w:rsidR="003454B3">
        <w:rPr>
          <w:rFonts w:ascii="Times New Roman" w:hAnsi="Times New Roman" w:cs="Times New Roman"/>
          <w:sz w:val="24"/>
          <w:szCs w:val="24"/>
        </w:rPr>
        <w:t>ą</w:t>
      </w:r>
      <w:r w:rsidRPr="00205E56">
        <w:rPr>
          <w:rFonts w:ascii="Times New Roman" w:hAnsi="Times New Roman" w:cs="Times New Roman"/>
          <w:sz w:val="24"/>
          <w:szCs w:val="24"/>
        </w:rPr>
        <w:t>dzania ryzykiem ma na celu podkreślenie, ż</w:t>
      </w:r>
      <w:r w:rsidR="00C55EDF" w:rsidRPr="00205E56">
        <w:rPr>
          <w:rFonts w:ascii="Times New Roman" w:hAnsi="Times New Roman" w:cs="Times New Roman"/>
          <w:sz w:val="24"/>
          <w:szCs w:val="24"/>
        </w:rPr>
        <w:t>e</w:t>
      </w:r>
      <w:r w:rsidRPr="00205E56">
        <w:rPr>
          <w:rFonts w:ascii="Times New Roman" w:hAnsi="Times New Roman" w:cs="Times New Roman"/>
          <w:sz w:val="24"/>
          <w:szCs w:val="24"/>
        </w:rPr>
        <w:t xml:space="preserve"> zarządzanie ryzykiem jest istotnym procesem w działalności każdego podmiotu rynku finansowego. Mając na uwadze szeroki zakres usług płatniczych, jakie może świadczyć mała instytucja płatnicza, jak i wykaz dokumentów, jakie należy załączyć do wniosku o wpis do rejestru takiej instytucji, uzasadnione jest, aby procedura zarządzania ryzykiem była dokumentem niezbędnym do prawidłowego prowadzenia działalności przez małą instytucję płatniczą, który będzie stosownie aktualizowany.</w:t>
      </w:r>
    </w:p>
    <w:p w14:paraId="1F3E9600" w14:textId="14F9DB5E" w:rsidR="00375E14" w:rsidRPr="00205E56" w:rsidRDefault="00375E14"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lastRenderedPageBreak/>
        <w:t>W celu usprawnienia i przyspieszenia procesu rejestracyjnego przez KNF proponuje się ograniczenie wymogów dokumentacyjnych pr</w:t>
      </w:r>
      <w:r w:rsidR="001525DC">
        <w:rPr>
          <w:rFonts w:ascii="Times New Roman" w:hAnsi="Times New Roman" w:cs="Times New Roman"/>
          <w:sz w:val="24"/>
          <w:szCs w:val="24"/>
        </w:rPr>
        <w:t>zez rezygnację składania wraz z </w:t>
      </w:r>
      <w:r w:rsidRPr="00205E56">
        <w:rPr>
          <w:rFonts w:ascii="Times New Roman" w:hAnsi="Times New Roman" w:cs="Times New Roman"/>
          <w:sz w:val="24"/>
          <w:szCs w:val="24"/>
        </w:rPr>
        <w:t>wnioskiem o uzyskanie statusu małej instytucji pła</w:t>
      </w:r>
      <w:r w:rsidR="001525DC">
        <w:rPr>
          <w:rFonts w:ascii="Times New Roman" w:hAnsi="Times New Roman" w:cs="Times New Roman"/>
          <w:sz w:val="24"/>
          <w:szCs w:val="24"/>
        </w:rPr>
        <w:t>tniczej programu działalności i </w:t>
      </w:r>
      <w:r w:rsidRPr="00205E56">
        <w:rPr>
          <w:rFonts w:ascii="Times New Roman" w:hAnsi="Times New Roman" w:cs="Times New Roman"/>
          <w:sz w:val="24"/>
          <w:szCs w:val="24"/>
        </w:rPr>
        <w:t>planu finansowego, a także regulacji wewnętrznych dot</w:t>
      </w:r>
      <w:r w:rsidR="00C55EDF" w:rsidRPr="00205E56">
        <w:rPr>
          <w:rFonts w:ascii="Times New Roman" w:hAnsi="Times New Roman" w:cs="Times New Roman"/>
          <w:sz w:val="24"/>
          <w:szCs w:val="24"/>
        </w:rPr>
        <w:t xml:space="preserve">yczących </w:t>
      </w:r>
      <w:r w:rsidRPr="00205E56">
        <w:rPr>
          <w:rFonts w:ascii="Times New Roman" w:hAnsi="Times New Roman" w:cs="Times New Roman"/>
          <w:sz w:val="24"/>
          <w:szCs w:val="24"/>
        </w:rPr>
        <w:t>przeciwdziałani</w:t>
      </w:r>
      <w:r w:rsidR="00C55EDF" w:rsidRPr="00205E56">
        <w:rPr>
          <w:rFonts w:ascii="Times New Roman" w:hAnsi="Times New Roman" w:cs="Times New Roman"/>
          <w:sz w:val="24"/>
          <w:szCs w:val="24"/>
        </w:rPr>
        <w:t>a</w:t>
      </w:r>
      <w:r w:rsidRPr="00205E56">
        <w:rPr>
          <w:rFonts w:ascii="Times New Roman" w:hAnsi="Times New Roman" w:cs="Times New Roman"/>
          <w:sz w:val="24"/>
          <w:szCs w:val="24"/>
        </w:rPr>
        <w:t xml:space="preserve"> praniu pieniędzy i finansowaniu terroryzmu</w:t>
      </w:r>
      <w:r w:rsidR="008E7A8E" w:rsidRPr="00205E56">
        <w:rPr>
          <w:rFonts w:ascii="Times New Roman" w:hAnsi="Times New Roman" w:cs="Times New Roman"/>
          <w:sz w:val="24"/>
          <w:szCs w:val="24"/>
        </w:rPr>
        <w:t xml:space="preserve"> oraz procedur zarządzania ryzykiem.</w:t>
      </w:r>
    </w:p>
    <w:p w14:paraId="60B2D792" w14:textId="79A7CABE" w:rsidR="0061290B" w:rsidRPr="00205E56" w:rsidRDefault="0061290B"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27228C" w:rsidRPr="00205E56">
        <w:rPr>
          <w:rFonts w:ascii="Times New Roman" w:hAnsi="Times New Roman" w:cs="Times New Roman"/>
          <w:b/>
          <w:sz w:val="24"/>
          <w:szCs w:val="24"/>
        </w:rPr>
        <w:t>8</w:t>
      </w:r>
      <w:r w:rsidR="00C25C92">
        <w:rPr>
          <w:rFonts w:ascii="Times New Roman" w:hAnsi="Times New Roman" w:cs="Times New Roman"/>
          <w:b/>
          <w:sz w:val="24"/>
          <w:szCs w:val="24"/>
        </w:rPr>
        <w:t>8</w:t>
      </w:r>
      <w:r w:rsidR="0027228C" w:rsidRPr="00205E56">
        <w:rPr>
          <w:rFonts w:ascii="Times New Roman" w:hAnsi="Times New Roman" w:cs="Times New Roman"/>
          <w:sz w:val="24"/>
          <w:szCs w:val="24"/>
        </w:rPr>
        <w:t xml:space="preserve"> </w:t>
      </w:r>
      <w:r w:rsidRPr="00205E56">
        <w:rPr>
          <w:rFonts w:ascii="Times New Roman" w:hAnsi="Times New Roman" w:cs="Times New Roman"/>
          <w:sz w:val="24"/>
          <w:szCs w:val="24"/>
        </w:rPr>
        <w:t xml:space="preserve">wprowadzono zmiany do art. 120 w ust. 1 pkt 2, dokonując </w:t>
      </w:r>
      <w:proofErr w:type="spellStart"/>
      <w:r w:rsidRPr="00205E56">
        <w:rPr>
          <w:rFonts w:ascii="Times New Roman" w:hAnsi="Times New Roman" w:cs="Times New Roman"/>
          <w:sz w:val="24"/>
          <w:szCs w:val="24"/>
        </w:rPr>
        <w:t>uspójnienia</w:t>
      </w:r>
      <w:proofErr w:type="spellEnd"/>
      <w:r w:rsidRPr="00205E56">
        <w:rPr>
          <w:rFonts w:ascii="Times New Roman" w:hAnsi="Times New Roman" w:cs="Times New Roman"/>
          <w:sz w:val="24"/>
          <w:szCs w:val="24"/>
        </w:rPr>
        <w:t xml:space="preserve"> wymagań w zakresie niekaralności w stosunku do osoby zarządzającej biurem usług płatniczych z analogicznymi wymaganiami w tym zakresie dla zarządzających innym typem dostawcy.</w:t>
      </w:r>
    </w:p>
    <w:p w14:paraId="5961735C" w14:textId="04579539" w:rsidR="0027228C" w:rsidRPr="00205E56" w:rsidRDefault="0027228C"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A47A1F">
        <w:rPr>
          <w:rFonts w:ascii="Times New Roman" w:hAnsi="Times New Roman" w:cs="Times New Roman"/>
          <w:b/>
          <w:sz w:val="24"/>
          <w:szCs w:val="24"/>
        </w:rPr>
        <w:t>8</w:t>
      </w:r>
      <w:r w:rsidR="00AB0474" w:rsidRPr="00205E56">
        <w:rPr>
          <w:rFonts w:ascii="Times New Roman" w:hAnsi="Times New Roman" w:cs="Times New Roman"/>
          <w:b/>
          <w:sz w:val="24"/>
          <w:szCs w:val="24"/>
        </w:rPr>
        <w:t>9</w:t>
      </w:r>
      <w:r w:rsidRPr="00205E56">
        <w:rPr>
          <w:rFonts w:ascii="Times New Roman" w:hAnsi="Times New Roman" w:cs="Times New Roman"/>
          <w:sz w:val="24"/>
          <w:szCs w:val="24"/>
        </w:rPr>
        <w:t xml:space="preserve"> wprowadzono zmiany do art. 122 w ust. 2, dokonując </w:t>
      </w:r>
      <w:proofErr w:type="spellStart"/>
      <w:r w:rsidRPr="00205E56">
        <w:rPr>
          <w:rFonts w:ascii="Times New Roman" w:hAnsi="Times New Roman" w:cs="Times New Roman"/>
          <w:sz w:val="24"/>
          <w:szCs w:val="24"/>
        </w:rPr>
        <w:t>uspójnienia</w:t>
      </w:r>
      <w:proofErr w:type="spellEnd"/>
      <w:r w:rsidRPr="00205E56">
        <w:rPr>
          <w:rFonts w:ascii="Times New Roman" w:hAnsi="Times New Roman" w:cs="Times New Roman"/>
          <w:sz w:val="24"/>
          <w:szCs w:val="24"/>
        </w:rPr>
        <w:t xml:space="preserve"> oświadczenia wnioskodawcy składanego przy wniosku o dokonanie wpisu biura usług płatniczych do rejestru z analogicznymi oświadczenia</w:t>
      </w:r>
      <w:r w:rsidR="00DA5D73">
        <w:rPr>
          <w:rFonts w:ascii="Times New Roman" w:hAnsi="Times New Roman" w:cs="Times New Roman"/>
          <w:sz w:val="24"/>
          <w:szCs w:val="24"/>
        </w:rPr>
        <w:t>mi składanymi przy wniosku dot. </w:t>
      </w:r>
      <w:r w:rsidRPr="00205E56">
        <w:rPr>
          <w:rFonts w:ascii="Times New Roman" w:hAnsi="Times New Roman" w:cs="Times New Roman"/>
          <w:sz w:val="24"/>
          <w:szCs w:val="24"/>
        </w:rPr>
        <w:t>małej instytucji płatniczej (art. 117j ust. 2 pkt 2) i dostawcy świadczącego wyłącznie usługę dostępu do informacji o rachunku (art. 117b ust. 2 pkt 4).</w:t>
      </w:r>
    </w:p>
    <w:p w14:paraId="3F0D3346" w14:textId="0B839B41" w:rsidR="00F620EE" w:rsidRPr="00205E56" w:rsidRDefault="00A7705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27228C" w:rsidRPr="00205E56">
        <w:rPr>
          <w:rFonts w:ascii="Times New Roman" w:hAnsi="Times New Roman" w:cs="Times New Roman"/>
          <w:b/>
          <w:sz w:val="24"/>
          <w:szCs w:val="24"/>
        </w:rPr>
        <w:t>9</w:t>
      </w:r>
      <w:r w:rsidR="00657710">
        <w:rPr>
          <w:rFonts w:ascii="Times New Roman" w:hAnsi="Times New Roman" w:cs="Times New Roman"/>
          <w:b/>
          <w:sz w:val="24"/>
          <w:szCs w:val="24"/>
        </w:rPr>
        <w:t>0</w:t>
      </w:r>
      <w:r w:rsidR="0027228C" w:rsidRPr="00205E56">
        <w:rPr>
          <w:rFonts w:ascii="Times New Roman" w:hAnsi="Times New Roman" w:cs="Times New Roman"/>
          <w:sz w:val="24"/>
          <w:szCs w:val="24"/>
        </w:rPr>
        <w:t xml:space="preserve"> </w:t>
      </w:r>
      <w:r w:rsidR="00F620EE" w:rsidRPr="00205E56">
        <w:rPr>
          <w:rFonts w:ascii="Times New Roman" w:hAnsi="Times New Roman" w:cs="Times New Roman"/>
          <w:sz w:val="24"/>
          <w:szCs w:val="24"/>
        </w:rPr>
        <w:t>wprowadza się zmiany w art.</w:t>
      </w:r>
      <w:r w:rsidR="00384BE9" w:rsidRPr="00205E56">
        <w:rPr>
          <w:rFonts w:ascii="Times New Roman" w:hAnsi="Times New Roman" w:cs="Times New Roman"/>
          <w:sz w:val="24"/>
          <w:szCs w:val="24"/>
        </w:rPr>
        <w:t xml:space="preserve"> 127, zgodnie z którym w przypadku gdy biuro usług płatniczych</w:t>
      </w:r>
      <w:r w:rsidR="00D07BEB" w:rsidRPr="00205E56">
        <w:rPr>
          <w:rFonts w:ascii="Times New Roman" w:hAnsi="Times New Roman" w:cs="Times New Roman"/>
          <w:sz w:val="24"/>
          <w:szCs w:val="24"/>
        </w:rPr>
        <w:t xml:space="preserve"> </w:t>
      </w:r>
      <w:r w:rsidR="00384BE9" w:rsidRPr="00205E56">
        <w:rPr>
          <w:rFonts w:ascii="Times New Roman" w:hAnsi="Times New Roman" w:cs="Times New Roman"/>
          <w:sz w:val="24"/>
          <w:szCs w:val="24"/>
        </w:rPr>
        <w:t>przekroczy średnią całkowitą kwotę transakcji płatniczych</w:t>
      </w:r>
      <w:r w:rsidR="00066B2A" w:rsidRPr="00205E56">
        <w:rPr>
          <w:rFonts w:ascii="Times New Roman" w:hAnsi="Times New Roman" w:cs="Times New Roman"/>
          <w:sz w:val="24"/>
          <w:szCs w:val="24"/>
        </w:rPr>
        <w:t>,</w:t>
      </w:r>
      <w:r w:rsidR="00DA5D73">
        <w:rPr>
          <w:rFonts w:ascii="Times New Roman" w:hAnsi="Times New Roman" w:cs="Times New Roman"/>
          <w:sz w:val="24"/>
          <w:szCs w:val="24"/>
        </w:rPr>
        <w:t xml:space="preserve"> tj. </w:t>
      </w:r>
      <w:r w:rsidR="00384BE9" w:rsidRPr="00205E56">
        <w:rPr>
          <w:rFonts w:ascii="Times New Roman" w:hAnsi="Times New Roman" w:cs="Times New Roman"/>
          <w:sz w:val="24"/>
          <w:szCs w:val="24"/>
        </w:rPr>
        <w:t>500</w:t>
      </w:r>
      <w:r w:rsidR="00DA5D73">
        <w:rPr>
          <w:rFonts w:ascii="Times New Roman" w:hAnsi="Times New Roman" w:cs="Times New Roman"/>
          <w:sz w:val="24"/>
          <w:szCs w:val="24"/>
        </w:rPr>
        <w:t> </w:t>
      </w:r>
      <w:r w:rsidR="00384BE9" w:rsidRPr="00205E56">
        <w:rPr>
          <w:rFonts w:ascii="Times New Roman" w:hAnsi="Times New Roman" w:cs="Times New Roman"/>
          <w:sz w:val="24"/>
          <w:szCs w:val="24"/>
        </w:rPr>
        <w:t xml:space="preserve">000 euro miesięcznie, niezależnie od obowiązku dokonania zgłoszenia przekroczenia progu do KNF, będzie zobowiązane </w:t>
      </w:r>
      <w:r w:rsidR="007C1D9B" w:rsidRPr="00205E56">
        <w:rPr>
          <w:rFonts w:ascii="Times New Roman" w:hAnsi="Times New Roman" w:cs="Times New Roman"/>
          <w:sz w:val="24"/>
          <w:szCs w:val="24"/>
        </w:rPr>
        <w:t>do dostosowania rozmiarów prowadzonej działalności do wymogu określ</w:t>
      </w:r>
      <w:r w:rsidR="00DA5D73">
        <w:rPr>
          <w:rFonts w:ascii="Times New Roman" w:hAnsi="Times New Roman" w:cs="Times New Roman"/>
          <w:sz w:val="24"/>
          <w:szCs w:val="24"/>
        </w:rPr>
        <w:t>onego progu, złożenia wniosku o </w:t>
      </w:r>
      <w:r w:rsidR="007C1D9B" w:rsidRPr="00205E56">
        <w:rPr>
          <w:rFonts w:ascii="Times New Roman" w:hAnsi="Times New Roman" w:cs="Times New Roman"/>
          <w:sz w:val="24"/>
          <w:szCs w:val="24"/>
        </w:rPr>
        <w:t xml:space="preserve">dokonanie wpisu do rejestru małych instytucji </w:t>
      </w:r>
      <w:r w:rsidR="00DA5D73">
        <w:rPr>
          <w:rFonts w:ascii="Times New Roman" w:hAnsi="Times New Roman" w:cs="Times New Roman"/>
          <w:sz w:val="24"/>
          <w:szCs w:val="24"/>
        </w:rPr>
        <w:t>płatniczych, złożenia wniosku o </w:t>
      </w:r>
      <w:r w:rsidR="007C1D9B" w:rsidRPr="00205E56">
        <w:rPr>
          <w:rFonts w:ascii="Times New Roman" w:hAnsi="Times New Roman" w:cs="Times New Roman"/>
          <w:sz w:val="24"/>
          <w:szCs w:val="24"/>
        </w:rPr>
        <w:t>wydanie zezwolenia KNF o świadczenie usług płatniczych w charakterze krajowej instytucji płatniczej. W przypadku złożenia w terminie</w:t>
      </w:r>
      <w:r w:rsidR="00D33E98" w:rsidRPr="00205E56">
        <w:rPr>
          <w:rFonts w:ascii="Times New Roman" w:hAnsi="Times New Roman" w:cs="Times New Roman"/>
          <w:sz w:val="24"/>
          <w:szCs w:val="24"/>
        </w:rPr>
        <w:t xml:space="preserve"> wniosku </w:t>
      </w:r>
      <w:r w:rsidR="007C1D9B" w:rsidRPr="00205E56">
        <w:rPr>
          <w:rFonts w:ascii="Times New Roman" w:hAnsi="Times New Roman" w:cs="Times New Roman"/>
          <w:sz w:val="24"/>
          <w:szCs w:val="24"/>
        </w:rPr>
        <w:t xml:space="preserve">o wpisanie do rejestru małych instytucji płatniczych lub wniosku o </w:t>
      </w:r>
      <w:r w:rsidR="00D33E98" w:rsidRPr="00205E56">
        <w:rPr>
          <w:rFonts w:ascii="Times New Roman" w:hAnsi="Times New Roman" w:cs="Times New Roman"/>
          <w:sz w:val="24"/>
          <w:szCs w:val="24"/>
        </w:rPr>
        <w:t xml:space="preserve">wydanie zezwolenia KNF na świadczenie usług płatniczych w charakterze krajowej instytucji płatniczej, </w:t>
      </w:r>
      <w:r w:rsidR="007C1D9B" w:rsidRPr="00205E56">
        <w:rPr>
          <w:rFonts w:ascii="Times New Roman" w:hAnsi="Times New Roman" w:cs="Times New Roman"/>
          <w:sz w:val="24"/>
          <w:szCs w:val="24"/>
        </w:rPr>
        <w:t xml:space="preserve">biuro usług płatniczych nie </w:t>
      </w:r>
      <w:r w:rsidR="00066B2A" w:rsidRPr="00205E56">
        <w:rPr>
          <w:rFonts w:ascii="Times New Roman" w:hAnsi="Times New Roman" w:cs="Times New Roman"/>
          <w:sz w:val="24"/>
          <w:szCs w:val="24"/>
        </w:rPr>
        <w:t xml:space="preserve">będzie </w:t>
      </w:r>
      <w:r w:rsidR="007C1D9B" w:rsidRPr="00205E56">
        <w:rPr>
          <w:rFonts w:ascii="Times New Roman" w:hAnsi="Times New Roman" w:cs="Times New Roman"/>
          <w:sz w:val="24"/>
          <w:szCs w:val="24"/>
        </w:rPr>
        <w:t>zobowiązane do dostosowania rozmi</w:t>
      </w:r>
      <w:r w:rsidR="00DA5D73">
        <w:rPr>
          <w:rFonts w:ascii="Times New Roman" w:hAnsi="Times New Roman" w:cs="Times New Roman"/>
          <w:sz w:val="24"/>
          <w:szCs w:val="24"/>
        </w:rPr>
        <w:t>arów prowadzonej działalności w </w:t>
      </w:r>
      <w:r w:rsidR="007C1D9B" w:rsidRPr="00205E56">
        <w:rPr>
          <w:rFonts w:ascii="Times New Roman" w:hAnsi="Times New Roman" w:cs="Times New Roman"/>
          <w:sz w:val="24"/>
          <w:szCs w:val="24"/>
        </w:rPr>
        <w:t>zakresie usług płatniczych do wymogu 500</w:t>
      </w:r>
      <w:r w:rsidR="00205E56" w:rsidRPr="00205E56">
        <w:rPr>
          <w:rFonts w:ascii="Times New Roman" w:hAnsi="Times New Roman" w:cs="Times New Roman"/>
          <w:sz w:val="24"/>
          <w:szCs w:val="24"/>
        </w:rPr>
        <w:t xml:space="preserve"> </w:t>
      </w:r>
      <w:r w:rsidR="007C1D9B" w:rsidRPr="00205E56">
        <w:rPr>
          <w:rFonts w:ascii="Times New Roman" w:hAnsi="Times New Roman" w:cs="Times New Roman"/>
          <w:sz w:val="24"/>
          <w:szCs w:val="24"/>
        </w:rPr>
        <w:t xml:space="preserve">000 euro miesięcznie do czasu rozpoznania wniosku. W przypadku odmowy wpisu do rejestru małych instytucji płatniczych, odmowy wydania zezwolenia KNF, lub umorzenia postępowania, termin na dostosowanie rozmiarów działalności w zakresie usług płatniczych do wymogu, </w:t>
      </w:r>
      <w:r w:rsidR="00D33E98" w:rsidRPr="00205E56">
        <w:rPr>
          <w:rFonts w:ascii="Times New Roman" w:hAnsi="Times New Roman" w:cs="Times New Roman"/>
          <w:sz w:val="24"/>
          <w:szCs w:val="24"/>
        </w:rPr>
        <w:t>będzie biegł od dnia, w którym decyzja stanie</w:t>
      </w:r>
      <w:r w:rsidR="007C1D9B" w:rsidRPr="00205E56">
        <w:rPr>
          <w:rFonts w:ascii="Times New Roman" w:hAnsi="Times New Roman" w:cs="Times New Roman"/>
          <w:sz w:val="24"/>
          <w:szCs w:val="24"/>
        </w:rPr>
        <w:t xml:space="preserve"> się ostateczna. </w:t>
      </w:r>
    </w:p>
    <w:p w14:paraId="7874E3E3" w14:textId="562DB251" w:rsidR="0084405D" w:rsidRPr="00205E56" w:rsidRDefault="0084405D"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252D8B" w:rsidRPr="00205E56">
        <w:rPr>
          <w:rFonts w:ascii="Times New Roman" w:hAnsi="Times New Roman" w:cs="Times New Roman"/>
          <w:b/>
          <w:sz w:val="24"/>
          <w:szCs w:val="24"/>
        </w:rPr>
        <w:t>9</w:t>
      </w:r>
      <w:r w:rsidR="00657710">
        <w:rPr>
          <w:rFonts w:ascii="Times New Roman" w:hAnsi="Times New Roman" w:cs="Times New Roman"/>
          <w:b/>
          <w:sz w:val="24"/>
          <w:szCs w:val="24"/>
        </w:rPr>
        <w:t>1</w:t>
      </w:r>
      <w:r w:rsidRPr="00205E56">
        <w:rPr>
          <w:rFonts w:ascii="Times New Roman" w:hAnsi="Times New Roman" w:cs="Times New Roman"/>
          <w:sz w:val="24"/>
          <w:szCs w:val="24"/>
        </w:rPr>
        <w:t xml:space="preserve"> zmienia się odniesienie określone w ar</w:t>
      </w:r>
      <w:r w:rsidR="00DA5D73">
        <w:rPr>
          <w:rFonts w:ascii="Times New Roman" w:hAnsi="Times New Roman" w:cs="Times New Roman"/>
          <w:sz w:val="24"/>
          <w:szCs w:val="24"/>
        </w:rPr>
        <w:t>t. 128, w związku ze zmianami w </w:t>
      </w:r>
      <w:r w:rsidRPr="00205E56">
        <w:rPr>
          <w:rFonts w:ascii="Times New Roman" w:hAnsi="Times New Roman" w:cs="Times New Roman"/>
          <w:sz w:val="24"/>
          <w:szCs w:val="24"/>
        </w:rPr>
        <w:t>art.</w:t>
      </w:r>
      <w:r w:rsidR="00DA5D73">
        <w:rPr>
          <w:rFonts w:ascii="Times New Roman" w:hAnsi="Times New Roman" w:cs="Times New Roman"/>
          <w:sz w:val="24"/>
          <w:szCs w:val="24"/>
        </w:rPr>
        <w:t> </w:t>
      </w:r>
      <w:r w:rsidRPr="00205E56">
        <w:rPr>
          <w:rFonts w:ascii="Times New Roman" w:hAnsi="Times New Roman" w:cs="Times New Roman"/>
          <w:sz w:val="24"/>
          <w:szCs w:val="24"/>
        </w:rPr>
        <w:t>127.</w:t>
      </w:r>
    </w:p>
    <w:p w14:paraId="18C635B9" w14:textId="1A52559B" w:rsidR="001834D2" w:rsidRPr="00205E56" w:rsidRDefault="00316B25"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lastRenderedPageBreak/>
        <w:t xml:space="preserve">W </w:t>
      </w:r>
      <w:r w:rsidRPr="00205E56">
        <w:rPr>
          <w:rFonts w:ascii="Times New Roman" w:hAnsi="Times New Roman" w:cs="Times New Roman"/>
          <w:b/>
          <w:sz w:val="24"/>
          <w:szCs w:val="24"/>
        </w:rPr>
        <w:t>pkt 9</w:t>
      </w:r>
      <w:r w:rsidR="00657710">
        <w:rPr>
          <w:rFonts w:ascii="Times New Roman" w:hAnsi="Times New Roman" w:cs="Times New Roman"/>
          <w:b/>
          <w:sz w:val="24"/>
          <w:szCs w:val="24"/>
        </w:rPr>
        <w:t>2</w:t>
      </w:r>
      <w:r w:rsidRPr="00205E56">
        <w:rPr>
          <w:rFonts w:ascii="Times New Roman" w:hAnsi="Times New Roman" w:cs="Times New Roman"/>
          <w:sz w:val="24"/>
          <w:szCs w:val="24"/>
        </w:rPr>
        <w:t xml:space="preserve"> </w:t>
      </w:r>
      <w:r w:rsidR="007127EC" w:rsidRPr="00205E56">
        <w:rPr>
          <w:rFonts w:ascii="Times New Roman" w:hAnsi="Times New Roman" w:cs="Times New Roman"/>
          <w:sz w:val="24"/>
          <w:szCs w:val="24"/>
        </w:rPr>
        <w:t xml:space="preserve">w art. 131 </w:t>
      </w:r>
      <w:r w:rsidR="001834D2" w:rsidRPr="00205E56">
        <w:rPr>
          <w:rFonts w:ascii="Times New Roman" w:hAnsi="Times New Roman" w:cs="Times New Roman"/>
          <w:sz w:val="24"/>
          <w:szCs w:val="24"/>
        </w:rPr>
        <w:t xml:space="preserve">dodaje się </w:t>
      </w:r>
      <w:r w:rsidR="007127EC" w:rsidRPr="00205E56">
        <w:rPr>
          <w:rFonts w:ascii="Times New Roman" w:hAnsi="Times New Roman" w:cs="Times New Roman"/>
          <w:sz w:val="24"/>
          <w:szCs w:val="24"/>
        </w:rPr>
        <w:t xml:space="preserve">ust. 3 wyłączający stosowanie ust. 2 tego art. </w:t>
      </w:r>
      <w:r w:rsidR="00DA5D73">
        <w:rPr>
          <w:rFonts w:ascii="Times New Roman" w:hAnsi="Times New Roman" w:cs="Times New Roman"/>
          <w:sz w:val="24"/>
          <w:szCs w:val="24"/>
        </w:rPr>
        <w:t>Zgodnie z </w:t>
      </w:r>
      <w:r w:rsidR="001834D2" w:rsidRPr="00205E56">
        <w:rPr>
          <w:rFonts w:ascii="Times New Roman" w:hAnsi="Times New Roman" w:cs="Times New Roman"/>
          <w:sz w:val="24"/>
          <w:szCs w:val="24"/>
        </w:rPr>
        <w:t>przepisem art. 131 kasa oszczędnościowo-kredytow</w:t>
      </w:r>
      <w:r w:rsidR="003454B3">
        <w:rPr>
          <w:rFonts w:ascii="Times New Roman" w:hAnsi="Times New Roman" w:cs="Times New Roman"/>
          <w:sz w:val="24"/>
          <w:szCs w:val="24"/>
        </w:rPr>
        <w:t>a</w:t>
      </w:r>
      <w:r w:rsidR="001834D2" w:rsidRPr="00205E56">
        <w:rPr>
          <w:rFonts w:ascii="Times New Roman" w:hAnsi="Times New Roman" w:cs="Times New Roman"/>
          <w:sz w:val="24"/>
          <w:szCs w:val="24"/>
        </w:rPr>
        <w:t xml:space="preserve"> w terminie 30 dni od dnia</w:t>
      </w:r>
      <w:r w:rsidR="007127EC" w:rsidRPr="00205E56">
        <w:rPr>
          <w:rFonts w:ascii="Times New Roman" w:hAnsi="Times New Roman" w:cs="Times New Roman"/>
          <w:sz w:val="24"/>
          <w:szCs w:val="24"/>
        </w:rPr>
        <w:t xml:space="preserve"> </w:t>
      </w:r>
      <w:r w:rsidR="001834D2" w:rsidRPr="00205E56">
        <w:rPr>
          <w:rFonts w:ascii="Times New Roman" w:hAnsi="Times New Roman" w:cs="Times New Roman"/>
          <w:sz w:val="24"/>
          <w:szCs w:val="24"/>
        </w:rPr>
        <w:t>rozpoczęcia działalności w zakresie świadczenia usł</w:t>
      </w:r>
      <w:r w:rsidR="00DA5D73">
        <w:rPr>
          <w:rFonts w:ascii="Times New Roman" w:hAnsi="Times New Roman" w:cs="Times New Roman"/>
          <w:sz w:val="24"/>
          <w:szCs w:val="24"/>
        </w:rPr>
        <w:t>ug płatniczych zawiadamia KNF o </w:t>
      </w:r>
      <w:r w:rsidR="001834D2" w:rsidRPr="00205E56">
        <w:rPr>
          <w:rFonts w:ascii="Times New Roman" w:hAnsi="Times New Roman" w:cs="Times New Roman"/>
          <w:sz w:val="24"/>
          <w:szCs w:val="24"/>
        </w:rPr>
        <w:t>rozpoczęciu tej</w:t>
      </w:r>
      <w:r w:rsidR="007127EC" w:rsidRPr="00205E56">
        <w:rPr>
          <w:rFonts w:ascii="Times New Roman" w:hAnsi="Times New Roman" w:cs="Times New Roman"/>
          <w:sz w:val="24"/>
          <w:szCs w:val="24"/>
        </w:rPr>
        <w:t xml:space="preserve"> </w:t>
      </w:r>
      <w:r w:rsidR="001834D2" w:rsidRPr="00205E56">
        <w:rPr>
          <w:rFonts w:ascii="Times New Roman" w:hAnsi="Times New Roman" w:cs="Times New Roman"/>
          <w:sz w:val="24"/>
          <w:szCs w:val="24"/>
        </w:rPr>
        <w:t xml:space="preserve">działalności, wskazując: 1) nazwę (firmę) i siedzibę </w:t>
      </w:r>
      <w:r w:rsidR="00657710">
        <w:rPr>
          <w:rFonts w:ascii="Times New Roman" w:hAnsi="Times New Roman" w:cs="Times New Roman"/>
          <w:sz w:val="24"/>
          <w:szCs w:val="24"/>
        </w:rPr>
        <w:t>i</w:t>
      </w:r>
      <w:r w:rsidR="001834D2" w:rsidRPr="00205E56">
        <w:rPr>
          <w:rFonts w:ascii="Times New Roman" w:hAnsi="Times New Roman" w:cs="Times New Roman"/>
          <w:sz w:val="24"/>
          <w:szCs w:val="24"/>
        </w:rPr>
        <w:t xml:space="preserve"> adres; 2) numer w rejestrze przedsiębiorców; 3)</w:t>
      </w:r>
      <w:r w:rsidR="007127EC" w:rsidRPr="00205E56">
        <w:rPr>
          <w:rFonts w:ascii="Times New Roman" w:hAnsi="Times New Roman" w:cs="Times New Roman"/>
          <w:sz w:val="24"/>
          <w:szCs w:val="24"/>
        </w:rPr>
        <w:t xml:space="preserve"> </w:t>
      </w:r>
      <w:r w:rsidR="001834D2" w:rsidRPr="00205E56">
        <w:rPr>
          <w:rFonts w:ascii="Times New Roman" w:hAnsi="Times New Roman" w:cs="Times New Roman"/>
          <w:sz w:val="24"/>
          <w:szCs w:val="24"/>
        </w:rPr>
        <w:t>wykaz świadczonyc</w:t>
      </w:r>
      <w:r w:rsidR="00DA5D73">
        <w:rPr>
          <w:rFonts w:ascii="Times New Roman" w:hAnsi="Times New Roman" w:cs="Times New Roman"/>
          <w:sz w:val="24"/>
          <w:szCs w:val="24"/>
        </w:rPr>
        <w:t>h usług płatniczych; 4) nazwy i </w:t>
      </w:r>
      <w:r w:rsidR="001834D2" w:rsidRPr="00205E56">
        <w:rPr>
          <w:rFonts w:ascii="Times New Roman" w:hAnsi="Times New Roman" w:cs="Times New Roman"/>
          <w:sz w:val="24"/>
          <w:szCs w:val="24"/>
        </w:rPr>
        <w:t>adresy posiadanych oddziałów (ust. 1). Krajowa</w:t>
      </w:r>
      <w:r w:rsidR="007127EC" w:rsidRPr="00205E56">
        <w:rPr>
          <w:rFonts w:ascii="Times New Roman" w:hAnsi="Times New Roman" w:cs="Times New Roman"/>
          <w:sz w:val="24"/>
          <w:szCs w:val="24"/>
        </w:rPr>
        <w:t xml:space="preserve"> </w:t>
      </w:r>
      <w:r w:rsidR="001834D2" w:rsidRPr="00205E56">
        <w:rPr>
          <w:rFonts w:ascii="Times New Roman" w:hAnsi="Times New Roman" w:cs="Times New Roman"/>
          <w:sz w:val="24"/>
          <w:szCs w:val="24"/>
        </w:rPr>
        <w:t>Spółdzielcza Kasa Oszczędnościowo</w:t>
      </w:r>
      <w:r w:rsidR="00DA5D73">
        <w:rPr>
          <w:rFonts w:ascii="Times New Roman" w:hAnsi="Times New Roman" w:cs="Times New Roman"/>
          <w:sz w:val="24"/>
          <w:szCs w:val="24"/>
        </w:rPr>
        <w:t>-</w:t>
      </w:r>
      <w:r w:rsidR="00DA5D73">
        <w:rPr>
          <w:rFonts w:ascii="Times New Roman" w:hAnsi="Times New Roman" w:cs="Times New Roman"/>
          <w:sz w:val="24"/>
          <w:szCs w:val="24"/>
        </w:rPr>
        <w:br/>
      </w:r>
      <w:r w:rsidR="001834D2" w:rsidRPr="00205E56">
        <w:rPr>
          <w:rFonts w:ascii="Times New Roman" w:hAnsi="Times New Roman" w:cs="Times New Roman"/>
          <w:sz w:val="24"/>
          <w:szCs w:val="24"/>
        </w:rPr>
        <w:t>-Kredytowa zawiadamia KNF o zakończeniu działalności przez</w:t>
      </w:r>
      <w:r w:rsidR="007127EC" w:rsidRPr="00205E56">
        <w:rPr>
          <w:rFonts w:ascii="Times New Roman" w:hAnsi="Times New Roman" w:cs="Times New Roman"/>
          <w:sz w:val="24"/>
          <w:szCs w:val="24"/>
        </w:rPr>
        <w:t xml:space="preserve"> </w:t>
      </w:r>
      <w:r w:rsidR="00DA5D73">
        <w:rPr>
          <w:rFonts w:ascii="Times New Roman" w:hAnsi="Times New Roman" w:cs="Times New Roman"/>
          <w:sz w:val="24"/>
          <w:szCs w:val="24"/>
        </w:rPr>
        <w:t>kasę oszczędnościowo-</w:t>
      </w:r>
      <w:r w:rsidR="00DA5D73">
        <w:rPr>
          <w:rFonts w:ascii="Times New Roman" w:hAnsi="Times New Roman" w:cs="Times New Roman"/>
          <w:sz w:val="24"/>
          <w:szCs w:val="24"/>
        </w:rPr>
        <w:br/>
        <w:t>-</w:t>
      </w:r>
      <w:r w:rsidR="001834D2" w:rsidRPr="00205E56">
        <w:rPr>
          <w:rFonts w:ascii="Times New Roman" w:hAnsi="Times New Roman" w:cs="Times New Roman"/>
          <w:sz w:val="24"/>
          <w:szCs w:val="24"/>
        </w:rPr>
        <w:t>kredytową w terminie 14 dni od dnia uzyskania takiej informacji ze</w:t>
      </w:r>
      <w:r w:rsidR="007127EC" w:rsidRPr="00205E56">
        <w:rPr>
          <w:rFonts w:ascii="Times New Roman" w:hAnsi="Times New Roman" w:cs="Times New Roman"/>
          <w:sz w:val="24"/>
          <w:szCs w:val="24"/>
        </w:rPr>
        <w:t xml:space="preserve"> </w:t>
      </w:r>
      <w:r w:rsidR="001834D2" w:rsidRPr="00205E56">
        <w:rPr>
          <w:rFonts w:ascii="Times New Roman" w:hAnsi="Times New Roman" w:cs="Times New Roman"/>
          <w:sz w:val="24"/>
          <w:szCs w:val="24"/>
        </w:rPr>
        <w:t>wskazaniem daty zakończenia działalności przez kasę oszczędnościowo-kredytową (ust. 2). Zgodnie</w:t>
      </w:r>
      <w:r w:rsidR="007127EC" w:rsidRPr="00205E56">
        <w:rPr>
          <w:rFonts w:ascii="Times New Roman" w:hAnsi="Times New Roman" w:cs="Times New Roman"/>
          <w:sz w:val="24"/>
          <w:szCs w:val="24"/>
        </w:rPr>
        <w:t xml:space="preserve"> </w:t>
      </w:r>
      <w:r w:rsidR="00DA5D73">
        <w:rPr>
          <w:rFonts w:ascii="Times New Roman" w:hAnsi="Times New Roman" w:cs="Times New Roman"/>
          <w:sz w:val="24"/>
          <w:szCs w:val="24"/>
        </w:rPr>
        <w:t>zaś z </w:t>
      </w:r>
      <w:r w:rsidR="001834D2" w:rsidRPr="00205E56">
        <w:rPr>
          <w:rFonts w:ascii="Times New Roman" w:hAnsi="Times New Roman" w:cs="Times New Roman"/>
          <w:sz w:val="24"/>
          <w:szCs w:val="24"/>
        </w:rPr>
        <w:t>art. 142 tej ustawy Komisja Nadzoru Finansowego z urzędu dokonuje wykreśleni</w:t>
      </w:r>
      <w:r w:rsidR="007127EC" w:rsidRPr="00205E56">
        <w:rPr>
          <w:rFonts w:ascii="Times New Roman" w:hAnsi="Times New Roman" w:cs="Times New Roman"/>
          <w:sz w:val="24"/>
          <w:szCs w:val="24"/>
        </w:rPr>
        <w:t xml:space="preserve">a wpisu z rejestru w przypadku </w:t>
      </w:r>
      <w:r w:rsidR="001834D2" w:rsidRPr="00205E56">
        <w:rPr>
          <w:rFonts w:ascii="Times New Roman" w:hAnsi="Times New Roman" w:cs="Times New Roman"/>
          <w:sz w:val="24"/>
          <w:szCs w:val="24"/>
        </w:rPr>
        <w:t>m.in. zakończenia działalności przez kasę oszczędnościowo-kredytową, na</w:t>
      </w:r>
      <w:r w:rsidR="007127EC" w:rsidRPr="00205E56">
        <w:rPr>
          <w:rFonts w:ascii="Times New Roman" w:hAnsi="Times New Roman" w:cs="Times New Roman"/>
          <w:sz w:val="24"/>
          <w:szCs w:val="24"/>
        </w:rPr>
        <w:t xml:space="preserve"> </w:t>
      </w:r>
      <w:r w:rsidR="001834D2" w:rsidRPr="00205E56">
        <w:rPr>
          <w:rFonts w:ascii="Times New Roman" w:hAnsi="Times New Roman" w:cs="Times New Roman"/>
          <w:sz w:val="24"/>
          <w:szCs w:val="24"/>
        </w:rPr>
        <w:t>podstawie zawiadomienia, o</w:t>
      </w:r>
      <w:r w:rsidR="007127EC" w:rsidRPr="00205E56">
        <w:rPr>
          <w:rFonts w:ascii="Times New Roman" w:hAnsi="Times New Roman" w:cs="Times New Roman"/>
          <w:sz w:val="24"/>
          <w:szCs w:val="24"/>
        </w:rPr>
        <w:t xml:space="preserve"> którym mowa w art. 131 ust. 2</w:t>
      </w:r>
      <w:r w:rsidR="001834D2" w:rsidRPr="00205E56">
        <w:rPr>
          <w:rFonts w:ascii="Times New Roman" w:hAnsi="Times New Roman" w:cs="Times New Roman"/>
          <w:sz w:val="24"/>
          <w:szCs w:val="24"/>
        </w:rPr>
        <w:t>.</w:t>
      </w:r>
      <w:r w:rsidR="007127EC" w:rsidRPr="00205E56">
        <w:rPr>
          <w:rFonts w:ascii="Times New Roman" w:hAnsi="Times New Roman" w:cs="Times New Roman"/>
          <w:sz w:val="24"/>
          <w:szCs w:val="24"/>
        </w:rPr>
        <w:t xml:space="preserve"> W </w:t>
      </w:r>
      <w:r w:rsidR="001834D2" w:rsidRPr="00205E56">
        <w:rPr>
          <w:rFonts w:ascii="Times New Roman" w:hAnsi="Times New Roman" w:cs="Times New Roman"/>
          <w:sz w:val="24"/>
          <w:szCs w:val="24"/>
        </w:rPr>
        <w:t>sytuacji przejęcia kasy przez inną</w:t>
      </w:r>
      <w:r w:rsidR="007127EC" w:rsidRPr="00205E56">
        <w:rPr>
          <w:rFonts w:ascii="Times New Roman" w:hAnsi="Times New Roman" w:cs="Times New Roman"/>
          <w:sz w:val="24"/>
          <w:szCs w:val="24"/>
        </w:rPr>
        <w:t xml:space="preserve"> </w:t>
      </w:r>
      <w:r w:rsidR="001834D2" w:rsidRPr="00205E56">
        <w:rPr>
          <w:rFonts w:ascii="Times New Roman" w:hAnsi="Times New Roman" w:cs="Times New Roman"/>
          <w:sz w:val="24"/>
          <w:szCs w:val="24"/>
        </w:rPr>
        <w:t>spółdzielczą kasę oszczędnościowo-</w:t>
      </w:r>
      <w:r w:rsidR="00DA5D73">
        <w:rPr>
          <w:rFonts w:ascii="Times New Roman" w:hAnsi="Times New Roman" w:cs="Times New Roman"/>
          <w:sz w:val="24"/>
          <w:szCs w:val="24"/>
        </w:rPr>
        <w:br/>
        <w:t>-</w:t>
      </w:r>
      <w:r w:rsidR="001834D2" w:rsidRPr="00205E56">
        <w:rPr>
          <w:rFonts w:ascii="Times New Roman" w:hAnsi="Times New Roman" w:cs="Times New Roman"/>
          <w:sz w:val="24"/>
          <w:szCs w:val="24"/>
        </w:rPr>
        <w:t>kredytową lub bank (art. 74c ust. 3 i 4</w:t>
      </w:r>
      <w:r w:rsidR="00657710">
        <w:rPr>
          <w:rFonts w:ascii="Times New Roman" w:hAnsi="Times New Roman" w:cs="Times New Roman"/>
          <w:sz w:val="24"/>
          <w:szCs w:val="24"/>
        </w:rPr>
        <w:t xml:space="preserve"> ustawy z dnia 5 listopada 2009 r. o spółdzielczych kasach oszczędnościowo-kredytowych (Dz. U. z 2017 r. poz. 206, z </w:t>
      </w:r>
      <w:proofErr w:type="spellStart"/>
      <w:r w:rsidR="00657710">
        <w:rPr>
          <w:rFonts w:ascii="Times New Roman" w:hAnsi="Times New Roman" w:cs="Times New Roman"/>
          <w:sz w:val="24"/>
          <w:szCs w:val="24"/>
        </w:rPr>
        <w:t>późn</w:t>
      </w:r>
      <w:proofErr w:type="spellEnd"/>
      <w:r w:rsidR="00657710">
        <w:rPr>
          <w:rFonts w:ascii="Times New Roman" w:hAnsi="Times New Roman" w:cs="Times New Roman"/>
          <w:sz w:val="24"/>
          <w:szCs w:val="24"/>
        </w:rPr>
        <w:t>. zm.)</w:t>
      </w:r>
      <w:r w:rsidR="001834D2" w:rsidRPr="00205E56">
        <w:rPr>
          <w:rFonts w:ascii="Times New Roman" w:hAnsi="Times New Roman" w:cs="Times New Roman"/>
          <w:sz w:val="24"/>
          <w:szCs w:val="24"/>
        </w:rPr>
        <w:t>) oraz ogłoszenia upadłości</w:t>
      </w:r>
      <w:r w:rsidR="007127EC" w:rsidRPr="00205E56">
        <w:rPr>
          <w:rFonts w:ascii="Times New Roman" w:hAnsi="Times New Roman" w:cs="Times New Roman"/>
          <w:sz w:val="24"/>
          <w:szCs w:val="24"/>
        </w:rPr>
        <w:t xml:space="preserve"> </w:t>
      </w:r>
      <w:r w:rsidR="001834D2" w:rsidRPr="00205E56">
        <w:rPr>
          <w:rFonts w:ascii="Times New Roman" w:hAnsi="Times New Roman" w:cs="Times New Roman"/>
          <w:sz w:val="24"/>
          <w:szCs w:val="24"/>
        </w:rPr>
        <w:t>spółdzielczej kasy oszczędnościowo</w:t>
      </w:r>
      <w:r w:rsidR="00657710">
        <w:rPr>
          <w:rFonts w:ascii="Times New Roman" w:hAnsi="Times New Roman" w:cs="Times New Roman"/>
          <w:sz w:val="24"/>
          <w:szCs w:val="24"/>
        </w:rPr>
        <w:t>-</w:t>
      </w:r>
      <w:r w:rsidR="00657710">
        <w:rPr>
          <w:rFonts w:ascii="Times New Roman" w:hAnsi="Times New Roman" w:cs="Times New Roman"/>
          <w:sz w:val="24"/>
          <w:szCs w:val="24"/>
        </w:rPr>
        <w:br/>
        <w:t>-</w:t>
      </w:r>
      <w:r w:rsidR="001834D2" w:rsidRPr="00205E56">
        <w:rPr>
          <w:rFonts w:ascii="Times New Roman" w:hAnsi="Times New Roman" w:cs="Times New Roman"/>
          <w:sz w:val="24"/>
          <w:szCs w:val="24"/>
        </w:rPr>
        <w:t xml:space="preserve">kredytowej (art. 74k </w:t>
      </w:r>
      <w:r w:rsidR="00657710">
        <w:rPr>
          <w:rFonts w:ascii="Times New Roman" w:hAnsi="Times New Roman" w:cs="Times New Roman"/>
          <w:sz w:val="24"/>
          <w:szCs w:val="24"/>
        </w:rPr>
        <w:t xml:space="preserve">tej </w:t>
      </w:r>
      <w:r w:rsidR="001834D2" w:rsidRPr="00205E56">
        <w:rPr>
          <w:rFonts w:ascii="Times New Roman" w:hAnsi="Times New Roman" w:cs="Times New Roman"/>
          <w:sz w:val="24"/>
          <w:szCs w:val="24"/>
        </w:rPr>
        <w:t>ustawy) to nie Kasa Krajowa jest</w:t>
      </w:r>
      <w:r w:rsidR="007127EC" w:rsidRPr="00205E56">
        <w:rPr>
          <w:rFonts w:ascii="Times New Roman" w:hAnsi="Times New Roman" w:cs="Times New Roman"/>
          <w:sz w:val="24"/>
          <w:szCs w:val="24"/>
        </w:rPr>
        <w:t xml:space="preserve"> </w:t>
      </w:r>
      <w:r w:rsidR="001834D2" w:rsidRPr="00205E56">
        <w:rPr>
          <w:rFonts w:ascii="Times New Roman" w:hAnsi="Times New Roman" w:cs="Times New Roman"/>
          <w:sz w:val="24"/>
          <w:szCs w:val="24"/>
        </w:rPr>
        <w:t xml:space="preserve">instytucją, która jako pierwsza posiada </w:t>
      </w:r>
      <w:r w:rsidR="00657710">
        <w:rPr>
          <w:rFonts w:ascii="Times New Roman" w:hAnsi="Times New Roman" w:cs="Times New Roman"/>
          <w:sz w:val="24"/>
          <w:szCs w:val="24"/>
        </w:rPr>
        <w:t>i</w:t>
      </w:r>
      <w:r w:rsidR="001834D2" w:rsidRPr="00205E56">
        <w:rPr>
          <w:rFonts w:ascii="Times New Roman" w:hAnsi="Times New Roman" w:cs="Times New Roman"/>
          <w:sz w:val="24"/>
          <w:szCs w:val="24"/>
        </w:rPr>
        <w:t>nformacje na temat ww. zdarzeń. Instytucją tą jest natomiast</w:t>
      </w:r>
      <w:r w:rsidR="007127EC" w:rsidRPr="00205E56">
        <w:rPr>
          <w:rFonts w:ascii="Times New Roman" w:hAnsi="Times New Roman" w:cs="Times New Roman"/>
          <w:sz w:val="24"/>
          <w:szCs w:val="24"/>
        </w:rPr>
        <w:t xml:space="preserve"> </w:t>
      </w:r>
      <w:r w:rsidR="001834D2" w:rsidRPr="00205E56">
        <w:rPr>
          <w:rFonts w:ascii="Times New Roman" w:hAnsi="Times New Roman" w:cs="Times New Roman"/>
          <w:sz w:val="24"/>
          <w:szCs w:val="24"/>
        </w:rPr>
        <w:t>s</w:t>
      </w:r>
      <w:r w:rsidR="007127EC" w:rsidRPr="00205E56">
        <w:rPr>
          <w:rFonts w:ascii="Times New Roman" w:hAnsi="Times New Roman" w:cs="Times New Roman"/>
          <w:sz w:val="24"/>
          <w:szCs w:val="24"/>
        </w:rPr>
        <w:t>ama Komisja Nadzoru Finansowego, stąd zastosowane w projekcie wyłączenie.</w:t>
      </w:r>
      <w:r w:rsidR="001834D2" w:rsidRPr="00205E56">
        <w:rPr>
          <w:rFonts w:ascii="Times New Roman" w:hAnsi="Times New Roman" w:cs="Times New Roman"/>
          <w:sz w:val="24"/>
          <w:szCs w:val="24"/>
        </w:rPr>
        <w:t xml:space="preserve"> Przejęcie kasy przez inną kasę lub bank następuje bowiem na</w:t>
      </w:r>
      <w:r w:rsidR="007127EC" w:rsidRPr="00205E56">
        <w:rPr>
          <w:rFonts w:ascii="Times New Roman" w:hAnsi="Times New Roman" w:cs="Times New Roman"/>
          <w:sz w:val="24"/>
          <w:szCs w:val="24"/>
        </w:rPr>
        <w:t xml:space="preserve"> </w:t>
      </w:r>
      <w:r w:rsidR="001834D2" w:rsidRPr="00205E56">
        <w:rPr>
          <w:rFonts w:ascii="Times New Roman" w:hAnsi="Times New Roman" w:cs="Times New Roman"/>
          <w:sz w:val="24"/>
          <w:szCs w:val="24"/>
        </w:rPr>
        <w:t xml:space="preserve">podstawie decyzji Komisji Nadzoru Finansowego. Komisja </w:t>
      </w:r>
      <w:r w:rsidR="00205E56" w:rsidRPr="00205E56">
        <w:rPr>
          <w:rFonts w:ascii="Times New Roman" w:hAnsi="Times New Roman" w:cs="Times New Roman"/>
          <w:sz w:val="24"/>
          <w:szCs w:val="24"/>
        </w:rPr>
        <w:t>–</w:t>
      </w:r>
      <w:r w:rsidR="001834D2" w:rsidRPr="00205E56">
        <w:rPr>
          <w:rFonts w:ascii="Times New Roman" w:hAnsi="Times New Roman" w:cs="Times New Roman"/>
          <w:sz w:val="24"/>
          <w:szCs w:val="24"/>
        </w:rPr>
        <w:t xml:space="preserve"> w przeciwieństwie do Kasy Krajowej </w:t>
      </w:r>
      <w:r w:rsidR="00205E56" w:rsidRPr="00205E56">
        <w:rPr>
          <w:rFonts w:ascii="Times New Roman" w:hAnsi="Times New Roman" w:cs="Times New Roman"/>
          <w:sz w:val="24"/>
          <w:szCs w:val="24"/>
        </w:rPr>
        <w:t>–</w:t>
      </w:r>
      <w:r w:rsidR="007127EC" w:rsidRPr="00205E56">
        <w:rPr>
          <w:rFonts w:ascii="Times New Roman" w:hAnsi="Times New Roman" w:cs="Times New Roman"/>
          <w:sz w:val="24"/>
          <w:szCs w:val="24"/>
        </w:rPr>
        <w:t xml:space="preserve"> </w:t>
      </w:r>
      <w:r w:rsidR="001834D2" w:rsidRPr="00205E56">
        <w:rPr>
          <w:rFonts w:ascii="Times New Roman" w:hAnsi="Times New Roman" w:cs="Times New Roman"/>
          <w:sz w:val="24"/>
          <w:szCs w:val="24"/>
        </w:rPr>
        <w:t>bierze również czynny udział w postępowaniu upadłościowym, które może być wszczęte wyłącznie na</w:t>
      </w:r>
      <w:r w:rsidR="007127EC" w:rsidRPr="00205E56">
        <w:rPr>
          <w:rFonts w:ascii="Times New Roman" w:hAnsi="Times New Roman" w:cs="Times New Roman"/>
          <w:sz w:val="24"/>
          <w:szCs w:val="24"/>
        </w:rPr>
        <w:t xml:space="preserve"> </w:t>
      </w:r>
      <w:r w:rsidR="001834D2" w:rsidRPr="00205E56">
        <w:rPr>
          <w:rFonts w:ascii="Times New Roman" w:hAnsi="Times New Roman" w:cs="Times New Roman"/>
          <w:sz w:val="24"/>
          <w:szCs w:val="24"/>
        </w:rPr>
        <w:t>wniosek samej Komisji lub Banko</w:t>
      </w:r>
      <w:r w:rsidR="007127EC" w:rsidRPr="00205E56">
        <w:rPr>
          <w:rFonts w:ascii="Times New Roman" w:hAnsi="Times New Roman" w:cs="Times New Roman"/>
          <w:sz w:val="24"/>
          <w:szCs w:val="24"/>
        </w:rPr>
        <w:t>wego Funduszu Gwarancyjnego</w:t>
      </w:r>
      <w:r w:rsidR="001834D2" w:rsidRPr="00205E56">
        <w:rPr>
          <w:rFonts w:ascii="Times New Roman" w:hAnsi="Times New Roman" w:cs="Times New Roman"/>
          <w:sz w:val="24"/>
          <w:szCs w:val="24"/>
        </w:rPr>
        <w:t>.</w:t>
      </w:r>
    </w:p>
    <w:p w14:paraId="7CBAEF98" w14:textId="16AAAFC9" w:rsidR="00316B25" w:rsidRPr="00205E56" w:rsidRDefault="00316B25"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9</w:t>
      </w:r>
      <w:r w:rsidR="00657710">
        <w:rPr>
          <w:rFonts w:ascii="Times New Roman" w:hAnsi="Times New Roman" w:cs="Times New Roman"/>
          <w:b/>
          <w:sz w:val="24"/>
          <w:szCs w:val="24"/>
        </w:rPr>
        <w:t>3</w:t>
      </w:r>
      <w:r w:rsidRPr="00205E56">
        <w:rPr>
          <w:rFonts w:ascii="Times New Roman" w:hAnsi="Times New Roman" w:cs="Times New Roman"/>
          <w:sz w:val="24"/>
          <w:szCs w:val="24"/>
        </w:rPr>
        <w:t xml:space="preserve"> </w:t>
      </w:r>
      <w:r w:rsidR="007127EC" w:rsidRPr="00205E56">
        <w:rPr>
          <w:rFonts w:ascii="Times New Roman" w:hAnsi="Times New Roman" w:cs="Times New Roman"/>
          <w:sz w:val="24"/>
          <w:szCs w:val="24"/>
        </w:rPr>
        <w:t xml:space="preserve">wprowadza się zmianę w art. 132m, </w:t>
      </w:r>
      <w:r w:rsidR="001562AA" w:rsidRPr="00205E56">
        <w:rPr>
          <w:rFonts w:ascii="Times New Roman" w:hAnsi="Times New Roman" w:cs="Times New Roman"/>
          <w:sz w:val="24"/>
          <w:szCs w:val="24"/>
        </w:rPr>
        <w:t xml:space="preserve">w sposób </w:t>
      </w:r>
      <w:r w:rsidR="007127EC" w:rsidRPr="00205E56">
        <w:rPr>
          <w:rFonts w:ascii="Times New Roman" w:hAnsi="Times New Roman" w:cs="Times New Roman"/>
          <w:sz w:val="24"/>
          <w:szCs w:val="24"/>
        </w:rPr>
        <w:t>analogiczn</w:t>
      </w:r>
      <w:r w:rsidR="001562AA" w:rsidRPr="00205E56">
        <w:rPr>
          <w:rFonts w:ascii="Times New Roman" w:hAnsi="Times New Roman" w:cs="Times New Roman"/>
          <w:sz w:val="24"/>
          <w:szCs w:val="24"/>
        </w:rPr>
        <w:t>y</w:t>
      </w:r>
      <w:r w:rsidR="007127EC" w:rsidRPr="00205E56">
        <w:rPr>
          <w:rFonts w:ascii="Times New Roman" w:hAnsi="Times New Roman" w:cs="Times New Roman"/>
          <w:sz w:val="24"/>
          <w:szCs w:val="24"/>
        </w:rPr>
        <w:t xml:space="preserve"> do zmiany </w:t>
      </w:r>
      <w:r w:rsidR="00DA5D73">
        <w:rPr>
          <w:rFonts w:ascii="Times New Roman" w:hAnsi="Times New Roman" w:cs="Times New Roman"/>
          <w:sz w:val="24"/>
          <w:szCs w:val="24"/>
        </w:rPr>
        <w:t>w art. </w:t>
      </w:r>
      <w:r w:rsidR="007127EC" w:rsidRPr="00205E56">
        <w:rPr>
          <w:rFonts w:ascii="Times New Roman" w:hAnsi="Times New Roman" w:cs="Times New Roman"/>
          <w:sz w:val="24"/>
          <w:szCs w:val="24"/>
        </w:rPr>
        <w:t>76 ust. 5, wprowadzanej w pkt 6</w:t>
      </w:r>
      <w:r w:rsidR="00657710">
        <w:rPr>
          <w:rFonts w:ascii="Times New Roman" w:hAnsi="Times New Roman" w:cs="Times New Roman"/>
          <w:sz w:val="24"/>
          <w:szCs w:val="24"/>
        </w:rPr>
        <w:t>3</w:t>
      </w:r>
      <w:r w:rsidR="007127EC" w:rsidRPr="00205E56">
        <w:rPr>
          <w:rFonts w:ascii="Times New Roman" w:hAnsi="Times New Roman" w:cs="Times New Roman"/>
          <w:sz w:val="24"/>
          <w:szCs w:val="24"/>
        </w:rPr>
        <w:t>, modyfikując dotychczasowy sposób obliczania wymaganych funduszy własnych dla instytucji pieniądza elektronicznego udzielających kredytów płatniczych</w:t>
      </w:r>
    </w:p>
    <w:p w14:paraId="4BCEEBE8" w14:textId="39605926" w:rsidR="00C72B96" w:rsidRPr="00205E56" w:rsidRDefault="00316B25"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9</w:t>
      </w:r>
      <w:r w:rsidR="00657710">
        <w:rPr>
          <w:rFonts w:ascii="Times New Roman" w:hAnsi="Times New Roman" w:cs="Times New Roman"/>
          <w:b/>
          <w:sz w:val="24"/>
          <w:szCs w:val="24"/>
        </w:rPr>
        <w:t>4</w:t>
      </w:r>
      <w:r w:rsidR="0027228C" w:rsidRPr="00205E56">
        <w:rPr>
          <w:rFonts w:ascii="Times New Roman" w:hAnsi="Times New Roman" w:cs="Times New Roman"/>
          <w:b/>
          <w:sz w:val="24"/>
          <w:szCs w:val="24"/>
        </w:rPr>
        <w:t xml:space="preserve"> i 9</w:t>
      </w:r>
      <w:r w:rsidR="00657710">
        <w:rPr>
          <w:rFonts w:ascii="Times New Roman" w:hAnsi="Times New Roman" w:cs="Times New Roman"/>
          <w:b/>
          <w:sz w:val="24"/>
          <w:szCs w:val="24"/>
        </w:rPr>
        <w:t>5</w:t>
      </w:r>
      <w:r w:rsidRPr="00205E56">
        <w:rPr>
          <w:rFonts w:ascii="Times New Roman" w:hAnsi="Times New Roman" w:cs="Times New Roman"/>
          <w:sz w:val="24"/>
          <w:szCs w:val="24"/>
        </w:rPr>
        <w:t xml:space="preserve"> </w:t>
      </w:r>
      <w:r w:rsidR="00C72B96" w:rsidRPr="00205E56">
        <w:rPr>
          <w:rFonts w:ascii="Times New Roman" w:hAnsi="Times New Roman" w:cs="Times New Roman"/>
          <w:sz w:val="24"/>
          <w:szCs w:val="24"/>
        </w:rPr>
        <w:t xml:space="preserve">wprowadza się zmiany redakcyjne dot. odniesień </w:t>
      </w:r>
      <w:r w:rsidR="00AB0474" w:rsidRPr="00205E56">
        <w:rPr>
          <w:rFonts w:ascii="Times New Roman" w:hAnsi="Times New Roman" w:cs="Times New Roman"/>
          <w:sz w:val="24"/>
          <w:szCs w:val="24"/>
        </w:rPr>
        <w:t xml:space="preserve">w art. 132x i art. 132y </w:t>
      </w:r>
      <w:r w:rsidR="00C72B96" w:rsidRPr="00205E56">
        <w:rPr>
          <w:rFonts w:ascii="Times New Roman" w:hAnsi="Times New Roman" w:cs="Times New Roman"/>
          <w:sz w:val="24"/>
          <w:szCs w:val="24"/>
        </w:rPr>
        <w:t xml:space="preserve">w związku ze zmianami </w:t>
      </w:r>
      <w:r w:rsidR="00AB0474" w:rsidRPr="00205E56">
        <w:rPr>
          <w:rFonts w:ascii="Times New Roman" w:hAnsi="Times New Roman" w:cs="Times New Roman"/>
          <w:sz w:val="24"/>
          <w:szCs w:val="24"/>
        </w:rPr>
        <w:t xml:space="preserve">w art. 92 i </w:t>
      </w:r>
      <w:r w:rsidR="003454B3">
        <w:rPr>
          <w:rFonts w:ascii="Times New Roman" w:hAnsi="Times New Roman" w:cs="Times New Roman"/>
          <w:sz w:val="24"/>
          <w:szCs w:val="24"/>
        </w:rPr>
        <w:t xml:space="preserve">art. </w:t>
      </w:r>
      <w:r w:rsidR="00AB0474" w:rsidRPr="00205E56">
        <w:rPr>
          <w:rFonts w:ascii="Times New Roman" w:hAnsi="Times New Roman" w:cs="Times New Roman"/>
          <w:sz w:val="24"/>
          <w:szCs w:val="24"/>
        </w:rPr>
        <w:t>97</w:t>
      </w:r>
      <w:r w:rsidR="00C72B96" w:rsidRPr="00205E56">
        <w:rPr>
          <w:rFonts w:ascii="Times New Roman" w:hAnsi="Times New Roman" w:cs="Times New Roman"/>
          <w:sz w:val="24"/>
          <w:szCs w:val="24"/>
        </w:rPr>
        <w:t>.</w:t>
      </w:r>
    </w:p>
    <w:p w14:paraId="2B930398" w14:textId="4048D69B" w:rsidR="00316B25" w:rsidRPr="00205E56" w:rsidRDefault="00C72B96"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9</w:t>
      </w:r>
      <w:r w:rsidR="00657710">
        <w:rPr>
          <w:rFonts w:ascii="Times New Roman" w:hAnsi="Times New Roman" w:cs="Times New Roman"/>
          <w:b/>
          <w:sz w:val="24"/>
          <w:szCs w:val="24"/>
        </w:rPr>
        <w:t>6</w:t>
      </w:r>
      <w:r w:rsidRPr="00205E56">
        <w:rPr>
          <w:rFonts w:ascii="Times New Roman" w:hAnsi="Times New Roman" w:cs="Times New Roman"/>
          <w:sz w:val="24"/>
          <w:szCs w:val="24"/>
        </w:rPr>
        <w:t xml:space="preserve"> </w:t>
      </w:r>
      <w:r w:rsidR="004600D7" w:rsidRPr="00205E56">
        <w:rPr>
          <w:rFonts w:ascii="Times New Roman" w:hAnsi="Times New Roman" w:cs="Times New Roman"/>
          <w:sz w:val="24"/>
          <w:szCs w:val="24"/>
        </w:rPr>
        <w:t xml:space="preserve">dodaje się do art. 132zu ust. 3. Zmiana polega na przesądzeniu o możliwości posługiwania się w postępowaniach przed Prezesem NBP dokumentami w języku angielskim. Mając na względzie międzynarodowy aspekt funkcjonowania podmiotów </w:t>
      </w:r>
      <w:r w:rsidR="004600D7" w:rsidRPr="00205E56">
        <w:rPr>
          <w:rFonts w:ascii="Times New Roman" w:hAnsi="Times New Roman" w:cs="Times New Roman"/>
          <w:sz w:val="24"/>
          <w:szCs w:val="24"/>
        </w:rPr>
        <w:lastRenderedPageBreak/>
        <w:t>prowadzących schematy płatnicze, konieczność tłumaczenia wszelkich dokumentów wydaje się zbędna.</w:t>
      </w:r>
      <w:r w:rsidR="004600D7" w:rsidRPr="00205E56">
        <w:rPr>
          <w:rFonts w:ascii="Times New Roman" w:hAnsi="Times New Roman" w:cs="Times New Roman"/>
          <w:sz w:val="24"/>
          <w:szCs w:val="24"/>
          <w:lang w:eastAsia="pl-PL"/>
        </w:rPr>
        <w:t xml:space="preserve"> </w:t>
      </w:r>
      <w:r w:rsidR="0061290B" w:rsidRPr="00205E56">
        <w:rPr>
          <w:rFonts w:ascii="Times New Roman" w:hAnsi="Times New Roman" w:cs="Times New Roman"/>
          <w:sz w:val="24"/>
          <w:szCs w:val="24"/>
          <w:lang w:eastAsia="pl-PL"/>
        </w:rPr>
        <w:t xml:space="preserve">Dodanie drugiego zdania w ust. 3 ma na celu umożliwienie dokonywania pewnych czynności w postępowaniach administracyjnych prowadzonych wobec podmiotów zagranicznych w języku angielskim (np. analiza materiału dowodowego przekazanego w języku angielskim bez konieczności jego tłumaczenia na język polski), przy jednoczesnym pozostawieniu możliwości wykorzystywania języka polskiego np. do korespondencji z podmiotem czy do wydawania decyzji administracyjnych. </w:t>
      </w:r>
    </w:p>
    <w:p w14:paraId="3757650A" w14:textId="6FCD949E" w:rsidR="00F620EE" w:rsidRPr="00205E56" w:rsidRDefault="00A7705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252D8B" w:rsidRPr="00205E56">
        <w:rPr>
          <w:rFonts w:ascii="Times New Roman" w:hAnsi="Times New Roman" w:cs="Times New Roman"/>
          <w:b/>
          <w:sz w:val="24"/>
          <w:szCs w:val="24"/>
        </w:rPr>
        <w:t>9</w:t>
      </w:r>
      <w:r w:rsidR="00657710">
        <w:rPr>
          <w:rFonts w:ascii="Times New Roman" w:hAnsi="Times New Roman" w:cs="Times New Roman"/>
          <w:b/>
          <w:sz w:val="24"/>
          <w:szCs w:val="24"/>
        </w:rPr>
        <w:t>7</w:t>
      </w:r>
      <w:r w:rsidR="00F620EE" w:rsidRPr="00205E56">
        <w:rPr>
          <w:rFonts w:ascii="Times New Roman" w:hAnsi="Times New Roman" w:cs="Times New Roman"/>
          <w:sz w:val="24"/>
          <w:szCs w:val="24"/>
        </w:rPr>
        <w:t xml:space="preserve"> wprowadza się zmianę w art. 133,</w:t>
      </w:r>
      <w:r w:rsidR="00D33E98" w:rsidRPr="00205E56">
        <w:rPr>
          <w:rFonts w:ascii="Times New Roman" w:hAnsi="Times New Roman" w:cs="Times New Roman"/>
          <w:sz w:val="24"/>
          <w:szCs w:val="24"/>
        </w:rPr>
        <w:t xml:space="preserve"> przez </w:t>
      </w:r>
      <w:r w:rsidR="00DA5D73">
        <w:rPr>
          <w:rFonts w:ascii="Times New Roman" w:hAnsi="Times New Roman" w:cs="Times New Roman"/>
          <w:sz w:val="24"/>
          <w:szCs w:val="24"/>
        </w:rPr>
        <w:t>dodanie do rejestru dostawców i </w:t>
      </w:r>
      <w:r w:rsidR="00D33E98" w:rsidRPr="00205E56">
        <w:rPr>
          <w:rFonts w:ascii="Times New Roman" w:hAnsi="Times New Roman" w:cs="Times New Roman"/>
          <w:sz w:val="24"/>
          <w:szCs w:val="24"/>
        </w:rPr>
        <w:t xml:space="preserve">wydawców pieniądza elektronicznego prowadzonego przez KNF nowych podmiotów. </w:t>
      </w:r>
      <w:r w:rsidR="00C72B96" w:rsidRPr="00205E56">
        <w:rPr>
          <w:rFonts w:ascii="Times New Roman" w:hAnsi="Times New Roman" w:cs="Times New Roman"/>
          <w:sz w:val="24"/>
          <w:szCs w:val="24"/>
        </w:rPr>
        <w:t xml:space="preserve">W </w:t>
      </w:r>
      <w:r w:rsidR="00D33E98" w:rsidRPr="00205E56">
        <w:rPr>
          <w:rFonts w:ascii="Times New Roman" w:hAnsi="Times New Roman" w:cs="Times New Roman"/>
          <w:sz w:val="24"/>
          <w:szCs w:val="24"/>
        </w:rPr>
        <w:t>pkt 6 dodaje się dostawców świadczących wyłącznie</w:t>
      </w:r>
      <w:r w:rsidR="00DA5D73">
        <w:rPr>
          <w:rFonts w:ascii="Times New Roman" w:hAnsi="Times New Roman" w:cs="Times New Roman"/>
          <w:sz w:val="24"/>
          <w:szCs w:val="24"/>
        </w:rPr>
        <w:t xml:space="preserve"> usługę dostępu do informacji o </w:t>
      </w:r>
      <w:r w:rsidR="00D33E98" w:rsidRPr="00205E56">
        <w:rPr>
          <w:rFonts w:ascii="Times New Roman" w:hAnsi="Times New Roman" w:cs="Times New Roman"/>
          <w:sz w:val="24"/>
          <w:szCs w:val="24"/>
        </w:rPr>
        <w:t>rachunku</w:t>
      </w:r>
      <w:r w:rsidR="00C72B96" w:rsidRPr="00205E56">
        <w:rPr>
          <w:rFonts w:ascii="Times New Roman" w:hAnsi="Times New Roman" w:cs="Times New Roman"/>
          <w:sz w:val="24"/>
          <w:szCs w:val="24"/>
        </w:rPr>
        <w:t xml:space="preserve">, w </w:t>
      </w:r>
      <w:r w:rsidR="00D33E98" w:rsidRPr="00205E56">
        <w:rPr>
          <w:rFonts w:ascii="Times New Roman" w:hAnsi="Times New Roman" w:cs="Times New Roman"/>
          <w:sz w:val="24"/>
          <w:szCs w:val="24"/>
        </w:rPr>
        <w:t>pkt 7 małych instytucji płatniczych obe</w:t>
      </w:r>
      <w:r w:rsidR="00DA5D73">
        <w:rPr>
          <w:rFonts w:ascii="Times New Roman" w:hAnsi="Times New Roman" w:cs="Times New Roman"/>
          <w:sz w:val="24"/>
          <w:szCs w:val="24"/>
        </w:rPr>
        <w:t>jmującego również ich agentów i </w:t>
      </w:r>
      <w:r w:rsidR="00D33E98" w:rsidRPr="00205E56">
        <w:rPr>
          <w:rFonts w:ascii="Times New Roman" w:hAnsi="Times New Roman" w:cs="Times New Roman"/>
          <w:sz w:val="24"/>
          <w:szCs w:val="24"/>
        </w:rPr>
        <w:t>oddziały</w:t>
      </w:r>
      <w:r w:rsidR="00A365D1" w:rsidRPr="00205E56">
        <w:rPr>
          <w:rFonts w:ascii="Times New Roman" w:hAnsi="Times New Roman" w:cs="Times New Roman"/>
          <w:sz w:val="24"/>
          <w:szCs w:val="24"/>
        </w:rPr>
        <w:t xml:space="preserve">. </w:t>
      </w:r>
      <w:r w:rsidR="00C72B96" w:rsidRPr="00205E56">
        <w:rPr>
          <w:rFonts w:ascii="Times New Roman" w:hAnsi="Times New Roman" w:cs="Times New Roman"/>
          <w:sz w:val="24"/>
          <w:szCs w:val="24"/>
        </w:rPr>
        <w:t>W pkt 8 i 9 dodaje się podmioty</w:t>
      </w:r>
      <w:r w:rsidR="00D57BB2" w:rsidRPr="00205E56">
        <w:rPr>
          <w:rFonts w:ascii="Times New Roman" w:hAnsi="Times New Roman" w:cs="Times New Roman"/>
          <w:sz w:val="24"/>
          <w:szCs w:val="24"/>
        </w:rPr>
        <w:t xml:space="preserve"> tzw. ograniczonej sieci, wykonujące działalność określoną w art. 6 pkt 11 lit. a lub b</w:t>
      </w:r>
      <w:r w:rsidR="00C72B96" w:rsidRPr="00205E56">
        <w:rPr>
          <w:rFonts w:ascii="Times New Roman" w:hAnsi="Times New Roman" w:cs="Times New Roman"/>
          <w:sz w:val="24"/>
          <w:szCs w:val="24"/>
        </w:rPr>
        <w:t xml:space="preserve">, </w:t>
      </w:r>
      <w:r w:rsidR="006A22E4" w:rsidRPr="00205E56">
        <w:rPr>
          <w:rFonts w:ascii="Times New Roman" w:hAnsi="Times New Roman" w:cs="Times New Roman"/>
          <w:sz w:val="24"/>
          <w:szCs w:val="24"/>
        </w:rPr>
        <w:t>do który</w:t>
      </w:r>
      <w:r w:rsidR="00DA5D73">
        <w:rPr>
          <w:rFonts w:ascii="Times New Roman" w:hAnsi="Times New Roman" w:cs="Times New Roman"/>
          <w:sz w:val="24"/>
          <w:szCs w:val="24"/>
        </w:rPr>
        <w:t>ch ma zastosowanie art. 6c ust. </w:t>
      </w:r>
      <w:r w:rsidR="006A22E4" w:rsidRPr="00205E56">
        <w:rPr>
          <w:rFonts w:ascii="Times New Roman" w:hAnsi="Times New Roman" w:cs="Times New Roman"/>
          <w:sz w:val="24"/>
          <w:szCs w:val="24"/>
        </w:rPr>
        <w:t>1 (mówiący o powiadomieniu KNF w przypadku przekroczenia kwoty 1 mln euro całkowitej wartości transakcji płatniczych wykonanych podczas ostatnich dwunastu miesięcy kalendarzowych)</w:t>
      </w:r>
      <w:r w:rsidR="00205E56" w:rsidRPr="00205E56">
        <w:rPr>
          <w:rFonts w:ascii="Times New Roman" w:hAnsi="Times New Roman" w:cs="Times New Roman"/>
          <w:sz w:val="24"/>
          <w:szCs w:val="24"/>
        </w:rPr>
        <w:t xml:space="preserve"> </w:t>
      </w:r>
      <w:r w:rsidR="00C72B96" w:rsidRPr="00205E56">
        <w:rPr>
          <w:rFonts w:ascii="Times New Roman" w:hAnsi="Times New Roman" w:cs="Times New Roman"/>
          <w:sz w:val="24"/>
          <w:szCs w:val="24"/>
        </w:rPr>
        <w:t xml:space="preserve">oraz </w:t>
      </w:r>
      <w:r w:rsidR="00D57BB2" w:rsidRPr="00205E56">
        <w:rPr>
          <w:rFonts w:ascii="Times New Roman" w:hAnsi="Times New Roman" w:cs="Times New Roman"/>
          <w:sz w:val="24"/>
          <w:szCs w:val="24"/>
        </w:rPr>
        <w:t xml:space="preserve">podmioty o których mowa </w:t>
      </w:r>
      <w:r w:rsidR="00C72B96" w:rsidRPr="00205E56">
        <w:rPr>
          <w:rFonts w:ascii="Times New Roman" w:hAnsi="Times New Roman" w:cs="Times New Roman"/>
          <w:sz w:val="24"/>
          <w:szCs w:val="24"/>
        </w:rPr>
        <w:t>w art. 6 pkt 12</w:t>
      </w:r>
      <w:r w:rsidR="00A365D1" w:rsidRPr="00205E56">
        <w:rPr>
          <w:rFonts w:ascii="Times New Roman" w:hAnsi="Times New Roman" w:cs="Times New Roman"/>
          <w:sz w:val="24"/>
          <w:szCs w:val="24"/>
        </w:rPr>
        <w:t>.</w:t>
      </w:r>
    </w:p>
    <w:p w14:paraId="37A132F0" w14:textId="3CCB5FD8" w:rsidR="00AB0474" w:rsidRPr="00205E56" w:rsidRDefault="00AB0474"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9</w:t>
      </w:r>
      <w:r w:rsidR="00657710">
        <w:rPr>
          <w:rFonts w:ascii="Times New Roman" w:hAnsi="Times New Roman" w:cs="Times New Roman"/>
          <w:b/>
          <w:sz w:val="24"/>
          <w:szCs w:val="24"/>
        </w:rPr>
        <w:t>8</w:t>
      </w:r>
      <w:r w:rsidR="00B914BA" w:rsidRPr="00205E56">
        <w:rPr>
          <w:rFonts w:ascii="Times New Roman" w:hAnsi="Times New Roman" w:cs="Times New Roman"/>
          <w:sz w:val="24"/>
          <w:szCs w:val="24"/>
        </w:rPr>
        <w:t xml:space="preserve"> wprowadza się zmiany w art. 134 dotyczące wpisów do rejestru oddziałów krajowej instytucji płatniczej utworzonych w państwie członkowskim innym niż Rzeczpospolita Polska.</w:t>
      </w:r>
    </w:p>
    <w:p w14:paraId="4891AD4D" w14:textId="6128B144" w:rsidR="00316B25" w:rsidRPr="00205E56" w:rsidRDefault="00316B25"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657710">
        <w:rPr>
          <w:rFonts w:ascii="Times New Roman" w:hAnsi="Times New Roman" w:cs="Times New Roman"/>
          <w:b/>
          <w:sz w:val="24"/>
          <w:szCs w:val="24"/>
        </w:rPr>
        <w:t>99</w:t>
      </w:r>
      <w:r w:rsidR="00EC2B3F" w:rsidRPr="00205E56">
        <w:rPr>
          <w:rFonts w:ascii="Times New Roman" w:hAnsi="Times New Roman" w:cs="Times New Roman"/>
          <w:sz w:val="24"/>
          <w:szCs w:val="24"/>
        </w:rPr>
        <w:t xml:space="preserve"> w przepisie art. 136 regulującym zawartość rejestru dostawców usług płatniczych w</w:t>
      </w:r>
      <w:r w:rsidR="00205E56" w:rsidRPr="00205E56">
        <w:rPr>
          <w:rFonts w:ascii="Times New Roman" w:hAnsi="Times New Roman" w:cs="Times New Roman"/>
          <w:sz w:val="24"/>
          <w:szCs w:val="24"/>
        </w:rPr>
        <w:t xml:space="preserve"> </w:t>
      </w:r>
      <w:r w:rsidR="00EC2B3F" w:rsidRPr="00205E56">
        <w:rPr>
          <w:rFonts w:ascii="Times New Roman" w:hAnsi="Times New Roman" w:cs="Times New Roman"/>
          <w:sz w:val="24"/>
          <w:szCs w:val="24"/>
        </w:rPr>
        <w:t>odniesieniu do biur usług płatniczych proponuje się dodać w punkcie 2 podpunkt oznaczony literą d) w</w:t>
      </w:r>
      <w:r w:rsidR="00205E56" w:rsidRPr="00205E56">
        <w:rPr>
          <w:rFonts w:ascii="Times New Roman" w:hAnsi="Times New Roman" w:cs="Times New Roman"/>
          <w:sz w:val="24"/>
          <w:szCs w:val="24"/>
        </w:rPr>
        <w:t xml:space="preserve"> </w:t>
      </w:r>
      <w:r w:rsidR="00EC2B3F" w:rsidRPr="00205E56">
        <w:rPr>
          <w:rFonts w:ascii="Times New Roman" w:hAnsi="Times New Roman" w:cs="Times New Roman"/>
          <w:sz w:val="24"/>
          <w:szCs w:val="24"/>
        </w:rPr>
        <w:t>brzmieniu: „wskazanie świadczonej usługi płatniczej”. Korekta taka zapewni zgodność z faktycznym zakresem rejestru prowadzonego przez KNF, który wskazuje świadczoną przez biura usług płatniczych usługę przekazu pieniężnego. Konstrukcja taka jest zastosowana w celu zapewnienia odpowiedniego pełnego zakresu informacji dla podmiotów, które korzystają z rejestru.</w:t>
      </w:r>
    </w:p>
    <w:p w14:paraId="6458DA06" w14:textId="1B783E78" w:rsidR="008C6FD2" w:rsidRPr="00205E56" w:rsidRDefault="00513CB1"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10</w:t>
      </w:r>
      <w:r w:rsidR="005A6A80">
        <w:rPr>
          <w:rFonts w:ascii="Times New Roman" w:hAnsi="Times New Roman" w:cs="Times New Roman"/>
          <w:b/>
          <w:sz w:val="24"/>
          <w:szCs w:val="24"/>
        </w:rPr>
        <w:t>0</w:t>
      </w:r>
      <w:r w:rsidRPr="00205E56">
        <w:rPr>
          <w:rFonts w:ascii="Times New Roman" w:hAnsi="Times New Roman" w:cs="Times New Roman"/>
          <w:sz w:val="24"/>
          <w:szCs w:val="24"/>
        </w:rPr>
        <w:t xml:space="preserve"> </w:t>
      </w:r>
      <w:r w:rsidR="00205E56" w:rsidRPr="00205E56">
        <w:rPr>
          <w:rFonts w:ascii="Times New Roman" w:hAnsi="Times New Roman" w:cs="Times New Roman"/>
          <w:sz w:val="24"/>
          <w:szCs w:val="24"/>
        </w:rPr>
        <w:t>dodaje się art. 136c–</w:t>
      </w:r>
      <w:r w:rsidR="00A365D1" w:rsidRPr="00205E56">
        <w:rPr>
          <w:rFonts w:ascii="Times New Roman" w:hAnsi="Times New Roman" w:cs="Times New Roman"/>
          <w:sz w:val="24"/>
          <w:szCs w:val="24"/>
        </w:rPr>
        <w:t>136</w:t>
      </w:r>
      <w:r w:rsidRPr="00205E56">
        <w:rPr>
          <w:rFonts w:ascii="Times New Roman" w:hAnsi="Times New Roman" w:cs="Times New Roman"/>
          <w:sz w:val="24"/>
          <w:szCs w:val="24"/>
        </w:rPr>
        <w:t>f</w:t>
      </w:r>
      <w:r w:rsidR="00A365D1" w:rsidRPr="00205E56">
        <w:rPr>
          <w:rFonts w:ascii="Times New Roman" w:hAnsi="Times New Roman" w:cs="Times New Roman"/>
          <w:sz w:val="24"/>
          <w:szCs w:val="24"/>
        </w:rPr>
        <w:t xml:space="preserve">. Dodawany art. 136c określa dane, jakie powinien zawierać rejestr dostawców świadczących wyłącznie usługę dostępu do informacji </w:t>
      </w:r>
      <w:r w:rsidR="001A7581" w:rsidRPr="00205E56">
        <w:rPr>
          <w:rFonts w:ascii="Times New Roman" w:hAnsi="Times New Roman" w:cs="Times New Roman"/>
          <w:sz w:val="24"/>
          <w:szCs w:val="24"/>
        </w:rPr>
        <w:t>o</w:t>
      </w:r>
      <w:r w:rsidR="001A7581">
        <w:rPr>
          <w:rFonts w:ascii="Times New Roman" w:hAnsi="Times New Roman" w:cs="Times New Roman"/>
          <w:sz w:val="24"/>
          <w:szCs w:val="24"/>
        </w:rPr>
        <w:t> </w:t>
      </w:r>
      <w:r w:rsidR="00A365D1" w:rsidRPr="00205E56">
        <w:rPr>
          <w:rFonts w:ascii="Times New Roman" w:hAnsi="Times New Roman" w:cs="Times New Roman"/>
          <w:sz w:val="24"/>
          <w:szCs w:val="24"/>
        </w:rPr>
        <w:t xml:space="preserve">rachunku. </w:t>
      </w:r>
      <w:r w:rsidR="00066B2A" w:rsidRPr="00205E56">
        <w:rPr>
          <w:rFonts w:ascii="Times New Roman" w:hAnsi="Times New Roman" w:cs="Times New Roman"/>
          <w:sz w:val="24"/>
          <w:szCs w:val="24"/>
        </w:rPr>
        <w:t>Dodawany a</w:t>
      </w:r>
      <w:r w:rsidR="00A365D1" w:rsidRPr="00205E56">
        <w:rPr>
          <w:rFonts w:ascii="Times New Roman" w:hAnsi="Times New Roman" w:cs="Times New Roman"/>
          <w:sz w:val="24"/>
          <w:szCs w:val="24"/>
        </w:rPr>
        <w:t xml:space="preserve">rt. 136d określa, jakie dane powinien zawierać rejestr małych instytucji płatniczych. </w:t>
      </w:r>
      <w:r w:rsidR="00D57BB2" w:rsidRPr="00205E56">
        <w:rPr>
          <w:rFonts w:ascii="Times New Roman" w:hAnsi="Times New Roman" w:cs="Times New Roman"/>
          <w:sz w:val="24"/>
          <w:szCs w:val="24"/>
        </w:rPr>
        <w:t xml:space="preserve">Kolejne art. dotyczą podmiotów </w:t>
      </w:r>
      <w:r w:rsidR="00D65699" w:rsidRPr="00205E56">
        <w:rPr>
          <w:rFonts w:ascii="Times New Roman" w:hAnsi="Times New Roman" w:cs="Times New Roman"/>
          <w:sz w:val="24"/>
          <w:szCs w:val="24"/>
        </w:rPr>
        <w:t xml:space="preserve">tzw. </w:t>
      </w:r>
      <w:r w:rsidR="00D57BB2" w:rsidRPr="00205E56">
        <w:rPr>
          <w:rFonts w:ascii="Times New Roman" w:hAnsi="Times New Roman" w:cs="Times New Roman"/>
          <w:sz w:val="24"/>
          <w:szCs w:val="24"/>
        </w:rPr>
        <w:t xml:space="preserve">ograniczonej sieci. </w:t>
      </w:r>
      <w:r w:rsidRPr="00205E56">
        <w:rPr>
          <w:rFonts w:ascii="Times New Roman" w:hAnsi="Times New Roman" w:cs="Times New Roman"/>
          <w:sz w:val="24"/>
          <w:szCs w:val="24"/>
        </w:rPr>
        <w:t xml:space="preserve">Dodawany art. 136e </w:t>
      </w:r>
      <w:r w:rsidR="00D57BB2" w:rsidRPr="00205E56">
        <w:rPr>
          <w:rFonts w:ascii="Times New Roman" w:hAnsi="Times New Roman" w:cs="Times New Roman"/>
          <w:sz w:val="24"/>
          <w:szCs w:val="24"/>
        </w:rPr>
        <w:t>odnosi się do</w:t>
      </w:r>
      <w:r w:rsidRPr="00205E56">
        <w:rPr>
          <w:rFonts w:ascii="Times New Roman" w:hAnsi="Times New Roman" w:cs="Times New Roman"/>
          <w:sz w:val="24"/>
          <w:szCs w:val="24"/>
        </w:rPr>
        <w:t xml:space="preserve"> rejestr</w:t>
      </w:r>
      <w:r w:rsidR="00D57BB2" w:rsidRPr="00205E56">
        <w:rPr>
          <w:rFonts w:ascii="Times New Roman" w:hAnsi="Times New Roman" w:cs="Times New Roman"/>
          <w:sz w:val="24"/>
          <w:szCs w:val="24"/>
        </w:rPr>
        <w:t>u</w:t>
      </w:r>
      <w:r w:rsidRPr="00205E56">
        <w:rPr>
          <w:rFonts w:ascii="Times New Roman" w:hAnsi="Times New Roman" w:cs="Times New Roman"/>
          <w:sz w:val="24"/>
          <w:szCs w:val="24"/>
        </w:rPr>
        <w:t xml:space="preserve"> podmiotów wykonujących działalność </w:t>
      </w:r>
      <w:r w:rsidRPr="00205E56">
        <w:rPr>
          <w:rFonts w:ascii="Times New Roman" w:hAnsi="Times New Roman" w:cs="Times New Roman"/>
          <w:sz w:val="24"/>
          <w:szCs w:val="24"/>
        </w:rPr>
        <w:lastRenderedPageBreak/>
        <w:t xml:space="preserve">określoną w art. 6 pkt 11 lit. a lub b, </w:t>
      </w:r>
      <w:r w:rsidR="00D57BB2" w:rsidRPr="00205E56">
        <w:rPr>
          <w:rFonts w:ascii="Times New Roman" w:hAnsi="Times New Roman" w:cs="Times New Roman"/>
          <w:sz w:val="24"/>
          <w:szCs w:val="24"/>
        </w:rPr>
        <w:t xml:space="preserve">do których ma zastosowanie art. 6c ust. </w:t>
      </w:r>
      <w:r w:rsidRPr="00205E56">
        <w:rPr>
          <w:rFonts w:ascii="Times New Roman" w:hAnsi="Times New Roman" w:cs="Times New Roman"/>
          <w:sz w:val="24"/>
          <w:szCs w:val="24"/>
        </w:rPr>
        <w:t>1. Dodawany art. 136f określa natomiast rejestr podmiotów prowadzących działalność określoną w art. 6 pkt 12.</w:t>
      </w:r>
    </w:p>
    <w:p w14:paraId="76C089A7" w14:textId="281E7FBA" w:rsidR="00252D8B" w:rsidRPr="00205E56" w:rsidRDefault="00252D8B"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D57BB2" w:rsidRPr="00205E56">
        <w:rPr>
          <w:rFonts w:ascii="Times New Roman" w:hAnsi="Times New Roman" w:cs="Times New Roman"/>
          <w:b/>
          <w:sz w:val="24"/>
          <w:szCs w:val="24"/>
        </w:rPr>
        <w:t>10</w:t>
      </w:r>
      <w:r w:rsidR="005A6A80">
        <w:rPr>
          <w:rFonts w:ascii="Times New Roman" w:hAnsi="Times New Roman" w:cs="Times New Roman"/>
          <w:b/>
          <w:sz w:val="24"/>
          <w:szCs w:val="24"/>
        </w:rPr>
        <w:t>1</w:t>
      </w:r>
      <w:r w:rsidRPr="00205E56">
        <w:rPr>
          <w:rFonts w:ascii="Times New Roman" w:hAnsi="Times New Roman" w:cs="Times New Roman"/>
          <w:sz w:val="24"/>
          <w:szCs w:val="24"/>
        </w:rPr>
        <w:t xml:space="preserve"> </w:t>
      </w:r>
      <w:r w:rsidR="00EC2B3F" w:rsidRPr="00205E56">
        <w:rPr>
          <w:rFonts w:ascii="Times New Roman" w:hAnsi="Times New Roman" w:cs="Times New Roman"/>
          <w:sz w:val="24"/>
          <w:szCs w:val="24"/>
        </w:rPr>
        <w:t>dokonano zmiany w art. 137</w:t>
      </w:r>
      <w:r w:rsidR="003454B3">
        <w:rPr>
          <w:rFonts w:ascii="Times New Roman" w:hAnsi="Times New Roman" w:cs="Times New Roman"/>
          <w:sz w:val="24"/>
          <w:szCs w:val="24"/>
        </w:rPr>
        <w:t>,</w:t>
      </w:r>
      <w:r w:rsidR="00EC2B3F" w:rsidRPr="00205E56">
        <w:rPr>
          <w:rFonts w:ascii="Times New Roman" w:hAnsi="Times New Roman" w:cs="Times New Roman"/>
          <w:sz w:val="24"/>
          <w:szCs w:val="24"/>
        </w:rPr>
        <w:t xml:space="preserve"> dodając ust. 2a</w:t>
      </w:r>
      <w:r w:rsidR="005A6A80">
        <w:rPr>
          <w:rFonts w:ascii="Times New Roman" w:hAnsi="Times New Roman" w:cs="Times New Roman"/>
          <w:sz w:val="24"/>
          <w:szCs w:val="24"/>
        </w:rPr>
        <w:t>.</w:t>
      </w:r>
      <w:r w:rsidR="00EC2B3F" w:rsidRPr="00205E56">
        <w:rPr>
          <w:rFonts w:ascii="Times New Roman" w:hAnsi="Times New Roman" w:cs="Times New Roman"/>
          <w:sz w:val="24"/>
          <w:szCs w:val="24"/>
        </w:rPr>
        <w:t xml:space="preserve"> Zmiana powoduje </w:t>
      </w:r>
      <w:r w:rsidRPr="00205E56">
        <w:rPr>
          <w:rFonts w:ascii="Times New Roman" w:hAnsi="Times New Roman" w:cs="Times New Roman"/>
          <w:sz w:val="24"/>
          <w:szCs w:val="24"/>
        </w:rPr>
        <w:t>ujednolic</w:t>
      </w:r>
      <w:r w:rsidR="00EC2B3F" w:rsidRPr="00205E56">
        <w:rPr>
          <w:rFonts w:ascii="Times New Roman" w:hAnsi="Times New Roman" w:cs="Times New Roman"/>
          <w:sz w:val="24"/>
          <w:szCs w:val="24"/>
        </w:rPr>
        <w:t>enie</w:t>
      </w:r>
      <w:r w:rsidRPr="00205E56">
        <w:rPr>
          <w:rFonts w:ascii="Times New Roman" w:hAnsi="Times New Roman" w:cs="Times New Roman"/>
          <w:sz w:val="24"/>
          <w:szCs w:val="24"/>
        </w:rPr>
        <w:t xml:space="preserve"> brzmieni</w:t>
      </w:r>
      <w:r w:rsidR="00EC2B3F" w:rsidRPr="00205E56">
        <w:rPr>
          <w:rFonts w:ascii="Times New Roman" w:hAnsi="Times New Roman" w:cs="Times New Roman"/>
          <w:sz w:val="24"/>
          <w:szCs w:val="24"/>
        </w:rPr>
        <w:t>a</w:t>
      </w:r>
      <w:r w:rsidRPr="00205E56">
        <w:rPr>
          <w:rFonts w:ascii="Times New Roman" w:hAnsi="Times New Roman" w:cs="Times New Roman"/>
          <w:sz w:val="24"/>
          <w:szCs w:val="24"/>
        </w:rPr>
        <w:t xml:space="preserve"> projektu na rzecz dokonywania wpisu wszelkich przypadków cofnięcia i wygaśnięcia zezwolenia, zamiast wykreślania tych przypadków. Jest to bliższe PSD2 i przyczynia się do zapewnienia większej transparentności rejestru. </w:t>
      </w:r>
    </w:p>
    <w:p w14:paraId="65CB4154" w14:textId="06F929D3" w:rsidR="00EC2B3F" w:rsidRPr="00205E56" w:rsidRDefault="00EC2B3F"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61290B" w:rsidRPr="00205E56">
        <w:rPr>
          <w:rFonts w:ascii="Times New Roman" w:hAnsi="Times New Roman" w:cs="Times New Roman"/>
          <w:b/>
          <w:sz w:val="24"/>
          <w:szCs w:val="24"/>
        </w:rPr>
        <w:t>10</w:t>
      </w:r>
      <w:r w:rsidR="005A6A80">
        <w:rPr>
          <w:rFonts w:ascii="Times New Roman" w:hAnsi="Times New Roman" w:cs="Times New Roman"/>
          <w:b/>
          <w:sz w:val="24"/>
          <w:szCs w:val="24"/>
        </w:rPr>
        <w:t>2</w:t>
      </w:r>
      <w:r w:rsidRPr="00205E56">
        <w:rPr>
          <w:rFonts w:ascii="Times New Roman" w:hAnsi="Times New Roman" w:cs="Times New Roman"/>
          <w:sz w:val="24"/>
          <w:szCs w:val="24"/>
        </w:rPr>
        <w:t xml:space="preserve"> wprowadza się zmianę w art. 138 doprecyzowując</w:t>
      </w:r>
      <w:r w:rsidR="00D57BB2" w:rsidRPr="00205E56">
        <w:rPr>
          <w:rFonts w:ascii="Times New Roman" w:hAnsi="Times New Roman" w:cs="Times New Roman"/>
          <w:sz w:val="24"/>
          <w:szCs w:val="24"/>
        </w:rPr>
        <w:t>ą</w:t>
      </w:r>
      <w:r w:rsidRPr="00205E56">
        <w:rPr>
          <w:rFonts w:ascii="Times New Roman" w:hAnsi="Times New Roman" w:cs="Times New Roman"/>
          <w:sz w:val="24"/>
          <w:szCs w:val="24"/>
        </w:rPr>
        <w:t xml:space="preserve"> termin dokonania wpisu do rejestru przez KNF.</w:t>
      </w:r>
    </w:p>
    <w:p w14:paraId="3FB10A98" w14:textId="1FC624FF" w:rsidR="008C6FD2" w:rsidRPr="00205E56" w:rsidRDefault="00A7705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EC2B3F" w:rsidRPr="00205E56">
        <w:rPr>
          <w:rFonts w:ascii="Times New Roman" w:hAnsi="Times New Roman" w:cs="Times New Roman"/>
          <w:b/>
          <w:sz w:val="24"/>
          <w:szCs w:val="24"/>
        </w:rPr>
        <w:t>10</w:t>
      </w:r>
      <w:r w:rsidR="005A6A80">
        <w:rPr>
          <w:rFonts w:ascii="Times New Roman" w:hAnsi="Times New Roman" w:cs="Times New Roman"/>
          <w:b/>
          <w:sz w:val="24"/>
          <w:szCs w:val="24"/>
        </w:rPr>
        <w:t>3</w:t>
      </w:r>
      <w:r w:rsidR="008C6FD2" w:rsidRPr="00205E56">
        <w:rPr>
          <w:rFonts w:ascii="Times New Roman" w:hAnsi="Times New Roman" w:cs="Times New Roman"/>
          <w:sz w:val="24"/>
          <w:szCs w:val="24"/>
        </w:rPr>
        <w:t xml:space="preserve"> wprowadza się zmianę w art. 139,</w:t>
      </w:r>
      <w:r w:rsidR="004D0696" w:rsidRPr="00205E56">
        <w:rPr>
          <w:rFonts w:ascii="Times New Roman" w:hAnsi="Times New Roman" w:cs="Times New Roman"/>
          <w:sz w:val="24"/>
          <w:szCs w:val="24"/>
        </w:rPr>
        <w:t xml:space="preserve"> zgodnie z którą małe instytucje płatnicze </w:t>
      </w:r>
      <w:r w:rsidR="00DA5D73">
        <w:rPr>
          <w:rFonts w:ascii="Times New Roman" w:hAnsi="Times New Roman" w:cs="Times New Roman"/>
          <w:sz w:val="24"/>
          <w:szCs w:val="24"/>
        </w:rPr>
        <w:t>i </w:t>
      </w:r>
      <w:r w:rsidR="00832F04" w:rsidRPr="00205E56">
        <w:rPr>
          <w:rFonts w:ascii="Times New Roman" w:hAnsi="Times New Roman" w:cs="Times New Roman"/>
          <w:sz w:val="24"/>
          <w:szCs w:val="24"/>
        </w:rPr>
        <w:t xml:space="preserve">dostawcy świadczący wyłącznie usługę dostępu do informacji o rachunku </w:t>
      </w:r>
      <w:r w:rsidR="004D0696" w:rsidRPr="00205E56">
        <w:rPr>
          <w:rFonts w:ascii="Times New Roman" w:hAnsi="Times New Roman" w:cs="Times New Roman"/>
          <w:sz w:val="24"/>
          <w:szCs w:val="24"/>
        </w:rPr>
        <w:t>będą zobowiązan</w:t>
      </w:r>
      <w:r w:rsidR="00832F04" w:rsidRPr="00205E56">
        <w:rPr>
          <w:rFonts w:ascii="Times New Roman" w:hAnsi="Times New Roman" w:cs="Times New Roman"/>
          <w:sz w:val="24"/>
          <w:szCs w:val="24"/>
        </w:rPr>
        <w:t>i</w:t>
      </w:r>
      <w:r w:rsidR="004D0696" w:rsidRPr="00205E56">
        <w:rPr>
          <w:rFonts w:ascii="Times New Roman" w:hAnsi="Times New Roman" w:cs="Times New Roman"/>
          <w:sz w:val="24"/>
          <w:szCs w:val="24"/>
        </w:rPr>
        <w:t xml:space="preserve"> zapewniać zgodność danych ze stanem faktycznym, wpisywanych na ich wniosek do rejestru. </w:t>
      </w:r>
    </w:p>
    <w:p w14:paraId="05F05113" w14:textId="2738193F" w:rsidR="008C6FD2" w:rsidRPr="00205E56" w:rsidRDefault="00A7705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EC2B3F" w:rsidRPr="00205E56">
        <w:rPr>
          <w:rFonts w:ascii="Times New Roman" w:hAnsi="Times New Roman" w:cs="Times New Roman"/>
          <w:b/>
          <w:sz w:val="24"/>
          <w:szCs w:val="24"/>
        </w:rPr>
        <w:t>10</w:t>
      </w:r>
      <w:r w:rsidR="005A6A80">
        <w:rPr>
          <w:rFonts w:ascii="Times New Roman" w:hAnsi="Times New Roman" w:cs="Times New Roman"/>
          <w:b/>
          <w:sz w:val="24"/>
          <w:szCs w:val="24"/>
        </w:rPr>
        <w:t>4</w:t>
      </w:r>
      <w:r w:rsidR="004154BD" w:rsidRPr="00205E56">
        <w:rPr>
          <w:rFonts w:ascii="Times New Roman" w:hAnsi="Times New Roman" w:cs="Times New Roman"/>
          <w:sz w:val="24"/>
          <w:szCs w:val="24"/>
        </w:rPr>
        <w:t xml:space="preserve"> </w:t>
      </w:r>
      <w:r w:rsidR="008C6FD2" w:rsidRPr="00205E56">
        <w:rPr>
          <w:rFonts w:ascii="Times New Roman" w:hAnsi="Times New Roman" w:cs="Times New Roman"/>
          <w:sz w:val="24"/>
          <w:szCs w:val="24"/>
        </w:rPr>
        <w:t>wprowadza się zmianę w art. 142,</w:t>
      </w:r>
      <w:r w:rsidR="004D0696" w:rsidRPr="00205E56">
        <w:rPr>
          <w:rFonts w:ascii="Times New Roman" w:hAnsi="Times New Roman" w:cs="Times New Roman"/>
          <w:sz w:val="24"/>
          <w:szCs w:val="24"/>
        </w:rPr>
        <w:t xml:space="preserve"> która daje uprawnienie KNF do wykreślenia wpisu z rejestru w przypadku</w:t>
      </w:r>
      <w:r w:rsidR="002F4D99" w:rsidRPr="00205E56">
        <w:rPr>
          <w:rFonts w:ascii="Times New Roman" w:hAnsi="Times New Roman" w:cs="Times New Roman"/>
          <w:sz w:val="24"/>
          <w:szCs w:val="24"/>
        </w:rPr>
        <w:t xml:space="preserve"> zakończenia przez małą instytucję płatniczą działalności gospodarczej lub działalności w charakterze małej instytucji płatniczej, na podstawie zawiadomienia</w:t>
      </w:r>
      <w:r w:rsidR="00D07BEB" w:rsidRPr="00205E56">
        <w:rPr>
          <w:rFonts w:ascii="Times New Roman" w:hAnsi="Times New Roman" w:cs="Times New Roman"/>
          <w:sz w:val="24"/>
          <w:szCs w:val="24"/>
        </w:rPr>
        <w:t xml:space="preserve"> </w:t>
      </w:r>
      <w:r w:rsidR="002F4D99" w:rsidRPr="00205E56">
        <w:rPr>
          <w:rFonts w:ascii="Times New Roman" w:hAnsi="Times New Roman" w:cs="Times New Roman"/>
          <w:sz w:val="24"/>
          <w:szCs w:val="24"/>
        </w:rPr>
        <w:t>przekazanego do KNF o zamiarze zakończenia działalności, wykreślenie może nastąpić nie wcześniej niż z datą wskazaną w tym zawiadomieniu.</w:t>
      </w:r>
      <w:r w:rsidR="00832F04" w:rsidRPr="00205E56">
        <w:rPr>
          <w:rFonts w:ascii="Times New Roman" w:hAnsi="Times New Roman" w:cs="Times New Roman"/>
          <w:sz w:val="24"/>
          <w:szCs w:val="24"/>
        </w:rPr>
        <w:t xml:space="preserve"> Analogiczn</w:t>
      </w:r>
      <w:r w:rsidR="00D57BB2" w:rsidRPr="00205E56">
        <w:rPr>
          <w:rFonts w:ascii="Times New Roman" w:hAnsi="Times New Roman" w:cs="Times New Roman"/>
          <w:sz w:val="24"/>
          <w:szCs w:val="24"/>
        </w:rPr>
        <w:t>e</w:t>
      </w:r>
      <w:r w:rsidR="00832F04" w:rsidRPr="00205E56">
        <w:rPr>
          <w:rFonts w:ascii="Times New Roman" w:hAnsi="Times New Roman" w:cs="Times New Roman"/>
          <w:sz w:val="24"/>
          <w:szCs w:val="24"/>
        </w:rPr>
        <w:t xml:space="preserve"> przepis</w:t>
      </w:r>
      <w:r w:rsidR="00D57BB2" w:rsidRPr="00205E56">
        <w:rPr>
          <w:rFonts w:ascii="Times New Roman" w:hAnsi="Times New Roman" w:cs="Times New Roman"/>
          <w:sz w:val="24"/>
          <w:szCs w:val="24"/>
        </w:rPr>
        <w:t>y</w:t>
      </w:r>
      <w:r w:rsidR="00832F04" w:rsidRPr="00205E56">
        <w:rPr>
          <w:rFonts w:ascii="Times New Roman" w:hAnsi="Times New Roman" w:cs="Times New Roman"/>
          <w:sz w:val="24"/>
          <w:szCs w:val="24"/>
        </w:rPr>
        <w:t xml:space="preserve"> dodano dla dostawcy świadcząc</w:t>
      </w:r>
      <w:r w:rsidR="003454B3">
        <w:rPr>
          <w:rFonts w:ascii="Times New Roman" w:hAnsi="Times New Roman" w:cs="Times New Roman"/>
          <w:sz w:val="24"/>
          <w:szCs w:val="24"/>
        </w:rPr>
        <w:t>ego</w:t>
      </w:r>
      <w:r w:rsidR="00832F04" w:rsidRPr="00205E56">
        <w:rPr>
          <w:rFonts w:ascii="Times New Roman" w:hAnsi="Times New Roman" w:cs="Times New Roman"/>
          <w:sz w:val="24"/>
          <w:szCs w:val="24"/>
        </w:rPr>
        <w:t xml:space="preserve"> wyłącznie usługę dostępu do informacji o rachunku</w:t>
      </w:r>
      <w:r w:rsidR="00D57BB2" w:rsidRPr="00205E56">
        <w:rPr>
          <w:rFonts w:ascii="Times New Roman" w:hAnsi="Times New Roman" w:cs="Times New Roman"/>
          <w:sz w:val="24"/>
          <w:szCs w:val="24"/>
        </w:rPr>
        <w:t xml:space="preserve"> oraz podmiotów </w:t>
      </w:r>
      <w:r w:rsidR="00D65699" w:rsidRPr="00205E56">
        <w:rPr>
          <w:rFonts w:ascii="Times New Roman" w:hAnsi="Times New Roman" w:cs="Times New Roman"/>
          <w:sz w:val="24"/>
          <w:szCs w:val="24"/>
        </w:rPr>
        <w:t xml:space="preserve">tzw. </w:t>
      </w:r>
      <w:r w:rsidR="00D57BB2" w:rsidRPr="00205E56">
        <w:rPr>
          <w:rFonts w:ascii="Times New Roman" w:hAnsi="Times New Roman" w:cs="Times New Roman"/>
          <w:sz w:val="24"/>
          <w:szCs w:val="24"/>
        </w:rPr>
        <w:t>ograniczonej sieci.</w:t>
      </w:r>
    </w:p>
    <w:p w14:paraId="6F62EFEF" w14:textId="411BFB32" w:rsidR="008C6FD2" w:rsidRPr="00205E56" w:rsidRDefault="00A7705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4154BD" w:rsidRPr="00205E56">
        <w:rPr>
          <w:rFonts w:ascii="Times New Roman" w:hAnsi="Times New Roman" w:cs="Times New Roman"/>
          <w:b/>
          <w:sz w:val="24"/>
          <w:szCs w:val="24"/>
        </w:rPr>
        <w:t>10</w:t>
      </w:r>
      <w:r w:rsidR="005A6A80">
        <w:rPr>
          <w:rFonts w:ascii="Times New Roman" w:hAnsi="Times New Roman" w:cs="Times New Roman"/>
          <w:b/>
          <w:sz w:val="24"/>
          <w:szCs w:val="24"/>
        </w:rPr>
        <w:t>5</w:t>
      </w:r>
      <w:r w:rsidR="00657F81" w:rsidRPr="00205E56">
        <w:rPr>
          <w:rFonts w:ascii="Times New Roman" w:hAnsi="Times New Roman" w:cs="Times New Roman"/>
          <w:sz w:val="24"/>
          <w:szCs w:val="24"/>
        </w:rPr>
        <w:t xml:space="preserve"> </w:t>
      </w:r>
      <w:r w:rsidR="008C6FD2" w:rsidRPr="00205E56">
        <w:rPr>
          <w:rFonts w:ascii="Times New Roman" w:hAnsi="Times New Roman" w:cs="Times New Roman"/>
          <w:sz w:val="24"/>
          <w:szCs w:val="24"/>
        </w:rPr>
        <w:t>dodaje się art. 142a</w:t>
      </w:r>
      <w:r w:rsidR="00205E56" w:rsidRPr="00205E56">
        <w:rPr>
          <w:rFonts w:ascii="Times New Roman" w:hAnsi="Times New Roman" w:cs="Times New Roman"/>
          <w:sz w:val="24"/>
          <w:szCs w:val="24"/>
        </w:rPr>
        <w:t>–</w:t>
      </w:r>
      <w:r w:rsidR="00252D8B" w:rsidRPr="00205E56">
        <w:rPr>
          <w:rFonts w:ascii="Times New Roman" w:hAnsi="Times New Roman" w:cs="Times New Roman"/>
          <w:sz w:val="24"/>
          <w:szCs w:val="24"/>
        </w:rPr>
        <w:t>142</w:t>
      </w:r>
      <w:r w:rsidR="00D65699" w:rsidRPr="00205E56">
        <w:rPr>
          <w:rFonts w:ascii="Times New Roman" w:hAnsi="Times New Roman" w:cs="Times New Roman"/>
          <w:sz w:val="24"/>
          <w:szCs w:val="24"/>
        </w:rPr>
        <w:t>b</w:t>
      </w:r>
      <w:r w:rsidR="008C6FD2" w:rsidRPr="00205E56">
        <w:rPr>
          <w:rFonts w:ascii="Times New Roman" w:hAnsi="Times New Roman" w:cs="Times New Roman"/>
          <w:sz w:val="24"/>
          <w:szCs w:val="24"/>
        </w:rPr>
        <w:t>,</w:t>
      </w:r>
      <w:r w:rsidR="002F4D99" w:rsidRPr="00205E56">
        <w:rPr>
          <w:rFonts w:ascii="Times New Roman" w:hAnsi="Times New Roman" w:cs="Times New Roman"/>
          <w:sz w:val="24"/>
          <w:szCs w:val="24"/>
        </w:rPr>
        <w:t xml:space="preserve"> który nakłada</w:t>
      </w:r>
      <w:r w:rsidR="00252D8B" w:rsidRPr="00205E56">
        <w:rPr>
          <w:rFonts w:ascii="Times New Roman" w:hAnsi="Times New Roman" w:cs="Times New Roman"/>
          <w:sz w:val="24"/>
          <w:szCs w:val="24"/>
        </w:rPr>
        <w:t>ją</w:t>
      </w:r>
      <w:r w:rsidR="002F4D99" w:rsidRPr="00205E56">
        <w:rPr>
          <w:rFonts w:ascii="Times New Roman" w:hAnsi="Times New Roman" w:cs="Times New Roman"/>
          <w:sz w:val="24"/>
          <w:szCs w:val="24"/>
        </w:rPr>
        <w:t xml:space="preserve"> obowiązek powiadamiania EUNB o informacjach wpisywanych do rejestru, w </w:t>
      </w:r>
      <w:r w:rsidR="00DA5D73">
        <w:rPr>
          <w:rFonts w:ascii="Times New Roman" w:hAnsi="Times New Roman" w:cs="Times New Roman"/>
          <w:sz w:val="24"/>
          <w:szCs w:val="24"/>
        </w:rPr>
        <w:t>tym o przypadkach wykreślenia z </w:t>
      </w:r>
      <w:r w:rsidR="002F4D99" w:rsidRPr="00205E56">
        <w:rPr>
          <w:rFonts w:ascii="Times New Roman" w:hAnsi="Times New Roman" w:cs="Times New Roman"/>
          <w:sz w:val="24"/>
          <w:szCs w:val="24"/>
        </w:rPr>
        <w:t>rejestru, wraz z podaniem przyczyn. KNF będzie również ponosić odpowiedzialność za prawidłowość oraz bieżącą aktualizację informacji przekazywanych EUNB.</w:t>
      </w:r>
      <w:r w:rsidR="00385132" w:rsidRPr="00205E56">
        <w:rPr>
          <w:rFonts w:ascii="Times New Roman" w:hAnsi="Times New Roman" w:cs="Times New Roman"/>
          <w:sz w:val="24"/>
          <w:szCs w:val="24"/>
        </w:rPr>
        <w:t xml:space="preserve"> Zmiana w art. 142b ma na celu zapewnienie bezpieczeństwa obrotu oraz podwyższenie poziomu ochrony uczestników rynku finansowego, w tym konsumentów</w:t>
      </w:r>
      <w:r w:rsidR="00066B2A" w:rsidRPr="00205E56">
        <w:rPr>
          <w:rFonts w:ascii="Times New Roman" w:hAnsi="Times New Roman" w:cs="Times New Roman"/>
          <w:sz w:val="24"/>
          <w:szCs w:val="24"/>
        </w:rPr>
        <w:t xml:space="preserve"> </w:t>
      </w:r>
      <w:r w:rsidR="00385132" w:rsidRPr="00205E56">
        <w:rPr>
          <w:rFonts w:ascii="Times New Roman" w:hAnsi="Times New Roman" w:cs="Times New Roman"/>
          <w:sz w:val="24"/>
          <w:szCs w:val="24"/>
        </w:rPr>
        <w:t>(</w:t>
      </w:r>
      <w:r w:rsidR="00066B2A" w:rsidRPr="00205E56">
        <w:rPr>
          <w:rFonts w:ascii="Times New Roman" w:hAnsi="Times New Roman" w:cs="Times New Roman"/>
          <w:sz w:val="24"/>
          <w:szCs w:val="24"/>
        </w:rPr>
        <w:t>p</w:t>
      </w:r>
      <w:r w:rsidR="00385132" w:rsidRPr="00205E56">
        <w:rPr>
          <w:rFonts w:ascii="Times New Roman" w:hAnsi="Times New Roman" w:cs="Times New Roman"/>
          <w:sz w:val="24"/>
          <w:szCs w:val="24"/>
        </w:rPr>
        <w:t>oza wymaganiami PSD2). Brak publicznej dostępności tych informacji skutkuje koniecznością weryfikacji ich w rejestrach innych państw członkowskich, co często jest niemożliwe z uwagi na barierę językową (zwłaszcza po stronie nieprofesjonalnych uczestników obrotu) lub kwestie organizacyjne. Z kolei potencjalna alternatywa w postaci uzyskiwania tych informacji w trybie udostępnienia informacji publicznej jest rozwiązaniem generującym relatywnie wysokie koszty rozpatrzenia każdego wniosku.</w:t>
      </w:r>
    </w:p>
    <w:p w14:paraId="0A5DD8D0" w14:textId="49DF0D1A" w:rsidR="00A67E4A" w:rsidRPr="00205E56" w:rsidRDefault="00D65699"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lastRenderedPageBreak/>
        <w:t xml:space="preserve">W </w:t>
      </w:r>
      <w:r w:rsidRPr="00205E56">
        <w:rPr>
          <w:rFonts w:ascii="Times New Roman" w:hAnsi="Times New Roman" w:cs="Times New Roman"/>
          <w:b/>
          <w:sz w:val="24"/>
          <w:szCs w:val="24"/>
        </w:rPr>
        <w:t>pkt 10</w:t>
      </w:r>
      <w:r w:rsidR="005A6A80">
        <w:rPr>
          <w:rFonts w:ascii="Times New Roman" w:hAnsi="Times New Roman" w:cs="Times New Roman"/>
          <w:b/>
          <w:sz w:val="24"/>
          <w:szCs w:val="24"/>
        </w:rPr>
        <w:t>6</w:t>
      </w:r>
      <w:r w:rsidRPr="00205E56">
        <w:rPr>
          <w:rFonts w:ascii="Times New Roman" w:hAnsi="Times New Roman" w:cs="Times New Roman"/>
          <w:sz w:val="24"/>
          <w:szCs w:val="24"/>
        </w:rPr>
        <w:t xml:space="preserve"> wprowadza </w:t>
      </w:r>
      <w:r w:rsidR="00A67E4A" w:rsidRPr="00205E56">
        <w:rPr>
          <w:rFonts w:ascii="Times New Roman" w:hAnsi="Times New Roman" w:cs="Times New Roman"/>
          <w:sz w:val="24"/>
          <w:szCs w:val="24"/>
        </w:rPr>
        <w:t>zmiany w art. 144</w:t>
      </w:r>
      <w:r w:rsidR="002263C6" w:rsidRPr="00205E56">
        <w:rPr>
          <w:rFonts w:ascii="Times New Roman" w:hAnsi="Times New Roman" w:cs="Times New Roman"/>
          <w:sz w:val="24"/>
          <w:szCs w:val="24"/>
        </w:rPr>
        <w:t xml:space="preserve"> </w:t>
      </w:r>
      <w:r w:rsidR="00B743AC" w:rsidRPr="00205E56">
        <w:rPr>
          <w:rFonts w:ascii="Times New Roman" w:hAnsi="Times New Roman" w:cs="Times New Roman"/>
          <w:sz w:val="24"/>
          <w:szCs w:val="24"/>
        </w:rPr>
        <w:t>w zakresie odpowiedzialności dostawców usług płatniczych za niewykonanie transakcji płatniczych lub za nienależyte lub opóźnione ich wykonanie. Jeżeli dostawca pła</w:t>
      </w:r>
      <w:r w:rsidR="00DA5D73">
        <w:rPr>
          <w:rFonts w:ascii="Times New Roman" w:hAnsi="Times New Roman" w:cs="Times New Roman"/>
          <w:sz w:val="24"/>
          <w:szCs w:val="24"/>
        </w:rPr>
        <w:t>tnika ponosi odpowiedzialność w </w:t>
      </w:r>
      <w:r w:rsidR="00B743AC" w:rsidRPr="00205E56">
        <w:rPr>
          <w:rFonts w:ascii="Times New Roman" w:hAnsi="Times New Roman" w:cs="Times New Roman"/>
          <w:sz w:val="24"/>
          <w:szCs w:val="24"/>
        </w:rPr>
        <w:t>przypadku gdy zlecenie płatnicze jest inicjowane bezpośrednio przez płatnika, niezwłocznie zwraca płatnikowi kwotę niewykonanej lub nienależycie wykonanej transakcji płatniczej albo, w przypadku gdy płatnik korzysta z rachunku płatniczego, przywraca obciążony rachunek płatniczy do stanu, jaki istniałby gdyby nie miało miejsca niewykonanie lub nienależyte wykonanie trans</w:t>
      </w:r>
      <w:r w:rsidR="00DA5D73">
        <w:rPr>
          <w:rFonts w:ascii="Times New Roman" w:hAnsi="Times New Roman" w:cs="Times New Roman"/>
          <w:sz w:val="24"/>
          <w:szCs w:val="24"/>
        </w:rPr>
        <w:t>akcji płatniczej. Data waluty w </w:t>
      </w:r>
      <w:r w:rsidR="00B743AC" w:rsidRPr="00205E56">
        <w:rPr>
          <w:rFonts w:ascii="Times New Roman" w:hAnsi="Times New Roman" w:cs="Times New Roman"/>
          <w:sz w:val="24"/>
          <w:szCs w:val="24"/>
        </w:rPr>
        <w:t>odniesieniu do uznania rachunku płatniczego płatnika nie może być późniejsza od daty obciążenia tą kwotą. Natomiast w przypadku gdy zlecenie płatnicze jest inicjowane przez płatnika za pośrednictwem dostawcy świadczącego usługę inicjowania płatności, dostawca usług płatniczych prowadzący rachunek zwraca płatnikowi kwotę niewykonanej lub nienależycie wykonanej transakcji płatniczej i, w stosownych przypadkach, przywraca obciążony rachunek płatniczy do stanu, jaki istniałby gdyby nie miało miejsca nienależyte wykonanie transakcji płatniczej. Na dostawcy świadczącym usługę inicjowania płatności spoczywa ciężar udowodnienia, że dostawca usług płatniczych prowadzący rachunek dla płatnika otrzymał zlecenie płatnicze zgodnie z art. 49 i że – w zakresie jego właściwości – transakcja płatnicza została uwierzytelniona, prawidłowo zapisana i że na transakcję płatniczą nie miała wpływu awaria techniczna ani innego rodzaju usterka związana z niewykonaniem transakcji lub nienależytym lub opóźnionym jej wykonaniem. Jeżeli dostawca świadczący usługę inicjowania płatności jest odpowiedzialny za niewykonanie transakcji płatniczej lub za nienależyte lub opóźnione jej wykonanie, niezwłocznie rekompensuje dostawcy usług płatniczych prowadzącemu rachunek, na jego wniosek, straty poniesione lub sumy zapłacone w wyniku dokonania zwrotu na rzecz płatnika.</w:t>
      </w:r>
      <w:r w:rsidR="00DD2FA9" w:rsidRPr="00205E56">
        <w:rPr>
          <w:rFonts w:ascii="Times New Roman" w:hAnsi="Times New Roman" w:cs="Times New Roman"/>
          <w:sz w:val="24"/>
          <w:szCs w:val="24"/>
        </w:rPr>
        <w:t xml:space="preserve"> W przypadku opisany</w:t>
      </w:r>
      <w:r w:rsidR="004521ED" w:rsidRPr="00205E56">
        <w:rPr>
          <w:rFonts w:ascii="Times New Roman" w:hAnsi="Times New Roman" w:cs="Times New Roman"/>
          <w:sz w:val="24"/>
          <w:szCs w:val="24"/>
        </w:rPr>
        <w:t>m</w:t>
      </w:r>
      <w:r w:rsidR="00DA5D73">
        <w:rPr>
          <w:rFonts w:ascii="Times New Roman" w:hAnsi="Times New Roman" w:cs="Times New Roman"/>
          <w:sz w:val="24"/>
          <w:szCs w:val="24"/>
        </w:rPr>
        <w:t xml:space="preserve"> w ust. </w:t>
      </w:r>
      <w:r w:rsidR="00DD2FA9" w:rsidRPr="00205E56">
        <w:rPr>
          <w:rFonts w:ascii="Times New Roman" w:hAnsi="Times New Roman" w:cs="Times New Roman"/>
          <w:sz w:val="24"/>
          <w:szCs w:val="24"/>
        </w:rPr>
        <w:t>2a, dostawca prowadzący rachunek zwraca płatnikowi kwotę niewykonanej lub nienależycie wykonanej transakcji płatniczej, a w razie potrzeby przywraca obciążony rachunek płatniczy do stanu, jaki istniałby gdyby nie miało miejsca jej nienależyte wykonanie bez uszczerbku dla postanowień art. 44 oraz art. 143 ust. 2 i 3.</w:t>
      </w:r>
    </w:p>
    <w:p w14:paraId="4D5368F2" w14:textId="74278D07" w:rsidR="00A67E4A" w:rsidRPr="00205E56" w:rsidRDefault="00A7705E"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4B2636" w:rsidRPr="00205E56">
        <w:rPr>
          <w:rFonts w:ascii="Times New Roman" w:hAnsi="Times New Roman" w:cs="Times New Roman"/>
          <w:b/>
          <w:sz w:val="24"/>
          <w:szCs w:val="24"/>
        </w:rPr>
        <w:t>10</w:t>
      </w:r>
      <w:r w:rsidR="005A6A80">
        <w:rPr>
          <w:rFonts w:ascii="Times New Roman" w:hAnsi="Times New Roman" w:cs="Times New Roman"/>
          <w:b/>
          <w:sz w:val="24"/>
          <w:szCs w:val="24"/>
        </w:rPr>
        <w:t>7</w:t>
      </w:r>
      <w:r w:rsidR="00A67E4A" w:rsidRPr="00205E56">
        <w:rPr>
          <w:rFonts w:ascii="Times New Roman" w:hAnsi="Times New Roman" w:cs="Times New Roman"/>
          <w:sz w:val="24"/>
          <w:szCs w:val="24"/>
        </w:rPr>
        <w:t xml:space="preserve"> </w:t>
      </w:r>
      <w:r w:rsidR="00B743AC" w:rsidRPr="00205E56">
        <w:rPr>
          <w:rFonts w:ascii="Times New Roman" w:hAnsi="Times New Roman" w:cs="Times New Roman"/>
          <w:sz w:val="24"/>
          <w:szCs w:val="24"/>
        </w:rPr>
        <w:t>wprowadza się zmiany w art. 145 przez dodanie ust. 2a</w:t>
      </w:r>
      <w:r w:rsidR="003454B3">
        <w:rPr>
          <w:rFonts w:ascii="Times New Roman" w:hAnsi="Times New Roman" w:cs="Times New Roman"/>
          <w:sz w:val="24"/>
          <w:szCs w:val="24"/>
        </w:rPr>
        <w:t>,</w:t>
      </w:r>
      <w:r w:rsidR="00DA5D73">
        <w:rPr>
          <w:rFonts w:ascii="Times New Roman" w:hAnsi="Times New Roman" w:cs="Times New Roman"/>
          <w:sz w:val="24"/>
          <w:szCs w:val="24"/>
        </w:rPr>
        <w:t xml:space="preserve"> zgodnie z którym w </w:t>
      </w:r>
      <w:r w:rsidR="00F27CD0" w:rsidRPr="00205E56">
        <w:rPr>
          <w:rFonts w:ascii="Times New Roman" w:hAnsi="Times New Roman" w:cs="Times New Roman"/>
          <w:sz w:val="24"/>
          <w:szCs w:val="24"/>
        </w:rPr>
        <w:t xml:space="preserve">przypadku gdy zlecenie płatnicze jest inicjowane przez odbiorcę lub za jego pośrednictwem, jego dostawca ponosi wobec odbiorcy odpowiedzialność za prawidłowe przekazanie zlecenia płatniczego dostawcy płatnika. W przypadku </w:t>
      </w:r>
      <w:r w:rsidR="00F27CD0" w:rsidRPr="00205E56">
        <w:rPr>
          <w:rFonts w:ascii="Times New Roman" w:hAnsi="Times New Roman" w:cs="Times New Roman"/>
          <w:sz w:val="24"/>
          <w:szCs w:val="24"/>
        </w:rPr>
        <w:lastRenderedPageBreak/>
        <w:t xml:space="preserve">opóźnionego przekazania zlecenia płatniczego, kwota zostaje uznana na rachunku płatniczym odbiorcy z datą waluty nie późniejszą niż data waluty, z którą kwota zostałaby uznana gdyby transakcja została wykonana prawidłowo. W przypadku niewykonanej lub nienależycie wykonanej transakcji płatniczej, za którą dostawca odbiorcy nie ponosi odpowiedzialności, odpowiedzialność wobec płatnika ponosi dostawca płatnika; w takim przypadku stosuje się art. 144 ust. 2. </w:t>
      </w:r>
      <w:r w:rsidR="0080596E" w:rsidRPr="00205E56">
        <w:rPr>
          <w:rFonts w:ascii="Times New Roman" w:hAnsi="Times New Roman" w:cs="Times New Roman"/>
          <w:sz w:val="24"/>
          <w:szCs w:val="24"/>
        </w:rPr>
        <w:t>Odpowiedzialność wobec płatnika w przypadku niewykonanej lub nienależycie wykonanej transakcji płatniczej</w:t>
      </w:r>
      <w:r w:rsidR="0080596E" w:rsidRPr="00205E56" w:rsidDel="0080596E">
        <w:rPr>
          <w:rFonts w:ascii="Times New Roman" w:hAnsi="Times New Roman" w:cs="Times New Roman"/>
          <w:sz w:val="24"/>
          <w:szCs w:val="24"/>
        </w:rPr>
        <w:t xml:space="preserve"> </w:t>
      </w:r>
      <w:r w:rsidR="0080596E" w:rsidRPr="00205E56">
        <w:rPr>
          <w:rFonts w:ascii="Times New Roman" w:hAnsi="Times New Roman" w:cs="Times New Roman"/>
          <w:sz w:val="24"/>
          <w:szCs w:val="24"/>
        </w:rPr>
        <w:t>(art. 145 ust. 5)</w:t>
      </w:r>
      <w:r w:rsidR="00D65699" w:rsidRPr="00205E56">
        <w:rPr>
          <w:rFonts w:ascii="Times New Roman" w:hAnsi="Times New Roman" w:cs="Times New Roman"/>
          <w:sz w:val="24"/>
          <w:szCs w:val="24"/>
        </w:rPr>
        <w:t xml:space="preserve"> </w:t>
      </w:r>
      <w:r w:rsidR="00F27CD0" w:rsidRPr="00205E56">
        <w:rPr>
          <w:rFonts w:ascii="Times New Roman" w:hAnsi="Times New Roman" w:cs="Times New Roman"/>
          <w:sz w:val="24"/>
          <w:szCs w:val="24"/>
        </w:rPr>
        <w:t>nie ma zastosowania do dostawcy usług płatniczych płatnika jeżeli dostawca płatnika udowodni, że dostawca odbiorcy otrzymał kwotę danej transakcji płatniczej, nawet jeżeli transakcja płatnicza została wykonana z opóźnieniem. W takim przypadku dostawca odbiorcy uznaje kwotę na rachunku płatniczym odbiorcy z datą waluty nie późniejszą niż data waluty, z którą kwota zostałaby uznana, gdyby transakcja płatnicza została wykonana prawidłowo.</w:t>
      </w:r>
    </w:p>
    <w:p w14:paraId="13EDED66" w14:textId="4546C64F" w:rsidR="00A67E4A" w:rsidRPr="00205E56" w:rsidRDefault="00A67E4A"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4B2636" w:rsidRPr="00205E56">
        <w:rPr>
          <w:rFonts w:ascii="Times New Roman" w:hAnsi="Times New Roman" w:cs="Times New Roman"/>
          <w:b/>
          <w:sz w:val="24"/>
          <w:szCs w:val="24"/>
        </w:rPr>
        <w:t>10</w:t>
      </w:r>
      <w:r w:rsidR="005A6A80">
        <w:rPr>
          <w:rFonts w:ascii="Times New Roman" w:hAnsi="Times New Roman" w:cs="Times New Roman"/>
          <w:b/>
          <w:sz w:val="24"/>
          <w:szCs w:val="24"/>
        </w:rPr>
        <w:t>8</w:t>
      </w:r>
      <w:r w:rsidRPr="00205E56">
        <w:rPr>
          <w:rFonts w:ascii="Times New Roman" w:hAnsi="Times New Roman" w:cs="Times New Roman"/>
          <w:sz w:val="24"/>
          <w:szCs w:val="24"/>
        </w:rPr>
        <w:t xml:space="preserve"> wprowadza się zmiany w art. 146</w:t>
      </w:r>
      <w:r w:rsidR="00066B2A" w:rsidRPr="00205E56">
        <w:rPr>
          <w:rFonts w:ascii="Times New Roman" w:hAnsi="Times New Roman" w:cs="Times New Roman"/>
          <w:sz w:val="24"/>
          <w:szCs w:val="24"/>
        </w:rPr>
        <w:t xml:space="preserve"> </w:t>
      </w:r>
      <w:r w:rsidR="00205E56" w:rsidRPr="00205E56">
        <w:rPr>
          <w:rFonts w:ascii="Times New Roman" w:hAnsi="Times New Roman" w:cs="Times New Roman"/>
          <w:sz w:val="24"/>
          <w:szCs w:val="24"/>
        </w:rPr>
        <w:t>–</w:t>
      </w:r>
      <w:r w:rsidR="00066B2A" w:rsidRPr="00205E56">
        <w:rPr>
          <w:rFonts w:ascii="Times New Roman" w:hAnsi="Times New Roman" w:cs="Times New Roman"/>
          <w:sz w:val="24"/>
          <w:szCs w:val="24"/>
        </w:rPr>
        <w:t xml:space="preserve"> </w:t>
      </w:r>
      <w:r w:rsidR="00D26E10" w:rsidRPr="00205E56">
        <w:rPr>
          <w:rFonts w:ascii="Times New Roman" w:hAnsi="Times New Roman" w:cs="Times New Roman"/>
          <w:sz w:val="24"/>
          <w:szCs w:val="24"/>
        </w:rPr>
        <w:t>w</w:t>
      </w:r>
      <w:r w:rsidR="00134FE8" w:rsidRPr="00205E56">
        <w:rPr>
          <w:rFonts w:ascii="Times New Roman" w:hAnsi="Times New Roman" w:cs="Times New Roman"/>
          <w:sz w:val="24"/>
          <w:szCs w:val="24"/>
        </w:rPr>
        <w:t xml:space="preserve"> przypadku niewykonanej lub nienależycie wykonanej transakcji płatniczej zainicjowanej przez płatnika</w:t>
      </w:r>
      <w:r w:rsidR="00205E56" w:rsidRPr="00205E56">
        <w:rPr>
          <w:rFonts w:ascii="Times New Roman" w:hAnsi="Times New Roman" w:cs="Times New Roman"/>
          <w:sz w:val="24"/>
          <w:szCs w:val="24"/>
        </w:rPr>
        <w:t xml:space="preserve"> </w:t>
      </w:r>
      <w:r w:rsidR="00134FE8" w:rsidRPr="00205E56">
        <w:rPr>
          <w:rFonts w:ascii="Times New Roman" w:hAnsi="Times New Roman" w:cs="Times New Roman"/>
          <w:sz w:val="24"/>
          <w:szCs w:val="24"/>
        </w:rPr>
        <w:t>jego dostawca, bez względu na odpowiedzialność ponoszoną na mocy art. 144 ust. 1, na wniosek płatnika podejmuje niezwłocznie działania w celu prześledzenia transakcji płatniczej i powiadamia płatnika o ich wyniku. Czynności te są dla płatnika bezpłatne. W przypadku transakcji płatniczej zainicjowanej przez odbiorcę lub za jego pośrednictwem</w:t>
      </w:r>
      <w:r w:rsidR="00205E56" w:rsidRPr="00205E56">
        <w:rPr>
          <w:rFonts w:ascii="Times New Roman" w:hAnsi="Times New Roman" w:cs="Times New Roman"/>
          <w:sz w:val="24"/>
          <w:szCs w:val="24"/>
        </w:rPr>
        <w:t xml:space="preserve"> </w:t>
      </w:r>
      <w:r w:rsidR="00134FE8" w:rsidRPr="00205E56">
        <w:rPr>
          <w:rFonts w:ascii="Times New Roman" w:hAnsi="Times New Roman" w:cs="Times New Roman"/>
          <w:sz w:val="24"/>
          <w:szCs w:val="24"/>
        </w:rPr>
        <w:t>jego dostawca, bez względu na odpowiedzialność ponoszoną na mocy art. 145 ust. 1 i 3, podejmuje na wniosek odbiorcy niezwłoczne starania w celu prześledzenia transakcji płatniczej i powiadamia odbiorcę o ich wyniku. Czynności te są dla płatnika bezpłatne. Odpowiedzialność dostawcy określona w art. 144 i art. 145 obejmuje także opłaty oraz odsetki, którymi został obciążony użytkownik w rezultacie niewykonania lub nienależytego, w tym opóźnionego,</w:t>
      </w:r>
      <w:r w:rsidR="00D07BEB" w:rsidRPr="00205E56">
        <w:rPr>
          <w:rFonts w:ascii="Times New Roman" w:hAnsi="Times New Roman" w:cs="Times New Roman"/>
          <w:sz w:val="24"/>
          <w:szCs w:val="24"/>
        </w:rPr>
        <w:t xml:space="preserve"> </w:t>
      </w:r>
      <w:r w:rsidR="00134FE8" w:rsidRPr="00205E56">
        <w:rPr>
          <w:rFonts w:ascii="Times New Roman" w:hAnsi="Times New Roman" w:cs="Times New Roman"/>
          <w:sz w:val="24"/>
          <w:szCs w:val="24"/>
        </w:rPr>
        <w:t>wykonania transakcji płatniczej.</w:t>
      </w:r>
    </w:p>
    <w:p w14:paraId="29B92198" w14:textId="7E434B6B" w:rsidR="00A67E4A" w:rsidRPr="00205E56" w:rsidRDefault="00A67E4A"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252D8B" w:rsidRPr="00205E56">
        <w:rPr>
          <w:rFonts w:ascii="Times New Roman" w:hAnsi="Times New Roman" w:cs="Times New Roman"/>
          <w:b/>
          <w:sz w:val="24"/>
          <w:szCs w:val="24"/>
        </w:rPr>
        <w:t>1</w:t>
      </w:r>
      <w:r w:rsidR="00DC66F9" w:rsidRPr="00205E56">
        <w:rPr>
          <w:rFonts w:ascii="Times New Roman" w:hAnsi="Times New Roman" w:cs="Times New Roman"/>
          <w:b/>
          <w:sz w:val="24"/>
          <w:szCs w:val="24"/>
        </w:rPr>
        <w:t>0</w:t>
      </w:r>
      <w:r w:rsidR="005A6A80">
        <w:rPr>
          <w:rFonts w:ascii="Times New Roman" w:hAnsi="Times New Roman" w:cs="Times New Roman"/>
          <w:b/>
          <w:sz w:val="24"/>
          <w:szCs w:val="24"/>
        </w:rPr>
        <w:t>9</w:t>
      </w:r>
      <w:r w:rsidRPr="00205E56">
        <w:rPr>
          <w:rFonts w:ascii="Times New Roman" w:hAnsi="Times New Roman" w:cs="Times New Roman"/>
          <w:sz w:val="24"/>
          <w:szCs w:val="24"/>
        </w:rPr>
        <w:t xml:space="preserve"> wprowadza się zmianę w art. 148</w:t>
      </w:r>
      <w:r w:rsidR="00602CBD" w:rsidRPr="00205E56">
        <w:rPr>
          <w:rFonts w:ascii="Times New Roman" w:hAnsi="Times New Roman" w:cs="Times New Roman"/>
          <w:sz w:val="24"/>
          <w:szCs w:val="24"/>
        </w:rPr>
        <w:t xml:space="preserve"> </w:t>
      </w:r>
      <w:r w:rsidR="00205E56" w:rsidRPr="00205E56">
        <w:rPr>
          <w:rFonts w:ascii="Times New Roman" w:hAnsi="Times New Roman" w:cs="Times New Roman"/>
          <w:sz w:val="24"/>
          <w:szCs w:val="24"/>
        </w:rPr>
        <w:t>–</w:t>
      </w:r>
      <w:r w:rsidR="00602CBD" w:rsidRPr="00205E56">
        <w:rPr>
          <w:rFonts w:ascii="Times New Roman" w:hAnsi="Times New Roman" w:cs="Times New Roman"/>
          <w:sz w:val="24"/>
          <w:szCs w:val="24"/>
        </w:rPr>
        <w:t xml:space="preserve"> </w:t>
      </w:r>
      <w:r w:rsidR="00D26E10" w:rsidRPr="00205E56">
        <w:rPr>
          <w:rFonts w:ascii="Times New Roman" w:hAnsi="Times New Roman" w:cs="Times New Roman"/>
          <w:sz w:val="24"/>
          <w:szCs w:val="24"/>
        </w:rPr>
        <w:t>w</w:t>
      </w:r>
      <w:r w:rsidR="00134FE8" w:rsidRPr="00205E56">
        <w:rPr>
          <w:rFonts w:ascii="Times New Roman" w:hAnsi="Times New Roman" w:cs="Times New Roman"/>
          <w:sz w:val="24"/>
          <w:szCs w:val="24"/>
        </w:rPr>
        <w:t xml:space="preserve"> przypadku gdy niewykonanie lub nienależyte wykonanie transakcji płatniczej jest wynikiem działania lub zaniechania dostawcy innego niż dostawca płatnika lub odbiorcy albo innego podmiotu pośredniczącego w wykonaniu transakcji płatniczej, dostawca płatnika lub odbiorcy może żądać od niego zwrotu</w:t>
      </w:r>
      <w:r w:rsidR="00D26E10" w:rsidRPr="00205E56">
        <w:rPr>
          <w:rFonts w:ascii="Times New Roman" w:hAnsi="Times New Roman" w:cs="Times New Roman"/>
          <w:sz w:val="24"/>
          <w:szCs w:val="24"/>
        </w:rPr>
        <w:t xml:space="preserve"> poniesionych kosztów. </w:t>
      </w:r>
      <w:r w:rsidR="00DA5D73">
        <w:rPr>
          <w:rFonts w:ascii="Times New Roman" w:hAnsi="Times New Roman" w:cs="Times New Roman"/>
          <w:sz w:val="24"/>
          <w:szCs w:val="24"/>
        </w:rPr>
        <w:t>Obejmuje to rekompensatę w </w:t>
      </w:r>
      <w:r w:rsidR="00134FE8" w:rsidRPr="00205E56">
        <w:rPr>
          <w:rFonts w:ascii="Times New Roman" w:hAnsi="Times New Roman" w:cs="Times New Roman"/>
          <w:sz w:val="24"/>
          <w:szCs w:val="24"/>
        </w:rPr>
        <w:t>przypadku gdy którykolwiek z dostawców usług płatniczych nie zastosuje silnego uwierzytelnienia klienta.</w:t>
      </w:r>
    </w:p>
    <w:p w14:paraId="3E4A9F42" w14:textId="0A940DBD" w:rsidR="00A67E4A" w:rsidRPr="00205E56" w:rsidRDefault="00A67E4A"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lastRenderedPageBreak/>
        <w:t xml:space="preserve">W </w:t>
      </w:r>
      <w:r w:rsidRPr="00205E56">
        <w:rPr>
          <w:rFonts w:ascii="Times New Roman" w:hAnsi="Times New Roman" w:cs="Times New Roman"/>
          <w:b/>
          <w:sz w:val="24"/>
          <w:szCs w:val="24"/>
        </w:rPr>
        <w:t xml:space="preserve">pkt </w:t>
      </w:r>
      <w:r w:rsidR="00252D8B" w:rsidRPr="00205E56">
        <w:rPr>
          <w:rFonts w:ascii="Times New Roman" w:hAnsi="Times New Roman" w:cs="Times New Roman"/>
          <w:b/>
          <w:sz w:val="24"/>
          <w:szCs w:val="24"/>
        </w:rPr>
        <w:t>1</w:t>
      </w:r>
      <w:r w:rsidR="00D65699" w:rsidRPr="00205E56">
        <w:rPr>
          <w:rFonts w:ascii="Times New Roman" w:hAnsi="Times New Roman" w:cs="Times New Roman"/>
          <w:b/>
          <w:sz w:val="24"/>
          <w:szCs w:val="24"/>
        </w:rPr>
        <w:t>1</w:t>
      </w:r>
      <w:r w:rsidR="005A6A80">
        <w:rPr>
          <w:rFonts w:ascii="Times New Roman" w:hAnsi="Times New Roman" w:cs="Times New Roman"/>
          <w:b/>
          <w:sz w:val="24"/>
          <w:szCs w:val="24"/>
        </w:rPr>
        <w:t>0</w:t>
      </w:r>
      <w:r w:rsidRPr="00205E56">
        <w:rPr>
          <w:rFonts w:ascii="Times New Roman" w:hAnsi="Times New Roman" w:cs="Times New Roman"/>
          <w:sz w:val="24"/>
          <w:szCs w:val="24"/>
        </w:rPr>
        <w:t xml:space="preserve"> wprowadza się zmianę w art. 150</w:t>
      </w:r>
      <w:r w:rsidR="007E2D91" w:rsidRPr="00205E56">
        <w:rPr>
          <w:rFonts w:ascii="Times New Roman" w:hAnsi="Times New Roman" w:cs="Times New Roman"/>
          <w:sz w:val="24"/>
          <w:szCs w:val="24"/>
        </w:rPr>
        <w:t xml:space="preserve"> ust. 2</w:t>
      </w:r>
      <w:r w:rsidR="00602CBD" w:rsidRPr="00205E56">
        <w:rPr>
          <w:rFonts w:ascii="Times New Roman" w:hAnsi="Times New Roman" w:cs="Times New Roman"/>
          <w:sz w:val="24"/>
          <w:szCs w:val="24"/>
        </w:rPr>
        <w:t xml:space="preserve"> </w:t>
      </w:r>
      <w:r w:rsidR="00205E56" w:rsidRPr="00205E56">
        <w:rPr>
          <w:rFonts w:ascii="Times New Roman" w:hAnsi="Times New Roman" w:cs="Times New Roman"/>
          <w:sz w:val="24"/>
          <w:szCs w:val="24"/>
        </w:rPr>
        <w:t>–</w:t>
      </w:r>
      <w:r w:rsidR="00602CBD" w:rsidRPr="00205E56">
        <w:rPr>
          <w:rFonts w:ascii="Times New Roman" w:hAnsi="Times New Roman" w:cs="Times New Roman"/>
          <w:sz w:val="24"/>
          <w:szCs w:val="24"/>
        </w:rPr>
        <w:t xml:space="preserve"> </w:t>
      </w:r>
      <w:r w:rsidR="007E2D91" w:rsidRPr="00205E56">
        <w:rPr>
          <w:rFonts w:ascii="Times New Roman" w:hAnsi="Times New Roman" w:cs="Times New Roman"/>
          <w:sz w:val="24"/>
          <w:szCs w:val="24"/>
        </w:rPr>
        <w:t>przewidziano możliwość stosowania sankcji karnej w postaci kary grzywny wobec podmiotów, które nie</w:t>
      </w:r>
      <w:r w:rsidR="00D07BEB" w:rsidRPr="00205E56">
        <w:rPr>
          <w:rFonts w:ascii="Times New Roman" w:hAnsi="Times New Roman" w:cs="Times New Roman"/>
          <w:sz w:val="24"/>
          <w:szCs w:val="24"/>
        </w:rPr>
        <w:t xml:space="preserve"> </w:t>
      </w:r>
      <w:r w:rsidR="007E2D91" w:rsidRPr="00205E56">
        <w:rPr>
          <w:rFonts w:ascii="Times New Roman" w:hAnsi="Times New Roman" w:cs="Times New Roman"/>
          <w:sz w:val="24"/>
          <w:szCs w:val="24"/>
        </w:rPr>
        <w:t>będąc uprawnionymi będą stosować</w:t>
      </w:r>
      <w:r w:rsidR="00D07BEB" w:rsidRPr="00205E56">
        <w:rPr>
          <w:rFonts w:ascii="Times New Roman" w:hAnsi="Times New Roman" w:cs="Times New Roman"/>
          <w:sz w:val="24"/>
          <w:szCs w:val="24"/>
        </w:rPr>
        <w:t xml:space="preserve"> </w:t>
      </w:r>
      <w:r w:rsidR="007E2D91" w:rsidRPr="00205E56">
        <w:rPr>
          <w:rFonts w:ascii="Times New Roman" w:hAnsi="Times New Roman" w:cs="Times New Roman"/>
          <w:sz w:val="24"/>
          <w:szCs w:val="24"/>
        </w:rPr>
        <w:t>w nazwie (firmy</w:t>
      </w:r>
      <w:r w:rsidR="00134FE8" w:rsidRPr="00205E56">
        <w:rPr>
          <w:rFonts w:ascii="Times New Roman" w:hAnsi="Times New Roman" w:cs="Times New Roman"/>
          <w:sz w:val="24"/>
          <w:szCs w:val="24"/>
        </w:rPr>
        <w:t xml:space="preserve">) lub do określenia wykonywanej działalności gospodarczej albo w reklamie określeń </w:t>
      </w:r>
      <w:r w:rsidR="00E96025" w:rsidRPr="00205E56">
        <w:rPr>
          <w:rFonts w:ascii="Times New Roman" w:hAnsi="Times New Roman" w:cs="Times New Roman"/>
          <w:sz w:val="24"/>
          <w:szCs w:val="24"/>
        </w:rPr>
        <w:t>„</w:t>
      </w:r>
      <w:r w:rsidR="00134FE8" w:rsidRPr="00205E56">
        <w:rPr>
          <w:rFonts w:ascii="Times New Roman" w:hAnsi="Times New Roman" w:cs="Times New Roman"/>
          <w:sz w:val="24"/>
          <w:szCs w:val="24"/>
        </w:rPr>
        <w:t>usługi płatnicze</w:t>
      </w:r>
      <w:r w:rsidR="00E96025" w:rsidRPr="00205E56">
        <w:rPr>
          <w:rFonts w:ascii="Times New Roman" w:hAnsi="Times New Roman" w:cs="Times New Roman"/>
          <w:sz w:val="24"/>
          <w:szCs w:val="24"/>
        </w:rPr>
        <w:t>”</w:t>
      </w:r>
      <w:r w:rsidR="00134FE8" w:rsidRPr="00205E56">
        <w:rPr>
          <w:rFonts w:ascii="Times New Roman" w:hAnsi="Times New Roman" w:cs="Times New Roman"/>
          <w:sz w:val="24"/>
          <w:szCs w:val="24"/>
        </w:rPr>
        <w:t xml:space="preserve">, </w:t>
      </w:r>
      <w:r w:rsidR="00E96025" w:rsidRPr="00205E56">
        <w:rPr>
          <w:rFonts w:ascii="Times New Roman" w:hAnsi="Times New Roman" w:cs="Times New Roman"/>
          <w:sz w:val="24"/>
          <w:szCs w:val="24"/>
        </w:rPr>
        <w:t>„</w:t>
      </w:r>
      <w:r w:rsidR="00134FE8" w:rsidRPr="00205E56">
        <w:rPr>
          <w:rFonts w:ascii="Times New Roman" w:hAnsi="Times New Roman" w:cs="Times New Roman"/>
          <w:sz w:val="24"/>
          <w:szCs w:val="24"/>
        </w:rPr>
        <w:t>wydawanie pieniądza elektronicznego</w:t>
      </w:r>
      <w:r w:rsidR="00E96025" w:rsidRPr="00205E56">
        <w:rPr>
          <w:rFonts w:ascii="Times New Roman" w:hAnsi="Times New Roman" w:cs="Times New Roman"/>
          <w:sz w:val="24"/>
          <w:szCs w:val="24"/>
        </w:rPr>
        <w:t>”</w:t>
      </w:r>
      <w:r w:rsidR="00134FE8" w:rsidRPr="00205E56">
        <w:rPr>
          <w:rFonts w:ascii="Times New Roman" w:hAnsi="Times New Roman" w:cs="Times New Roman"/>
          <w:sz w:val="24"/>
          <w:szCs w:val="24"/>
        </w:rPr>
        <w:t xml:space="preserve">, </w:t>
      </w:r>
      <w:r w:rsidR="00E96025" w:rsidRPr="00205E56">
        <w:rPr>
          <w:rFonts w:ascii="Times New Roman" w:hAnsi="Times New Roman" w:cs="Times New Roman"/>
          <w:sz w:val="24"/>
          <w:szCs w:val="24"/>
        </w:rPr>
        <w:t>„</w:t>
      </w:r>
      <w:r w:rsidR="00134FE8" w:rsidRPr="00205E56">
        <w:rPr>
          <w:rFonts w:ascii="Times New Roman" w:hAnsi="Times New Roman" w:cs="Times New Roman"/>
          <w:sz w:val="24"/>
          <w:szCs w:val="24"/>
        </w:rPr>
        <w:t>instytucja płatnicza</w:t>
      </w:r>
      <w:r w:rsidR="00E96025" w:rsidRPr="00205E56">
        <w:rPr>
          <w:rFonts w:ascii="Times New Roman" w:hAnsi="Times New Roman" w:cs="Times New Roman"/>
          <w:sz w:val="24"/>
          <w:szCs w:val="24"/>
        </w:rPr>
        <w:t>”</w:t>
      </w:r>
      <w:r w:rsidR="00205E56" w:rsidRPr="00205E56">
        <w:rPr>
          <w:rFonts w:ascii="Times New Roman" w:hAnsi="Times New Roman" w:cs="Times New Roman"/>
          <w:sz w:val="24"/>
          <w:szCs w:val="24"/>
        </w:rPr>
        <w:t>, „</w:t>
      </w:r>
      <w:r w:rsidR="00134FE8" w:rsidRPr="00205E56">
        <w:rPr>
          <w:rFonts w:ascii="Times New Roman" w:hAnsi="Times New Roman" w:cs="Times New Roman"/>
          <w:sz w:val="24"/>
          <w:szCs w:val="24"/>
        </w:rPr>
        <w:t xml:space="preserve">mała instytucja płatnicza”, </w:t>
      </w:r>
      <w:r w:rsidR="00E96025" w:rsidRPr="00205E56">
        <w:rPr>
          <w:rFonts w:ascii="Times New Roman" w:hAnsi="Times New Roman" w:cs="Times New Roman"/>
          <w:sz w:val="24"/>
          <w:szCs w:val="24"/>
        </w:rPr>
        <w:t>„</w:t>
      </w:r>
      <w:r w:rsidR="00134FE8" w:rsidRPr="00205E56">
        <w:rPr>
          <w:rFonts w:ascii="Times New Roman" w:hAnsi="Times New Roman" w:cs="Times New Roman"/>
          <w:sz w:val="24"/>
          <w:szCs w:val="24"/>
        </w:rPr>
        <w:t>biuro usług płatniczych</w:t>
      </w:r>
      <w:r w:rsidR="00E96025" w:rsidRPr="00205E56">
        <w:rPr>
          <w:rFonts w:ascii="Times New Roman" w:hAnsi="Times New Roman" w:cs="Times New Roman"/>
          <w:sz w:val="24"/>
          <w:szCs w:val="24"/>
        </w:rPr>
        <w:t>”</w:t>
      </w:r>
      <w:r w:rsidR="00134FE8" w:rsidRPr="00205E56">
        <w:rPr>
          <w:rFonts w:ascii="Times New Roman" w:hAnsi="Times New Roman" w:cs="Times New Roman"/>
          <w:sz w:val="24"/>
          <w:szCs w:val="24"/>
        </w:rPr>
        <w:t xml:space="preserve">, </w:t>
      </w:r>
      <w:r w:rsidR="00E96025" w:rsidRPr="00205E56">
        <w:rPr>
          <w:rFonts w:ascii="Times New Roman" w:hAnsi="Times New Roman" w:cs="Times New Roman"/>
          <w:sz w:val="24"/>
          <w:szCs w:val="24"/>
        </w:rPr>
        <w:t>„</w:t>
      </w:r>
      <w:r w:rsidR="00134FE8" w:rsidRPr="00205E56">
        <w:rPr>
          <w:rFonts w:ascii="Times New Roman" w:hAnsi="Times New Roman" w:cs="Times New Roman"/>
          <w:sz w:val="24"/>
          <w:szCs w:val="24"/>
        </w:rPr>
        <w:t>instytucja pieniądza elektronicznego</w:t>
      </w:r>
      <w:r w:rsidR="00E96025" w:rsidRPr="00205E56">
        <w:rPr>
          <w:rFonts w:ascii="Times New Roman" w:hAnsi="Times New Roman" w:cs="Times New Roman"/>
          <w:sz w:val="24"/>
          <w:szCs w:val="24"/>
        </w:rPr>
        <w:t>”</w:t>
      </w:r>
      <w:r w:rsidR="00134FE8" w:rsidRPr="00205E56">
        <w:rPr>
          <w:rFonts w:ascii="Times New Roman" w:hAnsi="Times New Roman" w:cs="Times New Roman"/>
          <w:sz w:val="24"/>
          <w:szCs w:val="24"/>
        </w:rPr>
        <w:t xml:space="preserve"> albo </w:t>
      </w:r>
      <w:r w:rsidR="00E96025" w:rsidRPr="00205E56">
        <w:rPr>
          <w:rFonts w:ascii="Times New Roman" w:hAnsi="Times New Roman" w:cs="Times New Roman"/>
          <w:sz w:val="24"/>
          <w:szCs w:val="24"/>
        </w:rPr>
        <w:t>„</w:t>
      </w:r>
      <w:r w:rsidR="00134FE8" w:rsidRPr="00205E56">
        <w:rPr>
          <w:rFonts w:ascii="Times New Roman" w:hAnsi="Times New Roman" w:cs="Times New Roman"/>
          <w:sz w:val="24"/>
          <w:szCs w:val="24"/>
        </w:rPr>
        <w:t>oddział zagranicznej instytucji płatniczej</w:t>
      </w:r>
      <w:r w:rsidR="00E96025" w:rsidRPr="00205E56">
        <w:rPr>
          <w:rFonts w:ascii="Times New Roman" w:hAnsi="Times New Roman" w:cs="Times New Roman"/>
          <w:sz w:val="24"/>
          <w:szCs w:val="24"/>
        </w:rPr>
        <w:t>”</w:t>
      </w:r>
      <w:r w:rsidR="00134FE8" w:rsidRPr="00205E56">
        <w:rPr>
          <w:rFonts w:ascii="Times New Roman" w:hAnsi="Times New Roman" w:cs="Times New Roman"/>
          <w:sz w:val="24"/>
          <w:szCs w:val="24"/>
        </w:rPr>
        <w:t>.</w:t>
      </w:r>
    </w:p>
    <w:p w14:paraId="344167C9" w14:textId="7D97BABC" w:rsidR="00556D26" w:rsidRPr="00205E56" w:rsidRDefault="00A67E4A"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pkt </w:t>
      </w:r>
      <w:r w:rsidR="00252D8B" w:rsidRPr="00205E56">
        <w:rPr>
          <w:rFonts w:ascii="Times New Roman" w:hAnsi="Times New Roman" w:cs="Times New Roman"/>
          <w:b/>
          <w:sz w:val="24"/>
          <w:szCs w:val="24"/>
        </w:rPr>
        <w:t>1</w:t>
      </w:r>
      <w:r w:rsidR="00D65699" w:rsidRPr="00205E56">
        <w:rPr>
          <w:rFonts w:ascii="Times New Roman" w:hAnsi="Times New Roman" w:cs="Times New Roman"/>
          <w:b/>
          <w:sz w:val="24"/>
          <w:szCs w:val="24"/>
        </w:rPr>
        <w:t>1</w:t>
      </w:r>
      <w:r w:rsidR="005A6A80">
        <w:rPr>
          <w:rFonts w:ascii="Times New Roman" w:hAnsi="Times New Roman" w:cs="Times New Roman"/>
          <w:b/>
          <w:sz w:val="24"/>
          <w:szCs w:val="24"/>
        </w:rPr>
        <w:t>1</w:t>
      </w:r>
      <w:r w:rsidRPr="00205E56">
        <w:rPr>
          <w:rFonts w:ascii="Times New Roman" w:hAnsi="Times New Roman" w:cs="Times New Roman"/>
          <w:sz w:val="24"/>
          <w:szCs w:val="24"/>
        </w:rPr>
        <w:t xml:space="preserve"> wprowadza się zmianę w art. 152</w:t>
      </w:r>
      <w:r w:rsidR="007E2D91" w:rsidRPr="00205E56">
        <w:rPr>
          <w:rFonts w:ascii="Times New Roman" w:hAnsi="Times New Roman" w:cs="Times New Roman"/>
          <w:sz w:val="24"/>
          <w:szCs w:val="24"/>
        </w:rPr>
        <w:t xml:space="preserve"> ust. 1</w:t>
      </w:r>
      <w:r w:rsidRPr="00205E56">
        <w:rPr>
          <w:rFonts w:ascii="Times New Roman" w:hAnsi="Times New Roman" w:cs="Times New Roman"/>
          <w:sz w:val="24"/>
          <w:szCs w:val="24"/>
        </w:rPr>
        <w:t>,</w:t>
      </w:r>
      <w:r w:rsidR="00134FE8" w:rsidRPr="00205E56">
        <w:rPr>
          <w:rFonts w:ascii="Times New Roman" w:hAnsi="Times New Roman" w:cs="Times New Roman"/>
          <w:sz w:val="24"/>
          <w:szCs w:val="24"/>
        </w:rPr>
        <w:t xml:space="preserve"> </w:t>
      </w:r>
      <w:r w:rsidR="007E2D91" w:rsidRPr="00205E56">
        <w:rPr>
          <w:rFonts w:ascii="Times New Roman" w:hAnsi="Times New Roman" w:cs="Times New Roman"/>
          <w:sz w:val="24"/>
          <w:szCs w:val="24"/>
        </w:rPr>
        <w:t>w którym przewidziano możliwość stosowania sankcji karnej w postaci kary grzywny wobec osób</w:t>
      </w:r>
      <w:r w:rsidR="008D2DBD">
        <w:rPr>
          <w:rFonts w:ascii="Times New Roman" w:hAnsi="Times New Roman" w:cs="Times New Roman"/>
          <w:sz w:val="24"/>
          <w:szCs w:val="24"/>
        </w:rPr>
        <w:t>,</w:t>
      </w:r>
      <w:r w:rsidR="007E2D91" w:rsidRPr="00205E56">
        <w:rPr>
          <w:rFonts w:ascii="Times New Roman" w:hAnsi="Times New Roman" w:cs="Times New Roman"/>
          <w:sz w:val="24"/>
          <w:szCs w:val="24"/>
        </w:rPr>
        <w:t xml:space="preserve"> które będąc </w:t>
      </w:r>
      <w:r w:rsidR="00134FE8" w:rsidRPr="00205E56">
        <w:rPr>
          <w:rFonts w:ascii="Times New Roman" w:hAnsi="Times New Roman" w:cs="Times New Roman"/>
          <w:sz w:val="24"/>
          <w:szCs w:val="24"/>
        </w:rPr>
        <w:t>odpowiedzialnym</w:t>
      </w:r>
      <w:r w:rsidR="007E2D91" w:rsidRPr="00205E56">
        <w:rPr>
          <w:rFonts w:ascii="Times New Roman" w:hAnsi="Times New Roman" w:cs="Times New Roman"/>
          <w:sz w:val="24"/>
          <w:szCs w:val="24"/>
        </w:rPr>
        <w:t>i</w:t>
      </w:r>
      <w:r w:rsidR="00134FE8" w:rsidRPr="00205E56">
        <w:rPr>
          <w:rFonts w:ascii="Times New Roman" w:hAnsi="Times New Roman" w:cs="Times New Roman"/>
          <w:sz w:val="24"/>
          <w:szCs w:val="24"/>
        </w:rPr>
        <w:t xml:space="preserve"> w instytucji płatniczej, małej instytucji płatniczej, biurze usług płatniczych, instytucji pieniądza elektronicznego lub oddziale zagranicznej instytucji pieniądza elektronicznego za przekazywanie informacji KNF, podaj</w:t>
      </w:r>
      <w:r w:rsidR="00602CBD" w:rsidRPr="00205E56">
        <w:rPr>
          <w:rFonts w:ascii="Times New Roman" w:hAnsi="Times New Roman" w:cs="Times New Roman"/>
          <w:sz w:val="24"/>
          <w:szCs w:val="24"/>
        </w:rPr>
        <w:t xml:space="preserve">ą </w:t>
      </w:r>
      <w:r w:rsidR="00134FE8" w:rsidRPr="00205E56">
        <w:rPr>
          <w:rFonts w:ascii="Times New Roman" w:hAnsi="Times New Roman" w:cs="Times New Roman"/>
          <w:sz w:val="24"/>
          <w:szCs w:val="24"/>
        </w:rPr>
        <w:t xml:space="preserve">informacje niezgodne ze stanem faktycznym albo w inny sposób </w:t>
      </w:r>
      <w:r w:rsidR="00602CBD" w:rsidRPr="00205E56">
        <w:rPr>
          <w:rFonts w:ascii="Times New Roman" w:hAnsi="Times New Roman" w:cs="Times New Roman"/>
          <w:sz w:val="24"/>
          <w:szCs w:val="24"/>
        </w:rPr>
        <w:t>wprowadzają</w:t>
      </w:r>
      <w:r w:rsidR="00D07BEB" w:rsidRPr="00205E56">
        <w:rPr>
          <w:rFonts w:ascii="Times New Roman" w:hAnsi="Times New Roman" w:cs="Times New Roman"/>
          <w:sz w:val="24"/>
          <w:szCs w:val="24"/>
        </w:rPr>
        <w:t xml:space="preserve"> </w:t>
      </w:r>
      <w:r w:rsidR="00134FE8" w:rsidRPr="00205E56">
        <w:rPr>
          <w:rFonts w:ascii="Times New Roman" w:hAnsi="Times New Roman" w:cs="Times New Roman"/>
          <w:sz w:val="24"/>
          <w:szCs w:val="24"/>
        </w:rPr>
        <w:t>w błąd ten organ</w:t>
      </w:r>
      <w:r w:rsidR="00335563" w:rsidRPr="00205E56">
        <w:rPr>
          <w:rFonts w:ascii="Times New Roman" w:hAnsi="Times New Roman" w:cs="Times New Roman"/>
          <w:sz w:val="24"/>
          <w:szCs w:val="24"/>
        </w:rPr>
        <w:t>.</w:t>
      </w:r>
    </w:p>
    <w:p w14:paraId="2C1C89C6" w14:textId="40E3CC23" w:rsidR="00B914BA" w:rsidRPr="00205E56" w:rsidRDefault="00B914BA"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pkt 11</w:t>
      </w:r>
      <w:r w:rsidR="005A6A80">
        <w:rPr>
          <w:rFonts w:ascii="Times New Roman" w:hAnsi="Times New Roman" w:cs="Times New Roman"/>
          <w:b/>
          <w:sz w:val="24"/>
          <w:szCs w:val="24"/>
        </w:rPr>
        <w:t>2</w:t>
      </w:r>
      <w:r w:rsidRPr="00205E56">
        <w:rPr>
          <w:rFonts w:ascii="Times New Roman" w:hAnsi="Times New Roman" w:cs="Times New Roman"/>
          <w:sz w:val="24"/>
          <w:szCs w:val="24"/>
        </w:rPr>
        <w:t xml:space="preserve"> wprowadza się przepis zawierający sankcję dla podmiotów wykonujących działalność określoną w art. 6 pkt 11 lit. a lub b, do który</w:t>
      </w:r>
      <w:r w:rsidR="00DA5D73">
        <w:rPr>
          <w:rFonts w:ascii="Times New Roman" w:hAnsi="Times New Roman" w:cs="Times New Roman"/>
          <w:sz w:val="24"/>
          <w:szCs w:val="24"/>
        </w:rPr>
        <w:t>ch ma zastosowanie art. 6c ust. </w:t>
      </w:r>
      <w:r w:rsidRPr="00205E56">
        <w:rPr>
          <w:rFonts w:ascii="Times New Roman" w:hAnsi="Times New Roman" w:cs="Times New Roman"/>
          <w:sz w:val="24"/>
          <w:szCs w:val="24"/>
        </w:rPr>
        <w:t>1, a które nie wywiązują się z obowiązków informacyjnych tam określonych.</w:t>
      </w:r>
    </w:p>
    <w:p w14:paraId="5C8879BF" w14:textId="549A4BD6" w:rsidR="00DC66F9" w:rsidRPr="00205E56" w:rsidRDefault="00D524E2" w:rsidP="00D14A5F">
      <w:pPr>
        <w:spacing w:before="120" w:after="0" w:line="360" w:lineRule="auto"/>
        <w:jc w:val="both"/>
        <w:rPr>
          <w:rFonts w:ascii="Times New Roman" w:eastAsia="Calibri" w:hAnsi="Times New Roman" w:cs="Times New Roman"/>
          <w:bCs/>
          <w:sz w:val="24"/>
          <w:szCs w:val="24"/>
          <w:lang w:eastAsia="pl-PL"/>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art. 2</w:t>
      </w:r>
      <w:r w:rsidRPr="00205E56">
        <w:rPr>
          <w:rFonts w:ascii="Times New Roman" w:hAnsi="Times New Roman" w:cs="Times New Roman"/>
          <w:sz w:val="24"/>
          <w:szCs w:val="24"/>
        </w:rPr>
        <w:t xml:space="preserve"> </w:t>
      </w:r>
      <w:r w:rsidRPr="00205E56">
        <w:rPr>
          <w:rFonts w:ascii="Times New Roman" w:eastAsia="Calibri" w:hAnsi="Times New Roman" w:cs="Times New Roman"/>
          <w:b/>
          <w:bCs/>
          <w:sz w:val="24"/>
          <w:szCs w:val="24"/>
          <w:lang w:eastAsia="pl-PL"/>
        </w:rPr>
        <w:t>projektu</w:t>
      </w:r>
      <w:r w:rsidRPr="00205E56">
        <w:rPr>
          <w:rFonts w:ascii="Times New Roman" w:eastAsia="Calibri" w:hAnsi="Times New Roman" w:cs="Times New Roman"/>
          <w:bCs/>
          <w:sz w:val="24"/>
          <w:szCs w:val="24"/>
          <w:lang w:eastAsia="pl-PL"/>
        </w:rPr>
        <w:t xml:space="preserve"> wprowadza się zmianę w ustawie z dnia 29 sierpnia 1997 r. – Ordynacja podatkowa (Dz.</w:t>
      </w:r>
      <w:r w:rsidR="008D2DBD">
        <w:rPr>
          <w:rFonts w:ascii="Times New Roman" w:eastAsia="Calibri" w:hAnsi="Times New Roman" w:cs="Times New Roman"/>
          <w:bCs/>
          <w:sz w:val="24"/>
          <w:szCs w:val="24"/>
          <w:lang w:eastAsia="pl-PL"/>
        </w:rPr>
        <w:t xml:space="preserve"> </w:t>
      </w:r>
      <w:r w:rsidRPr="00205E56">
        <w:rPr>
          <w:rFonts w:ascii="Times New Roman" w:eastAsia="Calibri" w:hAnsi="Times New Roman" w:cs="Times New Roman"/>
          <w:bCs/>
          <w:sz w:val="24"/>
          <w:szCs w:val="24"/>
          <w:lang w:eastAsia="pl-PL"/>
        </w:rPr>
        <w:t xml:space="preserve">U. z 2017 </w:t>
      </w:r>
      <w:r w:rsidR="008D2DBD">
        <w:rPr>
          <w:rFonts w:ascii="Times New Roman" w:eastAsia="Calibri" w:hAnsi="Times New Roman" w:cs="Times New Roman"/>
          <w:bCs/>
          <w:sz w:val="24"/>
          <w:szCs w:val="24"/>
          <w:lang w:eastAsia="pl-PL"/>
        </w:rPr>
        <w:t xml:space="preserve">r. </w:t>
      </w:r>
      <w:r w:rsidRPr="00205E56">
        <w:rPr>
          <w:rFonts w:ascii="Times New Roman" w:eastAsia="Calibri" w:hAnsi="Times New Roman" w:cs="Times New Roman"/>
          <w:bCs/>
          <w:sz w:val="24"/>
          <w:szCs w:val="24"/>
          <w:lang w:eastAsia="pl-PL"/>
        </w:rPr>
        <w:t>poz. 201</w:t>
      </w:r>
      <w:r w:rsidR="007A058D">
        <w:rPr>
          <w:rFonts w:ascii="Times New Roman" w:eastAsia="Calibri" w:hAnsi="Times New Roman" w:cs="Times New Roman"/>
          <w:bCs/>
          <w:sz w:val="24"/>
          <w:szCs w:val="24"/>
          <w:lang w:eastAsia="pl-PL"/>
        </w:rPr>
        <w:t xml:space="preserve">, z </w:t>
      </w:r>
      <w:proofErr w:type="spellStart"/>
      <w:r w:rsidR="007A058D">
        <w:rPr>
          <w:rFonts w:ascii="Times New Roman" w:eastAsia="Calibri" w:hAnsi="Times New Roman" w:cs="Times New Roman"/>
          <w:bCs/>
          <w:sz w:val="24"/>
          <w:szCs w:val="24"/>
          <w:lang w:eastAsia="pl-PL"/>
        </w:rPr>
        <w:t>późn</w:t>
      </w:r>
      <w:proofErr w:type="spellEnd"/>
      <w:r w:rsidR="007A058D">
        <w:rPr>
          <w:rFonts w:ascii="Times New Roman" w:eastAsia="Calibri" w:hAnsi="Times New Roman" w:cs="Times New Roman"/>
          <w:bCs/>
          <w:sz w:val="24"/>
          <w:szCs w:val="24"/>
          <w:lang w:eastAsia="pl-PL"/>
        </w:rPr>
        <w:t>. zm.</w:t>
      </w:r>
      <w:r w:rsidRPr="00205E56">
        <w:rPr>
          <w:rFonts w:ascii="Times New Roman" w:eastAsia="Calibri" w:hAnsi="Times New Roman" w:cs="Times New Roman"/>
          <w:bCs/>
          <w:sz w:val="24"/>
          <w:szCs w:val="24"/>
          <w:lang w:eastAsia="pl-PL"/>
        </w:rPr>
        <w:t>)</w:t>
      </w:r>
      <w:r w:rsidR="007A058D">
        <w:rPr>
          <w:rFonts w:ascii="Times New Roman" w:eastAsia="Calibri" w:hAnsi="Times New Roman" w:cs="Times New Roman"/>
          <w:bCs/>
          <w:sz w:val="24"/>
          <w:szCs w:val="24"/>
          <w:lang w:eastAsia="pl-PL"/>
        </w:rPr>
        <w:t>, dalej „OP”.</w:t>
      </w:r>
      <w:r w:rsidRPr="00205E56">
        <w:rPr>
          <w:rFonts w:ascii="Times New Roman" w:eastAsia="Calibri" w:hAnsi="Times New Roman" w:cs="Times New Roman"/>
          <w:bCs/>
          <w:sz w:val="24"/>
          <w:szCs w:val="24"/>
          <w:lang w:eastAsia="pl-PL"/>
        </w:rPr>
        <w:t xml:space="preserve"> </w:t>
      </w:r>
      <w:r w:rsidR="00DC66F9" w:rsidRPr="00205E56">
        <w:rPr>
          <w:rFonts w:ascii="Times New Roman" w:eastAsia="Calibri" w:hAnsi="Times New Roman" w:cs="Times New Roman"/>
          <w:bCs/>
          <w:sz w:val="24"/>
          <w:szCs w:val="24"/>
          <w:lang w:eastAsia="pl-PL"/>
        </w:rPr>
        <w:t>W związku z wprowadzeniem małej instytucji płatniczej do katalogu dostawców usług płatni</w:t>
      </w:r>
      <w:r w:rsidR="00DA5D73">
        <w:rPr>
          <w:rFonts w:ascii="Times New Roman" w:eastAsia="Calibri" w:hAnsi="Times New Roman" w:cs="Times New Roman"/>
          <w:bCs/>
          <w:sz w:val="24"/>
          <w:szCs w:val="24"/>
          <w:lang w:eastAsia="pl-PL"/>
        </w:rPr>
        <w:t>czych określonych w art. 4 ust. </w:t>
      </w:r>
      <w:r w:rsidR="00DC66F9" w:rsidRPr="00205E56">
        <w:rPr>
          <w:rFonts w:ascii="Times New Roman" w:eastAsia="Calibri" w:hAnsi="Times New Roman" w:cs="Times New Roman"/>
          <w:bCs/>
          <w:sz w:val="24"/>
          <w:szCs w:val="24"/>
          <w:lang w:eastAsia="pl-PL"/>
        </w:rPr>
        <w:t>2 ustawa dokonuje zmian w art. 60 §</w:t>
      </w:r>
      <w:r w:rsidR="00205E56" w:rsidRPr="00205E56">
        <w:rPr>
          <w:rFonts w:ascii="Times New Roman" w:eastAsia="Calibri" w:hAnsi="Times New Roman" w:cs="Times New Roman"/>
          <w:bCs/>
          <w:sz w:val="24"/>
          <w:szCs w:val="24"/>
          <w:lang w:eastAsia="pl-PL"/>
        </w:rPr>
        <w:t xml:space="preserve"> </w:t>
      </w:r>
      <w:r w:rsidR="00DC66F9" w:rsidRPr="00205E56">
        <w:rPr>
          <w:rFonts w:ascii="Times New Roman" w:eastAsia="Calibri" w:hAnsi="Times New Roman" w:cs="Times New Roman"/>
          <w:bCs/>
          <w:sz w:val="24"/>
          <w:szCs w:val="24"/>
          <w:lang w:eastAsia="pl-PL"/>
        </w:rPr>
        <w:t>1 pkt 1 i 2 przez dodanie w treści przepisów po wyrazach „instytucji płatniczej” wyrazów „w małej instytucji płatniczej”. Ponadto, w związku z wdrożeniem art. 62 ust. 4 dyrektywy PSD2 mówiącego o ustanowieniu przepisów zapewniających, żeby „odbiorca n</w:t>
      </w:r>
      <w:r w:rsidR="00DA5D73">
        <w:rPr>
          <w:rFonts w:ascii="Times New Roman" w:eastAsia="Calibri" w:hAnsi="Times New Roman" w:cs="Times New Roman"/>
          <w:bCs/>
          <w:sz w:val="24"/>
          <w:szCs w:val="24"/>
          <w:lang w:eastAsia="pl-PL"/>
        </w:rPr>
        <w:t>ie żądał opłat za korzystanie z </w:t>
      </w:r>
      <w:r w:rsidR="00DC66F9" w:rsidRPr="00205E56">
        <w:rPr>
          <w:rFonts w:ascii="Times New Roman" w:eastAsia="Calibri" w:hAnsi="Times New Roman" w:cs="Times New Roman"/>
          <w:bCs/>
          <w:sz w:val="24"/>
          <w:szCs w:val="24"/>
          <w:lang w:eastAsia="pl-PL"/>
        </w:rPr>
        <w:t xml:space="preserve">instrumentów płatniczych, w przypadku których opłaty </w:t>
      </w:r>
      <w:proofErr w:type="spellStart"/>
      <w:r w:rsidR="00DC66F9" w:rsidRPr="00205E56">
        <w:rPr>
          <w:rFonts w:ascii="Times New Roman" w:eastAsia="Calibri" w:hAnsi="Times New Roman" w:cs="Times New Roman"/>
          <w:bCs/>
          <w:sz w:val="24"/>
          <w:szCs w:val="24"/>
          <w:lang w:eastAsia="pl-PL"/>
        </w:rPr>
        <w:t>interchange</w:t>
      </w:r>
      <w:proofErr w:type="spellEnd"/>
      <w:r w:rsidR="00DC66F9" w:rsidRPr="00205E56">
        <w:rPr>
          <w:rFonts w:ascii="Times New Roman" w:eastAsia="Calibri" w:hAnsi="Times New Roman" w:cs="Times New Roman"/>
          <w:bCs/>
          <w:sz w:val="24"/>
          <w:szCs w:val="24"/>
          <w:lang w:eastAsia="pl-PL"/>
        </w:rPr>
        <w:t xml:space="preserve"> są regulowane na mocy rozdziału II rozporządzenia (UE) 2015/751, ani za te usługi płatnicze, do których zastosowanie ma rozporządzenie (UE) nr 260/2012”</w:t>
      </w:r>
      <w:r w:rsidR="007A058D">
        <w:rPr>
          <w:rFonts w:ascii="Times New Roman" w:eastAsia="Calibri" w:hAnsi="Times New Roman" w:cs="Times New Roman"/>
          <w:bCs/>
          <w:sz w:val="24"/>
          <w:szCs w:val="24"/>
          <w:lang w:eastAsia="pl-PL"/>
        </w:rPr>
        <w:t>, projekt ustawy</w:t>
      </w:r>
      <w:r w:rsidR="00DC66F9" w:rsidRPr="00205E56">
        <w:rPr>
          <w:rFonts w:ascii="Times New Roman" w:eastAsia="Calibri" w:hAnsi="Times New Roman" w:cs="Times New Roman"/>
          <w:bCs/>
          <w:sz w:val="24"/>
          <w:szCs w:val="24"/>
          <w:lang w:eastAsia="pl-PL"/>
        </w:rPr>
        <w:t xml:space="preserve"> dokonuje uchylenia art. 60 §</w:t>
      </w:r>
      <w:r w:rsidR="00205E56" w:rsidRPr="00205E56">
        <w:rPr>
          <w:rFonts w:ascii="Times New Roman" w:eastAsia="Calibri" w:hAnsi="Times New Roman" w:cs="Times New Roman"/>
          <w:bCs/>
          <w:sz w:val="24"/>
          <w:szCs w:val="24"/>
          <w:lang w:eastAsia="pl-PL"/>
        </w:rPr>
        <w:t xml:space="preserve"> 2a–</w:t>
      </w:r>
      <w:r w:rsidR="00DC66F9" w:rsidRPr="00205E56">
        <w:rPr>
          <w:rFonts w:ascii="Times New Roman" w:eastAsia="Calibri" w:hAnsi="Times New Roman" w:cs="Times New Roman"/>
          <w:bCs/>
          <w:sz w:val="24"/>
          <w:szCs w:val="24"/>
          <w:lang w:eastAsia="pl-PL"/>
        </w:rPr>
        <w:t>§</w:t>
      </w:r>
      <w:r w:rsidR="00205E56" w:rsidRPr="00205E56">
        <w:rPr>
          <w:rFonts w:ascii="Times New Roman" w:eastAsia="Calibri" w:hAnsi="Times New Roman" w:cs="Times New Roman"/>
          <w:bCs/>
          <w:sz w:val="24"/>
          <w:szCs w:val="24"/>
          <w:lang w:eastAsia="pl-PL"/>
        </w:rPr>
        <w:t xml:space="preserve"> </w:t>
      </w:r>
      <w:r w:rsidR="00DC66F9" w:rsidRPr="00205E56">
        <w:rPr>
          <w:rFonts w:ascii="Times New Roman" w:eastAsia="Calibri" w:hAnsi="Times New Roman" w:cs="Times New Roman"/>
          <w:bCs/>
          <w:sz w:val="24"/>
          <w:szCs w:val="24"/>
          <w:lang w:eastAsia="pl-PL"/>
        </w:rPr>
        <w:t xml:space="preserve">2c OP w związku ze zniesieniem tej opłaty. </w:t>
      </w:r>
    </w:p>
    <w:p w14:paraId="1A92D19C" w14:textId="7FB14F64" w:rsidR="00DC66F9" w:rsidRPr="00205E56" w:rsidRDefault="00DC66F9" w:rsidP="00D14A5F">
      <w:pPr>
        <w:spacing w:before="120" w:after="0" w:line="360" w:lineRule="auto"/>
        <w:jc w:val="both"/>
        <w:rPr>
          <w:rFonts w:ascii="Times New Roman" w:eastAsia="Calibri" w:hAnsi="Times New Roman" w:cs="Times New Roman"/>
          <w:bCs/>
          <w:sz w:val="24"/>
          <w:szCs w:val="24"/>
          <w:lang w:eastAsia="pl-PL"/>
        </w:rPr>
      </w:pPr>
      <w:r w:rsidRPr="00205E56">
        <w:rPr>
          <w:rFonts w:ascii="Times New Roman" w:eastAsia="Calibri" w:hAnsi="Times New Roman" w:cs="Times New Roman"/>
          <w:bCs/>
          <w:sz w:val="24"/>
          <w:szCs w:val="24"/>
          <w:lang w:eastAsia="pl-PL"/>
        </w:rPr>
        <w:t>Ponadto w wyniku uzgodnień z Ministerstwem Rozwoju dodawana jest zmiana określająca termin dokonania zapłaty podatku w obrocie bezgotówkowym w przypadku płatności podatku kartą płatniczą (zwaną w OP innym instrumentem płatniczym) – zmiana wykraczająca poza PSD2.</w:t>
      </w:r>
    </w:p>
    <w:p w14:paraId="198CF615" w14:textId="614881BC" w:rsidR="00DC66F9" w:rsidRPr="00205E56" w:rsidRDefault="00DC66F9" w:rsidP="00D14A5F">
      <w:pPr>
        <w:spacing w:before="120" w:after="0" w:line="360" w:lineRule="auto"/>
        <w:jc w:val="both"/>
        <w:rPr>
          <w:rFonts w:ascii="Times New Roman" w:eastAsia="Calibri" w:hAnsi="Times New Roman" w:cs="Times New Roman"/>
          <w:bCs/>
          <w:sz w:val="24"/>
          <w:szCs w:val="24"/>
          <w:lang w:eastAsia="pl-PL"/>
        </w:rPr>
      </w:pPr>
      <w:r w:rsidRPr="00205E56">
        <w:rPr>
          <w:rFonts w:ascii="Times New Roman" w:eastAsia="Calibri" w:hAnsi="Times New Roman" w:cs="Times New Roman"/>
          <w:bCs/>
          <w:sz w:val="24"/>
          <w:szCs w:val="24"/>
          <w:lang w:eastAsia="pl-PL"/>
        </w:rPr>
        <w:lastRenderedPageBreak/>
        <w:t xml:space="preserve">W </w:t>
      </w:r>
      <w:r w:rsidRPr="00205E56">
        <w:rPr>
          <w:rFonts w:ascii="Times New Roman" w:eastAsia="Calibri" w:hAnsi="Times New Roman" w:cs="Times New Roman"/>
          <w:b/>
          <w:bCs/>
          <w:sz w:val="24"/>
          <w:szCs w:val="24"/>
          <w:lang w:eastAsia="pl-PL"/>
        </w:rPr>
        <w:t>art. 3 projektu</w:t>
      </w:r>
      <w:r w:rsidRPr="00205E56">
        <w:rPr>
          <w:rFonts w:ascii="Times New Roman" w:eastAsia="Calibri" w:hAnsi="Times New Roman" w:cs="Times New Roman"/>
          <w:bCs/>
          <w:sz w:val="24"/>
          <w:szCs w:val="24"/>
          <w:lang w:eastAsia="pl-PL"/>
        </w:rPr>
        <w:t xml:space="preserve"> wprowadza się zmianę</w:t>
      </w:r>
      <w:r w:rsidR="00205E56" w:rsidRPr="00205E56">
        <w:rPr>
          <w:rFonts w:ascii="Times New Roman" w:eastAsia="Calibri" w:hAnsi="Times New Roman" w:cs="Times New Roman"/>
          <w:bCs/>
          <w:sz w:val="24"/>
          <w:szCs w:val="24"/>
          <w:lang w:eastAsia="pl-PL"/>
        </w:rPr>
        <w:t xml:space="preserve"> </w:t>
      </w:r>
      <w:r w:rsidR="00DA5D73">
        <w:rPr>
          <w:rFonts w:ascii="Times New Roman" w:eastAsia="Calibri" w:hAnsi="Times New Roman" w:cs="Times New Roman"/>
          <w:bCs/>
          <w:sz w:val="24"/>
          <w:szCs w:val="24"/>
          <w:lang w:eastAsia="pl-PL"/>
        </w:rPr>
        <w:t>z dnia 16 listopada 2000 r. o </w:t>
      </w:r>
      <w:r w:rsidRPr="00205E56">
        <w:rPr>
          <w:rFonts w:ascii="Times New Roman" w:eastAsia="Calibri" w:hAnsi="Times New Roman" w:cs="Times New Roman"/>
          <w:bCs/>
          <w:sz w:val="24"/>
          <w:szCs w:val="24"/>
          <w:lang w:eastAsia="pl-PL"/>
        </w:rPr>
        <w:t>przeciwdziałaniu praniu pieniędzy oraz finansowaniu terroryzmu (Dz. U. z</w:t>
      </w:r>
      <w:r w:rsidR="00205E56" w:rsidRPr="00205E56">
        <w:rPr>
          <w:rFonts w:ascii="Times New Roman" w:eastAsia="Calibri" w:hAnsi="Times New Roman" w:cs="Times New Roman"/>
          <w:bCs/>
          <w:sz w:val="24"/>
          <w:szCs w:val="24"/>
          <w:lang w:eastAsia="pl-PL"/>
        </w:rPr>
        <w:t xml:space="preserve"> </w:t>
      </w:r>
      <w:r w:rsidRPr="00205E56">
        <w:rPr>
          <w:rFonts w:ascii="Times New Roman" w:eastAsia="Calibri" w:hAnsi="Times New Roman" w:cs="Times New Roman"/>
          <w:bCs/>
          <w:sz w:val="24"/>
          <w:szCs w:val="24"/>
          <w:lang w:eastAsia="pl-PL"/>
        </w:rPr>
        <w:t>2017 r.</w:t>
      </w:r>
      <w:r w:rsidR="00205E56" w:rsidRPr="00205E56">
        <w:rPr>
          <w:rFonts w:ascii="Times New Roman" w:eastAsia="Calibri" w:hAnsi="Times New Roman" w:cs="Times New Roman"/>
          <w:bCs/>
          <w:sz w:val="24"/>
          <w:szCs w:val="24"/>
          <w:lang w:eastAsia="pl-PL"/>
        </w:rPr>
        <w:t xml:space="preserve"> </w:t>
      </w:r>
      <w:r w:rsidRPr="00205E56">
        <w:rPr>
          <w:rFonts w:ascii="Times New Roman" w:eastAsia="Calibri" w:hAnsi="Times New Roman" w:cs="Times New Roman"/>
          <w:bCs/>
          <w:sz w:val="24"/>
          <w:szCs w:val="24"/>
          <w:lang w:eastAsia="pl-PL"/>
        </w:rPr>
        <w:t>poz. 1049), w związku z wprowadzeniem małej instytucji płatniczej do katalogu dostawców usług płatniczych określonych w art. 4 ust. 2.</w:t>
      </w:r>
    </w:p>
    <w:p w14:paraId="0F542720" w14:textId="1EB19289" w:rsidR="00D524E2" w:rsidRPr="00205E56" w:rsidRDefault="00D524E2" w:rsidP="00D14A5F">
      <w:pPr>
        <w:spacing w:before="120" w:after="0" w:line="360" w:lineRule="auto"/>
        <w:jc w:val="both"/>
        <w:rPr>
          <w:rFonts w:ascii="Times New Roman" w:hAnsi="Times New Roman" w:cs="Times New Roman"/>
          <w:b/>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art. </w:t>
      </w:r>
      <w:r w:rsidR="00DC66F9" w:rsidRPr="00205E56">
        <w:rPr>
          <w:rFonts w:ascii="Times New Roman" w:hAnsi="Times New Roman" w:cs="Times New Roman"/>
          <w:b/>
          <w:sz w:val="24"/>
          <w:szCs w:val="24"/>
        </w:rPr>
        <w:t>4</w:t>
      </w:r>
      <w:r w:rsidRPr="00205E56">
        <w:rPr>
          <w:rFonts w:ascii="Times New Roman" w:hAnsi="Times New Roman" w:cs="Times New Roman"/>
          <w:b/>
          <w:sz w:val="24"/>
          <w:szCs w:val="24"/>
        </w:rPr>
        <w:t xml:space="preserve"> projektu</w:t>
      </w:r>
      <w:r w:rsidRPr="00250C56">
        <w:rPr>
          <w:rFonts w:ascii="Times New Roman" w:hAnsi="Times New Roman" w:cs="Times New Roman"/>
          <w:sz w:val="24"/>
          <w:szCs w:val="24"/>
        </w:rPr>
        <w:t>,</w:t>
      </w:r>
      <w:r w:rsidRPr="00205E56">
        <w:rPr>
          <w:rFonts w:ascii="Times New Roman" w:hAnsi="Times New Roman" w:cs="Times New Roman"/>
          <w:b/>
          <w:sz w:val="24"/>
          <w:szCs w:val="24"/>
        </w:rPr>
        <w:t xml:space="preserve"> </w:t>
      </w:r>
      <w:r w:rsidRPr="00205E56">
        <w:rPr>
          <w:rFonts w:ascii="Times New Roman" w:hAnsi="Times New Roman" w:cs="Times New Roman"/>
          <w:sz w:val="24"/>
          <w:szCs w:val="24"/>
        </w:rPr>
        <w:t>w uzupełnieniu do zmiany wprowad</w:t>
      </w:r>
      <w:r w:rsidR="00DA5D73">
        <w:rPr>
          <w:rFonts w:ascii="Times New Roman" w:hAnsi="Times New Roman" w:cs="Times New Roman"/>
          <w:sz w:val="24"/>
          <w:szCs w:val="24"/>
        </w:rPr>
        <w:t>zonej do art. 132zu (art. 1 pkt </w:t>
      </w:r>
      <w:r w:rsidRPr="00205E56">
        <w:rPr>
          <w:rFonts w:ascii="Times New Roman" w:hAnsi="Times New Roman" w:cs="Times New Roman"/>
          <w:sz w:val="24"/>
          <w:szCs w:val="24"/>
        </w:rPr>
        <w:t>9</w:t>
      </w:r>
      <w:r w:rsidR="00722FB1">
        <w:rPr>
          <w:rFonts w:ascii="Times New Roman" w:hAnsi="Times New Roman" w:cs="Times New Roman"/>
          <w:sz w:val="24"/>
          <w:szCs w:val="24"/>
        </w:rPr>
        <w:t>7</w:t>
      </w:r>
      <w:r w:rsidRPr="00205E56">
        <w:rPr>
          <w:rFonts w:ascii="Times New Roman" w:hAnsi="Times New Roman" w:cs="Times New Roman"/>
          <w:sz w:val="24"/>
          <w:szCs w:val="24"/>
        </w:rPr>
        <w:t xml:space="preserve"> projektu) oraz </w:t>
      </w:r>
      <w:r w:rsidRPr="00205E56">
        <w:rPr>
          <w:rFonts w:ascii="Times New Roman" w:hAnsi="Times New Roman" w:cs="Times New Roman"/>
          <w:sz w:val="24"/>
          <w:szCs w:val="24"/>
          <w:lang w:eastAsia="pl-PL"/>
        </w:rPr>
        <w:t>w celu utrzymania spójności omawianej materii w przepisach prawa</w:t>
      </w:r>
      <w:r w:rsidRPr="00205E56">
        <w:rPr>
          <w:rFonts w:ascii="Times New Roman" w:hAnsi="Times New Roman" w:cs="Times New Roman"/>
          <w:sz w:val="24"/>
          <w:szCs w:val="24"/>
        </w:rPr>
        <w:t xml:space="preserve"> wprowadza się zmianę do</w:t>
      </w:r>
      <w:r w:rsidRPr="00205E56">
        <w:rPr>
          <w:rFonts w:ascii="Times New Roman" w:hAnsi="Times New Roman" w:cs="Times New Roman"/>
          <w:sz w:val="24"/>
          <w:szCs w:val="24"/>
          <w:lang w:eastAsia="pl-PL"/>
        </w:rPr>
        <w:t xml:space="preserve"> ustawy z dnia 24 sierpnia 2001 r. o ostateczności rozrachunku w systemach płatności i systemach rozrachunku papierów wartościowych oraz zasadach nadzoru nad tymi systemami</w:t>
      </w:r>
      <w:r w:rsidR="00722FB1">
        <w:rPr>
          <w:rFonts w:ascii="Times New Roman" w:hAnsi="Times New Roman" w:cs="Times New Roman"/>
          <w:sz w:val="24"/>
          <w:szCs w:val="24"/>
          <w:lang w:eastAsia="pl-PL"/>
        </w:rPr>
        <w:t xml:space="preserve"> (Dz. U. z 2016 r. poz. 1224, z </w:t>
      </w:r>
      <w:proofErr w:type="spellStart"/>
      <w:r w:rsidR="00722FB1">
        <w:rPr>
          <w:rFonts w:ascii="Times New Roman" w:hAnsi="Times New Roman" w:cs="Times New Roman"/>
          <w:sz w:val="24"/>
          <w:szCs w:val="24"/>
          <w:lang w:eastAsia="pl-PL"/>
        </w:rPr>
        <w:t>późn</w:t>
      </w:r>
      <w:proofErr w:type="spellEnd"/>
      <w:r w:rsidR="00722FB1">
        <w:rPr>
          <w:rFonts w:ascii="Times New Roman" w:hAnsi="Times New Roman" w:cs="Times New Roman"/>
          <w:sz w:val="24"/>
          <w:szCs w:val="24"/>
          <w:lang w:eastAsia="pl-PL"/>
        </w:rPr>
        <w:t>. zm.).</w:t>
      </w:r>
    </w:p>
    <w:p w14:paraId="7F0279CB" w14:textId="43447ABD" w:rsidR="00252D8B" w:rsidRPr="00205E56" w:rsidRDefault="00B32169" w:rsidP="00D14A5F">
      <w:pPr>
        <w:spacing w:before="120" w:after="0" w:line="360" w:lineRule="auto"/>
        <w:jc w:val="both"/>
        <w:rPr>
          <w:rFonts w:ascii="Times New Roman" w:eastAsia="Calibri" w:hAnsi="Times New Roman" w:cs="Times New Roman"/>
          <w:bCs/>
          <w:sz w:val="24"/>
          <w:szCs w:val="24"/>
          <w:lang w:eastAsia="pl-PL"/>
        </w:rPr>
      </w:pPr>
      <w:r w:rsidRPr="00205E56">
        <w:rPr>
          <w:rFonts w:ascii="Times New Roman" w:eastAsia="Calibri" w:hAnsi="Times New Roman" w:cs="Times New Roman"/>
          <w:bCs/>
          <w:sz w:val="24"/>
          <w:szCs w:val="24"/>
          <w:lang w:eastAsia="pl-PL"/>
        </w:rPr>
        <w:t xml:space="preserve">W </w:t>
      </w:r>
      <w:r w:rsidRPr="00205E56">
        <w:rPr>
          <w:rFonts w:ascii="Times New Roman" w:eastAsia="Calibri" w:hAnsi="Times New Roman" w:cs="Times New Roman"/>
          <w:b/>
          <w:bCs/>
          <w:sz w:val="24"/>
          <w:szCs w:val="24"/>
          <w:lang w:eastAsia="pl-PL"/>
        </w:rPr>
        <w:t xml:space="preserve">art. </w:t>
      </w:r>
      <w:r w:rsidR="00DC66F9" w:rsidRPr="00205E56">
        <w:rPr>
          <w:rFonts w:ascii="Times New Roman" w:eastAsia="Calibri" w:hAnsi="Times New Roman" w:cs="Times New Roman"/>
          <w:b/>
          <w:bCs/>
          <w:sz w:val="24"/>
          <w:szCs w:val="24"/>
          <w:lang w:eastAsia="pl-PL"/>
        </w:rPr>
        <w:t>5</w:t>
      </w:r>
      <w:r w:rsidRPr="00205E56">
        <w:rPr>
          <w:rFonts w:ascii="Times New Roman" w:eastAsia="Calibri" w:hAnsi="Times New Roman" w:cs="Times New Roman"/>
          <w:b/>
          <w:bCs/>
          <w:sz w:val="24"/>
          <w:szCs w:val="24"/>
          <w:lang w:eastAsia="pl-PL"/>
        </w:rPr>
        <w:t xml:space="preserve"> projektu</w:t>
      </w:r>
      <w:r w:rsidRPr="00205E56">
        <w:rPr>
          <w:rFonts w:ascii="Times New Roman" w:eastAsia="Calibri" w:hAnsi="Times New Roman" w:cs="Times New Roman"/>
          <w:bCs/>
          <w:sz w:val="24"/>
          <w:szCs w:val="24"/>
          <w:lang w:eastAsia="pl-PL"/>
        </w:rPr>
        <w:t xml:space="preserve"> wprowadza się zmianę</w:t>
      </w:r>
      <w:r w:rsidR="00205E56" w:rsidRPr="00205E56">
        <w:rPr>
          <w:rFonts w:ascii="Times New Roman" w:eastAsia="Calibri" w:hAnsi="Times New Roman" w:cs="Times New Roman"/>
          <w:bCs/>
          <w:sz w:val="24"/>
          <w:szCs w:val="24"/>
          <w:lang w:eastAsia="pl-PL"/>
        </w:rPr>
        <w:t xml:space="preserve"> </w:t>
      </w:r>
      <w:r w:rsidRPr="00205E56">
        <w:rPr>
          <w:rFonts w:ascii="Times New Roman" w:eastAsia="Calibri" w:hAnsi="Times New Roman" w:cs="Times New Roman"/>
          <w:bCs/>
          <w:sz w:val="24"/>
          <w:szCs w:val="24"/>
          <w:lang w:eastAsia="pl-PL"/>
        </w:rPr>
        <w:t xml:space="preserve">w </w:t>
      </w:r>
      <w:r w:rsidR="00252D8B" w:rsidRPr="00205E56">
        <w:rPr>
          <w:rFonts w:ascii="Times New Roman" w:eastAsia="Calibri" w:hAnsi="Times New Roman" w:cs="Times New Roman"/>
          <w:bCs/>
          <w:sz w:val="24"/>
          <w:szCs w:val="24"/>
          <w:lang w:eastAsia="pl-PL"/>
        </w:rPr>
        <w:t>ustawie z dnia 21 lipca 2006 r. o nadzorze nad rynkiem finansowym (Dz. U. z 201</w:t>
      </w:r>
      <w:r w:rsidR="00D35907">
        <w:rPr>
          <w:rFonts w:ascii="Times New Roman" w:eastAsia="Calibri" w:hAnsi="Times New Roman" w:cs="Times New Roman"/>
          <w:bCs/>
          <w:sz w:val="24"/>
          <w:szCs w:val="24"/>
          <w:lang w:eastAsia="pl-PL"/>
        </w:rPr>
        <w:t>7</w:t>
      </w:r>
      <w:r w:rsidR="00252D8B" w:rsidRPr="00205E56">
        <w:rPr>
          <w:rFonts w:ascii="Times New Roman" w:eastAsia="Calibri" w:hAnsi="Times New Roman" w:cs="Times New Roman"/>
          <w:bCs/>
          <w:sz w:val="24"/>
          <w:szCs w:val="24"/>
          <w:lang w:eastAsia="pl-PL"/>
        </w:rPr>
        <w:t xml:space="preserve"> r. poz. 1</w:t>
      </w:r>
      <w:r w:rsidR="00D35907">
        <w:rPr>
          <w:rFonts w:ascii="Times New Roman" w:eastAsia="Calibri" w:hAnsi="Times New Roman" w:cs="Times New Roman"/>
          <w:bCs/>
          <w:sz w:val="24"/>
          <w:szCs w:val="24"/>
          <w:lang w:eastAsia="pl-PL"/>
        </w:rPr>
        <w:t xml:space="preserve">96, z </w:t>
      </w:r>
      <w:proofErr w:type="spellStart"/>
      <w:r w:rsidR="00D35907">
        <w:rPr>
          <w:rFonts w:ascii="Times New Roman" w:eastAsia="Calibri" w:hAnsi="Times New Roman" w:cs="Times New Roman"/>
          <w:bCs/>
          <w:sz w:val="24"/>
          <w:szCs w:val="24"/>
          <w:lang w:eastAsia="pl-PL"/>
        </w:rPr>
        <w:t>późn</w:t>
      </w:r>
      <w:proofErr w:type="spellEnd"/>
      <w:r w:rsidR="00D35907">
        <w:rPr>
          <w:rFonts w:ascii="Times New Roman" w:eastAsia="Calibri" w:hAnsi="Times New Roman" w:cs="Times New Roman"/>
          <w:bCs/>
          <w:sz w:val="24"/>
          <w:szCs w:val="24"/>
          <w:lang w:eastAsia="pl-PL"/>
        </w:rPr>
        <w:t>. zm.</w:t>
      </w:r>
      <w:r w:rsidR="00252D8B" w:rsidRPr="00205E56">
        <w:rPr>
          <w:rFonts w:ascii="Times New Roman" w:eastAsia="Calibri" w:hAnsi="Times New Roman" w:cs="Times New Roman"/>
          <w:bCs/>
          <w:sz w:val="24"/>
          <w:szCs w:val="24"/>
          <w:lang w:eastAsia="pl-PL"/>
        </w:rPr>
        <w:t xml:space="preserve">) dokonują zmiany </w:t>
      </w:r>
      <w:r w:rsidR="00D35907">
        <w:rPr>
          <w:rFonts w:ascii="Times New Roman" w:eastAsia="Calibri" w:hAnsi="Times New Roman" w:cs="Times New Roman"/>
          <w:bCs/>
          <w:sz w:val="24"/>
          <w:szCs w:val="24"/>
          <w:lang w:eastAsia="pl-PL"/>
        </w:rPr>
        <w:br/>
      </w:r>
      <w:r w:rsidR="00252D8B" w:rsidRPr="00205E56">
        <w:rPr>
          <w:rFonts w:ascii="Times New Roman" w:eastAsia="Calibri" w:hAnsi="Times New Roman" w:cs="Times New Roman"/>
          <w:bCs/>
          <w:sz w:val="24"/>
          <w:szCs w:val="24"/>
          <w:lang w:eastAsia="pl-PL"/>
        </w:rPr>
        <w:t xml:space="preserve">w art. 1 ust. 2 pkt 5 (dodanie nowych kategorii podmiotów nadzorowanych przez KNF) oraz w art. 12 (katalog decyzji podejmowanych przez KNF </w:t>
      </w:r>
      <w:r w:rsidR="00252D8B" w:rsidRPr="00D35907">
        <w:rPr>
          <w:rFonts w:ascii="Times New Roman" w:eastAsia="Calibri" w:hAnsi="Times New Roman" w:cs="Times New Roman"/>
          <w:bCs/>
          <w:i/>
          <w:sz w:val="24"/>
          <w:szCs w:val="24"/>
          <w:lang w:eastAsia="pl-PL"/>
        </w:rPr>
        <w:t xml:space="preserve">in </w:t>
      </w:r>
      <w:proofErr w:type="spellStart"/>
      <w:r w:rsidR="00252D8B" w:rsidRPr="00D35907">
        <w:rPr>
          <w:rFonts w:ascii="Times New Roman" w:eastAsia="Calibri" w:hAnsi="Times New Roman" w:cs="Times New Roman"/>
          <w:bCs/>
          <w:i/>
          <w:sz w:val="24"/>
          <w:szCs w:val="24"/>
          <w:lang w:eastAsia="pl-PL"/>
        </w:rPr>
        <w:t>gremio</w:t>
      </w:r>
      <w:proofErr w:type="spellEnd"/>
      <w:r w:rsidR="00252D8B" w:rsidRPr="00205E56">
        <w:rPr>
          <w:rFonts w:ascii="Times New Roman" w:eastAsia="Calibri" w:hAnsi="Times New Roman" w:cs="Times New Roman"/>
          <w:bCs/>
          <w:sz w:val="24"/>
          <w:szCs w:val="24"/>
          <w:lang w:eastAsia="pl-PL"/>
        </w:rPr>
        <w:t>).</w:t>
      </w:r>
    </w:p>
    <w:p w14:paraId="1C669EF3" w14:textId="494FC339" w:rsidR="00B32169" w:rsidRPr="00205E56" w:rsidRDefault="00252D8B" w:rsidP="00D14A5F">
      <w:pPr>
        <w:spacing w:before="120" w:after="0" w:line="360" w:lineRule="auto"/>
        <w:jc w:val="both"/>
        <w:rPr>
          <w:rFonts w:ascii="Times New Roman" w:eastAsia="Calibri" w:hAnsi="Times New Roman" w:cs="Times New Roman"/>
          <w:bCs/>
          <w:sz w:val="24"/>
          <w:szCs w:val="24"/>
          <w:lang w:eastAsia="pl-PL"/>
        </w:rPr>
      </w:pPr>
      <w:r w:rsidRPr="00205E56">
        <w:rPr>
          <w:rFonts w:ascii="Times New Roman" w:eastAsia="Calibri" w:hAnsi="Times New Roman" w:cs="Times New Roman"/>
          <w:bCs/>
          <w:sz w:val="24"/>
          <w:szCs w:val="24"/>
          <w:lang w:eastAsia="pl-PL"/>
        </w:rPr>
        <w:t xml:space="preserve">W </w:t>
      </w:r>
      <w:r w:rsidRPr="00205E56">
        <w:rPr>
          <w:rFonts w:ascii="Times New Roman" w:eastAsia="Calibri" w:hAnsi="Times New Roman" w:cs="Times New Roman"/>
          <w:b/>
          <w:bCs/>
          <w:sz w:val="24"/>
          <w:szCs w:val="24"/>
          <w:lang w:eastAsia="pl-PL"/>
        </w:rPr>
        <w:t xml:space="preserve">art. </w:t>
      </w:r>
      <w:r w:rsidR="006C45BC" w:rsidRPr="00205E56">
        <w:rPr>
          <w:rFonts w:ascii="Times New Roman" w:eastAsia="Calibri" w:hAnsi="Times New Roman" w:cs="Times New Roman"/>
          <w:b/>
          <w:bCs/>
          <w:sz w:val="24"/>
          <w:szCs w:val="24"/>
          <w:lang w:eastAsia="pl-PL"/>
        </w:rPr>
        <w:t>6</w:t>
      </w:r>
      <w:r w:rsidRPr="00205E56">
        <w:rPr>
          <w:rFonts w:ascii="Times New Roman" w:eastAsia="Calibri" w:hAnsi="Times New Roman" w:cs="Times New Roman"/>
          <w:b/>
          <w:bCs/>
          <w:sz w:val="24"/>
          <w:szCs w:val="24"/>
          <w:lang w:eastAsia="pl-PL"/>
        </w:rPr>
        <w:t xml:space="preserve"> projektu </w:t>
      </w:r>
      <w:r w:rsidRPr="00205E56">
        <w:rPr>
          <w:rFonts w:ascii="Times New Roman" w:eastAsia="Calibri" w:hAnsi="Times New Roman" w:cs="Times New Roman"/>
          <w:bCs/>
          <w:sz w:val="24"/>
          <w:szCs w:val="24"/>
          <w:lang w:eastAsia="pl-PL"/>
        </w:rPr>
        <w:t>wprowadza się zmianę</w:t>
      </w:r>
      <w:r w:rsidR="00205E56" w:rsidRPr="00205E56">
        <w:rPr>
          <w:rFonts w:ascii="Times New Roman" w:eastAsia="Calibri" w:hAnsi="Times New Roman" w:cs="Times New Roman"/>
          <w:bCs/>
          <w:sz w:val="24"/>
          <w:szCs w:val="24"/>
          <w:lang w:eastAsia="pl-PL"/>
        </w:rPr>
        <w:t xml:space="preserve"> </w:t>
      </w:r>
      <w:r w:rsidRPr="00205E56">
        <w:rPr>
          <w:rFonts w:ascii="Times New Roman" w:eastAsia="Calibri" w:hAnsi="Times New Roman" w:cs="Times New Roman"/>
          <w:bCs/>
          <w:sz w:val="24"/>
          <w:szCs w:val="24"/>
          <w:lang w:eastAsia="pl-PL"/>
        </w:rPr>
        <w:t xml:space="preserve">w </w:t>
      </w:r>
      <w:r w:rsidR="00B32169" w:rsidRPr="00205E56">
        <w:rPr>
          <w:rFonts w:ascii="Times New Roman" w:eastAsia="Calibri" w:hAnsi="Times New Roman" w:cs="Times New Roman"/>
          <w:bCs/>
          <w:sz w:val="24"/>
          <w:szCs w:val="24"/>
          <w:lang w:eastAsia="pl-PL"/>
        </w:rPr>
        <w:t>art. 36d pkt 2 ustawy z dnia 12 maja 2011</w:t>
      </w:r>
      <w:r w:rsidR="00DA5D73">
        <w:rPr>
          <w:rFonts w:ascii="Times New Roman" w:eastAsia="Calibri" w:hAnsi="Times New Roman" w:cs="Times New Roman"/>
          <w:bCs/>
          <w:sz w:val="24"/>
          <w:szCs w:val="24"/>
          <w:lang w:eastAsia="pl-PL"/>
        </w:rPr>
        <w:t> </w:t>
      </w:r>
      <w:r w:rsidR="00B32169" w:rsidRPr="00205E56">
        <w:rPr>
          <w:rFonts w:ascii="Times New Roman" w:eastAsia="Calibri" w:hAnsi="Times New Roman" w:cs="Times New Roman"/>
          <w:bCs/>
          <w:sz w:val="24"/>
          <w:szCs w:val="24"/>
          <w:lang w:eastAsia="pl-PL"/>
        </w:rPr>
        <w:t xml:space="preserve">r. o kredycie konsumenckim w związku z wdrożeniem przepisów </w:t>
      </w:r>
      <w:r w:rsidR="008C0F62">
        <w:rPr>
          <w:rFonts w:ascii="Times New Roman" w:eastAsia="Calibri" w:hAnsi="Times New Roman" w:cs="Times New Roman"/>
          <w:bCs/>
          <w:sz w:val="24"/>
          <w:szCs w:val="24"/>
          <w:lang w:eastAsia="pl-PL"/>
        </w:rPr>
        <w:t>r</w:t>
      </w:r>
      <w:r w:rsidR="00BD0A20" w:rsidRPr="00205E56">
        <w:rPr>
          <w:rFonts w:ascii="Times New Roman" w:eastAsia="Calibri" w:hAnsi="Times New Roman" w:cs="Times New Roman"/>
          <w:bCs/>
          <w:sz w:val="24"/>
          <w:szCs w:val="24"/>
          <w:lang w:eastAsia="pl-PL"/>
        </w:rPr>
        <w:t xml:space="preserve">ozporządzenia </w:t>
      </w:r>
      <w:r w:rsidR="008C0F62" w:rsidRPr="00205E56">
        <w:rPr>
          <w:rFonts w:ascii="Times New Roman" w:eastAsia="Calibri" w:hAnsi="Times New Roman" w:cs="Times New Roman"/>
          <w:bCs/>
          <w:sz w:val="24"/>
          <w:szCs w:val="24"/>
          <w:lang w:eastAsia="pl-PL"/>
        </w:rPr>
        <w:t>MIFR</w:t>
      </w:r>
      <w:r w:rsidR="00453011">
        <w:rPr>
          <w:rFonts w:ascii="Times New Roman" w:eastAsia="Calibri" w:hAnsi="Times New Roman" w:cs="Times New Roman"/>
          <w:bCs/>
          <w:sz w:val="24"/>
          <w:szCs w:val="24"/>
          <w:lang w:eastAsia="pl-PL"/>
        </w:rPr>
        <w:t>EG</w:t>
      </w:r>
      <w:r w:rsidR="008C0F62" w:rsidRPr="00205E56">
        <w:rPr>
          <w:rFonts w:ascii="Times New Roman" w:eastAsia="Calibri" w:hAnsi="Times New Roman" w:cs="Times New Roman"/>
          <w:bCs/>
          <w:sz w:val="24"/>
          <w:szCs w:val="24"/>
          <w:lang w:eastAsia="pl-PL"/>
        </w:rPr>
        <w:t xml:space="preserve"> </w:t>
      </w:r>
      <w:r w:rsidR="00B32169" w:rsidRPr="00205E56">
        <w:rPr>
          <w:rFonts w:ascii="Times New Roman" w:eastAsia="Calibri" w:hAnsi="Times New Roman" w:cs="Times New Roman"/>
          <w:bCs/>
          <w:sz w:val="24"/>
          <w:szCs w:val="24"/>
          <w:lang w:eastAsia="pl-PL"/>
        </w:rPr>
        <w:t>związanych z odesłaniem przepisów d</w:t>
      </w:r>
      <w:r w:rsidR="00DA5D73">
        <w:rPr>
          <w:rFonts w:ascii="Times New Roman" w:eastAsia="Calibri" w:hAnsi="Times New Roman" w:cs="Times New Roman"/>
          <w:bCs/>
          <w:sz w:val="24"/>
          <w:szCs w:val="24"/>
          <w:lang w:eastAsia="pl-PL"/>
        </w:rPr>
        <w:t>o definicji karty kredytowej, o </w:t>
      </w:r>
      <w:r w:rsidR="00B32169" w:rsidRPr="00205E56">
        <w:rPr>
          <w:rFonts w:ascii="Times New Roman" w:eastAsia="Calibri" w:hAnsi="Times New Roman" w:cs="Times New Roman"/>
          <w:bCs/>
          <w:sz w:val="24"/>
          <w:szCs w:val="24"/>
          <w:lang w:eastAsia="pl-PL"/>
        </w:rPr>
        <w:t>której mowa w art. 2 pkt 34 rozporządzenia MIF</w:t>
      </w:r>
      <w:r w:rsidR="00BD0A20" w:rsidRPr="00205E56">
        <w:rPr>
          <w:rFonts w:ascii="Times New Roman" w:eastAsia="Calibri" w:hAnsi="Times New Roman" w:cs="Times New Roman"/>
          <w:bCs/>
          <w:sz w:val="24"/>
          <w:szCs w:val="24"/>
          <w:lang w:eastAsia="pl-PL"/>
        </w:rPr>
        <w:t>R</w:t>
      </w:r>
      <w:r w:rsidR="00453011">
        <w:rPr>
          <w:rFonts w:ascii="Times New Roman" w:eastAsia="Calibri" w:hAnsi="Times New Roman" w:cs="Times New Roman"/>
          <w:bCs/>
          <w:sz w:val="24"/>
          <w:szCs w:val="24"/>
          <w:lang w:eastAsia="pl-PL"/>
        </w:rPr>
        <w:t>EG</w:t>
      </w:r>
      <w:r w:rsidR="00B32169" w:rsidRPr="00205E56">
        <w:rPr>
          <w:rFonts w:ascii="Times New Roman" w:eastAsia="Calibri" w:hAnsi="Times New Roman" w:cs="Times New Roman"/>
          <w:bCs/>
          <w:sz w:val="24"/>
          <w:szCs w:val="24"/>
          <w:lang w:eastAsia="pl-PL"/>
        </w:rPr>
        <w:t>.</w:t>
      </w:r>
    </w:p>
    <w:p w14:paraId="3DBED3A8" w14:textId="0A3977A3" w:rsidR="00252D8B" w:rsidRPr="00205E56" w:rsidRDefault="00252D8B" w:rsidP="00D14A5F">
      <w:pPr>
        <w:spacing w:before="120" w:after="0" w:line="360" w:lineRule="auto"/>
        <w:jc w:val="both"/>
        <w:rPr>
          <w:rFonts w:ascii="Times New Roman" w:eastAsia="Calibri" w:hAnsi="Times New Roman" w:cs="Times New Roman"/>
          <w:bCs/>
          <w:sz w:val="24"/>
          <w:szCs w:val="24"/>
          <w:lang w:eastAsia="pl-PL"/>
        </w:rPr>
      </w:pPr>
      <w:r w:rsidRPr="00205E56">
        <w:rPr>
          <w:rFonts w:ascii="Times New Roman" w:eastAsia="Calibri" w:hAnsi="Times New Roman" w:cs="Times New Roman"/>
          <w:bCs/>
          <w:sz w:val="24"/>
          <w:szCs w:val="24"/>
          <w:lang w:eastAsia="pl-PL"/>
        </w:rPr>
        <w:t xml:space="preserve">W </w:t>
      </w:r>
      <w:r w:rsidRPr="00205E56">
        <w:rPr>
          <w:rFonts w:ascii="Times New Roman" w:eastAsia="Calibri" w:hAnsi="Times New Roman" w:cs="Times New Roman"/>
          <w:b/>
          <w:bCs/>
          <w:sz w:val="24"/>
          <w:szCs w:val="24"/>
          <w:lang w:eastAsia="pl-PL"/>
        </w:rPr>
        <w:t xml:space="preserve">art. </w:t>
      </w:r>
      <w:r w:rsidR="006C45BC" w:rsidRPr="00205E56">
        <w:rPr>
          <w:rFonts w:ascii="Times New Roman" w:eastAsia="Calibri" w:hAnsi="Times New Roman" w:cs="Times New Roman"/>
          <w:b/>
          <w:bCs/>
          <w:sz w:val="24"/>
          <w:szCs w:val="24"/>
          <w:lang w:eastAsia="pl-PL"/>
        </w:rPr>
        <w:t>7</w:t>
      </w:r>
      <w:r w:rsidRPr="00205E56">
        <w:rPr>
          <w:rFonts w:ascii="Times New Roman" w:eastAsia="Calibri" w:hAnsi="Times New Roman" w:cs="Times New Roman"/>
          <w:b/>
          <w:bCs/>
          <w:sz w:val="24"/>
          <w:szCs w:val="24"/>
          <w:lang w:eastAsia="pl-PL"/>
        </w:rPr>
        <w:t xml:space="preserve"> projektu</w:t>
      </w:r>
      <w:r w:rsidRPr="00205E56">
        <w:rPr>
          <w:rFonts w:ascii="Times New Roman" w:eastAsia="Calibri" w:hAnsi="Times New Roman" w:cs="Times New Roman"/>
          <w:bCs/>
          <w:sz w:val="24"/>
          <w:szCs w:val="24"/>
          <w:lang w:eastAsia="pl-PL"/>
        </w:rPr>
        <w:t xml:space="preserve"> wprowadza się zmianę w usta</w:t>
      </w:r>
      <w:r w:rsidR="00DA5D73">
        <w:rPr>
          <w:rFonts w:ascii="Times New Roman" w:eastAsia="Calibri" w:hAnsi="Times New Roman" w:cs="Times New Roman"/>
          <w:bCs/>
          <w:sz w:val="24"/>
          <w:szCs w:val="24"/>
          <w:lang w:eastAsia="pl-PL"/>
        </w:rPr>
        <w:t>wie z dnia 5 sierpnia 2015 r. o </w:t>
      </w:r>
      <w:r w:rsidRPr="00205E56">
        <w:rPr>
          <w:rFonts w:ascii="Times New Roman" w:eastAsia="Calibri" w:hAnsi="Times New Roman" w:cs="Times New Roman"/>
          <w:bCs/>
          <w:sz w:val="24"/>
          <w:szCs w:val="24"/>
          <w:lang w:eastAsia="pl-PL"/>
        </w:rPr>
        <w:t>rozpatrywaniu reklamacji przez podmioty rynku finansowego i o Rzeczniku Finansow</w:t>
      </w:r>
      <w:r w:rsidR="007E0CAE" w:rsidRPr="00205E56">
        <w:rPr>
          <w:rFonts w:ascii="Times New Roman" w:eastAsia="Calibri" w:hAnsi="Times New Roman" w:cs="Times New Roman"/>
          <w:bCs/>
          <w:sz w:val="24"/>
          <w:szCs w:val="24"/>
          <w:lang w:eastAsia="pl-PL"/>
        </w:rPr>
        <w:t>ym (Dz. U. z 201</w:t>
      </w:r>
      <w:r w:rsidR="00655AEF">
        <w:rPr>
          <w:rFonts w:ascii="Times New Roman" w:eastAsia="Calibri" w:hAnsi="Times New Roman" w:cs="Times New Roman"/>
          <w:bCs/>
          <w:sz w:val="24"/>
          <w:szCs w:val="24"/>
          <w:lang w:eastAsia="pl-PL"/>
        </w:rPr>
        <w:t>7</w:t>
      </w:r>
      <w:r w:rsidR="007E0CAE" w:rsidRPr="00205E56">
        <w:rPr>
          <w:rFonts w:ascii="Times New Roman" w:eastAsia="Calibri" w:hAnsi="Times New Roman" w:cs="Times New Roman"/>
          <w:bCs/>
          <w:sz w:val="24"/>
          <w:szCs w:val="24"/>
          <w:lang w:eastAsia="pl-PL"/>
        </w:rPr>
        <w:t xml:space="preserve"> r. poz. </w:t>
      </w:r>
      <w:r w:rsidR="00655AEF">
        <w:rPr>
          <w:rFonts w:ascii="Times New Roman" w:eastAsia="Calibri" w:hAnsi="Times New Roman" w:cs="Times New Roman"/>
          <w:bCs/>
          <w:sz w:val="24"/>
          <w:szCs w:val="24"/>
          <w:lang w:eastAsia="pl-PL"/>
        </w:rPr>
        <w:t>2270 i 2</w:t>
      </w:r>
      <w:r w:rsidR="004F641F">
        <w:rPr>
          <w:rFonts w:ascii="Times New Roman" w:eastAsia="Calibri" w:hAnsi="Times New Roman" w:cs="Times New Roman"/>
          <w:bCs/>
          <w:sz w:val="24"/>
          <w:szCs w:val="24"/>
          <w:lang w:eastAsia="pl-PL"/>
        </w:rPr>
        <w:t>4</w:t>
      </w:r>
      <w:r w:rsidR="00655AEF">
        <w:rPr>
          <w:rFonts w:ascii="Times New Roman" w:eastAsia="Calibri" w:hAnsi="Times New Roman" w:cs="Times New Roman"/>
          <w:bCs/>
          <w:sz w:val="24"/>
          <w:szCs w:val="24"/>
          <w:lang w:eastAsia="pl-PL"/>
        </w:rPr>
        <w:t>86</w:t>
      </w:r>
      <w:r w:rsidR="007E0CAE" w:rsidRPr="00205E56">
        <w:rPr>
          <w:rFonts w:ascii="Times New Roman" w:eastAsia="Calibri" w:hAnsi="Times New Roman" w:cs="Times New Roman"/>
          <w:bCs/>
          <w:sz w:val="24"/>
          <w:szCs w:val="24"/>
          <w:lang w:eastAsia="pl-PL"/>
        </w:rPr>
        <w:t>), w ce</w:t>
      </w:r>
      <w:r w:rsidR="00DA5D73">
        <w:rPr>
          <w:rFonts w:ascii="Times New Roman" w:eastAsia="Calibri" w:hAnsi="Times New Roman" w:cs="Times New Roman"/>
          <w:bCs/>
          <w:sz w:val="24"/>
          <w:szCs w:val="24"/>
          <w:lang w:eastAsia="pl-PL"/>
        </w:rPr>
        <w:t>lu uwzględnienia przepisów dot. </w:t>
      </w:r>
      <w:r w:rsidR="007E0CAE" w:rsidRPr="00205E56">
        <w:rPr>
          <w:rFonts w:ascii="Times New Roman" w:eastAsia="Calibri" w:hAnsi="Times New Roman" w:cs="Times New Roman"/>
          <w:bCs/>
          <w:sz w:val="24"/>
          <w:szCs w:val="24"/>
          <w:lang w:eastAsia="pl-PL"/>
        </w:rPr>
        <w:t>reklamacji w zakresie usług płatniczych.</w:t>
      </w:r>
    </w:p>
    <w:p w14:paraId="1C44D7DA" w14:textId="59AF6594" w:rsidR="0082638E" w:rsidRPr="00205E56" w:rsidRDefault="0061290B"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art. </w:t>
      </w:r>
      <w:r w:rsidR="006C45BC" w:rsidRPr="00205E56">
        <w:rPr>
          <w:rFonts w:ascii="Times New Roman" w:hAnsi="Times New Roman" w:cs="Times New Roman"/>
          <w:b/>
          <w:sz w:val="24"/>
          <w:szCs w:val="24"/>
        </w:rPr>
        <w:t>8</w:t>
      </w:r>
      <w:r w:rsidR="0082638E" w:rsidRPr="00205E56">
        <w:rPr>
          <w:rFonts w:ascii="Times New Roman" w:hAnsi="Times New Roman" w:cs="Times New Roman"/>
          <w:b/>
          <w:sz w:val="24"/>
          <w:szCs w:val="24"/>
        </w:rPr>
        <w:t>–</w:t>
      </w:r>
      <w:r w:rsidR="006C45BC" w:rsidRPr="00205E56">
        <w:rPr>
          <w:rFonts w:ascii="Times New Roman" w:hAnsi="Times New Roman" w:cs="Times New Roman"/>
          <w:b/>
          <w:sz w:val="24"/>
          <w:szCs w:val="24"/>
        </w:rPr>
        <w:t>21</w:t>
      </w:r>
      <w:r w:rsidR="00B32169" w:rsidRPr="00205E56">
        <w:rPr>
          <w:rFonts w:ascii="Times New Roman" w:hAnsi="Times New Roman" w:cs="Times New Roman"/>
          <w:b/>
          <w:sz w:val="24"/>
          <w:szCs w:val="24"/>
        </w:rPr>
        <w:t xml:space="preserve"> </w:t>
      </w:r>
      <w:r w:rsidR="005C7A75" w:rsidRPr="00205E56">
        <w:rPr>
          <w:rFonts w:ascii="Times New Roman" w:hAnsi="Times New Roman" w:cs="Times New Roman"/>
          <w:b/>
          <w:sz w:val="24"/>
          <w:szCs w:val="24"/>
        </w:rPr>
        <w:t>projektu</w:t>
      </w:r>
      <w:r w:rsidR="005C7A75" w:rsidRPr="00205E56">
        <w:rPr>
          <w:rFonts w:ascii="Times New Roman" w:hAnsi="Times New Roman" w:cs="Times New Roman"/>
          <w:sz w:val="24"/>
          <w:szCs w:val="24"/>
        </w:rPr>
        <w:t xml:space="preserve"> </w:t>
      </w:r>
      <w:r w:rsidR="0082638E" w:rsidRPr="00205E56">
        <w:rPr>
          <w:rFonts w:ascii="Times New Roman" w:hAnsi="Times New Roman" w:cs="Times New Roman"/>
          <w:sz w:val="24"/>
          <w:szCs w:val="24"/>
        </w:rPr>
        <w:t>określono przepisy przejściowe określające zasady funkcjonowania podmiotów prowadzących działalność w zakresie przepisów dotychczas obowiązującej ustawy, po wejściu w życie znowelizowanych przepisów.</w:t>
      </w:r>
      <w:r w:rsidR="00820445" w:rsidRPr="00205E56">
        <w:rPr>
          <w:rFonts w:ascii="Times New Roman" w:hAnsi="Times New Roman" w:cs="Times New Roman"/>
          <w:sz w:val="24"/>
          <w:szCs w:val="24"/>
        </w:rPr>
        <w:t xml:space="preserve"> Podstawowy okres przejściowy, przewidziany w art. </w:t>
      </w:r>
      <w:r w:rsidR="006C45BC" w:rsidRPr="00205E56">
        <w:rPr>
          <w:rFonts w:ascii="Times New Roman" w:hAnsi="Times New Roman" w:cs="Times New Roman"/>
          <w:sz w:val="24"/>
          <w:szCs w:val="24"/>
        </w:rPr>
        <w:t>8</w:t>
      </w:r>
      <w:r w:rsidR="00820445" w:rsidRPr="00205E56">
        <w:rPr>
          <w:rFonts w:ascii="Times New Roman" w:hAnsi="Times New Roman" w:cs="Times New Roman"/>
          <w:sz w:val="24"/>
          <w:szCs w:val="24"/>
        </w:rPr>
        <w:t xml:space="preserve"> mówi o tym, że dostawcy usług płatniczych prowadzący w dniu wejścia w życie </w:t>
      </w:r>
      <w:r w:rsidR="00DA5D73">
        <w:rPr>
          <w:rFonts w:ascii="Times New Roman" w:hAnsi="Times New Roman" w:cs="Times New Roman"/>
          <w:sz w:val="24"/>
          <w:szCs w:val="24"/>
        </w:rPr>
        <w:t>niniejszej ustawy działalność w </w:t>
      </w:r>
      <w:r w:rsidR="00820445" w:rsidRPr="00205E56">
        <w:rPr>
          <w:rFonts w:ascii="Times New Roman" w:hAnsi="Times New Roman" w:cs="Times New Roman"/>
          <w:sz w:val="24"/>
          <w:szCs w:val="24"/>
        </w:rPr>
        <w:t>zakresie usług płatniczych są obowiązani w terminie nie dłuższym niż 6 miesięcy od dnia wejścia w życie niniejszej ustawy dostosować swoją działalność w zakresie usług płatniczych do przepisów znowelizowanej ustawy o</w:t>
      </w:r>
      <w:r w:rsidR="00205E56" w:rsidRPr="00205E56">
        <w:rPr>
          <w:rFonts w:ascii="Times New Roman" w:hAnsi="Times New Roman" w:cs="Times New Roman"/>
          <w:sz w:val="24"/>
          <w:szCs w:val="24"/>
        </w:rPr>
        <w:t xml:space="preserve"> </w:t>
      </w:r>
      <w:r w:rsidR="00820445" w:rsidRPr="00205E56">
        <w:rPr>
          <w:rFonts w:ascii="Times New Roman" w:hAnsi="Times New Roman" w:cs="Times New Roman"/>
          <w:sz w:val="24"/>
          <w:szCs w:val="24"/>
        </w:rPr>
        <w:t>usługach płatniczych.</w:t>
      </w:r>
    </w:p>
    <w:p w14:paraId="0AC694FA" w14:textId="77777777" w:rsidR="00B32169" w:rsidRPr="00205E56" w:rsidRDefault="00B32169"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Dostawcy usług płatniczych nie mogą stosować, ze szkodą dla użytkowników usług płatniczych, odstępstw od przepisów prawa krajowego transponujących dyrektywę </w:t>
      </w:r>
      <w:r w:rsidRPr="00205E56">
        <w:rPr>
          <w:rFonts w:ascii="Times New Roman" w:hAnsi="Times New Roman" w:cs="Times New Roman"/>
          <w:sz w:val="24"/>
          <w:szCs w:val="24"/>
        </w:rPr>
        <w:lastRenderedPageBreak/>
        <w:t>PSD2. Mogą jednak podjąć decyzję o przyznaniu użytkownikom usług płatniczych bardziej korzystnych warunków.</w:t>
      </w:r>
    </w:p>
    <w:p w14:paraId="05D07405" w14:textId="25F1BDB2" w:rsidR="003262EB" w:rsidRPr="00205E56" w:rsidRDefault="003262EB"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Dostawca, wykonując obowiązki, o</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których mowa w</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art.</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 xml:space="preserve">32f, stosuje właściwe w tym zakresie </w:t>
      </w:r>
      <w:r w:rsidR="00DA3655">
        <w:rPr>
          <w:rFonts w:ascii="Times New Roman" w:hAnsi="Times New Roman" w:cs="Times New Roman"/>
          <w:sz w:val="24"/>
          <w:szCs w:val="24"/>
        </w:rPr>
        <w:t>r</w:t>
      </w:r>
      <w:r w:rsidRPr="00205E56">
        <w:rPr>
          <w:rFonts w:ascii="Times New Roman" w:hAnsi="Times New Roman" w:cs="Times New Roman"/>
          <w:sz w:val="24"/>
          <w:szCs w:val="24"/>
        </w:rPr>
        <w:t>ozporządzenie Delegowane Komisji (UE) uzupełniające dyrektywę Parlamentu Europejskiego i Rady (UE) 2015/2366 w odniesieniu do ustanowienia, wdrożenia i</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 xml:space="preserve">monitorowania środków bezpieczeństwa, w tym w stosownych przypadkach procedur certyfikacyjnych oraz </w:t>
      </w:r>
      <w:r w:rsidR="00DA3655">
        <w:rPr>
          <w:rFonts w:ascii="Times New Roman" w:hAnsi="Times New Roman" w:cs="Times New Roman"/>
          <w:sz w:val="24"/>
          <w:szCs w:val="24"/>
        </w:rPr>
        <w:t>r</w:t>
      </w:r>
      <w:r w:rsidRPr="00205E56">
        <w:rPr>
          <w:rFonts w:ascii="Times New Roman" w:hAnsi="Times New Roman" w:cs="Times New Roman"/>
          <w:sz w:val="24"/>
          <w:szCs w:val="24"/>
        </w:rPr>
        <w:t>ozporządzenie Delegowane Komisji (UE) uzupełniające dyrektywę Parlamentu Europe</w:t>
      </w:r>
      <w:r w:rsidR="00DA5D73">
        <w:rPr>
          <w:rFonts w:ascii="Times New Roman" w:hAnsi="Times New Roman" w:cs="Times New Roman"/>
          <w:sz w:val="24"/>
          <w:szCs w:val="24"/>
        </w:rPr>
        <w:t>jskiego i Rady (UE) 2015/2366 w </w:t>
      </w:r>
      <w:r w:rsidRPr="00205E56">
        <w:rPr>
          <w:rFonts w:ascii="Times New Roman" w:hAnsi="Times New Roman" w:cs="Times New Roman"/>
          <w:sz w:val="24"/>
          <w:szCs w:val="24"/>
        </w:rPr>
        <w:t>odniesieniu do regulacyjnych standardów techn</w:t>
      </w:r>
      <w:r w:rsidR="00DA5D73">
        <w:rPr>
          <w:rFonts w:ascii="Times New Roman" w:hAnsi="Times New Roman" w:cs="Times New Roman"/>
          <w:sz w:val="24"/>
          <w:szCs w:val="24"/>
        </w:rPr>
        <w:t>icznych dotyczących kryteriów i </w:t>
      </w:r>
      <w:r w:rsidRPr="00205E56">
        <w:rPr>
          <w:rFonts w:ascii="Times New Roman" w:hAnsi="Times New Roman" w:cs="Times New Roman"/>
          <w:sz w:val="24"/>
          <w:szCs w:val="24"/>
        </w:rPr>
        <w:t>warunków ustanawiania i monitorowania środków be</w:t>
      </w:r>
      <w:r w:rsidR="00DA5D73">
        <w:rPr>
          <w:rFonts w:ascii="Times New Roman" w:hAnsi="Times New Roman" w:cs="Times New Roman"/>
          <w:sz w:val="24"/>
          <w:szCs w:val="24"/>
        </w:rPr>
        <w:t>zpieczeństwa, od dnia wejścia w </w:t>
      </w:r>
      <w:r w:rsidRPr="00205E56">
        <w:rPr>
          <w:rFonts w:ascii="Times New Roman" w:hAnsi="Times New Roman" w:cs="Times New Roman"/>
          <w:sz w:val="24"/>
          <w:szCs w:val="24"/>
        </w:rPr>
        <w:t>życie tych przepisów.</w:t>
      </w:r>
    </w:p>
    <w:p w14:paraId="28FFA90D" w14:textId="4607252A" w:rsidR="003262EB" w:rsidRPr="00205E56" w:rsidRDefault="003262EB"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Dostawca, wykonując obowiązki, o</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których mowa w</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art.</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32g ust.</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1 i</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 xml:space="preserve">2, stosuje właściwe w tym zakresie </w:t>
      </w:r>
      <w:r w:rsidR="00DA3655">
        <w:rPr>
          <w:rFonts w:ascii="Times New Roman" w:hAnsi="Times New Roman" w:cs="Times New Roman"/>
          <w:sz w:val="24"/>
          <w:szCs w:val="24"/>
        </w:rPr>
        <w:t>r</w:t>
      </w:r>
      <w:r w:rsidRPr="00205E56">
        <w:rPr>
          <w:rFonts w:ascii="Times New Roman" w:hAnsi="Times New Roman" w:cs="Times New Roman"/>
          <w:sz w:val="24"/>
          <w:szCs w:val="24"/>
        </w:rPr>
        <w:t>ozporządzenie Delegowane Komisji (UE) uzupełniające dyrektywę Parlamentu Europejskiego i Rady (UE) 2015/2366 w sprawie klasyfikacji poważnych incydentów oraz w sprawie treści, formatu – w tym standardowych wzorów zgłoszeń – i</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procedur do celów zgłaszania takich incydentów, od dnia wejścia w życie tych przepisów.</w:t>
      </w:r>
    </w:p>
    <w:p w14:paraId="73052B44" w14:textId="3D9DB523" w:rsidR="003262EB" w:rsidRPr="00205E56" w:rsidRDefault="003262EB"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KNF albo inny właściwy organ do sprawowania nadzoru, wykonując obowiązki, o</w:t>
      </w:r>
      <w:r w:rsidR="00DA5D73">
        <w:rPr>
          <w:rFonts w:ascii="Times New Roman" w:hAnsi="Times New Roman" w:cs="Times New Roman"/>
          <w:sz w:val="24"/>
          <w:szCs w:val="24"/>
        </w:rPr>
        <w:t> </w:t>
      </w:r>
      <w:r w:rsidRPr="00205E56">
        <w:rPr>
          <w:rFonts w:ascii="Times New Roman" w:hAnsi="Times New Roman" w:cs="Times New Roman"/>
          <w:sz w:val="24"/>
          <w:szCs w:val="24"/>
        </w:rPr>
        <w:t>których mowa w</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art.</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32g ust.</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3 i</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 xml:space="preserve">4, stosuje właściwe w tym zakresie </w:t>
      </w:r>
      <w:r w:rsidR="00DA3655">
        <w:rPr>
          <w:rFonts w:ascii="Times New Roman" w:hAnsi="Times New Roman" w:cs="Times New Roman"/>
          <w:sz w:val="24"/>
          <w:szCs w:val="24"/>
        </w:rPr>
        <w:t>r</w:t>
      </w:r>
      <w:r w:rsidRPr="00205E56">
        <w:rPr>
          <w:rFonts w:ascii="Times New Roman" w:hAnsi="Times New Roman" w:cs="Times New Roman"/>
          <w:sz w:val="24"/>
          <w:szCs w:val="24"/>
        </w:rPr>
        <w:t>ozporządzenie Delegowane Komisji (UE) uzupełniające dyrektywę Parlamentu Europejskiego i Rady (UE) 2015/2366 w sprawie kryteriów dotyczących oceny czy dany incydent ma znaczenie oraz szczegółów sprawozdań dotyczących incydentów udostępnianych innym organom krajowym, od dnia wejścia w</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życie tych wytycznych.</w:t>
      </w:r>
    </w:p>
    <w:p w14:paraId="5EF367C9" w14:textId="79F4E686" w:rsidR="003262EB" w:rsidRPr="00205E56" w:rsidRDefault="003262EB"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Dostawca, wykonując obowiązki, o</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których mowa w</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art.</w:t>
      </w:r>
      <w:r w:rsidR="00205E56" w:rsidRPr="00205E56">
        <w:rPr>
          <w:rFonts w:ascii="Times New Roman" w:hAnsi="Times New Roman" w:cs="Times New Roman"/>
          <w:sz w:val="24"/>
          <w:szCs w:val="24"/>
        </w:rPr>
        <w:t xml:space="preserve"> </w:t>
      </w:r>
      <w:r w:rsidRPr="00205E56">
        <w:rPr>
          <w:rFonts w:ascii="Times New Roman" w:hAnsi="Times New Roman" w:cs="Times New Roman"/>
          <w:sz w:val="24"/>
          <w:szCs w:val="24"/>
        </w:rPr>
        <w:t xml:space="preserve">32i stosuje właściwe w tym zakresie </w:t>
      </w:r>
      <w:r w:rsidR="00DA3655">
        <w:rPr>
          <w:rFonts w:ascii="Times New Roman" w:hAnsi="Times New Roman" w:cs="Times New Roman"/>
          <w:sz w:val="24"/>
          <w:szCs w:val="24"/>
        </w:rPr>
        <w:t>r</w:t>
      </w:r>
      <w:r w:rsidRPr="00205E56">
        <w:rPr>
          <w:rFonts w:ascii="Times New Roman" w:hAnsi="Times New Roman" w:cs="Times New Roman"/>
          <w:sz w:val="24"/>
          <w:szCs w:val="24"/>
        </w:rPr>
        <w:t>ozporządzenie Delegowane Komisji (UE) uzupełniające dyrektywę Parlamentu Europejskiego i Rady (UE) 2015/2366 w odniesieniu do regulacyjnych standardów technicznych dotyczących uwierzytelniania i komunikacji.</w:t>
      </w:r>
      <w:r w:rsidR="009A5FE6" w:rsidRPr="00205E56">
        <w:rPr>
          <w:rFonts w:ascii="Times New Roman" w:hAnsi="Times New Roman" w:cs="Times New Roman"/>
          <w:sz w:val="24"/>
          <w:szCs w:val="24"/>
        </w:rPr>
        <w:t xml:space="preserve"> Obowiązki określone w ww</w:t>
      </w:r>
      <w:r w:rsidR="000D284A" w:rsidRPr="00205E56">
        <w:rPr>
          <w:rFonts w:ascii="Times New Roman" w:hAnsi="Times New Roman" w:cs="Times New Roman"/>
          <w:sz w:val="24"/>
          <w:szCs w:val="24"/>
        </w:rPr>
        <w:t>.</w:t>
      </w:r>
      <w:r w:rsidR="009A5FE6" w:rsidRPr="00205E56">
        <w:rPr>
          <w:rFonts w:ascii="Times New Roman" w:hAnsi="Times New Roman" w:cs="Times New Roman"/>
          <w:sz w:val="24"/>
          <w:szCs w:val="24"/>
        </w:rPr>
        <w:t xml:space="preserve"> rozporządzeniu dostawca jest obowiązany stosować nie później niż po upływie 18 miesięcy od dnia wejścia w życie tego rozporządzenia.</w:t>
      </w:r>
      <w:r w:rsidR="006C45BC" w:rsidRPr="00205E56">
        <w:rPr>
          <w:rFonts w:ascii="Times New Roman" w:hAnsi="Times New Roman" w:cs="Times New Roman"/>
          <w:sz w:val="24"/>
          <w:szCs w:val="24"/>
        </w:rPr>
        <w:t xml:space="preserve"> Do czasu obowiązywania tego rozporządzenia,</w:t>
      </w:r>
      <w:r w:rsidR="00205E56" w:rsidRPr="00205E56">
        <w:rPr>
          <w:rFonts w:ascii="Times New Roman" w:hAnsi="Times New Roman" w:cs="Times New Roman"/>
          <w:sz w:val="24"/>
          <w:szCs w:val="24"/>
        </w:rPr>
        <w:t xml:space="preserve"> </w:t>
      </w:r>
      <w:r w:rsidR="006C45BC" w:rsidRPr="00205E56">
        <w:rPr>
          <w:rFonts w:ascii="Times New Roman" w:hAnsi="Times New Roman" w:cs="Times New Roman"/>
          <w:sz w:val="24"/>
          <w:szCs w:val="24"/>
        </w:rPr>
        <w:t>dostawcy prowadzący rachunki płatnicze są obowiązani stosować dotychczasowe regulacje w zakre</w:t>
      </w:r>
      <w:r w:rsidR="00DA5D73">
        <w:rPr>
          <w:rFonts w:ascii="Times New Roman" w:hAnsi="Times New Roman" w:cs="Times New Roman"/>
          <w:sz w:val="24"/>
          <w:szCs w:val="24"/>
        </w:rPr>
        <w:t>sie bezpieczeństwa płatności, w </w:t>
      </w:r>
      <w:r w:rsidR="006C45BC" w:rsidRPr="00205E56">
        <w:rPr>
          <w:rFonts w:ascii="Times New Roman" w:hAnsi="Times New Roman" w:cs="Times New Roman"/>
          <w:sz w:val="24"/>
          <w:szCs w:val="24"/>
        </w:rPr>
        <w:t xml:space="preserve">tym </w:t>
      </w:r>
      <w:r w:rsidR="006E5D86" w:rsidRPr="00205E56">
        <w:rPr>
          <w:rFonts w:ascii="Times New Roman" w:hAnsi="Times New Roman" w:cs="Times New Roman"/>
          <w:sz w:val="24"/>
          <w:szCs w:val="24"/>
        </w:rPr>
        <w:t xml:space="preserve">obowiązujące rekomendacje KNF. </w:t>
      </w:r>
    </w:p>
    <w:p w14:paraId="7F4E0046" w14:textId="433CAAAD" w:rsidR="00B32169" w:rsidRPr="00205E56" w:rsidRDefault="00B32169"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lastRenderedPageBreak/>
        <w:t>Do dnia 13 stycznia 2018 r. Komisja opracuje przyjazną dla użytkownika elektroniczną broszurę, w której wymienione zostaną, w sposób jasny i łatwo zrozumiały, prawa konsumentów wynikające z dyrektywy PSD2 oraz powiązanego prawa Unii. Komisja, EUNB i KNF zobowiązane są udostępnić broszurę – w łatwo dostępny sposób – na swoich odpowiednich stronach internetowych. Dostawcy usług płatniczych również będą zobowiązan</w:t>
      </w:r>
      <w:r w:rsidR="008D2DBD">
        <w:rPr>
          <w:rFonts w:ascii="Times New Roman" w:hAnsi="Times New Roman" w:cs="Times New Roman"/>
          <w:sz w:val="24"/>
          <w:szCs w:val="24"/>
        </w:rPr>
        <w:t>i</w:t>
      </w:r>
      <w:r w:rsidRPr="00205E56">
        <w:rPr>
          <w:rFonts w:ascii="Times New Roman" w:hAnsi="Times New Roman" w:cs="Times New Roman"/>
          <w:sz w:val="24"/>
          <w:szCs w:val="24"/>
        </w:rPr>
        <w:t xml:space="preserve"> zapewnić udostępnienie broszury – w łatwo dostępny sposób – na swoich stronach internetowych, o ile takowe istni</w:t>
      </w:r>
      <w:r w:rsidR="00DA5D73">
        <w:rPr>
          <w:rFonts w:ascii="Times New Roman" w:hAnsi="Times New Roman" w:cs="Times New Roman"/>
          <w:sz w:val="24"/>
          <w:szCs w:val="24"/>
        </w:rPr>
        <w:t>eją, oraz w wersji papierowej w </w:t>
      </w:r>
      <w:r w:rsidRPr="00205E56">
        <w:rPr>
          <w:rFonts w:ascii="Times New Roman" w:hAnsi="Times New Roman" w:cs="Times New Roman"/>
          <w:sz w:val="24"/>
          <w:szCs w:val="24"/>
        </w:rPr>
        <w:t>swoich oddziałach, u swoich agentów i podmiotów świadczących usługi w ramach outsourcingu, bez pobierania opłat od klientów za udostępnienie tej broszury.</w:t>
      </w:r>
    </w:p>
    <w:p w14:paraId="249FAA2F" w14:textId="24BAA977" w:rsidR="005C7A75" w:rsidRPr="00205E56" w:rsidRDefault="005C7A75"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W </w:t>
      </w:r>
      <w:r w:rsidRPr="00205E56">
        <w:rPr>
          <w:rFonts w:ascii="Times New Roman" w:hAnsi="Times New Roman" w:cs="Times New Roman"/>
          <w:b/>
          <w:sz w:val="24"/>
          <w:szCs w:val="24"/>
        </w:rPr>
        <w:t xml:space="preserve">art. </w:t>
      </w:r>
      <w:r w:rsidR="006E5D86" w:rsidRPr="00205E56">
        <w:rPr>
          <w:rFonts w:ascii="Times New Roman" w:hAnsi="Times New Roman" w:cs="Times New Roman"/>
          <w:b/>
          <w:sz w:val="24"/>
          <w:szCs w:val="24"/>
        </w:rPr>
        <w:t>22</w:t>
      </w:r>
      <w:r w:rsidRPr="00205E56">
        <w:rPr>
          <w:rFonts w:ascii="Times New Roman" w:hAnsi="Times New Roman" w:cs="Times New Roman"/>
          <w:sz w:val="24"/>
          <w:szCs w:val="24"/>
        </w:rPr>
        <w:t xml:space="preserve"> </w:t>
      </w:r>
      <w:r w:rsidRPr="00205E56">
        <w:rPr>
          <w:rFonts w:ascii="Times New Roman" w:hAnsi="Times New Roman" w:cs="Times New Roman"/>
          <w:b/>
          <w:sz w:val="24"/>
          <w:szCs w:val="24"/>
        </w:rPr>
        <w:t>projektu</w:t>
      </w:r>
      <w:r w:rsidRPr="00205E56">
        <w:rPr>
          <w:rFonts w:ascii="Times New Roman" w:hAnsi="Times New Roman" w:cs="Times New Roman"/>
          <w:sz w:val="24"/>
          <w:szCs w:val="24"/>
        </w:rPr>
        <w:t xml:space="preserve"> przewidziano, że ustawa wejdzie w życie </w:t>
      </w:r>
      <w:r w:rsidR="006E5D86" w:rsidRPr="00205E56">
        <w:rPr>
          <w:rFonts w:ascii="Times New Roman" w:hAnsi="Times New Roman" w:cs="Times New Roman"/>
          <w:sz w:val="24"/>
          <w:szCs w:val="24"/>
        </w:rPr>
        <w:t>po upływie 14 dni od dnia ogłoszenia</w:t>
      </w:r>
      <w:r w:rsidRPr="00205E56">
        <w:rPr>
          <w:rFonts w:ascii="Times New Roman" w:hAnsi="Times New Roman" w:cs="Times New Roman"/>
          <w:sz w:val="24"/>
          <w:szCs w:val="24"/>
        </w:rPr>
        <w:t>.</w:t>
      </w:r>
      <w:r w:rsidR="00D07BEB" w:rsidRPr="00205E56">
        <w:rPr>
          <w:rFonts w:ascii="Times New Roman" w:hAnsi="Times New Roman" w:cs="Times New Roman"/>
          <w:sz w:val="24"/>
          <w:szCs w:val="24"/>
        </w:rPr>
        <w:t xml:space="preserve"> </w:t>
      </w:r>
    </w:p>
    <w:p w14:paraId="0848B896" w14:textId="06FCA38C" w:rsidR="002B1CD7" w:rsidRDefault="002B1CD7" w:rsidP="00D14A5F">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ustawy będzie miał pozytywny wpływ na działalność </w:t>
      </w:r>
      <w:proofErr w:type="spellStart"/>
      <w:r>
        <w:rPr>
          <w:rFonts w:ascii="Times New Roman" w:hAnsi="Times New Roman" w:cs="Times New Roman"/>
          <w:sz w:val="24"/>
          <w:szCs w:val="24"/>
        </w:rPr>
        <w:t>mikroprz</w:t>
      </w:r>
      <w:r w:rsidR="00A8189C">
        <w:rPr>
          <w:rFonts w:ascii="Times New Roman" w:hAnsi="Times New Roman" w:cs="Times New Roman"/>
          <w:sz w:val="24"/>
          <w:szCs w:val="24"/>
        </w:rPr>
        <w:t>ę</w:t>
      </w:r>
      <w:r>
        <w:rPr>
          <w:rFonts w:ascii="Times New Roman" w:hAnsi="Times New Roman" w:cs="Times New Roman"/>
          <w:sz w:val="24"/>
          <w:szCs w:val="24"/>
        </w:rPr>
        <w:t>dsiębiorców</w:t>
      </w:r>
      <w:proofErr w:type="spellEnd"/>
      <w:r>
        <w:rPr>
          <w:rFonts w:ascii="Times New Roman" w:hAnsi="Times New Roman" w:cs="Times New Roman"/>
          <w:sz w:val="24"/>
          <w:szCs w:val="24"/>
        </w:rPr>
        <w:t xml:space="preserve"> o</w:t>
      </w:r>
      <w:r w:rsidR="00A8189C">
        <w:rPr>
          <w:rFonts w:ascii="Times New Roman" w:hAnsi="Times New Roman" w:cs="Times New Roman"/>
          <w:sz w:val="24"/>
          <w:szCs w:val="24"/>
        </w:rPr>
        <w:t>r</w:t>
      </w:r>
      <w:r>
        <w:rPr>
          <w:rFonts w:ascii="Times New Roman" w:hAnsi="Times New Roman" w:cs="Times New Roman"/>
          <w:sz w:val="24"/>
          <w:szCs w:val="24"/>
        </w:rPr>
        <w:t>az małych i średnich przedsiębiorców. Szereg projektowanych przepisów, w tym</w:t>
      </w:r>
      <w:r w:rsidR="00A8189C">
        <w:rPr>
          <w:rFonts w:ascii="Times New Roman" w:hAnsi="Times New Roman" w:cs="Times New Roman"/>
          <w:sz w:val="24"/>
          <w:szCs w:val="24"/>
        </w:rPr>
        <w:t xml:space="preserve"> </w:t>
      </w:r>
      <w:r>
        <w:rPr>
          <w:rFonts w:ascii="Times New Roman" w:hAnsi="Times New Roman" w:cs="Times New Roman"/>
          <w:sz w:val="24"/>
          <w:szCs w:val="24"/>
        </w:rPr>
        <w:t>w</w:t>
      </w:r>
      <w:r w:rsidR="00A8189C">
        <w:rPr>
          <w:rFonts w:ascii="Times New Roman" w:hAnsi="Times New Roman" w:cs="Times New Roman"/>
          <w:sz w:val="24"/>
          <w:szCs w:val="24"/>
        </w:rPr>
        <w:t> </w:t>
      </w:r>
      <w:r>
        <w:rPr>
          <w:rFonts w:ascii="Times New Roman" w:hAnsi="Times New Roman" w:cs="Times New Roman"/>
          <w:sz w:val="24"/>
          <w:szCs w:val="24"/>
        </w:rPr>
        <w:t>szczególności dotyczących małej instytucji płatniczej, skierowan</w:t>
      </w:r>
      <w:r w:rsidR="00BF3AB9">
        <w:rPr>
          <w:rFonts w:ascii="Times New Roman" w:hAnsi="Times New Roman" w:cs="Times New Roman"/>
          <w:sz w:val="24"/>
          <w:szCs w:val="24"/>
        </w:rPr>
        <w:t>ych</w:t>
      </w:r>
      <w:r>
        <w:rPr>
          <w:rFonts w:ascii="Times New Roman" w:hAnsi="Times New Roman" w:cs="Times New Roman"/>
          <w:sz w:val="24"/>
          <w:szCs w:val="24"/>
        </w:rPr>
        <w:t xml:space="preserve"> jest przede wszystkim do przedsiębiorców tego sektora. Mała Instytucja Płatnicza (MIP), będzie mogła świadczyć takie usługi jak prowadzenie rachunków, czy wydawanie instrumentów płatniczych – ale tylko w granicach Polski, czyli bez paszportu jednolitego i w limitach obrotu miesięcznego – 1,5 mln euro, w op</w:t>
      </w:r>
      <w:r w:rsidR="00A8189C">
        <w:rPr>
          <w:rFonts w:ascii="Times New Roman" w:hAnsi="Times New Roman" w:cs="Times New Roman"/>
          <w:sz w:val="24"/>
          <w:szCs w:val="24"/>
        </w:rPr>
        <w:t>a</w:t>
      </w:r>
      <w:r>
        <w:rPr>
          <w:rFonts w:ascii="Times New Roman" w:hAnsi="Times New Roman" w:cs="Times New Roman"/>
          <w:sz w:val="24"/>
          <w:szCs w:val="24"/>
        </w:rPr>
        <w:t>rciu o uproszczone, odformalizowane i szybkie postępowanie rejestrowe przed Komisją Nadzoru Finansowego. Takie rozwiązanie ma umożliwić św</w:t>
      </w:r>
      <w:r w:rsidR="00A8189C">
        <w:rPr>
          <w:rFonts w:ascii="Times New Roman" w:hAnsi="Times New Roman" w:cs="Times New Roman"/>
          <w:sz w:val="24"/>
          <w:szCs w:val="24"/>
        </w:rPr>
        <w:t>i</w:t>
      </w:r>
      <w:r>
        <w:rPr>
          <w:rFonts w:ascii="Times New Roman" w:hAnsi="Times New Roman" w:cs="Times New Roman"/>
          <w:sz w:val="24"/>
          <w:szCs w:val="24"/>
        </w:rPr>
        <w:t>adczenie usług płatniczyc</w:t>
      </w:r>
      <w:r w:rsidR="00A8189C">
        <w:rPr>
          <w:rFonts w:ascii="Times New Roman" w:hAnsi="Times New Roman" w:cs="Times New Roman"/>
          <w:sz w:val="24"/>
          <w:szCs w:val="24"/>
        </w:rPr>
        <w:t>h w ograniczonej skali, w szczególności właśnie mikro</w:t>
      </w:r>
      <w:r w:rsidR="00BF3AB9">
        <w:rPr>
          <w:rFonts w:ascii="Times New Roman" w:hAnsi="Times New Roman" w:cs="Times New Roman"/>
          <w:sz w:val="24"/>
          <w:szCs w:val="24"/>
        </w:rPr>
        <w:t>-</w:t>
      </w:r>
      <w:r w:rsidR="00A8189C">
        <w:rPr>
          <w:rFonts w:ascii="Times New Roman" w:hAnsi="Times New Roman" w:cs="Times New Roman"/>
          <w:sz w:val="24"/>
          <w:szCs w:val="24"/>
        </w:rPr>
        <w:t>, małym i średnim przedsiębiorcom. Po tym jak MIP rozwinie swoją działalność, będzie jej łatwiej uzyskać pełną licencję, ponieważ firma będzie już posiadała doświadczenie i sprawdzony produkt. Proponowane zmiany w sposób istotny przyczynią się do rozwoju i tworzenia nowych firm w obszarze MŚP.</w:t>
      </w:r>
    </w:p>
    <w:p w14:paraId="5A5A309F" w14:textId="3DB7159B" w:rsidR="007E2D91" w:rsidRPr="00205E56" w:rsidRDefault="007E2D91"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Zawarte w projekcie regulacje nie stanowią przepisów technicznych w rozumieniu rozporządzenia Rady Ministrów z dnia 23 grudnia 2002 r. w sprawie sposobu funkcjonowania krajowego systemu notyfikacji nor</w:t>
      </w:r>
      <w:r w:rsidR="00DA5D73">
        <w:rPr>
          <w:rFonts w:ascii="Times New Roman" w:hAnsi="Times New Roman" w:cs="Times New Roman"/>
          <w:sz w:val="24"/>
          <w:szCs w:val="24"/>
        </w:rPr>
        <w:t>m i aktów prawnych (Dz. U. poz. </w:t>
      </w:r>
      <w:r w:rsidRPr="00205E56">
        <w:rPr>
          <w:rFonts w:ascii="Times New Roman" w:hAnsi="Times New Roman" w:cs="Times New Roman"/>
          <w:sz w:val="24"/>
          <w:szCs w:val="24"/>
        </w:rPr>
        <w:t>2039 oraz z 2004 r. poz. 597), dlatego też projekt nie podlega procedurze notyfikacji.</w:t>
      </w:r>
    </w:p>
    <w:p w14:paraId="5108319B" w14:textId="326A568E" w:rsidR="00B06780" w:rsidRPr="00205E56" w:rsidRDefault="003125C3"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Projekt u</w:t>
      </w:r>
      <w:r w:rsidR="00B06780" w:rsidRPr="00205E56">
        <w:rPr>
          <w:rFonts w:ascii="Times New Roman" w:hAnsi="Times New Roman" w:cs="Times New Roman"/>
          <w:sz w:val="24"/>
          <w:szCs w:val="24"/>
        </w:rPr>
        <w:t>staw</w:t>
      </w:r>
      <w:r w:rsidRPr="00205E56">
        <w:rPr>
          <w:rFonts w:ascii="Times New Roman" w:hAnsi="Times New Roman" w:cs="Times New Roman"/>
          <w:sz w:val="24"/>
          <w:szCs w:val="24"/>
        </w:rPr>
        <w:t>y</w:t>
      </w:r>
      <w:r w:rsidR="00B06780" w:rsidRPr="00205E56">
        <w:rPr>
          <w:rFonts w:ascii="Times New Roman" w:hAnsi="Times New Roman" w:cs="Times New Roman"/>
          <w:sz w:val="24"/>
          <w:szCs w:val="24"/>
        </w:rPr>
        <w:t xml:space="preserve"> nie wymaga przedstawi</w:t>
      </w:r>
      <w:r w:rsidRPr="00205E56">
        <w:rPr>
          <w:rFonts w:ascii="Times New Roman" w:hAnsi="Times New Roman" w:cs="Times New Roman"/>
          <w:sz w:val="24"/>
          <w:szCs w:val="24"/>
        </w:rPr>
        <w:t>e</w:t>
      </w:r>
      <w:r w:rsidR="00B06780" w:rsidRPr="00205E56">
        <w:rPr>
          <w:rFonts w:ascii="Times New Roman" w:hAnsi="Times New Roman" w:cs="Times New Roman"/>
          <w:sz w:val="24"/>
          <w:szCs w:val="24"/>
        </w:rPr>
        <w:t xml:space="preserve">nia </w:t>
      </w:r>
      <w:r w:rsidRPr="00205E56">
        <w:rPr>
          <w:rFonts w:ascii="Times New Roman" w:hAnsi="Times New Roman" w:cs="Times New Roman"/>
          <w:sz w:val="24"/>
          <w:szCs w:val="24"/>
        </w:rPr>
        <w:t>jej</w:t>
      </w:r>
      <w:r w:rsidR="00B06780" w:rsidRPr="00205E56">
        <w:rPr>
          <w:rFonts w:ascii="Times New Roman" w:hAnsi="Times New Roman" w:cs="Times New Roman"/>
          <w:sz w:val="24"/>
          <w:szCs w:val="24"/>
        </w:rPr>
        <w:t xml:space="preserve"> organom i instytucjom Unii Europejskiej w celu uzyskania opinii, dokonania powiadomienia, </w:t>
      </w:r>
      <w:r w:rsidR="00DA5D73">
        <w:rPr>
          <w:rFonts w:ascii="Times New Roman" w:hAnsi="Times New Roman" w:cs="Times New Roman"/>
          <w:sz w:val="24"/>
          <w:szCs w:val="24"/>
        </w:rPr>
        <w:t xml:space="preserve">konsultacji albo uzgodnienia. </w:t>
      </w:r>
      <w:r w:rsidR="00DA5D73">
        <w:rPr>
          <w:rFonts w:ascii="Times New Roman" w:hAnsi="Times New Roman" w:cs="Times New Roman"/>
          <w:sz w:val="24"/>
          <w:szCs w:val="24"/>
        </w:rPr>
        <w:lastRenderedPageBreak/>
        <w:t>W </w:t>
      </w:r>
      <w:r w:rsidR="00B06780" w:rsidRPr="00205E56">
        <w:rPr>
          <w:rFonts w:ascii="Times New Roman" w:hAnsi="Times New Roman" w:cs="Times New Roman"/>
          <w:sz w:val="24"/>
          <w:szCs w:val="24"/>
        </w:rPr>
        <w:t xml:space="preserve">szczególności regulacja nie mieści się w zakresie przedmiotowym zagadnień podlegających konsultacjom z Europejskim Bankiem Centralnym, zgodnie z art. 2 ust. 1 decyzji Rady 98/415/WE z dnia 29 czerwca 1998 r. w sprawie konsultacji Europejskiego Banku Centralnego udzielanych władzom krajowym w sprawie projektów przepisów prawnych (Dz. Urz. UE L 189 z </w:t>
      </w:r>
      <w:r w:rsidR="008D2DBD">
        <w:rPr>
          <w:rFonts w:ascii="Times New Roman" w:hAnsi="Times New Roman" w:cs="Times New Roman"/>
          <w:sz w:val="24"/>
          <w:szCs w:val="24"/>
        </w:rPr>
        <w:t>0</w:t>
      </w:r>
      <w:r w:rsidR="00B06780" w:rsidRPr="00205E56">
        <w:rPr>
          <w:rFonts w:ascii="Times New Roman" w:hAnsi="Times New Roman" w:cs="Times New Roman"/>
          <w:sz w:val="24"/>
          <w:szCs w:val="24"/>
        </w:rPr>
        <w:t>3.</w:t>
      </w:r>
      <w:r w:rsidR="008D2DBD">
        <w:rPr>
          <w:rFonts w:ascii="Times New Roman" w:hAnsi="Times New Roman" w:cs="Times New Roman"/>
          <w:sz w:val="24"/>
          <w:szCs w:val="24"/>
        </w:rPr>
        <w:t>0</w:t>
      </w:r>
      <w:r w:rsidR="00B06780" w:rsidRPr="00205E56">
        <w:rPr>
          <w:rFonts w:ascii="Times New Roman" w:hAnsi="Times New Roman" w:cs="Times New Roman"/>
          <w:sz w:val="24"/>
          <w:szCs w:val="24"/>
        </w:rPr>
        <w:t>7.1998, s</w:t>
      </w:r>
      <w:r w:rsidR="008D2DBD">
        <w:rPr>
          <w:rFonts w:ascii="Times New Roman" w:hAnsi="Times New Roman" w:cs="Times New Roman"/>
          <w:sz w:val="24"/>
          <w:szCs w:val="24"/>
        </w:rPr>
        <w:t>tr</w:t>
      </w:r>
      <w:r w:rsidR="00B06780" w:rsidRPr="00205E56">
        <w:rPr>
          <w:rFonts w:ascii="Times New Roman" w:hAnsi="Times New Roman" w:cs="Times New Roman"/>
          <w:sz w:val="24"/>
          <w:szCs w:val="24"/>
        </w:rPr>
        <w:t>. 42).</w:t>
      </w:r>
    </w:p>
    <w:p w14:paraId="0E64ED99" w14:textId="2BE4BDDF" w:rsidR="007E2D91" w:rsidRPr="00205E56" w:rsidRDefault="007E2D91" w:rsidP="00D14A5F">
      <w:pPr>
        <w:spacing w:before="120" w:after="0" w:line="360" w:lineRule="auto"/>
        <w:jc w:val="both"/>
        <w:rPr>
          <w:rFonts w:ascii="Times New Roman" w:hAnsi="Times New Roman" w:cs="Times New Roman"/>
          <w:sz w:val="24"/>
          <w:szCs w:val="24"/>
        </w:rPr>
      </w:pPr>
      <w:r w:rsidRPr="00205E56">
        <w:rPr>
          <w:rFonts w:ascii="Times New Roman" w:hAnsi="Times New Roman" w:cs="Times New Roman"/>
          <w:sz w:val="24"/>
          <w:szCs w:val="24"/>
        </w:rPr>
        <w:t xml:space="preserve">Stosownie do art. 4 ustawy z dnia 7 lipca 2005 r. o działalności lobbingowej w procesie stanowienia prawa (Dz. U. </w:t>
      </w:r>
      <w:r w:rsidR="001252C4" w:rsidRPr="00205E56">
        <w:rPr>
          <w:rFonts w:ascii="Times New Roman" w:hAnsi="Times New Roman" w:cs="Times New Roman"/>
          <w:sz w:val="24"/>
          <w:szCs w:val="24"/>
        </w:rPr>
        <w:t xml:space="preserve">z 2017 r. </w:t>
      </w:r>
      <w:r w:rsidRPr="00205E56">
        <w:rPr>
          <w:rFonts w:ascii="Times New Roman" w:hAnsi="Times New Roman" w:cs="Times New Roman"/>
          <w:sz w:val="24"/>
          <w:szCs w:val="24"/>
        </w:rPr>
        <w:t xml:space="preserve">poz. </w:t>
      </w:r>
      <w:r w:rsidR="001252C4" w:rsidRPr="00205E56">
        <w:rPr>
          <w:rFonts w:ascii="Times New Roman" w:hAnsi="Times New Roman" w:cs="Times New Roman"/>
          <w:sz w:val="24"/>
          <w:szCs w:val="24"/>
        </w:rPr>
        <w:t>248</w:t>
      </w:r>
      <w:r w:rsidRPr="00205E56">
        <w:rPr>
          <w:rFonts w:ascii="Times New Roman" w:hAnsi="Times New Roman" w:cs="Times New Roman"/>
          <w:sz w:val="24"/>
          <w:szCs w:val="24"/>
        </w:rPr>
        <w:t>) projekt został zamieszczony w wykazie prac legislacyjnych Rady Ministrów.</w:t>
      </w:r>
      <w:r w:rsidR="006A22E4" w:rsidRPr="00205E56">
        <w:rPr>
          <w:rFonts w:ascii="Times New Roman" w:hAnsi="Times New Roman" w:cs="Times New Roman"/>
          <w:sz w:val="24"/>
          <w:szCs w:val="24"/>
        </w:rPr>
        <w:t xml:space="preserve"> </w:t>
      </w:r>
      <w:r w:rsidRPr="00205E56">
        <w:rPr>
          <w:rFonts w:ascii="Times New Roman" w:hAnsi="Times New Roman" w:cs="Times New Roman"/>
          <w:sz w:val="24"/>
          <w:szCs w:val="24"/>
        </w:rPr>
        <w:t>Zgodnie z art. 5 ustawy z dnia</w:t>
      </w:r>
      <w:r w:rsidR="00DA5D73">
        <w:rPr>
          <w:rFonts w:ascii="Times New Roman" w:hAnsi="Times New Roman" w:cs="Times New Roman"/>
          <w:sz w:val="24"/>
          <w:szCs w:val="24"/>
        </w:rPr>
        <w:t xml:space="preserve"> 7 lipca 2005 r. o </w:t>
      </w:r>
      <w:r w:rsidRPr="00205E56">
        <w:rPr>
          <w:rFonts w:ascii="Times New Roman" w:hAnsi="Times New Roman" w:cs="Times New Roman"/>
          <w:sz w:val="24"/>
          <w:szCs w:val="24"/>
        </w:rPr>
        <w:t xml:space="preserve">działalności lobbingowej w procesie stanowienia prawa, w związku z art. § 52 uchwały </w:t>
      </w:r>
      <w:r w:rsidR="008D2DBD">
        <w:rPr>
          <w:rFonts w:ascii="Times New Roman" w:hAnsi="Times New Roman" w:cs="Times New Roman"/>
          <w:sz w:val="24"/>
          <w:szCs w:val="24"/>
        </w:rPr>
        <w:t>n</w:t>
      </w:r>
      <w:r w:rsidRPr="00205E56">
        <w:rPr>
          <w:rFonts w:ascii="Times New Roman" w:hAnsi="Times New Roman" w:cs="Times New Roman"/>
          <w:sz w:val="24"/>
          <w:szCs w:val="24"/>
        </w:rPr>
        <w:t>r 190 Rady Ministrów z dnia 29 października 2013 r. – Reg</w:t>
      </w:r>
      <w:r w:rsidR="00DA5D73">
        <w:rPr>
          <w:rFonts w:ascii="Times New Roman" w:hAnsi="Times New Roman" w:cs="Times New Roman"/>
          <w:sz w:val="24"/>
          <w:szCs w:val="24"/>
        </w:rPr>
        <w:t>ulamin pracy Rady Ministrów (M.</w:t>
      </w:r>
      <w:r w:rsidRPr="00205E56">
        <w:rPr>
          <w:rFonts w:ascii="Times New Roman" w:hAnsi="Times New Roman" w:cs="Times New Roman"/>
          <w:sz w:val="24"/>
          <w:szCs w:val="24"/>
        </w:rPr>
        <w:t xml:space="preserve">P. </w:t>
      </w:r>
      <w:r w:rsidR="00F86C41" w:rsidRPr="00205E56">
        <w:rPr>
          <w:rFonts w:ascii="Times New Roman" w:hAnsi="Times New Roman" w:cs="Times New Roman"/>
          <w:sz w:val="24"/>
          <w:szCs w:val="24"/>
        </w:rPr>
        <w:t>z 2016 r. poz. 1006 i 1204</w:t>
      </w:r>
      <w:r w:rsidRPr="00205E56">
        <w:rPr>
          <w:rFonts w:ascii="Times New Roman" w:hAnsi="Times New Roman" w:cs="Times New Roman"/>
          <w:sz w:val="24"/>
          <w:szCs w:val="24"/>
        </w:rPr>
        <w:t>)</w:t>
      </w:r>
      <w:r w:rsidR="00DA5D73">
        <w:rPr>
          <w:rFonts w:ascii="Times New Roman" w:hAnsi="Times New Roman" w:cs="Times New Roman"/>
          <w:sz w:val="24"/>
          <w:szCs w:val="24"/>
        </w:rPr>
        <w:t>, projekt został udostępniony w </w:t>
      </w:r>
      <w:r w:rsidRPr="00205E56">
        <w:rPr>
          <w:rFonts w:ascii="Times New Roman" w:hAnsi="Times New Roman" w:cs="Times New Roman"/>
          <w:sz w:val="24"/>
          <w:szCs w:val="24"/>
        </w:rPr>
        <w:t xml:space="preserve">Biuletynie Informacji Publicznej na stronie podmiotowej Rządowego Centrum Legislacji, w serwisie Rządowy Proces Legislacyjny. </w:t>
      </w:r>
      <w:r w:rsidR="00E04360" w:rsidRPr="00205E56">
        <w:rPr>
          <w:rFonts w:ascii="Times New Roman" w:hAnsi="Times New Roman" w:cs="Times New Roman"/>
          <w:sz w:val="24"/>
          <w:szCs w:val="24"/>
        </w:rPr>
        <w:t xml:space="preserve">W trybie działalności lobbingowej uwagi zgłosił </w:t>
      </w:r>
      <w:r w:rsidR="000251F0" w:rsidRPr="00205E56">
        <w:rPr>
          <w:rFonts w:ascii="Times New Roman" w:hAnsi="Times New Roman" w:cs="Times New Roman"/>
          <w:sz w:val="24"/>
          <w:szCs w:val="24"/>
        </w:rPr>
        <w:t>Grabowski i Wspólnicy Kancelaria Radców Prawnych sp. k.</w:t>
      </w:r>
    </w:p>
    <w:p w14:paraId="1C8D6ED3" w14:textId="7DAD6459" w:rsidR="00DA5D73" w:rsidRPr="00DA5D73" w:rsidRDefault="003C6DC0" w:rsidP="00D14A5F">
      <w:pPr>
        <w:spacing w:before="120" w:after="0" w:line="360" w:lineRule="auto"/>
        <w:jc w:val="both"/>
        <w:rPr>
          <w:rFonts w:ascii="Times New Roman" w:hAnsi="Times New Roman" w:cs="Times New Roman"/>
          <w:sz w:val="20"/>
          <w:szCs w:val="20"/>
        </w:rPr>
      </w:pPr>
      <w:r w:rsidRPr="00205E56">
        <w:rPr>
          <w:rFonts w:ascii="Times New Roman" w:hAnsi="Times New Roman" w:cs="Times New Roman"/>
          <w:sz w:val="24"/>
          <w:szCs w:val="24"/>
        </w:rPr>
        <w:t>Projekt jest zgodny z prawem Unii Europejskiej.</w:t>
      </w:r>
    </w:p>
    <w:sectPr w:rsidR="00DA5D73" w:rsidRPr="00DA5D73" w:rsidSect="00D14A5F">
      <w:footerReference w:type="default" r:id="rId11"/>
      <w:pgSz w:w="11906" w:h="16838" w:code="9"/>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CE7E6" w14:textId="77777777" w:rsidR="001525DC" w:rsidRDefault="001525DC" w:rsidP="002F4D99">
      <w:pPr>
        <w:spacing w:after="0" w:line="240" w:lineRule="auto"/>
      </w:pPr>
      <w:r>
        <w:separator/>
      </w:r>
    </w:p>
  </w:endnote>
  <w:endnote w:type="continuationSeparator" w:id="0">
    <w:p w14:paraId="64C9B4D0" w14:textId="77777777" w:rsidR="001525DC" w:rsidRDefault="001525DC" w:rsidP="002F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542218"/>
      <w:docPartObj>
        <w:docPartGallery w:val="Page Numbers (Bottom of Page)"/>
        <w:docPartUnique/>
      </w:docPartObj>
    </w:sdtPr>
    <w:sdtEndPr>
      <w:rPr>
        <w:rFonts w:ascii="Times New Roman" w:hAnsi="Times New Roman" w:cs="Times New Roman"/>
        <w:sz w:val="24"/>
        <w:szCs w:val="24"/>
      </w:rPr>
    </w:sdtEndPr>
    <w:sdtContent>
      <w:p w14:paraId="16994C13" w14:textId="130805D7" w:rsidR="001525DC" w:rsidRPr="00205E56" w:rsidRDefault="001525DC" w:rsidP="00205E56">
        <w:pPr>
          <w:pStyle w:val="Stopka"/>
          <w:jc w:val="center"/>
          <w:rPr>
            <w:rFonts w:ascii="Times New Roman" w:hAnsi="Times New Roman" w:cs="Times New Roman"/>
            <w:sz w:val="24"/>
            <w:szCs w:val="24"/>
          </w:rPr>
        </w:pPr>
        <w:r w:rsidRPr="00205E56">
          <w:rPr>
            <w:rFonts w:ascii="Times New Roman" w:hAnsi="Times New Roman" w:cs="Times New Roman"/>
            <w:sz w:val="24"/>
            <w:szCs w:val="24"/>
          </w:rPr>
          <w:fldChar w:fldCharType="begin"/>
        </w:r>
        <w:r w:rsidRPr="00205E56">
          <w:rPr>
            <w:rFonts w:ascii="Times New Roman" w:hAnsi="Times New Roman" w:cs="Times New Roman"/>
            <w:sz w:val="24"/>
            <w:szCs w:val="24"/>
          </w:rPr>
          <w:instrText>PAGE   \* MERGEFORMAT</w:instrText>
        </w:r>
        <w:r w:rsidRPr="00205E56">
          <w:rPr>
            <w:rFonts w:ascii="Times New Roman" w:hAnsi="Times New Roman" w:cs="Times New Roman"/>
            <w:sz w:val="24"/>
            <w:szCs w:val="24"/>
          </w:rPr>
          <w:fldChar w:fldCharType="separate"/>
        </w:r>
        <w:r w:rsidR="0079468A">
          <w:rPr>
            <w:rFonts w:ascii="Times New Roman" w:hAnsi="Times New Roman" w:cs="Times New Roman"/>
            <w:noProof/>
            <w:sz w:val="24"/>
            <w:szCs w:val="24"/>
          </w:rPr>
          <w:t>46</w:t>
        </w:r>
        <w:r w:rsidRPr="00205E5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E2BC8" w14:textId="77777777" w:rsidR="001525DC" w:rsidRDefault="001525DC" w:rsidP="002F4D99">
      <w:pPr>
        <w:spacing w:after="0" w:line="240" w:lineRule="auto"/>
      </w:pPr>
      <w:r>
        <w:separator/>
      </w:r>
    </w:p>
  </w:footnote>
  <w:footnote w:type="continuationSeparator" w:id="0">
    <w:p w14:paraId="704B7BF5" w14:textId="77777777" w:rsidR="001525DC" w:rsidRDefault="001525DC" w:rsidP="002F4D99">
      <w:pPr>
        <w:spacing w:after="0" w:line="240" w:lineRule="auto"/>
      </w:pPr>
      <w:r>
        <w:continuationSeparator/>
      </w:r>
    </w:p>
  </w:footnote>
  <w:footnote w:id="1">
    <w:p w14:paraId="63933F39" w14:textId="6EC201A4" w:rsidR="001525DC" w:rsidRPr="00D14A5F" w:rsidRDefault="001525DC" w:rsidP="00D14A5F">
      <w:pPr>
        <w:pStyle w:val="Tekstprzypisudolnego"/>
        <w:ind w:left="284" w:hanging="284"/>
        <w:jc w:val="both"/>
        <w:rPr>
          <w:rFonts w:ascii="Times New Roman" w:hAnsi="Times New Roman" w:cs="Times New Roman"/>
        </w:rPr>
      </w:pPr>
      <w:r w:rsidRPr="00D14A5F">
        <w:rPr>
          <w:rStyle w:val="Odwoanieprzypisudolnego"/>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vertAlign w:val="superscript"/>
        </w:rPr>
        <w:tab/>
      </w:r>
      <w:r w:rsidRPr="00D14A5F">
        <w:rPr>
          <w:rFonts w:ascii="Times New Roman" w:hAnsi="Times New Roman" w:cs="Times New Roman"/>
        </w:rPr>
        <w:t>wyrok TSUE z dnia 5 lipca 2012 r. w sprawie C-49/11</w:t>
      </w:r>
      <w:r w:rsidR="002438BA">
        <w:rPr>
          <w:rFonts w:ascii="Times New Roman" w:hAnsi="Times New Roman" w:cs="Times New Roman"/>
        </w:rPr>
        <w:t>,</w:t>
      </w:r>
    </w:p>
    <w:p w14:paraId="22ED4BD2" w14:textId="23C5F295" w:rsidR="001525DC" w:rsidRPr="00D14A5F" w:rsidRDefault="001525DC" w:rsidP="00D14A5F">
      <w:pPr>
        <w:pStyle w:val="Tekstprzypisudolnego"/>
        <w:ind w:left="284"/>
        <w:jc w:val="both"/>
        <w:rPr>
          <w:rFonts w:ascii="Times New Roman" w:hAnsi="Times New Roman" w:cs="Times New Roman"/>
        </w:rPr>
      </w:pPr>
      <w:r w:rsidRPr="00D14A5F">
        <w:rPr>
          <w:rFonts w:ascii="Times New Roman" w:hAnsi="Times New Roman" w:cs="Times New Roman"/>
        </w:rPr>
        <w:t>wyrok TSUE z dnia 25 stycznia 2017 r. w sprawie C</w:t>
      </w:r>
      <w:r w:rsidRPr="00D14A5F">
        <w:rPr>
          <w:rFonts w:ascii="MS Mincho" w:eastAsia="MS Mincho" w:hAnsi="MS Mincho" w:cs="MS Mincho" w:hint="eastAsia"/>
        </w:rPr>
        <w:t>‑</w:t>
      </w:r>
      <w:r w:rsidRPr="00D14A5F">
        <w:rPr>
          <w:rFonts w:ascii="Times New Roman" w:hAnsi="Times New Roman" w:cs="Times New Roman"/>
        </w:rPr>
        <w:t>375/15</w:t>
      </w:r>
      <w:r w:rsidR="002438BA">
        <w:rPr>
          <w:rFonts w:ascii="Times New Roman" w:hAnsi="Times New Roman" w:cs="Times New Roman"/>
        </w:rPr>
        <w:t>.</w:t>
      </w:r>
    </w:p>
  </w:footnote>
  <w:footnote w:id="2">
    <w:p w14:paraId="0482702A" w14:textId="081CA1A9" w:rsidR="001525DC" w:rsidRPr="00D14A5F" w:rsidRDefault="001525DC" w:rsidP="00D14A5F">
      <w:pPr>
        <w:pStyle w:val="Tekstprzypisudolnego"/>
        <w:ind w:left="284" w:hanging="284"/>
        <w:jc w:val="both"/>
        <w:rPr>
          <w:rFonts w:ascii="Times New Roman" w:hAnsi="Times New Roman" w:cs="Times New Roman"/>
        </w:rPr>
      </w:pPr>
      <w:r w:rsidRPr="00D14A5F">
        <w:rPr>
          <w:rStyle w:val="Odwoanieprzypisudolnego"/>
          <w:rFonts w:ascii="Times New Roman" w:hAnsi="Times New Roman" w:cs="Times New Roman"/>
        </w:rPr>
        <w:footnoteRef/>
      </w:r>
      <w:r>
        <w:rPr>
          <w:rFonts w:ascii="Times New Roman" w:hAnsi="Times New Roman" w:cs="Times New Roman"/>
          <w:vertAlign w:val="superscript"/>
        </w:rPr>
        <w:t>)</w:t>
      </w:r>
      <w:r>
        <w:rPr>
          <w:rFonts w:ascii="Times New Roman" w:hAnsi="Times New Roman" w:cs="Times New Roman"/>
          <w:vertAlign w:val="superscript"/>
        </w:rPr>
        <w:tab/>
      </w:r>
      <w:r w:rsidRPr="00D14A5F">
        <w:rPr>
          <w:rFonts w:ascii="Times New Roman" w:hAnsi="Times New Roman" w:cs="Times New Roman"/>
        </w:rPr>
        <w:t>decyzja Prezesa UOKiK nr RBG - 2/2017</w:t>
      </w:r>
      <w:r w:rsidR="002438BA">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487A"/>
    <w:multiLevelType w:val="hybridMultilevel"/>
    <w:tmpl w:val="5FBC2DFC"/>
    <w:lvl w:ilvl="0" w:tplc="4D263FF8">
      <w:start w:val="1"/>
      <w:numFmt w:val="bullet"/>
      <w:lvlText w:val=""/>
      <w:lvlJc w:val="left"/>
      <w:pPr>
        <w:ind w:left="643" w:hanging="360"/>
      </w:pPr>
      <w:rPr>
        <w:rFonts w:ascii="Wingdings" w:hAnsi="Wingdings"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1">
    <w:nsid w:val="7BE67D78"/>
    <w:multiLevelType w:val="hybridMultilevel"/>
    <w:tmpl w:val="137E1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DAF"/>
    <w:rsid w:val="0000258D"/>
    <w:rsid w:val="0000544E"/>
    <w:rsid w:val="000059E9"/>
    <w:rsid w:val="00013941"/>
    <w:rsid w:val="00017DD0"/>
    <w:rsid w:val="00021110"/>
    <w:rsid w:val="000251F0"/>
    <w:rsid w:val="00027A9A"/>
    <w:rsid w:val="00031675"/>
    <w:rsid w:val="00031B82"/>
    <w:rsid w:val="00041487"/>
    <w:rsid w:val="00064982"/>
    <w:rsid w:val="00064CB6"/>
    <w:rsid w:val="00066B2A"/>
    <w:rsid w:val="0006714A"/>
    <w:rsid w:val="0007021A"/>
    <w:rsid w:val="0007109F"/>
    <w:rsid w:val="00076D01"/>
    <w:rsid w:val="000808F7"/>
    <w:rsid w:val="000863E4"/>
    <w:rsid w:val="0008784F"/>
    <w:rsid w:val="0009061C"/>
    <w:rsid w:val="000916E4"/>
    <w:rsid w:val="0009723F"/>
    <w:rsid w:val="000B2B46"/>
    <w:rsid w:val="000B417E"/>
    <w:rsid w:val="000D284A"/>
    <w:rsid w:val="000D5856"/>
    <w:rsid w:val="000D782E"/>
    <w:rsid w:val="000F1209"/>
    <w:rsid w:val="000F54AD"/>
    <w:rsid w:val="00106931"/>
    <w:rsid w:val="00115664"/>
    <w:rsid w:val="001252C4"/>
    <w:rsid w:val="00127020"/>
    <w:rsid w:val="00127A6A"/>
    <w:rsid w:val="00133EEA"/>
    <w:rsid w:val="00134FE8"/>
    <w:rsid w:val="0013789F"/>
    <w:rsid w:val="00140779"/>
    <w:rsid w:val="00142D27"/>
    <w:rsid w:val="00150437"/>
    <w:rsid w:val="001525DC"/>
    <w:rsid w:val="00152FB7"/>
    <w:rsid w:val="001544DE"/>
    <w:rsid w:val="001562AA"/>
    <w:rsid w:val="00162491"/>
    <w:rsid w:val="001653E9"/>
    <w:rsid w:val="0016699F"/>
    <w:rsid w:val="00166D3C"/>
    <w:rsid w:val="00174EE0"/>
    <w:rsid w:val="0017777C"/>
    <w:rsid w:val="001820FA"/>
    <w:rsid w:val="001834D2"/>
    <w:rsid w:val="00191AA3"/>
    <w:rsid w:val="001A7581"/>
    <w:rsid w:val="001B6445"/>
    <w:rsid w:val="001C502E"/>
    <w:rsid w:val="001D3336"/>
    <w:rsid w:val="001D6600"/>
    <w:rsid w:val="001D6653"/>
    <w:rsid w:val="001E1EB6"/>
    <w:rsid w:val="001E6BCE"/>
    <w:rsid w:val="001F0C41"/>
    <w:rsid w:val="001F411C"/>
    <w:rsid w:val="001F4919"/>
    <w:rsid w:val="001F7155"/>
    <w:rsid w:val="001F7B39"/>
    <w:rsid w:val="002022E5"/>
    <w:rsid w:val="00204FCF"/>
    <w:rsid w:val="002058E6"/>
    <w:rsid w:val="00205E56"/>
    <w:rsid w:val="00211FEA"/>
    <w:rsid w:val="0021247F"/>
    <w:rsid w:val="00215DB0"/>
    <w:rsid w:val="00221936"/>
    <w:rsid w:val="00221C93"/>
    <w:rsid w:val="00225080"/>
    <w:rsid w:val="002263C6"/>
    <w:rsid w:val="00230489"/>
    <w:rsid w:val="00232F49"/>
    <w:rsid w:val="00236C16"/>
    <w:rsid w:val="00242157"/>
    <w:rsid w:val="002438BA"/>
    <w:rsid w:val="00250100"/>
    <w:rsid w:val="00250C56"/>
    <w:rsid w:val="00251844"/>
    <w:rsid w:val="00252D8B"/>
    <w:rsid w:val="0027228C"/>
    <w:rsid w:val="0027254D"/>
    <w:rsid w:val="00272597"/>
    <w:rsid w:val="00274D8C"/>
    <w:rsid w:val="00285D88"/>
    <w:rsid w:val="002866CA"/>
    <w:rsid w:val="002907A7"/>
    <w:rsid w:val="00291C41"/>
    <w:rsid w:val="00293E34"/>
    <w:rsid w:val="002A3454"/>
    <w:rsid w:val="002A53F4"/>
    <w:rsid w:val="002A5C62"/>
    <w:rsid w:val="002A761E"/>
    <w:rsid w:val="002B1CD7"/>
    <w:rsid w:val="002B3391"/>
    <w:rsid w:val="002B56DD"/>
    <w:rsid w:val="002B779D"/>
    <w:rsid w:val="002C6E44"/>
    <w:rsid w:val="002D1C81"/>
    <w:rsid w:val="002F2C80"/>
    <w:rsid w:val="002F4D99"/>
    <w:rsid w:val="002F74C4"/>
    <w:rsid w:val="00310523"/>
    <w:rsid w:val="00310E0F"/>
    <w:rsid w:val="003125C3"/>
    <w:rsid w:val="00315A45"/>
    <w:rsid w:val="00316B25"/>
    <w:rsid w:val="00320866"/>
    <w:rsid w:val="003262EB"/>
    <w:rsid w:val="00327843"/>
    <w:rsid w:val="003304AA"/>
    <w:rsid w:val="003307D4"/>
    <w:rsid w:val="0033391D"/>
    <w:rsid w:val="00333F55"/>
    <w:rsid w:val="00335563"/>
    <w:rsid w:val="003405E0"/>
    <w:rsid w:val="00341FA9"/>
    <w:rsid w:val="003454B3"/>
    <w:rsid w:val="00350187"/>
    <w:rsid w:val="00350C71"/>
    <w:rsid w:val="00356DE5"/>
    <w:rsid w:val="00360932"/>
    <w:rsid w:val="003614A2"/>
    <w:rsid w:val="00372EB7"/>
    <w:rsid w:val="00375E14"/>
    <w:rsid w:val="00376442"/>
    <w:rsid w:val="00382760"/>
    <w:rsid w:val="003843D3"/>
    <w:rsid w:val="00384BE9"/>
    <w:rsid w:val="00385132"/>
    <w:rsid w:val="00385513"/>
    <w:rsid w:val="003909AA"/>
    <w:rsid w:val="00390EB9"/>
    <w:rsid w:val="00391A04"/>
    <w:rsid w:val="00392DEC"/>
    <w:rsid w:val="00393474"/>
    <w:rsid w:val="00393681"/>
    <w:rsid w:val="00394323"/>
    <w:rsid w:val="003A01C4"/>
    <w:rsid w:val="003A55CC"/>
    <w:rsid w:val="003B1D7A"/>
    <w:rsid w:val="003B3D2E"/>
    <w:rsid w:val="003C2761"/>
    <w:rsid w:val="003C6DC0"/>
    <w:rsid w:val="003D1B72"/>
    <w:rsid w:val="003D4870"/>
    <w:rsid w:val="003D7F40"/>
    <w:rsid w:val="003E491B"/>
    <w:rsid w:val="003F0C00"/>
    <w:rsid w:val="003F2683"/>
    <w:rsid w:val="003F64B2"/>
    <w:rsid w:val="003F7B1D"/>
    <w:rsid w:val="00404433"/>
    <w:rsid w:val="00405910"/>
    <w:rsid w:val="00411C6F"/>
    <w:rsid w:val="00411EFD"/>
    <w:rsid w:val="00412DEF"/>
    <w:rsid w:val="004154BD"/>
    <w:rsid w:val="00424DD8"/>
    <w:rsid w:val="00425C8E"/>
    <w:rsid w:val="00426034"/>
    <w:rsid w:val="004374F5"/>
    <w:rsid w:val="0044059E"/>
    <w:rsid w:val="00440F6C"/>
    <w:rsid w:val="004437EE"/>
    <w:rsid w:val="00446C54"/>
    <w:rsid w:val="00451B4E"/>
    <w:rsid w:val="004521ED"/>
    <w:rsid w:val="00453011"/>
    <w:rsid w:val="004600D7"/>
    <w:rsid w:val="00465873"/>
    <w:rsid w:val="00474DFD"/>
    <w:rsid w:val="00475C6D"/>
    <w:rsid w:val="0048496C"/>
    <w:rsid w:val="00487DED"/>
    <w:rsid w:val="00490B41"/>
    <w:rsid w:val="0049202B"/>
    <w:rsid w:val="004A5144"/>
    <w:rsid w:val="004A52F1"/>
    <w:rsid w:val="004B00A4"/>
    <w:rsid w:val="004B2636"/>
    <w:rsid w:val="004C7D0D"/>
    <w:rsid w:val="004D0696"/>
    <w:rsid w:val="004F212C"/>
    <w:rsid w:val="004F3BE8"/>
    <w:rsid w:val="004F641F"/>
    <w:rsid w:val="005012CF"/>
    <w:rsid w:val="005033DE"/>
    <w:rsid w:val="005062AB"/>
    <w:rsid w:val="00507123"/>
    <w:rsid w:val="00510A43"/>
    <w:rsid w:val="00513C62"/>
    <w:rsid w:val="00513CB1"/>
    <w:rsid w:val="005304F0"/>
    <w:rsid w:val="00537902"/>
    <w:rsid w:val="0054420F"/>
    <w:rsid w:val="0054663B"/>
    <w:rsid w:val="005537D0"/>
    <w:rsid w:val="00554A6E"/>
    <w:rsid w:val="00556D26"/>
    <w:rsid w:val="005604EF"/>
    <w:rsid w:val="005726EE"/>
    <w:rsid w:val="00573F5D"/>
    <w:rsid w:val="005840A6"/>
    <w:rsid w:val="00591CB8"/>
    <w:rsid w:val="005922F3"/>
    <w:rsid w:val="005932DB"/>
    <w:rsid w:val="005A0404"/>
    <w:rsid w:val="005A0A6E"/>
    <w:rsid w:val="005A2D6A"/>
    <w:rsid w:val="005A415F"/>
    <w:rsid w:val="005A6A80"/>
    <w:rsid w:val="005B279E"/>
    <w:rsid w:val="005C7A75"/>
    <w:rsid w:val="005D50F0"/>
    <w:rsid w:val="005D7039"/>
    <w:rsid w:val="005E46D1"/>
    <w:rsid w:val="005F0F07"/>
    <w:rsid w:val="005F6570"/>
    <w:rsid w:val="00601660"/>
    <w:rsid w:val="00602CBD"/>
    <w:rsid w:val="00605A01"/>
    <w:rsid w:val="0061290B"/>
    <w:rsid w:val="00614908"/>
    <w:rsid w:val="00617C8D"/>
    <w:rsid w:val="00624948"/>
    <w:rsid w:val="006249B1"/>
    <w:rsid w:val="0065115D"/>
    <w:rsid w:val="0065411F"/>
    <w:rsid w:val="00655AEF"/>
    <w:rsid w:val="00657710"/>
    <w:rsid w:val="00657F81"/>
    <w:rsid w:val="00662374"/>
    <w:rsid w:val="00665CEA"/>
    <w:rsid w:val="0066674F"/>
    <w:rsid w:val="006738DD"/>
    <w:rsid w:val="00685F94"/>
    <w:rsid w:val="00695550"/>
    <w:rsid w:val="00696AD3"/>
    <w:rsid w:val="006A20A1"/>
    <w:rsid w:val="006A22E4"/>
    <w:rsid w:val="006B03F8"/>
    <w:rsid w:val="006B16FC"/>
    <w:rsid w:val="006B3F3E"/>
    <w:rsid w:val="006B7897"/>
    <w:rsid w:val="006C45BC"/>
    <w:rsid w:val="006C5B25"/>
    <w:rsid w:val="006D0387"/>
    <w:rsid w:val="006D0DE4"/>
    <w:rsid w:val="006D1320"/>
    <w:rsid w:val="006D7516"/>
    <w:rsid w:val="006E5530"/>
    <w:rsid w:val="006E5D86"/>
    <w:rsid w:val="006E5F94"/>
    <w:rsid w:val="00701266"/>
    <w:rsid w:val="00703BBD"/>
    <w:rsid w:val="007127EC"/>
    <w:rsid w:val="00722FB1"/>
    <w:rsid w:val="00747C48"/>
    <w:rsid w:val="007604F5"/>
    <w:rsid w:val="00761EE3"/>
    <w:rsid w:val="00762AF2"/>
    <w:rsid w:val="0076497E"/>
    <w:rsid w:val="00773BE1"/>
    <w:rsid w:val="00777DC5"/>
    <w:rsid w:val="007853C5"/>
    <w:rsid w:val="00790976"/>
    <w:rsid w:val="00790E72"/>
    <w:rsid w:val="0079468A"/>
    <w:rsid w:val="0079472F"/>
    <w:rsid w:val="007A058D"/>
    <w:rsid w:val="007A3204"/>
    <w:rsid w:val="007A3642"/>
    <w:rsid w:val="007A5F71"/>
    <w:rsid w:val="007B30F8"/>
    <w:rsid w:val="007B68EA"/>
    <w:rsid w:val="007C1D9B"/>
    <w:rsid w:val="007D2587"/>
    <w:rsid w:val="007D5783"/>
    <w:rsid w:val="007E003C"/>
    <w:rsid w:val="007E0969"/>
    <w:rsid w:val="007E0CAE"/>
    <w:rsid w:val="007E2D91"/>
    <w:rsid w:val="007E4DCA"/>
    <w:rsid w:val="007F667B"/>
    <w:rsid w:val="007F7D5C"/>
    <w:rsid w:val="0080596E"/>
    <w:rsid w:val="00820445"/>
    <w:rsid w:val="00820964"/>
    <w:rsid w:val="0082638E"/>
    <w:rsid w:val="0083068C"/>
    <w:rsid w:val="00830BDB"/>
    <w:rsid w:val="00832F04"/>
    <w:rsid w:val="0084405D"/>
    <w:rsid w:val="0084443F"/>
    <w:rsid w:val="00846093"/>
    <w:rsid w:val="00846386"/>
    <w:rsid w:val="00853153"/>
    <w:rsid w:val="00853914"/>
    <w:rsid w:val="008550F1"/>
    <w:rsid w:val="008560BF"/>
    <w:rsid w:val="0086270E"/>
    <w:rsid w:val="008736C3"/>
    <w:rsid w:val="0087543B"/>
    <w:rsid w:val="008823A4"/>
    <w:rsid w:val="00884F8F"/>
    <w:rsid w:val="008910BB"/>
    <w:rsid w:val="00891552"/>
    <w:rsid w:val="008A3388"/>
    <w:rsid w:val="008B0B7C"/>
    <w:rsid w:val="008B2A85"/>
    <w:rsid w:val="008B6C63"/>
    <w:rsid w:val="008C0F62"/>
    <w:rsid w:val="008C3A87"/>
    <w:rsid w:val="008C6FD2"/>
    <w:rsid w:val="008D01F2"/>
    <w:rsid w:val="008D0CDF"/>
    <w:rsid w:val="008D2DBD"/>
    <w:rsid w:val="008D6940"/>
    <w:rsid w:val="008E0F44"/>
    <w:rsid w:val="008E3BB9"/>
    <w:rsid w:val="008E7A8E"/>
    <w:rsid w:val="008F2C3A"/>
    <w:rsid w:val="00910431"/>
    <w:rsid w:val="00911857"/>
    <w:rsid w:val="00915487"/>
    <w:rsid w:val="00925EF9"/>
    <w:rsid w:val="009303DB"/>
    <w:rsid w:val="00937210"/>
    <w:rsid w:val="009466F3"/>
    <w:rsid w:val="009564EE"/>
    <w:rsid w:val="00956FE7"/>
    <w:rsid w:val="00963E28"/>
    <w:rsid w:val="0097117B"/>
    <w:rsid w:val="009766C3"/>
    <w:rsid w:val="009769E7"/>
    <w:rsid w:val="00976E73"/>
    <w:rsid w:val="009803E6"/>
    <w:rsid w:val="00980432"/>
    <w:rsid w:val="00980686"/>
    <w:rsid w:val="00981E72"/>
    <w:rsid w:val="009830C4"/>
    <w:rsid w:val="00994326"/>
    <w:rsid w:val="0099554A"/>
    <w:rsid w:val="009A5FE6"/>
    <w:rsid w:val="009B0137"/>
    <w:rsid w:val="009B2535"/>
    <w:rsid w:val="009B5E5E"/>
    <w:rsid w:val="009B7B31"/>
    <w:rsid w:val="009C583A"/>
    <w:rsid w:val="009C647A"/>
    <w:rsid w:val="009C73E6"/>
    <w:rsid w:val="009D01BA"/>
    <w:rsid w:val="009D1612"/>
    <w:rsid w:val="009D7436"/>
    <w:rsid w:val="009E08F7"/>
    <w:rsid w:val="009E52FB"/>
    <w:rsid w:val="009F2253"/>
    <w:rsid w:val="009F5E53"/>
    <w:rsid w:val="00A01E12"/>
    <w:rsid w:val="00A02358"/>
    <w:rsid w:val="00A0791F"/>
    <w:rsid w:val="00A21A19"/>
    <w:rsid w:val="00A22D80"/>
    <w:rsid w:val="00A30483"/>
    <w:rsid w:val="00A31AB1"/>
    <w:rsid w:val="00A33B06"/>
    <w:rsid w:val="00A365D1"/>
    <w:rsid w:val="00A40013"/>
    <w:rsid w:val="00A47A1F"/>
    <w:rsid w:val="00A5023A"/>
    <w:rsid w:val="00A5421A"/>
    <w:rsid w:val="00A62E10"/>
    <w:rsid w:val="00A6343C"/>
    <w:rsid w:val="00A66705"/>
    <w:rsid w:val="00A67B56"/>
    <w:rsid w:val="00A67E4A"/>
    <w:rsid w:val="00A70B86"/>
    <w:rsid w:val="00A76CF2"/>
    <w:rsid w:val="00A7705E"/>
    <w:rsid w:val="00A77D54"/>
    <w:rsid w:val="00A77E88"/>
    <w:rsid w:val="00A8052F"/>
    <w:rsid w:val="00A8189C"/>
    <w:rsid w:val="00A826DB"/>
    <w:rsid w:val="00A87FAA"/>
    <w:rsid w:val="00A93A7B"/>
    <w:rsid w:val="00A95920"/>
    <w:rsid w:val="00AA60DB"/>
    <w:rsid w:val="00AA7991"/>
    <w:rsid w:val="00AB0474"/>
    <w:rsid w:val="00AB2461"/>
    <w:rsid w:val="00AC17F1"/>
    <w:rsid w:val="00AE0231"/>
    <w:rsid w:val="00AE1993"/>
    <w:rsid w:val="00AE36D5"/>
    <w:rsid w:val="00AE525E"/>
    <w:rsid w:val="00AE552F"/>
    <w:rsid w:val="00AF3DF5"/>
    <w:rsid w:val="00AF5965"/>
    <w:rsid w:val="00B05538"/>
    <w:rsid w:val="00B06780"/>
    <w:rsid w:val="00B16DA0"/>
    <w:rsid w:val="00B22A49"/>
    <w:rsid w:val="00B31205"/>
    <w:rsid w:val="00B32169"/>
    <w:rsid w:val="00B37CF5"/>
    <w:rsid w:val="00B41E20"/>
    <w:rsid w:val="00B438C5"/>
    <w:rsid w:val="00B448C7"/>
    <w:rsid w:val="00B44CE0"/>
    <w:rsid w:val="00B50432"/>
    <w:rsid w:val="00B534DE"/>
    <w:rsid w:val="00B549D4"/>
    <w:rsid w:val="00B55D2B"/>
    <w:rsid w:val="00B61976"/>
    <w:rsid w:val="00B62EFA"/>
    <w:rsid w:val="00B6482A"/>
    <w:rsid w:val="00B65401"/>
    <w:rsid w:val="00B72289"/>
    <w:rsid w:val="00B73F87"/>
    <w:rsid w:val="00B743AC"/>
    <w:rsid w:val="00B76209"/>
    <w:rsid w:val="00B8372F"/>
    <w:rsid w:val="00B84DFB"/>
    <w:rsid w:val="00B85C5E"/>
    <w:rsid w:val="00B914BA"/>
    <w:rsid w:val="00B94687"/>
    <w:rsid w:val="00B958A8"/>
    <w:rsid w:val="00BA5C38"/>
    <w:rsid w:val="00BA7B28"/>
    <w:rsid w:val="00BC450C"/>
    <w:rsid w:val="00BD0A20"/>
    <w:rsid w:val="00BD1B5F"/>
    <w:rsid w:val="00BE5F56"/>
    <w:rsid w:val="00BF2790"/>
    <w:rsid w:val="00BF3AB9"/>
    <w:rsid w:val="00BF3B40"/>
    <w:rsid w:val="00C02CC5"/>
    <w:rsid w:val="00C05DC6"/>
    <w:rsid w:val="00C06BF0"/>
    <w:rsid w:val="00C07816"/>
    <w:rsid w:val="00C1252F"/>
    <w:rsid w:val="00C24A6A"/>
    <w:rsid w:val="00C25C92"/>
    <w:rsid w:val="00C26C4B"/>
    <w:rsid w:val="00C34D46"/>
    <w:rsid w:val="00C528F2"/>
    <w:rsid w:val="00C531D6"/>
    <w:rsid w:val="00C55EDF"/>
    <w:rsid w:val="00C61B74"/>
    <w:rsid w:val="00C65FB4"/>
    <w:rsid w:val="00C7048F"/>
    <w:rsid w:val="00C72B96"/>
    <w:rsid w:val="00C7322C"/>
    <w:rsid w:val="00C74838"/>
    <w:rsid w:val="00C77F95"/>
    <w:rsid w:val="00C80D89"/>
    <w:rsid w:val="00C82B28"/>
    <w:rsid w:val="00C84DF8"/>
    <w:rsid w:val="00C85AC2"/>
    <w:rsid w:val="00C86AAD"/>
    <w:rsid w:val="00C8709A"/>
    <w:rsid w:val="00C9045C"/>
    <w:rsid w:val="00C913FB"/>
    <w:rsid w:val="00C92C44"/>
    <w:rsid w:val="00C96DC6"/>
    <w:rsid w:val="00C96EAA"/>
    <w:rsid w:val="00CA52CF"/>
    <w:rsid w:val="00CB118A"/>
    <w:rsid w:val="00CB54B5"/>
    <w:rsid w:val="00CC54F3"/>
    <w:rsid w:val="00CC74EE"/>
    <w:rsid w:val="00CD594C"/>
    <w:rsid w:val="00CE2699"/>
    <w:rsid w:val="00CE398F"/>
    <w:rsid w:val="00CF439B"/>
    <w:rsid w:val="00CF6A77"/>
    <w:rsid w:val="00D050D3"/>
    <w:rsid w:val="00D07BEB"/>
    <w:rsid w:val="00D14A5F"/>
    <w:rsid w:val="00D26E10"/>
    <w:rsid w:val="00D30DAF"/>
    <w:rsid w:val="00D32743"/>
    <w:rsid w:val="00D327F1"/>
    <w:rsid w:val="00D33E98"/>
    <w:rsid w:val="00D35907"/>
    <w:rsid w:val="00D40454"/>
    <w:rsid w:val="00D41241"/>
    <w:rsid w:val="00D421DD"/>
    <w:rsid w:val="00D43CCB"/>
    <w:rsid w:val="00D44B61"/>
    <w:rsid w:val="00D501CE"/>
    <w:rsid w:val="00D524E2"/>
    <w:rsid w:val="00D57BB2"/>
    <w:rsid w:val="00D6072F"/>
    <w:rsid w:val="00D60FA1"/>
    <w:rsid w:val="00D60FD9"/>
    <w:rsid w:val="00D61BE8"/>
    <w:rsid w:val="00D65699"/>
    <w:rsid w:val="00D67284"/>
    <w:rsid w:val="00D7284A"/>
    <w:rsid w:val="00D742AC"/>
    <w:rsid w:val="00D751D5"/>
    <w:rsid w:val="00D801D9"/>
    <w:rsid w:val="00D85872"/>
    <w:rsid w:val="00D908A0"/>
    <w:rsid w:val="00D90DAC"/>
    <w:rsid w:val="00DA3655"/>
    <w:rsid w:val="00DA5D73"/>
    <w:rsid w:val="00DB21F1"/>
    <w:rsid w:val="00DC1D45"/>
    <w:rsid w:val="00DC3050"/>
    <w:rsid w:val="00DC66F9"/>
    <w:rsid w:val="00DD2FA9"/>
    <w:rsid w:val="00DE0B79"/>
    <w:rsid w:val="00DE1568"/>
    <w:rsid w:val="00DE617D"/>
    <w:rsid w:val="00DF05FE"/>
    <w:rsid w:val="00DF25C4"/>
    <w:rsid w:val="00DF661B"/>
    <w:rsid w:val="00E02FF9"/>
    <w:rsid w:val="00E03135"/>
    <w:rsid w:val="00E04360"/>
    <w:rsid w:val="00E046F9"/>
    <w:rsid w:val="00E2025B"/>
    <w:rsid w:val="00E25954"/>
    <w:rsid w:val="00E30F32"/>
    <w:rsid w:val="00E44F57"/>
    <w:rsid w:val="00E607D2"/>
    <w:rsid w:val="00E67A18"/>
    <w:rsid w:val="00E70945"/>
    <w:rsid w:val="00E70AFA"/>
    <w:rsid w:val="00E841E6"/>
    <w:rsid w:val="00E9427D"/>
    <w:rsid w:val="00E96025"/>
    <w:rsid w:val="00EA064D"/>
    <w:rsid w:val="00EA3DCE"/>
    <w:rsid w:val="00EA5208"/>
    <w:rsid w:val="00EA542A"/>
    <w:rsid w:val="00EB2A07"/>
    <w:rsid w:val="00EB62C6"/>
    <w:rsid w:val="00EB7C1C"/>
    <w:rsid w:val="00EC13CD"/>
    <w:rsid w:val="00EC2B3F"/>
    <w:rsid w:val="00ED24A9"/>
    <w:rsid w:val="00ED5C26"/>
    <w:rsid w:val="00EE2835"/>
    <w:rsid w:val="00EF1AD4"/>
    <w:rsid w:val="00EF543B"/>
    <w:rsid w:val="00EF725A"/>
    <w:rsid w:val="00F04994"/>
    <w:rsid w:val="00F11F42"/>
    <w:rsid w:val="00F135A5"/>
    <w:rsid w:val="00F16E88"/>
    <w:rsid w:val="00F21B8D"/>
    <w:rsid w:val="00F22700"/>
    <w:rsid w:val="00F23395"/>
    <w:rsid w:val="00F27CD0"/>
    <w:rsid w:val="00F31701"/>
    <w:rsid w:val="00F35962"/>
    <w:rsid w:val="00F53887"/>
    <w:rsid w:val="00F620EE"/>
    <w:rsid w:val="00F6331B"/>
    <w:rsid w:val="00F65ABD"/>
    <w:rsid w:val="00F72BC7"/>
    <w:rsid w:val="00F73FF4"/>
    <w:rsid w:val="00F742E3"/>
    <w:rsid w:val="00F74C85"/>
    <w:rsid w:val="00F86C41"/>
    <w:rsid w:val="00F91C4C"/>
    <w:rsid w:val="00F92A77"/>
    <w:rsid w:val="00F92B30"/>
    <w:rsid w:val="00F93336"/>
    <w:rsid w:val="00F95B28"/>
    <w:rsid w:val="00FA284D"/>
    <w:rsid w:val="00FA45C4"/>
    <w:rsid w:val="00FB409D"/>
    <w:rsid w:val="00FB6B56"/>
    <w:rsid w:val="00FC2322"/>
    <w:rsid w:val="00FD684A"/>
    <w:rsid w:val="00FD70E7"/>
    <w:rsid w:val="00FE0BDF"/>
    <w:rsid w:val="00FE5359"/>
    <w:rsid w:val="00FF62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E7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502E"/>
    <w:pPr>
      <w:ind w:left="720"/>
      <w:contextualSpacing/>
    </w:pPr>
  </w:style>
  <w:style w:type="paragraph" w:styleId="Stopka">
    <w:name w:val="footer"/>
    <w:basedOn w:val="Normalny"/>
    <w:link w:val="StopkaZnak"/>
    <w:uiPriority w:val="99"/>
    <w:unhideWhenUsed/>
    <w:rsid w:val="00E02F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2FF9"/>
  </w:style>
  <w:style w:type="character" w:styleId="Numerstrony">
    <w:name w:val="page number"/>
    <w:basedOn w:val="Domylnaczcionkaakapitu"/>
    <w:uiPriority w:val="99"/>
    <w:semiHidden/>
    <w:unhideWhenUsed/>
    <w:rsid w:val="00E02FF9"/>
  </w:style>
  <w:style w:type="paragraph" w:styleId="Tekstdymka">
    <w:name w:val="Balloon Text"/>
    <w:basedOn w:val="Normalny"/>
    <w:link w:val="TekstdymkaZnak"/>
    <w:uiPriority w:val="99"/>
    <w:semiHidden/>
    <w:unhideWhenUsed/>
    <w:rsid w:val="00956F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6FE7"/>
    <w:rPr>
      <w:rFonts w:ascii="Tahoma" w:hAnsi="Tahoma" w:cs="Tahoma"/>
      <w:sz w:val="16"/>
      <w:szCs w:val="16"/>
    </w:rPr>
  </w:style>
  <w:style w:type="paragraph" w:styleId="Tekstprzypisukocowego">
    <w:name w:val="endnote text"/>
    <w:basedOn w:val="Normalny"/>
    <w:link w:val="TekstprzypisukocowegoZnak"/>
    <w:uiPriority w:val="99"/>
    <w:semiHidden/>
    <w:unhideWhenUsed/>
    <w:rsid w:val="002F4D9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4D99"/>
    <w:rPr>
      <w:sz w:val="20"/>
      <w:szCs w:val="20"/>
    </w:rPr>
  </w:style>
  <w:style w:type="character" w:styleId="Odwoanieprzypisukocowego">
    <w:name w:val="endnote reference"/>
    <w:basedOn w:val="Domylnaczcionkaakapitu"/>
    <w:uiPriority w:val="99"/>
    <w:semiHidden/>
    <w:unhideWhenUsed/>
    <w:rsid w:val="002F4D99"/>
    <w:rPr>
      <w:vertAlign w:val="superscript"/>
    </w:rPr>
  </w:style>
  <w:style w:type="paragraph" w:styleId="Nagwek">
    <w:name w:val="header"/>
    <w:basedOn w:val="Normalny"/>
    <w:link w:val="NagwekZnak"/>
    <w:uiPriority w:val="99"/>
    <w:unhideWhenUsed/>
    <w:rsid w:val="00DF66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661B"/>
  </w:style>
  <w:style w:type="character" w:styleId="Odwoaniedokomentarza">
    <w:name w:val="annotation reference"/>
    <w:basedOn w:val="Domylnaczcionkaakapitu"/>
    <w:uiPriority w:val="99"/>
    <w:semiHidden/>
    <w:unhideWhenUsed/>
    <w:rsid w:val="00F86C41"/>
    <w:rPr>
      <w:sz w:val="16"/>
      <w:szCs w:val="16"/>
    </w:rPr>
  </w:style>
  <w:style w:type="paragraph" w:styleId="Tekstkomentarza">
    <w:name w:val="annotation text"/>
    <w:basedOn w:val="Normalny"/>
    <w:link w:val="TekstkomentarzaZnak"/>
    <w:uiPriority w:val="99"/>
    <w:semiHidden/>
    <w:unhideWhenUsed/>
    <w:rsid w:val="00F86C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C41"/>
    <w:rPr>
      <w:sz w:val="20"/>
      <w:szCs w:val="20"/>
    </w:rPr>
  </w:style>
  <w:style w:type="paragraph" w:styleId="Tematkomentarza">
    <w:name w:val="annotation subject"/>
    <w:basedOn w:val="Tekstkomentarza"/>
    <w:next w:val="Tekstkomentarza"/>
    <w:link w:val="TematkomentarzaZnak"/>
    <w:uiPriority w:val="99"/>
    <w:semiHidden/>
    <w:unhideWhenUsed/>
    <w:rsid w:val="00F86C41"/>
    <w:rPr>
      <w:b/>
      <w:bCs/>
    </w:rPr>
  </w:style>
  <w:style w:type="character" w:customStyle="1" w:styleId="TematkomentarzaZnak">
    <w:name w:val="Temat komentarza Znak"/>
    <w:basedOn w:val="TekstkomentarzaZnak"/>
    <w:link w:val="Tematkomentarza"/>
    <w:uiPriority w:val="99"/>
    <w:semiHidden/>
    <w:rsid w:val="00F86C41"/>
    <w:rPr>
      <w:b/>
      <w:bCs/>
      <w:sz w:val="20"/>
      <w:szCs w:val="20"/>
    </w:rPr>
  </w:style>
  <w:style w:type="character" w:customStyle="1" w:styleId="highlight">
    <w:name w:val="highlight"/>
    <w:basedOn w:val="Domylnaczcionkaakapitu"/>
    <w:rsid w:val="001D6653"/>
  </w:style>
  <w:style w:type="character" w:styleId="Hipercze">
    <w:name w:val="Hyperlink"/>
    <w:basedOn w:val="Domylnaczcionkaakapitu"/>
    <w:uiPriority w:val="99"/>
    <w:semiHidden/>
    <w:unhideWhenUsed/>
    <w:rsid w:val="001D6653"/>
    <w:rPr>
      <w:color w:val="0000FF"/>
      <w:u w:val="single"/>
    </w:rPr>
  </w:style>
  <w:style w:type="table" w:styleId="Tabela-Siatka">
    <w:name w:val="Table Grid"/>
    <w:basedOn w:val="Standardowy"/>
    <w:uiPriority w:val="59"/>
    <w:rsid w:val="003C6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B417E"/>
    <w:pPr>
      <w:spacing w:after="0" w:line="240" w:lineRule="auto"/>
    </w:pPr>
  </w:style>
  <w:style w:type="paragraph" w:styleId="Tekstprzypisudolnego">
    <w:name w:val="footnote text"/>
    <w:basedOn w:val="Normalny"/>
    <w:link w:val="TekstprzypisudolnegoZnak"/>
    <w:uiPriority w:val="99"/>
    <w:unhideWhenUsed/>
    <w:rsid w:val="008E7A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E7A8E"/>
    <w:rPr>
      <w:sz w:val="20"/>
      <w:szCs w:val="20"/>
    </w:rPr>
  </w:style>
  <w:style w:type="character" w:styleId="Odwoanieprzypisudolnego">
    <w:name w:val="footnote reference"/>
    <w:basedOn w:val="Domylnaczcionkaakapitu"/>
    <w:uiPriority w:val="99"/>
    <w:semiHidden/>
    <w:unhideWhenUsed/>
    <w:rsid w:val="008E7A8E"/>
    <w:rPr>
      <w:vertAlign w:val="superscript"/>
    </w:rPr>
  </w:style>
  <w:style w:type="paragraph" w:customStyle="1" w:styleId="CM1">
    <w:name w:val="CM1"/>
    <w:basedOn w:val="Normalny"/>
    <w:next w:val="Normalny"/>
    <w:uiPriority w:val="99"/>
    <w:rsid w:val="00394323"/>
    <w:pPr>
      <w:autoSpaceDE w:val="0"/>
      <w:autoSpaceDN w:val="0"/>
      <w:adjustRightInd w:val="0"/>
      <w:spacing w:after="0" w:line="240" w:lineRule="auto"/>
    </w:pPr>
    <w:rPr>
      <w:rFonts w:ascii="EUAlbertina" w:hAnsi="EUAlbertina"/>
      <w:sz w:val="24"/>
      <w:szCs w:val="24"/>
    </w:rPr>
  </w:style>
  <w:style w:type="paragraph" w:customStyle="1" w:styleId="CM3">
    <w:name w:val="CM3"/>
    <w:basedOn w:val="Normalny"/>
    <w:next w:val="Normalny"/>
    <w:uiPriority w:val="99"/>
    <w:rsid w:val="00394323"/>
    <w:pPr>
      <w:autoSpaceDE w:val="0"/>
      <w:autoSpaceDN w:val="0"/>
      <w:adjustRightInd w:val="0"/>
      <w:spacing w:after="0" w:line="240" w:lineRule="auto"/>
    </w:pPr>
    <w:rPr>
      <w:rFonts w:ascii="EUAlbertina" w:hAnsi="EUAlbertina"/>
      <w:sz w:val="24"/>
      <w:szCs w:val="24"/>
    </w:rPr>
  </w:style>
  <w:style w:type="paragraph" w:customStyle="1" w:styleId="CM4">
    <w:name w:val="CM4"/>
    <w:basedOn w:val="Normalny"/>
    <w:next w:val="Normalny"/>
    <w:uiPriority w:val="99"/>
    <w:rsid w:val="00394323"/>
    <w:pPr>
      <w:autoSpaceDE w:val="0"/>
      <w:autoSpaceDN w:val="0"/>
      <w:adjustRightInd w:val="0"/>
      <w:spacing w:after="0" w:line="240" w:lineRule="auto"/>
    </w:pPr>
    <w:rPr>
      <w:rFonts w:ascii="EUAlbertina" w:hAnsi="EUAlbertina"/>
      <w:sz w:val="24"/>
      <w:szCs w:val="24"/>
    </w:rPr>
  </w:style>
  <w:style w:type="character" w:customStyle="1" w:styleId="st">
    <w:name w:val="st"/>
    <w:basedOn w:val="Domylnaczcionkaakapitu"/>
    <w:rsid w:val="006E5D86"/>
  </w:style>
  <w:style w:type="character" w:styleId="Uwydatnienie">
    <w:name w:val="Emphasis"/>
    <w:basedOn w:val="Domylnaczcionkaakapitu"/>
    <w:uiPriority w:val="20"/>
    <w:qFormat/>
    <w:rsid w:val="006E5D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502E"/>
    <w:pPr>
      <w:ind w:left="720"/>
      <w:contextualSpacing/>
    </w:pPr>
  </w:style>
  <w:style w:type="paragraph" w:styleId="Stopka">
    <w:name w:val="footer"/>
    <w:basedOn w:val="Normalny"/>
    <w:link w:val="StopkaZnak"/>
    <w:uiPriority w:val="99"/>
    <w:unhideWhenUsed/>
    <w:rsid w:val="00E02F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2FF9"/>
  </w:style>
  <w:style w:type="character" w:styleId="Numerstrony">
    <w:name w:val="page number"/>
    <w:basedOn w:val="Domylnaczcionkaakapitu"/>
    <w:uiPriority w:val="99"/>
    <w:semiHidden/>
    <w:unhideWhenUsed/>
    <w:rsid w:val="00E02FF9"/>
  </w:style>
  <w:style w:type="paragraph" w:styleId="Tekstdymka">
    <w:name w:val="Balloon Text"/>
    <w:basedOn w:val="Normalny"/>
    <w:link w:val="TekstdymkaZnak"/>
    <w:uiPriority w:val="99"/>
    <w:semiHidden/>
    <w:unhideWhenUsed/>
    <w:rsid w:val="00956F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6FE7"/>
    <w:rPr>
      <w:rFonts w:ascii="Tahoma" w:hAnsi="Tahoma" w:cs="Tahoma"/>
      <w:sz w:val="16"/>
      <w:szCs w:val="16"/>
    </w:rPr>
  </w:style>
  <w:style w:type="paragraph" w:styleId="Tekstprzypisukocowego">
    <w:name w:val="endnote text"/>
    <w:basedOn w:val="Normalny"/>
    <w:link w:val="TekstprzypisukocowegoZnak"/>
    <w:uiPriority w:val="99"/>
    <w:semiHidden/>
    <w:unhideWhenUsed/>
    <w:rsid w:val="002F4D9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4D99"/>
    <w:rPr>
      <w:sz w:val="20"/>
      <w:szCs w:val="20"/>
    </w:rPr>
  </w:style>
  <w:style w:type="character" w:styleId="Odwoanieprzypisukocowego">
    <w:name w:val="endnote reference"/>
    <w:basedOn w:val="Domylnaczcionkaakapitu"/>
    <w:uiPriority w:val="99"/>
    <w:semiHidden/>
    <w:unhideWhenUsed/>
    <w:rsid w:val="002F4D99"/>
    <w:rPr>
      <w:vertAlign w:val="superscript"/>
    </w:rPr>
  </w:style>
  <w:style w:type="paragraph" w:styleId="Nagwek">
    <w:name w:val="header"/>
    <w:basedOn w:val="Normalny"/>
    <w:link w:val="NagwekZnak"/>
    <w:uiPriority w:val="99"/>
    <w:unhideWhenUsed/>
    <w:rsid w:val="00DF66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661B"/>
  </w:style>
  <w:style w:type="character" w:styleId="Odwoaniedokomentarza">
    <w:name w:val="annotation reference"/>
    <w:basedOn w:val="Domylnaczcionkaakapitu"/>
    <w:uiPriority w:val="99"/>
    <w:semiHidden/>
    <w:unhideWhenUsed/>
    <w:rsid w:val="00F86C41"/>
    <w:rPr>
      <w:sz w:val="16"/>
      <w:szCs w:val="16"/>
    </w:rPr>
  </w:style>
  <w:style w:type="paragraph" w:styleId="Tekstkomentarza">
    <w:name w:val="annotation text"/>
    <w:basedOn w:val="Normalny"/>
    <w:link w:val="TekstkomentarzaZnak"/>
    <w:uiPriority w:val="99"/>
    <w:semiHidden/>
    <w:unhideWhenUsed/>
    <w:rsid w:val="00F86C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C41"/>
    <w:rPr>
      <w:sz w:val="20"/>
      <w:szCs w:val="20"/>
    </w:rPr>
  </w:style>
  <w:style w:type="paragraph" w:styleId="Tematkomentarza">
    <w:name w:val="annotation subject"/>
    <w:basedOn w:val="Tekstkomentarza"/>
    <w:next w:val="Tekstkomentarza"/>
    <w:link w:val="TematkomentarzaZnak"/>
    <w:uiPriority w:val="99"/>
    <w:semiHidden/>
    <w:unhideWhenUsed/>
    <w:rsid w:val="00F86C41"/>
    <w:rPr>
      <w:b/>
      <w:bCs/>
    </w:rPr>
  </w:style>
  <w:style w:type="character" w:customStyle="1" w:styleId="TematkomentarzaZnak">
    <w:name w:val="Temat komentarza Znak"/>
    <w:basedOn w:val="TekstkomentarzaZnak"/>
    <w:link w:val="Tematkomentarza"/>
    <w:uiPriority w:val="99"/>
    <w:semiHidden/>
    <w:rsid w:val="00F86C41"/>
    <w:rPr>
      <w:b/>
      <w:bCs/>
      <w:sz w:val="20"/>
      <w:szCs w:val="20"/>
    </w:rPr>
  </w:style>
  <w:style w:type="character" w:customStyle="1" w:styleId="highlight">
    <w:name w:val="highlight"/>
    <w:basedOn w:val="Domylnaczcionkaakapitu"/>
    <w:rsid w:val="001D6653"/>
  </w:style>
  <w:style w:type="character" w:styleId="Hipercze">
    <w:name w:val="Hyperlink"/>
    <w:basedOn w:val="Domylnaczcionkaakapitu"/>
    <w:uiPriority w:val="99"/>
    <w:semiHidden/>
    <w:unhideWhenUsed/>
    <w:rsid w:val="001D6653"/>
    <w:rPr>
      <w:color w:val="0000FF"/>
      <w:u w:val="single"/>
    </w:rPr>
  </w:style>
  <w:style w:type="table" w:styleId="Tabela-Siatka">
    <w:name w:val="Table Grid"/>
    <w:basedOn w:val="Standardowy"/>
    <w:uiPriority w:val="59"/>
    <w:rsid w:val="003C6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B417E"/>
    <w:pPr>
      <w:spacing w:after="0" w:line="240" w:lineRule="auto"/>
    </w:pPr>
  </w:style>
  <w:style w:type="paragraph" w:styleId="Tekstprzypisudolnego">
    <w:name w:val="footnote text"/>
    <w:basedOn w:val="Normalny"/>
    <w:link w:val="TekstprzypisudolnegoZnak"/>
    <w:uiPriority w:val="99"/>
    <w:unhideWhenUsed/>
    <w:rsid w:val="008E7A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E7A8E"/>
    <w:rPr>
      <w:sz w:val="20"/>
      <w:szCs w:val="20"/>
    </w:rPr>
  </w:style>
  <w:style w:type="character" w:styleId="Odwoanieprzypisudolnego">
    <w:name w:val="footnote reference"/>
    <w:basedOn w:val="Domylnaczcionkaakapitu"/>
    <w:uiPriority w:val="99"/>
    <w:semiHidden/>
    <w:unhideWhenUsed/>
    <w:rsid w:val="008E7A8E"/>
    <w:rPr>
      <w:vertAlign w:val="superscript"/>
    </w:rPr>
  </w:style>
  <w:style w:type="paragraph" w:customStyle="1" w:styleId="CM1">
    <w:name w:val="CM1"/>
    <w:basedOn w:val="Normalny"/>
    <w:next w:val="Normalny"/>
    <w:uiPriority w:val="99"/>
    <w:rsid w:val="00394323"/>
    <w:pPr>
      <w:autoSpaceDE w:val="0"/>
      <w:autoSpaceDN w:val="0"/>
      <w:adjustRightInd w:val="0"/>
      <w:spacing w:after="0" w:line="240" w:lineRule="auto"/>
    </w:pPr>
    <w:rPr>
      <w:rFonts w:ascii="EUAlbertina" w:hAnsi="EUAlbertina"/>
      <w:sz w:val="24"/>
      <w:szCs w:val="24"/>
    </w:rPr>
  </w:style>
  <w:style w:type="paragraph" w:customStyle="1" w:styleId="CM3">
    <w:name w:val="CM3"/>
    <w:basedOn w:val="Normalny"/>
    <w:next w:val="Normalny"/>
    <w:uiPriority w:val="99"/>
    <w:rsid w:val="00394323"/>
    <w:pPr>
      <w:autoSpaceDE w:val="0"/>
      <w:autoSpaceDN w:val="0"/>
      <w:adjustRightInd w:val="0"/>
      <w:spacing w:after="0" w:line="240" w:lineRule="auto"/>
    </w:pPr>
    <w:rPr>
      <w:rFonts w:ascii="EUAlbertina" w:hAnsi="EUAlbertina"/>
      <w:sz w:val="24"/>
      <w:szCs w:val="24"/>
    </w:rPr>
  </w:style>
  <w:style w:type="paragraph" w:customStyle="1" w:styleId="CM4">
    <w:name w:val="CM4"/>
    <w:basedOn w:val="Normalny"/>
    <w:next w:val="Normalny"/>
    <w:uiPriority w:val="99"/>
    <w:rsid w:val="00394323"/>
    <w:pPr>
      <w:autoSpaceDE w:val="0"/>
      <w:autoSpaceDN w:val="0"/>
      <w:adjustRightInd w:val="0"/>
      <w:spacing w:after="0" w:line="240" w:lineRule="auto"/>
    </w:pPr>
    <w:rPr>
      <w:rFonts w:ascii="EUAlbertina" w:hAnsi="EUAlbertina"/>
      <w:sz w:val="24"/>
      <w:szCs w:val="24"/>
    </w:rPr>
  </w:style>
  <w:style w:type="character" w:customStyle="1" w:styleId="st">
    <w:name w:val="st"/>
    <w:basedOn w:val="Domylnaczcionkaakapitu"/>
    <w:rsid w:val="006E5D86"/>
  </w:style>
  <w:style w:type="character" w:styleId="Uwydatnienie">
    <w:name w:val="Emphasis"/>
    <w:basedOn w:val="Domylnaczcionkaakapitu"/>
    <w:uiPriority w:val="20"/>
    <w:qFormat/>
    <w:rsid w:val="006E5D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328647">
      <w:bodyDiv w:val="1"/>
      <w:marLeft w:val="0"/>
      <w:marRight w:val="0"/>
      <w:marTop w:val="0"/>
      <w:marBottom w:val="0"/>
      <w:divBdr>
        <w:top w:val="none" w:sz="0" w:space="0" w:color="auto"/>
        <w:left w:val="none" w:sz="0" w:space="0" w:color="auto"/>
        <w:bottom w:val="none" w:sz="0" w:space="0" w:color="auto"/>
        <w:right w:val="none" w:sz="0" w:space="0" w:color="auto"/>
      </w:divBdr>
    </w:div>
    <w:div w:id="298148040">
      <w:bodyDiv w:val="1"/>
      <w:marLeft w:val="0"/>
      <w:marRight w:val="0"/>
      <w:marTop w:val="0"/>
      <w:marBottom w:val="0"/>
      <w:divBdr>
        <w:top w:val="none" w:sz="0" w:space="0" w:color="auto"/>
        <w:left w:val="none" w:sz="0" w:space="0" w:color="auto"/>
        <w:bottom w:val="none" w:sz="0" w:space="0" w:color="auto"/>
        <w:right w:val="none" w:sz="0" w:space="0" w:color="auto"/>
      </w:divBdr>
    </w:div>
    <w:div w:id="308706018">
      <w:bodyDiv w:val="1"/>
      <w:marLeft w:val="0"/>
      <w:marRight w:val="0"/>
      <w:marTop w:val="0"/>
      <w:marBottom w:val="0"/>
      <w:divBdr>
        <w:top w:val="none" w:sz="0" w:space="0" w:color="auto"/>
        <w:left w:val="none" w:sz="0" w:space="0" w:color="auto"/>
        <w:bottom w:val="none" w:sz="0" w:space="0" w:color="auto"/>
        <w:right w:val="none" w:sz="0" w:space="0" w:color="auto"/>
      </w:divBdr>
    </w:div>
    <w:div w:id="1079254585">
      <w:bodyDiv w:val="1"/>
      <w:marLeft w:val="0"/>
      <w:marRight w:val="0"/>
      <w:marTop w:val="0"/>
      <w:marBottom w:val="0"/>
      <w:divBdr>
        <w:top w:val="none" w:sz="0" w:space="0" w:color="auto"/>
        <w:left w:val="none" w:sz="0" w:space="0" w:color="auto"/>
        <w:bottom w:val="none" w:sz="0" w:space="0" w:color="auto"/>
        <w:right w:val="none" w:sz="0" w:space="0" w:color="auto"/>
      </w:divBdr>
    </w:div>
    <w:div w:id="1282541979">
      <w:bodyDiv w:val="1"/>
      <w:marLeft w:val="0"/>
      <w:marRight w:val="0"/>
      <w:marTop w:val="0"/>
      <w:marBottom w:val="0"/>
      <w:divBdr>
        <w:top w:val="none" w:sz="0" w:space="0" w:color="auto"/>
        <w:left w:val="none" w:sz="0" w:space="0" w:color="auto"/>
        <w:bottom w:val="none" w:sz="0" w:space="0" w:color="auto"/>
        <w:right w:val="none" w:sz="0" w:space="0" w:color="auto"/>
      </w:divBdr>
    </w:div>
    <w:div w:id="1314411692">
      <w:bodyDiv w:val="1"/>
      <w:marLeft w:val="0"/>
      <w:marRight w:val="0"/>
      <w:marTop w:val="0"/>
      <w:marBottom w:val="0"/>
      <w:divBdr>
        <w:top w:val="none" w:sz="0" w:space="0" w:color="auto"/>
        <w:left w:val="none" w:sz="0" w:space="0" w:color="auto"/>
        <w:bottom w:val="none" w:sz="0" w:space="0" w:color="auto"/>
        <w:right w:val="none" w:sz="0" w:space="0" w:color="auto"/>
      </w:divBdr>
    </w:div>
    <w:div w:id="1381635826">
      <w:bodyDiv w:val="1"/>
      <w:marLeft w:val="0"/>
      <w:marRight w:val="0"/>
      <w:marTop w:val="0"/>
      <w:marBottom w:val="0"/>
      <w:divBdr>
        <w:top w:val="none" w:sz="0" w:space="0" w:color="auto"/>
        <w:left w:val="none" w:sz="0" w:space="0" w:color="auto"/>
        <w:bottom w:val="none" w:sz="0" w:space="0" w:color="auto"/>
        <w:right w:val="none" w:sz="0" w:space="0" w:color="auto"/>
      </w:divBdr>
    </w:div>
    <w:div w:id="1431707324">
      <w:bodyDiv w:val="1"/>
      <w:marLeft w:val="0"/>
      <w:marRight w:val="0"/>
      <w:marTop w:val="0"/>
      <w:marBottom w:val="0"/>
      <w:divBdr>
        <w:top w:val="none" w:sz="0" w:space="0" w:color="auto"/>
        <w:left w:val="none" w:sz="0" w:space="0" w:color="auto"/>
        <w:bottom w:val="none" w:sz="0" w:space="0" w:color="auto"/>
        <w:right w:val="none" w:sz="0" w:space="0" w:color="auto"/>
      </w:divBdr>
    </w:div>
    <w:div w:id="1474103152">
      <w:bodyDiv w:val="1"/>
      <w:marLeft w:val="0"/>
      <w:marRight w:val="0"/>
      <w:marTop w:val="0"/>
      <w:marBottom w:val="0"/>
      <w:divBdr>
        <w:top w:val="none" w:sz="0" w:space="0" w:color="auto"/>
        <w:left w:val="none" w:sz="0" w:space="0" w:color="auto"/>
        <w:bottom w:val="none" w:sz="0" w:space="0" w:color="auto"/>
        <w:right w:val="none" w:sz="0" w:space="0" w:color="auto"/>
      </w:divBdr>
    </w:div>
    <w:div w:id="1526748003">
      <w:bodyDiv w:val="1"/>
      <w:marLeft w:val="0"/>
      <w:marRight w:val="0"/>
      <w:marTop w:val="0"/>
      <w:marBottom w:val="0"/>
      <w:divBdr>
        <w:top w:val="none" w:sz="0" w:space="0" w:color="auto"/>
        <w:left w:val="none" w:sz="0" w:space="0" w:color="auto"/>
        <w:bottom w:val="none" w:sz="0" w:space="0" w:color="auto"/>
        <w:right w:val="none" w:sz="0" w:space="0" w:color="auto"/>
      </w:divBdr>
    </w:div>
    <w:div w:id="1594977378">
      <w:bodyDiv w:val="1"/>
      <w:marLeft w:val="0"/>
      <w:marRight w:val="0"/>
      <w:marTop w:val="0"/>
      <w:marBottom w:val="0"/>
      <w:divBdr>
        <w:top w:val="none" w:sz="0" w:space="0" w:color="auto"/>
        <w:left w:val="none" w:sz="0" w:space="0" w:color="auto"/>
        <w:bottom w:val="none" w:sz="0" w:space="0" w:color="auto"/>
        <w:right w:val="none" w:sz="0" w:space="0" w:color="auto"/>
      </w:divBdr>
    </w:div>
    <w:div w:id="1678730784">
      <w:bodyDiv w:val="1"/>
      <w:marLeft w:val="0"/>
      <w:marRight w:val="0"/>
      <w:marTop w:val="0"/>
      <w:marBottom w:val="0"/>
      <w:divBdr>
        <w:top w:val="none" w:sz="0" w:space="0" w:color="auto"/>
        <w:left w:val="none" w:sz="0" w:space="0" w:color="auto"/>
        <w:bottom w:val="none" w:sz="0" w:space="0" w:color="auto"/>
        <w:right w:val="none" w:sz="0" w:space="0" w:color="auto"/>
      </w:divBdr>
    </w:div>
    <w:div w:id="1688865299">
      <w:bodyDiv w:val="1"/>
      <w:marLeft w:val="0"/>
      <w:marRight w:val="0"/>
      <w:marTop w:val="0"/>
      <w:marBottom w:val="0"/>
      <w:divBdr>
        <w:top w:val="none" w:sz="0" w:space="0" w:color="auto"/>
        <w:left w:val="none" w:sz="0" w:space="0" w:color="auto"/>
        <w:bottom w:val="none" w:sz="0" w:space="0" w:color="auto"/>
        <w:right w:val="none" w:sz="0" w:space="0" w:color="auto"/>
      </w:divBdr>
    </w:div>
    <w:div w:id="1710180253">
      <w:bodyDiv w:val="1"/>
      <w:marLeft w:val="0"/>
      <w:marRight w:val="0"/>
      <w:marTop w:val="0"/>
      <w:marBottom w:val="0"/>
      <w:divBdr>
        <w:top w:val="none" w:sz="0" w:space="0" w:color="auto"/>
        <w:left w:val="none" w:sz="0" w:space="0" w:color="auto"/>
        <w:bottom w:val="none" w:sz="0" w:space="0" w:color="auto"/>
        <w:right w:val="none" w:sz="0" w:space="0" w:color="auto"/>
      </w:divBdr>
    </w:div>
    <w:div w:id="19435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ur-lex.europa.eu/legal-content/PL/AUTO/?uri=uriserv:OJ.L_.2009.266.01.0011.01.POL" TargetMode="External"/><Relationship Id="rId4" Type="http://schemas.microsoft.com/office/2007/relationships/stylesWithEffects" Target="stylesWithEffects.xml"/><Relationship Id="rId9" Type="http://schemas.openxmlformats.org/officeDocument/2006/relationships/hyperlink" Target="http://eur-lex.europa.eu/legal-content/PL/AUTO/?uri=celex:32009R092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805A8-69EE-4131-BFDB-A83EA412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15578</Words>
  <Characters>93474</Characters>
  <Application>Microsoft Office Word</Application>
  <DocSecurity>0</DocSecurity>
  <Lines>778</Lines>
  <Paragraphs>217</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108835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Kwiatkowski Michał</dc:creator>
  <cp:lastModifiedBy>Ewa A. Genert</cp:lastModifiedBy>
  <cp:revision>2</cp:revision>
  <cp:lastPrinted>2018-01-19T12:56:00Z</cp:lastPrinted>
  <dcterms:created xsi:type="dcterms:W3CDTF">2018-01-25T13:53:00Z</dcterms:created>
  <dcterms:modified xsi:type="dcterms:W3CDTF">2018-01-25T13:53:00Z</dcterms:modified>
</cp:coreProperties>
</file>