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341A" w:rsidRPr="00E24274" w:rsidRDefault="0015341A" w:rsidP="00E24274">
      <w:pPr>
        <w:spacing w:after="0" w:line="360" w:lineRule="auto"/>
        <w:jc w:val="center"/>
        <w:outlineLvl w:val="0"/>
        <w:rPr>
          <w:rFonts w:ascii="Times New Roman" w:hAnsi="Times New Roman"/>
          <w:sz w:val="24"/>
          <w:szCs w:val="24"/>
        </w:rPr>
      </w:pPr>
      <w:bookmarkStart w:id="0" w:name="_GoBack"/>
      <w:bookmarkEnd w:id="0"/>
      <w:r w:rsidRPr="00E24274">
        <w:rPr>
          <w:rFonts w:ascii="Times New Roman" w:hAnsi="Times New Roman"/>
          <w:sz w:val="24"/>
          <w:szCs w:val="24"/>
        </w:rPr>
        <w:t>UZASADNIENIE</w:t>
      </w:r>
    </w:p>
    <w:p w:rsidR="0015341A" w:rsidRPr="00E24274" w:rsidRDefault="0015341A" w:rsidP="00ED0FD9">
      <w:pPr>
        <w:spacing w:before="240" w:after="0" w:line="360" w:lineRule="auto"/>
        <w:jc w:val="both"/>
        <w:outlineLvl w:val="0"/>
        <w:rPr>
          <w:rFonts w:ascii="Times New Roman" w:hAnsi="Times New Roman"/>
          <w:b/>
          <w:sz w:val="24"/>
          <w:szCs w:val="24"/>
        </w:rPr>
      </w:pPr>
      <w:r w:rsidRPr="00E24274">
        <w:rPr>
          <w:rFonts w:ascii="Times New Roman" w:hAnsi="Times New Roman"/>
          <w:b/>
          <w:sz w:val="24"/>
          <w:szCs w:val="24"/>
        </w:rPr>
        <w:t>I. Część ogólna – wyjaśnienie potrzeby i celu wydania ustawy</w:t>
      </w:r>
    </w:p>
    <w:p w:rsidR="0015341A" w:rsidRPr="00E24274" w:rsidRDefault="0015341A"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Celem projektowanej ustawy jest pełne wdrożenie do polskiego porządku prawnego dyrektywy Parlamentu Europejskiego i Rady 2014/2</w:t>
      </w:r>
      <w:r w:rsidR="00B85D46">
        <w:rPr>
          <w:rFonts w:ascii="Times New Roman" w:hAnsi="Times New Roman"/>
          <w:sz w:val="24"/>
          <w:szCs w:val="24"/>
        </w:rPr>
        <w:t>6/UE z dnia 26 lutego 2014 r. w </w:t>
      </w:r>
      <w:r w:rsidRPr="00E24274">
        <w:rPr>
          <w:rFonts w:ascii="Times New Roman" w:hAnsi="Times New Roman"/>
          <w:sz w:val="24"/>
          <w:szCs w:val="24"/>
        </w:rPr>
        <w:t>sprawie zbiorowego zarządzania prawami autorskimi i prawami pokrewnymi oraz udzielania licencji wieloterytorialnych dotyczących praw do utworów muzycznych do korzystania online na rynku wewnętrznym</w:t>
      </w:r>
      <w:r w:rsidR="009809B2" w:rsidRPr="00E24274">
        <w:rPr>
          <w:rFonts w:ascii="Times New Roman" w:hAnsi="Times New Roman"/>
          <w:sz w:val="24"/>
          <w:szCs w:val="24"/>
        </w:rPr>
        <w:t xml:space="preserve"> (dalej jako </w:t>
      </w:r>
      <w:r w:rsidR="00E24274">
        <w:rPr>
          <w:rFonts w:ascii="Times New Roman" w:hAnsi="Times New Roman"/>
          <w:sz w:val="24"/>
          <w:szCs w:val="24"/>
        </w:rPr>
        <w:t>„</w:t>
      </w:r>
      <w:r w:rsidR="009809B2" w:rsidRPr="00E24274">
        <w:rPr>
          <w:rFonts w:ascii="Times New Roman" w:hAnsi="Times New Roman"/>
          <w:sz w:val="24"/>
          <w:szCs w:val="24"/>
        </w:rPr>
        <w:t>dyrektywa CRM</w:t>
      </w:r>
      <w:r w:rsidR="00E24274">
        <w:rPr>
          <w:rFonts w:ascii="Times New Roman" w:hAnsi="Times New Roman"/>
          <w:sz w:val="24"/>
          <w:szCs w:val="24"/>
        </w:rPr>
        <w:t>”</w:t>
      </w:r>
      <w:r w:rsidR="009809B2" w:rsidRPr="00E24274">
        <w:rPr>
          <w:rFonts w:ascii="Times New Roman" w:hAnsi="Times New Roman"/>
          <w:sz w:val="24"/>
          <w:szCs w:val="24"/>
        </w:rPr>
        <w:t>)</w:t>
      </w:r>
      <w:r w:rsidRPr="00E24274">
        <w:rPr>
          <w:rFonts w:ascii="Times New Roman" w:hAnsi="Times New Roman"/>
          <w:sz w:val="24"/>
          <w:szCs w:val="24"/>
        </w:rPr>
        <w:t xml:space="preserve">. Dyrektywa </w:t>
      </w:r>
      <w:r w:rsidR="009809B2" w:rsidRPr="00E24274">
        <w:rPr>
          <w:rFonts w:ascii="Times New Roman" w:hAnsi="Times New Roman"/>
          <w:sz w:val="24"/>
          <w:szCs w:val="24"/>
        </w:rPr>
        <w:t xml:space="preserve">CRM </w:t>
      </w:r>
      <w:r w:rsidRPr="00E24274">
        <w:rPr>
          <w:rFonts w:ascii="Times New Roman" w:hAnsi="Times New Roman"/>
          <w:sz w:val="24"/>
          <w:szCs w:val="24"/>
        </w:rPr>
        <w:t>weszła w życie z dniem 9 kwietnia 2014 r., a ter</w:t>
      </w:r>
      <w:r w:rsidR="00B85D46">
        <w:rPr>
          <w:rFonts w:ascii="Times New Roman" w:hAnsi="Times New Roman"/>
          <w:sz w:val="24"/>
          <w:szCs w:val="24"/>
        </w:rPr>
        <w:t>min jej implementacji upłynął w </w:t>
      </w:r>
      <w:r w:rsidRPr="00E24274">
        <w:rPr>
          <w:rFonts w:ascii="Times New Roman" w:hAnsi="Times New Roman"/>
          <w:sz w:val="24"/>
          <w:szCs w:val="24"/>
        </w:rPr>
        <w:t>dniu 10 kwietnia 2016 r.</w:t>
      </w:r>
    </w:p>
    <w:p w:rsidR="0015341A" w:rsidRPr="00E24274" w:rsidRDefault="0015341A"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Przedmiotem dyrektywy</w:t>
      </w:r>
      <w:r w:rsidR="009809B2" w:rsidRPr="00E24274">
        <w:rPr>
          <w:rFonts w:ascii="Times New Roman" w:hAnsi="Times New Roman"/>
          <w:sz w:val="24"/>
          <w:szCs w:val="24"/>
        </w:rPr>
        <w:t xml:space="preserve"> CRM</w:t>
      </w:r>
      <w:r w:rsidRPr="00E24274">
        <w:rPr>
          <w:rFonts w:ascii="Times New Roman" w:hAnsi="Times New Roman"/>
          <w:sz w:val="24"/>
          <w:szCs w:val="24"/>
        </w:rPr>
        <w:t xml:space="preserve"> jest harmonizacja zasad działalności organizacji zbiorowego zarządzania prawami autorskimi i prawami pokrewnymi, czyli przede wszystkim prawami do utworów, artystycznych wykonań, fonogramów i wideogramów (w pewnym zakresie zbiorowo zarządzane są także prawa do wydań książek i prasy). Organizacje te pełnią istotną rolę przy wykonywani</w:t>
      </w:r>
      <w:r w:rsidR="00B85D46">
        <w:rPr>
          <w:rFonts w:ascii="Times New Roman" w:hAnsi="Times New Roman"/>
          <w:sz w:val="24"/>
          <w:szCs w:val="24"/>
        </w:rPr>
        <w:t>u powyższych praw wyłącznych, w </w:t>
      </w:r>
      <w:r w:rsidRPr="00E24274">
        <w:rPr>
          <w:rFonts w:ascii="Times New Roman" w:hAnsi="Times New Roman"/>
          <w:sz w:val="24"/>
          <w:szCs w:val="24"/>
        </w:rPr>
        <w:t xml:space="preserve">szczególności w sytuacjach, w których masowy charakter korzystania z chronionych nimi treści uniemożliwia lub znacząco utrudnia </w:t>
      </w:r>
      <w:r w:rsidR="00B85D46">
        <w:rPr>
          <w:rFonts w:ascii="Times New Roman" w:hAnsi="Times New Roman"/>
          <w:sz w:val="24"/>
          <w:szCs w:val="24"/>
        </w:rPr>
        <w:t>zawarcie indywidualnych umów ze </w:t>
      </w:r>
      <w:r w:rsidRPr="00E24274">
        <w:rPr>
          <w:rFonts w:ascii="Times New Roman" w:hAnsi="Times New Roman"/>
          <w:sz w:val="24"/>
          <w:szCs w:val="24"/>
        </w:rPr>
        <w:t xml:space="preserve">wszystkimi uprawnionymi. </w:t>
      </w:r>
      <w:r w:rsidR="00EB4F3E" w:rsidRPr="00E24274">
        <w:rPr>
          <w:rFonts w:ascii="Times New Roman" w:hAnsi="Times New Roman"/>
          <w:sz w:val="24"/>
          <w:szCs w:val="24"/>
        </w:rPr>
        <w:t xml:space="preserve">W takiej sytuacji </w:t>
      </w:r>
      <w:r w:rsidRPr="00E24274">
        <w:rPr>
          <w:rFonts w:ascii="Times New Roman" w:hAnsi="Times New Roman"/>
          <w:sz w:val="24"/>
          <w:szCs w:val="24"/>
        </w:rPr>
        <w:t>legalna eksploatacja utworów oraz przedmiotów praw pokrewnych na masową skalę jest możliwa właśnie dzięki instytucji zbiorowego zarządu. Dostrzeżono to już w połowie XIX wieku, kiedy to we Francji powstały pierwsze organizacje zbiorowego zarządzania, których celem było kontrolowanie publicznych wykonań utworów. Najstarszą polską organizacją jest Stowarzyszenie Autorów ZAiKS, utworzone w 1918 r. (wówczas pod nazwą Związek Autorów i Kompozytorów Scenicznych)</w:t>
      </w:r>
      <w:r w:rsidRPr="00E24274">
        <w:rPr>
          <w:rFonts w:ascii="Times New Roman" w:hAnsi="Times New Roman"/>
          <w:sz w:val="24"/>
          <w:szCs w:val="24"/>
          <w:vertAlign w:val="superscript"/>
        </w:rPr>
        <w:footnoteReference w:id="2"/>
      </w:r>
      <w:r w:rsidR="001E6F0B">
        <w:rPr>
          <w:rFonts w:ascii="Times New Roman" w:hAnsi="Times New Roman"/>
          <w:sz w:val="24"/>
          <w:szCs w:val="24"/>
          <w:vertAlign w:val="superscript"/>
        </w:rPr>
        <w:t>)</w:t>
      </w:r>
      <w:r w:rsidRPr="00E24274">
        <w:rPr>
          <w:rFonts w:ascii="Times New Roman" w:hAnsi="Times New Roman"/>
          <w:sz w:val="24"/>
          <w:szCs w:val="24"/>
        </w:rPr>
        <w:t>. Potrzeba istnienia organizacji wzrastała wraz z pojawianiem się nowych form masowej eksploatacji twórczości, takich jak nadawanie, reemisja, powszechnie dostępne kopiowanie i nagrywani</w:t>
      </w:r>
      <w:r w:rsidR="00EB4F3E" w:rsidRPr="00E24274">
        <w:rPr>
          <w:rFonts w:ascii="Times New Roman" w:hAnsi="Times New Roman"/>
          <w:sz w:val="24"/>
          <w:szCs w:val="24"/>
        </w:rPr>
        <w:t>e</w:t>
      </w:r>
      <w:r w:rsidRPr="00E24274">
        <w:rPr>
          <w:rFonts w:ascii="Times New Roman" w:hAnsi="Times New Roman"/>
          <w:sz w:val="24"/>
          <w:szCs w:val="24"/>
        </w:rPr>
        <w:t xml:space="preserve"> czy wreszcie digitalizacja i udostępnianie w internecie, które były sukcesywnie obejmowane ochroną prawnoautorską, a także wraz z powstawaniem nowych kategorii praw wyłącznych. </w:t>
      </w:r>
      <w:r w:rsidR="00EB4F3E" w:rsidRPr="00E24274">
        <w:rPr>
          <w:rFonts w:ascii="Times New Roman" w:hAnsi="Times New Roman"/>
          <w:sz w:val="24"/>
          <w:szCs w:val="24"/>
        </w:rPr>
        <w:t>Rola organizacji rosła więc także wraz z poszerzaniem się kręgu użytkowników dóbr chronionych</w:t>
      </w:r>
      <w:r w:rsidR="00D7695D" w:rsidRPr="00E24274">
        <w:rPr>
          <w:rFonts w:ascii="Times New Roman" w:hAnsi="Times New Roman"/>
          <w:sz w:val="24"/>
          <w:szCs w:val="24"/>
        </w:rPr>
        <w:t>, którzy</w:t>
      </w:r>
      <w:r w:rsidR="0050296F" w:rsidRPr="00E24274">
        <w:rPr>
          <w:rFonts w:ascii="Times New Roman" w:hAnsi="Times New Roman"/>
          <w:sz w:val="24"/>
          <w:szCs w:val="24"/>
        </w:rPr>
        <w:t xml:space="preserve"> mogli</w:t>
      </w:r>
      <w:r w:rsidR="00D7695D" w:rsidRPr="00E24274">
        <w:rPr>
          <w:rFonts w:ascii="Times New Roman" w:hAnsi="Times New Roman"/>
          <w:sz w:val="24"/>
          <w:szCs w:val="24"/>
        </w:rPr>
        <w:t xml:space="preserve"> eksploatować je w różny sposób</w:t>
      </w:r>
      <w:r w:rsidR="00EB4F3E" w:rsidRPr="00E24274">
        <w:rPr>
          <w:rFonts w:ascii="Times New Roman" w:hAnsi="Times New Roman"/>
          <w:sz w:val="24"/>
          <w:szCs w:val="24"/>
        </w:rPr>
        <w:t xml:space="preserve">. </w:t>
      </w:r>
    </w:p>
    <w:p w:rsidR="0015341A" w:rsidRPr="00E24274" w:rsidRDefault="0015341A"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Stanu tego nie zmienia nawet obecny rozwój tech</w:t>
      </w:r>
      <w:r w:rsidR="00ED0FD9">
        <w:rPr>
          <w:rFonts w:ascii="Times New Roman" w:hAnsi="Times New Roman"/>
          <w:sz w:val="24"/>
          <w:szCs w:val="24"/>
        </w:rPr>
        <w:t>nologii cyfrowych. Pomimo że w </w:t>
      </w:r>
      <w:r w:rsidRPr="00E24274">
        <w:rPr>
          <w:rFonts w:ascii="Times New Roman" w:hAnsi="Times New Roman"/>
          <w:sz w:val="24"/>
          <w:szCs w:val="24"/>
        </w:rPr>
        <w:t xml:space="preserve">pewnym stopniu technicznie możliwe staje się indywidualne zarządzanie własnymi </w:t>
      </w:r>
      <w:r w:rsidRPr="00E24274">
        <w:rPr>
          <w:rFonts w:ascii="Times New Roman" w:hAnsi="Times New Roman"/>
          <w:sz w:val="24"/>
          <w:szCs w:val="24"/>
        </w:rPr>
        <w:lastRenderedPageBreak/>
        <w:t xml:space="preserve">prawami z wykorzystaniem narzędzi informatycznych, to jednak opcja ta pozostaje realnie dostępna </w:t>
      </w:r>
      <w:r w:rsidR="00EB4F3E" w:rsidRPr="00E24274">
        <w:rPr>
          <w:rFonts w:ascii="Times New Roman" w:hAnsi="Times New Roman"/>
          <w:sz w:val="24"/>
          <w:szCs w:val="24"/>
        </w:rPr>
        <w:t xml:space="preserve">i opłacalna </w:t>
      </w:r>
      <w:r w:rsidRPr="00E24274">
        <w:rPr>
          <w:rFonts w:ascii="Times New Roman" w:hAnsi="Times New Roman"/>
          <w:sz w:val="24"/>
          <w:szCs w:val="24"/>
        </w:rPr>
        <w:t>tylko dla największych uczestników rynku (np. koncernów muzycznych)</w:t>
      </w:r>
      <w:r w:rsidR="00EB4F3E" w:rsidRPr="00E24274">
        <w:rPr>
          <w:rFonts w:ascii="Times New Roman" w:hAnsi="Times New Roman"/>
          <w:sz w:val="24"/>
          <w:szCs w:val="24"/>
        </w:rPr>
        <w:t xml:space="preserve">. Jednocześnie </w:t>
      </w:r>
      <w:r w:rsidRPr="00E24274">
        <w:rPr>
          <w:rFonts w:ascii="Times New Roman" w:hAnsi="Times New Roman"/>
          <w:sz w:val="24"/>
          <w:szCs w:val="24"/>
        </w:rPr>
        <w:t>znaczna część uprawnionych nie dysponuje środkami ani strukturą organizacyjną niezbędnymi do licencjonowania oraz stałego monitorowania wykorzystania – zarówno w sposób legalny</w:t>
      </w:r>
      <w:r w:rsidR="00B07310">
        <w:rPr>
          <w:rFonts w:ascii="Times New Roman" w:hAnsi="Times New Roman"/>
          <w:sz w:val="24"/>
          <w:szCs w:val="24"/>
        </w:rPr>
        <w:t>,</w:t>
      </w:r>
      <w:r w:rsidRPr="00E24274">
        <w:rPr>
          <w:rFonts w:ascii="Times New Roman" w:hAnsi="Times New Roman"/>
          <w:sz w:val="24"/>
          <w:szCs w:val="24"/>
        </w:rPr>
        <w:t xml:space="preserve"> jak i nielegalny – swojego repertuaru na całym świecie. Muszą oni więc polegać na usługach świadczonych przez profesjonalnych pośredników, wyspecjalizowanych w zarządzaniu dużymi zbiorami praw na skalę masową. Równocześnie z perspektywy użytkowników zbiorowy zarząd jest instrumentem znacząco ułatwiającym legalną eksploatację i dostęp do chronionych dóbr</w:t>
      </w:r>
      <w:r w:rsidR="00D7695D" w:rsidRPr="00E24274">
        <w:rPr>
          <w:rFonts w:ascii="Times New Roman" w:hAnsi="Times New Roman"/>
          <w:sz w:val="24"/>
          <w:szCs w:val="24"/>
        </w:rPr>
        <w:t>, w szczególności jeśli skutecznie umożliwia na</w:t>
      </w:r>
      <w:r w:rsidR="00ED0FD9">
        <w:rPr>
          <w:rFonts w:ascii="Times New Roman" w:hAnsi="Times New Roman"/>
          <w:sz w:val="24"/>
          <w:szCs w:val="24"/>
        </w:rPr>
        <w:t>bycie licencji na korzystanie z </w:t>
      </w:r>
      <w:r w:rsidR="00D7695D" w:rsidRPr="00E24274">
        <w:rPr>
          <w:rFonts w:ascii="Times New Roman" w:hAnsi="Times New Roman"/>
          <w:sz w:val="24"/>
          <w:szCs w:val="24"/>
        </w:rPr>
        <w:t>utworu w określony sposób w jednym miejscu</w:t>
      </w:r>
      <w:r w:rsidRPr="00E24274">
        <w:rPr>
          <w:rFonts w:ascii="Times New Roman" w:hAnsi="Times New Roman"/>
          <w:sz w:val="24"/>
          <w:szCs w:val="24"/>
        </w:rPr>
        <w:t xml:space="preserve">. W konsekwencji organizacje zbiorowego zarządzania stały się nieodzownym </w:t>
      </w:r>
      <w:r w:rsidR="00ED0FD9">
        <w:rPr>
          <w:rFonts w:ascii="Times New Roman" w:hAnsi="Times New Roman"/>
          <w:sz w:val="24"/>
          <w:szCs w:val="24"/>
        </w:rPr>
        <w:t>elementem obrotu licencyjnego i </w:t>
      </w:r>
      <w:r w:rsidRPr="00E24274">
        <w:rPr>
          <w:rFonts w:ascii="Times New Roman" w:hAnsi="Times New Roman"/>
          <w:sz w:val="24"/>
          <w:szCs w:val="24"/>
        </w:rPr>
        <w:t>ochrony praw wyłącznych, przy czym skala i sposób wykorzystania mechanizmów zbio</w:t>
      </w:r>
      <w:r w:rsidR="00D7695D" w:rsidRPr="00E24274">
        <w:rPr>
          <w:rFonts w:ascii="Times New Roman" w:hAnsi="Times New Roman"/>
          <w:sz w:val="24"/>
          <w:szCs w:val="24"/>
        </w:rPr>
        <w:t xml:space="preserve">rowego zarządu są zróżnicowane </w:t>
      </w:r>
      <w:r w:rsidRPr="00E24274">
        <w:rPr>
          <w:rFonts w:ascii="Times New Roman" w:hAnsi="Times New Roman"/>
          <w:sz w:val="24"/>
          <w:szCs w:val="24"/>
        </w:rPr>
        <w:t>między poszczególnymi państwami w zależności od rodzaju chronionych treści i sposobu ich eksploatacji. Zbiorowy zarząd jest powszechnie wykorzystywany przy zarządzaniu prawami autorskimi do muzyki, natomiast w różnym stopniu – zależnie od wykszta</w:t>
      </w:r>
      <w:r w:rsidR="00ED0FD9">
        <w:rPr>
          <w:rFonts w:ascii="Times New Roman" w:hAnsi="Times New Roman"/>
          <w:sz w:val="24"/>
          <w:szCs w:val="24"/>
        </w:rPr>
        <w:t>łconej w danym kraju praktyki i </w:t>
      </w:r>
      <w:r w:rsidRPr="00E24274">
        <w:rPr>
          <w:rFonts w:ascii="Times New Roman" w:hAnsi="Times New Roman"/>
          <w:sz w:val="24"/>
          <w:szCs w:val="24"/>
        </w:rPr>
        <w:t xml:space="preserve">tradycji prawnej – w sektorach audiowizualnym, wydawniczym czy sztuk wizualnych. </w:t>
      </w:r>
    </w:p>
    <w:p w:rsidR="0015341A" w:rsidRPr="00E24274" w:rsidRDefault="0015341A"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Podstawowym zadaniem organizacji jest udzielanie licencji i pobór wynagrodzeń od użytkowników, a następnie podział i wypłata zainkasowanych środków pomiędzy uprawnionych. Organizacje działają co do zasady na podstawie powierzenia praw albo upoważnienia udzielonego przez uprawnionych</w:t>
      </w:r>
      <w:r w:rsidR="00D7695D" w:rsidRPr="00E24274">
        <w:rPr>
          <w:rFonts w:ascii="Times New Roman" w:hAnsi="Times New Roman"/>
          <w:sz w:val="24"/>
          <w:szCs w:val="24"/>
        </w:rPr>
        <w:t>,</w:t>
      </w:r>
      <w:r w:rsidRPr="00E24274">
        <w:rPr>
          <w:rFonts w:ascii="Times New Roman" w:hAnsi="Times New Roman"/>
          <w:sz w:val="24"/>
          <w:szCs w:val="24"/>
        </w:rPr>
        <w:t xml:space="preserve"> ale w wielu przypadkach</w:t>
      </w:r>
      <w:r w:rsidR="00D7695D" w:rsidRPr="00E24274">
        <w:rPr>
          <w:rFonts w:ascii="Times New Roman" w:hAnsi="Times New Roman"/>
          <w:sz w:val="24"/>
          <w:szCs w:val="24"/>
        </w:rPr>
        <w:t xml:space="preserve"> </w:t>
      </w:r>
      <w:r w:rsidR="000136FF" w:rsidRPr="00E24274">
        <w:rPr>
          <w:rFonts w:ascii="Times New Roman" w:hAnsi="Times New Roman"/>
          <w:sz w:val="24"/>
          <w:szCs w:val="24"/>
        </w:rPr>
        <w:t>–</w:t>
      </w:r>
      <w:r w:rsidRPr="00E24274">
        <w:rPr>
          <w:rFonts w:ascii="Times New Roman" w:hAnsi="Times New Roman"/>
          <w:sz w:val="24"/>
          <w:szCs w:val="24"/>
        </w:rPr>
        <w:t xml:space="preserve"> dla zapewnienia możliwości korzystania z szerokiego </w:t>
      </w:r>
      <w:r w:rsidR="00D7695D" w:rsidRPr="00E24274">
        <w:rPr>
          <w:rFonts w:ascii="Times New Roman" w:hAnsi="Times New Roman"/>
          <w:sz w:val="24"/>
          <w:szCs w:val="24"/>
        </w:rPr>
        <w:t xml:space="preserve">czy wręcz globalnego repertuaru </w:t>
      </w:r>
      <w:r w:rsidR="000136FF" w:rsidRPr="00E24274">
        <w:rPr>
          <w:rFonts w:ascii="Times New Roman" w:hAnsi="Times New Roman"/>
          <w:sz w:val="24"/>
          <w:szCs w:val="24"/>
        </w:rPr>
        <w:t>–</w:t>
      </w:r>
      <w:r w:rsidRPr="00E24274">
        <w:rPr>
          <w:rFonts w:ascii="Times New Roman" w:hAnsi="Times New Roman"/>
          <w:sz w:val="24"/>
          <w:szCs w:val="24"/>
        </w:rPr>
        <w:t xml:space="preserve"> przepisy prawa uprawniają organizacje do reprezentowania także repertuaru niepowierzonego (tzw. rozszerzony skutek licencji). Z uwagi na terytorialny charakter prawa autorskiego działalność organizacji jest zazwyczaj ograniczona do terytorium jednego państwa, a repertuar zagraniczny reprezentują one na podstawie umów zawartych ze swoimi odpowiednikami z innych krajów (dopiero w erze cyfrowej zaczęły powstawać mechanizmy licencji wieloterytorialnych</w:t>
      </w:r>
      <w:r w:rsidRPr="00E24274">
        <w:rPr>
          <w:rFonts w:ascii="Times New Roman" w:hAnsi="Times New Roman"/>
          <w:sz w:val="24"/>
          <w:szCs w:val="24"/>
          <w:vertAlign w:val="superscript"/>
        </w:rPr>
        <w:footnoteReference w:id="3"/>
      </w:r>
      <w:r w:rsidR="001E6F0B" w:rsidRPr="001E6F0B">
        <w:rPr>
          <w:rFonts w:ascii="Times New Roman" w:hAnsi="Times New Roman"/>
          <w:sz w:val="24"/>
          <w:szCs w:val="24"/>
          <w:vertAlign w:val="superscript"/>
        </w:rPr>
        <w:t>)</w:t>
      </w:r>
      <w:r w:rsidRPr="00E24274">
        <w:rPr>
          <w:rFonts w:ascii="Times New Roman" w:hAnsi="Times New Roman"/>
          <w:sz w:val="24"/>
          <w:szCs w:val="24"/>
        </w:rPr>
        <w:t xml:space="preserve"> na potrzeby </w:t>
      </w:r>
      <w:r w:rsidRPr="00E24274">
        <w:rPr>
          <w:rFonts w:ascii="Times New Roman" w:hAnsi="Times New Roman"/>
          <w:sz w:val="24"/>
          <w:szCs w:val="24"/>
        </w:rPr>
        <w:lastRenderedPageBreak/>
        <w:t xml:space="preserve">udostępniania treści w internecie, mając na uwadze jego ponadgraniczny charakter). Wiele organizacji – poza zbiorowym zarządem </w:t>
      </w:r>
      <w:r w:rsidR="00D7695D" w:rsidRPr="00E24274">
        <w:rPr>
          <w:rFonts w:ascii="Times New Roman" w:hAnsi="Times New Roman"/>
          <w:i/>
          <w:sz w:val="24"/>
          <w:szCs w:val="24"/>
        </w:rPr>
        <w:t>sensu stricto</w:t>
      </w:r>
      <w:r w:rsidR="00D7695D" w:rsidRPr="00E24274">
        <w:rPr>
          <w:rFonts w:ascii="Times New Roman" w:hAnsi="Times New Roman"/>
          <w:sz w:val="24"/>
          <w:szCs w:val="24"/>
        </w:rPr>
        <w:t xml:space="preserve"> </w:t>
      </w:r>
      <w:r w:rsidRPr="00E24274">
        <w:rPr>
          <w:rFonts w:ascii="Times New Roman" w:hAnsi="Times New Roman"/>
          <w:sz w:val="24"/>
          <w:szCs w:val="24"/>
        </w:rPr>
        <w:t>– prowadzi też działalność w zakresie wsparcia socjalnego i upowszechniania kultury.</w:t>
      </w:r>
    </w:p>
    <w:p w:rsidR="0015341A" w:rsidRPr="00E24274" w:rsidRDefault="0015341A"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W Europie funkcjonowanie organizacji zbiorowego zarządzania stało się tak naturalne, że przepisy dyrektyw, którymi od 1991 r. dokonywana jest harmonizacja prawa autorskiego i praw pokrewnych, uznawały istnienie organizacji za rzecz oczywistą</w:t>
      </w:r>
      <w:r w:rsidRPr="00E24274">
        <w:rPr>
          <w:rFonts w:ascii="Times New Roman" w:hAnsi="Times New Roman"/>
          <w:sz w:val="24"/>
          <w:szCs w:val="24"/>
          <w:vertAlign w:val="superscript"/>
        </w:rPr>
        <w:footnoteReference w:id="4"/>
      </w:r>
      <w:r w:rsidR="001E6F0B" w:rsidRPr="001E6F0B">
        <w:rPr>
          <w:rFonts w:ascii="Times New Roman" w:hAnsi="Times New Roman"/>
          <w:sz w:val="24"/>
          <w:szCs w:val="24"/>
          <w:vertAlign w:val="superscript"/>
        </w:rPr>
        <w:t>)</w:t>
      </w:r>
      <w:r w:rsidRPr="00E24274">
        <w:rPr>
          <w:rFonts w:ascii="Times New Roman" w:hAnsi="Times New Roman"/>
          <w:sz w:val="24"/>
          <w:szCs w:val="24"/>
        </w:rPr>
        <w:t xml:space="preserve">. </w:t>
      </w:r>
      <w:r w:rsidR="00ED0FD9">
        <w:rPr>
          <w:rFonts w:ascii="Times New Roman" w:hAnsi="Times New Roman"/>
          <w:sz w:val="24"/>
          <w:szCs w:val="24"/>
        </w:rPr>
        <w:t>W </w:t>
      </w:r>
      <w:r w:rsidR="00D7695D" w:rsidRPr="00E24274">
        <w:rPr>
          <w:rFonts w:ascii="Times New Roman" w:hAnsi="Times New Roman"/>
          <w:sz w:val="24"/>
          <w:szCs w:val="24"/>
        </w:rPr>
        <w:t xml:space="preserve">konsekwencji </w:t>
      </w:r>
      <w:r w:rsidRPr="00E24274">
        <w:rPr>
          <w:rFonts w:ascii="Times New Roman" w:hAnsi="Times New Roman"/>
          <w:sz w:val="24"/>
          <w:szCs w:val="24"/>
        </w:rPr>
        <w:t>w żadnym z przypadków, w których ustawodawca europejski odwoływał się do pośrednictwa organizacji zbiorowego zarządzania, nie wprowadzano równoczesnego obowiązku zapewnienia, aby uprawnieni w poszczególnych państwach członkowskich byli przez takie organizacje reprezentowani. Nie było to ani możliwe, ani konieczne</w:t>
      </w:r>
      <w:r w:rsidR="00B07310">
        <w:rPr>
          <w:rFonts w:ascii="Times New Roman" w:hAnsi="Times New Roman"/>
          <w:sz w:val="24"/>
          <w:szCs w:val="24"/>
        </w:rPr>
        <w:t>,</w:t>
      </w:r>
      <w:r w:rsidRPr="00E24274">
        <w:rPr>
          <w:rFonts w:ascii="Times New Roman" w:hAnsi="Times New Roman"/>
          <w:sz w:val="24"/>
          <w:szCs w:val="24"/>
        </w:rPr>
        <w:t xml:space="preserve"> biorąc pod uwagę, że tradycyjnie organizacje zbiorowego zarządzania są dobrowolnymi zrzeszeniami uprawnionych, działającymi na zasadach </w:t>
      </w:r>
      <w:r w:rsidRPr="00E24274">
        <w:rPr>
          <w:rFonts w:ascii="Times New Roman" w:hAnsi="Times New Roman"/>
          <w:i/>
          <w:sz w:val="24"/>
          <w:szCs w:val="24"/>
        </w:rPr>
        <w:t>non-profit</w:t>
      </w:r>
      <w:r w:rsidR="00ED0FD9">
        <w:rPr>
          <w:rFonts w:ascii="Times New Roman" w:hAnsi="Times New Roman"/>
          <w:sz w:val="24"/>
          <w:szCs w:val="24"/>
        </w:rPr>
        <w:t xml:space="preserve"> w </w:t>
      </w:r>
      <w:r w:rsidRPr="00E24274">
        <w:rPr>
          <w:rFonts w:ascii="Times New Roman" w:hAnsi="Times New Roman"/>
          <w:sz w:val="24"/>
          <w:szCs w:val="24"/>
        </w:rPr>
        <w:t>obszarach, w których indywidualne administrowanie prawami okazało się nieefektywne czy wręcz niemożliwe.</w:t>
      </w:r>
    </w:p>
    <w:p w:rsidR="0031552C" w:rsidRPr="00E24274" w:rsidRDefault="0015341A"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 xml:space="preserve">W dwóch przypadkach w prawie UE zdecydowano się nawet na wprowadzenie obligatoryjnego pośrednictwa organizacji zbiorowego zarządzania. Pierwszy z nich dotyczy udzielania licencji na reemisję utworów </w:t>
      </w:r>
      <w:r w:rsidR="00ED0FD9">
        <w:rPr>
          <w:rFonts w:ascii="Times New Roman" w:hAnsi="Times New Roman"/>
          <w:sz w:val="24"/>
          <w:szCs w:val="24"/>
        </w:rPr>
        <w:t>i przedmiotów praw pokrewnych w </w:t>
      </w:r>
      <w:r w:rsidRPr="00E24274">
        <w:rPr>
          <w:rFonts w:ascii="Times New Roman" w:hAnsi="Times New Roman"/>
          <w:sz w:val="24"/>
          <w:szCs w:val="24"/>
        </w:rPr>
        <w:t>sieciach kablowych (art. 9 dyrektywy Rady nr 93/83/EWG z dnia 27 września 1993 r. w sprawie koordynacji niektórych zasad dotyczących prawa autorskiego oraz praw pokrewnych stosowanych w odniesieniu do przekazu satelitarnego oraz retransmisji drogą kablową)</w:t>
      </w:r>
      <w:r w:rsidR="002046B0" w:rsidRPr="00E24274">
        <w:rPr>
          <w:rStyle w:val="Odwoanieprzypisudolnego"/>
          <w:rFonts w:ascii="Times New Roman" w:hAnsi="Times New Roman"/>
          <w:sz w:val="24"/>
          <w:szCs w:val="24"/>
        </w:rPr>
        <w:footnoteReference w:id="5"/>
      </w:r>
      <w:r w:rsidR="001E6F0B" w:rsidRPr="001E6F0B">
        <w:rPr>
          <w:rFonts w:ascii="Times New Roman" w:hAnsi="Times New Roman"/>
          <w:sz w:val="24"/>
          <w:szCs w:val="24"/>
          <w:vertAlign w:val="superscript"/>
        </w:rPr>
        <w:t>)</w:t>
      </w:r>
      <w:r w:rsidRPr="00E24274">
        <w:rPr>
          <w:rFonts w:ascii="Times New Roman" w:hAnsi="Times New Roman"/>
          <w:sz w:val="24"/>
          <w:szCs w:val="24"/>
        </w:rPr>
        <w:t xml:space="preserve">. Taka licencja obejmuje też uprawnionych, którzy nie powierzyli praw żadnej organizacji. Wtedy też, na potrzeby powyższej regulacji, zdefiniowano organizację zbiorowego zarządzania jako </w:t>
      </w:r>
      <w:r w:rsidR="00E24274">
        <w:rPr>
          <w:rFonts w:ascii="Times New Roman" w:hAnsi="Times New Roman"/>
          <w:i/>
          <w:sz w:val="24"/>
          <w:szCs w:val="24"/>
        </w:rPr>
        <w:t>„</w:t>
      </w:r>
      <w:r w:rsidRPr="00E24274">
        <w:rPr>
          <w:rFonts w:ascii="Times New Roman" w:hAnsi="Times New Roman"/>
          <w:i/>
          <w:sz w:val="24"/>
          <w:szCs w:val="24"/>
        </w:rPr>
        <w:t>każdą organizację, której jedynym celem lub jednym z głównych celów jest zarządzanie i administrowanie prawami autorskimi lub prawami pokrewnymi</w:t>
      </w:r>
      <w:r w:rsidR="00E24274">
        <w:rPr>
          <w:rFonts w:ascii="Times New Roman" w:hAnsi="Times New Roman"/>
          <w:i/>
          <w:sz w:val="24"/>
          <w:szCs w:val="24"/>
        </w:rPr>
        <w:t>”</w:t>
      </w:r>
      <w:r w:rsidRPr="00E24274">
        <w:rPr>
          <w:rFonts w:ascii="Times New Roman" w:hAnsi="Times New Roman"/>
          <w:sz w:val="24"/>
          <w:szCs w:val="24"/>
        </w:rPr>
        <w:t xml:space="preserve"> (art. 1 ust. 4 ww. dyrektywy). Definicja ta była dość ogólna, uwzględniająca zróżnicowane formy organizacyjne zbiorowego zarządu w Europie, </w:t>
      </w:r>
      <w:r w:rsidRPr="00E24274">
        <w:rPr>
          <w:rFonts w:ascii="Times New Roman" w:hAnsi="Times New Roman"/>
          <w:sz w:val="24"/>
          <w:szCs w:val="24"/>
        </w:rPr>
        <w:lastRenderedPageBreak/>
        <w:t xml:space="preserve">gdyż wówczas ich </w:t>
      </w:r>
      <w:r w:rsidR="00D7695D" w:rsidRPr="00E24274">
        <w:rPr>
          <w:rFonts w:ascii="Times New Roman" w:hAnsi="Times New Roman"/>
          <w:sz w:val="24"/>
          <w:szCs w:val="24"/>
        </w:rPr>
        <w:t xml:space="preserve">nawet minimalna </w:t>
      </w:r>
      <w:r w:rsidRPr="00E24274">
        <w:rPr>
          <w:rFonts w:ascii="Times New Roman" w:hAnsi="Times New Roman"/>
          <w:sz w:val="24"/>
          <w:szCs w:val="24"/>
        </w:rPr>
        <w:t>harmonizacja nie była celem cytowanej dyrektywy</w:t>
      </w:r>
      <w:r w:rsidRPr="00E24274">
        <w:rPr>
          <w:rFonts w:ascii="Times New Roman" w:hAnsi="Times New Roman"/>
          <w:sz w:val="24"/>
          <w:szCs w:val="24"/>
          <w:vertAlign w:val="superscript"/>
        </w:rPr>
        <w:footnoteReference w:id="6"/>
      </w:r>
      <w:r w:rsidR="001E6F0B" w:rsidRPr="001E6F0B">
        <w:rPr>
          <w:rFonts w:ascii="Times New Roman" w:hAnsi="Times New Roman"/>
          <w:sz w:val="24"/>
          <w:szCs w:val="24"/>
          <w:vertAlign w:val="superscript"/>
        </w:rPr>
        <w:t>)</w:t>
      </w:r>
      <w:r w:rsidRPr="00E24274">
        <w:rPr>
          <w:rFonts w:ascii="Times New Roman" w:hAnsi="Times New Roman"/>
          <w:sz w:val="24"/>
          <w:szCs w:val="24"/>
        </w:rPr>
        <w:t xml:space="preserve">. </w:t>
      </w:r>
    </w:p>
    <w:p w:rsidR="0015341A" w:rsidRPr="00E24274" w:rsidRDefault="0015341A"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 xml:space="preserve">Poza tym państwa członkowskie są zobowiązane zapewnić, </w:t>
      </w:r>
      <w:r w:rsidR="0031552C" w:rsidRPr="00E24274">
        <w:rPr>
          <w:rFonts w:ascii="Times New Roman" w:hAnsi="Times New Roman"/>
          <w:sz w:val="24"/>
          <w:szCs w:val="24"/>
        </w:rPr>
        <w:t>aby</w:t>
      </w:r>
      <w:r w:rsidRPr="00E24274">
        <w:rPr>
          <w:rFonts w:ascii="Times New Roman" w:hAnsi="Times New Roman"/>
          <w:sz w:val="24"/>
          <w:szCs w:val="24"/>
        </w:rPr>
        <w:t xml:space="preserve"> za pośrednictwem organizacji zbiorowego zarządzania wykonywane </w:t>
      </w:r>
      <w:r w:rsidR="00D7695D" w:rsidRPr="00E24274">
        <w:rPr>
          <w:rFonts w:ascii="Times New Roman" w:hAnsi="Times New Roman"/>
          <w:sz w:val="24"/>
          <w:szCs w:val="24"/>
        </w:rPr>
        <w:t>było</w:t>
      </w:r>
      <w:r w:rsidRPr="00E24274">
        <w:rPr>
          <w:rFonts w:ascii="Times New Roman" w:hAnsi="Times New Roman"/>
          <w:sz w:val="24"/>
          <w:szCs w:val="24"/>
        </w:rPr>
        <w:t xml:space="preserve"> prawo do dodatkowego wynagrodzenia wypłacanego artystom wykonawcom przez producentów fonogramów (art. 3 ust. 2d dyrektywy 2006/116/WE Parlamentu</w:t>
      </w:r>
      <w:r w:rsidR="00ED0FD9">
        <w:rPr>
          <w:rFonts w:ascii="Times New Roman" w:hAnsi="Times New Roman"/>
          <w:sz w:val="24"/>
          <w:szCs w:val="24"/>
        </w:rPr>
        <w:t xml:space="preserve"> Europejskiego i Rady z dnia 12 </w:t>
      </w:r>
      <w:r w:rsidRPr="00E24274">
        <w:rPr>
          <w:rFonts w:ascii="Times New Roman" w:hAnsi="Times New Roman"/>
          <w:sz w:val="24"/>
          <w:szCs w:val="24"/>
        </w:rPr>
        <w:t>grudnia 2006 r. w sprawie czasu ochrony prawa autorskieg</w:t>
      </w:r>
      <w:r w:rsidR="00EE7A29" w:rsidRPr="00E24274">
        <w:rPr>
          <w:rFonts w:ascii="Times New Roman" w:hAnsi="Times New Roman"/>
          <w:sz w:val="24"/>
          <w:szCs w:val="24"/>
        </w:rPr>
        <w:t>o i niektórych praw pokrewnych, zmienionej dyrektywą 2011/77/UE</w:t>
      </w:r>
      <w:r w:rsidRPr="00E24274">
        <w:rPr>
          <w:rFonts w:ascii="Times New Roman" w:hAnsi="Times New Roman"/>
          <w:sz w:val="24"/>
          <w:szCs w:val="24"/>
        </w:rPr>
        <w:t>).</w:t>
      </w:r>
    </w:p>
    <w:p w:rsidR="00956790" w:rsidRPr="00E24274" w:rsidRDefault="0015341A"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 xml:space="preserve">Natomiast w odniesieniu do niektórych innych sposobów eksploatacji </w:t>
      </w:r>
      <w:r w:rsidR="00ED3C57" w:rsidRPr="00E24274">
        <w:rPr>
          <w:rFonts w:ascii="Times New Roman" w:hAnsi="Times New Roman"/>
          <w:sz w:val="24"/>
          <w:szCs w:val="24"/>
        </w:rPr>
        <w:t xml:space="preserve">utworów lub przedmiotów praw pokrewnych </w:t>
      </w:r>
      <w:r w:rsidRPr="00E24274">
        <w:rPr>
          <w:rFonts w:ascii="Times New Roman" w:hAnsi="Times New Roman"/>
          <w:sz w:val="24"/>
          <w:szCs w:val="24"/>
        </w:rPr>
        <w:t xml:space="preserve">prawo UE wskazuje na możliwość lub zasadność wprowadzenia pośrednictwa </w:t>
      </w:r>
      <w:r w:rsidR="00956790" w:rsidRPr="00E24274">
        <w:rPr>
          <w:rFonts w:ascii="Times New Roman" w:hAnsi="Times New Roman"/>
          <w:sz w:val="24"/>
          <w:szCs w:val="24"/>
        </w:rPr>
        <w:t xml:space="preserve">organizacji </w:t>
      </w:r>
      <w:r w:rsidRPr="00E24274">
        <w:rPr>
          <w:rFonts w:ascii="Times New Roman" w:hAnsi="Times New Roman"/>
          <w:sz w:val="24"/>
          <w:szCs w:val="24"/>
        </w:rPr>
        <w:t>przez państ</w:t>
      </w:r>
      <w:r w:rsidR="00ED0FD9">
        <w:rPr>
          <w:rFonts w:ascii="Times New Roman" w:hAnsi="Times New Roman"/>
          <w:sz w:val="24"/>
          <w:szCs w:val="24"/>
        </w:rPr>
        <w:t>wa członkowskie. Uczyniono to w </w:t>
      </w:r>
      <w:r w:rsidRPr="00E24274">
        <w:rPr>
          <w:rFonts w:ascii="Times New Roman" w:hAnsi="Times New Roman"/>
          <w:sz w:val="24"/>
          <w:szCs w:val="24"/>
        </w:rPr>
        <w:t xml:space="preserve">odniesieniu do: </w:t>
      </w:r>
    </w:p>
    <w:p w:rsidR="00956790" w:rsidRPr="00E24274" w:rsidRDefault="0015341A" w:rsidP="00ED0FD9">
      <w:pPr>
        <w:pStyle w:val="Akapitzlist"/>
        <w:numPr>
          <w:ilvl w:val="0"/>
          <w:numId w:val="12"/>
        </w:numPr>
        <w:spacing w:after="0" w:line="360" w:lineRule="auto"/>
        <w:ind w:left="284" w:hanging="284"/>
        <w:contextualSpacing w:val="0"/>
        <w:jc w:val="both"/>
        <w:rPr>
          <w:rFonts w:ascii="Times New Roman" w:hAnsi="Times New Roman"/>
          <w:sz w:val="24"/>
          <w:szCs w:val="24"/>
        </w:rPr>
      </w:pPr>
      <w:r w:rsidRPr="00E24274">
        <w:rPr>
          <w:rFonts w:ascii="Times New Roman" w:hAnsi="Times New Roman"/>
          <w:sz w:val="24"/>
          <w:szCs w:val="24"/>
        </w:rPr>
        <w:t>udzielania licencji na nadania satelitarne (wskazując przy tym, że mogą to być licencje o charakterze rozszerzonym – art. 3 ust. 2 i 3 dyrektywy 93/83/EWG)</w:t>
      </w:r>
      <w:r w:rsidR="00956790" w:rsidRPr="00E24274">
        <w:rPr>
          <w:rFonts w:ascii="Times New Roman" w:hAnsi="Times New Roman"/>
          <w:sz w:val="24"/>
          <w:szCs w:val="24"/>
        </w:rPr>
        <w:t>;</w:t>
      </w:r>
    </w:p>
    <w:p w:rsidR="00956790" w:rsidRPr="00E24274" w:rsidRDefault="0015341A" w:rsidP="00ED0FD9">
      <w:pPr>
        <w:pStyle w:val="Akapitzlist"/>
        <w:numPr>
          <w:ilvl w:val="0"/>
          <w:numId w:val="12"/>
        </w:numPr>
        <w:spacing w:after="0" w:line="360" w:lineRule="auto"/>
        <w:ind w:left="284" w:hanging="284"/>
        <w:contextualSpacing w:val="0"/>
        <w:jc w:val="both"/>
        <w:rPr>
          <w:rFonts w:ascii="Times New Roman" w:hAnsi="Times New Roman"/>
          <w:sz w:val="24"/>
          <w:szCs w:val="24"/>
        </w:rPr>
      </w:pPr>
      <w:r w:rsidRPr="00E24274">
        <w:rPr>
          <w:rFonts w:ascii="Times New Roman" w:hAnsi="Times New Roman"/>
          <w:sz w:val="24"/>
          <w:szCs w:val="24"/>
        </w:rPr>
        <w:t>wykonywania prawa do stosownego wynagrodzenia należnego twórcy lub wykonawcy z tytułu najmu egzemplarza fonogramu lub filmu (art. 5 ust. 3 i 4 dyrektywy 2006/115/WE Parlamentu Europejskiego i Rady z dnia 12 grudnia 2006 r. w sprawie prawa najmu i użyczenia oraz niektórych praw pokrewnych prawu autorskiemu w zakresie własności intele</w:t>
      </w:r>
      <w:r w:rsidR="00956790" w:rsidRPr="00E24274">
        <w:rPr>
          <w:rFonts w:ascii="Times New Roman" w:hAnsi="Times New Roman"/>
          <w:sz w:val="24"/>
          <w:szCs w:val="24"/>
        </w:rPr>
        <w:t>ktualnej – wersja ujednolicona);</w:t>
      </w:r>
    </w:p>
    <w:p w:rsidR="00956790" w:rsidRPr="00E24274" w:rsidRDefault="0015341A" w:rsidP="00ED0FD9">
      <w:pPr>
        <w:pStyle w:val="Akapitzlist"/>
        <w:numPr>
          <w:ilvl w:val="0"/>
          <w:numId w:val="12"/>
        </w:numPr>
        <w:spacing w:after="0" w:line="360" w:lineRule="auto"/>
        <w:ind w:left="284" w:hanging="284"/>
        <w:contextualSpacing w:val="0"/>
        <w:jc w:val="both"/>
        <w:rPr>
          <w:rFonts w:ascii="Times New Roman" w:hAnsi="Times New Roman"/>
          <w:sz w:val="24"/>
          <w:szCs w:val="24"/>
        </w:rPr>
      </w:pPr>
      <w:r w:rsidRPr="00E24274">
        <w:rPr>
          <w:rFonts w:ascii="Times New Roman" w:hAnsi="Times New Roman"/>
          <w:sz w:val="24"/>
          <w:szCs w:val="24"/>
        </w:rPr>
        <w:t xml:space="preserve">wykonywania prawa do wynagrodzenia z tytułu </w:t>
      </w:r>
      <w:r w:rsidRPr="00E24274">
        <w:rPr>
          <w:rFonts w:ascii="Times New Roman" w:hAnsi="Times New Roman"/>
          <w:i/>
          <w:sz w:val="24"/>
          <w:szCs w:val="24"/>
        </w:rPr>
        <w:t xml:space="preserve">droit de suite </w:t>
      </w:r>
      <w:r w:rsidRPr="00E24274">
        <w:rPr>
          <w:rFonts w:ascii="Times New Roman" w:hAnsi="Times New Roman"/>
          <w:sz w:val="24"/>
          <w:szCs w:val="24"/>
        </w:rPr>
        <w:t>(art. 6 ust. 2 dyrektywy 2001/84/WE Parlamentu Europejskiego i Rady z dnia 27 września 2001 r. w sprawie prawa autora do wynagrodzenia z tytułu odsprzedaży oryginalnego egzemplarza dzieła sztuki)</w:t>
      </w:r>
      <w:r w:rsidR="00956790" w:rsidRPr="00E24274">
        <w:rPr>
          <w:rFonts w:ascii="Times New Roman" w:hAnsi="Times New Roman"/>
          <w:sz w:val="24"/>
          <w:szCs w:val="24"/>
        </w:rPr>
        <w:t>;</w:t>
      </w:r>
    </w:p>
    <w:p w:rsidR="00956790" w:rsidRPr="00E24274" w:rsidRDefault="0015341A" w:rsidP="00ED0FD9">
      <w:pPr>
        <w:pStyle w:val="Akapitzlist"/>
        <w:numPr>
          <w:ilvl w:val="0"/>
          <w:numId w:val="12"/>
        </w:numPr>
        <w:spacing w:after="0" w:line="360" w:lineRule="auto"/>
        <w:ind w:left="284" w:hanging="284"/>
        <w:contextualSpacing w:val="0"/>
        <w:jc w:val="both"/>
        <w:rPr>
          <w:rFonts w:ascii="Times New Roman" w:hAnsi="Times New Roman"/>
          <w:sz w:val="24"/>
          <w:szCs w:val="24"/>
        </w:rPr>
      </w:pPr>
      <w:r w:rsidRPr="00E24274">
        <w:rPr>
          <w:rFonts w:ascii="Times New Roman" w:hAnsi="Times New Roman"/>
          <w:sz w:val="24"/>
          <w:szCs w:val="24"/>
        </w:rPr>
        <w:t>nabywania przez nadawców radiowych lub telewizyjnyc</w:t>
      </w:r>
      <w:r w:rsidR="00ED0FD9">
        <w:rPr>
          <w:rFonts w:ascii="Times New Roman" w:hAnsi="Times New Roman"/>
          <w:sz w:val="24"/>
          <w:szCs w:val="24"/>
        </w:rPr>
        <w:t>h licencji na korzystanie z </w:t>
      </w:r>
      <w:r w:rsidRPr="00E24274">
        <w:rPr>
          <w:rFonts w:ascii="Times New Roman" w:hAnsi="Times New Roman"/>
          <w:sz w:val="24"/>
          <w:szCs w:val="24"/>
        </w:rPr>
        <w:t xml:space="preserve">muzyki na potrzeby udostępniania programów w usługach </w:t>
      </w:r>
      <w:r w:rsidR="00E24274">
        <w:rPr>
          <w:rFonts w:ascii="Times New Roman" w:hAnsi="Times New Roman"/>
          <w:sz w:val="24"/>
          <w:szCs w:val="24"/>
        </w:rPr>
        <w:t>„</w:t>
      </w:r>
      <w:r w:rsidRPr="00E24274">
        <w:rPr>
          <w:rFonts w:ascii="Times New Roman" w:hAnsi="Times New Roman"/>
          <w:sz w:val="24"/>
          <w:szCs w:val="24"/>
        </w:rPr>
        <w:t>na żądanie</w:t>
      </w:r>
      <w:r w:rsidR="00E24274">
        <w:rPr>
          <w:rFonts w:ascii="Times New Roman" w:hAnsi="Times New Roman"/>
          <w:sz w:val="24"/>
          <w:szCs w:val="24"/>
        </w:rPr>
        <w:t>”</w:t>
      </w:r>
      <w:r w:rsidR="00ED0FD9">
        <w:rPr>
          <w:rFonts w:ascii="Times New Roman" w:hAnsi="Times New Roman"/>
          <w:sz w:val="24"/>
          <w:szCs w:val="24"/>
        </w:rPr>
        <w:t xml:space="preserve"> (motyw 26 </w:t>
      </w:r>
      <w:r w:rsidRPr="00E24274">
        <w:rPr>
          <w:rFonts w:ascii="Times New Roman" w:hAnsi="Times New Roman"/>
          <w:sz w:val="24"/>
          <w:szCs w:val="24"/>
        </w:rPr>
        <w:t>preambuły dyrektywy 2001/29/WE Parlamentu</w:t>
      </w:r>
      <w:r w:rsidR="00ED0FD9">
        <w:rPr>
          <w:rFonts w:ascii="Times New Roman" w:hAnsi="Times New Roman"/>
          <w:sz w:val="24"/>
          <w:szCs w:val="24"/>
        </w:rPr>
        <w:t xml:space="preserve"> Europejskiego i Rady z dnia 22 </w:t>
      </w:r>
      <w:r w:rsidRPr="00E24274">
        <w:rPr>
          <w:rFonts w:ascii="Times New Roman" w:hAnsi="Times New Roman"/>
          <w:sz w:val="24"/>
          <w:szCs w:val="24"/>
        </w:rPr>
        <w:t>maja 2001 r. w sprawie harmonizacji niektó</w:t>
      </w:r>
      <w:r w:rsidR="00ED0FD9">
        <w:rPr>
          <w:rFonts w:ascii="Times New Roman" w:hAnsi="Times New Roman"/>
          <w:sz w:val="24"/>
          <w:szCs w:val="24"/>
        </w:rPr>
        <w:t>rych aspektów praw autorskich i </w:t>
      </w:r>
      <w:r w:rsidRPr="00E24274">
        <w:rPr>
          <w:rFonts w:ascii="Times New Roman" w:hAnsi="Times New Roman"/>
          <w:sz w:val="24"/>
          <w:szCs w:val="24"/>
        </w:rPr>
        <w:t xml:space="preserve">pokrewnych </w:t>
      </w:r>
      <w:r w:rsidR="00956790" w:rsidRPr="00E24274">
        <w:rPr>
          <w:rFonts w:ascii="Times New Roman" w:hAnsi="Times New Roman"/>
          <w:sz w:val="24"/>
          <w:szCs w:val="24"/>
        </w:rPr>
        <w:t>w społeczeństwie informacyjnym);</w:t>
      </w:r>
    </w:p>
    <w:p w:rsidR="00956790" w:rsidRPr="00E24274" w:rsidRDefault="0015341A" w:rsidP="00ED0FD9">
      <w:pPr>
        <w:pStyle w:val="Akapitzlist"/>
        <w:numPr>
          <w:ilvl w:val="0"/>
          <w:numId w:val="12"/>
        </w:numPr>
        <w:spacing w:after="0" w:line="360" w:lineRule="auto"/>
        <w:ind w:left="284" w:hanging="284"/>
        <w:contextualSpacing w:val="0"/>
        <w:jc w:val="both"/>
        <w:rPr>
          <w:rFonts w:ascii="Times New Roman" w:hAnsi="Times New Roman"/>
          <w:sz w:val="24"/>
          <w:szCs w:val="24"/>
        </w:rPr>
      </w:pPr>
      <w:r w:rsidRPr="00E24274">
        <w:rPr>
          <w:rFonts w:ascii="Times New Roman" w:hAnsi="Times New Roman"/>
          <w:sz w:val="24"/>
          <w:szCs w:val="24"/>
        </w:rPr>
        <w:t>korzystania z utworów niedostępnych w obrocie handlowym (motyw 4 dyrektywy Parlamentu Europejskiego i Rady 2012/28/UE z</w:t>
      </w:r>
      <w:r w:rsidR="00ED0FD9">
        <w:rPr>
          <w:rFonts w:ascii="Times New Roman" w:hAnsi="Times New Roman"/>
          <w:sz w:val="24"/>
          <w:szCs w:val="24"/>
        </w:rPr>
        <w:t xml:space="preserve"> dnia 25 października 2012 r. </w:t>
      </w:r>
      <w:r w:rsidR="00ED0FD9">
        <w:rPr>
          <w:rFonts w:ascii="Times New Roman" w:hAnsi="Times New Roman"/>
          <w:sz w:val="24"/>
          <w:szCs w:val="24"/>
        </w:rPr>
        <w:lastRenderedPageBreak/>
        <w:t>w </w:t>
      </w:r>
      <w:r w:rsidRPr="00E24274">
        <w:rPr>
          <w:rFonts w:ascii="Times New Roman" w:hAnsi="Times New Roman"/>
          <w:sz w:val="24"/>
          <w:szCs w:val="24"/>
        </w:rPr>
        <w:t>sprawie niektórych dozwolonych sposobów korzystania z utworów osieroconych)</w:t>
      </w:r>
      <w:r w:rsidR="005B75C9" w:rsidRPr="00E24274">
        <w:rPr>
          <w:rStyle w:val="Odwoanieprzypisudolnego"/>
          <w:rFonts w:ascii="Times New Roman" w:hAnsi="Times New Roman"/>
          <w:sz w:val="24"/>
          <w:szCs w:val="24"/>
        </w:rPr>
        <w:footnoteReference w:id="7"/>
      </w:r>
      <w:r w:rsidR="001E6F0B" w:rsidRPr="001E6F0B">
        <w:rPr>
          <w:rFonts w:ascii="Times New Roman" w:hAnsi="Times New Roman"/>
          <w:sz w:val="24"/>
          <w:szCs w:val="24"/>
          <w:vertAlign w:val="superscript"/>
        </w:rPr>
        <w:t>)</w:t>
      </w:r>
      <w:r w:rsidRPr="00E24274">
        <w:rPr>
          <w:rFonts w:ascii="Times New Roman" w:hAnsi="Times New Roman"/>
          <w:sz w:val="24"/>
          <w:szCs w:val="24"/>
        </w:rPr>
        <w:t xml:space="preserve">. </w:t>
      </w:r>
    </w:p>
    <w:p w:rsidR="0015341A" w:rsidRPr="00E24274" w:rsidRDefault="0015341A"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Nie wyklucza to również innych sytuacji, w których państwa członkowskie mogą uznać za konieczne wprowadzenie mechanizmów zbiorowego zarządu, takich jak obowiązkowe pośrednictwo organizacji czy rozszerzone licencje zbiorowe</w:t>
      </w:r>
      <w:r w:rsidR="00956790" w:rsidRPr="00E24274">
        <w:rPr>
          <w:rFonts w:ascii="Times New Roman" w:hAnsi="Times New Roman"/>
          <w:sz w:val="24"/>
          <w:szCs w:val="24"/>
        </w:rPr>
        <w:t>,</w:t>
      </w:r>
      <w:r w:rsidRPr="00E24274">
        <w:rPr>
          <w:rFonts w:ascii="Times New Roman" w:hAnsi="Times New Roman"/>
          <w:sz w:val="24"/>
          <w:szCs w:val="24"/>
        </w:rPr>
        <w:t xml:space="preserve"> przy czym ich szczegółowe uregulowanie pozostawiono do de</w:t>
      </w:r>
      <w:r w:rsidR="00ED0FD9">
        <w:rPr>
          <w:rFonts w:ascii="Times New Roman" w:hAnsi="Times New Roman"/>
          <w:sz w:val="24"/>
          <w:szCs w:val="24"/>
        </w:rPr>
        <w:t>cyzji krajowego ustawodawcy (co </w:t>
      </w:r>
      <w:r w:rsidRPr="00E24274">
        <w:rPr>
          <w:rFonts w:ascii="Times New Roman" w:hAnsi="Times New Roman"/>
          <w:sz w:val="24"/>
          <w:szCs w:val="24"/>
        </w:rPr>
        <w:t>potwierdza motyw 18 preambuły dyr</w:t>
      </w:r>
      <w:r w:rsidR="00ED0FD9">
        <w:rPr>
          <w:rFonts w:ascii="Times New Roman" w:hAnsi="Times New Roman"/>
          <w:sz w:val="24"/>
          <w:szCs w:val="24"/>
        </w:rPr>
        <w:t>ektywy 2001/29/WE oraz motyw 24 </w:t>
      </w:r>
      <w:r w:rsidRPr="00E24274">
        <w:rPr>
          <w:rFonts w:ascii="Times New Roman" w:hAnsi="Times New Roman"/>
          <w:sz w:val="24"/>
          <w:szCs w:val="24"/>
        </w:rPr>
        <w:t>preambuły dyrektywy 2012/28/UE). Organizacje zbiorowego zarządzania zostały ponadto uznane za podmioty uprawnione do występowania z roszczeniami w przypadku naruszeń praw autorskich i praw pokrewnych (art. 4 ust. 1 lit. c dyrektywy 2004/48/WE Parlamentu Europejskiego i Rady z dnia 29 kwietnia 2004 r. w sprawie egzekwowania praw własności intelektualnej).</w:t>
      </w:r>
    </w:p>
    <w:p w:rsidR="0015341A" w:rsidRPr="00E24274" w:rsidRDefault="0015341A"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 xml:space="preserve">Polska ustawa z dnia 4 lutego 1994 r. o prawie autorskim i prawach pokrewnych (powoływana dalej jako </w:t>
      </w:r>
      <w:r w:rsidR="00E24274">
        <w:rPr>
          <w:rFonts w:ascii="Times New Roman" w:hAnsi="Times New Roman"/>
          <w:sz w:val="24"/>
          <w:szCs w:val="24"/>
        </w:rPr>
        <w:t>„</w:t>
      </w:r>
      <w:r w:rsidRPr="00E24274">
        <w:rPr>
          <w:rFonts w:ascii="Times New Roman" w:hAnsi="Times New Roman"/>
          <w:sz w:val="24"/>
          <w:szCs w:val="24"/>
        </w:rPr>
        <w:t>pr. aut.</w:t>
      </w:r>
      <w:r w:rsidR="00E24274">
        <w:rPr>
          <w:rFonts w:ascii="Times New Roman" w:hAnsi="Times New Roman"/>
          <w:sz w:val="24"/>
          <w:szCs w:val="24"/>
        </w:rPr>
        <w:t>”</w:t>
      </w:r>
      <w:r w:rsidRPr="00E24274">
        <w:rPr>
          <w:rFonts w:ascii="Times New Roman" w:hAnsi="Times New Roman"/>
          <w:sz w:val="24"/>
          <w:szCs w:val="24"/>
        </w:rPr>
        <w:t xml:space="preserve">) wprowadza obowiązkowe pośrednictwo organizacji w następujących sytuacjach: wypłaty opłat stanowiących rekompensatę z tytułu dozwolonego użytku prywatnego (art. 20 i </w:t>
      </w:r>
      <w:r w:rsidR="00B07310">
        <w:rPr>
          <w:rFonts w:ascii="Times New Roman" w:hAnsi="Times New Roman"/>
          <w:sz w:val="24"/>
          <w:szCs w:val="24"/>
        </w:rPr>
        <w:t xml:space="preserve">art. </w:t>
      </w:r>
      <w:r w:rsidRPr="00E24274">
        <w:rPr>
          <w:rFonts w:ascii="Times New Roman" w:hAnsi="Times New Roman"/>
          <w:sz w:val="24"/>
          <w:szCs w:val="24"/>
        </w:rPr>
        <w:t>20</w:t>
      </w:r>
      <w:r w:rsidRPr="00E24274">
        <w:rPr>
          <w:rFonts w:ascii="Times New Roman" w:hAnsi="Times New Roman"/>
          <w:sz w:val="24"/>
          <w:szCs w:val="24"/>
          <w:vertAlign w:val="superscript"/>
        </w:rPr>
        <w:t>1</w:t>
      </w:r>
      <w:r w:rsidRPr="00E24274">
        <w:rPr>
          <w:rFonts w:ascii="Times New Roman" w:hAnsi="Times New Roman"/>
          <w:sz w:val="24"/>
          <w:szCs w:val="24"/>
        </w:rPr>
        <w:t>), korzystania przez nadawców radiowych i telewizyjnych z drobnych utworów muzycznych i słowno-muzycznych przez ich nadawanie i udostępnianie w internecie (a</w:t>
      </w:r>
      <w:r w:rsidR="00ED0FD9">
        <w:rPr>
          <w:rFonts w:ascii="Times New Roman" w:hAnsi="Times New Roman"/>
          <w:sz w:val="24"/>
          <w:szCs w:val="24"/>
        </w:rPr>
        <w:t>rt. 21), reemitowania utworów w </w:t>
      </w:r>
      <w:r w:rsidRPr="00E24274">
        <w:rPr>
          <w:rFonts w:ascii="Times New Roman" w:hAnsi="Times New Roman"/>
          <w:sz w:val="24"/>
          <w:szCs w:val="24"/>
        </w:rPr>
        <w:t>sieciach kablowych (art. 21</w:t>
      </w:r>
      <w:r w:rsidRPr="00E24274">
        <w:rPr>
          <w:rFonts w:ascii="Times New Roman" w:hAnsi="Times New Roman"/>
          <w:sz w:val="24"/>
          <w:szCs w:val="24"/>
          <w:vertAlign w:val="superscript"/>
        </w:rPr>
        <w:t>1</w:t>
      </w:r>
      <w:r w:rsidRPr="00E24274">
        <w:rPr>
          <w:rFonts w:ascii="Times New Roman" w:hAnsi="Times New Roman"/>
          <w:sz w:val="24"/>
          <w:szCs w:val="24"/>
        </w:rPr>
        <w:t>), zapłaty wynagrodzenia z tytułu udostępniania utworów w internecie w ramach dozwolonego użytku informacyjnego (art. 25 ust. 4), wypłaty wynagrodzenia za użyczanie egzemplarzy utworów przez biblioteki publiczne (art. 35</w:t>
      </w:r>
      <w:r w:rsidRPr="00E24274">
        <w:rPr>
          <w:rFonts w:ascii="Times New Roman" w:hAnsi="Times New Roman"/>
          <w:sz w:val="24"/>
          <w:szCs w:val="24"/>
          <w:vertAlign w:val="superscript"/>
        </w:rPr>
        <w:t>1</w:t>
      </w:r>
      <w:r w:rsidRPr="00E24274">
        <w:rPr>
          <w:rFonts w:ascii="Times New Roman" w:hAnsi="Times New Roman"/>
          <w:sz w:val="24"/>
          <w:szCs w:val="24"/>
        </w:rPr>
        <w:t xml:space="preserve">), zapłaty dodatkowego wynagrodzenia z tytułu niektórych sposobów </w:t>
      </w:r>
      <w:r w:rsidR="00ED0FD9">
        <w:rPr>
          <w:rFonts w:ascii="Times New Roman" w:hAnsi="Times New Roman"/>
          <w:sz w:val="24"/>
          <w:szCs w:val="24"/>
        </w:rPr>
        <w:t>korzystania z </w:t>
      </w:r>
      <w:r w:rsidRPr="00E24274">
        <w:rPr>
          <w:rFonts w:ascii="Times New Roman" w:hAnsi="Times New Roman"/>
          <w:sz w:val="24"/>
          <w:szCs w:val="24"/>
        </w:rPr>
        <w:t>utworów audiowizualnych (art. 70 ust. 3) oraz zapłaty przez producentów fonogramów dodatkowego wynagrodzenia dla artystów wykonawców (art. 95</w:t>
      </w:r>
      <w:r w:rsidRPr="00E24274">
        <w:rPr>
          <w:rFonts w:ascii="Times New Roman" w:hAnsi="Times New Roman"/>
          <w:sz w:val="24"/>
          <w:szCs w:val="24"/>
          <w:vertAlign w:val="superscript"/>
        </w:rPr>
        <w:t>3</w:t>
      </w:r>
      <w:r w:rsidRPr="00E24274">
        <w:rPr>
          <w:rFonts w:ascii="Times New Roman" w:hAnsi="Times New Roman"/>
          <w:sz w:val="24"/>
          <w:szCs w:val="24"/>
        </w:rPr>
        <w:t>). Natomiast mechanizm oparty na rozszerzonych lice</w:t>
      </w:r>
      <w:r w:rsidR="00ED0FD9">
        <w:rPr>
          <w:rFonts w:ascii="Times New Roman" w:hAnsi="Times New Roman"/>
          <w:sz w:val="24"/>
          <w:szCs w:val="24"/>
        </w:rPr>
        <w:t>ncjach zbiorowych wprowadzono w </w:t>
      </w:r>
      <w:r w:rsidRPr="00E24274">
        <w:rPr>
          <w:rFonts w:ascii="Times New Roman" w:hAnsi="Times New Roman"/>
          <w:sz w:val="24"/>
          <w:szCs w:val="24"/>
        </w:rPr>
        <w:t>odniesieniu do korzystania z utworów niedostę</w:t>
      </w:r>
      <w:r w:rsidR="00ED0FD9">
        <w:rPr>
          <w:rFonts w:ascii="Times New Roman" w:hAnsi="Times New Roman"/>
          <w:sz w:val="24"/>
          <w:szCs w:val="24"/>
        </w:rPr>
        <w:t>pnych w obrocie handlowym (art. </w:t>
      </w:r>
      <w:r w:rsidRPr="00E24274">
        <w:rPr>
          <w:rFonts w:ascii="Times New Roman" w:hAnsi="Times New Roman"/>
          <w:sz w:val="24"/>
          <w:szCs w:val="24"/>
        </w:rPr>
        <w:t>35</w:t>
      </w:r>
      <w:r w:rsidRPr="00E24274">
        <w:rPr>
          <w:rFonts w:ascii="Times New Roman" w:hAnsi="Times New Roman"/>
          <w:sz w:val="24"/>
          <w:szCs w:val="24"/>
          <w:vertAlign w:val="superscript"/>
        </w:rPr>
        <w:t>10</w:t>
      </w:r>
      <w:r w:rsidRPr="00E24274">
        <w:rPr>
          <w:rFonts w:ascii="Times New Roman" w:hAnsi="Times New Roman"/>
          <w:sz w:val="24"/>
          <w:szCs w:val="24"/>
        </w:rPr>
        <w:t xml:space="preserve">). </w:t>
      </w:r>
      <w:r w:rsidR="00956790" w:rsidRPr="00E24274">
        <w:rPr>
          <w:rFonts w:ascii="Times New Roman" w:hAnsi="Times New Roman"/>
          <w:sz w:val="24"/>
          <w:szCs w:val="24"/>
        </w:rPr>
        <w:t>Istotna</w:t>
      </w:r>
      <w:r w:rsidRPr="00E24274">
        <w:rPr>
          <w:rFonts w:ascii="Times New Roman" w:hAnsi="Times New Roman"/>
          <w:sz w:val="24"/>
          <w:szCs w:val="24"/>
        </w:rPr>
        <w:t xml:space="preserve"> skala wykorzystania instrumentów zbiorowego zarządu jest charakterystyczna dla systemów prawa autorskiego w całej UE.</w:t>
      </w:r>
    </w:p>
    <w:p w:rsidR="0015341A" w:rsidRPr="00E24274" w:rsidRDefault="0015341A"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lastRenderedPageBreak/>
        <w:t>Powszechność pośrednictwa organizacji zbiorowego zarządzania, k</w:t>
      </w:r>
      <w:r w:rsidR="00ED0FD9">
        <w:rPr>
          <w:rFonts w:ascii="Times New Roman" w:hAnsi="Times New Roman"/>
          <w:sz w:val="24"/>
          <w:szCs w:val="24"/>
        </w:rPr>
        <w:t>tóre dodatkowo w </w:t>
      </w:r>
      <w:r w:rsidRPr="00E24274">
        <w:rPr>
          <w:rFonts w:ascii="Times New Roman" w:hAnsi="Times New Roman"/>
          <w:sz w:val="24"/>
          <w:szCs w:val="24"/>
        </w:rPr>
        <w:t xml:space="preserve">wielu </w:t>
      </w:r>
      <w:r w:rsidR="00956790" w:rsidRPr="00E24274">
        <w:rPr>
          <w:rFonts w:ascii="Times New Roman" w:hAnsi="Times New Roman"/>
          <w:sz w:val="24"/>
          <w:szCs w:val="24"/>
        </w:rPr>
        <w:t>państwach</w:t>
      </w:r>
      <w:r w:rsidRPr="00E24274">
        <w:rPr>
          <w:rFonts w:ascii="Times New Roman" w:hAnsi="Times New Roman"/>
          <w:sz w:val="24"/>
          <w:szCs w:val="24"/>
        </w:rPr>
        <w:t xml:space="preserve"> mają status monopolisty, oznacza, że powinny one spełniać wysokie standardy i przestrzegać określonych reguł, </w:t>
      </w:r>
      <w:r w:rsidR="00B07310">
        <w:rPr>
          <w:rFonts w:ascii="Times New Roman" w:hAnsi="Times New Roman"/>
          <w:sz w:val="24"/>
          <w:szCs w:val="24"/>
        </w:rPr>
        <w:t>a</w:t>
      </w:r>
      <w:r w:rsidRPr="00E24274">
        <w:rPr>
          <w:rFonts w:ascii="Times New Roman" w:hAnsi="Times New Roman"/>
          <w:sz w:val="24"/>
          <w:szCs w:val="24"/>
        </w:rPr>
        <w:t>by efektywnie zarządzać powierzonymi prawa</w:t>
      </w:r>
      <w:r w:rsidR="00956790" w:rsidRPr="00E24274">
        <w:rPr>
          <w:rFonts w:ascii="Times New Roman" w:hAnsi="Times New Roman"/>
          <w:sz w:val="24"/>
          <w:szCs w:val="24"/>
        </w:rPr>
        <w:t>mi oraz zapobiegać nadużywaniu swojej p</w:t>
      </w:r>
      <w:r w:rsidR="00ED0FD9">
        <w:rPr>
          <w:rFonts w:ascii="Times New Roman" w:hAnsi="Times New Roman"/>
          <w:sz w:val="24"/>
          <w:szCs w:val="24"/>
        </w:rPr>
        <w:t>ozycji zarówno w relacjach z </w:t>
      </w:r>
      <w:r w:rsidRPr="00E24274">
        <w:rPr>
          <w:rFonts w:ascii="Times New Roman" w:hAnsi="Times New Roman"/>
          <w:sz w:val="24"/>
          <w:szCs w:val="24"/>
        </w:rPr>
        <w:t xml:space="preserve">uprawnionymi, jak i użytkownikami. Monopol organizacji sam w sobie </w:t>
      </w:r>
      <w:r w:rsidR="00956790" w:rsidRPr="00E24274">
        <w:rPr>
          <w:rFonts w:ascii="Times New Roman" w:hAnsi="Times New Roman"/>
          <w:sz w:val="24"/>
          <w:szCs w:val="24"/>
        </w:rPr>
        <w:t xml:space="preserve">w tym wypadku </w:t>
      </w:r>
      <w:r w:rsidRPr="00E24274">
        <w:rPr>
          <w:rFonts w:ascii="Times New Roman" w:hAnsi="Times New Roman"/>
          <w:sz w:val="24"/>
          <w:szCs w:val="24"/>
        </w:rPr>
        <w:t xml:space="preserve">nie jest bowiem czymś złym – ułatwia realizację </w:t>
      </w:r>
      <w:r w:rsidR="00956790" w:rsidRPr="00E24274">
        <w:rPr>
          <w:rFonts w:ascii="Times New Roman" w:hAnsi="Times New Roman"/>
          <w:sz w:val="24"/>
          <w:szCs w:val="24"/>
        </w:rPr>
        <w:t xml:space="preserve">dogodnej dla użytkownika </w:t>
      </w:r>
      <w:r w:rsidRPr="00E24274">
        <w:rPr>
          <w:rFonts w:ascii="Times New Roman" w:hAnsi="Times New Roman"/>
          <w:sz w:val="24"/>
          <w:szCs w:val="24"/>
        </w:rPr>
        <w:t xml:space="preserve">zasady </w:t>
      </w:r>
      <w:r w:rsidRPr="00C97A71">
        <w:rPr>
          <w:rFonts w:ascii="Times New Roman" w:hAnsi="Times New Roman"/>
          <w:i/>
          <w:sz w:val="24"/>
          <w:szCs w:val="24"/>
        </w:rPr>
        <w:t>one-stop-shop</w:t>
      </w:r>
      <w:r w:rsidR="00956790" w:rsidRPr="00E24274">
        <w:rPr>
          <w:rFonts w:ascii="Times New Roman" w:hAnsi="Times New Roman"/>
          <w:sz w:val="24"/>
          <w:szCs w:val="24"/>
        </w:rPr>
        <w:t xml:space="preserve"> (jednego okienka)</w:t>
      </w:r>
      <w:r w:rsidRPr="00E24274">
        <w:rPr>
          <w:rFonts w:ascii="Times New Roman" w:hAnsi="Times New Roman"/>
          <w:sz w:val="24"/>
          <w:szCs w:val="24"/>
        </w:rPr>
        <w:t xml:space="preserve"> przy nabywaniu licencji i zapłacie wynagrodzeni</w:t>
      </w:r>
      <w:r w:rsidR="00956790" w:rsidRPr="00E24274">
        <w:rPr>
          <w:rFonts w:ascii="Times New Roman" w:hAnsi="Times New Roman"/>
          <w:sz w:val="24"/>
          <w:szCs w:val="24"/>
        </w:rPr>
        <w:t>a, al</w:t>
      </w:r>
      <w:r w:rsidRPr="00E24274">
        <w:rPr>
          <w:rFonts w:ascii="Times New Roman" w:hAnsi="Times New Roman"/>
          <w:sz w:val="24"/>
          <w:szCs w:val="24"/>
        </w:rPr>
        <w:t>e nadużywanie tej pozycji</w:t>
      </w:r>
      <w:r w:rsidR="00ED0FD9">
        <w:rPr>
          <w:rFonts w:ascii="Times New Roman" w:hAnsi="Times New Roman"/>
          <w:sz w:val="24"/>
          <w:szCs w:val="24"/>
        </w:rPr>
        <w:t xml:space="preserve"> może doprowadzić do zakłóceń w </w:t>
      </w:r>
      <w:r w:rsidRPr="00E24274">
        <w:rPr>
          <w:rFonts w:ascii="Times New Roman" w:hAnsi="Times New Roman"/>
          <w:sz w:val="24"/>
          <w:szCs w:val="24"/>
        </w:rPr>
        <w:t xml:space="preserve">funkcjonowaniu rynku. </w:t>
      </w:r>
      <w:r w:rsidR="00956790" w:rsidRPr="00E24274">
        <w:rPr>
          <w:rFonts w:ascii="Times New Roman" w:hAnsi="Times New Roman"/>
          <w:sz w:val="24"/>
          <w:szCs w:val="24"/>
        </w:rPr>
        <w:t xml:space="preserve">W konsekwencji </w:t>
      </w:r>
      <w:r w:rsidRPr="00E24274">
        <w:rPr>
          <w:rFonts w:ascii="Times New Roman" w:hAnsi="Times New Roman"/>
          <w:sz w:val="24"/>
          <w:szCs w:val="24"/>
        </w:rPr>
        <w:t>jeszcze przed uchwaleniem dyrektywy 2014/26/UE w szeregu państw członkowskich, w tym w Polsce, wprowadzono przepisy określające zasady funkcjonowania organizacji zbiorowego zarządzania oraz mechanizmy nadzoru nad ich działalnością</w:t>
      </w:r>
      <w:r w:rsidRPr="00E24274">
        <w:rPr>
          <w:rFonts w:ascii="Times New Roman" w:hAnsi="Times New Roman"/>
          <w:sz w:val="24"/>
          <w:szCs w:val="24"/>
          <w:vertAlign w:val="superscript"/>
        </w:rPr>
        <w:footnoteReference w:id="8"/>
      </w:r>
      <w:r w:rsidR="001E6F0B" w:rsidRPr="001E6F0B">
        <w:rPr>
          <w:rFonts w:ascii="Times New Roman" w:hAnsi="Times New Roman"/>
          <w:sz w:val="24"/>
          <w:szCs w:val="24"/>
          <w:vertAlign w:val="superscript"/>
        </w:rPr>
        <w:t>)</w:t>
      </w:r>
      <w:r w:rsidRPr="00E24274">
        <w:rPr>
          <w:rFonts w:ascii="Times New Roman" w:hAnsi="Times New Roman"/>
          <w:sz w:val="24"/>
          <w:szCs w:val="24"/>
        </w:rPr>
        <w:t>. Praktyki w tym zakresie były jednak dość zróżnicowane</w:t>
      </w:r>
      <w:r w:rsidRPr="00E24274">
        <w:rPr>
          <w:rFonts w:ascii="Times New Roman" w:hAnsi="Times New Roman"/>
          <w:sz w:val="24"/>
          <w:szCs w:val="24"/>
          <w:vertAlign w:val="superscript"/>
        </w:rPr>
        <w:footnoteReference w:id="9"/>
      </w:r>
      <w:r w:rsidR="001E6F0B" w:rsidRPr="001E6F0B">
        <w:rPr>
          <w:rFonts w:ascii="Times New Roman" w:hAnsi="Times New Roman"/>
          <w:sz w:val="24"/>
          <w:szCs w:val="24"/>
          <w:vertAlign w:val="superscript"/>
        </w:rPr>
        <w:t>)</w:t>
      </w:r>
      <w:r w:rsidRPr="00E24274">
        <w:rPr>
          <w:rFonts w:ascii="Times New Roman" w:hAnsi="Times New Roman"/>
          <w:sz w:val="24"/>
          <w:szCs w:val="24"/>
        </w:rPr>
        <w:t>.</w:t>
      </w:r>
    </w:p>
    <w:p w:rsidR="0015341A" w:rsidRPr="00E24274" w:rsidRDefault="0015341A"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Harmonizacja zasad zbiorowego zarządu w prawie UE była rozważana od połowy lat dziewięćdziesiątych ubiegłego wieku</w:t>
      </w:r>
      <w:r w:rsidRPr="00E24274">
        <w:rPr>
          <w:rFonts w:ascii="Times New Roman" w:hAnsi="Times New Roman"/>
          <w:sz w:val="24"/>
          <w:szCs w:val="24"/>
          <w:vertAlign w:val="superscript"/>
        </w:rPr>
        <w:footnoteReference w:id="10"/>
      </w:r>
      <w:r w:rsidR="001E6F0B" w:rsidRPr="001E6F0B">
        <w:rPr>
          <w:rFonts w:ascii="Times New Roman" w:hAnsi="Times New Roman"/>
          <w:sz w:val="24"/>
          <w:szCs w:val="24"/>
          <w:vertAlign w:val="superscript"/>
        </w:rPr>
        <w:t>)</w:t>
      </w:r>
      <w:r w:rsidRPr="00E24274">
        <w:rPr>
          <w:rFonts w:ascii="Times New Roman" w:hAnsi="Times New Roman"/>
          <w:sz w:val="24"/>
          <w:szCs w:val="24"/>
        </w:rPr>
        <w:t xml:space="preserve">. W preambule dyrektywy 2001/29/WE zwrócono uwagę, iż </w:t>
      </w:r>
      <w:r w:rsidR="00E24274">
        <w:rPr>
          <w:rFonts w:ascii="Times New Roman" w:hAnsi="Times New Roman"/>
          <w:i/>
          <w:sz w:val="24"/>
          <w:szCs w:val="24"/>
        </w:rPr>
        <w:t>„</w:t>
      </w:r>
      <w:r w:rsidRPr="00E24274">
        <w:rPr>
          <w:rFonts w:ascii="Times New Roman" w:hAnsi="Times New Roman"/>
          <w:i/>
          <w:sz w:val="24"/>
          <w:szCs w:val="24"/>
        </w:rPr>
        <w:t xml:space="preserve">konieczne jest, zwłaszcza w </w:t>
      </w:r>
      <w:r w:rsidR="00ED0FD9">
        <w:rPr>
          <w:rFonts w:ascii="Times New Roman" w:hAnsi="Times New Roman"/>
          <w:i/>
          <w:sz w:val="24"/>
          <w:szCs w:val="24"/>
        </w:rPr>
        <w:t>świetle wymagań wynikających ze </w:t>
      </w:r>
      <w:r w:rsidRPr="00E24274">
        <w:rPr>
          <w:rFonts w:ascii="Times New Roman" w:hAnsi="Times New Roman"/>
          <w:i/>
          <w:sz w:val="24"/>
          <w:szCs w:val="24"/>
        </w:rPr>
        <w:t>środowiska cyfrowego, zapewnienie, że organizacje zbiorowego zarządzania prawami autorskimi osiągną wyższy poziom ra</w:t>
      </w:r>
      <w:r w:rsidR="00ED0FD9">
        <w:rPr>
          <w:rFonts w:ascii="Times New Roman" w:hAnsi="Times New Roman"/>
          <w:i/>
          <w:sz w:val="24"/>
          <w:szCs w:val="24"/>
        </w:rPr>
        <w:t>cjonalizacji i przejrzystości w </w:t>
      </w:r>
      <w:r w:rsidRPr="00E24274">
        <w:rPr>
          <w:rFonts w:ascii="Times New Roman" w:hAnsi="Times New Roman"/>
          <w:i/>
          <w:sz w:val="24"/>
          <w:szCs w:val="24"/>
        </w:rPr>
        <w:t>odniesieniu do zgodności z zasadami konkurencji</w:t>
      </w:r>
      <w:r w:rsidR="00E24274">
        <w:rPr>
          <w:rFonts w:ascii="Times New Roman" w:hAnsi="Times New Roman"/>
          <w:sz w:val="24"/>
          <w:szCs w:val="24"/>
        </w:rPr>
        <w:t>”</w:t>
      </w:r>
      <w:r w:rsidRPr="00E24274">
        <w:rPr>
          <w:rFonts w:ascii="Times New Roman" w:hAnsi="Times New Roman"/>
          <w:sz w:val="24"/>
          <w:szCs w:val="24"/>
        </w:rPr>
        <w:t xml:space="preserve"> (motyw 18).</w:t>
      </w:r>
    </w:p>
    <w:p w:rsidR="0015341A" w:rsidRPr="00E24274" w:rsidRDefault="0015341A"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 xml:space="preserve">Pierwsza zapowiedź inicjatywy legislacyjnej w tym przedmiocie pojawiła się w 2004 r. w komunikacie Komisji Europejskiej </w:t>
      </w:r>
      <w:r w:rsidR="00E24274">
        <w:rPr>
          <w:rFonts w:ascii="Times New Roman" w:hAnsi="Times New Roman"/>
          <w:sz w:val="24"/>
          <w:szCs w:val="24"/>
        </w:rPr>
        <w:t>„</w:t>
      </w:r>
      <w:r w:rsidRPr="00E24274">
        <w:rPr>
          <w:rFonts w:ascii="Times New Roman" w:hAnsi="Times New Roman"/>
          <w:sz w:val="24"/>
          <w:szCs w:val="24"/>
        </w:rPr>
        <w:t>Zarządzanie prawami autorskimi i prawami pokrewnymi na rynku wewnętrznym</w:t>
      </w:r>
      <w:r w:rsidR="00E24274">
        <w:rPr>
          <w:rFonts w:ascii="Times New Roman" w:hAnsi="Times New Roman"/>
          <w:sz w:val="24"/>
          <w:szCs w:val="24"/>
        </w:rPr>
        <w:t>”</w:t>
      </w:r>
      <w:r w:rsidRPr="00E24274">
        <w:rPr>
          <w:rFonts w:ascii="Times New Roman" w:hAnsi="Times New Roman"/>
          <w:sz w:val="24"/>
          <w:szCs w:val="24"/>
          <w:vertAlign w:val="superscript"/>
        </w:rPr>
        <w:footnoteReference w:id="11"/>
      </w:r>
      <w:r w:rsidR="001E6F0B" w:rsidRPr="001E6F0B">
        <w:rPr>
          <w:rFonts w:ascii="Times New Roman" w:hAnsi="Times New Roman"/>
          <w:sz w:val="24"/>
          <w:szCs w:val="24"/>
          <w:vertAlign w:val="superscript"/>
        </w:rPr>
        <w:t>)</w:t>
      </w:r>
      <w:r w:rsidRPr="00E24274">
        <w:rPr>
          <w:rFonts w:ascii="Times New Roman" w:hAnsi="Times New Roman"/>
          <w:sz w:val="24"/>
          <w:szCs w:val="24"/>
        </w:rPr>
        <w:t xml:space="preserve">. Podkreślono w nim, że stworzenie rynku wewnętrznego w obszarze praw autorskich i pokrewnych wymaga skutecznych mechanizmów zarządzania tymi prawami, w szczególności w środowisku cyfrowym, </w:t>
      </w:r>
      <w:r w:rsidR="001F3301" w:rsidRPr="00E24274">
        <w:rPr>
          <w:rFonts w:ascii="Times New Roman" w:hAnsi="Times New Roman"/>
          <w:sz w:val="24"/>
          <w:szCs w:val="24"/>
        </w:rPr>
        <w:lastRenderedPageBreak/>
        <w:t>w</w:t>
      </w:r>
      <w:r w:rsidR="00ED0FD9">
        <w:rPr>
          <w:rFonts w:ascii="Times New Roman" w:hAnsi="Times New Roman"/>
          <w:sz w:val="24"/>
          <w:szCs w:val="24"/>
        </w:rPr>
        <w:t> </w:t>
      </w:r>
      <w:r w:rsidR="001F3301" w:rsidRPr="00E24274">
        <w:rPr>
          <w:rFonts w:ascii="Times New Roman" w:hAnsi="Times New Roman"/>
          <w:sz w:val="24"/>
          <w:szCs w:val="24"/>
        </w:rPr>
        <w:t xml:space="preserve">którym </w:t>
      </w:r>
      <w:r w:rsidRPr="00E24274">
        <w:rPr>
          <w:rFonts w:ascii="Times New Roman" w:hAnsi="Times New Roman"/>
          <w:sz w:val="24"/>
          <w:szCs w:val="24"/>
        </w:rPr>
        <w:t>wzrasta potrzeba licencjonowania ponadgranicznego, a więc istnienie efektywnego systemu zbiorowego zarządu leży w inter</w:t>
      </w:r>
      <w:r w:rsidR="00ED0FD9">
        <w:rPr>
          <w:rFonts w:ascii="Times New Roman" w:hAnsi="Times New Roman"/>
          <w:sz w:val="24"/>
          <w:szCs w:val="24"/>
        </w:rPr>
        <w:t>esie zarówno uprawnionych</w:t>
      </w:r>
      <w:r w:rsidR="00B07310">
        <w:rPr>
          <w:rFonts w:ascii="Times New Roman" w:hAnsi="Times New Roman"/>
          <w:sz w:val="24"/>
          <w:szCs w:val="24"/>
        </w:rPr>
        <w:t>,</w:t>
      </w:r>
      <w:r w:rsidR="00ED0FD9">
        <w:rPr>
          <w:rFonts w:ascii="Times New Roman" w:hAnsi="Times New Roman"/>
          <w:sz w:val="24"/>
          <w:szCs w:val="24"/>
        </w:rPr>
        <w:t xml:space="preserve"> jak i </w:t>
      </w:r>
      <w:r w:rsidRPr="00E24274">
        <w:rPr>
          <w:rFonts w:ascii="Times New Roman" w:hAnsi="Times New Roman"/>
          <w:sz w:val="24"/>
          <w:szCs w:val="24"/>
        </w:rPr>
        <w:t>użytkowników. W tym kontekście Komisja dostrzegła potrzebę większego ujednolicenia zasad funkcjonowania organizacji zbiorowego zarządzania oraz ich relacji z użytkownikami i uprawnionymi.</w:t>
      </w:r>
    </w:p>
    <w:p w:rsidR="0015341A" w:rsidRPr="00E24274" w:rsidRDefault="0015341A"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Pewne ogólne wytyczne, dotyczące w szczególności swobody powierzania repertuaru organizacjom i jego wycofywania, sprawiedl</w:t>
      </w:r>
      <w:r w:rsidR="00ED0FD9">
        <w:rPr>
          <w:rFonts w:ascii="Times New Roman" w:hAnsi="Times New Roman"/>
          <w:sz w:val="24"/>
          <w:szCs w:val="24"/>
        </w:rPr>
        <w:t>iwego rozliczania wynagrodzeń i </w:t>
      </w:r>
      <w:r w:rsidRPr="00E24274">
        <w:rPr>
          <w:rFonts w:ascii="Times New Roman" w:hAnsi="Times New Roman"/>
          <w:sz w:val="24"/>
          <w:szCs w:val="24"/>
        </w:rPr>
        <w:t xml:space="preserve">dokonywania potrąceń, zakazu dyskryminacji uprawnionych oraz przejrzystości działania organizacji, Komisja przedstawiła w zaleceniu z dnia 18 października 2005 r. w sprawie transgranicznego zbiorowego zarządzania prawami autorskimi i pokrewnymi w odniesieniu do legalnych usług muzycznych </w:t>
      </w:r>
      <w:r w:rsidRPr="00E24274">
        <w:rPr>
          <w:rFonts w:ascii="Times New Roman" w:hAnsi="Times New Roman"/>
          <w:i/>
          <w:sz w:val="24"/>
          <w:szCs w:val="24"/>
        </w:rPr>
        <w:t>online</w:t>
      </w:r>
      <w:r w:rsidRPr="00E24274">
        <w:rPr>
          <w:rFonts w:ascii="Times New Roman" w:hAnsi="Times New Roman"/>
          <w:sz w:val="24"/>
          <w:szCs w:val="24"/>
        </w:rPr>
        <w:t xml:space="preserve">. Zalecenie to nie miało jednak wiążącego charakteru, przez co nie odniosło zakładanego przez Komisję skutku harmonizacyjnego. Było to jedną z przyczyn podjęcia przez Komisję inicjatywy ustawodawczej zakończonej przyjęciem dyrektywy </w:t>
      </w:r>
      <w:r w:rsidR="00D93553" w:rsidRPr="00E24274">
        <w:rPr>
          <w:rFonts w:ascii="Times New Roman" w:hAnsi="Times New Roman"/>
          <w:sz w:val="24"/>
          <w:szCs w:val="24"/>
        </w:rPr>
        <w:t>CRM</w:t>
      </w:r>
      <w:r w:rsidRPr="00E24274">
        <w:rPr>
          <w:rFonts w:ascii="Times New Roman" w:hAnsi="Times New Roman"/>
          <w:sz w:val="24"/>
          <w:szCs w:val="24"/>
          <w:vertAlign w:val="superscript"/>
        </w:rPr>
        <w:footnoteReference w:id="12"/>
      </w:r>
      <w:r w:rsidR="001E6F0B" w:rsidRPr="001E6F0B">
        <w:rPr>
          <w:rFonts w:ascii="Times New Roman" w:hAnsi="Times New Roman"/>
          <w:sz w:val="24"/>
          <w:szCs w:val="24"/>
          <w:vertAlign w:val="superscript"/>
        </w:rPr>
        <w:t>)</w:t>
      </w:r>
      <w:r w:rsidRPr="00E24274">
        <w:rPr>
          <w:rFonts w:ascii="Times New Roman" w:hAnsi="Times New Roman"/>
          <w:sz w:val="24"/>
          <w:szCs w:val="24"/>
        </w:rPr>
        <w:t>.</w:t>
      </w:r>
    </w:p>
    <w:p w:rsidR="0015341A" w:rsidRPr="00E24274" w:rsidRDefault="0015341A"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 xml:space="preserve">W procesie harmonizacji zasad działalności organizacji zbiorowego zarządzania istotną rolę odegrały też decyzje Komisji Europejskiej wydawane w postępowaniach antymonopolowych oraz orzeczenia Trybunału Sprawiedliwości UE, w których sformułowano szereg zasad znajdujących zastosowanie do zbiorowego zarządu. Zasady te obejmują m.in.: </w:t>
      </w:r>
    </w:p>
    <w:p w:rsidR="0015341A" w:rsidRPr="00E24274" w:rsidRDefault="0015341A" w:rsidP="00ED0FD9">
      <w:pPr>
        <w:numPr>
          <w:ilvl w:val="0"/>
          <w:numId w:val="3"/>
        </w:numPr>
        <w:spacing w:after="0" w:line="360" w:lineRule="auto"/>
        <w:ind w:left="419" w:hanging="391"/>
        <w:jc w:val="both"/>
        <w:rPr>
          <w:rFonts w:ascii="Times New Roman" w:hAnsi="Times New Roman"/>
          <w:sz w:val="24"/>
          <w:szCs w:val="24"/>
        </w:rPr>
      </w:pPr>
      <w:r w:rsidRPr="00E24274">
        <w:rPr>
          <w:rFonts w:ascii="Times New Roman" w:hAnsi="Times New Roman"/>
          <w:sz w:val="24"/>
          <w:szCs w:val="24"/>
        </w:rPr>
        <w:t>zakaz dyskryminacji uprawnionych, w tym ze względu na obywatelstwo (decyzja Komisji z dnia 2 czerwca 1971 r. w sprawie GEMA I, wyrok w sprawie C-7/82 GVL v. Komisja Wspólnot Europejskich, wyrok w połączonych sprawach C-92/92 i C-326/92 Phil Collins);</w:t>
      </w:r>
    </w:p>
    <w:p w:rsidR="0015341A" w:rsidRPr="00E24274" w:rsidRDefault="0015341A" w:rsidP="00ED0FD9">
      <w:pPr>
        <w:numPr>
          <w:ilvl w:val="0"/>
          <w:numId w:val="3"/>
        </w:numPr>
        <w:spacing w:after="0" w:line="360" w:lineRule="auto"/>
        <w:ind w:left="419" w:hanging="391"/>
        <w:jc w:val="both"/>
        <w:rPr>
          <w:rFonts w:ascii="Times New Roman" w:hAnsi="Times New Roman"/>
          <w:sz w:val="24"/>
          <w:szCs w:val="24"/>
        </w:rPr>
      </w:pPr>
      <w:r w:rsidRPr="00E24274">
        <w:rPr>
          <w:rFonts w:ascii="Times New Roman" w:hAnsi="Times New Roman"/>
          <w:sz w:val="24"/>
          <w:szCs w:val="24"/>
        </w:rPr>
        <w:t>konieczność rozróżnienia pól eksploatacji przy globalnym powierzeniu wszystkich praw w zbiorowy zarząd oraz umożliw</w:t>
      </w:r>
      <w:r w:rsidR="001F3301" w:rsidRPr="00E24274">
        <w:rPr>
          <w:rFonts w:ascii="Times New Roman" w:hAnsi="Times New Roman"/>
          <w:sz w:val="24"/>
          <w:szCs w:val="24"/>
        </w:rPr>
        <w:t>ienia wypowiedzenia powierzenia</w:t>
      </w:r>
      <w:r w:rsidR="00ED0FD9">
        <w:rPr>
          <w:rFonts w:ascii="Times New Roman" w:hAnsi="Times New Roman"/>
          <w:sz w:val="24"/>
          <w:szCs w:val="24"/>
        </w:rPr>
        <w:t xml:space="preserve"> ze </w:t>
      </w:r>
      <w:r w:rsidRPr="00E24274">
        <w:rPr>
          <w:rFonts w:ascii="Times New Roman" w:hAnsi="Times New Roman"/>
          <w:sz w:val="24"/>
          <w:szCs w:val="24"/>
        </w:rPr>
        <w:t>skutkiem w rozsądnym terminie (wyrok w sprawie C-127/73 BRT v. SABAM);</w:t>
      </w:r>
    </w:p>
    <w:p w:rsidR="0015341A" w:rsidRPr="00E24274" w:rsidRDefault="0015341A" w:rsidP="00ED0FD9">
      <w:pPr>
        <w:numPr>
          <w:ilvl w:val="0"/>
          <w:numId w:val="3"/>
        </w:numPr>
        <w:spacing w:after="0" w:line="360" w:lineRule="auto"/>
        <w:ind w:left="419" w:hanging="391"/>
        <w:jc w:val="both"/>
        <w:rPr>
          <w:rFonts w:ascii="Times New Roman" w:hAnsi="Times New Roman"/>
          <w:sz w:val="24"/>
          <w:szCs w:val="24"/>
        </w:rPr>
      </w:pPr>
      <w:r w:rsidRPr="00E24274">
        <w:rPr>
          <w:rFonts w:ascii="Times New Roman" w:hAnsi="Times New Roman"/>
          <w:sz w:val="24"/>
          <w:szCs w:val="24"/>
        </w:rPr>
        <w:t>zasady nabywania licencji na repertuar zagraniczny (wyrok w sprawie C-395/87 Tournier);</w:t>
      </w:r>
    </w:p>
    <w:p w:rsidR="0015341A" w:rsidRPr="00E24274" w:rsidRDefault="0015341A" w:rsidP="00ED0FD9">
      <w:pPr>
        <w:numPr>
          <w:ilvl w:val="0"/>
          <w:numId w:val="3"/>
        </w:numPr>
        <w:spacing w:after="0" w:line="360" w:lineRule="auto"/>
        <w:ind w:left="419" w:hanging="391"/>
        <w:jc w:val="both"/>
        <w:rPr>
          <w:rFonts w:ascii="Times New Roman" w:hAnsi="Times New Roman"/>
          <w:sz w:val="24"/>
          <w:szCs w:val="24"/>
        </w:rPr>
      </w:pPr>
      <w:r w:rsidRPr="00E24274">
        <w:rPr>
          <w:rFonts w:ascii="Times New Roman" w:hAnsi="Times New Roman"/>
          <w:sz w:val="24"/>
          <w:szCs w:val="24"/>
        </w:rPr>
        <w:t>konieczność umożliwienia częściowego wyłączenia określonych praw i terytoriów z umowy o powierzenie praw (decyzja Komisji z 2002 r. w sprawie Daft Punk);</w:t>
      </w:r>
    </w:p>
    <w:p w:rsidR="0015341A" w:rsidRPr="00E24274" w:rsidRDefault="0015341A" w:rsidP="00ED0FD9">
      <w:pPr>
        <w:numPr>
          <w:ilvl w:val="0"/>
          <w:numId w:val="3"/>
        </w:numPr>
        <w:spacing w:after="0" w:line="360" w:lineRule="auto"/>
        <w:ind w:left="419" w:hanging="391"/>
        <w:jc w:val="both"/>
        <w:rPr>
          <w:rFonts w:ascii="Times New Roman" w:hAnsi="Times New Roman"/>
          <w:sz w:val="24"/>
          <w:szCs w:val="24"/>
        </w:rPr>
      </w:pPr>
      <w:r w:rsidRPr="00E24274">
        <w:rPr>
          <w:rFonts w:ascii="Times New Roman" w:hAnsi="Times New Roman"/>
          <w:sz w:val="24"/>
          <w:szCs w:val="24"/>
        </w:rPr>
        <w:lastRenderedPageBreak/>
        <w:t>warunki porozumień między organizacjami dotyczące wzajemnego udzielania upoważnień do udzielania licencji wieloterytorialnych (decyzja Komisji w sprawie IFPI Simulcasting);</w:t>
      </w:r>
    </w:p>
    <w:p w:rsidR="0015341A" w:rsidRPr="00E24274" w:rsidRDefault="0015341A" w:rsidP="00ED0FD9">
      <w:pPr>
        <w:numPr>
          <w:ilvl w:val="0"/>
          <w:numId w:val="3"/>
        </w:numPr>
        <w:spacing w:after="0" w:line="360" w:lineRule="auto"/>
        <w:ind w:left="419" w:hanging="391"/>
        <w:jc w:val="both"/>
        <w:rPr>
          <w:rFonts w:ascii="Times New Roman" w:hAnsi="Times New Roman"/>
          <w:sz w:val="24"/>
          <w:szCs w:val="24"/>
        </w:rPr>
      </w:pPr>
      <w:r w:rsidRPr="00E24274">
        <w:rPr>
          <w:rFonts w:ascii="Times New Roman" w:hAnsi="Times New Roman"/>
          <w:sz w:val="24"/>
          <w:szCs w:val="24"/>
        </w:rPr>
        <w:t>kryteria obliczania wynagrodzenia za korzystani</w:t>
      </w:r>
      <w:r w:rsidR="00ED0FD9">
        <w:rPr>
          <w:rFonts w:ascii="Times New Roman" w:hAnsi="Times New Roman"/>
          <w:sz w:val="24"/>
          <w:szCs w:val="24"/>
        </w:rPr>
        <w:t>e z chronionych treści (wyrok z </w:t>
      </w:r>
      <w:r w:rsidRPr="00E24274">
        <w:rPr>
          <w:rFonts w:ascii="Times New Roman" w:hAnsi="Times New Roman"/>
          <w:sz w:val="24"/>
          <w:szCs w:val="24"/>
        </w:rPr>
        <w:t xml:space="preserve">dnia 11 grudnia 2008 r. w sprawie C-52/07 Kanal 5 ltd i TV4). </w:t>
      </w:r>
    </w:p>
    <w:p w:rsidR="0015341A" w:rsidRPr="00E24274" w:rsidRDefault="0015341A"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 xml:space="preserve">Większość z tych zasad znalazła odzwierciedlenie w dyrektywie </w:t>
      </w:r>
      <w:r w:rsidR="00D93553" w:rsidRPr="00E24274">
        <w:rPr>
          <w:rFonts w:ascii="Times New Roman" w:hAnsi="Times New Roman"/>
          <w:sz w:val="24"/>
          <w:szCs w:val="24"/>
        </w:rPr>
        <w:t>CRM</w:t>
      </w:r>
      <w:r w:rsidRPr="00E24274">
        <w:rPr>
          <w:rFonts w:ascii="Times New Roman" w:hAnsi="Times New Roman"/>
          <w:sz w:val="24"/>
          <w:szCs w:val="24"/>
        </w:rPr>
        <w:t>.</w:t>
      </w:r>
    </w:p>
    <w:p w:rsidR="0015341A" w:rsidRPr="00E24274" w:rsidRDefault="0015341A"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 xml:space="preserve">Dyrektywa </w:t>
      </w:r>
      <w:r w:rsidR="00D93553" w:rsidRPr="00E24274">
        <w:rPr>
          <w:rFonts w:ascii="Times New Roman" w:hAnsi="Times New Roman"/>
          <w:sz w:val="24"/>
          <w:szCs w:val="24"/>
        </w:rPr>
        <w:t xml:space="preserve">CRM </w:t>
      </w:r>
      <w:r w:rsidRPr="00E24274">
        <w:rPr>
          <w:rFonts w:ascii="Times New Roman" w:hAnsi="Times New Roman"/>
          <w:sz w:val="24"/>
          <w:szCs w:val="24"/>
        </w:rPr>
        <w:t xml:space="preserve">stanowi dość szczegółową regulację niemal wszystkich aspektów działalności organizacji. Jako przyczyny podjęcia tak kompleksowej inicjatywy legislacyjnej wskazano </w:t>
      </w:r>
      <w:r w:rsidR="00E24274">
        <w:rPr>
          <w:rFonts w:ascii="Times New Roman" w:hAnsi="Times New Roman"/>
          <w:i/>
          <w:sz w:val="24"/>
          <w:szCs w:val="24"/>
        </w:rPr>
        <w:t>„</w:t>
      </w:r>
      <w:r w:rsidRPr="00E24274">
        <w:rPr>
          <w:rFonts w:ascii="Times New Roman" w:hAnsi="Times New Roman"/>
          <w:i/>
          <w:sz w:val="24"/>
          <w:szCs w:val="24"/>
        </w:rPr>
        <w:t>znaczące różnice w krajowych przepisach regulujących funkcjonowanie organizacji zbiorowego zarządzania, zwłaszcza w odniesieniu do ich przejrzystości i odpowiedzialności wobec swoich członków i podmiotów uprawnionych. Doprowadziło to w wielu przypadkach do trudności, w szczególności dla zagranicznych podmiotów uprawnionych, gdy starały się wykonywać przysługujące im prawa, oraz do nieefektywnego zarządzania finansowego pobranymi przychodami. Problemy związane z funkcjonowaniem organizacji zbiorowego zarządzani</w:t>
      </w:r>
      <w:r w:rsidR="00ED0FD9">
        <w:rPr>
          <w:rFonts w:ascii="Times New Roman" w:hAnsi="Times New Roman"/>
          <w:i/>
          <w:sz w:val="24"/>
          <w:szCs w:val="24"/>
        </w:rPr>
        <w:t>a prowadzą do niewydolności w </w:t>
      </w:r>
      <w:r w:rsidRPr="00E24274">
        <w:rPr>
          <w:rFonts w:ascii="Times New Roman" w:hAnsi="Times New Roman"/>
          <w:i/>
          <w:sz w:val="24"/>
          <w:szCs w:val="24"/>
        </w:rPr>
        <w:t>eksploatacji praw autorskich i praw pokrewnych na rynku wewnętrznym, ze szkodą dla członków organizacji zbiorowego zarząd</w:t>
      </w:r>
      <w:r w:rsidR="00ED0FD9">
        <w:rPr>
          <w:rFonts w:ascii="Times New Roman" w:hAnsi="Times New Roman"/>
          <w:i/>
          <w:sz w:val="24"/>
          <w:szCs w:val="24"/>
        </w:rPr>
        <w:t>zania, podmiotów uprawnionych i </w:t>
      </w:r>
      <w:r w:rsidRPr="00E24274">
        <w:rPr>
          <w:rFonts w:ascii="Times New Roman" w:hAnsi="Times New Roman"/>
          <w:i/>
          <w:sz w:val="24"/>
          <w:szCs w:val="24"/>
        </w:rPr>
        <w:t>użytkowników</w:t>
      </w:r>
      <w:r w:rsidR="00E24274">
        <w:rPr>
          <w:rFonts w:ascii="Times New Roman" w:hAnsi="Times New Roman"/>
          <w:i/>
          <w:sz w:val="24"/>
          <w:szCs w:val="24"/>
        </w:rPr>
        <w:t>”</w:t>
      </w:r>
      <w:r w:rsidRPr="00E24274">
        <w:rPr>
          <w:rFonts w:ascii="Times New Roman" w:hAnsi="Times New Roman"/>
          <w:sz w:val="24"/>
          <w:szCs w:val="24"/>
        </w:rPr>
        <w:t xml:space="preserve"> (motyw 5 preambuły).</w:t>
      </w:r>
    </w:p>
    <w:p w:rsidR="0015341A" w:rsidRPr="00E24274" w:rsidRDefault="0015341A"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Najważniejszymi celami dyrektywy są:</w:t>
      </w:r>
    </w:p>
    <w:p w:rsidR="0015341A" w:rsidRPr="00E24274" w:rsidRDefault="00E24274" w:rsidP="00ED0FD9">
      <w:pPr>
        <w:numPr>
          <w:ilvl w:val="0"/>
          <w:numId w:val="2"/>
        </w:numPr>
        <w:spacing w:after="0" w:line="360" w:lineRule="auto"/>
        <w:ind w:left="363" w:hanging="335"/>
        <w:jc w:val="both"/>
        <w:rPr>
          <w:rFonts w:ascii="Times New Roman" w:hAnsi="Times New Roman"/>
          <w:sz w:val="24"/>
          <w:szCs w:val="24"/>
        </w:rPr>
      </w:pPr>
      <w:r>
        <w:rPr>
          <w:rFonts w:ascii="Times New Roman" w:hAnsi="Times New Roman"/>
          <w:i/>
          <w:sz w:val="24"/>
          <w:szCs w:val="24"/>
        </w:rPr>
        <w:t>„</w:t>
      </w:r>
      <w:r w:rsidR="0015341A" w:rsidRPr="00E24274">
        <w:rPr>
          <w:rFonts w:ascii="Times New Roman" w:hAnsi="Times New Roman"/>
          <w:i/>
          <w:sz w:val="24"/>
          <w:szCs w:val="24"/>
        </w:rPr>
        <w:t>zapewnienie koordynacji krajowych przepisów dotyczących warunków podejmowania działalności w zakresie zarządzania prawami autorskimi i prawami pokrewnymi przez organizacje zbiorowego zarządzania, sposobów zarządzania tymi organizacjami oraz ram nadzoru nad nimi</w:t>
      </w:r>
      <w:r>
        <w:rPr>
          <w:rFonts w:ascii="Times New Roman" w:hAnsi="Times New Roman"/>
          <w:i/>
          <w:sz w:val="24"/>
          <w:szCs w:val="24"/>
        </w:rPr>
        <w:t>”</w:t>
      </w:r>
      <w:r w:rsidR="0015341A" w:rsidRPr="00E24274">
        <w:rPr>
          <w:rFonts w:ascii="Times New Roman" w:hAnsi="Times New Roman"/>
          <w:sz w:val="24"/>
          <w:szCs w:val="24"/>
        </w:rPr>
        <w:t xml:space="preserve"> (motyw 8 preambuły);</w:t>
      </w:r>
    </w:p>
    <w:p w:rsidR="0015341A" w:rsidRPr="00E24274" w:rsidRDefault="00E24274" w:rsidP="00ED0FD9">
      <w:pPr>
        <w:numPr>
          <w:ilvl w:val="0"/>
          <w:numId w:val="2"/>
        </w:numPr>
        <w:spacing w:after="0" w:line="360" w:lineRule="auto"/>
        <w:ind w:left="363" w:hanging="335"/>
        <w:jc w:val="both"/>
        <w:rPr>
          <w:rFonts w:ascii="Times New Roman" w:hAnsi="Times New Roman"/>
          <w:sz w:val="24"/>
          <w:szCs w:val="24"/>
        </w:rPr>
      </w:pPr>
      <w:r>
        <w:rPr>
          <w:rFonts w:ascii="Times New Roman" w:hAnsi="Times New Roman"/>
          <w:i/>
          <w:sz w:val="24"/>
          <w:szCs w:val="24"/>
        </w:rPr>
        <w:t>„</w:t>
      </w:r>
      <w:r w:rsidR="0015341A" w:rsidRPr="00E24274">
        <w:rPr>
          <w:rFonts w:ascii="Times New Roman" w:hAnsi="Times New Roman"/>
          <w:i/>
          <w:sz w:val="24"/>
          <w:szCs w:val="24"/>
        </w:rPr>
        <w:t>ustanowienie wymogów mających zastosowanie do organizacji zbiorowego zarządzania, aby zapewnić wysoki poziom zarządzania, zarządzania finansowego, przejrzystości i sprawozdawczości</w:t>
      </w:r>
      <w:r>
        <w:rPr>
          <w:rFonts w:ascii="Times New Roman" w:hAnsi="Times New Roman"/>
          <w:i/>
          <w:sz w:val="24"/>
          <w:szCs w:val="24"/>
        </w:rPr>
        <w:t>”</w:t>
      </w:r>
      <w:r w:rsidR="0015341A" w:rsidRPr="00E24274">
        <w:rPr>
          <w:rFonts w:ascii="Times New Roman" w:hAnsi="Times New Roman"/>
          <w:sz w:val="24"/>
          <w:szCs w:val="24"/>
        </w:rPr>
        <w:t xml:space="preserve">, przy czym </w:t>
      </w:r>
      <w:r>
        <w:rPr>
          <w:rFonts w:ascii="Times New Roman" w:hAnsi="Times New Roman"/>
          <w:i/>
          <w:sz w:val="24"/>
          <w:szCs w:val="24"/>
        </w:rPr>
        <w:t>„</w:t>
      </w:r>
      <w:r w:rsidR="0015341A" w:rsidRPr="00E24274">
        <w:rPr>
          <w:rFonts w:ascii="Times New Roman" w:hAnsi="Times New Roman"/>
          <w:i/>
          <w:sz w:val="24"/>
          <w:szCs w:val="24"/>
        </w:rPr>
        <w:t xml:space="preserve">nie powinno to jednak uniemożliwiać państwom członkowskim </w:t>
      </w:r>
      <w:r w:rsidR="00ED0FD9">
        <w:rPr>
          <w:rFonts w:ascii="Times New Roman" w:hAnsi="Times New Roman"/>
          <w:i/>
          <w:sz w:val="24"/>
          <w:szCs w:val="24"/>
        </w:rPr>
        <w:t>utrzymywania lub wprowadzania w </w:t>
      </w:r>
      <w:r w:rsidR="0015341A" w:rsidRPr="00E24274">
        <w:rPr>
          <w:rFonts w:ascii="Times New Roman" w:hAnsi="Times New Roman"/>
          <w:i/>
          <w:sz w:val="24"/>
          <w:szCs w:val="24"/>
        </w:rPr>
        <w:t>odniesieniu do organizacji zbiorowego zarządzania mających siedzibę na ich terytorium bardziej rygorystycznych norm niż określone w tytule II niniejszej dyrektywy, pod warunkiem że takie bardziej ryg</w:t>
      </w:r>
      <w:r w:rsidR="00ED0FD9">
        <w:rPr>
          <w:rFonts w:ascii="Times New Roman" w:hAnsi="Times New Roman"/>
          <w:i/>
          <w:sz w:val="24"/>
          <w:szCs w:val="24"/>
        </w:rPr>
        <w:t>orystyczne normy są zgodne z </w:t>
      </w:r>
      <w:r w:rsidR="0015341A" w:rsidRPr="00E24274">
        <w:rPr>
          <w:rFonts w:ascii="Times New Roman" w:hAnsi="Times New Roman"/>
          <w:i/>
          <w:sz w:val="24"/>
          <w:szCs w:val="24"/>
        </w:rPr>
        <w:t>prawem Unii</w:t>
      </w:r>
      <w:r>
        <w:rPr>
          <w:rFonts w:ascii="Times New Roman" w:hAnsi="Times New Roman"/>
          <w:i/>
          <w:sz w:val="24"/>
          <w:szCs w:val="24"/>
        </w:rPr>
        <w:t>”</w:t>
      </w:r>
      <w:r w:rsidR="0015341A" w:rsidRPr="00E24274">
        <w:rPr>
          <w:rFonts w:ascii="Times New Roman" w:hAnsi="Times New Roman"/>
          <w:sz w:val="24"/>
          <w:szCs w:val="24"/>
        </w:rPr>
        <w:t xml:space="preserve"> (motyw 9 preambuły).</w:t>
      </w:r>
    </w:p>
    <w:p w:rsidR="0015341A" w:rsidRPr="00E24274" w:rsidRDefault="0015341A" w:rsidP="00ED0FD9">
      <w:pPr>
        <w:keepNext/>
        <w:spacing w:before="120" w:after="0" w:line="360" w:lineRule="auto"/>
        <w:jc w:val="both"/>
        <w:rPr>
          <w:rFonts w:ascii="Times New Roman" w:hAnsi="Times New Roman"/>
          <w:sz w:val="24"/>
          <w:szCs w:val="24"/>
        </w:rPr>
      </w:pPr>
      <w:r w:rsidRPr="00E24274">
        <w:rPr>
          <w:rFonts w:ascii="Times New Roman" w:hAnsi="Times New Roman"/>
          <w:sz w:val="24"/>
          <w:szCs w:val="24"/>
        </w:rPr>
        <w:lastRenderedPageBreak/>
        <w:t>Realizując powyższe założenia</w:t>
      </w:r>
      <w:r w:rsidR="00B07310">
        <w:rPr>
          <w:rFonts w:ascii="Times New Roman" w:hAnsi="Times New Roman"/>
          <w:sz w:val="24"/>
          <w:szCs w:val="24"/>
        </w:rPr>
        <w:t>,</w:t>
      </w:r>
      <w:r w:rsidRPr="00E24274">
        <w:rPr>
          <w:rFonts w:ascii="Times New Roman" w:hAnsi="Times New Roman"/>
          <w:sz w:val="24"/>
          <w:szCs w:val="24"/>
        </w:rPr>
        <w:t xml:space="preserve"> przepisy dyrektywy </w:t>
      </w:r>
      <w:r w:rsidR="00D93553" w:rsidRPr="00E24274">
        <w:rPr>
          <w:rFonts w:ascii="Times New Roman" w:hAnsi="Times New Roman"/>
          <w:sz w:val="24"/>
          <w:szCs w:val="24"/>
        </w:rPr>
        <w:t xml:space="preserve">CRM </w:t>
      </w:r>
      <w:r w:rsidRPr="00E24274">
        <w:rPr>
          <w:rFonts w:ascii="Times New Roman" w:hAnsi="Times New Roman"/>
          <w:sz w:val="24"/>
          <w:szCs w:val="24"/>
        </w:rPr>
        <w:t xml:space="preserve">określają: </w:t>
      </w:r>
    </w:p>
    <w:p w:rsidR="0015341A" w:rsidRPr="00E24274" w:rsidRDefault="0015341A" w:rsidP="00ED0FD9">
      <w:pPr>
        <w:keepNext/>
        <w:numPr>
          <w:ilvl w:val="0"/>
          <w:numId w:val="1"/>
        </w:numPr>
        <w:spacing w:after="0" w:line="360" w:lineRule="auto"/>
        <w:ind w:left="425" w:hanging="425"/>
        <w:jc w:val="both"/>
        <w:rPr>
          <w:rFonts w:ascii="Times New Roman" w:hAnsi="Times New Roman"/>
          <w:sz w:val="24"/>
          <w:szCs w:val="24"/>
        </w:rPr>
      </w:pPr>
      <w:r w:rsidRPr="00E24274">
        <w:rPr>
          <w:rFonts w:ascii="Times New Roman" w:hAnsi="Times New Roman"/>
          <w:sz w:val="24"/>
          <w:szCs w:val="24"/>
        </w:rPr>
        <w:t>ogólne zasady działania organizacji zbiorowego zarządzania (art. 4);</w:t>
      </w:r>
    </w:p>
    <w:p w:rsidR="0015341A" w:rsidRPr="00E24274" w:rsidRDefault="0015341A" w:rsidP="00ED0FD9">
      <w:pPr>
        <w:keepNext/>
        <w:numPr>
          <w:ilvl w:val="0"/>
          <w:numId w:val="1"/>
        </w:numPr>
        <w:spacing w:after="0" w:line="360" w:lineRule="auto"/>
        <w:ind w:left="425" w:hanging="425"/>
        <w:jc w:val="both"/>
        <w:rPr>
          <w:rFonts w:ascii="Times New Roman" w:hAnsi="Times New Roman"/>
          <w:sz w:val="24"/>
          <w:szCs w:val="24"/>
        </w:rPr>
      </w:pPr>
      <w:r w:rsidRPr="00E24274">
        <w:rPr>
          <w:rFonts w:ascii="Times New Roman" w:hAnsi="Times New Roman"/>
          <w:sz w:val="24"/>
          <w:szCs w:val="24"/>
        </w:rPr>
        <w:t xml:space="preserve">relacje pomiędzy organizacją a uprawnionymi (art. 5 i </w:t>
      </w:r>
      <w:r w:rsidR="00B07310">
        <w:rPr>
          <w:rFonts w:ascii="Times New Roman" w:hAnsi="Times New Roman"/>
          <w:sz w:val="24"/>
          <w:szCs w:val="24"/>
        </w:rPr>
        <w:t xml:space="preserve">art. </w:t>
      </w:r>
      <w:r w:rsidRPr="00E24274">
        <w:rPr>
          <w:rFonts w:ascii="Times New Roman" w:hAnsi="Times New Roman"/>
          <w:sz w:val="24"/>
          <w:szCs w:val="24"/>
        </w:rPr>
        <w:t>7);</w:t>
      </w:r>
    </w:p>
    <w:p w:rsidR="0015341A" w:rsidRPr="00E24274" w:rsidRDefault="0015341A" w:rsidP="00ED0FD9">
      <w:pPr>
        <w:keepNext/>
        <w:numPr>
          <w:ilvl w:val="0"/>
          <w:numId w:val="1"/>
        </w:numPr>
        <w:spacing w:after="0" w:line="360" w:lineRule="auto"/>
        <w:ind w:left="425" w:hanging="425"/>
        <w:jc w:val="both"/>
        <w:rPr>
          <w:rFonts w:ascii="Times New Roman" w:hAnsi="Times New Roman"/>
          <w:sz w:val="24"/>
          <w:szCs w:val="24"/>
        </w:rPr>
      </w:pPr>
      <w:r w:rsidRPr="00E24274">
        <w:rPr>
          <w:rFonts w:ascii="Times New Roman" w:hAnsi="Times New Roman"/>
          <w:sz w:val="24"/>
          <w:szCs w:val="24"/>
        </w:rPr>
        <w:t>zasady członkostwa w organizacjach (art. 6);</w:t>
      </w:r>
    </w:p>
    <w:p w:rsidR="0015341A" w:rsidRPr="00E24274" w:rsidRDefault="0015341A" w:rsidP="00ED0FD9">
      <w:pPr>
        <w:numPr>
          <w:ilvl w:val="0"/>
          <w:numId w:val="1"/>
        </w:numPr>
        <w:spacing w:after="0" w:line="360" w:lineRule="auto"/>
        <w:ind w:left="425" w:hanging="425"/>
        <w:jc w:val="both"/>
        <w:rPr>
          <w:rFonts w:ascii="Times New Roman" w:hAnsi="Times New Roman"/>
          <w:sz w:val="24"/>
          <w:szCs w:val="24"/>
        </w:rPr>
      </w:pPr>
      <w:r w:rsidRPr="00E24274">
        <w:rPr>
          <w:rFonts w:ascii="Times New Roman" w:hAnsi="Times New Roman"/>
          <w:sz w:val="24"/>
          <w:szCs w:val="24"/>
        </w:rPr>
        <w:t>strukturę wewnętrzną i władze organizacji (art. 8</w:t>
      </w:r>
      <w:r w:rsidR="00B85D46">
        <w:rPr>
          <w:rFonts w:ascii="Times New Roman" w:hAnsi="Times New Roman"/>
          <w:sz w:val="24"/>
          <w:szCs w:val="24"/>
        </w:rPr>
        <w:t>–</w:t>
      </w:r>
      <w:r w:rsidRPr="00E24274">
        <w:rPr>
          <w:rFonts w:ascii="Times New Roman" w:hAnsi="Times New Roman"/>
          <w:sz w:val="24"/>
          <w:szCs w:val="24"/>
        </w:rPr>
        <w:t>10);</w:t>
      </w:r>
    </w:p>
    <w:p w:rsidR="0015341A" w:rsidRPr="00E24274" w:rsidRDefault="0015341A" w:rsidP="00ED0FD9">
      <w:pPr>
        <w:numPr>
          <w:ilvl w:val="0"/>
          <w:numId w:val="1"/>
        </w:numPr>
        <w:spacing w:after="0" w:line="360" w:lineRule="auto"/>
        <w:ind w:left="425" w:hanging="425"/>
        <w:jc w:val="both"/>
        <w:rPr>
          <w:rFonts w:ascii="Times New Roman" w:hAnsi="Times New Roman"/>
          <w:sz w:val="24"/>
          <w:szCs w:val="24"/>
        </w:rPr>
      </w:pPr>
      <w:r w:rsidRPr="00E24274">
        <w:rPr>
          <w:rFonts w:ascii="Times New Roman" w:hAnsi="Times New Roman"/>
          <w:sz w:val="24"/>
          <w:szCs w:val="24"/>
        </w:rPr>
        <w:t>zasady zarządzania przychodami z praw, w tym dokonywania potrąceń od pobranych środków (art. 11</w:t>
      </w:r>
      <w:r w:rsidR="00B85D46">
        <w:rPr>
          <w:rFonts w:ascii="Times New Roman" w:hAnsi="Times New Roman"/>
          <w:sz w:val="24"/>
          <w:szCs w:val="24"/>
        </w:rPr>
        <w:t>–</w:t>
      </w:r>
      <w:r w:rsidRPr="00E24274">
        <w:rPr>
          <w:rFonts w:ascii="Times New Roman" w:hAnsi="Times New Roman"/>
          <w:sz w:val="24"/>
          <w:szCs w:val="24"/>
        </w:rPr>
        <w:t>13);</w:t>
      </w:r>
    </w:p>
    <w:p w:rsidR="0015341A" w:rsidRPr="00E24274" w:rsidRDefault="0015341A" w:rsidP="00ED0FD9">
      <w:pPr>
        <w:numPr>
          <w:ilvl w:val="0"/>
          <w:numId w:val="1"/>
        </w:numPr>
        <w:spacing w:after="0" w:line="360" w:lineRule="auto"/>
        <w:ind w:left="425" w:hanging="425"/>
        <w:jc w:val="both"/>
        <w:rPr>
          <w:rFonts w:ascii="Times New Roman" w:hAnsi="Times New Roman"/>
          <w:sz w:val="24"/>
          <w:szCs w:val="24"/>
        </w:rPr>
      </w:pPr>
      <w:r w:rsidRPr="00E24274">
        <w:rPr>
          <w:rFonts w:ascii="Times New Roman" w:hAnsi="Times New Roman"/>
          <w:sz w:val="24"/>
          <w:szCs w:val="24"/>
        </w:rPr>
        <w:t xml:space="preserve">relacje </w:t>
      </w:r>
      <w:r w:rsidR="00DF03F8" w:rsidRPr="00E24274">
        <w:rPr>
          <w:rFonts w:ascii="Times New Roman" w:hAnsi="Times New Roman"/>
          <w:sz w:val="24"/>
          <w:szCs w:val="24"/>
        </w:rPr>
        <w:t>pomiędzy</w:t>
      </w:r>
      <w:r w:rsidRPr="00E24274">
        <w:rPr>
          <w:rFonts w:ascii="Times New Roman" w:hAnsi="Times New Roman"/>
          <w:sz w:val="24"/>
          <w:szCs w:val="24"/>
        </w:rPr>
        <w:t xml:space="preserve"> organizacjami</w:t>
      </w:r>
      <w:r w:rsidR="00DF03F8" w:rsidRPr="00E24274">
        <w:rPr>
          <w:rFonts w:ascii="Times New Roman" w:hAnsi="Times New Roman"/>
          <w:sz w:val="24"/>
          <w:szCs w:val="24"/>
        </w:rPr>
        <w:t xml:space="preserve"> zbiorowego zarządzania</w:t>
      </w:r>
      <w:r w:rsidRPr="00E24274">
        <w:rPr>
          <w:rFonts w:ascii="Times New Roman" w:hAnsi="Times New Roman"/>
          <w:sz w:val="24"/>
          <w:szCs w:val="24"/>
        </w:rPr>
        <w:t xml:space="preserve"> (art. 14 i </w:t>
      </w:r>
      <w:r w:rsidR="00B07310">
        <w:rPr>
          <w:rFonts w:ascii="Times New Roman" w:hAnsi="Times New Roman"/>
          <w:sz w:val="24"/>
          <w:szCs w:val="24"/>
        </w:rPr>
        <w:t xml:space="preserve">art. </w:t>
      </w:r>
      <w:r w:rsidRPr="00E24274">
        <w:rPr>
          <w:rFonts w:ascii="Times New Roman" w:hAnsi="Times New Roman"/>
          <w:sz w:val="24"/>
          <w:szCs w:val="24"/>
        </w:rPr>
        <w:t>15);</w:t>
      </w:r>
    </w:p>
    <w:p w:rsidR="0015341A" w:rsidRPr="00E24274" w:rsidRDefault="0015341A" w:rsidP="00ED0FD9">
      <w:pPr>
        <w:numPr>
          <w:ilvl w:val="0"/>
          <w:numId w:val="1"/>
        </w:numPr>
        <w:spacing w:after="0" w:line="360" w:lineRule="auto"/>
        <w:ind w:left="425" w:hanging="425"/>
        <w:jc w:val="both"/>
        <w:rPr>
          <w:rFonts w:ascii="Times New Roman" w:hAnsi="Times New Roman"/>
          <w:sz w:val="24"/>
          <w:szCs w:val="24"/>
        </w:rPr>
      </w:pPr>
      <w:r w:rsidRPr="00E24274">
        <w:rPr>
          <w:rFonts w:ascii="Times New Roman" w:hAnsi="Times New Roman"/>
          <w:sz w:val="24"/>
          <w:szCs w:val="24"/>
        </w:rPr>
        <w:t>relacje z użytkownikami (art. 16</w:t>
      </w:r>
      <w:r w:rsidR="00B85D46">
        <w:rPr>
          <w:rFonts w:ascii="Times New Roman" w:hAnsi="Times New Roman"/>
          <w:sz w:val="24"/>
          <w:szCs w:val="24"/>
        </w:rPr>
        <w:t>–</w:t>
      </w:r>
      <w:r w:rsidRPr="00E24274">
        <w:rPr>
          <w:rFonts w:ascii="Times New Roman" w:hAnsi="Times New Roman"/>
          <w:sz w:val="24"/>
          <w:szCs w:val="24"/>
        </w:rPr>
        <w:t>17);</w:t>
      </w:r>
    </w:p>
    <w:p w:rsidR="0015341A" w:rsidRPr="00E24274" w:rsidRDefault="0015341A" w:rsidP="00ED0FD9">
      <w:pPr>
        <w:numPr>
          <w:ilvl w:val="0"/>
          <w:numId w:val="1"/>
        </w:numPr>
        <w:spacing w:after="0" w:line="360" w:lineRule="auto"/>
        <w:ind w:left="425" w:hanging="425"/>
        <w:jc w:val="both"/>
        <w:rPr>
          <w:rFonts w:ascii="Times New Roman" w:hAnsi="Times New Roman"/>
          <w:sz w:val="24"/>
          <w:szCs w:val="24"/>
        </w:rPr>
      </w:pPr>
      <w:r w:rsidRPr="00E24274">
        <w:rPr>
          <w:rFonts w:ascii="Times New Roman" w:hAnsi="Times New Roman"/>
          <w:sz w:val="24"/>
          <w:szCs w:val="24"/>
        </w:rPr>
        <w:t>obowiązki informacyjne i sprawozdawcze organizacji (art. 18</w:t>
      </w:r>
      <w:r w:rsidR="00B85D46">
        <w:rPr>
          <w:rFonts w:ascii="Times New Roman" w:hAnsi="Times New Roman"/>
          <w:sz w:val="24"/>
          <w:szCs w:val="24"/>
        </w:rPr>
        <w:t>–</w:t>
      </w:r>
      <w:r w:rsidRPr="00E24274">
        <w:rPr>
          <w:rFonts w:ascii="Times New Roman" w:hAnsi="Times New Roman"/>
          <w:sz w:val="24"/>
          <w:szCs w:val="24"/>
        </w:rPr>
        <w:t>22);</w:t>
      </w:r>
    </w:p>
    <w:p w:rsidR="0015341A" w:rsidRPr="00E24274" w:rsidRDefault="0015341A" w:rsidP="00ED0FD9">
      <w:pPr>
        <w:numPr>
          <w:ilvl w:val="0"/>
          <w:numId w:val="1"/>
        </w:numPr>
        <w:spacing w:after="0" w:line="360" w:lineRule="auto"/>
        <w:ind w:left="425" w:hanging="425"/>
        <w:jc w:val="both"/>
        <w:rPr>
          <w:rFonts w:ascii="Times New Roman" w:hAnsi="Times New Roman"/>
          <w:sz w:val="24"/>
          <w:szCs w:val="24"/>
        </w:rPr>
      </w:pPr>
      <w:r w:rsidRPr="00E24274">
        <w:rPr>
          <w:rFonts w:ascii="Times New Roman" w:hAnsi="Times New Roman"/>
          <w:sz w:val="24"/>
          <w:szCs w:val="24"/>
        </w:rPr>
        <w:t>zasady rozstrzygania sporów z udziałem organizacji (art. 33</w:t>
      </w:r>
      <w:r w:rsidR="00B85D46">
        <w:rPr>
          <w:rFonts w:ascii="Times New Roman" w:hAnsi="Times New Roman"/>
          <w:sz w:val="24"/>
          <w:szCs w:val="24"/>
        </w:rPr>
        <w:t>–</w:t>
      </w:r>
      <w:r w:rsidRPr="00E24274">
        <w:rPr>
          <w:rFonts w:ascii="Times New Roman" w:hAnsi="Times New Roman"/>
          <w:sz w:val="24"/>
          <w:szCs w:val="24"/>
        </w:rPr>
        <w:t>35);</w:t>
      </w:r>
    </w:p>
    <w:p w:rsidR="0015341A" w:rsidRPr="00E24274" w:rsidRDefault="0015341A" w:rsidP="00ED0FD9">
      <w:pPr>
        <w:numPr>
          <w:ilvl w:val="0"/>
          <w:numId w:val="1"/>
        </w:numPr>
        <w:spacing w:after="0" w:line="360" w:lineRule="auto"/>
        <w:ind w:left="425" w:hanging="425"/>
        <w:jc w:val="both"/>
        <w:rPr>
          <w:rFonts w:ascii="Times New Roman" w:hAnsi="Times New Roman"/>
          <w:sz w:val="24"/>
          <w:szCs w:val="24"/>
        </w:rPr>
      </w:pPr>
      <w:r w:rsidRPr="00E24274">
        <w:rPr>
          <w:rFonts w:ascii="Times New Roman" w:hAnsi="Times New Roman"/>
          <w:sz w:val="24"/>
          <w:szCs w:val="24"/>
        </w:rPr>
        <w:t>obowiązki dotyczące monitorowania przestrzegania przepisów przez organizacje oraz wymiany informacji pomiędzy państwami członkowskimi (art. 36</w:t>
      </w:r>
      <w:r w:rsidR="00B85D46">
        <w:rPr>
          <w:rFonts w:ascii="Times New Roman" w:hAnsi="Times New Roman"/>
          <w:sz w:val="24"/>
          <w:szCs w:val="24"/>
        </w:rPr>
        <w:t>–</w:t>
      </w:r>
      <w:r w:rsidRPr="00E24274">
        <w:rPr>
          <w:rFonts w:ascii="Times New Roman" w:hAnsi="Times New Roman"/>
          <w:sz w:val="24"/>
          <w:szCs w:val="24"/>
        </w:rPr>
        <w:t>38).</w:t>
      </w:r>
    </w:p>
    <w:p w:rsidR="0015341A" w:rsidRPr="00E24274" w:rsidRDefault="0015341A"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 xml:space="preserve">Odrębną i najbardziej szczegółową częścią dyrektywy </w:t>
      </w:r>
      <w:r w:rsidR="00D93553" w:rsidRPr="00E24274">
        <w:rPr>
          <w:rFonts w:ascii="Times New Roman" w:hAnsi="Times New Roman"/>
          <w:sz w:val="24"/>
          <w:szCs w:val="24"/>
        </w:rPr>
        <w:t xml:space="preserve">CRM </w:t>
      </w:r>
      <w:r w:rsidRPr="00E24274">
        <w:rPr>
          <w:rFonts w:ascii="Times New Roman" w:hAnsi="Times New Roman"/>
          <w:sz w:val="24"/>
          <w:szCs w:val="24"/>
        </w:rPr>
        <w:t xml:space="preserve">są przepisy dotyczące udzielania licencji wieloterytorialnych na korzystanie </w:t>
      </w:r>
      <w:r w:rsidRPr="00E24274">
        <w:rPr>
          <w:rFonts w:ascii="Times New Roman" w:hAnsi="Times New Roman"/>
          <w:i/>
          <w:sz w:val="24"/>
          <w:szCs w:val="24"/>
        </w:rPr>
        <w:t>online</w:t>
      </w:r>
      <w:r w:rsidRPr="00E24274">
        <w:rPr>
          <w:rFonts w:ascii="Times New Roman" w:hAnsi="Times New Roman"/>
          <w:sz w:val="24"/>
          <w:szCs w:val="24"/>
        </w:rPr>
        <w:t xml:space="preserve"> z utworów muzycznych (art. 23</w:t>
      </w:r>
      <w:r w:rsidR="00B85D46">
        <w:rPr>
          <w:rFonts w:ascii="Times New Roman" w:hAnsi="Times New Roman"/>
          <w:sz w:val="24"/>
          <w:szCs w:val="24"/>
        </w:rPr>
        <w:t>–</w:t>
      </w:r>
      <w:r w:rsidRPr="00E24274">
        <w:rPr>
          <w:rFonts w:ascii="Times New Roman" w:hAnsi="Times New Roman"/>
          <w:sz w:val="24"/>
          <w:szCs w:val="24"/>
        </w:rPr>
        <w:t>32). Tu c</w:t>
      </w:r>
      <w:r w:rsidR="001F3301" w:rsidRPr="00E24274">
        <w:rPr>
          <w:rFonts w:ascii="Times New Roman" w:hAnsi="Times New Roman"/>
          <w:sz w:val="24"/>
          <w:szCs w:val="24"/>
        </w:rPr>
        <w:t xml:space="preserve">elem europejskiego ustawodawcy było </w:t>
      </w:r>
      <w:r w:rsidRPr="00E24274">
        <w:rPr>
          <w:rFonts w:ascii="Times New Roman" w:hAnsi="Times New Roman"/>
          <w:sz w:val="24"/>
          <w:szCs w:val="24"/>
        </w:rPr>
        <w:t>wypracowanie powszechnego mechanizmu udzielania licencji wieloterytorialnych</w:t>
      </w:r>
      <w:r w:rsidR="001F3301" w:rsidRPr="00E24274">
        <w:rPr>
          <w:rFonts w:ascii="Times New Roman" w:hAnsi="Times New Roman"/>
          <w:sz w:val="24"/>
          <w:szCs w:val="24"/>
        </w:rPr>
        <w:t xml:space="preserve"> </w:t>
      </w:r>
      <w:r w:rsidRPr="00E24274">
        <w:rPr>
          <w:rFonts w:ascii="Times New Roman" w:hAnsi="Times New Roman"/>
          <w:sz w:val="24"/>
          <w:szCs w:val="24"/>
        </w:rPr>
        <w:t xml:space="preserve">na potrzeby świadczenia </w:t>
      </w:r>
      <w:r w:rsidRPr="00E24274">
        <w:rPr>
          <w:rFonts w:ascii="Times New Roman" w:hAnsi="Times New Roman"/>
          <w:i/>
          <w:sz w:val="24"/>
          <w:szCs w:val="24"/>
        </w:rPr>
        <w:t>online</w:t>
      </w:r>
      <w:r w:rsidRPr="00E24274">
        <w:rPr>
          <w:rFonts w:ascii="Times New Roman" w:hAnsi="Times New Roman"/>
          <w:sz w:val="24"/>
          <w:szCs w:val="24"/>
        </w:rPr>
        <w:t xml:space="preserve"> usług, w ramach których wykorzystywane są utwory muzyczne (motyw 39 preambuły). Przepisy te dotyczą tylko praw autorskich, gdyż prawa pokrewne są skupione w rękach producentów muzycznych, którzy bezpośrednio udzielają </w:t>
      </w:r>
      <w:r w:rsidR="001F3301" w:rsidRPr="00E24274">
        <w:rPr>
          <w:rFonts w:ascii="Times New Roman" w:hAnsi="Times New Roman"/>
          <w:sz w:val="24"/>
          <w:szCs w:val="24"/>
        </w:rPr>
        <w:t xml:space="preserve">usługodawcom </w:t>
      </w:r>
      <w:r w:rsidRPr="00E24274">
        <w:rPr>
          <w:rFonts w:ascii="Times New Roman" w:hAnsi="Times New Roman"/>
          <w:sz w:val="24"/>
          <w:szCs w:val="24"/>
        </w:rPr>
        <w:t xml:space="preserve">licencji wieloterytorialnych. </w:t>
      </w:r>
      <w:r w:rsidR="001F3301" w:rsidRPr="00E24274">
        <w:rPr>
          <w:rFonts w:ascii="Times New Roman" w:hAnsi="Times New Roman"/>
          <w:sz w:val="24"/>
          <w:szCs w:val="24"/>
        </w:rPr>
        <w:t xml:space="preserve">Ograniczenie takie wynika z tego, że tylko </w:t>
      </w:r>
      <w:r w:rsidRPr="00E24274">
        <w:rPr>
          <w:rFonts w:ascii="Times New Roman" w:hAnsi="Times New Roman"/>
          <w:sz w:val="24"/>
          <w:szCs w:val="24"/>
        </w:rPr>
        <w:t>twórcy nie przenoszą swoich praw w zakresie eksploatacji drogą cyfrową na producentów, lecz wykonują swoje prawa za pośrednictwem organizacji zbiorowego zarządzania. Udzielanie przez organizacje zbiorowego zarządzania licencji wieloterytorialnych</w:t>
      </w:r>
      <w:r w:rsidR="001F3301" w:rsidRPr="00E24274">
        <w:rPr>
          <w:rFonts w:ascii="Times New Roman" w:hAnsi="Times New Roman"/>
          <w:sz w:val="24"/>
          <w:szCs w:val="24"/>
        </w:rPr>
        <w:t xml:space="preserve"> </w:t>
      </w:r>
      <w:r w:rsidR="007A4C15" w:rsidRPr="00E24274">
        <w:rPr>
          <w:rFonts w:ascii="Times New Roman" w:hAnsi="Times New Roman"/>
          <w:sz w:val="24"/>
          <w:szCs w:val="24"/>
        </w:rPr>
        <w:t>–</w:t>
      </w:r>
      <w:r w:rsidR="001F3301" w:rsidRPr="00E24274">
        <w:rPr>
          <w:rFonts w:ascii="Times New Roman" w:hAnsi="Times New Roman"/>
          <w:sz w:val="24"/>
          <w:szCs w:val="24"/>
        </w:rPr>
        <w:t xml:space="preserve"> w ocenie Komisji Europejskiej </w:t>
      </w:r>
      <w:r w:rsidR="007A4C15" w:rsidRPr="00E24274">
        <w:rPr>
          <w:rFonts w:ascii="Times New Roman" w:hAnsi="Times New Roman"/>
          <w:sz w:val="24"/>
          <w:szCs w:val="24"/>
        </w:rPr>
        <w:t>–</w:t>
      </w:r>
      <w:r w:rsidR="001F3301" w:rsidRPr="00E24274">
        <w:rPr>
          <w:rFonts w:ascii="Times New Roman" w:hAnsi="Times New Roman"/>
          <w:sz w:val="24"/>
          <w:szCs w:val="24"/>
        </w:rPr>
        <w:t xml:space="preserve"> </w:t>
      </w:r>
      <w:r w:rsidRPr="00E24274">
        <w:rPr>
          <w:rFonts w:ascii="Times New Roman" w:hAnsi="Times New Roman"/>
          <w:sz w:val="24"/>
          <w:szCs w:val="24"/>
        </w:rPr>
        <w:t>ułatwi świadczenie drogą cyfrową usług wyk</w:t>
      </w:r>
      <w:r w:rsidR="00ED0FD9">
        <w:rPr>
          <w:rFonts w:ascii="Times New Roman" w:hAnsi="Times New Roman"/>
          <w:sz w:val="24"/>
          <w:szCs w:val="24"/>
        </w:rPr>
        <w:t>orzystujących muzykę i </w:t>
      </w:r>
      <w:r w:rsidRPr="00E24274">
        <w:rPr>
          <w:rFonts w:ascii="Times New Roman" w:hAnsi="Times New Roman"/>
          <w:sz w:val="24"/>
          <w:szCs w:val="24"/>
        </w:rPr>
        <w:t>przyczyni się do ich większej dostępności w Unii Europejskiej</w:t>
      </w:r>
      <w:r w:rsidRPr="00E24274">
        <w:rPr>
          <w:rFonts w:ascii="Times New Roman" w:hAnsi="Times New Roman"/>
          <w:sz w:val="24"/>
          <w:szCs w:val="24"/>
          <w:vertAlign w:val="superscript"/>
        </w:rPr>
        <w:footnoteReference w:id="13"/>
      </w:r>
      <w:r w:rsidR="001E6F0B" w:rsidRPr="001E6F0B">
        <w:rPr>
          <w:rFonts w:ascii="Times New Roman" w:hAnsi="Times New Roman"/>
          <w:sz w:val="24"/>
          <w:szCs w:val="24"/>
          <w:vertAlign w:val="superscript"/>
        </w:rPr>
        <w:t>)</w:t>
      </w:r>
      <w:r w:rsidRPr="00E24274">
        <w:rPr>
          <w:rFonts w:ascii="Times New Roman" w:hAnsi="Times New Roman"/>
          <w:sz w:val="24"/>
          <w:szCs w:val="24"/>
        </w:rPr>
        <w:t>.</w:t>
      </w:r>
    </w:p>
    <w:p w:rsidR="0015341A" w:rsidRPr="00E24274" w:rsidRDefault="0015341A"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 xml:space="preserve">Bardziej lakoniczny charakter mają natomiast przepisy dyrektywy </w:t>
      </w:r>
      <w:r w:rsidR="00D93553" w:rsidRPr="00E24274">
        <w:rPr>
          <w:rFonts w:ascii="Times New Roman" w:hAnsi="Times New Roman"/>
          <w:sz w:val="24"/>
          <w:szCs w:val="24"/>
        </w:rPr>
        <w:t xml:space="preserve">CRM </w:t>
      </w:r>
      <w:r w:rsidRPr="00E24274">
        <w:rPr>
          <w:rFonts w:ascii="Times New Roman" w:hAnsi="Times New Roman"/>
          <w:sz w:val="24"/>
          <w:szCs w:val="24"/>
        </w:rPr>
        <w:t xml:space="preserve">dotyczące tworzenia organizacji i nadzoru nad nimi. W tym zakresie dyrektywa zawiera jedynie ogólne zobowiązanie do wprowadzenia skutecznego monitoringu przestrzegania przepisów przyjętych na jej podstawie, natomiast szczegółowy sposób osiągnięcia tego </w:t>
      </w:r>
      <w:r w:rsidRPr="00E24274">
        <w:rPr>
          <w:rFonts w:ascii="Times New Roman" w:hAnsi="Times New Roman"/>
          <w:sz w:val="24"/>
          <w:szCs w:val="24"/>
        </w:rPr>
        <w:lastRenderedPageBreak/>
        <w:t>cel</w:t>
      </w:r>
      <w:r w:rsidR="00C97A71">
        <w:rPr>
          <w:rFonts w:ascii="Times New Roman" w:hAnsi="Times New Roman"/>
          <w:sz w:val="24"/>
          <w:szCs w:val="24"/>
        </w:rPr>
        <w:t xml:space="preserve">u, w tym </w:t>
      </w:r>
      <w:r w:rsidRPr="00E24274">
        <w:rPr>
          <w:rFonts w:ascii="Times New Roman" w:hAnsi="Times New Roman"/>
          <w:sz w:val="24"/>
          <w:szCs w:val="24"/>
        </w:rPr>
        <w:t xml:space="preserve">przez system zezwoleń i nadzoru nad działalnością organizacji, pozostawia do uregulowania w prawie krajowym (por. motyw 50 preambuły). </w:t>
      </w:r>
    </w:p>
    <w:p w:rsidR="0015341A" w:rsidRPr="00E24274" w:rsidRDefault="0015341A"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Szczególne znaczenie w tym kontekście ma wyrok</w:t>
      </w:r>
      <w:r w:rsidR="00307C44" w:rsidRPr="00E24274">
        <w:rPr>
          <w:rFonts w:ascii="Times New Roman" w:hAnsi="Times New Roman"/>
          <w:sz w:val="24"/>
          <w:szCs w:val="24"/>
        </w:rPr>
        <w:t xml:space="preserve"> TSUE</w:t>
      </w:r>
      <w:r w:rsidR="00ED0FD9">
        <w:rPr>
          <w:rFonts w:ascii="Times New Roman" w:hAnsi="Times New Roman"/>
          <w:sz w:val="24"/>
          <w:szCs w:val="24"/>
        </w:rPr>
        <w:t xml:space="preserve"> z dnia 27 lutego 2014 r. w </w:t>
      </w:r>
      <w:r w:rsidRPr="00E24274">
        <w:rPr>
          <w:rFonts w:ascii="Times New Roman" w:hAnsi="Times New Roman"/>
          <w:sz w:val="24"/>
          <w:szCs w:val="24"/>
        </w:rPr>
        <w:t xml:space="preserve">sprawie C-351/12 OSA – </w:t>
      </w:r>
      <w:r w:rsidRPr="00E24274">
        <w:rPr>
          <w:rFonts w:ascii="Times New Roman" w:hAnsi="Times New Roman"/>
          <w:i/>
          <w:sz w:val="24"/>
          <w:szCs w:val="24"/>
        </w:rPr>
        <w:t>Ochranný svaz autorský pro práva k dílům hudebním o.s.</w:t>
      </w:r>
      <w:r w:rsidRPr="00E24274">
        <w:rPr>
          <w:rFonts w:ascii="Times New Roman" w:hAnsi="Times New Roman"/>
          <w:sz w:val="24"/>
          <w:szCs w:val="24"/>
        </w:rPr>
        <w:t>, w którym Trybunał, mając na uwadze specyfikę zarządzania prawami autorskimi, dopuścił możliwość wprowadzenia przez państwo członkowskie monopolu jednej organizacji zbiorowego zarządzania w odniesieniu do zarządzania prawami do określonej kategorii utworów, z zastrzeżeniem, że działalność takiej organizacji podlega ocenie pod kątem nadużycia pozycji dominującej zgodnie z ogólnymi zasadami traktatowymi dotyczącymi ochrony konkurencji. Tym samym potwierdzono, że ustawodawca krajowy może ograniczyć swobodę transgranicznego świadczenia usłu</w:t>
      </w:r>
      <w:r w:rsidR="00C97A71">
        <w:rPr>
          <w:rFonts w:ascii="Times New Roman" w:hAnsi="Times New Roman"/>
          <w:sz w:val="24"/>
          <w:szCs w:val="24"/>
        </w:rPr>
        <w:t xml:space="preserve">g zbiorowego zarządu nie tylko </w:t>
      </w:r>
      <w:r w:rsidRPr="00E24274">
        <w:rPr>
          <w:rFonts w:ascii="Times New Roman" w:hAnsi="Times New Roman"/>
          <w:sz w:val="24"/>
          <w:szCs w:val="24"/>
        </w:rPr>
        <w:t xml:space="preserve">przez </w:t>
      </w:r>
      <w:r w:rsidR="001F3301" w:rsidRPr="00E24274">
        <w:rPr>
          <w:rFonts w:ascii="Times New Roman" w:hAnsi="Times New Roman"/>
          <w:sz w:val="24"/>
          <w:szCs w:val="24"/>
        </w:rPr>
        <w:t>obowiązek u</w:t>
      </w:r>
      <w:r w:rsidRPr="00E24274">
        <w:rPr>
          <w:rFonts w:ascii="Times New Roman" w:hAnsi="Times New Roman"/>
          <w:sz w:val="24"/>
          <w:szCs w:val="24"/>
        </w:rPr>
        <w:t>zyskania zezwolenia na prowadzenie tego rodzaju działalności</w:t>
      </w:r>
      <w:r w:rsidR="001F3301" w:rsidRPr="00E24274">
        <w:rPr>
          <w:rFonts w:ascii="Times New Roman" w:hAnsi="Times New Roman"/>
          <w:sz w:val="24"/>
          <w:szCs w:val="24"/>
        </w:rPr>
        <w:t xml:space="preserve"> na terytorium danego państwa członkowskiego</w:t>
      </w:r>
      <w:r w:rsidRPr="00E24274">
        <w:rPr>
          <w:rFonts w:ascii="Times New Roman" w:hAnsi="Times New Roman"/>
          <w:sz w:val="24"/>
          <w:szCs w:val="24"/>
        </w:rPr>
        <w:t xml:space="preserve">, ale </w:t>
      </w:r>
      <w:r w:rsidR="001F3301" w:rsidRPr="00E24274">
        <w:rPr>
          <w:rFonts w:ascii="Times New Roman" w:hAnsi="Times New Roman"/>
          <w:sz w:val="24"/>
          <w:szCs w:val="24"/>
        </w:rPr>
        <w:t xml:space="preserve">może także ograniczać </w:t>
      </w:r>
      <w:r w:rsidRPr="00E24274">
        <w:rPr>
          <w:rFonts w:ascii="Times New Roman" w:hAnsi="Times New Roman"/>
          <w:sz w:val="24"/>
          <w:szCs w:val="24"/>
        </w:rPr>
        <w:t>liczb</w:t>
      </w:r>
      <w:r w:rsidR="001F3301" w:rsidRPr="00E24274">
        <w:rPr>
          <w:rFonts w:ascii="Times New Roman" w:hAnsi="Times New Roman"/>
          <w:sz w:val="24"/>
          <w:szCs w:val="24"/>
        </w:rPr>
        <w:t>ę</w:t>
      </w:r>
      <w:r w:rsidRPr="00E24274">
        <w:rPr>
          <w:rFonts w:ascii="Times New Roman" w:hAnsi="Times New Roman"/>
          <w:sz w:val="24"/>
          <w:szCs w:val="24"/>
        </w:rPr>
        <w:t xml:space="preserve"> organizacji funkcjonujących na rynku.</w:t>
      </w:r>
    </w:p>
    <w:p w:rsidR="0015341A" w:rsidRPr="00E24274" w:rsidRDefault="0015341A"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 xml:space="preserve">Dyrektywa </w:t>
      </w:r>
      <w:r w:rsidR="00D93553" w:rsidRPr="00E24274">
        <w:rPr>
          <w:rFonts w:ascii="Times New Roman" w:hAnsi="Times New Roman"/>
          <w:sz w:val="24"/>
          <w:szCs w:val="24"/>
        </w:rPr>
        <w:t xml:space="preserve">CRM </w:t>
      </w:r>
      <w:r w:rsidRPr="00E24274">
        <w:rPr>
          <w:rFonts w:ascii="Times New Roman" w:hAnsi="Times New Roman"/>
          <w:sz w:val="24"/>
          <w:szCs w:val="24"/>
        </w:rPr>
        <w:t>nie przesądza także formy prawnej orga</w:t>
      </w:r>
      <w:r w:rsidR="00ED0FD9">
        <w:rPr>
          <w:rFonts w:ascii="Times New Roman" w:hAnsi="Times New Roman"/>
          <w:sz w:val="24"/>
          <w:szCs w:val="24"/>
        </w:rPr>
        <w:t>nizacji (por. motyw 14 </w:t>
      </w:r>
      <w:r w:rsidRPr="00E24274">
        <w:rPr>
          <w:rFonts w:ascii="Times New Roman" w:hAnsi="Times New Roman"/>
          <w:sz w:val="24"/>
          <w:szCs w:val="24"/>
        </w:rPr>
        <w:t>preambuły), choć w tym wypadku pewne ograniczenia wynikają z jej definicji (art. 3 pkt a).</w:t>
      </w:r>
    </w:p>
    <w:p w:rsidR="0015341A" w:rsidRPr="00E24274" w:rsidRDefault="0015341A" w:rsidP="00E24274">
      <w:pPr>
        <w:spacing w:before="120" w:after="0" w:line="360" w:lineRule="auto"/>
        <w:jc w:val="both"/>
        <w:rPr>
          <w:rFonts w:ascii="Times New Roman" w:hAnsi="Times New Roman"/>
          <w:sz w:val="24"/>
          <w:szCs w:val="24"/>
          <w:highlight w:val="yellow"/>
        </w:rPr>
      </w:pPr>
      <w:r w:rsidRPr="00E24274">
        <w:rPr>
          <w:rFonts w:ascii="Times New Roman" w:hAnsi="Times New Roman"/>
          <w:sz w:val="24"/>
          <w:szCs w:val="24"/>
        </w:rPr>
        <w:t xml:space="preserve">Dokonując porównania przepisów dyrektywy </w:t>
      </w:r>
      <w:r w:rsidR="00D93553" w:rsidRPr="00E24274">
        <w:rPr>
          <w:rFonts w:ascii="Times New Roman" w:hAnsi="Times New Roman"/>
          <w:sz w:val="24"/>
          <w:szCs w:val="24"/>
        </w:rPr>
        <w:t xml:space="preserve">CRM </w:t>
      </w:r>
      <w:r w:rsidRPr="00E24274">
        <w:rPr>
          <w:rFonts w:ascii="Times New Roman" w:hAnsi="Times New Roman"/>
          <w:sz w:val="24"/>
          <w:szCs w:val="24"/>
        </w:rPr>
        <w:t>z dotychczasowymi polskimi regulacjami dotyczącymi zbiorowego zarządzania</w:t>
      </w:r>
      <w:r w:rsidR="00242F7C" w:rsidRPr="00E24274">
        <w:rPr>
          <w:rFonts w:ascii="Times New Roman" w:hAnsi="Times New Roman"/>
          <w:sz w:val="24"/>
          <w:szCs w:val="24"/>
        </w:rPr>
        <w:t>,</w:t>
      </w:r>
      <w:r w:rsidRPr="00E24274">
        <w:rPr>
          <w:rFonts w:ascii="Times New Roman" w:hAnsi="Times New Roman"/>
          <w:sz w:val="24"/>
          <w:szCs w:val="24"/>
        </w:rPr>
        <w:t xml:space="preserve"> łatwo zauważyć, że te ostatnie – zawarte w rozdziale 12 pr. aut.</w:t>
      </w:r>
      <w:r w:rsidR="000B7B53" w:rsidRPr="00E24274">
        <w:rPr>
          <w:rFonts w:ascii="Times New Roman" w:hAnsi="Times New Roman"/>
          <w:sz w:val="24"/>
          <w:szCs w:val="24"/>
        </w:rPr>
        <w:t xml:space="preserve"> –</w:t>
      </w:r>
      <w:r w:rsidRPr="00E24274">
        <w:rPr>
          <w:rFonts w:ascii="Times New Roman" w:hAnsi="Times New Roman"/>
          <w:sz w:val="24"/>
          <w:szCs w:val="24"/>
        </w:rPr>
        <w:t xml:space="preserve"> są niezwykle ogólnikowe (sześć artykułów przy niemal czterdziestu merytorycznych artykułach dyrektywy i ponad pięćdziesięciu motywach jej preambuły, stanowiących często istotne uzupełnienie przepisów). </w:t>
      </w:r>
      <w:r w:rsidR="001F3301" w:rsidRPr="00E24274">
        <w:rPr>
          <w:rFonts w:ascii="Times New Roman" w:hAnsi="Times New Roman"/>
          <w:sz w:val="24"/>
          <w:szCs w:val="24"/>
        </w:rPr>
        <w:t xml:space="preserve">Obowiązujące regulacje są </w:t>
      </w:r>
      <w:r w:rsidR="00242F7C" w:rsidRPr="00E24274">
        <w:rPr>
          <w:rFonts w:ascii="Times New Roman" w:hAnsi="Times New Roman"/>
          <w:sz w:val="24"/>
          <w:szCs w:val="24"/>
        </w:rPr>
        <w:t xml:space="preserve">także </w:t>
      </w:r>
      <w:r w:rsidRPr="00E24274">
        <w:rPr>
          <w:rFonts w:ascii="Times New Roman" w:hAnsi="Times New Roman"/>
          <w:sz w:val="24"/>
          <w:szCs w:val="24"/>
        </w:rPr>
        <w:t xml:space="preserve">fragmentaryczne, gdyż całkowicie pomijają niektóre istotne aspekty zbiorowego zarządu takie jak np. stosunki organizacji z uprawnionymi czy </w:t>
      </w:r>
      <w:r w:rsidR="00242F7C" w:rsidRPr="00E24274">
        <w:rPr>
          <w:rFonts w:ascii="Times New Roman" w:hAnsi="Times New Roman"/>
          <w:sz w:val="24"/>
          <w:szCs w:val="24"/>
        </w:rPr>
        <w:t xml:space="preserve">zasady </w:t>
      </w:r>
      <w:r w:rsidRPr="00E24274">
        <w:rPr>
          <w:rFonts w:ascii="Times New Roman" w:hAnsi="Times New Roman"/>
          <w:sz w:val="24"/>
          <w:szCs w:val="24"/>
        </w:rPr>
        <w:t>podział</w:t>
      </w:r>
      <w:r w:rsidR="00242F7C" w:rsidRPr="00E24274">
        <w:rPr>
          <w:rFonts w:ascii="Times New Roman" w:hAnsi="Times New Roman"/>
          <w:sz w:val="24"/>
          <w:szCs w:val="24"/>
        </w:rPr>
        <w:t>u</w:t>
      </w:r>
      <w:r w:rsidRPr="00E24274">
        <w:rPr>
          <w:rFonts w:ascii="Times New Roman" w:hAnsi="Times New Roman"/>
          <w:sz w:val="24"/>
          <w:szCs w:val="24"/>
        </w:rPr>
        <w:t xml:space="preserve"> i wypłat</w:t>
      </w:r>
      <w:r w:rsidR="00242F7C" w:rsidRPr="00E24274">
        <w:rPr>
          <w:rFonts w:ascii="Times New Roman" w:hAnsi="Times New Roman"/>
          <w:sz w:val="24"/>
          <w:szCs w:val="24"/>
        </w:rPr>
        <w:t>y</w:t>
      </w:r>
      <w:r w:rsidRPr="00E24274">
        <w:rPr>
          <w:rFonts w:ascii="Times New Roman" w:hAnsi="Times New Roman"/>
          <w:sz w:val="24"/>
          <w:szCs w:val="24"/>
        </w:rPr>
        <w:t xml:space="preserve"> zainkasowanych środków</w:t>
      </w:r>
      <w:r w:rsidR="001F3301" w:rsidRPr="00E24274">
        <w:rPr>
          <w:rFonts w:ascii="Times New Roman" w:hAnsi="Times New Roman"/>
          <w:sz w:val="24"/>
          <w:szCs w:val="24"/>
        </w:rPr>
        <w:t xml:space="preserve">. Jednocześnie </w:t>
      </w:r>
      <w:r w:rsidRPr="00E24274">
        <w:rPr>
          <w:rFonts w:ascii="Times New Roman" w:hAnsi="Times New Roman"/>
          <w:sz w:val="24"/>
          <w:szCs w:val="24"/>
        </w:rPr>
        <w:t xml:space="preserve">trzeba przyznać, że przyjęte w </w:t>
      </w:r>
      <w:r w:rsidR="00242F7C" w:rsidRPr="00E24274">
        <w:rPr>
          <w:rFonts w:ascii="Times New Roman" w:hAnsi="Times New Roman"/>
          <w:sz w:val="24"/>
          <w:szCs w:val="24"/>
        </w:rPr>
        <w:t xml:space="preserve">obowiązującej </w:t>
      </w:r>
      <w:r w:rsidRPr="00E24274">
        <w:rPr>
          <w:rFonts w:ascii="Times New Roman" w:hAnsi="Times New Roman"/>
          <w:sz w:val="24"/>
          <w:szCs w:val="24"/>
        </w:rPr>
        <w:t>polskiej ustawie zasady ogólne w wielu przypadkach odpowiadają kierunkowi przyjętemu przez dyrektywę (możliwość członkostwa osób prawnych</w:t>
      </w:r>
      <w:r w:rsidR="001F3301" w:rsidRPr="00E24274">
        <w:rPr>
          <w:rFonts w:ascii="Times New Roman" w:hAnsi="Times New Roman"/>
          <w:sz w:val="24"/>
          <w:szCs w:val="24"/>
        </w:rPr>
        <w:t xml:space="preserve"> w organizacji</w:t>
      </w:r>
      <w:r w:rsidRPr="00E24274">
        <w:rPr>
          <w:rFonts w:ascii="Times New Roman" w:hAnsi="Times New Roman"/>
          <w:sz w:val="24"/>
          <w:szCs w:val="24"/>
        </w:rPr>
        <w:t xml:space="preserve">, roszczenie informacyjne wobec użytkowników, obowiązek równego traktowania uprawnionych, obowiązek </w:t>
      </w:r>
      <w:r w:rsidR="001F3301" w:rsidRPr="00E24274">
        <w:rPr>
          <w:rFonts w:ascii="Times New Roman" w:hAnsi="Times New Roman"/>
          <w:sz w:val="24"/>
          <w:szCs w:val="24"/>
        </w:rPr>
        <w:t>udzielenia licencji, obowiązek ob</w:t>
      </w:r>
      <w:r w:rsidRPr="00E24274">
        <w:rPr>
          <w:rFonts w:ascii="Times New Roman" w:hAnsi="Times New Roman"/>
          <w:sz w:val="24"/>
          <w:szCs w:val="24"/>
        </w:rPr>
        <w:t>jęcia praw w zbiorowy zarząd</w:t>
      </w:r>
      <w:r w:rsidR="001F3301" w:rsidRPr="00E24274">
        <w:rPr>
          <w:rFonts w:ascii="Times New Roman" w:hAnsi="Times New Roman"/>
          <w:sz w:val="24"/>
          <w:szCs w:val="24"/>
        </w:rPr>
        <w:t xml:space="preserve"> czy stosowane</w:t>
      </w:r>
      <w:r w:rsidRPr="00E24274">
        <w:rPr>
          <w:rFonts w:ascii="Times New Roman" w:hAnsi="Times New Roman"/>
          <w:sz w:val="24"/>
          <w:szCs w:val="24"/>
        </w:rPr>
        <w:t xml:space="preserve"> kryteria </w:t>
      </w:r>
      <w:r w:rsidR="001F3301" w:rsidRPr="00E24274">
        <w:rPr>
          <w:rFonts w:ascii="Times New Roman" w:hAnsi="Times New Roman"/>
          <w:sz w:val="24"/>
          <w:szCs w:val="24"/>
        </w:rPr>
        <w:t xml:space="preserve">ustalania </w:t>
      </w:r>
      <w:r w:rsidRPr="00E24274">
        <w:rPr>
          <w:rFonts w:ascii="Times New Roman" w:hAnsi="Times New Roman"/>
          <w:sz w:val="24"/>
          <w:szCs w:val="24"/>
        </w:rPr>
        <w:t xml:space="preserve">wysokości stawek wynagrodzeń). </w:t>
      </w:r>
      <w:r w:rsidR="001F3301" w:rsidRPr="00E24274">
        <w:rPr>
          <w:rFonts w:ascii="Times New Roman" w:hAnsi="Times New Roman"/>
          <w:sz w:val="24"/>
          <w:szCs w:val="24"/>
        </w:rPr>
        <w:t xml:space="preserve">W obowiązującym stanie prawnym </w:t>
      </w:r>
      <w:r w:rsidR="00242F7C" w:rsidRPr="00E24274">
        <w:rPr>
          <w:rFonts w:ascii="Times New Roman" w:hAnsi="Times New Roman"/>
          <w:sz w:val="24"/>
          <w:szCs w:val="24"/>
        </w:rPr>
        <w:t>t</w:t>
      </w:r>
      <w:r w:rsidRPr="00E24274">
        <w:rPr>
          <w:rFonts w:ascii="Times New Roman" w:hAnsi="Times New Roman"/>
          <w:sz w:val="24"/>
          <w:szCs w:val="24"/>
        </w:rPr>
        <w:t xml:space="preserve">ylko przepisy dotyczące sprawozdawczości organizacji można uznać za w znacznym stopniu zbliżone do </w:t>
      </w:r>
      <w:r w:rsidR="00242F7C" w:rsidRPr="00E24274">
        <w:rPr>
          <w:rFonts w:ascii="Times New Roman" w:hAnsi="Times New Roman"/>
          <w:sz w:val="24"/>
          <w:szCs w:val="24"/>
        </w:rPr>
        <w:lastRenderedPageBreak/>
        <w:t xml:space="preserve">warunków określonych w </w:t>
      </w:r>
      <w:r w:rsidRPr="00E24274">
        <w:rPr>
          <w:rFonts w:ascii="Times New Roman" w:hAnsi="Times New Roman"/>
          <w:sz w:val="24"/>
          <w:szCs w:val="24"/>
        </w:rPr>
        <w:t>dyrektyw</w:t>
      </w:r>
      <w:r w:rsidR="00242F7C" w:rsidRPr="00E24274">
        <w:rPr>
          <w:rFonts w:ascii="Times New Roman" w:hAnsi="Times New Roman"/>
          <w:sz w:val="24"/>
          <w:szCs w:val="24"/>
        </w:rPr>
        <w:t>ie</w:t>
      </w:r>
      <w:r w:rsidRPr="00E24274">
        <w:rPr>
          <w:rFonts w:ascii="Times New Roman" w:hAnsi="Times New Roman"/>
          <w:sz w:val="24"/>
          <w:szCs w:val="24"/>
        </w:rPr>
        <w:t xml:space="preserve">, choć </w:t>
      </w:r>
      <w:r w:rsidR="00242F7C" w:rsidRPr="00E24274">
        <w:rPr>
          <w:rFonts w:ascii="Times New Roman" w:hAnsi="Times New Roman"/>
          <w:sz w:val="24"/>
          <w:szCs w:val="24"/>
        </w:rPr>
        <w:t xml:space="preserve">nie do końca z nimi zgodne. </w:t>
      </w:r>
      <w:r w:rsidR="00ED0FD9">
        <w:rPr>
          <w:rFonts w:ascii="Times New Roman" w:hAnsi="Times New Roman"/>
          <w:sz w:val="24"/>
          <w:szCs w:val="24"/>
        </w:rPr>
        <w:t>Wynika to z </w:t>
      </w:r>
      <w:r w:rsidRPr="00E24274">
        <w:rPr>
          <w:rFonts w:ascii="Times New Roman" w:hAnsi="Times New Roman"/>
          <w:sz w:val="24"/>
          <w:szCs w:val="24"/>
        </w:rPr>
        <w:t>faktu, że obowiąz</w:t>
      </w:r>
      <w:r w:rsidR="00242F7C" w:rsidRPr="00E24274">
        <w:rPr>
          <w:rFonts w:ascii="Times New Roman" w:hAnsi="Times New Roman"/>
          <w:sz w:val="24"/>
          <w:szCs w:val="24"/>
        </w:rPr>
        <w:t>ek sprawozdawczy</w:t>
      </w:r>
      <w:r w:rsidRPr="00E24274">
        <w:rPr>
          <w:rFonts w:ascii="Times New Roman" w:hAnsi="Times New Roman"/>
          <w:sz w:val="24"/>
          <w:szCs w:val="24"/>
        </w:rPr>
        <w:t xml:space="preserve"> wprowadzono s</w:t>
      </w:r>
      <w:r w:rsidR="00242F7C" w:rsidRPr="00E24274">
        <w:rPr>
          <w:rFonts w:ascii="Times New Roman" w:hAnsi="Times New Roman"/>
          <w:sz w:val="24"/>
          <w:szCs w:val="24"/>
        </w:rPr>
        <w:t>tosunkowo niedawno (</w:t>
      </w:r>
      <w:r w:rsidR="00ED0FD9">
        <w:rPr>
          <w:rFonts w:ascii="Times New Roman" w:hAnsi="Times New Roman"/>
          <w:sz w:val="24"/>
          <w:szCs w:val="24"/>
        </w:rPr>
        <w:t>tj. </w:t>
      </w:r>
      <w:r w:rsidRPr="00E24274">
        <w:rPr>
          <w:rFonts w:ascii="Times New Roman" w:hAnsi="Times New Roman"/>
          <w:sz w:val="24"/>
          <w:szCs w:val="24"/>
        </w:rPr>
        <w:t>nowelizacją z</w:t>
      </w:r>
      <w:r w:rsidR="00B07310">
        <w:rPr>
          <w:rFonts w:ascii="Times New Roman" w:hAnsi="Times New Roman"/>
          <w:sz w:val="24"/>
          <w:szCs w:val="24"/>
        </w:rPr>
        <w:t xml:space="preserve"> dnia</w:t>
      </w:r>
      <w:r w:rsidRPr="00E24274">
        <w:rPr>
          <w:rFonts w:ascii="Times New Roman" w:hAnsi="Times New Roman"/>
          <w:sz w:val="24"/>
          <w:szCs w:val="24"/>
        </w:rPr>
        <w:t xml:space="preserve"> 8 lipca 2010 r.</w:t>
      </w:r>
      <w:r w:rsidRPr="00E24274">
        <w:rPr>
          <w:rFonts w:ascii="Times New Roman" w:hAnsi="Times New Roman"/>
          <w:sz w:val="24"/>
          <w:szCs w:val="24"/>
          <w:vertAlign w:val="superscript"/>
        </w:rPr>
        <w:footnoteReference w:id="14"/>
      </w:r>
      <w:r w:rsidR="001E6F0B" w:rsidRPr="001E6F0B">
        <w:rPr>
          <w:rFonts w:ascii="Times New Roman" w:hAnsi="Times New Roman"/>
          <w:sz w:val="24"/>
          <w:szCs w:val="24"/>
          <w:vertAlign w:val="superscript"/>
        </w:rPr>
        <w:t>)</w:t>
      </w:r>
      <w:r w:rsidR="00242F7C" w:rsidRPr="00E24274">
        <w:rPr>
          <w:rFonts w:ascii="Times New Roman" w:hAnsi="Times New Roman"/>
          <w:sz w:val="24"/>
          <w:szCs w:val="24"/>
        </w:rPr>
        <w:t>). N</w:t>
      </w:r>
      <w:r w:rsidRPr="00E24274">
        <w:rPr>
          <w:rFonts w:ascii="Times New Roman" w:hAnsi="Times New Roman"/>
          <w:sz w:val="24"/>
          <w:szCs w:val="24"/>
        </w:rPr>
        <w:t>atomiast rozporządzenie określające szczegółowy zakres rocznego sprawozdania organizacji</w:t>
      </w:r>
      <w:r w:rsidRPr="00E24274">
        <w:rPr>
          <w:rFonts w:ascii="Times New Roman" w:hAnsi="Times New Roman"/>
          <w:sz w:val="24"/>
          <w:szCs w:val="24"/>
          <w:vertAlign w:val="superscript"/>
        </w:rPr>
        <w:footnoteReference w:id="15"/>
      </w:r>
      <w:r w:rsidR="001E6F0B" w:rsidRPr="001E6F0B">
        <w:rPr>
          <w:rFonts w:ascii="Times New Roman" w:hAnsi="Times New Roman"/>
          <w:sz w:val="24"/>
          <w:szCs w:val="24"/>
          <w:vertAlign w:val="superscript"/>
        </w:rPr>
        <w:t>)</w:t>
      </w:r>
      <w:r w:rsidRPr="00E24274">
        <w:rPr>
          <w:rFonts w:ascii="Times New Roman" w:hAnsi="Times New Roman"/>
          <w:sz w:val="24"/>
          <w:szCs w:val="24"/>
        </w:rPr>
        <w:t xml:space="preserve"> zostało zaktualizowane </w:t>
      </w:r>
      <w:r w:rsidR="00E03E7F" w:rsidRPr="00E24274">
        <w:rPr>
          <w:rFonts w:ascii="Times New Roman" w:hAnsi="Times New Roman"/>
          <w:sz w:val="24"/>
          <w:szCs w:val="24"/>
        </w:rPr>
        <w:t xml:space="preserve">trzy </w:t>
      </w:r>
      <w:r w:rsidRPr="00E24274">
        <w:rPr>
          <w:rFonts w:ascii="Times New Roman" w:hAnsi="Times New Roman"/>
          <w:sz w:val="24"/>
          <w:szCs w:val="24"/>
        </w:rPr>
        <w:t xml:space="preserve">lata temu, </w:t>
      </w:r>
      <w:r w:rsidR="00ED0FD9">
        <w:rPr>
          <w:rFonts w:ascii="Times New Roman" w:hAnsi="Times New Roman"/>
          <w:sz w:val="24"/>
          <w:szCs w:val="24"/>
        </w:rPr>
        <w:t>a w </w:t>
      </w:r>
      <w:r w:rsidR="00242F7C" w:rsidRPr="00E24274">
        <w:rPr>
          <w:rFonts w:ascii="Times New Roman" w:hAnsi="Times New Roman"/>
          <w:sz w:val="24"/>
          <w:szCs w:val="24"/>
        </w:rPr>
        <w:t>trakcie jego przygotowywania wzięto pod uwagę</w:t>
      </w:r>
      <w:r w:rsidRPr="00E24274">
        <w:rPr>
          <w:rFonts w:ascii="Times New Roman" w:hAnsi="Times New Roman"/>
          <w:sz w:val="24"/>
          <w:szCs w:val="24"/>
        </w:rPr>
        <w:t xml:space="preserve"> konieczność stopniowego zbliżania</w:t>
      </w:r>
      <w:r w:rsidR="00242F7C" w:rsidRPr="00E24274">
        <w:rPr>
          <w:rFonts w:ascii="Times New Roman" w:hAnsi="Times New Roman"/>
          <w:sz w:val="24"/>
          <w:szCs w:val="24"/>
        </w:rPr>
        <w:t xml:space="preserve"> projektowanych przepisów do s</w:t>
      </w:r>
      <w:r w:rsidRPr="00E24274">
        <w:rPr>
          <w:rFonts w:ascii="Times New Roman" w:hAnsi="Times New Roman"/>
          <w:sz w:val="24"/>
          <w:szCs w:val="24"/>
        </w:rPr>
        <w:t xml:space="preserve">tandardów wynikających z </w:t>
      </w:r>
      <w:r w:rsidR="00242F7C" w:rsidRPr="00E24274">
        <w:rPr>
          <w:rFonts w:ascii="Times New Roman" w:hAnsi="Times New Roman"/>
          <w:sz w:val="24"/>
          <w:szCs w:val="24"/>
        </w:rPr>
        <w:t xml:space="preserve">przyjętej w tym samym roku </w:t>
      </w:r>
      <w:r w:rsidRPr="00E24274">
        <w:rPr>
          <w:rFonts w:ascii="Times New Roman" w:hAnsi="Times New Roman"/>
          <w:sz w:val="24"/>
          <w:szCs w:val="24"/>
        </w:rPr>
        <w:t>dyrektywy.</w:t>
      </w:r>
    </w:p>
    <w:p w:rsidR="0015341A" w:rsidRPr="00E24274" w:rsidRDefault="00242F7C"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 xml:space="preserve">Powyższe prowadzi do wniosku, </w:t>
      </w:r>
      <w:r w:rsidR="0015341A" w:rsidRPr="00E24274">
        <w:rPr>
          <w:rFonts w:ascii="Times New Roman" w:hAnsi="Times New Roman"/>
          <w:sz w:val="24"/>
          <w:szCs w:val="24"/>
        </w:rPr>
        <w:t xml:space="preserve">że wdrożenie dyrektywy </w:t>
      </w:r>
      <w:r w:rsidR="00D93553" w:rsidRPr="00E24274">
        <w:rPr>
          <w:rFonts w:ascii="Times New Roman" w:hAnsi="Times New Roman"/>
          <w:sz w:val="24"/>
          <w:szCs w:val="24"/>
        </w:rPr>
        <w:t xml:space="preserve">CRM </w:t>
      </w:r>
      <w:r w:rsidRPr="00E24274">
        <w:rPr>
          <w:rFonts w:ascii="Times New Roman" w:hAnsi="Times New Roman"/>
          <w:sz w:val="24"/>
          <w:szCs w:val="24"/>
        </w:rPr>
        <w:t xml:space="preserve">do polskiego porządku prawnego </w:t>
      </w:r>
      <w:r w:rsidR="0015341A" w:rsidRPr="00E24274">
        <w:rPr>
          <w:rFonts w:ascii="Times New Roman" w:hAnsi="Times New Roman"/>
          <w:sz w:val="24"/>
          <w:szCs w:val="24"/>
        </w:rPr>
        <w:t xml:space="preserve">wymaga przyjęcia nowej, kompleksowej regulacji zbiorowego zarządu, </w:t>
      </w:r>
      <w:r w:rsidRPr="00E24274">
        <w:rPr>
          <w:rFonts w:ascii="Times New Roman" w:hAnsi="Times New Roman"/>
          <w:sz w:val="24"/>
          <w:szCs w:val="24"/>
        </w:rPr>
        <w:t xml:space="preserve">która </w:t>
      </w:r>
      <w:r w:rsidR="0015341A" w:rsidRPr="00E24274">
        <w:rPr>
          <w:rFonts w:ascii="Times New Roman" w:hAnsi="Times New Roman"/>
          <w:sz w:val="24"/>
          <w:szCs w:val="24"/>
        </w:rPr>
        <w:t xml:space="preserve">znacząco </w:t>
      </w:r>
      <w:r w:rsidRPr="00E24274">
        <w:rPr>
          <w:rFonts w:ascii="Times New Roman" w:hAnsi="Times New Roman"/>
          <w:sz w:val="24"/>
          <w:szCs w:val="24"/>
        </w:rPr>
        <w:t>poszerz</w:t>
      </w:r>
      <w:r w:rsidR="00C25248" w:rsidRPr="00E24274">
        <w:rPr>
          <w:rFonts w:ascii="Times New Roman" w:hAnsi="Times New Roman"/>
          <w:sz w:val="24"/>
          <w:szCs w:val="24"/>
        </w:rPr>
        <w:t xml:space="preserve">y </w:t>
      </w:r>
      <w:r w:rsidRPr="00E24274">
        <w:rPr>
          <w:rFonts w:ascii="Times New Roman" w:hAnsi="Times New Roman"/>
          <w:sz w:val="24"/>
          <w:szCs w:val="24"/>
        </w:rPr>
        <w:t xml:space="preserve">zakres </w:t>
      </w:r>
      <w:r w:rsidR="00C25248" w:rsidRPr="00E24274">
        <w:rPr>
          <w:rFonts w:ascii="Times New Roman" w:hAnsi="Times New Roman"/>
          <w:sz w:val="24"/>
          <w:szCs w:val="24"/>
        </w:rPr>
        <w:t xml:space="preserve">kwestii </w:t>
      </w:r>
      <w:r w:rsidRPr="00E24274">
        <w:rPr>
          <w:rFonts w:ascii="Times New Roman" w:hAnsi="Times New Roman"/>
          <w:sz w:val="24"/>
          <w:szCs w:val="24"/>
        </w:rPr>
        <w:t>regulowanych</w:t>
      </w:r>
      <w:r w:rsidR="00C25248" w:rsidRPr="00E24274">
        <w:rPr>
          <w:rFonts w:ascii="Times New Roman" w:hAnsi="Times New Roman"/>
          <w:sz w:val="24"/>
          <w:szCs w:val="24"/>
        </w:rPr>
        <w:t xml:space="preserve"> na poziomie ustawowym</w:t>
      </w:r>
      <w:r w:rsidRPr="00E24274">
        <w:rPr>
          <w:rFonts w:ascii="Times New Roman" w:hAnsi="Times New Roman"/>
          <w:sz w:val="24"/>
          <w:szCs w:val="24"/>
        </w:rPr>
        <w:t xml:space="preserve">, a także </w:t>
      </w:r>
      <w:r w:rsidR="0015341A" w:rsidRPr="00E24274">
        <w:rPr>
          <w:rFonts w:ascii="Times New Roman" w:hAnsi="Times New Roman"/>
          <w:sz w:val="24"/>
          <w:szCs w:val="24"/>
        </w:rPr>
        <w:t>uszczegółowi</w:t>
      </w:r>
      <w:r w:rsidR="00C25248" w:rsidRPr="00E24274">
        <w:rPr>
          <w:rFonts w:ascii="Times New Roman" w:hAnsi="Times New Roman"/>
          <w:sz w:val="24"/>
          <w:szCs w:val="24"/>
        </w:rPr>
        <w:t xml:space="preserve"> </w:t>
      </w:r>
      <w:r w:rsidRPr="00E24274">
        <w:rPr>
          <w:rFonts w:ascii="Times New Roman" w:hAnsi="Times New Roman"/>
          <w:sz w:val="24"/>
          <w:szCs w:val="24"/>
        </w:rPr>
        <w:t>niektóre z istniejących</w:t>
      </w:r>
      <w:r w:rsidR="00C25248" w:rsidRPr="00E24274">
        <w:rPr>
          <w:rFonts w:ascii="Times New Roman" w:hAnsi="Times New Roman"/>
          <w:sz w:val="24"/>
          <w:szCs w:val="24"/>
        </w:rPr>
        <w:t xml:space="preserve"> w praktyce</w:t>
      </w:r>
      <w:r w:rsidRPr="00E24274">
        <w:rPr>
          <w:rFonts w:ascii="Times New Roman" w:hAnsi="Times New Roman"/>
          <w:sz w:val="24"/>
          <w:szCs w:val="24"/>
        </w:rPr>
        <w:t xml:space="preserve"> rozwiązań</w:t>
      </w:r>
      <w:r w:rsidR="0015341A" w:rsidRPr="00E24274">
        <w:rPr>
          <w:rFonts w:ascii="Times New Roman" w:hAnsi="Times New Roman"/>
          <w:sz w:val="24"/>
          <w:szCs w:val="24"/>
        </w:rPr>
        <w:t>. Regulacja ta powinna znaleźć się w odrębnej ustawie, zastępującej obecny rozdział 12 pr. aut., co jest praktyką przyjętą w krajach, w których przepisy o zbiorowym zarządzie już wcześniej miały rozbudowany charakter (np. w Niemczech). Równocześnie nie wyklucza to możliwości utrzymania i rozwinięcia niektórych rozwiązań charakterystycznych dla polskiego systemu zbiorowego zarządu, tj. przyjęcia dla organizacji formy prawnej stowarzyszenia, wymogu uzyskania zezwolenia ministra wła</w:t>
      </w:r>
      <w:r w:rsidR="00ED0FD9">
        <w:rPr>
          <w:rFonts w:ascii="Times New Roman" w:hAnsi="Times New Roman"/>
          <w:sz w:val="24"/>
          <w:szCs w:val="24"/>
        </w:rPr>
        <w:t>ściwego do spraw kultury i </w:t>
      </w:r>
      <w:r w:rsidR="0015341A" w:rsidRPr="00E24274">
        <w:rPr>
          <w:rFonts w:ascii="Times New Roman" w:hAnsi="Times New Roman"/>
          <w:sz w:val="24"/>
          <w:szCs w:val="24"/>
        </w:rPr>
        <w:t>ochrony dziedzictwa narodowego przed podjęciem zbiorowego zarządzania prawami oraz nadzoru tego ministra nad działalnością organizacji</w:t>
      </w:r>
      <w:r w:rsidRPr="00E24274">
        <w:rPr>
          <w:rFonts w:ascii="Times New Roman" w:hAnsi="Times New Roman"/>
          <w:sz w:val="24"/>
          <w:szCs w:val="24"/>
        </w:rPr>
        <w:t xml:space="preserve">. Umożliwi to uwzględnienie polskiej specyfiki i wykorzystanie dotychczasowych doświadczeń w </w:t>
      </w:r>
      <w:r w:rsidR="0015341A" w:rsidRPr="00E24274">
        <w:rPr>
          <w:rFonts w:ascii="Times New Roman" w:hAnsi="Times New Roman"/>
          <w:sz w:val="24"/>
          <w:szCs w:val="24"/>
        </w:rPr>
        <w:t>kwesti</w:t>
      </w:r>
      <w:r w:rsidRPr="00E24274">
        <w:rPr>
          <w:rFonts w:ascii="Times New Roman" w:hAnsi="Times New Roman"/>
          <w:sz w:val="24"/>
          <w:szCs w:val="24"/>
        </w:rPr>
        <w:t>ach</w:t>
      </w:r>
      <w:r w:rsidR="00ED0FD9">
        <w:rPr>
          <w:rFonts w:ascii="Times New Roman" w:hAnsi="Times New Roman"/>
          <w:sz w:val="24"/>
          <w:szCs w:val="24"/>
        </w:rPr>
        <w:t>, w </w:t>
      </w:r>
      <w:r w:rsidR="0015341A" w:rsidRPr="00E24274">
        <w:rPr>
          <w:rFonts w:ascii="Times New Roman" w:hAnsi="Times New Roman"/>
          <w:sz w:val="24"/>
          <w:szCs w:val="24"/>
        </w:rPr>
        <w:t xml:space="preserve">których – jak wspomniano wyżej – dyrektywa </w:t>
      </w:r>
      <w:r w:rsidR="00D93553" w:rsidRPr="00E24274">
        <w:rPr>
          <w:rFonts w:ascii="Times New Roman" w:hAnsi="Times New Roman"/>
          <w:sz w:val="24"/>
          <w:szCs w:val="24"/>
        </w:rPr>
        <w:t xml:space="preserve">CRM </w:t>
      </w:r>
      <w:r w:rsidR="0015341A" w:rsidRPr="00E24274">
        <w:rPr>
          <w:rFonts w:ascii="Times New Roman" w:hAnsi="Times New Roman"/>
          <w:sz w:val="24"/>
          <w:szCs w:val="24"/>
        </w:rPr>
        <w:t xml:space="preserve">pozostawia swobodę krajowemu ustawodawcy. </w:t>
      </w:r>
      <w:r w:rsidR="00C25248" w:rsidRPr="00E24274">
        <w:rPr>
          <w:rFonts w:ascii="Times New Roman" w:hAnsi="Times New Roman"/>
          <w:sz w:val="24"/>
          <w:szCs w:val="24"/>
        </w:rPr>
        <w:t>Koniecznym w</w:t>
      </w:r>
      <w:r w:rsidR="0015341A" w:rsidRPr="00E24274">
        <w:rPr>
          <w:rFonts w:ascii="Times New Roman" w:hAnsi="Times New Roman"/>
          <w:sz w:val="24"/>
          <w:szCs w:val="24"/>
        </w:rPr>
        <w:t>arunkiem jest jednak zapewnienie przestrzegania przez organizacje</w:t>
      </w:r>
      <w:r w:rsidR="00D93553" w:rsidRPr="00E24274">
        <w:rPr>
          <w:rFonts w:ascii="Times New Roman" w:hAnsi="Times New Roman"/>
          <w:sz w:val="24"/>
          <w:szCs w:val="24"/>
        </w:rPr>
        <w:t xml:space="preserve"> reguł określonych w dyrektywie CRM.</w:t>
      </w:r>
    </w:p>
    <w:p w:rsidR="0015341A" w:rsidRPr="00E24274" w:rsidRDefault="00C25248"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U</w:t>
      </w:r>
      <w:r w:rsidR="0015341A" w:rsidRPr="00E24274">
        <w:rPr>
          <w:rFonts w:ascii="Times New Roman" w:hAnsi="Times New Roman"/>
          <w:sz w:val="24"/>
          <w:szCs w:val="24"/>
        </w:rPr>
        <w:t>chwalenie projektowanej ustawy</w:t>
      </w:r>
      <w:r w:rsidR="00BB316A" w:rsidRPr="00E24274">
        <w:rPr>
          <w:rFonts w:ascii="Times New Roman" w:hAnsi="Times New Roman"/>
          <w:sz w:val="24"/>
          <w:szCs w:val="24"/>
        </w:rPr>
        <w:t xml:space="preserve"> </w:t>
      </w:r>
      <w:r w:rsidR="007C17DE" w:rsidRPr="00E24274">
        <w:rPr>
          <w:rFonts w:ascii="Times New Roman" w:hAnsi="Times New Roman"/>
          <w:sz w:val="24"/>
          <w:szCs w:val="24"/>
        </w:rPr>
        <w:t>–</w:t>
      </w:r>
      <w:r w:rsidR="00BB316A" w:rsidRPr="00E24274">
        <w:rPr>
          <w:rFonts w:ascii="Times New Roman" w:hAnsi="Times New Roman"/>
          <w:sz w:val="24"/>
          <w:szCs w:val="24"/>
        </w:rPr>
        <w:t xml:space="preserve"> </w:t>
      </w:r>
      <w:r w:rsidR="0015341A" w:rsidRPr="00E24274">
        <w:rPr>
          <w:rFonts w:ascii="Times New Roman" w:hAnsi="Times New Roman"/>
          <w:sz w:val="24"/>
          <w:szCs w:val="24"/>
        </w:rPr>
        <w:t>poza wdrożenie</w:t>
      </w:r>
      <w:r w:rsidR="00BB316A" w:rsidRPr="00E24274">
        <w:rPr>
          <w:rFonts w:ascii="Times New Roman" w:hAnsi="Times New Roman"/>
          <w:sz w:val="24"/>
          <w:szCs w:val="24"/>
        </w:rPr>
        <w:t>m minimalnych wymogów dyrektywy</w:t>
      </w:r>
      <w:r w:rsidR="00D93553" w:rsidRPr="00E24274">
        <w:rPr>
          <w:rFonts w:ascii="Times New Roman" w:hAnsi="Times New Roman"/>
          <w:sz w:val="24"/>
          <w:szCs w:val="24"/>
        </w:rPr>
        <w:t xml:space="preserve"> CRM </w:t>
      </w:r>
      <w:r w:rsidR="007C17DE" w:rsidRPr="00E24274">
        <w:rPr>
          <w:rFonts w:ascii="Times New Roman" w:hAnsi="Times New Roman"/>
          <w:sz w:val="24"/>
          <w:szCs w:val="24"/>
        </w:rPr>
        <w:t>–</w:t>
      </w:r>
      <w:r w:rsidR="0015341A" w:rsidRPr="00E24274">
        <w:rPr>
          <w:rFonts w:ascii="Times New Roman" w:hAnsi="Times New Roman"/>
          <w:sz w:val="24"/>
          <w:szCs w:val="24"/>
        </w:rPr>
        <w:t xml:space="preserve"> powinno być też okazją do </w:t>
      </w:r>
      <w:r w:rsidRPr="00E24274">
        <w:rPr>
          <w:rFonts w:ascii="Times New Roman" w:hAnsi="Times New Roman"/>
          <w:sz w:val="24"/>
          <w:szCs w:val="24"/>
        </w:rPr>
        <w:t xml:space="preserve">rozwiązania </w:t>
      </w:r>
      <w:r w:rsidR="0015341A" w:rsidRPr="00E24274">
        <w:rPr>
          <w:rFonts w:ascii="Times New Roman" w:hAnsi="Times New Roman"/>
          <w:sz w:val="24"/>
          <w:szCs w:val="24"/>
        </w:rPr>
        <w:t>problemów i niejasności związanych z działalnością organizacji zbiorowego zarządzania</w:t>
      </w:r>
      <w:r w:rsidRPr="00E24274">
        <w:rPr>
          <w:rFonts w:ascii="Times New Roman" w:hAnsi="Times New Roman"/>
          <w:sz w:val="24"/>
          <w:szCs w:val="24"/>
        </w:rPr>
        <w:t>. Działalność niektórych z nich jest postrzegana jako nieskuteczna</w:t>
      </w:r>
      <w:r w:rsidR="0015341A" w:rsidRPr="00E24274">
        <w:rPr>
          <w:rFonts w:ascii="Times New Roman" w:hAnsi="Times New Roman"/>
          <w:sz w:val="24"/>
          <w:szCs w:val="24"/>
        </w:rPr>
        <w:t xml:space="preserve"> i nieprzejrzyst</w:t>
      </w:r>
      <w:r w:rsidRPr="00E24274">
        <w:rPr>
          <w:rFonts w:ascii="Times New Roman" w:hAnsi="Times New Roman"/>
          <w:sz w:val="24"/>
          <w:szCs w:val="24"/>
        </w:rPr>
        <w:t>a</w:t>
      </w:r>
      <w:r w:rsidR="0015341A" w:rsidRPr="00E24274">
        <w:rPr>
          <w:rFonts w:ascii="Times New Roman" w:hAnsi="Times New Roman"/>
          <w:sz w:val="24"/>
          <w:szCs w:val="24"/>
        </w:rPr>
        <w:t xml:space="preserve">, a </w:t>
      </w:r>
      <w:r w:rsidRPr="00E24274">
        <w:rPr>
          <w:rFonts w:ascii="Times New Roman" w:hAnsi="Times New Roman"/>
          <w:sz w:val="24"/>
          <w:szCs w:val="24"/>
        </w:rPr>
        <w:t xml:space="preserve">samo </w:t>
      </w:r>
      <w:r w:rsidR="0015341A" w:rsidRPr="00E24274">
        <w:rPr>
          <w:rFonts w:ascii="Times New Roman" w:hAnsi="Times New Roman"/>
          <w:sz w:val="24"/>
          <w:szCs w:val="24"/>
        </w:rPr>
        <w:t xml:space="preserve">pośrednictwo traktowane jako obciążenie – a nie ułatwienie – w prowadzeniu działalności przez użytkowników. Ponad dwudziestoletni okres obowiązywania pr. aut. pokazał, że </w:t>
      </w:r>
      <w:r w:rsidR="0015341A" w:rsidRPr="00E24274">
        <w:rPr>
          <w:rFonts w:ascii="Times New Roman" w:hAnsi="Times New Roman"/>
          <w:sz w:val="24"/>
          <w:szCs w:val="24"/>
        </w:rPr>
        <w:lastRenderedPageBreak/>
        <w:t xml:space="preserve">mechanizmy oparte w </w:t>
      </w:r>
      <w:r w:rsidRPr="00E24274">
        <w:rPr>
          <w:rFonts w:ascii="Times New Roman" w:hAnsi="Times New Roman"/>
          <w:sz w:val="24"/>
          <w:szCs w:val="24"/>
        </w:rPr>
        <w:t>przeważającym s</w:t>
      </w:r>
      <w:r w:rsidR="0015341A" w:rsidRPr="00E24274">
        <w:rPr>
          <w:rFonts w:ascii="Times New Roman" w:hAnsi="Times New Roman"/>
          <w:sz w:val="24"/>
          <w:szCs w:val="24"/>
        </w:rPr>
        <w:t xml:space="preserve">topniu na samoregulacji, </w:t>
      </w:r>
      <w:r w:rsidR="00402A65" w:rsidRPr="00E24274">
        <w:rPr>
          <w:rFonts w:ascii="Times New Roman" w:hAnsi="Times New Roman"/>
          <w:sz w:val="24"/>
          <w:szCs w:val="24"/>
        </w:rPr>
        <w:t>której towarzyszą jedynie bardzo</w:t>
      </w:r>
      <w:r w:rsidR="0015341A" w:rsidRPr="00E24274">
        <w:rPr>
          <w:rFonts w:ascii="Times New Roman" w:hAnsi="Times New Roman"/>
          <w:sz w:val="24"/>
          <w:szCs w:val="24"/>
        </w:rPr>
        <w:t xml:space="preserve"> ogóln</w:t>
      </w:r>
      <w:r w:rsidR="00402A65" w:rsidRPr="00E24274">
        <w:rPr>
          <w:rFonts w:ascii="Times New Roman" w:hAnsi="Times New Roman"/>
          <w:sz w:val="24"/>
          <w:szCs w:val="24"/>
        </w:rPr>
        <w:t>e</w:t>
      </w:r>
      <w:r w:rsidR="0015341A" w:rsidRPr="00E24274">
        <w:rPr>
          <w:rFonts w:ascii="Times New Roman" w:hAnsi="Times New Roman"/>
          <w:sz w:val="24"/>
          <w:szCs w:val="24"/>
        </w:rPr>
        <w:t xml:space="preserve"> ustawow</w:t>
      </w:r>
      <w:r w:rsidR="00402A65" w:rsidRPr="00E24274">
        <w:rPr>
          <w:rFonts w:ascii="Times New Roman" w:hAnsi="Times New Roman"/>
          <w:sz w:val="24"/>
          <w:szCs w:val="24"/>
        </w:rPr>
        <w:t>e wytyczne</w:t>
      </w:r>
      <w:r w:rsidR="0015341A" w:rsidRPr="00E24274">
        <w:rPr>
          <w:rFonts w:ascii="Times New Roman" w:hAnsi="Times New Roman"/>
          <w:sz w:val="24"/>
          <w:szCs w:val="24"/>
        </w:rPr>
        <w:t xml:space="preserve"> (taki</w:t>
      </w:r>
      <w:r w:rsidR="00402A65" w:rsidRPr="00E24274">
        <w:rPr>
          <w:rFonts w:ascii="Times New Roman" w:hAnsi="Times New Roman"/>
          <w:sz w:val="24"/>
          <w:szCs w:val="24"/>
        </w:rPr>
        <w:t>e</w:t>
      </w:r>
      <w:r w:rsidR="0015341A" w:rsidRPr="00E24274">
        <w:rPr>
          <w:rFonts w:ascii="Times New Roman" w:hAnsi="Times New Roman"/>
          <w:sz w:val="24"/>
          <w:szCs w:val="24"/>
        </w:rPr>
        <w:t xml:space="preserve"> jak </w:t>
      </w:r>
      <w:r w:rsidR="00E24274">
        <w:rPr>
          <w:rFonts w:ascii="Times New Roman" w:hAnsi="Times New Roman"/>
          <w:i/>
          <w:sz w:val="24"/>
          <w:szCs w:val="24"/>
        </w:rPr>
        <w:t>„</w:t>
      </w:r>
      <w:r w:rsidR="0015341A" w:rsidRPr="00E24274">
        <w:rPr>
          <w:rFonts w:ascii="Times New Roman" w:hAnsi="Times New Roman"/>
          <w:i/>
          <w:sz w:val="24"/>
          <w:szCs w:val="24"/>
        </w:rPr>
        <w:t>rękojmia prawidłowego zarządzania prawami</w:t>
      </w:r>
      <w:r w:rsidR="00E24274">
        <w:rPr>
          <w:rFonts w:ascii="Times New Roman" w:hAnsi="Times New Roman"/>
          <w:i/>
          <w:sz w:val="24"/>
          <w:szCs w:val="24"/>
        </w:rPr>
        <w:t>”</w:t>
      </w:r>
      <w:r w:rsidR="0015341A" w:rsidRPr="00E24274">
        <w:rPr>
          <w:rFonts w:ascii="Times New Roman" w:hAnsi="Times New Roman"/>
          <w:sz w:val="24"/>
          <w:szCs w:val="24"/>
        </w:rPr>
        <w:t xml:space="preserve">), przy niezwykle lakonicznym ujęciu kompetencji organu nadzoru, nie </w:t>
      </w:r>
      <w:r w:rsidRPr="00E24274">
        <w:rPr>
          <w:rFonts w:ascii="Times New Roman" w:hAnsi="Times New Roman"/>
          <w:sz w:val="24"/>
          <w:szCs w:val="24"/>
        </w:rPr>
        <w:t>pozwoliły na powstanie</w:t>
      </w:r>
      <w:r w:rsidR="0015341A" w:rsidRPr="00E24274">
        <w:rPr>
          <w:rFonts w:ascii="Times New Roman" w:hAnsi="Times New Roman"/>
          <w:sz w:val="24"/>
          <w:szCs w:val="24"/>
        </w:rPr>
        <w:t xml:space="preserve"> w pełni efektywnego systemu zbiorowego zarządu</w:t>
      </w:r>
      <w:r w:rsidRPr="00E24274">
        <w:rPr>
          <w:rFonts w:ascii="Times New Roman" w:hAnsi="Times New Roman"/>
          <w:sz w:val="24"/>
          <w:szCs w:val="24"/>
        </w:rPr>
        <w:t xml:space="preserve">. Taki system winien być – w miarę możliwości </w:t>
      </w:r>
      <w:r w:rsidR="00402A65" w:rsidRPr="00E24274">
        <w:rPr>
          <w:rFonts w:ascii="Times New Roman" w:hAnsi="Times New Roman"/>
          <w:sz w:val="24"/>
          <w:szCs w:val="24"/>
        </w:rPr>
        <w:t>–</w:t>
      </w:r>
      <w:r w:rsidRPr="00E24274">
        <w:rPr>
          <w:rFonts w:ascii="Times New Roman" w:hAnsi="Times New Roman"/>
          <w:sz w:val="24"/>
          <w:szCs w:val="24"/>
        </w:rPr>
        <w:t xml:space="preserve"> oparty </w:t>
      </w:r>
      <w:r w:rsidR="00BB316A" w:rsidRPr="00E24274">
        <w:rPr>
          <w:rFonts w:ascii="Times New Roman" w:hAnsi="Times New Roman"/>
          <w:sz w:val="24"/>
          <w:szCs w:val="24"/>
        </w:rPr>
        <w:t>na</w:t>
      </w:r>
      <w:r w:rsidR="0015341A" w:rsidRPr="00E24274">
        <w:rPr>
          <w:rFonts w:ascii="Times New Roman" w:hAnsi="Times New Roman"/>
          <w:sz w:val="24"/>
          <w:szCs w:val="24"/>
        </w:rPr>
        <w:t xml:space="preserve"> negocjacyjn</w:t>
      </w:r>
      <w:r w:rsidR="00ED0FD9">
        <w:rPr>
          <w:rFonts w:ascii="Times New Roman" w:hAnsi="Times New Roman"/>
          <w:sz w:val="24"/>
          <w:szCs w:val="24"/>
        </w:rPr>
        <w:t>ych i </w:t>
      </w:r>
      <w:r w:rsidRPr="00E24274">
        <w:rPr>
          <w:rFonts w:ascii="Times New Roman" w:hAnsi="Times New Roman"/>
          <w:sz w:val="24"/>
          <w:szCs w:val="24"/>
        </w:rPr>
        <w:t>koncyliacyjnych</w:t>
      </w:r>
      <w:r w:rsidR="0015341A" w:rsidRPr="00E24274">
        <w:rPr>
          <w:rFonts w:ascii="Times New Roman" w:hAnsi="Times New Roman"/>
          <w:sz w:val="24"/>
          <w:szCs w:val="24"/>
        </w:rPr>
        <w:t xml:space="preserve"> relacj</w:t>
      </w:r>
      <w:r w:rsidRPr="00E24274">
        <w:rPr>
          <w:rFonts w:ascii="Times New Roman" w:hAnsi="Times New Roman"/>
          <w:sz w:val="24"/>
          <w:szCs w:val="24"/>
        </w:rPr>
        <w:t>ach</w:t>
      </w:r>
      <w:r w:rsidR="0015341A" w:rsidRPr="00E24274">
        <w:rPr>
          <w:rFonts w:ascii="Times New Roman" w:hAnsi="Times New Roman"/>
          <w:sz w:val="24"/>
          <w:szCs w:val="24"/>
        </w:rPr>
        <w:t xml:space="preserve"> z uprawnionymi i użytkownikami</w:t>
      </w:r>
      <w:r w:rsidR="00BB316A" w:rsidRPr="00E24274">
        <w:rPr>
          <w:rFonts w:ascii="Times New Roman" w:hAnsi="Times New Roman"/>
          <w:sz w:val="24"/>
          <w:szCs w:val="24"/>
        </w:rPr>
        <w:t xml:space="preserve">. Powinien także </w:t>
      </w:r>
      <w:r w:rsidR="0015341A" w:rsidRPr="00E24274">
        <w:rPr>
          <w:rFonts w:ascii="Times New Roman" w:hAnsi="Times New Roman"/>
          <w:sz w:val="24"/>
          <w:szCs w:val="24"/>
        </w:rPr>
        <w:t xml:space="preserve">– </w:t>
      </w:r>
      <w:r w:rsidR="00BB316A" w:rsidRPr="00E24274">
        <w:rPr>
          <w:rFonts w:ascii="Times New Roman" w:hAnsi="Times New Roman"/>
          <w:sz w:val="24"/>
          <w:szCs w:val="24"/>
        </w:rPr>
        <w:t xml:space="preserve">przy </w:t>
      </w:r>
      <w:r w:rsidR="0015341A" w:rsidRPr="00E24274">
        <w:rPr>
          <w:rFonts w:ascii="Times New Roman" w:hAnsi="Times New Roman"/>
          <w:sz w:val="24"/>
          <w:szCs w:val="24"/>
        </w:rPr>
        <w:t>zapewni</w:t>
      </w:r>
      <w:r w:rsidR="00BB316A" w:rsidRPr="00E24274">
        <w:rPr>
          <w:rFonts w:ascii="Times New Roman" w:hAnsi="Times New Roman"/>
          <w:sz w:val="24"/>
          <w:szCs w:val="24"/>
        </w:rPr>
        <w:t xml:space="preserve">eniu </w:t>
      </w:r>
      <w:r w:rsidR="0015341A" w:rsidRPr="00E24274">
        <w:rPr>
          <w:rFonts w:ascii="Times New Roman" w:hAnsi="Times New Roman"/>
          <w:sz w:val="24"/>
          <w:szCs w:val="24"/>
        </w:rPr>
        <w:t>skuteczn</w:t>
      </w:r>
      <w:r w:rsidR="00BB316A" w:rsidRPr="00E24274">
        <w:rPr>
          <w:rFonts w:ascii="Times New Roman" w:hAnsi="Times New Roman"/>
          <w:sz w:val="24"/>
          <w:szCs w:val="24"/>
        </w:rPr>
        <w:t>ej</w:t>
      </w:r>
      <w:r w:rsidR="00CF1477" w:rsidRPr="00E24274">
        <w:rPr>
          <w:rFonts w:ascii="Times New Roman" w:hAnsi="Times New Roman"/>
          <w:sz w:val="24"/>
          <w:szCs w:val="24"/>
        </w:rPr>
        <w:t xml:space="preserve"> ochrony</w:t>
      </w:r>
      <w:r w:rsidR="0015341A" w:rsidRPr="00E24274">
        <w:rPr>
          <w:rFonts w:ascii="Times New Roman" w:hAnsi="Times New Roman"/>
          <w:sz w:val="24"/>
          <w:szCs w:val="24"/>
        </w:rPr>
        <w:t xml:space="preserve"> praw wyłącznych – </w:t>
      </w:r>
      <w:r w:rsidR="00BB316A" w:rsidRPr="00E24274">
        <w:rPr>
          <w:rFonts w:ascii="Times New Roman" w:hAnsi="Times New Roman"/>
          <w:sz w:val="24"/>
          <w:szCs w:val="24"/>
        </w:rPr>
        <w:t>być zrozumiały i akceptowa</w:t>
      </w:r>
      <w:r w:rsidR="0015341A" w:rsidRPr="00E24274">
        <w:rPr>
          <w:rFonts w:ascii="Times New Roman" w:hAnsi="Times New Roman"/>
          <w:sz w:val="24"/>
          <w:szCs w:val="24"/>
        </w:rPr>
        <w:t xml:space="preserve">ny </w:t>
      </w:r>
      <w:r w:rsidR="00BB316A" w:rsidRPr="00E24274">
        <w:rPr>
          <w:rFonts w:ascii="Times New Roman" w:hAnsi="Times New Roman"/>
          <w:sz w:val="24"/>
          <w:szCs w:val="24"/>
        </w:rPr>
        <w:t xml:space="preserve">przez </w:t>
      </w:r>
      <w:r w:rsidR="00CF1477" w:rsidRPr="00E24274">
        <w:rPr>
          <w:rFonts w:ascii="Times New Roman" w:hAnsi="Times New Roman"/>
          <w:sz w:val="24"/>
          <w:szCs w:val="24"/>
        </w:rPr>
        <w:t>wszystkich</w:t>
      </w:r>
      <w:r w:rsidR="00BB316A" w:rsidRPr="00E24274">
        <w:rPr>
          <w:rFonts w:ascii="Times New Roman" w:hAnsi="Times New Roman"/>
          <w:sz w:val="24"/>
          <w:szCs w:val="24"/>
        </w:rPr>
        <w:t xml:space="preserve"> </w:t>
      </w:r>
      <w:r w:rsidR="0015341A" w:rsidRPr="00E24274">
        <w:rPr>
          <w:rFonts w:ascii="Times New Roman" w:hAnsi="Times New Roman"/>
          <w:sz w:val="24"/>
          <w:szCs w:val="24"/>
        </w:rPr>
        <w:t>uczestników rynku.</w:t>
      </w:r>
    </w:p>
    <w:p w:rsidR="0015341A" w:rsidRPr="00E24274" w:rsidRDefault="0015341A" w:rsidP="00ED0FD9">
      <w:pPr>
        <w:spacing w:before="240" w:after="0" w:line="360" w:lineRule="auto"/>
        <w:jc w:val="both"/>
        <w:rPr>
          <w:rFonts w:ascii="Times New Roman" w:hAnsi="Times New Roman"/>
          <w:b/>
          <w:sz w:val="24"/>
          <w:szCs w:val="24"/>
        </w:rPr>
      </w:pPr>
      <w:r w:rsidRPr="00E24274">
        <w:rPr>
          <w:rFonts w:ascii="Times New Roman" w:hAnsi="Times New Roman"/>
          <w:b/>
          <w:sz w:val="24"/>
          <w:szCs w:val="24"/>
        </w:rPr>
        <w:t>II. Część szczegółowa – przedstawienie istniejącego stanu rzeczy w dziedzinie, która ma być unormowana</w:t>
      </w:r>
      <w:r w:rsidR="00B07310">
        <w:rPr>
          <w:rFonts w:ascii="Times New Roman" w:hAnsi="Times New Roman"/>
          <w:b/>
          <w:sz w:val="24"/>
          <w:szCs w:val="24"/>
        </w:rPr>
        <w:t>,</w:t>
      </w:r>
      <w:r w:rsidRPr="00E24274">
        <w:rPr>
          <w:rFonts w:ascii="Times New Roman" w:hAnsi="Times New Roman"/>
          <w:b/>
          <w:sz w:val="24"/>
          <w:szCs w:val="24"/>
        </w:rPr>
        <w:t xml:space="preserve"> oraz wykazanie</w:t>
      </w:r>
      <w:r w:rsidR="00ED0FD9">
        <w:rPr>
          <w:rFonts w:ascii="Times New Roman" w:hAnsi="Times New Roman"/>
          <w:b/>
          <w:sz w:val="24"/>
          <w:szCs w:val="24"/>
        </w:rPr>
        <w:t xml:space="preserve"> różnic między dotychczasowym a </w:t>
      </w:r>
      <w:r w:rsidRPr="00E24274">
        <w:rPr>
          <w:rFonts w:ascii="Times New Roman" w:hAnsi="Times New Roman"/>
          <w:b/>
          <w:sz w:val="24"/>
          <w:szCs w:val="24"/>
        </w:rPr>
        <w:t>projektowanym stanem prawnym</w:t>
      </w:r>
    </w:p>
    <w:p w:rsidR="0015341A" w:rsidRPr="00E24274" w:rsidRDefault="0015341A" w:rsidP="00E24274">
      <w:pPr>
        <w:spacing w:before="120" w:after="0" w:line="360" w:lineRule="auto"/>
        <w:jc w:val="both"/>
        <w:outlineLvl w:val="0"/>
        <w:rPr>
          <w:rFonts w:ascii="Times New Roman" w:hAnsi="Times New Roman"/>
          <w:b/>
          <w:sz w:val="24"/>
          <w:szCs w:val="24"/>
        </w:rPr>
      </w:pPr>
      <w:r w:rsidRPr="00E24274">
        <w:rPr>
          <w:rFonts w:ascii="Times New Roman" w:hAnsi="Times New Roman"/>
          <w:b/>
          <w:sz w:val="24"/>
          <w:szCs w:val="24"/>
        </w:rPr>
        <w:t xml:space="preserve">II. </w:t>
      </w:r>
      <w:r w:rsidR="002453D4" w:rsidRPr="00E24274">
        <w:rPr>
          <w:rFonts w:ascii="Times New Roman" w:hAnsi="Times New Roman"/>
          <w:b/>
          <w:sz w:val="24"/>
          <w:szCs w:val="24"/>
        </w:rPr>
        <w:t xml:space="preserve">1. Rozdział </w:t>
      </w:r>
      <w:r w:rsidRPr="00E24274">
        <w:rPr>
          <w:rFonts w:ascii="Times New Roman" w:hAnsi="Times New Roman"/>
          <w:b/>
          <w:sz w:val="24"/>
          <w:szCs w:val="24"/>
        </w:rPr>
        <w:t>1. Przepisy ogólne</w:t>
      </w:r>
      <w:r w:rsidR="00EA10D1" w:rsidRPr="00E24274">
        <w:rPr>
          <w:rFonts w:ascii="Times New Roman" w:hAnsi="Times New Roman"/>
          <w:b/>
          <w:sz w:val="24"/>
          <w:szCs w:val="24"/>
        </w:rPr>
        <w:t xml:space="preserve"> (art. 1–5 projektu)</w:t>
      </w:r>
    </w:p>
    <w:p w:rsidR="0057371D" w:rsidRPr="00E24274" w:rsidRDefault="0057371D" w:rsidP="00E24274">
      <w:pPr>
        <w:spacing w:before="120" w:after="0" w:line="360" w:lineRule="auto"/>
        <w:jc w:val="both"/>
        <w:rPr>
          <w:rFonts w:ascii="Times New Roman" w:hAnsi="Times New Roman"/>
          <w:b/>
          <w:sz w:val="24"/>
          <w:szCs w:val="24"/>
        </w:rPr>
      </w:pPr>
      <w:r w:rsidRPr="00E24274">
        <w:rPr>
          <w:rFonts w:ascii="Times New Roman" w:hAnsi="Times New Roman"/>
          <w:b/>
          <w:sz w:val="24"/>
          <w:szCs w:val="24"/>
        </w:rPr>
        <w:t>art. 1</w:t>
      </w:r>
    </w:p>
    <w:p w:rsidR="0057371D" w:rsidRPr="00E24274" w:rsidRDefault="0057371D" w:rsidP="00ED0FD9">
      <w:pPr>
        <w:spacing w:after="0" w:line="360" w:lineRule="auto"/>
        <w:jc w:val="both"/>
        <w:rPr>
          <w:rFonts w:ascii="Times New Roman" w:hAnsi="Times New Roman"/>
          <w:sz w:val="24"/>
          <w:szCs w:val="24"/>
        </w:rPr>
      </w:pPr>
      <w:r w:rsidRPr="00E24274">
        <w:rPr>
          <w:rFonts w:ascii="Times New Roman" w:hAnsi="Times New Roman"/>
          <w:sz w:val="24"/>
          <w:szCs w:val="24"/>
        </w:rPr>
        <w:t>Art. 1 wskazuje zakres spraw regulowanych projektowaną ustawą. Ustawa będzie określać zasady działania organizacji zbiorowego zarządzania</w:t>
      </w:r>
      <w:r w:rsidR="001E1D38" w:rsidRPr="00E24274">
        <w:rPr>
          <w:rFonts w:ascii="Times New Roman" w:hAnsi="Times New Roman"/>
          <w:sz w:val="24"/>
          <w:szCs w:val="24"/>
        </w:rPr>
        <w:t xml:space="preserve"> oraz innych podmiotów zarządzających prawami autorskimi lub prawami pokrewnymi (tzw. niezależnych podmiotów zarządzających)</w:t>
      </w:r>
      <w:r w:rsidRPr="00E24274">
        <w:rPr>
          <w:rFonts w:ascii="Times New Roman" w:hAnsi="Times New Roman"/>
          <w:sz w:val="24"/>
          <w:szCs w:val="24"/>
        </w:rPr>
        <w:t>, udzielania zezwoleń na tego rodzaju działalność, nadzoru nad jej wykonywaniem oraz działania Komisji Prawa Autorskiego.</w:t>
      </w:r>
    </w:p>
    <w:p w:rsidR="0057371D" w:rsidRPr="00E24274" w:rsidRDefault="0057371D" w:rsidP="00E24274">
      <w:pPr>
        <w:spacing w:before="120" w:after="0" w:line="360" w:lineRule="auto"/>
        <w:jc w:val="both"/>
        <w:rPr>
          <w:rFonts w:ascii="Times New Roman" w:hAnsi="Times New Roman"/>
          <w:b/>
          <w:sz w:val="24"/>
          <w:szCs w:val="24"/>
        </w:rPr>
      </w:pPr>
      <w:r w:rsidRPr="00E24274">
        <w:rPr>
          <w:rFonts w:ascii="Times New Roman" w:hAnsi="Times New Roman"/>
          <w:b/>
          <w:sz w:val="24"/>
          <w:szCs w:val="24"/>
        </w:rPr>
        <w:t>art. 2</w:t>
      </w:r>
    </w:p>
    <w:p w:rsidR="0057371D" w:rsidRPr="00E24274" w:rsidRDefault="0057371D" w:rsidP="00ED0FD9">
      <w:pPr>
        <w:spacing w:after="0" w:line="360" w:lineRule="auto"/>
        <w:jc w:val="both"/>
        <w:rPr>
          <w:rFonts w:ascii="Times New Roman" w:hAnsi="Times New Roman"/>
          <w:sz w:val="24"/>
          <w:szCs w:val="24"/>
        </w:rPr>
      </w:pPr>
      <w:r w:rsidRPr="00E24274">
        <w:rPr>
          <w:rFonts w:ascii="Times New Roman" w:hAnsi="Times New Roman"/>
          <w:sz w:val="24"/>
          <w:szCs w:val="24"/>
        </w:rPr>
        <w:t xml:space="preserve">1. Art. 2 określa zakres podmiotowy projektowanej ustawy w sposób odzwierciedlający wymogi dyrektywy CRM. Dyrektywa </w:t>
      </w:r>
      <w:r w:rsidR="00E27109" w:rsidRPr="00E24274">
        <w:rPr>
          <w:rFonts w:ascii="Times New Roman" w:hAnsi="Times New Roman"/>
          <w:sz w:val="24"/>
          <w:szCs w:val="24"/>
        </w:rPr>
        <w:t>ta</w:t>
      </w:r>
      <w:r w:rsidRPr="00E24274">
        <w:rPr>
          <w:rFonts w:ascii="Times New Roman" w:hAnsi="Times New Roman"/>
          <w:sz w:val="24"/>
          <w:szCs w:val="24"/>
        </w:rPr>
        <w:t>, zgodnie z jej art. 2 ust. 1, ma zastosowanie do wszystkich organizacji zbiorowego zarządzania mających siedzibę w Unii Europejskiej. Motyw 9 preambuły</w:t>
      </w:r>
      <w:r w:rsidR="00E27109" w:rsidRPr="00E24274">
        <w:rPr>
          <w:rFonts w:ascii="Times New Roman" w:hAnsi="Times New Roman"/>
          <w:sz w:val="24"/>
          <w:szCs w:val="24"/>
        </w:rPr>
        <w:t xml:space="preserve"> dyrektywy</w:t>
      </w:r>
      <w:r w:rsidRPr="00E24274">
        <w:rPr>
          <w:rFonts w:ascii="Times New Roman" w:hAnsi="Times New Roman"/>
          <w:sz w:val="24"/>
          <w:szCs w:val="24"/>
        </w:rPr>
        <w:t xml:space="preserve"> przesądza, że reguły określone w</w:t>
      </w:r>
      <w:r w:rsidR="00E27109" w:rsidRPr="00E24274">
        <w:rPr>
          <w:rFonts w:ascii="Times New Roman" w:hAnsi="Times New Roman"/>
          <w:sz w:val="24"/>
          <w:szCs w:val="24"/>
        </w:rPr>
        <w:t xml:space="preserve"> przepisach</w:t>
      </w:r>
      <w:r w:rsidRPr="00E24274">
        <w:rPr>
          <w:rFonts w:ascii="Times New Roman" w:hAnsi="Times New Roman"/>
          <w:sz w:val="24"/>
          <w:szCs w:val="24"/>
        </w:rPr>
        <w:t xml:space="preserve"> Tytu</w:t>
      </w:r>
      <w:r w:rsidR="00E27109" w:rsidRPr="00E24274">
        <w:rPr>
          <w:rFonts w:ascii="Times New Roman" w:hAnsi="Times New Roman"/>
          <w:sz w:val="24"/>
          <w:szCs w:val="24"/>
        </w:rPr>
        <w:t>łu</w:t>
      </w:r>
      <w:r w:rsidR="00ED0FD9">
        <w:rPr>
          <w:rFonts w:ascii="Times New Roman" w:hAnsi="Times New Roman"/>
          <w:sz w:val="24"/>
          <w:szCs w:val="24"/>
        </w:rPr>
        <w:t xml:space="preserve"> II </w:t>
      </w:r>
      <w:r w:rsidRPr="00E24274">
        <w:rPr>
          <w:rFonts w:ascii="Times New Roman" w:hAnsi="Times New Roman"/>
          <w:sz w:val="24"/>
          <w:szCs w:val="24"/>
        </w:rPr>
        <w:t xml:space="preserve">mają charakter harmonizacji minimalnej – państwa członkowskie zachowują więc możliwość </w:t>
      </w:r>
      <w:r w:rsidR="00E24274">
        <w:rPr>
          <w:rFonts w:ascii="Times New Roman" w:hAnsi="Times New Roman"/>
          <w:i/>
          <w:sz w:val="24"/>
          <w:szCs w:val="24"/>
        </w:rPr>
        <w:t>„</w:t>
      </w:r>
      <w:r w:rsidRPr="00E24274">
        <w:rPr>
          <w:rFonts w:ascii="Times New Roman" w:hAnsi="Times New Roman"/>
          <w:i/>
          <w:sz w:val="24"/>
          <w:szCs w:val="24"/>
        </w:rPr>
        <w:t>utrzymywania lub wprowadzania w odniesieniu do organizacji zbiorowego zarządzania mających siedzibę na ich terytorium bardziej rygorystycznych norm</w:t>
      </w:r>
      <w:r w:rsidR="00E24274">
        <w:rPr>
          <w:rFonts w:ascii="Times New Roman" w:hAnsi="Times New Roman"/>
          <w:i/>
          <w:sz w:val="24"/>
          <w:szCs w:val="24"/>
        </w:rPr>
        <w:t>”</w:t>
      </w:r>
      <w:r w:rsidRPr="00E24274">
        <w:rPr>
          <w:rFonts w:ascii="Times New Roman" w:hAnsi="Times New Roman"/>
          <w:sz w:val="24"/>
          <w:szCs w:val="24"/>
        </w:rPr>
        <w:t xml:space="preserve">, pod warunkiem że normy te są zgodne z prawem Unii. </w:t>
      </w:r>
      <w:r w:rsidRPr="00E24274">
        <w:rPr>
          <w:rFonts w:ascii="Times New Roman" w:hAnsi="Times New Roman"/>
          <w:i/>
          <w:iCs/>
          <w:sz w:val="24"/>
          <w:szCs w:val="24"/>
        </w:rPr>
        <w:t>A contrario</w:t>
      </w:r>
      <w:r w:rsidRPr="00E24274">
        <w:rPr>
          <w:rFonts w:ascii="Times New Roman" w:hAnsi="Times New Roman"/>
          <w:sz w:val="24"/>
          <w:szCs w:val="24"/>
        </w:rPr>
        <w:t xml:space="preserve"> – minimalnego charakteru nie mają przepisy Tytułu III dotyczące licencji wieloterytorialnych.</w:t>
      </w:r>
    </w:p>
    <w:p w:rsidR="0057371D" w:rsidRPr="00E24274" w:rsidRDefault="0057371D"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Przepisy krajowe wdrażające dyrektywę</w:t>
      </w:r>
      <w:r w:rsidR="00E27109" w:rsidRPr="00E24274">
        <w:rPr>
          <w:rFonts w:ascii="Times New Roman" w:hAnsi="Times New Roman"/>
          <w:sz w:val="24"/>
          <w:szCs w:val="24"/>
        </w:rPr>
        <w:t xml:space="preserve"> CRM</w:t>
      </w:r>
      <w:r w:rsidRPr="00E24274">
        <w:rPr>
          <w:rFonts w:ascii="Times New Roman" w:hAnsi="Times New Roman"/>
          <w:sz w:val="24"/>
          <w:szCs w:val="24"/>
        </w:rPr>
        <w:t xml:space="preserve"> powinny zatem mieć zastosowanie wyłącznie do organizacji mających siedzibę na terytorium danego państwa członkowskiego. Oznacza to, że ewentualna działalność transgraniczna organizacji prowadzona jest na podstawie przepisów państwa, w którym dana organizacja ma swoją </w:t>
      </w:r>
      <w:r w:rsidRPr="00E24274">
        <w:rPr>
          <w:rFonts w:ascii="Times New Roman" w:hAnsi="Times New Roman"/>
          <w:sz w:val="24"/>
          <w:szCs w:val="24"/>
        </w:rPr>
        <w:lastRenderedPageBreak/>
        <w:t>siedzibę. Potwierdza to art. 37 dyrektywy określający zasady wymiany informacji między organami nadzoru w takich przypadkach. Równocześnie jednak – jak wspominano wyżej – prawo UE nie wyklucza możliwości reglamentowania przez państwo członkowskie świadczenia usług przez organizacje zbiorowego zarz</w:t>
      </w:r>
      <w:r w:rsidR="005F2ECA">
        <w:rPr>
          <w:rFonts w:ascii="Times New Roman" w:hAnsi="Times New Roman"/>
          <w:sz w:val="24"/>
          <w:szCs w:val="24"/>
        </w:rPr>
        <w:t>ą</w:t>
      </w:r>
      <w:r w:rsidRPr="00E24274">
        <w:rPr>
          <w:rFonts w:ascii="Times New Roman" w:hAnsi="Times New Roman"/>
          <w:sz w:val="24"/>
          <w:szCs w:val="24"/>
        </w:rPr>
        <w:t>dzania mające sied</w:t>
      </w:r>
      <w:r w:rsidR="00C97A71">
        <w:rPr>
          <w:rFonts w:ascii="Times New Roman" w:hAnsi="Times New Roman"/>
          <w:sz w:val="24"/>
          <w:szCs w:val="24"/>
        </w:rPr>
        <w:t xml:space="preserve">zibę na jego terytorium, w tym </w:t>
      </w:r>
      <w:r w:rsidRPr="00E24274">
        <w:rPr>
          <w:rFonts w:ascii="Times New Roman" w:hAnsi="Times New Roman"/>
          <w:sz w:val="24"/>
          <w:szCs w:val="24"/>
        </w:rPr>
        <w:t xml:space="preserve">przez określenie formy prawnej, jaką ma mieć taka organizacja w danym państwie członkowskim czy też ustanowienie bądź utrzymanie systemu zezwoleń na tego typu działalność. </w:t>
      </w:r>
    </w:p>
    <w:p w:rsidR="0057371D" w:rsidRPr="00E24274" w:rsidRDefault="0057371D"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Zgodnie z dotychczas obowiązującymi w Polsce przepisami podjęcie działalności przez organizację zbiorowego zarządzania wymaga zezwolenia ministra właściwego do spraw kultury i ochrony dziedzictwa narodowego (art. 104 ust. 2 pkt 2 pr. aut.), który od chwili udzielenia zezwolenia sprawuje także nad nią na</w:t>
      </w:r>
      <w:r w:rsidR="00ED0FD9">
        <w:rPr>
          <w:rFonts w:ascii="Times New Roman" w:hAnsi="Times New Roman"/>
          <w:sz w:val="24"/>
          <w:szCs w:val="24"/>
        </w:rPr>
        <w:t>dzór (art. 104 ust. 2 pkt 3 pr. </w:t>
      </w:r>
      <w:r w:rsidRPr="00E24274">
        <w:rPr>
          <w:rFonts w:ascii="Times New Roman" w:hAnsi="Times New Roman"/>
          <w:sz w:val="24"/>
          <w:szCs w:val="24"/>
        </w:rPr>
        <w:t xml:space="preserve">aut.). Szczególne uprawnienia, jakie posiadają </w:t>
      </w:r>
      <w:r w:rsidR="00ED0FD9">
        <w:rPr>
          <w:rFonts w:ascii="Times New Roman" w:hAnsi="Times New Roman"/>
          <w:sz w:val="24"/>
          <w:szCs w:val="24"/>
        </w:rPr>
        <w:t>te organizacje (np. w oparciu o </w:t>
      </w:r>
      <w:r w:rsidRPr="00E24274">
        <w:rPr>
          <w:rFonts w:ascii="Times New Roman" w:hAnsi="Times New Roman"/>
          <w:sz w:val="24"/>
          <w:szCs w:val="24"/>
        </w:rPr>
        <w:t>instrumenty przymusowego zbiorowego pośrednictwa)</w:t>
      </w:r>
      <w:r w:rsidR="005F2ECA">
        <w:rPr>
          <w:rFonts w:ascii="Times New Roman" w:hAnsi="Times New Roman"/>
          <w:sz w:val="24"/>
          <w:szCs w:val="24"/>
        </w:rPr>
        <w:t>,</w:t>
      </w:r>
      <w:r w:rsidRPr="00E24274">
        <w:rPr>
          <w:rFonts w:ascii="Times New Roman" w:hAnsi="Times New Roman"/>
          <w:sz w:val="24"/>
          <w:szCs w:val="24"/>
        </w:rPr>
        <w:t xml:space="preserve"> oraz konieczność zagwarantowania bezpieczeństwa prawnego użytkownikom (muszą oni mieć pewność, że za pośrednictwem organizacji zbiorowego zarządzania nabywają w określonym zakresie pełne uprawnienia do korzystania z repertua</w:t>
      </w:r>
      <w:r w:rsidR="00ED0FD9">
        <w:rPr>
          <w:rFonts w:ascii="Times New Roman" w:hAnsi="Times New Roman"/>
          <w:sz w:val="24"/>
          <w:szCs w:val="24"/>
        </w:rPr>
        <w:t>ru krajowego i zagranicznego, a </w:t>
      </w:r>
      <w:r w:rsidRPr="00E24274">
        <w:rPr>
          <w:rFonts w:ascii="Times New Roman" w:hAnsi="Times New Roman"/>
          <w:sz w:val="24"/>
          <w:szCs w:val="24"/>
        </w:rPr>
        <w:t>więc, że organizacje mogą reprezentować uprawnionych także na innej podstawie niż upoważnienie umowne) wymagają, aby system ten został utrzymany. Projektowana ustawa znajdzie więc zastosowanie do wszystkich podmiotów mających w Polsce status organizacji zbiorowego zarządzania (art. 2 ust. 1 pkt 1 projektu), przy czym elementem definicji organizacji będzie działanie na podstawie zezwolenia ministra właściwego do spraw kultury i ochrony dziedzictwa narodowego (por. art. 3 pkt 2 projektu). Oznacza to, że organizacja mająca siedzibę za granicą, w tym także w innym państwie członkowskim UE oraz Europejskiego Obszaru Gospodarczego, chcąc podjąć działalność na terytorium Polski jako organ</w:t>
      </w:r>
      <w:r w:rsidR="00ED0FD9">
        <w:rPr>
          <w:rFonts w:ascii="Times New Roman" w:hAnsi="Times New Roman"/>
          <w:sz w:val="24"/>
          <w:szCs w:val="24"/>
        </w:rPr>
        <w:t>izacja zbiorowego zarządzania w </w:t>
      </w:r>
      <w:r w:rsidRPr="00E24274">
        <w:rPr>
          <w:rFonts w:ascii="Times New Roman" w:hAnsi="Times New Roman"/>
          <w:sz w:val="24"/>
          <w:szCs w:val="24"/>
        </w:rPr>
        <w:t>rozumieniu polskich przepisów (i korzystać z wiążących się z tym przywilejów), będzie zobowiązana uzyskać stosowne zezwolenie ministra.</w:t>
      </w:r>
    </w:p>
    <w:p w:rsidR="0057371D" w:rsidRPr="00E24274" w:rsidRDefault="0057371D"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2. Dyrektywa</w:t>
      </w:r>
      <w:r w:rsidR="00E27109" w:rsidRPr="00E24274">
        <w:rPr>
          <w:rFonts w:ascii="Times New Roman" w:hAnsi="Times New Roman"/>
          <w:sz w:val="24"/>
          <w:szCs w:val="24"/>
        </w:rPr>
        <w:t xml:space="preserve"> CRM</w:t>
      </w:r>
      <w:r w:rsidRPr="00E24274">
        <w:rPr>
          <w:rFonts w:ascii="Times New Roman" w:hAnsi="Times New Roman"/>
          <w:sz w:val="24"/>
          <w:szCs w:val="24"/>
        </w:rPr>
        <w:t xml:space="preserve"> wymaga ponadto, aby jej przepisy miały zastosowanie do </w:t>
      </w:r>
      <w:r w:rsidR="00E24274">
        <w:rPr>
          <w:rFonts w:ascii="Times New Roman" w:hAnsi="Times New Roman"/>
          <w:i/>
          <w:sz w:val="24"/>
          <w:szCs w:val="24"/>
        </w:rPr>
        <w:t>„</w:t>
      </w:r>
      <w:r w:rsidRPr="00E24274">
        <w:rPr>
          <w:rFonts w:ascii="Times New Roman" w:hAnsi="Times New Roman"/>
          <w:i/>
          <w:sz w:val="24"/>
          <w:szCs w:val="24"/>
        </w:rPr>
        <w:t>podmiotów, które bezpośrednio lub pośrednio, w całości lub częściowo, należą do organizacji zbiorowego zarządzania lub są przez nie kontrolowane, o ile podmioty te prowadzą działalność, która podlegałaby przepisom niniejszej dyrektywy, gdyby prowadziła ją organizacja zbiorowego zarządzania</w:t>
      </w:r>
      <w:r w:rsidR="00E24274">
        <w:rPr>
          <w:rFonts w:ascii="Times New Roman" w:hAnsi="Times New Roman"/>
          <w:i/>
          <w:sz w:val="24"/>
          <w:szCs w:val="24"/>
        </w:rPr>
        <w:t>”</w:t>
      </w:r>
      <w:r w:rsidRPr="00E24274">
        <w:rPr>
          <w:rFonts w:ascii="Times New Roman" w:hAnsi="Times New Roman"/>
          <w:sz w:val="24"/>
          <w:szCs w:val="24"/>
        </w:rPr>
        <w:t xml:space="preserve"> (art. 2 ust. 3 dyrektywy). Do pełnego wdrożenia tej zasady wystarczające będzie odwołanie się do kryterium </w:t>
      </w:r>
      <w:r w:rsidRPr="00E24274">
        <w:rPr>
          <w:rFonts w:ascii="Times New Roman" w:hAnsi="Times New Roman"/>
          <w:sz w:val="24"/>
          <w:szCs w:val="24"/>
        </w:rPr>
        <w:lastRenderedPageBreak/>
        <w:t xml:space="preserve">działania na podstawie </w:t>
      </w:r>
      <w:r w:rsidR="00DC2EB6" w:rsidRPr="00E24274">
        <w:rPr>
          <w:rFonts w:ascii="Times New Roman" w:hAnsi="Times New Roman"/>
          <w:sz w:val="24"/>
          <w:szCs w:val="24"/>
        </w:rPr>
        <w:t xml:space="preserve">tytułu prawnego </w:t>
      </w:r>
      <w:r w:rsidRPr="00E24274">
        <w:rPr>
          <w:rFonts w:ascii="Times New Roman" w:hAnsi="Times New Roman"/>
          <w:sz w:val="24"/>
          <w:szCs w:val="24"/>
        </w:rPr>
        <w:t xml:space="preserve">udzielonego przez organizację zbiorowego zarządzania (art. 2 ust. 1 pkt 2 projektu). Obejmie to zarówno przypadki podmiotów zależnych od organizacji, o których mowa w dyrektywie, jak i udzielanie upoważnień podmiotom od nich niezależnym. Za czynności podejmowane </w:t>
      </w:r>
      <w:r w:rsidR="00DC2EB6" w:rsidRPr="00E24274">
        <w:rPr>
          <w:rFonts w:ascii="Times New Roman" w:hAnsi="Times New Roman"/>
          <w:sz w:val="24"/>
          <w:szCs w:val="24"/>
        </w:rPr>
        <w:t xml:space="preserve">przez takie podmioty </w:t>
      </w:r>
      <w:r w:rsidRPr="00E24274">
        <w:rPr>
          <w:rFonts w:ascii="Times New Roman" w:hAnsi="Times New Roman"/>
          <w:sz w:val="24"/>
          <w:szCs w:val="24"/>
        </w:rPr>
        <w:t xml:space="preserve">organizacja będzie odpowiadać jak za własne (art. 2 ust. 2 projektu). </w:t>
      </w:r>
      <w:r w:rsidR="006E09E7">
        <w:rPr>
          <w:rFonts w:ascii="Times New Roman" w:hAnsi="Times New Roman"/>
          <w:sz w:val="24"/>
          <w:szCs w:val="24"/>
        </w:rPr>
        <w:t>Pow</w:t>
      </w:r>
      <w:r w:rsidRPr="00E24274">
        <w:rPr>
          <w:rFonts w:ascii="Times New Roman" w:hAnsi="Times New Roman"/>
          <w:sz w:val="24"/>
          <w:szCs w:val="24"/>
        </w:rPr>
        <w:t>inno to pozwolić na wyeliminowanie sytuacji, w których czynności z zakresu zbiorowego zarządzania, wykonywane przez zewnętrznych współpracowników organizacji, nie podlegałyby przepisom ustawy.</w:t>
      </w:r>
    </w:p>
    <w:p w:rsidR="0057371D" w:rsidRPr="00E24274" w:rsidRDefault="0057371D"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Projektowaną ustawą zostaną objęte również niezależne podmioty zarządzające, zgodnie z art. 2 ust. 4 dyrektywy CRM. Zakres, w jakim znajdą do nich zastosowanie przepisy projektowanej ustawy</w:t>
      </w:r>
      <w:r w:rsidR="005F2ECA">
        <w:rPr>
          <w:rFonts w:ascii="Times New Roman" w:hAnsi="Times New Roman"/>
          <w:sz w:val="24"/>
          <w:szCs w:val="24"/>
        </w:rPr>
        <w:t>,</w:t>
      </w:r>
      <w:r w:rsidRPr="00E24274">
        <w:rPr>
          <w:rFonts w:ascii="Times New Roman" w:hAnsi="Times New Roman"/>
          <w:sz w:val="24"/>
          <w:szCs w:val="24"/>
        </w:rPr>
        <w:t xml:space="preserve"> został określony w przepisach rozdziału </w:t>
      </w:r>
      <w:r w:rsidR="00DC2EB6" w:rsidRPr="00E24274">
        <w:rPr>
          <w:rFonts w:ascii="Times New Roman" w:hAnsi="Times New Roman"/>
          <w:sz w:val="24"/>
          <w:szCs w:val="24"/>
        </w:rPr>
        <w:t xml:space="preserve">12 </w:t>
      </w:r>
      <w:r w:rsidRPr="00E24274">
        <w:rPr>
          <w:rFonts w:ascii="Times New Roman" w:hAnsi="Times New Roman"/>
          <w:sz w:val="24"/>
          <w:szCs w:val="24"/>
        </w:rPr>
        <w:t>projektu.</w:t>
      </w:r>
    </w:p>
    <w:p w:rsidR="0057371D" w:rsidRPr="00E24274" w:rsidRDefault="0057371D"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 xml:space="preserve">Organizacje zbiorowego zarządzania, jako stowarzyszenia, powinny działać na podstawie ustawy z dnia 7 kwietnia 1989 r. – Prawo o stowarzyszeniach, powoływanej dalej jako </w:t>
      </w:r>
      <w:r w:rsidR="00E24274">
        <w:rPr>
          <w:rFonts w:ascii="Times New Roman" w:hAnsi="Times New Roman"/>
          <w:sz w:val="24"/>
          <w:szCs w:val="24"/>
        </w:rPr>
        <w:t>„</w:t>
      </w:r>
      <w:r w:rsidRPr="00E24274">
        <w:rPr>
          <w:rFonts w:ascii="Times New Roman" w:hAnsi="Times New Roman"/>
          <w:sz w:val="24"/>
          <w:szCs w:val="24"/>
        </w:rPr>
        <w:t>Prawo o stowarzyszeniach</w:t>
      </w:r>
      <w:r w:rsidR="00E24274">
        <w:rPr>
          <w:rFonts w:ascii="Times New Roman" w:hAnsi="Times New Roman"/>
          <w:sz w:val="24"/>
          <w:szCs w:val="24"/>
        </w:rPr>
        <w:t>”</w:t>
      </w:r>
      <w:r w:rsidRPr="00E24274">
        <w:rPr>
          <w:rFonts w:ascii="Times New Roman" w:hAnsi="Times New Roman"/>
          <w:sz w:val="24"/>
          <w:szCs w:val="24"/>
        </w:rPr>
        <w:t xml:space="preserve">. Przepisy projektowanej ustawy będą więc miały wobec niej charakter </w:t>
      </w:r>
      <w:r w:rsidRPr="00E24274">
        <w:rPr>
          <w:rFonts w:ascii="Times New Roman" w:hAnsi="Times New Roman"/>
          <w:i/>
          <w:sz w:val="24"/>
          <w:szCs w:val="24"/>
        </w:rPr>
        <w:t>lex specialis</w:t>
      </w:r>
      <w:r w:rsidRPr="00E24274">
        <w:rPr>
          <w:rFonts w:ascii="Times New Roman" w:hAnsi="Times New Roman"/>
          <w:sz w:val="24"/>
          <w:szCs w:val="24"/>
        </w:rPr>
        <w:t>. W konsekwencji Prawo o stowarzyszeniach znajdzie zastosowanie tylko w zakresie nieuregulowanym projektowaną ustawą (art. 2 ust. 3 projektu).</w:t>
      </w:r>
    </w:p>
    <w:p w:rsidR="0057371D" w:rsidRPr="00E24274" w:rsidRDefault="0057371D" w:rsidP="00E24274">
      <w:pPr>
        <w:spacing w:before="120" w:after="0" w:line="360" w:lineRule="auto"/>
        <w:jc w:val="both"/>
        <w:rPr>
          <w:rFonts w:ascii="Times New Roman" w:hAnsi="Times New Roman"/>
          <w:b/>
          <w:i/>
          <w:sz w:val="24"/>
          <w:szCs w:val="24"/>
        </w:rPr>
      </w:pPr>
      <w:r w:rsidRPr="00E24274">
        <w:rPr>
          <w:rFonts w:ascii="Times New Roman" w:hAnsi="Times New Roman"/>
          <w:b/>
          <w:sz w:val="24"/>
          <w:szCs w:val="24"/>
        </w:rPr>
        <w:t>art. 3</w:t>
      </w:r>
    </w:p>
    <w:p w:rsidR="0057371D" w:rsidRPr="00E24274" w:rsidRDefault="0057371D" w:rsidP="00ED0FD9">
      <w:pPr>
        <w:spacing w:after="0" w:line="360" w:lineRule="auto"/>
        <w:jc w:val="both"/>
        <w:rPr>
          <w:rFonts w:ascii="Times New Roman" w:hAnsi="Times New Roman"/>
          <w:sz w:val="24"/>
          <w:szCs w:val="24"/>
        </w:rPr>
      </w:pPr>
      <w:r w:rsidRPr="00E24274">
        <w:rPr>
          <w:rFonts w:ascii="Times New Roman" w:hAnsi="Times New Roman"/>
          <w:sz w:val="24"/>
          <w:szCs w:val="24"/>
        </w:rPr>
        <w:t xml:space="preserve">1. Ponieważ szereg przepisów projektowanej ustawy odwołuje się do pojęcia </w:t>
      </w:r>
      <w:r w:rsidR="00E24274">
        <w:rPr>
          <w:rFonts w:ascii="Times New Roman" w:hAnsi="Times New Roman"/>
          <w:sz w:val="24"/>
          <w:szCs w:val="24"/>
        </w:rPr>
        <w:t>„</w:t>
      </w:r>
      <w:r w:rsidRPr="00E24274">
        <w:rPr>
          <w:rFonts w:ascii="Times New Roman" w:hAnsi="Times New Roman"/>
          <w:i/>
          <w:sz w:val="24"/>
          <w:szCs w:val="24"/>
        </w:rPr>
        <w:t>zbiorowego zarządzania</w:t>
      </w:r>
      <w:r w:rsidR="00E24274">
        <w:rPr>
          <w:rFonts w:ascii="Times New Roman" w:hAnsi="Times New Roman"/>
          <w:i/>
          <w:sz w:val="24"/>
          <w:szCs w:val="24"/>
        </w:rPr>
        <w:t>”</w:t>
      </w:r>
      <w:r w:rsidRPr="00E24274">
        <w:rPr>
          <w:rFonts w:ascii="Times New Roman" w:hAnsi="Times New Roman"/>
          <w:sz w:val="24"/>
          <w:szCs w:val="24"/>
        </w:rPr>
        <w:t xml:space="preserve"> zasadne jest jego zdefiniowanie. Obecny sposób zdefiniowania zakresu statutowych zadań organizacji zbiorowego zarządzania (art. 104 ust. 1 pr. aut.) nie jest do końca precyzyjny, gdyż obok zbiorowego zarządzania wymienia ochronę powierzonych praw oraz wykon</w:t>
      </w:r>
      <w:r w:rsidR="00ED0FD9">
        <w:rPr>
          <w:rFonts w:ascii="Times New Roman" w:hAnsi="Times New Roman"/>
          <w:sz w:val="24"/>
          <w:szCs w:val="24"/>
        </w:rPr>
        <w:t>ywanie uprawnień wynikających z </w:t>
      </w:r>
      <w:r w:rsidRPr="00E24274">
        <w:rPr>
          <w:rFonts w:ascii="Times New Roman" w:hAnsi="Times New Roman"/>
          <w:sz w:val="24"/>
          <w:szCs w:val="24"/>
        </w:rPr>
        <w:t>ustawy, które przecież są elementem zbiorowego zarządu.</w:t>
      </w:r>
    </w:p>
    <w:p w:rsidR="0057371D" w:rsidRPr="00E24274" w:rsidRDefault="0057371D"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 xml:space="preserve">Co prawda analogicznej definicji brak także w </w:t>
      </w:r>
      <w:r w:rsidR="00ED0FD9">
        <w:rPr>
          <w:rFonts w:ascii="Times New Roman" w:hAnsi="Times New Roman"/>
          <w:sz w:val="24"/>
          <w:szCs w:val="24"/>
        </w:rPr>
        <w:t>przepisach dyrektywy CRM, ale w </w:t>
      </w:r>
      <w:r w:rsidRPr="00E24274">
        <w:rPr>
          <w:rFonts w:ascii="Times New Roman" w:hAnsi="Times New Roman"/>
          <w:sz w:val="24"/>
          <w:szCs w:val="24"/>
        </w:rPr>
        <w:t xml:space="preserve">motywie 2 jej preambuły wskazano, że </w:t>
      </w:r>
      <w:r w:rsidR="00E24274">
        <w:rPr>
          <w:rFonts w:ascii="Times New Roman" w:hAnsi="Times New Roman"/>
          <w:i/>
          <w:sz w:val="24"/>
          <w:szCs w:val="24"/>
        </w:rPr>
        <w:t>„</w:t>
      </w:r>
      <w:r w:rsidRPr="00E24274">
        <w:rPr>
          <w:rFonts w:ascii="Times New Roman" w:hAnsi="Times New Roman"/>
          <w:i/>
          <w:sz w:val="24"/>
          <w:szCs w:val="24"/>
        </w:rPr>
        <w:t>zarządzanie prawami autorskimi i prawami pokrewnymi obejmuje udzielanie licencji użytkownikom, kontrolowanie użytkowników, monitorowanie korzystania z praw, egzekwowanie praw autorskich i praw pokrewnych, pobieranie przychodów z praw z tytułu ich eksploatacji oraz podział między podmiotami uprawnionymi należnych im kwot</w:t>
      </w:r>
      <w:r w:rsidR="00E24274">
        <w:rPr>
          <w:rFonts w:ascii="Times New Roman" w:hAnsi="Times New Roman"/>
          <w:i/>
          <w:sz w:val="24"/>
          <w:szCs w:val="24"/>
        </w:rPr>
        <w:t>”</w:t>
      </w:r>
      <w:r w:rsidRPr="00E24274">
        <w:rPr>
          <w:rFonts w:ascii="Times New Roman" w:hAnsi="Times New Roman"/>
          <w:i/>
          <w:sz w:val="24"/>
          <w:szCs w:val="24"/>
        </w:rPr>
        <w:t>.</w:t>
      </w:r>
      <w:r w:rsidRPr="00E24274">
        <w:rPr>
          <w:rFonts w:ascii="Times New Roman" w:hAnsi="Times New Roman"/>
          <w:sz w:val="24"/>
          <w:szCs w:val="24"/>
        </w:rPr>
        <w:t xml:space="preserve"> Odpowiada to zakresowi czynności, jakie </w:t>
      </w:r>
      <w:r w:rsidRPr="00E24274">
        <w:rPr>
          <w:rFonts w:ascii="Times New Roman" w:hAnsi="Times New Roman"/>
          <w:sz w:val="24"/>
          <w:szCs w:val="24"/>
        </w:rPr>
        <w:lastRenderedPageBreak/>
        <w:t>w</w:t>
      </w:r>
      <w:r w:rsidR="00ED0FD9">
        <w:rPr>
          <w:rFonts w:ascii="Times New Roman" w:hAnsi="Times New Roman"/>
          <w:sz w:val="24"/>
          <w:szCs w:val="24"/>
        </w:rPr>
        <w:t> </w:t>
      </w:r>
      <w:r w:rsidRPr="00E24274">
        <w:rPr>
          <w:rFonts w:ascii="Times New Roman" w:hAnsi="Times New Roman"/>
          <w:sz w:val="24"/>
          <w:szCs w:val="24"/>
        </w:rPr>
        <w:t>polskim orzecznictwie</w:t>
      </w:r>
      <w:r w:rsidRPr="00E24274">
        <w:rPr>
          <w:rFonts w:ascii="Times New Roman" w:hAnsi="Times New Roman"/>
          <w:sz w:val="24"/>
          <w:szCs w:val="24"/>
          <w:vertAlign w:val="superscript"/>
        </w:rPr>
        <w:footnoteReference w:id="16"/>
      </w:r>
      <w:r w:rsidR="001E6F0B" w:rsidRPr="001E6F0B">
        <w:rPr>
          <w:rFonts w:ascii="Times New Roman" w:hAnsi="Times New Roman"/>
          <w:sz w:val="24"/>
          <w:szCs w:val="24"/>
          <w:vertAlign w:val="superscript"/>
        </w:rPr>
        <w:t>)</w:t>
      </w:r>
      <w:r w:rsidRPr="00E24274">
        <w:rPr>
          <w:rFonts w:ascii="Times New Roman" w:hAnsi="Times New Roman"/>
          <w:sz w:val="24"/>
          <w:szCs w:val="24"/>
        </w:rPr>
        <w:t xml:space="preserve"> i literaturze przedmiotu</w:t>
      </w:r>
      <w:r w:rsidRPr="00E24274">
        <w:rPr>
          <w:rFonts w:ascii="Times New Roman" w:hAnsi="Times New Roman"/>
          <w:sz w:val="24"/>
          <w:szCs w:val="24"/>
          <w:vertAlign w:val="superscript"/>
        </w:rPr>
        <w:footnoteReference w:id="17"/>
      </w:r>
      <w:r w:rsidR="001E6F0B" w:rsidRPr="001E6F0B">
        <w:rPr>
          <w:rFonts w:ascii="Times New Roman" w:hAnsi="Times New Roman"/>
          <w:sz w:val="24"/>
          <w:szCs w:val="24"/>
          <w:vertAlign w:val="superscript"/>
        </w:rPr>
        <w:t>)</w:t>
      </w:r>
      <w:r w:rsidRPr="00E24274">
        <w:rPr>
          <w:rFonts w:ascii="Times New Roman" w:hAnsi="Times New Roman"/>
          <w:sz w:val="24"/>
          <w:szCs w:val="24"/>
        </w:rPr>
        <w:t xml:space="preserve"> zostały uznane za mieszczące się w ramach zbiorowego zarządzania. Zaproponowana w art. 3 ust. 1 pkt 1 projektu definicja uwzględnia powyższe elementy, przesądzając równocześnie, że dochodzenie ochrony praw i wykonywanie innych uprawnień organizacji wynikających z ustawy mieści się w pojęciu </w:t>
      </w:r>
      <w:r w:rsidR="00E24274">
        <w:rPr>
          <w:rFonts w:ascii="Times New Roman" w:hAnsi="Times New Roman"/>
          <w:sz w:val="24"/>
          <w:szCs w:val="24"/>
        </w:rPr>
        <w:t>„</w:t>
      </w:r>
      <w:r w:rsidRPr="00E24274">
        <w:rPr>
          <w:rFonts w:ascii="Times New Roman" w:hAnsi="Times New Roman"/>
          <w:sz w:val="24"/>
          <w:szCs w:val="24"/>
        </w:rPr>
        <w:t>zbiorowego zarządzania</w:t>
      </w:r>
      <w:r w:rsidR="00E24274">
        <w:rPr>
          <w:rFonts w:ascii="Times New Roman" w:hAnsi="Times New Roman"/>
          <w:sz w:val="24"/>
          <w:szCs w:val="24"/>
        </w:rPr>
        <w:t>”</w:t>
      </w:r>
      <w:r w:rsidRPr="00E24274">
        <w:rPr>
          <w:rFonts w:ascii="Times New Roman" w:hAnsi="Times New Roman"/>
          <w:sz w:val="24"/>
          <w:szCs w:val="24"/>
        </w:rPr>
        <w:t>.</w:t>
      </w:r>
    </w:p>
    <w:p w:rsidR="0057371D" w:rsidRPr="00E24274" w:rsidRDefault="0057371D"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 xml:space="preserve">Elementem odróżniającym definiowane pojęcie od zarządzania prawami przez inne podmioty (np. niezależne podmioty zarządzające) będzie działanie </w:t>
      </w:r>
      <w:r w:rsidR="00E24274">
        <w:rPr>
          <w:rFonts w:ascii="Times New Roman" w:hAnsi="Times New Roman"/>
          <w:sz w:val="24"/>
          <w:szCs w:val="24"/>
        </w:rPr>
        <w:t>„</w:t>
      </w:r>
      <w:r w:rsidRPr="00E24274">
        <w:rPr>
          <w:rFonts w:ascii="Times New Roman" w:hAnsi="Times New Roman"/>
          <w:sz w:val="24"/>
          <w:szCs w:val="24"/>
        </w:rPr>
        <w:t>dla zbiorowej korzyści uprawnionych</w:t>
      </w:r>
      <w:r w:rsidR="00E24274">
        <w:rPr>
          <w:rFonts w:ascii="Times New Roman" w:hAnsi="Times New Roman"/>
          <w:sz w:val="24"/>
          <w:szCs w:val="24"/>
        </w:rPr>
        <w:t>”</w:t>
      </w:r>
      <w:r w:rsidRPr="00E24274">
        <w:rPr>
          <w:rFonts w:ascii="Times New Roman" w:hAnsi="Times New Roman"/>
          <w:sz w:val="24"/>
          <w:szCs w:val="24"/>
        </w:rPr>
        <w:t>, na co wskazuje art. 3 lit. a dyrektywy CRM.</w:t>
      </w:r>
    </w:p>
    <w:p w:rsidR="0057371D" w:rsidRPr="00E24274" w:rsidRDefault="0057371D"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 xml:space="preserve">2. Dyrektywa wymaga natomiast zdefiniowania samej </w:t>
      </w:r>
      <w:r w:rsidR="00E24274">
        <w:rPr>
          <w:rFonts w:ascii="Times New Roman" w:hAnsi="Times New Roman"/>
          <w:i/>
          <w:sz w:val="24"/>
          <w:szCs w:val="24"/>
        </w:rPr>
        <w:t>„</w:t>
      </w:r>
      <w:r w:rsidRPr="00E24274">
        <w:rPr>
          <w:rFonts w:ascii="Times New Roman" w:hAnsi="Times New Roman"/>
          <w:i/>
          <w:sz w:val="24"/>
          <w:szCs w:val="24"/>
        </w:rPr>
        <w:t>organizacji zbiorowego zarządzania</w:t>
      </w:r>
      <w:r w:rsidR="00E24274">
        <w:rPr>
          <w:rFonts w:ascii="Times New Roman" w:hAnsi="Times New Roman"/>
          <w:i/>
          <w:sz w:val="24"/>
          <w:szCs w:val="24"/>
        </w:rPr>
        <w:t>”</w:t>
      </w:r>
      <w:r w:rsidRPr="00E24274">
        <w:rPr>
          <w:rFonts w:ascii="Times New Roman" w:hAnsi="Times New Roman"/>
          <w:sz w:val="24"/>
          <w:szCs w:val="24"/>
        </w:rPr>
        <w:t xml:space="preserve"> (art. 3 lit. a). W projektowanym art. 3 ust. 1 pkt 2 proponuje się utrzymanie tych elementów dotychczasowego art. 104 ust. 1 pr. aut., które nie znalazły się w definicji </w:t>
      </w:r>
      <w:r w:rsidR="00E24274">
        <w:rPr>
          <w:rFonts w:ascii="Times New Roman" w:hAnsi="Times New Roman"/>
          <w:sz w:val="24"/>
          <w:szCs w:val="24"/>
        </w:rPr>
        <w:t>„</w:t>
      </w:r>
      <w:r w:rsidRPr="00E24274">
        <w:rPr>
          <w:rFonts w:ascii="Times New Roman" w:hAnsi="Times New Roman"/>
          <w:sz w:val="24"/>
          <w:szCs w:val="24"/>
        </w:rPr>
        <w:t>zbiorowego zarządzania</w:t>
      </w:r>
      <w:r w:rsidR="00E24274">
        <w:rPr>
          <w:rFonts w:ascii="Times New Roman" w:hAnsi="Times New Roman"/>
          <w:sz w:val="24"/>
          <w:szCs w:val="24"/>
        </w:rPr>
        <w:t>”</w:t>
      </w:r>
      <w:r w:rsidRPr="00E24274">
        <w:rPr>
          <w:rFonts w:ascii="Times New Roman" w:hAnsi="Times New Roman"/>
          <w:sz w:val="24"/>
          <w:szCs w:val="24"/>
        </w:rPr>
        <w:t>, a któ</w:t>
      </w:r>
      <w:r w:rsidR="00ED0FD9">
        <w:rPr>
          <w:rFonts w:ascii="Times New Roman" w:hAnsi="Times New Roman"/>
          <w:sz w:val="24"/>
          <w:szCs w:val="24"/>
        </w:rPr>
        <w:t>re wynikają z dyrektywy CRM. Po </w:t>
      </w:r>
      <w:r w:rsidRPr="00E24274">
        <w:rPr>
          <w:rFonts w:ascii="Times New Roman" w:hAnsi="Times New Roman"/>
          <w:sz w:val="24"/>
          <w:szCs w:val="24"/>
        </w:rPr>
        <w:t>pierwsze dotyczy to formy prawnej, w jakiej powinna działać organizacja. Przyjęcie formy stowarzyszenia w największym stopniu spośród dostępnych w Polsce form prowadzenia działalności spełnia wymienione w dyr</w:t>
      </w:r>
      <w:r w:rsidR="00ED0FD9">
        <w:rPr>
          <w:rFonts w:ascii="Times New Roman" w:hAnsi="Times New Roman"/>
          <w:sz w:val="24"/>
          <w:szCs w:val="24"/>
        </w:rPr>
        <w:t>ektywie CRM kryteria, zgodnie z </w:t>
      </w:r>
      <w:r w:rsidRPr="00E24274">
        <w:rPr>
          <w:rFonts w:ascii="Times New Roman" w:hAnsi="Times New Roman"/>
          <w:sz w:val="24"/>
          <w:szCs w:val="24"/>
        </w:rPr>
        <w:t xml:space="preserve">którymi organizacja </w:t>
      </w:r>
      <w:r w:rsidR="00E24274">
        <w:rPr>
          <w:rFonts w:ascii="Times New Roman" w:hAnsi="Times New Roman"/>
          <w:i/>
          <w:sz w:val="24"/>
          <w:szCs w:val="24"/>
        </w:rPr>
        <w:t>„</w:t>
      </w:r>
      <w:r w:rsidRPr="00E24274">
        <w:rPr>
          <w:rFonts w:ascii="Times New Roman" w:hAnsi="Times New Roman"/>
          <w:i/>
          <w:sz w:val="24"/>
          <w:szCs w:val="24"/>
        </w:rPr>
        <w:t>należy do jej członków lub jest przez nich kontrolowana</w:t>
      </w:r>
      <w:r w:rsidR="00E24274">
        <w:rPr>
          <w:rFonts w:ascii="Times New Roman" w:hAnsi="Times New Roman"/>
          <w:i/>
          <w:sz w:val="24"/>
          <w:szCs w:val="24"/>
        </w:rPr>
        <w:t>”</w:t>
      </w:r>
      <w:r w:rsidRPr="00E24274">
        <w:rPr>
          <w:rFonts w:ascii="Times New Roman" w:hAnsi="Times New Roman"/>
          <w:sz w:val="24"/>
          <w:szCs w:val="24"/>
        </w:rPr>
        <w:t xml:space="preserve"> oraz nie jest nastawiona na zysk. Chociaż stowarzyszenia, a tym samym i organizacje zbiorowego zarządzania mogą prowadzić działalno</w:t>
      </w:r>
      <w:r w:rsidR="00ED0FD9">
        <w:rPr>
          <w:rFonts w:ascii="Times New Roman" w:hAnsi="Times New Roman"/>
          <w:sz w:val="24"/>
          <w:szCs w:val="24"/>
        </w:rPr>
        <w:t>ść gospodarczą (art. 34 Prawa o </w:t>
      </w:r>
      <w:r w:rsidRPr="00E24274">
        <w:rPr>
          <w:rFonts w:ascii="Times New Roman" w:hAnsi="Times New Roman"/>
          <w:sz w:val="24"/>
          <w:szCs w:val="24"/>
        </w:rPr>
        <w:t xml:space="preserve">stowarzyszeniach), to są one co do zasady tworzone </w:t>
      </w:r>
      <w:r w:rsidR="00ED0FD9">
        <w:rPr>
          <w:rFonts w:ascii="Times New Roman" w:hAnsi="Times New Roman"/>
          <w:sz w:val="24"/>
          <w:szCs w:val="24"/>
        </w:rPr>
        <w:t>w celach niezarobkowych (art. 2 </w:t>
      </w:r>
      <w:r w:rsidRPr="00E24274">
        <w:rPr>
          <w:rFonts w:ascii="Times New Roman" w:hAnsi="Times New Roman"/>
          <w:sz w:val="24"/>
          <w:szCs w:val="24"/>
        </w:rPr>
        <w:t>ust. 1 Prawa o stowarzyszeniach). Charakte</w:t>
      </w:r>
      <w:r w:rsidR="00ED0FD9">
        <w:rPr>
          <w:rFonts w:ascii="Times New Roman" w:hAnsi="Times New Roman"/>
          <w:sz w:val="24"/>
          <w:szCs w:val="24"/>
        </w:rPr>
        <w:t>r zbiorowego zarządu przyjęty w </w:t>
      </w:r>
      <w:r w:rsidRPr="00E24274">
        <w:rPr>
          <w:rFonts w:ascii="Times New Roman" w:hAnsi="Times New Roman"/>
          <w:sz w:val="24"/>
          <w:szCs w:val="24"/>
        </w:rPr>
        <w:t>projektowanej ustawie – w ślad zresztą za dotychcza</w:t>
      </w:r>
      <w:r w:rsidR="00ED0FD9">
        <w:rPr>
          <w:rFonts w:ascii="Times New Roman" w:hAnsi="Times New Roman"/>
          <w:sz w:val="24"/>
          <w:szCs w:val="24"/>
        </w:rPr>
        <w:t>sową praktyką – przesądza, że w </w:t>
      </w:r>
      <w:r w:rsidRPr="00E24274">
        <w:rPr>
          <w:rFonts w:ascii="Times New Roman" w:hAnsi="Times New Roman"/>
          <w:sz w:val="24"/>
          <w:szCs w:val="24"/>
        </w:rPr>
        <w:t xml:space="preserve">zakresie poboru i wypłaty przychodów z praw jest to działalność </w:t>
      </w:r>
      <w:r w:rsidRPr="00E24274">
        <w:rPr>
          <w:rFonts w:ascii="Times New Roman" w:hAnsi="Times New Roman"/>
          <w:i/>
          <w:sz w:val="24"/>
          <w:szCs w:val="24"/>
        </w:rPr>
        <w:t>non-profit</w:t>
      </w:r>
      <w:r w:rsidRPr="00E24274">
        <w:rPr>
          <w:rFonts w:ascii="Times New Roman" w:hAnsi="Times New Roman"/>
          <w:sz w:val="24"/>
          <w:szCs w:val="24"/>
        </w:rPr>
        <w:t xml:space="preserve">. Tym samym polskie organizacje jako stowarzyszenia będą odpowiadać obu kryteriom wskazanym w dyrektywie CRM. Pomimo że wymaga ona spełnienia tylko jednego </w:t>
      </w:r>
      <w:r w:rsidRPr="00E24274">
        <w:rPr>
          <w:rFonts w:ascii="Times New Roman" w:hAnsi="Times New Roman"/>
          <w:sz w:val="24"/>
          <w:szCs w:val="24"/>
        </w:rPr>
        <w:lastRenderedPageBreak/>
        <w:t>z</w:t>
      </w:r>
      <w:r w:rsidR="00ED0FD9">
        <w:rPr>
          <w:rFonts w:ascii="Times New Roman" w:hAnsi="Times New Roman"/>
          <w:sz w:val="24"/>
          <w:szCs w:val="24"/>
        </w:rPr>
        <w:t> </w:t>
      </w:r>
      <w:r w:rsidRPr="00E24274">
        <w:rPr>
          <w:rFonts w:ascii="Times New Roman" w:hAnsi="Times New Roman"/>
          <w:sz w:val="24"/>
          <w:szCs w:val="24"/>
        </w:rPr>
        <w:t>nich, to przyjęte rozwiązanie jest dopuszczalne, mając na uwadze minimalny charakter harmonizacji w tym zakresie.</w:t>
      </w:r>
    </w:p>
    <w:p w:rsidR="0057371D" w:rsidRPr="00E24274" w:rsidRDefault="0057371D"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 xml:space="preserve">Definicja, w ślad za art. 6 ust. 2 dyrektywy CRM oraz art. 13 ust. 1 projektu, wskazuje, że organizacja zbiorowego zarządzania jest stowarzyszeniem zrzeszającym uprawnionych oraz podmioty zrzeszające uprawnionych, nie przesądzając równocześnie, które kategorie uprawnionych taką organizację mogą założyć. To będzie wynikało z art. </w:t>
      </w:r>
      <w:r w:rsidR="001C7A6F" w:rsidRPr="00E24274">
        <w:rPr>
          <w:rFonts w:ascii="Times New Roman" w:hAnsi="Times New Roman"/>
          <w:sz w:val="24"/>
          <w:szCs w:val="24"/>
        </w:rPr>
        <w:t xml:space="preserve">6 </w:t>
      </w:r>
      <w:r w:rsidRPr="00E24274">
        <w:rPr>
          <w:rFonts w:ascii="Times New Roman" w:hAnsi="Times New Roman"/>
          <w:sz w:val="24"/>
          <w:szCs w:val="24"/>
        </w:rPr>
        <w:t xml:space="preserve">projektu. Takie podejście jest zgodne z dyrektywą CRM, która nie zawiera żadnych wytycznych dotyczących tworzenia organizacji (czyli – na gruncie polskich przepisów – ubiegania się przez stowarzyszenie o udzielenie zezwolenia), wymaga jedynie, aby organizacja zrzeszała uprawnionych. </w:t>
      </w:r>
    </w:p>
    <w:p w:rsidR="0057371D" w:rsidRPr="00E24274" w:rsidRDefault="0057371D"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 xml:space="preserve">W ślad za obecnym art. 104 ust. 1 pr. aut. w omawianej definicji określone zostanie także statutowe zadanie stowarzyszenia będącego organizacją zbiorowego zarządzania. Będzie nim zbiorowe zarządzanie na rzecz uprawnionych, przy czym powinien to być podstawowy cel działania. Odpowiada to kryteriom zawartym w dyrektywie CRM, zgodnie z którymi organizacja zarządza prawami </w:t>
      </w:r>
      <w:r w:rsidR="00E24274">
        <w:rPr>
          <w:rFonts w:ascii="Times New Roman" w:hAnsi="Times New Roman"/>
          <w:i/>
          <w:sz w:val="24"/>
          <w:szCs w:val="24"/>
        </w:rPr>
        <w:t>„</w:t>
      </w:r>
      <w:r w:rsidRPr="00E24274">
        <w:rPr>
          <w:rFonts w:ascii="Times New Roman" w:hAnsi="Times New Roman"/>
          <w:i/>
          <w:sz w:val="24"/>
          <w:szCs w:val="24"/>
        </w:rPr>
        <w:t>w imieniu więcej niż jednego podmiotu uprawnionego</w:t>
      </w:r>
      <w:r w:rsidR="00E24274">
        <w:rPr>
          <w:rFonts w:ascii="Times New Roman" w:hAnsi="Times New Roman"/>
          <w:i/>
          <w:sz w:val="24"/>
          <w:szCs w:val="24"/>
        </w:rPr>
        <w:t>”</w:t>
      </w:r>
      <w:r w:rsidRPr="00E24274">
        <w:rPr>
          <w:rFonts w:ascii="Times New Roman" w:hAnsi="Times New Roman"/>
          <w:sz w:val="24"/>
          <w:szCs w:val="24"/>
        </w:rPr>
        <w:t xml:space="preserve">, co powinno stanowić </w:t>
      </w:r>
      <w:r w:rsidR="00E24274">
        <w:rPr>
          <w:rFonts w:ascii="Times New Roman" w:hAnsi="Times New Roman"/>
          <w:sz w:val="24"/>
          <w:szCs w:val="24"/>
        </w:rPr>
        <w:t>„</w:t>
      </w:r>
      <w:r w:rsidRPr="00E24274">
        <w:rPr>
          <w:rFonts w:ascii="Times New Roman" w:hAnsi="Times New Roman"/>
          <w:i/>
          <w:sz w:val="24"/>
          <w:szCs w:val="24"/>
        </w:rPr>
        <w:t>jej jedyny lub główny przedmiot działalności</w:t>
      </w:r>
      <w:r w:rsidR="00E24274">
        <w:rPr>
          <w:rFonts w:ascii="Times New Roman" w:hAnsi="Times New Roman"/>
          <w:i/>
          <w:sz w:val="24"/>
          <w:szCs w:val="24"/>
        </w:rPr>
        <w:t>”</w:t>
      </w:r>
      <w:r w:rsidRPr="00E24274">
        <w:rPr>
          <w:rFonts w:ascii="Times New Roman" w:hAnsi="Times New Roman"/>
          <w:sz w:val="24"/>
          <w:szCs w:val="24"/>
        </w:rPr>
        <w:t xml:space="preserve">. Nie ma natomiast konieczności powielania w tym miejscu kryterium działania dla </w:t>
      </w:r>
      <w:r w:rsidR="00E24274">
        <w:rPr>
          <w:rFonts w:ascii="Times New Roman" w:hAnsi="Times New Roman"/>
          <w:i/>
          <w:sz w:val="24"/>
          <w:szCs w:val="24"/>
        </w:rPr>
        <w:t>„</w:t>
      </w:r>
      <w:r w:rsidRPr="00E24274">
        <w:rPr>
          <w:rFonts w:ascii="Times New Roman" w:hAnsi="Times New Roman"/>
          <w:i/>
          <w:sz w:val="24"/>
          <w:szCs w:val="24"/>
        </w:rPr>
        <w:t>zbiorowej korzyści</w:t>
      </w:r>
      <w:r w:rsidR="00E24274">
        <w:rPr>
          <w:rFonts w:ascii="Times New Roman" w:hAnsi="Times New Roman"/>
          <w:i/>
          <w:sz w:val="24"/>
          <w:szCs w:val="24"/>
        </w:rPr>
        <w:t>”</w:t>
      </w:r>
      <w:r w:rsidRPr="00E24274">
        <w:rPr>
          <w:rFonts w:ascii="Times New Roman" w:hAnsi="Times New Roman"/>
          <w:sz w:val="24"/>
          <w:szCs w:val="24"/>
        </w:rPr>
        <w:t xml:space="preserve"> uprawnionych, gdyż </w:t>
      </w:r>
      <w:r w:rsidR="00ED0FD9">
        <w:rPr>
          <w:rFonts w:ascii="Times New Roman" w:hAnsi="Times New Roman"/>
          <w:sz w:val="24"/>
          <w:szCs w:val="24"/>
        </w:rPr>
        <w:t>zostało już uwzględnione w </w:t>
      </w:r>
      <w:r w:rsidRPr="00E24274">
        <w:rPr>
          <w:rFonts w:ascii="Times New Roman" w:hAnsi="Times New Roman"/>
          <w:sz w:val="24"/>
          <w:szCs w:val="24"/>
        </w:rPr>
        <w:t xml:space="preserve">definicji </w:t>
      </w:r>
      <w:r w:rsidR="00E24274">
        <w:rPr>
          <w:rFonts w:ascii="Times New Roman" w:hAnsi="Times New Roman"/>
          <w:sz w:val="24"/>
          <w:szCs w:val="24"/>
        </w:rPr>
        <w:t>„</w:t>
      </w:r>
      <w:r w:rsidRPr="00E24274">
        <w:rPr>
          <w:rFonts w:ascii="Times New Roman" w:hAnsi="Times New Roman"/>
          <w:sz w:val="24"/>
          <w:szCs w:val="24"/>
        </w:rPr>
        <w:t>zbiorowego zarządzania</w:t>
      </w:r>
      <w:r w:rsidR="00E24274">
        <w:rPr>
          <w:rFonts w:ascii="Times New Roman" w:hAnsi="Times New Roman"/>
          <w:sz w:val="24"/>
          <w:szCs w:val="24"/>
        </w:rPr>
        <w:t>”</w:t>
      </w:r>
      <w:r w:rsidRPr="00E24274">
        <w:rPr>
          <w:rFonts w:ascii="Times New Roman" w:hAnsi="Times New Roman"/>
          <w:sz w:val="24"/>
          <w:szCs w:val="24"/>
        </w:rPr>
        <w:t xml:space="preserve">. Z kolei wskazane w dyrektywie źródła legitymacji organizacji do zarządzania prawami </w:t>
      </w:r>
      <w:r w:rsidRPr="00E24274">
        <w:rPr>
          <w:rFonts w:ascii="Times New Roman" w:hAnsi="Times New Roman"/>
          <w:i/>
          <w:sz w:val="24"/>
          <w:szCs w:val="24"/>
        </w:rPr>
        <w:t>(</w:t>
      </w:r>
      <w:r w:rsidR="00E24274">
        <w:rPr>
          <w:rFonts w:ascii="Times New Roman" w:hAnsi="Times New Roman"/>
          <w:i/>
          <w:sz w:val="24"/>
          <w:szCs w:val="24"/>
        </w:rPr>
        <w:t>„</w:t>
      </w:r>
      <w:r w:rsidRPr="00E24274">
        <w:rPr>
          <w:rFonts w:ascii="Times New Roman" w:hAnsi="Times New Roman"/>
          <w:i/>
          <w:sz w:val="24"/>
          <w:szCs w:val="24"/>
        </w:rPr>
        <w:t>z mocy prawa lub w drodze powierzenia, licencji lub innego uzgodnienia umownego</w:t>
      </w:r>
      <w:r w:rsidR="00E24274">
        <w:rPr>
          <w:rFonts w:ascii="Times New Roman" w:hAnsi="Times New Roman"/>
          <w:i/>
          <w:sz w:val="24"/>
          <w:szCs w:val="24"/>
        </w:rPr>
        <w:t>”</w:t>
      </w:r>
      <w:r w:rsidR="00ED0FD9">
        <w:rPr>
          <w:rFonts w:ascii="Times New Roman" w:hAnsi="Times New Roman"/>
          <w:sz w:val="24"/>
          <w:szCs w:val="24"/>
        </w:rPr>
        <w:t>) zostaną uregulowane w </w:t>
      </w:r>
      <w:r w:rsidRPr="00E24274">
        <w:rPr>
          <w:rFonts w:ascii="Times New Roman" w:hAnsi="Times New Roman"/>
          <w:sz w:val="24"/>
          <w:szCs w:val="24"/>
        </w:rPr>
        <w:t>osobnym przepisie jako jedna z zasad ogólnych dotyczących relacji pomiędzy organizacją a uprawnionymi (art. 4 ust. 1 projektu).</w:t>
      </w:r>
    </w:p>
    <w:p w:rsidR="0057371D" w:rsidRPr="00E24274" w:rsidRDefault="0057371D"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 xml:space="preserve">3. Ze względu na to, że definicja organizacji zawiera także warunek uzyskania zezwolenia ministra właściwego do spraw kultury i ochrony dziedzictwa narodowego, organizacja mająca siedzibę za granicą i działająca w innym państwie nie będzie spełniać tego kryterium, a tym samym nie będzie uznawana przez polską ustawę za organizację zbiorowego zarządzania. W konsekwencji na potrzeby przepisów dotyczących relacji z </w:t>
      </w:r>
      <w:r w:rsidR="00493571" w:rsidRPr="00E24274">
        <w:rPr>
          <w:rFonts w:ascii="Times New Roman" w:hAnsi="Times New Roman"/>
          <w:sz w:val="24"/>
          <w:szCs w:val="24"/>
        </w:rPr>
        <w:t>tymi</w:t>
      </w:r>
      <w:r w:rsidRPr="00E24274">
        <w:rPr>
          <w:rFonts w:ascii="Times New Roman" w:hAnsi="Times New Roman"/>
          <w:sz w:val="24"/>
          <w:szCs w:val="24"/>
        </w:rPr>
        <w:t xml:space="preserve"> organizacjami projektowana ustawa wprowadzi definicję </w:t>
      </w:r>
      <w:r w:rsidR="00E24274">
        <w:rPr>
          <w:rFonts w:ascii="Times New Roman" w:hAnsi="Times New Roman"/>
          <w:i/>
          <w:sz w:val="24"/>
          <w:szCs w:val="24"/>
        </w:rPr>
        <w:t>„</w:t>
      </w:r>
      <w:r w:rsidRPr="00E24274">
        <w:rPr>
          <w:rFonts w:ascii="Times New Roman" w:hAnsi="Times New Roman"/>
          <w:i/>
          <w:sz w:val="24"/>
          <w:szCs w:val="24"/>
        </w:rPr>
        <w:t>zagranicznej organizacji zbiorowego zarządzania</w:t>
      </w:r>
      <w:r w:rsidR="00E24274">
        <w:rPr>
          <w:rFonts w:ascii="Times New Roman" w:hAnsi="Times New Roman"/>
          <w:sz w:val="24"/>
          <w:szCs w:val="24"/>
        </w:rPr>
        <w:t>”</w:t>
      </w:r>
      <w:r w:rsidRPr="00E24274">
        <w:rPr>
          <w:rFonts w:ascii="Times New Roman" w:hAnsi="Times New Roman"/>
          <w:sz w:val="24"/>
          <w:szCs w:val="24"/>
        </w:rPr>
        <w:t xml:space="preserve"> (art. 3 ust. 1 pkt 3 projektu), którą będzie podmiot uznawany za taką organizację w państwie swojej siedziby.</w:t>
      </w:r>
    </w:p>
    <w:p w:rsidR="0057371D" w:rsidRPr="00E24274" w:rsidRDefault="0057371D"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lastRenderedPageBreak/>
        <w:t xml:space="preserve">4. Projektowana ustawa wprowadzi też – nieobecną dotychczas w polskich przepisach – definicję </w:t>
      </w:r>
      <w:r w:rsidR="00E24274">
        <w:rPr>
          <w:rFonts w:ascii="Times New Roman" w:hAnsi="Times New Roman"/>
          <w:i/>
          <w:sz w:val="24"/>
          <w:szCs w:val="24"/>
        </w:rPr>
        <w:t>„</w:t>
      </w:r>
      <w:r w:rsidRPr="00E24274">
        <w:rPr>
          <w:rFonts w:ascii="Times New Roman" w:hAnsi="Times New Roman"/>
          <w:i/>
          <w:sz w:val="24"/>
          <w:szCs w:val="24"/>
        </w:rPr>
        <w:t>uprawnionego</w:t>
      </w:r>
      <w:r w:rsidR="00E24274">
        <w:rPr>
          <w:rFonts w:ascii="Times New Roman" w:hAnsi="Times New Roman"/>
          <w:i/>
          <w:sz w:val="24"/>
          <w:szCs w:val="24"/>
        </w:rPr>
        <w:t>”</w:t>
      </w:r>
      <w:r w:rsidRPr="00E24274">
        <w:rPr>
          <w:rFonts w:ascii="Times New Roman" w:hAnsi="Times New Roman"/>
          <w:sz w:val="24"/>
          <w:szCs w:val="24"/>
        </w:rPr>
        <w:t xml:space="preserve"> (art. 3 ust. 1 pkt 4). Będzie nim, w ślad za dyrektywą CRM, każdy, komu przysługują prawa autorskie, prawa pokrewne lub wynikający z ustawy bądź umowy tytuł do otrzymywania przychodów z tych praw. Jest</w:t>
      </w:r>
      <w:r w:rsidR="00312CC4" w:rsidRPr="00E24274">
        <w:rPr>
          <w:rFonts w:ascii="Times New Roman" w:hAnsi="Times New Roman"/>
          <w:sz w:val="24"/>
          <w:szCs w:val="24"/>
        </w:rPr>
        <w:t xml:space="preserve"> przy tym</w:t>
      </w:r>
      <w:r w:rsidRPr="00E24274">
        <w:rPr>
          <w:rFonts w:ascii="Times New Roman" w:hAnsi="Times New Roman"/>
          <w:sz w:val="24"/>
          <w:szCs w:val="24"/>
        </w:rPr>
        <w:t xml:space="preserve"> oczywiste, że uprawnienie do partycypowania w przychodach z praw nie ma charakteru abstrakcyjnego, lecz będzie konkretyzować się w danym czasie w zależności od istnienia tytułu prawnego oraz jego treści, a więc będzie uzależnione od dokonanej eksploatacji danego utworu lub przedmiotu prawa pokrewnego, która powoduje powstanie takiego uprawnienia. Tylko w takim zakresie i przedziale czasowym dany podmiot stawać się będzie </w:t>
      </w:r>
      <w:r w:rsidR="00E24274">
        <w:rPr>
          <w:rFonts w:ascii="Times New Roman" w:hAnsi="Times New Roman"/>
          <w:sz w:val="24"/>
          <w:szCs w:val="24"/>
        </w:rPr>
        <w:t>„</w:t>
      </w:r>
      <w:r w:rsidRPr="00E24274">
        <w:rPr>
          <w:rFonts w:ascii="Times New Roman" w:hAnsi="Times New Roman"/>
          <w:sz w:val="24"/>
          <w:szCs w:val="24"/>
        </w:rPr>
        <w:t>uprawnionym</w:t>
      </w:r>
      <w:r w:rsidR="00E24274">
        <w:rPr>
          <w:rFonts w:ascii="Times New Roman" w:hAnsi="Times New Roman"/>
          <w:sz w:val="24"/>
          <w:szCs w:val="24"/>
        </w:rPr>
        <w:t>”</w:t>
      </w:r>
      <w:r w:rsidRPr="00E24274">
        <w:rPr>
          <w:rFonts w:ascii="Times New Roman" w:hAnsi="Times New Roman"/>
          <w:sz w:val="24"/>
          <w:szCs w:val="24"/>
        </w:rPr>
        <w:t xml:space="preserve"> w rozumieniu projektowanej ustawy.</w:t>
      </w:r>
    </w:p>
    <w:p w:rsidR="001C7A6F" w:rsidRPr="00E24274" w:rsidRDefault="00312CC4"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Ponadto, w ślad za dyrektywą</w:t>
      </w:r>
      <w:r w:rsidR="002A243B" w:rsidRPr="00E24274">
        <w:rPr>
          <w:rFonts w:ascii="Times New Roman" w:hAnsi="Times New Roman"/>
          <w:sz w:val="24"/>
          <w:szCs w:val="24"/>
        </w:rPr>
        <w:t xml:space="preserve"> CRM</w:t>
      </w:r>
      <w:r w:rsidRPr="00E24274">
        <w:rPr>
          <w:rFonts w:ascii="Times New Roman" w:hAnsi="Times New Roman"/>
          <w:sz w:val="24"/>
          <w:szCs w:val="24"/>
        </w:rPr>
        <w:t>,</w:t>
      </w:r>
      <w:r w:rsidR="002A243B" w:rsidRPr="00E24274">
        <w:rPr>
          <w:rFonts w:ascii="Times New Roman" w:hAnsi="Times New Roman"/>
          <w:sz w:val="24"/>
          <w:szCs w:val="24"/>
        </w:rPr>
        <w:t xml:space="preserve"> </w:t>
      </w:r>
      <w:r w:rsidR="0057371D" w:rsidRPr="00E24274">
        <w:rPr>
          <w:rFonts w:ascii="Times New Roman" w:hAnsi="Times New Roman"/>
          <w:sz w:val="24"/>
          <w:szCs w:val="24"/>
        </w:rPr>
        <w:t>z powyższej definicji wyłączone zostaną organizacje zbiorowego zarządzania.</w:t>
      </w:r>
    </w:p>
    <w:p w:rsidR="0057371D" w:rsidRPr="00E24274" w:rsidRDefault="001C7A6F"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 xml:space="preserve">5. Na potrzeby implementacji art. 10 dyrektywy CRM wprowadzona zostanie definicja </w:t>
      </w:r>
      <w:r w:rsidR="00E24274">
        <w:rPr>
          <w:rFonts w:ascii="Times New Roman" w:hAnsi="Times New Roman"/>
          <w:i/>
          <w:sz w:val="24"/>
          <w:szCs w:val="24"/>
        </w:rPr>
        <w:t>„</w:t>
      </w:r>
      <w:r w:rsidRPr="00E24274">
        <w:rPr>
          <w:rFonts w:ascii="Times New Roman" w:hAnsi="Times New Roman"/>
          <w:i/>
          <w:sz w:val="24"/>
          <w:szCs w:val="24"/>
        </w:rPr>
        <w:t>osoby kierującej działalnością organizacji zbiorowego zarządzania</w:t>
      </w:r>
      <w:r w:rsidR="00E24274">
        <w:rPr>
          <w:rFonts w:ascii="Times New Roman" w:hAnsi="Times New Roman"/>
          <w:i/>
          <w:sz w:val="24"/>
          <w:szCs w:val="24"/>
        </w:rPr>
        <w:t>”</w:t>
      </w:r>
      <w:r w:rsidRPr="00E24274">
        <w:rPr>
          <w:rFonts w:ascii="Times New Roman" w:hAnsi="Times New Roman"/>
          <w:sz w:val="24"/>
          <w:szCs w:val="24"/>
        </w:rPr>
        <w:t xml:space="preserve"> (projektowany art. 3 ust. 1 pkt </w:t>
      </w:r>
      <w:r w:rsidR="007D6CB9" w:rsidRPr="00E24274">
        <w:rPr>
          <w:rFonts w:ascii="Times New Roman" w:hAnsi="Times New Roman"/>
          <w:sz w:val="24"/>
          <w:szCs w:val="24"/>
        </w:rPr>
        <w:t>5</w:t>
      </w:r>
      <w:r w:rsidRPr="00E24274">
        <w:rPr>
          <w:rFonts w:ascii="Times New Roman" w:hAnsi="Times New Roman"/>
          <w:sz w:val="24"/>
          <w:szCs w:val="24"/>
        </w:rPr>
        <w:t xml:space="preserve">). Celem tej definicji będzie wskazanie wszystkich osób podlegających, zgodnie z dyrektywą, zasadom dotyczącym unikania konfliktów interesów. Obejmą one członków zarządu i komisji rewizyjnej, jak również osobę kierującą jednostką organizacyjną odpowiedzialną w organizacji za wykonywanie czynności z zakresu zbiorowego zarządzania (a więc np. dyrektora biura organizacji). Należy mieć na uwadze, że termin </w:t>
      </w:r>
      <w:r w:rsidR="00E24274">
        <w:rPr>
          <w:rFonts w:ascii="Times New Roman" w:hAnsi="Times New Roman"/>
          <w:sz w:val="24"/>
          <w:szCs w:val="24"/>
        </w:rPr>
        <w:t>„</w:t>
      </w:r>
      <w:r w:rsidRPr="00E24274">
        <w:rPr>
          <w:rFonts w:ascii="Times New Roman" w:hAnsi="Times New Roman"/>
          <w:sz w:val="24"/>
          <w:szCs w:val="24"/>
        </w:rPr>
        <w:t>osoba kierująca działalnością organizacji</w:t>
      </w:r>
      <w:r w:rsidR="00E24274">
        <w:rPr>
          <w:rFonts w:ascii="Times New Roman" w:hAnsi="Times New Roman"/>
          <w:sz w:val="24"/>
          <w:szCs w:val="24"/>
        </w:rPr>
        <w:t>”</w:t>
      </w:r>
      <w:r w:rsidRPr="00E24274">
        <w:rPr>
          <w:rFonts w:ascii="Times New Roman" w:hAnsi="Times New Roman"/>
          <w:sz w:val="24"/>
          <w:szCs w:val="24"/>
        </w:rPr>
        <w:t xml:space="preserve"> jest na gruncie dyrektywy szerszy niż pojęcie </w:t>
      </w:r>
      <w:r w:rsidR="00E24274">
        <w:rPr>
          <w:rFonts w:ascii="Times New Roman" w:hAnsi="Times New Roman"/>
          <w:sz w:val="24"/>
          <w:szCs w:val="24"/>
        </w:rPr>
        <w:t>„</w:t>
      </w:r>
      <w:r w:rsidRPr="00E24274">
        <w:rPr>
          <w:rFonts w:ascii="Times New Roman" w:hAnsi="Times New Roman"/>
          <w:sz w:val="24"/>
          <w:szCs w:val="24"/>
        </w:rPr>
        <w:t>dyrektor</w:t>
      </w:r>
      <w:r w:rsidR="00E24274">
        <w:rPr>
          <w:rFonts w:ascii="Times New Roman" w:hAnsi="Times New Roman"/>
          <w:sz w:val="24"/>
          <w:szCs w:val="24"/>
        </w:rPr>
        <w:t>”</w:t>
      </w:r>
      <w:r w:rsidRPr="00E24274">
        <w:rPr>
          <w:rFonts w:ascii="Times New Roman" w:hAnsi="Times New Roman"/>
          <w:sz w:val="24"/>
          <w:szCs w:val="24"/>
        </w:rPr>
        <w:t xml:space="preserve"> zdefiniowane w jej art. 3 lit. g. Definicja ta została wprowadzona wyłącznie na potrzeby art. 8 ust. 4 dyrektywy, określającego kompetencję walnego zgromadzenia do powoływania i odwoływania członków organu zarządzającego, a także organu nadzorczego, jeżeli zgodnie z przepisami prawa krajowego – tak jak w Polsce – jest to organ odrębny. Nie jest jednak konieczne przenoszenie definicji </w:t>
      </w:r>
      <w:r w:rsidR="00E24274">
        <w:rPr>
          <w:rFonts w:ascii="Times New Roman" w:hAnsi="Times New Roman"/>
          <w:sz w:val="24"/>
          <w:szCs w:val="24"/>
        </w:rPr>
        <w:t>„</w:t>
      </w:r>
      <w:r w:rsidRPr="00E24274">
        <w:rPr>
          <w:rFonts w:ascii="Times New Roman" w:hAnsi="Times New Roman"/>
          <w:sz w:val="24"/>
          <w:szCs w:val="24"/>
        </w:rPr>
        <w:t>dyrektora</w:t>
      </w:r>
      <w:r w:rsidR="00E24274">
        <w:rPr>
          <w:rFonts w:ascii="Times New Roman" w:hAnsi="Times New Roman"/>
          <w:sz w:val="24"/>
          <w:szCs w:val="24"/>
        </w:rPr>
        <w:t>”</w:t>
      </w:r>
      <w:r w:rsidRPr="00E24274">
        <w:rPr>
          <w:rFonts w:ascii="Times New Roman" w:hAnsi="Times New Roman"/>
          <w:sz w:val="24"/>
          <w:szCs w:val="24"/>
        </w:rPr>
        <w:t xml:space="preserve"> na grunt polskiej ustawy – wystarczające będzie wskazanie kompetencji walnego zebrania wobec członków obu tych organów, bez dodatkowego ich definiowania.</w:t>
      </w:r>
    </w:p>
    <w:p w:rsidR="0057371D" w:rsidRPr="00E24274" w:rsidRDefault="0057371D"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 xml:space="preserve">6. Dyrektywa CRM wymaga ponadto zdefiniowania </w:t>
      </w:r>
      <w:r w:rsidR="00E24274">
        <w:rPr>
          <w:rFonts w:ascii="Times New Roman" w:hAnsi="Times New Roman"/>
          <w:i/>
          <w:sz w:val="24"/>
          <w:szCs w:val="24"/>
        </w:rPr>
        <w:t>„</w:t>
      </w:r>
      <w:r w:rsidRPr="00E24274">
        <w:rPr>
          <w:rFonts w:ascii="Times New Roman" w:hAnsi="Times New Roman"/>
          <w:i/>
          <w:sz w:val="24"/>
          <w:szCs w:val="24"/>
        </w:rPr>
        <w:t>przychodów z praw</w:t>
      </w:r>
      <w:r w:rsidR="00E24274">
        <w:rPr>
          <w:rFonts w:ascii="Times New Roman" w:hAnsi="Times New Roman"/>
          <w:i/>
          <w:sz w:val="24"/>
          <w:szCs w:val="24"/>
        </w:rPr>
        <w:t>”</w:t>
      </w:r>
      <w:r w:rsidRPr="00E24274">
        <w:rPr>
          <w:rFonts w:ascii="Times New Roman" w:hAnsi="Times New Roman"/>
          <w:sz w:val="24"/>
          <w:szCs w:val="24"/>
        </w:rPr>
        <w:t xml:space="preserve"> jako środków</w:t>
      </w:r>
      <w:r w:rsidR="00B211F9" w:rsidRPr="00E24274">
        <w:rPr>
          <w:rFonts w:ascii="Times New Roman" w:hAnsi="Times New Roman"/>
          <w:sz w:val="24"/>
          <w:szCs w:val="24"/>
        </w:rPr>
        <w:t xml:space="preserve"> pieniężnych</w:t>
      </w:r>
      <w:r w:rsidRPr="00E24274">
        <w:rPr>
          <w:rFonts w:ascii="Times New Roman" w:hAnsi="Times New Roman"/>
          <w:sz w:val="24"/>
          <w:szCs w:val="24"/>
        </w:rPr>
        <w:t xml:space="preserve"> pobranych przez organizacje zbiorowego zarządzania na rzecz uprawnionych z tytułu przysługujących im praw wyłącznych, prawa do wynagrodzenia lub prawa do rekompensaty. Ta ostatnia kategoria dotyczy należności przysługujących </w:t>
      </w:r>
      <w:r w:rsidRPr="00E24274">
        <w:rPr>
          <w:rFonts w:ascii="Times New Roman" w:hAnsi="Times New Roman"/>
          <w:sz w:val="24"/>
          <w:szCs w:val="24"/>
        </w:rPr>
        <w:lastRenderedPageBreak/>
        <w:t>uprawnionym z tytułu dozwolonego użytku. W polskim prawie autorskim większość przypadków rekompensaty z tytułu dozwolonego użytku została uregulowana w formie prawa do wynagrodzenia (por. art. 25 ust. 2 i 4, art. 27</w:t>
      </w:r>
      <w:r w:rsidRPr="00E24274">
        <w:rPr>
          <w:rFonts w:ascii="Times New Roman" w:hAnsi="Times New Roman"/>
          <w:sz w:val="24"/>
          <w:szCs w:val="24"/>
          <w:vertAlign w:val="superscript"/>
        </w:rPr>
        <w:t>1</w:t>
      </w:r>
      <w:r w:rsidRPr="00E24274">
        <w:rPr>
          <w:rFonts w:ascii="Times New Roman" w:hAnsi="Times New Roman"/>
          <w:sz w:val="24"/>
          <w:szCs w:val="24"/>
        </w:rPr>
        <w:t xml:space="preserve"> ust. 2, art. 28 ust. 4 i 5, art. 33 pkt 3 pr. aut.). Wyjątek stanowią opłaty związane z </w:t>
      </w:r>
      <w:r w:rsidR="00ED0FD9">
        <w:rPr>
          <w:rFonts w:ascii="Times New Roman" w:hAnsi="Times New Roman"/>
          <w:sz w:val="24"/>
          <w:szCs w:val="24"/>
        </w:rPr>
        <w:t>dozwolonym użytkiem osobistym i </w:t>
      </w:r>
      <w:r w:rsidRPr="00E24274">
        <w:rPr>
          <w:rFonts w:ascii="Times New Roman" w:hAnsi="Times New Roman"/>
          <w:sz w:val="24"/>
          <w:szCs w:val="24"/>
        </w:rPr>
        <w:t xml:space="preserve">reprograficznym, określone w art. 20 i </w:t>
      </w:r>
      <w:r w:rsidR="005F2ECA">
        <w:rPr>
          <w:rFonts w:ascii="Times New Roman" w:hAnsi="Times New Roman"/>
          <w:sz w:val="24"/>
          <w:szCs w:val="24"/>
        </w:rPr>
        <w:t xml:space="preserve">art. </w:t>
      </w:r>
      <w:r w:rsidRPr="00E24274">
        <w:rPr>
          <w:rFonts w:ascii="Times New Roman" w:hAnsi="Times New Roman"/>
          <w:sz w:val="24"/>
          <w:szCs w:val="24"/>
        </w:rPr>
        <w:t>20</w:t>
      </w:r>
      <w:r w:rsidRPr="00E24274">
        <w:rPr>
          <w:rFonts w:ascii="Times New Roman" w:hAnsi="Times New Roman"/>
          <w:sz w:val="24"/>
          <w:szCs w:val="24"/>
          <w:vertAlign w:val="superscript"/>
        </w:rPr>
        <w:t>1</w:t>
      </w:r>
      <w:r w:rsidRPr="00E24274">
        <w:rPr>
          <w:rFonts w:ascii="Times New Roman" w:hAnsi="Times New Roman"/>
          <w:sz w:val="24"/>
          <w:szCs w:val="24"/>
        </w:rPr>
        <w:t xml:space="preserve"> pr. aut. oraz godziwa rekompensata z tytułu korzystania z utworów osieroconych (art. 35</w:t>
      </w:r>
      <w:r w:rsidRPr="00E24274">
        <w:rPr>
          <w:rFonts w:ascii="Times New Roman" w:hAnsi="Times New Roman"/>
          <w:sz w:val="24"/>
          <w:szCs w:val="24"/>
          <w:vertAlign w:val="superscript"/>
        </w:rPr>
        <w:t>8</w:t>
      </w:r>
      <w:r w:rsidRPr="00E24274">
        <w:rPr>
          <w:rFonts w:ascii="Times New Roman" w:hAnsi="Times New Roman"/>
          <w:sz w:val="24"/>
          <w:szCs w:val="24"/>
        </w:rPr>
        <w:t xml:space="preserve"> ust. 5 pr. aut.), przy czym w tym ostatnim przypadku jest ona dochodzona indywidualnie przez uprawnionego, a nie w drodze umów zbiorowych. Dlatego projektowana definicja </w:t>
      </w:r>
      <w:r w:rsidR="00E24274">
        <w:rPr>
          <w:rFonts w:ascii="Times New Roman" w:hAnsi="Times New Roman"/>
          <w:sz w:val="24"/>
          <w:szCs w:val="24"/>
        </w:rPr>
        <w:t>„</w:t>
      </w:r>
      <w:r w:rsidRPr="00E24274">
        <w:rPr>
          <w:rFonts w:ascii="Times New Roman" w:hAnsi="Times New Roman"/>
          <w:sz w:val="24"/>
          <w:szCs w:val="24"/>
        </w:rPr>
        <w:t>przychodów z praw</w:t>
      </w:r>
      <w:r w:rsidR="00E24274">
        <w:rPr>
          <w:rFonts w:ascii="Times New Roman" w:hAnsi="Times New Roman"/>
          <w:sz w:val="24"/>
          <w:szCs w:val="24"/>
        </w:rPr>
        <w:t>”</w:t>
      </w:r>
      <w:r w:rsidRPr="00E24274">
        <w:rPr>
          <w:rFonts w:ascii="Times New Roman" w:hAnsi="Times New Roman"/>
          <w:sz w:val="24"/>
          <w:szCs w:val="24"/>
        </w:rPr>
        <w:t xml:space="preserve"> (art. 3 ust. 1 pkt </w:t>
      </w:r>
      <w:r w:rsidR="007D6CB9" w:rsidRPr="00E24274">
        <w:rPr>
          <w:rFonts w:ascii="Times New Roman" w:hAnsi="Times New Roman"/>
          <w:sz w:val="24"/>
          <w:szCs w:val="24"/>
        </w:rPr>
        <w:t>6</w:t>
      </w:r>
      <w:r w:rsidRPr="00E24274">
        <w:rPr>
          <w:rFonts w:ascii="Times New Roman" w:hAnsi="Times New Roman"/>
          <w:sz w:val="24"/>
          <w:szCs w:val="24"/>
        </w:rPr>
        <w:t xml:space="preserve"> projektu) obejmie dwie kategorie środków należnych uprawnionym: wynagrodzenie (należna zarówno na podstawie licencji</w:t>
      </w:r>
      <w:r w:rsidR="005F2ECA">
        <w:rPr>
          <w:rFonts w:ascii="Times New Roman" w:hAnsi="Times New Roman"/>
          <w:sz w:val="24"/>
          <w:szCs w:val="24"/>
        </w:rPr>
        <w:t>,</w:t>
      </w:r>
      <w:r w:rsidRPr="00E24274">
        <w:rPr>
          <w:rFonts w:ascii="Times New Roman" w:hAnsi="Times New Roman"/>
          <w:sz w:val="24"/>
          <w:szCs w:val="24"/>
        </w:rPr>
        <w:t xml:space="preserve"> jak i z tytułu prawa do wynagrodzenia) oraz opłaty. Definicja ta uwzględni p</w:t>
      </w:r>
      <w:r w:rsidR="00ED0FD9">
        <w:rPr>
          <w:rFonts w:ascii="Times New Roman" w:hAnsi="Times New Roman"/>
          <w:sz w:val="24"/>
          <w:szCs w:val="24"/>
        </w:rPr>
        <w:t>onadto zasadę wynikającą z art. </w:t>
      </w:r>
      <w:r w:rsidRPr="00E24274">
        <w:rPr>
          <w:rFonts w:ascii="Times New Roman" w:hAnsi="Times New Roman"/>
          <w:sz w:val="24"/>
          <w:szCs w:val="24"/>
        </w:rPr>
        <w:t>11 ust. 3 i 4 dyrektywy CRM, zgodnie z którą podziałowi i wypłacie pomiędzy uprawnionych podlegają przychody z praw wraz z w</w:t>
      </w:r>
      <w:r w:rsidR="00ED0FD9">
        <w:rPr>
          <w:rFonts w:ascii="Times New Roman" w:hAnsi="Times New Roman"/>
          <w:sz w:val="24"/>
          <w:szCs w:val="24"/>
        </w:rPr>
        <w:t>szelkimi zyskami pochodzącymi z </w:t>
      </w:r>
      <w:r w:rsidRPr="00E24274">
        <w:rPr>
          <w:rFonts w:ascii="Times New Roman" w:hAnsi="Times New Roman"/>
          <w:sz w:val="24"/>
          <w:szCs w:val="24"/>
        </w:rPr>
        <w:t>ich inwestowania. W konsekwencji za przychody z praw zostaną uznane także pożytki, jakie środki pobrane przez organizację przyniosły do chwili ich wypłaty uprawnionym.</w:t>
      </w:r>
    </w:p>
    <w:p w:rsidR="0057371D" w:rsidRPr="00E24274" w:rsidRDefault="0057371D"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 xml:space="preserve">7. Dla zapewnienia jak największej precyzji stosowania przepisów dotyczących przychodów z praw projektowana ustawa wprowadzi dodatkowo definicje ich </w:t>
      </w:r>
      <w:r w:rsidR="00E24274">
        <w:rPr>
          <w:rFonts w:ascii="Times New Roman" w:hAnsi="Times New Roman"/>
          <w:i/>
          <w:sz w:val="24"/>
          <w:szCs w:val="24"/>
        </w:rPr>
        <w:t>„</w:t>
      </w:r>
      <w:r w:rsidRPr="00E24274">
        <w:rPr>
          <w:rFonts w:ascii="Times New Roman" w:hAnsi="Times New Roman"/>
          <w:i/>
          <w:sz w:val="24"/>
          <w:szCs w:val="24"/>
        </w:rPr>
        <w:t>podziału</w:t>
      </w:r>
      <w:r w:rsidR="00E24274">
        <w:rPr>
          <w:rFonts w:ascii="Times New Roman" w:hAnsi="Times New Roman"/>
          <w:i/>
          <w:sz w:val="24"/>
          <w:szCs w:val="24"/>
        </w:rPr>
        <w:t>”</w:t>
      </w:r>
      <w:r w:rsidRPr="00E24274">
        <w:rPr>
          <w:rFonts w:ascii="Times New Roman" w:hAnsi="Times New Roman"/>
          <w:sz w:val="24"/>
          <w:szCs w:val="24"/>
        </w:rPr>
        <w:t xml:space="preserve"> i </w:t>
      </w:r>
      <w:r w:rsidR="00E24274">
        <w:rPr>
          <w:rFonts w:ascii="Times New Roman" w:hAnsi="Times New Roman"/>
          <w:i/>
          <w:sz w:val="24"/>
          <w:szCs w:val="24"/>
        </w:rPr>
        <w:t>„</w:t>
      </w:r>
      <w:r w:rsidRPr="00E24274">
        <w:rPr>
          <w:rFonts w:ascii="Times New Roman" w:hAnsi="Times New Roman"/>
          <w:i/>
          <w:sz w:val="24"/>
          <w:szCs w:val="24"/>
        </w:rPr>
        <w:t>wypłaty</w:t>
      </w:r>
      <w:r w:rsidR="00E24274">
        <w:rPr>
          <w:rFonts w:ascii="Times New Roman" w:hAnsi="Times New Roman"/>
          <w:i/>
          <w:sz w:val="24"/>
          <w:szCs w:val="24"/>
        </w:rPr>
        <w:t>”</w:t>
      </w:r>
      <w:r w:rsidRPr="00E24274">
        <w:rPr>
          <w:rFonts w:ascii="Times New Roman" w:hAnsi="Times New Roman"/>
          <w:sz w:val="24"/>
          <w:szCs w:val="24"/>
        </w:rPr>
        <w:t xml:space="preserve"> (art. 3 ust. 1 pkt </w:t>
      </w:r>
      <w:r w:rsidR="007D6CB9" w:rsidRPr="00E24274">
        <w:rPr>
          <w:rFonts w:ascii="Times New Roman" w:hAnsi="Times New Roman"/>
          <w:sz w:val="24"/>
          <w:szCs w:val="24"/>
        </w:rPr>
        <w:t xml:space="preserve">7 </w:t>
      </w:r>
      <w:r w:rsidRPr="00E24274">
        <w:rPr>
          <w:rFonts w:ascii="Times New Roman" w:hAnsi="Times New Roman"/>
          <w:sz w:val="24"/>
          <w:szCs w:val="24"/>
        </w:rPr>
        <w:t xml:space="preserve">i </w:t>
      </w:r>
      <w:r w:rsidR="007D6CB9" w:rsidRPr="00E24274">
        <w:rPr>
          <w:rFonts w:ascii="Times New Roman" w:hAnsi="Times New Roman"/>
          <w:sz w:val="24"/>
          <w:szCs w:val="24"/>
        </w:rPr>
        <w:t>8</w:t>
      </w:r>
      <w:r w:rsidRPr="00E24274">
        <w:rPr>
          <w:rFonts w:ascii="Times New Roman" w:hAnsi="Times New Roman"/>
          <w:sz w:val="24"/>
          <w:szCs w:val="24"/>
        </w:rPr>
        <w:t xml:space="preserve"> projektu). Zaproponowana terminologia pozwoli na odróżnienie dwóch etapów procesu przekazywania środków uprawnionym – ustalenia (przypisania) przychodów należnych poszczególnym uprawnionym </w:t>
      </w:r>
      <w:r w:rsidRPr="00E24274">
        <w:rPr>
          <w:rFonts w:ascii="Times New Roman" w:hAnsi="Times New Roman"/>
          <w:i/>
          <w:sz w:val="24"/>
          <w:szCs w:val="24"/>
        </w:rPr>
        <w:t>(</w:t>
      </w:r>
      <w:r w:rsidR="00E24274">
        <w:rPr>
          <w:rFonts w:ascii="Times New Roman" w:hAnsi="Times New Roman"/>
          <w:i/>
          <w:sz w:val="24"/>
          <w:szCs w:val="24"/>
        </w:rPr>
        <w:t>„</w:t>
      </w:r>
      <w:r w:rsidRPr="00E24274">
        <w:rPr>
          <w:rFonts w:ascii="Times New Roman" w:hAnsi="Times New Roman"/>
          <w:i/>
          <w:sz w:val="24"/>
          <w:szCs w:val="24"/>
        </w:rPr>
        <w:t>podział</w:t>
      </w:r>
      <w:r w:rsidR="00E24274">
        <w:rPr>
          <w:rFonts w:ascii="Times New Roman" w:hAnsi="Times New Roman"/>
          <w:i/>
          <w:sz w:val="24"/>
          <w:szCs w:val="24"/>
        </w:rPr>
        <w:t>”</w:t>
      </w:r>
      <w:r w:rsidRPr="00E24274">
        <w:rPr>
          <w:rFonts w:ascii="Times New Roman" w:hAnsi="Times New Roman"/>
          <w:sz w:val="24"/>
          <w:szCs w:val="24"/>
        </w:rPr>
        <w:t xml:space="preserve">) oraz dokonanego zgodnie z tym ustaleniem faktycznego przekazania środków uprawnionym </w:t>
      </w:r>
      <w:r w:rsidRPr="00E24274">
        <w:rPr>
          <w:rFonts w:ascii="Times New Roman" w:hAnsi="Times New Roman"/>
          <w:i/>
          <w:sz w:val="24"/>
          <w:szCs w:val="24"/>
        </w:rPr>
        <w:t>(</w:t>
      </w:r>
      <w:r w:rsidR="00E24274">
        <w:rPr>
          <w:rFonts w:ascii="Times New Roman" w:hAnsi="Times New Roman"/>
          <w:i/>
          <w:sz w:val="24"/>
          <w:szCs w:val="24"/>
        </w:rPr>
        <w:t>„</w:t>
      </w:r>
      <w:r w:rsidRPr="00E24274">
        <w:rPr>
          <w:rFonts w:ascii="Times New Roman" w:hAnsi="Times New Roman"/>
          <w:i/>
          <w:sz w:val="24"/>
          <w:szCs w:val="24"/>
        </w:rPr>
        <w:t>wypłata</w:t>
      </w:r>
      <w:r w:rsidR="00E24274">
        <w:rPr>
          <w:rFonts w:ascii="Times New Roman" w:hAnsi="Times New Roman"/>
          <w:i/>
          <w:sz w:val="24"/>
          <w:szCs w:val="24"/>
        </w:rPr>
        <w:t>”</w:t>
      </w:r>
      <w:r w:rsidRPr="00E24274">
        <w:rPr>
          <w:rFonts w:ascii="Times New Roman" w:hAnsi="Times New Roman"/>
          <w:sz w:val="24"/>
          <w:szCs w:val="24"/>
        </w:rPr>
        <w:t>).</w:t>
      </w:r>
    </w:p>
    <w:p w:rsidR="0057371D" w:rsidRPr="00E24274" w:rsidRDefault="0057371D"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 xml:space="preserve">8. W ślad za art. 3 lit. j dyrektywy CRM wprowadzona zostanie także definicja </w:t>
      </w:r>
      <w:r w:rsidR="00E24274">
        <w:rPr>
          <w:rFonts w:ascii="Times New Roman" w:hAnsi="Times New Roman"/>
          <w:i/>
          <w:sz w:val="24"/>
          <w:szCs w:val="24"/>
        </w:rPr>
        <w:t>„</w:t>
      </w:r>
      <w:r w:rsidRPr="00E24274">
        <w:rPr>
          <w:rFonts w:ascii="Times New Roman" w:hAnsi="Times New Roman"/>
          <w:i/>
          <w:sz w:val="24"/>
          <w:szCs w:val="24"/>
        </w:rPr>
        <w:t>umowy o reprezentacji</w:t>
      </w:r>
      <w:r w:rsidR="00E24274">
        <w:rPr>
          <w:rFonts w:ascii="Times New Roman" w:hAnsi="Times New Roman"/>
          <w:i/>
          <w:sz w:val="24"/>
          <w:szCs w:val="24"/>
        </w:rPr>
        <w:t>”</w:t>
      </w:r>
      <w:r w:rsidRPr="00E24274">
        <w:rPr>
          <w:rFonts w:ascii="Times New Roman" w:hAnsi="Times New Roman"/>
          <w:sz w:val="24"/>
          <w:szCs w:val="24"/>
        </w:rPr>
        <w:t xml:space="preserve"> (projektowany art. 3 ust. 1 pkt </w:t>
      </w:r>
      <w:r w:rsidR="007D6CB9" w:rsidRPr="00E24274">
        <w:rPr>
          <w:rFonts w:ascii="Times New Roman" w:hAnsi="Times New Roman"/>
          <w:sz w:val="24"/>
          <w:szCs w:val="24"/>
        </w:rPr>
        <w:t>9</w:t>
      </w:r>
      <w:r w:rsidRPr="00E24274">
        <w:rPr>
          <w:rFonts w:ascii="Times New Roman" w:hAnsi="Times New Roman"/>
          <w:sz w:val="24"/>
          <w:szCs w:val="24"/>
        </w:rPr>
        <w:t xml:space="preserve">) jako umowy, na mocy które jedna organizacja upoważnia drugą </w:t>
      </w:r>
      <w:r w:rsidR="007D6CB9" w:rsidRPr="00E24274">
        <w:rPr>
          <w:rFonts w:ascii="Times New Roman" w:hAnsi="Times New Roman"/>
          <w:sz w:val="24"/>
          <w:szCs w:val="24"/>
        </w:rPr>
        <w:t xml:space="preserve">organizację, w tym </w:t>
      </w:r>
      <w:r w:rsidR="00351A1F" w:rsidRPr="00E24274">
        <w:rPr>
          <w:rFonts w:ascii="Times New Roman" w:hAnsi="Times New Roman"/>
          <w:sz w:val="24"/>
          <w:szCs w:val="24"/>
        </w:rPr>
        <w:t xml:space="preserve">zagraniczną, </w:t>
      </w:r>
      <w:r w:rsidRPr="00E24274">
        <w:rPr>
          <w:rFonts w:ascii="Times New Roman" w:hAnsi="Times New Roman"/>
          <w:sz w:val="24"/>
          <w:szCs w:val="24"/>
        </w:rPr>
        <w:t>do zbiorowego zarządzania reprezentowanymi przez siebie prawami w zakresie i na zasadach określonych w tej umowie. Definicja ta obejmie więc zarówno umowy o jednostronnej</w:t>
      </w:r>
      <w:r w:rsidR="005F2ECA">
        <w:rPr>
          <w:rFonts w:ascii="Times New Roman" w:hAnsi="Times New Roman"/>
          <w:sz w:val="24"/>
          <w:szCs w:val="24"/>
        </w:rPr>
        <w:t>,</w:t>
      </w:r>
      <w:r w:rsidRPr="00E24274">
        <w:rPr>
          <w:rFonts w:ascii="Times New Roman" w:hAnsi="Times New Roman"/>
          <w:sz w:val="24"/>
          <w:szCs w:val="24"/>
        </w:rPr>
        <w:t xml:space="preserve"> jak i dwustronnej reprezentacji, czyli dwie sytuacje spotykane w praktyce zbiorowego zarządu. Uwzględniony zostanie też wprowadzony w polskiej ustawie podział na krajowe i zagraniczne organizacje – prze</w:t>
      </w:r>
      <w:r w:rsidR="00BB07D2">
        <w:rPr>
          <w:rFonts w:ascii="Times New Roman" w:hAnsi="Times New Roman"/>
          <w:sz w:val="24"/>
          <w:szCs w:val="24"/>
        </w:rPr>
        <w:t>pisy dyrektywy dotyczące umów o </w:t>
      </w:r>
      <w:r w:rsidRPr="00E24274">
        <w:rPr>
          <w:rFonts w:ascii="Times New Roman" w:hAnsi="Times New Roman"/>
          <w:sz w:val="24"/>
          <w:szCs w:val="24"/>
        </w:rPr>
        <w:t xml:space="preserve">reprezentacji dotyczą bowiem relacji pomiędzy wszystkimi organizacjami mającymi siedzibę na terytorium Europejskiego Obszaru Gospodarczego. Zgodnie z dyrektywą </w:t>
      </w:r>
      <w:r w:rsidRPr="00E24274">
        <w:rPr>
          <w:rFonts w:ascii="Times New Roman" w:hAnsi="Times New Roman"/>
          <w:sz w:val="24"/>
          <w:szCs w:val="24"/>
        </w:rPr>
        <w:lastRenderedPageBreak/>
        <w:t xml:space="preserve">umową o reprezentacji będzie też umowa upoważniająca do udzielania licencji wieloterytorialnych, o której mowa w art. 57 i </w:t>
      </w:r>
      <w:r w:rsidR="005F2ECA">
        <w:rPr>
          <w:rFonts w:ascii="Times New Roman" w:hAnsi="Times New Roman"/>
          <w:sz w:val="24"/>
          <w:szCs w:val="24"/>
        </w:rPr>
        <w:t xml:space="preserve">art. </w:t>
      </w:r>
      <w:r w:rsidRPr="00E24274">
        <w:rPr>
          <w:rFonts w:ascii="Times New Roman" w:hAnsi="Times New Roman"/>
          <w:sz w:val="24"/>
          <w:szCs w:val="24"/>
        </w:rPr>
        <w:t>58 projektowanej ustawy.</w:t>
      </w:r>
    </w:p>
    <w:p w:rsidR="0057371D" w:rsidRPr="00E24274" w:rsidRDefault="0057371D"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 xml:space="preserve">9. Podobnie jak w art. 3 lit. k dyrektywy CRM zostanie również zdefiniowany </w:t>
      </w:r>
      <w:r w:rsidR="00E24274">
        <w:rPr>
          <w:rFonts w:ascii="Times New Roman" w:hAnsi="Times New Roman"/>
          <w:i/>
          <w:sz w:val="24"/>
          <w:szCs w:val="24"/>
        </w:rPr>
        <w:t>„</w:t>
      </w:r>
      <w:r w:rsidRPr="00E24274">
        <w:rPr>
          <w:rFonts w:ascii="Times New Roman" w:hAnsi="Times New Roman"/>
          <w:i/>
          <w:sz w:val="24"/>
          <w:szCs w:val="24"/>
        </w:rPr>
        <w:t>użytkownik</w:t>
      </w:r>
      <w:r w:rsidR="00E24274">
        <w:rPr>
          <w:rFonts w:ascii="Times New Roman" w:hAnsi="Times New Roman"/>
          <w:i/>
          <w:sz w:val="24"/>
          <w:szCs w:val="24"/>
        </w:rPr>
        <w:t>”</w:t>
      </w:r>
      <w:r w:rsidRPr="00E24274">
        <w:rPr>
          <w:rFonts w:ascii="Times New Roman" w:hAnsi="Times New Roman"/>
          <w:sz w:val="24"/>
          <w:szCs w:val="24"/>
        </w:rPr>
        <w:t xml:space="preserve"> (projektowany art. 3 ust. 1 pkt 1</w:t>
      </w:r>
      <w:r w:rsidR="00351A1F" w:rsidRPr="00E24274">
        <w:rPr>
          <w:rFonts w:ascii="Times New Roman" w:hAnsi="Times New Roman"/>
          <w:sz w:val="24"/>
          <w:szCs w:val="24"/>
        </w:rPr>
        <w:t>0</w:t>
      </w:r>
      <w:r w:rsidRPr="00E24274">
        <w:rPr>
          <w:rFonts w:ascii="Times New Roman" w:hAnsi="Times New Roman"/>
          <w:sz w:val="24"/>
          <w:szCs w:val="24"/>
        </w:rPr>
        <w:t>). Podstawowym kryterium uznania za użytkownika będzie więc eksploatacja utworów lub przedmiotów praw pokrewnych, wymagająca zgody uprawnionych lub zapłaty na ich</w:t>
      </w:r>
      <w:r w:rsidR="00BB07D2">
        <w:rPr>
          <w:rFonts w:ascii="Times New Roman" w:hAnsi="Times New Roman"/>
          <w:sz w:val="24"/>
          <w:szCs w:val="24"/>
        </w:rPr>
        <w:t xml:space="preserve"> rzecz wynagrodzenia. Zgodnie z </w:t>
      </w:r>
      <w:r w:rsidRPr="00E24274">
        <w:rPr>
          <w:rFonts w:ascii="Times New Roman" w:hAnsi="Times New Roman"/>
          <w:sz w:val="24"/>
          <w:szCs w:val="24"/>
        </w:rPr>
        <w:t xml:space="preserve">dyrektywą CRM za użytkownika powinien być także uznany podmiot objęty obowiązkiem zapłaty rekompensaty z tytułu dozwolonego użytku. Na gruncie polskich przepisów oznacza to więc konieczność objęcia definicją użytkownika podmiotu zobowiązanego do uiszczenia opłat na podstawie art. 20 i </w:t>
      </w:r>
      <w:r w:rsidR="005F2ECA">
        <w:rPr>
          <w:rFonts w:ascii="Times New Roman" w:hAnsi="Times New Roman"/>
          <w:sz w:val="24"/>
          <w:szCs w:val="24"/>
        </w:rPr>
        <w:t xml:space="preserve">art. </w:t>
      </w:r>
      <w:r w:rsidRPr="00E24274">
        <w:rPr>
          <w:rFonts w:ascii="Times New Roman" w:hAnsi="Times New Roman"/>
          <w:sz w:val="24"/>
          <w:szCs w:val="24"/>
        </w:rPr>
        <w:t>20</w:t>
      </w:r>
      <w:r w:rsidRPr="00E24274">
        <w:rPr>
          <w:rFonts w:ascii="Times New Roman" w:hAnsi="Times New Roman"/>
          <w:sz w:val="24"/>
          <w:szCs w:val="24"/>
          <w:vertAlign w:val="superscript"/>
        </w:rPr>
        <w:t>1</w:t>
      </w:r>
      <w:r w:rsidRPr="00E24274">
        <w:rPr>
          <w:rFonts w:ascii="Times New Roman" w:hAnsi="Times New Roman"/>
          <w:sz w:val="24"/>
          <w:szCs w:val="24"/>
        </w:rPr>
        <w:t xml:space="preserve"> pr. aut., a więc producenta lub importera urządzeń służących do kopiowania utworów oraz producenta lub importera czystych nośników, a także właścicieli punktów kserograficznych.</w:t>
      </w:r>
    </w:p>
    <w:p w:rsidR="0057371D" w:rsidRPr="00E24274" w:rsidRDefault="0057371D"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 xml:space="preserve">Nie jest natomiast konieczne przenoszenie zawartego w dyrektywie wyłączenia, zgodnie z którym użytkownikiem nie jest osoba działająca w charakterze konsumenta. Status konsumenta nie ma bowiem znaczenia na gruncie zasad prawa autorskiego – istotne jest, czy dana osoba dokonuje eksploatacji wiążącej się z koniecznością uzyskania licencji lub zapłaty wynagrodzenia. Czynności podejmowane przez konsumenta, a więc np. zwielokrotnienie albo odtworzenie utworu na własne potrzeby, będą się zazwyczaj mieścić w dozwolonym użytku osobistym (art. 23 pr. aut.), przez co przewidziane w dyrektywie wyłączenie konsumentów z definicji </w:t>
      </w:r>
      <w:r w:rsidR="00E24274">
        <w:rPr>
          <w:rFonts w:ascii="Times New Roman" w:hAnsi="Times New Roman"/>
          <w:sz w:val="24"/>
          <w:szCs w:val="24"/>
        </w:rPr>
        <w:t>„</w:t>
      </w:r>
      <w:r w:rsidRPr="00E24274">
        <w:rPr>
          <w:rFonts w:ascii="Times New Roman" w:hAnsi="Times New Roman"/>
          <w:sz w:val="24"/>
          <w:szCs w:val="24"/>
        </w:rPr>
        <w:t>użytkownika</w:t>
      </w:r>
      <w:r w:rsidR="00E24274">
        <w:rPr>
          <w:rFonts w:ascii="Times New Roman" w:hAnsi="Times New Roman"/>
          <w:sz w:val="24"/>
          <w:szCs w:val="24"/>
        </w:rPr>
        <w:t>”</w:t>
      </w:r>
      <w:r w:rsidRPr="00E24274">
        <w:rPr>
          <w:rFonts w:ascii="Times New Roman" w:hAnsi="Times New Roman"/>
          <w:sz w:val="24"/>
          <w:szCs w:val="24"/>
        </w:rPr>
        <w:t xml:space="preserve"> zostanie zrealizowane.</w:t>
      </w:r>
    </w:p>
    <w:p w:rsidR="0057371D" w:rsidRPr="00E24274" w:rsidRDefault="0057371D"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10. Zdefiniowania wymagają ponadto dwa terminy używane w przepisach dotyczących licencji wieloterytorialnych, które stanowić będą implementację Tytułu III dyrektywy.</w:t>
      </w:r>
    </w:p>
    <w:p w:rsidR="0057371D" w:rsidRPr="00E24274" w:rsidRDefault="0057371D"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 xml:space="preserve">Po pierwsze, na potrzeby tych przepisów </w:t>
      </w:r>
      <w:r w:rsidR="00E24274">
        <w:rPr>
          <w:rFonts w:ascii="Times New Roman" w:hAnsi="Times New Roman"/>
          <w:i/>
          <w:sz w:val="24"/>
          <w:szCs w:val="24"/>
        </w:rPr>
        <w:t>„</w:t>
      </w:r>
      <w:r w:rsidRPr="00E24274">
        <w:rPr>
          <w:rFonts w:ascii="Times New Roman" w:hAnsi="Times New Roman"/>
          <w:i/>
          <w:sz w:val="24"/>
          <w:szCs w:val="24"/>
        </w:rPr>
        <w:t>repertuarem</w:t>
      </w:r>
      <w:r w:rsidR="00E24274">
        <w:rPr>
          <w:rFonts w:ascii="Times New Roman" w:hAnsi="Times New Roman"/>
          <w:i/>
          <w:sz w:val="24"/>
          <w:szCs w:val="24"/>
        </w:rPr>
        <w:t>”</w:t>
      </w:r>
      <w:r w:rsidRPr="00E24274">
        <w:rPr>
          <w:rFonts w:ascii="Times New Roman" w:hAnsi="Times New Roman"/>
          <w:sz w:val="24"/>
          <w:szCs w:val="24"/>
        </w:rPr>
        <w:t xml:space="preserve"> będą utwory, do których prawami zbiorowo zarządza organizacja zbiorowego zarządzania prawami autorskimi (projektowany art. 3 ust. 1 pkt </w:t>
      </w:r>
      <w:r w:rsidR="00351A1F" w:rsidRPr="00E24274">
        <w:rPr>
          <w:rFonts w:ascii="Times New Roman" w:hAnsi="Times New Roman"/>
          <w:sz w:val="24"/>
          <w:szCs w:val="24"/>
        </w:rPr>
        <w:t>11</w:t>
      </w:r>
      <w:r w:rsidRPr="00E24274">
        <w:rPr>
          <w:rFonts w:ascii="Times New Roman" w:hAnsi="Times New Roman"/>
          <w:sz w:val="24"/>
          <w:szCs w:val="24"/>
        </w:rPr>
        <w:t>). Definicja ta – w ślad za art. 3 lit. l dyrektywy – nie obejmuje przedmiotów praw pokrewnych, jako że zharmonizowane w dyrektywie zasady udzielania licencji wieloterytorialnych dotyczą tylko praw autorskich.</w:t>
      </w:r>
    </w:p>
    <w:p w:rsidR="0057371D" w:rsidRPr="00E24274" w:rsidRDefault="0057371D"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 xml:space="preserve">Po drugie, wprowadzona zostanie definicja </w:t>
      </w:r>
      <w:r w:rsidR="00E24274">
        <w:rPr>
          <w:rFonts w:ascii="Times New Roman" w:hAnsi="Times New Roman"/>
          <w:i/>
          <w:sz w:val="24"/>
          <w:szCs w:val="24"/>
        </w:rPr>
        <w:t>„</w:t>
      </w:r>
      <w:r w:rsidRPr="00E24274">
        <w:rPr>
          <w:rFonts w:ascii="Times New Roman" w:hAnsi="Times New Roman"/>
          <w:i/>
          <w:sz w:val="24"/>
          <w:szCs w:val="24"/>
        </w:rPr>
        <w:t>licencji wieloterytorialnej</w:t>
      </w:r>
      <w:r w:rsidR="00E24274">
        <w:rPr>
          <w:rFonts w:ascii="Times New Roman" w:hAnsi="Times New Roman"/>
          <w:i/>
          <w:sz w:val="24"/>
          <w:szCs w:val="24"/>
        </w:rPr>
        <w:t>”</w:t>
      </w:r>
      <w:r w:rsidRPr="00E24274">
        <w:rPr>
          <w:rFonts w:ascii="Times New Roman" w:hAnsi="Times New Roman"/>
          <w:sz w:val="24"/>
          <w:szCs w:val="24"/>
        </w:rPr>
        <w:t xml:space="preserve"> (projektowany art. 3 ust. 1 pkt 1</w:t>
      </w:r>
      <w:r w:rsidR="00351A1F" w:rsidRPr="00E24274">
        <w:rPr>
          <w:rFonts w:ascii="Times New Roman" w:hAnsi="Times New Roman"/>
          <w:sz w:val="24"/>
          <w:szCs w:val="24"/>
        </w:rPr>
        <w:t>2</w:t>
      </w:r>
      <w:r w:rsidRPr="00E24274">
        <w:rPr>
          <w:rFonts w:ascii="Times New Roman" w:hAnsi="Times New Roman"/>
          <w:sz w:val="24"/>
          <w:szCs w:val="24"/>
        </w:rPr>
        <w:t xml:space="preserve">), która została skonstruowana wyłącznie na potrzeby projektowanej ustawy. Dla uproszczenia brzmienia przepisów ustawowych w tym zakresie definicja ta łączy elementy zawarte w dyrektywie w definicji </w:t>
      </w:r>
      <w:r w:rsidR="00E24274">
        <w:rPr>
          <w:rFonts w:ascii="Times New Roman" w:hAnsi="Times New Roman"/>
          <w:sz w:val="24"/>
          <w:szCs w:val="24"/>
        </w:rPr>
        <w:t>„</w:t>
      </w:r>
      <w:r w:rsidRPr="00E24274">
        <w:rPr>
          <w:rFonts w:ascii="Times New Roman" w:hAnsi="Times New Roman"/>
          <w:sz w:val="24"/>
          <w:szCs w:val="24"/>
        </w:rPr>
        <w:t>licencji wieloterytorialnej</w:t>
      </w:r>
      <w:r w:rsidR="00E24274">
        <w:rPr>
          <w:rFonts w:ascii="Times New Roman" w:hAnsi="Times New Roman"/>
          <w:sz w:val="24"/>
          <w:szCs w:val="24"/>
        </w:rPr>
        <w:t>”</w:t>
      </w:r>
      <w:r w:rsidRPr="00E24274">
        <w:rPr>
          <w:rFonts w:ascii="Times New Roman" w:hAnsi="Times New Roman"/>
          <w:sz w:val="24"/>
          <w:szCs w:val="24"/>
        </w:rPr>
        <w:t xml:space="preserve"> (art. 3 </w:t>
      </w:r>
      <w:r w:rsidRPr="00E24274">
        <w:rPr>
          <w:rFonts w:ascii="Times New Roman" w:hAnsi="Times New Roman"/>
          <w:sz w:val="24"/>
          <w:szCs w:val="24"/>
        </w:rPr>
        <w:lastRenderedPageBreak/>
        <w:t>lit.</w:t>
      </w:r>
      <w:r w:rsidR="00BB07D2">
        <w:rPr>
          <w:rFonts w:ascii="Times New Roman" w:hAnsi="Times New Roman"/>
          <w:sz w:val="24"/>
          <w:szCs w:val="24"/>
        </w:rPr>
        <w:t> </w:t>
      </w:r>
      <w:r w:rsidRPr="00E24274">
        <w:rPr>
          <w:rFonts w:ascii="Times New Roman" w:hAnsi="Times New Roman"/>
          <w:sz w:val="24"/>
          <w:szCs w:val="24"/>
        </w:rPr>
        <w:t xml:space="preserve">m), który to termin także w dyrektywie nie jest używany w żadnym innym kontekście niż na potrzeby Tytułu III, oraz definicji </w:t>
      </w:r>
      <w:r w:rsidR="00E24274">
        <w:rPr>
          <w:rFonts w:ascii="Times New Roman" w:hAnsi="Times New Roman"/>
          <w:sz w:val="24"/>
          <w:szCs w:val="24"/>
        </w:rPr>
        <w:t>„</w:t>
      </w:r>
      <w:r w:rsidRPr="00E24274">
        <w:rPr>
          <w:rFonts w:ascii="Times New Roman" w:hAnsi="Times New Roman"/>
          <w:sz w:val="24"/>
          <w:szCs w:val="24"/>
        </w:rPr>
        <w:t xml:space="preserve">praw do utworów muzycznych dla wykorzystania </w:t>
      </w:r>
      <w:r w:rsidRPr="00E24274">
        <w:rPr>
          <w:rFonts w:ascii="Times New Roman" w:hAnsi="Times New Roman"/>
          <w:i/>
          <w:sz w:val="24"/>
          <w:szCs w:val="24"/>
        </w:rPr>
        <w:t>online</w:t>
      </w:r>
      <w:r w:rsidR="00E24274">
        <w:rPr>
          <w:rFonts w:ascii="Times New Roman" w:hAnsi="Times New Roman"/>
          <w:sz w:val="24"/>
          <w:szCs w:val="24"/>
        </w:rPr>
        <w:t>”</w:t>
      </w:r>
      <w:r w:rsidRPr="00E24274">
        <w:rPr>
          <w:rFonts w:ascii="Times New Roman" w:hAnsi="Times New Roman"/>
          <w:sz w:val="24"/>
          <w:szCs w:val="24"/>
        </w:rPr>
        <w:t xml:space="preserve"> (art. 3 lit. n). Termin </w:t>
      </w:r>
      <w:r w:rsidR="00E24274">
        <w:rPr>
          <w:rFonts w:ascii="Times New Roman" w:hAnsi="Times New Roman"/>
          <w:sz w:val="24"/>
          <w:szCs w:val="24"/>
        </w:rPr>
        <w:t>„</w:t>
      </w:r>
      <w:r w:rsidRPr="00E24274">
        <w:rPr>
          <w:rFonts w:ascii="Times New Roman" w:hAnsi="Times New Roman"/>
          <w:sz w:val="24"/>
          <w:szCs w:val="24"/>
        </w:rPr>
        <w:t>licencja</w:t>
      </w:r>
      <w:r w:rsidR="00E24274">
        <w:rPr>
          <w:rFonts w:ascii="Times New Roman" w:hAnsi="Times New Roman"/>
          <w:sz w:val="24"/>
          <w:szCs w:val="24"/>
        </w:rPr>
        <w:t>”</w:t>
      </w:r>
      <w:r w:rsidRPr="00E24274">
        <w:rPr>
          <w:rFonts w:ascii="Times New Roman" w:hAnsi="Times New Roman"/>
          <w:sz w:val="24"/>
          <w:szCs w:val="24"/>
        </w:rPr>
        <w:t xml:space="preserve"> będzie rozumiany tak jak na gruncie art. 41 ust. 2 pr. aut., a więc jako umowa</w:t>
      </w:r>
      <w:r w:rsidR="00BB07D2">
        <w:rPr>
          <w:rFonts w:ascii="Times New Roman" w:hAnsi="Times New Roman"/>
          <w:sz w:val="24"/>
          <w:szCs w:val="24"/>
        </w:rPr>
        <w:t xml:space="preserve"> upoważniająca do korzystania z </w:t>
      </w:r>
      <w:r w:rsidRPr="00E24274">
        <w:rPr>
          <w:rFonts w:ascii="Times New Roman" w:hAnsi="Times New Roman"/>
          <w:sz w:val="24"/>
          <w:szCs w:val="24"/>
        </w:rPr>
        <w:t>utworów – z uwagi na jej wieloterytorialny charakter – na terytorium więcej niż jednego państwa członkowskiego</w:t>
      </w:r>
      <w:r w:rsidR="00351A1F" w:rsidRPr="00E24274">
        <w:rPr>
          <w:rFonts w:ascii="Times New Roman" w:hAnsi="Times New Roman"/>
          <w:sz w:val="24"/>
          <w:szCs w:val="24"/>
        </w:rPr>
        <w:t xml:space="preserve"> Unii Europejskiej lub państwa członkowskiego</w:t>
      </w:r>
      <w:r w:rsidRPr="00E24274">
        <w:rPr>
          <w:rFonts w:ascii="Times New Roman" w:hAnsi="Times New Roman"/>
          <w:sz w:val="24"/>
          <w:szCs w:val="24"/>
        </w:rPr>
        <w:t xml:space="preserve"> </w:t>
      </w:r>
      <w:r w:rsidR="00351A1F" w:rsidRPr="00E24274">
        <w:rPr>
          <w:rFonts w:ascii="Times New Roman" w:hAnsi="Times New Roman"/>
          <w:sz w:val="24"/>
          <w:szCs w:val="24"/>
        </w:rPr>
        <w:t xml:space="preserve">Europejskiego Porozumienia o Wolnym Handlu (EFTA) – strony umowy </w:t>
      </w:r>
      <w:r w:rsidR="00BB07D2">
        <w:rPr>
          <w:rFonts w:ascii="Times New Roman" w:hAnsi="Times New Roman"/>
          <w:sz w:val="24"/>
          <w:szCs w:val="24"/>
        </w:rPr>
        <w:t>o </w:t>
      </w:r>
      <w:r w:rsidR="00351A1F" w:rsidRPr="00E24274">
        <w:rPr>
          <w:rFonts w:ascii="Times New Roman" w:hAnsi="Times New Roman"/>
          <w:sz w:val="24"/>
          <w:szCs w:val="24"/>
        </w:rPr>
        <w:t xml:space="preserve">Europejskim </w:t>
      </w:r>
      <w:r w:rsidRPr="00E24274">
        <w:rPr>
          <w:rFonts w:ascii="Times New Roman" w:hAnsi="Times New Roman"/>
          <w:sz w:val="24"/>
          <w:szCs w:val="24"/>
        </w:rPr>
        <w:t>Obszar</w:t>
      </w:r>
      <w:r w:rsidR="00351A1F" w:rsidRPr="00E24274">
        <w:rPr>
          <w:rFonts w:ascii="Times New Roman" w:hAnsi="Times New Roman"/>
          <w:sz w:val="24"/>
          <w:szCs w:val="24"/>
        </w:rPr>
        <w:t>ze</w:t>
      </w:r>
      <w:r w:rsidRPr="00E24274">
        <w:rPr>
          <w:rFonts w:ascii="Times New Roman" w:hAnsi="Times New Roman"/>
          <w:sz w:val="24"/>
          <w:szCs w:val="24"/>
        </w:rPr>
        <w:t xml:space="preserve"> Gospodarcz</w:t>
      </w:r>
      <w:r w:rsidR="00351A1F" w:rsidRPr="00E24274">
        <w:rPr>
          <w:rFonts w:ascii="Times New Roman" w:hAnsi="Times New Roman"/>
          <w:sz w:val="24"/>
          <w:szCs w:val="24"/>
        </w:rPr>
        <w:t>ym</w:t>
      </w:r>
      <w:r w:rsidRPr="00E24274">
        <w:rPr>
          <w:rFonts w:ascii="Times New Roman" w:hAnsi="Times New Roman"/>
          <w:sz w:val="24"/>
          <w:szCs w:val="24"/>
        </w:rPr>
        <w:t xml:space="preserve">. </w:t>
      </w:r>
    </w:p>
    <w:p w:rsidR="0057371D" w:rsidRPr="00E24274" w:rsidRDefault="0057371D"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 xml:space="preserve">W dalszej części definicja z art. 3 lit. n dyrektywy CRM wskazuje, że licencja ma dotyczyć praw do utworów muzycznych przewidzianych w art. 2 i </w:t>
      </w:r>
      <w:r w:rsidR="005F2ECA">
        <w:rPr>
          <w:rFonts w:ascii="Times New Roman" w:hAnsi="Times New Roman"/>
          <w:sz w:val="24"/>
          <w:szCs w:val="24"/>
        </w:rPr>
        <w:t xml:space="preserve">art. </w:t>
      </w:r>
      <w:r w:rsidRPr="00E24274">
        <w:rPr>
          <w:rFonts w:ascii="Times New Roman" w:hAnsi="Times New Roman"/>
          <w:sz w:val="24"/>
          <w:szCs w:val="24"/>
        </w:rPr>
        <w:t xml:space="preserve">3 dyrektywy 2001/29/WE, czyli prawa do zwielokrotniania i publicznego komunikowania, ale tylko w zakresie, jaki jest wymagany do świadczenia usługi </w:t>
      </w:r>
      <w:r w:rsidRPr="00E24274">
        <w:rPr>
          <w:rFonts w:ascii="Times New Roman" w:hAnsi="Times New Roman"/>
          <w:i/>
          <w:sz w:val="24"/>
          <w:szCs w:val="24"/>
        </w:rPr>
        <w:t>online</w:t>
      </w:r>
      <w:r w:rsidRPr="00E24274">
        <w:rPr>
          <w:rFonts w:ascii="Times New Roman" w:hAnsi="Times New Roman"/>
          <w:sz w:val="24"/>
          <w:szCs w:val="24"/>
        </w:rPr>
        <w:t>. Zastosowana w unijnym akcie terminologia wymaga jednak dostosowania d</w:t>
      </w:r>
      <w:r w:rsidR="00BB07D2">
        <w:rPr>
          <w:rFonts w:ascii="Times New Roman" w:hAnsi="Times New Roman"/>
          <w:sz w:val="24"/>
          <w:szCs w:val="24"/>
        </w:rPr>
        <w:t>o siatki pojęciowej przyjętej w </w:t>
      </w:r>
      <w:r w:rsidRPr="00E24274">
        <w:rPr>
          <w:rFonts w:ascii="Times New Roman" w:hAnsi="Times New Roman"/>
          <w:sz w:val="24"/>
          <w:szCs w:val="24"/>
        </w:rPr>
        <w:t>polskim prawie. O ile bowiem zakres pola eksploatacji zwielokrotnianie jest taki sam na gruncie art. 2 dyrektywy 2001/29/WE i art. 50 pkt 1 pr. aut., to prawo do publicznego komunikowania uregulowane w art. 3 dy</w:t>
      </w:r>
      <w:r w:rsidR="00BB07D2">
        <w:rPr>
          <w:rFonts w:ascii="Times New Roman" w:hAnsi="Times New Roman"/>
          <w:sz w:val="24"/>
          <w:szCs w:val="24"/>
        </w:rPr>
        <w:t>rektywy 2001/29/WE nie ma w pr. </w:t>
      </w:r>
      <w:r w:rsidRPr="00E24274">
        <w:rPr>
          <w:rFonts w:ascii="Times New Roman" w:hAnsi="Times New Roman"/>
          <w:sz w:val="24"/>
          <w:szCs w:val="24"/>
        </w:rPr>
        <w:t xml:space="preserve">aut. dokładnego odpowiednika. Na gruncie ww. dyrektywy oznacza ono </w:t>
      </w:r>
      <w:r w:rsidR="00E24274">
        <w:rPr>
          <w:rFonts w:ascii="Times New Roman" w:hAnsi="Times New Roman"/>
          <w:i/>
          <w:sz w:val="24"/>
          <w:szCs w:val="24"/>
        </w:rPr>
        <w:t>„</w:t>
      </w:r>
      <w:r w:rsidRPr="00E24274">
        <w:rPr>
          <w:rFonts w:ascii="Times New Roman" w:hAnsi="Times New Roman"/>
          <w:i/>
          <w:sz w:val="24"/>
          <w:szCs w:val="24"/>
        </w:rPr>
        <w:t>każde udostępnianie utworu odbiorcom nieznajdującym się w miejscu, z którego przekazywanie pochodzi</w:t>
      </w:r>
      <w:r w:rsidR="00E24274">
        <w:rPr>
          <w:rFonts w:ascii="Times New Roman" w:hAnsi="Times New Roman"/>
          <w:i/>
          <w:sz w:val="24"/>
          <w:szCs w:val="24"/>
        </w:rPr>
        <w:t>”</w:t>
      </w:r>
      <w:r w:rsidRPr="00E24274">
        <w:rPr>
          <w:rFonts w:ascii="Times New Roman" w:hAnsi="Times New Roman"/>
          <w:sz w:val="24"/>
          <w:szCs w:val="24"/>
        </w:rPr>
        <w:t xml:space="preserve"> (motyw 23 preambuły), w tym publiczne udostępnianie utworów w taki sposób, że osoby postronne mają do nich dostęp w wybranym przez siebie miejscu i czasie (art. 3 ust. 1 </w:t>
      </w:r>
      <w:r w:rsidRPr="00E24274">
        <w:rPr>
          <w:rFonts w:ascii="Times New Roman" w:hAnsi="Times New Roman"/>
          <w:i/>
          <w:sz w:val="24"/>
          <w:szCs w:val="24"/>
        </w:rPr>
        <w:t>in fine</w:t>
      </w:r>
      <w:r w:rsidRPr="00E24274">
        <w:rPr>
          <w:rFonts w:ascii="Times New Roman" w:hAnsi="Times New Roman"/>
          <w:sz w:val="24"/>
          <w:szCs w:val="24"/>
        </w:rPr>
        <w:t>). Publiczne komunikowanie w rozumieniu tej dyrektywy będzie więc mieścić się w kategorii pól eksploatacji, o której mowa w art. 50 pkt 3 pr. aut., tj. rozpowszechni</w:t>
      </w:r>
      <w:r w:rsidR="00C97A71">
        <w:rPr>
          <w:rFonts w:ascii="Times New Roman" w:hAnsi="Times New Roman"/>
          <w:sz w:val="24"/>
          <w:szCs w:val="24"/>
        </w:rPr>
        <w:t xml:space="preserve">ania utworu w inny sposób niż </w:t>
      </w:r>
      <w:r w:rsidRPr="00E24274">
        <w:rPr>
          <w:rFonts w:ascii="Times New Roman" w:hAnsi="Times New Roman"/>
          <w:sz w:val="24"/>
          <w:szCs w:val="24"/>
        </w:rPr>
        <w:t>przez obrót egzemplarzem, ale – zgodnie z orzeczeniem TSU</w:t>
      </w:r>
      <w:r w:rsidR="00BB07D2">
        <w:rPr>
          <w:rFonts w:ascii="Times New Roman" w:hAnsi="Times New Roman"/>
          <w:sz w:val="24"/>
          <w:szCs w:val="24"/>
        </w:rPr>
        <w:t>E z dnia 24 listopada 2011 r. w </w:t>
      </w:r>
      <w:r w:rsidRPr="00E24274">
        <w:rPr>
          <w:rFonts w:ascii="Times New Roman" w:hAnsi="Times New Roman"/>
          <w:sz w:val="24"/>
          <w:szCs w:val="24"/>
        </w:rPr>
        <w:t xml:space="preserve">sprawie C-283/10 </w:t>
      </w:r>
      <w:r w:rsidRPr="00E24274">
        <w:rPr>
          <w:rFonts w:ascii="Times New Roman" w:hAnsi="Times New Roman"/>
          <w:i/>
          <w:sz w:val="24"/>
          <w:szCs w:val="24"/>
        </w:rPr>
        <w:t>Circul Globus Bucureşti</w:t>
      </w:r>
      <w:r w:rsidRPr="00E24274">
        <w:rPr>
          <w:rFonts w:ascii="Times New Roman" w:hAnsi="Times New Roman"/>
          <w:sz w:val="24"/>
          <w:szCs w:val="24"/>
        </w:rPr>
        <w:t xml:space="preserve"> – jedynie w zakresie </w:t>
      </w:r>
      <w:r w:rsidR="00E24274">
        <w:rPr>
          <w:rFonts w:ascii="Times New Roman" w:hAnsi="Times New Roman"/>
          <w:i/>
          <w:sz w:val="24"/>
          <w:szCs w:val="24"/>
        </w:rPr>
        <w:t>„</w:t>
      </w:r>
      <w:r w:rsidRPr="00E24274">
        <w:rPr>
          <w:rFonts w:ascii="Times New Roman" w:hAnsi="Times New Roman"/>
          <w:i/>
          <w:sz w:val="24"/>
          <w:szCs w:val="24"/>
        </w:rPr>
        <w:t>udostępniania publiczności nieobecnej w miejscu, z którego pochodzi udostępnianie, z wyłączeniem jakiegokolwiek udostępniania dokonywanego bezpośrednio, w miejscu otwartym dla publiczności, za pomocą wszelkich publicznych form bezpośredniego wykonywania lub przedstawiania utworu</w:t>
      </w:r>
      <w:r w:rsidR="00E24274">
        <w:rPr>
          <w:rFonts w:ascii="Times New Roman" w:hAnsi="Times New Roman"/>
          <w:i/>
          <w:sz w:val="24"/>
          <w:szCs w:val="24"/>
        </w:rPr>
        <w:t>”</w:t>
      </w:r>
      <w:r w:rsidRPr="00E24274">
        <w:rPr>
          <w:rFonts w:ascii="Times New Roman" w:hAnsi="Times New Roman"/>
          <w:i/>
          <w:sz w:val="24"/>
          <w:szCs w:val="24"/>
        </w:rPr>
        <w:t>.</w:t>
      </w:r>
      <w:r w:rsidRPr="00E24274">
        <w:rPr>
          <w:rFonts w:ascii="Times New Roman" w:hAnsi="Times New Roman"/>
          <w:sz w:val="24"/>
          <w:szCs w:val="24"/>
        </w:rPr>
        <w:t xml:space="preserve"> </w:t>
      </w:r>
    </w:p>
    <w:p w:rsidR="0057371D" w:rsidRPr="00E24274" w:rsidRDefault="0057371D"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 xml:space="preserve">Ograniczenie projektowanej definicji do komunikowania </w:t>
      </w:r>
      <w:r w:rsidR="00E24274">
        <w:rPr>
          <w:rFonts w:ascii="Times New Roman" w:hAnsi="Times New Roman"/>
          <w:sz w:val="24"/>
          <w:szCs w:val="24"/>
        </w:rPr>
        <w:t>„</w:t>
      </w:r>
      <w:r w:rsidRPr="00E24274">
        <w:rPr>
          <w:rFonts w:ascii="Times New Roman" w:hAnsi="Times New Roman"/>
          <w:sz w:val="24"/>
          <w:szCs w:val="24"/>
        </w:rPr>
        <w:t>na odległość</w:t>
      </w:r>
      <w:r w:rsidR="00E24274">
        <w:rPr>
          <w:rFonts w:ascii="Times New Roman" w:hAnsi="Times New Roman"/>
          <w:sz w:val="24"/>
          <w:szCs w:val="24"/>
        </w:rPr>
        <w:t>”</w:t>
      </w:r>
      <w:r w:rsidR="00C97A71">
        <w:rPr>
          <w:rFonts w:ascii="Times New Roman" w:hAnsi="Times New Roman"/>
          <w:sz w:val="24"/>
          <w:szCs w:val="24"/>
        </w:rPr>
        <w:t xml:space="preserve"> zostanie dokonane </w:t>
      </w:r>
      <w:r w:rsidRPr="00E24274">
        <w:rPr>
          <w:rFonts w:ascii="Times New Roman" w:hAnsi="Times New Roman"/>
          <w:sz w:val="24"/>
          <w:szCs w:val="24"/>
        </w:rPr>
        <w:t xml:space="preserve">przez objęcie nią wyłącznie praw wymaganych w celu świadczenia usługi </w:t>
      </w:r>
      <w:r w:rsidRPr="00E24274">
        <w:rPr>
          <w:rFonts w:ascii="Times New Roman" w:hAnsi="Times New Roman"/>
          <w:i/>
          <w:iCs/>
          <w:sz w:val="24"/>
          <w:szCs w:val="24"/>
        </w:rPr>
        <w:t>online</w:t>
      </w:r>
      <w:r w:rsidRPr="00E24274">
        <w:rPr>
          <w:rFonts w:ascii="Times New Roman" w:hAnsi="Times New Roman"/>
          <w:sz w:val="24"/>
          <w:szCs w:val="24"/>
        </w:rPr>
        <w:t xml:space="preserve">. Tu również terminologia dyrektywy wymaga dostosowania do polskich przepisów obowiązujących w tym zakresie. Wyjaśnienie, o jakiego rodzaju usługi </w:t>
      </w:r>
      <w:r w:rsidRPr="00E24274">
        <w:rPr>
          <w:rFonts w:ascii="Times New Roman" w:hAnsi="Times New Roman"/>
          <w:i/>
          <w:iCs/>
          <w:sz w:val="24"/>
          <w:szCs w:val="24"/>
        </w:rPr>
        <w:lastRenderedPageBreak/>
        <w:t>online</w:t>
      </w:r>
      <w:r w:rsidRPr="00E24274">
        <w:rPr>
          <w:rFonts w:ascii="Times New Roman" w:hAnsi="Times New Roman"/>
          <w:sz w:val="24"/>
          <w:szCs w:val="24"/>
        </w:rPr>
        <w:t xml:space="preserve"> chodzi, można odnaleźć w motywie 37 preambuły dyrektywy CRM. Wskazano w nim, że Tytuł III dotyczy usług</w:t>
      </w:r>
      <w:r w:rsidRPr="00E24274">
        <w:rPr>
          <w:rFonts w:ascii="Times New Roman" w:hAnsi="Times New Roman"/>
          <w:i/>
          <w:iCs/>
          <w:sz w:val="24"/>
          <w:szCs w:val="24"/>
        </w:rPr>
        <w:t xml:space="preserve"> online</w:t>
      </w:r>
      <w:r w:rsidRPr="00E24274">
        <w:rPr>
          <w:rFonts w:ascii="Times New Roman" w:hAnsi="Times New Roman"/>
          <w:sz w:val="24"/>
          <w:szCs w:val="24"/>
        </w:rPr>
        <w:t xml:space="preserve">, w ramach których wykorzystywane są utwory muzyczne, takie jak </w:t>
      </w:r>
      <w:r w:rsidR="00E24274">
        <w:rPr>
          <w:rFonts w:ascii="Times New Roman" w:hAnsi="Times New Roman"/>
          <w:sz w:val="24"/>
          <w:szCs w:val="24"/>
        </w:rPr>
        <w:t>„</w:t>
      </w:r>
      <w:r w:rsidRPr="00E24274">
        <w:rPr>
          <w:rFonts w:ascii="Times New Roman" w:hAnsi="Times New Roman"/>
          <w:i/>
          <w:sz w:val="24"/>
          <w:szCs w:val="24"/>
        </w:rPr>
        <w:t>usługi muzyczne umożliwiające konsumentom pobieranie utworów muzycznych lub odsłuchiwanie ich z wykorzystaniem technologii przesyłania strumieniowego</w:t>
      </w:r>
      <w:r w:rsidR="00E24274">
        <w:rPr>
          <w:rFonts w:ascii="Times New Roman" w:hAnsi="Times New Roman"/>
          <w:i/>
          <w:sz w:val="24"/>
          <w:szCs w:val="24"/>
        </w:rPr>
        <w:t>”</w:t>
      </w:r>
      <w:r w:rsidRPr="00E24274">
        <w:rPr>
          <w:rFonts w:ascii="Times New Roman" w:hAnsi="Times New Roman"/>
          <w:sz w:val="24"/>
          <w:szCs w:val="24"/>
        </w:rPr>
        <w:t xml:space="preserve">, a także </w:t>
      </w:r>
      <w:r w:rsidR="00E24274">
        <w:rPr>
          <w:rFonts w:ascii="Times New Roman" w:hAnsi="Times New Roman"/>
          <w:sz w:val="24"/>
          <w:szCs w:val="24"/>
        </w:rPr>
        <w:t>„</w:t>
      </w:r>
      <w:r w:rsidRPr="00E24274">
        <w:rPr>
          <w:rFonts w:ascii="Times New Roman" w:hAnsi="Times New Roman"/>
          <w:i/>
          <w:sz w:val="24"/>
          <w:szCs w:val="24"/>
        </w:rPr>
        <w:t>innych usług zapewniający</w:t>
      </w:r>
      <w:r w:rsidR="00BB07D2">
        <w:rPr>
          <w:rFonts w:ascii="Times New Roman" w:hAnsi="Times New Roman"/>
          <w:i/>
          <w:sz w:val="24"/>
          <w:szCs w:val="24"/>
        </w:rPr>
        <w:t>ch dostęp do filmów lub gier, w </w:t>
      </w:r>
      <w:r w:rsidRPr="00E24274">
        <w:rPr>
          <w:rFonts w:ascii="Times New Roman" w:hAnsi="Times New Roman"/>
          <w:i/>
          <w:sz w:val="24"/>
          <w:szCs w:val="24"/>
        </w:rPr>
        <w:t>których muzyka stanowi ważny element</w:t>
      </w:r>
      <w:r w:rsidR="00E24274">
        <w:rPr>
          <w:rFonts w:ascii="Times New Roman" w:hAnsi="Times New Roman"/>
          <w:i/>
          <w:sz w:val="24"/>
          <w:szCs w:val="24"/>
        </w:rPr>
        <w:t>”</w:t>
      </w:r>
      <w:r w:rsidRPr="00E24274">
        <w:rPr>
          <w:rFonts w:ascii="Times New Roman" w:hAnsi="Times New Roman"/>
          <w:i/>
          <w:sz w:val="24"/>
          <w:szCs w:val="24"/>
        </w:rPr>
        <w:t>.</w:t>
      </w:r>
      <w:r w:rsidRPr="00E24274">
        <w:rPr>
          <w:rFonts w:ascii="Times New Roman" w:hAnsi="Times New Roman"/>
          <w:sz w:val="24"/>
          <w:szCs w:val="24"/>
        </w:rPr>
        <w:t xml:space="preserve"> Na gruncie polskich przepisów będą to więc usługi dostarczania treści cyfrowych (w rozumieniu art. 2 pkt 5 ustawy z dnia 30 maja 2014 r. o prawach konsumenta</w:t>
      </w:r>
      <w:r w:rsidRPr="00E24274">
        <w:rPr>
          <w:rFonts w:ascii="Times New Roman" w:hAnsi="Times New Roman"/>
          <w:sz w:val="24"/>
          <w:szCs w:val="24"/>
          <w:vertAlign w:val="superscript"/>
        </w:rPr>
        <w:footnoteReference w:id="18"/>
      </w:r>
      <w:r w:rsidR="001E6F0B" w:rsidRPr="001E6F0B">
        <w:rPr>
          <w:rFonts w:ascii="Times New Roman" w:hAnsi="Times New Roman"/>
          <w:sz w:val="24"/>
          <w:szCs w:val="24"/>
          <w:vertAlign w:val="superscript"/>
        </w:rPr>
        <w:t>)</w:t>
      </w:r>
      <w:r w:rsidRPr="00E24274">
        <w:rPr>
          <w:rFonts w:ascii="Times New Roman" w:hAnsi="Times New Roman"/>
          <w:sz w:val="24"/>
          <w:szCs w:val="24"/>
        </w:rPr>
        <w:t>) świadczone drogą elektroniczną (w rozumieniu art. 2 pkt 4 ustawy z dnia 18 lipca 2002 r. o świadczeniu usług drogą elektroniczną</w:t>
      </w:r>
      <w:r w:rsidRPr="00E24274">
        <w:rPr>
          <w:rFonts w:ascii="Times New Roman" w:hAnsi="Times New Roman"/>
          <w:sz w:val="24"/>
          <w:szCs w:val="24"/>
          <w:vertAlign w:val="superscript"/>
        </w:rPr>
        <w:footnoteReference w:id="19"/>
      </w:r>
      <w:r w:rsidR="001E6F0B" w:rsidRPr="001E6F0B">
        <w:rPr>
          <w:rFonts w:ascii="Times New Roman" w:hAnsi="Times New Roman"/>
          <w:sz w:val="24"/>
          <w:szCs w:val="24"/>
          <w:vertAlign w:val="superscript"/>
        </w:rPr>
        <w:t>)</w:t>
      </w:r>
      <w:r w:rsidRPr="00E24274">
        <w:rPr>
          <w:rFonts w:ascii="Times New Roman" w:hAnsi="Times New Roman"/>
          <w:sz w:val="24"/>
          <w:szCs w:val="24"/>
        </w:rPr>
        <w:t>). Natomiast z uwagi na zakres implementowanych przepisów Tytułu III dyrektywy CRM projektowaną definicją zostaną objęte tylko te usługi, do których świadczenia wymagana jest licencja na korzystanie z utworów muzycznych i słowno-muzycznych (oba rodzaje utworów, rozróżnione w art. 1 ust. 2 pkt</w:t>
      </w:r>
      <w:r w:rsidR="00BB07D2">
        <w:rPr>
          <w:rFonts w:ascii="Times New Roman" w:hAnsi="Times New Roman"/>
          <w:sz w:val="24"/>
          <w:szCs w:val="24"/>
        </w:rPr>
        <w:t xml:space="preserve"> 7 pr. aut., będą mieścić się w </w:t>
      </w:r>
      <w:r w:rsidRPr="00E24274">
        <w:rPr>
          <w:rFonts w:ascii="Times New Roman" w:hAnsi="Times New Roman"/>
          <w:sz w:val="24"/>
          <w:szCs w:val="24"/>
        </w:rPr>
        <w:t xml:space="preserve">używanym w dyrektywie pojęciu </w:t>
      </w:r>
      <w:r w:rsidR="00E24274">
        <w:rPr>
          <w:rFonts w:ascii="Times New Roman" w:hAnsi="Times New Roman"/>
          <w:sz w:val="24"/>
          <w:szCs w:val="24"/>
        </w:rPr>
        <w:t>„</w:t>
      </w:r>
      <w:r w:rsidRPr="00E24274">
        <w:rPr>
          <w:rFonts w:ascii="Times New Roman" w:hAnsi="Times New Roman"/>
          <w:sz w:val="24"/>
          <w:szCs w:val="24"/>
        </w:rPr>
        <w:t>utwory muzyczne</w:t>
      </w:r>
      <w:r w:rsidR="00E24274">
        <w:rPr>
          <w:rFonts w:ascii="Times New Roman" w:hAnsi="Times New Roman"/>
          <w:sz w:val="24"/>
          <w:szCs w:val="24"/>
        </w:rPr>
        <w:t>”</w:t>
      </w:r>
      <w:r w:rsidRPr="00E24274">
        <w:rPr>
          <w:rFonts w:ascii="Times New Roman" w:hAnsi="Times New Roman"/>
          <w:sz w:val="24"/>
          <w:szCs w:val="24"/>
        </w:rPr>
        <w:t>).</w:t>
      </w:r>
    </w:p>
    <w:p w:rsidR="005D3B0B" w:rsidRPr="00E24274" w:rsidRDefault="005D3B0B"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Ponieważ zaproponowana definicja została wprowadzona wyłącznie na potrzeby implementacji Tytułu III dyrektywy CRM, nie jes</w:t>
      </w:r>
      <w:r w:rsidR="00BB07D2">
        <w:rPr>
          <w:rFonts w:ascii="Times New Roman" w:hAnsi="Times New Roman"/>
          <w:sz w:val="24"/>
          <w:szCs w:val="24"/>
        </w:rPr>
        <w:t>t wykluczone posługiwanie się w </w:t>
      </w:r>
      <w:r w:rsidRPr="00E24274">
        <w:rPr>
          <w:rFonts w:ascii="Times New Roman" w:hAnsi="Times New Roman"/>
          <w:sz w:val="24"/>
          <w:szCs w:val="24"/>
        </w:rPr>
        <w:t xml:space="preserve">obrocie prawnoautorskim terminem </w:t>
      </w:r>
      <w:r w:rsidR="00E24274">
        <w:rPr>
          <w:rFonts w:ascii="Times New Roman" w:hAnsi="Times New Roman"/>
          <w:sz w:val="24"/>
          <w:szCs w:val="24"/>
        </w:rPr>
        <w:t>„</w:t>
      </w:r>
      <w:r w:rsidRPr="00E24274">
        <w:rPr>
          <w:rFonts w:ascii="Times New Roman" w:hAnsi="Times New Roman"/>
          <w:sz w:val="24"/>
          <w:szCs w:val="24"/>
        </w:rPr>
        <w:t>licencja wieloterytorialna</w:t>
      </w:r>
      <w:r w:rsidR="00E24274">
        <w:rPr>
          <w:rFonts w:ascii="Times New Roman" w:hAnsi="Times New Roman"/>
          <w:sz w:val="24"/>
          <w:szCs w:val="24"/>
        </w:rPr>
        <w:t>”</w:t>
      </w:r>
      <w:r w:rsidRPr="00E24274">
        <w:rPr>
          <w:rFonts w:ascii="Times New Roman" w:hAnsi="Times New Roman"/>
          <w:sz w:val="24"/>
          <w:szCs w:val="24"/>
        </w:rPr>
        <w:t xml:space="preserve"> w zakresie wykraczającym poza projektowane przepisy, a więc np. dotyczącym praw pokrewnych lub innych pól eksploatacji. Oczywiście do takiej licencji przepisy rozdziału 6 ustawy nie będą miały zastosowania.</w:t>
      </w:r>
    </w:p>
    <w:p w:rsidR="0057371D" w:rsidRPr="00E24274" w:rsidRDefault="0057371D" w:rsidP="00E24274">
      <w:pPr>
        <w:spacing w:before="120" w:after="0" w:line="360" w:lineRule="auto"/>
        <w:jc w:val="both"/>
        <w:rPr>
          <w:rFonts w:ascii="Times New Roman" w:hAnsi="Times New Roman"/>
          <w:b/>
          <w:i/>
          <w:sz w:val="24"/>
          <w:szCs w:val="24"/>
        </w:rPr>
      </w:pPr>
      <w:r w:rsidRPr="00E24274">
        <w:rPr>
          <w:rFonts w:ascii="Times New Roman" w:hAnsi="Times New Roman"/>
          <w:b/>
          <w:sz w:val="24"/>
          <w:szCs w:val="24"/>
        </w:rPr>
        <w:t>art. 4</w:t>
      </w:r>
    </w:p>
    <w:p w:rsidR="0057371D" w:rsidRPr="00E24274" w:rsidRDefault="0057371D" w:rsidP="00144B0B">
      <w:pPr>
        <w:spacing w:after="0" w:line="360" w:lineRule="auto"/>
        <w:jc w:val="both"/>
        <w:rPr>
          <w:rFonts w:ascii="Times New Roman" w:hAnsi="Times New Roman"/>
          <w:sz w:val="24"/>
          <w:szCs w:val="24"/>
        </w:rPr>
      </w:pPr>
      <w:r w:rsidRPr="00E24274">
        <w:rPr>
          <w:rFonts w:ascii="Times New Roman" w:hAnsi="Times New Roman"/>
          <w:sz w:val="24"/>
          <w:szCs w:val="24"/>
        </w:rPr>
        <w:t xml:space="preserve">Projektowana ustawa wprowadzi pewne ogólne zasady zbiorowego zarządzania, którymi powinny kierować się organizacje zbiorowego zarządzania. Zasady te w części stanowią implementację ogólnych zasad dyrektywy </w:t>
      </w:r>
      <w:r w:rsidR="00144B0B">
        <w:rPr>
          <w:rFonts w:ascii="Times New Roman" w:hAnsi="Times New Roman"/>
          <w:sz w:val="24"/>
          <w:szCs w:val="24"/>
        </w:rPr>
        <w:t>CRM, a w części – kontynuację i </w:t>
      </w:r>
      <w:r w:rsidRPr="00E24274">
        <w:rPr>
          <w:rFonts w:ascii="Times New Roman" w:hAnsi="Times New Roman"/>
          <w:sz w:val="24"/>
          <w:szCs w:val="24"/>
        </w:rPr>
        <w:t>uporządkowanie utrwalonych tradycji polskiego zbiorowego zarządu.</w:t>
      </w:r>
    </w:p>
    <w:p w:rsidR="0057371D" w:rsidRPr="00E24274" w:rsidRDefault="0057371D"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 xml:space="preserve">Po pierwsze z zawartej w art. 3 lit. a dyrektywy CRM definicji organizacji zbiorowego zarządzania wynika postulat wyraźnego określenia podstawy wykonywania zbiorowego </w:t>
      </w:r>
      <w:r w:rsidRPr="00E24274">
        <w:rPr>
          <w:rFonts w:ascii="Times New Roman" w:hAnsi="Times New Roman"/>
          <w:sz w:val="24"/>
          <w:szCs w:val="24"/>
        </w:rPr>
        <w:lastRenderedPageBreak/>
        <w:t>zarządu</w:t>
      </w:r>
      <w:r w:rsidRPr="00E24274">
        <w:rPr>
          <w:rFonts w:ascii="Times New Roman" w:hAnsi="Times New Roman"/>
          <w:sz w:val="24"/>
          <w:szCs w:val="24"/>
          <w:vertAlign w:val="superscript"/>
        </w:rPr>
        <w:footnoteReference w:id="20"/>
      </w:r>
      <w:r w:rsidR="001E6F0B" w:rsidRPr="001E6F0B">
        <w:rPr>
          <w:rFonts w:ascii="Times New Roman" w:hAnsi="Times New Roman"/>
          <w:sz w:val="24"/>
          <w:szCs w:val="24"/>
          <w:vertAlign w:val="superscript"/>
        </w:rPr>
        <w:t>)</w:t>
      </w:r>
      <w:r w:rsidRPr="00E24274">
        <w:rPr>
          <w:rFonts w:ascii="Times New Roman" w:hAnsi="Times New Roman"/>
          <w:sz w:val="24"/>
          <w:szCs w:val="24"/>
        </w:rPr>
        <w:t>. W ślad za tym przepisem projektowany art. 4 ust. 1 ustawy będzie w sposób wyraźny wskazywać sposoby uzyskania przez organizację upoważnienia do zarządzania prawami. Upoważnienie to będzie mogło wynikać z:</w:t>
      </w:r>
    </w:p>
    <w:p w:rsidR="0057371D" w:rsidRPr="00E24274" w:rsidRDefault="0057371D" w:rsidP="00144B0B">
      <w:pPr>
        <w:numPr>
          <w:ilvl w:val="0"/>
          <w:numId w:val="6"/>
        </w:numPr>
        <w:spacing w:after="0" w:line="360" w:lineRule="auto"/>
        <w:ind w:left="437" w:hanging="448"/>
        <w:jc w:val="both"/>
        <w:rPr>
          <w:rFonts w:ascii="Times New Roman" w:hAnsi="Times New Roman"/>
          <w:sz w:val="24"/>
          <w:szCs w:val="24"/>
        </w:rPr>
      </w:pPr>
      <w:r w:rsidRPr="00E24274">
        <w:rPr>
          <w:rFonts w:ascii="Times New Roman" w:hAnsi="Times New Roman"/>
          <w:sz w:val="24"/>
          <w:szCs w:val="24"/>
        </w:rPr>
        <w:t>umowy o zbiorowe zarządzanie zawartej bezpośrednio z uprawnionym;</w:t>
      </w:r>
    </w:p>
    <w:p w:rsidR="0057371D" w:rsidRPr="00E24274" w:rsidRDefault="0057371D" w:rsidP="00144B0B">
      <w:pPr>
        <w:numPr>
          <w:ilvl w:val="0"/>
          <w:numId w:val="6"/>
        </w:numPr>
        <w:spacing w:after="0" w:line="360" w:lineRule="auto"/>
        <w:ind w:left="437" w:hanging="448"/>
        <w:jc w:val="both"/>
        <w:rPr>
          <w:rFonts w:ascii="Times New Roman" w:hAnsi="Times New Roman"/>
          <w:sz w:val="24"/>
          <w:szCs w:val="24"/>
        </w:rPr>
      </w:pPr>
      <w:r w:rsidRPr="00E24274">
        <w:rPr>
          <w:rFonts w:ascii="Times New Roman" w:hAnsi="Times New Roman"/>
          <w:sz w:val="24"/>
          <w:szCs w:val="24"/>
        </w:rPr>
        <w:t>umowy o reprezentacji zawartej z inną organizacją zbiorowego zarządzania;</w:t>
      </w:r>
    </w:p>
    <w:p w:rsidR="0057371D" w:rsidRPr="00E24274" w:rsidRDefault="0057371D" w:rsidP="00144B0B">
      <w:pPr>
        <w:numPr>
          <w:ilvl w:val="0"/>
          <w:numId w:val="6"/>
        </w:numPr>
        <w:spacing w:after="0" w:line="360" w:lineRule="auto"/>
        <w:ind w:left="437" w:hanging="448"/>
        <w:jc w:val="both"/>
        <w:rPr>
          <w:rFonts w:ascii="Times New Roman" w:hAnsi="Times New Roman"/>
          <w:sz w:val="24"/>
          <w:szCs w:val="24"/>
        </w:rPr>
      </w:pPr>
      <w:r w:rsidRPr="00E24274">
        <w:rPr>
          <w:rFonts w:ascii="Times New Roman" w:hAnsi="Times New Roman"/>
          <w:sz w:val="24"/>
          <w:szCs w:val="24"/>
        </w:rPr>
        <w:t>przepisów projektowanej ustawy oraz wprowad</w:t>
      </w:r>
      <w:r w:rsidR="00144B0B">
        <w:rPr>
          <w:rFonts w:ascii="Times New Roman" w:hAnsi="Times New Roman"/>
          <w:sz w:val="24"/>
          <w:szCs w:val="24"/>
        </w:rPr>
        <w:t>zanych nią nowych przepisów pr. </w:t>
      </w:r>
      <w:r w:rsidRPr="00E24274">
        <w:rPr>
          <w:rFonts w:ascii="Times New Roman" w:hAnsi="Times New Roman"/>
          <w:sz w:val="24"/>
          <w:szCs w:val="24"/>
        </w:rPr>
        <w:t>aut. upoważniających organizację do reprezentowania uprawnionych, którzy nie powierzyli praw żadnej organizacji.</w:t>
      </w:r>
    </w:p>
    <w:p w:rsidR="0057371D" w:rsidRPr="00E24274" w:rsidRDefault="0057371D"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 xml:space="preserve">Po drugie – w projektowanym art. 4 ust. 2 ustawy utrzymana zostanie zasada wyrażona obecnie w art. 106 ust. 3 pr. aut., zgodnie z którą organizacja zbiorowego zarządzania nie może, bez ważnych </w:t>
      </w:r>
      <w:r w:rsidR="00FE7CB6" w:rsidRPr="00E24274">
        <w:rPr>
          <w:rFonts w:ascii="Times New Roman" w:hAnsi="Times New Roman"/>
          <w:sz w:val="24"/>
          <w:szCs w:val="24"/>
        </w:rPr>
        <w:t>przyczyn</w:t>
      </w:r>
      <w:r w:rsidRPr="00E24274">
        <w:rPr>
          <w:rFonts w:ascii="Times New Roman" w:hAnsi="Times New Roman"/>
          <w:sz w:val="24"/>
          <w:szCs w:val="24"/>
        </w:rPr>
        <w:t>, odmówić objęcia praw autorskich i praw pokrewnych w zbiorowy zarząd, w zakresie udzielonego jej zezwolenia. Ma ona na celu zapewnienie uprawnionym dostępu do usług świadczonych przez organizacje. Konieczność utrzymania tej zasady wynika także z art. 5 ust. 2 zdanie drugie dyrektywy CRM, przy czym polska regulacja jest korzystniejsza dla uprawnionych, gdyż dyrektywa CRM pozwala odmówić objęcia praw w zarząd z obiektywnie uzasadnionych powodów (</w:t>
      </w:r>
      <w:r w:rsidR="00E24274">
        <w:rPr>
          <w:rFonts w:ascii="Times New Roman" w:hAnsi="Times New Roman"/>
          <w:sz w:val="24"/>
          <w:szCs w:val="24"/>
        </w:rPr>
        <w:t>„</w:t>
      </w:r>
      <w:r w:rsidRPr="00E24274">
        <w:rPr>
          <w:rFonts w:ascii="Times New Roman" w:hAnsi="Times New Roman"/>
          <w:i/>
          <w:sz w:val="24"/>
          <w:szCs w:val="24"/>
        </w:rPr>
        <w:t>objectively jusitfied reasons</w:t>
      </w:r>
      <w:r w:rsidR="00E24274">
        <w:rPr>
          <w:rFonts w:ascii="Times New Roman" w:hAnsi="Times New Roman"/>
          <w:sz w:val="24"/>
          <w:szCs w:val="24"/>
        </w:rPr>
        <w:t>”</w:t>
      </w:r>
      <w:r w:rsidRPr="00E24274">
        <w:rPr>
          <w:rFonts w:ascii="Times New Roman" w:hAnsi="Times New Roman"/>
          <w:sz w:val="24"/>
          <w:szCs w:val="24"/>
        </w:rPr>
        <w:t xml:space="preserve">). Natomiast w Polsce odmowa </w:t>
      </w:r>
      <w:r w:rsidR="001551F5" w:rsidRPr="00E24274">
        <w:rPr>
          <w:rFonts w:ascii="Times New Roman" w:hAnsi="Times New Roman"/>
          <w:sz w:val="24"/>
          <w:szCs w:val="24"/>
        </w:rPr>
        <w:t xml:space="preserve">będzie mogła </w:t>
      </w:r>
      <w:r w:rsidRPr="00E24274">
        <w:rPr>
          <w:rFonts w:ascii="Times New Roman" w:hAnsi="Times New Roman"/>
          <w:sz w:val="24"/>
          <w:szCs w:val="24"/>
        </w:rPr>
        <w:t xml:space="preserve">nastąpić wyłącznie z ważnych </w:t>
      </w:r>
      <w:r w:rsidR="001551F5" w:rsidRPr="00E24274">
        <w:rPr>
          <w:rFonts w:ascii="Times New Roman" w:hAnsi="Times New Roman"/>
          <w:sz w:val="24"/>
          <w:szCs w:val="24"/>
        </w:rPr>
        <w:t>przyczyn</w:t>
      </w:r>
      <w:r w:rsidRPr="00E24274">
        <w:rPr>
          <w:rFonts w:ascii="Times New Roman" w:hAnsi="Times New Roman"/>
          <w:sz w:val="24"/>
          <w:szCs w:val="24"/>
        </w:rPr>
        <w:t>, a dodatkowo</w:t>
      </w:r>
      <w:r w:rsidR="00C74F39" w:rsidRPr="00E24274">
        <w:rPr>
          <w:rFonts w:ascii="Times New Roman" w:hAnsi="Times New Roman"/>
          <w:sz w:val="24"/>
          <w:szCs w:val="24"/>
        </w:rPr>
        <w:t xml:space="preserve"> – jeśli dotyczy odmowy zawarcia umowy o zbiorowe zarządzanie –</w:t>
      </w:r>
      <w:r w:rsidRPr="00E24274">
        <w:rPr>
          <w:rFonts w:ascii="Times New Roman" w:hAnsi="Times New Roman"/>
          <w:sz w:val="24"/>
          <w:szCs w:val="24"/>
        </w:rPr>
        <w:t xml:space="preserve"> będzie musiała zostać uzasadniona na piśmie</w:t>
      </w:r>
      <w:r w:rsidR="001551F5" w:rsidRPr="00E24274">
        <w:rPr>
          <w:rFonts w:ascii="Times New Roman" w:hAnsi="Times New Roman"/>
          <w:sz w:val="24"/>
          <w:szCs w:val="24"/>
        </w:rPr>
        <w:t xml:space="preserve"> lub w formie elektronicznej</w:t>
      </w:r>
      <w:r w:rsidRPr="00E24274">
        <w:rPr>
          <w:rFonts w:ascii="Times New Roman" w:hAnsi="Times New Roman"/>
          <w:sz w:val="24"/>
          <w:szCs w:val="24"/>
        </w:rPr>
        <w:t>, co wynika z projektowanego art. 27 ust. 1.</w:t>
      </w:r>
    </w:p>
    <w:p w:rsidR="0057371D" w:rsidRPr="00E24274" w:rsidRDefault="0057371D"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 xml:space="preserve">Po trzecie – w projektowanym art. 4 ust. 3 ustawy potwierdzona zostanie – obowiązująca już obecnie na gruncie art. 106 ust. 1 pr. aut. i odzwierciedlona w szeregu przepisów dyrektywy CRM – zasada </w:t>
      </w:r>
      <w:r w:rsidR="001551F5" w:rsidRPr="00E24274">
        <w:rPr>
          <w:rFonts w:ascii="Times New Roman" w:hAnsi="Times New Roman"/>
          <w:sz w:val="24"/>
          <w:szCs w:val="24"/>
        </w:rPr>
        <w:t xml:space="preserve">jednakowego </w:t>
      </w:r>
      <w:r w:rsidRPr="00E24274">
        <w:rPr>
          <w:rFonts w:ascii="Times New Roman" w:hAnsi="Times New Roman"/>
          <w:sz w:val="24"/>
          <w:szCs w:val="24"/>
        </w:rPr>
        <w:t xml:space="preserve">traktowania uprawnionych, bez względu na podstawę </w:t>
      </w:r>
      <w:r w:rsidR="001551F5" w:rsidRPr="00E24274">
        <w:rPr>
          <w:rFonts w:ascii="Times New Roman" w:hAnsi="Times New Roman"/>
          <w:sz w:val="24"/>
          <w:szCs w:val="24"/>
        </w:rPr>
        <w:t xml:space="preserve">prawną </w:t>
      </w:r>
      <w:r w:rsidRPr="00E24274">
        <w:rPr>
          <w:rFonts w:ascii="Times New Roman" w:hAnsi="Times New Roman"/>
          <w:sz w:val="24"/>
          <w:szCs w:val="24"/>
        </w:rPr>
        <w:t>zbiorowego zarządzania ich prawami.</w:t>
      </w:r>
    </w:p>
    <w:p w:rsidR="0057371D" w:rsidRPr="00E24274" w:rsidRDefault="0057371D"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 xml:space="preserve">Po czwarte – projektowany art. 4 ust. 4 ustawy wprowadzi – jako jedną z ogólnych zasad – obowiązek starannego zbiorowego zarządzania prawami, w szczególności regularnego podziału i wypłaty przychodów z praw, wynikający z art. 11 ust. 2 dyrektywy CRM, ale obecnie niewyrażony wprost w przepisach pr. aut. W stosunku do dyrektywy zasada staranności została rozciągnięta na wszystkie czynności zbiorowego zarządzania, co uzasadnia umiejscowienie projektowanego przepisu w katalogu zasad </w:t>
      </w:r>
      <w:r w:rsidRPr="00E24274">
        <w:rPr>
          <w:rFonts w:ascii="Times New Roman" w:hAnsi="Times New Roman"/>
          <w:sz w:val="24"/>
          <w:szCs w:val="24"/>
        </w:rPr>
        <w:lastRenderedPageBreak/>
        <w:t>ogólnych. Jednocześnie przepis wyszczególnia podstawowe zadanie organizacji, jakim jest pobór przychodów z praw oraz ich</w:t>
      </w:r>
      <w:r w:rsidR="00EE7A29" w:rsidRPr="00E24274">
        <w:rPr>
          <w:rFonts w:ascii="Times New Roman" w:hAnsi="Times New Roman"/>
          <w:sz w:val="24"/>
          <w:szCs w:val="24"/>
        </w:rPr>
        <w:t xml:space="preserve"> podział i</w:t>
      </w:r>
      <w:r w:rsidRPr="00E24274">
        <w:rPr>
          <w:rFonts w:ascii="Times New Roman" w:hAnsi="Times New Roman"/>
          <w:sz w:val="24"/>
          <w:szCs w:val="24"/>
        </w:rPr>
        <w:t xml:space="preserve"> wypłata na rzecz uprawnionych.</w:t>
      </w:r>
    </w:p>
    <w:p w:rsidR="0057371D" w:rsidRPr="00E24274" w:rsidRDefault="0057371D" w:rsidP="00E24274">
      <w:pPr>
        <w:spacing w:before="120" w:after="0" w:line="360" w:lineRule="auto"/>
        <w:jc w:val="both"/>
        <w:rPr>
          <w:rFonts w:ascii="Times New Roman" w:hAnsi="Times New Roman"/>
          <w:b/>
          <w:sz w:val="24"/>
          <w:szCs w:val="24"/>
        </w:rPr>
      </w:pPr>
      <w:r w:rsidRPr="00E24274">
        <w:rPr>
          <w:rFonts w:ascii="Times New Roman" w:hAnsi="Times New Roman"/>
          <w:b/>
          <w:sz w:val="24"/>
          <w:szCs w:val="24"/>
        </w:rPr>
        <w:t>art. 5</w:t>
      </w:r>
    </w:p>
    <w:p w:rsidR="0057371D" w:rsidRPr="00E24274" w:rsidRDefault="001C7A6F" w:rsidP="00144B0B">
      <w:pPr>
        <w:spacing w:after="0" w:line="360" w:lineRule="auto"/>
        <w:jc w:val="both"/>
        <w:rPr>
          <w:rFonts w:ascii="Times New Roman" w:hAnsi="Times New Roman"/>
          <w:sz w:val="24"/>
          <w:szCs w:val="24"/>
        </w:rPr>
      </w:pPr>
      <w:r w:rsidRPr="00E24274">
        <w:rPr>
          <w:rFonts w:ascii="Times New Roman" w:hAnsi="Times New Roman"/>
          <w:sz w:val="24"/>
          <w:szCs w:val="24"/>
        </w:rPr>
        <w:t>1.</w:t>
      </w:r>
      <w:r w:rsidR="00EE7A29" w:rsidRPr="00E24274">
        <w:rPr>
          <w:rFonts w:ascii="Times New Roman" w:hAnsi="Times New Roman"/>
          <w:sz w:val="24"/>
          <w:szCs w:val="24"/>
        </w:rPr>
        <w:t xml:space="preserve"> </w:t>
      </w:r>
      <w:r w:rsidR="0057371D" w:rsidRPr="00E24274">
        <w:rPr>
          <w:rFonts w:ascii="Times New Roman" w:hAnsi="Times New Roman"/>
          <w:sz w:val="24"/>
          <w:szCs w:val="24"/>
        </w:rPr>
        <w:t xml:space="preserve">Projektowany art. 5 </w:t>
      </w:r>
      <w:r w:rsidRPr="00E24274">
        <w:rPr>
          <w:rFonts w:ascii="Times New Roman" w:hAnsi="Times New Roman"/>
          <w:sz w:val="24"/>
          <w:szCs w:val="24"/>
        </w:rPr>
        <w:t xml:space="preserve">ust. 1 </w:t>
      </w:r>
      <w:r w:rsidR="0057371D" w:rsidRPr="00E24274">
        <w:rPr>
          <w:rFonts w:ascii="Times New Roman" w:hAnsi="Times New Roman"/>
          <w:sz w:val="24"/>
          <w:szCs w:val="24"/>
        </w:rPr>
        <w:t xml:space="preserve">ma na celu utrzymanie obowiązującego obecnie na gruncie art. 105 ust. 1 pr. aut. domniemania, zgodnie z którym organizacja jest uprawniona do zbiorowego zarządzania w zakresie udzielonego jej zezwolenia oraz </w:t>
      </w:r>
      <w:r w:rsidR="00B211F9" w:rsidRPr="00E24274">
        <w:rPr>
          <w:rFonts w:ascii="Times New Roman" w:hAnsi="Times New Roman"/>
          <w:sz w:val="24"/>
          <w:szCs w:val="24"/>
        </w:rPr>
        <w:t xml:space="preserve">posiada </w:t>
      </w:r>
      <w:r w:rsidR="0057371D" w:rsidRPr="00E24274">
        <w:rPr>
          <w:rFonts w:ascii="Times New Roman" w:hAnsi="Times New Roman"/>
          <w:sz w:val="24"/>
          <w:szCs w:val="24"/>
        </w:rPr>
        <w:t xml:space="preserve">legitymację procesową w tym </w:t>
      </w:r>
      <w:r w:rsidR="00B211F9" w:rsidRPr="00E24274">
        <w:rPr>
          <w:rFonts w:ascii="Times New Roman" w:hAnsi="Times New Roman"/>
          <w:sz w:val="24"/>
          <w:szCs w:val="24"/>
        </w:rPr>
        <w:t>przedmiocie</w:t>
      </w:r>
      <w:r w:rsidR="00EE7A29" w:rsidRPr="00E24274">
        <w:rPr>
          <w:rFonts w:ascii="Times New Roman" w:hAnsi="Times New Roman"/>
          <w:sz w:val="24"/>
          <w:szCs w:val="24"/>
        </w:rPr>
        <w:t>.</w:t>
      </w:r>
      <w:r w:rsidR="0057371D" w:rsidRPr="00E24274">
        <w:rPr>
          <w:rFonts w:ascii="Times New Roman" w:hAnsi="Times New Roman"/>
          <w:sz w:val="24"/>
          <w:szCs w:val="24"/>
        </w:rPr>
        <w:t xml:space="preserve"> Zgodnie z utrwalonym orzecznictwem istotą tego domniemania jest </w:t>
      </w:r>
      <w:r w:rsidR="00E24274">
        <w:rPr>
          <w:rFonts w:ascii="Times New Roman" w:hAnsi="Times New Roman"/>
          <w:i/>
          <w:sz w:val="24"/>
          <w:szCs w:val="24"/>
        </w:rPr>
        <w:t>„</w:t>
      </w:r>
      <w:r w:rsidR="0057371D" w:rsidRPr="00E24274">
        <w:rPr>
          <w:rFonts w:ascii="Times New Roman" w:hAnsi="Times New Roman"/>
          <w:i/>
          <w:sz w:val="24"/>
          <w:szCs w:val="24"/>
        </w:rPr>
        <w:t>zwolnienie organizacji zbiorowego zarządzania od obowiązku wykazywania upoważnienia do reprezentacji w procesie o ochronę praw autorskich i pokrewnych na polach eksploatacji, które objęte są zezwoleniem</w:t>
      </w:r>
      <w:r w:rsidR="00E24274">
        <w:rPr>
          <w:rFonts w:ascii="Times New Roman" w:hAnsi="Times New Roman"/>
          <w:i/>
          <w:sz w:val="24"/>
          <w:szCs w:val="24"/>
        </w:rPr>
        <w:t>”</w:t>
      </w:r>
      <w:r w:rsidR="0057371D" w:rsidRPr="00E24274">
        <w:rPr>
          <w:rFonts w:ascii="Times New Roman" w:hAnsi="Times New Roman"/>
          <w:i/>
          <w:sz w:val="24"/>
          <w:szCs w:val="24"/>
        </w:rPr>
        <w:t xml:space="preserve"> </w:t>
      </w:r>
      <w:r w:rsidR="0057371D" w:rsidRPr="00E24274">
        <w:rPr>
          <w:rFonts w:ascii="Times New Roman" w:hAnsi="Times New Roman"/>
          <w:sz w:val="24"/>
          <w:szCs w:val="24"/>
        </w:rPr>
        <w:t>(wyrok Sądu Najwyższego z dnia 17 września 2014 r., sygn. akt I CSK 621/13). Ma ono więc przede wszystkim charakter procesowy i jest nieodzo</w:t>
      </w:r>
      <w:r w:rsidR="00144B0B">
        <w:rPr>
          <w:rFonts w:ascii="Times New Roman" w:hAnsi="Times New Roman"/>
          <w:sz w:val="24"/>
          <w:szCs w:val="24"/>
        </w:rPr>
        <w:t>wne przy dochodzeniu roszczeń w </w:t>
      </w:r>
      <w:r w:rsidR="0057371D" w:rsidRPr="00E24274">
        <w:rPr>
          <w:rFonts w:ascii="Times New Roman" w:hAnsi="Times New Roman"/>
          <w:sz w:val="24"/>
          <w:szCs w:val="24"/>
        </w:rPr>
        <w:t>przypadkach masowego korzystania z utworów</w:t>
      </w:r>
      <w:r w:rsidR="00EE7A29" w:rsidRPr="00E24274">
        <w:rPr>
          <w:rFonts w:ascii="Times New Roman" w:hAnsi="Times New Roman"/>
          <w:sz w:val="24"/>
          <w:szCs w:val="24"/>
        </w:rPr>
        <w:t xml:space="preserve"> i przedmiotów praw pokrewnych.</w:t>
      </w:r>
    </w:p>
    <w:p w:rsidR="0057371D" w:rsidRPr="00E24274" w:rsidRDefault="0057371D"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Obecne przepisy wskazują dodatkowo, że na powyższe domniemanie nie można się powołać, gdy do tego samego utworu lub artystycznego wykonania rości sobie tytuł więcej niż jedna organizacja. To ograniczenie możliwości korzystania z domniemania było dotychczas konieczne z uwagi na możliwość działania więcej niż jednej organizacji reprezentującej tą samą kategorię uprawnionych na tych samych polach eksploatacji. Powoływanie się na domniemanie było problematyczne w sytuacji dochodzenia roszczeń na rzecz uprawnionych, którzy nie powierzyli swoich praw żadnej organizacji. Projektowane przepisy rozstrzygają jednak w bardziej jednoznaczny sposób kwestię upoważnienia organizacji do ich reprezentowania, eliminując konieczność utrzymania powyższego wyjątku.</w:t>
      </w:r>
    </w:p>
    <w:p w:rsidR="001C7A6F" w:rsidRPr="00E24274" w:rsidRDefault="001C7A6F"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2. Na gruncie projektowanego art. 5 ust. 2 ustawy prawami tego rodzaju uprawnionych zarządzać będzie wyłącznie organizacja mająca status reprezentatywnej, stwierdzony na podstawie projektowanego art. 10. Przyznanie takiej rozszerzonej reprezentacji jest niezbędne dla wykonania tych przepisów pr. aut., które przewidują obowiązek pośrednictwa organizacji zbiorowego zarządzania przy zawarciu umowy (udzieleniu licencji) lub zapłacie wynagrodzenia. W jej braku legalna eksploatacja praw należących do uprawnionych niereprezentowanych przez żadną organizację nie byłaby możliwa.</w:t>
      </w:r>
    </w:p>
    <w:p w:rsidR="001C7A6F" w:rsidRPr="00E24274" w:rsidRDefault="001C7A6F"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 xml:space="preserve">Z obecnych przepisów pr. aut. nie wynika precyzyjnie, w jakich sytuacjach i na jakich zasadach umowa licencyjna wywołuje tego rodzaju rozszerzony skutek. </w:t>
      </w:r>
      <w:r w:rsidRPr="00E24274">
        <w:rPr>
          <w:rFonts w:ascii="Times New Roman" w:hAnsi="Times New Roman"/>
          <w:sz w:val="24"/>
          <w:szCs w:val="24"/>
        </w:rPr>
        <w:lastRenderedPageBreak/>
        <w:t>W</w:t>
      </w:r>
      <w:r w:rsidR="00144B0B">
        <w:rPr>
          <w:rFonts w:ascii="Times New Roman" w:hAnsi="Times New Roman"/>
          <w:sz w:val="24"/>
          <w:szCs w:val="24"/>
        </w:rPr>
        <w:t> </w:t>
      </w:r>
      <w:r w:rsidRPr="00E24274">
        <w:rPr>
          <w:rFonts w:ascii="Times New Roman" w:hAnsi="Times New Roman"/>
          <w:sz w:val="24"/>
          <w:szCs w:val="24"/>
        </w:rPr>
        <w:t>orzecznictwie</w:t>
      </w:r>
      <w:r w:rsidRPr="00E24274">
        <w:rPr>
          <w:rFonts w:ascii="Times New Roman" w:hAnsi="Times New Roman"/>
          <w:sz w:val="24"/>
          <w:szCs w:val="24"/>
          <w:vertAlign w:val="superscript"/>
        </w:rPr>
        <w:footnoteReference w:id="21"/>
      </w:r>
      <w:r w:rsidR="001E6F0B" w:rsidRPr="001E6F0B">
        <w:rPr>
          <w:rFonts w:ascii="Times New Roman" w:hAnsi="Times New Roman"/>
          <w:sz w:val="24"/>
          <w:szCs w:val="24"/>
          <w:vertAlign w:val="superscript"/>
        </w:rPr>
        <w:t>)</w:t>
      </w:r>
      <w:r w:rsidRPr="00E24274">
        <w:rPr>
          <w:rFonts w:ascii="Times New Roman" w:hAnsi="Times New Roman"/>
          <w:sz w:val="24"/>
          <w:szCs w:val="24"/>
        </w:rPr>
        <w:t xml:space="preserve"> i doktrynie prawa autorskiego brak jest zgody co do tego, czy jego podstawą – a tym samym podstawą roszczeń organizacji wykraczających poza faktycznie powierzony repertuar – jest obowiązkowe pośrednictwo, uznanie organizacji za </w:t>
      </w:r>
      <w:r w:rsidR="00E24274">
        <w:rPr>
          <w:rFonts w:ascii="Times New Roman" w:hAnsi="Times New Roman"/>
          <w:sz w:val="24"/>
          <w:szCs w:val="24"/>
        </w:rPr>
        <w:t>„</w:t>
      </w:r>
      <w:r w:rsidRPr="00E24274">
        <w:rPr>
          <w:rFonts w:ascii="Times New Roman" w:hAnsi="Times New Roman"/>
          <w:sz w:val="24"/>
          <w:szCs w:val="24"/>
        </w:rPr>
        <w:t>właściwą</w:t>
      </w:r>
      <w:r w:rsidR="00E24274">
        <w:rPr>
          <w:rFonts w:ascii="Times New Roman" w:hAnsi="Times New Roman"/>
          <w:sz w:val="24"/>
          <w:szCs w:val="24"/>
        </w:rPr>
        <w:t>”</w:t>
      </w:r>
      <w:r w:rsidRPr="00E24274">
        <w:rPr>
          <w:rFonts w:ascii="Times New Roman" w:hAnsi="Times New Roman"/>
          <w:sz w:val="24"/>
          <w:szCs w:val="24"/>
        </w:rPr>
        <w:t xml:space="preserve"> w rozumieniu art. 107 pr. aut., domniemanie reprezentacji, o którym mowa w art. 105 ust. 1 pr. aut., powoływanie się </w:t>
      </w:r>
      <w:r w:rsidR="00144B0B">
        <w:rPr>
          <w:rFonts w:ascii="Times New Roman" w:hAnsi="Times New Roman"/>
          <w:sz w:val="24"/>
          <w:szCs w:val="24"/>
        </w:rPr>
        <w:t>przez organizacje na przepisy o </w:t>
      </w:r>
      <w:r w:rsidRPr="00E24274">
        <w:rPr>
          <w:rFonts w:ascii="Times New Roman" w:hAnsi="Times New Roman"/>
          <w:sz w:val="24"/>
          <w:szCs w:val="24"/>
        </w:rPr>
        <w:t>prowadzeniu cudzych spraw bez zlecenia czy też określana w różny sposób kombinacja powyższych podstaw. Brak jednoznaczności w tym zakresie nie daje użytkownikom pewności co do nabycia potrzebnego im zakresu uprawnień. Nie daje także uprawnionym niereprezentowanym przez żadną organizację wymaganej dyrektywą CRM gwarancji równego traktowania przy dochodzeniu roszczeń wobec organizacji, która – w oparciu o tę czy inną podstawę prawną – udzieliła licencji obejmującej ich prawa lub zainkasowała na ich rzecz wynagrodzenie. Może prowadzić to też do sytuacji, w której kilka organizacji udzieli licencji obejmujących ten sam, niereprezentowany przez nikogo repertuar</w:t>
      </w:r>
      <w:r w:rsidRPr="00E24274">
        <w:rPr>
          <w:rFonts w:ascii="Times New Roman" w:hAnsi="Times New Roman"/>
          <w:sz w:val="24"/>
          <w:szCs w:val="24"/>
          <w:vertAlign w:val="superscript"/>
        </w:rPr>
        <w:footnoteReference w:id="22"/>
      </w:r>
      <w:r w:rsidR="001E6F0B" w:rsidRPr="001E6F0B">
        <w:rPr>
          <w:rFonts w:ascii="Times New Roman" w:hAnsi="Times New Roman"/>
          <w:sz w:val="24"/>
          <w:szCs w:val="24"/>
          <w:vertAlign w:val="superscript"/>
        </w:rPr>
        <w:t>)</w:t>
      </w:r>
      <w:r w:rsidRPr="00E24274">
        <w:rPr>
          <w:rFonts w:ascii="Times New Roman" w:hAnsi="Times New Roman"/>
          <w:sz w:val="24"/>
          <w:szCs w:val="24"/>
        </w:rPr>
        <w:t>.</w:t>
      </w:r>
    </w:p>
    <w:p w:rsidR="001C7A6F" w:rsidRPr="00E24274" w:rsidRDefault="001C7A6F"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 xml:space="preserve">3. Projektowana ustawa zmierza do uporządkowania kwestii zarządzania prawami niepowierzonymi żadnej organizacji w przypadkach, w których ich pośrednictwo jest obowiązkowe – zarówno przy zawarciu umowy, </w:t>
      </w:r>
      <w:r w:rsidR="00144B0B">
        <w:rPr>
          <w:rFonts w:ascii="Times New Roman" w:hAnsi="Times New Roman"/>
          <w:sz w:val="24"/>
          <w:szCs w:val="24"/>
        </w:rPr>
        <w:t>jak i zapłacie wynagrodzenia. W </w:t>
      </w:r>
      <w:r w:rsidRPr="00E24274">
        <w:rPr>
          <w:rFonts w:ascii="Times New Roman" w:hAnsi="Times New Roman"/>
          <w:sz w:val="24"/>
          <w:szCs w:val="24"/>
        </w:rPr>
        <w:t>oparciu o rozwiązania znane w systemach skandynawskich, gdzie mechanizmy rozszerzonych zbiorowych licencji są powszechnie stos</w:t>
      </w:r>
      <w:r w:rsidR="00144B0B">
        <w:rPr>
          <w:rFonts w:ascii="Times New Roman" w:hAnsi="Times New Roman"/>
          <w:sz w:val="24"/>
          <w:szCs w:val="24"/>
        </w:rPr>
        <w:t>owane od kilkudziesięciu lat, w </w:t>
      </w:r>
      <w:r w:rsidRPr="00E24274">
        <w:rPr>
          <w:rFonts w:ascii="Times New Roman" w:hAnsi="Times New Roman"/>
          <w:sz w:val="24"/>
          <w:szCs w:val="24"/>
        </w:rPr>
        <w:t>doktrynie prawa autorskiego przyjęto, że tego typu rozwiązania powinny spełniać następujące warunki, tj.:</w:t>
      </w:r>
    </w:p>
    <w:p w:rsidR="001C7A6F" w:rsidRPr="00E24274" w:rsidRDefault="001C7A6F" w:rsidP="00144B0B">
      <w:pPr>
        <w:numPr>
          <w:ilvl w:val="0"/>
          <w:numId w:val="9"/>
        </w:numPr>
        <w:spacing w:after="0" w:line="360" w:lineRule="auto"/>
        <w:ind w:left="335" w:hanging="335"/>
        <w:jc w:val="both"/>
        <w:rPr>
          <w:rFonts w:ascii="Times New Roman" w:hAnsi="Times New Roman"/>
          <w:sz w:val="24"/>
          <w:szCs w:val="24"/>
        </w:rPr>
      </w:pPr>
      <w:r w:rsidRPr="00E24274">
        <w:rPr>
          <w:rFonts w:ascii="Times New Roman" w:hAnsi="Times New Roman"/>
          <w:sz w:val="24"/>
          <w:szCs w:val="24"/>
        </w:rPr>
        <w:t>rozszerzony skutek powinien wynikać z umowy zawartej pomiędzy reprezentatywną organizacją zbiorowego zarządzania a użytkownikiem,</w:t>
      </w:r>
    </w:p>
    <w:p w:rsidR="001C7A6F" w:rsidRPr="00E24274" w:rsidRDefault="001C7A6F" w:rsidP="00144B0B">
      <w:pPr>
        <w:numPr>
          <w:ilvl w:val="0"/>
          <w:numId w:val="9"/>
        </w:numPr>
        <w:spacing w:after="0" w:line="360" w:lineRule="auto"/>
        <w:ind w:left="335" w:hanging="335"/>
        <w:jc w:val="both"/>
        <w:rPr>
          <w:rFonts w:ascii="Times New Roman" w:hAnsi="Times New Roman"/>
          <w:sz w:val="24"/>
          <w:szCs w:val="24"/>
        </w:rPr>
      </w:pPr>
      <w:r w:rsidRPr="00E24274">
        <w:rPr>
          <w:rFonts w:ascii="Times New Roman" w:hAnsi="Times New Roman"/>
          <w:sz w:val="24"/>
          <w:szCs w:val="24"/>
        </w:rPr>
        <w:t>polega on na objęciu taką umową uprawnionych tej samej kategorii w odniesieniu do tych samych praw (pól eksploatacji) co uprawnionych reprezentowanych przez organizację,</w:t>
      </w:r>
    </w:p>
    <w:p w:rsidR="001C7A6F" w:rsidRPr="00E24274" w:rsidRDefault="001C7A6F" w:rsidP="00144B0B">
      <w:pPr>
        <w:numPr>
          <w:ilvl w:val="0"/>
          <w:numId w:val="9"/>
        </w:numPr>
        <w:spacing w:after="0" w:line="360" w:lineRule="auto"/>
        <w:ind w:left="335" w:hanging="335"/>
        <w:jc w:val="both"/>
        <w:rPr>
          <w:rFonts w:ascii="Times New Roman" w:hAnsi="Times New Roman"/>
          <w:sz w:val="24"/>
          <w:szCs w:val="24"/>
        </w:rPr>
      </w:pPr>
      <w:r w:rsidRPr="00E24274">
        <w:rPr>
          <w:rFonts w:ascii="Times New Roman" w:hAnsi="Times New Roman"/>
          <w:sz w:val="24"/>
          <w:szCs w:val="24"/>
        </w:rPr>
        <w:t>niereprezentowany uprawniony zachowuje indywidualne roszczenie wobec organizacji o zapłatę wynagrodzenia z tytułu zawartej umowy, na zasadach równego traktowania z pozostałymi uprawnionymi,</w:t>
      </w:r>
    </w:p>
    <w:p w:rsidR="001C7A6F" w:rsidRPr="00E24274" w:rsidRDefault="001C7A6F" w:rsidP="00144B0B">
      <w:pPr>
        <w:numPr>
          <w:ilvl w:val="0"/>
          <w:numId w:val="9"/>
        </w:numPr>
        <w:spacing w:after="0" w:line="360" w:lineRule="auto"/>
        <w:ind w:left="335" w:hanging="335"/>
        <w:jc w:val="both"/>
        <w:rPr>
          <w:rFonts w:ascii="Times New Roman" w:hAnsi="Times New Roman"/>
          <w:sz w:val="24"/>
          <w:szCs w:val="24"/>
        </w:rPr>
      </w:pPr>
      <w:r w:rsidRPr="00E24274">
        <w:rPr>
          <w:rFonts w:ascii="Times New Roman" w:hAnsi="Times New Roman"/>
          <w:sz w:val="24"/>
          <w:szCs w:val="24"/>
        </w:rPr>
        <w:lastRenderedPageBreak/>
        <w:t>niereprezentowany uprawniony ma, w określonym w przepisach zakresie, możliwość wystąpienia z systemu rozszerzonych umów zbiorowych (</w:t>
      </w:r>
      <w:r w:rsidRPr="00E24274">
        <w:rPr>
          <w:rFonts w:ascii="Times New Roman" w:hAnsi="Times New Roman"/>
          <w:i/>
          <w:sz w:val="24"/>
          <w:szCs w:val="24"/>
        </w:rPr>
        <w:t>opt-out</w:t>
      </w:r>
      <w:r w:rsidRPr="00E24274">
        <w:rPr>
          <w:rFonts w:ascii="Times New Roman" w:hAnsi="Times New Roman"/>
          <w:sz w:val="24"/>
          <w:szCs w:val="24"/>
        </w:rPr>
        <w:t>).</w:t>
      </w:r>
      <w:r w:rsidRPr="00E24274">
        <w:rPr>
          <w:rFonts w:ascii="Times New Roman" w:hAnsi="Times New Roman"/>
          <w:sz w:val="24"/>
          <w:szCs w:val="24"/>
          <w:vertAlign w:val="superscript"/>
        </w:rPr>
        <w:footnoteReference w:id="23"/>
      </w:r>
      <w:r w:rsidR="001E6F0B" w:rsidRPr="001E6F0B">
        <w:rPr>
          <w:rFonts w:ascii="Times New Roman" w:hAnsi="Times New Roman"/>
          <w:sz w:val="24"/>
          <w:szCs w:val="24"/>
          <w:vertAlign w:val="superscript"/>
        </w:rPr>
        <w:t>)</w:t>
      </w:r>
    </w:p>
    <w:p w:rsidR="001C7A6F" w:rsidRPr="00E24274" w:rsidRDefault="001C7A6F"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 xml:space="preserve">Do zawarcia umowy ze skutkiem rozszerzonym będzie uprawniona wyłącznie organizacja reprezentatywna w rozumieniu </w:t>
      </w:r>
      <w:r w:rsidR="00D85088" w:rsidRPr="00E24274">
        <w:rPr>
          <w:rFonts w:ascii="Times New Roman" w:hAnsi="Times New Roman"/>
          <w:sz w:val="24"/>
          <w:szCs w:val="24"/>
        </w:rPr>
        <w:t xml:space="preserve">projektowanego </w:t>
      </w:r>
      <w:r w:rsidRPr="00E24274">
        <w:rPr>
          <w:rFonts w:ascii="Times New Roman" w:hAnsi="Times New Roman"/>
          <w:sz w:val="24"/>
          <w:szCs w:val="24"/>
        </w:rPr>
        <w:t>art. 10. Jeżeli daną kategorię uprawnionych na tym samym polu eksploatacji reprezentuje tylko jedna organizacja, umowa z mocy prawa obejmie zarówno jej własny repertuar (którym zarządza bezpośrednio na podstawie umowy</w:t>
      </w:r>
      <w:r w:rsidR="00A833CD">
        <w:rPr>
          <w:rFonts w:ascii="Times New Roman" w:hAnsi="Times New Roman"/>
          <w:sz w:val="24"/>
          <w:szCs w:val="24"/>
        </w:rPr>
        <w:t xml:space="preserve"> o zbiorowym zarządzaniu albo </w:t>
      </w:r>
      <w:r w:rsidRPr="00E24274">
        <w:rPr>
          <w:rFonts w:ascii="Times New Roman" w:hAnsi="Times New Roman"/>
          <w:sz w:val="24"/>
          <w:szCs w:val="24"/>
        </w:rPr>
        <w:t>przez umowę o reprezentacji), jak i repertuar pozostały. Gdy natomiast w tym samym zakresie działa więcej niż jedna organizacja, każda z nich będzie mogła udzielić licencji obejmującej repertuar własny (którym zarządza be</w:t>
      </w:r>
      <w:r w:rsidR="00144B0B">
        <w:rPr>
          <w:rFonts w:ascii="Times New Roman" w:hAnsi="Times New Roman"/>
          <w:sz w:val="24"/>
          <w:szCs w:val="24"/>
        </w:rPr>
        <w:t>zpośrednio na podstawie umowy o </w:t>
      </w:r>
      <w:r w:rsidR="00C97A71">
        <w:rPr>
          <w:rFonts w:ascii="Times New Roman" w:hAnsi="Times New Roman"/>
          <w:sz w:val="24"/>
          <w:szCs w:val="24"/>
        </w:rPr>
        <w:t xml:space="preserve">zbiorowym zarządzaniu albo </w:t>
      </w:r>
      <w:r w:rsidRPr="00E24274">
        <w:rPr>
          <w:rFonts w:ascii="Times New Roman" w:hAnsi="Times New Roman"/>
          <w:sz w:val="24"/>
          <w:szCs w:val="24"/>
        </w:rPr>
        <w:t>przez umowę o reprezentacji), natomiast tylko umowa z organizacją reprezentatywną obejmie repertuar poz</w:t>
      </w:r>
      <w:r w:rsidR="00144B0B">
        <w:rPr>
          <w:rFonts w:ascii="Times New Roman" w:hAnsi="Times New Roman"/>
          <w:sz w:val="24"/>
          <w:szCs w:val="24"/>
        </w:rPr>
        <w:t>ostały. Na potrzeby przepisów o </w:t>
      </w:r>
      <w:r w:rsidRPr="00E24274">
        <w:rPr>
          <w:rFonts w:ascii="Times New Roman" w:hAnsi="Times New Roman"/>
          <w:sz w:val="24"/>
          <w:szCs w:val="24"/>
        </w:rPr>
        <w:t>obowiązkowym pośrednictwie powyższa zasada została odzwierci</w:t>
      </w:r>
      <w:r w:rsidR="00144B0B">
        <w:rPr>
          <w:rFonts w:ascii="Times New Roman" w:hAnsi="Times New Roman"/>
          <w:sz w:val="24"/>
          <w:szCs w:val="24"/>
        </w:rPr>
        <w:t>edlona we </w:t>
      </w:r>
      <w:r w:rsidRPr="00E24274">
        <w:rPr>
          <w:rFonts w:ascii="Times New Roman" w:hAnsi="Times New Roman"/>
          <w:sz w:val="24"/>
          <w:szCs w:val="24"/>
        </w:rPr>
        <w:t xml:space="preserve">wprowadzonej w art. 6 </w:t>
      </w:r>
      <w:r w:rsidR="00D85088" w:rsidRPr="00E24274">
        <w:rPr>
          <w:rFonts w:ascii="Times New Roman" w:hAnsi="Times New Roman"/>
          <w:sz w:val="24"/>
          <w:szCs w:val="24"/>
        </w:rPr>
        <w:t xml:space="preserve">ust. 1 </w:t>
      </w:r>
      <w:r w:rsidRPr="00E24274">
        <w:rPr>
          <w:rFonts w:ascii="Times New Roman" w:hAnsi="Times New Roman"/>
          <w:sz w:val="24"/>
          <w:szCs w:val="24"/>
        </w:rPr>
        <w:t>pkt 15 pr. aut. definicji organizacji właściwej.</w:t>
      </w:r>
    </w:p>
    <w:p w:rsidR="001C7A6F" w:rsidRPr="00E24274" w:rsidRDefault="001C7A6F"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 xml:space="preserve">4. Szczegółowe zasady i skutki udzielania rozszerzonych licencji zbiorowych zostaną określone w art. 5 ust. 3 i 4, natomiast </w:t>
      </w:r>
      <w:r w:rsidRPr="00E24274">
        <w:rPr>
          <w:rFonts w:ascii="Times New Roman" w:hAnsi="Times New Roman"/>
          <w:i/>
          <w:sz w:val="24"/>
          <w:szCs w:val="24"/>
        </w:rPr>
        <w:t>opt-out</w:t>
      </w:r>
      <w:r w:rsidRPr="00E24274">
        <w:rPr>
          <w:rFonts w:ascii="Times New Roman" w:hAnsi="Times New Roman"/>
          <w:sz w:val="24"/>
          <w:szCs w:val="24"/>
        </w:rPr>
        <w:t xml:space="preserve"> będzie wykonywany na zasadach określonych w przepisach pr. aut. dotyczących obowiązkowego pośrednictwa organizacji zbiorowego zarządzania.</w:t>
      </w:r>
    </w:p>
    <w:p w:rsidR="001C7A6F" w:rsidRPr="00E24274" w:rsidRDefault="001C7A6F"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Projektowany art. 5 ust. 3 definiuje rozszerzony skutek jako upoważnienie do korzystania także z utworów lub przedmiotów praw pokrewnych tej samej kategorii, do których prawa przysługują uprawnionym niereprezentowanym przez żadną organizację. Skutek taki będzie wywoływać z mocy ustawy umowa zawarta w przypadkach obowiązkowego pośrednictwa organizacji, o ile uprawniony – tam, gdzie może to uczynić na gruncie przepisów pr. aut. – nie zrzekł się pośrednictwa organizacji lub nie zawarł umowy bezpośrednio z użytkownikiem.</w:t>
      </w:r>
    </w:p>
    <w:p w:rsidR="001C7A6F" w:rsidRPr="00E24274" w:rsidRDefault="001C7A6F"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Natomiast projektowany art. 5 ust. 4 określa zasady reprezentacji uprawnionego, który nie powierzył praw żadnej organizacji, a jego prawa zos</w:t>
      </w:r>
      <w:r w:rsidR="00144B0B">
        <w:rPr>
          <w:rFonts w:ascii="Times New Roman" w:hAnsi="Times New Roman"/>
          <w:sz w:val="24"/>
          <w:szCs w:val="24"/>
        </w:rPr>
        <w:t>tały objęte umową z </w:t>
      </w:r>
      <w:r w:rsidRPr="00E24274">
        <w:rPr>
          <w:rFonts w:ascii="Times New Roman" w:hAnsi="Times New Roman"/>
          <w:sz w:val="24"/>
          <w:szCs w:val="24"/>
        </w:rPr>
        <w:t xml:space="preserve">rozszerzonym skutkiem. Roszczenie o zapłatę wynagrodzenia z tego tytułu będzie mu przysługiwać na takich samych warunkach jak uprawnionym tej samej kategorii, którzy zawarli z daną organizacją umowę o zbiorowe zarządzanie, i tylko wobec tej </w:t>
      </w:r>
      <w:r w:rsidRPr="00E24274">
        <w:rPr>
          <w:rFonts w:ascii="Times New Roman" w:hAnsi="Times New Roman"/>
          <w:sz w:val="24"/>
          <w:szCs w:val="24"/>
        </w:rPr>
        <w:lastRenderedPageBreak/>
        <w:t>organizacji. Nie wyłącza to oczywiście możliwości</w:t>
      </w:r>
      <w:r w:rsidR="00144B0B">
        <w:rPr>
          <w:rFonts w:ascii="Times New Roman" w:hAnsi="Times New Roman"/>
          <w:sz w:val="24"/>
          <w:szCs w:val="24"/>
        </w:rPr>
        <w:t xml:space="preserve"> zawarcia z organizacją umowy o </w:t>
      </w:r>
      <w:r w:rsidRPr="00E24274">
        <w:rPr>
          <w:rFonts w:ascii="Times New Roman" w:hAnsi="Times New Roman"/>
          <w:sz w:val="24"/>
          <w:szCs w:val="24"/>
        </w:rPr>
        <w:t xml:space="preserve">zbiorowe zarządzanie jego prawami, przy czym umowa taka nie wywoła skutków wstecz – za okres przed jej zawarciem uprawniony będzie dochodził roszczeń na podstawie projektowanego przepisu, a nie umowy. </w:t>
      </w:r>
    </w:p>
    <w:p w:rsidR="00E3773B" w:rsidRPr="00E24274" w:rsidRDefault="001C7A6F"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5. W zakresie regulowanym przez powyższe przepisy wykluczone będzie reprezentowanie uprawnionych przez organizację na zasadach prowadzenia cudzych spraw bez zlecenia. Powołanie się na t</w:t>
      </w:r>
      <w:r w:rsidR="005F2ECA">
        <w:rPr>
          <w:rFonts w:ascii="Times New Roman" w:hAnsi="Times New Roman"/>
          <w:sz w:val="24"/>
          <w:szCs w:val="24"/>
        </w:rPr>
        <w:t>ę</w:t>
      </w:r>
      <w:r w:rsidRPr="00E24274">
        <w:rPr>
          <w:rFonts w:ascii="Times New Roman" w:hAnsi="Times New Roman"/>
          <w:sz w:val="24"/>
          <w:szCs w:val="24"/>
        </w:rPr>
        <w:t xml:space="preserve"> podstawę prawną powinno być uznawane za obejście ustawowych zasad rozstrzygających uprawnienia organizacji w odniesieniu do praw jej nie przekazanych w zarząd na podstawie u</w:t>
      </w:r>
      <w:r w:rsidR="00144B0B">
        <w:rPr>
          <w:rFonts w:ascii="Times New Roman" w:hAnsi="Times New Roman"/>
          <w:sz w:val="24"/>
          <w:szCs w:val="24"/>
        </w:rPr>
        <w:t>mowy o zbiorowe zarządzanie. Do </w:t>
      </w:r>
      <w:r w:rsidRPr="00E24274">
        <w:rPr>
          <w:rFonts w:ascii="Times New Roman" w:hAnsi="Times New Roman"/>
          <w:sz w:val="24"/>
          <w:szCs w:val="24"/>
        </w:rPr>
        <w:t xml:space="preserve">podobnej konkluzji doszedł Sąd Najwyższy w uzasadnieniu wyroku z </w:t>
      </w:r>
      <w:r w:rsidR="005F2ECA">
        <w:rPr>
          <w:rFonts w:ascii="Times New Roman" w:hAnsi="Times New Roman"/>
          <w:sz w:val="24"/>
          <w:szCs w:val="24"/>
        </w:rPr>
        <w:t xml:space="preserve">dnia </w:t>
      </w:r>
      <w:r w:rsidRPr="00E24274">
        <w:rPr>
          <w:rFonts w:ascii="Times New Roman" w:hAnsi="Times New Roman"/>
          <w:sz w:val="24"/>
          <w:szCs w:val="24"/>
        </w:rPr>
        <w:t>16</w:t>
      </w:r>
      <w:r w:rsidR="006E09E7">
        <w:rPr>
          <w:rFonts w:ascii="Times New Roman" w:hAnsi="Times New Roman"/>
          <w:sz w:val="24"/>
          <w:szCs w:val="24"/>
        </w:rPr>
        <w:t> </w:t>
      </w:r>
      <w:r w:rsidRPr="00E24274">
        <w:rPr>
          <w:rFonts w:ascii="Times New Roman" w:hAnsi="Times New Roman"/>
          <w:sz w:val="24"/>
          <w:szCs w:val="24"/>
        </w:rPr>
        <w:t xml:space="preserve">września 2009 r., sygn. akt I CSK 35/09, uznając, że powoływanie się na </w:t>
      </w:r>
      <w:r w:rsidRPr="00E24274">
        <w:rPr>
          <w:rFonts w:ascii="Times New Roman" w:hAnsi="Times New Roman"/>
          <w:i/>
          <w:sz w:val="24"/>
          <w:szCs w:val="24"/>
        </w:rPr>
        <w:t>negotiorum gestio</w:t>
      </w:r>
      <w:r w:rsidR="00144B0B">
        <w:rPr>
          <w:rFonts w:ascii="Times New Roman" w:hAnsi="Times New Roman"/>
          <w:sz w:val="24"/>
          <w:szCs w:val="24"/>
        </w:rPr>
        <w:t xml:space="preserve"> w </w:t>
      </w:r>
      <w:r w:rsidRPr="00E24274">
        <w:rPr>
          <w:rFonts w:ascii="Times New Roman" w:hAnsi="Times New Roman"/>
          <w:sz w:val="24"/>
          <w:szCs w:val="24"/>
        </w:rPr>
        <w:t>przypadku dochodzenia roszczeń z art. 70 ust. 2</w:t>
      </w:r>
      <w:r w:rsidRPr="00E24274">
        <w:rPr>
          <w:rFonts w:ascii="Times New Roman" w:hAnsi="Times New Roman"/>
          <w:sz w:val="24"/>
          <w:szCs w:val="24"/>
          <w:vertAlign w:val="superscript"/>
        </w:rPr>
        <w:t>1</w:t>
      </w:r>
      <w:r w:rsidRPr="00E24274">
        <w:rPr>
          <w:rFonts w:ascii="Times New Roman" w:hAnsi="Times New Roman"/>
          <w:sz w:val="24"/>
          <w:szCs w:val="24"/>
        </w:rPr>
        <w:t xml:space="preserve"> pr. aut. w sytuacji istnienia dwóch organizacji na jednym polu eksploatacji stanowi obejście art. 107 pr. aut.</w:t>
      </w:r>
    </w:p>
    <w:p w:rsidR="00D04546" w:rsidRPr="00E24274" w:rsidRDefault="00D04546" w:rsidP="00E24274">
      <w:pPr>
        <w:spacing w:before="120" w:after="0" w:line="360" w:lineRule="auto"/>
        <w:jc w:val="both"/>
        <w:rPr>
          <w:rFonts w:ascii="Times New Roman" w:hAnsi="Times New Roman"/>
          <w:b/>
          <w:sz w:val="24"/>
          <w:szCs w:val="24"/>
        </w:rPr>
      </w:pPr>
      <w:r w:rsidRPr="00E24274">
        <w:rPr>
          <w:rFonts w:ascii="Times New Roman" w:hAnsi="Times New Roman"/>
          <w:b/>
          <w:sz w:val="24"/>
          <w:szCs w:val="24"/>
        </w:rPr>
        <w:t>II. 2. Rozdział 2. Zezwolenia na zbiorowe zarządzanie</w:t>
      </w:r>
      <w:r w:rsidR="00B211F9" w:rsidRPr="00E24274">
        <w:rPr>
          <w:rFonts w:ascii="Times New Roman" w:hAnsi="Times New Roman"/>
          <w:b/>
          <w:sz w:val="24"/>
          <w:szCs w:val="24"/>
        </w:rPr>
        <w:t xml:space="preserve"> prawami autorskimi lub prawami pokrewnymi</w:t>
      </w:r>
      <w:r w:rsidRPr="00E24274">
        <w:rPr>
          <w:rFonts w:ascii="Times New Roman" w:hAnsi="Times New Roman"/>
          <w:b/>
          <w:sz w:val="24"/>
          <w:szCs w:val="24"/>
        </w:rPr>
        <w:t xml:space="preserve"> (art. 6–11 projektu)</w:t>
      </w:r>
    </w:p>
    <w:p w:rsidR="00D04546" w:rsidRPr="00E24274" w:rsidRDefault="00D04546"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 xml:space="preserve">Projektowany rozdział reguluje kwestię wydawania przez ministra właściwego do spraw kultury i ochrony dziedzictwa narodowego zezwoleń na zbiorowe zarządzanie. Przepisy nie stanowią implementacji dyrektywy CRM, która w projektowanym zakresie jest neutralna, co </w:t>
      </w:r>
      <w:r w:rsidRPr="00E24274">
        <w:rPr>
          <w:rFonts w:ascii="Times New Roman" w:hAnsi="Times New Roman"/>
          <w:i/>
          <w:sz w:val="24"/>
          <w:szCs w:val="24"/>
        </w:rPr>
        <w:t xml:space="preserve">expressis verbis </w:t>
      </w:r>
      <w:r w:rsidRPr="00E24274">
        <w:rPr>
          <w:rFonts w:ascii="Times New Roman" w:hAnsi="Times New Roman"/>
          <w:sz w:val="24"/>
          <w:szCs w:val="24"/>
        </w:rPr>
        <w:t>wynika z pkt 50 jej preambuły</w:t>
      </w:r>
      <w:r w:rsidRPr="00E24274">
        <w:rPr>
          <w:rFonts w:ascii="Times New Roman" w:hAnsi="Times New Roman"/>
          <w:sz w:val="24"/>
          <w:szCs w:val="24"/>
          <w:vertAlign w:val="superscript"/>
        </w:rPr>
        <w:footnoteReference w:id="24"/>
      </w:r>
      <w:r w:rsidR="001E6F0B" w:rsidRPr="001E6F0B">
        <w:rPr>
          <w:rFonts w:ascii="Times New Roman" w:hAnsi="Times New Roman"/>
          <w:sz w:val="24"/>
          <w:szCs w:val="24"/>
          <w:vertAlign w:val="superscript"/>
        </w:rPr>
        <w:t>)</w:t>
      </w:r>
      <w:r w:rsidRPr="00E24274">
        <w:rPr>
          <w:rFonts w:ascii="Times New Roman" w:hAnsi="Times New Roman"/>
          <w:sz w:val="24"/>
          <w:szCs w:val="24"/>
        </w:rPr>
        <w:t>. Oznacza to, że na gruncie dyrektywy CRM kwestia istnienia oraz zasad i trybu udzielania zezwoleń na wykonywanie zbiorowego zarządu przez organizacje zbiorowego zarządzania została pozostawiona do wyłącznej decyzji poszczegól</w:t>
      </w:r>
      <w:r w:rsidR="00144B0B">
        <w:rPr>
          <w:rFonts w:ascii="Times New Roman" w:hAnsi="Times New Roman"/>
          <w:sz w:val="24"/>
          <w:szCs w:val="24"/>
        </w:rPr>
        <w:t>nych państw członkowskich UE. W </w:t>
      </w:r>
      <w:r w:rsidRPr="00E24274">
        <w:rPr>
          <w:rFonts w:ascii="Times New Roman" w:hAnsi="Times New Roman"/>
          <w:sz w:val="24"/>
          <w:szCs w:val="24"/>
        </w:rPr>
        <w:t>Polsce instytucja zezwoleń na zbiorowe zarządzanie istnieje od początku obowiązywania pr. aut. Zasadnym jest jej dalsze u</w:t>
      </w:r>
      <w:r w:rsidR="00144B0B">
        <w:rPr>
          <w:rFonts w:ascii="Times New Roman" w:hAnsi="Times New Roman"/>
          <w:sz w:val="24"/>
          <w:szCs w:val="24"/>
        </w:rPr>
        <w:t>trzymywanie, które jest jedną z </w:t>
      </w:r>
      <w:r w:rsidRPr="00E24274">
        <w:rPr>
          <w:rFonts w:ascii="Times New Roman" w:hAnsi="Times New Roman"/>
          <w:sz w:val="24"/>
          <w:szCs w:val="24"/>
        </w:rPr>
        <w:t>gwarancji, że podmioty wykonujące zbiorowe zarządzanie będą do tego należycie przygotowane, a ich nadmierna liczba nie utrudni użytkownikom w praktyce uzyskiwania licencji. Istnienie systemu zezwoleń korespondu</w:t>
      </w:r>
      <w:r w:rsidR="00144B0B">
        <w:rPr>
          <w:rFonts w:ascii="Times New Roman" w:hAnsi="Times New Roman"/>
          <w:sz w:val="24"/>
          <w:szCs w:val="24"/>
        </w:rPr>
        <w:t>je również z </w:t>
      </w:r>
      <w:r w:rsidRPr="00E24274">
        <w:rPr>
          <w:rFonts w:ascii="Times New Roman" w:hAnsi="Times New Roman"/>
          <w:sz w:val="24"/>
          <w:szCs w:val="24"/>
        </w:rPr>
        <w:t>umocowaniem organu nadzoru do stałego nadzorowania działających organizacji zbiorowego zarządzania</w:t>
      </w:r>
      <w:r w:rsidR="00A716C9" w:rsidRPr="00E24274">
        <w:rPr>
          <w:rFonts w:ascii="Times New Roman" w:hAnsi="Times New Roman"/>
          <w:sz w:val="24"/>
          <w:szCs w:val="24"/>
        </w:rPr>
        <w:t xml:space="preserve">, do czego jest on zobowiązany na gruncie art. </w:t>
      </w:r>
      <w:r w:rsidR="008A74C9" w:rsidRPr="00E24274">
        <w:rPr>
          <w:rFonts w:ascii="Times New Roman" w:hAnsi="Times New Roman"/>
          <w:sz w:val="24"/>
          <w:szCs w:val="24"/>
        </w:rPr>
        <w:t>36 ust. 1 dyrektywy CRM</w:t>
      </w:r>
      <w:r w:rsidRPr="00E24274">
        <w:rPr>
          <w:rFonts w:ascii="Times New Roman" w:hAnsi="Times New Roman"/>
          <w:sz w:val="24"/>
          <w:szCs w:val="24"/>
        </w:rPr>
        <w:t xml:space="preserve">. Jednocześnie przyjęcie nowej regulacji umożliwia wyeliminowanie mankamentów obecnych rozwiązań prawnych w tym zakresie, które zostały </w:t>
      </w:r>
      <w:r w:rsidRPr="00E24274">
        <w:rPr>
          <w:rFonts w:ascii="Times New Roman" w:hAnsi="Times New Roman"/>
          <w:sz w:val="24"/>
          <w:szCs w:val="24"/>
        </w:rPr>
        <w:lastRenderedPageBreak/>
        <w:t>dostrzeżone przez ministra właściwego do spraw kultury i ochrony dziedzictwa narodowego, judykaturę oraz doktrynę w toku dotychczasowej praktyki ich stosowania.</w:t>
      </w:r>
    </w:p>
    <w:p w:rsidR="00D04546" w:rsidRPr="00E24274" w:rsidRDefault="00D04546" w:rsidP="00E24274">
      <w:pPr>
        <w:spacing w:before="120" w:after="0" w:line="360" w:lineRule="auto"/>
        <w:jc w:val="both"/>
        <w:rPr>
          <w:rFonts w:ascii="Times New Roman" w:hAnsi="Times New Roman"/>
          <w:b/>
          <w:sz w:val="24"/>
          <w:szCs w:val="24"/>
        </w:rPr>
      </w:pPr>
      <w:r w:rsidRPr="00E24274">
        <w:rPr>
          <w:rFonts w:ascii="Times New Roman" w:hAnsi="Times New Roman"/>
          <w:b/>
          <w:sz w:val="24"/>
          <w:szCs w:val="24"/>
        </w:rPr>
        <w:t>art. 6</w:t>
      </w:r>
    </w:p>
    <w:p w:rsidR="00D04546" w:rsidRPr="00E24274" w:rsidRDefault="00D04546" w:rsidP="00144B0B">
      <w:pPr>
        <w:spacing w:after="0" w:line="360" w:lineRule="auto"/>
        <w:jc w:val="both"/>
        <w:rPr>
          <w:rFonts w:ascii="Times New Roman" w:hAnsi="Times New Roman"/>
          <w:sz w:val="24"/>
          <w:szCs w:val="24"/>
        </w:rPr>
      </w:pPr>
      <w:r w:rsidRPr="00E24274">
        <w:rPr>
          <w:rFonts w:ascii="Times New Roman" w:hAnsi="Times New Roman"/>
          <w:sz w:val="24"/>
          <w:szCs w:val="24"/>
        </w:rPr>
        <w:t xml:space="preserve">1. Projektowany art. 6 ust. 1 jest co do zasady odpowiednikiem obecnie obowiązującego art. 104 ust. 1 pr. aut., który zawiera definicję organizacji zbiorowego zarządzania prawami autorskimi lub prawami pokrewnymi. Projektowany przepis nie formułuje wprawdzie takiej definicji (zawiera ją art. 3 </w:t>
      </w:r>
      <w:r w:rsidR="000854D6" w:rsidRPr="00E24274">
        <w:rPr>
          <w:rFonts w:ascii="Times New Roman" w:hAnsi="Times New Roman"/>
          <w:sz w:val="24"/>
          <w:szCs w:val="24"/>
        </w:rPr>
        <w:t xml:space="preserve">ust. 1 </w:t>
      </w:r>
      <w:r w:rsidRPr="00E24274">
        <w:rPr>
          <w:rFonts w:ascii="Times New Roman" w:hAnsi="Times New Roman"/>
          <w:sz w:val="24"/>
          <w:szCs w:val="24"/>
        </w:rPr>
        <w:t xml:space="preserve">pkt 2 projektu), ale przesądza, że zbiorowe zarządzanie prawami autorskimi lub prawami pokrewnymi w sposób, jaki został zdefiniowany w art. 3 </w:t>
      </w:r>
      <w:r w:rsidR="000854D6" w:rsidRPr="00E24274">
        <w:rPr>
          <w:rFonts w:ascii="Times New Roman" w:hAnsi="Times New Roman"/>
          <w:sz w:val="24"/>
          <w:szCs w:val="24"/>
        </w:rPr>
        <w:t xml:space="preserve">ust. 1 </w:t>
      </w:r>
      <w:r w:rsidRPr="00E24274">
        <w:rPr>
          <w:rFonts w:ascii="Times New Roman" w:hAnsi="Times New Roman"/>
          <w:sz w:val="24"/>
          <w:szCs w:val="24"/>
        </w:rPr>
        <w:t>pkt 1 projektu</w:t>
      </w:r>
      <w:r w:rsidR="005F2ECA">
        <w:rPr>
          <w:rFonts w:ascii="Times New Roman" w:hAnsi="Times New Roman"/>
          <w:sz w:val="24"/>
          <w:szCs w:val="24"/>
        </w:rPr>
        <w:t>,</w:t>
      </w:r>
      <w:r w:rsidRPr="00E24274">
        <w:rPr>
          <w:rFonts w:ascii="Times New Roman" w:hAnsi="Times New Roman"/>
          <w:sz w:val="24"/>
          <w:szCs w:val="24"/>
        </w:rPr>
        <w:t xml:space="preserve"> będzie wykonywane wyłącznie przez organizacje zbiorowego zarządzania. Projektowany artykuł przesądza również, że taki zarząd będzie wykonywany przez organizacje zbiorowego zarządzania wyłącznie na podstawie i w zakresie zezwolenia udzielonego jej przez ministra właściwego do spraw kultury i ochrony dziedzictwa narodowego. Identycznie, jak w obecnym stanie prawnym, przez powyższe zezwolenia należy rozumieć decyzję administracyjną ministra, a do jej wydania znajdą zastosowanie przepisy Kodeksu postępowania administracyjnego. Aktualnie kompetencje ministrowi w tym zakresie przyznaj</w:t>
      </w:r>
      <w:r w:rsidR="00144B0B">
        <w:rPr>
          <w:rFonts w:ascii="Times New Roman" w:hAnsi="Times New Roman"/>
          <w:sz w:val="24"/>
          <w:szCs w:val="24"/>
        </w:rPr>
        <w:t>e art. </w:t>
      </w:r>
      <w:r w:rsidRPr="00E24274">
        <w:rPr>
          <w:rFonts w:ascii="Times New Roman" w:hAnsi="Times New Roman"/>
          <w:sz w:val="24"/>
          <w:szCs w:val="24"/>
        </w:rPr>
        <w:t xml:space="preserve">104 ust. 2 pkt 2 pr. aut. </w:t>
      </w:r>
    </w:p>
    <w:p w:rsidR="00D04546" w:rsidRPr="00E24274" w:rsidRDefault="00D04546"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 xml:space="preserve">2. Art. 6 ust. 2 projektu będzie </w:t>
      </w:r>
      <w:r w:rsidR="008A74C9" w:rsidRPr="00E24274">
        <w:rPr>
          <w:rFonts w:ascii="Times New Roman" w:hAnsi="Times New Roman"/>
          <w:sz w:val="24"/>
          <w:szCs w:val="24"/>
        </w:rPr>
        <w:t>przyznawał</w:t>
      </w:r>
      <w:r w:rsidRPr="00E24274">
        <w:rPr>
          <w:rFonts w:ascii="Times New Roman" w:hAnsi="Times New Roman"/>
          <w:sz w:val="24"/>
          <w:szCs w:val="24"/>
        </w:rPr>
        <w:t xml:space="preserve"> stowarzyszeni</w:t>
      </w:r>
      <w:r w:rsidR="008A74C9" w:rsidRPr="00E24274">
        <w:rPr>
          <w:rFonts w:ascii="Times New Roman" w:hAnsi="Times New Roman"/>
          <w:sz w:val="24"/>
          <w:szCs w:val="24"/>
        </w:rPr>
        <w:t>u</w:t>
      </w:r>
      <w:r w:rsidRPr="00E24274">
        <w:rPr>
          <w:rFonts w:ascii="Times New Roman" w:hAnsi="Times New Roman"/>
          <w:sz w:val="24"/>
          <w:szCs w:val="24"/>
        </w:rPr>
        <w:t xml:space="preserve"> zrzeszające</w:t>
      </w:r>
      <w:r w:rsidR="008A74C9" w:rsidRPr="00E24274">
        <w:rPr>
          <w:rFonts w:ascii="Times New Roman" w:hAnsi="Times New Roman"/>
          <w:sz w:val="24"/>
          <w:szCs w:val="24"/>
        </w:rPr>
        <w:t>mu</w:t>
      </w:r>
      <w:r w:rsidRPr="00E24274">
        <w:rPr>
          <w:rFonts w:ascii="Times New Roman" w:hAnsi="Times New Roman"/>
          <w:sz w:val="24"/>
          <w:szCs w:val="24"/>
        </w:rPr>
        <w:t xml:space="preserve"> twórców, artystów wykonawców, producentów, wydawców utworów opublikowanych drukiem lub organizacje radiowe lub telewizyjne </w:t>
      </w:r>
      <w:r w:rsidR="008A74C9" w:rsidRPr="00E24274">
        <w:rPr>
          <w:rFonts w:ascii="Times New Roman" w:hAnsi="Times New Roman"/>
          <w:sz w:val="24"/>
          <w:szCs w:val="24"/>
        </w:rPr>
        <w:t xml:space="preserve">prawo </w:t>
      </w:r>
      <w:r w:rsidRPr="00E24274">
        <w:rPr>
          <w:rFonts w:ascii="Times New Roman" w:hAnsi="Times New Roman"/>
          <w:sz w:val="24"/>
          <w:szCs w:val="24"/>
        </w:rPr>
        <w:t>wystąpienia do ministra właściwego do spraw kultury i ochrony dziedzictwa narodowego z wnioskiem o udzielenie takiemu stowarzyszeniu zezwolenia na zbiorowe zarządzanie prawami autorskimi lub prawami pokrewnymi.</w:t>
      </w:r>
      <w:r w:rsidR="0043223A" w:rsidRPr="00E24274">
        <w:rPr>
          <w:rFonts w:ascii="Times New Roman" w:hAnsi="Times New Roman"/>
          <w:sz w:val="24"/>
          <w:szCs w:val="24"/>
        </w:rPr>
        <w:t xml:space="preserve"> </w:t>
      </w:r>
      <w:r w:rsidR="009B4547" w:rsidRPr="00E24274">
        <w:rPr>
          <w:rFonts w:ascii="Times New Roman" w:hAnsi="Times New Roman"/>
          <w:sz w:val="24"/>
          <w:szCs w:val="24"/>
        </w:rPr>
        <w:t xml:space="preserve">Projektodawca wybrał formę prawną </w:t>
      </w:r>
      <w:r w:rsidR="00E24274">
        <w:rPr>
          <w:rFonts w:ascii="Times New Roman" w:hAnsi="Times New Roman"/>
          <w:sz w:val="24"/>
          <w:szCs w:val="24"/>
        </w:rPr>
        <w:t>„</w:t>
      </w:r>
      <w:r w:rsidR="0043223A" w:rsidRPr="00E24274">
        <w:rPr>
          <w:rFonts w:ascii="Times New Roman" w:hAnsi="Times New Roman"/>
          <w:sz w:val="24"/>
          <w:szCs w:val="24"/>
        </w:rPr>
        <w:t>stowarzyszenia</w:t>
      </w:r>
      <w:r w:rsidR="00E24274">
        <w:rPr>
          <w:rFonts w:ascii="Times New Roman" w:hAnsi="Times New Roman"/>
          <w:sz w:val="24"/>
          <w:szCs w:val="24"/>
        </w:rPr>
        <w:t>”</w:t>
      </w:r>
      <w:r w:rsidR="0043223A" w:rsidRPr="00E24274">
        <w:rPr>
          <w:rFonts w:ascii="Times New Roman" w:hAnsi="Times New Roman"/>
          <w:sz w:val="24"/>
          <w:szCs w:val="24"/>
        </w:rPr>
        <w:t xml:space="preserve"> jako jedyn</w:t>
      </w:r>
      <w:r w:rsidR="009B4547" w:rsidRPr="00E24274">
        <w:rPr>
          <w:rFonts w:ascii="Times New Roman" w:hAnsi="Times New Roman"/>
          <w:sz w:val="24"/>
          <w:szCs w:val="24"/>
        </w:rPr>
        <w:t>ą, w</w:t>
      </w:r>
      <w:r w:rsidR="00144B0B">
        <w:rPr>
          <w:rFonts w:ascii="Times New Roman" w:hAnsi="Times New Roman"/>
          <w:sz w:val="24"/>
          <w:szCs w:val="24"/>
        </w:rPr>
        <w:t> </w:t>
      </w:r>
      <w:r w:rsidR="009B4547" w:rsidRPr="00E24274">
        <w:rPr>
          <w:rFonts w:ascii="Times New Roman" w:hAnsi="Times New Roman"/>
          <w:sz w:val="24"/>
          <w:szCs w:val="24"/>
        </w:rPr>
        <w:t>której możliwe jest wy</w:t>
      </w:r>
      <w:r w:rsidR="0043223A" w:rsidRPr="00E24274">
        <w:rPr>
          <w:rFonts w:ascii="Times New Roman" w:hAnsi="Times New Roman"/>
          <w:sz w:val="24"/>
          <w:szCs w:val="24"/>
        </w:rPr>
        <w:t xml:space="preserve">konywanie zbiorowego zarządzania </w:t>
      </w:r>
      <w:r w:rsidR="009B4547" w:rsidRPr="00E24274">
        <w:rPr>
          <w:rFonts w:ascii="Times New Roman" w:hAnsi="Times New Roman"/>
          <w:sz w:val="24"/>
          <w:szCs w:val="24"/>
        </w:rPr>
        <w:t xml:space="preserve">m.in. ze względu na prawie stuletnią tradycję </w:t>
      </w:r>
      <w:r w:rsidR="00E00C61" w:rsidRPr="00E24274">
        <w:rPr>
          <w:rFonts w:ascii="Times New Roman" w:hAnsi="Times New Roman"/>
          <w:sz w:val="24"/>
          <w:szCs w:val="24"/>
        </w:rPr>
        <w:t xml:space="preserve">i praktykę </w:t>
      </w:r>
      <w:r w:rsidR="009B4547" w:rsidRPr="00E24274">
        <w:rPr>
          <w:rFonts w:ascii="Times New Roman" w:hAnsi="Times New Roman"/>
          <w:sz w:val="24"/>
          <w:szCs w:val="24"/>
        </w:rPr>
        <w:t xml:space="preserve">zarządzania prawami </w:t>
      </w:r>
      <w:r w:rsidR="00E00C61" w:rsidRPr="00E24274">
        <w:rPr>
          <w:rFonts w:ascii="Times New Roman" w:hAnsi="Times New Roman"/>
          <w:sz w:val="24"/>
          <w:szCs w:val="24"/>
        </w:rPr>
        <w:t xml:space="preserve">autorskimi </w:t>
      </w:r>
      <w:r w:rsidR="009B4547" w:rsidRPr="00E24274">
        <w:rPr>
          <w:rFonts w:ascii="Times New Roman" w:hAnsi="Times New Roman"/>
          <w:sz w:val="24"/>
          <w:szCs w:val="24"/>
        </w:rPr>
        <w:t xml:space="preserve">w naszym kraju </w:t>
      </w:r>
      <w:r w:rsidR="00144B0B">
        <w:rPr>
          <w:rFonts w:ascii="Times New Roman" w:hAnsi="Times New Roman"/>
          <w:sz w:val="24"/>
          <w:szCs w:val="24"/>
        </w:rPr>
        <w:t>w </w:t>
      </w:r>
      <w:r w:rsidR="00E00C61" w:rsidRPr="00E24274">
        <w:rPr>
          <w:rFonts w:ascii="Times New Roman" w:hAnsi="Times New Roman"/>
          <w:sz w:val="24"/>
          <w:szCs w:val="24"/>
        </w:rPr>
        <w:t>takich właśnie ramach organizacyjnych</w:t>
      </w:r>
      <w:r w:rsidR="009B4547" w:rsidRPr="00E24274">
        <w:rPr>
          <w:rFonts w:ascii="Times New Roman" w:hAnsi="Times New Roman"/>
          <w:sz w:val="24"/>
          <w:szCs w:val="24"/>
        </w:rPr>
        <w:t xml:space="preserve">. </w:t>
      </w:r>
      <w:r w:rsidR="007272CD" w:rsidRPr="00E24274">
        <w:rPr>
          <w:rFonts w:ascii="Times New Roman" w:hAnsi="Times New Roman"/>
          <w:sz w:val="24"/>
          <w:szCs w:val="24"/>
        </w:rPr>
        <w:t xml:space="preserve">Podtrzymanie tej praktyki </w:t>
      </w:r>
      <w:r w:rsidR="006C57F5" w:rsidRPr="00E24274">
        <w:rPr>
          <w:rFonts w:ascii="Times New Roman" w:hAnsi="Times New Roman"/>
          <w:sz w:val="24"/>
          <w:szCs w:val="24"/>
        </w:rPr>
        <w:t>i ewolucyjne zaadaptowanie istniejącego systemu do obowiązków wynikających z dyrektywy CRM u</w:t>
      </w:r>
      <w:r w:rsidR="007272CD" w:rsidRPr="00E24274">
        <w:rPr>
          <w:rFonts w:ascii="Times New Roman" w:hAnsi="Times New Roman"/>
          <w:sz w:val="24"/>
          <w:szCs w:val="24"/>
        </w:rPr>
        <w:t xml:space="preserve">łatwi odnalezienie się </w:t>
      </w:r>
      <w:r w:rsidR="006C57F5" w:rsidRPr="00E24274">
        <w:rPr>
          <w:rFonts w:ascii="Times New Roman" w:hAnsi="Times New Roman"/>
          <w:sz w:val="24"/>
          <w:szCs w:val="24"/>
        </w:rPr>
        <w:t>o</w:t>
      </w:r>
      <w:r w:rsidR="007272CD" w:rsidRPr="00E24274">
        <w:rPr>
          <w:rFonts w:ascii="Times New Roman" w:hAnsi="Times New Roman"/>
          <w:sz w:val="24"/>
          <w:szCs w:val="24"/>
        </w:rPr>
        <w:t xml:space="preserve">rganizacji </w:t>
      </w:r>
      <w:r w:rsidR="006C57F5" w:rsidRPr="00E24274">
        <w:rPr>
          <w:rFonts w:ascii="Times New Roman" w:hAnsi="Times New Roman"/>
          <w:sz w:val="24"/>
          <w:szCs w:val="24"/>
        </w:rPr>
        <w:t xml:space="preserve">i użytkowników </w:t>
      </w:r>
      <w:r w:rsidR="007272CD" w:rsidRPr="00E24274">
        <w:rPr>
          <w:rFonts w:ascii="Times New Roman" w:hAnsi="Times New Roman"/>
          <w:sz w:val="24"/>
          <w:szCs w:val="24"/>
        </w:rPr>
        <w:t>w nowych realiach prawnych. Warte przy tym przypomnienia jest, że o</w:t>
      </w:r>
      <w:r w:rsidR="00E00C61" w:rsidRPr="00E24274">
        <w:rPr>
          <w:rFonts w:ascii="Times New Roman" w:hAnsi="Times New Roman"/>
          <w:sz w:val="24"/>
          <w:szCs w:val="24"/>
        </w:rPr>
        <w:t xml:space="preserve">rganizacje zbiorowego zarządzania ukształtowały </w:t>
      </w:r>
      <w:r w:rsidR="007272CD" w:rsidRPr="00E24274">
        <w:rPr>
          <w:rFonts w:ascii="Times New Roman" w:hAnsi="Times New Roman"/>
          <w:sz w:val="24"/>
          <w:szCs w:val="24"/>
        </w:rPr>
        <w:t>się</w:t>
      </w:r>
      <w:r w:rsidR="00E00C61" w:rsidRPr="00E24274">
        <w:rPr>
          <w:rFonts w:ascii="Times New Roman" w:hAnsi="Times New Roman"/>
          <w:sz w:val="24"/>
          <w:szCs w:val="24"/>
        </w:rPr>
        <w:t xml:space="preserve"> w wielu największych państwach europejskich (np. Francji) w wyniku ewolucji zrzeszeń autorów sztuk teatralnych</w:t>
      </w:r>
      <w:r w:rsidR="00E00C61" w:rsidRPr="00E24274">
        <w:rPr>
          <w:rStyle w:val="Odwoanieprzypisudolnego"/>
          <w:rFonts w:ascii="Times New Roman" w:hAnsi="Times New Roman"/>
          <w:sz w:val="24"/>
          <w:szCs w:val="24"/>
        </w:rPr>
        <w:footnoteReference w:id="25"/>
      </w:r>
      <w:r w:rsidR="001E6F0B" w:rsidRPr="001E6F0B">
        <w:rPr>
          <w:rFonts w:ascii="Times New Roman" w:hAnsi="Times New Roman"/>
          <w:sz w:val="24"/>
          <w:szCs w:val="24"/>
          <w:vertAlign w:val="superscript"/>
        </w:rPr>
        <w:t>)</w:t>
      </w:r>
      <w:r w:rsidR="009B4547" w:rsidRPr="00E24274">
        <w:rPr>
          <w:rFonts w:ascii="Times New Roman" w:hAnsi="Times New Roman"/>
          <w:sz w:val="24"/>
          <w:szCs w:val="24"/>
        </w:rPr>
        <w:t xml:space="preserve">. </w:t>
      </w:r>
      <w:r w:rsidR="00E00C61" w:rsidRPr="00E24274">
        <w:rPr>
          <w:rFonts w:ascii="Times New Roman" w:hAnsi="Times New Roman"/>
          <w:sz w:val="24"/>
          <w:szCs w:val="24"/>
        </w:rPr>
        <w:t>Sama zaś f</w:t>
      </w:r>
      <w:r w:rsidR="009B4547" w:rsidRPr="00E24274">
        <w:rPr>
          <w:rFonts w:ascii="Times New Roman" w:hAnsi="Times New Roman"/>
          <w:sz w:val="24"/>
          <w:szCs w:val="24"/>
        </w:rPr>
        <w:t xml:space="preserve">orma prawna stowarzyszenia </w:t>
      </w:r>
      <w:r w:rsidR="009B4547" w:rsidRPr="00E24274">
        <w:rPr>
          <w:rFonts w:ascii="Times New Roman" w:hAnsi="Times New Roman"/>
          <w:sz w:val="24"/>
          <w:szCs w:val="24"/>
        </w:rPr>
        <w:lastRenderedPageBreak/>
        <w:t xml:space="preserve">pozwala </w:t>
      </w:r>
      <w:r w:rsidR="00E00C61" w:rsidRPr="00E24274">
        <w:rPr>
          <w:rFonts w:ascii="Times New Roman" w:hAnsi="Times New Roman"/>
          <w:sz w:val="24"/>
          <w:szCs w:val="24"/>
        </w:rPr>
        <w:t xml:space="preserve">na – zgodne z założeniami dyrektywy CRM </w:t>
      </w:r>
      <w:r w:rsidR="008A74C9" w:rsidRPr="00E24274">
        <w:rPr>
          <w:rFonts w:ascii="Times New Roman" w:hAnsi="Times New Roman"/>
          <w:sz w:val="24"/>
          <w:szCs w:val="24"/>
        </w:rPr>
        <w:t>–</w:t>
      </w:r>
      <w:r w:rsidR="00E00C61" w:rsidRPr="00E24274">
        <w:rPr>
          <w:rFonts w:ascii="Times New Roman" w:hAnsi="Times New Roman"/>
          <w:sz w:val="24"/>
          <w:szCs w:val="24"/>
        </w:rPr>
        <w:t xml:space="preserve"> nieograniczanie roli organizacji wyłącznie do reprezentowania interesów ekonomicznych podmiotów, które upoważniły taką organizację do zarządzania ich prawami, ale umożliwia pełnienie przez taki podmiot istotnych funkcji socjalnych, edukacyjnych i kulturalnych</w:t>
      </w:r>
      <w:r w:rsidR="000003BC" w:rsidRPr="00E24274">
        <w:rPr>
          <w:rFonts w:ascii="Times New Roman" w:hAnsi="Times New Roman"/>
          <w:sz w:val="24"/>
          <w:szCs w:val="24"/>
        </w:rPr>
        <w:t xml:space="preserve"> </w:t>
      </w:r>
      <w:r w:rsidR="007272CD" w:rsidRPr="00E24274">
        <w:rPr>
          <w:rFonts w:ascii="Times New Roman" w:hAnsi="Times New Roman"/>
          <w:sz w:val="24"/>
          <w:szCs w:val="24"/>
        </w:rPr>
        <w:t>zarówno dla swoich członków</w:t>
      </w:r>
      <w:r w:rsidR="005F2ECA">
        <w:rPr>
          <w:rFonts w:ascii="Times New Roman" w:hAnsi="Times New Roman"/>
          <w:sz w:val="24"/>
          <w:szCs w:val="24"/>
        </w:rPr>
        <w:t>,</w:t>
      </w:r>
      <w:r w:rsidR="007272CD" w:rsidRPr="00E24274">
        <w:rPr>
          <w:rFonts w:ascii="Times New Roman" w:hAnsi="Times New Roman"/>
          <w:sz w:val="24"/>
          <w:szCs w:val="24"/>
        </w:rPr>
        <w:t xml:space="preserve"> jak i </w:t>
      </w:r>
      <w:r w:rsidR="000003BC" w:rsidRPr="00E24274">
        <w:rPr>
          <w:rFonts w:ascii="Times New Roman" w:hAnsi="Times New Roman"/>
          <w:sz w:val="24"/>
          <w:szCs w:val="24"/>
        </w:rPr>
        <w:t>ogółu społecz</w:t>
      </w:r>
      <w:r w:rsidR="007272CD" w:rsidRPr="00E24274">
        <w:rPr>
          <w:rFonts w:ascii="Times New Roman" w:hAnsi="Times New Roman"/>
          <w:sz w:val="24"/>
          <w:szCs w:val="24"/>
        </w:rPr>
        <w:t>e</w:t>
      </w:r>
      <w:r w:rsidR="000003BC" w:rsidRPr="00E24274">
        <w:rPr>
          <w:rFonts w:ascii="Times New Roman" w:hAnsi="Times New Roman"/>
          <w:sz w:val="24"/>
          <w:szCs w:val="24"/>
        </w:rPr>
        <w:t>ństwa</w:t>
      </w:r>
      <w:r w:rsidR="00E00C61" w:rsidRPr="00E24274">
        <w:rPr>
          <w:rFonts w:ascii="Times New Roman" w:hAnsi="Times New Roman"/>
          <w:sz w:val="24"/>
          <w:szCs w:val="24"/>
        </w:rPr>
        <w:t>.</w:t>
      </w:r>
      <w:r w:rsidR="007272CD" w:rsidRPr="00E24274">
        <w:rPr>
          <w:rFonts w:ascii="Times New Roman" w:hAnsi="Times New Roman"/>
          <w:sz w:val="24"/>
          <w:szCs w:val="24"/>
        </w:rPr>
        <w:t xml:space="preserve"> Takie funkcje wypełni</w:t>
      </w:r>
      <w:r w:rsidR="008A74C9" w:rsidRPr="00E24274">
        <w:rPr>
          <w:rFonts w:ascii="Times New Roman" w:hAnsi="Times New Roman"/>
          <w:sz w:val="24"/>
          <w:szCs w:val="24"/>
        </w:rPr>
        <w:t>a</w:t>
      </w:r>
      <w:r w:rsidR="007272CD" w:rsidRPr="00E24274">
        <w:rPr>
          <w:rFonts w:ascii="Times New Roman" w:hAnsi="Times New Roman"/>
          <w:sz w:val="24"/>
          <w:szCs w:val="24"/>
        </w:rPr>
        <w:t xml:space="preserve">ło wiele polskich organizacji zbiorowego zarządzania w toku swojej bieżącej </w:t>
      </w:r>
      <w:r w:rsidR="006C57F5" w:rsidRPr="00E24274">
        <w:rPr>
          <w:rFonts w:ascii="Times New Roman" w:hAnsi="Times New Roman"/>
          <w:sz w:val="24"/>
          <w:szCs w:val="24"/>
        </w:rPr>
        <w:t xml:space="preserve">dotychczasowej </w:t>
      </w:r>
      <w:r w:rsidR="007272CD" w:rsidRPr="00E24274">
        <w:rPr>
          <w:rFonts w:ascii="Times New Roman" w:hAnsi="Times New Roman"/>
          <w:sz w:val="24"/>
          <w:szCs w:val="24"/>
        </w:rPr>
        <w:t>działalności.</w:t>
      </w:r>
      <w:r w:rsidR="00E00C61" w:rsidRPr="00E24274">
        <w:rPr>
          <w:rFonts w:ascii="Times New Roman" w:hAnsi="Times New Roman"/>
          <w:sz w:val="24"/>
          <w:szCs w:val="24"/>
        </w:rPr>
        <w:t xml:space="preserve"> </w:t>
      </w:r>
      <w:r w:rsidR="000003BC" w:rsidRPr="00E24274">
        <w:rPr>
          <w:rFonts w:ascii="Times New Roman" w:hAnsi="Times New Roman"/>
          <w:sz w:val="24"/>
          <w:szCs w:val="24"/>
        </w:rPr>
        <w:t>Konieczność wyboru jednej formy organizacyjnej wiąże się również</w:t>
      </w:r>
      <w:r w:rsidR="00E00C61" w:rsidRPr="00E24274">
        <w:rPr>
          <w:rFonts w:ascii="Times New Roman" w:hAnsi="Times New Roman"/>
          <w:sz w:val="24"/>
          <w:szCs w:val="24"/>
        </w:rPr>
        <w:t xml:space="preserve"> </w:t>
      </w:r>
      <w:r w:rsidR="00144B0B">
        <w:rPr>
          <w:rFonts w:ascii="Times New Roman" w:hAnsi="Times New Roman"/>
          <w:sz w:val="24"/>
          <w:szCs w:val="24"/>
        </w:rPr>
        <w:t>z </w:t>
      </w:r>
      <w:r w:rsidR="000003BC" w:rsidRPr="00E24274">
        <w:rPr>
          <w:rFonts w:ascii="Times New Roman" w:hAnsi="Times New Roman"/>
          <w:sz w:val="24"/>
          <w:szCs w:val="24"/>
        </w:rPr>
        <w:t xml:space="preserve">wymaganym przez dyrektywę </w:t>
      </w:r>
      <w:r w:rsidR="007272CD" w:rsidRPr="00E24274">
        <w:rPr>
          <w:rFonts w:ascii="Times New Roman" w:hAnsi="Times New Roman"/>
          <w:sz w:val="24"/>
          <w:szCs w:val="24"/>
        </w:rPr>
        <w:t xml:space="preserve">CRM </w:t>
      </w:r>
      <w:r w:rsidR="000003BC" w:rsidRPr="00E24274">
        <w:rPr>
          <w:rFonts w:ascii="Times New Roman" w:hAnsi="Times New Roman"/>
          <w:sz w:val="24"/>
          <w:szCs w:val="24"/>
        </w:rPr>
        <w:t>ujednoliceniem</w:t>
      </w:r>
      <w:r w:rsidR="007272CD" w:rsidRPr="00E24274">
        <w:rPr>
          <w:rFonts w:ascii="Times New Roman" w:hAnsi="Times New Roman"/>
          <w:sz w:val="24"/>
          <w:szCs w:val="24"/>
        </w:rPr>
        <w:t xml:space="preserve"> w </w:t>
      </w:r>
      <w:r w:rsidR="006C57F5" w:rsidRPr="00E24274">
        <w:rPr>
          <w:rFonts w:ascii="Times New Roman" w:hAnsi="Times New Roman"/>
          <w:sz w:val="24"/>
          <w:szCs w:val="24"/>
        </w:rPr>
        <w:t xml:space="preserve">założonym przez nią </w:t>
      </w:r>
      <w:r w:rsidR="007272CD" w:rsidRPr="00E24274">
        <w:rPr>
          <w:rFonts w:ascii="Times New Roman" w:hAnsi="Times New Roman"/>
          <w:sz w:val="24"/>
          <w:szCs w:val="24"/>
        </w:rPr>
        <w:t xml:space="preserve">zakresie struktury, kompetencji i procedur </w:t>
      </w:r>
      <w:r w:rsidR="006C57F5" w:rsidRPr="00E24274">
        <w:rPr>
          <w:rFonts w:ascii="Times New Roman" w:hAnsi="Times New Roman"/>
          <w:sz w:val="24"/>
          <w:szCs w:val="24"/>
        </w:rPr>
        <w:t>wewnątrz</w:t>
      </w:r>
      <w:r w:rsidR="007272CD" w:rsidRPr="00E24274">
        <w:rPr>
          <w:rFonts w:ascii="Times New Roman" w:hAnsi="Times New Roman"/>
          <w:sz w:val="24"/>
          <w:szCs w:val="24"/>
        </w:rPr>
        <w:t xml:space="preserve"> organizacji</w:t>
      </w:r>
      <w:r w:rsidR="006C57F5" w:rsidRPr="00E24274">
        <w:rPr>
          <w:rFonts w:ascii="Times New Roman" w:hAnsi="Times New Roman"/>
          <w:sz w:val="24"/>
          <w:szCs w:val="24"/>
        </w:rPr>
        <w:t xml:space="preserve"> oraz zasad jej występowania na zewnątrz. W</w:t>
      </w:r>
      <w:r w:rsidR="007272CD" w:rsidRPr="00E24274">
        <w:rPr>
          <w:rFonts w:ascii="Times New Roman" w:hAnsi="Times New Roman"/>
          <w:sz w:val="24"/>
          <w:szCs w:val="24"/>
        </w:rPr>
        <w:t>ypełnienie tego celu przy umożliwieni</w:t>
      </w:r>
      <w:r w:rsidR="006C57F5" w:rsidRPr="00E24274">
        <w:rPr>
          <w:rFonts w:ascii="Times New Roman" w:hAnsi="Times New Roman"/>
          <w:sz w:val="24"/>
          <w:szCs w:val="24"/>
        </w:rPr>
        <w:t>u</w:t>
      </w:r>
      <w:r w:rsidR="007272CD" w:rsidRPr="00E24274">
        <w:rPr>
          <w:rFonts w:ascii="Times New Roman" w:hAnsi="Times New Roman"/>
          <w:sz w:val="24"/>
          <w:szCs w:val="24"/>
        </w:rPr>
        <w:t xml:space="preserve"> istnienia różny</w:t>
      </w:r>
      <w:r w:rsidR="006C57F5" w:rsidRPr="00E24274">
        <w:rPr>
          <w:rFonts w:ascii="Times New Roman" w:hAnsi="Times New Roman"/>
          <w:sz w:val="24"/>
          <w:szCs w:val="24"/>
        </w:rPr>
        <w:t xml:space="preserve">ch form prawnych, w których mogłyby </w:t>
      </w:r>
      <w:r w:rsidR="007272CD" w:rsidRPr="00E24274">
        <w:rPr>
          <w:rFonts w:ascii="Times New Roman" w:hAnsi="Times New Roman"/>
          <w:sz w:val="24"/>
          <w:szCs w:val="24"/>
        </w:rPr>
        <w:t>działać organizacje</w:t>
      </w:r>
      <w:r w:rsidR="006C57F5" w:rsidRPr="00E24274">
        <w:rPr>
          <w:rFonts w:ascii="Times New Roman" w:hAnsi="Times New Roman"/>
          <w:sz w:val="24"/>
          <w:szCs w:val="24"/>
        </w:rPr>
        <w:t>,</w:t>
      </w:r>
      <w:r w:rsidR="007272CD" w:rsidRPr="00E24274">
        <w:rPr>
          <w:rFonts w:ascii="Times New Roman" w:hAnsi="Times New Roman"/>
          <w:sz w:val="24"/>
          <w:szCs w:val="24"/>
        </w:rPr>
        <w:t xml:space="preserve"> </w:t>
      </w:r>
      <w:r w:rsidR="006C57F5" w:rsidRPr="00E24274">
        <w:rPr>
          <w:rFonts w:ascii="Times New Roman" w:hAnsi="Times New Roman"/>
          <w:sz w:val="24"/>
          <w:szCs w:val="24"/>
        </w:rPr>
        <w:t>wiązałoby s</w:t>
      </w:r>
      <w:r w:rsidR="00144B0B">
        <w:rPr>
          <w:rFonts w:ascii="Times New Roman" w:hAnsi="Times New Roman"/>
          <w:sz w:val="24"/>
          <w:szCs w:val="24"/>
        </w:rPr>
        <w:t>ię z ryzykiem chaosu prawnego i </w:t>
      </w:r>
      <w:r w:rsidR="006C57F5" w:rsidRPr="00E24274">
        <w:rPr>
          <w:rFonts w:ascii="Times New Roman" w:hAnsi="Times New Roman"/>
          <w:sz w:val="24"/>
          <w:szCs w:val="24"/>
        </w:rPr>
        <w:t>poddania tej samej działalności zupełnie innym regulacjom prawnym w zakresie innym niż wynikający z projektowanej ustawy</w:t>
      </w:r>
      <w:r w:rsidR="000003BC" w:rsidRPr="00E24274">
        <w:rPr>
          <w:rFonts w:ascii="Times New Roman" w:hAnsi="Times New Roman"/>
          <w:sz w:val="24"/>
          <w:szCs w:val="24"/>
        </w:rPr>
        <w:t>.</w:t>
      </w:r>
      <w:r w:rsidR="007272CD" w:rsidRPr="00E24274">
        <w:rPr>
          <w:rFonts w:ascii="Times New Roman" w:hAnsi="Times New Roman"/>
          <w:sz w:val="24"/>
          <w:szCs w:val="24"/>
        </w:rPr>
        <w:t xml:space="preserve"> </w:t>
      </w:r>
      <w:r w:rsidR="006C57F5" w:rsidRPr="00E24274">
        <w:rPr>
          <w:rFonts w:ascii="Times New Roman" w:hAnsi="Times New Roman"/>
          <w:sz w:val="24"/>
          <w:szCs w:val="24"/>
        </w:rPr>
        <w:t>Ten tok</w:t>
      </w:r>
      <w:r w:rsidR="007272CD" w:rsidRPr="00E24274">
        <w:rPr>
          <w:rFonts w:ascii="Times New Roman" w:hAnsi="Times New Roman"/>
          <w:sz w:val="24"/>
          <w:szCs w:val="24"/>
        </w:rPr>
        <w:t xml:space="preserve"> rozumowania </w:t>
      </w:r>
      <w:r w:rsidR="006C57F5" w:rsidRPr="00E24274">
        <w:rPr>
          <w:rFonts w:ascii="Times New Roman" w:hAnsi="Times New Roman"/>
          <w:sz w:val="24"/>
          <w:szCs w:val="24"/>
        </w:rPr>
        <w:t xml:space="preserve">podzieliła zresztą </w:t>
      </w:r>
      <w:r w:rsidR="007272CD" w:rsidRPr="00E24274">
        <w:rPr>
          <w:rFonts w:ascii="Times New Roman" w:hAnsi="Times New Roman"/>
          <w:sz w:val="24"/>
          <w:szCs w:val="24"/>
        </w:rPr>
        <w:t>zdecydowana większość</w:t>
      </w:r>
      <w:r w:rsidR="000003BC" w:rsidRPr="00E24274">
        <w:rPr>
          <w:rFonts w:ascii="Times New Roman" w:hAnsi="Times New Roman"/>
          <w:sz w:val="24"/>
          <w:szCs w:val="24"/>
        </w:rPr>
        <w:t xml:space="preserve"> państw </w:t>
      </w:r>
      <w:r w:rsidR="007272CD" w:rsidRPr="00E24274">
        <w:rPr>
          <w:rFonts w:ascii="Times New Roman" w:hAnsi="Times New Roman"/>
          <w:sz w:val="24"/>
          <w:szCs w:val="24"/>
        </w:rPr>
        <w:t xml:space="preserve">UE, w których </w:t>
      </w:r>
      <w:r w:rsidR="000003BC" w:rsidRPr="00E24274">
        <w:rPr>
          <w:rFonts w:ascii="Times New Roman" w:hAnsi="Times New Roman"/>
          <w:sz w:val="24"/>
          <w:szCs w:val="24"/>
        </w:rPr>
        <w:t>zdecydowano się na wybór jednej formy organizacyjnej</w:t>
      </w:r>
      <w:r w:rsidR="007272CD" w:rsidRPr="00E24274">
        <w:rPr>
          <w:rFonts w:ascii="Times New Roman" w:hAnsi="Times New Roman"/>
          <w:sz w:val="24"/>
          <w:szCs w:val="24"/>
        </w:rPr>
        <w:t xml:space="preserve"> podmiotu wykonującego </w:t>
      </w:r>
      <w:r w:rsidR="000003BC" w:rsidRPr="00E24274">
        <w:rPr>
          <w:rFonts w:ascii="Times New Roman" w:hAnsi="Times New Roman"/>
          <w:sz w:val="24"/>
          <w:szCs w:val="24"/>
        </w:rPr>
        <w:t>zbiorowe zarządzanie</w:t>
      </w:r>
      <w:r w:rsidR="007272CD" w:rsidRPr="00E24274">
        <w:rPr>
          <w:rFonts w:ascii="Times New Roman" w:hAnsi="Times New Roman"/>
          <w:sz w:val="24"/>
          <w:szCs w:val="24"/>
        </w:rPr>
        <w:t xml:space="preserve"> prawami autorskimi lub pokrewnymi. N</w:t>
      </w:r>
      <w:r w:rsidR="000003BC" w:rsidRPr="00E24274">
        <w:rPr>
          <w:rFonts w:ascii="Times New Roman" w:hAnsi="Times New Roman"/>
          <w:sz w:val="24"/>
          <w:szCs w:val="24"/>
        </w:rPr>
        <w:t>iekiedy</w:t>
      </w:r>
      <w:r w:rsidR="007272CD" w:rsidRPr="00E24274">
        <w:rPr>
          <w:rFonts w:ascii="Times New Roman" w:hAnsi="Times New Roman"/>
          <w:sz w:val="24"/>
          <w:szCs w:val="24"/>
        </w:rPr>
        <w:t>, gdy odpowiada to tradycjo</w:t>
      </w:r>
      <w:r w:rsidR="008A74C9" w:rsidRPr="00E24274">
        <w:rPr>
          <w:rFonts w:ascii="Times New Roman" w:hAnsi="Times New Roman"/>
          <w:sz w:val="24"/>
          <w:szCs w:val="24"/>
        </w:rPr>
        <w:t>m prawnym poszczególnych państw</w:t>
      </w:r>
      <w:r w:rsidR="007272CD" w:rsidRPr="00E24274">
        <w:rPr>
          <w:rFonts w:ascii="Times New Roman" w:hAnsi="Times New Roman"/>
          <w:sz w:val="24"/>
          <w:szCs w:val="24"/>
        </w:rPr>
        <w:t xml:space="preserve"> członkowskich UE,</w:t>
      </w:r>
      <w:r w:rsidR="000003BC" w:rsidRPr="00E24274">
        <w:rPr>
          <w:rFonts w:ascii="Times New Roman" w:hAnsi="Times New Roman"/>
          <w:sz w:val="24"/>
          <w:szCs w:val="24"/>
        </w:rPr>
        <w:t xml:space="preserve"> </w:t>
      </w:r>
      <w:r w:rsidR="006C57F5" w:rsidRPr="00E24274">
        <w:rPr>
          <w:rFonts w:ascii="Times New Roman" w:hAnsi="Times New Roman"/>
          <w:sz w:val="24"/>
          <w:szCs w:val="24"/>
        </w:rPr>
        <w:t xml:space="preserve">organizacja zbiorowego zarządzania nie </w:t>
      </w:r>
      <w:r w:rsidR="000003BC" w:rsidRPr="00E24274">
        <w:rPr>
          <w:rFonts w:ascii="Times New Roman" w:hAnsi="Times New Roman"/>
          <w:sz w:val="24"/>
          <w:szCs w:val="24"/>
        </w:rPr>
        <w:t xml:space="preserve">jest </w:t>
      </w:r>
      <w:r w:rsidR="006C57F5" w:rsidRPr="00E24274">
        <w:rPr>
          <w:rFonts w:ascii="Times New Roman" w:hAnsi="Times New Roman"/>
          <w:sz w:val="24"/>
          <w:szCs w:val="24"/>
        </w:rPr>
        <w:t xml:space="preserve">stowarzyszeniem, ale </w:t>
      </w:r>
      <w:r w:rsidR="000003BC" w:rsidRPr="00E24274">
        <w:rPr>
          <w:rFonts w:ascii="Times New Roman" w:hAnsi="Times New Roman"/>
          <w:sz w:val="24"/>
          <w:szCs w:val="24"/>
        </w:rPr>
        <w:t>spółk</w:t>
      </w:r>
      <w:r w:rsidR="006C57F5" w:rsidRPr="00E24274">
        <w:rPr>
          <w:rFonts w:ascii="Times New Roman" w:hAnsi="Times New Roman"/>
          <w:sz w:val="24"/>
          <w:szCs w:val="24"/>
        </w:rPr>
        <w:t>ą prawa handlowego lub fundacją.</w:t>
      </w:r>
    </w:p>
    <w:p w:rsidR="00D04546" w:rsidRPr="00E24274" w:rsidRDefault="00D04546"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3. Art. 6 ust. 3 projektu przesądza, jakie dokumenty wnioskodawca zobowiązany jest dołączyć do wniosku o udzielenie zezwolenia na</w:t>
      </w:r>
      <w:r w:rsidR="00144B0B">
        <w:rPr>
          <w:rFonts w:ascii="Times New Roman" w:hAnsi="Times New Roman"/>
          <w:sz w:val="24"/>
          <w:szCs w:val="24"/>
        </w:rPr>
        <w:t xml:space="preserve"> zbiorowe zarządzanie. Chodzi o </w:t>
      </w:r>
      <w:r w:rsidRPr="00E24274">
        <w:rPr>
          <w:rFonts w:ascii="Times New Roman" w:hAnsi="Times New Roman"/>
          <w:sz w:val="24"/>
          <w:szCs w:val="24"/>
        </w:rPr>
        <w:t xml:space="preserve">podstawowe akty wewnętrzne, które w przyszłości – po ewentualnym uzyskaniu zezwolenia ministra – będą wyznaczały zasady wykonywania zbiorowego zarządzania w organizacji i określały podstawowe kompetencje jej organów. W konsekwencji do wniosku winien być dołączony </w:t>
      </w:r>
      <w:r w:rsidR="004928E9" w:rsidRPr="00E24274">
        <w:rPr>
          <w:rFonts w:ascii="Times New Roman" w:hAnsi="Times New Roman"/>
          <w:sz w:val="24"/>
          <w:szCs w:val="24"/>
        </w:rPr>
        <w:t xml:space="preserve">obowiązujący w momencie </w:t>
      </w:r>
      <w:r w:rsidR="008A74C9" w:rsidRPr="00E24274">
        <w:rPr>
          <w:rFonts w:ascii="Times New Roman" w:hAnsi="Times New Roman"/>
          <w:sz w:val="24"/>
          <w:szCs w:val="24"/>
        </w:rPr>
        <w:t xml:space="preserve">jego </w:t>
      </w:r>
      <w:r w:rsidR="004928E9" w:rsidRPr="00E24274">
        <w:rPr>
          <w:rFonts w:ascii="Times New Roman" w:hAnsi="Times New Roman"/>
          <w:sz w:val="24"/>
          <w:szCs w:val="24"/>
        </w:rPr>
        <w:t xml:space="preserve">składania statut stowarzyszenia ubiegającego się o zezwolenie, projekt statutu przyszłej organizacji </w:t>
      </w:r>
      <w:r w:rsidR="00B211F9" w:rsidRPr="00E24274">
        <w:rPr>
          <w:rFonts w:ascii="Times New Roman" w:hAnsi="Times New Roman"/>
          <w:sz w:val="24"/>
          <w:szCs w:val="24"/>
        </w:rPr>
        <w:t>spełniający warunki</w:t>
      </w:r>
      <w:r w:rsidR="004928E9" w:rsidRPr="00E24274">
        <w:rPr>
          <w:rFonts w:ascii="Times New Roman" w:hAnsi="Times New Roman"/>
          <w:sz w:val="24"/>
          <w:szCs w:val="24"/>
        </w:rPr>
        <w:t xml:space="preserve"> określon</w:t>
      </w:r>
      <w:r w:rsidR="00B211F9" w:rsidRPr="00E24274">
        <w:rPr>
          <w:rFonts w:ascii="Times New Roman" w:hAnsi="Times New Roman"/>
          <w:sz w:val="24"/>
          <w:szCs w:val="24"/>
        </w:rPr>
        <w:t>e</w:t>
      </w:r>
      <w:r w:rsidR="004928E9" w:rsidRPr="00E24274">
        <w:rPr>
          <w:rFonts w:ascii="Times New Roman" w:hAnsi="Times New Roman"/>
          <w:sz w:val="24"/>
          <w:szCs w:val="24"/>
        </w:rPr>
        <w:t xml:space="preserve"> w art. 12</w:t>
      </w:r>
      <w:r w:rsidR="00B211F9" w:rsidRPr="00E24274">
        <w:rPr>
          <w:rFonts w:ascii="Times New Roman" w:hAnsi="Times New Roman"/>
          <w:sz w:val="24"/>
          <w:szCs w:val="24"/>
        </w:rPr>
        <w:t xml:space="preserve"> ust. 1</w:t>
      </w:r>
      <w:r w:rsidR="004928E9" w:rsidRPr="00E24274">
        <w:rPr>
          <w:rFonts w:ascii="Times New Roman" w:hAnsi="Times New Roman"/>
          <w:sz w:val="24"/>
          <w:szCs w:val="24"/>
        </w:rPr>
        <w:t xml:space="preserve"> projektu, </w:t>
      </w:r>
      <w:r w:rsidR="00144B0B">
        <w:rPr>
          <w:rFonts w:ascii="Times New Roman" w:hAnsi="Times New Roman"/>
          <w:sz w:val="24"/>
          <w:szCs w:val="24"/>
        </w:rPr>
        <w:t>projekty regulaminów, o </w:t>
      </w:r>
      <w:r w:rsidRPr="00E24274">
        <w:rPr>
          <w:rFonts w:ascii="Times New Roman" w:hAnsi="Times New Roman"/>
          <w:sz w:val="24"/>
          <w:szCs w:val="24"/>
        </w:rPr>
        <w:t>których mowa w art. 17 pkt 4</w:t>
      </w:r>
      <w:r w:rsidR="00B85D46">
        <w:rPr>
          <w:rFonts w:ascii="Times New Roman" w:hAnsi="Times New Roman"/>
          <w:sz w:val="24"/>
          <w:szCs w:val="24"/>
        </w:rPr>
        <w:t>–</w:t>
      </w:r>
      <w:r w:rsidR="000854D6" w:rsidRPr="00E24274">
        <w:rPr>
          <w:rFonts w:ascii="Times New Roman" w:hAnsi="Times New Roman"/>
          <w:sz w:val="24"/>
          <w:szCs w:val="24"/>
        </w:rPr>
        <w:t xml:space="preserve">8 </w:t>
      </w:r>
      <w:r w:rsidRPr="00E24274">
        <w:rPr>
          <w:rFonts w:ascii="Times New Roman" w:hAnsi="Times New Roman"/>
          <w:sz w:val="24"/>
          <w:szCs w:val="24"/>
        </w:rPr>
        <w:t xml:space="preserve">projektu oraz strategii zarządzania ryzykiem (art. 17 pkt </w:t>
      </w:r>
      <w:r w:rsidR="000854D6" w:rsidRPr="00E24274">
        <w:rPr>
          <w:rFonts w:ascii="Times New Roman" w:hAnsi="Times New Roman"/>
          <w:sz w:val="24"/>
          <w:szCs w:val="24"/>
        </w:rPr>
        <w:t xml:space="preserve">9 </w:t>
      </w:r>
      <w:r w:rsidRPr="00E24274">
        <w:rPr>
          <w:rFonts w:ascii="Times New Roman" w:hAnsi="Times New Roman"/>
          <w:sz w:val="24"/>
          <w:szCs w:val="24"/>
        </w:rPr>
        <w:t>projektu). Dodatkowo wnioskodawca winien dołączyć opis planowanego sposobu wykonywania zbiorowego zarządzania</w:t>
      </w:r>
      <w:r w:rsidR="000854D6" w:rsidRPr="00E24274">
        <w:rPr>
          <w:rFonts w:ascii="Times New Roman" w:hAnsi="Times New Roman"/>
          <w:sz w:val="24"/>
          <w:szCs w:val="24"/>
        </w:rPr>
        <w:t xml:space="preserve"> prawami autorskimi lub prawami pokrewnymi</w:t>
      </w:r>
      <w:r w:rsidR="00B211F9" w:rsidRPr="00E24274">
        <w:rPr>
          <w:rFonts w:ascii="Times New Roman" w:hAnsi="Times New Roman"/>
          <w:sz w:val="24"/>
          <w:szCs w:val="24"/>
        </w:rPr>
        <w:t xml:space="preserve">, wraz ze wskazaniem okoliczności świadczących o tym, że – zgodnie z projektowanym art. 7 ust. 1 pkt 2 – </w:t>
      </w:r>
      <w:r w:rsidR="0083773E" w:rsidRPr="00E24274">
        <w:rPr>
          <w:rFonts w:ascii="Times New Roman" w:hAnsi="Times New Roman"/>
          <w:sz w:val="24"/>
          <w:szCs w:val="24"/>
        </w:rPr>
        <w:t xml:space="preserve">także w tym zakresie </w:t>
      </w:r>
      <w:r w:rsidR="00B211F9" w:rsidRPr="00E24274">
        <w:rPr>
          <w:rFonts w:ascii="Times New Roman" w:hAnsi="Times New Roman"/>
          <w:sz w:val="24"/>
          <w:szCs w:val="24"/>
        </w:rPr>
        <w:t>daje rękojmię należytego</w:t>
      </w:r>
      <w:r w:rsidR="009B1B69" w:rsidRPr="00E24274">
        <w:rPr>
          <w:rFonts w:ascii="Times New Roman" w:hAnsi="Times New Roman"/>
          <w:sz w:val="24"/>
          <w:szCs w:val="24"/>
        </w:rPr>
        <w:t xml:space="preserve"> wykonywania</w:t>
      </w:r>
      <w:r w:rsidR="00B211F9" w:rsidRPr="00E24274">
        <w:rPr>
          <w:rFonts w:ascii="Times New Roman" w:hAnsi="Times New Roman"/>
          <w:sz w:val="24"/>
          <w:szCs w:val="24"/>
        </w:rPr>
        <w:t xml:space="preserve"> zbiorowego zarządzania prawami autorskimi lub prawami pokrewnymi</w:t>
      </w:r>
      <w:r w:rsidR="008872CD" w:rsidRPr="00E24274">
        <w:rPr>
          <w:rFonts w:ascii="Times New Roman" w:hAnsi="Times New Roman"/>
          <w:sz w:val="24"/>
          <w:szCs w:val="24"/>
        </w:rPr>
        <w:t>.</w:t>
      </w:r>
      <w:r w:rsidRPr="00E24274">
        <w:rPr>
          <w:rFonts w:ascii="Times New Roman" w:hAnsi="Times New Roman"/>
          <w:sz w:val="24"/>
          <w:szCs w:val="24"/>
        </w:rPr>
        <w:t xml:space="preserve"> W ten sposób możliwe będzie poznanie planowanego sposobu wykonywania zbiorowego zarządzania </w:t>
      </w:r>
      <w:r w:rsidRPr="00E24274">
        <w:rPr>
          <w:rFonts w:ascii="Times New Roman" w:hAnsi="Times New Roman"/>
          <w:sz w:val="24"/>
          <w:szCs w:val="24"/>
        </w:rPr>
        <w:lastRenderedPageBreak/>
        <w:t>przez wnioskodawcę oraz</w:t>
      </w:r>
      <w:r w:rsidR="004928E9" w:rsidRPr="00E24274">
        <w:rPr>
          <w:rFonts w:ascii="Times New Roman" w:hAnsi="Times New Roman"/>
          <w:sz w:val="24"/>
          <w:szCs w:val="24"/>
        </w:rPr>
        <w:t xml:space="preserve"> późniejsza</w:t>
      </w:r>
      <w:r w:rsidRPr="00E24274">
        <w:rPr>
          <w:rFonts w:ascii="Times New Roman" w:hAnsi="Times New Roman"/>
          <w:sz w:val="24"/>
          <w:szCs w:val="24"/>
        </w:rPr>
        <w:t xml:space="preserve"> weryfikacja</w:t>
      </w:r>
      <w:r w:rsidR="004928E9" w:rsidRPr="00E24274">
        <w:rPr>
          <w:rFonts w:ascii="Times New Roman" w:hAnsi="Times New Roman"/>
          <w:sz w:val="24"/>
          <w:szCs w:val="24"/>
        </w:rPr>
        <w:t xml:space="preserve"> w toku fazy dowodowej postępowania administracyjnego</w:t>
      </w:r>
      <w:r w:rsidRPr="00E24274">
        <w:rPr>
          <w:rFonts w:ascii="Times New Roman" w:hAnsi="Times New Roman"/>
          <w:sz w:val="24"/>
          <w:szCs w:val="24"/>
        </w:rPr>
        <w:t xml:space="preserve">, czy </w:t>
      </w:r>
      <w:r w:rsidR="00B211F9" w:rsidRPr="00E24274">
        <w:rPr>
          <w:rFonts w:ascii="Times New Roman" w:hAnsi="Times New Roman"/>
          <w:sz w:val="24"/>
          <w:szCs w:val="24"/>
        </w:rPr>
        <w:t xml:space="preserve">spełnia </w:t>
      </w:r>
      <w:r w:rsidRPr="00E24274">
        <w:rPr>
          <w:rFonts w:ascii="Times New Roman" w:hAnsi="Times New Roman"/>
          <w:sz w:val="24"/>
          <w:szCs w:val="24"/>
        </w:rPr>
        <w:t>on</w:t>
      </w:r>
      <w:r w:rsidR="00B211F9" w:rsidRPr="00E24274">
        <w:rPr>
          <w:rFonts w:ascii="Times New Roman" w:hAnsi="Times New Roman"/>
          <w:sz w:val="24"/>
          <w:szCs w:val="24"/>
        </w:rPr>
        <w:t xml:space="preserve"> przesłankę</w:t>
      </w:r>
      <w:r w:rsidRPr="00E24274">
        <w:rPr>
          <w:rFonts w:ascii="Times New Roman" w:hAnsi="Times New Roman"/>
          <w:sz w:val="24"/>
          <w:szCs w:val="24"/>
        </w:rPr>
        <w:t xml:space="preserve"> </w:t>
      </w:r>
      <w:r w:rsidR="00E24274">
        <w:rPr>
          <w:rFonts w:ascii="Times New Roman" w:hAnsi="Times New Roman"/>
          <w:sz w:val="24"/>
          <w:szCs w:val="24"/>
        </w:rPr>
        <w:t>„</w:t>
      </w:r>
      <w:r w:rsidRPr="00E24274">
        <w:rPr>
          <w:rFonts w:ascii="Times New Roman" w:hAnsi="Times New Roman"/>
          <w:sz w:val="24"/>
          <w:szCs w:val="24"/>
        </w:rPr>
        <w:t>rękojmi</w:t>
      </w:r>
      <w:r w:rsidR="00E24274">
        <w:rPr>
          <w:rFonts w:ascii="Times New Roman" w:hAnsi="Times New Roman"/>
          <w:sz w:val="24"/>
          <w:szCs w:val="24"/>
        </w:rPr>
        <w:t>”</w:t>
      </w:r>
      <w:r w:rsidRPr="00E24274">
        <w:rPr>
          <w:rFonts w:ascii="Times New Roman" w:hAnsi="Times New Roman"/>
          <w:sz w:val="24"/>
          <w:szCs w:val="24"/>
        </w:rPr>
        <w:t xml:space="preserve">. </w:t>
      </w:r>
    </w:p>
    <w:p w:rsidR="00D04546" w:rsidRPr="00E24274" w:rsidRDefault="00D04546"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Obecnie obowiązujące przepisy nie określają, jakie dokumenty należy dołączyć do wniosku o udzielenie zezwolenia na zbiorowe zarządzanie, ale w praktyce ministra właściwego do spraw kultury i ochrony dziedzictwa narodowego wnioskodawcy w toku postępowania administracyjnego są wzywani do przedstawienia co do zasady dokumentów, takich jak wskazane w ust. 3</w:t>
      </w:r>
      <w:r w:rsidR="004928E9" w:rsidRPr="00E24274">
        <w:rPr>
          <w:rFonts w:ascii="Times New Roman" w:hAnsi="Times New Roman"/>
          <w:sz w:val="24"/>
          <w:szCs w:val="24"/>
        </w:rPr>
        <w:t>, w szczególności projektów statutów oraz przyszłych regulaminów repartycji</w:t>
      </w:r>
      <w:r w:rsidRPr="00E24274">
        <w:rPr>
          <w:rFonts w:ascii="Times New Roman" w:hAnsi="Times New Roman"/>
          <w:sz w:val="24"/>
          <w:szCs w:val="24"/>
        </w:rPr>
        <w:t>. Ich ocena w toku postępo</w:t>
      </w:r>
      <w:r w:rsidR="00144B0B">
        <w:rPr>
          <w:rFonts w:ascii="Times New Roman" w:hAnsi="Times New Roman"/>
          <w:sz w:val="24"/>
          <w:szCs w:val="24"/>
        </w:rPr>
        <w:t>wania jest jednym z </w:t>
      </w:r>
      <w:r w:rsidRPr="00E24274">
        <w:rPr>
          <w:rFonts w:ascii="Times New Roman" w:hAnsi="Times New Roman"/>
          <w:sz w:val="24"/>
          <w:szCs w:val="24"/>
        </w:rPr>
        <w:t>elementów pozwalających ocenić stopień przygotowania wnioskodawcy do wykonywania zbiorowego zarządzania oraz dawania przez wnioskodawcę rękojmi należytego zarządzania powierzonymi prawami. Projektowany przepis stanowi w tym wypadku odzwierciedlenie wieloletniej praktyki organu nadzoru nieznacznie uzupełnionej o dokumenty określone w implementowanej dyrektywie, które mogą mieć znaczenie dla wydania zezwolenia na zbiorowe zarz</w:t>
      </w:r>
      <w:r w:rsidR="005F2ECA">
        <w:rPr>
          <w:rFonts w:ascii="Times New Roman" w:hAnsi="Times New Roman"/>
          <w:sz w:val="24"/>
          <w:szCs w:val="24"/>
        </w:rPr>
        <w:t>ą</w:t>
      </w:r>
      <w:r w:rsidRPr="00E24274">
        <w:rPr>
          <w:rFonts w:ascii="Times New Roman" w:hAnsi="Times New Roman"/>
          <w:sz w:val="24"/>
          <w:szCs w:val="24"/>
        </w:rPr>
        <w:t>d</w:t>
      </w:r>
      <w:r w:rsidR="00144B0B">
        <w:rPr>
          <w:rFonts w:ascii="Times New Roman" w:hAnsi="Times New Roman"/>
          <w:sz w:val="24"/>
          <w:szCs w:val="24"/>
        </w:rPr>
        <w:t>zanie (np. projekt strategii, o </w:t>
      </w:r>
      <w:r w:rsidRPr="00E24274">
        <w:rPr>
          <w:rFonts w:ascii="Times New Roman" w:hAnsi="Times New Roman"/>
          <w:sz w:val="24"/>
          <w:szCs w:val="24"/>
        </w:rPr>
        <w:t xml:space="preserve">której mowa w projektowanym art. 17 pkt </w:t>
      </w:r>
      <w:r w:rsidR="000854D6" w:rsidRPr="00E24274">
        <w:rPr>
          <w:rFonts w:ascii="Times New Roman" w:hAnsi="Times New Roman"/>
          <w:sz w:val="24"/>
          <w:szCs w:val="24"/>
        </w:rPr>
        <w:t>9</w:t>
      </w:r>
      <w:r w:rsidRPr="00E24274">
        <w:rPr>
          <w:rFonts w:ascii="Times New Roman" w:hAnsi="Times New Roman"/>
          <w:sz w:val="24"/>
          <w:szCs w:val="24"/>
        </w:rPr>
        <w:t>)</w:t>
      </w:r>
      <w:r w:rsidR="000854D6" w:rsidRPr="00E24274">
        <w:rPr>
          <w:rFonts w:ascii="Times New Roman" w:hAnsi="Times New Roman"/>
          <w:sz w:val="24"/>
          <w:szCs w:val="24"/>
        </w:rPr>
        <w:t>.</w:t>
      </w:r>
    </w:p>
    <w:p w:rsidR="00D04546" w:rsidRPr="00E24274" w:rsidRDefault="00D04546"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3. Odwołanie się w treści projektowanego ust</w:t>
      </w:r>
      <w:r w:rsidR="005F2ECA">
        <w:rPr>
          <w:rFonts w:ascii="Times New Roman" w:hAnsi="Times New Roman"/>
          <w:sz w:val="24"/>
          <w:szCs w:val="24"/>
        </w:rPr>
        <w:t>.</w:t>
      </w:r>
      <w:r w:rsidRPr="00E24274">
        <w:rPr>
          <w:rFonts w:ascii="Times New Roman" w:hAnsi="Times New Roman"/>
          <w:sz w:val="24"/>
          <w:szCs w:val="24"/>
        </w:rPr>
        <w:t xml:space="preserve"> 3 do pojęcia statutu wnioskodawcy służy dodatkowo podkreśleniu, że – podobnie jak ma </w:t>
      </w:r>
      <w:r w:rsidR="00144B0B">
        <w:rPr>
          <w:rFonts w:ascii="Times New Roman" w:hAnsi="Times New Roman"/>
          <w:sz w:val="24"/>
          <w:szCs w:val="24"/>
        </w:rPr>
        <w:t>to miejsce w chwili obecnej – o </w:t>
      </w:r>
      <w:r w:rsidRPr="00E24274">
        <w:rPr>
          <w:rFonts w:ascii="Times New Roman" w:hAnsi="Times New Roman"/>
          <w:sz w:val="24"/>
          <w:szCs w:val="24"/>
        </w:rPr>
        <w:t>uzyskanie zezwolenia na zbiorowe zarządzanie może ubiegać się wyłącznie stowarzyszenie podlegające obowiązkowi wpisu do</w:t>
      </w:r>
      <w:r w:rsidR="00144B0B">
        <w:rPr>
          <w:rFonts w:ascii="Times New Roman" w:hAnsi="Times New Roman"/>
          <w:sz w:val="24"/>
          <w:szCs w:val="24"/>
        </w:rPr>
        <w:t xml:space="preserve"> Krajowego Rejestru Sądowego, a </w:t>
      </w:r>
      <w:r w:rsidRPr="00E24274">
        <w:rPr>
          <w:rFonts w:ascii="Times New Roman" w:hAnsi="Times New Roman"/>
          <w:sz w:val="24"/>
          <w:szCs w:val="24"/>
        </w:rPr>
        <w:t>nie stowarzyszenie zwykłe, które jest jedynie obowiązane uzyskać wpis do ewidencji stowarzyszeń zwykłych. Tylko bowiem stowarzyszenia podlegające obowiązkowi rejestracji posiadają statut, w przypadku stowarzyszeń zwykłych podstawowym aktem wewnętrznym jest regulamin.</w:t>
      </w:r>
    </w:p>
    <w:p w:rsidR="00D04546" w:rsidRPr="00E24274" w:rsidRDefault="00D04546" w:rsidP="00E24274">
      <w:pPr>
        <w:spacing w:before="120" w:after="0" w:line="360" w:lineRule="auto"/>
        <w:jc w:val="both"/>
        <w:rPr>
          <w:rFonts w:ascii="Times New Roman" w:hAnsi="Times New Roman"/>
          <w:b/>
          <w:sz w:val="24"/>
          <w:szCs w:val="24"/>
        </w:rPr>
      </w:pPr>
      <w:r w:rsidRPr="00E24274">
        <w:rPr>
          <w:rFonts w:ascii="Times New Roman" w:hAnsi="Times New Roman"/>
          <w:b/>
          <w:sz w:val="24"/>
          <w:szCs w:val="24"/>
        </w:rPr>
        <w:t xml:space="preserve">art. 7 </w:t>
      </w:r>
    </w:p>
    <w:p w:rsidR="00D04546" w:rsidRPr="00E24274" w:rsidRDefault="00D04546" w:rsidP="00144B0B">
      <w:pPr>
        <w:spacing w:after="0" w:line="360" w:lineRule="auto"/>
        <w:jc w:val="both"/>
        <w:rPr>
          <w:rFonts w:ascii="Times New Roman" w:hAnsi="Times New Roman"/>
          <w:sz w:val="24"/>
          <w:szCs w:val="24"/>
        </w:rPr>
      </w:pPr>
      <w:r w:rsidRPr="00E24274">
        <w:rPr>
          <w:rFonts w:ascii="Times New Roman" w:hAnsi="Times New Roman"/>
          <w:sz w:val="24"/>
          <w:szCs w:val="24"/>
        </w:rPr>
        <w:t>1. Projektowany art. 7 ust. 1 określa katalog kryteriów, na podstawie których minister właściwy do spraw kultury i ochrony dziedzictwa narodowego będzie podejmował decyzję w przedmiocie udzielenia stowarzyszaniu zezwolenia na wykonywanie zbiorowego zarządzania. W aktualnie obowiązującym stanie prawnym (art. 104 ust. 3 pr. aut.) w postępowaniu a</w:t>
      </w:r>
      <w:r w:rsidR="00DD4FAF" w:rsidRPr="00E24274">
        <w:rPr>
          <w:rFonts w:ascii="Times New Roman" w:hAnsi="Times New Roman"/>
          <w:sz w:val="24"/>
          <w:szCs w:val="24"/>
        </w:rPr>
        <w:t>dministracyjnym minister bada</w:t>
      </w:r>
      <w:r w:rsidRPr="00E24274">
        <w:rPr>
          <w:rFonts w:ascii="Times New Roman" w:hAnsi="Times New Roman"/>
          <w:sz w:val="24"/>
          <w:szCs w:val="24"/>
        </w:rPr>
        <w:t xml:space="preserve"> wyłącznie spełnianie przez wnioskodawcę kryterium </w:t>
      </w:r>
      <w:r w:rsidR="00E24274">
        <w:rPr>
          <w:rFonts w:ascii="Times New Roman" w:hAnsi="Times New Roman"/>
          <w:sz w:val="24"/>
          <w:szCs w:val="24"/>
        </w:rPr>
        <w:t>„</w:t>
      </w:r>
      <w:r w:rsidRPr="00E24274">
        <w:rPr>
          <w:rFonts w:ascii="Times New Roman" w:hAnsi="Times New Roman"/>
          <w:i/>
          <w:sz w:val="24"/>
          <w:szCs w:val="24"/>
        </w:rPr>
        <w:t>rękojmi należytego zarządzania powierzonymi prawami</w:t>
      </w:r>
      <w:r w:rsidR="00E24274">
        <w:rPr>
          <w:rFonts w:ascii="Times New Roman" w:hAnsi="Times New Roman"/>
          <w:sz w:val="24"/>
          <w:szCs w:val="24"/>
        </w:rPr>
        <w:t>”</w:t>
      </w:r>
      <w:r w:rsidRPr="00E24274">
        <w:rPr>
          <w:rFonts w:ascii="Times New Roman" w:hAnsi="Times New Roman"/>
          <w:sz w:val="24"/>
          <w:szCs w:val="24"/>
        </w:rPr>
        <w:t xml:space="preserve">. Takie ogólne i ocenne sformułowanie pozostawia ministrowi swobodę w zakresie kształtowania systemu zbiorowego zarządzania, która mieści się w sferze uznania </w:t>
      </w:r>
      <w:r w:rsidRPr="00E24274">
        <w:rPr>
          <w:rFonts w:ascii="Times New Roman" w:hAnsi="Times New Roman"/>
          <w:sz w:val="24"/>
          <w:szCs w:val="24"/>
        </w:rPr>
        <w:lastRenderedPageBreak/>
        <w:t xml:space="preserve">administracyjnego. Oznacza to, że minister winien kierować się przy udzielaniu zezwoleń także szeroko rozumianym interesem społecznym, który wyraża się przede wszystkim w sprawnym funkcjonowaniu systemu zbiorowego zarządzania, i słusznym interesem strony. Przywołane kryterium podlega w praktyce doprecyzowaniu przez ministra w toku każdorazowego postępowania toczącego się w przedmiocie udzielenia (zmiany) zezwolenia na zbiorowe zarządzanie. Jego </w:t>
      </w:r>
      <w:r w:rsidR="00144B0B">
        <w:rPr>
          <w:rFonts w:ascii="Times New Roman" w:hAnsi="Times New Roman"/>
          <w:sz w:val="24"/>
          <w:szCs w:val="24"/>
        </w:rPr>
        <w:t>utrzymanie jest zasadne także w </w:t>
      </w:r>
      <w:r w:rsidRPr="00E24274">
        <w:rPr>
          <w:rFonts w:ascii="Times New Roman" w:hAnsi="Times New Roman"/>
          <w:sz w:val="24"/>
          <w:szCs w:val="24"/>
        </w:rPr>
        <w:t>projektowanej regulacji. Jednocześnie możliwe jest wykorzystanie dorobku wynikającego z praktyki decyzyjnej ministra w ostat</w:t>
      </w:r>
      <w:r w:rsidR="00144B0B">
        <w:rPr>
          <w:rFonts w:ascii="Times New Roman" w:hAnsi="Times New Roman"/>
          <w:sz w:val="24"/>
          <w:szCs w:val="24"/>
        </w:rPr>
        <w:t>nich kilku latach i wskazanie w </w:t>
      </w:r>
      <w:r w:rsidRPr="00E24274">
        <w:rPr>
          <w:rFonts w:ascii="Times New Roman" w:hAnsi="Times New Roman"/>
          <w:sz w:val="24"/>
          <w:szCs w:val="24"/>
        </w:rPr>
        <w:t xml:space="preserve">treści przepisu typowych warunków szczegółowych, które z jednej strony mieszczą się w ramach pojęcia </w:t>
      </w:r>
      <w:r w:rsidR="00E24274">
        <w:rPr>
          <w:rFonts w:ascii="Times New Roman" w:hAnsi="Times New Roman"/>
          <w:i/>
          <w:sz w:val="24"/>
          <w:szCs w:val="24"/>
        </w:rPr>
        <w:t>„</w:t>
      </w:r>
      <w:r w:rsidRPr="00E24274">
        <w:rPr>
          <w:rFonts w:ascii="Times New Roman" w:hAnsi="Times New Roman"/>
          <w:i/>
          <w:sz w:val="24"/>
          <w:szCs w:val="24"/>
        </w:rPr>
        <w:t>rękojmi</w:t>
      </w:r>
      <w:r w:rsidR="00E24274">
        <w:rPr>
          <w:rFonts w:ascii="Times New Roman" w:hAnsi="Times New Roman"/>
          <w:i/>
          <w:sz w:val="24"/>
          <w:szCs w:val="24"/>
        </w:rPr>
        <w:t>”</w:t>
      </w:r>
      <w:r w:rsidRPr="00E24274">
        <w:rPr>
          <w:rFonts w:ascii="Times New Roman" w:hAnsi="Times New Roman"/>
          <w:i/>
          <w:sz w:val="24"/>
          <w:szCs w:val="24"/>
        </w:rPr>
        <w:t>,</w:t>
      </w:r>
      <w:r w:rsidRPr="00E24274">
        <w:rPr>
          <w:rFonts w:ascii="Times New Roman" w:hAnsi="Times New Roman"/>
          <w:sz w:val="24"/>
          <w:szCs w:val="24"/>
        </w:rPr>
        <w:t xml:space="preserve"> a z drugiej określają minimalne kryteria, które winien spełnić wnioskodawca ubiegający się o uzyskanie zezwolenia na zbiorowe zarządzanie. </w:t>
      </w:r>
    </w:p>
    <w:p w:rsidR="00D04546" w:rsidRPr="00E24274" w:rsidRDefault="00D04546"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2. W konsekwencji w toku postępowania taki wnioskodawca powinien wykazać:</w:t>
      </w:r>
    </w:p>
    <w:p w:rsidR="00D04546" w:rsidRPr="00E24274" w:rsidRDefault="00D04546" w:rsidP="00144B0B">
      <w:pPr>
        <w:numPr>
          <w:ilvl w:val="0"/>
          <w:numId w:val="13"/>
        </w:numPr>
        <w:spacing w:after="0" w:line="360" w:lineRule="auto"/>
        <w:ind w:left="266" w:hanging="266"/>
        <w:jc w:val="both"/>
        <w:rPr>
          <w:rFonts w:ascii="Times New Roman" w:hAnsi="Times New Roman"/>
          <w:sz w:val="24"/>
          <w:szCs w:val="24"/>
        </w:rPr>
      </w:pPr>
      <w:r w:rsidRPr="00E24274">
        <w:rPr>
          <w:rFonts w:ascii="Times New Roman" w:hAnsi="Times New Roman"/>
          <w:sz w:val="24"/>
          <w:szCs w:val="24"/>
        </w:rPr>
        <w:t>potrzebę zbiorowego zarządzania prawami autorskimi lub prawami pokrewnymi, odrębnie dla każdego pola eksploatacji objętego wnioskiem;</w:t>
      </w:r>
    </w:p>
    <w:p w:rsidR="00D04546" w:rsidRPr="00E24274" w:rsidRDefault="00D04546" w:rsidP="00144B0B">
      <w:pPr>
        <w:numPr>
          <w:ilvl w:val="0"/>
          <w:numId w:val="13"/>
        </w:numPr>
        <w:spacing w:after="0" w:line="360" w:lineRule="auto"/>
        <w:ind w:left="266" w:hanging="266"/>
        <w:jc w:val="both"/>
        <w:rPr>
          <w:rFonts w:ascii="Times New Roman" w:hAnsi="Times New Roman"/>
          <w:sz w:val="24"/>
          <w:szCs w:val="24"/>
        </w:rPr>
      </w:pPr>
      <w:r w:rsidRPr="00E24274">
        <w:rPr>
          <w:rFonts w:ascii="Times New Roman" w:hAnsi="Times New Roman"/>
          <w:sz w:val="24"/>
          <w:szCs w:val="24"/>
        </w:rPr>
        <w:t>odpowiedni poziom technicznego i organizacyjnego przygotowania do wykonywania zbiorowego zarządzania w sposób samodzielny i prawidłowy;</w:t>
      </w:r>
    </w:p>
    <w:p w:rsidR="00D04546" w:rsidRPr="00E24274" w:rsidRDefault="00D04546" w:rsidP="00144B0B">
      <w:pPr>
        <w:numPr>
          <w:ilvl w:val="0"/>
          <w:numId w:val="13"/>
        </w:numPr>
        <w:spacing w:after="0" w:line="360" w:lineRule="auto"/>
        <w:ind w:left="266" w:hanging="266"/>
        <w:jc w:val="both"/>
        <w:rPr>
          <w:rFonts w:ascii="Times New Roman" w:hAnsi="Times New Roman"/>
          <w:sz w:val="24"/>
          <w:szCs w:val="24"/>
        </w:rPr>
      </w:pPr>
      <w:r w:rsidRPr="00E24274">
        <w:rPr>
          <w:rFonts w:ascii="Times New Roman" w:hAnsi="Times New Roman"/>
          <w:sz w:val="24"/>
          <w:szCs w:val="24"/>
        </w:rPr>
        <w:t>zatrudnienie osób, których kwalifikacje gwarantują zgodną z prawem oraz prawidłową pod względem rachunkowym obsługę prowadzonej działalności</w:t>
      </w:r>
      <w:r w:rsidR="00144B0B">
        <w:rPr>
          <w:rFonts w:ascii="Times New Roman" w:hAnsi="Times New Roman"/>
          <w:sz w:val="24"/>
          <w:szCs w:val="24"/>
        </w:rPr>
        <w:t xml:space="preserve"> w </w:t>
      </w:r>
      <w:r w:rsidR="009B1B69" w:rsidRPr="00E24274">
        <w:rPr>
          <w:rFonts w:ascii="Times New Roman" w:hAnsi="Times New Roman"/>
          <w:sz w:val="24"/>
          <w:szCs w:val="24"/>
        </w:rPr>
        <w:t>zakresie zbiorowego zarządzania prawami autorskimi lub prawami pokrewnymi</w:t>
      </w:r>
      <w:r w:rsidRPr="00E24274">
        <w:rPr>
          <w:rFonts w:ascii="Times New Roman" w:hAnsi="Times New Roman"/>
          <w:sz w:val="24"/>
          <w:szCs w:val="24"/>
        </w:rPr>
        <w:t>;</w:t>
      </w:r>
    </w:p>
    <w:p w:rsidR="00D04546" w:rsidRPr="00E24274" w:rsidRDefault="00D04546" w:rsidP="00144B0B">
      <w:pPr>
        <w:numPr>
          <w:ilvl w:val="0"/>
          <w:numId w:val="13"/>
        </w:numPr>
        <w:spacing w:after="0" w:line="360" w:lineRule="auto"/>
        <w:ind w:left="266" w:hanging="266"/>
        <w:jc w:val="both"/>
        <w:rPr>
          <w:rFonts w:ascii="Times New Roman" w:hAnsi="Times New Roman"/>
          <w:sz w:val="24"/>
          <w:szCs w:val="24"/>
        </w:rPr>
      </w:pPr>
      <w:r w:rsidRPr="00E24274">
        <w:rPr>
          <w:rFonts w:ascii="Times New Roman" w:hAnsi="Times New Roman"/>
          <w:sz w:val="24"/>
          <w:szCs w:val="24"/>
        </w:rPr>
        <w:t>dysponowanie środkami finansowymi w wysokości gwarantującej prawidłowe wykonywanie zbiorowego zarządzania prawami autorskimi lub prawami pokrewnymi.</w:t>
      </w:r>
    </w:p>
    <w:p w:rsidR="00D04546" w:rsidRPr="00E24274" w:rsidRDefault="00D04546"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W przypadku potrzeby zbiorowego zarządzania określoną kategorią praw wnioskodawca winien wykazać, że określona kategoria praw w ogóle nadaje się do zbiorowego zarządzania na każdym z pól eksploatacji, których dotyczy wniosek, a także</w:t>
      </w:r>
      <w:r w:rsidR="005F2ECA">
        <w:rPr>
          <w:rFonts w:ascii="Times New Roman" w:hAnsi="Times New Roman"/>
          <w:sz w:val="24"/>
          <w:szCs w:val="24"/>
        </w:rPr>
        <w:t>,</w:t>
      </w:r>
      <w:r w:rsidRPr="00E24274">
        <w:rPr>
          <w:rFonts w:ascii="Times New Roman" w:hAnsi="Times New Roman"/>
          <w:sz w:val="24"/>
          <w:szCs w:val="24"/>
        </w:rPr>
        <w:t xml:space="preserve"> że zachodzi rynkowa potrzeba zbiorowego zarządzania tymi prawami.</w:t>
      </w:r>
    </w:p>
    <w:p w:rsidR="00D04546" w:rsidRPr="00E24274" w:rsidRDefault="00D04546"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 xml:space="preserve">Dwa kolejne kryteria służą ocenie, czy stowarzyszenie jest przygotowane </w:t>
      </w:r>
      <w:r w:rsidR="005F2ECA">
        <w:rPr>
          <w:rFonts w:ascii="Times New Roman" w:hAnsi="Times New Roman"/>
          <w:sz w:val="24"/>
          <w:szCs w:val="24"/>
        </w:rPr>
        <w:t>do</w:t>
      </w:r>
      <w:r w:rsidRPr="00E24274">
        <w:rPr>
          <w:rFonts w:ascii="Times New Roman" w:hAnsi="Times New Roman"/>
          <w:sz w:val="24"/>
          <w:szCs w:val="24"/>
        </w:rPr>
        <w:t xml:space="preserve"> pełnienia swojej funkcji</w:t>
      </w:r>
      <w:r w:rsidR="005F2ECA">
        <w:rPr>
          <w:rFonts w:ascii="Times New Roman" w:hAnsi="Times New Roman"/>
          <w:sz w:val="24"/>
          <w:szCs w:val="24"/>
        </w:rPr>
        <w:t>,</w:t>
      </w:r>
      <w:r w:rsidRPr="00E24274">
        <w:rPr>
          <w:rFonts w:ascii="Times New Roman" w:hAnsi="Times New Roman"/>
          <w:sz w:val="24"/>
          <w:szCs w:val="24"/>
        </w:rPr>
        <w:t xml:space="preserve"> tzn. czy dysponuje własną strukturą do wykonywania zbiorowego zarządzania i zatrudnia osoby do tego należycie p</w:t>
      </w:r>
      <w:r w:rsidR="00144B0B">
        <w:rPr>
          <w:rFonts w:ascii="Times New Roman" w:hAnsi="Times New Roman"/>
          <w:sz w:val="24"/>
          <w:szCs w:val="24"/>
        </w:rPr>
        <w:t>rzygotowane. Korespondują one z </w:t>
      </w:r>
      <w:r w:rsidRPr="00E24274">
        <w:rPr>
          <w:rFonts w:ascii="Times New Roman" w:hAnsi="Times New Roman"/>
          <w:sz w:val="24"/>
          <w:szCs w:val="24"/>
        </w:rPr>
        <w:t xml:space="preserve">ostatnim kryterium – skuteczne wykonywanie zbiorowego zarządzania wymaga posiadania środków finansowych w szczególności na prowadzenie negocjacji umów </w:t>
      </w:r>
      <w:r w:rsidRPr="00E24274">
        <w:rPr>
          <w:rFonts w:ascii="Times New Roman" w:hAnsi="Times New Roman"/>
          <w:sz w:val="24"/>
          <w:szCs w:val="24"/>
        </w:rPr>
        <w:lastRenderedPageBreak/>
        <w:t>licencyjnych, dochodzenie ochrony praw, inkasowanie i sprawny podział gromadzonych środków.</w:t>
      </w:r>
    </w:p>
    <w:p w:rsidR="00D04546" w:rsidRPr="00E24274" w:rsidRDefault="00D04546"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 xml:space="preserve">3. Z kolei zgodnie z projektowanym art. 7 ust. </w:t>
      </w:r>
      <w:r w:rsidR="00144B0B">
        <w:rPr>
          <w:rFonts w:ascii="Times New Roman" w:hAnsi="Times New Roman"/>
          <w:sz w:val="24"/>
          <w:szCs w:val="24"/>
        </w:rPr>
        <w:t>2 w zakresie, w jakim wniosek o </w:t>
      </w:r>
      <w:r w:rsidRPr="00E24274">
        <w:rPr>
          <w:rFonts w:ascii="Times New Roman" w:hAnsi="Times New Roman"/>
          <w:sz w:val="24"/>
          <w:szCs w:val="24"/>
        </w:rPr>
        <w:t>udzielenie zezwolenia będzie dotyczył praw danej kategorii uprawnionych do danego rodzaju utworów lub przedmiotów praw pokrewnych na danym polu eksploatacji, które będą już objęte zezwoleniem innej organizacji zbiorowego zarządzania, minister właściwy do spraw kultury i ochrony dziedzictwa narodowego będzie udzielał zezwolenia wnioskodawcy, je</w:t>
      </w:r>
      <w:r w:rsidR="009B1B69" w:rsidRPr="00E24274">
        <w:rPr>
          <w:rFonts w:ascii="Times New Roman" w:hAnsi="Times New Roman"/>
          <w:sz w:val="24"/>
          <w:szCs w:val="24"/>
        </w:rPr>
        <w:t>że</w:t>
      </w:r>
      <w:r w:rsidRPr="00E24274">
        <w:rPr>
          <w:rFonts w:ascii="Times New Roman" w:hAnsi="Times New Roman"/>
          <w:sz w:val="24"/>
          <w:szCs w:val="24"/>
        </w:rPr>
        <w:t xml:space="preserve">li </w:t>
      </w:r>
      <w:r w:rsidR="009B1B69" w:rsidRPr="00E24274">
        <w:rPr>
          <w:rFonts w:ascii="Times New Roman" w:hAnsi="Times New Roman"/>
          <w:sz w:val="24"/>
          <w:szCs w:val="24"/>
        </w:rPr>
        <w:t xml:space="preserve">przedstawi </w:t>
      </w:r>
      <w:r w:rsidRPr="00E24274">
        <w:rPr>
          <w:rFonts w:ascii="Times New Roman" w:hAnsi="Times New Roman"/>
          <w:sz w:val="24"/>
          <w:szCs w:val="24"/>
        </w:rPr>
        <w:t>on</w:t>
      </w:r>
      <w:r w:rsidR="009B1B69" w:rsidRPr="00E24274">
        <w:rPr>
          <w:rFonts w:ascii="Times New Roman" w:hAnsi="Times New Roman"/>
          <w:sz w:val="24"/>
          <w:szCs w:val="24"/>
        </w:rPr>
        <w:t xml:space="preserve"> propozycję</w:t>
      </w:r>
      <w:r w:rsidRPr="00E24274">
        <w:rPr>
          <w:rFonts w:ascii="Times New Roman" w:hAnsi="Times New Roman"/>
          <w:sz w:val="24"/>
          <w:szCs w:val="24"/>
        </w:rPr>
        <w:t xml:space="preserve"> zasad wspólnego udzielania licencji oraz poboru przychodów z praw</w:t>
      </w:r>
      <w:r w:rsidR="009B1B69" w:rsidRPr="00E24274">
        <w:rPr>
          <w:rFonts w:ascii="Times New Roman" w:hAnsi="Times New Roman"/>
          <w:sz w:val="24"/>
          <w:szCs w:val="24"/>
        </w:rPr>
        <w:t xml:space="preserve"> w przypadkach, w których projektowana ustawa zobowiązuje do takiego wspólnego działania (określonych w art. 44 ust. 2 i 4), zapewniającą skuteczne funkcjonowanie systemu zbiorowego zarządzania</w:t>
      </w:r>
      <w:r w:rsidRPr="00E24274">
        <w:rPr>
          <w:rFonts w:ascii="Times New Roman" w:hAnsi="Times New Roman"/>
          <w:sz w:val="24"/>
          <w:szCs w:val="24"/>
        </w:rPr>
        <w:t xml:space="preserve">. </w:t>
      </w:r>
    </w:p>
    <w:p w:rsidR="00D04546" w:rsidRPr="00E24274" w:rsidRDefault="00D04546"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Powyższy przepis nie ma odpowiednika w obowiązującym prawie ani nie stanowi implementacji dyrektywy CRM. Jednakże z uwagi na fakt, że projektowana ustawa dopuszcza za obowiązującymi przepisami pr. aut. możliwość istnienia kilku organizacji zbiorowego zarządzania zarządzających tą samą kategorią praw na tym samym polu eksploatacji (co w dotychczasowej praktyce generowało różnorodne problemy przede wszystkim po stronie użytkowników)</w:t>
      </w:r>
      <w:r w:rsidR="005F2ECA">
        <w:rPr>
          <w:rFonts w:ascii="Times New Roman" w:hAnsi="Times New Roman"/>
          <w:sz w:val="24"/>
          <w:szCs w:val="24"/>
        </w:rPr>
        <w:t>,</w:t>
      </w:r>
      <w:r w:rsidRPr="00E24274">
        <w:rPr>
          <w:rFonts w:ascii="Times New Roman" w:hAnsi="Times New Roman"/>
          <w:sz w:val="24"/>
          <w:szCs w:val="24"/>
        </w:rPr>
        <w:t xml:space="preserve"> zasadnym jest doprecyzowanie powyższej zasady. </w:t>
      </w:r>
      <w:r w:rsidR="009B1B69" w:rsidRPr="00E24274">
        <w:rPr>
          <w:rFonts w:ascii="Times New Roman" w:hAnsi="Times New Roman"/>
          <w:sz w:val="24"/>
          <w:szCs w:val="24"/>
        </w:rPr>
        <w:t>Zaproponowane</w:t>
      </w:r>
      <w:r w:rsidRPr="00E24274">
        <w:rPr>
          <w:rFonts w:ascii="Times New Roman" w:hAnsi="Times New Roman"/>
          <w:sz w:val="24"/>
          <w:szCs w:val="24"/>
        </w:rPr>
        <w:t xml:space="preserve"> rozwiązanie uprości użytkownikom kontraktowanie </w:t>
      </w:r>
      <w:r w:rsidR="00B0344D" w:rsidRPr="00E24274">
        <w:rPr>
          <w:rFonts w:ascii="Times New Roman" w:hAnsi="Times New Roman"/>
          <w:sz w:val="24"/>
          <w:szCs w:val="24"/>
        </w:rPr>
        <w:t xml:space="preserve">się </w:t>
      </w:r>
      <w:r w:rsidRPr="00E24274">
        <w:rPr>
          <w:rFonts w:ascii="Times New Roman" w:hAnsi="Times New Roman"/>
          <w:sz w:val="24"/>
          <w:szCs w:val="24"/>
        </w:rPr>
        <w:t xml:space="preserve">z kilkoma organizacjami zbiorowego zarządzania zarządzającymi taką samą kategorią praw na takim samym polu </w:t>
      </w:r>
      <w:r w:rsidR="00DD4FAF" w:rsidRPr="00E24274">
        <w:rPr>
          <w:rFonts w:ascii="Times New Roman" w:hAnsi="Times New Roman"/>
          <w:sz w:val="24"/>
          <w:szCs w:val="24"/>
        </w:rPr>
        <w:t>eksploatacji,</w:t>
      </w:r>
      <w:r w:rsidRPr="00E24274">
        <w:rPr>
          <w:rFonts w:ascii="Times New Roman" w:hAnsi="Times New Roman"/>
          <w:sz w:val="24"/>
          <w:szCs w:val="24"/>
        </w:rPr>
        <w:t xml:space="preserve"> ponieważ</w:t>
      </w:r>
      <w:r w:rsidR="005F2ECA">
        <w:rPr>
          <w:rFonts w:ascii="Times New Roman" w:hAnsi="Times New Roman"/>
          <w:sz w:val="24"/>
          <w:szCs w:val="24"/>
        </w:rPr>
        <w:t>,</w:t>
      </w:r>
      <w:r w:rsidR="00DD4FAF" w:rsidRPr="00E24274">
        <w:rPr>
          <w:rFonts w:ascii="Times New Roman" w:hAnsi="Times New Roman"/>
          <w:sz w:val="24"/>
          <w:szCs w:val="24"/>
        </w:rPr>
        <w:t xml:space="preserve"> zgodnie z projektowanym art. 44 ust. 2,</w:t>
      </w:r>
      <w:r w:rsidRPr="00E24274">
        <w:rPr>
          <w:rFonts w:ascii="Times New Roman" w:hAnsi="Times New Roman"/>
          <w:sz w:val="24"/>
          <w:szCs w:val="24"/>
        </w:rPr>
        <w:t xml:space="preserve"> takie organizacje będą musiały działać wspólnie, a nie </w:t>
      </w:r>
      <w:r w:rsidR="00DD4FAF" w:rsidRPr="00E24274">
        <w:rPr>
          <w:rFonts w:ascii="Times New Roman" w:hAnsi="Times New Roman"/>
          <w:sz w:val="24"/>
          <w:szCs w:val="24"/>
        </w:rPr>
        <w:t>–</w:t>
      </w:r>
      <w:r w:rsidRPr="00E24274">
        <w:rPr>
          <w:rFonts w:ascii="Times New Roman" w:hAnsi="Times New Roman"/>
          <w:sz w:val="24"/>
          <w:szCs w:val="24"/>
        </w:rPr>
        <w:t xml:space="preserve"> jak co do zasady jest obecnie </w:t>
      </w:r>
      <w:r w:rsidR="00DD4FAF" w:rsidRPr="00E24274">
        <w:rPr>
          <w:rFonts w:ascii="Times New Roman" w:hAnsi="Times New Roman"/>
          <w:sz w:val="24"/>
          <w:szCs w:val="24"/>
        </w:rPr>
        <w:t>–</w:t>
      </w:r>
      <w:r w:rsidRPr="00E24274">
        <w:rPr>
          <w:rFonts w:ascii="Times New Roman" w:hAnsi="Times New Roman"/>
          <w:sz w:val="24"/>
          <w:szCs w:val="24"/>
        </w:rPr>
        <w:t xml:space="preserve"> osobno. W konsekwencji użytkownik będzie pewny, że po zawarciu jednej umowy na korzystanie z danej kategorii praw na danym polu </w:t>
      </w:r>
      <w:r w:rsidR="00B0344D" w:rsidRPr="00E24274">
        <w:rPr>
          <w:rFonts w:ascii="Times New Roman" w:hAnsi="Times New Roman"/>
          <w:sz w:val="24"/>
          <w:szCs w:val="24"/>
        </w:rPr>
        <w:t xml:space="preserve">eksploatacji </w:t>
      </w:r>
      <w:r w:rsidRPr="00E24274">
        <w:rPr>
          <w:rFonts w:ascii="Times New Roman" w:hAnsi="Times New Roman"/>
          <w:sz w:val="24"/>
          <w:szCs w:val="24"/>
        </w:rPr>
        <w:t>nie będzie narażony na roszczenia kolejnych organizacji zbiorowego zarządzania zarządzających tą samą kategorią praw na tym samym polu eksploatacji.</w:t>
      </w:r>
      <w:r w:rsidR="009B1B69" w:rsidRPr="00E24274">
        <w:rPr>
          <w:rFonts w:ascii="Times New Roman" w:hAnsi="Times New Roman"/>
          <w:sz w:val="24"/>
          <w:szCs w:val="24"/>
        </w:rPr>
        <w:t xml:space="preserve"> Dodatkowo projektowany art. 44 ust. 4 wprowadzi zasadę jednego inkasenta na polu eksploatacji odtwarzanie.</w:t>
      </w:r>
      <w:r w:rsidRPr="00E24274">
        <w:rPr>
          <w:rFonts w:ascii="Times New Roman" w:hAnsi="Times New Roman"/>
          <w:sz w:val="24"/>
          <w:szCs w:val="24"/>
        </w:rPr>
        <w:t xml:space="preserve"> Powyższe rozwiązani</w:t>
      </w:r>
      <w:r w:rsidR="009B1B69" w:rsidRPr="00E24274">
        <w:rPr>
          <w:rFonts w:ascii="Times New Roman" w:hAnsi="Times New Roman"/>
          <w:sz w:val="24"/>
          <w:szCs w:val="24"/>
        </w:rPr>
        <w:t>a</w:t>
      </w:r>
      <w:r w:rsidRPr="00E24274">
        <w:rPr>
          <w:rFonts w:ascii="Times New Roman" w:hAnsi="Times New Roman"/>
          <w:sz w:val="24"/>
          <w:szCs w:val="24"/>
        </w:rPr>
        <w:t xml:space="preserve"> sprawi</w:t>
      </w:r>
      <w:r w:rsidR="009B1B69" w:rsidRPr="00E24274">
        <w:rPr>
          <w:rFonts w:ascii="Times New Roman" w:hAnsi="Times New Roman"/>
          <w:sz w:val="24"/>
          <w:szCs w:val="24"/>
        </w:rPr>
        <w:t>ą</w:t>
      </w:r>
      <w:r w:rsidRPr="00E24274">
        <w:rPr>
          <w:rFonts w:ascii="Times New Roman" w:hAnsi="Times New Roman"/>
          <w:sz w:val="24"/>
          <w:szCs w:val="24"/>
        </w:rPr>
        <w:t xml:space="preserve">, że proces zawierania umów z organizacjami zbiorowego zarządzania będzie po prostu szybszy oraz zdecydowanie bardziej przejrzysty. </w:t>
      </w:r>
      <w:r w:rsidR="004928E9" w:rsidRPr="00E24274">
        <w:rPr>
          <w:rFonts w:ascii="Times New Roman" w:hAnsi="Times New Roman"/>
          <w:sz w:val="24"/>
          <w:szCs w:val="24"/>
        </w:rPr>
        <w:t xml:space="preserve">Tego rodzaju </w:t>
      </w:r>
      <w:r w:rsidR="009B1B69" w:rsidRPr="00E24274">
        <w:rPr>
          <w:rFonts w:ascii="Times New Roman" w:hAnsi="Times New Roman"/>
          <w:sz w:val="24"/>
          <w:szCs w:val="24"/>
        </w:rPr>
        <w:t>mechanizmy są</w:t>
      </w:r>
      <w:r w:rsidR="004928E9" w:rsidRPr="00E24274">
        <w:rPr>
          <w:rFonts w:ascii="Times New Roman" w:hAnsi="Times New Roman"/>
          <w:sz w:val="24"/>
          <w:szCs w:val="24"/>
        </w:rPr>
        <w:t xml:space="preserve"> wykorzystywane w ustawodawstwach kilku państw członkowskich UE, np. Węgier, które nie zdecydowały się na wprowadzenie monopolu </w:t>
      </w:r>
      <w:r w:rsidR="004928E9" w:rsidRPr="00E24274">
        <w:rPr>
          <w:rFonts w:ascii="Times New Roman" w:hAnsi="Times New Roman"/>
          <w:i/>
          <w:sz w:val="24"/>
          <w:szCs w:val="24"/>
        </w:rPr>
        <w:t>de iure</w:t>
      </w:r>
      <w:r w:rsidR="004928E9" w:rsidRPr="00E24274">
        <w:rPr>
          <w:rFonts w:ascii="Times New Roman" w:hAnsi="Times New Roman"/>
          <w:sz w:val="24"/>
          <w:szCs w:val="24"/>
        </w:rPr>
        <w:t xml:space="preserve"> w przypadku zbiorowego zarządzania, ale chciały uniknąć chaosu w tej sferze aktywności.</w:t>
      </w:r>
    </w:p>
    <w:p w:rsidR="00D04546" w:rsidRPr="00E24274" w:rsidRDefault="00D04546" w:rsidP="00E24274">
      <w:pPr>
        <w:spacing w:before="120" w:after="0" w:line="360" w:lineRule="auto"/>
        <w:jc w:val="both"/>
        <w:rPr>
          <w:rFonts w:ascii="Times New Roman" w:hAnsi="Times New Roman"/>
          <w:b/>
          <w:sz w:val="24"/>
          <w:szCs w:val="24"/>
        </w:rPr>
      </w:pPr>
      <w:r w:rsidRPr="00E24274">
        <w:rPr>
          <w:rFonts w:ascii="Times New Roman" w:hAnsi="Times New Roman"/>
          <w:b/>
          <w:sz w:val="24"/>
          <w:szCs w:val="24"/>
        </w:rPr>
        <w:lastRenderedPageBreak/>
        <w:t xml:space="preserve">art. 8 </w:t>
      </w:r>
    </w:p>
    <w:p w:rsidR="00D04546" w:rsidRPr="00E24274" w:rsidRDefault="00D04546" w:rsidP="00144B0B">
      <w:pPr>
        <w:spacing w:after="0" w:line="360" w:lineRule="auto"/>
        <w:jc w:val="both"/>
        <w:rPr>
          <w:rFonts w:ascii="Times New Roman" w:hAnsi="Times New Roman"/>
          <w:sz w:val="24"/>
          <w:szCs w:val="24"/>
        </w:rPr>
      </w:pPr>
      <w:r w:rsidRPr="00E24274">
        <w:rPr>
          <w:rFonts w:ascii="Times New Roman" w:hAnsi="Times New Roman"/>
          <w:sz w:val="24"/>
          <w:szCs w:val="24"/>
        </w:rPr>
        <w:t>Projektowany art. 8 nie ma odpowiednika w obecnie obowiązujących przepisach. Przepis ten określa, jakim kategoriom wnioskodawców nie może być udzielone zezwolenie na wykonywanie zbiorowego zarządzania. Zgodnie z nim minister właściwy do spraw kultury i ochrony dziedzictwa narodowego nie będzie mógł udzielić zezwolenia:</w:t>
      </w:r>
    </w:p>
    <w:p w:rsidR="00D04546" w:rsidRPr="00E24274" w:rsidRDefault="00D04546" w:rsidP="00144B0B">
      <w:pPr>
        <w:numPr>
          <w:ilvl w:val="0"/>
          <w:numId w:val="14"/>
        </w:numPr>
        <w:spacing w:after="0" w:line="360" w:lineRule="auto"/>
        <w:ind w:left="323" w:hanging="323"/>
        <w:jc w:val="both"/>
        <w:rPr>
          <w:rFonts w:ascii="Times New Roman" w:hAnsi="Times New Roman"/>
          <w:sz w:val="24"/>
          <w:szCs w:val="24"/>
        </w:rPr>
      </w:pPr>
      <w:r w:rsidRPr="00E24274">
        <w:rPr>
          <w:rFonts w:ascii="Times New Roman" w:hAnsi="Times New Roman"/>
          <w:sz w:val="24"/>
          <w:szCs w:val="24"/>
        </w:rPr>
        <w:t>terenowej jednostce organizacyjnej stowarzyszenia;</w:t>
      </w:r>
    </w:p>
    <w:p w:rsidR="00D04546" w:rsidRPr="00E24274" w:rsidRDefault="00D04546" w:rsidP="00144B0B">
      <w:pPr>
        <w:numPr>
          <w:ilvl w:val="0"/>
          <w:numId w:val="14"/>
        </w:numPr>
        <w:spacing w:after="0" w:line="360" w:lineRule="auto"/>
        <w:ind w:left="323" w:hanging="323"/>
        <w:jc w:val="both"/>
        <w:rPr>
          <w:rFonts w:ascii="Times New Roman" w:hAnsi="Times New Roman"/>
          <w:sz w:val="24"/>
          <w:szCs w:val="24"/>
        </w:rPr>
      </w:pPr>
      <w:r w:rsidRPr="00E24274">
        <w:rPr>
          <w:rFonts w:ascii="Times New Roman" w:hAnsi="Times New Roman"/>
          <w:sz w:val="24"/>
          <w:szCs w:val="24"/>
        </w:rPr>
        <w:t>jeżeli wnioskodawca znajduje się w stanie likwidacji;</w:t>
      </w:r>
    </w:p>
    <w:p w:rsidR="00D04546" w:rsidRPr="00E24274" w:rsidRDefault="00D04546" w:rsidP="00144B0B">
      <w:pPr>
        <w:numPr>
          <w:ilvl w:val="0"/>
          <w:numId w:val="14"/>
        </w:numPr>
        <w:spacing w:after="0" w:line="360" w:lineRule="auto"/>
        <w:ind w:left="323" w:hanging="323"/>
        <w:jc w:val="both"/>
        <w:rPr>
          <w:rFonts w:ascii="Times New Roman" w:hAnsi="Times New Roman"/>
          <w:sz w:val="24"/>
          <w:szCs w:val="24"/>
        </w:rPr>
      </w:pPr>
      <w:r w:rsidRPr="00E24274">
        <w:rPr>
          <w:rFonts w:ascii="Times New Roman" w:hAnsi="Times New Roman"/>
          <w:sz w:val="24"/>
          <w:szCs w:val="24"/>
        </w:rPr>
        <w:t xml:space="preserve">jeżeli nie </w:t>
      </w:r>
      <w:r w:rsidR="003A3A56" w:rsidRPr="00E24274">
        <w:rPr>
          <w:rFonts w:ascii="Times New Roman" w:hAnsi="Times New Roman"/>
          <w:sz w:val="24"/>
          <w:szCs w:val="24"/>
        </w:rPr>
        <w:t xml:space="preserve">upłynęło </w:t>
      </w:r>
      <w:r w:rsidRPr="00E24274">
        <w:rPr>
          <w:rFonts w:ascii="Times New Roman" w:hAnsi="Times New Roman"/>
          <w:sz w:val="24"/>
          <w:szCs w:val="24"/>
        </w:rPr>
        <w:t xml:space="preserve">pięć lat od </w:t>
      </w:r>
      <w:r w:rsidR="00B0344D" w:rsidRPr="00E24274">
        <w:rPr>
          <w:rFonts w:ascii="Times New Roman" w:hAnsi="Times New Roman"/>
          <w:sz w:val="24"/>
          <w:szCs w:val="24"/>
        </w:rPr>
        <w:t xml:space="preserve">uprawomocnienia się decyzji ministra właściwego do spraw kultury i ochrony dziedzictwa narodowego o cofnięciu </w:t>
      </w:r>
      <w:r w:rsidRPr="00E24274">
        <w:rPr>
          <w:rFonts w:ascii="Times New Roman" w:hAnsi="Times New Roman"/>
          <w:sz w:val="24"/>
          <w:szCs w:val="24"/>
        </w:rPr>
        <w:t xml:space="preserve">wnioskodawcy zezwolenia na zbiorowe zarządzanie prawami autorskimi lub prawami pokrewnymi </w:t>
      </w:r>
      <w:r w:rsidR="003A3A56" w:rsidRPr="00E24274">
        <w:rPr>
          <w:rFonts w:ascii="Times New Roman" w:hAnsi="Times New Roman"/>
          <w:sz w:val="24"/>
          <w:szCs w:val="24"/>
        </w:rPr>
        <w:t>na podstawie</w:t>
      </w:r>
      <w:r w:rsidR="008872CD" w:rsidRPr="00E24274">
        <w:rPr>
          <w:rFonts w:ascii="Times New Roman" w:hAnsi="Times New Roman"/>
          <w:sz w:val="24"/>
          <w:szCs w:val="24"/>
        </w:rPr>
        <w:t xml:space="preserve"> art. 9</w:t>
      </w:r>
      <w:r w:rsidR="009A3313" w:rsidRPr="00E24274">
        <w:rPr>
          <w:rFonts w:ascii="Times New Roman" w:hAnsi="Times New Roman"/>
          <w:sz w:val="24"/>
          <w:szCs w:val="24"/>
        </w:rPr>
        <w:t>9</w:t>
      </w:r>
      <w:r w:rsidR="008872CD" w:rsidRPr="00E24274">
        <w:rPr>
          <w:rFonts w:ascii="Times New Roman" w:hAnsi="Times New Roman"/>
          <w:sz w:val="24"/>
          <w:szCs w:val="24"/>
        </w:rPr>
        <w:t xml:space="preserve"> ust. 1 pkt 4 lub 5</w:t>
      </w:r>
      <w:r w:rsidRPr="00E24274">
        <w:rPr>
          <w:rFonts w:ascii="Times New Roman" w:hAnsi="Times New Roman"/>
          <w:sz w:val="24"/>
          <w:szCs w:val="24"/>
        </w:rPr>
        <w:t xml:space="preserve"> w zakresie objętym wn</w:t>
      </w:r>
      <w:r w:rsidR="00DD4FAF" w:rsidRPr="00E24274">
        <w:rPr>
          <w:rFonts w:ascii="Times New Roman" w:hAnsi="Times New Roman"/>
          <w:sz w:val="24"/>
          <w:szCs w:val="24"/>
        </w:rPr>
        <w:t>ioskiem o udzielenie zezwolenia</w:t>
      </w:r>
      <w:r w:rsidRPr="00E24274">
        <w:rPr>
          <w:rFonts w:ascii="Times New Roman" w:hAnsi="Times New Roman"/>
          <w:sz w:val="24"/>
          <w:szCs w:val="24"/>
        </w:rPr>
        <w:t>.</w:t>
      </w:r>
    </w:p>
    <w:p w:rsidR="00D04546" w:rsidRPr="00E24274" w:rsidRDefault="00D04546"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W pierwszym przypadku chodzi o wyeliminowanie sytuacji, w której zezwolenie mogłaby uzyskać terenowa j</w:t>
      </w:r>
      <w:r w:rsidRPr="00E24274">
        <w:rPr>
          <w:rFonts w:ascii="Times New Roman" w:hAnsi="Times New Roman"/>
          <w:bCs/>
          <w:sz w:val="24"/>
          <w:szCs w:val="24"/>
        </w:rPr>
        <w:t xml:space="preserve">ednostka organizacyjna </w:t>
      </w:r>
      <w:r w:rsidR="00144B0B">
        <w:rPr>
          <w:rFonts w:ascii="Times New Roman" w:hAnsi="Times New Roman"/>
          <w:bCs/>
          <w:sz w:val="24"/>
          <w:szCs w:val="24"/>
        </w:rPr>
        <w:t>stowarzyszenia, która zgodnie z </w:t>
      </w:r>
      <w:r w:rsidRPr="00E24274">
        <w:rPr>
          <w:rFonts w:ascii="Times New Roman" w:hAnsi="Times New Roman"/>
          <w:bCs/>
          <w:sz w:val="24"/>
          <w:szCs w:val="24"/>
        </w:rPr>
        <w:t>obowiązującym art. 10a ust. 3 Prawa o stowarzyszeniach może posiadać osobowość prawną. Ewentualne udzielenie zezwolenia tego typu jednostce (przy jednoczesnym istnieniu stowarzyszenia, którego jest ona częścią, wyposażonego w przymiot osobowości prawnej) rodzi</w:t>
      </w:r>
      <w:r w:rsidR="00BC4224" w:rsidRPr="00E24274">
        <w:rPr>
          <w:rFonts w:ascii="Times New Roman" w:hAnsi="Times New Roman"/>
          <w:bCs/>
          <w:sz w:val="24"/>
          <w:szCs w:val="24"/>
        </w:rPr>
        <w:t>łoby</w:t>
      </w:r>
      <w:r w:rsidRPr="00E24274">
        <w:rPr>
          <w:rFonts w:ascii="Times New Roman" w:hAnsi="Times New Roman"/>
          <w:bCs/>
          <w:sz w:val="24"/>
          <w:szCs w:val="24"/>
        </w:rPr>
        <w:t xml:space="preserve"> szereg poważnych problemów praktycznych. Są one związane z tym, że tego typu jednostka, nawet mając osobowość prawną, nie zyskuje pełnej samodzielności</w:t>
      </w:r>
      <w:r w:rsidRPr="00E24274">
        <w:rPr>
          <w:rFonts w:ascii="Times New Roman" w:hAnsi="Times New Roman"/>
          <w:bCs/>
          <w:sz w:val="24"/>
          <w:szCs w:val="24"/>
          <w:vertAlign w:val="superscript"/>
        </w:rPr>
        <w:footnoteReference w:id="26"/>
      </w:r>
      <w:r w:rsidR="001E6F0B" w:rsidRPr="001E6F0B">
        <w:rPr>
          <w:rFonts w:ascii="Times New Roman" w:hAnsi="Times New Roman"/>
          <w:bCs/>
          <w:sz w:val="24"/>
          <w:szCs w:val="24"/>
          <w:vertAlign w:val="superscript"/>
        </w:rPr>
        <w:t>)</w:t>
      </w:r>
      <w:r w:rsidRPr="00E24274">
        <w:rPr>
          <w:rFonts w:ascii="Times New Roman" w:hAnsi="Times New Roman"/>
          <w:bCs/>
          <w:sz w:val="24"/>
          <w:szCs w:val="24"/>
        </w:rPr>
        <w:t xml:space="preserve"> – przede wszystkim dysponuje swobodą jedynie w zakresie stosunków cywilnoprawnych. Nie korzysta natomiast z autonomii w zakresie działalności statutowej, pozostając cały czas jedynie wewnętrzną jednostką organizacyjną stowarzyszenia. Trudno w świetle powyższego uczynić ją odpowiedzialną jako organizację zbiorowego zarządzania za całokształt obowiązków związanych z wykonywaniem tego typu działalności. Niemożliwe jest także nałożenie na tego typu jednostkę szeregu obowiązków dotyczących kształtu jej organów, które wynikają wprost z dyrektywy CRM i służą zapewnieniu transparentnego procesu podejmowania decyzji przez członków organizacji zbiorowego zarządzania.</w:t>
      </w:r>
    </w:p>
    <w:p w:rsidR="00D04546" w:rsidRPr="00E24274" w:rsidRDefault="00D04546"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lastRenderedPageBreak/>
        <w:t xml:space="preserve">Drugi przypadek jest oczywisty. Stowarzyszenie, które zostało na mocy uchwały jego członków czy też orzeczenia sądu rozwiązane i podlega likwidacji, nie gwarantuje stabilnego i prawidłowego wykonywania zbiorowego zarządzania. </w:t>
      </w:r>
    </w:p>
    <w:p w:rsidR="00D04546" w:rsidRPr="00E24274" w:rsidRDefault="00D04546"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Trzeci przypadek odmowy udzielenia zezwolenia wynikający z projektowanej ustawy ma charakter swoistej, czasowej sankcji wobec podmiotu, któremu minister właściwy do spraw kultury i ochrony dziedzictwa narodowego w trybie nadzorczym skutecznie cofnął zezwolenie na zbiorowe zarządzanie w części lub całości. Cofnięcie zezwolenia oznacza bowiem, że takie stowarzyszenie dopuściło się poważnych naruszeń przy wykonywaniu zbiorowego zarządzania.</w:t>
      </w:r>
    </w:p>
    <w:p w:rsidR="00D04546" w:rsidRPr="00E24274" w:rsidRDefault="00D04546" w:rsidP="00E24274">
      <w:pPr>
        <w:spacing w:before="120" w:after="0" w:line="360" w:lineRule="auto"/>
        <w:jc w:val="both"/>
        <w:rPr>
          <w:rFonts w:ascii="Times New Roman" w:hAnsi="Times New Roman"/>
          <w:b/>
          <w:sz w:val="24"/>
          <w:szCs w:val="24"/>
        </w:rPr>
      </w:pPr>
      <w:r w:rsidRPr="00E24274">
        <w:rPr>
          <w:rFonts w:ascii="Times New Roman" w:hAnsi="Times New Roman"/>
          <w:b/>
          <w:sz w:val="24"/>
          <w:szCs w:val="24"/>
        </w:rPr>
        <w:t>art. 9</w:t>
      </w:r>
    </w:p>
    <w:p w:rsidR="00D04546" w:rsidRPr="00E24274" w:rsidRDefault="00D04546" w:rsidP="00144B0B">
      <w:pPr>
        <w:spacing w:after="0" w:line="360" w:lineRule="auto"/>
        <w:jc w:val="both"/>
        <w:rPr>
          <w:rFonts w:ascii="Times New Roman" w:hAnsi="Times New Roman"/>
          <w:sz w:val="24"/>
          <w:szCs w:val="24"/>
        </w:rPr>
      </w:pPr>
      <w:r w:rsidRPr="00E24274">
        <w:rPr>
          <w:rFonts w:ascii="Times New Roman" w:hAnsi="Times New Roman"/>
          <w:sz w:val="24"/>
          <w:szCs w:val="24"/>
        </w:rPr>
        <w:t>1. Projektowany art. 9 po raz pierwszy określa w jednolity sposób obligatoryjne oraz fakultatywne elementy zezwolenia na zbiorowe zarządzanie prawami autorskimi oraz prawami pokrewnymi. Obecnie istniejące zezwolen</w:t>
      </w:r>
      <w:r w:rsidR="00144B0B">
        <w:rPr>
          <w:rFonts w:ascii="Times New Roman" w:hAnsi="Times New Roman"/>
          <w:sz w:val="24"/>
          <w:szCs w:val="24"/>
        </w:rPr>
        <w:t>ia były udzielane i zmieniane w </w:t>
      </w:r>
      <w:r w:rsidRPr="00E24274">
        <w:rPr>
          <w:rFonts w:ascii="Times New Roman" w:hAnsi="Times New Roman"/>
          <w:sz w:val="24"/>
          <w:szCs w:val="24"/>
        </w:rPr>
        <w:t>różnym czasie, nadawano im także różne formy i posługiwano się różnymi sfomułowaniami, co rodzi szereg problemów praktycznych</w:t>
      </w:r>
      <w:r w:rsidR="00BC4224" w:rsidRPr="00E24274">
        <w:rPr>
          <w:rFonts w:ascii="Times New Roman" w:hAnsi="Times New Roman"/>
          <w:sz w:val="24"/>
          <w:szCs w:val="24"/>
        </w:rPr>
        <w:t>,</w:t>
      </w:r>
      <w:r w:rsidRPr="00E24274">
        <w:rPr>
          <w:rFonts w:ascii="Times New Roman" w:hAnsi="Times New Roman"/>
          <w:sz w:val="24"/>
          <w:szCs w:val="24"/>
        </w:rPr>
        <w:t xml:space="preserve"> szczególnie gdy konieczne jest określenie zakresu dozwolonego działania poszczególnych organizacji. Znaczenie zezwolenia ministra wykracza także daleko poza relacje z użytkownikami – zezwolenie stanowi akt, który zmienia stowarzyszenie w organizację zbiorowego zarządzania, wpływając zasadniczo na zakres jego praw i obowiązków i determinując wiele istotnych kwestii w jego codziennej działalności, np. krąg u</w:t>
      </w:r>
      <w:r w:rsidR="00144B0B">
        <w:rPr>
          <w:rFonts w:ascii="Times New Roman" w:hAnsi="Times New Roman"/>
          <w:sz w:val="24"/>
          <w:szCs w:val="24"/>
        </w:rPr>
        <w:t>prawnionych do brania udziału i </w:t>
      </w:r>
      <w:r w:rsidRPr="00E24274">
        <w:rPr>
          <w:rFonts w:ascii="Times New Roman" w:hAnsi="Times New Roman"/>
          <w:sz w:val="24"/>
          <w:szCs w:val="24"/>
        </w:rPr>
        <w:t xml:space="preserve">głosowania na walnym zebraniu członków organizacji </w:t>
      </w:r>
      <w:r w:rsidR="00BC4224" w:rsidRPr="00E24274">
        <w:rPr>
          <w:rFonts w:ascii="Times New Roman" w:hAnsi="Times New Roman"/>
          <w:sz w:val="24"/>
          <w:szCs w:val="24"/>
        </w:rPr>
        <w:t xml:space="preserve">(por. art. 15 ust. 2 projektu). </w:t>
      </w:r>
      <w:r w:rsidRPr="00E24274">
        <w:rPr>
          <w:rFonts w:ascii="Times New Roman" w:hAnsi="Times New Roman"/>
          <w:sz w:val="24"/>
          <w:szCs w:val="24"/>
        </w:rPr>
        <w:t>Konieczne jest więc precyzyjne uregulowanie jego możliwej treści z wykorzystaniem doświadczeń z dotychczasowej praktyki decyzyjnej ministra w tym względzie.</w:t>
      </w:r>
    </w:p>
    <w:p w:rsidR="00D04546" w:rsidRPr="00E24274" w:rsidRDefault="00D04546"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2. Zgodnie z projektowanym ust. 1 każde zezwolenie będzie obligatoryjnie określało:</w:t>
      </w:r>
    </w:p>
    <w:p w:rsidR="00D04546" w:rsidRPr="00E24274" w:rsidRDefault="00D04546" w:rsidP="00144B0B">
      <w:pPr>
        <w:numPr>
          <w:ilvl w:val="0"/>
          <w:numId w:val="15"/>
        </w:numPr>
        <w:spacing w:after="0" w:line="360" w:lineRule="auto"/>
        <w:ind w:left="266" w:hanging="238"/>
        <w:jc w:val="both"/>
        <w:rPr>
          <w:rFonts w:ascii="Times New Roman" w:hAnsi="Times New Roman"/>
          <w:sz w:val="24"/>
          <w:szCs w:val="24"/>
        </w:rPr>
      </w:pPr>
      <w:r w:rsidRPr="00E24274">
        <w:rPr>
          <w:rFonts w:ascii="Times New Roman" w:hAnsi="Times New Roman"/>
          <w:sz w:val="24"/>
          <w:szCs w:val="24"/>
        </w:rPr>
        <w:t>rodzaje utworów lub przedmiotów praw pokrewnych, do których prawami będzie zarządzała organizacja zbiorowego zarządzania;</w:t>
      </w:r>
    </w:p>
    <w:p w:rsidR="00D04546" w:rsidRPr="00E24274" w:rsidRDefault="00D04546" w:rsidP="00144B0B">
      <w:pPr>
        <w:numPr>
          <w:ilvl w:val="0"/>
          <w:numId w:val="15"/>
        </w:numPr>
        <w:spacing w:after="0" w:line="360" w:lineRule="auto"/>
        <w:ind w:left="266" w:hanging="238"/>
        <w:jc w:val="both"/>
        <w:rPr>
          <w:rFonts w:ascii="Times New Roman" w:hAnsi="Times New Roman"/>
          <w:sz w:val="24"/>
          <w:szCs w:val="24"/>
        </w:rPr>
      </w:pPr>
      <w:r w:rsidRPr="00E24274">
        <w:rPr>
          <w:rFonts w:ascii="Times New Roman" w:hAnsi="Times New Roman"/>
          <w:sz w:val="24"/>
          <w:szCs w:val="24"/>
        </w:rPr>
        <w:t>pola eksploatacji, na których organizacja będzie wykonywała zbiorowe zarz</w:t>
      </w:r>
      <w:r w:rsidR="005F2ECA">
        <w:rPr>
          <w:rFonts w:ascii="Times New Roman" w:hAnsi="Times New Roman"/>
          <w:sz w:val="24"/>
          <w:szCs w:val="24"/>
        </w:rPr>
        <w:t>ą</w:t>
      </w:r>
      <w:r w:rsidRPr="00E24274">
        <w:rPr>
          <w:rFonts w:ascii="Times New Roman" w:hAnsi="Times New Roman"/>
          <w:sz w:val="24"/>
          <w:szCs w:val="24"/>
        </w:rPr>
        <w:t>dzanie prawami au</w:t>
      </w:r>
      <w:r w:rsidR="001F189E" w:rsidRPr="00E24274">
        <w:rPr>
          <w:rFonts w:ascii="Times New Roman" w:hAnsi="Times New Roman"/>
          <w:sz w:val="24"/>
          <w:szCs w:val="24"/>
        </w:rPr>
        <w:t>torskimi lub prawami pokrewnymi</w:t>
      </w:r>
      <w:r w:rsidRPr="00E24274">
        <w:rPr>
          <w:rFonts w:ascii="Times New Roman" w:hAnsi="Times New Roman"/>
          <w:sz w:val="24"/>
          <w:szCs w:val="24"/>
        </w:rPr>
        <w:t xml:space="preserve">. </w:t>
      </w:r>
    </w:p>
    <w:p w:rsidR="00D04546" w:rsidRPr="00E24274" w:rsidRDefault="00D04546"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Powyższe dwa elementy wydają się oczywiste, gdyż</w:t>
      </w:r>
      <w:r w:rsidR="00BC4224" w:rsidRPr="00E24274">
        <w:rPr>
          <w:rFonts w:ascii="Times New Roman" w:hAnsi="Times New Roman"/>
          <w:sz w:val="24"/>
          <w:szCs w:val="24"/>
        </w:rPr>
        <w:t xml:space="preserve"> z</w:t>
      </w:r>
      <w:r w:rsidRPr="00E24274">
        <w:rPr>
          <w:rFonts w:ascii="Times New Roman" w:hAnsi="Times New Roman"/>
          <w:sz w:val="24"/>
          <w:szCs w:val="24"/>
        </w:rPr>
        <w:t xml:space="preserve"> zezwolenia ministra musi wynikać, jakimi konkretnie kategoriami praw będzie miała prawo zarządzać dana organizacja zbiorowego zarządzania oraz na jakich polach eksploatacji zarząd ten będzie wykonywany.</w:t>
      </w:r>
    </w:p>
    <w:p w:rsidR="00D04546" w:rsidRPr="00E24274" w:rsidRDefault="00D04546"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lastRenderedPageBreak/>
        <w:t>3. Ponadto, zgodnie z projektowanym ust. 2</w:t>
      </w:r>
      <w:r w:rsidR="005F2ECA">
        <w:rPr>
          <w:rFonts w:ascii="Times New Roman" w:hAnsi="Times New Roman"/>
          <w:sz w:val="24"/>
          <w:szCs w:val="24"/>
        </w:rPr>
        <w:t>,</w:t>
      </w:r>
      <w:r w:rsidRPr="00E24274">
        <w:rPr>
          <w:rFonts w:ascii="Times New Roman" w:hAnsi="Times New Roman"/>
          <w:sz w:val="24"/>
          <w:szCs w:val="24"/>
        </w:rPr>
        <w:t xml:space="preserve"> zezwolenie będzie mogło również określać kategorie uprawnionych, których prawami zarządza organizacja. Potrzeba dodatkowego określenia w zezwoleniu kategorii uprawnionych, których prawami zarządza organizacja, jest uzasadniona dotychczasową praktyką polegającą na tym, że niektóre organizacje chronią nie całą kategorię utworów lub przedmiotów praw pokrewnych, lecz działają wyłącznie na rzecz określonej kategorii uprawnionych, np. wydawców czy reżyserów teatralnych. </w:t>
      </w:r>
    </w:p>
    <w:p w:rsidR="0057371D" w:rsidRPr="00E24274" w:rsidRDefault="0057371D" w:rsidP="00E24274">
      <w:pPr>
        <w:spacing w:before="120" w:after="0" w:line="360" w:lineRule="auto"/>
        <w:jc w:val="both"/>
        <w:rPr>
          <w:rFonts w:ascii="Times New Roman" w:hAnsi="Times New Roman"/>
          <w:b/>
          <w:sz w:val="24"/>
          <w:szCs w:val="24"/>
        </w:rPr>
      </w:pPr>
      <w:r w:rsidRPr="00E24274">
        <w:rPr>
          <w:rFonts w:ascii="Times New Roman" w:hAnsi="Times New Roman"/>
          <w:b/>
          <w:sz w:val="24"/>
          <w:szCs w:val="24"/>
        </w:rPr>
        <w:t>art. 10</w:t>
      </w:r>
    </w:p>
    <w:p w:rsidR="0057371D" w:rsidRPr="00E24274" w:rsidRDefault="0057371D" w:rsidP="00144B0B">
      <w:pPr>
        <w:spacing w:after="0" w:line="360" w:lineRule="auto"/>
        <w:jc w:val="both"/>
        <w:rPr>
          <w:rFonts w:ascii="Times New Roman" w:hAnsi="Times New Roman"/>
          <w:sz w:val="24"/>
          <w:szCs w:val="24"/>
        </w:rPr>
      </w:pPr>
      <w:r w:rsidRPr="00E24274">
        <w:rPr>
          <w:rFonts w:ascii="Times New Roman" w:hAnsi="Times New Roman"/>
          <w:sz w:val="24"/>
          <w:szCs w:val="24"/>
        </w:rPr>
        <w:t xml:space="preserve">1. Projektowany art. 10 reguluje kwestie związane z instytucją reprezentatywności organizacji zbiorowego zarządzania. Należy przypomnieć, że we wskazanych w </w:t>
      </w:r>
      <w:r w:rsidR="00531BCB" w:rsidRPr="00E24274">
        <w:rPr>
          <w:rFonts w:ascii="Times New Roman" w:hAnsi="Times New Roman"/>
          <w:sz w:val="24"/>
          <w:szCs w:val="24"/>
        </w:rPr>
        <w:t>art. 5 ust. 2</w:t>
      </w:r>
      <w:r w:rsidRPr="00E24274">
        <w:rPr>
          <w:rFonts w:ascii="Times New Roman" w:hAnsi="Times New Roman"/>
          <w:sz w:val="24"/>
          <w:szCs w:val="24"/>
        </w:rPr>
        <w:t xml:space="preserve"> przypadkach umowa zawarta z organizacją reprezentatywną będzie obejmowała także prawa uprawnionych, którzy nie zawarli umowy o zbiorowe zarządzanie z żadną organizacją. </w:t>
      </w:r>
    </w:p>
    <w:p w:rsidR="0057371D" w:rsidRPr="00E24274" w:rsidRDefault="0057371D"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2. Zgodnie z ust. 1 organizacja, która jako jedyna posiada zezwolenie na zbiorowe zarządzanie prawami danej kategorii uprawnionych do danego rodzaju utworów lub przedmiotów praw pokrewnych na danym polu eksploatacji, będzie w tym zakresie uznawana za organizację reprezentatywną. Niemożliwe jest bowiem zwrócenie się do innej organizacji zbiorowego zarządzania o uzyskanie licencji we wskazanym powyżej zakresie.</w:t>
      </w:r>
    </w:p>
    <w:p w:rsidR="0057371D" w:rsidRPr="00E24274" w:rsidRDefault="0057371D"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3. Z kolei ust. 2 określa, która organizacja będzie reprezentatywna w przypadku, gdy zezwolenie na zbiorowe zarządzanie prawami danej kategorii uprawnionych do danego rodzaju utworów lub przedmiotów praw pokrewnych na danym polu eksploatacji będzie posiadała więcej niż jedna organizacja. W takim przypadku organizacją reprezentatywną będzie ta, która na podstawie umów o zbiorowe zarządzanie prawami autorskimi lub prawami pokrewnymi oraz umów o reprezentacji w tym zakresie reprezentuje największą liczbę uprawnionych.</w:t>
      </w:r>
    </w:p>
    <w:p w:rsidR="0057371D" w:rsidRPr="00E24274" w:rsidRDefault="0057371D"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4. Projektowany ust. 3 przesądza, że reprezentatyw</w:t>
      </w:r>
      <w:r w:rsidR="00144B0B">
        <w:rPr>
          <w:rFonts w:ascii="Times New Roman" w:hAnsi="Times New Roman"/>
          <w:sz w:val="24"/>
          <w:szCs w:val="24"/>
        </w:rPr>
        <w:t>ność organizacji w przypadku, o </w:t>
      </w:r>
      <w:r w:rsidRPr="00E24274">
        <w:rPr>
          <w:rFonts w:ascii="Times New Roman" w:hAnsi="Times New Roman"/>
          <w:sz w:val="24"/>
          <w:szCs w:val="24"/>
        </w:rPr>
        <w:t>którym mowa w ust. 2, będzie stwierdzał z urzędu minister właściwy do spraw kultury i ochrony dziedzictwa narodowego w drodze decyzji (</w:t>
      </w:r>
      <w:r w:rsidR="00144B0B">
        <w:rPr>
          <w:rFonts w:ascii="Times New Roman" w:hAnsi="Times New Roman"/>
          <w:sz w:val="24"/>
          <w:szCs w:val="24"/>
        </w:rPr>
        <w:t>która zgodnie z art. 9 ust. </w:t>
      </w:r>
      <w:r w:rsidRPr="00E24274">
        <w:rPr>
          <w:rFonts w:ascii="Times New Roman" w:hAnsi="Times New Roman"/>
          <w:sz w:val="24"/>
          <w:szCs w:val="24"/>
        </w:rPr>
        <w:t xml:space="preserve">2 pkt 2 będzie mogła być częścią decyzji w przedmiocie zezwolenia na zbiorowe zarządzanie). </w:t>
      </w:r>
    </w:p>
    <w:p w:rsidR="0057371D" w:rsidRPr="00E24274" w:rsidRDefault="0057371D"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lastRenderedPageBreak/>
        <w:t>5. Zgodnie z projektowanym ust. 4 decyzja o stwierdze</w:t>
      </w:r>
      <w:r w:rsidR="00144B0B">
        <w:rPr>
          <w:rFonts w:ascii="Times New Roman" w:hAnsi="Times New Roman"/>
          <w:sz w:val="24"/>
          <w:szCs w:val="24"/>
        </w:rPr>
        <w:t>niu reprezentatywności będzie z </w:t>
      </w:r>
      <w:r w:rsidRPr="00E24274">
        <w:rPr>
          <w:rFonts w:ascii="Times New Roman" w:hAnsi="Times New Roman"/>
          <w:sz w:val="24"/>
          <w:szCs w:val="24"/>
        </w:rPr>
        <w:t xml:space="preserve">urzędu uchylana lub zmieniana w przypadku istotnej zmiany przesłanki reprezentatywności, o której mowa w ust. 2 lub gdy odpadnie potrzeba </w:t>
      </w:r>
      <w:r w:rsidR="006B5201" w:rsidRPr="00E24274">
        <w:rPr>
          <w:rFonts w:ascii="Times New Roman" w:hAnsi="Times New Roman"/>
          <w:sz w:val="24"/>
          <w:szCs w:val="24"/>
        </w:rPr>
        <w:t xml:space="preserve">stwierdzenia </w:t>
      </w:r>
      <w:r w:rsidRPr="00E24274">
        <w:rPr>
          <w:rFonts w:ascii="Times New Roman" w:hAnsi="Times New Roman"/>
          <w:sz w:val="24"/>
          <w:szCs w:val="24"/>
        </w:rPr>
        <w:t>reprezentatywności. Taką zmianę stanowić będzie np. utrata zezwolenia przez organizację reprezentatywną</w:t>
      </w:r>
      <w:r w:rsidR="005F2ECA">
        <w:rPr>
          <w:rFonts w:ascii="Times New Roman" w:hAnsi="Times New Roman"/>
          <w:sz w:val="24"/>
          <w:szCs w:val="24"/>
        </w:rPr>
        <w:t>,</w:t>
      </w:r>
      <w:r w:rsidRPr="00E24274">
        <w:rPr>
          <w:rFonts w:ascii="Times New Roman" w:hAnsi="Times New Roman"/>
          <w:sz w:val="24"/>
          <w:szCs w:val="24"/>
        </w:rPr>
        <w:t xml:space="preserve"> jeżeli zezwolenie na zbiorowe zarządzanie prawami danej kategorii uprawnionych do danego rodzaju utworów lub przedmiotów praw pokrewnych na danym polu eksploatacji posiadała więcej niż jedna organizacja, wydanie nowego zezwolenia na zbiorowe zarządzanie czy też istotna zmiana liczby uprawnionych do danego rodzaju utworów lub przedmiotów praw pokrewnych na danym polu eksploatacji reprezentowanych przez poszczególne organizacje, z których jedna jest reprezentatywna. </w:t>
      </w:r>
    </w:p>
    <w:p w:rsidR="00D04546" w:rsidRPr="00E24274" w:rsidRDefault="00D04546" w:rsidP="00E24274">
      <w:pPr>
        <w:spacing w:before="120" w:after="0" w:line="360" w:lineRule="auto"/>
        <w:jc w:val="both"/>
        <w:rPr>
          <w:rFonts w:ascii="Times New Roman" w:hAnsi="Times New Roman"/>
          <w:b/>
          <w:sz w:val="24"/>
          <w:szCs w:val="24"/>
        </w:rPr>
      </w:pPr>
      <w:r w:rsidRPr="00E24274">
        <w:rPr>
          <w:rFonts w:ascii="Times New Roman" w:hAnsi="Times New Roman"/>
          <w:b/>
          <w:sz w:val="24"/>
          <w:szCs w:val="24"/>
        </w:rPr>
        <w:t>art. 11</w:t>
      </w:r>
    </w:p>
    <w:p w:rsidR="006B5201" w:rsidRPr="00E24274" w:rsidRDefault="00D04546" w:rsidP="00144B0B">
      <w:pPr>
        <w:spacing w:after="0" w:line="360" w:lineRule="auto"/>
        <w:jc w:val="both"/>
        <w:rPr>
          <w:rFonts w:ascii="Times New Roman" w:hAnsi="Times New Roman"/>
          <w:sz w:val="24"/>
          <w:szCs w:val="24"/>
        </w:rPr>
      </w:pPr>
      <w:r w:rsidRPr="00E24274">
        <w:rPr>
          <w:rFonts w:ascii="Times New Roman" w:hAnsi="Times New Roman"/>
          <w:sz w:val="24"/>
          <w:szCs w:val="24"/>
        </w:rPr>
        <w:t xml:space="preserve">1. Projektowany art. 11 </w:t>
      </w:r>
      <w:r w:rsidR="006B5201" w:rsidRPr="00E24274">
        <w:rPr>
          <w:rFonts w:ascii="Times New Roman" w:hAnsi="Times New Roman"/>
          <w:sz w:val="24"/>
          <w:szCs w:val="24"/>
        </w:rPr>
        <w:t xml:space="preserve">ust. 1 precyzuje, że </w:t>
      </w:r>
      <w:r w:rsidR="00053F01" w:rsidRPr="00E24274">
        <w:rPr>
          <w:rFonts w:ascii="Times New Roman" w:hAnsi="Times New Roman"/>
          <w:sz w:val="24"/>
          <w:szCs w:val="24"/>
        </w:rPr>
        <w:t>w przypadku</w:t>
      </w:r>
      <w:r w:rsidR="006B5201" w:rsidRPr="00E24274">
        <w:rPr>
          <w:rFonts w:ascii="Times New Roman" w:hAnsi="Times New Roman"/>
          <w:sz w:val="24"/>
          <w:szCs w:val="24"/>
        </w:rPr>
        <w:t xml:space="preserve"> wniosku o zmianę zezwolenia będzie stosowało się odpowiednio art. 6</w:t>
      </w:r>
      <w:r w:rsidR="00B85D46">
        <w:rPr>
          <w:rFonts w:ascii="Times New Roman" w:hAnsi="Times New Roman"/>
          <w:sz w:val="24"/>
          <w:szCs w:val="24"/>
        </w:rPr>
        <w:t>–</w:t>
      </w:r>
      <w:r w:rsidR="006B5201" w:rsidRPr="00E24274">
        <w:rPr>
          <w:rFonts w:ascii="Times New Roman" w:hAnsi="Times New Roman"/>
          <w:sz w:val="24"/>
          <w:szCs w:val="24"/>
        </w:rPr>
        <w:t>9 projektowanej ustawy.</w:t>
      </w:r>
      <w:r w:rsidR="00EB6C87" w:rsidRPr="00E24274">
        <w:rPr>
          <w:rFonts w:ascii="Times New Roman" w:hAnsi="Times New Roman"/>
          <w:sz w:val="24"/>
          <w:szCs w:val="24"/>
        </w:rPr>
        <w:t xml:space="preserve"> Przepis ten będzie rozwiewał ewentualne wątpliwości odnośnie tego, jakie przepisy stosuje się do wniosku o zmianę decyzji w przedmiocie zezwolenia na wykonywanie zbiorowego zarządzania prawami autorskimi lub prawami pokrewnymi</w:t>
      </w:r>
      <w:r w:rsidR="005F2ECA">
        <w:rPr>
          <w:rFonts w:ascii="Times New Roman" w:hAnsi="Times New Roman"/>
          <w:sz w:val="24"/>
          <w:szCs w:val="24"/>
        </w:rPr>
        <w:t>.</w:t>
      </w:r>
    </w:p>
    <w:p w:rsidR="00D04546" w:rsidRPr="00E24274" w:rsidRDefault="006B5201"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 xml:space="preserve">2. Z kolei projektowany art. 11 ust. 2 </w:t>
      </w:r>
      <w:r w:rsidR="00D04546" w:rsidRPr="00E24274">
        <w:rPr>
          <w:rFonts w:ascii="Times New Roman" w:hAnsi="Times New Roman"/>
          <w:sz w:val="24"/>
          <w:szCs w:val="24"/>
        </w:rPr>
        <w:t xml:space="preserve">przesądza, że decyzja ministra właściwego do spraw kultury i ochrony dziedzictwa narodowego o </w:t>
      </w:r>
      <w:r w:rsidRPr="00E24274">
        <w:rPr>
          <w:rFonts w:ascii="Times New Roman" w:hAnsi="Times New Roman"/>
          <w:sz w:val="24"/>
          <w:szCs w:val="24"/>
        </w:rPr>
        <w:t xml:space="preserve">udzieleniu lub zmianie </w:t>
      </w:r>
      <w:r w:rsidR="00D04546" w:rsidRPr="00E24274">
        <w:rPr>
          <w:rFonts w:ascii="Times New Roman" w:hAnsi="Times New Roman"/>
          <w:sz w:val="24"/>
          <w:szCs w:val="24"/>
        </w:rPr>
        <w:t xml:space="preserve">zezwolenia </w:t>
      </w:r>
      <w:r w:rsidRPr="00E24274">
        <w:rPr>
          <w:rFonts w:ascii="Times New Roman" w:hAnsi="Times New Roman"/>
          <w:sz w:val="24"/>
          <w:szCs w:val="24"/>
        </w:rPr>
        <w:t xml:space="preserve">oraz decyzja w przedmiocie reprezentatywności </w:t>
      </w:r>
      <w:r w:rsidR="00D04546" w:rsidRPr="00E24274">
        <w:rPr>
          <w:rFonts w:ascii="Times New Roman" w:hAnsi="Times New Roman"/>
          <w:sz w:val="24"/>
          <w:szCs w:val="24"/>
        </w:rPr>
        <w:t>będ</w:t>
      </w:r>
      <w:r w:rsidR="00EB6C87" w:rsidRPr="00E24274">
        <w:rPr>
          <w:rFonts w:ascii="Times New Roman" w:hAnsi="Times New Roman"/>
          <w:sz w:val="24"/>
          <w:szCs w:val="24"/>
        </w:rPr>
        <w:t>ą</w:t>
      </w:r>
      <w:r w:rsidR="00D04546" w:rsidRPr="00E24274">
        <w:rPr>
          <w:rFonts w:ascii="Times New Roman" w:hAnsi="Times New Roman"/>
          <w:sz w:val="24"/>
          <w:szCs w:val="24"/>
        </w:rPr>
        <w:t xml:space="preserve"> podlegał</w:t>
      </w:r>
      <w:r w:rsidR="00EB6C87" w:rsidRPr="00E24274">
        <w:rPr>
          <w:rFonts w:ascii="Times New Roman" w:hAnsi="Times New Roman"/>
          <w:sz w:val="24"/>
          <w:szCs w:val="24"/>
        </w:rPr>
        <w:t>y</w:t>
      </w:r>
      <w:r w:rsidR="00144B0B">
        <w:rPr>
          <w:rFonts w:ascii="Times New Roman" w:hAnsi="Times New Roman"/>
          <w:sz w:val="24"/>
          <w:szCs w:val="24"/>
        </w:rPr>
        <w:t xml:space="preserve"> ogłoszeniu w </w:t>
      </w:r>
      <w:r w:rsidR="00D04546" w:rsidRPr="00E24274">
        <w:rPr>
          <w:rFonts w:ascii="Times New Roman" w:hAnsi="Times New Roman"/>
          <w:sz w:val="24"/>
          <w:szCs w:val="24"/>
        </w:rPr>
        <w:t>Biuletynie Informacji Publicznej na stronie podmiotowej ministra właściwego do spraw kultury i ochrony dziedzictwa narodowego. Powyższy przepis będzie stanowił zmianę obecnego art. 104 ust. 6 pr. aut., zgodnie z którym</w:t>
      </w:r>
      <w:r w:rsidR="00531BCB" w:rsidRPr="00E24274">
        <w:rPr>
          <w:rFonts w:ascii="Times New Roman" w:hAnsi="Times New Roman"/>
          <w:sz w:val="24"/>
          <w:szCs w:val="24"/>
        </w:rPr>
        <w:t xml:space="preserve"> decyzje o udzieleniu lub cofnięciu zezwolenia są ogłaszane </w:t>
      </w:r>
      <w:r w:rsidR="00D04546" w:rsidRPr="00E24274">
        <w:rPr>
          <w:rFonts w:ascii="Times New Roman" w:hAnsi="Times New Roman"/>
          <w:sz w:val="24"/>
          <w:szCs w:val="24"/>
        </w:rPr>
        <w:t xml:space="preserve">w Dzienniku Urzędowym Rzeczypospolitej Polskiej </w:t>
      </w:r>
      <w:r w:rsidR="00E24274">
        <w:rPr>
          <w:rFonts w:ascii="Times New Roman" w:hAnsi="Times New Roman"/>
          <w:sz w:val="24"/>
          <w:szCs w:val="24"/>
        </w:rPr>
        <w:t>„</w:t>
      </w:r>
      <w:r w:rsidR="00D04546" w:rsidRPr="00E24274">
        <w:rPr>
          <w:rFonts w:ascii="Times New Roman" w:hAnsi="Times New Roman"/>
          <w:sz w:val="24"/>
          <w:szCs w:val="24"/>
        </w:rPr>
        <w:t>Monitor Polski</w:t>
      </w:r>
      <w:r w:rsidR="00E24274">
        <w:rPr>
          <w:rFonts w:ascii="Times New Roman" w:hAnsi="Times New Roman"/>
          <w:sz w:val="24"/>
          <w:szCs w:val="24"/>
        </w:rPr>
        <w:t>”</w:t>
      </w:r>
      <w:r w:rsidR="00531BCB" w:rsidRPr="00E24274">
        <w:rPr>
          <w:rFonts w:ascii="Times New Roman" w:hAnsi="Times New Roman"/>
          <w:sz w:val="24"/>
          <w:szCs w:val="24"/>
        </w:rPr>
        <w:t>.</w:t>
      </w:r>
      <w:r w:rsidR="00D04546" w:rsidRPr="00E24274">
        <w:rPr>
          <w:rFonts w:ascii="Times New Roman" w:hAnsi="Times New Roman"/>
          <w:sz w:val="24"/>
          <w:szCs w:val="24"/>
        </w:rPr>
        <w:t xml:space="preserve"> </w:t>
      </w:r>
      <w:r w:rsidR="00531BCB" w:rsidRPr="00E24274">
        <w:rPr>
          <w:rFonts w:ascii="Times New Roman" w:hAnsi="Times New Roman"/>
          <w:sz w:val="24"/>
          <w:szCs w:val="24"/>
        </w:rPr>
        <w:t>W</w:t>
      </w:r>
      <w:r w:rsidR="00D04546" w:rsidRPr="00E24274">
        <w:rPr>
          <w:rFonts w:ascii="Times New Roman" w:hAnsi="Times New Roman"/>
          <w:sz w:val="24"/>
          <w:szCs w:val="24"/>
        </w:rPr>
        <w:t xml:space="preserve"> obecnie ob</w:t>
      </w:r>
      <w:r w:rsidR="005F2ECA">
        <w:rPr>
          <w:rFonts w:ascii="Times New Roman" w:hAnsi="Times New Roman"/>
          <w:sz w:val="24"/>
          <w:szCs w:val="24"/>
        </w:rPr>
        <w:t>o</w:t>
      </w:r>
      <w:r w:rsidR="00D04546" w:rsidRPr="00E24274">
        <w:rPr>
          <w:rFonts w:ascii="Times New Roman" w:hAnsi="Times New Roman"/>
          <w:sz w:val="24"/>
          <w:szCs w:val="24"/>
        </w:rPr>
        <w:t>wiązującym prawie brak j</w:t>
      </w:r>
      <w:r w:rsidR="00531BCB" w:rsidRPr="00E24274">
        <w:rPr>
          <w:rFonts w:ascii="Times New Roman" w:hAnsi="Times New Roman"/>
          <w:sz w:val="24"/>
          <w:szCs w:val="24"/>
        </w:rPr>
        <w:t>est podstaw do ich ogłaszania w</w:t>
      </w:r>
      <w:r w:rsidR="00D04546" w:rsidRPr="00E24274">
        <w:rPr>
          <w:rFonts w:ascii="Times New Roman" w:hAnsi="Times New Roman"/>
          <w:sz w:val="24"/>
          <w:szCs w:val="24"/>
        </w:rPr>
        <w:t xml:space="preserve"> </w:t>
      </w:r>
      <w:r w:rsidR="00E24274">
        <w:rPr>
          <w:rFonts w:ascii="Times New Roman" w:hAnsi="Times New Roman"/>
          <w:sz w:val="24"/>
          <w:szCs w:val="24"/>
        </w:rPr>
        <w:t>„</w:t>
      </w:r>
      <w:r w:rsidR="00D04546" w:rsidRPr="00E24274">
        <w:rPr>
          <w:rFonts w:ascii="Times New Roman" w:hAnsi="Times New Roman"/>
          <w:sz w:val="24"/>
          <w:szCs w:val="24"/>
        </w:rPr>
        <w:t>Monitor</w:t>
      </w:r>
      <w:r w:rsidR="00531BCB" w:rsidRPr="00E24274">
        <w:rPr>
          <w:rFonts w:ascii="Times New Roman" w:hAnsi="Times New Roman"/>
          <w:sz w:val="24"/>
          <w:szCs w:val="24"/>
        </w:rPr>
        <w:t>ze</w:t>
      </w:r>
      <w:r w:rsidR="00D04546" w:rsidRPr="00E24274">
        <w:rPr>
          <w:rFonts w:ascii="Times New Roman" w:hAnsi="Times New Roman"/>
          <w:sz w:val="24"/>
          <w:szCs w:val="24"/>
        </w:rPr>
        <w:t xml:space="preserve"> Polski</w:t>
      </w:r>
      <w:r w:rsidR="00531BCB" w:rsidRPr="00E24274">
        <w:rPr>
          <w:rFonts w:ascii="Times New Roman" w:hAnsi="Times New Roman"/>
          <w:sz w:val="24"/>
          <w:szCs w:val="24"/>
        </w:rPr>
        <w:t>m</w:t>
      </w:r>
      <w:r w:rsidR="00E24274">
        <w:rPr>
          <w:rFonts w:ascii="Times New Roman" w:hAnsi="Times New Roman"/>
          <w:sz w:val="24"/>
          <w:szCs w:val="24"/>
        </w:rPr>
        <w:t>”</w:t>
      </w:r>
      <w:r w:rsidR="00D04546" w:rsidRPr="00E24274">
        <w:rPr>
          <w:rFonts w:ascii="Times New Roman" w:hAnsi="Times New Roman"/>
          <w:sz w:val="24"/>
          <w:szCs w:val="24"/>
        </w:rPr>
        <w:t>.</w:t>
      </w:r>
    </w:p>
    <w:p w:rsidR="00E3773B" w:rsidRPr="00E24274" w:rsidRDefault="00EB6C87"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3</w:t>
      </w:r>
      <w:r w:rsidR="00D04546" w:rsidRPr="00E24274">
        <w:rPr>
          <w:rFonts w:ascii="Times New Roman" w:hAnsi="Times New Roman"/>
          <w:sz w:val="24"/>
          <w:szCs w:val="24"/>
        </w:rPr>
        <w:t>. Projektowany przepis nakłada na ministra obowiązek opubl</w:t>
      </w:r>
      <w:r w:rsidR="00144B0B">
        <w:rPr>
          <w:rFonts w:ascii="Times New Roman" w:hAnsi="Times New Roman"/>
          <w:sz w:val="24"/>
          <w:szCs w:val="24"/>
        </w:rPr>
        <w:t>ikowania decyzji o </w:t>
      </w:r>
      <w:r w:rsidR="00D04546" w:rsidRPr="00E24274">
        <w:rPr>
          <w:rFonts w:ascii="Times New Roman" w:hAnsi="Times New Roman"/>
          <w:sz w:val="24"/>
          <w:szCs w:val="24"/>
        </w:rPr>
        <w:t>udzieleniu zezwolenia na wykonywanie zbiorowego zarządzania prawami autorskimi lub prawami pokrewnymi oraz wprowadza obowiązek jej opublikowania w Biuletynie Informacji Publicznej na stronie podmiotowej ministra właściwego do spraw kultu</w:t>
      </w:r>
      <w:r w:rsidR="00144B0B">
        <w:rPr>
          <w:rFonts w:ascii="Times New Roman" w:hAnsi="Times New Roman"/>
          <w:sz w:val="24"/>
          <w:szCs w:val="24"/>
        </w:rPr>
        <w:t>ry i </w:t>
      </w:r>
      <w:r w:rsidR="00D04546" w:rsidRPr="00E24274">
        <w:rPr>
          <w:rFonts w:ascii="Times New Roman" w:hAnsi="Times New Roman"/>
          <w:sz w:val="24"/>
          <w:szCs w:val="24"/>
        </w:rPr>
        <w:t xml:space="preserve">ochrony dziedzictwa narodowego. </w:t>
      </w:r>
      <w:r w:rsidR="009F775D" w:rsidRPr="00E24274">
        <w:rPr>
          <w:rFonts w:ascii="Times New Roman" w:hAnsi="Times New Roman"/>
          <w:sz w:val="24"/>
          <w:szCs w:val="24"/>
        </w:rPr>
        <w:t xml:space="preserve">Taki sam obowiązek dotyczy opublikowania decyzji ministra w przedmiocie stwierdzenia reprezentatywności jako bezpośrednio </w:t>
      </w:r>
      <w:r w:rsidR="009F775D" w:rsidRPr="00E24274">
        <w:rPr>
          <w:rFonts w:ascii="Times New Roman" w:hAnsi="Times New Roman"/>
          <w:sz w:val="24"/>
          <w:szCs w:val="24"/>
        </w:rPr>
        <w:lastRenderedPageBreak/>
        <w:t xml:space="preserve">wpływającej na zakres uprawnionych, których dana organizacja zbiorowego zarządzania może reprezentować, co stanowi okoliczność istotną dla użytkownika zainteresowanego uzyskaniem licencji za pośrednictwem tej organizacji. Tego rodzaju obowiązki winny </w:t>
      </w:r>
      <w:r w:rsidR="00D04546" w:rsidRPr="00E24274">
        <w:rPr>
          <w:rFonts w:ascii="Times New Roman" w:hAnsi="Times New Roman"/>
          <w:sz w:val="24"/>
          <w:szCs w:val="24"/>
        </w:rPr>
        <w:t xml:space="preserve">służyć łatwiejszemu dostępowi ogółu zainteresowanych podmiotów do treści wydawanych decyzji. </w:t>
      </w:r>
    </w:p>
    <w:p w:rsidR="00D04546" w:rsidRPr="00E24274" w:rsidRDefault="00D04546" w:rsidP="00144B0B">
      <w:pPr>
        <w:spacing w:before="240" w:after="0" w:line="360" w:lineRule="auto"/>
        <w:jc w:val="both"/>
        <w:rPr>
          <w:rFonts w:ascii="Times New Roman" w:hAnsi="Times New Roman"/>
          <w:b/>
          <w:bCs/>
          <w:sz w:val="24"/>
          <w:szCs w:val="24"/>
        </w:rPr>
      </w:pPr>
      <w:r w:rsidRPr="00E24274">
        <w:rPr>
          <w:rFonts w:ascii="Times New Roman" w:hAnsi="Times New Roman"/>
          <w:b/>
          <w:sz w:val="24"/>
          <w:szCs w:val="24"/>
        </w:rPr>
        <w:t>II. 3. Rozdział 3.</w:t>
      </w:r>
      <w:r w:rsidRPr="00E24274">
        <w:rPr>
          <w:rFonts w:ascii="Times New Roman" w:hAnsi="Times New Roman"/>
          <w:b/>
          <w:bCs/>
          <w:sz w:val="24"/>
          <w:szCs w:val="24"/>
        </w:rPr>
        <w:t xml:space="preserve"> Statut, członkostwo i organy organizacji zbiorowego zarządzania </w:t>
      </w:r>
      <w:r w:rsidRPr="00E24274">
        <w:rPr>
          <w:rFonts w:ascii="Times New Roman" w:hAnsi="Times New Roman"/>
          <w:b/>
          <w:sz w:val="24"/>
          <w:szCs w:val="24"/>
        </w:rPr>
        <w:t>(art. 12–26 projektu)</w:t>
      </w:r>
    </w:p>
    <w:p w:rsidR="00D04546" w:rsidRPr="00E24274" w:rsidRDefault="00D04546" w:rsidP="00E24274">
      <w:pPr>
        <w:spacing w:before="120" w:after="0" w:line="360" w:lineRule="auto"/>
        <w:jc w:val="both"/>
        <w:rPr>
          <w:rFonts w:ascii="Times New Roman" w:hAnsi="Times New Roman"/>
          <w:b/>
          <w:sz w:val="24"/>
          <w:szCs w:val="24"/>
        </w:rPr>
      </w:pPr>
      <w:r w:rsidRPr="00E24274">
        <w:rPr>
          <w:rFonts w:ascii="Times New Roman" w:hAnsi="Times New Roman"/>
          <w:b/>
          <w:sz w:val="24"/>
          <w:szCs w:val="24"/>
        </w:rPr>
        <w:t xml:space="preserve">Oddział 1. </w:t>
      </w:r>
      <w:r w:rsidRPr="00E24274">
        <w:rPr>
          <w:rFonts w:ascii="Times New Roman" w:hAnsi="Times New Roman"/>
          <w:b/>
          <w:bCs/>
          <w:sz w:val="24"/>
          <w:szCs w:val="24"/>
        </w:rPr>
        <w:t>Statut organizacji zbiorowego zarządzania</w:t>
      </w:r>
    </w:p>
    <w:p w:rsidR="00D04546" w:rsidRPr="00E24274" w:rsidRDefault="00D04546" w:rsidP="00E24274">
      <w:pPr>
        <w:spacing w:before="120" w:after="0" w:line="360" w:lineRule="auto"/>
        <w:jc w:val="both"/>
        <w:rPr>
          <w:rFonts w:ascii="Times New Roman" w:hAnsi="Times New Roman"/>
          <w:b/>
          <w:bCs/>
          <w:sz w:val="24"/>
          <w:szCs w:val="24"/>
        </w:rPr>
      </w:pPr>
      <w:r w:rsidRPr="00E24274">
        <w:rPr>
          <w:rFonts w:ascii="Times New Roman" w:hAnsi="Times New Roman"/>
          <w:b/>
          <w:sz w:val="24"/>
          <w:szCs w:val="24"/>
        </w:rPr>
        <w:t>art. 12</w:t>
      </w:r>
      <w:r w:rsidRPr="00E24274">
        <w:rPr>
          <w:rFonts w:ascii="Times New Roman" w:hAnsi="Times New Roman"/>
          <w:b/>
          <w:bCs/>
          <w:sz w:val="24"/>
          <w:szCs w:val="24"/>
        </w:rPr>
        <w:t xml:space="preserve"> </w:t>
      </w:r>
    </w:p>
    <w:p w:rsidR="00D04546" w:rsidRPr="00E24274" w:rsidRDefault="00D04546" w:rsidP="00144B0B">
      <w:pPr>
        <w:spacing w:after="0" w:line="360" w:lineRule="auto"/>
        <w:jc w:val="both"/>
        <w:rPr>
          <w:rFonts w:ascii="Times New Roman" w:hAnsi="Times New Roman"/>
          <w:sz w:val="24"/>
          <w:szCs w:val="24"/>
        </w:rPr>
      </w:pPr>
      <w:r w:rsidRPr="00E24274">
        <w:rPr>
          <w:rFonts w:ascii="Times New Roman" w:hAnsi="Times New Roman"/>
          <w:sz w:val="24"/>
          <w:szCs w:val="24"/>
        </w:rPr>
        <w:t>1. Przepis ten określa minimalną treść statutu organizacji zbiorowego zarządzania, który jest jej podstawowym aktem wewnętrznym.</w:t>
      </w:r>
    </w:p>
    <w:p w:rsidR="00D04546" w:rsidRPr="00E24274" w:rsidRDefault="00D04546"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2. Art. 12 ust. 1 powtarza w zasadniczej mierze obligatoryjne elementy statutu stowarzyszeń określone w art. 10 ust. 1 Prawa o stowarzyszeniach. Projektowany przepis zawiera jednak kilka rozwiązań doprecyzowujących lub modyfikujących treść przywołanego przepisu, który był dotychczas stosowany wobec statutów organizacji zbiorowego zarządzania działających w formie stowarzyszeń. Dotyczy to przede wszystkim projektowanego</w:t>
      </w:r>
      <w:r w:rsidR="00053F01" w:rsidRPr="00E24274">
        <w:rPr>
          <w:rFonts w:ascii="Times New Roman" w:hAnsi="Times New Roman"/>
          <w:sz w:val="24"/>
          <w:szCs w:val="24"/>
        </w:rPr>
        <w:t xml:space="preserve"> art. 12 ust. 1 pkt 4, zobowiązującego nie tylko do określenia sposobów nabycia i utraty członkostwa</w:t>
      </w:r>
      <w:r w:rsidR="0087014D" w:rsidRPr="00E24274">
        <w:rPr>
          <w:rFonts w:ascii="Times New Roman" w:hAnsi="Times New Roman"/>
          <w:sz w:val="24"/>
          <w:szCs w:val="24"/>
        </w:rPr>
        <w:t xml:space="preserve"> oraz praw i obowiązków członków</w:t>
      </w:r>
      <w:r w:rsidR="0083773E" w:rsidRPr="00E24274">
        <w:rPr>
          <w:rFonts w:ascii="Times New Roman" w:hAnsi="Times New Roman"/>
          <w:sz w:val="24"/>
          <w:szCs w:val="24"/>
        </w:rPr>
        <w:t>,</w:t>
      </w:r>
      <w:r w:rsidR="0087014D" w:rsidRPr="00E24274">
        <w:rPr>
          <w:rFonts w:ascii="Times New Roman" w:hAnsi="Times New Roman"/>
          <w:sz w:val="24"/>
          <w:szCs w:val="24"/>
        </w:rPr>
        <w:t xml:space="preserve"> ale także</w:t>
      </w:r>
      <w:r w:rsidR="00053F01" w:rsidRPr="00E24274">
        <w:rPr>
          <w:rFonts w:ascii="Times New Roman" w:hAnsi="Times New Roman"/>
          <w:sz w:val="24"/>
          <w:szCs w:val="24"/>
        </w:rPr>
        <w:t xml:space="preserve"> warunków</w:t>
      </w:r>
      <w:r w:rsidR="0087014D" w:rsidRPr="00E24274">
        <w:rPr>
          <w:rFonts w:ascii="Times New Roman" w:hAnsi="Times New Roman"/>
          <w:sz w:val="24"/>
          <w:szCs w:val="24"/>
        </w:rPr>
        <w:t xml:space="preserve"> członkostwa</w:t>
      </w:r>
      <w:r w:rsidR="00053F01" w:rsidRPr="00E24274">
        <w:rPr>
          <w:rFonts w:ascii="Times New Roman" w:hAnsi="Times New Roman"/>
          <w:sz w:val="24"/>
          <w:szCs w:val="24"/>
        </w:rPr>
        <w:t>,</w:t>
      </w:r>
      <w:r w:rsidRPr="00E24274">
        <w:rPr>
          <w:rFonts w:ascii="Times New Roman" w:hAnsi="Times New Roman"/>
          <w:sz w:val="24"/>
          <w:szCs w:val="24"/>
        </w:rPr>
        <w:t xml:space="preserve"> art. 12 ust. 1 pkt 5, zgodnie z którym statut organizacji zbiorowego zarządzania będzie określał zasady i tryb zwołania walnego zebrania członków</w:t>
      </w:r>
      <w:r w:rsidR="0098426D" w:rsidRPr="00E24274">
        <w:rPr>
          <w:rFonts w:ascii="Times New Roman" w:hAnsi="Times New Roman"/>
          <w:sz w:val="24"/>
          <w:szCs w:val="24"/>
        </w:rPr>
        <w:t xml:space="preserve"> (a jeśli statut przewiduje możliwość zastąpienia go zebraniem delegatów – także zasady i tryb</w:t>
      </w:r>
      <w:r w:rsidR="00EF334B">
        <w:rPr>
          <w:rFonts w:ascii="Times New Roman" w:hAnsi="Times New Roman"/>
          <w:sz w:val="24"/>
          <w:szCs w:val="24"/>
        </w:rPr>
        <w:t>,</w:t>
      </w:r>
      <w:r w:rsidR="0098426D" w:rsidRPr="00E24274">
        <w:rPr>
          <w:rFonts w:ascii="Times New Roman" w:hAnsi="Times New Roman"/>
          <w:sz w:val="24"/>
          <w:szCs w:val="24"/>
        </w:rPr>
        <w:t xml:space="preserve"> w jakim zwoływane jest to zebranie)</w:t>
      </w:r>
      <w:r w:rsidRPr="00E24274">
        <w:rPr>
          <w:rFonts w:ascii="Times New Roman" w:hAnsi="Times New Roman"/>
          <w:sz w:val="24"/>
          <w:szCs w:val="24"/>
        </w:rPr>
        <w:t xml:space="preserve"> oraz art. 12 ust. 1 pkt 6, zgodnie z którym statut będzie określał czas trwania kadencji, zasady i tryb wyboru zarządu oraz komisji rewizyjnej, uzupełniania składu tych organów, a także odwoływania i wygasania mandatów ich członków. Ponadto projektowane art. 12 ust. 1 pkt </w:t>
      </w:r>
      <w:r w:rsidR="00497203" w:rsidRPr="00E24274">
        <w:rPr>
          <w:rFonts w:ascii="Times New Roman" w:hAnsi="Times New Roman"/>
          <w:sz w:val="24"/>
          <w:szCs w:val="24"/>
        </w:rPr>
        <w:t xml:space="preserve">9 </w:t>
      </w:r>
      <w:r w:rsidRPr="00E24274">
        <w:rPr>
          <w:rFonts w:ascii="Times New Roman" w:hAnsi="Times New Roman"/>
          <w:sz w:val="24"/>
          <w:szCs w:val="24"/>
        </w:rPr>
        <w:t xml:space="preserve">i </w:t>
      </w:r>
      <w:r w:rsidR="00497203" w:rsidRPr="00E24274">
        <w:rPr>
          <w:rFonts w:ascii="Times New Roman" w:hAnsi="Times New Roman"/>
          <w:sz w:val="24"/>
          <w:szCs w:val="24"/>
        </w:rPr>
        <w:t xml:space="preserve">11 </w:t>
      </w:r>
      <w:r w:rsidRPr="00E24274">
        <w:rPr>
          <w:rFonts w:ascii="Times New Roman" w:hAnsi="Times New Roman"/>
          <w:sz w:val="24"/>
          <w:szCs w:val="24"/>
        </w:rPr>
        <w:t>określają, że przedmiotem regulacji statutowej – jako aktu będącego najwyższym praktycznym wyrazem samorządności organizacji zbiorowego zarządzania – winno być przesądzenie, w granicach obowiązującego prawa, podstawowych zasad zarządzania jej majątkiem i decydowania o jego przeznaczeniu w przypadku likwidacji organizacji.</w:t>
      </w:r>
      <w:r w:rsidR="00343683" w:rsidRPr="00E24274">
        <w:rPr>
          <w:rFonts w:ascii="Times New Roman" w:hAnsi="Times New Roman"/>
          <w:sz w:val="24"/>
          <w:szCs w:val="24"/>
        </w:rPr>
        <w:t xml:space="preserve"> Dodatkowo projektowany przepis przesądza, że wpis zmiany statutu do rejestru – ze względu na podstawowe znaczenie tego dokumentu wewnętrznego dla funkcjonowania organizacji zbiorowego zarządzania </w:t>
      </w:r>
      <w:r w:rsidR="00EF334B">
        <w:rPr>
          <w:rFonts w:ascii="Times New Roman" w:hAnsi="Times New Roman"/>
          <w:sz w:val="24"/>
          <w:szCs w:val="24"/>
        </w:rPr>
        <w:t xml:space="preserve">– </w:t>
      </w:r>
      <w:r w:rsidR="00343683" w:rsidRPr="00E24274">
        <w:rPr>
          <w:rFonts w:ascii="Times New Roman" w:hAnsi="Times New Roman"/>
          <w:sz w:val="24"/>
          <w:szCs w:val="24"/>
        </w:rPr>
        <w:t>ma charakter konstytutywny.</w:t>
      </w:r>
    </w:p>
    <w:p w:rsidR="00D04546" w:rsidRPr="00E24274" w:rsidRDefault="00D04546"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lastRenderedPageBreak/>
        <w:t xml:space="preserve">3. Art. 12 ust. 2 </w:t>
      </w:r>
      <w:r w:rsidR="004833EB" w:rsidRPr="00E24274">
        <w:rPr>
          <w:rFonts w:ascii="Times New Roman" w:hAnsi="Times New Roman"/>
          <w:sz w:val="24"/>
          <w:szCs w:val="24"/>
        </w:rPr>
        <w:t xml:space="preserve">dotyczy </w:t>
      </w:r>
      <w:r w:rsidRPr="00E24274">
        <w:rPr>
          <w:rFonts w:ascii="Times New Roman" w:hAnsi="Times New Roman"/>
          <w:sz w:val="24"/>
          <w:szCs w:val="24"/>
        </w:rPr>
        <w:t>obowiązków organizacji związanych ze zmianą jej statutu</w:t>
      </w:r>
      <w:r w:rsidR="0087014D" w:rsidRPr="00E24274">
        <w:rPr>
          <w:rFonts w:ascii="Times New Roman" w:hAnsi="Times New Roman"/>
          <w:sz w:val="24"/>
          <w:szCs w:val="24"/>
        </w:rPr>
        <w:t xml:space="preserve"> albo uchwalaniem nowego statutu</w:t>
      </w:r>
      <w:r w:rsidR="00ED472E" w:rsidRPr="00E24274">
        <w:rPr>
          <w:rFonts w:ascii="Times New Roman" w:hAnsi="Times New Roman"/>
          <w:sz w:val="24"/>
          <w:szCs w:val="24"/>
        </w:rPr>
        <w:t>.</w:t>
      </w:r>
      <w:r w:rsidRPr="00E24274">
        <w:rPr>
          <w:rFonts w:ascii="Times New Roman" w:hAnsi="Times New Roman"/>
          <w:sz w:val="24"/>
          <w:szCs w:val="24"/>
        </w:rPr>
        <w:t xml:space="preserve"> </w:t>
      </w:r>
      <w:r w:rsidR="004833EB" w:rsidRPr="00E24274">
        <w:rPr>
          <w:rFonts w:ascii="Times New Roman" w:hAnsi="Times New Roman"/>
          <w:sz w:val="24"/>
          <w:szCs w:val="24"/>
        </w:rPr>
        <w:t>Co do zasady przepis ten</w:t>
      </w:r>
      <w:r w:rsidR="00ED472E" w:rsidRPr="00E24274">
        <w:rPr>
          <w:rFonts w:ascii="Times New Roman" w:hAnsi="Times New Roman"/>
          <w:sz w:val="24"/>
          <w:szCs w:val="24"/>
        </w:rPr>
        <w:t xml:space="preserve"> stanowi nieznaczną modyfikację</w:t>
      </w:r>
      <w:r w:rsidRPr="00E24274">
        <w:rPr>
          <w:rFonts w:ascii="Times New Roman" w:hAnsi="Times New Roman"/>
          <w:sz w:val="24"/>
          <w:szCs w:val="24"/>
        </w:rPr>
        <w:t xml:space="preserve"> art. 21 ust. 1 </w:t>
      </w:r>
      <w:r w:rsidR="004833EB" w:rsidRPr="00E24274">
        <w:rPr>
          <w:rFonts w:ascii="Times New Roman" w:hAnsi="Times New Roman"/>
          <w:sz w:val="24"/>
          <w:szCs w:val="24"/>
        </w:rPr>
        <w:t xml:space="preserve">zd. 1 </w:t>
      </w:r>
      <w:r w:rsidRPr="00E24274">
        <w:rPr>
          <w:rFonts w:ascii="Times New Roman" w:hAnsi="Times New Roman"/>
          <w:sz w:val="24"/>
          <w:szCs w:val="24"/>
        </w:rPr>
        <w:t xml:space="preserve">Prawa o stowarzyszeniach. </w:t>
      </w:r>
      <w:r w:rsidR="00ED472E" w:rsidRPr="00E24274">
        <w:rPr>
          <w:rFonts w:ascii="Times New Roman" w:hAnsi="Times New Roman"/>
          <w:sz w:val="24"/>
          <w:szCs w:val="24"/>
        </w:rPr>
        <w:t>Modyfikacja, o której mowa,</w:t>
      </w:r>
      <w:r w:rsidR="004833EB" w:rsidRPr="00E24274">
        <w:rPr>
          <w:rFonts w:ascii="Times New Roman" w:hAnsi="Times New Roman"/>
          <w:sz w:val="24"/>
          <w:szCs w:val="24"/>
        </w:rPr>
        <w:t xml:space="preserve"> sprowadza się do przesądzenia, że zmiana statutu</w:t>
      </w:r>
      <w:r w:rsidR="0087014D" w:rsidRPr="00E24274">
        <w:rPr>
          <w:rFonts w:ascii="Times New Roman" w:hAnsi="Times New Roman"/>
          <w:sz w:val="24"/>
          <w:szCs w:val="24"/>
        </w:rPr>
        <w:t xml:space="preserve"> albo uchwalenie nowego statutu</w:t>
      </w:r>
      <w:r w:rsidR="004833EB" w:rsidRPr="00E24274">
        <w:rPr>
          <w:rFonts w:ascii="Times New Roman" w:hAnsi="Times New Roman"/>
          <w:sz w:val="24"/>
          <w:szCs w:val="24"/>
        </w:rPr>
        <w:t xml:space="preserve"> organizacji wymaga</w:t>
      </w:r>
      <w:r w:rsidR="0087014D" w:rsidRPr="00E24274">
        <w:rPr>
          <w:rFonts w:ascii="Times New Roman" w:hAnsi="Times New Roman"/>
          <w:sz w:val="24"/>
          <w:szCs w:val="24"/>
        </w:rPr>
        <w:t>ją</w:t>
      </w:r>
      <w:r w:rsidR="004833EB" w:rsidRPr="00E24274">
        <w:rPr>
          <w:rFonts w:ascii="Times New Roman" w:hAnsi="Times New Roman"/>
          <w:sz w:val="24"/>
          <w:szCs w:val="24"/>
        </w:rPr>
        <w:t xml:space="preserve"> wpisu do rejestru. Takie rozwiązanie </w:t>
      </w:r>
      <w:r w:rsidR="00ED472E" w:rsidRPr="00E24274">
        <w:rPr>
          <w:rFonts w:ascii="Times New Roman" w:hAnsi="Times New Roman"/>
          <w:sz w:val="24"/>
          <w:szCs w:val="24"/>
        </w:rPr>
        <w:t>wyeliminuje</w:t>
      </w:r>
      <w:r w:rsidR="004833EB" w:rsidRPr="00E24274">
        <w:rPr>
          <w:rFonts w:ascii="Times New Roman" w:hAnsi="Times New Roman"/>
          <w:sz w:val="24"/>
          <w:szCs w:val="24"/>
        </w:rPr>
        <w:t xml:space="preserve"> podnoszone wątpliwości, dotyczące </w:t>
      </w:r>
      <w:r w:rsidR="00040A48" w:rsidRPr="00E24274">
        <w:rPr>
          <w:rFonts w:ascii="Times New Roman" w:hAnsi="Times New Roman"/>
          <w:sz w:val="24"/>
          <w:szCs w:val="24"/>
        </w:rPr>
        <w:t>deklaratoryjnego</w:t>
      </w:r>
      <w:r w:rsidR="004833EB" w:rsidRPr="00E24274">
        <w:rPr>
          <w:rFonts w:ascii="Times New Roman" w:hAnsi="Times New Roman"/>
          <w:sz w:val="24"/>
          <w:szCs w:val="24"/>
        </w:rPr>
        <w:t xml:space="preserve"> bądź konstytutywnego charakteru </w:t>
      </w:r>
      <w:r w:rsidR="00040A48" w:rsidRPr="00E24274">
        <w:rPr>
          <w:rFonts w:ascii="Times New Roman" w:hAnsi="Times New Roman"/>
          <w:sz w:val="24"/>
          <w:szCs w:val="24"/>
        </w:rPr>
        <w:t>wpisu</w:t>
      </w:r>
      <w:r w:rsidR="004833EB" w:rsidRPr="00E24274">
        <w:rPr>
          <w:rFonts w:ascii="Times New Roman" w:hAnsi="Times New Roman"/>
          <w:sz w:val="24"/>
          <w:szCs w:val="24"/>
        </w:rPr>
        <w:t xml:space="preserve"> zmian do rejestru, przesądzając, że taki wpis ma charakter konstytutywny. </w:t>
      </w:r>
    </w:p>
    <w:p w:rsidR="00D04546" w:rsidRPr="00E24274" w:rsidRDefault="00D04546"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4. Art. 12 ust. 3</w:t>
      </w:r>
      <w:r w:rsidR="00B85D46">
        <w:rPr>
          <w:rFonts w:ascii="Times New Roman" w:hAnsi="Times New Roman"/>
          <w:sz w:val="24"/>
          <w:szCs w:val="24"/>
        </w:rPr>
        <w:t>–</w:t>
      </w:r>
      <w:r w:rsidRPr="00E24274">
        <w:rPr>
          <w:rFonts w:ascii="Times New Roman" w:hAnsi="Times New Roman"/>
          <w:sz w:val="24"/>
          <w:szCs w:val="24"/>
        </w:rPr>
        <w:t>5 projektu ustawy są – z jednym wyjątkiem – przeniesieniem do projektowanej regulacji obecnie obowiązujących przepisów art. 104 ust. 2 pkt 4</w:t>
      </w:r>
      <w:r w:rsidR="00B85D46">
        <w:rPr>
          <w:rFonts w:ascii="Times New Roman" w:hAnsi="Times New Roman"/>
          <w:sz w:val="24"/>
          <w:szCs w:val="24"/>
        </w:rPr>
        <w:t>–</w:t>
      </w:r>
      <w:r w:rsidRPr="00E24274">
        <w:rPr>
          <w:rFonts w:ascii="Times New Roman" w:hAnsi="Times New Roman"/>
          <w:sz w:val="24"/>
          <w:szCs w:val="24"/>
        </w:rPr>
        <w:t>5 oraz ust. 2</w:t>
      </w:r>
      <w:r w:rsidRPr="00E24274">
        <w:rPr>
          <w:rFonts w:ascii="Times New Roman" w:hAnsi="Times New Roman"/>
          <w:sz w:val="24"/>
          <w:szCs w:val="24"/>
          <w:vertAlign w:val="superscript"/>
        </w:rPr>
        <w:t xml:space="preserve">1 </w:t>
      </w:r>
      <w:r w:rsidRPr="00E24274">
        <w:rPr>
          <w:rFonts w:ascii="Times New Roman" w:hAnsi="Times New Roman"/>
          <w:sz w:val="24"/>
          <w:szCs w:val="24"/>
        </w:rPr>
        <w:t>pr. aut., które określają obowiązki organizacji or</w:t>
      </w:r>
      <w:r w:rsidR="00144B0B">
        <w:rPr>
          <w:rFonts w:ascii="Times New Roman" w:hAnsi="Times New Roman"/>
          <w:sz w:val="24"/>
          <w:szCs w:val="24"/>
        </w:rPr>
        <w:t>az sądu rejestrowego związane z </w:t>
      </w:r>
      <w:r w:rsidRPr="00E24274">
        <w:rPr>
          <w:rFonts w:ascii="Times New Roman" w:hAnsi="Times New Roman"/>
          <w:sz w:val="24"/>
          <w:szCs w:val="24"/>
        </w:rPr>
        <w:t>postępowaniem w przedmiocie rejestracji zmian w statucie organizacji zbiorowego zarządzania. Wyjątek, o którym mowa</w:t>
      </w:r>
      <w:r w:rsidR="00EF334B">
        <w:rPr>
          <w:rFonts w:ascii="Times New Roman" w:hAnsi="Times New Roman"/>
          <w:sz w:val="24"/>
          <w:szCs w:val="24"/>
        </w:rPr>
        <w:t>,</w:t>
      </w:r>
      <w:r w:rsidRPr="00E24274">
        <w:rPr>
          <w:rFonts w:ascii="Times New Roman" w:hAnsi="Times New Roman"/>
          <w:sz w:val="24"/>
          <w:szCs w:val="24"/>
        </w:rPr>
        <w:t xml:space="preserve"> dotyczy doprecyzowania w projektowanym ust. 4, że sąd rejestrowy ma obowiązek doręczyć ministrow</w:t>
      </w:r>
      <w:r w:rsidR="00144B0B">
        <w:rPr>
          <w:rFonts w:ascii="Times New Roman" w:hAnsi="Times New Roman"/>
          <w:sz w:val="24"/>
          <w:szCs w:val="24"/>
        </w:rPr>
        <w:t>i właściwemu do spraw kultury i </w:t>
      </w:r>
      <w:r w:rsidRPr="00E24274">
        <w:rPr>
          <w:rFonts w:ascii="Times New Roman" w:hAnsi="Times New Roman"/>
          <w:sz w:val="24"/>
          <w:szCs w:val="24"/>
        </w:rPr>
        <w:t xml:space="preserve">ochrony dziedzictwa narodowego nie tylko odpis wniosku o rejestrację zmian statutu, ale również odpis wniosku o rejestrację nowego statutu organizacji zbiorowego zarządzania (przyjętego już w trakcie egzystencji </w:t>
      </w:r>
      <w:r w:rsidR="00144B0B">
        <w:rPr>
          <w:rFonts w:ascii="Times New Roman" w:hAnsi="Times New Roman"/>
          <w:sz w:val="24"/>
          <w:szCs w:val="24"/>
        </w:rPr>
        <w:t>organizacji), co nie wynikało z </w:t>
      </w:r>
      <w:r w:rsidRPr="00E24274">
        <w:rPr>
          <w:rFonts w:ascii="Times New Roman" w:hAnsi="Times New Roman"/>
          <w:sz w:val="24"/>
          <w:szCs w:val="24"/>
        </w:rPr>
        <w:t xml:space="preserve">obecnych przepisów, a mogło budzić wątpliwości interpretacyjne. Dodatkowo ust. 5 przyznaje, identyczne jak w obowiązującym aktualnie stanie prawnym, uprawnienia ministrowi właściwemu do spraw kultury i </w:t>
      </w:r>
      <w:r w:rsidR="00EF334B">
        <w:rPr>
          <w:rFonts w:ascii="Times New Roman" w:hAnsi="Times New Roman"/>
          <w:sz w:val="24"/>
          <w:szCs w:val="24"/>
        </w:rPr>
        <w:t xml:space="preserve">ochrony </w:t>
      </w:r>
      <w:r w:rsidRPr="00E24274">
        <w:rPr>
          <w:rFonts w:ascii="Times New Roman" w:hAnsi="Times New Roman"/>
          <w:sz w:val="24"/>
          <w:szCs w:val="24"/>
        </w:rPr>
        <w:t>dziedzic</w:t>
      </w:r>
      <w:r w:rsidR="00144B0B">
        <w:rPr>
          <w:rFonts w:ascii="Times New Roman" w:hAnsi="Times New Roman"/>
          <w:sz w:val="24"/>
          <w:szCs w:val="24"/>
        </w:rPr>
        <w:t>twa narodowego w postępowaniu o </w:t>
      </w:r>
      <w:r w:rsidRPr="00E24274">
        <w:rPr>
          <w:rFonts w:ascii="Times New Roman" w:hAnsi="Times New Roman"/>
          <w:sz w:val="24"/>
          <w:szCs w:val="24"/>
        </w:rPr>
        <w:t>rejestrację zmian statutu organizacji zbiorowego zarządzania. Pozwalają one na efektywny udział organ nadzoru w procedurze sąd</w:t>
      </w:r>
      <w:r w:rsidR="00144B0B">
        <w:rPr>
          <w:rFonts w:ascii="Times New Roman" w:hAnsi="Times New Roman"/>
          <w:sz w:val="24"/>
          <w:szCs w:val="24"/>
        </w:rPr>
        <w:t>owej kontroli zgodności zmian w </w:t>
      </w:r>
      <w:r w:rsidRPr="00E24274">
        <w:rPr>
          <w:rFonts w:ascii="Times New Roman" w:hAnsi="Times New Roman"/>
          <w:sz w:val="24"/>
          <w:szCs w:val="24"/>
        </w:rPr>
        <w:t xml:space="preserve">statucie organizacji z przepisami powszechnie obowiązującego prawa, służąc pośrednio także zagwarantowaniu faktycznej skuteczności </w:t>
      </w:r>
      <w:r w:rsidR="00ED472E" w:rsidRPr="00E24274">
        <w:rPr>
          <w:rFonts w:ascii="Times New Roman" w:hAnsi="Times New Roman"/>
          <w:sz w:val="24"/>
          <w:szCs w:val="24"/>
        </w:rPr>
        <w:t>przestrzegania przepisów wdrażających dyrektywę</w:t>
      </w:r>
      <w:r w:rsidRPr="00E24274">
        <w:rPr>
          <w:rFonts w:ascii="Times New Roman" w:hAnsi="Times New Roman"/>
          <w:sz w:val="24"/>
          <w:szCs w:val="24"/>
        </w:rPr>
        <w:t xml:space="preserve"> CRM.</w:t>
      </w:r>
    </w:p>
    <w:p w:rsidR="00D04546" w:rsidRPr="00E24274" w:rsidRDefault="00D04546" w:rsidP="00E24274">
      <w:pPr>
        <w:spacing w:before="120" w:after="0" w:line="360" w:lineRule="auto"/>
        <w:jc w:val="both"/>
        <w:rPr>
          <w:rFonts w:ascii="Times New Roman" w:hAnsi="Times New Roman"/>
          <w:b/>
          <w:bCs/>
          <w:sz w:val="24"/>
          <w:szCs w:val="24"/>
        </w:rPr>
      </w:pPr>
      <w:r w:rsidRPr="00E24274">
        <w:rPr>
          <w:rFonts w:ascii="Times New Roman" w:hAnsi="Times New Roman"/>
          <w:b/>
          <w:sz w:val="24"/>
          <w:szCs w:val="24"/>
        </w:rPr>
        <w:t xml:space="preserve">Oddział 2. </w:t>
      </w:r>
      <w:r w:rsidRPr="00E24274">
        <w:rPr>
          <w:rFonts w:ascii="Times New Roman" w:hAnsi="Times New Roman"/>
          <w:b/>
          <w:bCs/>
          <w:sz w:val="24"/>
          <w:szCs w:val="24"/>
        </w:rPr>
        <w:t>Członkostwo w organizacji zbiorowego zarządzania</w:t>
      </w:r>
    </w:p>
    <w:p w:rsidR="00D04546" w:rsidRPr="00E24274" w:rsidRDefault="00D04546" w:rsidP="00E24274">
      <w:pPr>
        <w:spacing w:before="120" w:after="0" w:line="360" w:lineRule="auto"/>
        <w:jc w:val="both"/>
        <w:rPr>
          <w:rFonts w:ascii="Times New Roman" w:hAnsi="Times New Roman"/>
          <w:b/>
          <w:sz w:val="24"/>
          <w:szCs w:val="24"/>
        </w:rPr>
      </w:pPr>
      <w:r w:rsidRPr="00E24274">
        <w:rPr>
          <w:rFonts w:ascii="Times New Roman" w:hAnsi="Times New Roman"/>
          <w:b/>
          <w:sz w:val="24"/>
          <w:szCs w:val="24"/>
        </w:rPr>
        <w:t>art. 13</w:t>
      </w:r>
    </w:p>
    <w:p w:rsidR="00D04546" w:rsidRPr="00E24274" w:rsidRDefault="00D04546" w:rsidP="00144B0B">
      <w:pPr>
        <w:spacing w:after="0" w:line="360" w:lineRule="auto"/>
        <w:jc w:val="both"/>
        <w:rPr>
          <w:rFonts w:ascii="Times New Roman" w:hAnsi="Times New Roman"/>
          <w:sz w:val="24"/>
          <w:szCs w:val="24"/>
        </w:rPr>
      </w:pPr>
      <w:r w:rsidRPr="00E24274">
        <w:rPr>
          <w:rFonts w:ascii="Times New Roman" w:hAnsi="Times New Roman"/>
          <w:sz w:val="24"/>
          <w:szCs w:val="24"/>
        </w:rPr>
        <w:t>1. Projektowany przepis reguluje kwestie dotyczące członkostwa w organizacji zbiorowego zarządzania w zakresie nieuregulowanym w Prawie o stowarzyszeniach, będąc jednocześnie implementacją do krajowego porządku prawnego art. 6 ust. 2 i 4 dyrektywy CRM. Zgodnie z przepisami obecnie obowiązującymi (art. 104 ust. 2 pkt 1 pr. aut.) do kwestii członkostwa w organizac</w:t>
      </w:r>
      <w:r w:rsidR="00144B0B">
        <w:rPr>
          <w:rFonts w:ascii="Times New Roman" w:hAnsi="Times New Roman"/>
          <w:sz w:val="24"/>
          <w:szCs w:val="24"/>
        </w:rPr>
        <w:t>ji stosuje się przepisy Prawa o </w:t>
      </w:r>
      <w:r w:rsidRPr="00E24274">
        <w:rPr>
          <w:rFonts w:ascii="Times New Roman" w:hAnsi="Times New Roman"/>
          <w:sz w:val="24"/>
          <w:szCs w:val="24"/>
        </w:rPr>
        <w:t>stowarzyszeniach</w:t>
      </w:r>
      <w:r w:rsidR="00EF334B">
        <w:rPr>
          <w:rFonts w:ascii="Times New Roman" w:hAnsi="Times New Roman"/>
          <w:sz w:val="24"/>
          <w:szCs w:val="24"/>
        </w:rPr>
        <w:t>,</w:t>
      </w:r>
      <w:r w:rsidRPr="00E24274">
        <w:rPr>
          <w:rFonts w:ascii="Times New Roman" w:hAnsi="Times New Roman"/>
          <w:sz w:val="24"/>
          <w:szCs w:val="24"/>
        </w:rPr>
        <w:t xml:space="preserve"> z tym że członkiem organizacji może być również osoba prawna. </w:t>
      </w:r>
      <w:r w:rsidRPr="00E24274">
        <w:rPr>
          <w:rFonts w:ascii="Times New Roman" w:hAnsi="Times New Roman"/>
          <w:sz w:val="24"/>
          <w:szCs w:val="24"/>
        </w:rPr>
        <w:lastRenderedPageBreak/>
        <w:t>Oznacza to, że zastosowanie do członkostwa w orga</w:t>
      </w:r>
      <w:r w:rsidR="00144B0B">
        <w:rPr>
          <w:rFonts w:ascii="Times New Roman" w:hAnsi="Times New Roman"/>
          <w:sz w:val="24"/>
          <w:szCs w:val="24"/>
        </w:rPr>
        <w:t>nizacji znajduje art. 3 Prawa o </w:t>
      </w:r>
      <w:r w:rsidRPr="00E24274">
        <w:rPr>
          <w:rFonts w:ascii="Times New Roman" w:hAnsi="Times New Roman"/>
          <w:sz w:val="24"/>
          <w:szCs w:val="24"/>
        </w:rPr>
        <w:t xml:space="preserve">stowarzyszeniach, który określa podmiotowy zakres wolności zrzeszania się oraz reguły członkostwa w organizacji osób małoletnich. Projektowana regulacja nie zmienia tych zasad. </w:t>
      </w:r>
    </w:p>
    <w:p w:rsidR="00D04546" w:rsidRPr="00E24274" w:rsidRDefault="00D04546"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W rozumieniu dyrektywy CRM członek organizacji zbiorowego zarządzania jest zawsze podmiotem uprawnionym lub podmiotem reprezentującym podmioty uprawnione. Może on upoważnić wybraną przez siebie organizację zbiorowego zarządzania do zarządzania swoimi prawami co do zasady bez względu na posiadane przez siebie obywatelstwo czy też państwo członkowskie UE, w którym uprawniony mieszka lub ma siedzibę organizacja, którą chce wybrać</w:t>
      </w:r>
      <w:r w:rsidR="00C43EEE" w:rsidRPr="00E24274">
        <w:rPr>
          <w:rFonts w:ascii="Times New Roman" w:hAnsi="Times New Roman"/>
          <w:sz w:val="24"/>
          <w:szCs w:val="24"/>
        </w:rPr>
        <w:t xml:space="preserve"> do zarządzania swoimi prawami.</w:t>
      </w:r>
      <w:r w:rsidRPr="00E24274">
        <w:rPr>
          <w:rFonts w:ascii="Times New Roman" w:hAnsi="Times New Roman"/>
          <w:sz w:val="24"/>
          <w:szCs w:val="24"/>
        </w:rPr>
        <w:t xml:space="preserve"> Podobnie definicja </w:t>
      </w:r>
      <w:r w:rsidR="00E24274">
        <w:rPr>
          <w:rFonts w:ascii="Times New Roman" w:hAnsi="Times New Roman"/>
          <w:sz w:val="24"/>
          <w:szCs w:val="24"/>
        </w:rPr>
        <w:t>„</w:t>
      </w:r>
      <w:r w:rsidRPr="00E24274">
        <w:rPr>
          <w:rFonts w:ascii="Times New Roman" w:hAnsi="Times New Roman"/>
          <w:i/>
          <w:sz w:val="24"/>
          <w:szCs w:val="24"/>
        </w:rPr>
        <w:t>podmiotu uprawnionego</w:t>
      </w:r>
      <w:r w:rsidR="00E24274">
        <w:rPr>
          <w:rFonts w:ascii="Times New Roman" w:hAnsi="Times New Roman"/>
          <w:sz w:val="24"/>
          <w:szCs w:val="24"/>
        </w:rPr>
        <w:t>”</w:t>
      </w:r>
      <w:r w:rsidR="00144B0B">
        <w:rPr>
          <w:rFonts w:ascii="Times New Roman" w:hAnsi="Times New Roman"/>
          <w:sz w:val="24"/>
          <w:szCs w:val="24"/>
        </w:rPr>
        <w:t>, zawarta w art. 3 lit. c </w:t>
      </w:r>
      <w:r w:rsidRPr="00E24274">
        <w:rPr>
          <w:rFonts w:ascii="Times New Roman" w:hAnsi="Times New Roman"/>
          <w:sz w:val="24"/>
          <w:szCs w:val="24"/>
        </w:rPr>
        <w:t>dyrektywy CRM, abstrahuje od jego formy prawnej, kładąc nacisk na to, czy takiemu podmiotowi przysługują prawa autorskie lub prawa pokrewne bądź uprawnienie do części przychodów z praw. Tym samym zasadne jest wyraźne przesądzenie</w:t>
      </w:r>
      <w:r w:rsidR="00144B0B">
        <w:rPr>
          <w:rFonts w:ascii="Times New Roman" w:hAnsi="Times New Roman"/>
          <w:sz w:val="24"/>
          <w:szCs w:val="24"/>
        </w:rPr>
        <w:t xml:space="preserve"> w </w:t>
      </w:r>
      <w:r w:rsidR="00C43EEE" w:rsidRPr="00E24274">
        <w:rPr>
          <w:rFonts w:ascii="Times New Roman" w:hAnsi="Times New Roman"/>
          <w:sz w:val="24"/>
          <w:szCs w:val="24"/>
        </w:rPr>
        <w:t>projektowanej ustawie</w:t>
      </w:r>
      <w:r w:rsidRPr="00E24274">
        <w:rPr>
          <w:rFonts w:ascii="Times New Roman" w:hAnsi="Times New Roman"/>
          <w:sz w:val="24"/>
          <w:szCs w:val="24"/>
        </w:rPr>
        <w:t>, że mo</w:t>
      </w:r>
      <w:r w:rsidR="00144B0B">
        <w:rPr>
          <w:rFonts w:ascii="Times New Roman" w:hAnsi="Times New Roman"/>
          <w:sz w:val="24"/>
          <w:szCs w:val="24"/>
        </w:rPr>
        <w:t>żliwość uzyskania członkostwa w </w:t>
      </w:r>
      <w:r w:rsidRPr="00E24274">
        <w:rPr>
          <w:rFonts w:ascii="Times New Roman" w:hAnsi="Times New Roman"/>
          <w:sz w:val="24"/>
          <w:szCs w:val="24"/>
        </w:rPr>
        <w:t xml:space="preserve">organizacji jest również oderwana od kryteriów nieistotnych z punktu widzenia efektywnego zarządzania prawami danego uprawnionego (z jednym zastrzeżeniem odnoszącym się do obywatelstwa lub siedziby, o czym mowa poniżej). </w:t>
      </w:r>
    </w:p>
    <w:p w:rsidR="00C43EEE" w:rsidRPr="00E24274" w:rsidRDefault="00D04546"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 xml:space="preserve">W konsekwencji art. 13 ust. 1 projektu przesądza, że organizacja niezwłocznie przyjmuje </w:t>
      </w:r>
      <w:r w:rsidR="00934846" w:rsidRPr="00E24274">
        <w:rPr>
          <w:rFonts w:ascii="Times New Roman" w:hAnsi="Times New Roman"/>
          <w:sz w:val="24"/>
          <w:szCs w:val="24"/>
        </w:rPr>
        <w:t>do grona</w:t>
      </w:r>
      <w:r w:rsidRPr="00E24274">
        <w:rPr>
          <w:rFonts w:ascii="Times New Roman" w:hAnsi="Times New Roman"/>
          <w:sz w:val="24"/>
          <w:szCs w:val="24"/>
        </w:rPr>
        <w:t xml:space="preserve"> członków uprawnionych oraz podmioty reprezentujące uprawnionych, w tym inne organizacje zbiorowego zarządzania, zagraniczne organizacje zbiorowego zarządzania i stowarzyszenia uprawnionych, jeżeli mają obywatelstwo państwa członkowskiego Unii Europejskiej lub państwa członkowskiego Europejskiego Porozumienia o </w:t>
      </w:r>
      <w:r w:rsidR="00EF334B">
        <w:rPr>
          <w:rFonts w:ascii="Times New Roman" w:hAnsi="Times New Roman"/>
          <w:sz w:val="24"/>
          <w:szCs w:val="24"/>
        </w:rPr>
        <w:t>W</w:t>
      </w:r>
      <w:r w:rsidRPr="00E24274">
        <w:rPr>
          <w:rFonts w:ascii="Times New Roman" w:hAnsi="Times New Roman"/>
          <w:sz w:val="24"/>
          <w:szCs w:val="24"/>
        </w:rPr>
        <w:t xml:space="preserve">olnym </w:t>
      </w:r>
      <w:r w:rsidR="00EF334B">
        <w:rPr>
          <w:rFonts w:ascii="Times New Roman" w:hAnsi="Times New Roman"/>
          <w:sz w:val="24"/>
          <w:szCs w:val="24"/>
        </w:rPr>
        <w:t>H</w:t>
      </w:r>
      <w:r w:rsidRPr="00E24274">
        <w:rPr>
          <w:rFonts w:ascii="Times New Roman" w:hAnsi="Times New Roman"/>
          <w:sz w:val="24"/>
          <w:szCs w:val="24"/>
        </w:rPr>
        <w:t>andlu (EFTA) – strony umowy o Europejskim Obszarze Gospodarczym lub miejsca zamieszkania albo siedziby w tym państwie oraz spełniają warunki członkostwa określone w statucie organizacji. Ograniczenie do obywatelstwa lub siedziby zamieszkania albo siedziby, o którym mowa w powyższym przepisie</w:t>
      </w:r>
      <w:r w:rsidR="00F06F70">
        <w:rPr>
          <w:rFonts w:ascii="Times New Roman" w:hAnsi="Times New Roman"/>
          <w:sz w:val="24"/>
          <w:szCs w:val="24"/>
        </w:rPr>
        <w:t>,</w:t>
      </w:r>
      <w:r w:rsidRPr="00E24274">
        <w:rPr>
          <w:rFonts w:ascii="Times New Roman" w:hAnsi="Times New Roman"/>
          <w:sz w:val="24"/>
          <w:szCs w:val="24"/>
        </w:rPr>
        <w:t xml:space="preserve"> jest oczywiste, a wynika z faktu, że dyrektywę CRM stosuj</w:t>
      </w:r>
      <w:r w:rsidR="00F06F70">
        <w:rPr>
          <w:rFonts w:ascii="Times New Roman" w:hAnsi="Times New Roman"/>
          <w:sz w:val="24"/>
          <w:szCs w:val="24"/>
        </w:rPr>
        <w:t>e</w:t>
      </w:r>
      <w:r w:rsidRPr="00E24274">
        <w:rPr>
          <w:rFonts w:ascii="Times New Roman" w:hAnsi="Times New Roman"/>
          <w:sz w:val="24"/>
          <w:szCs w:val="24"/>
        </w:rPr>
        <w:t xml:space="preserve"> się wyłącznie na terytorium Unii Europejskiej (oraz państw członkowskich Europejskiego Stowarzyszenia Wolnego Handlu (EFTA) </w:t>
      </w:r>
      <w:r w:rsidR="00C43EEE" w:rsidRPr="00E24274">
        <w:rPr>
          <w:rFonts w:ascii="Times New Roman" w:hAnsi="Times New Roman"/>
          <w:sz w:val="24"/>
          <w:szCs w:val="24"/>
        </w:rPr>
        <w:t>–</w:t>
      </w:r>
      <w:r w:rsidRPr="00E24274">
        <w:rPr>
          <w:rFonts w:ascii="Times New Roman" w:hAnsi="Times New Roman"/>
          <w:sz w:val="24"/>
          <w:szCs w:val="24"/>
        </w:rPr>
        <w:t xml:space="preserve"> stron umowy o Eu</w:t>
      </w:r>
      <w:r w:rsidR="00C43EEE" w:rsidRPr="00E24274">
        <w:rPr>
          <w:rFonts w:ascii="Times New Roman" w:hAnsi="Times New Roman"/>
          <w:sz w:val="24"/>
          <w:szCs w:val="24"/>
        </w:rPr>
        <w:t>ropejskim Obszarze Gospodarczym).</w:t>
      </w:r>
    </w:p>
    <w:p w:rsidR="00D04546" w:rsidRPr="00E24274" w:rsidRDefault="00D04546"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lastRenderedPageBreak/>
        <w:t xml:space="preserve">Niezależnie od powyższego obowiązek przyjęcia </w:t>
      </w:r>
      <w:r w:rsidR="00934846" w:rsidRPr="00E24274">
        <w:rPr>
          <w:rFonts w:ascii="Times New Roman" w:hAnsi="Times New Roman"/>
          <w:sz w:val="24"/>
          <w:szCs w:val="24"/>
        </w:rPr>
        <w:t>do grona</w:t>
      </w:r>
      <w:r w:rsidRPr="00E24274">
        <w:rPr>
          <w:rFonts w:ascii="Times New Roman" w:hAnsi="Times New Roman"/>
          <w:sz w:val="24"/>
          <w:szCs w:val="24"/>
        </w:rPr>
        <w:t xml:space="preserve"> członków po stronie organizacji powstaje, jeśli spełnione są szczegółowe warunki członkostwa, które określa się zgodnie z art. 12 ust. </w:t>
      </w:r>
      <w:r w:rsidR="00040A48" w:rsidRPr="00E24274">
        <w:rPr>
          <w:rFonts w:ascii="Times New Roman" w:hAnsi="Times New Roman"/>
          <w:sz w:val="24"/>
          <w:szCs w:val="24"/>
        </w:rPr>
        <w:t xml:space="preserve">1 </w:t>
      </w:r>
      <w:r w:rsidRPr="00E24274">
        <w:rPr>
          <w:rFonts w:ascii="Times New Roman" w:hAnsi="Times New Roman"/>
          <w:sz w:val="24"/>
          <w:szCs w:val="24"/>
        </w:rPr>
        <w:t>pkt 4 projektu w statucie organizacji</w:t>
      </w:r>
      <w:r w:rsidR="0001569D" w:rsidRPr="00E24274">
        <w:rPr>
          <w:rFonts w:ascii="Times New Roman" w:hAnsi="Times New Roman"/>
          <w:sz w:val="24"/>
          <w:szCs w:val="24"/>
        </w:rPr>
        <w:t xml:space="preserve"> (tj. sposób nabywania i utraty członkostwa, przyczyny utraty członkostwa oraz prawa i obowiązki członków)</w:t>
      </w:r>
      <w:r w:rsidRPr="00E24274">
        <w:rPr>
          <w:rFonts w:ascii="Times New Roman" w:hAnsi="Times New Roman"/>
          <w:sz w:val="24"/>
          <w:szCs w:val="24"/>
        </w:rPr>
        <w:t xml:space="preserve">. Art. 13 ust. 1 </w:t>
      </w:r>
      <w:r w:rsidR="00040A48" w:rsidRPr="00E24274">
        <w:rPr>
          <w:rFonts w:ascii="Times New Roman" w:hAnsi="Times New Roman"/>
          <w:sz w:val="24"/>
          <w:szCs w:val="24"/>
        </w:rPr>
        <w:t xml:space="preserve">zd. 2 </w:t>
      </w:r>
      <w:r w:rsidRPr="00E24274">
        <w:rPr>
          <w:rFonts w:ascii="Times New Roman" w:hAnsi="Times New Roman"/>
          <w:sz w:val="24"/>
          <w:szCs w:val="24"/>
        </w:rPr>
        <w:t>określa przy tym – w ślad za treścią art. 6 ust. 2 dyrektywy CRM – że warunki te muszą być oparte na obiektywnych, przejrzystych i niedyskryminujących kryteriach. W ten sposób przepis pozwala z jednej strony na elastyczność po stronie organizacji w kształtowaniu w</w:t>
      </w:r>
      <w:r w:rsidR="00C43EEE" w:rsidRPr="00E24274">
        <w:rPr>
          <w:rFonts w:ascii="Times New Roman" w:hAnsi="Times New Roman"/>
          <w:sz w:val="24"/>
          <w:szCs w:val="24"/>
        </w:rPr>
        <w:t>arunków członkostwa, a z</w:t>
      </w:r>
      <w:r w:rsidRPr="00E24274">
        <w:rPr>
          <w:rFonts w:ascii="Times New Roman" w:hAnsi="Times New Roman"/>
          <w:sz w:val="24"/>
          <w:szCs w:val="24"/>
        </w:rPr>
        <w:t xml:space="preserve"> drugiej strony umożliwia ocenę przyjętych przez daną organizację warunków p</w:t>
      </w:r>
      <w:r w:rsidR="00144B0B">
        <w:rPr>
          <w:rFonts w:ascii="Times New Roman" w:hAnsi="Times New Roman"/>
          <w:sz w:val="24"/>
          <w:szCs w:val="24"/>
        </w:rPr>
        <w:t>od kątem kryteriów wskazanych w </w:t>
      </w:r>
      <w:r w:rsidRPr="00E24274">
        <w:rPr>
          <w:rFonts w:ascii="Times New Roman" w:hAnsi="Times New Roman"/>
          <w:sz w:val="24"/>
          <w:szCs w:val="24"/>
        </w:rPr>
        <w:t>treści przepisu przez organ nadzoru i sąd w procedurze rejestracji statutu, służąc eliminowaniu warunków nieobiektywnych, nieprzejrzystych lub prowadzących do dyskryminacji uprawnionych.</w:t>
      </w:r>
    </w:p>
    <w:p w:rsidR="009F775D" w:rsidRPr="00E24274" w:rsidRDefault="009F775D"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 xml:space="preserve">2. Projektowany ust. </w:t>
      </w:r>
      <w:r w:rsidR="002D1B28" w:rsidRPr="00E24274">
        <w:rPr>
          <w:rFonts w:ascii="Times New Roman" w:hAnsi="Times New Roman"/>
          <w:sz w:val="24"/>
          <w:szCs w:val="24"/>
        </w:rPr>
        <w:t>2</w:t>
      </w:r>
      <w:r w:rsidRPr="00E24274">
        <w:rPr>
          <w:rFonts w:ascii="Times New Roman" w:hAnsi="Times New Roman"/>
          <w:sz w:val="24"/>
          <w:szCs w:val="24"/>
        </w:rPr>
        <w:t xml:space="preserve"> będzie przesądzał, że inne podmioty niż</w:t>
      </w:r>
      <w:r w:rsidRPr="00E24274">
        <w:rPr>
          <w:rFonts w:ascii="Times New Roman" w:eastAsiaTheme="minorEastAsia" w:hAnsi="Times New Roman"/>
          <w:sz w:val="24"/>
          <w:szCs w:val="24"/>
          <w:lang w:eastAsia="pl-PL"/>
        </w:rPr>
        <w:t xml:space="preserve"> </w:t>
      </w:r>
      <w:r w:rsidRPr="00E24274">
        <w:rPr>
          <w:rFonts w:ascii="Times New Roman" w:hAnsi="Times New Roman"/>
          <w:sz w:val="24"/>
          <w:szCs w:val="24"/>
        </w:rPr>
        <w:t xml:space="preserve">mające obywatelstwo, miejsce zamieszkania albo siedzibę w innym państwie niż wskazane w ust. 1 będą mogły uzyskać członkostwo, jeśli statut danej organizacji będzie przewidywał taką możliwość. Przepisy dyrektywy CRM nie formułują takiego obowiązku w stosunku do uprawnionych spoza państw Unii Europejskiej i państw członkowskich Europejskiego Stowarzyszenia Wolnego Handlu (EFTA) </w:t>
      </w:r>
      <w:r w:rsidR="0066791B" w:rsidRPr="00E24274">
        <w:rPr>
          <w:rFonts w:ascii="Times New Roman" w:hAnsi="Times New Roman"/>
          <w:sz w:val="24"/>
          <w:szCs w:val="24"/>
        </w:rPr>
        <w:t>–</w:t>
      </w:r>
      <w:r w:rsidRPr="00E24274">
        <w:rPr>
          <w:rFonts w:ascii="Times New Roman" w:hAnsi="Times New Roman"/>
          <w:sz w:val="24"/>
          <w:szCs w:val="24"/>
        </w:rPr>
        <w:t xml:space="preserve"> stron umowy o Europejskim Obszarze Gospodarczym. Powyższy ustęp będzie w konsekwencji </w:t>
      </w:r>
      <w:r w:rsidRPr="00E24274">
        <w:rPr>
          <w:rFonts w:ascii="Times New Roman" w:hAnsi="Times New Roman"/>
          <w:i/>
          <w:sz w:val="24"/>
          <w:szCs w:val="24"/>
        </w:rPr>
        <w:t xml:space="preserve">lex specialis </w:t>
      </w:r>
      <w:r w:rsidRPr="00E24274">
        <w:rPr>
          <w:rFonts w:ascii="Times New Roman" w:hAnsi="Times New Roman"/>
          <w:sz w:val="24"/>
          <w:szCs w:val="24"/>
        </w:rPr>
        <w:t xml:space="preserve">względem art. 4 ust. 1 Prawa o stowarzyszeniach. </w:t>
      </w:r>
    </w:p>
    <w:p w:rsidR="00343683" w:rsidRPr="00E24274" w:rsidRDefault="009F775D"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3</w:t>
      </w:r>
      <w:r w:rsidR="00343683" w:rsidRPr="00E24274">
        <w:rPr>
          <w:rFonts w:ascii="Times New Roman" w:hAnsi="Times New Roman"/>
          <w:sz w:val="24"/>
          <w:szCs w:val="24"/>
        </w:rPr>
        <w:t xml:space="preserve">. Projektowany ust. </w:t>
      </w:r>
      <w:r w:rsidR="002D1B28" w:rsidRPr="00E24274">
        <w:rPr>
          <w:rFonts w:ascii="Times New Roman" w:hAnsi="Times New Roman"/>
          <w:sz w:val="24"/>
          <w:szCs w:val="24"/>
        </w:rPr>
        <w:t>3</w:t>
      </w:r>
      <w:r w:rsidR="00343683" w:rsidRPr="00E24274">
        <w:rPr>
          <w:rFonts w:ascii="Times New Roman" w:hAnsi="Times New Roman"/>
          <w:sz w:val="24"/>
          <w:szCs w:val="24"/>
        </w:rPr>
        <w:t xml:space="preserve"> przesądza również – </w:t>
      </w:r>
      <w:r w:rsidR="001F2E36" w:rsidRPr="00E24274">
        <w:rPr>
          <w:rFonts w:ascii="Times New Roman" w:hAnsi="Times New Roman"/>
          <w:sz w:val="24"/>
          <w:szCs w:val="24"/>
        </w:rPr>
        <w:t>podobnie jak</w:t>
      </w:r>
      <w:r w:rsidR="00343683" w:rsidRPr="00E24274">
        <w:rPr>
          <w:rFonts w:ascii="Times New Roman" w:hAnsi="Times New Roman"/>
          <w:sz w:val="24"/>
          <w:szCs w:val="24"/>
        </w:rPr>
        <w:t xml:space="preserve"> obecnie obowiązujący art. 104 ust. </w:t>
      </w:r>
      <w:r w:rsidR="00237D97" w:rsidRPr="00E24274">
        <w:rPr>
          <w:rFonts w:ascii="Times New Roman" w:hAnsi="Times New Roman"/>
          <w:sz w:val="24"/>
          <w:szCs w:val="24"/>
        </w:rPr>
        <w:t xml:space="preserve">2 lit a </w:t>
      </w:r>
      <w:r w:rsidR="00343683" w:rsidRPr="00E24274">
        <w:rPr>
          <w:rFonts w:ascii="Times New Roman" w:hAnsi="Times New Roman"/>
          <w:sz w:val="24"/>
          <w:szCs w:val="24"/>
        </w:rPr>
        <w:t>pr</w:t>
      </w:r>
      <w:r w:rsidR="002D1B28" w:rsidRPr="00E24274">
        <w:rPr>
          <w:rFonts w:ascii="Times New Roman" w:hAnsi="Times New Roman"/>
          <w:sz w:val="24"/>
          <w:szCs w:val="24"/>
        </w:rPr>
        <w:t>.</w:t>
      </w:r>
      <w:r w:rsidR="00343683" w:rsidRPr="00E24274">
        <w:rPr>
          <w:rFonts w:ascii="Times New Roman" w:hAnsi="Times New Roman"/>
          <w:sz w:val="24"/>
          <w:szCs w:val="24"/>
        </w:rPr>
        <w:t xml:space="preserve"> aut</w:t>
      </w:r>
      <w:r w:rsidR="002D1B28" w:rsidRPr="00E24274">
        <w:rPr>
          <w:rFonts w:ascii="Times New Roman" w:hAnsi="Times New Roman"/>
          <w:sz w:val="24"/>
          <w:szCs w:val="24"/>
        </w:rPr>
        <w:t>.</w:t>
      </w:r>
      <w:r w:rsidR="00237D97" w:rsidRPr="00E24274">
        <w:rPr>
          <w:rFonts w:ascii="Times New Roman" w:hAnsi="Times New Roman"/>
          <w:sz w:val="24"/>
          <w:szCs w:val="24"/>
        </w:rPr>
        <w:t xml:space="preserve"> </w:t>
      </w:r>
      <w:r w:rsidR="0066791B" w:rsidRPr="00E24274">
        <w:rPr>
          <w:rFonts w:ascii="Times New Roman" w:hAnsi="Times New Roman"/>
          <w:sz w:val="24"/>
          <w:szCs w:val="24"/>
        </w:rPr>
        <w:t>–</w:t>
      </w:r>
      <w:r w:rsidR="00343683" w:rsidRPr="00E24274">
        <w:rPr>
          <w:rFonts w:ascii="Times New Roman" w:hAnsi="Times New Roman"/>
          <w:sz w:val="24"/>
          <w:szCs w:val="24"/>
        </w:rPr>
        <w:t xml:space="preserve"> że członkiem organizacji zbiorowego zarządz</w:t>
      </w:r>
      <w:r w:rsidR="00F06F70">
        <w:rPr>
          <w:rFonts w:ascii="Times New Roman" w:hAnsi="Times New Roman"/>
          <w:sz w:val="24"/>
          <w:szCs w:val="24"/>
        </w:rPr>
        <w:t>a</w:t>
      </w:r>
      <w:r w:rsidR="00343683" w:rsidRPr="00E24274">
        <w:rPr>
          <w:rFonts w:ascii="Times New Roman" w:hAnsi="Times New Roman"/>
          <w:sz w:val="24"/>
          <w:szCs w:val="24"/>
        </w:rPr>
        <w:t xml:space="preserve">nia może być osoba prawna. </w:t>
      </w:r>
      <w:r w:rsidRPr="00E24274">
        <w:rPr>
          <w:rFonts w:ascii="Times New Roman" w:hAnsi="Times New Roman"/>
          <w:sz w:val="24"/>
          <w:szCs w:val="24"/>
        </w:rPr>
        <w:t>Uzyskanie członkostwa odbywa się na zasadach określonych w art. 13 ust</w:t>
      </w:r>
      <w:r w:rsidR="00F06F70">
        <w:rPr>
          <w:rFonts w:ascii="Times New Roman" w:hAnsi="Times New Roman"/>
          <w:sz w:val="24"/>
          <w:szCs w:val="24"/>
        </w:rPr>
        <w:t>.</w:t>
      </w:r>
      <w:r w:rsidRPr="00E24274">
        <w:rPr>
          <w:rFonts w:ascii="Times New Roman" w:hAnsi="Times New Roman"/>
          <w:sz w:val="24"/>
          <w:szCs w:val="24"/>
        </w:rPr>
        <w:t xml:space="preserve"> 1 i </w:t>
      </w:r>
      <w:r w:rsidR="001F2E36" w:rsidRPr="00E24274">
        <w:rPr>
          <w:rFonts w:ascii="Times New Roman" w:hAnsi="Times New Roman"/>
          <w:sz w:val="24"/>
          <w:szCs w:val="24"/>
        </w:rPr>
        <w:t>2</w:t>
      </w:r>
      <w:r w:rsidRPr="00E24274">
        <w:rPr>
          <w:rFonts w:ascii="Times New Roman" w:hAnsi="Times New Roman"/>
          <w:sz w:val="24"/>
          <w:szCs w:val="24"/>
        </w:rPr>
        <w:t xml:space="preserve">, a więc odmiennych w przypadku podmiotów mających siedzibę w państwie członkowskim UE i Europejskiego Obszaru Gospodarczego oraz w innych państwach. </w:t>
      </w:r>
      <w:r w:rsidR="00237D97" w:rsidRPr="00E24274">
        <w:rPr>
          <w:rFonts w:ascii="Times New Roman" w:hAnsi="Times New Roman"/>
          <w:sz w:val="24"/>
          <w:szCs w:val="24"/>
        </w:rPr>
        <w:t xml:space="preserve">Celem omawianego przepisu jest umożliwienie zrzeszania </w:t>
      </w:r>
      <w:r w:rsidRPr="00E24274">
        <w:rPr>
          <w:rFonts w:ascii="Times New Roman" w:hAnsi="Times New Roman"/>
          <w:sz w:val="24"/>
          <w:szCs w:val="24"/>
        </w:rPr>
        <w:t xml:space="preserve">się w ramach organizacji </w:t>
      </w:r>
      <w:r w:rsidR="00237D97" w:rsidRPr="00E24274">
        <w:rPr>
          <w:rFonts w:ascii="Times New Roman" w:hAnsi="Times New Roman"/>
          <w:sz w:val="24"/>
          <w:szCs w:val="24"/>
        </w:rPr>
        <w:t>osobom prawnym, które mogą być uprawnionymi.</w:t>
      </w:r>
    </w:p>
    <w:p w:rsidR="00D04546" w:rsidRPr="00E24274" w:rsidRDefault="00343683"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4</w:t>
      </w:r>
      <w:r w:rsidR="00D04546" w:rsidRPr="00E24274">
        <w:rPr>
          <w:rFonts w:ascii="Times New Roman" w:hAnsi="Times New Roman"/>
          <w:sz w:val="24"/>
          <w:szCs w:val="24"/>
        </w:rPr>
        <w:t xml:space="preserve">. Zgodnie z projektowanym ust. </w:t>
      </w:r>
      <w:r w:rsidR="001F2E36" w:rsidRPr="00E24274">
        <w:rPr>
          <w:rFonts w:ascii="Times New Roman" w:hAnsi="Times New Roman"/>
          <w:sz w:val="24"/>
          <w:szCs w:val="24"/>
        </w:rPr>
        <w:t xml:space="preserve">4 </w:t>
      </w:r>
      <w:r w:rsidR="00D04546" w:rsidRPr="00E24274">
        <w:rPr>
          <w:rFonts w:ascii="Times New Roman" w:hAnsi="Times New Roman"/>
          <w:sz w:val="24"/>
          <w:szCs w:val="24"/>
        </w:rPr>
        <w:t>organizacja zbiorowego zarządzania będzie zobowiązana do podawania warunków członko</w:t>
      </w:r>
      <w:r w:rsidR="00A833CD">
        <w:rPr>
          <w:rFonts w:ascii="Times New Roman" w:hAnsi="Times New Roman"/>
          <w:sz w:val="24"/>
          <w:szCs w:val="24"/>
        </w:rPr>
        <w:t xml:space="preserve">stwa do publicznej wiadomości </w:t>
      </w:r>
      <w:r w:rsidR="00D04546" w:rsidRPr="00E24274">
        <w:rPr>
          <w:rFonts w:ascii="Times New Roman" w:hAnsi="Times New Roman"/>
          <w:sz w:val="24"/>
          <w:szCs w:val="24"/>
        </w:rPr>
        <w:t>przez zamieszczenie ich na swojej stronie internetowej. Stanowi to implementację do polskiego porządku prawnego art. 6 ust. 2 zdan</w:t>
      </w:r>
      <w:r w:rsidR="00144B0B">
        <w:rPr>
          <w:rFonts w:ascii="Times New Roman" w:hAnsi="Times New Roman"/>
          <w:sz w:val="24"/>
          <w:szCs w:val="24"/>
        </w:rPr>
        <w:t>ie 2 dyrektywy CRM, przy czym w </w:t>
      </w:r>
      <w:r w:rsidR="00D04546" w:rsidRPr="00E24274">
        <w:rPr>
          <w:rFonts w:ascii="Times New Roman" w:hAnsi="Times New Roman"/>
          <w:sz w:val="24"/>
          <w:szCs w:val="24"/>
        </w:rPr>
        <w:t xml:space="preserve">treści przepisu określono wygodny, tani i jednolity dla wszystkich organizacji sposób </w:t>
      </w:r>
      <w:r w:rsidR="00D04546" w:rsidRPr="00E24274">
        <w:rPr>
          <w:rFonts w:ascii="Times New Roman" w:hAnsi="Times New Roman"/>
          <w:sz w:val="24"/>
          <w:szCs w:val="24"/>
        </w:rPr>
        <w:lastRenderedPageBreak/>
        <w:t>informowania o warunkach członkostwa. Strony internetowe organizacji od dłuższego czasu są podstawowym narzędziem ich komunikacji z uprawnionymi i użytkownikami. Dotychczas obowiązujące w tym względzie przepisy Prawa o stowarzyszeniach przesądzały wyłącznie, że warunki członkostwa winny być określone w statutach poszczególnych organizacji.</w:t>
      </w:r>
    </w:p>
    <w:p w:rsidR="00D04546" w:rsidRPr="00E24274" w:rsidRDefault="00343683"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5</w:t>
      </w:r>
      <w:r w:rsidR="00D04546" w:rsidRPr="00E24274">
        <w:rPr>
          <w:rFonts w:ascii="Times New Roman" w:hAnsi="Times New Roman"/>
          <w:sz w:val="24"/>
          <w:szCs w:val="24"/>
        </w:rPr>
        <w:t xml:space="preserve">. Projektowany art. 13 ust. </w:t>
      </w:r>
      <w:r w:rsidR="001F2E36" w:rsidRPr="00E24274">
        <w:rPr>
          <w:rFonts w:ascii="Times New Roman" w:hAnsi="Times New Roman"/>
          <w:sz w:val="24"/>
          <w:szCs w:val="24"/>
        </w:rPr>
        <w:t xml:space="preserve">5 </w:t>
      </w:r>
      <w:r w:rsidR="00D04546" w:rsidRPr="00E24274">
        <w:rPr>
          <w:rFonts w:ascii="Times New Roman" w:hAnsi="Times New Roman"/>
          <w:sz w:val="24"/>
          <w:szCs w:val="24"/>
        </w:rPr>
        <w:t>po raz pierwszy</w:t>
      </w:r>
      <w:r w:rsidR="0066791B" w:rsidRPr="00E24274">
        <w:rPr>
          <w:rFonts w:ascii="Times New Roman" w:hAnsi="Times New Roman"/>
          <w:sz w:val="24"/>
          <w:szCs w:val="24"/>
        </w:rPr>
        <w:t xml:space="preserve"> w polskich przepisach przesądzi</w:t>
      </w:r>
      <w:r w:rsidR="00D04546" w:rsidRPr="00E24274">
        <w:rPr>
          <w:rFonts w:ascii="Times New Roman" w:hAnsi="Times New Roman"/>
          <w:sz w:val="24"/>
          <w:szCs w:val="24"/>
        </w:rPr>
        <w:t xml:space="preserve">, że odmowa przyjęcia danego podmiotu </w:t>
      </w:r>
      <w:r w:rsidR="00934846" w:rsidRPr="00E24274">
        <w:rPr>
          <w:rFonts w:ascii="Times New Roman" w:hAnsi="Times New Roman"/>
          <w:sz w:val="24"/>
          <w:szCs w:val="24"/>
        </w:rPr>
        <w:t>do grona</w:t>
      </w:r>
      <w:r w:rsidR="00D04546" w:rsidRPr="00E24274">
        <w:rPr>
          <w:rFonts w:ascii="Times New Roman" w:hAnsi="Times New Roman"/>
          <w:sz w:val="24"/>
          <w:szCs w:val="24"/>
        </w:rPr>
        <w:t xml:space="preserve"> członków organizacji zbiorowego zarządzania winna być dokonana w formie pisemnej lub elektronicznej i wymaga szczegółowego uzasadnienia. Powyższy przepis stanowi implementację art. 6 ust. 2 </w:t>
      </w:r>
      <w:r w:rsidR="00144B0B">
        <w:rPr>
          <w:rFonts w:ascii="Times New Roman" w:hAnsi="Times New Roman"/>
          <w:i/>
          <w:sz w:val="24"/>
          <w:szCs w:val="24"/>
        </w:rPr>
        <w:t>in </w:t>
      </w:r>
      <w:r w:rsidR="00D04546" w:rsidRPr="00E24274">
        <w:rPr>
          <w:rFonts w:ascii="Times New Roman" w:hAnsi="Times New Roman"/>
          <w:i/>
          <w:sz w:val="24"/>
          <w:szCs w:val="24"/>
        </w:rPr>
        <w:t>fine</w:t>
      </w:r>
      <w:r w:rsidR="00D04546" w:rsidRPr="00E24274">
        <w:rPr>
          <w:rFonts w:ascii="Times New Roman" w:hAnsi="Times New Roman"/>
          <w:sz w:val="24"/>
          <w:szCs w:val="24"/>
        </w:rPr>
        <w:t xml:space="preserve"> dyrektywy CRM do polskiego porządku prawnego. Konieczność uzasadnienia odmowy służy także udokumentowaniu powodów odmowy na wypadek ewentualnego sporu sądowego między organizacją a kandydatem na jej członka.</w:t>
      </w:r>
    </w:p>
    <w:p w:rsidR="00D04546" w:rsidRPr="00E24274" w:rsidRDefault="00343683"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6</w:t>
      </w:r>
      <w:r w:rsidR="00D04546" w:rsidRPr="00E24274">
        <w:rPr>
          <w:rFonts w:ascii="Times New Roman" w:hAnsi="Times New Roman"/>
          <w:sz w:val="24"/>
          <w:szCs w:val="24"/>
        </w:rPr>
        <w:t xml:space="preserve">. Art. 13 ust. </w:t>
      </w:r>
      <w:r w:rsidR="001F2E36" w:rsidRPr="00E24274">
        <w:rPr>
          <w:rFonts w:ascii="Times New Roman" w:hAnsi="Times New Roman"/>
          <w:sz w:val="24"/>
          <w:szCs w:val="24"/>
        </w:rPr>
        <w:t xml:space="preserve">6 </w:t>
      </w:r>
      <w:r w:rsidR="00D04546" w:rsidRPr="00E24274">
        <w:rPr>
          <w:rFonts w:ascii="Times New Roman" w:hAnsi="Times New Roman"/>
          <w:sz w:val="24"/>
          <w:szCs w:val="24"/>
        </w:rPr>
        <w:t xml:space="preserve">projektu będzie nakładał na organizacje zbiorowego zarządzania obowiązek udostępnienia członkom środków komunikacji elektronicznej zapewniających utrwalenie, przekazywanie, przechowywanie i zabezpieczenie treści dokonywanych czynności związanych z członkostwem w organizacji, stanowiąc implementację art. 6 ust. 4 dyrektywy CRM. </w:t>
      </w:r>
    </w:p>
    <w:p w:rsidR="00D04546" w:rsidRPr="00E24274" w:rsidRDefault="00343683"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7</w:t>
      </w:r>
      <w:r w:rsidR="00D04546" w:rsidRPr="00E24274">
        <w:rPr>
          <w:rFonts w:ascii="Times New Roman" w:hAnsi="Times New Roman"/>
          <w:sz w:val="24"/>
          <w:szCs w:val="24"/>
        </w:rPr>
        <w:t xml:space="preserve">. Art. 13 ust. </w:t>
      </w:r>
      <w:r w:rsidR="001F2E36" w:rsidRPr="00E24274">
        <w:rPr>
          <w:rFonts w:ascii="Times New Roman" w:hAnsi="Times New Roman"/>
          <w:sz w:val="24"/>
          <w:szCs w:val="24"/>
        </w:rPr>
        <w:t xml:space="preserve">7 </w:t>
      </w:r>
      <w:r w:rsidR="00D04546" w:rsidRPr="00E24274">
        <w:rPr>
          <w:rFonts w:ascii="Times New Roman" w:hAnsi="Times New Roman"/>
          <w:sz w:val="24"/>
          <w:szCs w:val="24"/>
        </w:rPr>
        <w:t>projektu stanowi wdrożenie do polskieg</w:t>
      </w:r>
      <w:r w:rsidR="00144B0B">
        <w:rPr>
          <w:rFonts w:ascii="Times New Roman" w:hAnsi="Times New Roman"/>
          <w:sz w:val="24"/>
          <w:szCs w:val="24"/>
        </w:rPr>
        <w:t>o porządku prawnego art. 6 ust. </w:t>
      </w:r>
      <w:r w:rsidR="00D04546" w:rsidRPr="00E24274">
        <w:rPr>
          <w:rFonts w:ascii="Times New Roman" w:hAnsi="Times New Roman"/>
          <w:sz w:val="24"/>
          <w:szCs w:val="24"/>
        </w:rPr>
        <w:t>5 dyrektywy CRM, zobowiązującego organizacje do prowadzenia i regularnej aktualizacji ewidencji swoich członków. W projektowanym przepisie ewidencja ta będzie prowadzona w formie wykazu</w:t>
      </w:r>
      <w:r w:rsidR="007416F6" w:rsidRPr="00E24274">
        <w:rPr>
          <w:rFonts w:ascii="Times New Roman" w:hAnsi="Times New Roman"/>
          <w:sz w:val="24"/>
          <w:szCs w:val="24"/>
        </w:rPr>
        <w:t xml:space="preserve"> zawierającego co najmniej imię i</w:t>
      </w:r>
      <w:r w:rsidR="00D04546" w:rsidRPr="00E24274">
        <w:rPr>
          <w:rFonts w:ascii="Times New Roman" w:hAnsi="Times New Roman"/>
          <w:sz w:val="24"/>
          <w:szCs w:val="24"/>
        </w:rPr>
        <w:t xml:space="preserve"> nazwisko</w:t>
      </w:r>
      <w:r w:rsidR="007416F6" w:rsidRPr="00E24274">
        <w:rPr>
          <w:rFonts w:ascii="Times New Roman" w:hAnsi="Times New Roman"/>
          <w:sz w:val="24"/>
          <w:szCs w:val="24"/>
        </w:rPr>
        <w:t>, pseudonim lub nazwę</w:t>
      </w:r>
      <w:r w:rsidR="00D04546" w:rsidRPr="00E24274">
        <w:rPr>
          <w:rFonts w:ascii="Times New Roman" w:hAnsi="Times New Roman"/>
          <w:sz w:val="24"/>
          <w:szCs w:val="24"/>
        </w:rPr>
        <w:t xml:space="preserve"> oraz adres korespondencyjny, w tym adres poczty elektronicznej, o ile został przez członka wskazany. </w:t>
      </w:r>
    </w:p>
    <w:p w:rsidR="00D04546" w:rsidRPr="00E24274" w:rsidRDefault="00D04546" w:rsidP="00E24274">
      <w:pPr>
        <w:spacing w:before="120" w:after="0" w:line="360" w:lineRule="auto"/>
        <w:jc w:val="both"/>
        <w:rPr>
          <w:rFonts w:ascii="Times New Roman" w:hAnsi="Times New Roman"/>
          <w:b/>
          <w:bCs/>
          <w:sz w:val="24"/>
          <w:szCs w:val="24"/>
        </w:rPr>
      </w:pPr>
      <w:r w:rsidRPr="00E24274">
        <w:rPr>
          <w:rFonts w:ascii="Times New Roman" w:hAnsi="Times New Roman"/>
          <w:b/>
          <w:sz w:val="24"/>
          <w:szCs w:val="24"/>
        </w:rPr>
        <w:t>Oddział 3.</w:t>
      </w:r>
      <w:r w:rsidRPr="00E24274">
        <w:rPr>
          <w:rFonts w:ascii="Times New Roman" w:hAnsi="Times New Roman"/>
          <w:b/>
          <w:bCs/>
          <w:sz w:val="24"/>
          <w:szCs w:val="24"/>
        </w:rPr>
        <w:t xml:space="preserve"> Organy i osoby kierujące działalnością organizacji zbiorowego zarządzania</w:t>
      </w:r>
    </w:p>
    <w:p w:rsidR="00D04546" w:rsidRPr="00E24274" w:rsidRDefault="00D04546"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 xml:space="preserve">Aktualnie obowiązujące przepisy co do zasady nie nakazują – poza bardzo ogólnymi, ramowymi postanowieniami art. 11 Prawa o stowarzyszeniach (np. co do prymatu wśród organów stowarzyszenia walnego zebrania członków i obowiązku posiadania przez stowarzyszenie zarządu oraz komisji rewizyjnej) – ukształtowania zasad tworzenia, działania i odpowiedzialności organów stowarzyszenia, które jest organizacją zbiorowego zarządzania, w żaden konkretny sposób. W tym zakresie obecnie istotne znaczenie ma przede wszystkim art. 10 ust. 1 Prawa o stowarzyszeniach, </w:t>
      </w:r>
      <w:r w:rsidRPr="00E24274">
        <w:rPr>
          <w:rFonts w:ascii="Times New Roman" w:hAnsi="Times New Roman"/>
          <w:sz w:val="24"/>
          <w:szCs w:val="24"/>
        </w:rPr>
        <w:lastRenderedPageBreak/>
        <w:t>który wprost przesądza jedynie, które z tych kw</w:t>
      </w:r>
      <w:r w:rsidR="00144B0B">
        <w:rPr>
          <w:rFonts w:ascii="Times New Roman" w:hAnsi="Times New Roman"/>
          <w:sz w:val="24"/>
          <w:szCs w:val="24"/>
        </w:rPr>
        <w:t>estii powinny być uregulowane w </w:t>
      </w:r>
      <w:r w:rsidRPr="00E24274">
        <w:rPr>
          <w:rFonts w:ascii="Times New Roman" w:hAnsi="Times New Roman"/>
          <w:sz w:val="24"/>
          <w:szCs w:val="24"/>
        </w:rPr>
        <w:t>statucie stowarzyszenia. Dyrektywa CRM formułuje natomiast w art. 8</w:t>
      </w:r>
      <w:r w:rsidR="00B85D46">
        <w:rPr>
          <w:rFonts w:ascii="Times New Roman" w:hAnsi="Times New Roman"/>
          <w:sz w:val="24"/>
          <w:szCs w:val="24"/>
        </w:rPr>
        <w:t>–</w:t>
      </w:r>
      <w:r w:rsidRPr="00E24274">
        <w:rPr>
          <w:rFonts w:ascii="Times New Roman" w:hAnsi="Times New Roman"/>
          <w:sz w:val="24"/>
          <w:szCs w:val="24"/>
        </w:rPr>
        <w:t>10 szereg, czasem szczegółowych, zasad związanyc</w:t>
      </w:r>
      <w:r w:rsidR="00144B0B">
        <w:rPr>
          <w:rFonts w:ascii="Times New Roman" w:hAnsi="Times New Roman"/>
          <w:sz w:val="24"/>
          <w:szCs w:val="24"/>
        </w:rPr>
        <w:t>h z tworzeniem, kompetencjami i </w:t>
      </w:r>
      <w:r w:rsidRPr="00E24274">
        <w:rPr>
          <w:rFonts w:ascii="Times New Roman" w:hAnsi="Times New Roman"/>
          <w:sz w:val="24"/>
          <w:szCs w:val="24"/>
        </w:rPr>
        <w:t>odpowiedzialnością organów organizacji zbiorowego zarządzania, które wymagają wdrożenia do krajowego porządku prawnego.</w:t>
      </w:r>
    </w:p>
    <w:p w:rsidR="00D04546" w:rsidRPr="00E24274" w:rsidRDefault="00D04546" w:rsidP="00E24274">
      <w:pPr>
        <w:spacing w:before="120" w:after="0" w:line="360" w:lineRule="auto"/>
        <w:jc w:val="both"/>
        <w:rPr>
          <w:rFonts w:ascii="Times New Roman" w:hAnsi="Times New Roman"/>
          <w:b/>
          <w:sz w:val="24"/>
          <w:szCs w:val="24"/>
        </w:rPr>
      </w:pPr>
      <w:r w:rsidRPr="00E24274">
        <w:rPr>
          <w:rFonts w:ascii="Times New Roman" w:hAnsi="Times New Roman"/>
          <w:b/>
          <w:sz w:val="24"/>
          <w:szCs w:val="24"/>
        </w:rPr>
        <w:t>art. 14</w:t>
      </w:r>
    </w:p>
    <w:p w:rsidR="00D04546" w:rsidRPr="00E24274" w:rsidRDefault="00D04546" w:rsidP="00144B0B">
      <w:pPr>
        <w:spacing w:after="0" w:line="360" w:lineRule="auto"/>
        <w:jc w:val="both"/>
        <w:rPr>
          <w:rFonts w:ascii="Times New Roman" w:hAnsi="Times New Roman"/>
          <w:sz w:val="24"/>
          <w:szCs w:val="24"/>
        </w:rPr>
      </w:pPr>
      <w:r w:rsidRPr="00E24274">
        <w:rPr>
          <w:rFonts w:ascii="Times New Roman" w:hAnsi="Times New Roman"/>
          <w:sz w:val="24"/>
          <w:szCs w:val="24"/>
        </w:rPr>
        <w:t>1. Art. 14 ust. 1 określa listę obligatoryjnych organów organizacji zbiorowego zarządzania</w:t>
      </w:r>
      <w:r w:rsidR="00E24274">
        <w:rPr>
          <w:rFonts w:ascii="Times New Roman" w:hAnsi="Times New Roman"/>
          <w:sz w:val="24"/>
          <w:szCs w:val="24"/>
        </w:rPr>
        <w:t xml:space="preserve"> </w:t>
      </w:r>
      <w:r w:rsidRPr="00E24274">
        <w:rPr>
          <w:rFonts w:ascii="Times New Roman" w:hAnsi="Times New Roman"/>
          <w:sz w:val="24"/>
          <w:szCs w:val="24"/>
        </w:rPr>
        <w:t>w trzech koniecznych sferach jej działalności: podejmowania strategicznych decyzji dotyczących organizacji, w tym decydowania o sprawach zastrzeżonych zgodnie z art. 8 ust. 3</w:t>
      </w:r>
      <w:r w:rsidR="00B85D46">
        <w:rPr>
          <w:rFonts w:ascii="Times New Roman" w:hAnsi="Times New Roman"/>
          <w:sz w:val="24"/>
          <w:szCs w:val="24"/>
        </w:rPr>
        <w:t>–</w:t>
      </w:r>
      <w:r w:rsidRPr="00E24274">
        <w:rPr>
          <w:rFonts w:ascii="Times New Roman" w:hAnsi="Times New Roman"/>
          <w:sz w:val="24"/>
          <w:szCs w:val="24"/>
        </w:rPr>
        <w:t xml:space="preserve">5 dyrektywy CRM dla kompetencji walnego </w:t>
      </w:r>
      <w:r w:rsidR="002D54E8" w:rsidRPr="00E24274">
        <w:rPr>
          <w:rFonts w:ascii="Times New Roman" w:hAnsi="Times New Roman"/>
          <w:sz w:val="24"/>
          <w:szCs w:val="24"/>
        </w:rPr>
        <w:t>zebrania</w:t>
      </w:r>
      <w:r w:rsidRPr="00E24274">
        <w:rPr>
          <w:rFonts w:ascii="Times New Roman" w:hAnsi="Times New Roman"/>
          <w:sz w:val="24"/>
          <w:szCs w:val="24"/>
        </w:rPr>
        <w:t xml:space="preserve"> członków (</w:t>
      </w:r>
      <w:r w:rsidR="007416F6" w:rsidRPr="00E24274">
        <w:rPr>
          <w:rFonts w:ascii="Times New Roman" w:hAnsi="Times New Roman"/>
          <w:sz w:val="24"/>
          <w:szCs w:val="24"/>
        </w:rPr>
        <w:t>lub</w:t>
      </w:r>
      <w:r w:rsidRPr="00E24274">
        <w:rPr>
          <w:rFonts w:ascii="Times New Roman" w:hAnsi="Times New Roman"/>
          <w:sz w:val="24"/>
          <w:szCs w:val="24"/>
        </w:rPr>
        <w:t xml:space="preserve"> zebrania </w:t>
      </w:r>
      <w:r w:rsidR="00121A68" w:rsidRPr="00E24274">
        <w:rPr>
          <w:rFonts w:ascii="Times New Roman" w:hAnsi="Times New Roman"/>
          <w:sz w:val="24"/>
          <w:szCs w:val="24"/>
        </w:rPr>
        <w:t>delegatów</w:t>
      </w:r>
      <w:r w:rsidRPr="00E24274">
        <w:rPr>
          <w:rFonts w:ascii="Times New Roman" w:hAnsi="Times New Roman"/>
          <w:sz w:val="24"/>
          <w:szCs w:val="24"/>
        </w:rPr>
        <w:t>), prowadzeni</w:t>
      </w:r>
      <w:r w:rsidR="00144B0B">
        <w:rPr>
          <w:rFonts w:ascii="Times New Roman" w:hAnsi="Times New Roman"/>
          <w:sz w:val="24"/>
          <w:szCs w:val="24"/>
        </w:rPr>
        <w:t>a bieżących spraw organizacji i </w:t>
      </w:r>
      <w:r w:rsidRPr="00E24274">
        <w:rPr>
          <w:rFonts w:ascii="Times New Roman" w:hAnsi="Times New Roman"/>
          <w:sz w:val="24"/>
          <w:szCs w:val="24"/>
        </w:rPr>
        <w:t>reprezentowania jej na zewnątrz (zarząd) oraz bieżącego kontrolowania działalności organizacji przez organ niezależny od pozostałych (komisja rewizyjna).</w:t>
      </w:r>
    </w:p>
    <w:p w:rsidR="00D04546" w:rsidRPr="00E24274" w:rsidRDefault="00D04546"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2. Ust. 2 przesądza o możliwości tworzenia innych organów niż obligatoryjne określone w ust. 1, co koresponduje z samorządnym charakter</w:t>
      </w:r>
      <w:r w:rsidR="002D54E8" w:rsidRPr="00E24274">
        <w:rPr>
          <w:rFonts w:ascii="Times New Roman" w:hAnsi="Times New Roman"/>
          <w:sz w:val="24"/>
          <w:szCs w:val="24"/>
        </w:rPr>
        <w:t>em</w:t>
      </w:r>
      <w:r w:rsidRPr="00E24274">
        <w:rPr>
          <w:rFonts w:ascii="Times New Roman" w:hAnsi="Times New Roman"/>
          <w:sz w:val="24"/>
          <w:szCs w:val="24"/>
        </w:rPr>
        <w:t xml:space="preserve"> organizacji zbiorowego zarządzania, która powinna mieć swobodę decydowania o swojej strukturze wewnętrznej, a także dotychczasową praktyką w tym względzie. Kompetencje do decydowania o tworzeniu innych organów przysługują walnemu zebraniu członków jako jedynemu organowi uprawnionemu zgodnie z art. 17 pkt 1 projektu do zatwierdzania statutu oraz dokonywania</w:t>
      </w:r>
      <w:r w:rsidR="00144B0B">
        <w:rPr>
          <w:rFonts w:ascii="Times New Roman" w:hAnsi="Times New Roman"/>
          <w:sz w:val="24"/>
          <w:szCs w:val="24"/>
        </w:rPr>
        <w:t xml:space="preserve"> w nim zmian. Ponadto zgodnie z </w:t>
      </w:r>
      <w:r w:rsidRPr="00E24274">
        <w:rPr>
          <w:rFonts w:ascii="Times New Roman" w:hAnsi="Times New Roman"/>
          <w:sz w:val="24"/>
          <w:szCs w:val="24"/>
        </w:rPr>
        <w:t>projektowanym</w:t>
      </w:r>
      <w:r w:rsidR="002D54E8" w:rsidRPr="00E24274">
        <w:rPr>
          <w:rFonts w:ascii="Times New Roman" w:hAnsi="Times New Roman"/>
          <w:sz w:val="24"/>
          <w:szCs w:val="24"/>
        </w:rPr>
        <w:t xml:space="preserve"> art. 14</w:t>
      </w:r>
      <w:r w:rsidRPr="00E24274">
        <w:rPr>
          <w:rFonts w:ascii="Times New Roman" w:hAnsi="Times New Roman"/>
          <w:sz w:val="24"/>
          <w:szCs w:val="24"/>
        </w:rPr>
        <w:t xml:space="preserve"> ust. 2 zd. 2 tryb dokonywania wyboru członków takich organów, uzupełniania składu oraz ich kompetenc</w:t>
      </w:r>
      <w:r w:rsidR="00144B0B">
        <w:rPr>
          <w:rFonts w:ascii="Times New Roman" w:hAnsi="Times New Roman"/>
          <w:sz w:val="24"/>
          <w:szCs w:val="24"/>
        </w:rPr>
        <w:t>je będą musiały być określone w </w:t>
      </w:r>
      <w:r w:rsidRPr="00E24274">
        <w:rPr>
          <w:rFonts w:ascii="Times New Roman" w:hAnsi="Times New Roman"/>
          <w:sz w:val="24"/>
          <w:szCs w:val="24"/>
        </w:rPr>
        <w:t>statucie organizacji. Powyższe rozwiązanie służy w szczególności zapobieżeniu nakładania się kompetencji fakultatywnych organów organizacji z kompetencjami organów obligatoryjnych.</w:t>
      </w:r>
    </w:p>
    <w:p w:rsidR="00D04546" w:rsidRPr="00E24274" w:rsidRDefault="00D04546" w:rsidP="00E24274">
      <w:pPr>
        <w:spacing w:before="120" w:after="0" w:line="360" w:lineRule="auto"/>
        <w:jc w:val="both"/>
        <w:rPr>
          <w:rFonts w:ascii="Times New Roman" w:hAnsi="Times New Roman"/>
          <w:b/>
          <w:sz w:val="24"/>
          <w:szCs w:val="24"/>
        </w:rPr>
      </w:pPr>
      <w:r w:rsidRPr="00E24274">
        <w:rPr>
          <w:rFonts w:ascii="Times New Roman" w:hAnsi="Times New Roman"/>
          <w:sz w:val="24"/>
          <w:szCs w:val="24"/>
        </w:rPr>
        <w:t xml:space="preserve">3. Ust. 3 zd. 1 określa krąg podmiotów mogących pełnić funkcję członka zarządu lub komisji rewizyjnej organizacji. Dyrektywa CRM pozwala na dowolnie szerokie ukształtowanie tego kręgu, bez konieczności przesądzania, że członkiem zarządu lub komisji rewizyjnej może być wyłącznie członek organizacji lub uprawniony. Stwarza to organizacjom możliwość powierzenia niektórych czynności, np. wymagających specjalistycznej wiedzy prawnej, ekonomicznej lub związanej z zarządzaniem, zewnętrznym specjalistom w danej dziedzinie. Jedynym ograniczeniem jest naturalna </w:t>
      </w:r>
      <w:r w:rsidRPr="00E24274">
        <w:rPr>
          <w:rFonts w:ascii="Times New Roman" w:hAnsi="Times New Roman"/>
          <w:sz w:val="24"/>
          <w:szCs w:val="24"/>
        </w:rPr>
        <w:lastRenderedPageBreak/>
        <w:t>w</w:t>
      </w:r>
      <w:r w:rsidR="00144B0B">
        <w:rPr>
          <w:rFonts w:ascii="Times New Roman" w:hAnsi="Times New Roman"/>
          <w:sz w:val="24"/>
          <w:szCs w:val="24"/>
        </w:rPr>
        <w:t> </w:t>
      </w:r>
      <w:r w:rsidRPr="00E24274">
        <w:rPr>
          <w:rFonts w:ascii="Times New Roman" w:hAnsi="Times New Roman"/>
          <w:sz w:val="24"/>
          <w:szCs w:val="24"/>
        </w:rPr>
        <w:t xml:space="preserve">tym wypadku konieczność posiadania przez członka zarządu lub członka komisji rewizyjnej pełnej zdolności do czynności prawnych. Ponadto projektowany ust. 3 zd. 2 pozwala organizacji na przyznanie wynagrodzenia </w:t>
      </w:r>
      <w:r w:rsidR="00144B0B">
        <w:rPr>
          <w:rFonts w:ascii="Times New Roman" w:hAnsi="Times New Roman"/>
          <w:sz w:val="24"/>
          <w:szCs w:val="24"/>
        </w:rPr>
        <w:t>zarówno członkom zarządu, jak i </w:t>
      </w:r>
      <w:r w:rsidRPr="00E24274">
        <w:rPr>
          <w:rFonts w:ascii="Times New Roman" w:hAnsi="Times New Roman"/>
          <w:sz w:val="24"/>
          <w:szCs w:val="24"/>
        </w:rPr>
        <w:t>członkom komisji rewizyjnej, wskazując jednocz</w:t>
      </w:r>
      <w:r w:rsidR="00144B0B">
        <w:rPr>
          <w:rFonts w:ascii="Times New Roman" w:hAnsi="Times New Roman"/>
          <w:sz w:val="24"/>
          <w:szCs w:val="24"/>
        </w:rPr>
        <w:t>eśnie na obowiązek określenia w </w:t>
      </w:r>
      <w:r w:rsidRPr="00E24274">
        <w:rPr>
          <w:rFonts w:ascii="Times New Roman" w:hAnsi="Times New Roman"/>
          <w:sz w:val="24"/>
          <w:szCs w:val="24"/>
        </w:rPr>
        <w:t xml:space="preserve">statucie możliwości uzyskiwania przez takie osoby innych świadczeń </w:t>
      </w:r>
      <w:r w:rsidR="00004828" w:rsidRPr="00E24274">
        <w:rPr>
          <w:rFonts w:ascii="Times New Roman" w:hAnsi="Times New Roman"/>
          <w:sz w:val="24"/>
          <w:szCs w:val="24"/>
        </w:rPr>
        <w:t>z tytułu pełnienia</w:t>
      </w:r>
      <w:r w:rsidRPr="00E24274">
        <w:rPr>
          <w:rFonts w:ascii="Times New Roman" w:hAnsi="Times New Roman"/>
          <w:sz w:val="24"/>
          <w:szCs w:val="24"/>
        </w:rPr>
        <w:t xml:space="preserve"> tego rodzaju funkcji oraz przekazując szczegółowe uprawnienie do </w:t>
      </w:r>
      <w:r w:rsidR="00CA0C80" w:rsidRPr="00E24274">
        <w:rPr>
          <w:rFonts w:ascii="Times New Roman" w:hAnsi="Times New Roman"/>
          <w:sz w:val="24"/>
          <w:szCs w:val="24"/>
        </w:rPr>
        <w:t>ich</w:t>
      </w:r>
      <w:r w:rsidRPr="00E24274">
        <w:rPr>
          <w:rFonts w:ascii="Times New Roman" w:hAnsi="Times New Roman"/>
          <w:sz w:val="24"/>
          <w:szCs w:val="24"/>
        </w:rPr>
        <w:t xml:space="preserve"> kształtowania walnemu zebraniu członków organizacji (art. 17 pkt 2</w:t>
      </w:r>
      <w:r w:rsidR="00B85D46">
        <w:rPr>
          <w:rFonts w:ascii="Times New Roman" w:hAnsi="Times New Roman"/>
          <w:sz w:val="24"/>
          <w:szCs w:val="24"/>
        </w:rPr>
        <w:t>–</w:t>
      </w:r>
      <w:r w:rsidRPr="00E24274">
        <w:rPr>
          <w:rFonts w:ascii="Times New Roman" w:hAnsi="Times New Roman"/>
          <w:sz w:val="24"/>
          <w:szCs w:val="24"/>
        </w:rPr>
        <w:t xml:space="preserve">3 projektu). Powyższy przepis stanowi implementację </w:t>
      </w:r>
      <w:r w:rsidR="00004828" w:rsidRPr="00E24274">
        <w:rPr>
          <w:rFonts w:ascii="Times New Roman" w:hAnsi="Times New Roman"/>
          <w:sz w:val="24"/>
          <w:szCs w:val="24"/>
        </w:rPr>
        <w:t>art. 8 ust. 4</w:t>
      </w:r>
      <w:r w:rsidRPr="00E24274">
        <w:rPr>
          <w:rFonts w:ascii="Times New Roman" w:hAnsi="Times New Roman"/>
          <w:sz w:val="24"/>
          <w:szCs w:val="24"/>
        </w:rPr>
        <w:t xml:space="preserve"> dyrektywy CRM, przy czym obecny art. 10 ust. 1 pkt 5a Prawa o stowarzyszeniach przewiduje możliwość otrzymywania przez członków zarządu stowarzyszenia wynagrodzenia za czynności wykonywane w związku z pełnioną przez nich funkcją, ale już nie przez członków komisji rewizyjnej. </w:t>
      </w:r>
      <w:r w:rsidR="00004828" w:rsidRPr="00E24274">
        <w:rPr>
          <w:rFonts w:ascii="Times New Roman" w:hAnsi="Times New Roman"/>
          <w:sz w:val="24"/>
          <w:szCs w:val="24"/>
        </w:rPr>
        <w:t>P</w:t>
      </w:r>
      <w:r w:rsidRPr="00E24274">
        <w:rPr>
          <w:rFonts w:ascii="Times New Roman" w:hAnsi="Times New Roman"/>
          <w:sz w:val="24"/>
          <w:szCs w:val="24"/>
        </w:rPr>
        <w:t xml:space="preserve">rojektowany ust. 3 stanowi </w:t>
      </w:r>
      <w:r w:rsidR="00004828" w:rsidRPr="00E24274">
        <w:rPr>
          <w:rFonts w:ascii="Times New Roman" w:hAnsi="Times New Roman"/>
          <w:sz w:val="24"/>
          <w:szCs w:val="24"/>
        </w:rPr>
        <w:t xml:space="preserve">więc </w:t>
      </w:r>
      <w:r w:rsidRPr="00E24274">
        <w:rPr>
          <w:rFonts w:ascii="Times New Roman" w:hAnsi="Times New Roman"/>
          <w:i/>
          <w:sz w:val="24"/>
          <w:szCs w:val="24"/>
        </w:rPr>
        <w:t>lex specialis</w:t>
      </w:r>
      <w:r w:rsidRPr="00E24274">
        <w:rPr>
          <w:rFonts w:ascii="Times New Roman" w:hAnsi="Times New Roman"/>
          <w:sz w:val="24"/>
          <w:szCs w:val="24"/>
        </w:rPr>
        <w:t xml:space="preserve"> względem art. 10 ust. 1 pkt 5a Prawa o stowarzyszeniach. </w:t>
      </w:r>
    </w:p>
    <w:p w:rsidR="00D04546" w:rsidRPr="00E24274" w:rsidRDefault="00D04546" w:rsidP="00E24274">
      <w:pPr>
        <w:spacing w:before="120" w:after="0" w:line="360" w:lineRule="auto"/>
        <w:jc w:val="both"/>
        <w:rPr>
          <w:rFonts w:ascii="Times New Roman" w:hAnsi="Times New Roman"/>
          <w:b/>
          <w:sz w:val="24"/>
          <w:szCs w:val="24"/>
        </w:rPr>
      </w:pPr>
      <w:r w:rsidRPr="00E24274">
        <w:rPr>
          <w:rFonts w:ascii="Times New Roman" w:hAnsi="Times New Roman"/>
          <w:b/>
          <w:sz w:val="24"/>
          <w:szCs w:val="24"/>
        </w:rPr>
        <w:t>art. 15</w:t>
      </w:r>
    </w:p>
    <w:p w:rsidR="00D04546" w:rsidRPr="00E24274" w:rsidRDefault="00D04546" w:rsidP="00144B0B">
      <w:pPr>
        <w:spacing w:after="0" w:line="360" w:lineRule="auto"/>
        <w:jc w:val="both"/>
        <w:rPr>
          <w:rFonts w:ascii="Times New Roman" w:hAnsi="Times New Roman"/>
          <w:sz w:val="24"/>
          <w:szCs w:val="24"/>
        </w:rPr>
      </w:pPr>
      <w:r w:rsidRPr="00E24274">
        <w:rPr>
          <w:rFonts w:ascii="Times New Roman" w:hAnsi="Times New Roman"/>
          <w:sz w:val="24"/>
          <w:szCs w:val="24"/>
        </w:rPr>
        <w:t>1. Przepis ten stanowi implementację art. 8 dyrektywy CRM (wraz z odnoszącymi się do niego motywami 22 i 23 preambuły) oraz stanow</w:t>
      </w:r>
      <w:r w:rsidR="00144B0B">
        <w:rPr>
          <w:rFonts w:ascii="Times New Roman" w:hAnsi="Times New Roman"/>
          <w:sz w:val="24"/>
          <w:szCs w:val="24"/>
        </w:rPr>
        <w:t>i nawiązanie do art. 11 Prawa o </w:t>
      </w:r>
      <w:r w:rsidRPr="00E24274">
        <w:rPr>
          <w:rFonts w:ascii="Times New Roman" w:hAnsi="Times New Roman"/>
          <w:sz w:val="24"/>
          <w:szCs w:val="24"/>
        </w:rPr>
        <w:t>stowarzyszeniach. Przepis służy z</w:t>
      </w:r>
      <w:r w:rsidR="00004828" w:rsidRPr="00E24274">
        <w:rPr>
          <w:rFonts w:ascii="Times New Roman" w:hAnsi="Times New Roman"/>
          <w:sz w:val="24"/>
          <w:szCs w:val="24"/>
        </w:rPr>
        <w:t>apewnieniu w praktyce samorządn</w:t>
      </w:r>
      <w:r w:rsidRPr="00E24274">
        <w:rPr>
          <w:rFonts w:ascii="Times New Roman" w:hAnsi="Times New Roman"/>
          <w:sz w:val="24"/>
          <w:szCs w:val="24"/>
        </w:rPr>
        <w:t>ego charakteru organizacji, w której decydujący głos w najważniejszych sprawach powinien należeć do jej członków. Zasadę tę umacnia wprost zdanie drugie ustępu pierwszego, które przesądza, że kompetencja do podejmowania decyzji przez inne organy organizacji musi wynikać wyraźnie z jej statutu, zatwierdzanego zgodnie z art. 17 pkt</w:t>
      </w:r>
      <w:r w:rsidR="00004828" w:rsidRPr="00E24274">
        <w:rPr>
          <w:rFonts w:ascii="Times New Roman" w:hAnsi="Times New Roman"/>
          <w:sz w:val="24"/>
          <w:szCs w:val="24"/>
        </w:rPr>
        <w:t xml:space="preserve"> 1 projektu przez walne zebranie</w:t>
      </w:r>
      <w:r w:rsidRPr="00E24274">
        <w:rPr>
          <w:rFonts w:ascii="Times New Roman" w:hAnsi="Times New Roman"/>
          <w:sz w:val="24"/>
          <w:szCs w:val="24"/>
        </w:rPr>
        <w:t xml:space="preserve"> członków. Tego rodzaju przekazanie kompetencji powinno mieć charakter wyjątku od zasady umożliwiającej członk</w:t>
      </w:r>
      <w:r w:rsidR="00144B0B">
        <w:rPr>
          <w:rFonts w:ascii="Times New Roman" w:hAnsi="Times New Roman"/>
          <w:sz w:val="24"/>
          <w:szCs w:val="24"/>
        </w:rPr>
        <w:t>om organizacji uczestniczenie w </w:t>
      </w:r>
      <w:r w:rsidRPr="00E24274">
        <w:rPr>
          <w:rFonts w:ascii="Times New Roman" w:hAnsi="Times New Roman"/>
          <w:sz w:val="24"/>
          <w:szCs w:val="24"/>
        </w:rPr>
        <w:t>procesie podejmowania najważniejszych dotyczących jej decyzji. Zabezpieczeniem kompetencji walnego zebrania członków (lub zebrania delegatów), a tym samym członków organizacji w tym zakresie, wprowadzonym w wyniku analizy pojawiającej się praktyki niektórych organizacji zbiorowego zarządzania, jest sankcja nieważności postanowień statutu, które przyznawałyby lub domniemywały ogólną kompetencję do podejmowania decyzji w ramach organizacji innemu jej organowi niż walne</w:t>
      </w:r>
      <w:r w:rsidR="00C96A81" w:rsidRPr="00E24274">
        <w:rPr>
          <w:rFonts w:ascii="Times New Roman" w:hAnsi="Times New Roman"/>
          <w:sz w:val="24"/>
          <w:szCs w:val="24"/>
        </w:rPr>
        <w:t>mu</w:t>
      </w:r>
      <w:r w:rsidR="00850534" w:rsidRPr="00E24274">
        <w:rPr>
          <w:rFonts w:ascii="Times New Roman" w:hAnsi="Times New Roman"/>
          <w:sz w:val="24"/>
          <w:szCs w:val="24"/>
        </w:rPr>
        <w:t xml:space="preserve"> </w:t>
      </w:r>
      <w:r w:rsidRPr="00E24274">
        <w:rPr>
          <w:rFonts w:ascii="Times New Roman" w:hAnsi="Times New Roman"/>
          <w:sz w:val="24"/>
          <w:szCs w:val="24"/>
        </w:rPr>
        <w:t>zebraniu członków</w:t>
      </w:r>
      <w:r w:rsidR="00012B2E" w:rsidRPr="00E24274">
        <w:rPr>
          <w:rFonts w:ascii="Times New Roman" w:hAnsi="Times New Roman"/>
          <w:sz w:val="24"/>
          <w:szCs w:val="24"/>
        </w:rPr>
        <w:t xml:space="preserve"> lub zebraniu delegatów</w:t>
      </w:r>
      <w:r w:rsidRPr="00E24274">
        <w:rPr>
          <w:rFonts w:ascii="Times New Roman" w:hAnsi="Times New Roman"/>
          <w:sz w:val="24"/>
          <w:szCs w:val="24"/>
        </w:rPr>
        <w:t>.</w:t>
      </w:r>
    </w:p>
    <w:p w:rsidR="00D04546" w:rsidRPr="00E24274" w:rsidRDefault="00D04546"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2. Ust. 2 określa, kto jest uprawniony do brania udzia</w:t>
      </w:r>
      <w:r w:rsidR="00144B0B">
        <w:rPr>
          <w:rFonts w:ascii="Times New Roman" w:hAnsi="Times New Roman"/>
          <w:sz w:val="24"/>
          <w:szCs w:val="24"/>
        </w:rPr>
        <w:t>łu w walnym zebraniu członków i </w:t>
      </w:r>
      <w:r w:rsidRPr="00E24274">
        <w:rPr>
          <w:rFonts w:ascii="Times New Roman" w:hAnsi="Times New Roman"/>
          <w:sz w:val="24"/>
          <w:szCs w:val="24"/>
        </w:rPr>
        <w:t xml:space="preserve">głosowania na nim, a więc podejmowania najistotniejszych decyzji dotyczących zbiorowego zarządzania, w tym relacji organizacji z uprawnionymi, użytkownikami </w:t>
      </w:r>
      <w:r w:rsidRPr="00E24274">
        <w:rPr>
          <w:rFonts w:ascii="Times New Roman" w:hAnsi="Times New Roman"/>
          <w:sz w:val="24"/>
          <w:szCs w:val="24"/>
        </w:rPr>
        <w:lastRenderedPageBreak/>
        <w:t xml:space="preserve">oraz zasad wykorzystywania przychodów z praw. Uprawnienie takie co do zasady powinno przysługiwać </w:t>
      </w:r>
      <w:r w:rsidR="00850534" w:rsidRPr="00E24274">
        <w:rPr>
          <w:rFonts w:ascii="Times New Roman" w:hAnsi="Times New Roman"/>
          <w:sz w:val="24"/>
          <w:szCs w:val="24"/>
        </w:rPr>
        <w:t xml:space="preserve">członkom organizacji zbiorowego zarządzania. </w:t>
      </w:r>
      <w:r w:rsidRPr="00E24274">
        <w:rPr>
          <w:rFonts w:ascii="Times New Roman" w:hAnsi="Times New Roman"/>
          <w:sz w:val="24"/>
          <w:szCs w:val="24"/>
        </w:rPr>
        <w:t xml:space="preserve">Tym samym uprawnienie wynikające z ust. 2 pozwala na realizację zasady samorządności organizacji w praktyce, opierając się przy tym </w:t>
      </w:r>
      <w:r w:rsidR="001665DF" w:rsidRPr="00E24274">
        <w:rPr>
          <w:rFonts w:ascii="Times New Roman" w:hAnsi="Times New Roman"/>
          <w:sz w:val="24"/>
          <w:szCs w:val="24"/>
        </w:rPr>
        <w:t xml:space="preserve">na </w:t>
      </w:r>
      <w:r w:rsidRPr="00E24274">
        <w:rPr>
          <w:rFonts w:ascii="Times New Roman" w:hAnsi="Times New Roman"/>
          <w:sz w:val="24"/>
          <w:szCs w:val="24"/>
        </w:rPr>
        <w:t xml:space="preserve">stabilnym, racjonalnym i </w:t>
      </w:r>
      <w:r w:rsidR="00850534" w:rsidRPr="00E24274">
        <w:rPr>
          <w:rFonts w:ascii="Times New Roman" w:hAnsi="Times New Roman"/>
          <w:sz w:val="24"/>
          <w:szCs w:val="24"/>
        </w:rPr>
        <w:t xml:space="preserve">łatwym </w:t>
      </w:r>
      <w:r w:rsidRPr="00E24274">
        <w:rPr>
          <w:rFonts w:ascii="Times New Roman" w:hAnsi="Times New Roman"/>
          <w:sz w:val="24"/>
          <w:szCs w:val="24"/>
        </w:rPr>
        <w:t>do zweryfikowania kryterium</w:t>
      </w:r>
      <w:r w:rsidR="001665DF" w:rsidRPr="00E24274">
        <w:rPr>
          <w:rFonts w:ascii="Times New Roman" w:hAnsi="Times New Roman"/>
          <w:sz w:val="24"/>
          <w:szCs w:val="24"/>
        </w:rPr>
        <w:t>.</w:t>
      </w:r>
    </w:p>
    <w:p w:rsidR="00850534" w:rsidRPr="00E24274" w:rsidRDefault="00D04546"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 xml:space="preserve">3. </w:t>
      </w:r>
      <w:r w:rsidR="00850534" w:rsidRPr="00E24274">
        <w:rPr>
          <w:rFonts w:ascii="Times New Roman" w:hAnsi="Times New Roman"/>
          <w:sz w:val="24"/>
          <w:szCs w:val="24"/>
        </w:rPr>
        <w:t>Ust. 3 ustanawia wyjątek od podstawowej zasady sformułowanej w ust. 2, ograniczając prawo do decydowania w kwes</w:t>
      </w:r>
      <w:r w:rsidR="00144B0B">
        <w:rPr>
          <w:rFonts w:ascii="Times New Roman" w:hAnsi="Times New Roman"/>
          <w:sz w:val="24"/>
          <w:szCs w:val="24"/>
        </w:rPr>
        <w:t>tiach bezpośrednio związanych z </w:t>
      </w:r>
      <w:r w:rsidR="00850534" w:rsidRPr="00E24274">
        <w:rPr>
          <w:rFonts w:ascii="Times New Roman" w:hAnsi="Times New Roman"/>
          <w:sz w:val="24"/>
          <w:szCs w:val="24"/>
        </w:rPr>
        <w:t>określeniem zasad podziału</w:t>
      </w:r>
      <w:r w:rsidR="00906E73" w:rsidRPr="00E24274">
        <w:rPr>
          <w:rFonts w:ascii="Times New Roman" w:hAnsi="Times New Roman"/>
          <w:sz w:val="24"/>
          <w:szCs w:val="24"/>
        </w:rPr>
        <w:t>,</w:t>
      </w:r>
      <w:r w:rsidR="00850534" w:rsidRPr="00E24274">
        <w:rPr>
          <w:rFonts w:ascii="Times New Roman" w:hAnsi="Times New Roman"/>
          <w:sz w:val="24"/>
          <w:szCs w:val="24"/>
        </w:rPr>
        <w:t xml:space="preserve"> wypłaty</w:t>
      </w:r>
      <w:r w:rsidR="00906E73" w:rsidRPr="00E24274">
        <w:rPr>
          <w:rFonts w:ascii="Times New Roman" w:hAnsi="Times New Roman"/>
          <w:sz w:val="24"/>
          <w:szCs w:val="24"/>
        </w:rPr>
        <w:t xml:space="preserve"> oraz zarządzania</w:t>
      </w:r>
      <w:r w:rsidR="00850534" w:rsidRPr="00E24274">
        <w:rPr>
          <w:rFonts w:ascii="Times New Roman" w:hAnsi="Times New Roman"/>
          <w:sz w:val="24"/>
          <w:szCs w:val="24"/>
        </w:rPr>
        <w:t xml:space="preserve"> przychod</w:t>
      </w:r>
      <w:r w:rsidR="00906E73" w:rsidRPr="00E24274">
        <w:rPr>
          <w:rFonts w:ascii="Times New Roman" w:hAnsi="Times New Roman"/>
          <w:sz w:val="24"/>
          <w:szCs w:val="24"/>
        </w:rPr>
        <w:t>ami</w:t>
      </w:r>
      <w:r w:rsidR="00850534" w:rsidRPr="00E24274">
        <w:rPr>
          <w:rFonts w:ascii="Times New Roman" w:hAnsi="Times New Roman"/>
          <w:sz w:val="24"/>
          <w:szCs w:val="24"/>
        </w:rPr>
        <w:t xml:space="preserve"> z praw</w:t>
      </w:r>
      <w:r w:rsidR="0076253E" w:rsidRPr="00E24274">
        <w:rPr>
          <w:rFonts w:ascii="Times New Roman" w:hAnsi="Times New Roman"/>
          <w:sz w:val="24"/>
          <w:szCs w:val="24"/>
        </w:rPr>
        <w:t xml:space="preserve"> do uprawnionych</w:t>
      </w:r>
      <w:r w:rsidR="00850534" w:rsidRPr="00E24274">
        <w:rPr>
          <w:rFonts w:ascii="Times New Roman" w:hAnsi="Times New Roman"/>
          <w:sz w:val="24"/>
          <w:szCs w:val="24"/>
        </w:rPr>
        <w:t xml:space="preserve">, którzy zawarli z organizacją umowy o zbiorowe zarządzanie. </w:t>
      </w:r>
      <w:r w:rsidR="00906E73" w:rsidRPr="00E24274">
        <w:rPr>
          <w:rFonts w:ascii="Times New Roman" w:hAnsi="Times New Roman"/>
          <w:sz w:val="24"/>
          <w:szCs w:val="24"/>
        </w:rPr>
        <w:t>Tylko takie podmioty będą uprawnione do zatwierdzania podstawowych aktów wewnętrznych organizacji dotyczących zasad podziału i wypłaty przychodów z praw (regulamin repartycji – art. 17 pkt 4 projektu), zasad zarządzania nimi do czasu ich wypłaty (regulamin inwestycyjny – art. 17 pkt 6 projektu) or</w:t>
      </w:r>
      <w:r w:rsidR="00144B0B">
        <w:rPr>
          <w:rFonts w:ascii="Times New Roman" w:hAnsi="Times New Roman"/>
          <w:sz w:val="24"/>
          <w:szCs w:val="24"/>
        </w:rPr>
        <w:t>az zasad dokonywania potrąceń z </w:t>
      </w:r>
      <w:r w:rsidR="00906E73" w:rsidRPr="00E24274">
        <w:rPr>
          <w:rFonts w:ascii="Times New Roman" w:hAnsi="Times New Roman"/>
          <w:sz w:val="24"/>
          <w:szCs w:val="24"/>
        </w:rPr>
        <w:t>przychodów z praw (regulamin repartycji), w tym potrąceń na cele działalności socjalnej, edukacyjnej i kulturalnej (regulamin</w:t>
      </w:r>
      <w:r w:rsidR="0076253E" w:rsidRPr="00E24274">
        <w:rPr>
          <w:rFonts w:ascii="Times New Roman" w:hAnsi="Times New Roman"/>
          <w:sz w:val="24"/>
          <w:szCs w:val="24"/>
        </w:rPr>
        <w:t>y</w:t>
      </w:r>
      <w:r w:rsidR="00906E73" w:rsidRPr="00E24274">
        <w:rPr>
          <w:rFonts w:ascii="Times New Roman" w:hAnsi="Times New Roman"/>
          <w:sz w:val="24"/>
          <w:szCs w:val="24"/>
        </w:rPr>
        <w:t xml:space="preserve"> </w:t>
      </w:r>
      <w:r w:rsidR="0076253E" w:rsidRPr="00E24274">
        <w:rPr>
          <w:rFonts w:ascii="Times New Roman" w:hAnsi="Times New Roman"/>
          <w:sz w:val="24"/>
          <w:szCs w:val="24"/>
        </w:rPr>
        <w:t>określone</w:t>
      </w:r>
      <w:r w:rsidR="00906E73" w:rsidRPr="00E24274">
        <w:rPr>
          <w:rFonts w:ascii="Times New Roman" w:hAnsi="Times New Roman"/>
          <w:sz w:val="24"/>
          <w:szCs w:val="24"/>
        </w:rPr>
        <w:t xml:space="preserve"> w art. 17 pkt 5 </w:t>
      </w:r>
      <w:r w:rsidR="00141C93" w:rsidRPr="00E24274">
        <w:rPr>
          <w:rFonts w:ascii="Times New Roman" w:hAnsi="Times New Roman"/>
          <w:sz w:val="24"/>
          <w:szCs w:val="24"/>
        </w:rPr>
        <w:t xml:space="preserve">i 7 </w:t>
      </w:r>
      <w:r w:rsidR="00906E73" w:rsidRPr="00E24274">
        <w:rPr>
          <w:rFonts w:ascii="Times New Roman" w:hAnsi="Times New Roman"/>
          <w:sz w:val="24"/>
          <w:szCs w:val="24"/>
        </w:rPr>
        <w:t>projektu).</w:t>
      </w:r>
      <w:r w:rsidR="007C2C33" w:rsidRPr="00E24274">
        <w:rPr>
          <w:rFonts w:ascii="Times New Roman" w:hAnsi="Times New Roman"/>
          <w:sz w:val="24"/>
          <w:szCs w:val="24"/>
        </w:rPr>
        <w:t xml:space="preserve"> </w:t>
      </w:r>
      <w:r w:rsidR="00850534" w:rsidRPr="00E24274">
        <w:rPr>
          <w:rFonts w:ascii="Times New Roman" w:hAnsi="Times New Roman"/>
          <w:sz w:val="24"/>
          <w:szCs w:val="24"/>
        </w:rPr>
        <w:t xml:space="preserve">W ten sposób w </w:t>
      </w:r>
      <w:r w:rsidR="00906E73" w:rsidRPr="00E24274">
        <w:rPr>
          <w:rFonts w:ascii="Times New Roman" w:hAnsi="Times New Roman"/>
          <w:sz w:val="24"/>
          <w:szCs w:val="24"/>
        </w:rPr>
        <w:t xml:space="preserve">sprawie przychodów z praw </w:t>
      </w:r>
      <w:r w:rsidR="00850534" w:rsidRPr="00E24274">
        <w:rPr>
          <w:rFonts w:ascii="Times New Roman" w:hAnsi="Times New Roman"/>
          <w:sz w:val="24"/>
          <w:szCs w:val="24"/>
        </w:rPr>
        <w:t>decydować będą</w:t>
      </w:r>
      <w:r w:rsidR="00906E73" w:rsidRPr="00E24274">
        <w:rPr>
          <w:rFonts w:ascii="Times New Roman" w:hAnsi="Times New Roman"/>
          <w:sz w:val="24"/>
          <w:szCs w:val="24"/>
        </w:rPr>
        <w:t xml:space="preserve"> wyłącznie</w:t>
      </w:r>
      <w:r w:rsidR="00850534" w:rsidRPr="00E24274">
        <w:rPr>
          <w:rFonts w:ascii="Times New Roman" w:hAnsi="Times New Roman"/>
          <w:sz w:val="24"/>
          <w:szCs w:val="24"/>
        </w:rPr>
        <w:t xml:space="preserve"> podmioty, których prawa są </w:t>
      </w:r>
      <w:r w:rsidR="00906E73" w:rsidRPr="00E24274">
        <w:rPr>
          <w:rFonts w:ascii="Times New Roman" w:hAnsi="Times New Roman"/>
          <w:sz w:val="24"/>
          <w:szCs w:val="24"/>
        </w:rPr>
        <w:t xml:space="preserve">faktycznie </w:t>
      </w:r>
      <w:r w:rsidR="00850534" w:rsidRPr="00E24274">
        <w:rPr>
          <w:rFonts w:ascii="Times New Roman" w:hAnsi="Times New Roman"/>
          <w:sz w:val="24"/>
          <w:szCs w:val="24"/>
        </w:rPr>
        <w:t>zbiorowo zarządzane przez organizację</w:t>
      </w:r>
      <w:r w:rsidR="00906E73" w:rsidRPr="00E24274">
        <w:rPr>
          <w:rFonts w:ascii="Times New Roman" w:hAnsi="Times New Roman"/>
          <w:sz w:val="24"/>
          <w:szCs w:val="24"/>
        </w:rPr>
        <w:t xml:space="preserve"> i których e</w:t>
      </w:r>
      <w:r w:rsidR="00850534" w:rsidRPr="00E24274">
        <w:rPr>
          <w:rFonts w:ascii="Times New Roman" w:hAnsi="Times New Roman"/>
          <w:sz w:val="24"/>
          <w:szCs w:val="24"/>
        </w:rPr>
        <w:t>ksploat</w:t>
      </w:r>
      <w:r w:rsidR="00906E73" w:rsidRPr="00E24274">
        <w:rPr>
          <w:rFonts w:ascii="Times New Roman" w:hAnsi="Times New Roman"/>
          <w:sz w:val="24"/>
          <w:szCs w:val="24"/>
        </w:rPr>
        <w:t>a</w:t>
      </w:r>
      <w:r w:rsidR="00850534" w:rsidRPr="00E24274">
        <w:rPr>
          <w:rFonts w:ascii="Times New Roman" w:hAnsi="Times New Roman"/>
          <w:sz w:val="24"/>
          <w:szCs w:val="24"/>
        </w:rPr>
        <w:t>cja</w:t>
      </w:r>
      <w:r w:rsidR="00906E73" w:rsidRPr="00E24274">
        <w:rPr>
          <w:rFonts w:ascii="Times New Roman" w:hAnsi="Times New Roman"/>
          <w:sz w:val="24"/>
          <w:szCs w:val="24"/>
        </w:rPr>
        <w:t xml:space="preserve"> pozwala organizacji na pobieranie takich przychodów. Tego rodzaju rozwiązanie powinno </w:t>
      </w:r>
      <w:r w:rsidR="00D4126E" w:rsidRPr="00E24274">
        <w:rPr>
          <w:rFonts w:ascii="Times New Roman" w:hAnsi="Times New Roman"/>
          <w:sz w:val="24"/>
          <w:szCs w:val="24"/>
        </w:rPr>
        <w:t xml:space="preserve">dodatkowo </w:t>
      </w:r>
      <w:r w:rsidR="00906E73" w:rsidRPr="00E24274">
        <w:rPr>
          <w:rFonts w:ascii="Times New Roman" w:hAnsi="Times New Roman"/>
          <w:sz w:val="24"/>
          <w:szCs w:val="24"/>
        </w:rPr>
        <w:t>skłonić członków organizacji, którzy nie zawarli z nią umów o zbiorowe zarządzanie, do podjęcia takiej decyzji w przyszłości.</w:t>
      </w:r>
    </w:p>
    <w:p w:rsidR="00D04546" w:rsidRPr="00E24274" w:rsidRDefault="00850534" w:rsidP="00E24274">
      <w:pPr>
        <w:spacing w:before="120" w:after="0" w:line="360" w:lineRule="auto"/>
        <w:jc w:val="both"/>
        <w:rPr>
          <w:rFonts w:ascii="Times New Roman" w:hAnsi="Times New Roman"/>
          <w:b/>
          <w:sz w:val="24"/>
          <w:szCs w:val="24"/>
        </w:rPr>
      </w:pPr>
      <w:r w:rsidRPr="00E24274">
        <w:rPr>
          <w:rFonts w:ascii="Times New Roman" w:hAnsi="Times New Roman"/>
          <w:sz w:val="24"/>
          <w:szCs w:val="24"/>
        </w:rPr>
        <w:t xml:space="preserve">4. </w:t>
      </w:r>
      <w:r w:rsidR="00D04546" w:rsidRPr="00E24274">
        <w:rPr>
          <w:rFonts w:ascii="Times New Roman" w:hAnsi="Times New Roman"/>
          <w:sz w:val="24"/>
          <w:szCs w:val="24"/>
        </w:rPr>
        <w:t xml:space="preserve">Ust. </w:t>
      </w:r>
      <w:r w:rsidR="00906E73" w:rsidRPr="00E24274">
        <w:rPr>
          <w:rFonts w:ascii="Times New Roman" w:hAnsi="Times New Roman"/>
          <w:sz w:val="24"/>
          <w:szCs w:val="24"/>
        </w:rPr>
        <w:t xml:space="preserve">4 </w:t>
      </w:r>
      <w:r w:rsidR="00D04546" w:rsidRPr="00E24274">
        <w:rPr>
          <w:rFonts w:ascii="Times New Roman" w:hAnsi="Times New Roman"/>
          <w:sz w:val="24"/>
          <w:szCs w:val="24"/>
        </w:rPr>
        <w:t xml:space="preserve">stanowi implementację art. 7 ust. 2 dyrektywy CRM, który umożliwia państwom członkowskim zastosowanie wobec uprawnionych niebędących członkami organizacji innych regulacji niż obligatoryjnie się do nich odnoszące przepisy wskazane w treści art. 7 ust. 1 </w:t>
      </w:r>
      <w:r w:rsidR="0076253E" w:rsidRPr="00E24274">
        <w:rPr>
          <w:rFonts w:ascii="Times New Roman" w:hAnsi="Times New Roman"/>
          <w:sz w:val="24"/>
          <w:szCs w:val="24"/>
        </w:rPr>
        <w:t xml:space="preserve">tej </w:t>
      </w:r>
      <w:r w:rsidR="00D04546" w:rsidRPr="00E24274">
        <w:rPr>
          <w:rFonts w:ascii="Times New Roman" w:hAnsi="Times New Roman"/>
          <w:sz w:val="24"/>
          <w:szCs w:val="24"/>
        </w:rPr>
        <w:t>dyrektywy. Projektodawcy postanowili skorzystać z tej możliwości, kierując się tym, że niektóre z organ</w:t>
      </w:r>
      <w:r w:rsidR="00144B0B">
        <w:rPr>
          <w:rFonts w:ascii="Times New Roman" w:hAnsi="Times New Roman"/>
          <w:sz w:val="24"/>
          <w:szCs w:val="24"/>
        </w:rPr>
        <w:t>izacji zbiorowego zarządzania w </w:t>
      </w:r>
      <w:r w:rsidR="00D04546" w:rsidRPr="00E24274">
        <w:rPr>
          <w:rFonts w:ascii="Times New Roman" w:hAnsi="Times New Roman"/>
          <w:sz w:val="24"/>
          <w:szCs w:val="24"/>
        </w:rPr>
        <w:t xml:space="preserve">Polsce reprezentują prawa wielu uprawnionych, którzy nie decydują się na ubieganie się o członkostwo, a </w:t>
      </w:r>
      <w:r w:rsidR="00653749" w:rsidRPr="00E24274">
        <w:rPr>
          <w:rFonts w:ascii="Times New Roman" w:hAnsi="Times New Roman"/>
          <w:sz w:val="24"/>
          <w:szCs w:val="24"/>
        </w:rPr>
        <w:t>jednocześnie zawierają z organizacja</w:t>
      </w:r>
      <w:r w:rsidR="0076253E" w:rsidRPr="00E24274">
        <w:rPr>
          <w:rFonts w:ascii="Times New Roman" w:hAnsi="Times New Roman"/>
          <w:sz w:val="24"/>
          <w:szCs w:val="24"/>
        </w:rPr>
        <w:t>mi umowy o zbiorowe zarządzanie</w:t>
      </w:r>
      <w:r w:rsidR="00D04546" w:rsidRPr="00E24274">
        <w:rPr>
          <w:rFonts w:ascii="Times New Roman" w:hAnsi="Times New Roman"/>
          <w:sz w:val="24"/>
          <w:szCs w:val="24"/>
        </w:rPr>
        <w:t xml:space="preserve">. W takiej sytuacji, idąc za duchem dyrektywy, uprawnieni niebędący członkami organizacji powinni, o ile taka wola zostanie wyrażona w statucie, mieć wpływ na zasady </w:t>
      </w:r>
      <w:r w:rsidR="00653749" w:rsidRPr="00E24274">
        <w:rPr>
          <w:rFonts w:ascii="Times New Roman" w:hAnsi="Times New Roman"/>
          <w:sz w:val="24"/>
          <w:szCs w:val="24"/>
        </w:rPr>
        <w:t xml:space="preserve">bezpośrednio związane z </w:t>
      </w:r>
      <w:r w:rsidR="00D04546" w:rsidRPr="00E24274">
        <w:rPr>
          <w:rFonts w:ascii="Times New Roman" w:hAnsi="Times New Roman"/>
          <w:sz w:val="24"/>
          <w:szCs w:val="24"/>
        </w:rPr>
        <w:t>wykonywani</w:t>
      </w:r>
      <w:r w:rsidR="00653749" w:rsidRPr="00E24274">
        <w:rPr>
          <w:rFonts w:ascii="Times New Roman" w:hAnsi="Times New Roman"/>
          <w:sz w:val="24"/>
          <w:szCs w:val="24"/>
        </w:rPr>
        <w:t>em</w:t>
      </w:r>
      <w:r w:rsidR="00D04546" w:rsidRPr="00E24274">
        <w:rPr>
          <w:rFonts w:ascii="Times New Roman" w:hAnsi="Times New Roman"/>
          <w:sz w:val="24"/>
          <w:szCs w:val="24"/>
        </w:rPr>
        <w:t xml:space="preserve"> przez organizację zbiorowego zarządzania ich prawami. </w:t>
      </w:r>
      <w:r w:rsidR="0076253E" w:rsidRPr="00E24274">
        <w:rPr>
          <w:rFonts w:ascii="Times New Roman" w:hAnsi="Times New Roman"/>
          <w:sz w:val="24"/>
          <w:szCs w:val="24"/>
        </w:rPr>
        <w:t>Powinni</w:t>
      </w:r>
      <w:r w:rsidR="00653749" w:rsidRPr="00E24274">
        <w:rPr>
          <w:rFonts w:ascii="Times New Roman" w:hAnsi="Times New Roman"/>
          <w:sz w:val="24"/>
          <w:szCs w:val="24"/>
        </w:rPr>
        <w:t xml:space="preserve"> więc mieć możliwość decydowania</w:t>
      </w:r>
      <w:r w:rsidR="00144B0B">
        <w:rPr>
          <w:rFonts w:ascii="Times New Roman" w:hAnsi="Times New Roman"/>
          <w:sz w:val="24"/>
          <w:szCs w:val="24"/>
        </w:rPr>
        <w:t xml:space="preserve"> w </w:t>
      </w:r>
      <w:r w:rsidR="00D4126E" w:rsidRPr="00E24274">
        <w:rPr>
          <w:rFonts w:ascii="Times New Roman" w:hAnsi="Times New Roman"/>
          <w:sz w:val="24"/>
          <w:szCs w:val="24"/>
        </w:rPr>
        <w:t>zakresie spraw określonych w ust</w:t>
      </w:r>
      <w:r w:rsidR="0076253E" w:rsidRPr="00E24274">
        <w:rPr>
          <w:rFonts w:ascii="Times New Roman" w:hAnsi="Times New Roman"/>
          <w:sz w:val="24"/>
          <w:szCs w:val="24"/>
        </w:rPr>
        <w:t>.</w:t>
      </w:r>
      <w:r w:rsidR="00D4126E" w:rsidRPr="00E24274">
        <w:rPr>
          <w:rFonts w:ascii="Times New Roman" w:hAnsi="Times New Roman"/>
          <w:sz w:val="24"/>
          <w:szCs w:val="24"/>
        </w:rPr>
        <w:t xml:space="preserve"> 3</w:t>
      </w:r>
      <w:r w:rsidR="0076253E" w:rsidRPr="00E24274">
        <w:rPr>
          <w:rFonts w:ascii="Times New Roman" w:hAnsi="Times New Roman"/>
          <w:sz w:val="24"/>
          <w:szCs w:val="24"/>
        </w:rPr>
        <w:t>, o ile statut</w:t>
      </w:r>
      <w:r w:rsidR="00653749" w:rsidRPr="00E24274">
        <w:rPr>
          <w:rFonts w:ascii="Times New Roman" w:hAnsi="Times New Roman"/>
          <w:sz w:val="24"/>
          <w:szCs w:val="24"/>
        </w:rPr>
        <w:t xml:space="preserve"> organizacji będzie </w:t>
      </w:r>
      <w:r w:rsidR="00D4126E" w:rsidRPr="00E24274">
        <w:rPr>
          <w:rFonts w:ascii="Times New Roman" w:hAnsi="Times New Roman"/>
          <w:sz w:val="24"/>
          <w:szCs w:val="24"/>
        </w:rPr>
        <w:t>taką możliwość przewidywał.</w:t>
      </w:r>
      <w:r w:rsidR="0076253E" w:rsidRPr="00E24274">
        <w:rPr>
          <w:rFonts w:ascii="Times New Roman" w:hAnsi="Times New Roman"/>
          <w:sz w:val="24"/>
          <w:szCs w:val="24"/>
        </w:rPr>
        <w:t xml:space="preserve"> </w:t>
      </w:r>
      <w:r w:rsidR="00D04546" w:rsidRPr="00E24274">
        <w:rPr>
          <w:rFonts w:ascii="Times New Roman" w:hAnsi="Times New Roman"/>
          <w:sz w:val="24"/>
          <w:szCs w:val="24"/>
        </w:rPr>
        <w:t xml:space="preserve">Projektowany przepis zapewnia takim uprawnionym możliwość </w:t>
      </w:r>
      <w:r w:rsidR="00D04546" w:rsidRPr="00E24274">
        <w:rPr>
          <w:rFonts w:ascii="Times New Roman" w:hAnsi="Times New Roman"/>
          <w:sz w:val="24"/>
          <w:szCs w:val="24"/>
        </w:rPr>
        <w:lastRenderedPageBreak/>
        <w:t>współdecydowania – w ramach walnego zebrania członków – o wszystkich czynnościach, które są bezpośrednio związane z wykonywaniem zbiorowego zarządzania, a także uwzględnienia tej grupy</w:t>
      </w:r>
      <w:r w:rsidR="0098426D" w:rsidRPr="00E24274">
        <w:rPr>
          <w:rFonts w:ascii="Times New Roman" w:hAnsi="Times New Roman"/>
          <w:sz w:val="24"/>
          <w:szCs w:val="24"/>
        </w:rPr>
        <w:t xml:space="preserve"> – </w:t>
      </w:r>
      <w:r w:rsidR="00144B0B">
        <w:rPr>
          <w:rFonts w:ascii="Times New Roman" w:hAnsi="Times New Roman"/>
          <w:sz w:val="24"/>
          <w:szCs w:val="24"/>
        </w:rPr>
        <w:t>przy zachowaniu sprawiedliwej i </w:t>
      </w:r>
      <w:r w:rsidR="0098426D" w:rsidRPr="00E24274">
        <w:rPr>
          <w:rFonts w:ascii="Times New Roman" w:hAnsi="Times New Roman"/>
          <w:sz w:val="24"/>
          <w:szCs w:val="24"/>
        </w:rPr>
        <w:t>wyważonej reprezentacji różnych kategorii uprawnionych –</w:t>
      </w:r>
      <w:r w:rsidR="00D04546" w:rsidRPr="00E24274">
        <w:rPr>
          <w:rFonts w:ascii="Times New Roman" w:hAnsi="Times New Roman"/>
          <w:sz w:val="24"/>
          <w:szCs w:val="24"/>
        </w:rPr>
        <w:t xml:space="preserve"> w ramach procedur powołania walnego zebrania członków oraz wykonywania na nim uprawnień przez pełnomocnika.</w:t>
      </w:r>
    </w:p>
    <w:p w:rsidR="00D04546" w:rsidRPr="00E24274" w:rsidRDefault="00D04546" w:rsidP="00E24274">
      <w:pPr>
        <w:spacing w:before="120" w:after="0" w:line="360" w:lineRule="auto"/>
        <w:jc w:val="both"/>
        <w:rPr>
          <w:rFonts w:ascii="Times New Roman" w:hAnsi="Times New Roman"/>
          <w:b/>
          <w:sz w:val="24"/>
          <w:szCs w:val="24"/>
        </w:rPr>
      </w:pPr>
      <w:r w:rsidRPr="00E24274">
        <w:rPr>
          <w:rFonts w:ascii="Times New Roman" w:hAnsi="Times New Roman"/>
          <w:b/>
          <w:sz w:val="24"/>
          <w:szCs w:val="24"/>
        </w:rPr>
        <w:t>art. 16</w:t>
      </w:r>
    </w:p>
    <w:p w:rsidR="00D04546" w:rsidRPr="00E24274" w:rsidRDefault="00D04546"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 xml:space="preserve">1. Ust. 1 projektowanego przepisu pozwala organizacji – zgodnie z możliwością przyznaną państwom członkowskim w art. 8 ust. 11 dyrektywy CRM – na przesądzenie w statucie, że </w:t>
      </w:r>
      <w:r w:rsidR="0098426D" w:rsidRPr="00E24274">
        <w:rPr>
          <w:rFonts w:ascii="Times New Roman" w:hAnsi="Times New Roman"/>
          <w:sz w:val="24"/>
          <w:szCs w:val="24"/>
        </w:rPr>
        <w:t>najwyższą władzą w stowarzyszeniu</w:t>
      </w:r>
      <w:r w:rsidR="009D4EEF" w:rsidRPr="00E24274">
        <w:rPr>
          <w:rFonts w:ascii="Times New Roman" w:hAnsi="Times New Roman"/>
          <w:sz w:val="24"/>
          <w:szCs w:val="24"/>
        </w:rPr>
        <w:t>, zamiast walnego zebrania członków,</w:t>
      </w:r>
      <w:r w:rsidR="0098426D" w:rsidRPr="00E24274">
        <w:rPr>
          <w:rFonts w:ascii="Times New Roman" w:hAnsi="Times New Roman"/>
          <w:sz w:val="24"/>
          <w:szCs w:val="24"/>
        </w:rPr>
        <w:t xml:space="preserve"> jest zebranie delegatów albo że </w:t>
      </w:r>
      <w:r w:rsidR="009D4EEF" w:rsidRPr="00E24274">
        <w:rPr>
          <w:rFonts w:ascii="Times New Roman" w:hAnsi="Times New Roman"/>
          <w:sz w:val="24"/>
          <w:szCs w:val="24"/>
        </w:rPr>
        <w:t>walne zebranie</w:t>
      </w:r>
      <w:r w:rsidRPr="00E24274">
        <w:rPr>
          <w:rFonts w:ascii="Times New Roman" w:hAnsi="Times New Roman"/>
          <w:sz w:val="24"/>
          <w:szCs w:val="24"/>
        </w:rPr>
        <w:t xml:space="preserve"> członków może być zastąpione zebraniem delegatów. Uprawnienie takie winno przysługiwać organizacjom posiadającym relatywnie znaczną liczbę członków – niektóre z nich liczą ich nawet kilka tysięcy. Pozwoli to w praktyce na efektywne działanie najważniejszego organu organizacji przy ograniczeniu kosztów związanych z jego zwoływaniem w sytuacji, gdy zgodnie z art. 8 ust. 2 dyrektywy CRM oraz art. 18 projektu winno ono odbywać się przynajmniej raz w roku. Jednocześnie projekt nie narzuca w tym względzie obowiązku, pozostawiając decyzję członkom organizacji.</w:t>
      </w:r>
    </w:p>
    <w:p w:rsidR="00D04546" w:rsidRPr="00E24274" w:rsidRDefault="00D04546"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2. Ust. 2 utrzymuje w przypadku zebrania delegatów zasadę wyrażoną w art. 15 ust. 2 projektu wobec walnego zebrania członków</w:t>
      </w:r>
      <w:r w:rsidR="00121A68" w:rsidRPr="00E24274">
        <w:rPr>
          <w:rFonts w:ascii="Times New Roman" w:hAnsi="Times New Roman"/>
          <w:sz w:val="24"/>
          <w:szCs w:val="24"/>
        </w:rPr>
        <w:t>, uznając, że prawo wyboru delegatów winno przysługiwać członkom organizacji zbiorowego zarządzania podobnie jak prawo do udziału i głosowania na walnym zebraniu członków.</w:t>
      </w:r>
      <w:r w:rsidR="00695EEA" w:rsidRPr="00E24274">
        <w:rPr>
          <w:rFonts w:ascii="Times New Roman" w:hAnsi="Times New Roman"/>
          <w:sz w:val="24"/>
          <w:szCs w:val="24"/>
        </w:rPr>
        <w:t xml:space="preserve"> </w:t>
      </w:r>
      <w:r w:rsidR="00121A68" w:rsidRPr="00E24274">
        <w:rPr>
          <w:rFonts w:ascii="Times New Roman" w:hAnsi="Times New Roman"/>
          <w:sz w:val="24"/>
          <w:szCs w:val="24"/>
        </w:rPr>
        <w:t>U</w:t>
      </w:r>
      <w:r w:rsidRPr="00E24274">
        <w:rPr>
          <w:rFonts w:ascii="Times New Roman" w:hAnsi="Times New Roman"/>
          <w:sz w:val="24"/>
          <w:szCs w:val="24"/>
        </w:rPr>
        <w:t xml:space="preserve">wagi zawarte w uzasadnieniu do tego przepisu zachowują aktualność także w tym wypadku. Dodatkowo przepis przesądza, że delegatem może być </w:t>
      </w:r>
      <w:r w:rsidR="00121A68" w:rsidRPr="00E24274">
        <w:rPr>
          <w:rFonts w:ascii="Times New Roman" w:hAnsi="Times New Roman"/>
          <w:sz w:val="24"/>
          <w:szCs w:val="24"/>
        </w:rPr>
        <w:t xml:space="preserve">wybrany </w:t>
      </w:r>
      <w:r w:rsidRPr="00E24274">
        <w:rPr>
          <w:rFonts w:ascii="Times New Roman" w:hAnsi="Times New Roman"/>
          <w:sz w:val="24"/>
          <w:szCs w:val="24"/>
        </w:rPr>
        <w:t>każdy z członków organizacji.</w:t>
      </w:r>
    </w:p>
    <w:p w:rsidR="00D04546" w:rsidRPr="00E24274" w:rsidRDefault="00D04546"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3. Ust. 3 określa minimalną liczbę delegatów, którą musi liczyć zebranie delegatów organizacji, uzależniając ją od liczby członków organizacji</w:t>
      </w:r>
      <w:r w:rsidR="00121A68" w:rsidRPr="00E24274">
        <w:rPr>
          <w:rFonts w:ascii="Times New Roman" w:hAnsi="Times New Roman"/>
          <w:sz w:val="24"/>
          <w:szCs w:val="24"/>
        </w:rPr>
        <w:t>.</w:t>
      </w:r>
      <w:r w:rsidRPr="00E24274">
        <w:rPr>
          <w:rFonts w:ascii="Times New Roman" w:hAnsi="Times New Roman"/>
          <w:sz w:val="24"/>
          <w:szCs w:val="24"/>
        </w:rPr>
        <w:t xml:space="preserve"> Przyjęcie w tym przepisie widełek służy z jednej strony zapewnieniu, </w:t>
      </w:r>
      <w:r w:rsidR="00A833CD">
        <w:rPr>
          <w:rFonts w:ascii="Times New Roman" w:hAnsi="Times New Roman"/>
          <w:sz w:val="24"/>
          <w:szCs w:val="24"/>
        </w:rPr>
        <w:t>a</w:t>
      </w:r>
      <w:r w:rsidRPr="00E24274">
        <w:rPr>
          <w:rFonts w:ascii="Times New Roman" w:hAnsi="Times New Roman"/>
          <w:sz w:val="24"/>
          <w:szCs w:val="24"/>
        </w:rPr>
        <w:t xml:space="preserve">by zebranie delegatów miało reprezentatywny charakter dla danej organizacji, a z drugiej strony, </w:t>
      </w:r>
      <w:r w:rsidR="00A833CD">
        <w:rPr>
          <w:rFonts w:ascii="Times New Roman" w:hAnsi="Times New Roman"/>
          <w:sz w:val="24"/>
          <w:szCs w:val="24"/>
        </w:rPr>
        <w:t>a</w:t>
      </w:r>
      <w:r w:rsidRPr="00E24274">
        <w:rPr>
          <w:rFonts w:ascii="Times New Roman" w:hAnsi="Times New Roman"/>
          <w:sz w:val="24"/>
          <w:szCs w:val="24"/>
        </w:rPr>
        <w:t>by było zdolne do efektywnego działania i nie obciążało organizacji nadmiernymi obowiązkami organizacyjnymi i związanymi z nimi kosztami.</w:t>
      </w:r>
    </w:p>
    <w:p w:rsidR="00D04546" w:rsidRPr="00E24274" w:rsidRDefault="00D04546"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4. Ust. 4 stanowi implementację art. 8 ust. 11 lit.</w:t>
      </w:r>
      <w:r w:rsidR="00144B0B">
        <w:rPr>
          <w:rFonts w:ascii="Times New Roman" w:hAnsi="Times New Roman"/>
          <w:sz w:val="24"/>
          <w:szCs w:val="24"/>
        </w:rPr>
        <w:t xml:space="preserve"> a i b dyrektywy CRM, który – w </w:t>
      </w:r>
      <w:r w:rsidRPr="00E24274">
        <w:rPr>
          <w:rFonts w:ascii="Times New Roman" w:hAnsi="Times New Roman"/>
          <w:sz w:val="24"/>
          <w:szCs w:val="24"/>
        </w:rPr>
        <w:t xml:space="preserve">przypadku stworzenia przez państwo członkowskie możliwości zastąpienia walnego </w:t>
      </w:r>
      <w:r w:rsidRPr="00E24274">
        <w:rPr>
          <w:rFonts w:ascii="Times New Roman" w:hAnsi="Times New Roman"/>
          <w:sz w:val="24"/>
          <w:szCs w:val="24"/>
        </w:rPr>
        <w:lastRenderedPageBreak/>
        <w:t xml:space="preserve">zgromadzenia (walnego zebrania członków) przez zebranie delegatów – nakazuje, </w:t>
      </w:r>
      <w:r w:rsidR="00A833CD">
        <w:rPr>
          <w:rFonts w:ascii="Times New Roman" w:hAnsi="Times New Roman"/>
          <w:sz w:val="24"/>
          <w:szCs w:val="24"/>
        </w:rPr>
        <w:t>a</w:t>
      </w:r>
      <w:r w:rsidRPr="00E24274">
        <w:rPr>
          <w:rFonts w:ascii="Times New Roman" w:hAnsi="Times New Roman"/>
          <w:sz w:val="24"/>
          <w:szCs w:val="24"/>
        </w:rPr>
        <w:t xml:space="preserve">by zapewniony był odpowiedni i efektywny udział członków w procesie decyzyjnym oraz </w:t>
      </w:r>
      <w:r w:rsidR="00A833CD">
        <w:rPr>
          <w:rFonts w:ascii="Times New Roman" w:hAnsi="Times New Roman"/>
          <w:sz w:val="24"/>
          <w:szCs w:val="24"/>
        </w:rPr>
        <w:t>a</w:t>
      </w:r>
      <w:r w:rsidRPr="00E24274">
        <w:rPr>
          <w:rFonts w:ascii="Times New Roman" w:hAnsi="Times New Roman"/>
          <w:sz w:val="24"/>
          <w:szCs w:val="24"/>
        </w:rPr>
        <w:t>by poszczególne kategorie członków były reprezentowane w wyważony i sprawiedliwy sposób</w:t>
      </w:r>
      <w:r w:rsidR="008868B7" w:rsidRPr="00E24274">
        <w:rPr>
          <w:rFonts w:ascii="Times New Roman" w:hAnsi="Times New Roman"/>
          <w:sz w:val="24"/>
          <w:szCs w:val="24"/>
        </w:rPr>
        <w:t>.</w:t>
      </w:r>
      <w:r w:rsidRPr="00E24274">
        <w:rPr>
          <w:rFonts w:ascii="Times New Roman" w:hAnsi="Times New Roman"/>
          <w:sz w:val="24"/>
          <w:szCs w:val="24"/>
        </w:rPr>
        <w:t xml:space="preserve"> </w:t>
      </w:r>
      <w:r w:rsidR="00D4126E" w:rsidRPr="00E24274">
        <w:rPr>
          <w:rFonts w:ascii="Times New Roman" w:hAnsi="Times New Roman"/>
          <w:sz w:val="24"/>
          <w:szCs w:val="24"/>
        </w:rPr>
        <w:t>W ślad za stosownymi fragmentami preambuły dyrektywy CRM w treści ust. 4 doprecyzowano, że chodzi o członków, którzy należą do różnych kategorii uprawnionych w ramach organizacji, np. aktywnych w różnych obszarach twórczości. Przepis nie znajdzie zastosowania, jeśli w ramach organizacji wyodrębnienie różnych kategorii w tym względzie będzie niemożliwe. P</w:t>
      </w:r>
      <w:r w:rsidRPr="00E24274">
        <w:rPr>
          <w:rFonts w:ascii="Times New Roman" w:hAnsi="Times New Roman"/>
          <w:sz w:val="24"/>
          <w:szCs w:val="24"/>
        </w:rPr>
        <w:t>rzepis powtarza formułę, jaką posługuje się dyrektywa CRM, jednocześnie ją dop</w:t>
      </w:r>
      <w:r w:rsidR="00144B0B">
        <w:rPr>
          <w:rFonts w:ascii="Times New Roman" w:hAnsi="Times New Roman"/>
          <w:sz w:val="24"/>
          <w:szCs w:val="24"/>
        </w:rPr>
        <w:t>recyzowując. Umożliwia bowiem w </w:t>
      </w:r>
      <w:r w:rsidRPr="00E24274">
        <w:rPr>
          <w:rFonts w:ascii="Times New Roman" w:hAnsi="Times New Roman"/>
          <w:sz w:val="24"/>
          <w:szCs w:val="24"/>
        </w:rPr>
        <w:t>przypadku organizacji, w których istnieją różne kategorie członków – w duchu poszanowania dla jej samorządności – uwzględnienie przy okazji określenia zasad wyboru delegatów jednego, dwóch lub trzech kryteriów w</w:t>
      </w:r>
      <w:r w:rsidR="00144B0B">
        <w:rPr>
          <w:rFonts w:ascii="Times New Roman" w:hAnsi="Times New Roman"/>
          <w:sz w:val="24"/>
          <w:szCs w:val="24"/>
        </w:rPr>
        <w:t>skazanych w treści art. 16 ust. </w:t>
      </w:r>
      <w:r w:rsidRPr="00E24274">
        <w:rPr>
          <w:rFonts w:ascii="Times New Roman" w:hAnsi="Times New Roman"/>
          <w:sz w:val="24"/>
          <w:szCs w:val="24"/>
        </w:rPr>
        <w:t xml:space="preserve">4 projektu (tj. </w:t>
      </w:r>
      <w:r w:rsidRPr="00E24274">
        <w:rPr>
          <w:rFonts w:ascii="Times New Roman" w:hAnsi="Times New Roman"/>
          <w:bCs/>
          <w:sz w:val="24"/>
          <w:szCs w:val="24"/>
        </w:rPr>
        <w:t xml:space="preserve">liczby członków organizacji </w:t>
      </w:r>
      <w:r w:rsidR="00D4126E" w:rsidRPr="00E24274">
        <w:rPr>
          <w:rFonts w:ascii="Times New Roman" w:hAnsi="Times New Roman"/>
          <w:bCs/>
          <w:sz w:val="24"/>
          <w:szCs w:val="24"/>
        </w:rPr>
        <w:t>należących do danej kategorii uprawnionych</w:t>
      </w:r>
      <w:r w:rsidRPr="00E24274">
        <w:rPr>
          <w:rFonts w:ascii="Times New Roman" w:hAnsi="Times New Roman"/>
          <w:bCs/>
          <w:sz w:val="24"/>
          <w:szCs w:val="24"/>
        </w:rPr>
        <w:t xml:space="preserve">, wysokości przychodów </w:t>
      </w:r>
      <w:r w:rsidR="00D4126E" w:rsidRPr="00E24274">
        <w:rPr>
          <w:rFonts w:ascii="Times New Roman" w:hAnsi="Times New Roman"/>
          <w:bCs/>
          <w:sz w:val="24"/>
          <w:szCs w:val="24"/>
        </w:rPr>
        <w:t xml:space="preserve">z praw </w:t>
      </w:r>
      <w:r w:rsidRPr="00E24274">
        <w:rPr>
          <w:rFonts w:ascii="Times New Roman" w:hAnsi="Times New Roman"/>
          <w:bCs/>
          <w:sz w:val="24"/>
          <w:szCs w:val="24"/>
        </w:rPr>
        <w:t>uzyskiwanych ze zbiorowego zarządzania prawami</w:t>
      </w:r>
      <w:r w:rsidR="00E24274">
        <w:rPr>
          <w:rFonts w:ascii="Times New Roman" w:hAnsi="Times New Roman"/>
          <w:bCs/>
          <w:sz w:val="24"/>
          <w:szCs w:val="24"/>
        </w:rPr>
        <w:t xml:space="preserve"> </w:t>
      </w:r>
      <w:r w:rsidRPr="00E24274">
        <w:rPr>
          <w:rFonts w:ascii="Times New Roman" w:hAnsi="Times New Roman"/>
          <w:bCs/>
          <w:sz w:val="24"/>
          <w:szCs w:val="24"/>
        </w:rPr>
        <w:t xml:space="preserve">członków </w:t>
      </w:r>
      <w:r w:rsidR="00D4126E" w:rsidRPr="00E24274">
        <w:rPr>
          <w:rFonts w:ascii="Times New Roman" w:hAnsi="Times New Roman"/>
          <w:bCs/>
          <w:sz w:val="24"/>
          <w:szCs w:val="24"/>
        </w:rPr>
        <w:t xml:space="preserve">należących do danej kategorii uprawnionych </w:t>
      </w:r>
      <w:r w:rsidRPr="00E24274">
        <w:rPr>
          <w:rFonts w:ascii="Times New Roman" w:hAnsi="Times New Roman"/>
          <w:bCs/>
          <w:sz w:val="24"/>
          <w:szCs w:val="24"/>
        </w:rPr>
        <w:t>lub liczby utworów lub przedmiotów praw pokrewnych członków</w:t>
      </w:r>
      <w:r w:rsidR="00D4126E" w:rsidRPr="00E24274">
        <w:rPr>
          <w:rFonts w:ascii="Times New Roman" w:eastAsiaTheme="minorEastAsia" w:hAnsi="Times New Roman"/>
          <w:sz w:val="24"/>
          <w:szCs w:val="24"/>
          <w:lang w:eastAsia="pl-PL"/>
        </w:rPr>
        <w:t xml:space="preserve"> </w:t>
      </w:r>
      <w:r w:rsidR="00D4126E" w:rsidRPr="00E24274">
        <w:rPr>
          <w:rFonts w:ascii="Times New Roman" w:hAnsi="Times New Roman"/>
          <w:bCs/>
          <w:sz w:val="24"/>
          <w:szCs w:val="24"/>
        </w:rPr>
        <w:t xml:space="preserve">należących do danej kategorii uprawnionych, </w:t>
      </w:r>
      <w:r w:rsidR="00E9726C" w:rsidRPr="00E24274">
        <w:rPr>
          <w:rFonts w:ascii="Times New Roman" w:hAnsi="Times New Roman"/>
          <w:bCs/>
          <w:sz w:val="24"/>
          <w:szCs w:val="24"/>
        </w:rPr>
        <w:t xml:space="preserve">do których </w:t>
      </w:r>
      <w:r w:rsidR="00D4126E" w:rsidRPr="00E24274">
        <w:rPr>
          <w:rFonts w:ascii="Times New Roman" w:hAnsi="Times New Roman"/>
          <w:bCs/>
          <w:sz w:val="24"/>
          <w:szCs w:val="24"/>
        </w:rPr>
        <w:t>prawami ta organizacja z</w:t>
      </w:r>
      <w:r w:rsidR="00A50EDC" w:rsidRPr="00E24274">
        <w:rPr>
          <w:rFonts w:ascii="Times New Roman" w:hAnsi="Times New Roman"/>
          <w:bCs/>
          <w:sz w:val="24"/>
          <w:szCs w:val="24"/>
        </w:rPr>
        <w:t>biorowo zarządza</w:t>
      </w:r>
      <w:r w:rsidR="00D4126E" w:rsidRPr="00E24274">
        <w:rPr>
          <w:rFonts w:ascii="Times New Roman" w:hAnsi="Times New Roman"/>
          <w:bCs/>
          <w:sz w:val="24"/>
          <w:szCs w:val="24"/>
        </w:rPr>
        <w:t>)</w:t>
      </w:r>
      <w:r w:rsidRPr="00E24274">
        <w:rPr>
          <w:rFonts w:ascii="Times New Roman" w:hAnsi="Times New Roman"/>
          <w:bCs/>
          <w:sz w:val="24"/>
          <w:szCs w:val="24"/>
        </w:rPr>
        <w:t>. Kryteria p</w:t>
      </w:r>
      <w:r w:rsidRPr="00E24274">
        <w:rPr>
          <w:rFonts w:ascii="Times New Roman" w:hAnsi="Times New Roman"/>
          <w:sz w:val="24"/>
          <w:szCs w:val="24"/>
        </w:rPr>
        <w:t xml:space="preserve">owinny być dobrane w ramach organizacji w taki sposób, </w:t>
      </w:r>
      <w:r w:rsidR="00A833CD">
        <w:rPr>
          <w:rFonts w:ascii="Times New Roman" w:hAnsi="Times New Roman"/>
          <w:sz w:val="24"/>
          <w:szCs w:val="24"/>
        </w:rPr>
        <w:t>a</w:t>
      </w:r>
      <w:r w:rsidRPr="00E24274">
        <w:rPr>
          <w:rFonts w:ascii="Times New Roman" w:hAnsi="Times New Roman"/>
          <w:sz w:val="24"/>
          <w:szCs w:val="24"/>
        </w:rPr>
        <w:t>by zapewnić wywa</w:t>
      </w:r>
      <w:r w:rsidR="00144B0B">
        <w:rPr>
          <w:rFonts w:ascii="Times New Roman" w:hAnsi="Times New Roman"/>
          <w:sz w:val="24"/>
          <w:szCs w:val="24"/>
        </w:rPr>
        <w:t>żoną i </w:t>
      </w:r>
      <w:r w:rsidRPr="00E24274">
        <w:rPr>
          <w:rFonts w:ascii="Times New Roman" w:hAnsi="Times New Roman"/>
          <w:sz w:val="24"/>
          <w:szCs w:val="24"/>
        </w:rPr>
        <w:t>sprawiedliwą reprezentację poszczególnych kategorii członków w ramach zebrania delegatów. Przyjęcie jednej sztywnej formuły w ty</w:t>
      </w:r>
      <w:r w:rsidR="00144B0B">
        <w:rPr>
          <w:rFonts w:ascii="Times New Roman" w:hAnsi="Times New Roman"/>
          <w:sz w:val="24"/>
          <w:szCs w:val="24"/>
        </w:rPr>
        <w:t>m względzie byłoby niemożliwe i </w:t>
      </w:r>
      <w:r w:rsidRPr="00E24274">
        <w:rPr>
          <w:rFonts w:ascii="Times New Roman" w:hAnsi="Times New Roman"/>
          <w:sz w:val="24"/>
          <w:szCs w:val="24"/>
        </w:rPr>
        <w:t>niewskazane także ze względu na odmienne ukształtowanie składów członkowskich poszczególnych organizacji. Zaprojektowany, elastyczny przepis pozwala natomiast na ocenę przez organ nadzoru rozwiązań przyjmowanych swobodnie w statutach poszczególnych organizacji pod kątem spełnienia przes</w:t>
      </w:r>
      <w:r w:rsidR="00144B0B">
        <w:rPr>
          <w:rFonts w:ascii="Times New Roman" w:hAnsi="Times New Roman"/>
          <w:sz w:val="24"/>
          <w:szCs w:val="24"/>
        </w:rPr>
        <w:t>łanek określonych w treści art. </w:t>
      </w:r>
      <w:r w:rsidRPr="00E24274">
        <w:rPr>
          <w:rFonts w:ascii="Times New Roman" w:hAnsi="Times New Roman"/>
          <w:sz w:val="24"/>
          <w:szCs w:val="24"/>
        </w:rPr>
        <w:t>16 ust. 4 projektu oraz art. 8 ust. 11 dyrektywy CRM na etapie rejestracji lub zmiany statutu.</w:t>
      </w:r>
    </w:p>
    <w:p w:rsidR="00D04546" w:rsidRPr="00E24274" w:rsidRDefault="00D04546"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5. Ust. 5 odsyła w przypadku uregulowania szeregu kwestii szczegółowych, które dotyczą zasad wyboru i funkcjonowania zebrania delegatów, do statutu w sposób analogiczny jak art. 12 ust. 1 pkt 5 projektu, który nakazuje ich uregulowanie w treści statutu w przypadku, gdy w organizacji działa jej walne zebranie członków. Przepis ten zastrzega przy tym, w ślad za art. 8 ust. 11 dyrektywy CRM, że delegaci mogą być wybierani na kadencję trwającą maksymalnie cztery lata.</w:t>
      </w:r>
    </w:p>
    <w:p w:rsidR="00D04546" w:rsidRPr="00E24274" w:rsidRDefault="00D04546"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lastRenderedPageBreak/>
        <w:t>6. Projektowany ust. 6 będ</w:t>
      </w:r>
      <w:r w:rsidR="00BB3FC0" w:rsidRPr="00E24274">
        <w:rPr>
          <w:rFonts w:ascii="Times New Roman" w:hAnsi="Times New Roman"/>
          <w:sz w:val="24"/>
          <w:szCs w:val="24"/>
        </w:rPr>
        <w:t>zie przesądzał – w celu rozwia</w:t>
      </w:r>
      <w:r w:rsidRPr="00E24274">
        <w:rPr>
          <w:rFonts w:ascii="Times New Roman" w:hAnsi="Times New Roman"/>
          <w:sz w:val="24"/>
          <w:szCs w:val="24"/>
        </w:rPr>
        <w:t xml:space="preserve">nia ewentualnych wątpliwości interpretacyjnych </w:t>
      </w:r>
      <w:r w:rsidR="00BB3FC0" w:rsidRPr="00E24274">
        <w:rPr>
          <w:rFonts w:ascii="Times New Roman" w:hAnsi="Times New Roman"/>
          <w:sz w:val="24"/>
          <w:szCs w:val="24"/>
        </w:rPr>
        <w:t>–</w:t>
      </w:r>
      <w:r w:rsidRPr="00E24274">
        <w:rPr>
          <w:rFonts w:ascii="Times New Roman" w:hAnsi="Times New Roman"/>
          <w:sz w:val="24"/>
          <w:szCs w:val="24"/>
        </w:rPr>
        <w:t xml:space="preserve"> że do zebrania delegatów odpowiednie zastosowanie będą miał</w:t>
      </w:r>
      <w:r w:rsidR="00F06F70">
        <w:rPr>
          <w:rFonts w:ascii="Times New Roman" w:hAnsi="Times New Roman"/>
          <w:sz w:val="24"/>
          <w:szCs w:val="24"/>
        </w:rPr>
        <w:t>y</w:t>
      </w:r>
      <w:r w:rsidRPr="00E24274">
        <w:rPr>
          <w:rFonts w:ascii="Times New Roman" w:hAnsi="Times New Roman"/>
          <w:sz w:val="24"/>
          <w:szCs w:val="24"/>
        </w:rPr>
        <w:t xml:space="preserve"> przepisy projektowanej ustawy oraz statutu organizacji zbiorowego</w:t>
      </w:r>
      <w:r w:rsidR="00144B0B">
        <w:rPr>
          <w:rFonts w:ascii="Times New Roman" w:hAnsi="Times New Roman"/>
          <w:sz w:val="24"/>
          <w:szCs w:val="24"/>
        </w:rPr>
        <w:t xml:space="preserve"> zarządzania o </w:t>
      </w:r>
      <w:r w:rsidRPr="00E24274">
        <w:rPr>
          <w:rFonts w:ascii="Times New Roman" w:hAnsi="Times New Roman"/>
          <w:sz w:val="24"/>
          <w:szCs w:val="24"/>
        </w:rPr>
        <w:t>walny</w:t>
      </w:r>
      <w:r w:rsidR="00CB20B1" w:rsidRPr="00E24274">
        <w:rPr>
          <w:rFonts w:ascii="Times New Roman" w:hAnsi="Times New Roman"/>
          <w:sz w:val="24"/>
          <w:szCs w:val="24"/>
        </w:rPr>
        <w:t>m</w:t>
      </w:r>
      <w:r w:rsidRPr="00E24274">
        <w:rPr>
          <w:rFonts w:ascii="Times New Roman" w:hAnsi="Times New Roman"/>
          <w:sz w:val="24"/>
          <w:szCs w:val="24"/>
        </w:rPr>
        <w:t xml:space="preserve"> zebrani</w:t>
      </w:r>
      <w:r w:rsidR="00CB20B1" w:rsidRPr="00E24274">
        <w:rPr>
          <w:rFonts w:ascii="Times New Roman" w:hAnsi="Times New Roman"/>
          <w:sz w:val="24"/>
          <w:szCs w:val="24"/>
        </w:rPr>
        <w:t>u</w:t>
      </w:r>
      <w:r w:rsidR="00BB3FC0" w:rsidRPr="00E24274">
        <w:rPr>
          <w:rFonts w:ascii="Times New Roman" w:hAnsi="Times New Roman"/>
          <w:sz w:val="24"/>
          <w:szCs w:val="24"/>
        </w:rPr>
        <w:t xml:space="preserve"> </w:t>
      </w:r>
      <w:r w:rsidR="00CB20B1" w:rsidRPr="00E24274">
        <w:rPr>
          <w:rFonts w:ascii="Times New Roman" w:hAnsi="Times New Roman"/>
          <w:sz w:val="24"/>
          <w:szCs w:val="24"/>
        </w:rPr>
        <w:t>członków</w:t>
      </w:r>
      <w:r w:rsidRPr="00E24274">
        <w:rPr>
          <w:rFonts w:ascii="Times New Roman" w:hAnsi="Times New Roman"/>
          <w:sz w:val="24"/>
          <w:szCs w:val="24"/>
        </w:rPr>
        <w:t xml:space="preserve">. </w:t>
      </w:r>
    </w:p>
    <w:p w:rsidR="00D04546" w:rsidRPr="00E24274" w:rsidRDefault="00D04546" w:rsidP="00E24274">
      <w:pPr>
        <w:spacing w:before="120" w:after="0" w:line="360" w:lineRule="auto"/>
        <w:jc w:val="both"/>
        <w:rPr>
          <w:rFonts w:ascii="Times New Roman" w:hAnsi="Times New Roman"/>
          <w:b/>
          <w:sz w:val="24"/>
          <w:szCs w:val="24"/>
        </w:rPr>
      </w:pPr>
      <w:r w:rsidRPr="00E24274">
        <w:rPr>
          <w:rFonts w:ascii="Times New Roman" w:hAnsi="Times New Roman"/>
          <w:b/>
          <w:sz w:val="24"/>
          <w:szCs w:val="24"/>
        </w:rPr>
        <w:t>art. 17</w:t>
      </w:r>
    </w:p>
    <w:p w:rsidR="00D04546" w:rsidRPr="00E24274" w:rsidRDefault="00D04546" w:rsidP="00144B0B">
      <w:pPr>
        <w:spacing w:after="0" w:line="360" w:lineRule="auto"/>
        <w:jc w:val="both"/>
        <w:rPr>
          <w:rFonts w:ascii="Times New Roman" w:hAnsi="Times New Roman"/>
          <w:sz w:val="24"/>
          <w:szCs w:val="24"/>
        </w:rPr>
      </w:pPr>
      <w:r w:rsidRPr="00E24274">
        <w:rPr>
          <w:rFonts w:ascii="Times New Roman" w:hAnsi="Times New Roman"/>
          <w:sz w:val="24"/>
          <w:szCs w:val="24"/>
        </w:rPr>
        <w:t>1. Przepis ten stanowi implementację art. 8 ust. 3</w:t>
      </w:r>
      <w:r w:rsidR="00B85D46">
        <w:rPr>
          <w:rFonts w:ascii="Times New Roman" w:hAnsi="Times New Roman"/>
          <w:sz w:val="24"/>
          <w:szCs w:val="24"/>
        </w:rPr>
        <w:t>–</w:t>
      </w:r>
      <w:r w:rsidRPr="00E24274">
        <w:rPr>
          <w:rFonts w:ascii="Times New Roman" w:hAnsi="Times New Roman"/>
          <w:sz w:val="24"/>
          <w:szCs w:val="24"/>
        </w:rPr>
        <w:t>5 dyrektywy CRM, które określają wyłączne kompetencje najważniejszego organu organizacji, pozwalając jednocześnie na przekazanie części z nich na podstawie art. 8 ust. 6 dyrektywy CRM – w drodze odpowiednich postanowień statutu organizacji, a więc za zgodą walnego zebrania członków – komisji rewizyjnej. Chodzi o komp</w:t>
      </w:r>
      <w:r w:rsidR="00144B0B">
        <w:rPr>
          <w:rFonts w:ascii="Times New Roman" w:hAnsi="Times New Roman"/>
          <w:sz w:val="24"/>
          <w:szCs w:val="24"/>
        </w:rPr>
        <w:t>etencje związane bezpośrednio z </w:t>
      </w:r>
      <w:r w:rsidRPr="00E24274">
        <w:rPr>
          <w:rFonts w:ascii="Times New Roman" w:hAnsi="Times New Roman"/>
          <w:sz w:val="24"/>
          <w:szCs w:val="24"/>
        </w:rPr>
        <w:t xml:space="preserve">podejmowaniem operacyjnych decyzji dotyczących zarządzania mieniem organizacji (ust. 1 pkt </w:t>
      </w:r>
      <w:r w:rsidR="00CB20B1" w:rsidRPr="00E24274">
        <w:rPr>
          <w:rFonts w:ascii="Times New Roman" w:hAnsi="Times New Roman"/>
          <w:sz w:val="24"/>
          <w:szCs w:val="24"/>
        </w:rPr>
        <w:t>9</w:t>
      </w:r>
      <w:r w:rsidR="00B85D46">
        <w:rPr>
          <w:rFonts w:ascii="Times New Roman" w:hAnsi="Times New Roman"/>
          <w:sz w:val="24"/>
          <w:szCs w:val="24"/>
        </w:rPr>
        <w:t>–</w:t>
      </w:r>
      <w:r w:rsidRPr="00E24274">
        <w:rPr>
          <w:rFonts w:ascii="Times New Roman" w:hAnsi="Times New Roman"/>
          <w:sz w:val="24"/>
          <w:szCs w:val="24"/>
        </w:rPr>
        <w:t>1</w:t>
      </w:r>
      <w:r w:rsidR="00CB20B1" w:rsidRPr="00E24274">
        <w:rPr>
          <w:rFonts w:ascii="Times New Roman" w:hAnsi="Times New Roman"/>
          <w:sz w:val="24"/>
          <w:szCs w:val="24"/>
        </w:rPr>
        <w:t>1</w:t>
      </w:r>
      <w:r w:rsidRPr="00E24274">
        <w:rPr>
          <w:rFonts w:ascii="Times New Roman" w:hAnsi="Times New Roman"/>
          <w:sz w:val="24"/>
          <w:szCs w:val="24"/>
        </w:rPr>
        <w:t xml:space="preserve"> i </w:t>
      </w:r>
      <w:r w:rsidR="00CB20B1" w:rsidRPr="00E24274">
        <w:rPr>
          <w:rFonts w:ascii="Times New Roman" w:hAnsi="Times New Roman"/>
          <w:sz w:val="24"/>
          <w:szCs w:val="24"/>
        </w:rPr>
        <w:t xml:space="preserve">13 </w:t>
      </w:r>
      <w:r w:rsidRPr="00E24274">
        <w:rPr>
          <w:rFonts w:ascii="Times New Roman" w:hAnsi="Times New Roman"/>
          <w:sz w:val="24"/>
          <w:szCs w:val="24"/>
        </w:rPr>
        <w:t xml:space="preserve">projektowanego </w:t>
      </w:r>
      <w:r w:rsidR="00766A37" w:rsidRPr="00E24274">
        <w:rPr>
          <w:rFonts w:ascii="Times New Roman" w:hAnsi="Times New Roman"/>
          <w:sz w:val="24"/>
          <w:szCs w:val="24"/>
        </w:rPr>
        <w:t>art. 17</w:t>
      </w:r>
      <w:r w:rsidRPr="00E24274">
        <w:rPr>
          <w:rFonts w:ascii="Times New Roman" w:hAnsi="Times New Roman"/>
          <w:sz w:val="24"/>
          <w:szCs w:val="24"/>
        </w:rPr>
        <w:t>) oraz tworzenia podmiotów zależnych lub uzyskiwania członkostwa w innych osobach prawnych (ust. 1 pkt 1</w:t>
      </w:r>
      <w:r w:rsidR="00CB20B1" w:rsidRPr="00E24274">
        <w:rPr>
          <w:rFonts w:ascii="Times New Roman" w:hAnsi="Times New Roman"/>
          <w:sz w:val="24"/>
          <w:szCs w:val="24"/>
        </w:rPr>
        <w:t>2</w:t>
      </w:r>
      <w:r w:rsidRPr="00E24274">
        <w:rPr>
          <w:rFonts w:ascii="Times New Roman" w:hAnsi="Times New Roman"/>
          <w:sz w:val="24"/>
          <w:szCs w:val="24"/>
        </w:rPr>
        <w:t xml:space="preserve"> i 1</w:t>
      </w:r>
      <w:r w:rsidR="00CB20B1" w:rsidRPr="00E24274">
        <w:rPr>
          <w:rFonts w:ascii="Times New Roman" w:hAnsi="Times New Roman"/>
          <w:sz w:val="24"/>
          <w:szCs w:val="24"/>
        </w:rPr>
        <w:t>4</w:t>
      </w:r>
      <w:r w:rsidRPr="00E24274">
        <w:rPr>
          <w:rFonts w:ascii="Times New Roman" w:hAnsi="Times New Roman"/>
          <w:sz w:val="24"/>
          <w:szCs w:val="24"/>
        </w:rPr>
        <w:t>).</w:t>
      </w:r>
    </w:p>
    <w:p w:rsidR="00D04546" w:rsidRPr="00E24274" w:rsidRDefault="00D04546"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2. Lista uprawnień walnego zebrania członków (lub zebrania delegatów) – w stosunku do zawartej w treści art. 8 ust. 3</w:t>
      </w:r>
      <w:r w:rsidR="00B85D46">
        <w:rPr>
          <w:rFonts w:ascii="Times New Roman" w:hAnsi="Times New Roman"/>
          <w:sz w:val="24"/>
          <w:szCs w:val="24"/>
        </w:rPr>
        <w:t>–</w:t>
      </w:r>
      <w:r w:rsidRPr="00E24274">
        <w:rPr>
          <w:rFonts w:ascii="Times New Roman" w:hAnsi="Times New Roman"/>
          <w:sz w:val="24"/>
          <w:szCs w:val="24"/>
        </w:rPr>
        <w:t xml:space="preserve">5 dyrektywy CRM – jest poszerzona o kompetencje do zatwierdzania regulaminu określającego zasady i tryb rozpoznawania skarg dotyczących członkostwa w organizacji lub wykonywania zbiorowego zarządzania, o których mowa w art. 91 projektu (art. 17 pkt </w:t>
      </w:r>
      <w:r w:rsidR="00CB20B1" w:rsidRPr="00E24274">
        <w:rPr>
          <w:rFonts w:ascii="Times New Roman" w:hAnsi="Times New Roman"/>
          <w:sz w:val="24"/>
          <w:szCs w:val="24"/>
        </w:rPr>
        <w:t xml:space="preserve">8 </w:t>
      </w:r>
      <w:r w:rsidRPr="00E24274">
        <w:rPr>
          <w:rFonts w:ascii="Times New Roman" w:hAnsi="Times New Roman"/>
          <w:sz w:val="24"/>
          <w:szCs w:val="24"/>
        </w:rPr>
        <w:t>projektu). Przyznanie walnemu zebraniu członków takiej kompetencji jest logicznym rozwinięciem zasady samorządności organizacji, której najwyższy organ winien mieć możliwość określenia zasad funkcjonowania wewnętrznej procedury rozwiązywania sporów z uprawnionymi i członkami organizacji. Regulamin tego rodzaju uzupełnia listę podstawowych aktów wewnętrznych przyjmowanych przez walne zebranie członków, które określają szczegóły relacji między uprawnionymi a organizacją.</w:t>
      </w:r>
    </w:p>
    <w:p w:rsidR="00D04546" w:rsidRPr="00E24274" w:rsidRDefault="00D04546" w:rsidP="00E24274">
      <w:pPr>
        <w:spacing w:before="120" w:after="0" w:line="360" w:lineRule="auto"/>
        <w:jc w:val="both"/>
        <w:rPr>
          <w:rFonts w:ascii="Times New Roman" w:hAnsi="Times New Roman"/>
          <w:b/>
          <w:sz w:val="24"/>
          <w:szCs w:val="24"/>
        </w:rPr>
      </w:pPr>
      <w:r w:rsidRPr="00E24274">
        <w:rPr>
          <w:rFonts w:ascii="Times New Roman" w:hAnsi="Times New Roman"/>
          <w:b/>
          <w:sz w:val="24"/>
          <w:szCs w:val="24"/>
        </w:rPr>
        <w:t>art. 18</w:t>
      </w:r>
    </w:p>
    <w:p w:rsidR="00D04546" w:rsidRPr="00E24274" w:rsidRDefault="00D04546" w:rsidP="00144B0B">
      <w:pPr>
        <w:spacing w:after="0" w:line="360" w:lineRule="auto"/>
        <w:jc w:val="both"/>
        <w:rPr>
          <w:rFonts w:ascii="Times New Roman" w:hAnsi="Times New Roman"/>
          <w:sz w:val="24"/>
          <w:szCs w:val="24"/>
        </w:rPr>
      </w:pPr>
      <w:r w:rsidRPr="00E24274">
        <w:rPr>
          <w:rFonts w:ascii="Times New Roman" w:hAnsi="Times New Roman"/>
          <w:sz w:val="24"/>
          <w:szCs w:val="24"/>
        </w:rPr>
        <w:t>Celem projektowanego przepisu jest implementacja art. 8 ust.</w:t>
      </w:r>
      <w:r w:rsidR="002A2051" w:rsidRPr="00E24274">
        <w:rPr>
          <w:rFonts w:ascii="Times New Roman" w:hAnsi="Times New Roman"/>
          <w:sz w:val="24"/>
          <w:szCs w:val="24"/>
        </w:rPr>
        <w:t xml:space="preserve"> 2 i</w:t>
      </w:r>
      <w:r w:rsidRPr="00E24274">
        <w:rPr>
          <w:rFonts w:ascii="Times New Roman" w:hAnsi="Times New Roman"/>
          <w:sz w:val="24"/>
          <w:szCs w:val="24"/>
        </w:rPr>
        <w:t xml:space="preserve"> 8 oraz art. 9 ust. 5 dyrektywy CRM, określających minimalne obowiązki walnego zebrania członków organizacji, które powinny być bezwzględnie wykonywane co roku. Należą do nich:</w:t>
      </w:r>
    </w:p>
    <w:p w:rsidR="00D04546" w:rsidRPr="00E24274" w:rsidRDefault="00D04546" w:rsidP="00144B0B">
      <w:pPr>
        <w:numPr>
          <w:ilvl w:val="0"/>
          <w:numId w:val="17"/>
        </w:numPr>
        <w:spacing w:after="0" w:line="360" w:lineRule="auto"/>
        <w:ind w:left="392" w:hanging="378"/>
        <w:jc w:val="both"/>
        <w:rPr>
          <w:rFonts w:ascii="Times New Roman" w:hAnsi="Times New Roman"/>
          <w:sz w:val="24"/>
          <w:szCs w:val="24"/>
        </w:rPr>
      </w:pPr>
      <w:r w:rsidRPr="00E24274">
        <w:rPr>
          <w:rFonts w:ascii="Times New Roman" w:hAnsi="Times New Roman"/>
          <w:sz w:val="24"/>
          <w:szCs w:val="24"/>
        </w:rPr>
        <w:t xml:space="preserve">rozpatrywanie i zatwierdzanie sprawozdania z działalności organizacji za </w:t>
      </w:r>
      <w:r w:rsidR="002A2051" w:rsidRPr="00E24274">
        <w:rPr>
          <w:rFonts w:ascii="Times New Roman" w:hAnsi="Times New Roman"/>
          <w:sz w:val="24"/>
          <w:szCs w:val="24"/>
        </w:rPr>
        <w:t xml:space="preserve">ubiegły </w:t>
      </w:r>
      <w:r w:rsidRPr="00E24274">
        <w:rPr>
          <w:rFonts w:ascii="Times New Roman" w:hAnsi="Times New Roman"/>
          <w:sz w:val="24"/>
          <w:szCs w:val="24"/>
        </w:rPr>
        <w:t xml:space="preserve">rok </w:t>
      </w:r>
      <w:r w:rsidR="00CB20B1" w:rsidRPr="00E24274">
        <w:rPr>
          <w:rFonts w:ascii="Times New Roman" w:hAnsi="Times New Roman"/>
          <w:sz w:val="24"/>
          <w:szCs w:val="24"/>
        </w:rPr>
        <w:t xml:space="preserve">obrotowy </w:t>
      </w:r>
      <w:r w:rsidRPr="00E24274">
        <w:rPr>
          <w:rFonts w:ascii="Times New Roman" w:hAnsi="Times New Roman"/>
          <w:sz w:val="24"/>
          <w:szCs w:val="24"/>
        </w:rPr>
        <w:t>w stosunku do tego, w którym odbywa się walne zebrani</w:t>
      </w:r>
      <w:r w:rsidR="00F06F70">
        <w:rPr>
          <w:rFonts w:ascii="Times New Roman" w:hAnsi="Times New Roman"/>
          <w:sz w:val="24"/>
          <w:szCs w:val="24"/>
        </w:rPr>
        <w:t>e</w:t>
      </w:r>
      <w:r w:rsidRPr="00E24274">
        <w:rPr>
          <w:rFonts w:ascii="Times New Roman" w:hAnsi="Times New Roman"/>
          <w:sz w:val="24"/>
          <w:szCs w:val="24"/>
        </w:rPr>
        <w:t xml:space="preserve"> członków;</w:t>
      </w:r>
    </w:p>
    <w:p w:rsidR="00D04546" w:rsidRPr="00E24274" w:rsidRDefault="00D04546" w:rsidP="00144B0B">
      <w:pPr>
        <w:numPr>
          <w:ilvl w:val="0"/>
          <w:numId w:val="17"/>
        </w:numPr>
        <w:spacing w:after="0" w:line="360" w:lineRule="auto"/>
        <w:ind w:left="392" w:hanging="378"/>
        <w:jc w:val="both"/>
        <w:rPr>
          <w:rFonts w:ascii="Times New Roman" w:hAnsi="Times New Roman"/>
          <w:sz w:val="24"/>
          <w:szCs w:val="24"/>
        </w:rPr>
      </w:pPr>
      <w:r w:rsidRPr="00E24274">
        <w:rPr>
          <w:rFonts w:ascii="Times New Roman" w:hAnsi="Times New Roman"/>
          <w:sz w:val="24"/>
          <w:szCs w:val="24"/>
        </w:rPr>
        <w:t>udzielanie członkom zarządu i komisji rewizyjnej absolutorium z wykonywania przez nich obowiązków;</w:t>
      </w:r>
    </w:p>
    <w:p w:rsidR="00D04546" w:rsidRPr="00E24274" w:rsidRDefault="00D04546" w:rsidP="00144B0B">
      <w:pPr>
        <w:numPr>
          <w:ilvl w:val="0"/>
          <w:numId w:val="17"/>
        </w:numPr>
        <w:spacing w:after="0" w:line="360" w:lineRule="auto"/>
        <w:ind w:left="392" w:hanging="378"/>
        <w:jc w:val="both"/>
        <w:rPr>
          <w:rFonts w:ascii="Times New Roman" w:hAnsi="Times New Roman"/>
          <w:sz w:val="24"/>
          <w:szCs w:val="24"/>
        </w:rPr>
      </w:pPr>
      <w:r w:rsidRPr="00E24274">
        <w:rPr>
          <w:rFonts w:ascii="Times New Roman" w:hAnsi="Times New Roman"/>
          <w:sz w:val="24"/>
          <w:szCs w:val="24"/>
        </w:rPr>
        <w:lastRenderedPageBreak/>
        <w:t xml:space="preserve">podejmowanie decyzji w sprawie </w:t>
      </w:r>
      <w:r w:rsidR="00CB20B1" w:rsidRPr="00E24274">
        <w:rPr>
          <w:rFonts w:ascii="Times New Roman" w:hAnsi="Times New Roman"/>
          <w:sz w:val="24"/>
          <w:szCs w:val="24"/>
        </w:rPr>
        <w:t>wyboru</w:t>
      </w:r>
      <w:r w:rsidRPr="00E24274">
        <w:rPr>
          <w:rFonts w:ascii="Times New Roman" w:hAnsi="Times New Roman"/>
          <w:sz w:val="24"/>
          <w:szCs w:val="24"/>
        </w:rPr>
        <w:t xml:space="preserve"> biegłego rewidenta (do zbadania sprawozdania z działalności organizacji zbiorowego zarządzania</w:t>
      </w:r>
      <w:r w:rsidR="008868B7" w:rsidRPr="00E24274">
        <w:rPr>
          <w:rFonts w:ascii="Times New Roman" w:eastAsiaTheme="minorEastAsia" w:hAnsi="Times New Roman"/>
          <w:sz w:val="24"/>
          <w:szCs w:val="24"/>
          <w:lang w:eastAsia="pl-PL"/>
        </w:rPr>
        <w:t xml:space="preserve"> </w:t>
      </w:r>
      <w:r w:rsidR="008868B7" w:rsidRPr="00E24274">
        <w:rPr>
          <w:rFonts w:ascii="Times New Roman" w:hAnsi="Times New Roman"/>
          <w:sz w:val="24"/>
          <w:szCs w:val="24"/>
        </w:rPr>
        <w:t xml:space="preserve">w zakresie </w:t>
      </w:r>
      <w:r w:rsidR="00787B9F" w:rsidRPr="00E24274">
        <w:rPr>
          <w:rFonts w:ascii="Times New Roman" w:hAnsi="Times New Roman"/>
          <w:sz w:val="24"/>
          <w:szCs w:val="24"/>
        </w:rPr>
        <w:t>wymaganym przez dyrektywę CRM</w:t>
      </w:r>
      <w:r w:rsidR="00B7656C" w:rsidRPr="00E24274">
        <w:rPr>
          <w:rFonts w:ascii="Times New Roman" w:hAnsi="Times New Roman"/>
          <w:sz w:val="24"/>
          <w:szCs w:val="24"/>
        </w:rPr>
        <w:t>, tj. sprawozdania finansowego oraz określonych danych finansowych</w:t>
      </w:r>
      <w:r w:rsidRPr="00E24274">
        <w:rPr>
          <w:rFonts w:ascii="Times New Roman" w:hAnsi="Times New Roman"/>
          <w:sz w:val="24"/>
          <w:szCs w:val="24"/>
        </w:rPr>
        <w:t>).</w:t>
      </w:r>
    </w:p>
    <w:p w:rsidR="00D04546" w:rsidRPr="00E24274" w:rsidRDefault="00D04546" w:rsidP="00E24274">
      <w:pPr>
        <w:spacing w:before="120" w:after="0" w:line="360" w:lineRule="auto"/>
        <w:jc w:val="both"/>
        <w:rPr>
          <w:rFonts w:ascii="Times New Roman" w:hAnsi="Times New Roman"/>
          <w:bCs/>
          <w:sz w:val="24"/>
          <w:szCs w:val="24"/>
        </w:rPr>
      </w:pPr>
      <w:r w:rsidRPr="00E24274">
        <w:rPr>
          <w:rFonts w:ascii="Times New Roman" w:hAnsi="Times New Roman"/>
          <w:sz w:val="24"/>
          <w:szCs w:val="24"/>
        </w:rPr>
        <w:t>Zgodnie z ust. 1 projektowanego artykułu walne zebrani</w:t>
      </w:r>
      <w:r w:rsidR="00F06F70">
        <w:rPr>
          <w:rFonts w:ascii="Times New Roman" w:hAnsi="Times New Roman"/>
          <w:sz w:val="24"/>
          <w:szCs w:val="24"/>
        </w:rPr>
        <w:t>e</w:t>
      </w:r>
      <w:r w:rsidRPr="00E24274">
        <w:rPr>
          <w:rFonts w:ascii="Times New Roman" w:hAnsi="Times New Roman"/>
          <w:sz w:val="24"/>
          <w:szCs w:val="24"/>
        </w:rPr>
        <w:t xml:space="preserve"> członków winno być zwoływane co najmniej raz w roku, nie później niż 6 miesięcy od dnia bilansowego. </w:t>
      </w:r>
      <w:r w:rsidRPr="00E24274">
        <w:rPr>
          <w:rFonts w:ascii="Times New Roman" w:hAnsi="Times New Roman"/>
          <w:bCs/>
          <w:sz w:val="24"/>
          <w:szCs w:val="24"/>
        </w:rPr>
        <w:t>Zatwierdzenie rocznego sprawozdania z działalności oznacza, że przedmiotem obrad walnego zebrania członków winno być – zgodnie z art. 88 ust. 2 projektu – sprawozdanie podstawowe, finansowe oraz sprawozd</w:t>
      </w:r>
      <w:r w:rsidR="00144B0B">
        <w:rPr>
          <w:rFonts w:ascii="Times New Roman" w:hAnsi="Times New Roman"/>
          <w:bCs/>
          <w:sz w:val="24"/>
          <w:szCs w:val="24"/>
        </w:rPr>
        <w:t>anie z wykorzystania środków, o </w:t>
      </w:r>
      <w:r w:rsidRPr="00E24274">
        <w:rPr>
          <w:rFonts w:ascii="Times New Roman" w:hAnsi="Times New Roman"/>
          <w:bCs/>
          <w:sz w:val="24"/>
          <w:szCs w:val="24"/>
        </w:rPr>
        <w:t xml:space="preserve">których mowa w art. 34 </w:t>
      </w:r>
      <w:r w:rsidR="00C27AD0" w:rsidRPr="00E24274">
        <w:rPr>
          <w:rFonts w:ascii="Times New Roman" w:hAnsi="Times New Roman"/>
          <w:bCs/>
          <w:sz w:val="24"/>
          <w:szCs w:val="24"/>
        </w:rPr>
        <w:t xml:space="preserve">pkt 4 </w:t>
      </w:r>
      <w:r w:rsidRPr="00E24274">
        <w:rPr>
          <w:rFonts w:ascii="Times New Roman" w:hAnsi="Times New Roman"/>
          <w:bCs/>
          <w:sz w:val="24"/>
          <w:szCs w:val="24"/>
        </w:rPr>
        <w:t>projektu.</w:t>
      </w:r>
    </w:p>
    <w:p w:rsidR="00D04546" w:rsidRPr="00E24274" w:rsidRDefault="00D04546" w:rsidP="00E24274">
      <w:pPr>
        <w:spacing w:before="120" w:after="0" w:line="360" w:lineRule="auto"/>
        <w:jc w:val="both"/>
        <w:rPr>
          <w:rFonts w:ascii="Times New Roman" w:hAnsi="Times New Roman"/>
          <w:b/>
          <w:sz w:val="24"/>
          <w:szCs w:val="24"/>
        </w:rPr>
      </w:pPr>
      <w:r w:rsidRPr="00E24274">
        <w:rPr>
          <w:rFonts w:ascii="Times New Roman" w:hAnsi="Times New Roman"/>
          <w:b/>
          <w:sz w:val="24"/>
          <w:szCs w:val="24"/>
        </w:rPr>
        <w:t>art. 19</w:t>
      </w:r>
    </w:p>
    <w:p w:rsidR="00D04546" w:rsidRPr="00E24274" w:rsidRDefault="00D04546" w:rsidP="00144B0B">
      <w:pPr>
        <w:spacing w:after="0" w:line="360" w:lineRule="auto"/>
        <w:jc w:val="both"/>
        <w:rPr>
          <w:rFonts w:ascii="Times New Roman" w:hAnsi="Times New Roman"/>
          <w:sz w:val="24"/>
          <w:szCs w:val="24"/>
        </w:rPr>
      </w:pPr>
      <w:r w:rsidRPr="00E24274">
        <w:rPr>
          <w:rFonts w:ascii="Times New Roman" w:hAnsi="Times New Roman"/>
          <w:sz w:val="24"/>
          <w:szCs w:val="24"/>
        </w:rPr>
        <w:t xml:space="preserve">1. Projektowany przepis określa zasady wykonywania uprawnień do udziału w walnym zebraniu członków organizacji przez pełnomocnika, na co pozwala art. 8 ust. 10 zd. 1 dyrektywy CRM. Jednocześnie przepisy </w:t>
      </w:r>
      <w:r w:rsidR="00F10D74" w:rsidRPr="00E24274">
        <w:rPr>
          <w:rFonts w:ascii="Times New Roman" w:hAnsi="Times New Roman"/>
          <w:sz w:val="24"/>
          <w:szCs w:val="24"/>
        </w:rPr>
        <w:t>projektowanego</w:t>
      </w:r>
      <w:r w:rsidRPr="00E24274">
        <w:rPr>
          <w:rFonts w:ascii="Times New Roman" w:hAnsi="Times New Roman"/>
          <w:sz w:val="24"/>
          <w:szCs w:val="24"/>
        </w:rPr>
        <w:t xml:space="preserve"> artykułu (ust. 1 zd. 2, ust. 2</w:t>
      </w:r>
      <w:r w:rsidR="00B85D46">
        <w:rPr>
          <w:rFonts w:ascii="Times New Roman" w:hAnsi="Times New Roman"/>
          <w:sz w:val="24"/>
          <w:szCs w:val="24"/>
        </w:rPr>
        <w:t>–</w:t>
      </w:r>
      <w:r w:rsidRPr="00E24274">
        <w:rPr>
          <w:rFonts w:ascii="Times New Roman" w:hAnsi="Times New Roman"/>
          <w:sz w:val="24"/>
          <w:szCs w:val="24"/>
        </w:rPr>
        <w:t>4) korzystają z możliwości przewidzianej w art. 8 ust. 10 zd. 2 dyrektywy CRM do</w:t>
      </w:r>
      <w:r w:rsidR="00F10D74" w:rsidRPr="00E24274">
        <w:rPr>
          <w:rFonts w:ascii="Times New Roman" w:hAnsi="Times New Roman"/>
          <w:sz w:val="24"/>
          <w:szCs w:val="24"/>
        </w:rPr>
        <w:t>tyczącej</w:t>
      </w:r>
      <w:r w:rsidRPr="00E24274">
        <w:rPr>
          <w:rFonts w:ascii="Times New Roman" w:hAnsi="Times New Roman"/>
          <w:sz w:val="24"/>
          <w:szCs w:val="24"/>
        </w:rPr>
        <w:t xml:space="preserve"> ograniczenia, w koniecznym zakresie i pod wskazanymi w nim warunkami, wykonywania prawa głosu przez pełnomocnika.</w:t>
      </w:r>
    </w:p>
    <w:p w:rsidR="00D04546" w:rsidRPr="00E24274" w:rsidRDefault="00D04546"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2. Ust. 1 projektowanego przepisu potwierdza możliwość wykonywania upraw</w:t>
      </w:r>
      <w:r w:rsidR="00F06F70">
        <w:rPr>
          <w:rFonts w:ascii="Times New Roman" w:hAnsi="Times New Roman"/>
          <w:sz w:val="24"/>
          <w:szCs w:val="24"/>
        </w:rPr>
        <w:t>n</w:t>
      </w:r>
      <w:r w:rsidRPr="00E24274">
        <w:rPr>
          <w:rFonts w:ascii="Times New Roman" w:hAnsi="Times New Roman"/>
          <w:sz w:val="24"/>
          <w:szCs w:val="24"/>
        </w:rPr>
        <w:t xml:space="preserve">ień na walnym zebraniu członków przez pełnomocnika, o ile nie prowadzi to do konfliktu interesów. Jednocześnie zgodnie z art. 8 ust. 10 zd. 3 dyrektywy CRM pełnomocnictwo może być udzielone i wykonywane wyłącznie na najbliższym walnym zebraniu członków. </w:t>
      </w:r>
      <w:r w:rsidR="00F10D74" w:rsidRPr="00E24274">
        <w:rPr>
          <w:rFonts w:ascii="Times New Roman" w:hAnsi="Times New Roman"/>
          <w:sz w:val="24"/>
          <w:szCs w:val="24"/>
        </w:rPr>
        <w:t>Projektowany przepis</w:t>
      </w:r>
      <w:r w:rsidRPr="00E24274">
        <w:rPr>
          <w:rFonts w:ascii="Times New Roman" w:hAnsi="Times New Roman"/>
          <w:sz w:val="24"/>
          <w:szCs w:val="24"/>
        </w:rPr>
        <w:t xml:space="preserve"> – w ślad za art. 8 ust. 10 zd. 1 dyrektywy CRM – określa również podstawowy przypadek konfliktu interesów, wykluczając możliwość udzielenia pełnomocnictwa, jeżeli mocodawca i pełnomocnik należą do różnych kategorii uprawnionych w ramach tej samej organizacji zbiorowego zarządzania. </w:t>
      </w:r>
      <w:r w:rsidR="00F10D74" w:rsidRPr="00E24274">
        <w:rPr>
          <w:rFonts w:ascii="Times New Roman" w:hAnsi="Times New Roman"/>
          <w:sz w:val="24"/>
          <w:szCs w:val="24"/>
        </w:rPr>
        <w:t>P</w:t>
      </w:r>
      <w:r w:rsidRPr="00E24274">
        <w:rPr>
          <w:rFonts w:ascii="Times New Roman" w:hAnsi="Times New Roman"/>
          <w:sz w:val="24"/>
          <w:szCs w:val="24"/>
        </w:rPr>
        <w:t>rzepis pozwala przy tym – w celu realizacji zasady samorządności i zapewnienia realnego wykonywania praw uprawnionych do decydowania o ich organizacji – na udzielenie pełnomocnictwa pełnomocnikowi zawodowemu. Jego udział w walnym zebraniu członków, często decydującym o skomplikowanych prawnie i ekonomicznie sprawach, winien zapewnić należytą ochronę uprawnionego, który – choćby z racji wykonywanego zawodu – może wymagać wsparcia lub zastępstwa przy wykonywaniu swoich uprawnień członkowskich.</w:t>
      </w:r>
    </w:p>
    <w:p w:rsidR="00D04546" w:rsidRPr="00E24274" w:rsidRDefault="00D04546" w:rsidP="00E24274">
      <w:pPr>
        <w:spacing w:before="120" w:after="0" w:line="360" w:lineRule="auto"/>
        <w:jc w:val="both"/>
        <w:rPr>
          <w:rFonts w:ascii="Times New Roman" w:hAnsi="Times New Roman"/>
          <w:bCs/>
          <w:sz w:val="24"/>
          <w:szCs w:val="24"/>
        </w:rPr>
      </w:pPr>
      <w:r w:rsidRPr="00E24274">
        <w:rPr>
          <w:rFonts w:ascii="Times New Roman" w:hAnsi="Times New Roman"/>
          <w:sz w:val="24"/>
          <w:szCs w:val="24"/>
        </w:rPr>
        <w:lastRenderedPageBreak/>
        <w:t xml:space="preserve">3. Ust. 2 projektowanego </w:t>
      </w:r>
      <w:r w:rsidR="001576F5" w:rsidRPr="00E24274">
        <w:rPr>
          <w:rFonts w:ascii="Times New Roman" w:hAnsi="Times New Roman"/>
          <w:sz w:val="24"/>
          <w:szCs w:val="24"/>
        </w:rPr>
        <w:t>art. 19</w:t>
      </w:r>
      <w:r w:rsidRPr="00E24274">
        <w:rPr>
          <w:rFonts w:ascii="Times New Roman" w:hAnsi="Times New Roman"/>
          <w:sz w:val="24"/>
          <w:szCs w:val="24"/>
        </w:rPr>
        <w:t xml:space="preserve"> wprowadza – w celu za</w:t>
      </w:r>
      <w:r w:rsidR="00144B0B">
        <w:rPr>
          <w:rFonts w:ascii="Times New Roman" w:hAnsi="Times New Roman"/>
          <w:sz w:val="24"/>
          <w:szCs w:val="24"/>
        </w:rPr>
        <w:t>pewnienia pewności prawnej w </w:t>
      </w:r>
      <w:r w:rsidRPr="00E24274">
        <w:rPr>
          <w:rFonts w:ascii="Times New Roman" w:hAnsi="Times New Roman"/>
          <w:sz w:val="24"/>
          <w:szCs w:val="24"/>
        </w:rPr>
        <w:t xml:space="preserve">tym względzie i stabilności uchwał podejmowanych przez walne zebrania członków organizacji – obowiązek udzielenia pełnomocnictwa w formie pisemnej </w:t>
      </w:r>
      <w:r w:rsidRPr="00E24274">
        <w:rPr>
          <w:rFonts w:ascii="Times New Roman" w:hAnsi="Times New Roman"/>
          <w:bCs/>
          <w:sz w:val="24"/>
          <w:szCs w:val="24"/>
        </w:rPr>
        <w:t xml:space="preserve">pod rygorem nieważności </w:t>
      </w:r>
      <w:r w:rsidRPr="00E24274">
        <w:rPr>
          <w:rFonts w:ascii="Times New Roman" w:hAnsi="Times New Roman"/>
          <w:sz w:val="24"/>
          <w:szCs w:val="24"/>
        </w:rPr>
        <w:t xml:space="preserve">oraz </w:t>
      </w:r>
      <w:r w:rsidR="001576F5" w:rsidRPr="00E24274">
        <w:rPr>
          <w:rFonts w:ascii="Times New Roman" w:hAnsi="Times New Roman"/>
          <w:bCs/>
          <w:sz w:val="24"/>
          <w:szCs w:val="24"/>
        </w:rPr>
        <w:t>dołączenia</w:t>
      </w:r>
      <w:r w:rsidRPr="00E24274">
        <w:rPr>
          <w:rFonts w:ascii="Times New Roman" w:hAnsi="Times New Roman"/>
          <w:bCs/>
          <w:sz w:val="24"/>
          <w:szCs w:val="24"/>
        </w:rPr>
        <w:t xml:space="preserve"> go do protokołu z walnego zebrania członków. Tego rodzaju praktyka jest powszechnie stosowana w przypadku wykonywania praw przez pełnomocnika podczas walnych zgromadzeń lub zgromadzeń wspólników m.in. spółek prawa handlowego.</w:t>
      </w:r>
    </w:p>
    <w:p w:rsidR="00D04546" w:rsidRPr="00E24274" w:rsidRDefault="00D04546" w:rsidP="00E24274">
      <w:pPr>
        <w:spacing w:before="120" w:after="0" w:line="360" w:lineRule="auto"/>
        <w:jc w:val="both"/>
        <w:rPr>
          <w:rFonts w:ascii="Times New Roman" w:hAnsi="Times New Roman"/>
          <w:bCs/>
          <w:sz w:val="24"/>
          <w:szCs w:val="24"/>
        </w:rPr>
      </w:pPr>
      <w:r w:rsidRPr="00E24274">
        <w:rPr>
          <w:rFonts w:ascii="Times New Roman" w:hAnsi="Times New Roman"/>
          <w:bCs/>
          <w:sz w:val="24"/>
          <w:szCs w:val="24"/>
        </w:rPr>
        <w:t xml:space="preserve">4. Ust. 3 jest regulacją służącą uniknięciu potencjalnego konfliktu interesów wynikającego z łączenia funkcji członka </w:t>
      </w:r>
      <w:r w:rsidRPr="00E24274">
        <w:rPr>
          <w:rFonts w:ascii="Times New Roman" w:hAnsi="Times New Roman"/>
          <w:sz w:val="24"/>
          <w:szCs w:val="24"/>
        </w:rPr>
        <w:t xml:space="preserve">zarządu, komisji rewizyjnej </w:t>
      </w:r>
      <w:r w:rsidR="001576F5" w:rsidRPr="00E24274">
        <w:rPr>
          <w:rFonts w:ascii="Times New Roman" w:hAnsi="Times New Roman"/>
          <w:sz w:val="24"/>
          <w:szCs w:val="24"/>
        </w:rPr>
        <w:t>lub</w:t>
      </w:r>
      <w:r w:rsidRPr="00E24274">
        <w:rPr>
          <w:rFonts w:ascii="Times New Roman" w:hAnsi="Times New Roman"/>
          <w:sz w:val="24"/>
          <w:szCs w:val="24"/>
        </w:rPr>
        <w:t xml:space="preserve"> pracownika organizacji zbiorowego zarządzania oraz pełnomo</w:t>
      </w:r>
      <w:r w:rsidR="00144B0B">
        <w:rPr>
          <w:rFonts w:ascii="Times New Roman" w:hAnsi="Times New Roman"/>
          <w:sz w:val="24"/>
          <w:szCs w:val="24"/>
        </w:rPr>
        <w:t>cnika uprawnionego do udziału w </w:t>
      </w:r>
      <w:r w:rsidRPr="00E24274">
        <w:rPr>
          <w:rFonts w:ascii="Times New Roman" w:hAnsi="Times New Roman"/>
          <w:sz w:val="24"/>
          <w:szCs w:val="24"/>
        </w:rPr>
        <w:t>walnym zebraniu członków. Rozwiązanie to jest</w:t>
      </w:r>
      <w:r w:rsidR="00144B0B">
        <w:rPr>
          <w:rFonts w:ascii="Times New Roman" w:hAnsi="Times New Roman"/>
          <w:sz w:val="24"/>
          <w:szCs w:val="24"/>
        </w:rPr>
        <w:t xml:space="preserve"> tym bardziej uzasadnione, że w </w:t>
      </w:r>
      <w:r w:rsidRPr="00E24274">
        <w:rPr>
          <w:rFonts w:ascii="Times New Roman" w:hAnsi="Times New Roman"/>
          <w:sz w:val="24"/>
          <w:szCs w:val="24"/>
        </w:rPr>
        <w:t xml:space="preserve">kompetencjach walnego zebrania członków jest m.in. powoływanie i odwoływanie członków zarządu </w:t>
      </w:r>
      <w:r w:rsidR="001576F5" w:rsidRPr="00E24274">
        <w:rPr>
          <w:rFonts w:ascii="Times New Roman" w:hAnsi="Times New Roman"/>
          <w:sz w:val="24"/>
          <w:szCs w:val="24"/>
        </w:rPr>
        <w:t>oraz</w:t>
      </w:r>
      <w:r w:rsidRPr="00E24274">
        <w:rPr>
          <w:rFonts w:ascii="Times New Roman" w:hAnsi="Times New Roman"/>
          <w:sz w:val="24"/>
          <w:szCs w:val="24"/>
        </w:rPr>
        <w:t xml:space="preserve"> komisji rewizyjnej, przyznawanie im wynagrodzenia i innych świadczeń, a także udzielanie absolutorium.</w:t>
      </w:r>
    </w:p>
    <w:p w:rsidR="00D04546" w:rsidRPr="00E24274" w:rsidRDefault="00D04546" w:rsidP="00E24274">
      <w:pPr>
        <w:spacing w:before="120" w:after="0" w:line="360" w:lineRule="auto"/>
        <w:jc w:val="both"/>
        <w:rPr>
          <w:rFonts w:ascii="Times New Roman" w:hAnsi="Times New Roman"/>
          <w:b/>
          <w:sz w:val="24"/>
          <w:szCs w:val="24"/>
        </w:rPr>
      </w:pPr>
      <w:r w:rsidRPr="00E24274">
        <w:rPr>
          <w:rFonts w:ascii="Times New Roman" w:hAnsi="Times New Roman"/>
          <w:bCs/>
          <w:sz w:val="24"/>
          <w:szCs w:val="24"/>
        </w:rPr>
        <w:t xml:space="preserve">5. Ust. 4 projektowanego </w:t>
      </w:r>
      <w:r w:rsidR="001576F5" w:rsidRPr="00E24274">
        <w:rPr>
          <w:rFonts w:ascii="Times New Roman" w:hAnsi="Times New Roman"/>
          <w:bCs/>
          <w:sz w:val="24"/>
          <w:szCs w:val="24"/>
        </w:rPr>
        <w:t>art. 19</w:t>
      </w:r>
      <w:r w:rsidRPr="00E24274">
        <w:rPr>
          <w:rFonts w:ascii="Times New Roman" w:hAnsi="Times New Roman"/>
          <w:bCs/>
          <w:sz w:val="24"/>
          <w:szCs w:val="24"/>
        </w:rPr>
        <w:t xml:space="preserve"> ogranicza liczbę członków organizacji, których na walnym zebraniu członków (do siedmiu) lub zebraniu delegatów (do jednego) może reprezentować jeden pełnomocnik. Przyznanie możliwości korzystania przez członka organizacji z zastępstwa w wykonywaniu jego prawa przez pełnomocnika nie powinno prowadzić do nadmiernej kumulacji pełnomocnictw w ręku jednego podmiotu lub zamieniać najważniejsze ciało przedstawicielskie organ</w:t>
      </w:r>
      <w:r w:rsidR="00144B0B">
        <w:rPr>
          <w:rFonts w:ascii="Times New Roman" w:hAnsi="Times New Roman"/>
          <w:bCs/>
          <w:sz w:val="24"/>
          <w:szCs w:val="24"/>
        </w:rPr>
        <w:t>izacji zbiorowego zarządzania w </w:t>
      </w:r>
      <w:r w:rsidRPr="00E24274">
        <w:rPr>
          <w:rFonts w:ascii="Times New Roman" w:hAnsi="Times New Roman"/>
          <w:bCs/>
          <w:sz w:val="24"/>
          <w:szCs w:val="24"/>
        </w:rPr>
        <w:t xml:space="preserve">zebranie grupy kilku lub kilkunastu pełnomocników. Obie sytuacje </w:t>
      </w:r>
      <w:r w:rsidR="001576F5" w:rsidRPr="00E24274">
        <w:rPr>
          <w:rFonts w:ascii="Times New Roman" w:hAnsi="Times New Roman"/>
          <w:bCs/>
          <w:sz w:val="24"/>
          <w:szCs w:val="24"/>
        </w:rPr>
        <w:t>są nie do pogodzenia z samorządn</w:t>
      </w:r>
      <w:r w:rsidRPr="00E24274">
        <w:rPr>
          <w:rFonts w:ascii="Times New Roman" w:hAnsi="Times New Roman"/>
          <w:bCs/>
          <w:sz w:val="24"/>
          <w:szCs w:val="24"/>
        </w:rPr>
        <w:t>ym charakter</w:t>
      </w:r>
      <w:r w:rsidR="00F06F70">
        <w:rPr>
          <w:rFonts w:ascii="Times New Roman" w:hAnsi="Times New Roman"/>
          <w:bCs/>
          <w:sz w:val="24"/>
          <w:szCs w:val="24"/>
        </w:rPr>
        <w:t>em</w:t>
      </w:r>
      <w:r w:rsidRPr="00E24274">
        <w:rPr>
          <w:rFonts w:ascii="Times New Roman" w:hAnsi="Times New Roman"/>
          <w:bCs/>
          <w:sz w:val="24"/>
          <w:szCs w:val="24"/>
        </w:rPr>
        <w:t xml:space="preserve"> organizacji, który projekt wielokrotnie potwierdza i umacnia.</w:t>
      </w:r>
    </w:p>
    <w:p w:rsidR="00D04546" w:rsidRPr="00E24274" w:rsidRDefault="00D04546" w:rsidP="00E24274">
      <w:pPr>
        <w:spacing w:before="120" w:after="0" w:line="360" w:lineRule="auto"/>
        <w:jc w:val="both"/>
        <w:rPr>
          <w:rFonts w:ascii="Times New Roman" w:hAnsi="Times New Roman"/>
          <w:b/>
          <w:sz w:val="24"/>
          <w:szCs w:val="24"/>
        </w:rPr>
      </w:pPr>
      <w:r w:rsidRPr="00E24274">
        <w:rPr>
          <w:rFonts w:ascii="Times New Roman" w:hAnsi="Times New Roman"/>
          <w:b/>
          <w:sz w:val="24"/>
          <w:szCs w:val="24"/>
        </w:rPr>
        <w:t>art. 20</w:t>
      </w:r>
    </w:p>
    <w:p w:rsidR="00D04546" w:rsidRPr="00E24274" w:rsidRDefault="00D04546" w:rsidP="00144B0B">
      <w:pPr>
        <w:spacing w:after="0" w:line="360" w:lineRule="auto"/>
        <w:jc w:val="both"/>
        <w:rPr>
          <w:rFonts w:ascii="Times New Roman" w:hAnsi="Times New Roman"/>
          <w:sz w:val="24"/>
          <w:szCs w:val="24"/>
        </w:rPr>
      </w:pPr>
      <w:r w:rsidRPr="00E24274">
        <w:rPr>
          <w:rFonts w:ascii="Times New Roman" w:hAnsi="Times New Roman"/>
          <w:sz w:val="24"/>
          <w:szCs w:val="24"/>
        </w:rPr>
        <w:t>1. Przepis określa podstawowe uprawnienia zarządu organizacji (prowadzenie spraw wewnątrz organizacji, np. czynności faktycznych czy organizacyjnych oraz reprezentowanie jej na zewnątrz), uzupełniając w ten sposób przepisy projektowanej ustawy, które regulują działalność innych podsta</w:t>
      </w:r>
      <w:r w:rsidR="00144B0B">
        <w:rPr>
          <w:rFonts w:ascii="Times New Roman" w:hAnsi="Times New Roman"/>
          <w:sz w:val="24"/>
          <w:szCs w:val="24"/>
        </w:rPr>
        <w:t>wowych organów organizacji (tj. </w:t>
      </w:r>
      <w:r w:rsidRPr="00E24274">
        <w:rPr>
          <w:rFonts w:ascii="Times New Roman" w:hAnsi="Times New Roman"/>
          <w:sz w:val="24"/>
          <w:szCs w:val="24"/>
        </w:rPr>
        <w:t>walnego zebrania członków oraz komisji rewizyjnej). Jednocześnie ust. 4, szanując samorządny charakter organizacji, umożliwia określenie szczegółowych zasad działania jej zarządu w zatwierdzonym przez niego regulaminie</w:t>
      </w:r>
      <w:r w:rsidR="00C27AD0" w:rsidRPr="00E24274">
        <w:rPr>
          <w:rFonts w:ascii="Times New Roman" w:hAnsi="Times New Roman"/>
          <w:sz w:val="24"/>
          <w:szCs w:val="24"/>
        </w:rPr>
        <w:t>, chyba że statut będzie przewidywał zatwierdzanie takiego regulaminu przez walne zebranie członków.</w:t>
      </w:r>
      <w:r w:rsidRPr="00E24274">
        <w:rPr>
          <w:rFonts w:ascii="Times New Roman" w:hAnsi="Times New Roman"/>
          <w:sz w:val="24"/>
          <w:szCs w:val="24"/>
        </w:rPr>
        <w:t xml:space="preserve"> </w:t>
      </w:r>
      <w:r w:rsidRPr="00E24274">
        <w:rPr>
          <w:rFonts w:ascii="Times New Roman" w:hAnsi="Times New Roman"/>
          <w:sz w:val="24"/>
          <w:szCs w:val="24"/>
        </w:rPr>
        <w:lastRenderedPageBreak/>
        <w:t xml:space="preserve">Projektowany przepis określa też fundamentalne zasady </w:t>
      </w:r>
      <w:r w:rsidR="00144B0B">
        <w:rPr>
          <w:rFonts w:ascii="Times New Roman" w:hAnsi="Times New Roman"/>
          <w:sz w:val="24"/>
          <w:szCs w:val="24"/>
        </w:rPr>
        <w:t>kształtowania jego składu (ust. </w:t>
      </w:r>
      <w:r w:rsidRPr="00E24274">
        <w:rPr>
          <w:rFonts w:ascii="Times New Roman" w:hAnsi="Times New Roman"/>
          <w:sz w:val="24"/>
          <w:szCs w:val="24"/>
        </w:rPr>
        <w:t>2) oraz działania zarządu (ust. 3</w:t>
      </w:r>
      <w:r w:rsidR="00A75544" w:rsidRPr="00E24274">
        <w:rPr>
          <w:rFonts w:ascii="Times New Roman" w:hAnsi="Times New Roman"/>
          <w:sz w:val="24"/>
          <w:szCs w:val="24"/>
        </w:rPr>
        <w:t xml:space="preserve"> i 4</w:t>
      </w:r>
      <w:r w:rsidRPr="00E24274">
        <w:rPr>
          <w:rFonts w:ascii="Times New Roman" w:hAnsi="Times New Roman"/>
          <w:sz w:val="24"/>
          <w:szCs w:val="24"/>
        </w:rPr>
        <w:t xml:space="preserve">). </w:t>
      </w:r>
    </w:p>
    <w:p w:rsidR="00D04546" w:rsidRPr="00E24274" w:rsidRDefault="00D04546"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2. Ust. 2 określa maksymalną kadencję zarządu organizacji (4 lata), stwierdza – zgodnie z art. 8 ust. 4 dyrektywy CRM określającym zasady decydowania o powołaniu dyrektorów – że może on być powołany wyłącznie przez walne zebranie członków oraz wprowadza ograniczenie maksymalnej liczby członków zarządu (do siedmiu). To ostatnie rozwiązanie służy zapewnieniu efektywnego działania zarządu oraz jasnego podziału kompetencji i odpowiedzialności między jego członków. Podobne ograniczenia liczby członków zarządu funkcjonują w podmiotach prowadzących często działalność na zdecydowanie szerszą skalę niż wykonywanie zbiorowego zarządzania. Projektowany przepis nie wyłącza możliwości s</w:t>
      </w:r>
      <w:r w:rsidR="00144B0B">
        <w:rPr>
          <w:rFonts w:ascii="Times New Roman" w:hAnsi="Times New Roman"/>
          <w:sz w:val="24"/>
          <w:szCs w:val="24"/>
        </w:rPr>
        <w:t>tworzenia innych organów o </w:t>
      </w:r>
      <w:r w:rsidRPr="00E24274">
        <w:rPr>
          <w:rFonts w:ascii="Times New Roman" w:hAnsi="Times New Roman"/>
          <w:sz w:val="24"/>
          <w:szCs w:val="24"/>
        </w:rPr>
        <w:t>charakterze doradczym czy opiniodawczym, które mogłyby w ramach organizacji wspierać zarząd w wykonywaniu jego funkcji.</w:t>
      </w:r>
    </w:p>
    <w:p w:rsidR="00D04546" w:rsidRPr="00E24274" w:rsidRDefault="00D04546"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3. Ust. 3 przesądza, że zasady prowadzenia spraw organ</w:t>
      </w:r>
      <w:r w:rsidR="00144B0B">
        <w:rPr>
          <w:rFonts w:ascii="Times New Roman" w:hAnsi="Times New Roman"/>
          <w:sz w:val="24"/>
          <w:szCs w:val="24"/>
        </w:rPr>
        <w:t>izacji zbiorowego zarządzania i </w:t>
      </w:r>
      <w:r w:rsidRPr="00E24274">
        <w:rPr>
          <w:rFonts w:ascii="Times New Roman" w:hAnsi="Times New Roman"/>
          <w:sz w:val="24"/>
          <w:szCs w:val="24"/>
        </w:rPr>
        <w:t xml:space="preserve">reprezentowania jej na zewnątrz przez zarząd powinny zostać określone w statucie organizacji. </w:t>
      </w:r>
    </w:p>
    <w:p w:rsidR="00773252" w:rsidRPr="00E24274" w:rsidRDefault="00D04546"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 xml:space="preserve">4. Z kolei projektowany ust. 4 określa, że zarząd będzie działał na podstawie zatwierdzonego przez siebie regulaminu, chyba że zatwierdzenie takiego regulaminu przez walne zebranie członków będzie wymagane statutem organizacji. Powyższa kwestia powinna zostać </w:t>
      </w:r>
      <w:r w:rsidR="008868B7" w:rsidRPr="00E24274">
        <w:rPr>
          <w:rFonts w:ascii="Times New Roman" w:hAnsi="Times New Roman"/>
          <w:sz w:val="24"/>
          <w:szCs w:val="24"/>
        </w:rPr>
        <w:t xml:space="preserve">rozstrzygnięta </w:t>
      </w:r>
      <w:r w:rsidRPr="00E24274">
        <w:rPr>
          <w:rFonts w:ascii="Times New Roman" w:hAnsi="Times New Roman"/>
          <w:sz w:val="24"/>
          <w:szCs w:val="24"/>
        </w:rPr>
        <w:t>przez samą organizację zbiorowego zarządzania.</w:t>
      </w:r>
    </w:p>
    <w:p w:rsidR="00D04546" w:rsidRPr="00E24274" w:rsidRDefault="00773252"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 xml:space="preserve">5. </w:t>
      </w:r>
      <w:r w:rsidR="006E74D3" w:rsidRPr="00E24274">
        <w:rPr>
          <w:rFonts w:ascii="Times New Roman" w:hAnsi="Times New Roman"/>
          <w:sz w:val="24"/>
          <w:szCs w:val="24"/>
        </w:rPr>
        <w:t>Powyższe</w:t>
      </w:r>
      <w:r w:rsidRPr="00E24274">
        <w:rPr>
          <w:rFonts w:ascii="Times New Roman" w:hAnsi="Times New Roman"/>
          <w:sz w:val="24"/>
          <w:szCs w:val="24"/>
        </w:rPr>
        <w:t xml:space="preserve"> przepisy</w:t>
      </w:r>
      <w:r w:rsidR="001425EB" w:rsidRPr="00E24274">
        <w:rPr>
          <w:rFonts w:ascii="Times New Roman" w:hAnsi="Times New Roman"/>
          <w:sz w:val="24"/>
          <w:szCs w:val="24"/>
        </w:rPr>
        <w:t xml:space="preserve">, łącznie z </w:t>
      </w:r>
      <w:r w:rsidR="006E74D3" w:rsidRPr="00E24274">
        <w:rPr>
          <w:rFonts w:ascii="Times New Roman" w:hAnsi="Times New Roman"/>
          <w:sz w:val="24"/>
          <w:szCs w:val="24"/>
        </w:rPr>
        <w:t>przepisami</w:t>
      </w:r>
      <w:r w:rsidR="001425EB" w:rsidRPr="00E24274">
        <w:rPr>
          <w:rFonts w:ascii="Times New Roman" w:hAnsi="Times New Roman"/>
          <w:sz w:val="24"/>
          <w:szCs w:val="24"/>
        </w:rPr>
        <w:t xml:space="preserve"> art. 21</w:t>
      </w:r>
      <w:r w:rsidR="00B85D46">
        <w:rPr>
          <w:rFonts w:ascii="Times New Roman" w:hAnsi="Times New Roman"/>
          <w:sz w:val="24"/>
          <w:szCs w:val="24"/>
        </w:rPr>
        <w:t>–</w:t>
      </w:r>
      <w:r w:rsidR="001425EB" w:rsidRPr="00E24274">
        <w:rPr>
          <w:rFonts w:ascii="Times New Roman" w:hAnsi="Times New Roman"/>
          <w:sz w:val="24"/>
          <w:szCs w:val="24"/>
        </w:rPr>
        <w:t>24</w:t>
      </w:r>
      <w:r w:rsidR="006E74D3" w:rsidRPr="00E24274">
        <w:rPr>
          <w:rFonts w:ascii="Times New Roman" w:hAnsi="Times New Roman"/>
          <w:sz w:val="24"/>
          <w:szCs w:val="24"/>
        </w:rPr>
        <w:t xml:space="preserve"> projektu,</w:t>
      </w:r>
      <w:r w:rsidRPr="00E24274">
        <w:rPr>
          <w:rFonts w:ascii="Times New Roman" w:hAnsi="Times New Roman"/>
          <w:sz w:val="24"/>
          <w:szCs w:val="24"/>
        </w:rPr>
        <w:t xml:space="preserve"> </w:t>
      </w:r>
      <w:r w:rsidR="006E74D3" w:rsidRPr="00E24274">
        <w:rPr>
          <w:rFonts w:ascii="Times New Roman" w:hAnsi="Times New Roman"/>
          <w:sz w:val="24"/>
          <w:szCs w:val="24"/>
        </w:rPr>
        <w:t>zapewniają</w:t>
      </w:r>
      <w:r w:rsidRPr="00E24274">
        <w:rPr>
          <w:rFonts w:ascii="Times New Roman" w:hAnsi="Times New Roman"/>
          <w:sz w:val="24"/>
          <w:szCs w:val="24"/>
        </w:rPr>
        <w:t xml:space="preserve"> wdrożenie art.</w:t>
      </w:r>
      <w:r w:rsidR="00781574" w:rsidRPr="00E24274">
        <w:rPr>
          <w:rFonts w:ascii="Times New Roman" w:hAnsi="Times New Roman"/>
          <w:sz w:val="24"/>
          <w:szCs w:val="24"/>
        </w:rPr>
        <w:t xml:space="preserve"> 1</w:t>
      </w:r>
      <w:r w:rsidRPr="00E24274">
        <w:rPr>
          <w:rFonts w:ascii="Times New Roman" w:hAnsi="Times New Roman"/>
          <w:sz w:val="24"/>
          <w:szCs w:val="24"/>
        </w:rPr>
        <w:t xml:space="preserve">0 ust. 1 dyrektywy CRM, zobowiązującego osoby kierujące działalnością organizacji, aby </w:t>
      </w:r>
      <w:r w:rsidR="00E24274">
        <w:rPr>
          <w:rFonts w:ascii="Times New Roman" w:hAnsi="Times New Roman"/>
          <w:sz w:val="24"/>
          <w:szCs w:val="24"/>
        </w:rPr>
        <w:t>„</w:t>
      </w:r>
      <w:r w:rsidRPr="00E24274">
        <w:rPr>
          <w:rFonts w:ascii="Times New Roman" w:hAnsi="Times New Roman"/>
          <w:sz w:val="24"/>
          <w:szCs w:val="24"/>
        </w:rPr>
        <w:t>robiły to w sposób prawidłowy, ostrożny i właściwy, z zastosowaniem solidnych procedur administracyjnych i księgowych oraz mechanizmów kontroli wewnętrznej</w:t>
      </w:r>
      <w:r w:rsidR="00E24274">
        <w:rPr>
          <w:rFonts w:ascii="Times New Roman" w:hAnsi="Times New Roman"/>
          <w:sz w:val="24"/>
          <w:szCs w:val="24"/>
        </w:rPr>
        <w:t>”</w:t>
      </w:r>
      <w:r w:rsidR="001425EB" w:rsidRPr="00E24274">
        <w:rPr>
          <w:rFonts w:ascii="Times New Roman" w:hAnsi="Times New Roman"/>
          <w:sz w:val="24"/>
          <w:szCs w:val="24"/>
        </w:rPr>
        <w:t>.</w:t>
      </w:r>
    </w:p>
    <w:p w:rsidR="00D04546" w:rsidRPr="00E24274" w:rsidRDefault="00D04546" w:rsidP="00E24274">
      <w:pPr>
        <w:spacing w:before="120" w:after="0" w:line="360" w:lineRule="auto"/>
        <w:jc w:val="both"/>
        <w:rPr>
          <w:rFonts w:ascii="Times New Roman" w:hAnsi="Times New Roman"/>
          <w:b/>
          <w:sz w:val="24"/>
          <w:szCs w:val="24"/>
        </w:rPr>
      </w:pPr>
      <w:r w:rsidRPr="00E24274">
        <w:rPr>
          <w:rFonts w:ascii="Times New Roman" w:hAnsi="Times New Roman"/>
          <w:b/>
          <w:sz w:val="24"/>
          <w:szCs w:val="24"/>
        </w:rPr>
        <w:t>art. 21</w:t>
      </w:r>
    </w:p>
    <w:p w:rsidR="00D04546" w:rsidRPr="00E24274" w:rsidRDefault="00D04546" w:rsidP="00144B0B">
      <w:pPr>
        <w:spacing w:after="0" w:line="360" w:lineRule="auto"/>
        <w:jc w:val="both"/>
        <w:rPr>
          <w:rFonts w:ascii="Times New Roman" w:hAnsi="Times New Roman"/>
          <w:sz w:val="24"/>
          <w:szCs w:val="24"/>
        </w:rPr>
      </w:pPr>
      <w:r w:rsidRPr="00E24274">
        <w:rPr>
          <w:rFonts w:ascii="Times New Roman" w:hAnsi="Times New Roman"/>
          <w:sz w:val="24"/>
          <w:szCs w:val="24"/>
        </w:rPr>
        <w:t xml:space="preserve">1. Przepis stanowi wdrożenie art. 10 ust. 2 dyrektywy CRM, służącego unikaniu konfliktu interesów wewnątrz organizacji, w szczególności w przypadku osób kierujących jej działalnością. Ust. 1 wyraża przy tym wprost ogólną zasadę, którą powinny kierować się takie osoby w toku swojej działalności, koncentrując się na unikaniu konfliktu interesów z organizacją. </w:t>
      </w:r>
    </w:p>
    <w:p w:rsidR="00D04546" w:rsidRPr="00E24274" w:rsidRDefault="00D04546"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lastRenderedPageBreak/>
        <w:t>2. Ust. 2 jest odwzorowaniem treści art. 10 ust. 2 zd. 2 dyrektywy CRM określającego obowiązkową procedurę służącą unikaniu konfliktów interesów między osobami kierującymi organizacją a samą organizacją. Polega ona na składaniu walnemu zebraniu członków oświadczeń zawierających informacje wyliczone w treści art. 10 ust. 2 zd. 2 dyrektywy CRM lit. a</w:t>
      </w:r>
      <w:r w:rsidR="00B85D46">
        <w:rPr>
          <w:rFonts w:ascii="Times New Roman" w:hAnsi="Times New Roman"/>
          <w:sz w:val="24"/>
          <w:szCs w:val="24"/>
        </w:rPr>
        <w:t>–</w:t>
      </w:r>
      <w:r w:rsidRPr="00E24274">
        <w:rPr>
          <w:rFonts w:ascii="Times New Roman" w:hAnsi="Times New Roman"/>
          <w:sz w:val="24"/>
          <w:szCs w:val="24"/>
        </w:rPr>
        <w:t>d na pierwszym walnym zebraniu członków w danym roku kalendarzowym. Oświadczenia takie służą uzyskaniu przez członków organizacji wiedzy na temat interesów łączących osoby kierujące organizacj</w:t>
      </w:r>
      <w:r w:rsidR="00F06F70">
        <w:rPr>
          <w:rFonts w:ascii="Times New Roman" w:hAnsi="Times New Roman"/>
          <w:sz w:val="24"/>
          <w:szCs w:val="24"/>
        </w:rPr>
        <w:t>ą</w:t>
      </w:r>
      <w:r w:rsidRPr="00E24274">
        <w:rPr>
          <w:rFonts w:ascii="Times New Roman" w:hAnsi="Times New Roman"/>
          <w:sz w:val="24"/>
          <w:szCs w:val="24"/>
        </w:rPr>
        <w:t xml:space="preserve"> z organizacją, w tym wiedzy na temat kwot wynagrodzeń lub innych świadczeń uzyskiwanych przez takie osoby od organizacji. Wiedza taka ma na celu umożliwienie członkom organizacji realizację w praktyce kontroli nad działalnością osób nią kierujących, określając pole potencjalnych i rzeczywistych konfliktów interesów, które mogą wystąpić w toku aktywności takich osób podejmowanej w organizacji. Oświadczenia takie winny również umożliwić wdrożenie instrumentów wskazanych w art. 22 projektu.</w:t>
      </w:r>
    </w:p>
    <w:p w:rsidR="008868B7" w:rsidRPr="00E24274" w:rsidRDefault="008868B7"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 xml:space="preserve">3. Ust. 3 wprowadza sankcję karną za złożenie fałszywego oświadczenia. Rozwiązanie to jest </w:t>
      </w:r>
      <w:r w:rsidR="00D8246A" w:rsidRPr="00E24274">
        <w:rPr>
          <w:rFonts w:ascii="Times New Roman" w:hAnsi="Times New Roman"/>
          <w:sz w:val="24"/>
          <w:szCs w:val="24"/>
        </w:rPr>
        <w:t xml:space="preserve">od dawna </w:t>
      </w:r>
      <w:r w:rsidRPr="00E24274">
        <w:rPr>
          <w:rFonts w:ascii="Times New Roman" w:hAnsi="Times New Roman"/>
          <w:sz w:val="24"/>
          <w:szCs w:val="24"/>
        </w:rPr>
        <w:t>stosowane w polskim systemie prawnym w przypadku różnego typu oświadczeń, które są składane przez osoby fizyczne i rodzą okr</w:t>
      </w:r>
      <w:r w:rsidR="00D8246A" w:rsidRPr="00E24274">
        <w:rPr>
          <w:rFonts w:ascii="Times New Roman" w:hAnsi="Times New Roman"/>
          <w:sz w:val="24"/>
          <w:szCs w:val="24"/>
        </w:rPr>
        <w:t>eślone skutki prawne.</w:t>
      </w:r>
      <w:r w:rsidRPr="00E24274">
        <w:rPr>
          <w:rFonts w:ascii="Times New Roman" w:hAnsi="Times New Roman"/>
          <w:sz w:val="24"/>
          <w:szCs w:val="24"/>
        </w:rPr>
        <w:t xml:space="preserve"> </w:t>
      </w:r>
      <w:r w:rsidR="00144B0B">
        <w:rPr>
          <w:rFonts w:ascii="Times New Roman" w:hAnsi="Times New Roman"/>
          <w:sz w:val="24"/>
          <w:szCs w:val="24"/>
        </w:rPr>
        <w:t>Z </w:t>
      </w:r>
      <w:r w:rsidR="00E1572C" w:rsidRPr="00E24274">
        <w:rPr>
          <w:rFonts w:ascii="Times New Roman" w:hAnsi="Times New Roman"/>
          <w:sz w:val="24"/>
          <w:szCs w:val="24"/>
        </w:rPr>
        <w:t>uwagi na konieczność precyzyjnego formułowania zakresu odpowiedzialności karnej nie będzie nią objęte składanie oświadczeń w zakresie potencjalnego konfliktu interesów (a więc dotyczących okoliczności, które mogą prowadzić do powstania takiego konfliktu).</w:t>
      </w:r>
    </w:p>
    <w:p w:rsidR="00D04546" w:rsidRPr="00E24274" w:rsidRDefault="00D04546" w:rsidP="00E24274">
      <w:pPr>
        <w:spacing w:before="120" w:after="0" w:line="360" w:lineRule="auto"/>
        <w:jc w:val="both"/>
        <w:rPr>
          <w:rFonts w:ascii="Times New Roman" w:hAnsi="Times New Roman"/>
          <w:b/>
          <w:sz w:val="24"/>
          <w:szCs w:val="24"/>
        </w:rPr>
      </w:pPr>
      <w:r w:rsidRPr="00E24274">
        <w:rPr>
          <w:rFonts w:ascii="Times New Roman" w:hAnsi="Times New Roman"/>
          <w:b/>
          <w:sz w:val="24"/>
          <w:szCs w:val="24"/>
        </w:rPr>
        <w:t>art. 22</w:t>
      </w:r>
    </w:p>
    <w:p w:rsidR="00D04546" w:rsidRPr="00E24274" w:rsidRDefault="00D04546" w:rsidP="00144B0B">
      <w:pPr>
        <w:spacing w:after="0" w:line="360" w:lineRule="auto"/>
        <w:jc w:val="both"/>
        <w:rPr>
          <w:rFonts w:ascii="Times New Roman" w:hAnsi="Times New Roman"/>
          <w:sz w:val="24"/>
          <w:szCs w:val="24"/>
        </w:rPr>
      </w:pPr>
      <w:r w:rsidRPr="00E24274">
        <w:rPr>
          <w:rFonts w:ascii="Times New Roman" w:hAnsi="Times New Roman"/>
          <w:sz w:val="24"/>
          <w:szCs w:val="24"/>
        </w:rPr>
        <w:t>Projektowany przepis służy uniknięciu konfliktu inter</w:t>
      </w:r>
      <w:r w:rsidR="00144B0B">
        <w:rPr>
          <w:rFonts w:ascii="Times New Roman" w:hAnsi="Times New Roman"/>
          <w:sz w:val="24"/>
          <w:szCs w:val="24"/>
        </w:rPr>
        <w:t>esów między członkiem zarządu a </w:t>
      </w:r>
      <w:r w:rsidRPr="00E24274">
        <w:rPr>
          <w:rFonts w:ascii="Times New Roman" w:hAnsi="Times New Roman"/>
          <w:sz w:val="24"/>
          <w:szCs w:val="24"/>
        </w:rPr>
        <w:t>organizacją. Rozwiązania w nim przyjęte są wzorowane na funkcjonujących regulacjach w spółkach prawa handlowego, a mianowicie:</w:t>
      </w:r>
    </w:p>
    <w:p w:rsidR="00D04546" w:rsidRPr="00E24274" w:rsidRDefault="00D04546" w:rsidP="00144B0B">
      <w:pPr>
        <w:numPr>
          <w:ilvl w:val="0"/>
          <w:numId w:val="18"/>
        </w:numPr>
        <w:spacing w:before="120" w:after="0" w:line="360" w:lineRule="auto"/>
        <w:ind w:left="322" w:hanging="294"/>
        <w:jc w:val="both"/>
        <w:rPr>
          <w:rFonts w:ascii="Times New Roman" w:hAnsi="Times New Roman"/>
          <w:sz w:val="24"/>
          <w:szCs w:val="24"/>
        </w:rPr>
      </w:pPr>
      <w:r w:rsidRPr="00E24274">
        <w:rPr>
          <w:rFonts w:ascii="Times New Roman" w:hAnsi="Times New Roman"/>
          <w:sz w:val="24"/>
          <w:szCs w:val="24"/>
        </w:rPr>
        <w:t xml:space="preserve">obowiązku zawierania umów pomiędzy członkiem zarządu a spółką za pośrednictwem członka komisji rewizyjnej wskazanego w jej uchwale lub pełnomocnika powołanego uchwałą walnego zgromadzenia (art. 210 oraz </w:t>
      </w:r>
      <w:r w:rsidR="00F06F70">
        <w:rPr>
          <w:rFonts w:ascii="Times New Roman" w:hAnsi="Times New Roman"/>
          <w:sz w:val="24"/>
          <w:szCs w:val="24"/>
        </w:rPr>
        <w:t xml:space="preserve">art. </w:t>
      </w:r>
      <w:r w:rsidRPr="00E24274">
        <w:rPr>
          <w:rFonts w:ascii="Times New Roman" w:hAnsi="Times New Roman"/>
          <w:sz w:val="24"/>
          <w:szCs w:val="24"/>
        </w:rPr>
        <w:t>379 ksh);</w:t>
      </w:r>
    </w:p>
    <w:p w:rsidR="00D04546" w:rsidRPr="00E24274" w:rsidRDefault="00D04546" w:rsidP="00144B0B">
      <w:pPr>
        <w:numPr>
          <w:ilvl w:val="0"/>
          <w:numId w:val="18"/>
        </w:numPr>
        <w:spacing w:before="120" w:after="0" w:line="360" w:lineRule="auto"/>
        <w:ind w:left="322" w:hanging="294"/>
        <w:jc w:val="both"/>
        <w:rPr>
          <w:rFonts w:ascii="Times New Roman" w:hAnsi="Times New Roman"/>
          <w:sz w:val="24"/>
          <w:szCs w:val="24"/>
        </w:rPr>
      </w:pPr>
      <w:r w:rsidRPr="00E24274">
        <w:rPr>
          <w:rFonts w:ascii="Times New Roman" w:hAnsi="Times New Roman"/>
          <w:sz w:val="24"/>
          <w:szCs w:val="24"/>
        </w:rPr>
        <w:t xml:space="preserve">obowiązku reprezentowania spółki w sporach z członkiem zarządu przez członka komisji rewizyjnej wskazanego w jej uchwale lub pełnomocnika powołanego uchwałą walnego zgromadzenia (art. 210 oraz </w:t>
      </w:r>
      <w:r w:rsidR="00F06F70">
        <w:rPr>
          <w:rFonts w:ascii="Times New Roman" w:hAnsi="Times New Roman"/>
          <w:sz w:val="24"/>
          <w:szCs w:val="24"/>
        </w:rPr>
        <w:t xml:space="preserve">art. </w:t>
      </w:r>
      <w:r w:rsidRPr="00E24274">
        <w:rPr>
          <w:rFonts w:ascii="Times New Roman" w:hAnsi="Times New Roman"/>
          <w:sz w:val="24"/>
          <w:szCs w:val="24"/>
        </w:rPr>
        <w:t>379 ksh).</w:t>
      </w:r>
    </w:p>
    <w:p w:rsidR="00D04546" w:rsidRPr="00E24274" w:rsidRDefault="00D04546"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lastRenderedPageBreak/>
        <w:t>Przepis odwołuje się więc do rozwiązań od dawna znanych i sprawdzonych w polskim porządku prawnym, które zapewniają minimalne standardy bezstronności i</w:t>
      </w:r>
      <w:r w:rsidR="00144B0B">
        <w:rPr>
          <w:rFonts w:ascii="Times New Roman" w:hAnsi="Times New Roman"/>
          <w:sz w:val="24"/>
          <w:szCs w:val="24"/>
        </w:rPr>
        <w:t> </w:t>
      </w:r>
      <w:r w:rsidRPr="00E24274">
        <w:rPr>
          <w:rFonts w:ascii="Times New Roman" w:hAnsi="Times New Roman"/>
          <w:sz w:val="24"/>
          <w:szCs w:val="24"/>
        </w:rPr>
        <w:t>transparentności w przypadku relacji między członkiem organu, który jest odpowiedzialny za reprezentowanie danego podmiotu, w tym wypadku organizacji zbiorowego zarządzania oraz podejmowanie w niej bieżących decyzji, a samą organizacją. Przepis służy ochronie interesów organi</w:t>
      </w:r>
      <w:r w:rsidR="00144B0B">
        <w:rPr>
          <w:rFonts w:ascii="Times New Roman" w:hAnsi="Times New Roman"/>
          <w:sz w:val="24"/>
          <w:szCs w:val="24"/>
        </w:rPr>
        <w:t>zacji, a także wyeliminowaniu w </w:t>
      </w:r>
      <w:r w:rsidRPr="00E24274">
        <w:rPr>
          <w:rFonts w:ascii="Times New Roman" w:hAnsi="Times New Roman"/>
          <w:sz w:val="24"/>
          <w:szCs w:val="24"/>
        </w:rPr>
        <w:t>praktyce ewentualnych nadużyć i sporów wewnątrz organizacji. Służy on zapewnieniu w praktyce realizacji zasady wyrażonej w art. 21 ust. 1 projektu, będąc implementacją art. 10 ust</w:t>
      </w:r>
      <w:r w:rsidR="00513AD7" w:rsidRPr="00E24274">
        <w:rPr>
          <w:rFonts w:ascii="Times New Roman" w:hAnsi="Times New Roman"/>
          <w:sz w:val="24"/>
          <w:szCs w:val="24"/>
        </w:rPr>
        <w:t>.</w:t>
      </w:r>
      <w:r w:rsidRPr="00E24274">
        <w:rPr>
          <w:rFonts w:ascii="Times New Roman" w:hAnsi="Times New Roman"/>
          <w:sz w:val="24"/>
          <w:szCs w:val="24"/>
        </w:rPr>
        <w:t xml:space="preserve"> 2 dyrektywy CRM i stanowiąc jedną z procedur </w:t>
      </w:r>
      <w:r w:rsidR="00E24274">
        <w:rPr>
          <w:rFonts w:ascii="Times New Roman" w:hAnsi="Times New Roman"/>
          <w:sz w:val="24"/>
          <w:szCs w:val="24"/>
        </w:rPr>
        <w:t>„</w:t>
      </w:r>
      <w:r w:rsidRPr="00E24274">
        <w:rPr>
          <w:rFonts w:ascii="Times New Roman" w:hAnsi="Times New Roman"/>
          <w:i/>
          <w:sz w:val="24"/>
          <w:szCs w:val="24"/>
        </w:rPr>
        <w:t>mających na celu unikanie konfliktu interesów</w:t>
      </w:r>
      <w:r w:rsidR="00E24274">
        <w:rPr>
          <w:rFonts w:ascii="Times New Roman" w:hAnsi="Times New Roman"/>
          <w:i/>
          <w:sz w:val="24"/>
          <w:szCs w:val="24"/>
        </w:rPr>
        <w:t>”</w:t>
      </w:r>
      <w:r w:rsidRPr="00E24274">
        <w:rPr>
          <w:rFonts w:ascii="Times New Roman" w:hAnsi="Times New Roman"/>
          <w:sz w:val="24"/>
          <w:szCs w:val="24"/>
        </w:rPr>
        <w:t>, które państwa członkowskie UE winny wprowadzić przy okazji regulowania statusu organizacji zbiorowego zarządzania.</w:t>
      </w:r>
    </w:p>
    <w:p w:rsidR="00D04546" w:rsidRPr="00E24274" w:rsidRDefault="00D04546" w:rsidP="00E24274">
      <w:pPr>
        <w:spacing w:before="120" w:after="0" w:line="360" w:lineRule="auto"/>
        <w:jc w:val="both"/>
        <w:rPr>
          <w:rFonts w:ascii="Times New Roman" w:hAnsi="Times New Roman"/>
          <w:b/>
          <w:sz w:val="24"/>
          <w:szCs w:val="24"/>
        </w:rPr>
      </w:pPr>
      <w:r w:rsidRPr="00E24274">
        <w:rPr>
          <w:rFonts w:ascii="Times New Roman" w:hAnsi="Times New Roman"/>
          <w:b/>
          <w:sz w:val="24"/>
          <w:szCs w:val="24"/>
        </w:rPr>
        <w:t>art. 23</w:t>
      </w:r>
    </w:p>
    <w:p w:rsidR="00D04546" w:rsidRPr="00E24274" w:rsidRDefault="00D04546" w:rsidP="00144B0B">
      <w:pPr>
        <w:spacing w:after="0" w:line="360" w:lineRule="auto"/>
        <w:jc w:val="both"/>
        <w:rPr>
          <w:rFonts w:ascii="Times New Roman" w:hAnsi="Times New Roman"/>
          <w:i/>
          <w:sz w:val="24"/>
          <w:szCs w:val="24"/>
        </w:rPr>
      </w:pPr>
      <w:r w:rsidRPr="00E24274">
        <w:rPr>
          <w:rFonts w:ascii="Times New Roman" w:hAnsi="Times New Roman"/>
          <w:sz w:val="24"/>
          <w:szCs w:val="24"/>
        </w:rPr>
        <w:t>1. Ust. 1 projektowanego przepisu stanowi implementację</w:t>
      </w:r>
      <w:r w:rsidR="00144B0B">
        <w:rPr>
          <w:rFonts w:ascii="Times New Roman" w:hAnsi="Times New Roman"/>
          <w:sz w:val="24"/>
          <w:szCs w:val="24"/>
        </w:rPr>
        <w:t xml:space="preserve"> do polskiego prawa art. 9 ust. </w:t>
      </w:r>
      <w:r w:rsidRPr="00E24274">
        <w:rPr>
          <w:rFonts w:ascii="Times New Roman" w:hAnsi="Times New Roman"/>
          <w:sz w:val="24"/>
          <w:szCs w:val="24"/>
        </w:rPr>
        <w:t xml:space="preserve">1 i 4 dyrektywy CRM, który nakazuje państwom członkowskim ustanowienie wewnątrz organizacji zbiorowego zarządzania niezależnego organu odpowiedzialnego za stałą kontrolę osób kierujących organizacją pod kątem prawidłowego wykonywania przez nie swoich obowiązków. Obowiązek taki aktualnie wynika też z art. 11 ust. 3 Prawa o stowarzyszeniach, ale przepis ten nie określa kompetencji ani podstawowych zasad działania komisji rewizyjnej. Podstawową </w:t>
      </w:r>
      <w:r w:rsidR="003B0BF7">
        <w:rPr>
          <w:rFonts w:ascii="Times New Roman" w:hAnsi="Times New Roman"/>
          <w:sz w:val="24"/>
          <w:szCs w:val="24"/>
        </w:rPr>
        <w:t>płaszczyzną, pod kątem której w </w:t>
      </w:r>
      <w:r w:rsidRPr="00E24274">
        <w:rPr>
          <w:rFonts w:ascii="Times New Roman" w:hAnsi="Times New Roman"/>
          <w:sz w:val="24"/>
          <w:szCs w:val="24"/>
        </w:rPr>
        <w:t>interesie uprawnionych powinna być dokonywana taka kontrola</w:t>
      </w:r>
      <w:r w:rsidR="00513AD7" w:rsidRPr="00E24274">
        <w:rPr>
          <w:rFonts w:ascii="Times New Roman" w:hAnsi="Times New Roman"/>
          <w:sz w:val="24"/>
          <w:szCs w:val="24"/>
        </w:rPr>
        <w:t>,</w:t>
      </w:r>
      <w:r w:rsidRPr="00E24274">
        <w:rPr>
          <w:rFonts w:ascii="Times New Roman" w:hAnsi="Times New Roman"/>
          <w:sz w:val="24"/>
          <w:szCs w:val="24"/>
        </w:rPr>
        <w:t xml:space="preserve"> jest zgodność czynności podejmowanych przez osoby kierujące organizacją z przepisami powszechnie obowiązującego prawa oraz przepisami wewnętrznymi ustanowionymi przez samą organizację. Otwartą listę tych ostatnich, określającą najważniejsze z aktów wewnętrznych organizacji wiążących także osoby nią kierujące, zawiera ustęp 1 </w:t>
      </w:r>
      <w:r w:rsidRPr="00E24274">
        <w:rPr>
          <w:rFonts w:ascii="Times New Roman" w:hAnsi="Times New Roman"/>
          <w:i/>
          <w:sz w:val="24"/>
          <w:szCs w:val="24"/>
        </w:rPr>
        <w:t>in fine.</w:t>
      </w:r>
    </w:p>
    <w:p w:rsidR="00D04546" w:rsidRPr="00E24274" w:rsidRDefault="00D04546"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 xml:space="preserve">2. Ust. 2 projektowanego przepisu pozwala członkom organizacji – o ile taka wola zostanie wyrażona w jej statucie – na przeniesienie </w:t>
      </w:r>
      <w:r w:rsidR="003B0BF7">
        <w:rPr>
          <w:rFonts w:ascii="Times New Roman" w:hAnsi="Times New Roman"/>
          <w:sz w:val="24"/>
          <w:szCs w:val="24"/>
        </w:rPr>
        <w:t>części kompetencji związanych z </w:t>
      </w:r>
      <w:r w:rsidRPr="00E24274">
        <w:rPr>
          <w:rFonts w:ascii="Times New Roman" w:hAnsi="Times New Roman"/>
          <w:sz w:val="24"/>
          <w:szCs w:val="24"/>
        </w:rPr>
        <w:t>podejmowaniem operacyjnych decyzji bezpośrednio związanych z zarządzaniem mieniem organizacji lub nawiązywaniem relacji z podmiotami trzecimi z walnego zebrania członków (lub zebrania delegatów) na komisję rewizyjną. Elastyczność państwom członkowskim w tym zakresie zapewnia art. 8 ust. 6 dyrektywy CRM, który określa takie przypadki – w projekcie z</w:t>
      </w:r>
      <w:r w:rsidR="008C2CE3" w:rsidRPr="00E24274">
        <w:rPr>
          <w:rFonts w:ascii="Times New Roman" w:hAnsi="Times New Roman"/>
          <w:sz w:val="24"/>
          <w:szCs w:val="24"/>
        </w:rPr>
        <w:t>ostały one ujęte w art. 17 pkt 9</w:t>
      </w:r>
      <w:r w:rsidR="00B85D46">
        <w:rPr>
          <w:rFonts w:ascii="Times New Roman" w:hAnsi="Times New Roman"/>
          <w:sz w:val="24"/>
          <w:szCs w:val="24"/>
        </w:rPr>
        <w:t>–</w:t>
      </w:r>
      <w:r w:rsidR="008C2CE3" w:rsidRPr="00E24274">
        <w:rPr>
          <w:rFonts w:ascii="Times New Roman" w:hAnsi="Times New Roman"/>
          <w:sz w:val="24"/>
          <w:szCs w:val="24"/>
        </w:rPr>
        <w:t>14</w:t>
      </w:r>
      <w:r w:rsidRPr="00E24274">
        <w:rPr>
          <w:rFonts w:ascii="Times New Roman" w:hAnsi="Times New Roman"/>
          <w:sz w:val="24"/>
          <w:szCs w:val="24"/>
        </w:rPr>
        <w:t xml:space="preserve">. Skorzystanie przez polskiego ustawodawcę z możliwości przewidzianej w dyrektywie winno, o ile członkowie organizacji zdecydują się na szersze ukształtowanie kompetencji komisji </w:t>
      </w:r>
      <w:r w:rsidRPr="00E24274">
        <w:rPr>
          <w:rFonts w:ascii="Times New Roman" w:hAnsi="Times New Roman"/>
          <w:sz w:val="24"/>
          <w:szCs w:val="24"/>
        </w:rPr>
        <w:lastRenderedPageBreak/>
        <w:t>rewizyjnej, ułatwić organizacji bieżące funkcjonowanie. W sytuacji gdyby taka droga pozostawała zamknięta, konieczne dla podejmowania operacyjnych decyzji byłoby częstsze i wiążące się z ponoszeniem kosztów zwoływanie walnego zebrania członków (lub zebrania delegatów) lub czekanie z operacyjnymi dec</w:t>
      </w:r>
      <w:r w:rsidR="003B0BF7">
        <w:rPr>
          <w:rFonts w:ascii="Times New Roman" w:hAnsi="Times New Roman"/>
          <w:sz w:val="24"/>
          <w:szCs w:val="24"/>
        </w:rPr>
        <w:t>yzjami przez dłuższy czas (do </w:t>
      </w:r>
      <w:r w:rsidRPr="00E24274">
        <w:rPr>
          <w:rFonts w:ascii="Times New Roman" w:hAnsi="Times New Roman"/>
          <w:sz w:val="24"/>
          <w:szCs w:val="24"/>
        </w:rPr>
        <w:t>kolejnego corocznego walnego zebrania członków lub zebrania delegatów).</w:t>
      </w:r>
    </w:p>
    <w:p w:rsidR="00D04546" w:rsidRPr="00E24274" w:rsidRDefault="00D04546"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 xml:space="preserve">3. Ust. </w:t>
      </w:r>
      <w:r w:rsidR="00D8246A" w:rsidRPr="00E24274">
        <w:rPr>
          <w:rFonts w:ascii="Times New Roman" w:hAnsi="Times New Roman"/>
          <w:sz w:val="24"/>
          <w:szCs w:val="24"/>
        </w:rPr>
        <w:t xml:space="preserve">3 </w:t>
      </w:r>
      <w:r w:rsidRPr="00E24274">
        <w:rPr>
          <w:rFonts w:ascii="Times New Roman" w:hAnsi="Times New Roman"/>
          <w:sz w:val="24"/>
          <w:szCs w:val="24"/>
        </w:rPr>
        <w:t>pozwala także członkom organizacji na zdecydowanie przy okazji uchwalania statutu, czy przedmiotem dodatkowej zgody komisji rewizyjnej nie powinny być także inne bieżące czynności prawne i faktycz</w:t>
      </w:r>
      <w:r w:rsidR="008C2CE3" w:rsidRPr="00E24274">
        <w:rPr>
          <w:rFonts w:ascii="Times New Roman" w:hAnsi="Times New Roman"/>
          <w:sz w:val="24"/>
          <w:szCs w:val="24"/>
        </w:rPr>
        <w:t>ne niż określone w art. 17 pkt 9</w:t>
      </w:r>
      <w:r w:rsidR="00B85D46">
        <w:rPr>
          <w:rFonts w:ascii="Times New Roman" w:hAnsi="Times New Roman"/>
          <w:sz w:val="24"/>
          <w:szCs w:val="24"/>
        </w:rPr>
        <w:t>–</w:t>
      </w:r>
      <w:r w:rsidR="008C2CE3" w:rsidRPr="00E24274">
        <w:rPr>
          <w:rFonts w:ascii="Times New Roman" w:hAnsi="Times New Roman"/>
          <w:sz w:val="24"/>
          <w:szCs w:val="24"/>
        </w:rPr>
        <w:t>14</w:t>
      </w:r>
      <w:r w:rsidRPr="00E24274">
        <w:rPr>
          <w:rFonts w:ascii="Times New Roman" w:hAnsi="Times New Roman"/>
          <w:sz w:val="24"/>
          <w:szCs w:val="24"/>
        </w:rPr>
        <w:t xml:space="preserve"> projektu</w:t>
      </w:r>
      <w:r w:rsidR="00D8246A" w:rsidRPr="00E24274">
        <w:rPr>
          <w:rFonts w:ascii="Times New Roman" w:hAnsi="Times New Roman"/>
          <w:sz w:val="24"/>
          <w:szCs w:val="24"/>
        </w:rPr>
        <w:t>. Chodzi o czynności faktyczne i prawne</w:t>
      </w:r>
      <w:r w:rsidRPr="00E24274">
        <w:rPr>
          <w:rFonts w:ascii="Times New Roman" w:hAnsi="Times New Roman"/>
          <w:sz w:val="24"/>
          <w:szCs w:val="24"/>
        </w:rPr>
        <w:t xml:space="preserve">, które co do zasady </w:t>
      </w:r>
      <w:r w:rsidR="00D8246A" w:rsidRPr="00E24274">
        <w:rPr>
          <w:rFonts w:ascii="Times New Roman" w:hAnsi="Times New Roman"/>
          <w:sz w:val="24"/>
          <w:szCs w:val="24"/>
        </w:rPr>
        <w:t xml:space="preserve">może </w:t>
      </w:r>
      <w:r w:rsidRPr="00E24274">
        <w:rPr>
          <w:rFonts w:ascii="Times New Roman" w:hAnsi="Times New Roman"/>
          <w:sz w:val="24"/>
          <w:szCs w:val="24"/>
        </w:rPr>
        <w:t>podejm</w:t>
      </w:r>
      <w:r w:rsidR="00D8246A" w:rsidRPr="00E24274">
        <w:rPr>
          <w:rFonts w:ascii="Times New Roman" w:hAnsi="Times New Roman"/>
          <w:sz w:val="24"/>
          <w:szCs w:val="24"/>
        </w:rPr>
        <w:t xml:space="preserve">ować – bez dodatkowej zgody innego organu organizacji </w:t>
      </w:r>
      <w:r w:rsidR="008C2CE3" w:rsidRPr="00E24274">
        <w:rPr>
          <w:rFonts w:ascii="Times New Roman" w:hAnsi="Times New Roman"/>
          <w:sz w:val="24"/>
          <w:szCs w:val="24"/>
        </w:rPr>
        <w:t>–</w:t>
      </w:r>
      <w:r w:rsidR="00D8246A" w:rsidRPr="00E24274">
        <w:rPr>
          <w:rFonts w:ascii="Times New Roman" w:hAnsi="Times New Roman"/>
          <w:sz w:val="24"/>
          <w:szCs w:val="24"/>
        </w:rPr>
        <w:t xml:space="preserve"> </w:t>
      </w:r>
      <w:r w:rsidRPr="00E24274">
        <w:rPr>
          <w:rFonts w:ascii="Times New Roman" w:hAnsi="Times New Roman"/>
          <w:sz w:val="24"/>
          <w:szCs w:val="24"/>
        </w:rPr>
        <w:t>zarząd organizacji w toku swojej zwykłej działalności. Rozwiązanie to jest wzorowane na art. 384 ksh, w którym tego rodzaju uprawnienie przyznane jest radzie nadzorczej w spółce akcyjnej, służąc wzmocnieniu bieżącego nadzoru nad działalności</w:t>
      </w:r>
      <w:r w:rsidR="008C2CE3" w:rsidRPr="00E24274">
        <w:rPr>
          <w:rFonts w:ascii="Times New Roman" w:hAnsi="Times New Roman"/>
          <w:sz w:val="24"/>
          <w:szCs w:val="24"/>
        </w:rPr>
        <w:t>ą</w:t>
      </w:r>
      <w:r w:rsidRPr="00E24274">
        <w:rPr>
          <w:rFonts w:ascii="Times New Roman" w:hAnsi="Times New Roman"/>
          <w:sz w:val="24"/>
          <w:szCs w:val="24"/>
        </w:rPr>
        <w:t xml:space="preserve"> osób kierujących organizacją. Jednocześnie projektowany przepis, w sytuacji gdyby komisja rewizyjna odmówiła zgody na dokonanie konkretnej czynności, umożliwia zarządowi zwrócenie się w tej sprawie do najwyższej władzy organizacji – jej walnego zebrania członków (lub zebrania delegatów) w celu podjęcia ostatecznej decyzji. </w:t>
      </w:r>
    </w:p>
    <w:p w:rsidR="00D04546" w:rsidRPr="00E24274" w:rsidRDefault="00D04546" w:rsidP="00E24274">
      <w:pPr>
        <w:spacing w:before="120" w:after="0" w:line="360" w:lineRule="auto"/>
        <w:jc w:val="both"/>
        <w:rPr>
          <w:rFonts w:ascii="Times New Roman" w:hAnsi="Times New Roman"/>
          <w:b/>
          <w:sz w:val="24"/>
          <w:szCs w:val="24"/>
        </w:rPr>
      </w:pPr>
      <w:r w:rsidRPr="00E24274">
        <w:rPr>
          <w:rFonts w:ascii="Times New Roman" w:hAnsi="Times New Roman"/>
          <w:b/>
          <w:sz w:val="24"/>
          <w:szCs w:val="24"/>
        </w:rPr>
        <w:t>art. 24</w:t>
      </w:r>
    </w:p>
    <w:p w:rsidR="00D04546" w:rsidRPr="00E24274" w:rsidRDefault="00D04546" w:rsidP="003B0BF7">
      <w:pPr>
        <w:spacing w:after="0" w:line="360" w:lineRule="auto"/>
        <w:jc w:val="both"/>
        <w:rPr>
          <w:rFonts w:ascii="Times New Roman" w:hAnsi="Times New Roman"/>
          <w:sz w:val="24"/>
          <w:szCs w:val="24"/>
        </w:rPr>
      </w:pPr>
      <w:r w:rsidRPr="00E24274">
        <w:rPr>
          <w:rFonts w:ascii="Times New Roman" w:hAnsi="Times New Roman"/>
          <w:sz w:val="24"/>
          <w:szCs w:val="24"/>
        </w:rPr>
        <w:t>1. Art. 24 ust. 1 określa podstawowe zasady wykonywania przez komisję rewizyjną jej funkcji nadzorczych w elastyczny sposób, pozwalając na delegowanie niektórych członków organu do wykonywania określonych kompetencji nadzorczych. Nie ulega przy tym wątpliwości, że co do zasady komi</w:t>
      </w:r>
      <w:r w:rsidR="003B0BF7">
        <w:rPr>
          <w:rFonts w:ascii="Times New Roman" w:hAnsi="Times New Roman"/>
          <w:sz w:val="24"/>
          <w:szCs w:val="24"/>
        </w:rPr>
        <w:t>sja rewizyjna powinna działać i </w:t>
      </w:r>
      <w:r w:rsidRPr="00E24274">
        <w:rPr>
          <w:rFonts w:ascii="Times New Roman" w:hAnsi="Times New Roman"/>
          <w:sz w:val="24"/>
          <w:szCs w:val="24"/>
        </w:rPr>
        <w:t>podejmować decyzje kolegialnie.</w:t>
      </w:r>
    </w:p>
    <w:p w:rsidR="00D04546" w:rsidRPr="00E24274" w:rsidRDefault="00D04546"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 xml:space="preserve">2. Ust. 2 określa minimalny zakres instrumentów prawnych, przy pomocy których komisja rewizyjna winna wykonywać w efektywny i sprawny sposób swoje kompetencje. W zakresie tym mieści się: </w:t>
      </w:r>
    </w:p>
    <w:p w:rsidR="00D04546" w:rsidRPr="00E24274" w:rsidRDefault="00D04546" w:rsidP="003B0BF7">
      <w:pPr>
        <w:numPr>
          <w:ilvl w:val="0"/>
          <w:numId w:val="19"/>
        </w:numPr>
        <w:spacing w:after="0" w:line="360" w:lineRule="auto"/>
        <w:ind w:left="284" w:hanging="284"/>
        <w:jc w:val="both"/>
        <w:rPr>
          <w:rFonts w:ascii="Times New Roman" w:hAnsi="Times New Roman"/>
          <w:sz w:val="24"/>
          <w:szCs w:val="24"/>
        </w:rPr>
      </w:pPr>
      <w:r w:rsidRPr="00E24274">
        <w:rPr>
          <w:rFonts w:ascii="Times New Roman" w:hAnsi="Times New Roman"/>
          <w:sz w:val="24"/>
          <w:szCs w:val="24"/>
        </w:rPr>
        <w:t>badanie wszystkich dokumentów organizacji zbiorowego zarządzania;</w:t>
      </w:r>
    </w:p>
    <w:p w:rsidR="00D04546" w:rsidRPr="00E24274" w:rsidRDefault="00D04546" w:rsidP="003B0BF7">
      <w:pPr>
        <w:numPr>
          <w:ilvl w:val="0"/>
          <w:numId w:val="19"/>
        </w:numPr>
        <w:spacing w:after="0" w:line="360" w:lineRule="auto"/>
        <w:ind w:left="284" w:hanging="284"/>
        <w:jc w:val="both"/>
        <w:rPr>
          <w:rFonts w:ascii="Times New Roman" w:hAnsi="Times New Roman"/>
          <w:sz w:val="24"/>
          <w:szCs w:val="24"/>
        </w:rPr>
      </w:pPr>
      <w:r w:rsidRPr="00E24274">
        <w:rPr>
          <w:rFonts w:ascii="Times New Roman" w:hAnsi="Times New Roman"/>
          <w:sz w:val="24"/>
          <w:szCs w:val="24"/>
        </w:rPr>
        <w:t xml:space="preserve">żądanie sprawozdań i wyjaśnień od osób kierujących działalnością organizacji zbiorowego zarządzania, jej pracowników i </w:t>
      </w:r>
      <w:r w:rsidR="0023241A" w:rsidRPr="00E24274">
        <w:rPr>
          <w:rFonts w:ascii="Times New Roman" w:hAnsi="Times New Roman"/>
          <w:sz w:val="24"/>
          <w:szCs w:val="24"/>
        </w:rPr>
        <w:t xml:space="preserve">podmiotów </w:t>
      </w:r>
      <w:r w:rsidRPr="00E24274">
        <w:rPr>
          <w:rFonts w:ascii="Times New Roman" w:hAnsi="Times New Roman"/>
          <w:sz w:val="24"/>
          <w:szCs w:val="24"/>
        </w:rPr>
        <w:t>współpr</w:t>
      </w:r>
      <w:r w:rsidR="003B0BF7">
        <w:rPr>
          <w:rFonts w:ascii="Times New Roman" w:hAnsi="Times New Roman"/>
          <w:sz w:val="24"/>
          <w:szCs w:val="24"/>
        </w:rPr>
        <w:t>acujących z </w:t>
      </w:r>
      <w:r w:rsidRPr="00E24274">
        <w:rPr>
          <w:rFonts w:ascii="Times New Roman" w:hAnsi="Times New Roman"/>
          <w:sz w:val="24"/>
          <w:szCs w:val="24"/>
        </w:rPr>
        <w:t>organizacją na innej podstawie prawnej;</w:t>
      </w:r>
    </w:p>
    <w:p w:rsidR="00D04546" w:rsidRPr="00E24274" w:rsidRDefault="00D04546" w:rsidP="003B0BF7">
      <w:pPr>
        <w:numPr>
          <w:ilvl w:val="0"/>
          <w:numId w:val="19"/>
        </w:numPr>
        <w:spacing w:after="0" w:line="360" w:lineRule="auto"/>
        <w:ind w:left="284" w:hanging="284"/>
        <w:jc w:val="both"/>
        <w:rPr>
          <w:rFonts w:ascii="Times New Roman" w:hAnsi="Times New Roman"/>
          <w:sz w:val="24"/>
          <w:szCs w:val="24"/>
        </w:rPr>
      </w:pPr>
      <w:r w:rsidRPr="00E24274">
        <w:rPr>
          <w:rFonts w:ascii="Times New Roman" w:hAnsi="Times New Roman"/>
          <w:sz w:val="24"/>
          <w:szCs w:val="24"/>
        </w:rPr>
        <w:t>dokonywanie rewizji majątku organizacji.</w:t>
      </w:r>
    </w:p>
    <w:p w:rsidR="00D04546" w:rsidRPr="00E24274" w:rsidRDefault="00D04546"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lastRenderedPageBreak/>
        <w:t>Tryb i sposób działania komisji rewizyjnej organiza</w:t>
      </w:r>
      <w:r w:rsidR="003B0BF7">
        <w:rPr>
          <w:rFonts w:ascii="Times New Roman" w:hAnsi="Times New Roman"/>
          <w:sz w:val="24"/>
          <w:szCs w:val="24"/>
        </w:rPr>
        <w:t>cji zbiorowego zarządzania są w </w:t>
      </w:r>
      <w:r w:rsidRPr="00E24274">
        <w:rPr>
          <w:rFonts w:ascii="Times New Roman" w:hAnsi="Times New Roman"/>
          <w:sz w:val="24"/>
          <w:szCs w:val="24"/>
        </w:rPr>
        <w:t>tym wypadku wzorowane na regulacjach uprawnień rady nadzorczej spółki z o.o. określonych w art. 219 § 4 ksh. Ich uregulowanie na poziomie ustawy wynika z</w:t>
      </w:r>
      <w:r w:rsidR="003B0BF7">
        <w:rPr>
          <w:rFonts w:ascii="Times New Roman" w:hAnsi="Times New Roman"/>
          <w:sz w:val="24"/>
          <w:szCs w:val="24"/>
        </w:rPr>
        <w:t> </w:t>
      </w:r>
      <w:r w:rsidRPr="00E24274">
        <w:rPr>
          <w:rFonts w:ascii="Times New Roman" w:hAnsi="Times New Roman"/>
          <w:sz w:val="24"/>
          <w:szCs w:val="24"/>
        </w:rPr>
        <w:t>konieczności zapewnienia rzeczywistego, efektywnego wdrożenia art. 9 ust. 1 dyrektywy CRM przez Rzeczpospolitą Polską i w</w:t>
      </w:r>
      <w:r w:rsidR="003B0BF7">
        <w:rPr>
          <w:rFonts w:ascii="Times New Roman" w:hAnsi="Times New Roman"/>
          <w:sz w:val="24"/>
          <w:szCs w:val="24"/>
        </w:rPr>
        <w:t>yposażenia komisji rewizyjnej w </w:t>
      </w:r>
      <w:r w:rsidRPr="00E24274">
        <w:rPr>
          <w:rFonts w:ascii="Times New Roman" w:hAnsi="Times New Roman"/>
          <w:sz w:val="24"/>
          <w:szCs w:val="24"/>
        </w:rPr>
        <w:t>realne możliwości wykonywania jej uprawnień. Zasadne wydaje się także ujednolicenie na minimalnym poziomie praktyki organ</w:t>
      </w:r>
      <w:r w:rsidR="003B0BF7">
        <w:rPr>
          <w:rFonts w:ascii="Times New Roman" w:hAnsi="Times New Roman"/>
          <w:sz w:val="24"/>
          <w:szCs w:val="24"/>
        </w:rPr>
        <w:t>izacji zbiorowego zarządzania w </w:t>
      </w:r>
      <w:r w:rsidRPr="00E24274">
        <w:rPr>
          <w:rFonts w:ascii="Times New Roman" w:hAnsi="Times New Roman"/>
          <w:sz w:val="24"/>
          <w:szCs w:val="24"/>
        </w:rPr>
        <w:t xml:space="preserve">tym względzie oraz wyjaśnienie wątpliwości co do instrumentów przysługujących wewnętrznym organom nadzorczym organizacji. </w:t>
      </w:r>
    </w:p>
    <w:p w:rsidR="00D04546" w:rsidRPr="00E24274" w:rsidRDefault="00D04546"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3. Przyznanie określonych uprawnień komisji rewizyjnej w celu zapewniania jej realnej możliwości realizacji prawa nadzoru powoduje powstanie obowiązków po stronie nadzorowanych osób, w szczególności obowiązku wspierania aktywności komisji rewizyjnej. Ustęp trzeci reguluje procedurę rozwiązywania sytuacji, w których działania komisji rewizyjnej są utrudniane, a obowiązki osób nadzorowanych w stosunku do komisji nie są należycie wykonywane. W pierwszej kolejności problem taki powinien być rozwiązany wewnątrz organizacji przez jej zarząd jako organ odpowiedzialny za całokształt jej bieżącej działalności i uprawniony do wydawania wiążących poleceń osobom podlegającym czynnościom nadzorczym lub umożliwiającym w praktyce komisji rewizyjnej skorzystanie z instrumentów prawnych umożliwiających jej wykonywanie kompetencji. W przypadku gdyby w określonym w przepisie czasie zarząd nie umożliwił komisji rewizyjnej skutecznego wykonywania jej obowiązków, zgodnie z projektowanym przepisem komisja ma obowiązek niezwłocznego poinformowania o tym ministra właściwego do spraw kultury i ochrony dziedzictwa narodowego. W takiej sytuacji możliwe stanie się wszczęcie przez ministra postępowania nadzorczego i stosowanie przewidzianych prawem środków nadzoru.</w:t>
      </w:r>
    </w:p>
    <w:p w:rsidR="00D04546" w:rsidRPr="00E24274" w:rsidRDefault="00D04546" w:rsidP="00E24274">
      <w:pPr>
        <w:spacing w:before="120" w:after="0" w:line="360" w:lineRule="auto"/>
        <w:jc w:val="both"/>
        <w:rPr>
          <w:rFonts w:ascii="Times New Roman" w:hAnsi="Times New Roman"/>
          <w:b/>
          <w:sz w:val="24"/>
          <w:szCs w:val="24"/>
        </w:rPr>
      </w:pPr>
      <w:r w:rsidRPr="00E24274">
        <w:rPr>
          <w:rFonts w:ascii="Times New Roman" w:hAnsi="Times New Roman"/>
          <w:b/>
          <w:sz w:val="24"/>
          <w:szCs w:val="24"/>
        </w:rPr>
        <w:t>art. 25</w:t>
      </w:r>
    </w:p>
    <w:p w:rsidR="00D04546" w:rsidRPr="00E24274" w:rsidRDefault="00D04546" w:rsidP="003B0BF7">
      <w:pPr>
        <w:spacing w:after="0" w:line="360" w:lineRule="auto"/>
        <w:jc w:val="both"/>
        <w:rPr>
          <w:rFonts w:ascii="Times New Roman" w:hAnsi="Times New Roman"/>
          <w:sz w:val="24"/>
          <w:szCs w:val="24"/>
        </w:rPr>
      </w:pPr>
      <w:r w:rsidRPr="00E24274">
        <w:rPr>
          <w:rFonts w:ascii="Times New Roman" w:hAnsi="Times New Roman"/>
          <w:sz w:val="24"/>
          <w:szCs w:val="24"/>
        </w:rPr>
        <w:t xml:space="preserve">1. Art. 25 ust. 1 projektu formułuje minimalne wymagania co do liczby członków komisji rewizyjnej </w:t>
      </w:r>
      <w:r w:rsidR="0023241A" w:rsidRPr="00E24274">
        <w:rPr>
          <w:rFonts w:ascii="Times New Roman" w:hAnsi="Times New Roman"/>
          <w:sz w:val="24"/>
          <w:szCs w:val="24"/>
        </w:rPr>
        <w:t xml:space="preserve">(co najmniej pięciu) </w:t>
      </w:r>
      <w:r w:rsidRPr="00E24274">
        <w:rPr>
          <w:rFonts w:ascii="Times New Roman" w:hAnsi="Times New Roman"/>
          <w:sz w:val="24"/>
          <w:szCs w:val="24"/>
        </w:rPr>
        <w:t>i jej kadencji</w:t>
      </w:r>
      <w:r w:rsidR="0023241A" w:rsidRPr="00E24274">
        <w:rPr>
          <w:rFonts w:ascii="Times New Roman" w:hAnsi="Times New Roman"/>
          <w:sz w:val="24"/>
          <w:szCs w:val="24"/>
        </w:rPr>
        <w:t xml:space="preserve"> (nie dłuższej niż cztery lata)</w:t>
      </w:r>
      <w:r w:rsidRPr="00E24274">
        <w:rPr>
          <w:rFonts w:ascii="Times New Roman" w:hAnsi="Times New Roman"/>
          <w:sz w:val="24"/>
          <w:szCs w:val="24"/>
        </w:rPr>
        <w:t xml:space="preserve">, które powinny umożliwić jej sprawne wykonywanie </w:t>
      </w:r>
      <w:r w:rsidR="003B0BF7">
        <w:rPr>
          <w:rFonts w:ascii="Times New Roman" w:hAnsi="Times New Roman"/>
          <w:sz w:val="24"/>
          <w:szCs w:val="24"/>
        </w:rPr>
        <w:t>swoich obowiązków, stwarzając w </w:t>
      </w:r>
      <w:r w:rsidRPr="00E24274">
        <w:rPr>
          <w:rFonts w:ascii="Times New Roman" w:hAnsi="Times New Roman"/>
          <w:sz w:val="24"/>
          <w:szCs w:val="24"/>
        </w:rPr>
        <w:t xml:space="preserve">praktyce możliwość uwzględnienia wyrażonej w art. 9 ust. 2 dyrektywy CRM zasady sprawiedliwej i wyważonej reprezentacji poszczególnych kategorii uprawnionych. Przepis ten gwarantuje również stabilny charakter tego organu, którego skład – jeżeli członkowie poprawnie wypełniają swoje obowiązki – nie powinien podlegać ciągłym </w:t>
      </w:r>
      <w:r w:rsidRPr="00E24274">
        <w:rPr>
          <w:rFonts w:ascii="Times New Roman" w:hAnsi="Times New Roman"/>
          <w:sz w:val="24"/>
          <w:szCs w:val="24"/>
        </w:rPr>
        <w:lastRenderedPageBreak/>
        <w:t xml:space="preserve">zmianom i winien umożliwiać monitorowanie bieżącej działalności organizacji zbiorowego zarządzania. </w:t>
      </w:r>
    </w:p>
    <w:p w:rsidR="00D04546" w:rsidRPr="00E24274" w:rsidRDefault="00D04546"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2. Ust. 2 projektowanego artykułu służy uniknięciu konfliktu interesów, który mógłby wynikać z łączenia funkcji członka komisji rewizyjnej z innymi funkcjami związanymi z kierowaniem jednostką organizacyjną odpowiedzialną w organizacji za wykonywanie czynności z zakresu zbiorowego zarządzania prawami autorskimi lub prawami pokrewnymi w sposób stały lub w sytuacjach nadzwyczajnych</w:t>
      </w:r>
      <w:r w:rsidR="00D8246A" w:rsidRPr="00E24274">
        <w:rPr>
          <w:rFonts w:ascii="Times New Roman" w:hAnsi="Times New Roman"/>
          <w:sz w:val="24"/>
          <w:szCs w:val="24"/>
        </w:rPr>
        <w:t>. Celem przepisu jest także uniknięcie takiego konfliktu interesów w odniesieniu do osób</w:t>
      </w:r>
      <w:r w:rsidRPr="00E24274">
        <w:rPr>
          <w:rFonts w:ascii="Times New Roman" w:hAnsi="Times New Roman"/>
          <w:sz w:val="24"/>
          <w:szCs w:val="24"/>
        </w:rPr>
        <w:t xml:space="preserve"> świadcz</w:t>
      </w:r>
      <w:r w:rsidR="00D8246A" w:rsidRPr="00E24274">
        <w:rPr>
          <w:rFonts w:ascii="Times New Roman" w:hAnsi="Times New Roman"/>
          <w:sz w:val="24"/>
          <w:szCs w:val="24"/>
        </w:rPr>
        <w:t xml:space="preserve">ących </w:t>
      </w:r>
      <w:r w:rsidRPr="00E24274">
        <w:rPr>
          <w:rFonts w:ascii="Times New Roman" w:hAnsi="Times New Roman"/>
          <w:sz w:val="24"/>
          <w:szCs w:val="24"/>
        </w:rPr>
        <w:t xml:space="preserve">na rzecz </w:t>
      </w:r>
      <w:r w:rsidR="00D8246A" w:rsidRPr="00E24274">
        <w:rPr>
          <w:rFonts w:ascii="Times New Roman" w:hAnsi="Times New Roman"/>
          <w:sz w:val="24"/>
          <w:szCs w:val="24"/>
        </w:rPr>
        <w:t xml:space="preserve">organizacji </w:t>
      </w:r>
      <w:r w:rsidRPr="00E24274">
        <w:rPr>
          <w:rFonts w:ascii="Times New Roman" w:hAnsi="Times New Roman"/>
          <w:sz w:val="24"/>
          <w:szCs w:val="24"/>
        </w:rPr>
        <w:t>usług</w:t>
      </w:r>
      <w:r w:rsidR="00D8246A" w:rsidRPr="00E24274">
        <w:rPr>
          <w:rFonts w:ascii="Times New Roman" w:hAnsi="Times New Roman"/>
          <w:sz w:val="24"/>
          <w:szCs w:val="24"/>
        </w:rPr>
        <w:t>i</w:t>
      </w:r>
      <w:r w:rsidRPr="00E24274">
        <w:rPr>
          <w:rFonts w:ascii="Times New Roman" w:hAnsi="Times New Roman"/>
          <w:sz w:val="24"/>
          <w:szCs w:val="24"/>
        </w:rPr>
        <w:t xml:space="preserve"> lub zatrudni</w:t>
      </w:r>
      <w:r w:rsidR="00D8246A" w:rsidRPr="00E24274">
        <w:rPr>
          <w:rFonts w:ascii="Times New Roman" w:hAnsi="Times New Roman"/>
          <w:sz w:val="24"/>
          <w:szCs w:val="24"/>
        </w:rPr>
        <w:t>onych w ni</w:t>
      </w:r>
      <w:r w:rsidR="00867306" w:rsidRPr="00E24274">
        <w:rPr>
          <w:rFonts w:ascii="Times New Roman" w:hAnsi="Times New Roman"/>
          <w:sz w:val="24"/>
          <w:szCs w:val="24"/>
        </w:rPr>
        <w:t>ej i pozostających</w:t>
      </w:r>
      <w:r w:rsidRPr="00E24274">
        <w:rPr>
          <w:rFonts w:ascii="Times New Roman" w:hAnsi="Times New Roman"/>
          <w:sz w:val="24"/>
          <w:szCs w:val="24"/>
        </w:rPr>
        <w:t xml:space="preserve"> w bezpośredniej podległości </w:t>
      </w:r>
      <w:r w:rsidR="00D8246A" w:rsidRPr="00E24274">
        <w:rPr>
          <w:rFonts w:ascii="Times New Roman" w:hAnsi="Times New Roman"/>
          <w:sz w:val="24"/>
          <w:szCs w:val="24"/>
        </w:rPr>
        <w:t xml:space="preserve">wobec </w:t>
      </w:r>
      <w:r w:rsidRPr="00E24274">
        <w:rPr>
          <w:rFonts w:ascii="Times New Roman" w:hAnsi="Times New Roman"/>
          <w:sz w:val="24"/>
          <w:szCs w:val="24"/>
        </w:rPr>
        <w:t>os</w:t>
      </w:r>
      <w:r w:rsidR="00D8246A" w:rsidRPr="00E24274">
        <w:rPr>
          <w:rFonts w:ascii="Times New Roman" w:hAnsi="Times New Roman"/>
          <w:sz w:val="24"/>
          <w:szCs w:val="24"/>
        </w:rPr>
        <w:t xml:space="preserve">ób </w:t>
      </w:r>
      <w:r w:rsidRPr="00E24274">
        <w:rPr>
          <w:rFonts w:ascii="Times New Roman" w:hAnsi="Times New Roman"/>
          <w:sz w:val="24"/>
          <w:szCs w:val="24"/>
        </w:rPr>
        <w:t>kierujący</w:t>
      </w:r>
      <w:r w:rsidR="00D8246A" w:rsidRPr="00E24274">
        <w:rPr>
          <w:rFonts w:ascii="Times New Roman" w:hAnsi="Times New Roman"/>
          <w:sz w:val="24"/>
          <w:szCs w:val="24"/>
        </w:rPr>
        <w:t>ch</w:t>
      </w:r>
      <w:r w:rsidRPr="00E24274">
        <w:rPr>
          <w:rFonts w:ascii="Times New Roman" w:hAnsi="Times New Roman"/>
          <w:sz w:val="24"/>
          <w:szCs w:val="24"/>
        </w:rPr>
        <w:t xml:space="preserve"> organizacją. Proponowane rozwiązanie jest wzorowane na art. 214 § 1</w:t>
      </w:r>
      <w:r w:rsidR="00B85D46">
        <w:rPr>
          <w:rFonts w:ascii="Times New Roman" w:hAnsi="Times New Roman"/>
          <w:sz w:val="24"/>
          <w:szCs w:val="24"/>
        </w:rPr>
        <w:t>–</w:t>
      </w:r>
      <w:r w:rsidRPr="00E24274">
        <w:rPr>
          <w:rFonts w:ascii="Times New Roman" w:hAnsi="Times New Roman"/>
          <w:sz w:val="24"/>
          <w:szCs w:val="24"/>
        </w:rPr>
        <w:t>2 ksh. W ten sposób unika się trudnej do zaakceptowania sytuacji, w której nadzorem członka komisji rewizyjnej byłaby objęta jego własna działalność lub działalność osób, którym taki członek by podlegał. Stosunek podległości w tym wypadku ma charakter bezpośredni, prze</w:t>
      </w:r>
      <w:r w:rsidR="003B0BF7">
        <w:rPr>
          <w:rFonts w:ascii="Times New Roman" w:hAnsi="Times New Roman"/>
          <w:sz w:val="24"/>
          <w:szCs w:val="24"/>
        </w:rPr>
        <w:t>z co należy rozumieć związek, w </w:t>
      </w:r>
      <w:r w:rsidRPr="00E24274">
        <w:rPr>
          <w:rFonts w:ascii="Times New Roman" w:hAnsi="Times New Roman"/>
          <w:sz w:val="24"/>
          <w:szCs w:val="24"/>
        </w:rPr>
        <w:t>którym na linii np. zarząd – osoba podległa nie występuje żadne ogniwo pośrednie. Zakaz ten dotyczy wszelkiego rodzaju podległości, także faktycznej. Jeżeli ze strony organizacyjnej wynika, że zarządowi podlega pracownik, agent, zleceniodawca, wykonujący dzieło, to nie może on być członkiem komisji rewizyjnej.</w:t>
      </w:r>
    </w:p>
    <w:p w:rsidR="00D04546" w:rsidRPr="00E24274" w:rsidRDefault="00D04546"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3. Art. 25 ust. 3 projektu stanowi wdrożenie do polskieg</w:t>
      </w:r>
      <w:r w:rsidR="003B0BF7">
        <w:rPr>
          <w:rFonts w:ascii="Times New Roman" w:hAnsi="Times New Roman"/>
          <w:sz w:val="24"/>
          <w:szCs w:val="24"/>
        </w:rPr>
        <w:t>o porządku prawnego art. 9 ust. </w:t>
      </w:r>
      <w:r w:rsidRPr="00E24274">
        <w:rPr>
          <w:rFonts w:ascii="Times New Roman" w:hAnsi="Times New Roman"/>
          <w:sz w:val="24"/>
          <w:szCs w:val="24"/>
        </w:rPr>
        <w:t xml:space="preserve">2 dyrektywy CRM, określając – w ślad za jego treścią – podstawowe warunki, jakim muszą odpowiadać zasady powołania członków komisji rewizyjnej. </w:t>
      </w:r>
      <w:r w:rsidR="00F06F70">
        <w:rPr>
          <w:rFonts w:ascii="Times New Roman" w:hAnsi="Times New Roman"/>
          <w:sz w:val="24"/>
          <w:szCs w:val="24"/>
        </w:rPr>
        <w:t>Pow</w:t>
      </w:r>
      <w:r w:rsidRPr="00E24274">
        <w:rPr>
          <w:rFonts w:ascii="Times New Roman" w:hAnsi="Times New Roman"/>
          <w:sz w:val="24"/>
          <w:szCs w:val="24"/>
        </w:rPr>
        <w:t xml:space="preserve">inny one zapewniać sprawiedliwy i wyważony wpływ poszczególnych kategorii członków organizacji zbiorowego zarządzania na skład komisji. Przyjęte rozwiązanie pozwala poszczególnym organizacjom, w skład których wchodzą w odmiennych proporcjach różne kategorie członków, na elastyczne uregulowanie zasad kształtowania składu komisji rewizyjnej. Jednocześnie umożliwiają one organowi nadzoru ocenę przyjętych rozwiązań w toku postępowania o rejestrację statutu i zagwarantowanie w ten sposób, </w:t>
      </w:r>
      <w:r w:rsidR="00A833CD">
        <w:rPr>
          <w:rFonts w:ascii="Times New Roman" w:hAnsi="Times New Roman"/>
          <w:sz w:val="24"/>
          <w:szCs w:val="24"/>
        </w:rPr>
        <w:t>a</w:t>
      </w:r>
      <w:r w:rsidRPr="00E24274">
        <w:rPr>
          <w:rFonts w:ascii="Times New Roman" w:hAnsi="Times New Roman"/>
          <w:sz w:val="24"/>
          <w:szCs w:val="24"/>
        </w:rPr>
        <w:t xml:space="preserve">by art. 9 ust. 2 dyrektywy CRM był faktycznie skuteczny w praktyce decyzyjnej organizacji. </w:t>
      </w:r>
    </w:p>
    <w:p w:rsidR="00D04546" w:rsidRPr="00E24274" w:rsidRDefault="00D04546" w:rsidP="00E24274">
      <w:pPr>
        <w:spacing w:before="120" w:after="0" w:line="360" w:lineRule="auto"/>
        <w:jc w:val="both"/>
        <w:rPr>
          <w:rFonts w:ascii="Times New Roman" w:hAnsi="Times New Roman"/>
          <w:b/>
          <w:sz w:val="24"/>
          <w:szCs w:val="24"/>
        </w:rPr>
      </w:pPr>
      <w:r w:rsidRPr="00E24274">
        <w:rPr>
          <w:rFonts w:ascii="Times New Roman" w:hAnsi="Times New Roman"/>
          <w:b/>
          <w:sz w:val="24"/>
          <w:szCs w:val="24"/>
        </w:rPr>
        <w:t>art. 26</w:t>
      </w:r>
    </w:p>
    <w:p w:rsidR="00D04546" w:rsidRPr="00E24274" w:rsidRDefault="00D04546" w:rsidP="003B0BF7">
      <w:pPr>
        <w:spacing w:after="0" w:line="360" w:lineRule="auto"/>
        <w:jc w:val="both"/>
        <w:rPr>
          <w:rFonts w:ascii="Times New Roman" w:hAnsi="Times New Roman"/>
          <w:sz w:val="24"/>
          <w:szCs w:val="24"/>
        </w:rPr>
      </w:pPr>
      <w:r w:rsidRPr="00E24274">
        <w:rPr>
          <w:rFonts w:ascii="Times New Roman" w:hAnsi="Times New Roman"/>
          <w:sz w:val="24"/>
          <w:szCs w:val="24"/>
        </w:rPr>
        <w:t xml:space="preserve">1. Pierwszy ustęp tego artykułu stanowi implementację art. 9 ust. 4 dyrektywy CRM, wymagającego zapewniania regularnego zwoływania posiedzeń komisji rewizyjnej jako </w:t>
      </w:r>
      <w:r w:rsidRPr="00E24274">
        <w:rPr>
          <w:rFonts w:ascii="Times New Roman" w:hAnsi="Times New Roman"/>
          <w:sz w:val="24"/>
          <w:szCs w:val="24"/>
        </w:rPr>
        <w:lastRenderedPageBreak/>
        <w:t>organu organizacji zbiorowego zarządzania, który ma w sposób niezależny od pozostałych zapewnić stałą kontrolę działalności organizacji. Jednocześnie projektowana regulacja pozostawia komisji margines swobody pozwalający zbierać się w każdym czasie, kiedy uzna ona to za konieczne do prawidłowego wykonywania swoich kompetencji.</w:t>
      </w:r>
    </w:p>
    <w:p w:rsidR="00D04546" w:rsidRPr="00E24274" w:rsidRDefault="00D04546"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2. Ust. 2 przenosi do polskiego porządku prawnego art. 9 ust. 5 dyrektywy CRM, który nakłada na komisję rewizyjną obowiązek składania sprawozdań ze swojej działalności najważniejszemu organowi organizacji, jakim jest walne zgromadzenie (walne zebranie członków). Obowiązek ten koresponduje z kompetencją walnego zebrania członków określoną w art. 18 ust. 2 pkt 2 projektu i udzielania na tej podstawie absolutorium jej członkom, co powinno być dokonywane w oparciu</w:t>
      </w:r>
      <w:r w:rsidR="003B0BF7">
        <w:rPr>
          <w:rFonts w:ascii="Times New Roman" w:hAnsi="Times New Roman"/>
          <w:sz w:val="24"/>
          <w:szCs w:val="24"/>
        </w:rPr>
        <w:t xml:space="preserve"> o przedstawione sprawozdanie z </w:t>
      </w:r>
      <w:r w:rsidRPr="00E24274">
        <w:rPr>
          <w:rFonts w:ascii="Times New Roman" w:hAnsi="Times New Roman"/>
          <w:sz w:val="24"/>
          <w:szCs w:val="24"/>
        </w:rPr>
        <w:t>prac komisji.</w:t>
      </w:r>
    </w:p>
    <w:p w:rsidR="00E3773B" w:rsidRPr="00E24274" w:rsidRDefault="00D04546"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3. Art. 26 ust. 3 wskazuje podstawowy akt wewnętrzny, przyjmowany co do zasady przez komisję rewizyjną, który powinien regulować szczegółowe, techniczne zasady jej działania, podejmowania uchwał i organizacji bieżącej pracy w zakresie kompetencji przyznanych komisji przez przepisy powszechnie obowiązującego prawa i statut organizacji. Zgodnie z omawianym ustępem statut organizacji może zastrzegać kompetencję do zatwierdzania regulaminu komisji rewizyjnej walnemu zebrani</w:t>
      </w:r>
      <w:r w:rsidR="00302854">
        <w:rPr>
          <w:rFonts w:ascii="Times New Roman" w:hAnsi="Times New Roman"/>
          <w:sz w:val="24"/>
          <w:szCs w:val="24"/>
        </w:rPr>
        <w:t>u</w:t>
      </w:r>
      <w:r w:rsidRPr="00E24274">
        <w:rPr>
          <w:rFonts w:ascii="Times New Roman" w:hAnsi="Times New Roman"/>
          <w:sz w:val="24"/>
          <w:szCs w:val="24"/>
        </w:rPr>
        <w:t xml:space="preserve"> członków zamiast samej komisji.</w:t>
      </w:r>
    </w:p>
    <w:p w:rsidR="00CA088D" w:rsidRPr="00E24274" w:rsidRDefault="00CA088D" w:rsidP="003B0BF7">
      <w:pPr>
        <w:spacing w:before="240" w:after="0" w:line="360" w:lineRule="auto"/>
        <w:jc w:val="both"/>
        <w:rPr>
          <w:rFonts w:ascii="Times New Roman" w:hAnsi="Times New Roman"/>
          <w:b/>
          <w:bCs/>
          <w:sz w:val="24"/>
          <w:szCs w:val="24"/>
        </w:rPr>
      </w:pPr>
      <w:r w:rsidRPr="00E24274">
        <w:rPr>
          <w:rFonts w:ascii="Times New Roman" w:hAnsi="Times New Roman"/>
          <w:b/>
          <w:sz w:val="24"/>
          <w:szCs w:val="24"/>
        </w:rPr>
        <w:t xml:space="preserve">II. 4 Rozdział 4. </w:t>
      </w:r>
      <w:r w:rsidRPr="00E24274">
        <w:rPr>
          <w:rFonts w:ascii="Times New Roman" w:hAnsi="Times New Roman"/>
          <w:b/>
          <w:bCs/>
          <w:sz w:val="24"/>
          <w:szCs w:val="24"/>
        </w:rPr>
        <w:t>Relacje z uprawnionymi i zarzą</w:t>
      </w:r>
      <w:r w:rsidR="003B0BF7">
        <w:rPr>
          <w:rFonts w:ascii="Times New Roman" w:hAnsi="Times New Roman"/>
          <w:b/>
          <w:bCs/>
          <w:sz w:val="24"/>
          <w:szCs w:val="24"/>
        </w:rPr>
        <w:t>dzanie przychodami z praw (art. </w:t>
      </w:r>
      <w:r w:rsidRPr="00E24274">
        <w:rPr>
          <w:rFonts w:ascii="Times New Roman" w:hAnsi="Times New Roman"/>
          <w:b/>
          <w:bCs/>
          <w:sz w:val="24"/>
          <w:szCs w:val="24"/>
        </w:rPr>
        <w:t>27–40 projektu)</w:t>
      </w:r>
    </w:p>
    <w:p w:rsidR="00CA088D" w:rsidRPr="00E24274" w:rsidRDefault="00CA088D" w:rsidP="00E24274">
      <w:pPr>
        <w:spacing w:before="120" w:after="0" w:line="360" w:lineRule="auto"/>
        <w:jc w:val="both"/>
        <w:outlineLvl w:val="0"/>
        <w:rPr>
          <w:rFonts w:ascii="Times New Roman" w:hAnsi="Times New Roman"/>
          <w:b/>
          <w:sz w:val="24"/>
          <w:szCs w:val="24"/>
        </w:rPr>
      </w:pPr>
      <w:r w:rsidRPr="00E24274">
        <w:rPr>
          <w:rFonts w:ascii="Times New Roman" w:hAnsi="Times New Roman"/>
          <w:b/>
          <w:sz w:val="24"/>
          <w:szCs w:val="24"/>
        </w:rPr>
        <w:t>Oddział 1. Umowa o zbiorowe zarządzanie prawami autorskimi lub prawami pokrewnymi (art. 27–32 projektu)</w:t>
      </w:r>
    </w:p>
    <w:p w:rsidR="00CA088D" w:rsidRPr="00E24274" w:rsidRDefault="00CA088D" w:rsidP="00E24274">
      <w:pPr>
        <w:spacing w:before="120" w:after="0" w:line="360" w:lineRule="auto"/>
        <w:jc w:val="both"/>
        <w:rPr>
          <w:rFonts w:ascii="Times New Roman" w:hAnsi="Times New Roman"/>
          <w:b/>
          <w:sz w:val="24"/>
          <w:szCs w:val="24"/>
        </w:rPr>
      </w:pPr>
      <w:r w:rsidRPr="00E24274">
        <w:rPr>
          <w:rFonts w:ascii="Times New Roman" w:hAnsi="Times New Roman"/>
          <w:b/>
          <w:sz w:val="24"/>
          <w:szCs w:val="24"/>
        </w:rPr>
        <w:t>art. 27</w:t>
      </w:r>
    </w:p>
    <w:p w:rsidR="00CA088D" w:rsidRPr="00E24274" w:rsidRDefault="00CA088D" w:rsidP="003B0BF7">
      <w:pPr>
        <w:spacing w:after="0" w:line="360" w:lineRule="auto"/>
        <w:jc w:val="both"/>
        <w:rPr>
          <w:rFonts w:ascii="Times New Roman" w:hAnsi="Times New Roman"/>
          <w:sz w:val="24"/>
          <w:szCs w:val="24"/>
        </w:rPr>
      </w:pPr>
      <w:r w:rsidRPr="00E24274">
        <w:rPr>
          <w:rFonts w:ascii="Times New Roman" w:hAnsi="Times New Roman"/>
          <w:sz w:val="24"/>
          <w:szCs w:val="24"/>
        </w:rPr>
        <w:t>1. Zgodnie z tym przepisem projektowanej u</w:t>
      </w:r>
      <w:r w:rsidR="003B0BF7">
        <w:rPr>
          <w:rFonts w:ascii="Times New Roman" w:hAnsi="Times New Roman"/>
          <w:sz w:val="24"/>
          <w:szCs w:val="24"/>
        </w:rPr>
        <w:t>stawy uprawniony może zawrzeć z </w:t>
      </w:r>
      <w:r w:rsidRPr="00E24274">
        <w:rPr>
          <w:rFonts w:ascii="Times New Roman" w:hAnsi="Times New Roman"/>
          <w:sz w:val="24"/>
          <w:szCs w:val="24"/>
        </w:rPr>
        <w:t xml:space="preserve">organizacją zbiorowego zarządzania umowę o zbiorowe zarządzanie przysługującymi mu prawami autorskimi lub prawami pokrewnymi w zakresie udzielonego jej zezwolenia. Następuje tu zatem potwierdzenie zasady, że zbiorowe zarządzanie może być wykonywane wyłącznie na podstawie zezwolenia i wyłącznie w granicach tego zezwolenia. Odmowa zawarcia umowy o zbiorowe zarządzanie przez organizację zbiorowego zarządzania wymaga uzasadnienia w formie pisemnej lub elektronicznej. Podobnie do obecnie obowiązującego stanu prawnego (art. 106 ust. 3 pr. aut.) odmowa </w:t>
      </w:r>
      <w:r w:rsidRPr="00E24274">
        <w:rPr>
          <w:rFonts w:ascii="Times New Roman" w:hAnsi="Times New Roman"/>
          <w:sz w:val="24"/>
          <w:szCs w:val="24"/>
        </w:rPr>
        <w:lastRenderedPageBreak/>
        <w:t xml:space="preserve">taka może nastąpić tylko z </w:t>
      </w:r>
      <w:r w:rsidR="00E24274">
        <w:rPr>
          <w:rFonts w:ascii="Times New Roman" w:hAnsi="Times New Roman"/>
          <w:sz w:val="24"/>
          <w:szCs w:val="24"/>
        </w:rPr>
        <w:t>„</w:t>
      </w:r>
      <w:r w:rsidRPr="00E24274">
        <w:rPr>
          <w:rFonts w:ascii="Times New Roman" w:hAnsi="Times New Roman"/>
          <w:sz w:val="24"/>
          <w:szCs w:val="24"/>
        </w:rPr>
        <w:t>ważnych powodów</w:t>
      </w:r>
      <w:r w:rsidR="00E24274">
        <w:rPr>
          <w:rFonts w:ascii="Times New Roman" w:hAnsi="Times New Roman"/>
          <w:sz w:val="24"/>
          <w:szCs w:val="24"/>
        </w:rPr>
        <w:t>”</w:t>
      </w:r>
      <w:r w:rsidRPr="00E24274">
        <w:rPr>
          <w:rFonts w:ascii="Times New Roman" w:hAnsi="Times New Roman"/>
          <w:sz w:val="24"/>
          <w:szCs w:val="24"/>
        </w:rPr>
        <w:t xml:space="preserve">. Organizacje zbiorowego zarządzania nie będą zatem miały pełnej swobody odnośnie możliwości odmowy zawierania umów o zbiorowe zarządzanie. </w:t>
      </w:r>
    </w:p>
    <w:p w:rsidR="00CA088D" w:rsidRPr="00E24274" w:rsidRDefault="00CA088D"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2. Umowa o zbiorowe zarządzanie powinna określać utwory lub przedmioty praw pokrewnych oraz pola eksploatacji i terytoria, których takie zarządzanie ma dotyczyć.</w:t>
      </w:r>
      <w:r w:rsidR="00E24274">
        <w:rPr>
          <w:rFonts w:ascii="Times New Roman" w:hAnsi="Times New Roman"/>
          <w:sz w:val="24"/>
          <w:szCs w:val="24"/>
        </w:rPr>
        <w:t xml:space="preserve"> </w:t>
      </w:r>
      <w:r w:rsidRPr="00E24274">
        <w:rPr>
          <w:rFonts w:ascii="Times New Roman" w:hAnsi="Times New Roman"/>
          <w:sz w:val="24"/>
          <w:szCs w:val="24"/>
        </w:rPr>
        <w:t xml:space="preserve">Dopuszczalne będzie także określenie, że zbiorowe zarządzanie ma dotyczyć wszystkich utworów lub przedmiotów praw pokrewnych uprawnionego lub jedynie utworów lub przedmiotów praw pokrewnych danego rodzaju, a także czy dotyczy to jedynie repertuaru już istniejącego w chwili zawarcia umowy czy również tego, który powstanie w przyszłości (w okresie obowiązywania umowy o zbiorowe zarządzanie). </w:t>
      </w:r>
    </w:p>
    <w:p w:rsidR="00CA088D" w:rsidRPr="00E24274" w:rsidRDefault="00CA088D" w:rsidP="00E24274">
      <w:pPr>
        <w:spacing w:before="120" w:after="0" w:line="360" w:lineRule="auto"/>
        <w:jc w:val="both"/>
        <w:rPr>
          <w:rFonts w:ascii="Times New Roman" w:hAnsi="Times New Roman"/>
          <w:bCs/>
          <w:sz w:val="24"/>
          <w:szCs w:val="24"/>
        </w:rPr>
      </w:pPr>
      <w:r w:rsidRPr="00E24274">
        <w:rPr>
          <w:rFonts w:ascii="Times New Roman" w:hAnsi="Times New Roman"/>
          <w:bCs/>
          <w:sz w:val="24"/>
          <w:szCs w:val="24"/>
        </w:rPr>
        <w:t xml:space="preserve">3. Umowa o zbiorowe zarządzanie będzie zawierana w formie pisemnej, elektronicznej lub dokumentowej. Oświadczenia woli związane z jej zmianą, wykonywaniem lub rozwiązaniem będą mogły być składane przy wykorzystaniu środków komunikacji elektronicznej. Organizacja zbiorowego zarządzania obowiązana będzie udostępnić środki takiej komunikacji zapewniające utrwalenie, </w:t>
      </w:r>
      <w:r w:rsidR="003B0BF7">
        <w:rPr>
          <w:rFonts w:ascii="Times New Roman" w:hAnsi="Times New Roman"/>
          <w:bCs/>
          <w:sz w:val="24"/>
          <w:szCs w:val="24"/>
        </w:rPr>
        <w:t>przekazywanie, przechowywanie i </w:t>
      </w:r>
      <w:r w:rsidRPr="00E24274">
        <w:rPr>
          <w:rFonts w:ascii="Times New Roman" w:hAnsi="Times New Roman"/>
          <w:bCs/>
          <w:sz w:val="24"/>
          <w:szCs w:val="24"/>
        </w:rPr>
        <w:t xml:space="preserve">zabezpieczenie treści dokonywanych czynności oraz udostępnić publicznie informacje, które w sposób jasny i przejrzysty przedstawią proces dokonywania tych czynności. Zgodnie bowiem z art. 5 ust. 7 dyrektywy </w:t>
      </w:r>
      <w:r w:rsidR="003B0BF7">
        <w:rPr>
          <w:rFonts w:ascii="Times New Roman" w:hAnsi="Times New Roman"/>
          <w:bCs/>
          <w:sz w:val="24"/>
          <w:szCs w:val="24"/>
        </w:rPr>
        <w:t>CRM w ramach zawierania umowy o </w:t>
      </w:r>
      <w:r w:rsidRPr="00E24274">
        <w:rPr>
          <w:rFonts w:ascii="Times New Roman" w:hAnsi="Times New Roman"/>
          <w:bCs/>
          <w:sz w:val="24"/>
          <w:szCs w:val="24"/>
        </w:rPr>
        <w:t xml:space="preserve">zbiorowe zarządzanie każda zgoda uprawnionego </w:t>
      </w:r>
      <w:r w:rsidR="00E24274">
        <w:rPr>
          <w:rFonts w:ascii="Times New Roman" w:hAnsi="Times New Roman"/>
          <w:bCs/>
          <w:sz w:val="24"/>
          <w:szCs w:val="24"/>
        </w:rPr>
        <w:t>„</w:t>
      </w:r>
      <w:r w:rsidRPr="00E24274">
        <w:rPr>
          <w:rFonts w:ascii="Times New Roman" w:hAnsi="Times New Roman"/>
          <w:bCs/>
          <w:sz w:val="24"/>
          <w:szCs w:val="24"/>
        </w:rPr>
        <w:t>w odniesieniu do każdego prawa lub każdej kategorii praw lub każdego rodzaju utworów oraz innych przedmiotów objętych ochroną</w:t>
      </w:r>
      <w:r w:rsidR="00E24274">
        <w:rPr>
          <w:rFonts w:ascii="Times New Roman" w:hAnsi="Times New Roman"/>
          <w:bCs/>
          <w:sz w:val="24"/>
          <w:szCs w:val="24"/>
        </w:rPr>
        <w:t>”</w:t>
      </w:r>
      <w:r w:rsidRPr="00E24274">
        <w:rPr>
          <w:rFonts w:ascii="Times New Roman" w:hAnsi="Times New Roman"/>
          <w:bCs/>
          <w:sz w:val="24"/>
          <w:szCs w:val="24"/>
        </w:rPr>
        <w:t xml:space="preserve"> wymaga </w:t>
      </w:r>
      <w:r w:rsidR="00E24274">
        <w:rPr>
          <w:rFonts w:ascii="Times New Roman" w:hAnsi="Times New Roman"/>
          <w:bCs/>
          <w:sz w:val="24"/>
          <w:szCs w:val="24"/>
        </w:rPr>
        <w:t>„</w:t>
      </w:r>
      <w:r w:rsidRPr="00E24274">
        <w:rPr>
          <w:rFonts w:ascii="Times New Roman" w:hAnsi="Times New Roman"/>
          <w:bCs/>
          <w:sz w:val="24"/>
          <w:szCs w:val="24"/>
        </w:rPr>
        <w:t>udokumentowania w formie pisemnej</w:t>
      </w:r>
      <w:r w:rsidR="00E24274">
        <w:rPr>
          <w:rFonts w:ascii="Times New Roman" w:hAnsi="Times New Roman"/>
          <w:bCs/>
          <w:sz w:val="24"/>
          <w:szCs w:val="24"/>
        </w:rPr>
        <w:t>”</w:t>
      </w:r>
      <w:r w:rsidRPr="00E24274">
        <w:rPr>
          <w:rFonts w:ascii="Times New Roman" w:hAnsi="Times New Roman"/>
          <w:bCs/>
          <w:sz w:val="24"/>
          <w:szCs w:val="24"/>
        </w:rPr>
        <w:t>, co jednakże nie powinno być interpretowane jako tradycyjna forma pisemna, lecz uwzględniać także stosowanie elektronicznych środków komunikacji.</w:t>
      </w:r>
    </w:p>
    <w:p w:rsidR="00CA088D" w:rsidRPr="00E24274" w:rsidRDefault="00CA088D" w:rsidP="00E24274">
      <w:pPr>
        <w:spacing w:before="120" w:after="0" w:line="360" w:lineRule="auto"/>
        <w:jc w:val="both"/>
        <w:rPr>
          <w:rFonts w:ascii="Times New Roman" w:hAnsi="Times New Roman"/>
          <w:bCs/>
          <w:sz w:val="24"/>
          <w:szCs w:val="24"/>
        </w:rPr>
      </w:pPr>
      <w:r w:rsidRPr="00E24274">
        <w:rPr>
          <w:rFonts w:ascii="Times New Roman" w:hAnsi="Times New Roman"/>
          <w:bCs/>
          <w:sz w:val="24"/>
          <w:szCs w:val="24"/>
        </w:rPr>
        <w:t>4. Zgodnie z art. 27 ust. 4 projektowanej ustawy, wdrażającym art. 5 ust. 8 dyrektywy CRM, organizacja zbiorowego zarządzania obowiązana jest jeszcze przed zawarciem umowy o zbiorowe zarządzanie przekazać uprawnion</w:t>
      </w:r>
      <w:r w:rsidR="003B0BF7">
        <w:rPr>
          <w:rFonts w:ascii="Times New Roman" w:hAnsi="Times New Roman"/>
          <w:bCs/>
          <w:sz w:val="24"/>
          <w:szCs w:val="24"/>
        </w:rPr>
        <w:t>emu informacje o jego prawach i </w:t>
      </w:r>
      <w:r w:rsidRPr="00E24274">
        <w:rPr>
          <w:rFonts w:ascii="Times New Roman" w:hAnsi="Times New Roman"/>
          <w:bCs/>
          <w:sz w:val="24"/>
          <w:szCs w:val="24"/>
        </w:rPr>
        <w:t>obowiązkach wynikających z przepisów ustawy i umowy o zbiorowe zarządzanie oraz o dokonywanych przez nią potrąceniach z przychodów z praw. Informacje te powinny być przekazane uprawnionemu w taki sposób, aby możliwe było ich utrwalenie.</w:t>
      </w:r>
    </w:p>
    <w:p w:rsidR="00CA088D" w:rsidRPr="00E24274" w:rsidRDefault="00CA088D" w:rsidP="00E24274">
      <w:pPr>
        <w:spacing w:before="120" w:after="0" w:line="360" w:lineRule="auto"/>
        <w:jc w:val="both"/>
        <w:rPr>
          <w:rFonts w:ascii="Times New Roman" w:hAnsi="Times New Roman"/>
          <w:b/>
          <w:sz w:val="24"/>
          <w:szCs w:val="24"/>
        </w:rPr>
      </w:pPr>
      <w:r w:rsidRPr="00E24274">
        <w:rPr>
          <w:rFonts w:ascii="Times New Roman" w:hAnsi="Times New Roman"/>
          <w:b/>
          <w:sz w:val="24"/>
          <w:szCs w:val="24"/>
        </w:rPr>
        <w:t>art. 28</w:t>
      </w:r>
    </w:p>
    <w:p w:rsidR="00CA088D" w:rsidRPr="00E24274" w:rsidRDefault="00CA088D" w:rsidP="003B0BF7">
      <w:pPr>
        <w:spacing w:after="0" w:line="360" w:lineRule="auto"/>
        <w:jc w:val="both"/>
        <w:rPr>
          <w:rFonts w:ascii="Times New Roman" w:hAnsi="Times New Roman"/>
          <w:sz w:val="24"/>
          <w:szCs w:val="24"/>
        </w:rPr>
      </w:pPr>
      <w:r w:rsidRPr="00E24274">
        <w:rPr>
          <w:rFonts w:ascii="Times New Roman" w:hAnsi="Times New Roman"/>
          <w:sz w:val="24"/>
          <w:szCs w:val="24"/>
        </w:rPr>
        <w:t xml:space="preserve">Zgodnie z tym przepisem, stanowiącym implementację art. 5 ust. 3 dyrektywy CRM, uprawniony zachowuje prawo do samodzielnego udzielania licencji na korzystanie ze </w:t>
      </w:r>
      <w:r w:rsidRPr="00E24274">
        <w:rPr>
          <w:rFonts w:ascii="Times New Roman" w:hAnsi="Times New Roman"/>
          <w:sz w:val="24"/>
          <w:szCs w:val="24"/>
        </w:rPr>
        <w:lastRenderedPageBreak/>
        <w:t>swojego repertuaru objętego umową o zbiorowe zarządzanie, jeżeli korzystanie to nie ma na celu osiągania korzyści majątkowych. W tym zakresie przeciwne postanowienia umowy o zbiorowe zarządzanie będą bezskuteczne, podobnie jak wszelkie postanowienia mające na celu uniemożliwienie lub utrudnienie wykonywania tego uprawnienia. W rezultacie niekomercyjna eksploatacja repertuaru zarządzanego przez organizacje zbiorowego zarządzania będzie mogła się odbywać na podstawie licencji udzielanych dwutorowo – albo przez organizacje zbiorowego zarządzania</w:t>
      </w:r>
      <w:r w:rsidR="00302854">
        <w:rPr>
          <w:rFonts w:ascii="Times New Roman" w:hAnsi="Times New Roman"/>
          <w:sz w:val="24"/>
          <w:szCs w:val="24"/>
        </w:rPr>
        <w:t>,</w:t>
      </w:r>
      <w:r w:rsidRPr="00E24274">
        <w:rPr>
          <w:rFonts w:ascii="Times New Roman" w:hAnsi="Times New Roman"/>
          <w:sz w:val="24"/>
          <w:szCs w:val="24"/>
        </w:rPr>
        <w:t xml:space="preserve"> albo przez samych uprawnionych. Bez wątpienia ułatwi to różnego rodzaju podmiotom organizującym niekomercyjne przedsięwzięcia uzyskanie stosownych licencji na korzystanie z chronionych utworów lub przedmiotów praw pokrewnych.</w:t>
      </w:r>
    </w:p>
    <w:p w:rsidR="00CA088D" w:rsidRPr="00E24274" w:rsidRDefault="00CA088D" w:rsidP="00E24274">
      <w:pPr>
        <w:spacing w:before="120" w:after="0" w:line="360" w:lineRule="auto"/>
        <w:jc w:val="both"/>
        <w:rPr>
          <w:rFonts w:ascii="Times New Roman" w:hAnsi="Times New Roman"/>
          <w:b/>
          <w:sz w:val="24"/>
          <w:szCs w:val="24"/>
        </w:rPr>
      </w:pPr>
      <w:r w:rsidRPr="00E24274">
        <w:rPr>
          <w:rFonts w:ascii="Times New Roman" w:hAnsi="Times New Roman"/>
          <w:b/>
          <w:sz w:val="24"/>
          <w:szCs w:val="24"/>
        </w:rPr>
        <w:t>art. 29</w:t>
      </w:r>
    </w:p>
    <w:p w:rsidR="00CA088D" w:rsidRPr="00E24274" w:rsidRDefault="00CA088D" w:rsidP="003B0BF7">
      <w:pPr>
        <w:spacing w:after="0" w:line="360" w:lineRule="auto"/>
        <w:jc w:val="both"/>
        <w:rPr>
          <w:rFonts w:ascii="Times New Roman" w:hAnsi="Times New Roman"/>
          <w:sz w:val="24"/>
          <w:szCs w:val="24"/>
        </w:rPr>
      </w:pPr>
      <w:r w:rsidRPr="00E24274">
        <w:rPr>
          <w:rFonts w:ascii="Times New Roman" w:hAnsi="Times New Roman"/>
          <w:sz w:val="24"/>
          <w:szCs w:val="24"/>
        </w:rPr>
        <w:t>1. W związku z tym, że umowa o zbiorowe zarządzanie nie pozbawia uprawnionego możliwości samodzielnego udzielania licencji, konieczne jest zabezpieczenie w tym zakresie słusznych interesów organizacji zbiorowe</w:t>
      </w:r>
      <w:r w:rsidR="003B0BF7">
        <w:rPr>
          <w:rFonts w:ascii="Times New Roman" w:hAnsi="Times New Roman"/>
          <w:sz w:val="24"/>
          <w:szCs w:val="24"/>
        </w:rPr>
        <w:t>go zarządzania. Zgodnie zatem z </w:t>
      </w:r>
      <w:r w:rsidRPr="00E24274">
        <w:rPr>
          <w:rFonts w:ascii="Times New Roman" w:hAnsi="Times New Roman"/>
          <w:sz w:val="24"/>
          <w:szCs w:val="24"/>
        </w:rPr>
        <w:t>przepisem ust. 1 uprawniony związany umową o zbiorowe zarządzanie obowiązany jest niezwłocznie poinformować organizację zbiorowego zarządzania o każdym przypadku udzielenia licencji na korzystanie z repertuaru objętego umową o zbiorowe zarządzanie, wskazując w szczególności licencjobiorcę, datę udzielenia licencji oraz utwory lub przedmioty praw pokrewnych, pola eksploatacji i terytoria, których ta licencja dotyczy. Umożliwi to organizacji odstąpienie od ochrony praw uprawnionego, który samodzielnie udzielił użytkownikowi zezwolenia na korzystanie z utworów lub przedmiotów jego praw. Podobny obowiązek informacyjny dotyczy przypadku zbycia praw autorskich lub pokrewnych, umożliwiając organizacji zbiorowego zarządzania prawidłowe wykonywanie jej obowiązków wobec odpowiedniego następcy prawnego uprawnionego. Uprawniony obowiązany jest ponadto poinformować organizację o zmianie dotyczących go danych, a więc adresu zamieszkania, siedziby lub adresu korespondencyjnego, a także danych niezbędnych organizacji do wypłaty należnej mu części przychodów z praw (nr konta bankowego itp.). Winno to również ułatwić organizacji wykonywanie obowiązków wobec u</w:t>
      </w:r>
      <w:r w:rsidR="003B0BF7">
        <w:rPr>
          <w:rFonts w:ascii="Times New Roman" w:hAnsi="Times New Roman"/>
          <w:sz w:val="24"/>
          <w:szCs w:val="24"/>
        </w:rPr>
        <w:t>prawnionych, w tym związanych z </w:t>
      </w:r>
      <w:r w:rsidRPr="00E24274">
        <w:rPr>
          <w:rFonts w:ascii="Times New Roman" w:hAnsi="Times New Roman"/>
          <w:sz w:val="24"/>
          <w:szCs w:val="24"/>
        </w:rPr>
        <w:t>regularną wypłatą przysługujących im przychodów z praw.</w:t>
      </w:r>
    </w:p>
    <w:p w:rsidR="00CA088D" w:rsidRPr="00E24274" w:rsidRDefault="00CA088D"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 xml:space="preserve">2. Zgodnie z ust. 2 – stanowiącym swoistą sankcję za niewypełnienie obowiązków informacyjnych – w przypadku naruszenia tych obowiązków uprawniony poniesie </w:t>
      </w:r>
      <w:r w:rsidR="00E24274">
        <w:rPr>
          <w:rFonts w:ascii="Times New Roman" w:hAnsi="Times New Roman"/>
          <w:sz w:val="24"/>
          <w:szCs w:val="24"/>
        </w:rPr>
        <w:t>„</w:t>
      </w:r>
      <w:r w:rsidRPr="00E24274">
        <w:rPr>
          <w:rFonts w:ascii="Times New Roman" w:hAnsi="Times New Roman"/>
          <w:i/>
          <w:sz w:val="24"/>
          <w:szCs w:val="24"/>
        </w:rPr>
        <w:t>uzasadnione i udokumentowane</w:t>
      </w:r>
      <w:r w:rsidR="00E24274">
        <w:rPr>
          <w:rFonts w:ascii="Times New Roman" w:hAnsi="Times New Roman"/>
          <w:sz w:val="24"/>
          <w:szCs w:val="24"/>
        </w:rPr>
        <w:t>”</w:t>
      </w:r>
      <w:r w:rsidRPr="00E24274">
        <w:rPr>
          <w:rFonts w:ascii="Times New Roman" w:hAnsi="Times New Roman"/>
          <w:sz w:val="24"/>
          <w:szCs w:val="24"/>
        </w:rPr>
        <w:t xml:space="preserve"> koszty bezskutecznego dochodzenia przez </w:t>
      </w:r>
      <w:r w:rsidRPr="00E24274">
        <w:rPr>
          <w:rFonts w:ascii="Times New Roman" w:hAnsi="Times New Roman"/>
          <w:sz w:val="24"/>
          <w:szCs w:val="24"/>
        </w:rPr>
        <w:lastRenderedPageBreak/>
        <w:t>organizację roszczeń z tytułu naruszenia praw objętych umową o zbiorowe zarządzanie lub roszczeń</w:t>
      </w:r>
      <w:r w:rsidR="00E24274">
        <w:rPr>
          <w:rFonts w:ascii="Times New Roman" w:hAnsi="Times New Roman"/>
          <w:sz w:val="24"/>
          <w:szCs w:val="24"/>
        </w:rPr>
        <w:t xml:space="preserve"> </w:t>
      </w:r>
      <w:r w:rsidRPr="00E24274">
        <w:rPr>
          <w:rFonts w:ascii="Times New Roman" w:hAnsi="Times New Roman"/>
          <w:sz w:val="24"/>
          <w:szCs w:val="24"/>
        </w:rPr>
        <w:t>o wynagrodzenie za korzystanie z tych praw od użytkownika upoważnionego do korzystania</w:t>
      </w:r>
      <w:r w:rsidR="00E24274">
        <w:rPr>
          <w:rFonts w:ascii="Times New Roman" w:hAnsi="Times New Roman"/>
          <w:sz w:val="24"/>
          <w:szCs w:val="24"/>
        </w:rPr>
        <w:t xml:space="preserve"> </w:t>
      </w:r>
      <w:r w:rsidRPr="00E24274">
        <w:rPr>
          <w:rFonts w:ascii="Times New Roman" w:hAnsi="Times New Roman"/>
          <w:sz w:val="24"/>
          <w:szCs w:val="24"/>
        </w:rPr>
        <w:t>z utworów lub przedmiotów praw pokrewnych.</w:t>
      </w:r>
    </w:p>
    <w:p w:rsidR="00CA088D" w:rsidRPr="00E24274" w:rsidRDefault="00CA088D" w:rsidP="00E24274">
      <w:pPr>
        <w:spacing w:before="120" w:after="0" w:line="360" w:lineRule="auto"/>
        <w:jc w:val="both"/>
        <w:rPr>
          <w:rFonts w:ascii="Times New Roman" w:hAnsi="Times New Roman"/>
          <w:bCs/>
          <w:sz w:val="24"/>
          <w:szCs w:val="24"/>
        </w:rPr>
      </w:pPr>
      <w:r w:rsidRPr="00E24274">
        <w:rPr>
          <w:rFonts w:ascii="Times New Roman" w:hAnsi="Times New Roman"/>
          <w:bCs/>
          <w:sz w:val="24"/>
          <w:szCs w:val="24"/>
        </w:rPr>
        <w:t>3. Zgodnie z ust. 3 umowa o zbiorowe zarządzanie może zawierać także inne niż wskazane w ust</w:t>
      </w:r>
      <w:r w:rsidR="00655F77" w:rsidRPr="00E24274">
        <w:rPr>
          <w:rFonts w:ascii="Times New Roman" w:hAnsi="Times New Roman"/>
          <w:bCs/>
          <w:sz w:val="24"/>
          <w:szCs w:val="24"/>
        </w:rPr>
        <w:t>.</w:t>
      </w:r>
      <w:r w:rsidRPr="00E24274">
        <w:rPr>
          <w:rFonts w:ascii="Times New Roman" w:hAnsi="Times New Roman"/>
          <w:bCs/>
          <w:sz w:val="24"/>
          <w:szCs w:val="24"/>
        </w:rPr>
        <w:t xml:space="preserve"> 2 postanowienia dotyczące odpowiedzialności uprawnionego wobec organizacji zbiorowego zarządzania w przypadku udzielenia licencji osobie trzeciej. Oznacza to zarówno możliwość zapewnienia uprawnionemu nieograniczonej możliwości samodzielnego licencjonowania jego repertuaru, jak też możliwość wprowadzenia ostrzejszych rygorów, np. kar umownych za naruszenie zobowiązania do nieudzielania takich licencji. Nie dotyczy to jednak licencji udzielanych na podstawie art. 28.</w:t>
      </w:r>
      <w:r w:rsidR="00E24274">
        <w:rPr>
          <w:rFonts w:ascii="Times New Roman" w:hAnsi="Times New Roman"/>
          <w:bCs/>
          <w:sz w:val="24"/>
          <w:szCs w:val="24"/>
        </w:rPr>
        <w:t xml:space="preserve"> </w:t>
      </w:r>
    </w:p>
    <w:p w:rsidR="00CA088D" w:rsidRPr="00E24274" w:rsidRDefault="00CA088D" w:rsidP="00E24274">
      <w:pPr>
        <w:spacing w:before="120" w:after="0" w:line="360" w:lineRule="auto"/>
        <w:jc w:val="both"/>
        <w:rPr>
          <w:rFonts w:ascii="Times New Roman" w:hAnsi="Times New Roman"/>
          <w:b/>
          <w:sz w:val="24"/>
          <w:szCs w:val="24"/>
        </w:rPr>
      </w:pPr>
      <w:r w:rsidRPr="00E24274">
        <w:rPr>
          <w:rFonts w:ascii="Times New Roman" w:hAnsi="Times New Roman"/>
          <w:b/>
          <w:sz w:val="24"/>
          <w:szCs w:val="24"/>
        </w:rPr>
        <w:t>art. 30</w:t>
      </w:r>
    </w:p>
    <w:p w:rsidR="00CA088D" w:rsidRPr="00E24274" w:rsidRDefault="00CA088D" w:rsidP="003B0BF7">
      <w:pPr>
        <w:spacing w:after="0" w:line="360" w:lineRule="auto"/>
        <w:jc w:val="both"/>
        <w:rPr>
          <w:rFonts w:ascii="Times New Roman" w:hAnsi="Times New Roman"/>
          <w:sz w:val="24"/>
          <w:szCs w:val="24"/>
        </w:rPr>
      </w:pPr>
      <w:r w:rsidRPr="00E24274">
        <w:rPr>
          <w:rFonts w:ascii="Times New Roman" w:hAnsi="Times New Roman"/>
          <w:sz w:val="24"/>
          <w:szCs w:val="24"/>
        </w:rPr>
        <w:t>1. Zgodnie z tym artykułem, stanowiącym implementację art. 5 ust. 4 dyrektywy CRM, uprawniony może w każdym czasie wypowiedzieć</w:t>
      </w:r>
      <w:r w:rsidR="003B0BF7">
        <w:rPr>
          <w:rFonts w:ascii="Times New Roman" w:hAnsi="Times New Roman"/>
          <w:sz w:val="24"/>
          <w:szCs w:val="24"/>
        </w:rPr>
        <w:t xml:space="preserve"> umowę o zbiorowe zarządzanie z </w:t>
      </w:r>
      <w:r w:rsidRPr="00E24274">
        <w:rPr>
          <w:rFonts w:ascii="Times New Roman" w:hAnsi="Times New Roman"/>
          <w:sz w:val="24"/>
          <w:szCs w:val="24"/>
        </w:rPr>
        <w:t xml:space="preserve">terminem wypowiedzenia w niej określonym. Termin wypowiedzenia nie może być dłuższy niż 3 miesiące, jednakże wypowiedzenie odniesie skutek dopiero na koniec półrocza kalendarzowego. Wypowiedzenie może dotyczyć całej umowy lub być tylko częściowe, tj. dotyczyć jedynie poszczególnych utworów lub przedmiotów praw pokrewnych albo ich rodzajów, jak również pól eksploatacji lub terytoriów. Decydujące znaczenie ma tutaj treść umowy o zbiorowe zarządzanie, w szczególności czy jej przedmiotem były utwory lub przedmioty praw pokrewnych określone w sposób zindywidualizowany czy też określone rodzajowo. </w:t>
      </w:r>
    </w:p>
    <w:p w:rsidR="00CA088D" w:rsidRPr="00E24274" w:rsidRDefault="00CA088D" w:rsidP="00E24274">
      <w:pPr>
        <w:spacing w:before="120" w:after="0" w:line="360" w:lineRule="auto"/>
        <w:jc w:val="both"/>
        <w:rPr>
          <w:rFonts w:ascii="Times New Roman" w:hAnsi="Times New Roman"/>
          <w:bCs/>
          <w:sz w:val="24"/>
          <w:szCs w:val="24"/>
        </w:rPr>
      </w:pPr>
      <w:r w:rsidRPr="00E24274">
        <w:rPr>
          <w:rFonts w:ascii="Times New Roman" w:hAnsi="Times New Roman"/>
          <w:bCs/>
          <w:sz w:val="24"/>
          <w:szCs w:val="24"/>
        </w:rPr>
        <w:t xml:space="preserve">2. Istotnym nowym rozwiązaniem w stosunku do obowiązującego stanu prawnego jest ust. 3, niemający odpowiednika w dyrektywie CRM, zgodnie z którym wypowiedzenie przez uprawnionego umowy o zbiorowe zarządzanie pozostaje bez wpływu na skuteczność umów z użytkownikami zawartych przez organizację zbiorowego zarządzania przed upływem terminu wypowiedzenia, w okresie 2 lat od dnia upływu terminu wypowiedzenia. Po tym dwuletnim okresie umowy te wygasają w odniesieniu do praw objętych wypowiedzeniem. Rozwiązanie to ma na celu stabilizację stosunków licencyjnych w systemie zbiorowego zarządzania, gdzie zakres praw objętych zbiorowym zarządzaniem podlega ciągłym zmianom, nie tylko wskutek zawierania nowych umów o zbiorowe zarządzanie, ale także wskutek wypowiadania tych umów </w:t>
      </w:r>
      <w:r w:rsidRPr="00E24274">
        <w:rPr>
          <w:rFonts w:ascii="Times New Roman" w:hAnsi="Times New Roman"/>
          <w:bCs/>
          <w:sz w:val="24"/>
          <w:szCs w:val="24"/>
        </w:rPr>
        <w:lastRenderedPageBreak/>
        <w:t xml:space="preserve">przez uprawnionych. Okres dwuletni wydaje się tutaj wystarczający dla osiągnięcia tego celu. </w:t>
      </w:r>
    </w:p>
    <w:p w:rsidR="00CA088D" w:rsidRPr="00E24274" w:rsidRDefault="00CA088D" w:rsidP="00E24274">
      <w:pPr>
        <w:spacing w:before="120" w:after="0" w:line="360" w:lineRule="auto"/>
        <w:jc w:val="both"/>
        <w:rPr>
          <w:rFonts w:ascii="Times New Roman" w:hAnsi="Times New Roman"/>
          <w:sz w:val="24"/>
          <w:szCs w:val="24"/>
        </w:rPr>
      </w:pPr>
      <w:r w:rsidRPr="00E24274">
        <w:rPr>
          <w:rFonts w:ascii="Times New Roman" w:hAnsi="Times New Roman"/>
          <w:bCs/>
          <w:sz w:val="24"/>
          <w:szCs w:val="24"/>
        </w:rPr>
        <w:t xml:space="preserve">3. Zgodnie z ust. 4, stanowiącym implementację art. 5 ust. 5 dyrektywy CRM, wypowiedzenie umowy o zbiorowe zarządzanie pozostanie bez wpływu na wzajemne prawa i obowiązki organizacji i uprawnionego związane z zarządzaniem przez organizację jego repertuarem w powyższym </w:t>
      </w:r>
      <w:r w:rsidR="003B0BF7">
        <w:rPr>
          <w:rFonts w:ascii="Times New Roman" w:hAnsi="Times New Roman"/>
          <w:bCs/>
          <w:sz w:val="24"/>
          <w:szCs w:val="24"/>
        </w:rPr>
        <w:t>dwuletnim okresie (dotyczy to w </w:t>
      </w:r>
      <w:r w:rsidRPr="00E24274">
        <w:rPr>
          <w:rFonts w:ascii="Times New Roman" w:hAnsi="Times New Roman"/>
          <w:bCs/>
          <w:sz w:val="24"/>
          <w:szCs w:val="24"/>
        </w:rPr>
        <w:t xml:space="preserve">szczególności wzajemnych obowiązków informacyjnych, zasad dokonywania przez organizację potrąceń z kwot należnych uprawnionemu, zasad dokonywania przez organizację podziału przychodów z praw oraz ich wypłaty uprawnionym). </w:t>
      </w:r>
      <w:r w:rsidR="003B0BF7">
        <w:rPr>
          <w:rFonts w:ascii="Times New Roman" w:hAnsi="Times New Roman"/>
          <w:sz w:val="24"/>
          <w:szCs w:val="24"/>
        </w:rPr>
        <w:t>Zgodnie z </w:t>
      </w:r>
      <w:r w:rsidRPr="00E24274">
        <w:rPr>
          <w:rFonts w:ascii="Times New Roman" w:hAnsi="Times New Roman"/>
          <w:sz w:val="24"/>
          <w:szCs w:val="24"/>
        </w:rPr>
        <w:t>ust. 5 w okresie tym organizacja nie może jednak zawierać nowych umów na korzystanie z praw, których dotyczy wypowiedz</w:t>
      </w:r>
      <w:r w:rsidR="003B0BF7">
        <w:rPr>
          <w:rFonts w:ascii="Times New Roman" w:hAnsi="Times New Roman"/>
          <w:sz w:val="24"/>
          <w:szCs w:val="24"/>
        </w:rPr>
        <w:t>enie, z wyjątkiem przypadków, w </w:t>
      </w:r>
      <w:r w:rsidRPr="00E24274">
        <w:rPr>
          <w:rFonts w:ascii="Times New Roman" w:hAnsi="Times New Roman"/>
          <w:sz w:val="24"/>
          <w:szCs w:val="24"/>
        </w:rPr>
        <w:t>których w wyniku wypowiedzenia umowy z organizacją reprezentatywną uprawniony niereprezentowany przez żadną organizację zostałby objęty rozszerzonym skutkiem umowy określonym w projektowanym art. 5 ust. 2.</w:t>
      </w:r>
    </w:p>
    <w:p w:rsidR="00CA088D" w:rsidRPr="00E24274" w:rsidRDefault="00CA088D" w:rsidP="00E24274">
      <w:pPr>
        <w:spacing w:before="120" w:after="0" w:line="360" w:lineRule="auto"/>
        <w:jc w:val="both"/>
        <w:rPr>
          <w:rFonts w:ascii="Times New Roman" w:hAnsi="Times New Roman"/>
          <w:b/>
          <w:sz w:val="24"/>
          <w:szCs w:val="24"/>
        </w:rPr>
      </w:pPr>
      <w:r w:rsidRPr="00E24274">
        <w:rPr>
          <w:rFonts w:ascii="Times New Roman" w:hAnsi="Times New Roman"/>
          <w:b/>
          <w:sz w:val="24"/>
          <w:szCs w:val="24"/>
        </w:rPr>
        <w:t>art. 31</w:t>
      </w:r>
    </w:p>
    <w:p w:rsidR="00CA088D" w:rsidRPr="00E24274" w:rsidRDefault="00CA088D" w:rsidP="003B0BF7">
      <w:pPr>
        <w:spacing w:after="0" w:line="360" w:lineRule="auto"/>
        <w:jc w:val="both"/>
        <w:rPr>
          <w:rFonts w:ascii="Times New Roman" w:hAnsi="Times New Roman"/>
          <w:sz w:val="24"/>
          <w:szCs w:val="24"/>
        </w:rPr>
      </w:pPr>
      <w:r w:rsidRPr="00E24274">
        <w:rPr>
          <w:rFonts w:ascii="Times New Roman" w:hAnsi="Times New Roman"/>
          <w:sz w:val="24"/>
          <w:szCs w:val="24"/>
        </w:rPr>
        <w:t>Zgodnie z tym przepisem art. 30 projektu (a wię</w:t>
      </w:r>
      <w:r w:rsidR="003B0BF7">
        <w:rPr>
          <w:rFonts w:ascii="Times New Roman" w:hAnsi="Times New Roman"/>
          <w:sz w:val="24"/>
          <w:szCs w:val="24"/>
        </w:rPr>
        <w:t>c przepisy dotyczące terminów i </w:t>
      </w:r>
      <w:r w:rsidRPr="00E24274">
        <w:rPr>
          <w:rFonts w:ascii="Times New Roman" w:hAnsi="Times New Roman"/>
          <w:sz w:val="24"/>
          <w:szCs w:val="24"/>
        </w:rPr>
        <w:t>skutków wypowiedzenia) znajdą odpowiednie zastosowanie do wypowiedzenia umowy o zbiorowe zarządzanie przez organizację zbiorowego zarządzania, z tym że takie wypowiedzenie będzie mogło nastąpić wyłącznie z ważnych przyczyn i będzie wymagać uzasadnienia w formie pisemnej.</w:t>
      </w:r>
    </w:p>
    <w:p w:rsidR="00CA088D" w:rsidRPr="00E24274" w:rsidRDefault="00CA088D" w:rsidP="00E24274">
      <w:pPr>
        <w:spacing w:before="120" w:after="0" w:line="360" w:lineRule="auto"/>
        <w:jc w:val="both"/>
        <w:rPr>
          <w:rFonts w:ascii="Times New Roman" w:hAnsi="Times New Roman"/>
          <w:b/>
          <w:sz w:val="24"/>
          <w:szCs w:val="24"/>
        </w:rPr>
      </w:pPr>
      <w:r w:rsidRPr="00E24274">
        <w:rPr>
          <w:rFonts w:ascii="Times New Roman" w:hAnsi="Times New Roman"/>
          <w:b/>
          <w:sz w:val="24"/>
          <w:szCs w:val="24"/>
        </w:rPr>
        <w:t>art. 32</w:t>
      </w:r>
    </w:p>
    <w:p w:rsidR="00CA088D" w:rsidRDefault="00CA088D" w:rsidP="003B0BF7">
      <w:pPr>
        <w:spacing w:after="0" w:line="360" w:lineRule="auto"/>
        <w:jc w:val="both"/>
        <w:rPr>
          <w:rFonts w:ascii="Times New Roman" w:hAnsi="Times New Roman"/>
          <w:sz w:val="24"/>
          <w:szCs w:val="24"/>
        </w:rPr>
      </w:pPr>
      <w:r w:rsidRPr="00E24274">
        <w:rPr>
          <w:rFonts w:ascii="Times New Roman" w:hAnsi="Times New Roman"/>
          <w:sz w:val="24"/>
          <w:szCs w:val="24"/>
        </w:rPr>
        <w:t>Przepis ten zobowiązuje organizacje zbiorowego zarządzania do prowadzenia szczegółowego wykazu zarządzanych praw, a więc wszystkich umów o zbiorowe zarządzanie (z uwzględnieniem</w:t>
      </w:r>
      <w:r w:rsidR="00B22430" w:rsidRPr="00E24274">
        <w:rPr>
          <w:rFonts w:ascii="Times New Roman" w:hAnsi="Times New Roman"/>
          <w:sz w:val="24"/>
          <w:szCs w:val="24"/>
        </w:rPr>
        <w:t xml:space="preserve"> informacji na temat</w:t>
      </w:r>
      <w:r w:rsidRPr="00E24274">
        <w:rPr>
          <w:rFonts w:ascii="Times New Roman" w:hAnsi="Times New Roman"/>
          <w:sz w:val="24"/>
          <w:szCs w:val="24"/>
        </w:rPr>
        <w:t xml:space="preserve"> uprawnionych, poszczególnych utworów lub przedmiotów praw pokrewnych, pól</w:t>
      </w:r>
      <w:r w:rsidR="003B0BF7">
        <w:rPr>
          <w:rFonts w:ascii="Times New Roman" w:hAnsi="Times New Roman"/>
          <w:sz w:val="24"/>
          <w:szCs w:val="24"/>
        </w:rPr>
        <w:t xml:space="preserve"> eksploatacji oraz terytoriów</w:t>
      </w:r>
      <w:r w:rsidR="00302854">
        <w:rPr>
          <w:rFonts w:ascii="Times New Roman" w:hAnsi="Times New Roman"/>
          <w:sz w:val="24"/>
          <w:szCs w:val="24"/>
        </w:rPr>
        <w:t>,</w:t>
      </w:r>
      <w:r w:rsidR="003B0BF7">
        <w:rPr>
          <w:rFonts w:ascii="Times New Roman" w:hAnsi="Times New Roman"/>
          <w:sz w:val="24"/>
          <w:szCs w:val="24"/>
        </w:rPr>
        <w:t xml:space="preserve"> w </w:t>
      </w:r>
      <w:r w:rsidRPr="00E24274">
        <w:rPr>
          <w:rFonts w:ascii="Times New Roman" w:hAnsi="Times New Roman"/>
          <w:sz w:val="24"/>
          <w:szCs w:val="24"/>
        </w:rPr>
        <w:t>stosunku do których organizacja została upoważniona do zbiorowego zarządzania) oraz wszystkich zidentyfikowanych uprawnionych, których prawami zbiorowo zarządza na innej podstawie niż umowa o zbiorowe zarządzanie (umowa o reprezentacji, reprezentacja ustawowa). Wykazy te organizacja powinna prowadzić w postaci elektronicznej i na bieżąco je aktualizować.</w:t>
      </w:r>
    </w:p>
    <w:p w:rsidR="00EC3C04" w:rsidRDefault="00EC3C04" w:rsidP="003B0BF7">
      <w:pPr>
        <w:spacing w:after="0" w:line="360" w:lineRule="auto"/>
        <w:jc w:val="both"/>
        <w:rPr>
          <w:rFonts w:ascii="Times New Roman" w:hAnsi="Times New Roman"/>
          <w:sz w:val="24"/>
          <w:szCs w:val="24"/>
        </w:rPr>
      </w:pPr>
    </w:p>
    <w:p w:rsidR="00EC3C04" w:rsidRPr="00E24274" w:rsidRDefault="00EC3C04" w:rsidP="003B0BF7">
      <w:pPr>
        <w:spacing w:after="0" w:line="360" w:lineRule="auto"/>
        <w:jc w:val="both"/>
        <w:rPr>
          <w:rFonts w:ascii="Times New Roman" w:hAnsi="Times New Roman"/>
          <w:sz w:val="24"/>
          <w:szCs w:val="24"/>
        </w:rPr>
      </w:pPr>
    </w:p>
    <w:p w:rsidR="00CA088D" w:rsidRPr="00E24274" w:rsidRDefault="00CA088D" w:rsidP="00E24274">
      <w:pPr>
        <w:spacing w:before="120" w:after="0" w:line="360" w:lineRule="auto"/>
        <w:jc w:val="both"/>
        <w:rPr>
          <w:rFonts w:ascii="Times New Roman" w:hAnsi="Times New Roman"/>
          <w:b/>
          <w:sz w:val="24"/>
          <w:szCs w:val="24"/>
        </w:rPr>
      </w:pPr>
      <w:r w:rsidRPr="00E24274">
        <w:rPr>
          <w:rFonts w:ascii="Times New Roman" w:hAnsi="Times New Roman"/>
          <w:b/>
          <w:sz w:val="24"/>
          <w:szCs w:val="24"/>
        </w:rPr>
        <w:lastRenderedPageBreak/>
        <w:t>Oddział 2. Zarządzanie przychodami z praw (art. 33–39 projektu)</w:t>
      </w:r>
    </w:p>
    <w:p w:rsidR="00CA088D" w:rsidRPr="00E24274" w:rsidRDefault="00CA088D" w:rsidP="00E24274">
      <w:pPr>
        <w:tabs>
          <w:tab w:val="left" w:pos="1843"/>
        </w:tabs>
        <w:spacing w:before="120" w:after="0" w:line="360" w:lineRule="auto"/>
        <w:jc w:val="both"/>
        <w:rPr>
          <w:rFonts w:ascii="Times New Roman" w:hAnsi="Times New Roman"/>
          <w:sz w:val="24"/>
          <w:szCs w:val="24"/>
        </w:rPr>
      </w:pPr>
      <w:r w:rsidRPr="00E24274">
        <w:rPr>
          <w:rFonts w:ascii="Times New Roman" w:hAnsi="Times New Roman"/>
          <w:sz w:val="24"/>
          <w:szCs w:val="24"/>
        </w:rPr>
        <w:t>Przepisy art. 33</w:t>
      </w:r>
      <w:r w:rsidR="00B85D46">
        <w:rPr>
          <w:rFonts w:ascii="Times New Roman" w:hAnsi="Times New Roman"/>
          <w:sz w:val="24"/>
          <w:szCs w:val="24"/>
        </w:rPr>
        <w:t>–</w:t>
      </w:r>
      <w:r w:rsidRPr="00E24274">
        <w:rPr>
          <w:rFonts w:ascii="Times New Roman" w:hAnsi="Times New Roman"/>
          <w:sz w:val="24"/>
          <w:szCs w:val="24"/>
        </w:rPr>
        <w:t>39 projektowanej ustawy stanowią im</w:t>
      </w:r>
      <w:r w:rsidR="003B0BF7">
        <w:rPr>
          <w:rFonts w:ascii="Times New Roman" w:hAnsi="Times New Roman"/>
          <w:sz w:val="24"/>
          <w:szCs w:val="24"/>
        </w:rPr>
        <w:t>plementację rozdziału II Tytułu </w:t>
      </w:r>
      <w:r w:rsidRPr="00E24274">
        <w:rPr>
          <w:rFonts w:ascii="Times New Roman" w:hAnsi="Times New Roman"/>
          <w:sz w:val="24"/>
          <w:szCs w:val="24"/>
        </w:rPr>
        <w:t>II dyrektywy CRM dotyczącego zarządzania przychod</w:t>
      </w:r>
      <w:r w:rsidR="003B0BF7">
        <w:rPr>
          <w:rFonts w:ascii="Times New Roman" w:hAnsi="Times New Roman"/>
          <w:sz w:val="24"/>
          <w:szCs w:val="24"/>
        </w:rPr>
        <w:t>ami z praw. Obecne przepisy pr. </w:t>
      </w:r>
      <w:r w:rsidRPr="00E24274">
        <w:rPr>
          <w:rFonts w:ascii="Times New Roman" w:hAnsi="Times New Roman"/>
          <w:sz w:val="24"/>
          <w:szCs w:val="24"/>
        </w:rPr>
        <w:t>aut. nie przewidują żadnych regulacji w tym zakresie. Wyjątek stanowią zasady dotyczące podziału i wypłaty środków stanowiących rekompensatę z tytułu dozwolonego użytku osobistego i reprograficznego, zawarte w rozporządzeniach Ministra Kultury: z dnia 2 czerwca 2003 r. w sprawie ok</w:t>
      </w:r>
      <w:r w:rsidR="003B0BF7">
        <w:rPr>
          <w:rFonts w:ascii="Times New Roman" w:hAnsi="Times New Roman"/>
          <w:sz w:val="24"/>
          <w:szCs w:val="24"/>
        </w:rPr>
        <w:t>reślenia kategorii urządzeń i </w:t>
      </w:r>
      <w:r w:rsidRPr="00E24274">
        <w:rPr>
          <w:rFonts w:ascii="Times New Roman" w:hAnsi="Times New Roman"/>
          <w:sz w:val="24"/>
          <w:szCs w:val="24"/>
        </w:rPr>
        <w:t>nośników służących do utrwalania utworów oraz opła</w:t>
      </w:r>
      <w:r w:rsidR="003B0BF7">
        <w:rPr>
          <w:rFonts w:ascii="Times New Roman" w:hAnsi="Times New Roman"/>
          <w:sz w:val="24"/>
          <w:szCs w:val="24"/>
        </w:rPr>
        <w:t>t od tych urządzeń i nośników z </w:t>
      </w:r>
      <w:r w:rsidRPr="00E24274">
        <w:rPr>
          <w:rFonts w:ascii="Times New Roman" w:hAnsi="Times New Roman"/>
          <w:sz w:val="24"/>
          <w:szCs w:val="24"/>
        </w:rPr>
        <w:t>tytułu ich sprzedaży przez producentów i importerów</w:t>
      </w:r>
      <w:r w:rsidR="00E24274">
        <w:rPr>
          <w:rFonts w:ascii="Times New Roman" w:hAnsi="Times New Roman"/>
          <w:sz w:val="24"/>
          <w:szCs w:val="24"/>
        </w:rPr>
        <w:t xml:space="preserve"> </w:t>
      </w:r>
      <w:r w:rsidRPr="00E24274">
        <w:rPr>
          <w:rFonts w:ascii="Times New Roman" w:hAnsi="Times New Roman"/>
          <w:sz w:val="24"/>
          <w:szCs w:val="24"/>
        </w:rPr>
        <w:t>oraz z dnia 27 czerwca 2003 r. w sprawie opłat uiszczanych przez posiadaczy urządzeń reprograficznych. Z uwagi na szczególny charakter tych środków powyższe rozporządzenia będą w dalszym ciągu regulować ich podział i wypłatę w zakresie nieuregulowanym w projektowanej ustawie.</w:t>
      </w:r>
    </w:p>
    <w:p w:rsidR="00CA088D" w:rsidRPr="00E24274" w:rsidRDefault="00CA088D" w:rsidP="00E24274">
      <w:pPr>
        <w:spacing w:before="120" w:after="0" w:line="360" w:lineRule="auto"/>
        <w:jc w:val="both"/>
        <w:rPr>
          <w:rFonts w:ascii="Times New Roman" w:hAnsi="Times New Roman"/>
          <w:b/>
          <w:sz w:val="24"/>
          <w:szCs w:val="24"/>
        </w:rPr>
      </w:pPr>
      <w:r w:rsidRPr="00E24274">
        <w:rPr>
          <w:rFonts w:ascii="Times New Roman" w:hAnsi="Times New Roman"/>
          <w:b/>
          <w:sz w:val="24"/>
          <w:szCs w:val="24"/>
        </w:rPr>
        <w:t>art. 33</w:t>
      </w:r>
    </w:p>
    <w:p w:rsidR="00CA088D" w:rsidRPr="00E24274" w:rsidRDefault="00CA088D" w:rsidP="003B0BF7">
      <w:pPr>
        <w:spacing w:after="0" w:line="360" w:lineRule="auto"/>
        <w:jc w:val="both"/>
        <w:rPr>
          <w:rFonts w:ascii="Times New Roman" w:hAnsi="Times New Roman"/>
          <w:sz w:val="24"/>
          <w:szCs w:val="24"/>
        </w:rPr>
      </w:pPr>
      <w:r w:rsidRPr="00E24274">
        <w:rPr>
          <w:rFonts w:ascii="Times New Roman" w:hAnsi="Times New Roman"/>
          <w:sz w:val="24"/>
          <w:szCs w:val="24"/>
        </w:rPr>
        <w:t>Projektowany art. 33 wprowadzi zasady dotyczące księgowania składników majątku organizacji, wynikające z art. 11 ust. 3 oraz art. 13 ust. 2 dyrektywy CRM. Organizacje będą zobowiązane do odrębnego uwzględnienia w księgach rachunkowych:</w:t>
      </w:r>
    </w:p>
    <w:p w:rsidR="00CA088D" w:rsidRPr="00E24274" w:rsidRDefault="00CA088D" w:rsidP="003B0BF7">
      <w:pPr>
        <w:numPr>
          <w:ilvl w:val="0"/>
          <w:numId w:val="7"/>
        </w:numPr>
        <w:spacing w:before="120" w:after="0" w:line="360" w:lineRule="auto"/>
        <w:ind w:left="322" w:hanging="322"/>
        <w:jc w:val="both"/>
        <w:rPr>
          <w:rFonts w:ascii="Times New Roman" w:hAnsi="Times New Roman"/>
          <w:sz w:val="24"/>
          <w:szCs w:val="24"/>
        </w:rPr>
      </w:pPr>
      <w:r w:rsidRPr="00E24274">
        <w:rPr>
          <w:rFonts w:ascii="Times New Roman" w:hAnsi="Times New Roman"/>
          <w:sz w:val="24"/>
          <w:szCs w:val="24"/>
        </w:rPr>
        <w:t>przychodów z praw przeznaczonych do podziału i wypłaty uprawnionym</w:t>
      </w:r>
      <w:r w:rsidR="00302854">
        <w:rPr>
          <w:rFonts w:ascii="Times New Roman" w:hAnsi="Times New Roman"/>
          <w:sz w:val="24"/>
          <w:szCs w:val="24"/>
        </w:rPr>
        <w:t>;</w:t>
      </w:r>
    </w:p>
    <w:p w:rsidR="00CA088D" w:rsidRPr="00E24274" w:rsidRDefault="00CA088D" w:rsidP="003B0BF7">
      <w:pPr>
        <w:numPr>
          <w:ilvl w:val="0"/>
          <w:numId w:val="7"/>
        </w:numPr>
        <w:spacing w:before="120" w:after="0" w:line="360" w:lineRule="auto"/>
        <w:ind w:left="322" w:hanging="322"/>
        <w:jc w:val="both"/>
        <w:rPr>
          <w:rFonts w:ascii="Times New Roman" w:hAnsi="Times New Roman"/>
          <w:sz w:val="24"/>
          <w:szCs w:val="24"/>
        </w:rPr>
      </w:pPr>
      <w:r w:rsidRPr="00E24274">
        <w:rPr>
          <w:rFonts w:ascii="Times New Roman" w:hAnsi="Times New Roman"/>
          <w:sz w:val="24"/>
          <w:szCs w:val="24"/>
        </w:rPr>
        <w:t>przychodów z praw niewypłaconych z powodu niemożności ustalenia lub odnalezienia uprawnionych (patrz art. 39 poniżej) oraz</w:t>
      </w:r>
    </w:p>
    <w:p w:rsidR="00CA088D" w:rsidRPr="00E24274" w:rsidRDefault="00CA088D" w:rsidP="003B0BF7">
      <w:pPr>
        <w:numPr>
          <w:ilvl w:val="0"/>
          <w:numId w:val="7"/>
        </w:numPr>
        <w:spacing w:before="120" w:after="0" w:line="360" w:lineRule="auto"/>
        <w:ind w:left="322" w:hanging="322"/>
        <w:jc w:val="both"/>
        <w:rPr>
          <w:rFonts w:ascii="Times New Roman" w:hAnsi="Times New Roman"/>
          <w:sz w:val="24"/>
          <w:szCs w:val="24"/>
        </w:rPr>
      </w:pPr>
      <w:r w:rsidRPr="00E24274">
        <w:rPr>
          <w:rFonts w:ascii="Times New Roman" w:hAnsi="Times New Roman"/>
          <w:sz w:val="24"/>
          <w:szCs w:val="24"/>
        </w:rPr>
        <w:t>pozostałych składników ich majątku, w tym środków pochodzących z potrąceń na pokrycie kosztów zbiorowego zarządzania.</w:t>
      </w:r>
    </w:p>
    <w:p w:rsidR="00CA088D" w:rsidRPr="00E24274" w:rsidRDefault="00CA088D" w:rsidP="00E24274">
      <w:pPr>
        <w:spacing w:before="120" w:after="0" w:line="360" w:lineRule="auto"/>
        <w:jc w:val="both"/>
        <w:rPr>
          <w:rFonts w:ascii="Times New Roman" w:hAnsi="Times New Roman"/>
          <w:b/>
          <w:sz w:val="24"/>
          <w:szCs w:val="24"/>
        </w:rPr>
      </w:pPr>
      <w:r w:rsidRPr="00E24274">
        <w:rPr>
          <w:rFonts w:ascii="Times New Roman" w:hAnsi="Times New Roman"/>
          <w:b/>
          <w:sz w:val="24"/>
          <w:szCs w:val="24"/>
        </w:rPr>
        <w:t>art. 34</w:t>
      </w:r>
    </w:p>
    <w:p w:rsidR="00CA088D" w:rsidRPr="00E24274" w:rsidRDefault="00CA088D"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 xml:space="preserve">W ślad za art. 11 ust. 4 dyrektywy CRM organizacja będzie mogła przeznaczyć przychody z praw wyłącznie na określone cele, wskazane w projektowanym art. 34. Jak wynika z zaproponowanej definicji </w:t>
      </w:r>
      <w:r w:rsidR="00E24274">
        <w:rPr>
          <w:rFonts w:ascii="Times New Roman" w:hAnsi="Times New Roman"/>
          <w:sz w:val="24"/>
          <w:szCs w:val="24"/>
        </w:rPr>
        <w:t>„</w:t>
      </w:r>
      <w:r w:rsidRPr="00E24274">
        <w:rPr>
          <w:rFonts w:ascii="Times New Roman" w:hAnsi="Times New Roman"/>
          <w:sz w:val="24"/>
          <w:szCs w:val="24"/>
        </w:rPr>
        <w:t>przychodów z praw</w:t>
      </w:r>
      <w:r w:rsidR="00E24274">
        <w:rPr>
          <w:rFonts w:ascii="Times New Roman" w:hAnsi="Times New Roman"/>
          <w:sz w:val="24"/>
          <w:szCs w:val="24"/>
        </w:rPr>
        <w:t>”</w:t>
      </w:r>
      <w:r w:rsidRPr="00E24274">
        <w:rPr>
          <w:rFonts w:ascii="Times New Roman" w:hAnsi="Times New Roman"/>
          <w:sz w:val="24"/>
          <w:szCs w:val="24"/>
        </w:rPr>
        <w:t xml:space="preserve"> (art. 3 ust. 1 pkt 6 projektu)</w:t>
      </w:r>
      <w:r w:rsidR="00302854">
        <w:rPr>
          <w:rFonts w:ascii="Times New Roman" w:hAnsi="Times New Roman"/>
          <w:sz w:val="24"/>
          <w:szCs w:val="24"/>
        </w:rPr>
        <w:t>,</w:t>
      </w:r>
      <w:r w:rsidRPr="00E24274">
        <w:rPr>
          <w:rFonts w:ascii="Times New Roman" w:hAnsi="Times New Roman"/>
          <w:sz w:val="24"/>
          <w:szCs w:val="24"/>
        </w:rPr>
        <w:t xml:space="preserve"> będzie to dotyczyć także wszelkich pożytków, jakie środki te przyniosły do chwili ich wypłaty uprawnionym.</w:t>
      </w:r>
    </w:p>
    <w:p w:rsidR="00CA088D" w:rsidRPr="00E24274" w:rsidRDefault="00CA088D"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Podstawowym celem będzie wypłata przychod</w:t>
      </w:r>
      <w:r w:rsidR="003B0BF7">
        <w:rPr>
          <w:rFonts w:ascii="Times New Roman" w:hAnsi="Times New Roman"/>
          <w:sz w:val="24"/>
          <w:szCs w:val="24"/>
        </w:rPr>
        <w:t>ów z praw uprawnionym zgodnie z </w:t>
      </w:r>
      <w:r w:rsidRPr="00E24274">
        <w:rPr>
          <w:rFonts w:ascii="Times New Roman" w:hAnsi="Times New Roman"/>
          <w:sz w:val="24"/>
          <w:szCs w:val="24"/>
        </w:rPr>
        <w:t>przyjętym w organizacji regulaminem repartycji. W przypadkach, w których – pomimo zastosowania procedur przewidzianych w projektowanym art. 38 – nie udało się zidentyfikować lub odnaleźć uprawnionych, nal</w:t>
      </w:r>
      <w:r w:rsidR="003B0BF7">
        <w:rPr>
          <w:rFonts w:ascii="Times New Roman" w:hAnsi="Times New Roman"/>
          <w:sz w:val="24"/>
          <w:szCs w:val="24"/>
        </w:rPr>
        <w:t xml:space="preserve">eżne im kwoty, uznane zgodnie </w:t>
      </w:r>
      <w:r w:rsidR="003B0BF7">
        <w:rPr>
          <w:rFonts w:ascii="Times New Roman" w:hAnsi="Times New Roman"/>
          <w:sz w:val="24"/>
          <w:szCs w:val="24"/>
        </w:rPr>
        <w:lastRenderedPageBreak/>
        <w:t>z </w:t>
      </w:r>
      <w:r w:rsidRPr="00E24274">
        <w:rPr>
          <w:rFonts w:ascii="Times New Roman" w:hAnsi="Times New Roman"/>
          <w:sz w:val="24"/>
          <w:szCs w:val="24"/>
        </w:rPr>
        <w:t>projektowanym art. 39 za niepodlegające podziałowi, będą odrębnie księgowane (patrz art. 33 pkt 2 powyżej) i przeznaczane na wymienione w tym przepisie cele, zgodnie z zasadami przyjętymi w regulaminie repartycji.</w:t>
      </w:r>
    </w:p>
    <w:p w:rsidR="00CA088D" w:rsidRPr="00E24274" w:rsidRDefault="00CA088D"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Organizacja będzie mogła ponadto dokonać dwóch r</w:t>
      </w:r>
      <w:r w:rsidR="003B0BF7">
        <w:rPr>
          <w:rFonts w:ascii="Times New Roman" w:hAnsi="Times New Roman"/>
          <w:sz w:val="24"/>
          <w:szCs w:val="24"/>
        </w:rPr>
        <w:t>odzajów potrąceń z przychodów z </w:t>
      </w:r>
      <w:r w:rsidRPr="00E24274">
        <w:rPr>
          <w:rFonts w:ascii="Times New Roman" w:hAnsi="Times New Roman"/>
          <w:sz w:val="24"/>
          <w:szCs w:val="24"/>
        </w:rPr>
        <w:t>praw: na pokrycie kosztów zbiorowego zarządzania określonych w regulaminie repartycji oraz na prowadzoną działalność o charakterze socjalnym, kulturalnym lub edukacyjnym, zgodnie z przyjętym w organizacji regulaminem prowadzenia takiej działalności. Każdy z regulaminów określających zasady wypłaty, wykorzystania środków niepodlegających podziałowi oraz dokonywania potrąceń będzie przyjmowany i modyfikowany wyłącznie przez walne zgromadzenie (lub zebranie delegatów) – najwyższy organ organizacji.</w:t>
      </w:r>
    </w:p>
    <w:p w:rsidR="00CA088D" w:rsidRPr="00E24274" w:rsidRDefault="00CA088D" w:rsidP="00E24274">
      <w:pPr>
        <w:spacing w:before="120" w:after="0" w:line="360" w:lineRule="auto"/>
        <w:jc w:val="both"/>
        <w:rPr>
          <w:rFonts w:ascii="Times New Roman" w:hAnsi="Times New Roman"/>
          <w:b/>
          <w:sz w:val="24"/>
          <w:szCs w:val="24"/>
        </w:rPr>
      </w:pPr>
      <w:r w:rsidRPr="00E24274">
        <w:rPr>
          <w:rFonts w:ascii="Times New Roman" w:hAnsi="Times New Roman"/>
          <w:b/>
          <w:sz w:val="24"/>
          <w:szCs w:val="24"/>
        </w:rPr>
        <w:t>art. 35</w:t>
      </w:r>
    </w:p>
    <w:p w:rsidR="00CA088D" w:rsidRPr="00E24274" w:rsidRDefault="00CA088D" w:rsidP="003B0BF7">
      <w:pPr>
        <w:spacing w:after="0" w:line="360" w:lineRule="auto"/>
        <w:jc w:val="both"/>
        <w:rPr>
          <w:rFonts w:ascii="Times New Roman" w:hAnsi="Times New Roman"/>
          <w:sz w:val="24"/>
          <w:szCs w:val="24"/>
        </w:rPr>
      </w:pPr>
      <w:r w:rsidRPr="00E24274">
        <w:rPr>
          <w:rFonts w:ascii="Times New Roman" w:hAnsi="Times New Roman"/>
          <w:sz w:val="24"/>
          <w:szCs w:val="24"/>
        </w:rPr>
        <w:t>1. Środki podlegające podziałowi i wypłacie uprawnionym, do czasu ich wypłaty, pozostają przez jakiś czas (zgodnie z omówionymi poniżej zasadami) w dyspozycji organizacji. Poza ich odrębnym księgowaniem ustawa – w ślad za art. 11 ust. 5 zdanie wprowadzające oraz lit. a dyrektywy CRM – wymagać będzie, aby były zarządzane wyłącznie w interesie uprawnionych, w zgodzie z przyjętymi w organizacji zasadami wynikającymi z regulaminu inwestycyjnego oraz strategii zarządzania ryzykiem (projektowany art. 35 ust. 1).</w:t>
      </w:r>
    </w:p>
    <w:p w:rsidR="00CA088D" w:rsidRPr="00E24274" w:rsidRDefault="00CA088D"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2. Wspomniany przepis dyrektywy określa ponadto pewne ogólne zasady dotyczące inwestowania przychodów z praw przed ich wypłatą uprawnionym, pozostawiając równocześnie państwom członkowskim UE możliwość określenia bardziej rygorystycznych reguł w tym zakresie, włącznie z całkowitym zakazem inwestowania (motyw 27 preambuły). W projekcie proponuje się wskazanie dopuszczalnych sposobów zarządzania środkami pobranymi n</w:t>
      </w:r>
      <w:r w:rsidR="003B0BF7">
        <w:rPr>
          <w:rFonts w:ascii="Times New Roman" w:hAnsi="Times New Roman"/>
          <w:sz w:val="24"/>
          <w:szCs w:val="24"/>
        </w:rPr>
        <w:t>a rzecz uprawnionych. Zgodnie z </w:t>
      </w:r>
      <w:r w:rsidRPr="00E24274">
        <w:rPr>
          <w:rFonts w:ascii="Times New Roman" w:hAnsi="Times New Roman"/>
          <w:sz w:val="24"/>
          <w:szCs w:val="24"/>
        </w:rPr>
        <w:t>projektowanym art. 35 ust. 2 środki te mogą być wyłącznie przechowywane lub lokowane na rachunkach bankowych lub inwestowane w skarbowe papiery wartościowe i obligacje emitowane przez jednostki samorządu terytorialnego. Wyłączona zostanie tym samym możliwość inwestowania przychodów z</w:t>
      </w:r>
      <w:r w:rsidR="003B0BF7">
        <w:rPr>
          <w:rFonts w:ascii="Times New Roman" w:hAnsi="Times New Roman"/>
          <w:sz w:val="24"/>
          <w:szCs w:val="24"/>
        </w:rPr>
        <w:t xml:space="preserve"> praw, należnych uprawnionym, w </w:t>
      </w:r>
      <w:r w:rsidRPr="00E24274">
        <w:rPr>
          <w:rFonts w:ascii="Times New Roman" w:hAnsi="Times New Roman"/>
          <w:sz w:val="24"/>
          <w:szCs w:val="24"/>
        </w:rPr>
        <w:t xml:space="preserve">instrumenty finansowe o podwyższonym ryzyku. </w:t>
      </w:r>
    </w:p>
    <w:p w:rsidR="00CA088D" w:rsidRPr="00E24274" w:rsidRDefault="00CA088D"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 xml:space="preserve">3. Dodatkowym zabezpieczeniem interesów uprawnionych będzie projektowany art. 35 ust. 3, który stanowi, iż przyjmując regulamin inwestycyjny oraz strategię zarządzania </w:t>
      </w:r>
      <w:r w:rsidRPr="00E24274">
        <w:rPr>
          <w:rFonts w:ascii="Times New Roman" w:hAnsi="Times New Roman"/>
          <w:sz w:val="24"/>
          <w:szCs w:val="24"/>
        </w:rPr>
        <w:lastRenderedPageBreak/>
        <w:t>ryzykiem, walne zgromadzenie będzie zobowiązane wziąć pod uwagę zasady wymienione w dyrektywie CRM, tj. zapewnić, aby:</w:t>
      </w:r>
    </w:p>
    <w:p w:rsidR="00CA088D" w:rsidRPr="00E24274" w:rsidRDefault="00CA088D" w:rsidP="003B0BF7">
      <w:pPr>
        <w:widowControl w:val="0"/>
        <w:numPr>
          <w:ilvl w:val="0"/>
          <w:numId w:val="8"/>
        </w:numPr>
        <w:spacing w:after="0" w:line="360" w:lineRule="auto"/>
        <w:ind w:left="364" w:hanging="350"/>
        <w:jc w:val="both"/>
        <w:rPr>
          <w:rFonts w:ascii="Times New Roman" w:hAnsi="Times New Roman"/>
          <w:sz w:val="24"/>
          <w:szCs w:val="24"/>
        </w:rPr>
      </w:pPr>
      <w:r w:rsidRPr="00E24274">
        <w:rPr>
          <w:rFonts w:ascii="Times New Roman" w:hAnsi="Times New Roman"/>
          <w:sz w:val="24"/>
          <w:szCs w:val="24"/>
        </w:rPr>
        <w:t>lokowanie i inwestowanie przychodów z praw nie prowadziło do ich opóźnienia w</w:t>
      </w:r>
      <w:r w:rsidR="003B0BF7">
        <w:rPr>
          <w:rFonts w:ascii="Times New Roman" w:hAnsi="Times New Roman"/>
          <w:sz w:val="24"/>
          <w:szCs w:val="24"/>
        </w:rPr>
        <w:t> </w:t>
      </w:r>
      <w:r w:rsidRPr="00E24274">
        <w:rPr>
          <w:rFonts w:ascii="Times New Roman" w:hAnsi="Times New Roman"/>
          <w:sz w:val="24"/>
          <w:szCs w:val="24"/>
        </w:rPr>
        <w:t>wypłacie uprawnionym (co wynika z motywu 29 zdanie trzecie dyrektywy CRM);</w:t>
      </w:r>
    </w:p>
    <w:p w:rsidR="00CA088D" w:rsidRPr="00E24274" w:rsidRDefault="00CA088D" w:rsidP="003B0BF7">
      <w:pPr>
        <w:widowControl w:val="0"/>
        <w:numPr>
          <w:ilvl w:val="0"/>
          <w:numId w:val="8"/>
        </w:numPr>
        <w:spacing w:after="0" w:line="360" w:lineRule="auto"/>
        <w:ind w:left="364" w:hanging="350"/>
        <w:jc w:val="both"/>
        <w:rPr>
          <w:rFonts w:ascii="Times New Roman" w:hAnsi="Times New Roman"/>
          <w:sz w:val="24"/>
          <w:szCs w:val="24"/>
        </w:rPr>
      </w:pPr>
      <w:r w:rsidRPr="00E24274">
        <w:rPr>
          <w:rFonts w:ascii="Times New Roman" w:hAnsi="Times New Roman"/>
          <w:sz w:val="24"/>
          <w:szCs w:val="24"/>
        </w:rPr>
        <w:t>środki były lokowane i inwestowane w taki sposób, aby zapewnić bezpieczeństwo, jakość, płynność i rentowność portfela inwestycyjnego</w:t>
      </w:r>
      <w:r w:rsidR="003B0BF7">
        <w:rPr>
          <w:rFonts w:ascii="Times New Roman" w:hAnsi="Times New Roman"/>
          <w:sz w:val="24"/>
          <w:szCs w:val="24"/>
        </w:rPr>
        <w:t xml:space="preserve"> jako całości (co wynika z art. </w:t>
      </w:r>
      <w:r w:rsidRPr="00E24274">
        <w:rPr>
          <w:rFonts w:ascii="Times New Roman" w:hAnsi="Times New Roman"/>
          <w:sz w:val="24"/>
          <w:szCs w:val="24"/>
        </w:rPr>
        <w:t>11 ust. 5 lit. b dyrektywy CRM);</w:t>
      </w:r>
    </w:p>
    <w:p w:rsidR="00CA088D" w:rsidRPr="00E24274" w:rsidRDefault="00CA088D" w:rsidP="003B0BF7">
      <w:pPr>
        <w:widowControl w:val="0"/>
        <w:numPr>
          <w:ilvl w:val="0"/>
          <w:numId w:val="8"/>
        </w:numPr>
        <w:spacing w:after="0" w:line="360" w:lineRule="auto"/>
        <w:ind w:left="364" w:hanging="350"/>
        <w:jc w:val="both"/>
        <w:rPr>
          <w:rFonts w:ascii="Times New Roman" w:hAnsi="Times New Roman"/>
          <w:sz w:val="24"/>
          <w:szCs w:val="24"/>
        </w:rPr>
      </w:pPr>
      <w:r w:rsidRPr="00E24274">
        <w:rPr>
          <w:rFonts w:ascii="Times New Roman" w:hAnsi="Times New Roman"/>
          <w:sz w:val="24"/>
          <w:szCs w:val="24"/>
        </w:rPr>
        <w:t xml:space="preserve">lokaty i inwestycje były odpowiednio zdywersyfikowane, tak aby uniknąć nadmiernego uzależnienia od jakiegokolwiek </w:t>
      </w:r>
      <w:r w:rsidR="003B0BF7">
        <w:rPr>
          <w:rFonts w:ascii="Times New Roman" w:hAnsi="Times New Roman"/>
          <w:sz w:val="24"/>
          <w:szCs w:val="24"/>
        </w:rPr>
        <w:t>określonego składnika aktywów i </w:t>
      </w:r>
      <w:r w:rsidRPr="00E24274">
        <w:rPr>
          <w:rFonts w:ascii="Times New Roman" w:hAnsi="Times New Roman"/>
          <w:sz w:val="24"/>
          <w:szCs w:val="24"/>
        </w:rPr>
        <w:t>koncentracji ryzyka w portfelu inwestycyjnym jako całości (co wynika z art. 11 ust. 5 lit. c dyrektywy CRM).</w:t>
      </w:r>
    </w:p>
    <w:p w:rsidR="00CA088D" w:rsidRPr="00E24274" w:rsidRDefault="00CA088D" w:rsidP="00E24274">
      <w:pPr>
        <w:spacing w:before="120" w:after="0" w:line="360" w:lineRule="auto"/>
        <w:jc w:val="both"/>
        <w:rPr>
          <w:rFonts w:ascii="Times New Roman" w:hAnsi="Times New Roman"/>
          <w:b/>
          <w:sz w:val="24"/>
          <w:szCs w:val="24"/>
        </w:rPr>
      </w:pPr>
      <w:r w:rsidRPr="00E24274">
        <w:rPr>
          <w:rFonts w:ascii="Times New Roman" w:hAnsi="Times New Roman"/>
          <w:b/>
          <w:sz w:val="24"/>
          <w:szCs w:val="24"/>
        </w:rPr>
        <w:t>art. 36</w:t>
      </w:r>
    </w:p>
    <w:p w:rsidR="00CA088D" w:rsidRPr="00E24274" w:rsidRDefault="00CA088D" w:rsidP="003B0BF7">
      <w:pPr>
        <w:spacing w:after="0" w:line="360" w:lineRule="auto"/>
        <w:jc w:val="both"/>
        <w:rPr>
          <w:rFonts w:ascii="Times New Roman" w:hAnsi="Times New Roman"/>
          <w:sz w:val="24"/>
          <w:szCs w:val="24"/>
        </w:rPr>
      </w:pPr>
      <w:r w:rsidRPr="00E24274">
        <w:rPr>
          <w:rFonts w:ascii="Times New Roman" w:hAnsi="Times New Roman"/>
          <w:sz w:val="24"/>
          <w:szCs w:val="24"/>
        </w:rPr>
        <w:t>1. Zasady dokonywania potrąceń zostaną uregulowane w projektowanym art. 36 stanowiącym implementację art. 12 dyrektywy CRM. Jak już wspomniano, powinny one być dokonywane na podstawie stosownych regulaminów przyjętych przez walne zgromadzenie (co dodatkowo potwierdza projektowany ust. 1 zdanie pierwsze). Każdy uprawniony, przed zawarciem umowy o zbiorowe za</w:t>
      </w:r>
      <w:r w:rsidR="003B0BF7">
        <w:rPr>
          <w:rFonts w:ascii="Times New Roman" w:hAnsi="Times New Roman"/>
          <w:sz w:val="24"/>
          <w:szCs w:val="24"/>
        </w:rPr>
        <w:t>rządzanie, będzie informowany o </w:t>
      </w:r>
      <w:r w:rsidRPr="00E24274">
        <w:rPr>
          <w:rFonts w:ascii="Times New Roman" w:hAnsi="Times New Roman"/>
          <w:sz w:val="24"/>
          <w:szCs w:val="24"/>
        </w:rPr>
        <w:t>zasadach wynikających z tych regulaminów (patrz projektowany art. 27 ust. 4), co odpowiada wymogom art. 12 ust. 1 dyrektywy CRM. Z kolei z art. 12 ust. 2 dyrektywy CRM wynika reguła dotycząca proporcjonalności i celowości wszelkich potrąceń dokonywanych przez organizację. W ślad za nią projektowany art. 36 ust. 1 zdanie drugie stanowi, iż mogą one być dokonywane wyłącznie w granicach uzasadnionych działaniami podejmowanymi przez organizację zbiorowego zarządzania na rzecz uprawnionych oraz ustalane na podstawie obiektywnych kryteriów.</w:t>
      </w:r>
    </w:p>
    <w:p w:rsidR="00CA088D" w:rsidRPr="00E24274" w:rsidRDefault="00CA088D"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2. Oprócz powyższych zasad, wprowadzone zostaną szczególne kryteria dotyczące wysokości potrąceń na pokrycie kosztów zb</w:t>
      </w:r>
      <w:r w:rsidR="003B0BF7">
        <w:rPr>
          <w:rFonts w:ascii="Times New Roman" w:hAnsi="Times New Roman"/>
          <w:sz w:val="24"/>
          <w:szCs w:val="24"/>
        </w:rPr>
        <w:t>iorowego zarządzania. Zgodnie z </w:t>
      </w:r>
      <w:r w:rsidRPr="00E24274">
        <w:rPr>
          <w:rFonts w:ascii="Times New Roman" w:hAnsi="Times New Roman"/>
          <w:sz w:val="24"/>
          <w:szCs w:val="24"/>
        </w:rPr>
        <w:t>projektowanym ust. 2 tego rodzaju pot</w:t>
      </w:r>
      <w:r w:rsidR="003B0BF7">
        <w:rPr>
          <w:rFonts w:ascii="Times New Roman" w:hAnsi="Times New Roman"/>
          <w:sz w:val="24"/>
          <w:szCs w:val="24"/>
        </w:rPr>
        <w:t>rącenia muszą być uzasadnione i </w:t>
      </w:r>
      <w:r w:rsidRPr="00E24274">
        <w:rPr>
          <w:rFonts w:ascii="Times New Roman" w:hAnsi="Times New Roman"/>
          <w:sz w:val="24"/>
          <w:szCs w:val="24"/>
        </w:rPr>
        <w:t xml:space="preserve">udokumentowane w odniesieniu do poszczególnych pól eksploatacji objętych zezwoleniem organizacji. Zasada ta wynika zarówno z art. 12 ust. 3 dyrektywy CRM, jak i obowiązków sprawozdawczych organizacji określonych w pkt 2 lit. b ppkt (v) załącznika do dyrektywy CRM, gdzie wyraźnie wskazano konieczność zawarcia informacji o dokonanych potrąceniach </w:t>
      </w:r>
      <w:r w:rsidR="00E24274">
        <w:rPr>
          <w:rFonts w:ascii="Times New Roman" w:hAnsi="Times New Roman"/>
          <w:sz w:val="24"/>
          <w:szCs w:val="24"/>
        </w:rPr>
        <w:t>„</w:t>
      </w:r>
      <w:r w:rsidRPr="00E24274">
        <w:rPr>
          <w:rFonts w:ascii="Times New Roman" w:hAnsi="Times New Roman"/>
          <w:i/>
          <w:sz w:val="24"/>
          <w:szCs w:val="24"/>
        </w:rPr>
        <w:t>w podziale n</w:t>
      </w:r>
      <w:r w:rsidR="003B0BF7">
        <w:rPr>
          <w:rFonts w:ascii="Times New Roman" w:hAnsi="Times New Roman"/>
          <w:i/>
          <w:sz w:val="24"/>
          <w:szCs w:val="24"/>
        </w:rPr>
        <w:t xml:space="preserve">a kategorie zarządzanych praw </w:t>
      </w:r>
      <w:r w:rsidR="003B0BF7">
        <w:rPr>
          <w:rFonts w:ascii="Times New Roman" w:hAnsi="Times New Roman"/>
          <w:i/>
          <w:sz w:val="24"/>
          <w:szCs w:val="24"/>
        </w:rPr>
        <w:lastRenderedPageBreak/>
        <w:t>i </w:t>
      </w:r>
      <w:r w:rsidRPr="00E24274">
        <w:rPr>
          <w:rFonts w:ascii="Times New Roman" w:hAnsi="Times New Roman"/>
          <w:i/>
          <w:sz w:val="24"/>
          <w:szCs w:val="24"/>
        </w:rPr>
        <w:t>pola eksploatacji oraz cele potrącania</w:t>
      </w:r>
      <w:r w:rsidR="00E24274">
        <w:rPr>
          <w:rFonts w:ascii="Times New Roman" w:hAnsi="Times New Roman"/>
          <w:sz w:val="24"/>
          <w:szCs w:val="24"/>
        </w:rPr>
        <w:t>”</w:t>
      </w:r>
      <w:r w:rsidRPr="00E24274">
        <w:rPr>
          <w:rFonts w:ascii="Times New Roman" w:hAnsi="Times New Roman"/>
          <w:sz w:val="24"/>
          <w:szCs w:val="24"/>
        </w:rPr>
        <w:t>. Podział ten powinien więc być brany pod uwagę już na etapie określania ich wysokości, a nie wyłącznie na etapie sprawozdawczym. Oczywistym jest bowiem, że koszty zarządzania prawami mogą różnić się w zależności od pola eksploatacji (na co ma wpływ np. liczba użytkowników na danym polu eksploatacji, wymagająca mniej lub bardziej rozbudowanej siatki inkasa, a z drugiej strony np. fakt dokonywania inkasa na danym polu eksploatacji przez jedną organizację, przez co pozostałe nie ponoszą kosztów w tym zakresie).</w:t>
      </w:r>
    </w:p>
    <w:p w:rsidR="00CA088D" w:rsidRPr="00E24274" w:rsidRDefault="00CA088D"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 xml:space="preserve">3. Natomiast w odniesieniu do potrąceń na prowadzoną </w:t>
      </w:r>
      <w:r w:rsidR="003B0BF7">
        <w:rPr>
          <w:rFonts w:ascii="Times New Roman" w:hAnsi="Times New Roman"/>
          <w:sz w:val="24"/>
          <w:szCs w:val="24"/>
        </w:rPr>
        <w:t>przez organizację działalność o </w:t>
      </w:r>
      <w:r w:rsidRPr="00E24274">
        <w:rPr>
          <w:rFonts w:ascii="Times New Roman" w:hAnsi="Times New Roman"/>
          <w:sz w:val="24"/>
          <w:szCs w:val="24"/>
        </w:rPr>
        <w:t>charakterze socjalnym, kulturalnym lub edukacyjnym art. 12 ust. 4 dyrektywy CRM, czytany łącznie z motywem 28 jej preambuły, wymaga, aby usługi finansowane z takich potrąceń były świadczone na rzecz uprawnionyc</w:t>
      </w:r>
      <w:r w:rsidR="003B0BF7">
        <w:rPr>
          <w:rFonts w:ascii="Times New Roman" w:hAnsi="Times New Roman"/>
          <w:sz w:val="24"/>
          <w:szCs w:val="24"/>
        </w:rPr>
        <w:t>h na podstawie sprawiedliwych i </w:t>
      </w:r>
      <w:r w:rsidRPr="00E24274">
        <w:rPr>
          <w:rFonts w:ascii="Times New Roman" w:hAnsi="Times New Roman"/>
          <w:sz w:val="24"/>
          <w:szCs w:val="24"/>
        </w:rPr>
        <w:t>niedyskryminujących kryteriów. Zasada ta zostanie transponowana w projektowanej ustawie poprzez wprowadzenie warunku, aby po</w:t>
      </w:r>
      <w:r w:rsidR="003B0BF7">
        <w:rPr>
          <w:rFonts w:ascii="Times New Roman" w:hAnsi="Times New Roman"/>
          <w:sz w:val="24"/>
          <w:szCs w:val="24"/>
        </w:rPr>
        <w:t>wyższe usługi były świadczone w </w:t>
      </w:r>
      <w:r w:rsidRPr="00E24274">
        <w:rPr>
          <w:rFonts w:ascii="Times New Roman" w:hAnsi="Times New Roman"/>
          <w:sz w:val="24"/>
          <w:szCs w:val="24"/>
        </w:rPr>
        <w:t>szczególności na rzecz kategorii uprawnionych objętych zezwoleniem udzielonym organizacji, stosując sprawiedliwe kryteria określające zasady dostępu do tych świadczeń i ich zakres (projektowany ust. 3). Takie podejście zapewni, że dostęp do usług finansowanych – choćby częściowo – z potrąceń z przychodów z praw nie będzie musiał zostać ograniczony wyłącznie do uprawnionych, którzy wygenerowali te przychody. Dzięki temu projektowana ustawa pozwoli na kontynuowanie prowadzonej przez część stowarzyszeń mających równocześnie status organizacji zbiorowego zarządzania działalności kulturalnej lub socjalnej mającej na celu szeroko rozumiane wspieranie reprezentowanych przez nie środowisk twórczych.</w:t>
      </w:r>
    </w:p>
    <w:p w:rsidR="00CA088D" w:rsidRPr="00E24274" w:rsidRDefault="00CA088D" w:rsidP="00E24274">
      <w:pPr>
        <w:spacing w:before="120" w:after="0" w:line="360" w:lineRule="auto"/>
        <w:jc w:val="both"/>
        <w:rPr>
          <w:rFonts w:ascii="Times New Roman" w:hAnsi="Times New Roman"/>
          <w:b/>
          <w:sz w:val="24"/>
          <w:szCs w:val="24"/>
        </w:rPr>
      </w:pPr>
      <w:r w:rsidRPr="00E24274">
        <w:rPr>
          <w:rFonts w:ascii="Times New Roman" w:hAnsi="Times New Roman"/>
          <w:b/>
          <w:sz w:val="24"/>
          <w:szCs w:val="24"/>
        </w:rPr>
        <w:t>art. 37</w:t>
      </w:r>
      <w:r w:rsidR="00B85D46">
        <w:rPr>
          <w:rFonts w:ascii="Times New Roman" w:hAnsi="Times New Roman"/>
          <w:b/>
          <w:sz w:val="24"/>
          <w:szCs w:val="24"/>
        </w:rPr>
        <w:t>–</w:t>
      </w:r>
      <w:r w:rsidRPr="00E24274">
        <w:rPr>
          <w:rFonts w:ascii="Times New Roman" w:hAnsi="Times New Roman"/>
          <w:b/>
          <w:sz w:val="24"/>
          <w:szCs w:val="24"/>
        </w:rPr>
        <w:t>39</w:t>
      </w:r>
    </w:p>
    <w:p w:rsidR="00CA088D" w:rsidRPr="00E24274" w:rsidRDefault="00CA088D" w:rsidP="003B0BF7">
      <w:pPr>
        <w:spacing w:after="0" w:line="360" w:lineRule="auto"/>
        <w:jc w:val="both"/>
        <w:rPr>
          <w:rFonts w:ascii="Times New Roman" w:hAnsi="Times New Roman"/>
          <w:sz w:val="24"/>
          <w:szCs w:val="24"/>
        </w:rPr>
      </w:pPr>
      <w:r w:rsidRPr="00E24274">
        <w:rPr>
          <w:rFonts w:ascii="Times New Roman" w:hAnsi="Times New Roman"/>
          <w:sz w:val="24"/>
          <w:szCs w:val="24"/>
        </w:rPr>
        <w:t>1. Art. 37</w:t>
      </w:r>
      <w:r w:rsidR="00B85D46">
        <w:rPr>
          <w:rFonts w:ascii="Times New Roman" w:hAnsi="Times New Roman"/>
          <w:sz w:val="24"/>
          <w:szCs w:val="24"/>
        </w:rPr>
        <w:t>–</w:t>
      </w:r>
      <w:r w:rsidRPr="00E24274">
        <w:rPr>
          <w:rFonts w:ascii="Times New Roman" w:hAnsi="Times New Roman"/>
          <w:sz w:val="24"/>
          <w:szCs w:val="24"/>
        </w:rPr>
        <w:t xml:space="preserve">39 projektu określają zasady procesu podziału i wypłaty przychodów z praw. Zgodnie z projektowanym art. 37 ust. 1 organizacja będzie musiała zapewnić jego regularność, staranność, prawidłowość oraz przejrzystość dla uprawnionych. Dotyczy to zarówno regulaminu repartycji, na podstawie którego jest on dokonywany, jak i jego stosowania w praktyce. Podział i wypłata przychodów z praw – jak stanowi projektowany art. 37 ust. 2 – powinny zostać dokonane w </w:t>
      </w:r>
      <w:r w:rsidR="003B0BF7">
        <w:rPr>
          <w:rFonts w:ascii="Times New Roman" w:hAnsi="Times New Roman"/>
          <w:sz w:val="24"/>
          <w:szCs w:val="24"/>
        </w:rPr>
        <w:t>terminach określonych w </w:t>
      </w:r>
      <w:r w:rsidRPr="00E24274">
        <w:rPr>
          <w:rFonts w:ascii="Times New Roman" w:hAnsi="Times New Roman"/>
          <w:sz w:val="24"/>
          <w:szCs w:val="24"/>
        </w:rPr>
        <w:t>regulaminie repartycji, nie później jednak niż 9 miesięcy od zakończenia roku obrotowego, w którym zostały pobrane. Są to ogólne zasady wynikające z art. 13 ust. 1 dyrektywy CRM.</w:t>
      </w:r>
    </w:p>
    <w:p w:rsidR="00CA088D" w:rsidRPr="00E24274" w:rsidRDefault="00CA088D"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lastRenderedPageBreak/>
        <w:t xml:space="preserve">2. Dalsze przepisy art. 13 dyrektywy CRM regulują szczególne sytuacje, w których pojawiają się problemy z terminowym podziałem </w:t>
      </w:r>
      <w:r w:rsidR="003B0BF7">
        <w:rPr>
          <w:rFonts w:ascii="Times New Roman" w:hAnsi="Times New Roman"/>
          <w:sz w:val="24"/>
          <w:szCs w:val="24"/>
        </w:rPr>
        <w:t>i wypłatą przychodów z praw. Po </w:t>
      </w:r>
      <w:r w:rsidRPr="00E24274">
        <w:rPr>
          <w:rFonts w:ascii="Times New Roman" w:hAnsi="Times New Roman"/>
          <w:sz w:val="24"/>
          <w:szCs w:val="24"/>
        </w:rPr>
        <w:t>pierwsze mogą one wynikać z przyczyn obiektywnych, w szczególności związanych z nieprzekazywaniem przez podmioty do tego zobowiązane (tj. zarówno użytkowników</w:t>
      </w:r>
      <w:r w:rsidR="00302854">
        <w:rPr>
          <w:rFonts w:ascii="Times New Roman" w:hAnsi="Times New Roman"/>
          <w:sz w:val="24"/>
          <w:szCs w:val="24"/>
        </w:rPr>
        <w:t>,</w:t>
      </w:r>
      <w:r w:rsidRPr="00E24274">
        <w:rPr>
          <w:rFonts w:ascii="Times New Roman" w:hAnsi="Times New Roman"/>
          <w:sz w:val="24"/>
          <w:szCs w:val="24"/>
        </w:rPr>
        <w:t xml:space="preserve"> jak i uprawnionych czy inne organizacje) informacji niezbędnych do dokonania tego podziału i wypłaty w odniesieniu do konkretnych uprawnionych. Brak informacji może dotykać więc obu etapów procesu repartycji, czyli podziału (np. gdy nieterminowe przekazywanie raportów przez użytkowników uniemożliwia przypisanie środków należnych za korzystanie z poszczególnych utworów) oraz wypłaty (np. gdy brak zgłoszenia repertuaru przez uprawnionych uniemożliwia przypisanie środków należnych poszczególnym twórcom, wykonawcom, producentom lub wydawcom danego utworu). W takiej sytuacji – w odniesieniu do uprawnionych, których ona dotyczy – 9-miesięczny termin ulegnie zawieszeniu do czasu otrzymania przez organizację niezbędnych informacji (projektowany art. 37 ust. 3).</w:t>
      </w:r>
    </w:p>
    <w:p w:rsidR="00CA088D" w:rsidRPr="00E24274" w:rsidRDefault="00CA088D"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 xml:space="preserve">3. Może jednak też wystąpić sytuacja, w której </w:t>
      </w:r>
      <w:r w:rsidR="003B0BF7">
        <w:rPr>
          <w:rFonts w:ascii="Times New Roman" w:hAnsi="Times New Roman"/>
          <w:sz w:val="24"/>
          <w:szCs w:val="24"/>
        </w:rPr>
        <w:t>po dokonaniu podziału środków w </w:t>
      </w:r>
      <w:r w:rsidRPr="00E24274">
        <w:rPr>
          <w:rFonts w:ascii="Times New Roman" w:hAnsi="Times New Roman"/>
          <w:sz w:val="24"/>
          <w:szCs w:val="24"/>
        </w:rPr>
        <w:t>odniesieniu do poszczególnych utworów organizacja nie jest w stanie wypłacić przychodów z praw z powodu nieustalenia lub nieodnalezienia uprawnionych. Będzie to zatem inny przypadek niż brak stosownych informacji od uprawnionych (niezależnie od tego, czy są reprezentowani na podstawie umowy czy nie). Wystąpi on wyłącznie wówczas, gdy organizacja nie wie, kto jest uprawnionym do danego utworu lub przedmiotu prawa pokrewnego albo nie może się z uprawnionym skontaktować. Tym samym nie jest w stanie zwrócić się do niego o informacje niezbędne do dokonania wypłaty środków. W takiej sytuacji 9-miesięczny termin nie ulegnie zawieszeniu, a po jego upływie środki, które nie mogły zostać wypłacone</w:t>
      </w:r>
      <w:r w:rsidR="00302854">
        <w:rPr>
          <w:rFonts w:ascii="Times New Roman" w:hAnsi="Times New Roman"/>
          <w:sz w:val="24"/>
          <w:szCs w:val="24"/>
        </w:rPr>
        <w:t>,</w:t>
      </w:r>
      <w:r w:rsidRPr="00E24274">
        <w:rPr>
          <w:rFonts w:ascii="Times New Roman" w:hAnsi="Times New Roman"/>
          <w:sz w:val="24"/>
          <w:szCs w:val="24"/>
        </w:rPr>
        <w:t xml:space="preserve"> będą podlegały osobnemu ujęciu w księgach rachunkowych organizacji (patrz projektowany art. 33 pkt 2). </w:t>
      </w:r>
    </w:p>
    <w:p w:rsidR="00CA088D" w:rsidRPr="00E24274" w:rsidRDefault="00CA088D"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4. Równocześnie projektowany art. 38 będzie wymagać od organizacji podjęcia wszelkich niezbędnych czynności w celu ustalenia lub odnalezienia uprawnionych. Czynności te obejmą w szczególności samodz</w:t>
      </w:r>
      <w:r w:rsidR="003B0BF7">
        <w:rPr>
          <w:rFonts w:ascii="Times New Roman" w:hAnsi="Times New Roman"/>
          <w:sz w:val="24"/>
          <w:szCs w:val="24"/>
        </w:rPr>
        <w:t>ielne poszukiwanie informacji w </w:t>
      </w:r>
      <w:r w:rsidRPr="00E24274">
        <w:rPr>
          <w:rFonts w:ascii="Times New Roman" w:hAnsi="Times New Roman"/>
          <w:sz w:val="24"/>
          <w:szCs w:val="24"/>
        </w:rPr>
        <w:t>prowadzonych przez siebie wykazach oraz wszelkich innych dostępnych źródłach informacji (np. w internecie), a także poinformowanie o prowadzonych poszukiwaniach swoich członków, reprezentowanych przez siebie upr</w:t>
      </w:r>
      <w:r w:rsidR="003B0BF7">
        <w:rPr>
          <w:rFonts w:ascii="Times New Roman" w:hAnsi="Times New Roman"/>
          <w:sz w:val="24"/>
          <w:szCs w:val="24"/>
        </w:rPr>
        <w:t>awnionych oraz współpracujące z </w:t>
      </w:r>
      <w:r w:rsidRPr="00E24274">
        <w:rPr>
          <w:rFonts w:ascii="Times New Roman" w:hAnsi="Times New Roman"/>
          <w:sz w:val="24"/>
          <w:szCs w:val="24"/>
        </w:rPr>
        <w:t xml:space="preserve">nią inne organizacje zarządzające prawami tej samej kategorii. Organizacja będzie również zobowiązana do opublikowania informacji o prowadzonych poszukiwaniach na </w:t>
      </w:r>
      <w:r w:rsidRPr="00E24274">
        <w:rPr>
          <w:rFonts w:ascii="Times New Roman" w:hAnsi="Times New Roman"/>
          <w:sz w:val="24"/>
          <w:szCs w:val="24"/>
        </w:rPr>
        <w:lastRenderedPageBreak/>
        <w:t>swojej stronie internetowej. Poszukiwania te powi</w:t>
      </w:r>
      <w:r w:rsidR="003B0BF7">
        <w:rPr>
          <w:rFonts w:ascii="Times New Roman" w:hAnsi="Times New Roman"/>
          <w:sz w:val="24"/>
          <w:szCs w:val="24"/>
        </w:rPr>
        <w:t>nny zostać podjęte najpóźniej 3 </w:t>
      </w:r>
      <w:r w:rsidRPr="00E24274">
        <w:rPr>
          <w:rFonts w:ascii="Times New Roman" w:hAnsi="Times New Roman"/>
          <w:sz w:val="24"/>
          <w:szCs w:val="24"/>
        </w:rPr>
        <w:t>miesiące po upływie wskazanego wyżej 9-miesięcznego terminu (choć oczywiście zasadne jest ich podjęcie niezwłocznie po stwierdzeniu problemu z identyfikacją lub odnalezieniem uprawnionego).</w:t>
      </w:r>
    </w:p>
    <w:p w:rsidR="00CA088D" w:rsidRPr="00E24274" w:rsidRDefault="00CA088D"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Jeżeli powyższe poszukiwania nie przyniosą rezultatu, po upływie 3 lat od zakończenia roku obrotowego, w którym środki należne nieustalonym lub nieodnalezionym uprawionym zostały pobrane, organizacja będzie zobowiązana przeznaczyć je na cele wskazane przez walne zgromadzenie (określone w regulaminie repartycji). Zasada ta wynika z art. 13 ust. 4 i 5 dyrektywy CRM.</w:t>
      </w:r>
    </w:p>
    <w:p w:rsidR="00CA088D" w:rsidRPr="00E24274" w:rsidRDefault="00CA088D"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5. Natomiast ust. 6 tego artykułu dyrektywy pozwala państwom członkowskim ograniczyć lub określić dozwolone sposoby wykorzystania tego rodzaju środków. Projektodawca uznaje za zasadne skorzystanie z tej możliwości, aby nie tworzyć zachęt do kumulowania środków niepodlegających wypłacie, do czego może prowadzić nieefektywne poszukiwanie uprawnionych. W konsekwencji zgodnie z projektowanym art. 39 ust. 1 będą one mogły zostać przeznaczone wyłącznie na sfinansowanie działalności o charakterze socjalnym, kulturalnym lub edukacyjnym świadczonej na rzecz uprawnionych w zakresie udzielonego organizacji zezwolenia lub na wypłatę pozostałym uprawnionym proporcjonalnie do należnych im przychodów z praw. Wybór pomiędzy powyższymi opcjami (w tym możliwość ich kumulatywnego zastosowania) będzie należał do walnego zgromadzenia w ramach jego kompetencji do uchwalenia regulaminu repartycji. Należy tu wskazać, że pod</w:t>
      </w:r>
      <w:r w:rsidR="003B0BF7">
        <w:rPr>
          <w:rFonts w:ascii="Times New Roman" w:hAnsi="Times New Roman"/>
          <w:sz w:val="24"/>
          <w:szCs w:val="24"/>
        </w:rPr>
        <w:t xml:space="preserve">obne rozwiązania funkcjonują </w:t>
      </w:r>
      <w:r w:rsidR="00302854">
        <w:rPr>
          <w:rFonts w:ascii="Times New Roman" w:hAnsi="Times New Roman"/>
          <w:sz w:val="24"/>
          <w:szCs w:val="24"/>
        </w:rPr>
        <w:t xml:space="preserve">już </w:t>
      </w:r>
      <w:r w:rsidR="003B0BF7">
        <w:rPr>
          <w:rFonts w:ascii="Times New Roman" w:hAnsi="Times New Roman"/>
          <w:sz w:val="24"/>
          <w:szCs w:val="24"/>
        </w:rPr>
        <w:t>w </w:t>
      </w:r>
      <w:r w:rsidRPr="00E24274">
        <w:rPr>
          <w:rFonts w:ascii="Times New Roman" w:hAnsi="Times New Roman"/>
          <w:sz w:val="24"/>
          <w:szCs w:val="24"/>
        </w:rPr>
        <w:t>niektórych organizacjach.</w:t>
      </w:r>
    </w:p>
    <w:p w:rsidR="00CA088D" w:rsidRPr="00E24274" w:rsidRDefault="00CA088D"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Dyrektywa wymaga równocześnie, aby powyższa regulacja pozostawała bez uszczerbku na prawa podmiotów uprawnionych do dochodzenia tych kwot od organizacji, zgodnie z przepisami państw członkowskich dotyczącymi okresu przedawnienia roszczeń. Projektowany art. 39 ust. 2 przesądza więc, że uprawniony zachowuje roszczenie wobec organizacji o wypłatę przychodów z praw w pełnej należnej mu wysokości. Zastosowanie znajdą tu ogólne zasady dotyczące przedawnienia roszczeń, określone w Kodeksie cywil</w:t>
      </w:r>
      <w:r w:rsidR="003B0BF7">
        <w:rPr>
          <w:rFonts w:ascii="Times New Roman" w:hAnsi="Times New Roman"/>
          <w:sz w:val="24"/>
          <w:szCs w:val="24"/>
        </w:rPr>
        <w:t>nym. Wypłata powinna nastąpić z </w:t>
      </w:r>
      <w:r w:rsidRPr="00E24274">
        <w:rPr>
          <w:rFonts w:ascii="Times New Roman" w:hAnsi="Times New Roman"/>
          <w:sz w:val="24"/>
          <w:szCs w:val="24"/>
        </w:rPr>
        <w:t>przychodów z praw pobranych w kolejnych latach obrotowych, które nie zostały wypłacone uprawnionym z powodu ich nieustalenia lub nieodnalezienia.</w:t>
      </w:r>
    </w:p>
    <w:p w:rsidR="00CA088D" w:rsidRPr="00E24274" w:rsidRDefault="00CA088D" w:rsidP="003B0BF7">
      <w:pPr>
        <w:keepNext/>
        <w:keepLines/>
        <w:spacing w:before="120" w:after="0" w:line="360" w:lineRule="auto"/>
        <w:jc w:val="both"/>
        <w:rPr>
          <w:rFonts w:ascii="Times New Roman" w:hAnsi="Times New Roman"/>
          <w:b/>
          <w:bCs/>
          <w:sz w:val="24"/>
          <w:szCs w:val="24"/>
        </w:rPr>
      </w:pPr>
      <w:r w:rsidRPr="00E24274">
        <w:rPr>
          <w:rFonts w:ascii="Times New Roman" w:hAnsi="Times New Roman"/>
          <w:b/>
          <w:bCs/>
          <w:sz w:val="24"/>
          <w:szCs w:val="24"/>
        </w:rPr>
        <w:lastRenderedPageBreak/>
        <w:t xml:space="preserve">Oddział 3. Wypłata przychodów z praw za pośrednictwem innych organizacji zbiorowego zarządzania </w:t>
      </w:r>
    </w:p>
    <w:p w:rsidR="00CA088D" w:rsidRPr="00E24274" w:rsidRDefault="00CA088D" w:rsidP="003B0BF7">
      <w:pPr>
        <w:keepNext/>
        <w:keepLines/>
        <w:spacing w:before="120" w:after="0" w:line="360" w:lineRule="auto"/>
        <w:jc w:val="both"/>
        <w:rPr>
          <w:rFonts w:ascii="Times New Roman" w:hAnsi="Times New Roman"/>
          <w:b/>
          <w:sz w:val="24"/>
          <w:szCs w:val="24"/>
        </w:rPr>
      </w:pPr>
      <w:r w:rsidRPr="00E24274">
        <w:rPr>
          <w:rFonts w:ascii="Times New Roman" w:hAnsi="Times New Roman"/>
          <w:b/>
          <w:sz w:val="24"/>
          <w:szCs w:val="24"/>
        </w:rPr>
        <w:t>art. 40</w:t>
      </w:r>
    </w:p>
    <w:p w:rsidR="00CA088D" w:rsidRPr="00E24274" w:rsidRDefault="00CA088D" w:rsidP="003B0BF7">
      <w:pPr>
        <w:keepNext/>
        <w:keepLines/>
        <w:spacing w:after="0" w:line="360" w:lineRule="auto"/>
        <w:jc w:val="both"/>
        <w:rPr>
          <w:rFonts w:ascii="Times New Roman" w:hAnsi="Times New Roman"/>
          <w:sz w:val="24"/>
          <w:szCs w:val="24"/>
        </w:rPr>
      </w:pPr>
      <w:r w:rsidRPr="00E24274">
        <w:rPr>
          <w:rFonts w:ascii="Times New Roman" w:hAnsi="Times New Roman"/>
          <w:sz w:val="24"/>
          <w:szCs w:val="24"/>
        </w:rPr>
        <w:t xml:space="preserve">W przypadku zarządzania prawami na podstawie umowy o reprezentacji, zastosowanie znajdzie zasada ogólna dotycząca równego traktowania uprawnionych, bez względu na podstawę zbiorowego zarządzania ich prawami (patrz art. 4 ust. 3 projektu), co jest zgodne z art. 14 dyrektywy CRM. Projektowany art. 40 będzie natomiast wdrażał szczegółowe reguły w tym zakresie, zawarte w art. 15 dyrektywy CRM. </w:t>
      </w:r>
    </w:p>
    <w:p w:rsidR="00CA088D" w:rsidRPr="00E24274" w:rsidRDefault="00CA088D" w:rsidP="003B0BF7">
      <w:pPr>
        <w:keepNext/>
        <w:keepLines/>
        <w:spacing w:before="120" w:after="0" w:line="360" w:lineRule="auto"/>
        <w:jc w:val="both"/>
        <w:rPr>
          <w:rFonts w:ascii="Times New Roman" w:hAnsi="Times New Roman"/>
          <w:sz w:val="24"/>
          <w:szCs w:val="24"/>
        </w:rPr>
      </w:pPr>
      <w:r w:rsidRPr="00E24274">
        <w:rPr>
          <w:rFonts w:ascii="Times New Roman" w:hAnsi="Times New Roman"/>
          <w:sz w:val="24"/>
          <w:szCs w:val="24"/>
        </w:rPr>
        <w:t>Zgodnie z ust. 1 tego artykułu, polska organizacja, któ</w:t>
      </w:r>
      <w:r w:rsidR="003B0BF7">
        <w:rPr>
          <w:rFonts w:ascii="Times New Roman" w:hAnsi="Times New Roman"/>
          <w:sz w:val="24"/>
          <w:szCs w:val="24"/>
        </w:rPr>
        <w:t>ra dokonała poboru przychodów z </w:t>
      </w:r>
      <w:r w:rsidRPr="00E24274">
        <w:rPr>
          <w:rFonts w:ascii="Times New Roman" w:hAnsi="Times New Roman"/>
          <w:sz w:val="24"/>
          <w:szCs w:val="24"/>
        </w:rPr>
        <w:t>praw na rzecz uprawnionych reprezentowanych przez inną organizację, będzie mogła dokonać od nich potrąceń wyłącznie na pokrycie kos</w:t>
      </w:r>
      <w:r w:rsidR="003B0BF7">
        <w:rPr>
          <w:rFonts w:ascii="Times New Roman" w:hAnsi="Times New Roman"/>
          <w:sz w:val="24"/>
          <w:szCs w:val="24"/>
        </w:rPr>
        <w:t>ztów zbiorowego zarządzania. Na </w:t>
      </w:r>
      <w:r w:rsidRPr="00E24274">
        <w:rPr>
          <w:rFonts w:ascii="Times New Roman" w:hAnsi="Times New Roman"/>
          <w:sz w:val="24"/>
          <w:szCs w:val="24"/>
        </w:rPr>
        <w:t>innego rodzaju potrącenia (spośród potrąceń dopuszczalnych w projektowanej ustawie) zgodę będzie musiała wyrazić or</w:t>
      </w:r>
      <w:r w:rsidR="003B0BF7">
        <w:rPr>
          <w:rFonts w:ascii="Times New Roman" w:hAnsi="Times New Roman"/>
          <w:sz w:val="24"/>
          <w:szCs w:val="24"/>
        </w:rPr>
        <w:t>ganizacja będąca stroną umowy o </w:t>
      </w:r>
      <w:r w:rsidRPr="00E24274">
        <w:rPr>
          <w:rFonts w:ascii="Times New Roman" w:hAnsi="Times New Roman"/>
          <w:sz w:val="24"/>
          <w:szCs w:val="24"/>
        </w:rPr>
        <w:t>reprezentacji. Ponieważ przepisy dyrektywy są adresowane do państw członkowskich UE (z rozszerzeniem na państwa Europejskiego Obszaru Gospodarczego), powyższy przepis będzie dotyczył wyłącznie relacji pomiędzy polskimi organizacjami oraz pomiędzy organizacjami polskimi a zagranicznymi z innych państw Europejskiego Obszaru Gospodarczego.</w:t>
      </w:r>
    </w:p>
    <w:p w:rsidR="00CA088D" w:rsidRPr="00E24274" w:rsidRDefault="00CA088D"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Art. 15 dyrektywy CRM wymaga ponadto dostosowania zasad podziału i wypłaty przychodów z praw do sytuacji, w której organizacja będzie dokonywać wypłaty na rzecz innej organizacji, a nie bezpośrednio na rzecz uprawnionych. O ile więc tu również zastosowanie znajdzie 9-miesięczny termin na dokonanie podziału i wypłaty, uwzględniający analogiczny</w:t>
      </w:r>
      <w:r w:rsidR="00302854">
        <w:rPr>
          <w:rFonts w:ascii="Times New Roman" w:hAnsi="Times New Roman"/>
          <w:sz w:val="24"/>
          <w:szCs w:val="24"/>
        </w:rPr>
        <w:t xml:space="preserve"> do</w:t>
      </w:r>
      <w:r w:rsidRPr="00E24274">
        <w:rPr>
          <w:rFonts w:ascii="Times New Roman" w:hAnsi="Times New Roman"/>
          <w:sz w:val="24"/>
          <w:szCs w:val="24"/>
        </w:rPr>
        <w:t xml:space="preserve"> w projektowan</w:t>
      </w:r>
      <w:r w:rsidR="00302854">
        <w:rPr>
          <w:rFonts w:ascii="Times New Roman" w:hAnsi="Times New Roman"/>
          <w:sz w:val="24"/>
          <w:szCs w:val="24"/>
        </w:rPr>
        <w:t>ego</w:t>
      </w:r>
      <w:r w:rsidRPr="00E24274">
        <w:rPr>
          <w:rFonts w:ascii="Times New Roman" w:hAnsi="Times New Roman"/>
          <w:sz w:val="24"/>
          <w:szCs w:val="24"/>
        </w:rPr>
        <w:t xml:space="preserve"> art. 37 ust. 3 wyjątek, w którym może on nie zostać dotrzymany (projektowany art. 40 ust. 2), to nie zajdzie sytuacja niemożności ustalenia lub odnalezienia uprawnionych. Za wypłatę uprawnionym odpowiedzialna będzie bowiem organizacja, która otrzyma środki od innej organizacji. W takim przypadku zastosowanie powinny znaleźć ogólne zasady podziału i wypłaty środków, przy czym – z uwagi na dokonanie części czynności przez organizację inkasującą – termin na podział i wypłatę zostanie skrócony do 6 miesięcy (projektowany art. 40 ust. 3).</w:t>
      </w:r>
    </w:p>
    <w:p w:rsidR="00CA088D" w:rsidRPr="00E24274" w:rsidRDefault="00CA088D" w:rsidP="003B0BF7">
      <w:pPr>
        <w:keepNext/>
        <w:spacing w:before="120" w:after="0" w:line="360" w:lineRule="auto"/>
        <w:jc w:val="both"/>
        <w:outlineLvl w:val="0"/>
        <w:rPr>
          <w:rFonts w:ascii="Times New Roman" w:hAnsi="Times New Roman"/>
          <w:b/>
          <w:sz w:val="24"/>
          <w:szCs w:val="24"/>
        </w:rPr>
      </w:pPr>
      <w:r w:rsidRPr="00E24274">
        <w:rPr>
          <w:rFonts w:ascii="Times New Roman" w:hAnsi="Times New Roman"/>
          <w:b/>
          <w:sz w:val="24"/>
          <w:szCs w:val="24"/>
        </w:rPr>
        <w:lastRenderedPageBreak/>
        <w:t>II. 5. Rozdział 5. R</w:t>
      </w:r>
      <w:r w:rsidR="00B85D46">
        <w:rPr>
          <w:rFonts w:ascii="Times New Roman" w:hAnsi="Times New Roman"/>
          <w:b/>
          <w:sz w:val="24"/>
          <w:szCs w:val="24"/>
        </w:rPr>
        <w:t>elacje z użytkownikami (art. 41</w:t>
      </w:r>
      <w:r w:rsidRPr="00E24274">
        <w:rPr>
          <w:rFonts w:ascii="Times New Roman" w:hAnsi="Times New Roman"/>
          <w:b/>
          <w:sz w:val="24"/>
          <w:szCs w:val="24"/>
        </w:rPr>
        <w:t>–49 projektu)</w:t>
      </w:r>
    </w:p>
    <w:p w:rsidR="00CA088D" w:rsidRPr="00E24274" w:rsidRDefault="00CA088D" w:rsidP="003B0BF7">
      <w:pPr>
        <w:pStyle w:val="ARTartustawynprozporzdzenia"/>
        <w:keepNext/>
        <w:ind w:firstLine="0"/>
        <w:rPr>
          <w:rFonts w:ascii="Times New Roman" w:hAnsi="Times New Roman" w:cs="Times New Roman"/>
        </w:rPr>
      </w:pPr>
      <w:r w:rsidRPr="00E24274">
        <w:rPr>
          <w:rFonts w:ascii="Times New Roman" w:hAnsi="Times New Roman" w:cs="Times New Roman"/>
        </w:rPr>
        <w:t>Rozdział 5 projektowanej ustawy dotyczy relacji organizacji zbiorowego zarządzania</w:t>
      </w:r>
      <w:r w:rsidR="00E24274">
        <w:rPr>
          <w:rFonts w:ascii="Times New Roman" w:hAnsi="Times New Roman" w:cs="Times New Roman"/>
        </w:rPr>
        <w:t xml:space="preserve"> </w:t>
      </w:r>
      <w:r w:rsidR="003B0BF7">
        <w:rPr>
          <w:rFonts w:ascii="Times New Roman" w:hAnsi="Times New Roman" w:cs="Times New Roman"/>
        </w:rPr>
        <w:t>z </w:t>
      </w:r>
      <w:r w:rsidRPr="00E24274">
        <w:rPr>
          <w:rFonts w:ascii="Times New Roman" w:hAnsi="Times New Roman" w:cs="Times New Roman"/>
        </w:rPr>
        <w:t xml:space="preserve">podmiotami korzystającymi z ich repertuaru, tzw. użytkownikami (art. 3 pkt 10 projektowanej ustawy), stanowiąc implementację przepisów rozdziału 4 dyrektywy CRM – art. 16 i </w:t>
      </w:r>
      <w:r w:rsidR="00302854">
        <w:rPr>
          <w:rFonts w:ascii="Times New Roman" w:hAnsi="Times New Roman" w:cs="Times New Roman"/>
        </w:rPr>
        <w:t xml:space="preserve">art. </w:t>
      </w:r>
      <w:r w:rsidRPr="00E24274">
        <w:rPr>
          <w:rFonts w:ascii="Times New Roman" w:hAnsi="Times New Roman" w:cs="Times New Roman"/>
        </w:rPr>
        <w:t>17. Przepisy wdrażające dyrektywę zostały również w tym rozdziale uzupełnione</w:t>
      </w:r>
      <w:r w:rsidR="00E24274">
        <w:rPr>
          <w:rFonts w:ascii="Times New Roman" w:hAnsi="Times New Roman" w:cs="Times New Roman"/>
        </w:rPr>
        <w:t xml:space="preserve"> </w:t>
      </w:r>
      <w:r w:rsidRPr="00E24274">
        <w:rPr>
          <w:rFonts w:ascii="Times New Roman" w:hAnsi="Times New Roman" w:cs="Times New Roman"/>
        </w:rPr>
        <w:t>o sprawdzone rozwiązania już funkcjonujące w polskim prawie autorskim.</w:t>
      </w:r>
    </w:p>
    <w:p w:rsidR="00CA088D" w:rsidRPr="00E24274" w:rsidRDefault="00CA088D" w:rsidP="00E24274">
      <w:pPr>
        <w:pStyle w:val="ARTartustawynprozporzdzenia"/>
        <w:ind w:firstLine="0"/>
        <w:rPr>
          <w:rFonts w:ascii="Times New Roman" w:hAnsi="Times New Roman" w:cs="Times New Roman"/>
          <w:b/>
        </w:rPr>
      </w:pPr>
      <w:r w:rsidRPr="00E24274">
        <w:rPr>
          <w:rFonts w:ascii="Times New Roman" w:hAnsi="Times New Roman" w:cs="Times New Roman"/>
          <w:b/>
        </w:rPr>
        <w:t>art. 41</w:t>
      </w:r>
    </w:p>
    <w:p w:rsidR="00CA088D" w:rsidRPr="00E24274" w:rsidRDefault="00CA088D" w:rsidP="003B0BF7">
      <w:pPr>
        <w:pStyle w:val="ARTartustawynprozporzdzenia"/>
        <w:spacing w:before="0"/>
        <w:ind w:firstLine="0"/>
        <w:rPr>
          <w:rFonts w:ascii="Times New Roman" w:hAnsi="Times New Roman" w:cs="Times New Roman"/>
        </w:rPr>
      </w:pPr>
      <w:r w:rsidRPr="00E24274">
        <w:rPr>
          <w:rFonts w:ascii="Times New Roman" w:hAnsi="Times New Roman" w:cs="Times New Roman"/>
        </w:rPr>
        <w:t>1. Zgodnie z art. 41 ust. 1 i 2 projektowanej ustawy organizacja zbiorowego zarządzania ma obowiązek przy ustalaniu wynagrodzenia</w:t>
      </w:r>
      <w:r w:rsidR="003B0BF7">
        <w:rPr>
          <w:rFonts w:ascii="Times New Roman" w:hAnsi="Times New Roman" w:cs="Times New Roman"/>
        </w:rPr>
        <w:t xml:space="preserve"> i pozostałych warunków umowy z </w:t>
      </w:r>
      <w:r w:rsidRPr="00E24274">
        <w:rPr>
          <w:rFonts w:ascii="Times New Roman" w:hAnsi="Times New Roman" w:cs="Times New Roman"/>
        </w:rPr>
        <w:t>użytkownikiem stosować obiektywne i niedyskryminujące kryteria. Wysokość dochodzonych przez nią wynagrodzeń powinna uwzględniać wysokość wpływów osiąganych z korzystania z jej repertuaru oraz charakter i zakres tego korzystania. Zakaz dyskryminacji użytkowników przez organizacje zbiorowego zarządzania nie został jak dotąd wyraźnie sformułowany w przepisach obowiązującej ustawy o pr. aut., chociaż jego obowiązywanie nie powinno budzić wątpliwości choćby w świetle przepis</w:t>
      </w:r>
      <w:r w:rsidR="00302854">
        <w:rPr>
          <w:rFonts w:ascii="Times New Roman" w:hAnsi="Times New Roman" w:cs="Times New Roman"/>
        </w:rPr>
        <w:t xml:space="preserve">u do </w:t>
      </w:r>
      <w:r w:rsidRPr="00E24274">
        <w:rPr>
          <w:rFonts w:ascii="Times New Roman" w:hAnsi="Times New Roman" w:cs="Times New Roman"/>
        </w:rPr>
        <w:t>ustawy z dnia 16 lutego 2007 r. o ochronie konkurencji i konsumentów</w:t>
      </w:r>
      <w:r w:rsidRPr="00E24274">
        <w:rPr>
          <w:rStyle w:val="Odwoanieprzypisudolnego"/>
          <w:rFonts w:ascii="Times New Roman" w:hAnsi="Times New Roman"/>
        </w:rPr>
        <w:footnoteReference w:id="27"/>
      </w:r>
      <w:r w:rsidR="001E6F0B" w:rsidRPr="001E6F0B">
        <w:rPr>
          <w:rFonts w:ascii="Times New Roman" w:hAnsi="Times New Roman" w:cs="Times New Roman"/>
          <w:vertAlign w:val="superscript"/>
        </w:rPr>
        <w:t>)</w:t>
      </w:r>
      <w:r w:rsidRPr="00E24274">
        <w:rPr>
          <w:rFonts w:ascii="Times New Roman" w:hAnsi="Times New Roman" w:cs="Times New Roman"/>
        </w:rPr>
        <w:t>. Z uwagi na art. 16 ust. 2 zdanie pierwsze dyrektywy CRM stosowny</w:t>
      </w:r>
      <w:r w:rsidR="003B0BF7">
        <w:rPr>
          <w:rFonts w:ascii="Times New Roman" w:hAnsi="Times New Roman" w:cs="Times New Roman"/>
        </w:rPr>
        <w:t xml:space="preserve"> przepis powinien się znaleźć w </w:t>
      </w:r>
      <w:r w:rsidRPr="00E24274">
        <w:rPr>
          <w:rFonts w:ascii="Times New Roman" w:hAnsi="Times New Roman" w:cs="Times New Roman"/>
        </w:rPr>
        <w:t>przepisach niniejszego rozdziału.</w:t>
      </w:r>
    </w:p>
    <w:p w:rsidR="00CA088D" w:rsidRPr="00E24274" w:rsidRDefault="00CA088D" w:rsidP="00E24274">
      <w:pPr>
        <w:pStyle w:val="ARTartustawynprozporzdzenia"/>
        <w:ind w:firstLine="0"/>
        <w:rPr>
          <w:rFonts w:ascii="Times New Roman" w:eastAsia="Times New Roman" w:hAnsi="Times New Roman" w:cs="Times New Roman"/>
        </w:rPr>
      </w:pPr>
      <w:r w:rsidRPr="00E24274">
        <w:rPr>
          <w:rFonts w:ascii="Times New Roman" w:hAnsi="Times New Roman" w:cs="Times New Roman"/>
        </w:rPr>
        <w:t xml:space="preserve">2. Natomiast odnośnie </w:t>
      </w:r>
      <w:r w:rsidR="00302854">
        <w:rPr>
          <w:rFonts w:ascii="Times New Roman" w:hAnsi="Times New Roman" w:cs="Times New Roman"/>
        </w:rPr>
        <w:t xml:space="preserve">do </w:t>
      </w:r>
      <w:r w:rsidRPr="00E24274">
        <w:rPr>
          <w:rFonts w:ascii="Times New Roman" w:hAnsi="Times New Roman" w:cs="Times New Roman"/>
        </w:rPr>
        <w:t xml:space="preserve">wysokości wynagrodzeń dochodzonych przez organizacje zbiorowego zarządzania dyrektywa wymaga (art. 16 ust. 2 dyrektywy CRM), aby pozostawały one </w:t>
      </w:r>
      <w:r w:rsidR="00E24274">
        <w:rPr>
          <w:rFonts w:ascii="Times New Roman" w:hAnsi="Times New Roman" w:cs="Times New Roman"/>
        </w:rPr>
        <w:t>„</w:t>
      </w:r>
      <w:r w:rsidRPr="00E24274">
        <w:rPr>
          <w:rFonts w:ascii="Times New Roman" w:eastAsia="Times New Roman" w:hAnsi="Times New Roman" w:cs="Times New Roman"/>
          <w:i/>
        </w:rPr>
        <w:t>w rozsądnym stosunku między innymi do wartości ekonomicznej użytkowania praw w obrocie handlowym, z uwzględnieniem rodzaju i zakresu wykorzystania utworów i innych przedmiotów objętych ochroną, a także w odniesieniu do wartości ekonomicznej usług świadczonych przez organizację zbiorowego zarządzania</w:t>
      </w:r>
      <w:r w:rsidR="00E24274">
        <w:rPr>
          <w:rFonts w:ascii="Times New Roman" w:eastAsia="Times New Roman" w:hAnsi="Times New Roman" w:cs="Times New Roman"/>
          <w:i/>
        </w:rPr>
        <w:t>”</w:t>
      </w:r>
      <w:r w:rsidRPr="00E24274">
        <w:rPr>
          <w:rFonts w:ascii="Times New Roman" w:eastAsia="Times New Roman" w:hAnsi="Times New Roman" w:cs="Times New Roman"/>
          <w:i/>
        </w:rPr>
        <w:t>.</w:t>
      </w:r>
      <w:r w:rsidRPr="00E24274">
        <w:rPr>
          <w:rFonts w:ascii="Times New Roman" w:eastAsia="Times New Roman" w:hAnsi="Times New Roman" w:cs="Times New Roman"/>
        </w:rPr>
        <w:t xml:space="preserve"> Stanowiący jego implementację przepis art. 41 ust. 2 projektowanej ustawy opiera się na brzmieniu aktualnie obowiązującego art. 110 ustawy o pr. aut.</w:t>
      </w:r>
    </w:p>
    <w:p w:rsidR="00CA088D" w:rsidRPr="00E24274" w:rsidRDefault="00CA088D" w:rsidP="00E24274">
      <w:pPr>
        <w:pStyle w:val="ARTartustawynprozporzdzenia"/>
        <w:ind w:firstLine="0"/>
        <w:rPr>
          <w:rFonts w:ascii="Times New Roman" w:eastAsia="Times New Roman" w:hAnsi="Times New Roman" w:cs="Times New Roman"/>
          <w:highlight w:val="yellow"/>
        </w:rPr>
      </w:pPr>
      <w:r w:rsidRPr="00E24274">
        <w:rPr>
          <w:rFonts w:ascii="Times New Roman" w:eastAsia="Times New Roman" w:hAnsi="Times New Roman" w:cs="Times New Roman"/>
        </w:rPr>
        <w:lastRenderedPageBreak/>
        <w:t xml:space="preserve">3. </w:t>
      </w:r>
      <w:r w:rsidRPr="00E24274">
        <w:rPr>
          <w:rFonts w:ascii="Times New Roman" w:hAnsi="Times New Roman" w:cs="Times New Roman"/>
        </w:rPr>
        <w:t xml:space="preserve">Nie ma natomiast potrzeby wprowadzania osobnego kryterium </w:t>
      </w:r>
      <w:r w:rsidR="00E24274">
        <w:rPr>
          <w:rFonts w:ascii="Times New Roman" w:hAnsi="Times New Roman" w:cs="Times New Roman"/>
        </w:rPr>
        <w:t>„</w:t>
      </w:r>
      <w:r w:rsidRPr="00E24274">
        <w:rPr>
          <w:rFonts w:ascii="Times New Roman" w:hAnsi="Times New Roman" w:cs="Times New Roman"/>
          <w:i/>
        </w:rPr>
        <w:t>wartości ekonomicznej usług świadczonych przez organizację zbiorowego zarządzania</w:t>
      </w:r>
      <w:r w:rsidR="00E24274">
        <w:rPr>
          <w:rFonts w:ascii="Times New Roman" w:hAnsi="Times New Roman" w:cs="Times New Roman"/>
          <w:i/>
        </w:rPr>
        <w:t>”</w:t>
      </w:r>
      <w:r w:rsidRPr="00E24274">
        <w:rPr>
          <w:rFonts w:ascii="Times New Roman" w:hAnsi="Times New Roman" w:cs="Times New Roman"/>
        </w:rPr>
        <w:t xml:space="preserve">. Kryterium to przywołał i wyjaśnił jego znaczenie TSUE w wyroku z </w:t>
      </w:r>
      <w:r w:rsidR="00302854">
        <w:rPr>
          <w:rFonts w:ascii="Times New Roman" w:hAnsi="Times New Roman" w:cs="Times New Roman"/>
        </w:rPr>
        <w:t xml:space="preserve">dnia </w:t>
      </w:r>
      <w:r w:rsidRPr="00E24274">
        <w:rPr>
          <w:rFonts w:ascii="Times New Roman" w:hAnsi="Times New Roman" w:cs="Times New Roman"/>
        </w:rPr>
        <w:t xml:space="preserve">11 grudnia 2008 r. w sprawie C-52/07 </w:t>
      </w:r>
      <w:r w:rsidRPr="00E24274">
        <w:rPr>
          <w:rFonts w:ascii="Times New Roman" w:hAnsi="Times New Roman" w:cs="Times New Roman"/>
          <w:i/>
        </w:rPr>
        <w:t>Kanal 5 Ltd. i TV 4 AB</w:t>
      </w:r>
      <w:r w:rsidRPr="00E24274">
        <w:rPr>
          <w:rFonts w:ascii="Times New Roman" w:hAnsi="Times New Roman" w:cs="Times New Roman"/>
        </w:rPr>
        <w:t xml:space="preserve">. Zgodnie z tym orzeczeniem stosowanie przez organizację wygórowanej ceny, która nie </w:t>
      </w:r>
      <w:r w:rsidR="003B0BF7">
        <w:rPr>
          <w:rFonts w:ascii="Times New Roman" w:hAnsi="Times New Roman" w:cs="Times New Roman"/>
        </w:rPr>
        <w:t>pozostaje w rozsądnym związku z </w:t>
      </w:r>
      <w:r w:rsidRPr="00E24274">
        <w:rPr>
          <w:rFonts w:ascii="Times New Roman" w:hAnsi="Times New Roman" w:cs="Times New Roman"/>
        </w:rPr>
        <w:t>wartością ekonomiczną świadczenia wykonanego przez tę organizację (w tamtej sprawie polegało ono na udostępnianiu repertuaru utworów muzycznych chronionych prawem autorskim, którym ta organizacja zarządza, nadawcom telewizyjnym, którzy zawarli z nią umowy licencyjne)</w:t>
      </w:r>
      <w:r w:rsidR="00302854">
        <w:rPr>
          <w:rFonts w:ascii="Times New Roman" w:hAnsi="Times New Roman" w:cs="Times New Roman"/>
        </w:rPr>
        <w:t>,</w:t>
      </w:r>
      <w:r w:rsidRPr="00E24274">
        <w:rPr>
          <w:rFonts w:ascii="Times New Roman" w:hAnsi="Times New Roman" w:cs="Times New Roman"/>
        </w:rPr>
        <w:t xml:space="preserve"> może stanowić nadużycie pozycji dominującej (pkt 28 i 29 uzasadnienia wyroku). W ocenie Trybunału cena ta powinna być, po pierwsze, rozpatrywana w świetle wartości wykorzystania chronionych utworów w obrocie gospodarczym (pkt 36 uzasadnienia wyroku), a po drugie powinna być obliczana na podstawie rzeczywistej lub prawdopodobnej liczby wykonań (a więc aktów eksploatacji) tych utworów (pkt 38 uzasadnienia wyroku). Z powyższego wynika zatem, że na wartość ekonomiczną usług świadczonych przez organizacje składają się wartość ekonomiczna praw (która, zgodnie z cytowanym orzeczeniem TSUE, może być obliczona, tak jak zaproponowano to w projekcie, na podstawie przychodów uzyskiwanych przez użytkownika – pkt 37 uzasadnienia wyroku) oraz rodzaj i zakres wykorzystywania utworów, czyli kryteria uwzględnione w projektowanym art. 41 ust. 2 ustawy. </w:t>
      </w:r>
    </w:p>
    <w:p w:rsidR="00CA088D" w:rsidRPr="00E24274" w:rsidRDefault="00CA088D" w:rsidP="00E24274">
      <w:pPr>
        <w:pStyle w:val="ARTartustawynprozporzdzenia"/>
        <w:ind w:firstLine="0"/>
        <w:rPr>
          <w:rFonts w:ascii="Times New Roman" w:eastAsia="Times New Roman" w:hAnsi="Times New Roman" w:cs="Times New Roman"/>
        </w:rPr>
      </w:pPr>
      <w:r w:rsidRPr="00E24274">
        <w:rPr>
          <w:rFonts w:ascii="Times New Roman" w:eastAsia="Times New Roman" w:hAnsi="Times New Roman" w:cs="Times New Roman"/>
          <w:b/>
        </w:rPr>
        <w:t>art. 42</w:t>
      </w:r>
    </w:p>
    <w:p w:rsidR="005E2CA3" w:rsidRPr="00E24274" w:rsidRDefault="00CA088D" w:rsidP="003B0BF7">
      <w:pPr>
        <w:pStyle w:val="ARTartustawynprozporzdzenia"/>
        <w:spacing w:before="0"/>
        <w:ind w:firstLine="0"/>
        <w:rPr>
          <w:rFonts w:ascii="Times New Roman" w:hAnsi="Times New Roman" w:cs="Times New Roman"/>
        </w:rPr>
      </w:pPr>
      <w:r w:rsidRPr="00E24274">
        <w:rPr>
          <w:rFonts w:ascii="Times New Roman" w:eastAsia="Times New Roman" w:hAnsi="Times New Roman" w:cs="Times New Roman"/>
        </w:rPr>
        <w:t>Art. 42 ust. 1 projektowanej ustawy utrzymuje obecnie obowiązującą za</w:t>
      </w:r>
      <w:r w:rsidR="003B0BF7">
        <w:rPr>
          <w:rFonts w:ascii="Times New Roman" w:eastAsia="Times New Roman" w:hAnsi="Times New Roman" w:cs="Times New Roman"/>
        </w:rPr>
        <w:t>sadę zapisaną w </w:t>
      </w:r>
      <w:r w:rsidRPr="00E24274">
        <w:rPr>
          <w:rFonts w:ascii="Times New Roman" w:eastAsia="Times New Roman" w:hAnsi="Times New Roman" w:cs="Times New Roman"/>
        </w:rPr>
        <w:t>art. 106 ust. 2 pr. aut., że organizacja zbiorowego zarządzania ma obowiązek udzielenia licencji każdemu, kto się o to zwraca.</w:t>
      </w:r>
      <w:r w:rsidR="00B22430" w:rsidRPr="00E24274">
        <w:rPr>
          <w:rFonts w:ascii="Times New Roman" w:eastAsia="Times New Roman" w:hAnsi="Times New Roman" w:cs="Times New Roman"/>
        </w:rPr>
        <w:t xml:space="preserve"> Dotyczy to także umowy o zapłatę wynagrodzenia w przypadkach, gdy uprawnionemu nie przysługuje prawo </w:t>
      </w:r>
      <w:r w:rsidR="00E24274">
        <w:rPr>
          <w:rFonts w:ascii="Times New Roman" w:eastAsia="Times New Roman" w:hAnsi="Times New Roman" w:cs="Times New Roman"/>
        </w:rPr>
        <w:t>„</w:t>
      </w:r>
      <w:r w:rsidR="00B22430" w:rsidRPr="00E24274">
        <w:rPr>
          <w:rFonts w:ascii="Times New Roman" w:eastAsia="Times New Roman" w:hAnsi="Times New Roman" w:cs="Times New Roman"/>
        </w:rPr>
        <w:t>zakazowe</w:t>
      </w:r>
      <w:r w:rsidR="00E24274">
        <w:rPr>
          <w:rFonts w:ascii="Times New Roman" w:eastAsia="Times New Roman" w:hAnsi="Times New Roman" w:cs="Times New Roman"/>
        </w:rPr>
        <w:t>”</w:t>
      </w:r>
      <w:r w:rsidR="00B22430" w:rsidRPr="00E24274">
        <w:rPr>
          <w:rFonts w:ascii="Times New Roman" w:eastAsia="Times New Roman" w:hAnsi="Times New Roman" w:cs="Times New Roman"/>
        </w:rPr>
        <w:t>, a wyłącznie prawo do wynagrodzenia.</w:t>
      </w:r>
      <w:r w:rsidRPr="00E24274">
        <w:rPr>
          <w:rFonts w:ascii="Times New Roman" w:eastAsia="Times New Roman" w:hAnsi="Times New Roman" w:cs="Times New Roman"/>
        </w:rPr>
        <w:t xml:space="preserve"> Odmówić</w:t>
      </w:r>
      <w:r w:rsidR="00B22430" w:rsidRPr="00E24274">
        <w:rPr>
          <w:rFonts w:ascii="Times New Roman" w:eastAsia="Times New Roman" w:hAnsi="Times New Roman" w:cs="Times New Roman"/>
        </w:rPr>
        <w:t xml:space="preserve"> zawarcia umowy organizacja</w:t>
      </w:r>
      <w:r w:rsidRPr="00E24274">
        <w:rPr>
          <w:rFonts w:ascii="Times New Roman" w:eastAsia="Times New Roman" w:hAnsi="Times New Roman" w:cs="Times New Roman"/>
        </w:rPr>
        <w:t xml:space="preserve"> może jedynie z </w:t>
      </w:r>
      <w:r w:rsidR="00E24274">
        <w:rPr>
          <w:rFonts w:ascii="Times New Roman" w:eastAsia="Times New Roman" w:hAnsi="Times New Roman" w:cs="Times New Roman"/>
        </w:rPr>
        <w:t>„</w:t>
      </w:r>
      <w:r w:rsidRPr="00E24274">
        <w:rPr>
          <w:rFonts w:ascii="Times New Roman" w:eastAsia="Times New Roman" w:hAnsi="Times New Roman" w:cs="Times New Roman"/>
        </w:rPr>
        <w:t>ważnej przyczyny</w:t>
      </w:r>
      <w:r w:rsidR="00E24274">
        <w:rPr>
          <w:rFonts w:ascii="Times New Roman" w:eastAsia="Times New Roman" w:hAnsi="Times New Roman" w:cs="Times New Roman"/>
        </w:rPr>
        <w:t>”</w:t>
      </w:r>
      <w:r w:rsidRPr="00E24274">
        <w:rPr>
          <w:rFonts w:ascii="Times New Roman" w:eastAsia="Times New Roman" w:hAnsi="Times New Roman" w:cs="Times New Roman"/>
        </w:rPr>
        <w:t xml:space="preserve"> (art. 42 ust. 1 projektu). Zgodnie z art. 16 ust. 3 dyrektywy CRM decyzja o </w:t>
      </w:r>
      <w:r w:rsidRPr="00E24274">
        <w:rPr>
          <w:rFonts w:ascii="Times New Roman" w:hAnsi="Times New Roman" w:cs="Times New Roman"/>
        </w:rPr>
        <w:t>odmowie zawarcia umowy winna być niezwłocznie przekazana użytkownikowi wraz z uzasadnieniem wskazującym przyczyny tej odmowy. Znalazło to odzwierciedlenie w treści art. 42 ust. 2 projektu.</w:t>
      </w:r>
      <w:r w:rsidR="00E24274">
        <w:rPr>
          <w:rFonts w:ascii="Times New Roman" w:hAnsi="Times New Roman" w:cs="Times New Roman"/>
        </w:rPr>
        <w:t xml:space="preserve"> </w:t>
      </w:r>
      <w:r w:rsidRPr="00E24274">
        <w:rPr>
          <w:rFonts w:ascii="Times New Roman" w:hAnsi="Times New Roman" w:cs="Times New Roman"/>
        </w:rPr>
        <w:t xml:space="preserve">Organizacja i użytkownik obowiązani są przekazywać sobie wzajemnie wszystkie informacje niezbędne do zawarcia umowy (art. 42 ust. 3 projektu). Jeżeli nie zachodzą żadne przyczyny uzasadniające odmowę zawarcia umowy i organizacja posiada wszystkie potrzebne </w:t>
      </w:r>
      <w:r w:rsidRPr="00E24274">
        <w:rPr>
          <w:rFonts w:ascii="Times New Roman" w:hAnsi="Times New Roman" w:cs="Times New Roman"/>
        </w:rPr>
        <w:lastRenderedPageBreak/>
        <w:t xml:space="preserve">informacje, obowiązana jest niezwłocznie złożyć użytkownikowi ofertę zawarcia umowy. W ofercie tej organizacja obowiązana jest uzasadnić wysokość proponowanego wynagrodzenia, w tym spełnienie kryteriów, o których </w:t>
      </w:r>
      <w:r w:rsidR="003B0BF7">
        <w:rPr>
          <w:rFonts w:ascii="Times New Roman" w:hAnsi="Times New Roman" w:cs="Times New Roman"/>
        </w:rPr>
        <w:t>mowa w art. 41 ust. 2 ustawy. W </w:t>
      </w:r>
      <w:r w:rsidRPr="00E24274">
        <w:rPr>
          <w:rFonts w:ascii="Times New Roman" w:hAnsi="Times New Roman" w:cs="Times New Roman"/>
        </w:rPr>
        <w:t>przypadku gdy stawka wynagrodzenia wynika z zatwierdzonej tabeli wynagrodzeń, uzasadnienie jej wysokości może być ograniczone do wskazania konkretnej p</w:t>
      </w:r>
      <w:r w:rsidR="003B0BF7">
        <w:rPr>
          <w:rFonts w:ascii="Times New Roman" w:hAnsi="Times New Roman" w:cs="Times New Roman"/>
        </w:rPr>
        <w:t>ozycji z </w:t>
      </w:r>
      <w:r w:rsidRPr="00E24274">
        <w:rPr>
          <w:rFonts w:ascii="Times New Roman" w:hAnsi="Times New Roman" w:cs="Times New Roman"/>
        </w:rPr>
        <w:t>zastosowanej tabeli. Zgodnie z art. 42 ust. 5 projektowanej ustawy w przypadku nieprzyjęcia oferty przez użytkownika strony pow</w:t>
      </w:r>
      <w:r w:rsidR="003B0BF7">
        <w:rPr>
          <w:rFonts w:ascii="Times New Roman" w:hAnsi="Times New Roman" w:cs="Times New Roman"/>
        </w:rPr>
        <w:t>inny przystąpić do negocjacji i </w:t>
      </w:r>
      <w:r w:rsidRPr="00E24274">
        <w:rPr>
          <w:rFonts w:ascii="Times New Roman" w:hAnsi="Times New Roman" w:cs="Times New Roman"/>
        </w:rPr>
        <w:t>prowadzić je w dobrej wierze (art. 16 ust. 1 dyrektywy). W ten sposób art. 42 ust. 1</w:t>
      </w:r>
      <w:r w:rsidR="00B85D46">
        <w:rPr>
          <w:rFonts w:ascii="Times New Roman" w:hAnsi="Times New Roman" w:cs="Times New Roman"/>
        </w:rPr>
        <w:t>–</w:t>
      </w:r>
      <w:r w:rsidRPr="00E24274">
        <w:rPr>
          <w:rFonts w:ascii="Times New Roman" w:hAnsi="Times New Roman" w:cs="Times New Roman"/>
        </w:rPr>
        <w:t>5 projektu opisuje podstawowy ciąg czynności, które powinny doprowadzić do zawarcia przez organizację umowy z użytkownikiem. Natomiast zgodnie z ust. 6, jeżeli organizacja i użytkownik pozostają w sporze co do warunków umowy, użytkownikowi przysługuje roszczenie o ukształtowanie stosunku prawnego. Na skutek takiego powództwa sporne warunki umowy określi sąd powszechny.</w:t>
      </w:r>
      <w:r w:rsidR="00C122E9" w:rsidRPr="00E24274">
        <w:rPr>
          <w:rFonts w:ascii="Times New Roman" w:hAnsi="Times New Roman" w:cs="Times New Roman"/>
        </w:rPr>
        <w:t xml:space="preserve"> Rozwiązanie to stanowi implementację art. 35 ust. 1 dyrektywy CRM, który wymaga, aby istniała procedura rozstrzygania sporów pomiędzy organizac</w:t>
      </w:r>
      <w:r w:rsidR="003B0BF7">
        <w:rPr>
          <w:rFonts w:ascii="Times New Roman" w:hAnsi="Times New Roman" w:cs="Times New Roman"/>
        </w:rPr>
        <w:t>jami zbiorowego zarządzania a </w:t>
      </w:r>
      <w:r w:rsidR="00C122E9" w:rsidRPr="00E24274">
        <w:rPr>
          <w:rFonts w:ascii="Times New Roman" w:hAnsi="Times New Roman" w:cs="Times New Roman"/>
        </w:rPr>
        <w:t>użytkownikami, dotyczących m.in. obowiązujących lub proponowanych warunków udzielenia licencji. Oznacza to, że użytkownik po</w:t>
      </w:r>
      <w:r w:rsidR="003B0BF7">
        <w:rPr>
          <w:rFonts w:ascii="Times New Roman" w:hAnsi="Times New Roman" w:cs="Times New Roman"/>
        </w:rPr>
        <w:t>winien mieć możliwość wejścia w </w:t>
      </w:r>
      <w:r w:rsidR="00C122E9" w:rsidRPr="00E24274">
        <w:rPr>
          <w:rFonts w:ascii="Times New Roman" w:hAnsi="Times New Roman" w:cs="Times New Roman"/>
        </w:rPr>
        <w:t xml:space="preserve">spór z organizacją także w razie fiaska prowadzonych z nią negocjacji. </w:t>
      </w:r>
      <w:r w:rsidR="00302854">
        <w:rPr>
          <w:rFonts w:ascii="Times New Roman" w:hAnsi="Times New Roman" w:cs="Times New Roman"/>
        </w:rPr>
        <w:t>O</w:t>
      </w:r>
      <w:r w:rsidR="00C122E9" w:rsidRPr="00E24274">
        <w:rPr>
          <w:rFonts w:ascii="Times New Roman" w:hAnsi="Times New Roman" w:cs="Times New Roman"/>
        </w:rPr>
        <w:t>becn</w:t>
      </w:r>
      <w:r w:rsidR="00302854">
        <w:rPr>
          <w:rFonts w:ascii="Times New Roman" w:hAnsi="Times New Roman" w:cs="Times New Roman"/>
        </w:rPr>
        <w:t>ie</w:t>
      </w:r>
      <w:r w:rsidR="00C122E9" w:rsidRPr="00E24274">
        <w:rPr>
          <w:rFonts w:ascii="Times New Roman" w:hAnsi="Times New Roman" w:cs="Times New Roman"/>
        </w:rPr>
        <w:t xml:space="preserve"> polskie przepisy postępowania cywilnego nie przewidują </w:t>
      </w:r>
      <w:r w:rsidR="00555565" w:rsidRPr="00E24274">
        <w:rPr>
          <w:rFonts w:ascii="Times New Roman" w:hAnsi="Times New Roman" w:cs="Times New Roman"/>
        </w:rPr>
        <w:t>takiej ścieżki. Jedyną sytuacją, w której może dojść do sądowego rozstrzygnięcia sporu pomiędzy organizacją zbiorowego zarządzania a użytkownikiem jest bezumowne korzystanie przez użytkownika z utworów lub przedmiotów praw pokrewnych, a więc w której użytkownik narusza prawa wyłączne i może z tego tytułu ponosić odpowiedzialność odszkodowawczą a nawet karną.</w:t>
      </w:r>
    </w:p>
    <w:p w:rsidR="00CA088D" w:rsidRPr="00E24274" w:rsidRDefault="00CA088D" w:rsidP="00E24274">
      <w:pPr>
        <w:pStyle w:val="ARTartustawynprozporzdzenia"/>
        <w:ind w:firstLine="0"/>
        <w:rPr>
          <w:rFonts w:ascii="Times New Roman" w:hAnsi="Times New Roman" w:cs="Times New Roman"/>
        </w:rPr>
      </w:pPr>
      <w:r w:rsidRPr="00E24274">
        <w:rPr>
          <w:rFonts w:ascii="Times New Roman" w:hAnsi="Times New Roman" w:cs="Times New Roman"/>
          <w:b/>
        </w:rPr>
        <w:t>art. 43</w:t>
      </w:r>
    </w:p>
    <w:p w:rsidR="00CA088D" w:rsidRPr="00E24274" w:rsidRDefault="00CA088D" w:rsidP="003B0BF7">
      <w:pPr>
        <w:pStyle w:val="ARTartustawynprozporzdzenia"/>
        <w:spacing w:before="0"/>
        <w:ind w:firstLine="0"/>
        <w:rPr>
          <w:rFonts w:ascii="Times New Roman" w:hAnsi="Times New Roman" w:cs="Times New Roman"/>
        </w:rPr>
      </w:pPr>
      <w:r w:rsidRPr="00E24274">
        <w:rPr>
          <w:rFonts w:ascii="Times New Roman" w:hAnsi="Times New Roman" w:cs="Times New Roman"/>
        </w:rPr>
        <w:t>1. W art. 43 ust. 1 projektowanej ustawy przewiduje się obowiązek oferowania przez organizacje zbiorowego zarządzania niższych stawek wynagrodzeń użytkownikom prowadzącym działalność kulturalną, korzystającym z</w:t>
      </w:r>
      <w:r w:rsidR="003B0BF7">
        <w:rPr>
          <w:rFonts w:ascii="Times New Roman" w:hAnsi="Times New Roman" w:cs="Times New Roman"/>
        </w:rPr>
        <w:t xml:space="preserve"> zarządzanych przez nich praw w </w:t>
      </w:r>
      <w:r w:rsidRPr="00E24274">
        <w:rPr>
          <w:rFonts w:ascii="Times New Roman" w:hAnsi="Times New Roman" w:cs="Times New Roman"/>
        </w:rPr>
        <w:t>zakresie działalności statutowej, pod warunkiem że</w:t>
      </w:r>
      <w:r w:rsidR="003B0BF7">
        <w:rPr>
          <w:rFonts w:ascii="Times New Roman" w:hAnsi="Times New Roman" w:cs="Times New Roman"/>
        </w:rPr>
        <w:t xml:space="preserve"> korzystanie to nie łączy się z </w:t>
      </w:r>
      <w:r w:rsidRPr="00E24274">
        <w:rPr>
          <w:rFonts w:ascii="Times New Roman" w:hAnsi="Times New Roman" w:cs="Times New Roman"/>
        </w:rPr>
        <w:t xml:space="preserve">osiąganiem korzyści majątkowych. Takie preferencyjne warunki umów licencyjnych powinny być również zgodne z określonymi w art. 41 ust. 1 projektu zasadami obiektywizmu i niedyskryminacji. Samo wyodrębnienie takich preferencyjnych warunków umów licencyjnych nie narusza tych zasad, gdyż warunki te adresowane są </w:t>
      </w:r>
      <w:r w:rsidRPr="00E24274">
        <w:rPr>
          <w:rFonts w:ascii="Times New Roman" w:hAnsi="Times New Roman" w:cs="Times New Roman"/>
        </w:rPr>
        <w:lastRenderedPageBreak/>
        <w:t>do określonego kręgu podmiotów prowadzących szczególną, niekomercyjną działalność. Natomiast w ramach tych preferencyjnych warunków, zarówno gdy chodzi o ich treść</w:t>
      </w:r>
      <w:r w:rsidR="00302854">
        <w:rPr>
          <w:rFonts w:ascii="Times New Roman" w:hAnsi="Times New Roman" w:cs="Times New Roman"/>
        </w:rPr>
        <w:t>,</w:t>
      </w:r>
      <w:r w:rsidRPr="00E24274">
        <w:rPr>
          <w:rFonts w:ascii="Times New Roman" w:hAnsi="Times New Roman" w:cs="Times New Roman"/>
        </w:rPr>
        <w:t xml:space="preserve"> jak i praktykę stosowania, zasady obiektywizmu i niedyskryminacji powinny być również zachowane. Takie rozwiązanie winno służyć ułatwieniu prowadzenia działalności kulturalnej, o ile nie jest ona związana z osiąganiem z tytułu jej prowadzenia korzyści majątkowych.</w:t>
      </w:r>
    </w:p>
    <w:p w:rsidR="00CA088D" w:rsidRPr="00E24274" w:rsidRDefault="00CA088D" w:rsidP="00E24274">
      <w:pPr>
        <w:pStyle w:val="ARTartustawynprozporzdzenia"/>
        <w:ind w:firstLine="0"/>
        <w:rPr>
          <w:rFonts w:ascii="Times New Roman" w:hAnsi="Times New Roman" w:cs="Times New Roman"/>
          <w:highlight w:val="yellow"/>
        </w:rPr>
      </w:pPr>
      <w:r w:rsidRPr="00E24274">
        <w:rPr>
          <w:rFonts w:ascii="Times New Roman" w:hAnsi="Times New Roman" w:cs="Times New Roman"/>
        </w:rPr>
        <w:t>2. Zgodnie z art. 43 ust. 2 projektowanej ustawy organi</w:t>
      </w:r>
      <w:r w:rsidR="003B0BF7">
        <w:rPr>
          <w:rFonts w:ascii="Times New Roman" w:hAnsi="Times New Roman" w:cs="Times New Roman"/>
        </w:rPr>
        <w:t>zacja zbiorowego zarządzania, w </w:t>
      </w:r>
      <w:r w:rsidRPr="00E24274">
        <w:rPr>
          <w:rFonts w:ascii="Times New Roman" w:hAnsi="Times New Roman" w:cs="Times New Roman"/>
        </w:rPr>
        <w:t xml:space="preserve">przypadku użytkownika, który świadczy drogą elektroniczną nowego rodzaju usługi, publicznie dostępne krócej niż trzy lata na terytorium państwa członkowskiego Unii Europejskiej lub państwa członkowskiego Europejskiego Porozumienia o </w:t>
      </w:r>
      <w:r w:rsidR="00EF334B">
        <w:rPr>
          <w:rFonts w:ascii="Times New Roman" w:hAnsi="Times New Roman" w:cs="Times New Roman"/>
        </w:rPr>
        <w:t>W</w:t>
      </w:r>
      <w:r w:rsidRPr="00E24274">
        <w:rPr>
          <w:rFonts w:ascii="Times New Roman" w:hAnsi="Times New Roman" w:cs="Times New Roman"/>
        </w:rPr>
        <w:t xml:space="preserve">olnym </w:t>
      </w:r>
      <w:r w:rsidR="00EF334B">
        <w:rPr>
          <w:rFonts w:ascii="Times New Roman" w:hAnsi="Times New Roman" w:cs="Times New Roman"/>
        </w:rPr>
        <w:t>H</w:t>
      </w:r>
      <w:r w:rsidRPr="00E24274">
        <w:rPr>
          <w:rFonts w:ascii="Times New Roman" w:hAnsi="Times New Roman" w:cs="Times New Roman"/>
        </w:rPr>
        <w:t>andlu (EFTA) – stron umowy o Europejskim Obszarze Gospodarczym, będzie mogła stosować warunki umów odmienne od stosowanych z pozostałymi użytkownikami świadczącymi usługi drogą elektroniczną, co tym samym nie będzie naruszeniem art. 41 ust. 1 projektowanej ustawy. Zapis ten jest wdrożeniem art. 16 ust. 2 dyrektywy CRM.</w:t>
      </w:r>
    </w:p>
    <w:p w:rsidR="00CA088D" w:rsidRPr="00E24274" w:rsidRDefault="00CA088D" w:rsidP="00E24274">
      <w:pPr>
        <w:pStyle w:val="ARTartustawynprozporzdzenia"/>
        <w:ind w:firstLine="0"/>
        <w:rPr>
          <w:rFonts w:ascii="Times New Roman" w:hAnsi="Times New Roman" w:cs="Times New Roman"/>
          <w:b/>
        </w:rPr>
      </w:pPr>
      <w:r w:rsidRPr="00E24274">
        <w:rPr>
          <w:rFonts w:ascii="Times New Roman" w:hAnsi="Times New Roman" w:cs="Times New Roman"/>
          <w:b/>
        </w:rPr>
        <w:t>art. 44</w:t>
      </w:r>
    </w:p>
    <w:p w:rsidR="00CA088D" w:rsidRPr="00E24274" w:rsidRDefault="00CA088D" w:rsidP="003B0BF7">
      <w:pPr>
        <w:pStyle w:val="ARTartustawynprozporzdzenia"/>
        <w:spacing w:before="0"/>
        <w:ind w:firstLine="0"/>
        <w:rPr>
          <w:rFonts w:ascii="Times New Roman" w:hAnsi="Times New Roman" w:cs="Times New Roman"/>
        </w:rPr>
      </w:pPr>
      <w:r w:rsidRPr="00E24274">
        <w:rPr>
          <w:rFonts w:ascii="Times New Roman" w:hAnsi="Times New Roman" w:cs="Times New Roman"/>
        </w:rPr>
        <w:t>1. Ust. 1 projektowanego artykułu wyraźnie przesądza, że organizacje zbiorowego zarządzania mogą zawierać między sobą porozumienia dotyczące wykonywania czynności zbiorowego zarządzania. Możliwość zawierania takich porozumień nie budzi wątpliwości na tle obowiązującego stanu prawnego, wspólna reprezentacja kilku organizacji jest wręcz w wielu obszarach od dawna pożądana. Wydaje się jednakże, że tak kompleksowa regulacja zbiorowego zarządu</w:t>
      </w:r>
      <w:r w:rsidR="00302854">
        <w:rPr>
          <w:rFonts w:ascii="Times New Roman" w:hAnsi="Times New Roman" w:cs="Times New Roman"/>
        </w:rPr>
        <w:t>,</w:t>
      </w:r>
      <w:r w:rsidRPr="00E24274">
        <w:rPr>
          <w:rFonts w:ascii="Times New Roman" w:hAnsi="Times New Roman" w:cs="Times New Roman"/>
        </w:rPr>
        <w:t xml:space="preserve"> jak zawarta w projektowanej ustawie, powinna </w:t>
      </w:r>
      <w:r w:rsidRPr="00E24274">
        <w:rPr>
          <w:rFonts w:ascii="Times New Roman" w:hAnsi="Times New Roman" w:cs="Times New Roman"/>
          <w:i/>
        </w:rPr>
        <w:t>expressis verbis</w:t>
      </w:r>
      <w:r w:rsidRPr="00E24274">
        <w:rPr>
          <w:rFonts w:ascii="Times New Roman" w:hAnsi="Times New Roman" w:cs="Times New Roman"/>
        </w:rPr>
        <w:t xml:space="preserve"> przesądzić także i tę kwestię. Współpraca organizacji zbiorowego zarządzania w zakresie udzielania licencji i poboru wynagrodzeń będzie zatem w dalszym ciągu prawnie możliwa i w praktyce oczekiwana, przy czym jest obojętne, czy przyjmie ona formę działania przez wspólnego pełnomocnika czy też przez upoważnienie jednej organizacji do działania w imieniu pozostałych.</w:t>
      </w:r>
    </w:p>
    <w:p w:rsidR="00CA088D" w:rsidRPr="00E24274" w:rsidRDefault="00CA088D" w:rsidP="00E24274">
      <w:pPr>
        <w:pStyle w:val="ARTartustawynprozporzdzenia"/>
        <w:ind w:firstLine="0"/>
        <w:rPr>
          <w:rFonts w:ascii="Times New Roman" w:hAnsi="Times New Roman" w:cs="Times New Roman"/>
        </w:rPr>
      </w:pPr>
      <w:r w:rsidRPr="00E24274">
        <w:rPr>
          <w:rFonts w:ascii="Times New Roman" w:hAnsi="Times New Roman" w:cs="Times New Roman"/>
        </w:rPr>
        <w:t xml:space="preserve">2. W ust. 2 realizuje się postulowaną od dawna przez użytkowników zasadę </w:t>
      </w:r>
      <w:r w:rsidR="00E24274">
        <w:rPr>
          <w:rFonts w:ascii="Times New Roman" w:hAnsi="Times New Roman" w:cs="Times New Roman"/>
        </w:rPr>
        <w:t>„</w:t>
      </w:r>
      <w:r w:rsidRPr="00E24274">
        <w:rPr>
          <w:rFonts w:ascii="Times New Roman" w:hAnsi="Times New Roman" w:cs="Times New Roman"/>
        </w:rPr>
        <w:t>jednego okienka (</w:t>
      </w:r>
      <w:r w:rsidRPr="00E24274">
        <w:rPr>
          <w:rFonts w:ascii="Times New Roman" w:hAnsi="Times New Roman" w:cs="Times New Roman"/>
          <w:i/>
        </w:rPr>
        <w:t>one-stop-shop</w:t>
      </w:r>
      <w:r w:rsidRPr="00E24274">
        <w:rPr>
          <w:rFonts w:ascii="Times New Roman" w:hAnsi="Times New Roman" w:cs="Times New Roman"/>
        </w:rPr>
        <w:t>)</w:t>
      </w:r>
      <w:r w:rsidR="00E24274">
        <w:rPr>
          <w:rFonts w:ascii="Times New Roman" w:hAnsi="Times New Roman" w:cs="Times New Roman"/>
        </w:rPr>
        <w:t>”</w:t>
      </w:r>
      <w:r w:rsidRPr="00E24274">
        <w:rPr>
          <w:rFonts w:ascii="Times New Roman" w:hAnsi="Times New Roman" w:cs="Times New Roman"/>
        </w:rPr>
        <w:t xml:space="preserve">, zgodnie z którą użytkownik powinien mieć zapewnioną możliwość uzyskania od jednego podmiotu licencji w zakresie takich samych praw reprezentowanych przez różne organizacje, niezależnie od ich liczby. Zatem w zakresie, w jakim zezwolenie na zbiorowe zarządzanie prawami danej kategorii uprawnionych do danego rodzaju utworów lub przedmiotów praw pokrewnych na danym polu </w:t>
      </w:r>
      <w:r w:rsidRPr="00E24274">
        <w:rPr>
          <w:rFonts w:ascii="Times New Roman" w:hAnsi="Times New Roman" w:cs="Times New Roman"/>
        </w:rPr>
        <w:lastRenderedPageBreak/>
        <w:t>eksploatacji posiada więcej niż jedna organizacja na żądanie użytkownika umowę zawierają z nim wszystkie te organizacje działając wspólnie, na podstawie zawartego między sobą porozumienia, stosując jednakowy form</w:t>
      </w:r>
      <w:r w:rsidR="003B0BF7">
        <w:rPr>
          <w:rFonts w:ascii="Times New Roman" w:hAnsi="Times New Roman" w:cs="Times New Roman"/>
        </w:rPr>
        <w:t>at informacji, o których mowa w </w:t>
      </w:r>
      <w:r w:rsidRPr="00E24274">
        <w:rPr>
          <w:rFonts w:ascii="Times New Roman" w:hAnsi="Times New Roman" w:cs="Times New Roman"/>
        </w:rPr>
        <w:t>art. 46 ust. 1 projektowanej ustawy.</w:t>
      </w:r>
    </w:p>
    <w:p w:rsidR="00CA088D" w:rsidRPr="00E24274" w:rsidRDefault="00CA088D" w:rsidP="00E24274">
      <w:pPr>
        <w:pStyle w:val="ARTartustawynprozporzdzenia"/>
        <w:ind w:firstLine="0"/>
        <w:rPr>
          <w:rFonts w:ascii="Times New Roman" w:hAnsi="Times New Roman" w:cs="Times New Roman"/>
        </w:rPr>
      </w:pPr>
      <w:r w:rsidRPr="00E24274">
        <w:rPr>
          <w:rFonts w:ascii="Times New Roman" w:hAnsi="Times New Roman" w:cs="Times New Roman"/>
        </w:rPr>
        <w:t xml:space="preserve">3. Ust. 3 przewiduje wyłączność jednej organizacji na dokonywanie poboru wynagrodzeń za publiczne odtwarzanie przedmiotów praw pokrewnych. Będzie to organizacja wyznaczona w drodze decyzji wydanej z urzędu przez ministra właściwego do spraw kultury i ochrony dziedzictwa narodowego, który, dokonując takiego wyznaczenia, będzie obowiązany uwzględnić </w:t>
      </w:r>
      <w:r w:rsidR="00E24274">
        <w:rPr>
          <w:rFonts w:ascii="Times New Roman" w:hAnsi="Times New Roman" w:cs="Times New Roman"/>
          <w:i/>
        </w:rPr>
        <w:t>„</w:t>
      </w:r>
      <w:r w:rsidRPr="00E24274">
        <w:rPr>
          <w:rFonts w:ascii="Times New Roman" w:hAnsi="Times New Roman" w:cs="Times New Roman"/>
          <w:i/>
        </w:rPr>
        <w:t>konieczność zapewnienia efektywnego poboru wynagrodzeń i ich wypłaty oraz ocenę skuteczności i prawidłowości działania organizacji na polu odtworzeń</w:t>
      </w:r>
      <w:r w:rsidR="00E24274">
        <w:rPr>
          <w:rFonts w:ascii="Times New Roman" w:hAnsi="Times New Roman" w:cs="Times New Roman"/>
          <w:i/>
        </w:rPr>
        <w:t>”</w:t>
      </w:r>
      <w:r w:rsidRPr="00E24274">
        <w:rPr>
          <w:rFonts w:ascii="Times New Roman" w:hAnsi="Times New Roman" w:cs="Times New Roman"/>
        </w:rPr>
        <w:t>. Jest to regulacja będąca rozwinięciem rozwiązania przyjętego w 2010 r. w obowiązującym stanie prawnym, gdzie zgodnie z art. 107</w:t>
      </w:r>
      <w:r w:rsidRPr="00E24274">
        <w:rPr>
          <w:rFonts w:ascii="Times New Roman" w:hAnsi="Times New Roman" w:cs="Times New Roman"/>
          <w:vertAlign w:val="superscript"/>
        </w:rPr>
        <w:t>1</w:t>
      </w:r>
      <w:r w:rsidR="003B0BF7">
        <w:rPr>
          <w:rFonts w:ascii="Times New Roman" w:hAnsi="Times New Roman" w:cs="Times New Roman"/>
        </w:rPr>
        <w:t xml:space="preserve"> pr. </w:t>
      </w:r>
      <w:r w:rsidRPr="00E24274">
        <w:rPr>
          <w:rFonts w:ascii="Times New Roman" w:hAnsi="Times New Roman" w:cs="Times New Roman"/>
        </w:rPr>
        <w:t xml:space="preserve">aut. organizacje zbiorowego zarządzania prawami pokrewnymi zostały zobowiązane do zawarcia porozumienia w celu wspólnego poboru wynagrodzeń na omawianym polu eksploatacji. Z uwagi na fakt, że organizacje okazały się niezdolne do zawarcia takiego porozumienia (w ustawowym terminie 6 miesięcy od prawomocnego zatwierdzenia tabeli wynagrodzeń na polu eksploatacji publiczne odtwarzanie), minister właściwy do spraw kultury i ochrony dziedzictwa narodowego zmuszony był wyznaczyć jedną z tych organizacji w drodze decyzji administracyjnej. Dotychczasowa praktyka dobitnie pokazała, że organizacje zbiorowego zarządzania prawami pokrewnymi nie potrafią się porozumieć co do wspólnego działania w zakresie publicznego odtwarzania, bezcelowe wydaje się zatem powtarzanie od nowa dotychczasowej procedury wyłaniania jednej organizacji. Organizacja taka w przyszłości powinna być od razu wyznaczona w drodze decyzji administracyjnej, przy czym zgodnie </w:t>
      </w:r>
      <w:r w:rsidR="00302854">
        <w:rPr>
          <w:rFonts w:ascii="Times New Roman" w:hAnsi="Times New Roman" w:cs="Times New Roman"/>
        </w:rPr>
        <w:t xml:space="preserve">z </w:t>
      </w:r>
      <w:r w:rsidRPr="00E24274">
        <w:rPr>
          <w:rFonts w:ascii="Times New Roman" w:hAnsi="Times New Roman" w:cs="Times New Roman"/>
        </w:rPr>
        <w:t>przepis</w:t>
      </w:r>
      <w:r w:rsidR="003B0BF7">
        <w:rPr>
          <w:rFonts w:ascii="Times New Roman" w:hAnsi="Times New Roman" w:cs="Times New Roman"/>
        </w:rPr>
        <w:t>em przejściowym zawartym w art. </w:t>
      </w:r>
      <w:r w:rsidRPr="00E24274">
        <w:rPr>
          <w:rFonts w:ascii="Times New Roman" w:hAnsi="Times New Roman" w:cs="Times New Roman"/>
        </w:rPr>
        <w:t>123 projektu obecnie trwające w tej sprawie postępowanie administracyjne, toczące się na podstawie art. 107</w:t>
      </w:r>
      <w:r w:rsidRPr="00E24274">
        <w:rPr>
          <w:rFonts w:ascii="Times New Roman" w:hAnsi="Times New Roman" w:cs="Times New Roman"/>
          <w:vertAlign w:val="superscript"/>
        </w:rPr>
        <w:t>1</w:t>
      </w:r>
      <w:r w:rsidRPr="00E24274">
        <w:rPr>
          <w:rFonts w:ascii="Times New Roman" w:hAnsi="Times New Roman" w:cs="Times New Roman"/>
        </w:rPr>
        <w:t xml:space="preserve"> ust. 3 pr. aut. w aktualnie obowiązującym brzmieniu, jeżeli nie zostanie zakończone do dnia wejścia w życie niniejszej ustawy, będzie się toczyć dalej na podstawie przepisów dotychczasowych.</w:t>
      </w:r>
    </w:p>
    <w:p w:rsidR="00CA088D" w:rsidRPr="00E24274" w:rsidRDefault="00CA088D" w:rsidP="00E24274">
      <w:pPr>
        <w:pStyle w:val="ARTartustawynprozporzdzenia"/>
        <w:ind w:firstLine="0"/>
        <w:rPr>
          <w:rFonts w:ascii="Times New Roman" w:hAnsi="Times New Roman" w:cs="Times New Roman"/>
        </w:rPr>
      </w:pPr>
      <w:r w:rsidRPr="00E24274">
        <w:rPr>
          <w:rFonts w:ascii="Times New Roman" w:hAnsi="Times New Roman" w:cs="Times New Roman"/>
        </w:rPr>
        <w:t>4</w:t>
      </w:r>
      <w:r w:rsidRPr="00E24274" w:rsidDel="00076A22">
        <w:rPr>
          <w:rFonts w:ascii="Times New Roman" w:hAnsi="Times New Roman" w:cs="Times New Roman"/>
        </w:rPr>
        <w:t xml:space="preserve">. </w:t>
      </w:r>
      <w:r w:rsidRPr="00E24274">
        <w:rPr>
          <w:rFonts w:ascii="Times New Roman" w:hAnsi="Times New Roman" w:cs="Times New Roman"/>
        </w:rPr>
        <w:t xml:space="preserve">Zgodnie z ust. 4 omawianego artykułu i zgodnie z zasadą </w:t>
      </w:r>
      <w:r w:rsidR="00E24274">
        <w:rPr>
          <w:rFonts w:ascii="Times New Roman" w:hAnsi="Times New Roman" w:cs="Times New Roman"/>
        </w:rPr>
        <w:t>„</w:t>
      </w:r>
      <w:r w:rsidRPr="00E24274">
        <w:rPr>
          <w:rFonts w:ascii="Times New Roman" w:hAnsi="Times New Roman" w:cs="Times New Roman"/>
        </w:rPr>
        <w:t>jednego okienka</w:t>
      </w:r>
      <w:r w:rsidR="00E24274">
        <w:rPr>
          <w:rFonts w:ascii="Times New Roman" w:hAnsi="Times New Roman" w:cs="Times New Roman"/>
        </w:rPr>
        <w:t>”</w:t>
      </w:r>
      <w:r w:rsidRPr="00E24274">
        <w:rPr>
          <w:rFonts w:ascii="Times New Roman" w:hAnsi="Times New Roman" w:cs="Times New Roman"/>
        </w:rPr>
        <w:t xml:space="preserve"> tak wyznaczona organizacja zawierać będzie umowy </w:t>
      </w:r>
      <w:r w:rsidR="00302854">
        <w:rPr>
          <w:rFonts w:ascii="Times New Roman" w:hAnsi="Times New Roman" w:cs="Times New Roman"/>
        </w:rPr>
        <w:t xml:space="preserve">z </w:t>
      </w:r>
      <w:r w:rsidRPr="00E24274">
        <w:rPr>
          <w:rFonts w:ascii="Times New Roman" w:hAnsi="Times New Roman" w:cs="Times New Roman"/>
        </w:rPr>
        <w:t>uży</w:t>
      </w:r>
      <w:r w:rsidR="003B0BF7">
        <w:rPr>
          <w:rFonts w:ascii="Times New Roman" w:hAnsi="Times New Roman" w:cs="Times New Roman"/>
        </w:rPr>
        <w:t>tkownikiem działając wspólnie z </w:t>
      </w:r>
      <w:r w:rsidRPr="00E24274">
        <w:rPr>
          <w:rFonts w:ascii="Times New Roman" w:hAnsi="Times New Roman" w:cs="Times New Roman"/>
        </w:rPr>
        <w:t>organizacjami zbiorowego zarządzania prawami autorskimi posiadającymi zezwolenie na zbiorowe zarządzanie na polu eksploatacji odtwarzanie, na podstawie porozumienia zawartego przez wszystkie te organizacje.</w:t>
      </w:r>
    </w:p>
    <w:p w:rsidR="00CA088D" w:rsidRPr="00E24274" w:rsidRDefault="00CA088D" w:rsidP="003B0BF7">
      <w:pPr>
        <w:pStyle w:val="ARTartustawynprozporzdzenia"/>
        <w:keepNext/>
        <w:keepLines/>
        <w:ind w:firstLine="0"/>
        <w:rPr>
          <w:rFonts w:ascii="Times New Roman" w:hAnsi="Times New Roman" w:cs="Times New Roman"/>
          <w:b/>
        </w:rPr>
      </w:pPr>
      <w:r w:rsidRPr="00E24274">
        <w:rPr>
          <w:rFonts w:ascii="Times New Roman" w:hAnsi="Times New Roman" w:cs="Times New Roman"/>
          <w:b/>
        </w:rPr>
        <w:lastRenderedPageBreak/>
        <w:t>art. 45</w:t>
      </w:r>
    </w:p>
    <w:p w:rsidR="00CA088D" w:rsidRPr="00E24274" w:rsidRDefault="00CA088D" w:rsidP="003B0BF7">
      <w:pPr>
        <w:pStyle w:val="ARTartustawynprozporzdzenia"/>
        <w:keepNext/>
        <w:keepLines/>
        <w:spacing w:before="0"/>
        <w:ind w:firstLine="0"/>
        <w:rPr>
          <w:rFonts w:ascii="Times New Roman" w:hAnsi="Times New Roman" w:cs="Times New Roman"/>
        </w:rPr>
      </w:pPr>
      <w:r w:rsidRPr="00E24274">
        <w:rPr>
          <w:rFonts w:ascii="Times New Roman" w:hAnsi="Times New Roman" w:cs="Times New Roman"/>
        </w:rPr>
        <w:t>W art. 45 projektowanej ustawy zostaje uregulowane t</w:t>
      </w:r>
      <w:r w:rsidR="003B0BF7">
        <w:rPr>
          <w:rFonts w:ascii="Times New Roman" w:hAnsi="Times New Roman" w:cs="Times New Roman"/>
        </w:rPr>
        <w:t>zw. roszczenie informacyjne – w </w:t>
      </w:r>
      <w:r w:rsidRPr="00E24274">
        <w:rPr>
          <w:rFonts w:ascii="Times New Roman" w:hAnsi="Times New Roman" w:cs="Times New Roman"/>
        </w:rPr>
        <w:t xml:space="preserve">zakresie wykonywanego zbiorowego zarządzania organizacja zbiorowego zarządzania może domagać się od użytkownika udzielenia informacji oraz udostępnienia dokumentów niezbędnych do ustalenia istnienia zobowiązania do zapłaty wynagrodzenia lub opłaty oraz jego wysokości. Konstrukcja przepisu opiera się na obowiązującym brzmieniu art. 105 ust. 2 pr. aut, z tym, że zakres jego zastosowania będzie wyznaczał teraz nie </w:t>
      </w:r>
      <w:r w:rsidR="00E24274">
        <w:rPr>
          <w:rFonts w:ascii="Times New Roman" w:hAnsi="Times New Roman" w:cs="Times New Roman"/>
        </w:rPr>
        <w:t>„</w:t>
      </w:r>
      <w:r w:rsidRPr="00E24274">
        <w:rPr>
          <w:rFonts w:ascii="Times New Roman" w:hAnsi="Times New Roman" w:cs="Times New Roman"/>
        </w:rPr>
        <w:t>zakres działalności organizacji</w:t>
      </w:r>
      <w:r w:rsidR="00E24274">
        <w:rPr>
          <w:rFonts w:ascii="Times New Roman" w:hAnsi="Times New Roman" w:cs="Times New Roman"/>
        </w:rPr>
        <w:t>”</w:t>
      </w:r>
      <w:r w:rsidR="00302854">
        <w:rPr>
          <w:rFonts w:ascii="Times New Roman" w:hAnsi="Times New Roman" w:cs="Times New Roman"/>
        </w:rPr>
        <w:t>,</w:t>
      </w:r>
      <w:r w:rsidRPr="00E24274">
        <w:rPr>
          <w:rFonts w:ascii="Times New Roman" w:hAnsi="Times New Roman" w:cs="Times New Roman"/>
        </w:rPr>
        <w:t xml:space="preserve"> a zakres </w:t>
      </w:r>
      <w:r w:rsidR="00E24274">
        <w:rPr>
          <w:rFonts w:ascii="Times New Roman" w:hAnsi="Times New Roman" w:cs="Times New Roman"/>
        </w:rPr>
        <w:t>„</w:t>
      </w:r>
      <w:r w:rsidRPr="00E24274">
        <w:rPr>
          <w:rFonts w:ascii="Times New Roman" w:hAnsi="Times New Roman" w:cs="Times New Roman"/>
        </w:rPr>
        <w:t>wykonywanego zbiorowego zarządzania</w:t>
      </w:r>
      <w:r w:rsidR="00E24274">
        <w:rPr>
          <w:rFonts w:ascii="Times New Roman" w:hAnsi="Times New Roman" w:cs="Times New Roman"/>
        </w:rPr>
        <w:t>”</w:t>
      </w:r>
      <w:r w:rsidRPr="00E24274">
        <w:rPr>
          <w:rFonts w:ascii="Times New Roman" w:hAnsi="Times New Roman" w:cs="Times New Roman"/>
        </w:rPr>
        <w:t>, co jest bardziej precyzyjnym i bardziej prawidłowym określeniem. Jednocześnie doprecyzowuje się, że adresatem tego roszczenia może być tylko użytkownik, zaś celem nie tylko ustalenie wysokości roszczenia, ale w ogóle samo jego istnienie. Roszczenie informacyjne nie jest przewidziane w przepisach dyrektywy CRM, jest natomiast instytucją dobrze ugruntowaną w polskim prawie autorskim stanowiącą jeden z podstawowych instrumentów umożliwiających organizacjom zbiorowego zarządzania – w sytuacji sporu z użytkownikiem – realizację ich zadań, zwłaszcza w zakresie poboru wynagrodzeń i opłat.</w:t>
      </w:r>
    </w:p>
    <w:p w:rsidR="00CA088D" w:rsidRPr="00E24274" w:rsidRDefault="00CA088D" w:rsidP="00E24274">
      <w:pPr>
        <w:pStyle w:val="ARTartustawynprozporzdzenia"/>
        <w:ind w:firstLine="0"/>
        <w:rPr>
          <w:rFonts w:ascii="Times New Roman" w:hAnsi="Times New Roman" w:cs="Times New Roman"/>
        </w:rPr>
      </w:pPr>
      <w:r w:rsidRPr="00E24274">
        <w:rPr>
          <w:rFonts w:ascii="Times New Roman" w:hAnsi="Times New Roman" w:cs="Times New Roman"/>
          <w:b/>
        </w:rPr>
        <w:t>art. 46</w:t>
      </w:r>
    </w:p>
    <w:p w:rsidR="00CA088D" w:rsidRPr="00E24274" w:rsidRDefault="00CA088D" w:rsidP="003B0BF7">
      <w:pPr>
        <w:pStyle w:val="ARTartustawynprozporzdzenia"/>
        <w:spacing w:before="0"/>
        <w:ind w:firstLine="0"/>
        <w:rPr>
          <w:rFonts w:ascii="Times New Roman" w:hAnsi="Times New Roman" w:cs="Times New Roman"/>
        </w:rPr>
      </w:pPr>
      <w:r w:rsidRPr="00E24274">
        <w:rPr>
          <w:rFonts w:ascii="Times New Roman" w:hAnsi="Times New Roman" w:cs="Times New Roman"/>
        </w:rPr>
        <w:t>1. Art. 46 projektowanej ustawy stanowi implementację art. 17 dyrektywy CRM, który nakazuje przyjęcie przepisów zapewniających</w:t>
      </w:r>
      <w:r w:rsidR="00302854">
        <w:rPr>
          <w:rFonts w:ascii="Times New Roman" w:hAnsi="Times New Roman" w:cs="Times New Roman"/>
        </w:rPr>
        <w:t>,</w:t>
      </w:r>
      <w:r w:rsidRPr="00E24274">
        <w:rPr>
          <w:rFonts w:ascii="Times New Roman" w:hAnsi="Times New Roman" w:cs="Times New Roman"/>
        </w:rPr>
        <w:t xml:space="preserve"> </w:t>
      </w:r>
      <w:r w:rsidR="00E24274">
        <w:rPr>
          <w:rFonts w:ascii="Times New Roman" w:hAnsi="Times New Roman" w:cs="Times New Roman"/>
        </w:rPr>
        <w:t>„</w:t>
      </w:r>
      <w:r w:rsidRPr="00E24274">
        <w:rPr>
          <w:rFonts w:ascii="Times New Roman" w:hAnsi="Times New Roman" w:cs="Times New Roman"/>
          <w:i/>
        </w:rPr>
        <w:t>aby użytkownicy przekazywali organizacji zbiorowego zarządzania w uzgodnionym lub</w:t>
      </w:r>
      <w:r w:rsidR="003B0BF7">
        <w:rPr>
          <w:rFonts w:ascii="Times New Roman" w:hAnsi="Times New Roman" w:cs="Times New Roman"/>
          <w:i/>
        </w:rPr>
        <w:t xml:space="preserve"> wcześniej ustalonym czasie i w </w:t>
      </w:r>
      <w:r w:rsidRPr="00E24274">
        <w:rPr>
          <w:rFonts w:ascii="Times New Roman" w:hAnsi="Times New Roman" w:cs="Times New Roman"/>
          <w:i/>
        </w:rPr>
        <w:t>uzgodnionym lub wcześniej ustalonym formacie będące w ich dyspozycji stosowne informacje na temat wykorzystania praw, które organizacje zbiorowego zarządzania reprezentują, niezbędne do pobrania przychodów z praw oraz podziału i wypłaty podmiotom uprawnionym należnych im kwot</w:t>
      </w:r>
      <w:r w:rsidR="00E24274">
        <w:rPr>
          <w:rFonts w:ascii="Times New Roman" w:hAnsi="Times New Roman" w:cs="Times New Roman"/>
          <w:i/>
        </w:rPr>
        <w:t>”</w:t>
      </w:r>
      <w:r w:rsidRPr="00E24274">
        <w:rPr>
          <w:rFonts w:ascii="Times New Roman" w:hAnsi="Times New Roman" w:cs="Times New Roman"/>
          <w:i/>
        </w:rPr>
        <w:t xml:space="preserve">. </w:t>
      </w:r>
      <w:r w:rsidRPr="00E24274">
        <w:rPr>
          <w:rFonts w:ascii="Times New Roman" w:hAnsi="Times New Roman" w:cs="Times New Roman"/>
        </w:rPr>
        <w:t xml:space="preserve">Zgodnie z dyrektywą CRM organizacje zbiorowego zarządzania i użytkownicy powinni uwzględniać </w:t>
      </w:r>
      <w:r w:rsidR="00E24274">
        <w:rPr>
          <w:rFonts w:ascii="Times New Roman" w:hAnsi="Times New Roman" w:cs="Times New Roman"/>
        </w:rPr>
        <w:t>„</w:t>
      </w:r>
      <w:r w:rsidRPr="00E24274">
        <w:rPr>
          <w:rFonts w:ascii="Times New Roman" w:hAnsi="Times New Roman" w:cs="Times New Roman"/>
        </w:rPr>
        <w:t>w możliwie największym stopniu dobrowolne standardy branżowe</w:t>
      </w:r>
      <w:r w:rsidR="00E24274">
        <w:rPr>
          <w:rFonts w:ascii="Times New Roman" w:hAnsi="Times New Roman" w:cs="Times New Roman"/>
        </w:rPr>
        <w:t>”</w:t>
      </w:r>
      <w:r w:rsidRPr="00E24274">
        <w:rPr>
          <w:rFonts w:ascii="Times New Roman" w:hAnsi="Times New Roman" w:cs="Times New Roman"/>
        </w:rPr>
        <w:t xml:space="preserve">. Zgodnie zatem z art. 46 ust. 1 projektowanej ustawy umowa z użytkownikiem powinna określać zasady udostępniania w określonym czasie i formacie informacji niezbędnych do pobrania przychodów z praw oraz podziału i wypłaty uprawnionym należnych im kwot, w tym informacji dotyczących wykorzystania praw. </w:t>
      </w:r>
    </w:p>
    <w:p w:rsidR="00CA088D" w:rsidRPr="00E24274" w:rsidRDefault="00CA088D" w:rsidP="00E24274">
      <w:pPr>
        <w:pStyle w:val="ARTartustawynprozporzdzenia"/>
        <w:ind w:firstLine="0"/>
        <w:rPr>
          <w:rFonts w:ascii="Times New Roman" w:hAnsi="Times New Roman" w:cs="Times New Roman"/>
          <w:b/>
        </w:rPr>
      </w:pPr>
      <w:r w:rsidRPr="00E24274">
        <w:rPr>
          <w:rFonts w:ascii="Times New Roman" w:hAnsi="Times New Roman" w:cs="Times New Roman"/>
        </w:rPr>
        <w:t>2. W art. 46 ust. 2 projektu przewiduje się możliwość wypowiedzenia przez organizację zbiorowego zarządzania umowy z użytkownikie</w:t>
      </w:r>
      <w:r w:rsidR="003B0BF7">
        <w:rPr>
          <w:rFonts w:ascii="Times New Roman" w:hAnsi="Times New Roman" w:cs="Times New Roman"/>
        </w:rPr>
        <w:t>m ze skutkiem natychmiastowym w </w:t>
      </w:r>
      <w:r w:rsidRPr="00E24274">
        <w:rPr>
          <w:rFonts w:ascii="Times New Roman" w:hAnsi="Times New Roman" w:cs="Times New Roman"/>
        </w:rPr>
        <w:t>przypadku, gdy użytkownik istotnie naru</w:t>
      </w:r>
      <w:r w:rsidR="003B0BF7">
        <w:rPr>
          <w:rFonts w:ascii="Times New Roman" w:hAnsi="Times New Roman" w:cs="Times New Roman"/>
        </w:rPr>
        <w:t xml:space="preserve">sza obowiązek udostępniania </w:t>
      </w:r>
      <w:r w:rsidR="003B0BF7">
        <w:rPr>
          <w:rFonts w:ascii="Times New Roman" w:hAnsi="Times New Roman" w:cs="Times New Roman"/>
        </w:rPr>
        <w:lastRenderedPageBreak/>
        <w:t>ww. </w:t>
      </w:r>
      <w:r w:rsidRPr="00E24274">
        <w:rPr>
          <w:rFonts w:ascii="Times New Roman" w:hAnsi="Times New Roman" w:cs="Times New Roman"/>
        </w:rPr>
        <w:t>informacji. Stanowi to dodatkową ustawową sankcję dla użytkownika w sytuacji, gdy nie wywiązuje on się z obowiązków informacyjnych, uniemożliwiając organizacji pobór należnych uprawnionym przychodów z praw lub ich podział i wypłatę między uprawnionych.</w:t>
      </w:r>
    </w:p>
    <w:p w:rsidR="00CA088D" w:rsidRPr="00E24274" w:rsidRDefault="00CA088D" w:rsidP="00E24274">
      <w:pPr>
        <w:pStyle w:val="ARTartustawynprozporzdzenia"/>
        <w:ind w:firstLine="0"/>
        <w:rPr>
          <w:rFonts w:ascii="Times New Roman" w:hAnsi="Times New Roman" w:cs="Times New Roman"/>
        </w:rPr>
      </w:pPr>
      <w:r w:rsidRPr="00E24274">
        <w:rPr>
          <w:rFonts w:ascii="Times New Roman" w:hAnsi="Times New Roman" w:cs="Times New Roman"/>
          <w:b/>
        </w:rPr>
        <w:t>art. 47</w:t>
      </w:r>
    </w:p>
    <w:p w:rsidR="00CA088D" w:rsidRPr="00E24274" w:rsidRDefault="00CA088D" w:rsidP="003B0BF7">
      <w:pPr>
        <w:pStyle w:val="ARTartustawynprozporzdzenia"/>
        <w:spacing w:before="0"/>
        <w:ind w:firstLine="0"/>
        <w:rPr>
          <w:rFonts w:ascii="Times New Roman" w:hAnsi="Times New Roman" w:cs="Times New Roman"/>
          <w:b/>
        </w:rPr>
      </w:pPr>
      <w:r w:rsidRPr="00E24274">
        <w:rPr>
          <w:rFonts w:ascii="Times New Roman" w:hAnsi="Times New Roman" w:cs="Times New Roman"/>
        </w:rPr>
        <w:t xml:space="preserve">Zgodnie z art. 47 projektu zakres informacji i dokumentów przekazywanych przez użytkownika powinien uwzględniać cel, w jakim mają być przekazywane, ich dostępność dla użytkownika, rozmiar i charakter prowadzonej przez niego działalności, a także odpowiadać, jeżeli to możliwe, standardom branżowym. Klauzula ta służy eliminowaniu sytuacji, w których obowiązki </w:t>
      </w:r>
      <w:r w:rsidR="003B0BF7">
        <w:rPr>
          <w:rFonts w:ascii="Times New Roman" w:hAnsi="Times New Roman" w:cs="Times New Roman"/>
        </w:rPr>
        <w:t>informacyjne byłyby nadmierne w </w:t>
      </w:r>
      <w:r w:rsidRPr="00E24274">
        <w:rPr>
          <w:rFonts w:ascii="Times New Roman" w:hAnsi="Times New Roman" w:cs="Times New Roman"/>
        </w:rPr>
        <w:t>stosunku do potrzeb organizacji zbiorowego zarządzania i celu, w jakim są przekazywane.</w:t>
      </w:r>
    </w:p>
    <w:p w:rsidR="00CA088D" w:rsidRPr="00E24274" w:rsidRDefault="00CA088D" w:rsidP="00E24274">
      <w:pPr>
        <w:pStyle w:val="ARTartustawynprozporzdzenia"/>
        <w:ind w:firstLine="0"/>
        <w:rPr>
          <w:rFonts w:ascii="Times New Roman" w:hAnsi="Times New Roman" w:cs="Times New Roman"/>
        </w:rPr>
      </w:pPr>
      <w:r w:rsidRPr="00E24274">
        <w:rPr>
          <w:rFonts w:ascii="Times New Roman" w:hAnsi="Times New Roman" w:cs="Times New Roman"/>
          <w:b/>
        </w:rPr>
        <w:t>art. 48</w:t>
      </w:r>
    </w:p>
    <w:p w:rsidR="00CA088D" w:rsidRPr="00E24274" w:rsidRDefault="00CA088D" w:rsidP="003B0BF7">
      <w:pPr>
        <w:pStyle w:val="ARTartustawynprozporzdzenia"/>
        <w:spacing w:before="0"/>
        <w:ind w:firstLine="0"/>
        <w:rPr>
          <w:rFonts w:ascii="Times New Roman" w:hAnsi="Times New Roman" w:cs="Times New Roman"/>
        </w:rPr>
      </w:pPr>
      <w:r w:rsidRPr="00E24274">
        <w:rPr>
          <w:rFonts w:ascii="Times New Roman" w:hAnsi="Times New Roman" w:cs="Times New Roman"/>
        </w:rPr>
        <w:t>1. Zgodnie z art. 48 ust. 1 projektowanej ustawy organizacja zbiorowego zarządzania obowiązana jest informować użytkownika o okolicznościach mających znaczenie dla obowiązywania i wykonywania zawartej</w:t>
      </w:r>
      <w:r w:rsidR="003B0BF7">
        <w:rPr>
          <w:rFonts w:ascii="Times New Roman" w:hAnsi="Times New Roman" w:cs="Times New Roman"/>
        </w:rPr>
        <w:t xml:space="preserve"> z nim umowy, w szczególności o </w:t>
      </w:r>
      <w:r w:rsidRPr="00E24274">
        <w:rPr>
          <w:rFonts w:ascii="Times New Roman" w:hAnsi="Times New Roman" w:cs="Times New Roman"/>
        </w:rPr>
        <w:t>wypowiedzeniu umowy o zbiorowe zarządzanie, jego zakresie i terminie jej wygaśnięcia, jeżeli wypowiedzenie takie wpływa na z</w:t>
      </w:r>
      <w:r w:rsidR="003B0BF7">
        <w:rPr>
          <w:rFonts w:ascii="Times New Roman" w:hAnsi="Times New Roman" w:cs="Times New Roman"/>
        </w:rPr>
        <w:t>akres praw objętych tą umową. W </w:t>
      </w:r>
      <w:r w:rsidRPr="00E24274">
        <w:rPr>
          <w:rFonts w:ascii="Times New Roman" w:hAnsi="Times New Roman" w:cs="Times New Roman"/>
        </w:rPr>
        <w:t>obowiązującym stanie prawnym taki obowiązek nie został wyraźnie określony, można natomiast wywodzić go z zasady należytego wykonywania zbiorowego zarządzania czy też ogólnych zasad wykonywania obowiązków kontraktowych. Wypowiedzenie umowy o zbiorowe zarządzanie przez uprawnionego może oddziaływać na zakres repertuaru, który podlega eksploatacji przez użytkownika na podstawie umowy zawartej z organizacją zbiorowego zarządzania, jeżeli eksploatacja ta ma charakter ciągły, a uprawniony, dokonując wypowiedzenia umowy o zbiorowe zarządzanie, nie wyraża zgody na to, aby umowy z użytkownikami obejmujące jego repertuar pozostawały dalej w mocy. Użytkownik powinien być zatem poinformowany o każdej zmianie zakresu repertuaru, jaki może ek</w:t>
      </w:r>
      <w:r w:rsidR="003B0BF7">
        <w:rPr>
          <w:rFonts w:ascii="Times New Roman" w:hAnsi="Times New Roman" w:cs="Times New Roman"/>
        </w:rPr>
        <w:t>sploatować na podstawie umowy z </w:t>
      </w:r>
      <w:r w:rsidRPr="00E24274">
        <w:rPr>
          <w:rFonts w:ascii="Times New Roman" w:hAnsi="Times New Roman" w:cs="Times New Roman"/>
        </w:rPr>
        <w:t xml:space="preserve">organizacją zbiorowego zarządzania, gdyż wykraczając poza ten zakres naraża się na zarzut bezprawnego korzystania. </w:t>
      </w:r>
    </w:p>
    <w:p w:rsidR="00CA088D" w:rsidRPr="00E24274" w:rsidRDefault="00CA088D" w:rsidP="00E24274">
      <w:pPr>
        <w:pStyle w:val="ARTartustawynprozporzdzenia"/>
        <w:ind w:firstLine="0"/>
        <w:rPr>
          <w:rFonts w:ascii="Times New Roman" w:hAnsi="Times New Roman" w:cs="Times New Roman"/>
        </w:rPr>
      </w:pPr>
      <w:r w:rsidRPr="00E24274">
        <w:rPr>
          <w:rFonts w:ascii="Times New Roman" w:hAnsi="Times New Roman" w:cs="Times New Roman"/>
        </w:rPr>
        <w:t xml:space="preserve">2. Zgodnie z ust. 2 omawianego artykułu organizacja zbiorowego zarządzania nie ponosi odpowiedzialności względem użytkownika w przypadku, gdy zawarta z nim </w:t>
      </w:r>
      <w:r w:rsidRPr="00E24274">
        <w:rPr>
          <w:rFonts w:ascii="Times New Roman" w:hAnsi="Times New Roman" w:cs="Times New Roman"/>
        </w:rPr>
        <w:lastRenderedPageBreak/>
        <w:t>umowa przestaje go uprawniać do korzystania z utworów lub przedmiotów praw pokrewnych, w stosunku do których uprawniony wypowiedział umowę o zbiorowe zarządzanie, jeżeli użytkownik został niezwłocznie po</w:t>
      </w:r>
      <w:r w:rsidR="003B0BF7">
        <w:rPr>
          <w:rFonts w:ascii="Times New Roman" w:hAnsi="Times New Roman" w:cs="Times New Roman"/>
        </w:rPr>
        <w:t>informowany przez organizację o </w:t>
      </w:r>
      <w:r w:rsidRPr="00E24274">
        <w:rPr>
          <w:rFonts w:ascii="Times New Roman" w:hAnsi="Times New Roman" w:cs="Times New Roman"/>
        </w:rPr>
        <w:t>wypowiedzeniu przez uprawnionego umowy o zbiorowe zarządzanie i terminie wygaśnięcia tej umowy. W takiej sytuacji użytkownik powinien dążyć do nawiązania relacji umownej bezpośrednio z uprawnionym.</w:t>
      </w:r>
    </w:p>
    <w:p w:rsidR="00CA088D" w:rsidRPr="00E24274" w:rsidRDefault="00CA088D" w:rsidP="00E24274">
      <w:pPr>
        <w:pStyle w:val="ARTartustawynprozporzdzenia"/>
        <w:ind w:firstLine="0"/>
        <w:rPr>
          <w:rFonts w:ascii="Times New Roman" w:hAnsi="Times New Roman" w:cs="Times New Roman"/>
        </w:rPr>
      </w:pPr>
      <w:r w:rsidRPr="00E24274">
        <w:rPr>
          <w:rFonts w:ascii="Times New Roman" w:hAnsi="Times New Roman" w:cs="Times New Roman"/>
          <w:b/>
        </w:rPr>
        <w:t>art. 49</w:t>
      </w:r>
    </w:p>
    <w:p w:rsidR="0023241A" w:rsidRPr="00E24274" w:rsidRDefault="00CA088D" w:rsidP="003B0BF7">
      <w:pPr>
        <w:pStyle w:val="ARTartustawynprozporzdzenia"/>
        <w:spacing w:before="0"/>
        <w:ind w:firstLine="0"/>
        <w:rPr>
          <w:rFonts w:ascii="Times New Roman" w:hAnsi="Times New Roman" w:cs="Times New Roman"/>
        </w:rPr>
      </w:pPr>
      <w:r w:rsidRPr="00E24274">
        <w:rPr>
          <w:rFonts w:ascii="Times New Roman" w:hAnsi="Times New Roman" w:cs="Times New Roman"/>
        </w:rPr>
        <w:t xml:space="preserve">Art. 49 projektowanej ustawy wdraża przepis art. 16 </w:t>
      </w:r>
      <w:r w:rsidR="003B0BF7">
        <w:rPr>
          <w:rFonts w:ascii="Times New Roman" w:hAnsi="Times New Roman" w:cs="Times New Roman"/>
        </w:rPr>
        <w:t>ust. 4 dyrektywy CRM, zgodnie z </w:t>
      </w:r>
      <w:r w:rsidRPr="00E24274">
        <w:rPr>
          <w:rFonts w:ascii="Times New Roman" w:hAnsi="Times New Roman" w:cs="Times New Roman"/>
        </w:rPr>
        <w:t>którym organizacje zbiorowego zarządzania mają umożliwiać użytkownikom komunikację elektroniczną w celach związanych z licencjonowaniem. Każda organizacja zbiorowego zarządzania obowiązana będzie zatem udostępniać środki komunikacji elektronicznej umożliwiające użytkownikom zgłaszanie zamiaru uzyskania licencji, wykonywanie obowiązków informacyjnych, o których mowa w art. 46 ust. 1 projektu ustawy</w:t>
      </w:r>
      <w:r w:rsidR="00302854">
        <w:rPr>
          <w:rFonts w:ascii="Times New Roman" w:hAnsi="Times New Roman" w:cs="Times New Roman"/>
        </w:rPr>
        <w:t>,</w:t>
      </w:r>
      <w:r w:rsidRPr="00E24274">
        <w:rPr>
          <w:rFonts w:ascii="Times New Roman" w:hAnsi="Times New Roman" w:cs="Times New Roman"/>
        </w:rPr>
        <w:t xml:space="preserve"> oraz składanie innych wni</w:t>
      </w:r>
      <w:r w:rsidR="003B0BF7">
        <w:rPr>
          <w:rFonts w:ascii="Times New Roman" w:hAnsi="Times New Roman" w:cs="Times New Roman"/>
        </w:rPr>
        <w:t>osków i oświadczeń związanych z </w:t>
      </w:r>
      <w:r w:rsidRPr="00E24274">
        <w:rPr>
          <w:rFonts w:ascii="Times New Roman" w:hAnsi="Times New Roman" w:cs="Times New Roman"/>
        </w:rPr>
        <w:t>działalnością organizacji lub z zawartą z nią umową. Te środki komunikacji elektronicznej powinny jednak zapewniać utrwalenie, przekazywanie, przechowywanie i zabezpieczenie treści dokonywanych czynności, w tym weryfikację tożsamości użytkowników. Przewiduje się również, w zak</w:t>
      </w:r>
      <w:r w:rsidR="003B0BF7">
        <w:rPr>
          <w:rFonts w:ascii="Times New Roman" w:hAnsi="Times New Roman" w:cs="Times New Roman"/>
        </w:rPr>
        <w:t>resie</w:t>
      </w:r>
      <w:r w:rsidR="00302854">
        <w:rPr>
          <w:rFonts w:ascii="Times New Roman" w:hAnsi="Times New Roman" w:cs="Times New Roman"/>
        </w:rPr>
        <w:t>,</w:t>
      </w:r>
      <w:r w:rsidR="003B0BF7">
        <w:rPr>
          <w:rFonts w:ascii="Times New Roman" w:hAnsi="Times New Roman" w:cs="Times New Roman"/>
        </w:rPr>
        <w:t xml:space="preserve"> w jakim jest to możliwe i </w:t>
      </w:r>
      <w:r w:rsidRPr="00E24274">
        <w:rPr>
          <w:rFonts w:ascii="Times New Roman" w:hAnsi="Times New Roman" w:cs="Times New Roman"/>
        </w:rPr>
        <w:t>uzasadnione, obowiązek stosowania standardów branżowych lub otwartych formatów.</w:t>
      </w:r>
    </w:p>
    <w:p w:rsidR="00D04546" w:rsidRPr="00E24274" w:rsidRDefault="00C85BD6" w:rsidP="003B0BF7">
      <w:pPr>
        <w:pStyle w:val="ROZDZODDZOZNoznaczenierozdziauluboddziau"/>
        <w:spacing w:before="240"/>
        <w:jc w:val="both"/>
        <w:rPr>
          <w:rFonts w:ascii="Times New Roman" w:hAnsi="Times New Roman" w:cs="Times New Roman"/>
          <w:b/>
        </w:rPr>
      </w:pPr>
      <w:r w:rsidRPr="00E24274">
        <w:rPr>
          <w:rFonts w:ascii="Times New Roman" w:hAnsi="Times New Roman" w:cs="Times New Roman"/>
          <w:b/>
        </w:rPr>
        <w:t>I</w:t>
      </w:r>
      <w:r w:rsidR="00D04546" w:rsidRPr="00E24274">
        <w:rPr>
          <w:rFonts w:ascii="Times New Roman" w:hAnsi="Times New Roman" w:cs="Times New Roman"/>
          <w:b/>
        </w:rPr>
        <w:t>I. 6. Rozdział 6. Udzielanie licencji wieloterytorialnych (art. 50–60 projektu)</w:t>
      </w:r>
    </w:p>
    <w:p w:rsidR="00D04546" w:rsidRPr="00E24274" w:rsidRDefault="00D04546" w:rsidP="00E24274">
      <w:pPr>
        <w:pStyle w:val="ROZDZODDZOZNoznaczenierozdziauluboddziau"/>
        <w:jc w:val="both"/>
        <w:outlineLvl w:val="0"/>
        <w:rPr>
          <w:rFonts w:ascii="Times New Roman" w:hAnsi="Times New Roman" w:cs="Times New Roman"/>
        </w:rPr>
      </w:pPr>
      <w:r w:rsidRPr="00E24274">
        <w:rPr>
          <w:rFonts w:ascii="Times New Roman" w:hAnsi="Times New Roman" w:cs="Times New Roman"/>
        </w:rPr>
        <w:t>Dyrektywa CRM w art. 24</w:t>
      </w:r>
      <w:r w:rsidR="00B85D46">
        <w:rPr>
          <w:rFonts w:ascii="Times New Roman" w:hAnsi="Times New Roman" w:cs="Times New Roman"/>
        </w:rPr>
        <w:t>–</w:t>
      </w:r>
      <w:r w:rsidRPr="00E24274">
        <w:rPr>
          <w:rFonts w:ascii="Times New Roman" w:hAnsi="Times New Roman" w:cs="Times New Roman"/>
        </w:rPr>
        <w:t>32 (Tytuł III) formułuje szereg szczegółowych rozwiązań dotyczących zasad udzielania licencji wieloterytorialnych (a więc obejmujących terytorium więcej niż jednego państwa członkowskiego</w:t>
      </w:r>
      <w:r w:rsidR="003B0BF7">
        <w:rPr>
          <w:rFonts w:ascii="Times New Roman" w:hAnsi="Times New Roman" w:cs="Times New Roman"/>
        </w:rPr>
        <w:t xml:space="preserve"> UE) wyłącznie na korzystanie z </w:t>
      </w:r>
      <w:r w:rsidRPr="00E24274">
        <w:rPr>
          <w:rFonts w:ascii="Times New Roman" w:hAnsi="Times New Roman" w:cs="Times New Roman"/>
        </w:rPr>
        <w:t>utworów muzycznych i słowno-muzycznych (a więc dotyczących praw autorskich do tych kategorii dóbr) w zakresie, w jakim są one wymagane do korzystania z tych utworów na potrzeby dostarczania treści c</w:t>
      </w:r>
      <w:r w:rsidR="003B0BF7">
        <w:rPr>
          <w:rFonts w:ascii="Times New Roman" w:hAnsi="Times New Roman" w:cs="Times New Roman"/>
        </w:rPr>
        <w:t>yfrowych drogą elektroniczną. W </w:t>
      </w:r>
      <w:r w:rsidRPr="00E24274">
        <w:rPr>
          <w:rFonts w:ascii="Times New Roman" w:hAnsi="Times New Roman" w:cs="Times New Roman"/>
        </w:rPr>
        <w:t xml:space="preserve">obowiązującym porządku prawnym brak jest w ogóle przepisów, które odnoszą się do kwestii udzielania licencji wieloterytorialnych przez organizacje zbiorowego zarządzania. Ze względu na to, że rozwiązania te, </w:t>
      </w:r>
      <w:r w:rsidR="00302854">
        <w:rPr>
          <w:rFonts w:ascii="Times New Roman" w:hAnsi="Times New Roman" w:cs="Times New Roman"/>
        </w:rPr>
        <w:t>a</w:t>
      </w:r>
      <w:r w:rsidRPr="00E24274">
        <w:rPr>
          <w:rFonts w:ascii="Times New Roman" w:hAnsi="Times New Roman" w:cs="Times New Roman"/>
        </w:rPr>
        <w:t xml:space="preserve">by wywoływać założony transeuropejski skutek, powinny być podobnie uregulowane we wszystkich państwach UE, w tej części projektu zasadne jest w miarę wierne odzwierciedlenie treści dyrektywy. Ewentualne odmienne sformułowania wynikają jedynie z konieczności </w:t>
      </w:r>
      <w:r w:rsidRPr="00E24274">
        <w:rPr>
          <w:rFonts w:ascii="Times New Roman" w:hAnsi="Times New Roman" w:cs="Times New Roman"/>
        </w:rPr>
        <w:lastRenderedPageBreak/>
        <w:t>dostosowania treści art. 24</w:t>
      </w:r>
      <w:r w:rsidR="00B85D46">
        <w:rPr>
          <w:rFonts w:ascii="Times New Roman" w:hAnsi="Times New Roman" w:cs="Times New Roman"/>
        </w:rPr>
        <w:t>–</w:t>
      </w:r>
      <w:r w:rsidRPr="00E24274">
        <w:rPr>
          <w:rFonts w:ascii="Times New Roman" w:hAnsi="Times New Roman" w:cs="Times New Roman"/>
        </w:rPr>
        <w:t>32 dyrektywy CRM do siatki pojęciowej, jaką posługuje się pr. aut. lub służy uproszczeniu tekstu prawnego bez dokonywania w nim istotnych modyfikacji.</w:t>
      </w:r>
    </w:p>
    <w:p w:rsidR="00D04546" w:rsidRPr="00E24274" w:rsidRDefault="00D04546" w:rsidP="00E24274">
      <w:pPr>
        <w:pStyle w:val="ROZDZODDZOZNoznaczenierozdziauluboddziau"/>
        <w:jc w:val="both"/>
        <w:outlineLvl w:val="0"/>
        <w:rPr>
          <w:rFonts w:ascii="Times New Roman" w:hAnsi="Times New Roman" w:cs="Times New Roman"/>
        </w:rPr>
      </w:pPr>
      <w:r w:rsidRPr="00E24274">
        <w:rPr>
          <w:rFonts w:ascii="Times New Roman" w:hAnsi="Times New Roman" w:cs="Times New Roman"/>
        </w:rPr>
        <w:t>Regulacja Tytułu III składa się z trzech zasadniczych części:</w:t>
      </w:r>
    </w:p>
    <w:p w:rsidR="00D04546" w:rsidRPr="00E24274" w:rsidRDefault="00D04546" w:rsidP="003B0BF7">
      <w:pPr>
        <w:pStyle w:val="ROZDZODDZOZNoznaczenierozdziauluboddziau"/>
        <w:numPr>
          <w:ilvl w:val="0"/>
          <w:numId w:val="20"/>
        </w:numPr>
        <w:spacing w:before="0"/>
        <w:ind w:left="346" w:hanging="335"/>
        <w:jc w:val="both"/>
        <w:outlineLvl w:val="0"/>
        <w:rPr>
          <w:rFonts w:ascii="Times New Roman" w:hAnsi="Times New Roman" w:cs="Times New Roman"/>
        </w:rPr>
      </w:pPr>
      <w:r w:rsidRPr="00E24274">
        <w:rPr>
          <w:rFonts w:ascii="Times New Roman" w:hAnsi="Times New Roman" w:cs="Times New Roman"/>
        </w:rPr>
        <w:t xml:space="preserve">artykuły od 24 do 28, które regulują zasady udzielania licencji wieloterytorialnych; </w:t>
      </w:r>
    </w:p>
    <w:p w:rsidR="00D04546" w:rsidRPr="00E24274" w:rsidRDefault="00D04546" w:rsidP="003B0BF7">
      <w:pPr>
        <w:pStyle w:val="ROZDZODDZOZNoznaczenierozdziauluboddziau"/>
        <w:numPr>
          <w:ilvl w:val="0"/>
          <w:numId w:val="20"/>
        </w:numPr>
        <w:spacing w:before="0"/>
        <w:ind w:left="346" w:hanging="335"/>
        <w:jc w:val="both"/>
        <w:outlineLvl w:val="0"/>
        <w:rPr>
          <w:rFonts w:ascii="Times New Roman" w:hAnsi="Times New Roman" w:cs="Times New Roman"/>
        </w:rPr>
      </w:pPr>
      <w:r w:rsidRPr="00E24274">
        <w:rPr>
          <w:rFonts w:ascii="Times New Roman" w:hAnsi="Times New Roman" w:cs="Times New Roman"/>
        </w:rPr>
        <w:t>artykuły od 29 do 31, które regulują podstawowe zasady współpracy między organizacjami, z których jedna udziela licencji wieloterytorialnych w odniesieniu do repertuaru drugiej organizacji nieudzielającej samodzielnie takich licencji;</w:t>
      </w:r>
    </w:p>
    <w:p w:rsidR="00D04546" w:rsidRPr="00E24274" w:rsidRDefault="00D04546" w:rsidP="003B0BF7">
      <w:pPr>
        <w:pStyle w:val="ROZDZODDZOZNoznaczenierozdziauluboddziau"/>
        <w:numPr>
          <w:ilvl w:val="0"/>
          <w:numId w:val="20"/>
        </w:numPr>
        <w:spacing w:before="0"/>
        <w:ind w:left="346" w:hanging="335"/>
        <w:jc w:val="both"/>
        <w:outlineLvl w:val="0"/>
        <w:rPr>
          <w:rFonts w:ascii="Times New Roman" w:hAnsi="Times New Roman" w:cs="Times New Roman"/>
        </w:rPr>
      </w:pPr>
      <w:r w:rsidRPr="00E24274">
        <w:rPr>
          <w:rFonts w:ascii="Times New Roman" w:hAnsi="Times New Roman" w:cs="Times New Roman"/>
        </w:rPr>
        <w:t>artykuły 31 i 32 regulujące zagadnienia o charakterze przejściowym (uzyskanie przez uprawnionych prawa do wypowiedzenia u</w:t>
      </w:r>
      <w:r w:rsidR="003B0BF7">
        <w:rPr>
          <w:rFonts w:ascii="Times New Roman" w:hAnsi="Times New Roman" w:cs="Times New Roman"/>
        </w:rPr>
        <w:t>mowy o zbiorowe zarządzanie w </w:t>
      </w:r>
      <w:r w:rsidRPr="00E24274">
        <w:rPr>
          <w:rFonts w:ascii="Times New Roman" w:hAnsi="Times New Roman" w:cs="Times New Roman"/>
        </w:rPr>
        <w:t>zakresie koniecznym do udzielania licencji wieloterytorialnych) lub wyjątkowym (odstępstwo od zasad udzielania licencji wieloterytorialnych w przypadku organizacji radiowych i telewizyjnych).</w:t>
      </w:r>
      <w:r w:rsidR="00E24274">
        <w:rPr>
          <w:rFonts w:ascii="Times New Roman" w:hAnsi="Times New Roman" w:cs="Times New Roman"/>
        </w:rPr>
        <w:t xml:space="preserve"> </w:t>
      </w:r>
    </w:p>
    <w:p w:rsidR="00D04546" w:rsidRPr="00E24274" w:rsidRDefault="00D04546" w:rsidP="00E24274">
      <w:pPr>
        <w:pStyle w:val="ROZDZODDZOZNoznaczenierozdziauluboddziau"/>
        <w:jc w:val="both"/>
        <w:outlineLvl w:val="0"/>
        <w:rPr>
          <w:rFonts w:ascii="Times New Roman" w:hAnsi="Times New Roman" w:cs="Times New Roman"/>
          <w:b/>
        </w:rPr>
      </w:pPr>
      <w:r w:rsidRPr="00E24274">
        <w:rPr>
          <w:rFonts w:ascii="Times New Roman" w:hAnsi="Times New Roman" w:cs="Times New Roman"/>
          <w:b/>
        </w:rPr>
        <w:t>art. 50</w:t>
      </w:r>
    </w:p>
    <w:p w:rsidR="00D04546" w:rsidRPr="00E24274" w:rsidRDefault="00D04546" w:rsidP="003B0BF7">
      <w:pPr>
        <w:pStyle w:val="ROZDZODDZOZNoznaczenierozdziauluboddziau"/>
        <w:spacing w:before="0"/>
        <w:jc w:val="both"/>
        <w:outlineLvl w:val="0"/>
        <w:rPr>
          <w:rFonts w:ascii="Times New Roman" w:hAnsi="Times New Roman" w:cs="Times New Roman"/>
        </w:rPr>
      </w:pPr>
      <w:r w:rsidRPr="00E24274">
        <w:rPr>
          <w:rFonts w:ascii="Times New Roman" w:hAnsi="Times New Roman" w:cs="Times New Roman"/>
        </w:rPr>
        <w:t>1. Projektowany art. 50 stanowi implementację do k</w:t>
      </w:r>
      <w:r w:rsidR="003B0BF7">
        <w:rPr>
          <w:rFonts w:ascii="Times New Roman" w:hAnsi="Times New Roman" w:cs="Times New Roman"/>
        </w:rPr>
        <w:t>rajowego porządku prawnego art. </w:t>
      </w:r>
      <w:r w:rsidRPr="00E24274">
        <w:rPr>
          <w:rFonts w:ascii="Times New Roman" w:hAnsi="Times New Roman" w:cs="Times New Roman"/>
        </w:rPr>
        <w:t>24 dyrektywy CRM określającego obowiązki organizacji zbiorowego zarządzania</w:t>
      </w:r>
      <w:r w:rsidR="00D54D02" w:rsidRPr="00E24274">
        <w:rPr>
          <w:rFonts w:ascii="Times New Roman" w:hAnsi="Times New Roman" w:cs="Times New Roman"/>
        </w:rPr>
        <w:t xml:space="preserve"> w zakresie, w jakim będzie ona </w:t>
      </w:r>
      <w:r w:rsidRPr="00E24274">
        <w:rPr>
          <w:rFonts w:ascii="Times New Roman" w:hAnsi="Times New Roman" w:cs="Times New Roman"/>
        </w:rPr>
        <w:t xml:space="preserve">udzielać licencji wieloterytorialnych. </w:t>
      </w:r>
    </w:p>
    <w:p w:rsidR="00D04546" w:rsidRPr="00E24274" w:rsidRDefault="00D04546" w:rsidP="00E24274">
      <w:pPr>
        <w:pStyle w:val="ROZDZODDZOZNoznaczenierozdziauluboddziau"/>
        <w:jc w:val="both"/>
        <w:outlineLvl w:val="0"/>
        <w:rPr>
          <w:rFonts w:ascii="Times New Roman" w:hAnsi="Times New Roman" w:cs="Times New Roman"/>
        </w:rPr>
      </w:pPr>
      <w:r w:rsidRPr="00E24274">
        <w:rPr>
          <w:rFonts w:ascii="Times New Roman" w:hAnsi="Times New Roman" w:cs="Times New Roman"/>
        </w:rPr>
        <w:t>2. Zgodnie z pro</w:t>
      </w:r>
      <w:r w:rsidR="00FB16FE" w:rsidRPr="00E24274">
        <w:rPr>
          <w:rFonts w:ascii="Times New Roman" w:hAnsi="Times New Roman" w:cs="Times New Roman"/>
        </w:rPr>
        <w:t>jektowanym art. 50 ust. 1 pkt 1</w:t>
      </w:r>
      <w:r w:rsidR="00B85D46">
        <w:rPr>
          <w:rFonts w:ascii="Times New Roman" w:hAnsi="Times New Roman" w:cs="Times New Roman"/>
        </w:rPr>
        <w:t>–</w:t>
      </w:r>
      <w:r w:rsidR="00FB16FE" w:rsidRPr="00E24274">
        <w:rPr>
          <w:rFonts w:ascii="Times New Roman" w:hAnsi="Times New Roman" w:cs="Times New Roman"/>
        </w:rPr>
        <w:t>4</w:t>
      </w:r>
      <w:r w:rsidRPr="00E24274">
        <w:rPr>
          <w:rFonts w:ascii="Times New Roman" w:hAnsi="Times New Roman" w:cs="Times New Roman"/>
        </w:rPr>
        <w:t xml:space="preserve"> organizacja zbiorowego zar</w:t>
      </w:r>
      <w:r w:rsidR="00D54D02" w:rsidRPr="00E24274">
        <w:rPr>
          <w:rFonts w:ascii="Times New Roman" w:hAnsi="Times New Roman" w:cs="Times New Roman"/>
        </w:rPr>
        <w:t>zą</w:t>
      </w:r>
      <w:r w:rsidRPr="00E24274">
        <w:rPr>
          <w:rFonts w:ascii="Times New Roman" w:hAnsi="Times New Roman" w:cs="Times New Roman"/>
        </w:rPr>
        <w:t>dzania</w:t>
      </w:r>
      <w:r w:rsidR="00FB16FE" w:rsidRPr="00E24274">
        <w:rPr>
          <w:rFonts w:ascii="Times New Roman" w:hAnsi="Times New Roman" w:cs="Times New Roman"/>
        </w:rPr>
        <w:t xml:space="preserve"> w zakresie, w jakim</w:t>
      </w:r>
      <w:r w:rsidRPr="00E24274">
        <w:rPr>
          <w:rFonts w:ascii="Times New Roman" w:hAnsi="Times New Roman" w:cs="Times New Roman"/>
        </w:rPr>
        <w:t xml:space="preserve"> będzie udzielać licencji wieloterytorialnych powinna co najmniej:</w:t>
      </w:r>
    </w:p>
    <w:p w:rsidR="00D04546" w:rsidRPr="00E24274" w:rsidRDefault="00D04546" w:rsidP="003B0BF7">
      <w:pPr>
        <w:pStyle w:val="ROZDZODDZOZNoznaczenierozdziauluboddziau"/>
        <w:numPr>
          <w:ilvl w:val="0"/>
          <w:numId w:val="21"/>
        </w:numPr>
        <w:spacing w:before="0"/>
        <w:ind w:left="323" w:hanging="323"/>
        <w:jc w:val="both"/>
        <w:outlineLvl w:val="0"/>
        <w:rPr>
          <w:rFonts w:ascii="Times New Roman" w:hAnsi="Times New Roman" w:cs="Times New Roman"/>
        </w:rPr>
      </w:pPr>
      <w:r w:rsidRPr="00E24274">
        <w:rPr>
          <w:rFonts w:ascii="Times New Roman" w:hAnsi="Times New Roman" w:cs="Times New Roman"/>
        </w:rPr>
        <w:t>posiadać zdolności poprawnego identyfikowania całości lub części każdego utworu muzycznego i słowno-muzycznego, na korzystanie z którego jest upoważniona do udzielania licencji wieloterytorialnych;</w:t>
      </w:r>
    </w:p>
    <w:p w:rsidR="00D04546" w:rsidRPr="00E24274" w:rsidRDefault="00D04546" w:rsidP="003B0BF7">
      <w:pPr>
        <w:pStyle w:val="ROZDZODDZOZNoznaczenierozdziauluboddziau"/>
        <w:numPr>
          <w:ilvl w:val="0"/>
          <w:numId w:val="21"/>
        </w:numPr>
        <w:spacing w:before="0"/>
        <w:ind w:left="323" w:hanging="323"/>
        <w:jc w:val="both"/>
        <w:outlineLvl w:val="0"/>
        <w:rPr>
          <w:rFonts w:ascii="Times New Roman" w:hAnsi="Times New Roman" w:cs="Times New Roman"/>
        </w:rPr>
      </w:pPr>
      <w:r w:rsidRPr="00E24274">
        <w:rPr>
          <w:rFonts w:ascii="Times New Roman" w:hAnsi="Times New Roman" w:cs="Times New Roman"/>
        </w:rPr>
        <w:t>posiadać zdolności poprawnego identyfikowania uprawnionych do całości lub części każdego licencjonowanego utworu muzycznego i słowno-muzycznego, o których mowa powyżej</w:t>
      </w:r>
      <w:r w:rsidR="00302854">
        <w:rPr>
          <w:rFonts w:ascii="Times New Roman" w:hAnsi="Times New Roman" w:cs="Times New Roman"/>
        </w:rPr>
        <w:t>,</w:t>
      </w:r>
      <w:r w:rsidRPr="00E24274">
        <w:rPr>
          <w:rFonts w:ascii="Times New Roman" w:hAnsi="Times New Roman" w:cs="Times New Roman"/>
        </w:rPr>
        <w:t xml:space="preserve"> na poszczególnych polach eksploatacji w odniesieniu do terytorium każdego z państw objętych licencją; </w:t>
      </w:r>
    </w:p>
    <w:p w:rsidR="00D04546" w:rsidRPr="00E24274" w:rsidRDefault="00D04546" w:rsidP="003B0BF7">
      <w:pPr>
        <w:pStyle w:val="ROZDZODDZOZNoznaczenierozdziauluboddziau"/>
        <w:numPr>
          <w:ilvl w:val="0"/>
          <w:numId w:val="21"/>
        </w:numPr>
        <w:spacing w:before="0"/>
        <w:ind w:left="323" w:hanging="323"/>
        <w:jc w:val="both"/>
        <w:outlineLvl w:val="0"/>
        <w:rPr>
          <w:rFonts w:ascii="Times New Roman" w:hAnsi="Times New Roman" w:cs="Times New Roman"/>
        </w:rPr>
      </w:pPr>
      <w:r w:rsidRPr="00E24274">
        <w:rPr>
          <w:rFonts w:ascii="Times New Roman" w:hAnsi="Times New Roman" w:cs="Times New Roman"/>
        </w:rPr>
        <w:t>stosować niepowtarzalnych identyfikatorów w celu identyfikacji uprawnionych oraz licencjonowanego repertuaru, z uwzględnieniem w możliwie największym stopniu dobrowolnych międzynarodowych lub unijnych standardów i praktyk branżowych</w:t>
      </w:r>
      <w:r w:rsidR="00302854">
        <w:rPr>
          <w:rFonts w:ascii="Times New Roman" w:hAnsi="Times New Roman" w:cs="Times New Roman"/>
        </w:rPr>
        <w:t>;</w:t>
      </w:r>
    </w:p>
    <w:p w:rsidR="00D04546" w:rsidRPr="00E24274" w:rsidRDefault="00D04546" w:rsidP="003B0BF7">
      <w:pPr>
        <w:pStyle w:val="ROZDZODDZOZNoznaczenierozdziauluboddziau"/>
        <w:numPr>
          <w:ilvl w:val="0"/>
          <w:numId w:val="21"/>
        </w:numPr>
        <w:spacing w:before="0"/>
        <w:ind w:left="323" w:hanging="323"/>
        <w:jc w:val="both"/>
        <w:outlineLvl w:val="0"/>
        <w:rPr>
          <w:rFonts w:ascii="Times New Roman" w:hAnsi="Times New Roman" w:cs="Times New Roman"/>
        </w:rPr>
      </w:pPr>
      <w:r w:rsidRPr="00E24274">
        <w:rPr>
          <w:rFonts w:ascii="Times New Roman" w:hAnsi="Times New Roman" w:cs="Times New Roman"/>
        </w:rPr>
        <w:t xml:space="preserve">stosować odpowiednich środków w celu szybkiego i skutecznego identyfikowania oraz usuwania niespójności w </w:t>
      </w:r>
      <w:r w:rsidR="00824B54" w:rsidRPr="00E24274">
        <w:rPr>
          <w:rFonts w:ascii="Times New Roman" w:hAnsi="Times New Roman" w:cs="Times New Roman"/>
        </w:rPr>
        <w:t xml:space="preserve">informacjach </w:t>
      </w:r>
      <w:r w:rsidRPr="00E24274">
        <w:rPr>
          <w:rFonts w:ascii="Times New Roman" w:hAnsi="Times New Roman" w:cs="Times New Roman"/>
        </w:rPr>
        <w:t>posiadanych przez inne organizacje zbiorowego zarządzania, które udzielają licencji wieloterytorialnych.</w:t>
      </w:r>
    </w:p>
    <w:p w:rsidR="00D04546" w:rsidRPr="00E24274" w:rsidRDefault="00D04546" w:rsidP="00E24274">
      <w:pPr>
        <w:pStyle w:val="ROZDZODDZOZNoznaczenierozdziauluboddziau"/>
        <w:jc w:val="both"/>
        <w:outlineLvl w:val="0"/>
        <w:rPr>
          <w:rFonts w:ascii="Times New Roman" w:hAnsi="Times New Roman" w:cs="Times New Roman"/>
        </w:rPr>
      </w:pPr>
      <w:r w:rsidRPr="00E24274">
        <w:rPr>
          <w:rFonts w:ascii="Times New Roman" w:hAnsi="Times New Roman" w:cs="Times New Roman"/>
        </w:rPr>
        <w:lastRenderedPageBreak/>
        <w:t xml:space="preserve">3. Z kolei zgodnie z projektowany art. 50 ust. 2 nakłada </w:t>
      </w:r>
      <w:r w:rsidR="00302854">
        <w:rPr>
          <w:rFonts w:ascii="Times New Roman" w:hAnsi="Times New Roman" w:cs="Times New Roman"/>
        </w:rPr>
        <w:t xml:space="preserve">się </w:t>
      </w:r>
      <w:r w:rsidRPr="00E24274">
        <w:rPr>
          <w:rFonts w:ascii="Times New Roman" w:hAnsi="Times New Roman" w:cs="Times New Roman"/>
        </w:rPr>
        <w:t>na organizacje zbiorowego zarządzania</w:t>
      </w:r>
      <w:r w:rsidR="00824B54" w:rsidRPr="00E24274">
        <w:rPr>
          <w:rFonts w:ascii="Times New Roman" w:hAnsi="Times New Roman" w:cs="Times New Roman"/>
        </w:rPr>
        <w:t xml:space="preserve"> w zakresie, w jakim </w:t>
      </w:r>
      <w:r w:rsidRPr="00E24274">
        <w:rPr>
          <w:rFonts w:ascii="Times New Roman" w:hAnsi="Times New Roman" w:cs="Times New Roman"/>
        </w:rPr>
        <w:t>będ</w:t>
      </w:r>
      <w:r w:rsidR="00824B54" w:rsidRPr="00E24274">
        <w:rPr>
          <w:rFonts w:ascii="Times New Roman" w:hAnsi="Times New Roman" w:cs="Times New Roman"/>
        </w:rPr>
        <w:t>zie</w:t>
      </w:r>
      <w:r w:rsidRPr="00E24274">
        <w:rPr>
          <w:rFonts w:ascii="Times New Roman" w:hAnsi="Times New Roman" w:cs="Times New Roman"/>
        </w:rPr>
        <w:t xml:space="preserve"> udzielać licencji wieloterytorialnych, obowiązek przetwarzania w postaci elektronicznej co najmniej wymienionych w nim </w:t>
      </w:r>
      <w:r w:rsidR="006421A4" w:rsidRPr="00E24274">
        <w:rPr>
          <w:rFonts w:ascii="Times New Roman" w:hAnsi="Times New Roman" w:cs="Times New Roman"/>
        </w:rPr>
        <w:t>informacji</w:t>
      </w:r>
      <w:r w:rsidRPr="00E24274">
        <w:rPr>
          <w:rFonts w:ascii="Times New Roman" w:hAnsi="Times New Roman" w:cs="Times New Roman"/>
        </w:rPr>
        <w:t xml:space="preserve">, w sposób pozwalający na: identyfikowanie repertuaru, monitorowanie jego wykorzystywania, wystawianie faktur użytkownikom, pobieranie przychodów z praw oraz podział i wypłatę przychodów z praw należnych uprawnionym. Powyższe </w:t>
      </w:r>
      <w:r w:rsidR="006421A4" w:rsidRPr="00E24274">
        <w:rPr>
          <w:rFonts w:ascii="Times New Roman" w:hAnsi="Times New Roman" w:cs="Times New Roman"/>
        </w:rPr>
        <w:t>informacje</w:t>
      </w:r>
      <w:r w:rsidRPr="00E24274">
        <w:rPr>
          <w:rFonts w:ascii="Times New Roman" w:hAnsi="Times New Roman" w:cs="Times New Roman"/>
        </w:rPr>
        <w:t>, które będą musiały być przetwarzane elektronicznie przez organizację zbiorowego zarz</w:t>
      </w:r>
      <w:r w:rsidR="00302854">
        <w:rPr>
          <w:rFonts w:ascii="Times New Roman" w:hAnsi="Times New Roman" w:cs="Times New Roman"/>
        </w:rPr>
        <w:t>ą</w:t>
      </w:r>
      <w:r w:rsidRPr="00E24274">
        <w:rPr>
          <w:rFonts w:ascii="Times New Roman" w:hAnsi="Times New Roman" w:cs="Times New Roman"/>
        </w:rPr>
        <w:t xml:space="preserve">dzania stanowią niezbędne minimum. Otwarty charakter katalogu określonego w art. 50 ust. 2 projektu pozwala organizacjom na przetwarzanie elektronicznie również innych </w:t>
      </w:r>
      <w:r w:rsidR="00824B54" w:rsidRPr="00E24274">
        <w:rPr>
          <w:rFonts w:ascii="Times New Roman" w:hAnsi="Times New Roman" w:cs="Times New Roman"/>
        </w:rPr>
        <w:t xml:space="preserve">informacji </w:t>
      </w:r>
      <w:r w:rsidRPr="00E24274">
        <w:rPr>
          <w:rFonts w:ascii="Times New Roman" w:hAnsi="Times New Roman" w:cs="Times New Roman"/>
        </w:rPr>
        <w:t>koniecznych w ich ocenie do sprawnego funkcjonowania systemu licencyjnego.</w:t>
      </w:r>
    </w:p>
    <w:p w:rsidR="00D04546" w:rsidRPr="00E24274" w:rsidRDefault="00D04546" w:rsidP="00E24274">
      <w:pPr>
        <w:pStyle w:val="ROZDZODDZOZNoznaczenierozdziauluboddziau"/>
        <w:jc w:val="both"/>
        <w:outlineLvl w:val="0"/>
        <w:rPr>
          <w:rFonts w:ascii="Times New Roman" w:hAnsi="Times New Roman" w:cs="Times New Roman"/>
          <w:b/>
        </w:rPr>
      </w:pPr>
      <w:r w:rsidRPr="00E24274">
        <w:rPr>
          <w:rFonts w:ascii="Times New Roman" w:hAnsi="Times New Roman" w:cs="Times New Roman"/>
          <w:b/>
        </w:rPr>
        <w:t xml:space="preserve">art. 51 </w:t>
      </w:r>
    </w:p>
    <w:p w:rsidR="00D04546" w:rsidRPr="00E24274" w:rsidRDefault="00D04546" w:rsidP="003B0BF7">
      <w:pPr>
        <w:pStyle w:val="ROZDZODDZOZNoznaczenierozdziauluboddziau"/>
        <w:spacing w:before="0"/>
        <w:jc w:val="both"/>
        <w:outlineLvl w:val="0"/>
        <w:rPr>
          <w:rFonts w:ascii="Times New Roman" w:hAnsi="Times New Roman" w:cs="Times New Roman"/>
        </w:rPr>
      </w:pPr>
      <w:r w:rsidRPr="00E24274">
        <w:rPr>
          <w:rFonts w:ascii="Times New Roman" w:hAnsi="Times New Roman" w:cs="Times New Roman"/>
        </w:rPr>
        <w:t>1. Projektowany art. 51 stanowi implementację do k</w:t>
      </w:r>
      <w:r w:rsidR="003B0BF7">
        <w:rPr>
          <w:rFonts w:ascii="Times New Roman" w:hAnsi="Times New Roman" w:cs="Times New Roman"/>
        </w:rPr>
        <w:t>rajowego porządku prawnego art. </w:t>
      </w:r>
      <w:r w:rsidRPr="00E24274">
        <w:rPr>
          <w:rFonts w:ascii="Times New Roman" w:hAnsi="Times New Roman" w:cs="Times New Roman"/>
        </w:rPr>
        <w:t>25 dyrektywy CRM nakładającego na organizacje zbiorowego zarządzania</w:t>
      </w:r>
      <w:r w:rsidR="00302854">
        <w:rPr>
          <w:rFonts w:ascii="Times New Roman" w:hAnsi="Times New Roman" w:cs="Times New Roman"/>
        </w:rPr>
        <w:t>,</w:t>
      </w:r>
      <w:r w:rsidRPr="00E24274">
        <w:rPr>
          <w:rFonts w:ascii="Times New Roman" w:hAnsi="Times New Roman" w:cs="Times New Roman"/>
        </w:rPr>
        <w:t xml:space="preserve"> </w:t>
      </w:r>
      <w:r w:rsidR="003B0BF7">
        <w:rPr>
          <w:rFonts w:ascii="Times New Roman" w:hAnsi="Times New Roman" w:cs="Times New Roman"/>
        </w:rPr>
        <w:t>w </w:t>
      </w:r>
      <w:r w:rsidR="00824B54" w:rsidRPr="00E24274">
        <w:rPr>
          <w:rFonts w:ascii="Times New Roman" w:hAnsi="Times New Roman" w:cs="Times New Roman"/>
        </w:rPr>
        <w:t>zakresie, w jakim udziela licencji wieloterytorialnych</w:t>
      </w:r>
      <w:r w:rsidR="00302854">
        <w:rPr>
          <w:rFonts w:ascii="Times New Roman" w:hAnsi="Times New Roman" w:cs="Times New Roman"/>
        </w:rPr>
        <w:t>,</w:t>
      </w:r>
      <w:r w:rsidR="00824B54" w:rsidRPr="00E24274">
        <w:rPr>
          <w:rFonts w:ascii="Times New Roman" w:hAnsi="Times New Roman" w:cs="Times New Roman"/>
        </w:rPr>
        <w:t xml:space="preserve"> </w:t>
      </w:r>
      <w:r w:rsidRPr="00E24274">
        <w:rPr>
          <w:rFonts w:ascii="Times New Roman" w:hAnsi="Times New Roman" w:cs="Times New Roman"/>
        </w:rPr>
        <w:t>obowiązek udzielania określonym podmiotom w formie elektronicznej aktualnych informacji na temat repertuaru, które umożliwiają jego identyfikację. Informacje te winny być udzielone na wniosek użytkownikom korzystającym z praw objętych licencjami wieloterytorialnymi, uprawnionym, których prawa organizacja reprezentuje</w:t>
      </w:r>
      <w:r w:rsidR="00302854">
        <w:rPr>
          <w:rFonts w:ascii="Times New Roman" w:hAnsi="Times New Roman" w:cs="Times New Roman"/>
        </w:rPr>
        <w:t>,</w:t>
      </w:r>
      <w:r w:rsidRPr="00E24274">
        <w:rPr>
          <w:rFonts w:ascii="Times New Roman" w:hAnsi="Times New Roman" w:cs="Times New Roman"/>
        </w:rPr>
        <w:t xml:space="preserve"> oraz innym organizacjom zbiorowego zarządzania. Wniosek winien być należycie uzasadniony.</w:t>
      </w:r>
    </w:p>
    <w:p w:rsidR="00D04546" w:rsidRPr="00E24274" w:rsidRDefault="00D04546" w:rsidP="00E24274">
      <w:pPr>
        <w:pStyle w:val="ROZDZODDZOZNoznaczenierozdziauluboddziau"/>
        <w:jc w:val="both"/>
        <w:outlineLvl w:val="0"/>
        <w:rPr>
          <w:rFonts w:ascii="Times New Roman" w:hAnsi="Times New Roman" w:cs="Times New Roman"/>
        </w:rPr>
      </w:pPr>
      <w:r w:rsidRPr="00E24274">
        <w:rPr>
          <w:rFonts w:ascii="Times New Roman" w:hAnsi="Times New Roman" w:cs="Times New Roman"/>
        </w:rPr>
        <w:t xml:space="preserve">2. Projektowany art. 51 ust. 2 enumeratywnie wymienia informacje, jakie musi udostępniać organizacja zbiorowego zarządzania, do której zwrócono się ze stosownym wnioskiem. Informacje te obejmują: licencjonowany repertuar, uprawnionych do każdego licencjonowanego utworu muzycznego i słowno-muzycznego na poszczególnych polach eksploatacji oraz terytoria, na których organizacja może udzielić licencji w odniesieniu do każdego utworu muzycznego </w:t>
      </w:r>
      <w:r w:rsidR="00D54D02" w:rsidRPr="00E24274">
        <w:rPr>
          <w:rFonts w:ascii="Times New Roman" w:hAnsi="Times New Roman" w:cs="Times New Roman"/>
        </w:rPr>
        <w:t xml:space="preserve">i </w:t>
      </w:r>
      <w:r w:rsidRPr="00E24274">
        <w:rPr>
          <w:rFonts w:ascii="Times New Roman" w:hAnsi="Times New Roman" w:cs="Times New Roman"/>
        </w:rPr>
        <w:t xml:space="preserve">słowno-muzycznego. </w:t>
      </w:r>
    </w:p>
    <w:p w:rsidR="00D04546" w:rsidRPr="00E24274" w:rsidRDefault="00D04546" w:rsidP="00E24274">
      <w:pPr>
        <w:pStyle w:val="ROZDZODDZOZNoznaczenierozdziauluboddziau"/>
        <w:jc w:val="both"/>
        <w:outlineLvl w:val="0"/>
        <w:rPr>
          <w:rFonts w:ascii="Times New Roman" w:hAnsi="Times New Roman" w:cs="Times New Roman"/>
        </w:rPr>
      </w:pPr>
      <w:r w:rsidRPr="00E24274">
        <w:rPr>
          <w:rFonts w:ascii="Times New Roman" w:hAnsi="Times New Roman" w:cs="Times New Roman"/>
        </w:rPr>
        <w:t xml:space="preserve">3. Z kolei projektowany art. 51 ust. 3 stanowi implementację do krajowego porządku prawnego art. 25 ust. 2 dyrektywy CRM. Umożliwia on organizacjom zbiorowego zarządzania – przy udzielaniu informacji – stosowanie w razie konieczności uzasadnionych środków służących ochronie poprawności i integralności </w:t>
      </w:r>
      <w:r w:rsidR="006421A4" w:rsidRPr="00E24274">
        <w:rPr>
          <w:rFonts w:ascii="Times New Roman" w:hAnsi="Times New Roman" w:cs="Times New Roman"/>
        </w:rPr>
        <w:t>informacji</w:t>
      </w:r>
      <w:r w:rsidR="003B0BF7">
        <w:rPr>
          <w:rFonts w:ascii="Times New Roman" w:hAnsi="Times New Roman" w:cs="Times New Roman"/>
        </w:rPr>
        <w:t>, o </w:t>
      </w:r>
      <w:r w:rsidRPr="00E24274">
        <w:rPr>
          <w:rFonts w:ascii="Times New Roman" w:hAnsi="Times New Roman" w:cs="Times New Roman"/>
        </w:rPr>
        <w:t>których mowa w ust. 2, kontroli ich dalszego wykorzystywania oraz ochronie tajemnicy przedsiębiorstwa</w:t>
      </w:r>
      <w:r w:rsidR="00D54D02" w:rsidRPr="00E24274">
        <w:rPr>
          <w:rFonts w:ascii="Times New Roman" w:hAnsi="Times New Roman" w:cs="Times New Roman"/>
        </w:rPr>
        <w:t>.</w:t>
      </w:r>
    </w:p>
    <w:p w:rsidR="00D04546" w:rsidRPr="00E24274" w:rsidRDefault="00D04546" w:rsidP="00E24274">
      <w:pPr>
        <w:pStyle w:val="ROZDZODDZOZNoznaczenierozdziauluboddziau"/>
        <w:jc w:val="both"/>
        <w:outlineLvl w:val="0"/>
        <w:rPr>
          <w:rFonts w:ascii="Times New Roman" w:hAnsi="Times New Roman" w:cs="Times New Roman"/>
          <w:b/>
        </w:rPr>
      </w:pPr>
      <w:r w:rsidRPr="00E24274">
        <w:rPr>
          <w:rFonts w:ascii="Times New Roman" w:hAnsi="Times New Roman" w:cs="Times New Roman"/>
          <w:b/>
        </w:rPr>
        <w:lastRenderedPageBreak/>
        <w:t xml:space="preserve">art. 52 </w:t>
      </w:r>
    </w:p>
    <w:p w:rsidR="00D04546" w:rsidRPr="00E24274" w:rsidRDefault="00D04546" w:rsidP="003B0BF7">
      <w:pPr>
        <w:pStyle w:val="ROZDZODDZOZNoznaczenierozdziauluboddziau"/>
        <w:spacing w:before="0"/>
        <w:jc w:val="both"/>
        <w:outlineLvl w:val="0"/>
        <w:rPr>
          <w:rFonts w:ascii="Times New Roman" w:hAnsi="Times New Roman" w:cs="Times New Roman"/>
        </w:rPr>
      </w:pPr>
      <w:r w:rsidRPr="00E24274">
        <w:rPr>
          <w:rFonts w:ascii="Times New Roman" w:hAnsi="Times New Roman" w:cs="Times New Roman"/>
        </w:rPr>
        <w:t>Projektowany art. 52 stanowi implementację do krajowego porządku prawnego art. 26 ust. 1 dyrektywy CRM. Artykuł 26 dyrektywy CRM reguluje zasady służące zapewnieniu poprawności informacji na temat repertuaru, którym zarządza organizacja zbiorowego zarządzania udzielająca licencji wieloterytorialnych. Przepis nakłada na organizacje zbiorowego zarządzania</w:t>
      </w:r>
      <w:r w:rsidR="00302854">
        <w:rPr>
          <w:rFonts w:ascii="Times New Roman" w:hAnsi="Times New Roman" w:cs="Times New Roman"/>
        </w:rPr>
        <w:t>,</w:t>
      </w:r>
      <w:r w:rsidR="00FF70F6" w:rsidRPr="00E24274">
        <w:rPr>
          <w:rFonts w:ascii="Times New Roman" w:hAnsi="Times New Roman" w:cs="Times New Roman"/>
        </w:rPr>
        <w:t xml:space="preserve"> w zakresie, w jakim</w:t>
      </w:r>
      <w:r w:rsidRPr="00E24274">
        <w:rPr>
          <w:rFonts w:ascii="Times New Roman" w:hAnsi="Times New Roman" w:cs="Times New Roman"/>
        </w:rPr>
        <w:t xml:space="preserve"> udziela</w:t>
      </w:r>
      <w:r w:rsidR="00FF70F6" w:rsidRPr="00E24274">
        <w:rPr>
          <w:rFonts w:ascii="Times New Roman" w:hAnsi="Times New Roman" w:cs="Times New Roman"/>
        </w:rPr>
        <w:t>ją one</w:t>
      </w:r>
      <w:r w:rsidRPr="00E24274">
        <w:rPr>
          <w:rFonts w:ascii="Times New Roman" w:hAnsi="Times New Roman" w:cs="Times New Roman"/>
        </w:rPr>
        <w:t xml:space="preserve"> licencji wieloterytorialnych, obowiązek umożliwienia zgłaszania konieczności poprawiania </w:t>
      </w:r>
      <w:r w:rsidR="006421A4" w:rsidRPr="00E24274">
        <w:rPr>
          <w:rFonts w:ascii="Times New Roman" w:hAnsi="Times New Roman" w:cs="Times New Roman"/>
        </w:rPr>
        <w:t>informacji</w:t>
      </w:r>
      <w:r w:rsidRPr="00E24274">
        <w:rPr>
          <w:rFonts w:ascii="Times New Roman" w:hAnsi="Times New Roman" w:cs="Times New Roman"/>
        </w:rPr>
        <w:t xml:space="preserve">, o których mowa w art. 50 ust. 2 </w:t>
      </w:r>
      <w:r w:rsidR="00FF70F6" w:rsidRPr="00E24274">
        <w:rPr>
          <w:rFonts w:ascii="Times New Roman" w:hAnsi="Times New Roman" w:cs="Times New Roman"/>
        </w:rPr>
        <w:t>i</w:t>
      </w:r>
      <w:r w:rsidRPr="00E24274">
        <w:rPr>
          <w:rFonts w:ascii="Times New Roman" w:hAnsi="Times New Roman" w:cs="Times New Roman"/>
        </w:rPr>
        <w:t xml:space="preserve"> art. 51 ust. 2 projektu. Organizacja ma obowiązek stworzyć taką możliwość uprawniony</w:t>
      </w:r>
      <w:r w:rsidR="003B0BF7">
        <w:rPr>
          <w:rFonts w:ascii="Times New Roman" w:hAnsi="Times New Roman" w:cs="Times New Roman"/>
        </w:rPr>
        <w:t>m, użytkownikom korzystającym z </w:t>
      </w:r>
      <w:r w:rsidRPr="00E24274">
        <w:rPr>
          <w:rFonts w:ascii="Times New Roman" w:hAnsi="Times New Roman" w:cs="Times New Roman"/>
        </w:rPr>
        <w:t xml:space="preserve">praw objętych licencjami wieloterytorialnymi oraz innym organizacjom zbiorowego zarządzania. Jeżeli okaże się, że zgłoszenie jest uzasadnione, organizacja zbiorowego zarządzania zobowiązana jest do niezwłocznego poprawienia wskazanych w nim informacji. </w:t>
      </w:r>
    </w:p>
    <w:p w:rsidR="00D04546" w:rsidRPr="00E24274" w:rsidRDefault="00D04546" w:rsidP="00E24274">
      <w:pPr>
        <w:pStyle w:val="ROZDZODDZOZNoznaczenierozdziauluboddziau"/>
        <w:jc w:val="both"/>
        <w:outlineLvl w:val="0"/>
        <w:rPr>
          <w:rFonts w:ascii="Times New Roman" w:hAnsi="Times New Roman" w:cs="Times New Roman"/>
          <w:b/>
        </w:rPr>
      </w:pPr>
      <w:r w:rsidRPr="00E24274">
        <w:rPr>
          <w:rFonts w:ascii="Times New Roman" w:hAnsi="Times New Roman" w:cs="Times New Roman"/>
          <w:b/>
        </w:rPr>
        <w:t xml:space="preserve">art. 53 </w:t>
      </w:r>
    </w:p>
    <w:p w:rsidR="00D04546" w:rsidRPr="00E24274" w:rsidRDefault="00D04546" w:rsidP="003B0BF7">
      <w:pPr>
        <w:pStyle w:val="ROZDZODDZOZNoznaczenierozdziauluboddziau"/>
        <w:spacing w:before="0"/>
        <w:jc w:val="both"/>
        <w:outlineLvl w:val="0"/>
        <w:rPr>
          <w:rFonts w:ascii="Times New Roman" w:hAnsi="Times New Roman" w:cs="Times New Roman"/>
        </w:rPr>
      </w:pPr>
      <w:r w:rsidRPr="00E24274">
        <w:rPr>
          <w:rFonts w:ascii="Times New Roman" w:hAnsi="Times New Roman" w:cs="Times New Roman"/>
        </w:rPr>
        <w:t>1. Projektowany art. 53 stanowi implementację do krajowego porządku prawnego odpowiednio art. 26 ust. 2 i 3 dyrektywy CRM. Przepis ten nakłada na organizacje zbiorowego zarządzania</w:t>
      </w:r>
      <w:r w:rsidR="00302854">
        <w:rPr>
          <w:rFonts w:ascii="Times New Roman" w:hAnsi="Times New Roman" w:cs="Times New Roman"/>
        </w:rPr>
        <w:t>,</w:t>
      </w:r>
      <w:r w:rsidR="00FF70F6" w:rsidRPr="00E24274">
        <w:rPr>
          <w:rFonts w:ascii="Times New Roman" w:hAnsi="Times New Roman" w:cs="Times New Roman"/>
        </w:rPr>
        <w:t xml:space="preserve"> w zakresie, w jakim</w:t>
      </w:r>
      <w:r w:rsidRPr="00E24274">
        <w:rPr>
          <w:rFonts w:ascii="Times New Roman" w:hAnsi="Times New Roman" w:cs="Times New Roman"/>
        </w:rPr>
        <w:t xml:space="preserve"> będą udzielać licencji wieloterytorialnych</w:t>
      </w:r>
      <w:r w:rsidR="00B85D46">
        <w:rPr>
          <w:rFonts w:ascii="Times New Roman" w:hAnsi="Times New Roman" w:cs="Times New Roman"/>
        </w:rPr>
        <w:t xml:space="preserve"> </w:t>
      </w:r>
      <w:r w:rsidRPr="00E24274">
        <w:rPr>
          <w:rFonts w:ascii="Times New Roman" w:hAnsi="Times New Roman" w:cs="Times New Roman"/>
        </w:rPr>
        <w:t xml:space="preserve">– obowiązek umożliwienia uprawnionym przekazywania jej w </w:t>
      </w:r>
      <w:r w:rsidR="005C6774" w:rsidRPr="00E24274">
        <w:rPr>
          <w:rFonts w:ascii="Times New Roman" w:hAnsi="Times New Roman" w:cs="Times New Roman"/>
        </w:rPr>
        <w:t xml:space="preserve">postaci </w:t>
      </w:r>
      <w:r w:rsidRPr="00E24274">
        <w:rPr>
          <w:rFonts w:ascii="Times New Roman" w:hAnsi="Times New Roman" w:cs="Times New Roman"/>
        </w:rPr>
        <w:t xml:space="preserve">elektronicznej informacji dotyczących każdego utworu muzycznego i słowno-muzycznego, poszczególnych pól eksploatacji oraz terytoriach, w stosunku do których organizacja została upoważniona do udzielania licencji wieloterytorialnych. </w:t>
      </w:r>
    </w:p>
    <w:p w:rsidR="00D04546" w:rsidRPr="00E24274" w:rsidRDefault="00D04546" w:rsidP="00E24274">
      <w:pPr>
        <w:pStyle w:val="ROZDZODDZOZNoznaczenierozdziauluboddziau"/>
        <w:jc w:val="both"/>
        <w:outlineLvl w:val="0"/>
        <w:rPr>
          <w:rFonts w:ascii="Times New Roman" w:hAnsi="Times New Roman" w:cs="Times New Roman"/>
        </w:rPr>
      </w:pPr>
      <w:r w:rsidRPr="00E24274">
        <w:rPr>
          <w:rFonts w:ascii="Times New Roman" w:hAnsi="Times New Roman" w:cs="Times New Roman"/>
        </w:rPr>
        <w:t xml:space="preserve">2. Zgodnie z ust. 2 obowiązek ten jest rozszerzony także na repertuar zarządzany przez organizację na podstawie upoważnienia udzielonego przez inną organizację </w:t>
      </w:r>
      <w:r w:rsidR="00302854">
        <w:rPr>
          <w:rFonts w:ascii="Times New Roman" w:hAnsi="Times New Roman" w:cs="Times New Roman"/>
        </w:rPr>
        <w:t>n</w:t>
      </w:r>
      <w:r w:rsidRPr="00E24274">
        <w:rPr>
          <w:rFonts w:ascii="Times New Roman" w:hAnsi="Times New Roman" w:cs="Times New Roman"/>
        </w:rPr>
        <w:t xml:space="preserve">a zasadach określonych w art. 57 i 58 projektu, w odniesieniu do uprawnionych, których utwory wchodzą w skład repertuaru organizacji upoważniającej, chyba że co innego wynikać będzie z umowy między tymi organizacjami. </w:t>
      </w:r>
    </w:p>
    <w:p w:rsidR="00D04546" w:rsidRPr="00E24274" w:rsidRDefault="00D04546" w:rsidP="00E24274">
      <w:pPr>
        <w:pStyle w:val="ROZDZODDZOZNoznaczenierozdziauluboddziau"/>
        <w:jc w:val="both"/>
        <w:outlineLvl w:val="0"/>
        <w:rPr>
          <w:rFonts w:ascii="Times New Roman" w:hAnsi="Times New Roman" w:cs="Times New Roman"/>
          <w:b/>
        </w:rPr>
      </w:pPr>
      <w:r w:rsidRPr="00E24274">
        <w:rPr>
          <w:rFonts w:ascii="Times New Roman" w:hAnsi="Times New Roman" w:cs="Times New Roman"/>
          <w:b/>
        </w:rPr>
        <w:t>art. 54</w:t>
      </w:r>
    </w:p>
    <w:p w:rsidR="00D04546" w:rsidRPr="00E24274" w:rsidRDefault="00D04546" w:rsidP="003B0BF7">
      <w:pPr>
        <w:pStyle w:val="ROZDZODDZOZNoznaczenierozdziauluboddziau"/>
        <w:spacing w:before="0"/>
        <w:jc w:val="both"/>
        <w:outlineLvl w:val="0"/>
        <w:rPr>
          <w:rFonts w:ascii="Times New Roman" w:hAnsi="Times New Roman" w:cs="Times New Roman"/>
        </w:rPr>
      </w:pPr>
      <w:r w:rsidRPr="00E24274">
        <w:rPr>
          <w:rFonts w:ascii="Times New Roman" w:hAnsi="Times New Roman" w:cs="Times New Roman"/>
        </w:rPr>
        <w:t>Projektowany art. 54 stanowi implementację do krajowego porządku prawnego art. 27 ust. 1 i 2 dyrektywy CRM, określającego zasady zgłaszania wykorzystania utworów objętych licencją wieloterytorialną. Ust. 1 projektowanego przepisu nakłada na organizację zbiorowego zarządzania obowiązek monitorowania wykorzystywania utworów objętych licencją wieloterytorialną, które wchodzą w skł</w:t>
      </w:r>
      <w:r w:rsidR="00FF70F6" w:rsidRPr="00E24274">
        <w:rPr>
          <w:rFonts w:ascii="Times New Roman" w:hAnsi="Times New Roman" w:cs="Times New Roman"/>
        </w:rPr>
        <w:t>ad</w:t>
      </w:r>
      <w:r w:rsidRPr="00E24274">
        <w:rPr>
          <w:rFonts w:ascii="Times New Roman" w:hAnsi="Times New Roman" w:cs="Times New Roman"/>
        </w:rPr>
        <w:t xml:space="preserve"> repertuaru</w:t>
      </w:r>
      <w:r w:rsidR="00FF70F6" w:rsidRPr="00E24274">
        <w:rPr>
          <w:rFonts w:ascii="Times New Roman" w:hAnsi="Times New Roman" w:cs="Times New Roman"/>
        </w:rPr>
        <w:t xml:space="preserve"> tej </w:t>
      </w:r>
      <w:r w:rsidR="00FF70F6" w:rsidRPr="00E24274">
        <w:rPr>
          <w:rFonts w:ascii="Times New Roman" w:hAnsi="Times New Roman" w:cs="Times New Roman"/>
        </w:rPr>
        <w:lastRenderedPageBreak/>
        <w:t>organizacji</w:t>
      </w:r>
      <w:r w:rsidRPr="00E24274">
        <w:rPr>
          <w:rFonts w:ascii="Times New Roman" w:hAnsi="Times New Roman" w:cs="Times New Roman"/>
        </w:rPr>
        <w:t>. Z kolei ust. 2 nakłada na użytkowników obowiązek zgłaszania organizacji zbiorowego zarządzania w postaci elektronicznej informacji o faktycznym wykorzystaniu każdego z utworów objętych licencją wieloterytorialną. Umożliwiając realizację tego obowiązku, organizacja winna – zgodnie z projektowanym ust. 3 – zapewnić użytkownikom przynajmniej jeden sposób zgłaszania tego rodzaju informacji, który odpowiada dobrowolnym międzynarodowym lub unijnym standardom branżowym lub przyjętym praktykom w zakresie wymiany tego rodzaju</w:t>
      </w:r>
      <w:r w:rsidR="00E24274">
        <w:rPr>
          <w:rFonts w:ascii="Times New Roman" w:hAnsi="Times New Roman" w:cs="Times New Roman"/>
        </w:rPr>
        <w:t xml:space="preserve"> </w:t>
      </w:r>
      <w:r w:rsidR="00856078" w:rsidRPr="00E24274">
        <w:rPr>
          <w:rFonts w:ascii="Times New Roman" w:hAnsi="Times New Roman" w:cs="Times New Roman"/>
        </w:rPr>
        <w:t>informacji</w:t>
      </w:r>
      <w:r w:rsidRPr="00E24274">
        <w:rPr>
          <w:rFonts w:ascii="Times New Roman" w:hAnsi="Times New Roman" w:cs="Times New Roman"/>
        </w:rPr>
        <w:t>. Organizacja będzie miała przy tym możliwość nieprzyję</w:t>
      </w:r>
      <w:r w:rsidR="003B0BF7">
        <w:rPr>
          <w:rFonts w:ascii="Times New Roman" w:hAnsi="Times New Roman" w:cs="Times New Roman"/>
        </w:rPr>
        <w:t>cia zgłoszeń informacji</w:t>
      </w:r>
      <w:r w:rsidR="00582B25">
        <w:rPr>
          <w:rFonts w:ascii="Times New Roman" w:hAnsi="Times New Roman" w:cs="Times New Roman"/>
        </w:rPr>
        <w:t>,</w:t>
      </w:r>
      <w:r w:rsidR="003B0BF7">
        <w:rPr>
          <w:rFonts w:ascii="Times New Roman" w:hAnsi="Times New Roman" w:cs="Times New Roman"/>
        </w:rPr>
        <w:t xml:space="preserve"> w </w:t>
      </w:r>
      <w:r w:rsidRPr="00E24274">
        <w:rPr>
          <w:rFonts w:ascii="Times New Roman" w:hAnsi="Times New Roman" w:cs="Times New Roman"/>
        </w:rPr>
        <w:t>przypadku gdy jest ono dokonywane przy użyciu zamkniętego formatu, jeżeli umożliwia dokonywanie zgłoszeń przy zastosowaniu standardu branżowego.</w:t>
      </w:r>
    </w:p>
    <w:p w:rsidR="00D04546" w:rsidRPr="00E24274" w:rsidRDefault="00D04546" w:rsidP="00E24274">
      <w:pPr>
        <w:pStyle w:val="ROZDZODDZOZNoznaczenierozdziauluboddziau"/>
        <w:jc w:val="both"/>
        <w:outlineLvl w:val="0"/>
        <w:rPr>
          <w:rFonts w:ascii="Times New Roman" w:hAnsi="Times New Roman" w:cs="Times New Roman"/>
          <w:b/>
        </w:rPr>
      </w:pPr>
      <w:r w:rsidRPr="00E24274">
        <w:rPr>
          <w:rFonts w:ascii="Times New Roman" w:hAnsi="Times New Roman" w:cs="Times New Roman"/>
          <w:b/>
        </w:rPr>
        <w:t>art. 55</w:t>
      </w:r>
    </w:p>
    <w:p w:rsidR="00D04546" w:rsidRPr="00E24274" w:rsidRDefault="00D04546" w:rsidP="003B0BF7">
      <w:pPr>
        <w:pStyle w:val="ROZDZODDZOZNoznaczenierozdziauluboddziau"/>
        <w:spacing w:before="0"/>
        <w:jc w:val="both"/>
        <w:outlineLvl w:val="0"/>
        <w:rPr>
          <w:rFonts w:ascii="Times New Roman" w:hAnsi="Times New Roman" w:cs="Times New Roman"/>
        </w:rPr>
      </w:pPr>
      <w:r w:rsidRPr="00E24274">
        <w:rPr>
          <w:rFonts w:ascii="Times New Roman" w:hAnsi="Times New Roman" w:cs="Times New Roman"/>
        </w:rPr>
        <w:t>1. Przepis stanowi implementację art.</w:t>
      </w:r>
      <w:r w:rsidR="00E24274">
        <w:rPr>
          <w:rFonts w:ascii="Times New Roman" w:hAnsi="Times New Roman" w:cs="Times New Roman"/>
        </w:rPr>
        <w:t xml:space="preserve"> </w:t>
      </w:r>
      <w:r w:rsidRPr="00E24274">
        <w:rPr>
          <w:rFonts w:ascii="Times New Roman" w:hAnsi="Times New Roman" w:cs="Times New Roman"/>
        </w:rPr>
        <w:t>27 ust. 3</w:t>
      </w:r>
      <w:r w:rsidR="00B85D46">
        <w:rPr>
          <w:rFonts w:ascii="Times New Roman" w:hAnsi="Times New Roman" w:cs="Times New Roman"/>
        </w:rPr>
        <w:t>–</w:t>
      </w:r>
      <w:r w:rsidRPr="00E24274">
        <w:rPr>
          <w:rFonts w:ascii="Times New Roman" w:hAnsi="Times New Roman" w:cs="Times New Roman"/>
        </w:rPr>
        <w:t>5 dyrektywy CRM i reguluje zasady wystawiania faktur związanych z korzystaniem z repertuaru na podstawie licencji wieloterytorialnej. Ust. 1 nakłada na organizacje zbiorowego zarządzania</w:t>
      </w:r>
      <w:r w:rsidR="00582B25">
        <w:rPr>
          <w:rFonts w:ascii="Times New Roman" w:hAnsi="Times New Roman" w:cs="Times New Roman"/>
        </w:rPr>
        <w:t>,</w:t>
      </w:r>
      <w:r w:rsidRPr="00E24274">
        <w:rPr>
          <w:rFonts w:ascii="Times New Roman" w:hAnsi="Times New Roman" w:cs="Times New Roman"/>
        </w:rPr>
        <w:t xml:space="preserve"> </w:t>
      </w:r>
      <w:r w:rsidR="003B0BF7">
        <w:rPr>
          <w:rFonts w:ascii="Times New Roman" w:hAnsi="Times New Roman" w:cs="Times New Roman"/>
        </w:rPr>
        <w:t>w zakresie</w:t>
      </w:r>
      <w:r w:rsidR="00582B25">
        <w:rPr>
          <w:rFonts w:ascii="Times New Roman" w:hAnsi="Times New Roman" w:cs="Times New Roman"/>
        </w:rPr>
        <w:t>,</w:t>
      </w:r>
      <w:r w:rsidR="003B0BF7">
        <w:rPr>
          <w:rFonts w:ascii="Times New Roman" w:hAnsi="Times New Roman" w:cs="Times New Roman"/>
        </w:rPr>
        <w:t xml:space="preserve"> w </w:t>
      </w:r>
      <w:r w:rsidR="00FF70F6" w:rsidRPr="00E24274">
        <w:rPr>
          <w:rFonts w:ascii="Times New Roman" w:hAnsi="Times New Roman" w:cs="Times New Roman"/>
        </w:rPr>
        <w:t xml:space="preserve">jakim udziela licencji wieloterytorialnych, </w:t>
      </w:r>
      <w:r w:rsidRPr="00E24274">
        <w:rPr>
          <w:rFonts w:ascii="Times New Roman" w:hAnsi="Times New Roman" w:cs="Times New Roman"/>
        </w:rPr>
        <w:t xml:space="preserve">obowiązek wystawiania użytkownikowi faktury </w:t>
      </w:r>
      <w:r w:rsidR="00FF70F6" w:rsidRPr="00E24274">
        <w:rPr>
          <w:rFonts w:ascii="Times New Roman" w:hAnsi="Times New Roman" w:cs="Times New Roman"/>
        </w:rPr>
        <w:t xml:space="preserve">elektronicznej </w:t>
      </w:r>
      <w:r w:rsidRPr="00E24274">
        <w:rPr>
          <w:rFonts w:ascii="Times New Roman" w:hAnsi="Times New Roman" w:cs="Times New Roman"/>
        </w:rPr>
        <w:t>niezwłocznie po zgłoszeniu przez niego w postaci elektronicznej informacji o faktycznym wykorzystaniu każdego z utworów objętych licencją wieloterytorialną. Organizacja będzie zwolniona z tego obowiązku, jeżeli niezwłoczne wystawienie przez nią faktury nie będzie możliwe z przyczyn leżących po stronie użytkownika.</w:t>
      </w:r>
    </w:p>
    <w:p w:rsidR="00D04546" w:rsidRPr="00E24274" w:rsidRDefault="00D04546" w:rsidP="00E24274">
      <w:pPr>
        <w:pStyle w:val="ROZDZODDZOZNoznaczenierozdziauluboddziau"/>
        <w:jc w:val="both"/>
        <w:outlineLvl w:val="0"/>
        <w:rPr>
          <w:rFonts w:ascii="Times New Roman" w:hAnsi="Times New Roman" w:cs="Times New Roman"/>
        </w:rPr>
      </w:pPr>
      <w:r w:rsidRPr="00E24274">
        <w:rPr>
          <w:rFonts w:ascii="Times New Roman" w:hAnsi="Times New Roman" w:cs="Times New Roman"/>
        </w:rPr>
        <w:t xml:space="preserve">2. Projektowany art. 55 ust. 2 określa, jakie informacje organizacja zbiorowego zarządzania winna umieścić w treści faktury </w:t>
      </w:r>
      <w:r w:rsidR="00FF70F6" w:rsidRPr="00E24274">
        <w:rPr>
          <w:rFonts w:ascii="Times New Roman" w:hAnsi="Times New Roman" w:cs="Times New Roman"/>
        </w:rPr>
        <w:t xml:space="preserve">elektronicznej </w:t>
      </w:r>
      <w:r w:rsidRPr="00E24274">
        <w:rPr>
          <w:rFonts w:ascii="Times New Roman" w:hAnsi="Times New Roman" w:cs="Times New Roman"/>
        </w:rPr>
        <w:t>wystawianej użytkownikowi. W jej treści powinny być wskazane utwory i pola eksploatacji objęte licencją wieloterytorialną oraz faktyczne wykorzystanie tych utworów. Informacje te winny być wytworzone na podstawie danych, o których mowa w art. 50 ust. 1 projektu, w zakresie możliwym ze względu na informacje, o których mowa w art. 54 ust. 2. Ponadto zgodnie z projektowanym art. 55 ust. 2 zd. 2 organizacja zbiorowego zarządzania przy wystawianiu faktur będzie zobowiązana stosować przynajmniej jeden z formatów, które uwzględniają dobrowolne międzynarodowe lub unijne standardy branżowe lub praktyki w tym zakresie. Zgodnie z art. 55 ust. 2 zd. 3 projektu użytkownik nie będzie mógł odmówić przyjęcia faktury z powodu jej formatu, jeżeli organizacja będzie stosowała jeden ze standardów branżowych.</w:t>
      </w:r>
    </w:p>
    <w:p w:rsidR="00D04546" w:rsidRPr="00E24274" w:rsidRDefault="00D04546" w:rsidP="00E24274">
      <w:pPr>
        <w:pStyle w:val="ROZDZODDZOZNoznaczenierozdziauluboddziau"/>
        <w:jc w:val="both"/>
        <w:outlineLvl w:val="0"/>
        <w:rPr>
          <w:rFonts w:ascii="Times New Roman" w:hAnsi="Times New Roman" w:cs="Times New Roman"/>
        </w:rPr>
      </w:pPr>
      <w:r w:rsidRPr="00E24274">
        <w:rPr>
          <w:rFonts w:ascii="Times New Roman" w:hAnsi="Times New Roman" w:cs="Times New Roman"/>
        </w:rPr>
        <w:lastRenderedPageBreak/>
        <w:t>3. Ust. 3, w ślad za art. 27 ust. 5 dyrektywy CRM, nakłada na organizację obowiązek umożliwienia użytkownikom zgłaszania w postaci elektronicznej zastrzeżeń odnoszących się do treści wystawionych faktur dotyczących wykorzystania utworów objętych licencją wieloterytorialną.</w:t>
      </w:r>
    </w:p>
    <w:p w:rsidR="00D04546" w:rsidRPr="00E24274" w:rsidRDefault="00D04546" w:rsidP="00E24274">
      <w:pPr>
        <w:pStyle w:val="ROZDZODDZOZNoznaczenierozdziauluboddziau"/>
        <w:jc w:val="both"/>
        <w:outlineLvl w:val="0"/>
        <w:rPr>
          <w:rFonts w:ascii="Times New Roman" w:hAnsi="Times New Roman" w:cs="Times New Roman"/>
          <w:b/>
        </w:rPr>
      </w:pPr>
      <w:r w:rsidRPr="00E24274">
        <w:rPr>
          <w:rFonts w:ascii="Times New Roman" w:hAnsi="Times New Roman" w:cs="Times New Roman"/>
          <w:b/>
        </w:rPr>
        <w:t>art. 56</w:t>
      </w:r>
    </w:p>
    <w:p w:rsidR="00D04546" w:rsidRPr="00E24274" w:rsidRDefault="00D04546" w:rsidP="003B0BF7">
      <w:pPr>
        <w:pStyle w:val="ROZDZODDZOZNoznaczenierozdziauluboddziau"/>
        <w:spacing w:before="0"/>
        <w:jc w:val="both"/>
        <w:outlineLvl w:val="0"/>
        <w:rPr>
          <w:rFonts w:ascii="Times New Roman" w:hAnsi="Times New Roman" w:cs="Times New Roman"/>
        </w:rPr>
      </w:pPr>
      <w:r w:rsidRPr="00E24274">
        <w:rPr>
          <w:rFonts w:ascii="Times New Roman" w:hAnsi="Times New Roman" w:cs="Times New Roman"/>
        </w:rPr>
        <w:t>1. Projektowany art. 56 stanowi implementację do k</w:t>
      </w:r>
      <w:r w:rsidR="003B0BF7">
        <w:rPr>
          <w:rFonts w:ascii="Times New Roman" w:hAnsi="Times New Roman" w:cs="Times New Roman"/>
        </w:rPr>
        <w:t>rajowego porządku prawnego art. </w:t>
      </w:r>
      <w:r w:rsidRPr="00E24274">
        <w:rPr>
          <w:rFonts w:ascii="Times New Roman" w:hAnsi="Times New Roman" w:cs="Times New Roman"/>
        </w:rPr>
        <w:t>28 dyrektywy CRM określającego zasady dokonywania podziału i wypłaty przychodów z praw należnych uprawnionym, kt</w:t>
      </w:r>
      <w:r w:rsidR="003B0BF7">
        <w:rPr>
          <w:rFonts w:ascii="Times New Roman" w:hAnsi="Times New Roman" w:cs="Times New Roman"/>
        </w:rPr>
        <w:t>órych prawa są wykorzystywane w </w:t>
      </w:r>
      <w:r w:rsidRPr="00E24274">
        <w:rPr>
          <w:rFonts w:ascii="Times New Roman" w:hAnsi="Times New Roman" w:cs="Times New Roman"/>
        </w:rPr>
        <w:t>ramach udzielonej licencji wieloterytorialnej. Powinny być one dokonywane niezwłocznie po zgłoszeniu faktycznego wykorzystania utworu, o ile nie jest to niemożliwe z przyczyn leżących po stronie użytkownika (np. ze względu na nieterminowe przekazanie przez niego danych dotyczących wykorzystania utworu lub niekompletność przekazanych danych uniemożlwiającą dokonanie rozliczeń).</w:t>
      </w:r>
    </w:p>
    <w:p w:rsidR="00D04546" w:rsidRPr="00E24274" w:rsidRDefault="003B0BF7" w:rsidP="00E24274">
      <w:pPr>
        <w:pStyle w:val="ROZDZODDZOZNoznaczenierozdziauluboddziau"/>
        <w:jc w:val="both"/>
        <w:outlineLvl w:val="0"/>
        <w:rPr>
          <w:rFonts w:ascii="Times New Roman" w:hAnsi="Times New Roman" w:cs="Times New Roman"/>
        </w:rPr>
      </w:pPr>
      <w:r>
        <w:rPr>
          <w:rFonts w:ascii="Times New Roman" w:hAnsi="Times New Roman" w:cs="Times New Roman"/>
        </w:rPr>
        <w:t>2. </w:t>
      </w:r>
      <w:r w:rsidR="00D04546" w:rsidRPr="00E24274">
        <w:rPr>
          <w:rFonts w:ascii="Times New Roman" w:hAnsi="Times New Roman" w:cs="Times New Roman"/>
        </w:rPr>
        <w:t>Ust. 2 nakłada na organizacj</w:t>
      </w:r>
      <w:r w:rsidR="00FF70F6" w:rsidRPr="00E24274">
        <w:rPr>
          <w:rFonts w:ascii="Times New Roman" w:hAnsi="Times New Roman" w:cs="Times New Roman"/>
        </w:rPr>
        <w:t>e</w:t>
      </w:r>
      <w:r w:rsidR="00582B25">
        <w:rPr>
          <w:rFonts w:ascii="Times New Roman" w:hAnsi="Times New Roman" w:cs="Times New Roman"/>
        </w:rPr>
        <w:t>,</w:t>
      </w:r>
      <w:r w:rsidR="00E50251" w:rsidRPr="00E24274">
        <w:rPr>
          <w:rFonts w:ascii="Times New Roman" w:hAnsi="Times New Roman" w:cs="Times New Roman"/>
        </w:rPr>
        <w:t xml:space="preserve"> w zakresie, w jakim</w:t>
      </w:r>
      <w:r w:rsidR="00D04546" w:rsidRPr="00E24274">
        <w:rPr>
          <w:rFonts w:ascii="Times New Roman" w:hAnsi="Times New Roman" w:cs="Times New Roman"/>
        </w:rPr>
        <w:t xml:space="preserve"> </w:t>
      </w:r>
      <w:r w:rsidR="00FF70F6" w:rsidRPr="00E24274">
        <w:rPr>
          <w:rFonts w:ascii="Times New Roman" w:hAnsi="Times New Roman" w:cs="Times New Roman"/>
        </w:rPr>
        <w:t xml:space="preserve">udziela licencji wieloterytorialnych, </w:t>
      </w:r>
      <w:r w:rsidR="00D04546" w:rsidRPr="00E24274">
        <w:rPr>
          <w:rFonts w:ascii="Times New Roman" w:hAnsi="Times New Roman" w:cs="Times New Roman"/>
        </w:rPr>
        <w:t>obowiązek udostępniania uprawnionym wraz z każdą dokonaną płatnością informacji określających</w:t>
      </w:r>
      <w:r w:rsidR="005C6774" w:rsidRPr="00E24274">
        <w:rPr>
          <w:rFonts w:ascii="Times New Roman" w:hAnsi="Times New Roman" w:cs="Times New Roman"/>
        </w:rPr>
        <w:t xml:space="preserve"> co najmniej</w:t>
      </w:r>
      <w:r w:rsidR="00D04546" w:rsidRPr="00E24274">
        <w:rPr>
          <w:rFonts w:ascii="Times New Roman" w:hAnsi="Times New Roman" w:cs="Times New Roman"/>
        </w:rPr>
        <w:t xml:space="preserve">: </w:t>
      </w:r>
    </w:p>
    <w:p w:rsidR="00D04546" w:rsidRPr="00E24274" w:rsidRDefault="00D04546" w:rsidP="003B0BF7">
      <w:pPr>
        <w:pStyle w:val="ROZDZODDZOZNoznaczenierozdziauluboddziau"/>
        <w:numPr>
          <w:ilvl w:val="0"/>
          <w:numId w:val="22"/>
        </w:numPr>
        <w:spacing w:before="0"/>
        <w:ind w:left="363" w:hanging="352"/>
        <w:jc w:val="both"/>
        <w:outlineLvl w:val="0"/>
        <w:rPr>
          <w:rFonts w:ascii="Times New Roman" w:hAnsi="Times New Roman" w:cs="Times New Roman"/>
        </w:rPr>
      </w:pPr>
      <w:r w:rsidRPr="00E24274">
        <w:rPr>
          <w:rFonts w:ascii="Times New Roman" w:hAnsi="Times New Roman" w:cs="Times New Roman"/>
        </w:rPr>
        <w:t>okres i terytoria, w odniesieniu do których miało miejsce korzystanie z utworów związane z dokonywaną płatnością;</w:t>
      </w:r>
    </w:p>
    <w:p w:rsidR="00D04546" w:rsidRPr="00E24274" w:rsidRDefault="00D04546" w:rsidP="003B0BF7">
      <w:pPr>
        <w:pStyle w:val="ROZDZODDZOZNoznaczenierozdziauluboddziau"/>
        <w:numPr>
          <w:ilvl w:val="0"/>
          <w:numId w:val="22"/>
        </w:numPr>
        <w:spacing w:before="0"/>
        <w:ind w:left="363" w:hanging="352"/>
        <w:jc w:val="both"/>
        <w:outlineLvl w:val="0"/>
        <w:rPr>
          <w:rFonts w:ascii="Times New Roman" w:hAnsi="Times New Roman" w:cs="Times New Roman"/>
        </w:rPr>
      </w:pPr>
      <w:r w:rsidRPr="00E24274">
        <w:rPr>
          <w:rFonts w:ascii="Times New Roman" w:hAnsi="Times New Roman" w:cs="Times New Roman"/>
        </w:rPr>
        <w:t>wysokość przychodów z praw pobranych, podzielonych i wypłaconych uprawnionym oraz dokonane potrącenia w odniesieniu do:</w:t>
      </w:r>
    </w:p>
    <w:p w:rsidR="00D04546" w:rsidRPr="00E24274" w:rsidRDefault="00D04546" w:rsidP="003B0BF7">
      <w:pPr>
        <w:pStyle w:val="ROZDZODDZOZNoznaczenierozdziauluboddziau"/>
        <w:numPr>
          <w:ilvl w:val="1"/>
          <w:numId w:val="22"/>
        </w:numPr>
        <w:spacing w:before="0"/>
        <w:ind w:left="708" w:hanging="358"/>
        <w:jc w:val="both"/>
        <w:outlineLvl w:val="0"/>
        <w:rPr>
          <w:rFonts w:ascii="Times New Roman" w:hAnsi="Times New Roman" w:cs="Times New Roman"/>
        </w:rPr>
      </w:pPr>
      <w:r w:rsidRPr="00E24274">
        <w:rPr>
          <w:rFonts w:ascii="Times New Roman" w:hAnsi="Times New Roman" w:cs="Times New Roman"/>
        </w:rPr>
        <w:t>każdego utworu lub jego części objętego licencją wieloterytorialną na poszczególnych polach eksploatacji</w:t>
      </w:r>
      <w:r w:rsidR="00582B25">
        <w:rPr>
          <w:rFonts w:ascii="Times New Roman" w:hAnsi="Times New Roman" w:cs="Times New Roman"/>
        </w:rPr>
        <w:t>,</w:t>
      </w:r>
      <w:r w:rsidRPr="00E24274">
        <w:rPr>
          <w:rFonts w:ascii="Times New Roman" w:hAnsi="Times New Roman" w:cs="Times New Roman"/>
        </w:rPr>
        <w:t xml:space="preserve"> </w:t>
      </w:r>
    </w:p>
    <w:p w:rsidR="00D04546" w:rsidRPr="00E24274" w:rsidRDefault="00D04546" w:rsidP="003B0BF7">
      <w:pPr>
        <w:pStyle w:val="ROZDZODDZOZNoznaczenierozdziauluboddziau"/>
        <w:numPr>
          <w:ilvl w:val="1"/>
          <w:numId w:val="22"/>
        </w:numPr>
        <w:spacing w:before="0"/>
        <w:ind w:left="363" w:hanging="13"/>
        <w:jc w:val="both"/>
        <w:outlineLvl w:val="0"/>
        <w:rPr>
          <w:rFonts w:ascii="Times New Roman" w:hAnsi="Times New Roman" w:cs="Times New Roman"/>
        </w:rPr>
      </w:pPr>
      <w:r w:rsidRPr="00E24274">
        <w:rPr>
          <w:rFonts w:ascii="Times New Roman" w:hAnsi="Times New Roman" w:cs="Times New Roman"/>
        </w:rPr>
        <w:t>każdego użytkownika.</w:t>
      </w:r>
    </w:p>
    <w:p w:rsidR="00D04546" w:rsidRPr="00E24274" w:rsidRDefault="00D04546" w:rsidP="00E24274">
      <w:pPr>
        <w:pStyle w:val="ROZDZODDZOZNoznaczenierozdziauluboddziau"/>
        <w:jc w:val="both"/>
        <w:outlineLvl w:val="0"/>
        <w:rPr>
          <w:rFonts w:ascii="Times New Roman" w:hAnsi="Times New Roman" w:cs="Times New Roman"/>
        </w:rPr>
      </w:pPr>
      <w:r w:rsidRPr="00E24274">
        <w:rPr>
          <w:rFonts w:ascii="Times New Roman" w:hAnsi="Times New Roman" w:cs="Times New Roman"/>
        </w:rPr>
        <w:t xml:space="preserve">Tak szczegółowe określenie informacji, które mają być przekazywane uprawnionym, winno służyć przejrzystości działalności organizacji w przypadku udzielania licencji wieloterytorialnych oraz ułatwić uprawnionym weryfikację wypłat dokonywanych na ich rzecz przez organizację z tego tytułu. </w:t>
      </w:r>
    </w:p>
    <w:p w:rsidR="00D04546" w:rsidRPr="00E24274" w:rsidRDefault="00D04546" w:rsidP="00E24274">
      <w:pPr>
        <w:pStyle w:val="ROZDZODDZOZNoznaczenierozdziauluboddziau"/>
        <w:jc w:val="both"/>
        <w:outlineLvl w:val="0"/>
        <w:rPr>
          <w:rFonts w:ascii="Times New Roman" w:hAnsi="Times New Roman" w:cs="Times New Roman"/>
        </w:rPr>
      </w:pPr>
      <w:r w:rsidRPr="00E24274">
        <w:rPr>
          <w:rFonts w:ascii="Times New Roman" w:hAnsi="Times New Roman" w:cs="Times New Roman"/>
        </w:rPr>
        <w:t>3. Ust. 3 nakłada na organizację zbiorowego zarządzania, która będzie udzielała licencji wieloterytorialnych na podstawie upoważnienia udzielonego przez inną organizację, obowiązek niezwłocznego przekazywania upoważni</w:t>
      </w:r>
      <w:r w:rsidR="003B0BF7">
        <w:rPr>
          <w:rFonts w:ascii="Times New Roman" w:hAnsi="Times New Roman" w:cs="Times New Roman"/>
        </w:rPr>
        <w:t>ającej organizacji przychodów z </w:t>
      </w:r>
      <w:r w:rsidRPr="00E24274">
        <w:rPr>
          <w:rFonts w:ascii="Times New Roman" w:hAnsi="Times New Roman" w:cs="Times New Roman"/>
        </w:rPr>
        <w:t>praw, o których mowa w art. 56 ust. 1 projektu</w:t>
      </w:r>
      <w:r w:rsidR="00582B25">
        <w:rPr>
          <w:rFonts w:ascii="Times New Roman" w:hAnsi="Times New Roman" w:cs="Times New Roman"/>
        </w:rPr>
        <w:t>,</w:t>
      </w:r>
      <w:r w:rsidRPr="00E24274">
        <w:rPr>
          <w:rFonts w:ascii="Times New Roman" w:hAnsi="Times New Roman" w:cs="Times New Roman"/>
        </w:rPr>
        <w:t xml:space="preserve"> oraz udostępniania </w:t>
      </w:r>
      <w:r w:rsidR="006F5D48">
        <w:rPr>
          <w:rFonts w:ascii="Times New Roman" w:hAnsi="Times New Roman" w:cs="Times New Roman"/>
        </w:rPr>
        <w:t>informacji, o </w:t>
      </w:r>
      <w:r w:rsidRPr="00E24274">
        <w:rPr>
          <w:rFonts w:ascii="Times New Roman" w:hAnsi="Times New Roman" w:cs="Times New Roman"/>
        </w:rPr>
        <w:t xml:space="preserve">których mowa w art. 56 ust. 2 projektu. Organizacja upoważniająca jest bowiem co do </w:t>
      </w:r>
      <w:r w:rsidRPr="00E24274">
        <w:rPr>
          <w:rFonts w:ascii="Times New Roman" w:hAnsi="Times New Roman" w:cs="Times New Roman"/>
        </w:rPr>
        <w:lastRenderedPageBreak/>
        <w:t>zasady odpowiedzialna za podział i wypłatę powyższych kwot oraz udostępnienie wymienionych informacji uprawnionym, chyba że obie organizacje postanowią inaczej. Organizacje mogą w umowie określić odmiennie rozkład odpowiedzialności z tego tytułu.</w:t>
      </w:r>
    </w:p>
    <w:p w:rsidR="00D04546" w:rsidRPr="00E24274" w:rsidRDefault="00D04546" w:rsidP="00E24274">
      <w:pPr>
        <w:pStyle w:val="ROZDZODDZOZNoznaczenierozdziauluboddziau"/>
        <w:jc w:val="both"/>
        <w:outlineLvl w:val="0"/>
        <w:rPr>
          <w:rFonts w:ascii="Times New Roman" w:hAnsi="Times New Roman" w:cs="Times New Roman"/>
          <w:b/>
        </w:rPr>
      </w:pPr>
      <w:r w:rsidRPr="00E24274">
        <w:rPr>
          <w:rFonts w:ascii="Times New Roman" w:hAnsi="Times New Roman" w:cs="Times New Roman"/>
          <w:b/>
        </w:rPr>
        <w:t>art. 57</w:t>
      </w:r>
    </w:p>
    <w:p w:rsidR="00D04546" w:rsidRPr="00E24274" w:rsidRDefault="00D04546" w:rsidP="006F5D48">
      <w:pPr>
        <w:pStyle w:val="ROZDZODDZOZNoznaczenierozdziauluboddziau"/>
        <w:spacing w:before="0"/>
        <w:jc w:val="both"/>
        <w:outlineLvl w:val="0"/>
        <w:rPr>
          <w:rFonts w:ascii="Times New Roman" w:hAnsi="Times New Roman" w:cs="Times New Roman"/>
        </w:rPr>
      </w:pPr>
      <w:r w:rsidRPr="00E24274">
        <w:rPr>
          <w:rFonts w:ascii="Times New Roman" w:hAnsi="Times New Roman" w:cs="Times New Roman"/>
        </w:rPr>
        <w:t>1. Projektowany art. 57 stanowi implementację do k</w:t>
      </w:r>
      <w:r w:rsidR="006F5D48">
        <w:rPr>
          <w:rFonts w:ascii="Times New Roman" w:hAnsi="Times New Roman" w:cs="Times New Roman"/>
        </w:rPr>
        <w:t>rajowego porządku prawnego art. </w:t>
      </w:r>
      <w:r w:rsidRPr="00E24274">
        <w:rPr>
          <w:rFonts w:ascii="Times New Roman" w:hAnsi="Times New Roman" w:cs="Times New Roman"/>
        </w:rPr>
        <w:t>29 dyrektywy CRM regulującego umowy między organizacjami zbiorowego zarządz</w:t>
      </w:r>
      <w:r w:rsidR="00582B25">
        <w:rPr>
          <w:rFonts w:ascii="Times New Roman" w:hAnsi="Times New Roman" w:cs="Times New Roman"/>
        </w:rPr>
        <w:t>a</w:t>
      </w:r>
      <w:r w:rsidRPr="00E24274">
        <w:rPr>
          <w:rFonts w:ascii="Times New Roman" w:hAnsi="Times New Roman" w:cs="Times New Roman"/>
        </w:rPr>
        <w:t xml:space="preserve">nia dotyczące udzielania licencji wieloterytorialnych. Ust. 1 przesądza, że umowa o reprezentacji upoważniająca do udzielania licencji wieloterytorialnych ma charakter niewyłączny. Z kolei sformułowany w art. 29 ust. 1 zd. 2 nakaz udzielenia licencji wieloterytorialnych na niedyskryminujących zasadach został wdrożony w treści art. </w:t>
      </w:r>
      <w:r w:rsidR="00676E8F" w:rsidRPr="00E24274">
        <w:rPr>
          <w:rFonts w:ascii="Times New Roman" w:hAnsi="Times New Roman" w:cs="Times New Roman"/>
        </w:rPr>
        <w:t xml:space="preserve">41 </w:t>
      </w:r>
      <w:r w:rsidRPr="00E24274">
        <w:rPr>
          <w:rFonts w:ascii="Times New Roman" w:hAnsi="Times New Roman" w:cs="Times New Roman"/>
        </w:rPr>
        <w:t xml:space="preserve">ust. 1 projektu jako odnoszący się </w:t>
      </w:r>
      <w:r w:rsidR="006F5D48">
        <w:rPr>
          <w:rFonts w:ascii="Times New Roman" w:hAnsi="Times New Roman" w:cs="Times New Roman"/>
        </w:rPr>
        <w:t>do udzielenia wszystkich umów z </w:t>
      </w:r>
      <w:r w:rsidRPr="00E24274">
        <w:rPr>
          <w:rFonts w:ascii="Times New Roman" w:hAnsi="Times New Roman" w:cs="Times New Roman"/>
        </w:rPr>
        <w:t>użytkownikami, w tym także licencji wieloterytorialnych.</w:t>
      </w:r>
    </w:p>
    <w:p w:rsidR="00D04546" w:rsidRPr="00E24274" w:rsidRDefault="00D04546" w:rsidP="00E24274">
      <w:pPr>
        <w:pStyle w:val="ROZDZODDZOZNoznaczenierozdziauluboddziau"/>
        <w:jc w:val="both"/>
        <w:outlineLvl w:val="0"/>
        <w:rPr>
          <w:rFonts w:ascii="Times New Roman" w:hAnsi="Times New Roman" w:cs="Times New Roman"/>
        </w:rPr>
      </w:pPr>
      <w:r w:rsidRPr="00E24274">
        <w:rPr>
          <w:rFonts w:ascii="Times New Roman" w:hAnsi="Times New Roman" w:cs="Times New Roman"/>
        </w:rPr>
        <w:t xml:space="preserve">2. Ust. 2 nakłada na organizację upoważniającą obowiązek informowania uprawnionych, z którymi zawarła umowę o zbiorowe zarządzanie, o istotnych warunkach umowy zawartej z organizacją upoważnioną do udzielania licencji wieloterytorialnych dotyczących repertuaru zarządzanego przez organizację upoważniającą. Dotyczy to w szczególności informowania o okresie obowiązywania takiej umowy oraz wysokości kosztów zbiorowego zarządzania ponoszonych przez organizację upoważnioną, w związku z udzielaniem licencji wieloterytorialnych na rzecz organizacji upoważniającej. </w:t>
      </w:r>
    </w:p>
    <w:p w:rsidR="00D04546" w:rsidRPr="00E24274" w:rsidRDefault="00D04546" w:rsidP="00E24274">
      <w:pPr>
        <w:pStyle w:val="ROZDZODDZOZNoznaczenierozdziauluboddziau"/>
        <w:jc w:val="both"/>
        <w:outlineLvl w:val="0"/>
        <w:rPr>
          <w:rFonts w:ascii="Times New Roman" w:hAnsi="Times New Roman" w:cs="Times New Roman"/>
        </w:rPr>
      </w:pPr>
      <w:r w:rsidRPr="00E24274">
        <w:rPr>
          <w:rFonts w:ascii="Times New Roman" w:hAnsi="Times New Roman" w:cs="Times New Roman"/>
        </w:rPr>
        <w:t>3. Projektowany art. 57 ust. 3 reguluje obowiązek organizacji upoważnionej na podstawie umowy do informowania organizacji upoważniającej o istotnych postanowieniach udzielanych przez nią licencji wieloterytorialnych, w szczególności polach eksploatacji oraz terytoriach objętych taką licencją, postanowieniach, które dotyczą wynagrodzeń lub mają na nie wpływ, okresie obowiązywania licencji oraz przyjętych okresach rozliczeniowych.</w:t>
      </w:r>
    </w:p>
    <w:p w:rsidR="00D04546" w:rsidRPr="00E24274" w:rsidRDefault="00D04546" w:rsidP="00E24274">
      <w:pPr>
        <w:pStyle w:val="ROZDZODDZOZNoznaczenierozdziauluboddziau"/>
        <w:jc w:val="both"/>
        <w:outlineLvl w:val="0"/>
        <w:rPr>
          <w:rFonts w:ascii="Times New Roman" w:hAnsi="Times New Roman" w:cs="Times New Roman"/>
          <w:b/>
        </w:rPr>
      </w:pPr>
      <w:r w:rsidRPr="00E24274">
        <w:rPr>
          <w:rFonts w:ascii="Times New Roman" w:hAnsi="Times New Roman" w:cs="Times New Roman"/>
          <w:b/>
        </w:rPr>
        <w:t>art. 58</w:t>
      </w:r>
    </w:p>
    <w:p w:rsidR="00D04546" w:rsidRPr="00E24274" w:rsidRDefault="00D04546" w:rsidP="006F5D48">
      <w:pPr>
        <w:pStyle w:val="ROZDZODDZOZNoznaczenierozdziauluboddziau"/>
        <w:spacing w:before="0"/>
        <w:jc w:val="both"/>
        <w:outlineLvl w:val="0"/>
        <w:rPr>
          <w:rFonts w:ascii="Times New Roman" w:hAnsi="Times New Roman" w:cs="Times New Roman"/>
        </w:rPr>
      </w:pPr>
      <w:r w:rsidRPr="00E24274">
        <w:rPr>
          <w:rFonts w:ascii="Times New Roman" w:hAnsi="Times New Roman" w:cs="Times New Roman"/>
        </w:rPr>
        <w:t>1. Projektowany art. 58 stanowi implementację do krajowego porządku pra</w:t>
      </w:r>
      <w:r w:rsidR="006F5D48">
        <w:rPr>
          <w:rFonts w:ascii="Times New Roman" w:hAnsi="Times New Roman" w:cs="Times New Roman"/>
        </w:rPr>
        <w:t>wnego art. </w:t>
      </w:r>
      <w:r w:rsidRPr="00E24274">
        <w:rPr>
          <w:rFonts w:ascii="Times New Roman" w:hAnsi="Times New Roman" w:cs="Times New Roman"/>
        </w:rPr>
        <w:t xml:space="preserve">30 dyrektywy CRM regulującego obowiązek reprezentowania innych organizacji zbiorowego zarządzania w przypadku licencji wieloterytorialnych. Ust. 1 przesądza, że organizacja zbiorowego zarządzania, która udziela licencji wieloterytorialnych </w:t>
      </w:r>
      <w:r w:rsidRPr="00E24274">
        <w:rPr>
          <w:rFonts w:ascii="Times New Roman" w:hAnsi="Times New Roman" w:cs="Times New Roman"/>
        </w:rPr>
        <w:lastRenderedPageBreak/>
        <w:t>obejmujących repertuar innej org</w:t>
      </w:r>
      <w:r w:rsidR="00F35A55" w:rsidRPr="00E24274">
        <w:rPr>
          <w:rFonts w:ascii="Times New Roman" w:hAnsi="Times New Roman" w:cs="Times New Roman"/>
        </w:rPr>
        <w:t xml:space="preserve">anizacji zbiorowego zarządzania, w tym organizacji </w:t>
      </w:r>
      <w:r w:rsidR="003B7539" w:rsidRPr="00E24274">
        <w:rPr>
          <w:rFonts w:ascii="Times New Roman" w:hAnsi="Times New Roman" w:cs="Times New Roman"/>
        </w:rPr>
        <w:t xml:space="preserve">zagranicznej </w:t>
      </w:r>
      <w:r w:rsidRPr="00E24274">
        <w:rPr>
          <w:rFonts w:ascii="Times New Roman" w:hAnsi="Times New Roman" w:cs="Times New Roman"/>
        </w:rPr>
        <w:t xml:space="preserve">mającej siedzibę w państwie członkowskim unii Europejskiej lub państwie członkowskim Europejskiego Porozumienia o </w:t>
      </w:r>
      <w:r w:rsidR="00F06F70">
        <w:rPr>
          <w:rFonts w:ascii="Times New Roman" w:hAnsi="Times New Roman" w:cs="Times New Roman"/>
        </w:rPr>
        <w:t>W</w:t>
      </w:r>
      <w:r w:rsidRPr="00E24274">
        <w:rPr>
          <w:rFonts w:ascii="Times New Roman" w:hAnsi="Times New Roman" w:cs="Times New Roman"/>
        </w:rPr>
        <w:t xml:space="preserve">olnym </w:t>
      </w:r>
      <w:r w:rsidR="00F06F70">
        <w:rPr>
          <w:rFonts w:ascii="Times New Roman" w:hAnsi="Times New Roman" w:cs="Times New Roman"/>
        </w:rPr>
        <w:t>H</w:t>
      </w:r>
      <w:r w:rsidRPr="00E24274">
        <w:rPr>
          <w:rFonts w:ascii="Times New Roman" w:hAnsi="Times New Roman" w:cs="Times New Roman"/>
        </w:rPr>
        <w:t xml:space="preserve">andlu (EFTA) – strony umowy o Europejskim Obszarze Gospodarczym, nie będzie </w:t>
      </w:r>
      <w:r w:rsidR="006F5D48">
        <w:rPr>
          <w:rFonts w:ascii="Times New Roman" w:hAnsi="Times New Roman" w:cs="Times New Roman"/>
        </w:rPr>
        <w:t>mogła odmówić zawarcia umowy, o </w:t>
      </w:r>
      <w:r w:rsidRPr="00E24274">
        <w:rPr>
          <w:rFonts w:ascii="Times New Roman" w:hAnsi="Times New Roman" w:cs="Times New Roman"/>
        </w:rPr>
        <w:t>której mowa w art. 57 ust. 1 (czyli umowy o reprezentacji upoważniającej do udzielania licencji wieloterytorialnych) z organizacją nieudzielającą takich licencji. Ponadto art. 58 ust. 1 zd. 2 projektu nakłada – zgodnie z art. 30 ust. 2 dyrektywy CRM – na organizację, do której inna organizacja zwróciła się z wnioskiem o zawarcie umowy o reprezentacji upoważniającej do udzielania licencji wieloterytorialnych, obowiązek niezwłocznego udzielania pisemnej odpowiedzi.</w:t>
      </w:r>
    </w:p>
    <w:p w:rsidR="00D04546" w:rsidRPr="00E24274" w:rsidRDefault="00D04546" w:rsidP="00E24274">
      <w:pPr>
        <w:pStyle w:val="ROZDZODDZOZNoznaczenierozdziauluboddziau"/>
        <w:jc w:val="both"/>
        <w:outlineLvl w:val="0"/>
        <w:rPr>
          <w:rFonts w:ascii="Times New Roman" w:hAnsi="Times New Roman" w:cs="Times New Roman"/>
        </w:rPr>
      </w:pPr>
      <w:r w:rsidRPr="00E24274">
        <w:rPr>
          <w:rFonts w:ascii="Times New Roman" w:hAnsi="Times New Roman" w:cs="Times New Roman"/>
        </w:rPr>
        <w:t>2. Ust. 2 stanowi implementację do krajowego porządku prawnego art. 30 ust. 3 dyrektywy CRM. Nakłada na organizację upoważnioną do udzielania licencji wieloterytorialnych obowiązek zarządzania repertuarem organizacji upoważniającej na takich samych warunkach jak</w:t>
      </w:r>
      <w:r w:rsidR="005C6774" w:rsidRPr="00E24274">
        <w:rPr>
          <w:rFonts w:ascii="Times New Roman" w:hAnsi="Times New Roman" w:cs="Times New Roman"/>
        </w:rPr>
        <w:t xml:space="preserve"> repertuarem</w:t>
      </w:r>
      <w:r w:rsidRPr="00E24274">
        <w:rPr>
          <w:rFonts w:ascii="Times New Roman" w:hAnsi="Times New Roman" w:cs="Times New Roman"/>
        </w:rPr>
        <w:t xml:space="preserve"> własnym, w tym oferowania repertuaru organizacji upoważniającej wszystkim użytkownikom zainteresowanym uzyskaniem takiej licencji.</w:t>
      </w:r>
    </w:p>
    <w:p w:rsidR="00D04546" w:rsidRPr="00E24274" w:rsidRDefault="00D04546" w:rsidP="00E24274">
      <w:pPr>
        <w:pStyle w:val="ROZDZODDZOZNoznaczenierozdziauluboddziau"/>
        <w:jc w:val="both"/>
        <w:outlineLvl w:val="0"/>
        <w:rPr>
          <w:rFonts w:ascii="Times New Roman" w:hAnsi="Times New Roman" w:cs="Times New Roman"/>
        </w:rPr>
      </w:pPr>
      <w:r w:rsidRPr="00E24274">
        <w:rPr>
          <w:rFonts w:ascii="Times New Roman" w:hAnsi="Times New Roman" w:cs="Times New Roman"/>
        </w:rPr>
        <w:t xml:space="preserve">3. Ust. </w:t>
      </w:r>
      <w:r w:rsidR="0092053B" w:rsidRPr="00E24274">
        <w:rPr>
          <w:rFonts w:ascii="Times New Roman" w:hAnsi="Times New Roman" w:cs="Times New Roman"/>
        </w:rPr>
        <w:t xml:space="preserve">3 </w:t>
      </w:r>
      <w:r w:rsidRPr="00E24274">
        <w:rPr>
          <w:rFonts w:ascii="Times New Roman" w:hAnsi="Times New Roman" w:cs="Times New Roman"/>
        </w:rPr>
        <w:t>stanowi implementację do krajowego porządku prawnego art. 30 ust. 5 dyrektywy CRM przesądzając, że potrącenia na pokrycie kosztów zbiorowego zarządzania nie będą mogły przekraczać uzasadnionych kosztów poniesionych przez organizację upoważnioną.</w:t>
      </w:r>
    </w:p>
    <w:p w:rsidR="00D04546" w:rsidRPr="00E24274" w:rsidRDefault="00D04546" w:rsidP="00E24274">
      <w:pPr>
        <w:pStyle w:val="ROZDZODDZOZNoznaczenierozdziauluboddziau"/>
        <w:jc w:val="both"/>
        <w:outlineLvl w:val="0"/>
        <w:rPr>
          <w:rFonts w:ascii="Times New Roman" w:hAnsi="Times New Roman" w:cs="Times New Roman"/>
        </w:rPr>
      </w:pPr>
      <w:r w:rsidRPr="00E24274">
        <w:rPr>
          <w:rFonts w:ascii="Times New Roman" w:hAnsi="Times New Roman" w:cs="Times New Roman"/>
        </w:rPr>
        <w:t xml:space="preserve">4. Ust. </w:t>
      </w:r>
      <w:r w:rsidR="0092053B" w:rsidRPr="00E24274">
        <w:rPr>
          <w:rFonts w:ascii="Times New Roman" w:hAnsi="Times New Roman" w:cs="Times New Roman"/>
        </w:rPr>
        <w:t xml:space="preserve">4 </w:t>
      </w:r>
      <w:r w:rsidRPr="00E24274">
        <w:rPr>
          <w:rFonts w:ascii="Times New Roman" w:hAnsi="Times New Roman" w:cs="Times New Roman"/>
        </w:rPr>
        <w:t>nakłada na organizację upoważniającą obowiązek udostępniania organizacji upoważnionej informacji związanych z własnym repertuarem niezbędnych do udzielania licencji wieloterytorialnych. Jeżeli informacje te będą niewystarczające lub zostaną udostępnione w formie uniemożliwiającej udzielenie licencji wieloterytorialnej, organizacja upoważniona uzyska prawo do dokonywania potrąceń dodatkowych uzasadnionych kosztów poniesionych w celu udzielenia powyższej licencji lub będzie mogła wyłączyć z zakresu udzielanej licencji utwory, których dotyczą niewystarczające lub niemożliwe do wykorzystania informacje.</w:t>
      </w:r>
    </w:p>
    <w:p w:rsidR="00D04546" w:rsidRPr="00E24274" w:rsidRDefault="00D04546" w:rsidP="00E24274">
      <w:pPr>
        <w:pStyle w:val="ROZDZODDZOZNoznaczenierozdziauluboddziau"/>
        <w:jc w:val="both"/>
        <w:outlineLvl w:val="0"/>
        <w:rPr>
          <w:rFonts w:ascii="Times New Roman" w:hAnsi="Times New Roman" w:cs="Times New Roman"/>
          <w:b/>
        </w:rPr>
      </w:pPr>
      <w:r w:rsidRPr="00E24274">
        <w:rPr>
          <w:rFonts w:ascii="Times New Roman" w:hAnsi="Times New Roman" w:cs="Times New Roman"/>
          <w:b/>
        </w:rPr>
        <w:t>art. 59</w:t>
      </w:r>
    </w:p>
    <w:p w:rsidR="00D04546" w:rsidRPr="00E24274" w:rsidRDefault="00D04546" w:rsidP="006F5D48">
      <w:pPr>
        <w:pStyle w:val="ROZDZODDZOZNoznaczenierozdziauluboddziau"/>
        <w:spacing w:before="0"/>
        <w:jc w:val="both"/>
        <w:outlineLvl w:val="0"/>
        <w:rPr>
          <w:rFonts w:ascii="Times New Roman" w:hAnsi="Times New Roman" w:cs="Times New Roman"/>
        </w:rPr>
      </w:pPr>
      <w:r w:rsidRPr="00E24274">
        <w:rPr>
          <w:rFonts w:ascii="Times New Roman" w:hAnsi="Times New Roman" w:cs="Times New Roman"/>
        </w:rPr>
        <w:t>Projektowany art. 59 stanowi implementację do krajowego porządku prawnego art. 31 dyrektywy CRM. Przyznaje on uprawnionym</w:t>
      </w:r>
      <w:r w:rsidR="00B07584">
        <w:rPr>
          <w:rFonts w:ascii="Times New Roman" w:hAnsi="Times New Roman" w:cs="Times New Roman"/>
        </w:rPr>
        <w:t xml:space="preserve"> prawo do wypowiedzenia umowy o </w:t>
      </w:r>
      <w:r w:rsidRPr="00E24274">
        <w:rPr>
          <w:rFonts w:ascii="Times New Roman" w:hAnsi="Times New Roman" w:cs="Times New Roman"/>
        </w:rPr>
        <w:t>zbiorowe zarządzanie</w:t>
      </w:r>
      <w:r w:rsidR="005C6774" w:rsidRPr="00E24274">
        <w:rPr>
          <w:rFonts w:ascii="Times New Roman" w:hAnsi="Times New Roman" w:cs="Times New Roman"/>
        </w:rPr>
        <w:t>, ze skutkiem natychmiastowym,</w:t>
      </w:r>
      <w:r w:rsidRPr="00E24274">
        <w:rPr>
          <w:rFonts w:ascii="Times New Roman" w:hAnsi="Times New Roman" w:cs="Times New Roman"/>
        </w:rPr>
        <w:t xml:space="preserve"> w zakresie, w jakim upoważnia </w:t>
      </w:r>
      <w:r w:rsidRPr="00E24274">
        <w:rPr>
          <w:rFonts w:ascii="Times New Roman" w:hAnsi="Times New Roman" w:cs="Times New Roman"/>
        </w:rPr>
        <w:lastRenderedPageBreak/>
        <w:t xml:space="preserve">ona organizację do udzielania licencji wieloterytorialnych, przy czym takie wypowiedzenie nie będzie miało wpływu na upoważnienie organizacji do udzielania licencji obejmujących jedno terytorium. W zakresie wypowiedzianym uprawniony będzie mógł upoważnić inną organizację do udzielania takich licencji. Powyższe uprawnienie powstaje w sytuacji, gdy organizacja, z </w:t>
      </w:r>
      <w:r w:rsidR="00B07584">
        <w:rPr>
          <w:rFonts w:ascii="Times New Roman" w:hAnsi="Times New Roman" w:cs="Times New Roman"/>
        </w:rPr>
        <w:t>którą uprawniony zawarł umowę o </w:t>
      </w:r>
      <w:r w:rsidRPr="00E24274">
        <w:rPr>
          <w:rFonts w:ascii="Times New Roman" w:hAnsi="Times New Roman" w:cs="Times New Roman"/>
        </w:rPr>
        <w:t>zbiorowe zarządzanie, nie będzie udzielać licencji wieloterytorialnych lub nie upoważni innej organizacji do udzielania takich licencji. Uzyskanie takiego uprawnienia</w:t>
      </w:r>
      <w:r w:rsidR="003B7539" w:rsidRPr="00E24274">
        <w:rPr>
          <w:rFonts w:ascii="Times New Roman" w:hAnsi="Times New Roman" w:cs="Times New Roman"/>
        </w:rPr>
        <w:t>, analogicznie do</w:t>
      </w:r>
      <w:r w:rsidRPr="00E24274">
        <w:rPr>
          <w:rFonts w:ascii="Times New Roman" w:hAnsi="Times New Roman" w:cs="Times New Roman"/>
        </w:rPr>
        <w:t xml:space="preserve"> art. 31 dyrektywy CRM</w:t>
      </w:r>
      <w:r w:rsidR="003B7539" w:rsidRPr="00E24274">
        <w:rPr>
          <w:rFonts w:ascii="Times New Roman" w:hAnsi="Times New Roman" w:cs="Times New Roman"/>
        </w:rPr>
        <w:t xml:space="preserve">, </w:t>
      </w:r>
      <w:r w:rsidR="00F35A55" w:rsidRPr="00E24274">
        <w:rPr>
          <w:rFonts w:ascii="Times New Roman" w:hAnsi="Times New Roman" w:cs="Times New Roman"/>
        </w:rPr>
        <w:t>powiązane jest</w:t>
      </w:r>
      <w:r w:rsidRPr="00E24274">
        <w:rPr>
          <w:rFonts w:ascii="Times New Roman" w:hAnsi="Times New Roman" w:cs="Times New Roman"/>
        </w:rPr>
        <w:t xml:space="preserve"> z upływem roku od terminu wyznaczonego państwom członkowskim UE na implementację dyrektywy. </w:t>
      </w:r>
    </w:p>
    <w:p w:rsidR="00D04546" w:rsidRPr="00E24274" w:rsidRDefault="00D04546" w:rsidP="00E24274">
      <w:pPr>
        <w:pStyle w:val="ROZDZODDZOZNoznaczenierozdziauluboddziau"/>
        <w:jc w:val="both"/>
        <w:outlineLvl w:val="0"/>
        <w:rPr>
          <w:rFonts w:ascii="Times New Roman" w:hAnsi="Times New Roman" w:cs="Times New Roman"/>
          <w:b/>
        </w:rPr>
      </w:pPr>
      <w:r w:rsidRPr="00E24274">
        <w:rPr>
          <w:rFonts w:ascii="Times New Roman" w:hAnsi="Times New Roman" w:cs="Times New Roman"/>
          <w:b/>
        </w:rPr>
        <w:t>art. 60</w:t>
      </w:r>
    </w:p>
    <w:p w:rsidR="00D04546" w:rsidRPr="00E24274" w:rsidRDefault="00D04546" w:rsidP="00B07584">
      <w:pPr>
        <w:pStyle w:val="ROZDZODDZOZNoznaczenierozdziauluboddziau"/>
        <w:spacing w:before="0"/>
        <w:jc w:val="both"/>
        <w:outlineLvl w:val="0"/>
        <w:rPr>
          <w:rFonts w:ascii="Times New Roman" w:hAnsi="Times New Roman" w:cs="Times New Roman"/>
        </w:rPr>
      </w:pPr>
      <w:r w:rsidRPr="00E24274">
        <w:rPr>
          <w:rFonts w:ascii="Times New Roman" w:hAnsi="Times New Roman" w:cs="Times New Roman"/>
        </w:rPr>
        <w:t>Projektowany art. 60 stanowi implementację do krajowego porządku prawnego art. 32 dyrektywy CRM formułującego wyjątek od zasad udzielania wieloterytorialnych licencji dotyczący praw do utworów muzycz</w:t>
      </w:r>
      <w:r w:rsidR="00B07584">
        <w:rPr>
          <w:rFonts w:ascii="Times New Roman" w:hAnsi="Times New Roman" w:cs="Times New Roman"/>
        </w:rPr>
        <w:t>nych wykorzystywanych cyfrowo w </w:t>
      </w:r>
      <w:r w:rsidRPr="00E24274">
        <w:rPr>
          <w:rFonts w:ascii="Times New Roman" w:hAnsi="Times New Roman" w:cs="Times New Roman"/>
        </w:rPr>
        <w:t xml:space="preserve">przypadku praw niezbędnych organizacjom radiowym i telewizyjnym. Przepis ten wyłącza stosowanie rozdziału 8 projektu wobec organizacji zbiorowego zarządzania, które udzielają – na zasadzie dobrowolnego łączenia repertuarów zgodnego z zasadami konkurencji na podstawie art. 101 i 102 Traktatu o funkcjonowaniu Unii Europejskiej – licencji wieloterytorialnej niezbędnej organizacji radiowej lub telewizyjnej na potrzeby nadawania własnego programu lub rozpowszechniania go w inny sposób oraz udostępniania w internecie materiałów wytworzonych przez taką organizację, na jej zamówienie lub zlecenie, które stanowią uzupełnienie </w:t>
      </w:r>
      <w:r w:rsidR="0092053B" w:rsidRPr="00E24274">
        <w:rPr>
          <w:rFonts w:ascii="Times New Roman" w:hAnsi="Times New Roman" w:cs="Times New Roman"/>
        </w:rPr>
        <w:t xml:space="preserve">tego </w:t>
      </w:r>
      <w:r w:rsidRPr="00E24274">
        <w:rPr>
          <w:rFonts w:ascii="Times New Roman" w:hAnsi="Times New Roman" w:cs="Times New Roman"/>
        </w:rPr>
        <w:t>programu.</w:t>
      </w:r>
    </w:p>
    <w:p w:rsidR="007824D6" w:rsidRPr="00E24274" w:rsidRDefault="007824D6" w:rsidP="00B07584">
      <w:pPr>
        <w:pStyle w:val="ROZDZODDZOZNoznaczenierozdziauluboddziau"/>
        <w:spacing w:before="240"/>
        <w:jc w:val="left"/>
        <w:outlineLvl w:val="0"/>
        <w:rPr>
          <w:rFonts w:ascii="Times New Roman" w:hAnsi="Times New Roman" w:cs="Times New Roman"/>
          <w:b/>
        </w:rPr>
      </w:pPr>
      <w:r w:rsidRPr="00E24274">
        <w:rPr>
          <w:rFonts w:ascii="Times New Roman" w:hAnsi="Times New Roman" w:cs="Times New Roman"/>
          <w:b/>
        </w:rPr>
        <w:t>II. 7. Rozdział 7. Komisja Prawa Autorskiego (art. 61–83 projektu)</w:t>
      </w:r>
    </w:p>
    <w:p w:rsidR="007824D6" w:rsidRPr="00E24274" w:rsidRDefault="007824D6" w:rsidP="00E24274">
      <w:pPr>
        <w:spacing w:before="120" w:after="0" w:line="360" w:lineRule="auto"/>
        <w:jc w:val="both"/>
        <w:rPr>
          <w:rFonts w:ascii="Times New Roman" w:hAnsi="Times New Roman"/>
          <w:sz w:val="24"/>
          <w:szCs w:val="24"/>
          <w:lang w:eastAsia="pl-PL"/>
        </w:rPr>
      </w:pPr>
      <w:r w:rsidRPr="00E24274">
        <w:rPr>
          <w:rFonts w:ascii="Times New Roman" w:hAnsi="Times New Roman"/>
          <w:sz w:val="24"/>
          <w:szCs w:val="24"/>
          <w:lang w:eastAsia="pl-PL"/>
        </w:rPr>
        <w:t>Aktualnie obowiązujący kształt regulacji dotyczących Komisji Prawa Autorskiego (dalej jako Komisja) jest wynikiem uchwalenia ustawy z dnia 8 lipca 2010 r. o zmianie ustawy o prawie autorskim i prawach pokrewnych or</w:t>
      </w:r>
      <w:r w:rsidR="00B07584">
        <w:rPr>
          <w:rFonts w:ascii="Times New Roman" w:hAnsi="Times New Roman"/>
          <w:sz w:val="24"/>
          <w:szCs w:val="24"/>
          <w:lang w:eastAsia="pl-PL"/>
        </w:rPr>
        <w:t>az ustawy o kosztach sądowych w </w:t>
      </w:r>
      <w:r w:rsidRPr="00E24274">
        <w:rPr>
          <w:rFonts w:ascii="Times New Roman" w:hAnsi="Times New Roman"/>
          <w:sz w:val="24"/>
          <w:szCs w:val="24"/>
          <w:lang w:eastAsia="pl-PL"/>
        </w:rPr>
        <w:t xml:space="preserve">sprawach cywilnych. Nowelizacja przepisów nastąpiła w celu wykonania wyroku Trybunału Konstytucyjnego (dalej jako </w:t>
      </w:r>
      <w:r w:rsidR="00E24274">
        <w:rPr>
          <w:rFonts w:ascii="Times New Roman" w:hAnsi="Times New Roman"/>
          <w:sz w:val="24"/>
          <w:szCs w:val="24"/>
          <w:lang w:eastAsia="pl-PL"/>
        </w:rPr>
        <w:t>„</w:t>
      </w:r>
      <w:r w:rsidRPr="00E24274">
        <w:rPr>
          <w:rFonts w:ascii="Times New Roman" w:hAnsi="Times New Roman"/>
          <w:sz w:val="24"/>
          <w:szCs w:val="24"/>
          <w:lang w:eastAsia="pl-PL"/>
        </w:rPr>
        <w:t>TK</w:t>
      </w:r>
      <w:r w:rsidR="00E24274">
        <w:rPr>
          <w:rFonts w:ascii="Times New Roman" w:hAnsi="Times New Roman"/>
          <w:sz w:val="24"/>
          <w:szCs w:val="24"/>
          <w:lang w:eastAsia="pl-PL"/>
        </w:rPr>
        <w:t>”</w:t>
      </w:r>
      <w:r w:rsidRPr="00E24274">
        <w:rPr>
          <w:rFonts w:ascii="Times New Roman" w:hAnsi="Times New Roman"/>
          <w:sz w:val="24"/>
          <w:szCs w:val="24"/>
          <w:lang w:eastAsia="pl-PL"/>
        </w:rPr>
        <w:t>) z dnia 26 styczn</w:t>
      </w:r>
      <w:r w:rsidR="00B07584">
        <w:rPr>
          <w:rFonts w:ascii="Times New Roman" w:hAnsi="Times New Roman"/>
          <w:sz w:val="24"/>
          <w:szCs w:val="24"/>
          <w:lang w:eastAsia="pl-PL"/>
        </w:rPr>
        <w:t>ia 2006 r. (sygn. akt SK </w:t>
      </w:r>
      <w:r w:rsidRPr="00E24274">
        <w:rPr>
          <w:rFonts w:ascii="Times New Roman" w:hAnsi="Times New Roman"/>
          <w:sz w:val="24"/>
          <w:szCs w:val="24"/>
          <w:lang w:eastAsia="pl-PL"/>
        </w:rPr>
        <w:t>40/04), w którym stwierdzono niezgodność art. 108 ust. 3 pr. aut z Konstytucją RP. Celem przyświecającym ustawodawcy było ustawow</w:t>
      </w:r>
      <w:r w:rsidR="00B07584">
        <w:rPr>
          <w:rFonts w:ascii="Times New Roman" w:hAnsi="Times New Roman"/>
          <w:sz w:val="24"/>
          <w:szCs w:val="24"/>
          <w:lang w:eastAsia="pl-PL"/>
        </w:rPr>
        <w:t>e, a nie wynikające wyłącznie z </w:t>
      </w:r>
      <w:r w:rsidRPr="00E24274">
        <w:rPr>
          <w:rFonts w:ascii="Times New Roman" w:hAnsi="Times New Roman"/>
          <w:sz w:val="24"/>
          <w:szCs w:val="24"/>
          <w:lang w:eastAsia="pl-PL"/>
        </w:rPr>
        <w:t xml:space="preserve">praktyki, zagwarantowanie udziału w postępowaniu organizacji zrzeszających użytkowników praw autorskich i pokrewnych, a także zapewnienie takim organizacjom współudziału w kształtowaniu samych tabel, w tym także przez uformowanie Komisji </w:t>
      </w:r>
      <w:r w:rsidRPr="00E24274">
        <w:rPr>
          <w:rFonts w:ascii="Times New Roman" w:hAnsi="Times New Roman"/>
          <w:sz w:val="24"/>
          <w:szCs w:val="24"/>
          <w:lang w:eastAsia="pl-PL"/>
        </w:rPr>
        <w:lastRenderedPageBreak/>
        <w:t xml:space="preserve">w równym stopniu z osób zgłoszonych przez organizacje zbiorowego zarządzania oraz organizacje zrzeszające użytkowników. Obowiązujące </w:t>
      </w:r>
      <w:r w:rsidR="00B07584">
        <w:rPr>
          <w:rFonts w:ascii="Times New Roman" w:hAnsi="Times New Roman"/>
          <w:sz w:val="24"/>
          <w:szCs w:val="24"/>
          <w:lang w:eastAsia="pl-PL"/>
        </w:rPr>
        <w:t>regulacje w tym względzie (art. </w:t>
      </w:r>
      <w:r w:rsidRPr="00E24274">
        <w:rPr>
          <w:rFonts w:ascii="Times New Roman" w:hAnsi="Times New Roman"/>
          <w:sz w:val="24"/>
          <w:szCs w:val="24"/>
          <w:lang w:eastAsia="pl-PL"/>
        </w:rPr>
        <w:t>110</w:t>
      </w:r>
      <w:r w:rsidRPr="00E24274">
        <w:rPr>
          <w:rFonts w:ascii="Times New Roman" w:hAnsi="Times New Roman"/>
          <w:sz w:val="24"/>
          <w:szCs w:val="24"/>
          <w:vertAlign w:val="superscript"/>
          <w:lang w:eastAsia="pl-PL"/>
        </w:rPr>
        <w:t>2</w:t>
      </w:r>
      <w:r w:rsidRPr="00E24274">
        <w:rPr>
          <w:rFonts w:ascii="Times New Roman" w:hAnsi="Times New Roman"/>
          <w:sz w:val="24"/>
          <w:szCs w:val="24"/>
          <w:lang w:eastAsia="pl-PL"/>
        </w:rPr>
        <w:t xml:space="preserve"> ust. 3 i 6, art. 110</w:t>
      </w:r>
      <w:r w:rsidRPr="00E24274">
        <w:rPr>
          <w:rFonts w:ascii="Times New Roman" w:hAnsi="Times New Roman"/>
          <w:sz w:val="24"/>
          <w:szCs w:val="24"/>
          <w:vertAlign w:val="superscript"/>
          <w:lang w:eastAsia="pl-PL"/>
        </w:rPr>
        <w:t>3</w:t>
      </w:r>
      <w:r w:rsidRPr="00E24274">
        <w:rPr>
          <w:rFonts w:ascii="Times New Roman" w:hAnsi="Times New Roman"/>
          <w:sz w:val="24"/>
          <w:szCs w:val="24"/>
          <w:lang w:eastAsia="pl-PL"/>
        </w:rPr>
        <w:t xml:space="preserve"> ust. 3, art. 110</w:t>
      </w:r>
      <w:r w:rsidRPr="00E24274">
        <w:rPr>
          <w:rFonts w:ascii="Times New Roman" w:hAnsi="Times New Roman"/>
          <w:sz w:val="24"/>
          <w:szCs w:val="24"/>
          <w:vertAlign w:val="superscript"/>
          <w:lang w:eastAsia="pl-PL"/>
        </w:rPr>
        <w:t>11</w:t>
      </w:r>
      <w:r w:rsidRPr="00E24274">
        <w:rPr>
          <w:rFonts w:ascii="Times New Roman" w:hAnsi="Times New Roman"/>
          <w:sz w:val="24"/>
          <w:szCs w:val="24"/>
          <w:lang w:eastAsia="pl-PL"/>
        </w:rPr>
        <w:t xml:space="preserve"> ust. 3, art. 110</w:t>
      </w:r>
      <w:r w:rsidRPr="00E24274">
        <w:rPr>
          <w:rFonts w:ascii="Times New Roman" w:hAnsi="Times New Roman"/>
          <w:sz w:val="24"/>
          <w:szCs w:val="24"/>
          <w:vertAlign w:val="superscript"/>
          <w:lang w:eastAsia="pl-PL"/>
        </w:rPr>
        <w:t>12</w:t>
      </w:r>
      <w:r w:rsidRPr="00E24274">
        <w:rPr>
          <w:rFonts w:ascii="Times New Roman" w:hAnsi="Times New Roman"/>
          <w:sz w:val="24"/>
          <w:szCs w:val="24"/>
          <w:lang w:eastAsia="pl-PL"/>
        </w:rPr>
        <w:t xml:space="preserve"> ust. 6 oraz art. 110</w:t>
      </w:r>
      <w:r w:rsidRPr="00E24274">
        <w:rPr>
          <w:rFonts w:ascii="Times New Roman" w:hAnsi="Times New Roman"/>
          <w:sz w:val="24"/>
          <w:szCs w:val="24"/>
          <w:vertAlign w:val="superscript"/>
          <w:lang w:eastAsia="pl-PL"/>
        </w:rPr>
        <w:t>14</w:t>
      </w:r>
      <w:r w:rsidR="00B07584">
        <w:rPr>
          <w:rFonts w:ascii="Times New Roman" w:hAnsi="Times New Roman"/>
          <w:sz w:val="24"/>
          <w:szCs w:val="24"/>
          <w:lang w:eastAsia="pl-PL"/>
        </w:rPr>
        <w:t xml:space="preserve"> ust. </w:t>
      </w:r>
      <w:r w:rsidRPr="00E24274">
        <w:rPr>
          <w:rFonts w:ascii="Times New Roman" w:hAnsi="Times New Roman"/>
          <w:sz w:val="24"/>
          <w:szCs w:val="24"/>
          <w:lang w:eastAsia="pl-PL"/>
        </w:rPr>
        <w:t xml:space="preserve">1 pr. aut.), które stanowią wykonanie </w:t>
      </w:r>
      <w:r w:rsidR="00B07584">
        <w:rPr>
          <w:rFonts w:ascii="Times New Roman" w:hAnsi="Times New Roman"/>
          <w:sz w:val="24"/>
          <w:szCs w:val="24"/>
          <w:lang w:eastAsia="pl-PL"/>
        </w:rPr>
        <w:t>wyroku TK, zostały w zasadzie w </w:t>
      </w:r>
      <w:r w:rsidRPr="00E24274">
        <w:rPr>
          <w:rFonts w:ascii="Times New Roman" w:hAnsi="Times New Roman"/>
          <w:sz w:val="24"/>
          <w:szCs w:val="24"/>
          <w:lang w:eastAsia="pl-PL"/>
        </w:rPr>
        <w:t>niezmienionym kształcie przeniesione do projektu.</w:t>
      </w:r>
    </w:p>
    <w:p w:rsidR="007824D6" w:rsidRPr="00E24274" w:rsidRDefault="007824D6" w:rsidP="00E24274">
      <w:pPr>
        <w:spacing w:before="120" w:after="0" w:line="360" w:lineRule="auto"/>
        <w:jc w:val="both"/>
        <w:rPr>
          <w:rFonts w:ascii="Times New Roman" w:hAnsi="Times New Roman"/>
          <w:bCs/>
          <w:sz w:val="24"/>
          <w:szCs w:val="24"/>
          <w:lang w:eastAsia="pl-PL"/>
        </w:rPr>
      </w:pPr>
      <w:r w:rsidRPr="00E24274">
        <w:rPr>
          <w:rFonts w:ascii="Times New Roman" w:hAnsi="Times New Roman"/>
          <w:sz w:val="24"/>
          <w:szCs w:val="24"/>
          <w:lang w:eastAsia="pl-PL"/>
        </w:rPr>
        <w:t>Pozostawiając na uboczu konieczność uwzględnienia przez każdą regulację dotyczącą Komisji dorobku orzeczniczego TK, należy stwierdzić, że obserwacja praktyki funkcjonowania Komisji w ciągu dwóch ostatnich kadencji, gdy dz</w:t>
      </w:r>
      <w:r w:rsidR="00B07584">
        <w:rPr>
          <w:rFonts w:ascii="Times New Roman" w:hAnsi="Times New Roman"/>
          <w:sz w:val="24"/>
          <w:szCs w:val="24"/>
          <w:lang w:eastAsia="pl-PL"/>
        </w:rPr>
        <w:t>iałała ona zgodnie z </w:t>
      </w:r>
      <w:r w:rsidRPr="00E24274">
        <w:rPr>
          <w:rFonts w:ascii="Times New Roman" w:hAnsi="Times New Roman"/>
          <w:sz w:val="24"/>
          <w:szCs w:val="24"/>
          <w:lang w:eastAsia="pl-PL"/>
        </w:rPr>
        <w:t xml:space="preserve">przepisami, które weszły w życie w 2010 r., pozwala na sformułowanie szeregu krytycznych wniosków. W tym czasie do Komisji </w:t>
      </w:r>
      <w:r w:rsidR="00B07584">
        <w:rPr>
          <w:rFonts w:ascii="Times New Roman" w:hAnsi="Times New Roman"/>
          <w:sz w:val="24"/>
          <w:szCs w:val="24"/>
          <w:lang w:eastAsia="pl-PL"/>
        </w:rPr>
        <w:t>zostało złożonych 28 wniosków o </w:t>
      </w:r>
      <w:r w:rsidRPr="00E24274">
        <w:rPr>
          <w:rFonts w:ascii="Times New Roman" w:hAnsi="Times New Roman"/>
          <w:sz w:val="24"/>
          <w:szCs w:val="24"/>
          <w:lang w:eastAsia="pl-PL"/>
        </w:rPr>
        <w:t>zatwierdzenie tabel wynagrodzeń, ale tylko w jednym przypadku taka tabela została faktycznie zatwierdzona i ma prawomocny charakter, w jednym zaś doszło do c</w:t>
      </w:r>
      <w:r w:rsidR="00F35A55" w:rsidRPr="00E24274">
        <w:rPr>
          <w:rFonts w:ascii="Times New Roman" w:hAnsi="Times New Roman"/>
          <w:sz w:val="24"/>
          <w:szCs w:val="24"/>
          <w:lang w:eastAsia="pl-PL"/>
        </w:rPr>
        <w:t>zęściowego zatwierdzenia tabeli</w:t>
      </w:r>
      <w:r w:rsidRPr="00E24274">
        <w:rPr>
          <w:rStyle w:val="Odwoanieprzypisudolnego"/>
          <w:rFonts w:ascii="Times New Roman" w:hAnsi="Times New Roman"/>
          <w:sz w:val="24"/>
          <w:szCs w:val="24"/>
          <w:lang w:eastAsia="pl-PL"/>
        </w:rPr>
        <w:footnoteReference w:id="28"/>
      </w:r>
      <w:r w:rsidR="001E6F0B" w:rsidRPr="001E6F0B">
        <w:rPr>
          <w:rFonts w:ascii="Times New Roman" w:hAnsi="Times New Roman"/>
          <w:sz w:val="24"/>
          <w:szCs w:val="24"/>
          <w:vertAlign w:val="superscript"/>
          <w:lang w:eastAsia="pl-PL"/>
        </w:rPr>
        <w:t>)</w:t>
      </w:r>
      <w:r w:rsidR="00F35A55" w:rsidRPr="00E24274">
        <w:rPr>
          <w:rFonts w:ascii="Times New Roman" w:hAnsi="Times New Roman"/>
          <w:sz w:val="24"/>
          <w:szCs w:val="24"/>
          <w:lang w:eastAsia="pl-PL"/>
        </w:rPr>
        <w:t>.</w:t>
      </w:r>
      <w:r w:rsidRPr="00E24274">
        <w:rPr>
          <w:rFonts w:ascii="Times New Roman" w:hAnsi="Times New Roman"/>
          <w:sz w:val="24"/>
          <w:szCs w:val="24"/>
          <w:lang w:eastAsia="pl-PL"/>
        </w:rPr>
        <w:t xml:space="preserve"> Już te liczby wymownie świadczą o tym, że postępowanie o zatwierdzenie tabel wynagrodzeń prowadzone przed Komisją w oparciu o aktualnie obowiązujące przepisy jest skrajnie nieefektywne. W zdecydowanej większości przypadków postępowania kończyły się umorzeniem ze względu na upływ terminu 6 miesięcy na rozpoznanie sprawy, a więc bardzo często w ogóle nie dochodziło do merytorycznego rozpoznania sprawy. Podstawą do umorzenia postępowania był </w:t>
      </w:r>
      <w:r w:rsidRPr="00E24274">
        <w:rPr>
          <w:rFonts w:ascii="Times New Roman" w:hAnsi="Times New Roman"/>
          <w:bCs/>
          <w:sz w:val="24"/>
          <w:szCs w:val="24"/>
          <w:lang w:eastAsia="pl-PL"/>
        </w:rPr>
        <w:t>art. 110</w:t>
      </w:r>
      <w:r w:rsidRPr="00E24274">
        <w:rPr>
          <w:rFonts w:ascii="Times New Roman" w:hAnsi="Times New Roman"/>
          <w:bCs/>
          <w:sz w:val="24"/>
          <w:szCs w:val="24"/>
          <w:vertAlign w:val="superscript"/>
          <w:lang w:eastAsia="pl-PL"/>
        </w:rPr>
        <w:t>13</w:t>
      </w:r>
      <w:r w:rsidRPr="00E24274">
        <w:rPr>
          <w:rFonts w:ascii="Times New Roman" w:hAnsi="Times New Roman"/>
          <w:bCs/>
          <w:sz w:val="24"/>
          <w:szCs w:val="24"/>
          <w:lang w:eastAsia="pl-PL"/>
        </w:rPr>
        <w:t xml:space="preserve"> ust. 1</w:t>
      </w:r>
      <w:r w:rsidR="00B85D46">
        <w:rPr>
          <w:rFonts w:ascii="Times New Roman" w:hAnsi="Times New Roman"/>
          <w:bCs/>
          <w:sz w:val="24"/>
          <w:szCs w:val="24"/>
          <w:lang w:eastAsia="pl-PL"/>
        </w:rPr>
        <w:t>–</w:t>
      </w:r>
      <w:r w:rsidRPr="00E24274">
        <w:rPr>
          <w:rFonts w:ascii="Times New Roman" w:hAnsi="Times New Roman"/>
          <w:bCs/>
          <w:sz w:val="24"/>
          <w:szCs w:val="24"/>
          <w:lang w:eastAsia="pl-PL"/>
        </w:rPr>
        <w:t xml:space="preserve">3 pr. aut., który pozwalał na przedłużenie postępowania ponad wskazany termin wyłącznie w przypadku wyrażenia zgody przez wszystkich uczestników postępowania oraz nakładał obowiązek umorzenia postępowania w razie braku takiej zgody. </w:t>
      </w:r>
    </w:p>
    <w:p w:rsidR="007824D6" w:rsidRPr="00E24274" w:rsidRDefault="007824D6" w:rsidP="00E24274">
      <w:pPr>
        <w:spacing w:before="120" w:after="0" w:line="360" w:lineRule="auto"/>
        <w:jc w:val="both"/>
        <w:rPr>
          <w:rFonts w:ascii="Times New Roman" w:hAnsi="Times New Roman"/>
          <w:bCs/>
          <w:sz w:val="24"/>
          <w:szCs w:val="24"/>
          <w:lang w:eastAsia="pl-PL"/>
        </w:rPr>
      </w:pPr>
      <w:r w:rsidRPr="00E24274">
        <w:rPr>
          <w:rFonts w:ascii="Times New Roman" w:hAnsi="Times New Roman"/>
          <w:bCs/>
          <w:sz w:val="24"/>
          <w:szCs w:val="24"/>
          <w:lang w:eastAsia="pl-PL"/>
        </w:rPr>
        <w:t>Efekt orzeczniczej aktywności Sądu Okręgowego w Po</w:t>
      </w:r>
      <w:r w:rsidR="00B07584">
        <w:rPr>
          <w:rFonts w:ascii="Times New Roman" w:hAnsi="Times New Roman"/>
          <w:bCs/>
          <w:sz w:val="24"/>
          <w:szCs w:val="24"/>
          <w:lang w:eastAsia="pl-PL"/>
        </w:rPr>
        <w:t>znaniu, który na podstawie art. </w:t>
      </w:r>
      <w:r w:rsidRPr="00E24274">
        <w:rPr>
          <w:rFonts w:ascii="Times New Roman" w:hAnsi="Times New Roman"/>
          <w:bCs/>
          <w:sz w:val="24"/>
          <w:szCs w:val="24"/>
          <w:lang w:eastAsia="pl-PL"/>
        </w:rPr>
        <w:t>110</w:t>
      </w:r>
      <w:r w:rsidRPr="00E24274">
        <w:rPr>
          <w:rFonts w:ascii="Times New Roman" w:hAnsi="Times New Roman"/>
          <w:bCs/>
          <w:sz w:val="24"/>
          <w:szCs w:val="24"/>
          <w:vertAlign w:val="superscript"/>
          <w:lang w:eastAsia="pl-PL"/>
        </w:rPr>
        <w:t>20</w:t>
      </w:r>
      <w:r w:rsidRPr="00E24274">
        <w:rPr>
          <w:rFonts w:ascii="Times New Roman" w:hAnsi="Times New Roman"/>
          <w:bCs/>
          <w:sz w:val="24"/>
          <w:szCs w:val="24"/>
          <w:lang w:eastAsia="pl-PL"/>
        </w:rPr>
        <w:t xml:space="preserve"> ust. 2 pr. aut.</w:t>
      </w:r>
      <w:r w:rsidR="00582B25">
        <w:rPr>
          <w:rFonts w:ascii="Times New Roman" w:hAnsi="Times New Roman"/>
          <w:bCs/>
          <w:sz w:val="24"/>
          <w:szCs w:val="24"/>
          <w:lang w:eastAsia="pl-PL"/>
        </w:rPr>
        <w:t>,</w:t>
      </w:r>
      <w:r w:rsidRPr="00E24274">
        <w:rPr>
          <w:rFonts w:ascii="Times New Roman" w:hAnsi="Times New Roman"/>
          <w:bCs/>
          <w:sz w:val="24"/>
          <w:szCs w:val="24"/>
          <w:lang w:eastAsia="pl-PL"/>
        </w:rPr>
        <w:t xml:space="preserve"> został wyznaczony jako sąd właściwy do rozpoznawanie wniosków o zatwierdzenie albo odmowę zatwierdzenia tabeli praw składanych przez </w:t>
      </w:r>
      <w:r w:rsidRPr="00E24274">
        <w:rPr>
          <w:rFonts w:ascii="Times New Roman" w:hAnsi="Times New Roman"/>
          <w:bCs/>
          <w:sz w:val="24"/>
          <w:szCs w:val="24"/>
          <w:lang w:eastAsia="pl-PL"/>
        </w:rPr>
        <w:lastRenderedPageBreak/>
        <w:t>strony niezadowolone z orzeczenia Komisji, także w przypadku orzeczeń o umorzeniu postępowania, trudno ocenić jako zadowalający. Wnioski o zatwierdzenie lub odmowę zatwierdzenia tabel były kierowane do Sądu w 2012 lub 2013 r. (wówcza</w:t>
      </w:r>
      <w:r w:rsidR="00B07584">
        <w:rPr>
          <w:rFonts w:ascii="Times New Roman" w:hAnsi="Times New Roman"/>
          <w:bCs/>
          <w:sz w:val="24"/>
          <w:szCs w:val="24"/>
          <w:lang w:eastAsia="pl-PL"/>
        </w:rPr>
        <w:t>s złożono 17 </w:t>
      </w:r>
      <w:r w:rsidRPr="00E24274">
        <w:rPr>
          <w:rFonts w:ascii="Times New Roman" w:hAnsi="Times New Roman"/>
          <w:bCs/>
          <w:sz w:val="24"/>
          <w:szCs w:val="24"/>
          <w:lang w:eastAsia="pl-PL"/>
        </w:rPr>
        <w:t xml:space="preserve">wniosków o zatwierdzenie tabeli oraz 8 wniosków o odmowę zatwierdzenia tabeli). Do tej pory przed Sądem zakończono tylko 8 postępowań. Wskazać przy tym należy, że w pozostałych przypadkach, nawet w razie wydania merytorycznego rozstrzygnięcia przez Sąd Okręgowy w Poznaniu, stronom przysługiwały będą środki odwoławcze – procedura zatwierdzania tabel wynagrodzeń może więc trwać w praktyce jeszcze wiele lat. </w:t>
      </w:r>
    </w:p>
    <w:p w:rsidR="007824D6" w:rsidRPr="00E24274" w:rsidRDefault="007824D6" w:rsidP="00E24274">
      <w:pPr>
        <w:spacing w:before="120" w:after="0" w:line="360" w:lineRule="auto"/>
        <w:jc w:val="both"/>
        <w:rPr>
          <w:rFonts w:ascii="Times New Roman" w:hAnsi="Times New Roman"/>
          <w:sz w:val="24"/>
          <w:szCs w:val="24"/>
          <w:lang w:eastAsia="pl-PL"/>
        </w:rPr>
      </w:pPr>
      <w:r w:rsidRPr="00E24274">
        <w:rPr>
          <w:rFonts w:ascii="Times New Roman" w:hAnsi="Times New Roman"/>
          <w:bCs/>
          <w:sz w:val="24"/>
          <w:szCs w:val="24"/>
          <w:lang w:eastAsia="pl-PL"/>
        </w:rPr>
        <w:t>Przywołane przykłady prowadzą do trudnego do podważenia wniosku – cele przyświecające ustawodawcy w 2010 r. nie zos</w:t>
      </w:r>
      <w:r w:rsidR="00B07584">
        <w:rPr>
          <w:rFonts w:ascii="Times New Roman" w:hAnsi="Times New Roman"/>
          <w:bCs/>
          <w:sz w:val="24"/>
          <w:szCs w:val="24"/>
          <w:lang w:eastAsia="pl-PL"/>
        </w:rPr>
        <w:t>tały osiągnięte. Postępowania o </w:t>
      </w:r>
      <w:r w:rsidRPr="00E24274">
        <w:rPr>
          <w:rFonts w:ascii="Times New Roman" w:hAnsi="Times New Roman"/>
          <w:bCs/>
          <w:sz w:val="24"/>
          <w:szCs w:val="24"/>
          <w:lang w:eastAsia="pl-PL"/>
        </w:rPr>
        <w:t xml:space="preserve">zatwierdzenie tabel wynagrodzeń nie służą w </w:t>
      </w:r>
      <w:r w:rsidR="00582B25">
        <w:rPr>
          <w:rFonts w:ascii="Times New Roman" w:hAnsi="Times New Roman"/>
          <w:bCs/>
          <w:sz w:val="24"/>
          <w:szCs w:val="24"/>
          <w:lang w:eastAsia="pl-PL"/>
        </w:rPr>
        <w:t xml:space="preserve">obecnej </w:t>
      </w:r>
      <w:r w:rsidRPr="00E24274">
        <w:rPr>
          <w:rFonts w:ascii="Times New Roman" w:hAnsi="Times New Roman"/>
          <w:bCs/>
          <w:sz w:val="24"/>
          <w:szCs w:val="24"/>
          <w:lang w:eastAsia="pl-PL"/>
        </w:rPr>
        <w:t>praktyce porządkowaniu rynku zbiorowego zarządzania w Polsce i nie ułatwiają nawiązywania relacji umownych między organizacjami zbiorowego zarządzania a użytkownikami praw. Proces implementacji dyrektywy CRM do</w:t>
      </w:r>
      <w:r w:rsidR="00B07584">
        <w:rPr>
          <w:rFonts w:ascii="Times New Roman" w:hAnsi="Times New Roman"/>
          <w:bCs/>
          <w:sz w:val="24"/>
          <w:szCs w:val="24"/>
          <w:lang w:eastAsia="pl-PL"/>
        </w:rPr>
        <w:t xml:space="preserve"> polskiego porządku prawnego, w </w:t>
      </w:r>
      <w:r w:rsidRPr="00E24274">
        <w:rPr>
          <w:rFonts w:ascii="Times New Roman" w:hAnsi="Times New Roman"/>
          <w:bCs/>
          <w:sz w:val="24"/>
          <w:szCs w:val="24"/>
          <w:lang w:eastAsia="pl-PL"/>
        </w:rPr>
        <w:t xml:space="preserve">trakcie którego powinno dojść do kompleksowego uregulowania działalności systemu zbiorowego zarządzania prawami autorskimi i prawami pokrewnymi w Polsce, jest najbardziej dogodnym momentem, </w:t>
      </w:r>
      <w:r w:rsidR="00582B25">
        <w:rPr>
          <w:rFonts w:ascii="Times New Roman" w:hAnsi="Times New Roman"/>
          <w:bCs/>
          <w:sz w:val="24"/>
          <w:szCs w:val="24"/>
          <w:lang w:eastAsia="pl-PL"/>
        </w:rPr>
        <w:t>a</w:t>
      </w:r>
      <w:r w:rsidRPr="00E24274">
        <w:rPr>
          <w:rFonts w:ascii="Times New Roman" w:hAnsi="Times New Roman"/>
          <w:bCs/>
          <w:sz w:val="24"/>
          <w:szCs w:val="24"/>
          <w:lang w:eastAsia="pl-PL"/>
        </w:rPr>
        <w:t xml:space="preserve">by spróbować po raz kolejny przywrócić </w:t>
      </w:r>
      <w:r w:rsidRPr="00E24274">
        <w:rPr>
          <w:rFonts w:ascii="Times New Roman" w:hAnsi="Times New Roman"/>
          <w:sz w:val="24"/>
          <w:szCs w:val="24"/>
          <w:lang w:eastAsia="pl-PL"/>
        </w:rPr>
        <w:t xml:space="preserve">Komisji funkcję organu ułatwiającego jego funkcjonowanie. Jest to moment tym lepszy, że jednym z elementów dyrektywy CRM, który wymaga uregulowania w prawie krajowym, są relacje organizacji zbiorowego zarządzania z użytkownikami oraz podstawowe zasady ustalenia wysokości wynagrodzeń za korzystanie z utworów lub przedmiotów praw pokrewnych. Są to więc zagadnienia, które powinna współkształtować w praktyce, przynajmniej w pewnym stopniu, sprawnie działająca Komisja. </w:t>
      </w:r>
    </w:p>
    <w:p w:rsidR="007824D6" w:rsidRPr="00E24274" w:rsidRDefault="007824D6" w:rsidP="00E24274">
      <w:pPr>
        <w:spacing w:before="120" w:after="0" w:line="360" w:lineRule="auto"/>
        <w:jc w:val="both"/>
        <w:rPr>
          <w:rFonts w:ascii="Times New Roman" w:hAnsi="Times New Roman"/>
          <w:bCs/>
          <w:sz w:val="24"/>
          <w:szCs w:val="24"/>
          <w:lang w:eastAsia="pl-PL"/>
        </w:rPr>
      </w:pPr>
      <w:r w:rsidRPr="00E24274">
        <w:rPr>
          <w:rFonts w:ascii="Times New Roman" w:hAnsi="Times New Roman"/>
          <w:bCs/>
          <w:sz w:val="24"/>
          <w:szCs w:val="24"/>
          <w:lang w:eastAsia="pl-PL"/>
        </w:rPr>
        <w:t xml:space="preserve">Projektodawca zdecydował się na oparcie najważniejszego z postępowań prowadzonych przez Komisję (tj. postępowania o zatwierdzenie tabel wynagrodzeń) – podobnie jak miało to miejsce przed nowelizacją ustawy o pr. aut. z 2010 r. – na procedurze administracyjnej, zachowując przy tym wszystkie rozwiązania służące wykonaniu wyroku TK z 2006 r. Warto wspomnieć, że model oparty na procedurze administracyjnej (a więc model władczego ustalania stawek wynagrodzeń) został przez TK w uzasadnieniu do przywołanego wyroku uznany co do zasady za właściwy. Przypomnieć również należy, że prowadzone w oparciu o procedurę administracyjną postępowania o zatwierdzenie tabel wielokrotnie przed 2006 r. kończyły się </w:t>
      </w:r>
      <w:r w:rsidRPr="00E24274">
        <w:rPr>
          <w:rFonts w:ascii="Times New Roman" w:hAnsi="Times New Roman"/>
          <w:bCs/>
          <w:sz w:val="24"/>
          <w:szCs w:val="24"/>
          <w:lang w:eastAsia="pl-PL"/>
        </w:rPr>
        <w:lastRenderedPageBreak/>
        <w:t>powodzeniem, a tabele były stosowane przez organizacje w relacjach z użytkownikami. Projektodawca, dążąc do zapewnienia skute</w:t>
      </w:r>
      <w:r w:rsidR="00B07584">
        <w:rPr>
          <w:rFonts w:ascii="Times New Roman" w:hAnsi="Times New Roman"/>
          <w:bCs/>
          <w:sz w:val="24"/>
          <w:szCs w:val="24"/>
          <w:lang w:eastAsia="pl-PL"/>
        </w:rPr>
        <w:t>cznego funkcjonowania Komisji w </w:t>
      </w:r>
      <w:r w:rsidRPr="00E24274">
        <w:rPr>
          <w:rFonts w:ascii="Times New Roman" w:hAnsi="Times New Roman"/>
          <w:bCs/>
          <w:sz w:val="24"/>
          <w:szCs w:val="24"/>
          <w:lang w:eastAsia="pl-PL"/>
        </w:rPr>
        <w:t>zasadniczym aspekcie jej działalności, pr</w:t>
      </w:r>
      <w:r w:rsidR="00B07584">
        <w:rPr>
          <w:rFonts w:ascii="Times New Roman" w:hAnsi="Times New Roman"/>
          <w:bCs/>
          <w:sz w:val="24"/>
          <w:szCs w:val="24"/>
          <w:lang w:eastAsia="pl-PL"/>
        </w:rPr>
        <w:t>zyjął przy tym bądź przeniósł z </w:t>
      </w:r>
      <w:r w:rsidRPr="00E24274">
        <w:rPr>
          <w:rFonts w:ascii="Times New Roman" w:hAnsi="Times New Roman"/>
          <w:bCs/>
          <w:sz w:val="24"/>
          <w:szCs w:val="24"/>
          <w:lang w:eastAsia="pl-PL"/>
        </w:rPr>
        <w:t>obowiązujących regulacji szereg rozwiązań zmierzających do wyeliminowania zarzutów stawianych rozwiązaniom obowiązującym przed wyrokiem TK z 2006 r. Chodziło m.in. o brak czytelnych reguł, jakimi powinien kierować się zespół orzekający przy kształtowaniu stawek (</w:t>
      </w:r>
      <w:r w:rsidRPr="00DE4E2F">
        <w:rPr>
          <w:rFonts w:ascii="Times New Roman" w:hAnsi="Times New Roman"/>
          <w:bCs/>
          <w:i/>
          <w:sz w:val="24"/>
          <w:szCs w:val="24"/>
          <w:lang w:eastAsia="pl-PL"/>
        </w:rPr>
        <w:t>vide</w:t>
      </w:r>
      <w:r w:rsidRPr="00E24274">
        <w:rPr>
          <w:rFonts w:ascii="Times New Roman" w:hAnsi="Times New Roman"/>
          <w:bCs/>
          <w:sz w:val="24"/>
          <w:szCs w:val="24"/>
          <w:lang w:eastAsia="pl-PL"/>
        </w:rPr>
        <w:t xml:space="preserve"> art. 77 ust. 2 projektu), brak ustawowych regulacji zapewniających organizacjom użytkowników udział w postępowaniu (</w:t>
      </w:r>
      <w:r w:rsidRPr="00DE4E2F">
        <w:rPr>
          <w:rFonts w:ascii="Times New Roman" w:hAnsi="Times New Roman"/>
          <w:bCs/>
          <w:i/>
          <w:sz w:val="24"/>
          <w:szCs w:val="24"/>
          <w:lang w:eastAsia="pl-PL"/>
        </w:rPr>
        <w:t>vide</w:t>
      </w:r>
      <w:r w:rsidRPr="00E24274">
        <w:rPr>
          <w:rFonts w:ascii="Times New Roman" w:hAnsi="Times New Roman"/>
          <w:bCs/>
          <w:sz w:val="24"/>
          <w:szCs w:val="24"/>
          <w:lang w:eastAsia="pl-PL"/>
        </w:rPr>
        <w:t xml:space="preserve"> art. 75 ust. 2 pkt 2 projektu), brak wpływu takich podmiotów na skład Komisji oraz gwarancji udziału zgłoszonych przez nich kandydatów na arbitrów w poszczególnych zespołach orzekających Komisji (</w:t>
      </w:r>
      <w:r w:rsidRPr="00DE4E2F">
        <w:rPr>
          <w:rFonts w:ascii="Times New Roman" w:hAnsi="Times New Roman"/>
          <w:bCs/>
          <w:i/>
          <w:sz w:val="24"/>
          <w:szCs w:val="24"/>
          <w:lang w:eastAsia="pl-PL"/>
        </w:rPr>
        <w:t>vide</w:t>
      </w:r>
      <w:r w:rsidRPr="00E24274">
        <w:rPr>
          <w:rFonts w:ascii="Times New Roman" w:hAnsi="Times New Roman"/>
          <w:bCs/>
          <w:sz w:val="24"/>
          <w:szCs w:val="24"/>
          <w:lang w:eastAsia="pl-PL"/>
        </w:rPr>
        <w:t xml:space="preserve"> art. 63 ust. 2, art. 64 ust. 2, art. 72 ust. 2</w:t>
      </w:r>
      <w:r w:rsidR="00B85D46">
        <w:rPr>
          <w:rFonts w:ascii="Times New Roman" w:hAnsi="Times New Roman"/>
          <w:bCs/>
          <w:sz w:val="24"/>
          <w:szCs w:val="24"/>
          <w:lang w:eastAsia="pl-PL"/>
        </w:rPr>
        <w:t>–</w:t>
      </w:r>
      <w:r w:rsidR="00B07584">
        <w:rPr>
          <w:rFonts w:ascii="Times New Roman" w:hAnsi="Times New Roman"/>
          <w:bCs/>
          <w:sz w:val="24"/>
          <w:szCs w:val="24"/>
          <w:lang w:eastAsia="pl-PL"/>
        </w:rPr>
        <w:t>5, art. 76 oraz art. </w:t>
      </w:r>
      <w:r w:rsidRPr="00E24274">
        <w:rPr>
          <w:rFonts w:ascii="Times New Roman" w:hAnsi="Times New Roman"/>
          <w:bCs/>
          <w:sz w:val="24"/>
          <w:szCs w:val="24"/>
          <w:lang w:eastAsia="pl-PL"/>
        </w:rPr>
        <w:t>83 projektu), zbyt duży i nieograniczony ustawowo wpływ ministra na skład zespołów orzekających (</w:t>
      </w:r>
      <w:r w:rsidRPr="00DE4E2F">
        <w:rPr>
          <w:rFonts w:ascii="Times New Roman" w:hAnsi="Times New Roman"/>
          <w:bCs/>
          <w:i/>
          <w:sz w:val="24"/>
          <w:szCs w:val="24"/>
          <w:lang w:eastAsia="pl-PL"/>
        </w:rPr>
        <w:t>vide</w:t>
      </w:r>
      <w:r w:rsidRPr="00E24274">
        <w:rPr>
          <w:rFonts w:ascii="Times New Roman" w:hAnsi="Times New Roman"/>
          <w:bCs/>
          <w:sz w:val="24"/>
          <w:szCs w:val="24"/>
          <w:lang w:eastAsia="pl-PL"/>
        </w:rPr>
        <w:t xml:space="preserve"> art. 72 ust. 2</w:t>
      </w:r>
      <w:r w:rsidR="00B85D46">
        <w:rPr>
          <w:rFonts w:ascii="Times New Roman" w:hAnsi="Times New Roman"/>
          <w:bCs/>
          <w:sz w:val="24"/>
          <w:szCs w:val="24"/>
          <w:lang w:eastAsia="pl-PL"/>
        </w:rPr>
        <w:t>–</w:t>
      </w:r>
      <w:r w:rsidRPr="00E24274">
        <w:rPr>
          <w:rFonts w:ascii="Times New Roman" w:hAnsi="Times New Roman"/>
          <w:bCs/>
          <w:sz w:val="24"/>
          <w:szCs w:val="24"/>
          <w:lang w:eastAsia="pl-PL"/>
        </w:rPr>
        <w:t>5, art. 76 oraz art. 83 projektu) czy wreszcie zatwierdzanie różnych stawek przez różne zespoły orzekające Komisji wobec tych samych kategorii praw i rodzajów eksploatacji (</w:t>
      </w:r>
      <w:r w:rsidRPr="00DE4E2F">
        <w:rPr>
          <w:rFonts w:ascii="Times New Roman" w:hAnsi="Times New Roman"/>
          <w:bCs/>
          <w:i/>
          <w:sz w:val="24"/>
          <w:szCs w:val="24"/>
          <w:lang w:eastAsia="pl-PL"/>
        </w:rPr>
        <w:t>vide</w:t>
      </w:r>
      <w:r w:rsidRPr="00E24274">
        <w:rPr>
          <w:rFonts w:ascii="Times New Roman" w:hAnsi="Times New Roman"/>
          <w:bCs/>
          <w:sz w:val="24"/>
          <w:szCs w:val="24"/>
          <w:lang w:eastAsia="pl-PL"/>
        </w:rPr>
        <w:t xml:space="preserve"> art. 73 projektu).</w:t>
      </w:r>
    </w:p>
    <w:p w:rsidR="007824D6" w:rsidRPr="00E24274" w:rsidRDefault="007824D6" w:rsidP="00E24274">
      <w:pPr>
        <w:spacing w:before="120" w:after="0" w:line="360" w:lineRule="auto"/>
        <w:jc w:val="both"/>
        <w:rPr>
          <w:rFonts w:ascii="Times New Roman" w:hAnsi="Times New Roman"/>
          <w:bCs/>
          <w:sz w:val="24"/>
          <w:szCs w:val="24"/>
          <w:lang w:eastAsia="pl-PL"/>
        </w:rPr>
      </w:pPr>
      <w:r w:rsidRPr="00E24274">
        <w:rPr>
          <w:rFonts w:ascii="Times New Roman" w:hAnsi="Times New Roman"/>
          <w:bCs/>
          <w:sz w:val="24"/>
          <w:szCs w:val="24"/>
          <w:lang w:eastAsia="pl-PL"/>
        </w:rPr>
        <w:t>W toku prac koncepcyjnych nad projektem rozważano dodatkowo dwa możliwe alternatywne systemowe rozwiązania problemu nieefektywnej działalności Komisji, tj.:</w:t>
      </w:r>
    </w:p>
    <w:p w:rsidR="007824D6" w:rsidRPr="00E24274" w:rsidRDefault="007824D6" w:rsidP="00B07584">
      <w:pPr>
        <w:pStyle w:val="Akapitzlist"/>
        <w:numPr>
          <w:ilvl w:val="0"/>
          <w:numId w:val="23"/>
        </w:numPr>
        <w:spacing w:after="0" w:line="360" w:lineRule="auto"/>
        <w:ind w:left="335" w:hanging="335"/>
        <w:contextualSpacing w:val="0"/>
        <w:jc w:val="both"/>
        <w:rPr>
          <w:rFonts w:ascii="Times New Roman" w:hAnsi="Times New Roman"/>
          <w:sz w:val="24"/>
          <w:szCs w:val="24"/>
        </w:rPr>
      </w:pPr>
      <w:r w:rsidRPr="00E24274">
        <w:rPr>
          <w:rFonts w:ascii="Times New Roman" w:hAnsi="Times New Roman"/>
          <w:sz w:val="24"/>
          <w:szCs w:val="24"/>
        </w:rPr>
        <w:t>zaprojektowanie poprawek, które zmierzałyby do wyeliminowania punktowych problemów wynikających ze stosowania obecnie obowiązujących przepisów przy zachowaniu modelu postępowania o zatwierdzenie tabel wynagrodzeń jako postępowania cywilnego;</w:t>
      </w:r>
    </w:p>
    <w:p w:rsidR="007824D6" w:rsidRPr="00E24274" w:rsidRDefault="007824D6" w:rsidP="00B07584">
      <w:pPr>
        <w:pStyle w:val="Akapitzlist"/>
        <w:numPr>
          <w:ilvl w:val="0"/>
          <w:numId w:val="23"/>
        </w:numPr>
        <w:spacing w:after="0" w:line="360" w:lineRule="auto"/>
        <w:ind w:left="335" w:hanging="335"/>
        <w:contextualSpacing w:val="0"/>
        <w:jc w:val="both"/>
        <w:rPr>
          <w:rFonts w:ascii="Times New Roman" w:hAnsi="Times New Roman"/>
          <w:sz w:val="24"/>
          <w:szCs w:val="24"/>
        </w:rPr>
      </w:pPr>
      <w:r w:rsidRPr="00E24274">
        <w:rPr>
          <w:rFonts w:ascii="Times New Roman" w:hAnsi="Times New Roman"/>
          <w:sz w:val="24"/>
          <w:szCs w:val="24"/>
        </w:rPr>
        <w:t>rezygnację z tabel wynagrodzeń i pozbawienie w ogóle Komisji kompetencji do prowadzeni</w:t>
      </w:r>
      <w:r w:rsidR="00582B25">
        <w:rPr>
          <w:rFonts w:ascii="Times New Roman" w:hAnsi="Times New Roman"/>
          <w:sz w:val="24"/>
          <w:szCs w:val="24"/>
        </w:rPr>
        <w:t>a</w:t>
      </w:r>
      <w:r w:rsidRPr="00E24274">
        <w:rPr>
          <w:rFonts w:ascii="Times New Roman" w:hAnsi="Times New Roman"/>
          <w:sz w:val="24"/>
          <w:szCs w:val="24"/>
        </w:rPr>
        <w:t xml:space="preserve"> postępowań o ich zatwierdzenie. </w:t>
      </w:r>
    </w:p>
    <w:p w:rsidR="007824D6" w:rsidRPr="00E24274" w:rsidRDefault="007824D6" w:rsidP="00E24274">
      <w:pPr>
        <w:spacing w:before="120" w:after="0" w:line="360" w:lineRule="auto"/>
        <w:jc w:val="both"/>
        <w:rPr>
          <w:rFonts w:ascii="Times New Roman" w:hAnsi="Times New Roman"/>
          <w:bCs/>
          <w:sz w:val="24"/>
          <w:szCs w:val="24"/>
          <w:lang w:eastAsia="pl-PL"/>
        </w:rPr>
      </w:pPr>
      <w:r w:rsidRPr="00E24274">
        <w:rPr>
          <w:rFonts w:ascii="Times New Roman" w:hAnsi="Times New Roman"/>
          <w:bCs/>
          <w:sz w:val="24"/>
          <w:szCs w:val="24"/>
          <w:lang w:eastAsia="pl-PL"/>
        </w:rPr>
        <w:t>Obie alternatywy zostały odrzucone. W pierwszym z analizowanych przypadków nawet idealne ukształtowanie reguł postępowania przed Komisją nie gwarantowałoby, jak dowodzi obserwacja aktywności Sądu Okręgowego w Poznaniu, że w racjonalnie dającym się przewidzieć czasie, tabele wynagrodzeń zaczęłyby wreszcie spełniać swoją funkcję.</w:t>
      </w:r>
      <w:r w:rsidR="007E4938" w:rsidRPr="00E24274">
        <w:rPr>
          <w:rFonts w:ascii="Times New Roman" w:hAnsi="Times New Roman"/>
          <w:bCs/>
          <w:sz w:val="24"/>
          <w:szCs w:val="24"/>
          <w:lang w:eastAsia="pl-PL"/>
        </w:rPr>
        <w:t xml:space="preserve"> Tego rodzaju problemy mógłby być może rozwiązać jedynie powołanie specjalnego sądu dedykowanego sprawom z zakresu własności intelektualnej. Utworzenie takiego organu funkcjonującego w różnych modelach w kilkudziesięciu państwach, pozostaje jednak poza zakresem kompetencji ministra właściwego d</w:t>
      </w:r>
      <w:r w:rsidR="00866D8C" w:rsidRPr="00E24274">
        <w:rPr>
          <w:rFonts w:ascii="Times New Roman" w:hAnsi="Times New Roman"/>
          <w:bCs/>
          <w:sz w:val="24"/>
          <w:szCs w:val="24"/>
          <w:lang w:eastAsia="pl-PL"/>
        </w:rPr>
        <w:t>o spraw</w:t>
      </w:r>
      <w:r w:rsidR="007E4938" w:rsidRPr="00E24274">
        <w:rPr>
          <w:rFonts w:ascii="Times New Roman" w:hAnsi="Times New Roman"/>
          <w:bCs/>
          <w:sz w:val="24"/>
          <w:szCs w:val="24"/>
          <w:lang w:eastAsia="pl-PL"/>
        </w:rPr>
        <w:t xml:space="preserve"> kultury i dziedzictwa narodowego. </w:t>
      </w:r>
      <w:r w:rsidRPr="00E24274">
        <w:rPr>
          <w:rFonts w:ascii="Times New Roman" w:hAnsi="Times New Roman"/>
          <w:bCs/>
          <w:sz w:val="24"/>
          <w:szCs w:val="24"/>
          <w:lang w:eastAsia="pl-PL"/>
        </w:rPr>
        <w:t xml:space="preserve">W drugim przypadku pojawiałoby się poważne ryzyko różnego traktowania tych samych sytuacji eksploatacyjnych przez poszczególne </w:t>
      </w:r>
      <w:r w:rsidRPr="00E24274">
        <w:rPr>
          <w:rFonts w:ascii="Times New Roman" w:hAnsi="Times New Roman"/>
          <w:bCs/>
          <w:sz w:val="24"/>
          <w:szCs w:val="24"/>
          <w:lang w:eastAsia="pl-PL"/>
        </w:rPr>
        <w:lastRenderedPageBreak/>
        <w:t>sądy cywilne, które rozpoznawałyby spory między organizacjami zbiorowego zarządzania a użytkownikami o wysokość należnego</w:t>
      </w:r>
      <w:r w:rsidR="00B07584">
        <w:rPr>
          <w:rFonts w:ascii="Times New Roman" w:hAnsi="Times New Roman"/>
          <w:bCs/>
          <w:sz w:val="24"/>
          <w:szCs w:val="24"/>
          <w:lang w:eastAsia="pl-PL"/>
        </w:rPr>
        <w:t xml:space="preserve"> wynagrodzenia za korzystanie z </w:t>
      </w:r>
      <w:r w:rsidRPr="00E24274">
        <w:rPr>
          <w:rFonts w:ascii="Times New Roman" w:hAnsi="Times New Roman"/>
          <w:bCs/>
          <w:sz w:val="24"/>
          <w:szCs w:val="24"/>
          <w:lang w:eastAsia="pl-PL"/>
        </w:rPr>
        <w:t>utworów lub przedmiotów praw pokrewnych. Prowadziłoby to do niepewności prawnej obu stron i było szczególnie niebezpieczne dla małych lub średnich przedsiębiorców, np. dokonujących publicznego odtwarzania muzyki przy okazji własnej działalności gospodarczej. Wybór którejkolwiek z opisanych alternatyw utrudniałby w praktyce funkcjonowanie systemu zbiorowego zarządzania w Polsce, prowadząc do licznych, niekończących się i wielopłaszczyznowych konfliktów między organizacjami zbiorowego zarządzania a organizacjami użytkowników (podobnie jak ma to miejsce obecnie przy braku zatwierdzonych tabel wynagrodzeń na polu eksploatacji reemisja w sieciach kablowych).</w:t>
      </w:r>
    </w:p>
    <w:p w:rsidR="000A2C92" w:rsidRPr="00E24274" w:rsidRDefault="007824D6" w:rsidP="00E24274">
      <w:pPr>
        <w:spacing w:before="120" w:after="0" w:line="360" w:lineRule="auto"/>
        <w:jc w:val="both"/>
        <w:rPr>
          <w:rFonts w:ascii="Times New Roman" w:hAnsi="Times New Roman"/>
          <w:bCs/>
          <w:sz w:val="24"/>
          <w:szCs w:val="24"/>
          <w:lang w:eastAsia="pl-PL"/>
        </w:rPr>
      </w:pPr>
      <w:r w:rsidRPr="00E24274">
        <w:rPr>
          <w:rFonts w:ascii="Times New Roman" w:hAnsi="Times New Roman"/>
          <w:bCs/>
          <w:sz w:val="24"/>
          <w:szCs w:val="24"/>
          <w:lang w:eastAsia="pl-PL"/>
        </w:rPr>
        <w:t>Wiele z zaproponowanych przepisów jest efektem dokonanego wyboru systemowego, np. regulujące rodzaje rozstrzygnięć zespołów orzekających, procedurę odwoławczą czy instrumenty prawne w przypadku przewlekłości postępowania. Inne są z kolei powtórzeniem regulacji obecnie obowiązujących (np. przepisy służące wykonaniu przywołanego wyroku TK z 2006 r.)</w:t>
      </w:r>
      <w:r w:rsidR="00582B25">
        <w:rPr>
          <w:rFonts w:ascii="Times New Roman" w:hAnsi="Times New Roman"/>
          <w:bCs/>
          <w:sz w:val="24"/>
          <w:szCs w:val="24"/>
          <w:lang w:eastAsia="pl-PL"/>
        </w:rPr>
        <w:t>;</w:t>
      </w:r>
      <w:r w:rsidRPr="00E24274">
        <w:rPr>
          <w:rFonts w:ascii="Times New Roman" w:hAnsi="Times New Roman"/>
          <w:bCs/>
          <w:sz w:val="24"/>
          <w:szCs w:val="24"/>
          <w:lang w:eastAsia="pl-PL"/>
        </w:rPr>
        <w:t xml:space="preserve"> potrzeba ich prz</w:t>
      </w:r>
      <w:r w:rsidR="00BB2307">
        <w:rPr>
          <w:rFonts w:ascii="Times New Roman" w:hAnsi="Times New Roman"/>
          <w:bCs/>
          <w:sz w:val="24"/>
          <w:szCs w:val="24"/>
          <w:lang w:eastAsia="pl-PL"/>
        </w:rPr>
        <w:t>eniesienia do projektu wynika z </w:t>
      </w:r>
      <w:r w:rsidRPr="00E24274">
        <w:rPr>
          <w:rFonts w:ascii="Times New Roman" w:hAnsi="Times New Roman"/>
          <w:bCs/>
          <w:sz w:val="24"/>
          <w:szCs w:val="24"/>
          <w:lang w:eastAsia="pl-PL"/>
        </w:rPr>
        <w:t>uchylenia rozdziału 12</w:t>
      </w:r>
      <w:r w:rsidRPr="00E24274">
        <w:rPr>
          <w:rFonts w:ascii="Times New Roman" w:hAnsi="Times New Roman"/>
          <w:bCs/>
          <w:sz w:val="24"/>
          <w:szCs w:val="24"/>
          <w:vertAlign w:val="superscript"/>
          <w:lang w:eastAsia="pl-PL"/>
        </w:rPr>
        <w:t>1</w:t>
      </w:r>
      <w:r w:rsidRPr="00E24274">
        <w:rPr>
          <w:rFonts w:ascii="Times New Roman" w:hAnsi="Times New Roman"/>
          <w:bCs/>
          <w:sz w:val="24"/>
          <w:szCs w:val="24"/>
          <w:lang w:eastAsia="pl-PL"/>
        </w:rPr>
        <w:t xml:space="preserve"> pr. aut., a także chęci wykorzystania rozwiązań, będących wynikiem kompromisu między uprawnionymi i użytkownikami, o ile zostały one ukształtowane prawidłowo we wspomnianej nowelizacji ustawy z 2010 r. Warte podkreślenia jest, że wzmocnione zostały przy tym regulacje mające służyć zachowaniu obiektywizmu i unikaniu wątpliwości</w:t>
      </w:r>
      <w:r w:rsidR="00582B25">
        <w:rPr>
          <w:rFonts w:ascii="Times New Roman" w:hAnsi="Times New Roman"/>
          <w:bCs/>
          <w:sz w:val="24"/>
          <w:szCs w:val="24"/>
          <w:lang w:eastAsia="pl-PL"/>
        </w:rPr>
        <w:t>,</w:t>
      </w:r>
      <w:r w:rsidRPr="00E24274">
        <w:rPr>
          <w:rFonts w:ascii="Times New Roman" w:hAnsi="Times New Roman"/>
          <w:bCs/>
          <w:sz w:val="24"/>
          <w:szCs w:val="24"/>
          <w:lang w:eastAsia="pl-PL"/>
        </w:rPr>
        <w:t xml:space="preserve"> co do bezstro</w:t>
      </w:r>
      <w:r w:rsidR="00BB2307">
        <w:rPr>
          <w:rFonts w:ascii="Times New Roman" w:hAnsi="Times New Roman"/>
          <w:bCs/>
          <w:sz w:val="24"/>
          <w:szCs w:val="24"/>
          <w:lang w:eastAsia="pl-PL"/>
        </w:rPr>
        <w:t>nności arbitrów zasiadających w </w:t>
      </w:r>
      <w:r w:rsidRPr="00E24274">
        <w:rPr>
          <w:rFonts w:ascii="Times New Roman" w:hAnsi="Times New Roman"/>
          <w:bCs/>
          <w:sz w:val="24"/>
          <w:szCs w:val="24"/>
          <w:lang w:eastAsia="pl-PL"/>
        </w:rPr>
        <w:t>zespołach orzekających Komisji (</w:t>
      </w:r>
      <w:r w:rsidRPr="00DE4E2F">
        <w:rPr>
          <w:rFonts w:ascii="Times New Roman" w:hAnsi="Times New Roman"/>
          <w:bCs/>
          <w:i/>
          <w:sz w:val="24"/>
          <w:szCs w:val="24"/>
          <w:lang w:eastAsia="pl-PL"/>
        </w:rPr>
        <w:t>vide</w:t>
      </w:r>
      <w:r w:rsidRPr="00E24274">
        <w:rPr>
          <w:rFonts w:ascii="Times New Roman" w:hAnsi="Times New Roman"/>
          <w:bCs/>
          <w:sz w:val="24"/>
          <w:szCs w:val="24"/>
          <w:lang w:eastAsia="pl-PL"/>
        </w:rPr>
        <w:t xml:space="preserve"> art. 63 ust. 3 oraz art. 72 ust. 5 projektu). Wprowadzono także regulacje nakładające w pewnych przypadkach obowiązek złożenia wspólnego wniosku o zatwierdzenie wspólnych tabel wynagrodzeń (</w:t>
      </w:r>
      <w:r w:rsidRPr="00DE4E2F">
        <w:rPr>
          <w:rFonts w:ascii="Times New Roman" w:hAnsi="Times New Roman"/>
          <w:bCs/>
          <w:i/>
          <w:sz w:val="24"/>
          <w:szCs w:val="24"/>
          <w:lang w:eastAsia="pl-PL"/>
        </w:rPr>
        <w:t>vide</w:t>
      </w:r>
      <w:r w:rsidRPr="00E24274">
        <w:rPr>
          <w:rFonts w:ascii="Times New Roman" w:hAnsi="Times New Roman"/>
          <w:bCs/>
          <w:sz w:val="24"/>
          <w:szCs w:val="24"/>
          <w:lang w:eastAsia="pl-PL"/>
        </w:rPr>
        <w:t xml:space="preserve"> art. 73 ust.</w:t>
      </w:r>
      <w:r w:rsidR="00F35A55" w:rsidRPr="00E24274">
        <w:rPr>
          <w:rFonts w:ascii="Times New Roman" w:hAnsi="Times New Roman"/>
          <w:bCs/>
          <w:sz w:val="24"/>
          <w:szCs w:val="24"/>
          <w:lang w:eastAsia="pl-PL"/>
        </w:rPr>
        <w:t xml:space="preserve"> 2 i</w:t>
      </w:r>
      <w:r w:rsidR="007E4938" w:rsidRPr="00E24274">
        <w:rPr>
          <w:rFonts w:ascii="Times New Roman" w:hAnsi="Times New Roman"/>
          <w:bCs/>
          <w:sz w:val="24"/>
          <w:szCs w:val="24"/>
          <w:lang w:eastAsia="pl-PL"/>
        </w:rPr>
        <w:t xml:space="preserve"> </w:t>
      </w:r>
      <w:r w:rsidR="000A2C92" w:rsidRPr="00E24274">
        <w:rPr>
          <w:rFonts w:ascii="Times New Roman" w:hAnsi="Times New Roman"/>
          <w:bCs/>
          <w:sz w:val="24"/>
          <w:szCs w:val="24"/>
          <w:lang w:eastAsia="pl-PL"/>
        </w:rPr>
        <w:t xml:space="preserve">3 </w:t>
      </w:r>
      <w:r w:rsidRPr="00E24274">
        <w:rPr>
          <w:rFonts w:ascii="Times New Roman" w:hAnsi="Times New Roman"/>
          <w:bCs/>
          <w:sz w:val="24"/>
          <w:szCs w:val="24"/>
          <w:lang w:eastAsia="pl-PL"/>
        </w:rPr>
        <w:t>projektu) lub ułatwiające w innych przypadkach złożenie tego rodzaju wniosku (</w:t>
      </w:r>
      <w:r w:rsidRPr="00DE4E2F">
        <w:rPr>
          <w:rFonts w:ascii="Times New Roman" w:hAnsi="Times New Roman"/>
          <w:bCs/>
          <w:i/>
          <w:sz w:val="24"/>
          <w:szCs w:val="24"/>
          <w:lang w:eastAsia="pl-PL"/>
        </w:rPr>
        <w:t>vide</w:t>
      </w:r>
      <w:r w:rsidRPr="00E24274">
        <w:rPr>
          <w:rFonts w:ascii="Times New Roman" w:hAnsi="Times New Roman"/>
          <w:bCs/>
          <w:sz w:val="24"/>
          <w:szCs w:val="24"/>
          <w:lang w:eastAsia="pl-PL"/>
        </w:rPr>
        <w:t xml:space="preserve"> art. 73 ust. 1 projektu). Inne zaprojektowane rozwiązania zostały szczegółowo opisane w dalszej części uzasadnienia tego rozdziału projektu. </w:t>
      </w:r>
    </w:p>
    <w:p w:rsidR="007824D6" w:rsidRPr="00E24274" w:rsidRDefault="007824D6" w:rsidP="00E24274">
      <w:pPr>
        <w:spacing w:before="120" w:after="0" w:line="360" w:lineRule="auto"/>
        <w:jc w:val="both"/>
        <w:outlineLvl w:val="0"/>
        <w:rPr>
          <w:rFonts w:ascii="Times New Roman" w:hAnsi="Times New Roman"/>
          <w:b/>
          <w:sz w:val="24"/>
          <w:szCs w:val="24"/>
          <w:lang w:eastAsia="pl-PL"/>
        </w:rPr>
      </w:pPr>
      <w:r w:rsidRPr="00E24274">
        <w:rPr>
          <w:rFonts w:ascii="Times New Roman" w:hAnsi="Times New Roman"/>
          <w:b/>
          <w:sz w:val="24"/>
          <w:szCs w:val="24"/>
          <w:lang w:eastAsia="pl-PL"/>
        </w:rPr>
        <w:t>Oddział 1. Przepisy ogólne (art. 61</w:t>
      </w:r>
      <w:r w:rsidR="00B85D46">
        <w:rPr>
          <w:rFonts w:ascii="Times New Roman" w:hAnsi="Times New Roman"/>
          <w:b/>
          <w:sz w:val="24"/>
          <w:szCs w:val="24"/>
          <w:lang w:eastAsia="pl-PL"/>
        </w:rPr>
        <w:t>–</w:t>
      </w:r>
      <w:r w:rsidRPr="00E24274">
        <w:rPr>
          <w:rFonts w:ascii="Times New Roman" w:hAnsi="Times New Roman"/>
          <w:b/>
          <w:sz w:val="24"/>
          <w:szCs w:val="24"/>
          <w:lang w:eastAsia="pl-PL"/>
        </w:rPr>
        <w:t>71 projektu)</w:t>
      </w:r>
    </w:p>
    <w:p w:rsidR="007824D6" w:rsidRPr="00E24274" w:rsidRDefault="007824D6" w:rsidP="00BB2307">
      <w:pPr>
        <w:widowControl w:val="0"/>
        <w:spacing w:after="0" w:line="360" w:lineRule="auto"/>
        <w:rPr>
          <w:rFonts w:ascii="Times New Roman" w:hAnsi="Times New Roman"/>
          <w:b/>
          <w:sz w:val="24"/>
          <w:szCs w:val="24"/>
          <w:lang w:eastAsia="pl-PL"/>
        </w:rPr>
      </w:pPr>
      <w:r w:rsidRPr="00E24274">
        <w:rPr>
          <w:rFonts w:ascii="Times New Roman" w:hAnsi="Times New Roman"/>
          <w:b/>
          <w:sz w:val="24"/>
          <w:szCs w:val="24"/>
          <w:lang w:eastAsia="pl-PL"/>
        </w:rPr>
        <w:t>art. 61</w:t>
      </w:r>
    </w:p>
    <w:p w:rsidR="007824D6" w:rsidRPr="00E24274" w:rsidRDefault="007824D6" w:rsidP="00BB2307">
      <w:pPr>
        <w:widowControl w:val="0"/>
        <w:spacing w:after="0" w:line="360" w:lineRule="auto"/>
        <w:jc w:val="both"/>
        <w:rPr>
          <w:rFonts w:ascii="Times New Roman" w:hAnsi="Times New Roman"/>
          <w:sz w:val="24"/>
          <w:szCs w:val="24"/>
          <w:lang w:eastAsia="pl-PL"/>
        </w:rPr>
      </w:pPr>
      <w:r w:rsidRPr="00E24274">
        <w:rPr>
          <w:rFonts w:ascii="Times New Roman" w:hAnsi="Times New Roman"/>
          <w:sz w:val="24"/>
          <w:szCs w:val="24"/>
          <w:lang w:eastAsia="pl-PL"/>
        </w:rPr>
        <w:t>1. Przepis – podobnie jak art. 110</w:t>
      </w:r>
      <w:r w:rsidRPr="00E24274">
        <w:rPr>
          <w:rFonts w:ascii="Times New Roman" w:hAnsi="Times New Roman"/>
          <w:sz w:val="24"/>
          <w:szCs w:val="24"/>
          <w:vertAlign w:val="superscript"/>
          <w:lang w:eastAsia="pl-PL"/>
        </w:rPr>
        <w:t xml:space="preserve">1 </w:t>
      </w:r>
      <w:r w:rsidRPr="00E24274">
        <w:rPr>
          <w:rFonts w:ascii="Times New Roman" w:hAnsi="Times New Roman"/>
          <w:sz w:val="24"/>
          <w:szCs w:val="24"/>
          <w:lang w:eastAsia="pl-PL"/>
        </w:rPr>
        <w:t>ust. 1</w:t>
      </w:r>
      <w:r w:rsidR="00B85D46">
        <w:rPr>
          <w:rFonts w:ascii="Times New Roman" w:hAnsi="Times New Roman"/>
          <w:sz w:val="24"/>
          <w:szCs w:val="24"/>
          <w:lang w:eastAsia="pl-PL"/>
        </w:rPr>
        <w:t>–</w:t>
      </w:r>
      <w:r w:rsidRPr="00E24274">
        <w:rPr>
          <w:rFonts w:ascii="Times New Roman" w:hAnsi="Times New Roman"/>
          <w:sz w:val="24"/>
          <w:szCs w:val="24"/>
          <w:lang w:eastAsia="pl-PL"/>
        </w:rPr>
        <w:t>2 pr. aut</w:t>
      </w:r>
      <w:r w:rsidR="000A2C92" w:rsidRPr="00E24274">
        <w:rPr>
          <w:rFonts w:ascii="Times New Roman" w:hAnsi="Times New Roman"/>
          <w:sz w:val="24"/>
          <w:szCs w:val="24"/>
          <w:lang w:eastAsia="pl-PL"/>
        </w:rPr>
        <w:t>.</w:t>
      </w:r>
      <w:r w:rsidRPr="00E24274">
        <w:rPr>
          <w:rFonts w:ascii="Times New Roman" w:hAnsi="Times New Roman"/>
          <w:sz w:val="24"/>
          <w:szCs w:val="24"/>
          <w:lang w:eastAsia="pl-PL"/>
        </w:rPr>
        <w:t xml:space="preserve"> – określa</w:t>
      </w:r>
      <w:r w:rsidRPr="00E24274">
        <w:rPr>
          <w:rFonts w:ascii="Times New Roman" w:eastAsiaTheme="minorEastAsia" w:hAnsi="Times New Roman"/>
          <w:sz w:val="24"/>
          <w:szCs w:val="24"/>
          <w:lang w:eastAsia="pl-PL"/>
        </w:rPr>
        <w:t xml:space="preserve"> kompetencję m</w:t>
      </w:r>
      <w:r w:rsidRPr="00E24274">
        <w:rPr>
          <w:rFonts w:ascii="Times New Roman" w:hAnsi="Times New Roman"/>
          <w:sz w:val="24"/>
          <w:szCs w:val="24"/>
          <w:lang w:eastAsia="pl-PL"/>
        </w:rPr>
        <w:t xml:space="preserve">inistra </w:t>
      </w:r>
      <w:r w:rsidRPr="00E24274">
        <w:rPr>
          <w:rFonts w:ascii="Times New Roman" w:hAnsi="Times New Roman"/>
          <w:sz w:val="24"/>
          <w:szCs w:val="24"/>
        </w:rPr>
        <w:t>właściwego d</w:t>
      </w:r>
      <w:r w:rsidR="000A2C92" w:rsidRPr="00E24274">
        <w:rPr>
          <w:rFonts w:ascii="Times New Roman" w:hAnsi="Times New Roman"/>
          <w:sz w:val="24"/>
          <w:szCs w:val="24"/>
        </w:rPr>
        <w:t xml:space="preserve">o </w:t>
      </w:r>
      <w:r w:rsidRPr="00E24274">
        <w:rPr>
          <w:rFonts w:ascii="Times New Roman" w:hAnsi="Times New Roman"/>
          <w:sz w:val="24"/>
          <w:szCs w:val="24"/>
        </w:rPr>
        <w:t>s</w:t>
      </w:r>
      <w:r w:rsidR="000A2C92" w:rsidRPr="00E24274">
        <w:rPr>
          <w:rFonts w:ascii="Times New Roman" w:hAnsi="Times New Roman"/>
          <w:sz w:val="24"/>
          <w:szCs w:val="24"/>
        </w:rPr>
        <w:t>praw</w:t>
      </w:r>
      <w:r w:rsidRPr="00E24274">
        <w:rPr>
          <w:rFonts w:ascii="Times New Roman" w:hAnsi="Times New Roman"/>
          <w:sz w:val="24"/>
          <w:szCs w:val="24"/>
        </w:rPr>
        <w:t xml:space="preserve"> kultury i ochrony dziedzictwa narodowego</w:t>
      </w:r>
      <w:r w:rsidRPr="00E24274">
        <w:rPr>
          <w:rFonts w:ascii="Times New Roman" w:hAnsi="Times New Roman"/>
          <w:sz w:val="24"/>
          <w:szCs w:val="24"/>
          <w:lang w:eastAsia="pl-PL"/>
        </w:rPr>
        <w:t xml:space="preserve"> do powołania Komisji, a także określa jej zadania. </w:t>
      </w:r>
    </w:p>
    <w:p w:rsidR="007824D6" w:rsidRPr="00E24274" w:rsidRDefault="007824D6" w:rsidP="00BB2307">
      <w:pPr>
        <w:widowControl w:val="0"/>
        <w:spacing w:before="120" w:after="0" w:line="360" w:lineRule="auto"/>
        <w:jc w:val="both"/>
        <w:rPr>
          <w:rFonts w:ascii="Times New Roman" w:hAnsi="Times New Roman"/>
          <w:sz w:val="24"/>
          <w:szCs w:val="24"/>
          <w:lang w:eastAsia="pl-PL"/>
        </w:rPr>
      </w:pPr>
      <w:r w:rsidRPr="00E24274">
        <w:rPr>
          <w:rFonts w:ascii="Times New Roman" w:hAnsi="Times New Roman"/>
          <w:sz w:val="24"/>
          <w:szCs w:val="24"/>
          <w:lang w:eastAsia="pl-PL"/>
        </w:rPr>
        <w:lastRenderedPageBreak/>
        <w:t>2. Zgodnie z ust. 2 projektowanego artykułu do tych zadań należy:</w:t>
      </w:r>
    </w:p>
    <w:p w:rsidR="007824D6" w:rsidRPr="00E24274" w:rsidRDefault="007824D6" w:rsidP="00BB2307">
      <w:pPr>
        <w:pStyle w:val="PKTpunkt"/>
        <w:numPr>
          <w:ilvl w:val="0"/>
          <w:numId w:val="24"/>
        </w:numPr>
        <w:ind w:left="322" w:hanging="308"/>
        <w:rPr>
          <w:rFonts w:ascii="Times New Roman" w:hAnsi="Times New Roman" w:cs="Times New Roman"/>
        </w:rPr>
      </w:pPr>
      <w:r w:rsidRPr="00E24274">
        <w:rPr>
          <w:rFonts w:ascii="Times New Roman" w:hAnsi="Times New Roman" w:cs="Times New Roman"/>
        </w:rPr>
        <w:t xml:space="preserve">rozpatrywanie spraw o zatwierdzanie i zmianę zatwierdzonych tabel wynagrodzeń za korzystanie z utworów lub przedmiotów praw pokrewnych; </w:t>
      </w:r>
    </w:p>
    <w:p w:rsidR="007824D6" w:rsidRPr="00E24274" w:rsidRDefault="007824D6" w:rsidP="00BB2307">
      <w:pPr>
        <w:pStyle w:val="PKTpunkt"/>
        <w:numPr>
          <w:ilvl w:val="0"/>
          <w:numId w:val="24"/>
        </w:numPr>
        <w:ind w:left="322" w:hanging="308"/>
        <w:rPr>
          <w:rFonts w:ascii="Times New Roman" w:hAnsi="Times New Roman" w:cs="Times New Roman"/>
        </w:rPr>
      </w:pPr>
      <w:r w:rsidRPr="00E24274">
        <w:rPr>
          <w:rFonts w:ascii="Times New Roman" w:hAnsi="Times New Roman" w:cs="Times New Roman"/>
        </w:rPr>
        <w:t>rozwiązywanie sporów dotyczących stosowania tabel</w:t>
      </w:r>
      <w:r w:rsidRPr="00E24274">
        <w:rPr>
          <w:rFonts w:ascii="Times New Roman" w:eastAsia="Calibri" w:hAnsi="Times New Roman" w:cs="Times New Roman"/>
          <w:bCs w:val="0"/>
          <w:lang w:eastAsia="en-US"/>
        </w:rPr>
        <w:t xml:space="preserve"> </w:t>
      </w:r>
      <w:r w:rsidRPr="00E24274">
        <w:rPr>
          <w:rFonts w:ascii="Times New Roman" w:hAnsi="Times New Roman" w:cs="Times New Roman"/>
        </w:rPr>
        <w:t>wynagrodzeń;</w:t>
      </w:r>
    </w:p>
    <w:p w:rsidR="007824D6" w:rsidRPr="00E24274" w:rsidRDefault="007824D6" w:rsidP="00BB2307">
      <w:pPr>
        <w:pStyle w:val="PKTpunkt"/>
        <w:numPr>
          <w:ilvl w:val="0"/>
          <w:numId w:val="24"/>
        </w:numPr>
        <w:ind w:left="322" w:hanging="308"/>
        <w:rPr>
          <w:rFonts w:ascii="Times New Roman" w:hAnsi="Times New Roman" w:cs="Times New Roman"/>
        </w:rPr>
      </w:pPr>
      <w:r w:rsidRPr="00E24274">
        <w:rPr>
          <w:rFonts w:ascii="Times New Roman" w:hAnsi="Times New Roman" w:cs="Times New Roman"/>
        </w:rPr>
        <w:t xml:space="preserve">rozwiązywanie sporów związanych z zawarciem </w:t>
      </w:r>
      <w:r w:rsidR="000B580D" w:rsidRPr="00E24274">
        <w:rPr>
          <w:rFonts w:ascii="Times New Roman" w:hAnsi="Times New Roman" w:cs="Times New Roman"/>
        </w:rPr>
        <w:t xml:space="preserve">i warunkami </w:t>
      </w:r>
      <w:r w:rsidR="00BB2307">
        <w:rPr>
          <w:rFonts w:ascii="Times New Roman" w:hAnsi="Times New Roman" w:cs="Times New Roman"/>
        </w:rPr>
        <w:t>umowy o </w:t>
      </w:r>
      <w:r w:rsidRPr="00E24274">
        <w:rPr>
          <w:rFonts w:ascii="Times New Roman" w:hAnsi="Times New Roman" w:cs="Times New Roman"/>
        </w:rPr>
        <w:t>reemi</w:t>
      </w:r>
      <w:r w:rsidR="000B580D" w:rsidRPr="00E24274">
        <w:rPr>
          <w:rFonts w:ascii="Times New Roman" w:hAnsi="Times New Roman" w:cs="Times New Roman"/>
        </w:rPr>
        <w:t xml:space="preserve">towanie </w:t>
      </w:r>
      <w:r w:rsidRPr="00E24274">
        <w:rPr>
          <w:rFonts w:ascii="Times New Roman" w:hAnsi="Times New Roman" w:cs="Times New Roman"/>
        </w:rPr>
        <w:t>w sieciach kablowych.</w:t>
      </w:r>
    </w:p>
    <w:p w:rsidR="007824D6" w:rsidRPr="00E24274" w:rsidRDefault="007824D6" w:rsidP="00E24274">
      <w:pPr>
        <w:spacing w:before="120" w:after="0" w:line="360" w:lineRule="auto"/>
        <w:jc w:val="both"/>
        <w:rPr>
          <w:rFonts w:ascii="Times New Roman" w:hAnsi="Times New Roman"/>
          <w:sz w:val="24"/>
          <w:szCs w:val="24"/>
          <w:lang w:eastAsia="pl-PL"/>
        </w:rPr>
      </w:pPr>
      <w:r w:rsidRPr="00E24274">
        <w:rPr>
          <w:rFonts w:ascii="Times New Roman" w:hAnsi="Times New Roman"/>
          <w:sz w:val="24"/>
          <w:szCs w:val="24"/>
          <w:lang w:eastAsia="pl-PL"/>
        </w:rPr>
        <w:t>W stosunku do obowiązującego stanu prawnego uregulowanego w art. 110</w:t>
      </w:r>
      <w:r w:rsidRPr="00E24274">
        <w:rPr>
          <w:rFonts w:ascii="Times New Roman" w:hAnsi="Times New Roman"/>
          <w:sz w:val="24"/>
          <w:szCs w:val="24"/>
          <w:vertAlign w:val="superscript"/>
          <w:lang w:eastAsia="pl-PL"/>
        </w:rPr>
        <w:t xml:space="preserve">1 </w:t>
      </w:r>
      <w:r w:rsidR="00BB2307">
        <w:rPr>
          <w:rFonts w:ascii="Times New Roman" w:hAnsi="Times New Roman"/>
          <w:sz w:val="24"/>
          <w:szCs w:val="24"/>
          <w:lang w:eastAsia="pl-PL"/>
        </w:rPr>
        <w:t>ust. 2 pr. </w:t>
      </w:r>
      <w:r w:rsidRPr="00E24274">
        <w:rPr>
          <w:rFonts w:ascii="Times New Roman" w:hAnsi="Times New Roman"/>
          <w:sz w:val="24"/>
          <w:szCs w:val="24"/>
          <w:lang w:eastAsia="pl-PL"/>
        </w:rPr>
        <w:t xml:space="preserve">aut. zadania Komisji zostały ograniczone przez wykreślenie zadań dotyczących prowadzenia postępowań o wyznaczenie organizacji właściwej oraz rozpatrywania spraw o odtworzenie akt. W pierwszym przypadku wiąże się to z projektowanym wprowadzeniem instytucji reprezentatywności organizacji, która pozwoli na przesądzenie </w:t>
      </w:r>
      <w:r w:rsidRPr="00E24274">
        <w:rPr>
          <w:rFonts w:ascii="Times New Roman" w:hAnsi="Times New Roman"/>
          <w:i/>
          <w:sz w:val="24"/>
          <w:szCs w:val="24"/>
          <w:lang w:eastAsia="pl-PL"/>
        </w:rPr>
        <w:t>en bloc</w:t>
      </w:r>
      <w:r w:rsidRPr="00E24274">
        <w:rPr>
          <w:rFonts w:ascii="Times New Roman" w:hAnsi="Times New Roman"/>
          <w:sz w:val="24"/>
          <w:szCs w:val="24"/>
          <w:lang w:eastAsia="pl-PL"/>
        </w:rPr>
        <w:t xml:space="preserve"> właściwości organizacji w stosunku do poszczególnych kategorii uprawnionych, jeżeli nie zawarli oni umowy z żadną organizacją (por. uwagi do art. 5 oraz art. 9 ust. 2 i 10 projektu). W ten sposób zbędne staje się postępowanie zmierzające do ustalenia, która organizacja jest właściwa do reprezentowania pojedynczego, konkretnego uprawnionego znajdującego się w takiej sytuacji. W drugim przypadku tego rodzaju incydentalne, bardzo rzadkie w praktyce postępowanie nie wymaga uregulowania o charakterze szczególnym.</w:t>
      </w:r>
    </w:p>
    <w:p w:rsidR="007824D6" w:rsidRPr="00E24274" w:rsidRDefault="007824D6" w:rsidP="00E24274">
      <w:pPr>
        <w:spacing w:before="120" w:after="0" w:line="360" w:lineRule="auto"/>
        <w:jc w:val="both"/>
        <w:rPr>
          <w:rFonts w:ascii="Times New Roman" w:hAnsi="Times New Roman"/>
          <w:bCs/>
          <w:sz w:val="24"/>
          <w:szCs w:val="24"/>
          <w:lang w:eastAsia="pl-PL"/>
        </w:rPr>
      </w:pPr>
      <w:r w:rsidRPr="00E24274">
        <w:rPr>
          <w:rFonts w:ascii="Times New Roman" w:hAnsi="Times New Roman"/>
          <w:sz w:val="24"/>
          <w:szCs w:val="24"/>
          <w:lang w:eastAsia="pl-PL"/>
        </w:rPr>
        <w:t>3. Ust. 3 i 4 projektowanego przepisu odsy</w:t>
      </w:r>
      <w:r w:rsidR="00BB2307">
        <w:rPr>
          <w:rFonts w:ascii="Times New Roman" w:hAnsi="Times New Roman"/>
          <w:sz w:val="24"/>
          <w:szCs w:val="24"/>
          <w:lang w:eastAsia="pl-PL"/>
        </w:rPr>
        <w:t>ła w zakresie nieuregulowanym w </w:t>
      </w:r>
      <w:r w:rsidRPr="00E24274">
        <w:rPr>
          <w:rFonts w:ascii="Times New Roman" w:hAnsi="Times New Roman"/>
          <w:sz w:val="24"/>
          <w:szCs w:val="24"/>
          <w:lang w:eastAsia="pl-PL"/>
        </w:rPr>
        <w:t xml:space="preserve">niniejszym rozdziale do aktów prawnych o charakterze </w:t>
      </w:r>
      <w:r w:rsidRPr="00E24274">
        <w:rPr>
          <w:rFonts w:ascii="Times New Roman" w:hAnsi="Times New Roman"/>
          <w:i/>
          <w:sz w:val="24"/>
          <w:szCs w:val="24"/>
        </w:rPr>
        <w:t>lex generalis</w:t>
      </w:r>
      <w:r w:rsidRPr="00E24274">
        <w:rPr>
          <w:rFonts w:ascii="Times New Roman" w:hAnsi="Times New Roman"/>
          <w:sz w:val="24"/>
          <w:szCs w:val="24"/>
          <w:lang w:eastAsia="pl-PL"/>
        </w:rPr>
        <w:t>, uwzględniając specyfikę poszczególnych post</w:t>
      </w:r>
      <w:r w:rsidR="00582B25">
        <w:rPr>
          <w:rFonts w:ascii="Times New Roman" w:hAnsi="Times New Roman"/>
          <w:sz w:val="24"/>
          <w:szCs w:val="24"/>
          <w:lang w:eastAsia="pl-PL"/>
        </w:rPr>
        <w:t>ę</w:t>
      </w:r>
      <w:r w:rsidRPr="00E24274">
        <w:rPr>
          <w:rFonts w:ascii="Times New Roman" w:hAnsi="Times New Roman"/>
          <w:sz w:val="24"/>
          <w:szCs w:val="24"/>
          <w:lang w:eastAsia="pl-PL"/>
        </w:rPr>
        <w:t>powań, których prowadzenie mieści się w ramach zadań Komisji. W przypadku postępowań związanych z zatwierdzeniem tabel wynagrodzeń oraz związanych z możliwymi postępowaniami wpadkowymi w tym względzie (</w:t>
      </w:r>
      <w:r w:rsidRPr="00E24274">
        <w:rPr>
          <w:rFonts w:ascii="Times New Roman" w:hAnsi="Times New Roman"/>
          <w:bCs/>
          <w:sz w:val="24"/>
          <w:szCs w:val="24"/>
          <w:lang w:eastAsia="pl-PL"/>
        </w:rPr>
        <w:t>uzupełnienie, sprostowanie oraz wyjaśnienie wątpliwości co do treści orzeczeń Komisji)</w:t>
      </w:r>
      <w:r w:rsidRPr="00E24274">
        <w:rPr>
          <w:rFonts w:ascii="Times New Roman" w:hAnsi="Times New Roman"/>
          <w:sz w:val="24"/>
          <w:szCs w:val="24"/>
          <w:lang w:eastAsia="pl-PL"/>
        </w:rPr>
        <w:t xml:space="preserve"> aktem takim jest Kodeks postępowania administracyjnego. W przypadku postępowań o charakterze mediacyjnym stosowane będą </w:t>
      </w:r>
      <w:r w:rsidRPr="00E24274">
        <w:rPr>
          <w:rFonts w:ascii="Times New Roman" w:hAnsi="Times New Roman"/>
          <w:bCs/>
          <w:sz w:val="24"/>
          <w:szCs w:val="24"/>
          <w:lang w:eastAsia="pl-PL"/>
        </w:rPr>
        <w:t>przepisy Kodeksu postępowania cywilnego o mediacji.</w:t>
      </w:r>
    </w:p>
    <w:p w:rsidR="007824D6" w:rsidRPr="00E24274" w:rsidRDefault="007824D6" w:rsidP="00E24274">
      <w:pPr>
        <w:spacing w:before="120" w:after="0" w:line="360" w:lineRule="auto"/>
        <w:rPr>
          <w:rFonts w:ascii="Times New Roman" w:hAnsi="Times New Roman"/>
          <w:b/>
          <w:sz w:val="24"/>
          <w:szCs w:val="24"/>
          <w:lang w:eastAsia="pl-PL"/>
        </w:rPr>
      </w:pPr>
      <w:r w:rsidRPr="00E24274">
        <w:rPr>
          <w:rFonts w:ascii="Times New Roman" w:hAnsi="Times New Roman"/>
          <w:b/>
          <w:sz w:val="24"/>
          <w:szCs w:val="24"/>
          <w:lang w:eastAsia="pl-PL"/>
        </w:rPr>
        <w:t>art. 62</w:t>
      </w:r>
    </w:p>
    <w:p w:rsidR="007824D6" w:rsidRPr="00E24274" w:rsidRDefault="007824D6" w:rsidP="00BB2307">
      <w:pPr>
        <w:spacing w:after="0" w:line="360" w:lineRule="auto"/>
        <w:jc w:val="both"/>
        <w:rPr>
          <w:rFonts w:ascii="Times New Roman" w:hAnsi="Times New Roman"/>
          <w:bCs/>
          <w:sz w:val="24"/>
          <w:szCs w:val="24"/>
          <w:lang w:eastAsia="pl-PL"/>
        </w:rPr>
      </w:pPr>
      <w:r w:rsidRPr="00E24274">
        <w:rPr>
          <w:rFonts w:ascii="Times New Roman" w:hAnsi="Times New Roman"/>
          <w:sz w:val="24"/>
          <w:szCs w:val="24"/>
          <w:lang w:eastAsia="pl-PL"/>
        </w:rPr>
        <w:t>1. Przepis określa skład Komisji (ust. 1)</w:t>
      </w:r>
      <w:r w:rsidR="005C6774" w:rsidRPr="00E24274">
        <w:rPr>
          <w:rFonts w:ascii="Times New Roman" w:hAnsi="Times New Roman"/>
          <w:sz w:val="24"/>
          <w:szCs w:val="24"/>
          <w:lang w:eastAsia="pl-PL"/>
        </w:rPr>
        <w:t xml:space="preserve"> oraz</w:t>
      </w:r>
      <w:r w:rsidRPr="00E24274">
        <w:rPr>
          <w:rFonts w:ascii="Times New Roman" w:hAnsi="Times New Roman"/>
          <w:sz w:val="24"/>
          <w:szCs w:val="24"/>
          <w:lang w:eastAsia="pl-PL"/>
        </w:rPr>
        <w:t xml:space="preserve"> kadencję arbitrów (ust. </w:t>
      </w:r>
      <w:r w:rsidR="008D493F" w:rsidRPr="00E24274">
        <w:rPr>
          <w:rFonts w:ascii="Times New Roman" w:hAnsi="Times New Roman"/>
          <w:sz w:val="24"/>
          <w:szCs w:val="24"/>
          <w:lang w:eastAsia="pl-PL"/>
        </w:rPr>
        <w:t>2</w:t>
      </w:r>
      <w:r w:rsidRPr="00E24274">
        <w:rPr>
          <w:rFonts w:ascii="Times New Roman" w:hAnsi="Times New Roman"/>
          <w:sz w:val="24"/>
          <w:szCs w:val="24"/>
          <w:lang w:eastAsia="pl-PL"/>
        </w:rPr>
        <w:t>)</w:t>
      </w:r>
      <w:r w:rsidRPr="00E24274">
        <w:rPr>
          <w:rFonts w:ascii="Times New Roman" w:hAnsi="Times New Roman"/>
          <w:bCs/>
          <w:sz w:val="24"/>
          <w:szCs w:val="24"/>
          <w:lang w:eastAsia="pl-PL"/>
        </w:rPr>
        <w:t>.</w:t>
      </w:r>
    </w:p>
    <w:p w:rsidR="007824D6" w:rsidRPr="00E24274" w:rsidRDefault="007824D6" w:rsidP="00E24274">
      <w:pPr>
        <w:spacing w:before="120" w:after="0" w:line="360" w:lineRule="auto"/>
        <w:jc w:val="both"/>
        <w:rPr>
          <w:rFonts w:ascii="Times New Roman" w:hAnsi="Times New Roman"/>
          <w:sz w:val="24"/>
          <w:szCs w:val="24"/>
          <w:lang w:eastAsia="pl-PL"/>
        </w:rPr>
      </w:pPr>
      <w:r w:rsidRPr="00E24274">
        <w:rPr>
          <w:rFonts w:ascii="Times New Roman" w:hAnsi="Times New Roman"/>
          <w:bCs/>
          <w:sz w:val="24"/>
          <w:szCs w:val="24"/>
          <w:lang w:eastAsia="pl-PL"/>
        </w:rPr>
        <w:t xml:space="preserve">2. Ust. 1 zmienia skład </w:t>
      </w:r>
      <w:r w:rsidR="000A2C92" w:rsidRPr="00E24274">
        <w:rPr>
          <w:rFonts w:ascii="Times New Roman" w:hAnsi="Times New Roman"/>
          <w:bCs/>
          <w:sz w:val="24"/>
          <w:szCs w:val="24"/>
          <w:lang w:eastAsia="pl-PL"/>
        </w:rPr>
        <w:t xml:space="preserve">liczbowy </w:t>
      </w:r>
      <w:r w:rsidRPr="00E24274">
        <w:rPr>
          <w:rFonts w:ascii="Times New Roman" w:hAnsi="Times New Roman"/>
          <w:bCs/>
          <w:sz w:val="24"/>
          <w:szCs w:val="24"/>
          <w:lang w:eastAsia="pl-PL"/>
        </w:rPr>
        <w:t xml:space="preserve">Komisji. </w:t>
      </w:r>
      <w:r w:rsidR="006F7E0C" w:rsidRPr="00E24274">
        <w:rPr>
          <w:rFonts w:ascii="Times New Roman" w:hAnsi="Times New Roman"/>
          <w:bCs/>
          <w:sz w:val="24"/>
          <w:szCs w:val="24"/>
          <w:lang w:eastAsia="pl-PL"/>
        </w:rPr>
        <w:t>Zgodnie z projektem</w:t>
      </w:r>
      <w:r w:rsidRPr="00E24274">
        <w:rPr>
          <w:rFonts w:ascii="Times New Roman" w:hAnsi="Times New Roman"/>
          <w:bCs/>
          <w:sz w:val="24"/>
          <w:szCs w:val="24"/>
          <w:lang w:eastAsia="pl-PL"/>
        </w:rPr>
        <w:t xml:space="preserve"> zasiada w niej </w:t>
      </w:r>
      <w:r w:rsidR="00BB2307">
        <w:rPr>
          <w:rFonts w:ascii="Times New Roman" w:hAnsi="Times New Roman"/>
          <w:bCs/>
          <w:sz w:val="24"/>
          <w:szCs w:val="24"/>
          <w:lang w:eastAsia="pl-PL"/>
        </w:rPr>
        <w:t>20 </w:t>
      </w:r>
      <w:r w:rsidRPr="00E24274">
        <w:rPr>
          <w:rFonts w:ascii="Times New Roman" w:hAnsi="Times New Roman"/>
          <w:bCs/>
          <w:sz w:val="24"/>
          <w:szCs w:val="24"/>
          <w:lang w:eastAsia="pl-PL"/>
        </w:rPr>
        <w:t>arbitrów</w:t>
      </w:r>
      <w:r w:rsidR="006F7E0C" w:rsidRPr="00E24274">
        <w:rPr>
          <w:rFonts w:ascii="Times New Roman" w:hAnsi="Times New Roman"/>
          <w:bCs/>
          <w:sz w:val="24"/>
          <w:szCs w:val="24"/>
          <w:lang w:eastAsia="pl-PL"/>
        </w:rPr>
        <w:t>.</w:t>
      </w:r>
      <w:r w:rsidRPr="00E24274">
        <w:rPr>
          <w:rFonts w:ascii="Times New Roman" w:hAnsi="Times New Roman"/>
          <w:bCs/>
          <w:sz w:val="24"/>
          <w:szCs w:val="24"/>
          <w:lang w:eastAsia="pl-PL"/>
        </w:rPr>
        <w:t xml:space="preserve"> Utrzymanie takiej liczby arbitrów</w:t>
      </w:r>
      <w:r w:rsidR="00582B25">
        <w:rPr>
          <w:rFonts w:ascii="Times New Roman" w:hAnsi="Times New Roman"/>
          <w:bCs/>
          <w:sz w:val="24"/>
          <w:szCs w:val="24"/>
          <w:lang w:eastAsia="pl-PL"/>
        </w:rPr>
        <w:t>,</w:t>
      </w:r>
      <w:r w:rsidRPr="00E24274">
        <w:rPr>
          <w:rFonts w:ascii="Times New Roman" w:hAnsi="Times New Roman"/>
          <w:bCs/>
          <w:sz w:val="24"/>
          <w:szCs w:val="24"/>
          <w:lang w:eastAsia="pl-PL"/>
        </w:rPr>
        <w:t xml:space="preserve"> </w:t>
      </w:r>
      <w:r w:rsidR="000B580D" w:rsidRPr="00E24274">
        <w:rPr>
          <w:rFonts w:ascii="Times New Roman" w:hAnsi="Times New Roman"/>
          <w:bCs/>
          <w:sz w:val="24"/>
          <w:szCs w:val="24"/>
          <w:lang w:eastAsia="pl-PL"/>
        </w:rPr>
        <w:t xml:space="preserve">z jednej strony </w:t>
      </w:r>
      <w:r w:rsidRPr="00E24274">
        <w:rPr>
          <w:rFonts w:ascii="Times New Roman" w:hAnsi="Times New Roman"/>
          <w:bCs/>
          <w:sz w:val="24"/>
          <w:szCs w:val="24"/>
          <w:lang w:eastAsia="pl-PL"/>
        </w:rPr>
        <w:t xml:space="preserve">zapewni Komisji </w:t>
      </w:r>
      <w:r w:rsidRPr="00E24274">
        <w:rPr>
          <w:rFonts w:ascii="Times New Roman" w:hAnsi="Times New Roman"/>
          <w:bCs/>
          <w:sz w:val="24"/>
          <w:szCs w:val="24"/>
          <w:lang w:eastAsia="pl-PL"/>
        </w:rPr>
        <w:lastRenderedPageBreak/>
        <w:t>możliwość reprezentowania szerokiego spektrum podmiotów tworzących system prawa autorskiego</w:t>
      </w:r>
      <w:r w:rsidR="000B580D" w:rsidRPr="00E24274">
        <w:rPr>
          <w:rFonts w:ascii="Times New Roman" w:hAnsi="Times New Roman"/>
          <w:bCs/>
          <w:sz w:val="24"/>
          <w:szCs w:val="24"/>
          <w:lang w:eastAsia="pl-PL"/>
        </w:rPr>
        <w:t>, z drugiej zaś powinno pozwolić na sprawniejsze prowadzenie postępowań</w:t>
      </w:r>
      <w:r w:rsidR="006F7E0C" w:rsidRPr="00E24274">
        <w:rPr>
          <w:rFonts w:ascii="Times New Roman" w:hAnsi="Times New Roman"/>
          <w:bCs/>
          <w:sz w:val="24"/>
          <w:szCs w:val="24"/>
          <w:lang w:eastAsia="pl-PL"/>
        </w:rPr>
        <w:t>.</w:t>
      </w:r>
    </w:p>
    <w:p w:rsidR="007824D6" w:rsidRPr="00E24274" w:rsidRDefault="007824D6" w:rsidP="00E24274">
      <w:pPr>
        <w:spacing w:before="120" w:after="0" w:line="360" w:lineRule="auto"/>
        <w:rPr>
          <w:rFonts w:ascii="Times New Roman" w:hAnsi="Times New Roman"/>
          <w:b/>
          <w:sz w:val="24"/>
          <w:szCs w:val="24"/>
          <w:lang w:eastAsia="pl-PL"/>
        </w:rPr>
      </w:pPr>
      <w:r w:rsidRPr="00E24274">
        <w:rPr>
          <w:rFonts w:ascii="Times New Roman" w:hAnsi="Times New Roman"/>
          <w:b/>
          <w:sz w:val="24"/>
          <w:szCs w:val="24"/>
          <w:lang w:eastAsia="pl-PL"/>
        </w:rPr>
        <w:t>art. 63</w:t>
      </w:r>
    </w:p>
    <w:p w:rsidR="007824D6" w:rsidRPr="00E24274" w:rsidRDefault="007824D6" w:rsidP="00BB2307">
      <w:pPr>
        <w:spacing w:after="0" w:line="360" w:lineRule="auto"/>
        <w:jc w:val="both"/>
        <w:rPr>
          <w:rFonts w:ascii="Times New Roman" w:hAnsi="Times New Roman"/>
          <w:bCs/>
          <w:sz w:val="24"/>
          <w:szCs w:val="24"/>
          <w:lang w:eastAsia="pl-PL"/>
        </w:rPr>
      </w:pPr>
      <w:r w:rsidRPr="00E24274">
        <w:rPr>
          <w:rFonts w:ascii="Times New Roman" w:hAnsi="Times New Roman"/>
          <w:sz w:val="24"/>
          <w:szCs w:val="24"/>
          <w:lang w:eastAsia="pl-PL"/>
        </w:rPr>
        <w:t>1. Przepis reguluje tryb powoływania czło</w:t>
      </w:r>
      <w:r w:rsidR="00BB2307">
        <w:rPr>
          <w:rFonts w:ascii="Times New Roman" w:hAnsi="Times New Roman"/>
          <w:sz w:val="24"/>
          <w:szCs w:val="24"/>
          <w:lang w:eastAsia="pl-PL"/>
        </w:rPr>
        <w:t>nków Komisji w sposób zbieżny z </w:t>
      </w:r>
      <w:r w:rsidRPr="00E24274">
        <w:rPr>
          <w:rFonts w:ascii="Times New Roman" w:hAnsi="Times New Roman"/>
          <w:sz w:val="24"/>
          <w:szCs w:val="24"/>
          <w:lang w:eastAsia="pl-PL"/>
        </w:rPr>
        <w:t>obowiązującym art. 110</w:t>
      </w:r>
      <w:r w:rsidRPr="00E24274">
        <w:rPr>
          <w:rFonts w:ascii="Times New Roman" w:hAnsi="Times New Roman"/>
          <w:sz w:val="24"/>
          <w:szCs w:val="24"/>
          <w:vertAlign w:val="superscript"/>
          <w:lang w:eastAsia="pl-PL"/>
        </w:rPr>
        <w:t>2</w:t>
      </w:r>
      <w:r w:rsidRPr="00E24274">
        <w:rPr>
          <w:rFonts w:ascii="Times New Roman" w:hAnsi="Times New Roman"/>
          <w:sz w:val="24"/>
          <w:szCs w:val="24"/>
          <w:lang w:eastAsia="pl-PL"/>
        </w:rPr>
        <w:t xml:space="preserve"> ust. 2</w:t>
      </w:r>
      <w:r w:rsidR="00B85D46">
        <w:rPr>
          <w:rFonts w:ascii="Times New Roman" w:hAnsi="Times New Roman"/>
          <w:sz w:val="24"/>
          <w:szCs w:val="24"/>
          <w:lang w:eastAsia="pl-PL"/>
        </w:rPr>
        <w:t>–</w:t>
      </w:r>
      <w:r w:rsidRPr="00E24274">
        <w:rPr>
          <w:rFonts w:ascii="Times New Roman" w:hAnsi="Times New Roman"/>
          <w:sz w:val="24"/>
          <w:szCs w:val="24"/>
          <w:lang w:eastAsia="pl-PL"/>
        </w:rPr>
        <w:t>5 pr. aut. Jednocześnie doprecyzowane – w stosunku do art. 110</w:t>
      </w:r>
      <w:r w:rsidRPr="00E24274">
        <w:rPr>
          <w:rFonts w:ascii="Times New Roman" w:hAnsi="Times New Roman"/>
          <w:sz w:val="24"/>
          <w:szCs w:val="24"/>
          <w:vertAlign w:val="superscript"/>
          <w:lang w:eastAsia="pl-PL"/>
        </w:rPr>
        <w:t>2</w:t>
      </w:r>
      <w:r w:rsidRPr="00E24274">
        <w:rPr>
          <w:rFonts w:ascii="Times New Roman" w:hAnsi="Times New Roman"/>
          <w:sz w:val="24"/>
          <w:szCs w:val="24"/>
          <w:lang w:eastAsia="pl-PL"/>
        </w:rPr>
        <w:t xml:space="preserve"> ust. 4 pr. aut – zostają wymagania, jakie powinien spełniać kandydat na arbitra Komisji (ust. </w:t>
      </w:r>
      <w:r w:rsidR="00424D40" w:rsidRPr="00E24274">
        <w:rPr>
          <w:rFonts w:ascii="Times New Roman" w:hAnsi="Times New Roman"/>
          <w:sz w:val="24"/>
          <w:szCs w:val="24"/>
          <w:lang w:eastAsia="pl-PL"/>
        </w:rPr>
        <w:t xml:space="preserve">3 </w:t>
      </w:r>
      <w:r w:rsidRPr="00E24274">
        <w:rPr>
          <w:rFonts w:ascii="Times New Roman" w:hAnsi="Times New Roman"/>
          <w:sz w:val="24"/>
          <w:szCs w:val="24"/>
          <w:lang w:eastAsia="pl-PL"/>
        </w:rPr>
        <w:t>projektowanego przepisu). Dodatkowo na kandydata na arbitra – w celu uniknięcia konfliktu interesów przy wyznaczaniu członków zespołów orzekających w poszczególnych sprawach – zostaje nałożony obowiązek składania oświadczeń o</w:t>
      </w:r>
      <w:r w:rsidRPr="00E24274">
        <w:rPr>
          <w:rFonts w:ascii="Times New Roman" w:eastAsiaTheme="minorEastAsia" w:hAnsi="Times New Roman"/>
          <w:sz w:val="24"/>
          <w:szCs w:val="24"/>
          <w:lang w:eastAsia="pl-PL"/>
        </w:rPr>
        <w:t xml:space="preserve"> </w:t>
      </w:r>
      <w:r w:rsidRPr="00E24274">
        <w:rPr>
          <w:rFonts w:ascii="Times New Roman" w:hAnsi="Times New Roman"/>
          <w:sz w:val="24"/>
          <w:szCs w:val="24"/>
          <w:lang w:eastAsia="pl-PL"/>
        </w:rPr>
        <w:t xml:space="preserve">stosunkach łączących go z podmiotami zgłaszającymi kandydatów oraz osobami pełniącymi funkcję w organach tych podmiotów </w:t>
      </w:r>
      <w:r w:rsidRPr="00E24274">
        <w:rPr>
          <w:rFonts w:ascii="Times New Roman" w:hAnsi="Times New Roman"/>
          <w:bCs/>
          <w:sz w:val="24"/>
          <w:szCs w:val="24"/>
          <w:lang w:eastAsia="pl-PL"/>
        </w:rPr>
        <w:t xml:space="preserve">w ciągu pięciu lat przed złożeniem oświadczenia </w:t>
      </w:r>
      <w:r w:rsidRPr="00E24274">
        <w:rPr>
          <w:rFonts w:ascii="Times New Roman" w:hAnsi="Times New Roman"/>
          <w:sz w:val="24"/>
          <w:szCs w:val="24"/>
          <w:lang w:eastAsia="pl-PL"/>
        </w:rPr>
        <w:t xml:space="preserve">(ust. </w:t>
      </w:r>
      <w:r w:rsidR="00424D40" w:rsidRPr="00E24274">
        <w:rPr>
          <w:rFonts w:ascii="Times New Roman" w:hAnsi="Times New Roman"/>
          <w:sz w:val="24"/>
          <w:szCs w:val="24"/>
          <w:lang w:eastAsia="pl-PL"/>
        </w:rPr>
        <w:t>5</w:t>
      </w:r>
      <w:r w:rsidR="008B045E" w:rsidRPr="00E24274">
        <w:rPr>
          <w:rFonts w:ascii="Times New Roman" w:hAnsi="Times New Roman"/>
          <w:sz w:val="24"/>
          <w:szCs w:val="24"/>
          <w:lang w:eastAsia="pl-PL"/>
        </w:rPr>
        <w:t xml:space="preserve"> pkt 2</w:t>
      </w:r>
      <w:r w:rsidRPr="00E24274">
        <w:rPr>
          <w:rFonts w:ascii="Times New Roman" w:hAnsi="Times New Roman"/>
          <w:sz w:val="24"/>
          <w:szCs w:val="24"/>
          <w:lang w:eastAsia="pl-PL"/>
        </w:rPr>
        <w:t xml:space="preserve"> projektowanego przepisu).</w:t>
      </w:r>
    </w:p>
    <w:p w:rsidR="007824D6" w:rsidRPr="00E24274" w:rsidRDefault="007824D6" w:rsidP="00E24274">
      <w:pPr>
        <w:spacing w:before="120" w:after="0" w:line="360" w:lineRule="auto"/>
        <w:jc w:val="both"/>
        <w:rPr>
          <w:rFonts w:ascii="Times New Roman" w:hAnsi="Times New Roman"/>
          <w:bCs/>
          <w:sz w:val="24"/>
          <w:szCs w:val="24"/>
          <w:lang w:eastAsia="pl-PL"/>
        </w:rPr>
      </w:pPr>
      <w:r w:rsidRPr="00E24274">
        <w:rPr>
          <w:rFonts w:ascii="Times New Roman" w:hAnsi="Times New Roman"/>
          <w:sz w:val="24"/>
          <w:szCs w:val="24"/>
          <w:lang w:eastAsia="pl-PL"/>
        </w:rPr>
        <w:t>2. Procedura powoływania członków Komisji – zgodnie z ust. 1 projektowanego artykułu – rozpoczyna się od ogłoszenia informacji o jej rozpoczęciu w sposób wskazany w przepisie (analogicznie do obowiązującego art. 110</w:t>
      </w:r>
      <w:r w:rsidRPr="00E24274">
        <w:rPr>
          <w:rFonts w:ascii="Times New Roman" w:hAnsi="Times New Roman"/>
          <w:sz w:val="24"/>
          <w:szCs w:val="24"/>
          <w:vertAlign w:val="superscript"/>
          <w:lang w:eastAsia="pl-PL"/>
        </w:rPr>
        <w:t>2</w:t>
      </w:r>
      <w:r w:rsidRPr="00E24274">
        <w:rPr>
          <w:rFonts w:ascii="Times New Roman" w:hAnsi="Times New Roman"/>
          <w:sz w:val="24"/>
          <w:szCs w:val="24"/>
          <w:lang w:eastAsia="pl-PL"/>
        </w:rPr>
        <w:t xml:space="preserve"> ust. 2 pr. aut.). Niezmieniona pozostaje także – w zestawieniu z art. 110</w:t>
      </w:r>
      <w:r w:rsidRPr="00E24274">
        <w:rPr>
          <w:rFonts w:ascii="Times New Roman" w:hAnsi="Times New Roman"/>
          <w:sz w:val="24"/>
          <w:szCs w:val="24"/>
          <w:vertAlign w:val="superscript"/>
          <w:lang w:eastAsia="pl-PL"/>
        </w:rPr>
        <w:t>2</w:t>
      </w:r>
      <w:r w:rsidR="00BB2307">
        <w:rPr>
          <w:rFonts w:ascii="Times New Roman" w:hAnsi="Times New Roman"/>
          <w:sz w:val="24"/>
          <w:szCs w:val="24"/>
          <w:lang w:eastAsia="pl-PL"/>
        </w:rPr>
        <w:t xml:space="preserve"> ust. 3 pr. aut. – określona w </w:t>
      </w:r>
      <w:r w:rsidRPr="00E24274">
        <w:rPr>
          <w:rFonts w:ascii="Times New Roman" w:hAnsi="Times New Roman"/>
          <w:sz w:val="24"/>
          <w:szCs w:val="24"/>
          <w:lang w:eastAsia="pl-PL"/>
        </w:rPr>
        <w:t>ust. 2 projektowanego artykułu, lista podmiotów, które mogą zgłaszać kandydatów na arbitrów. Podobnie jak obowiązujący art. 110</w:t>
      </w:r>
      <w:r w:rsidRPr="00E24274">
        <w:rPr>
          <w:rFonts w:ascii="Times New Roman" w:hAnsi="Times New Roman"/>
          <w:sz w:val="24"/>
          <w:szCs w:val="24"/>
          <w:vertAlign w:val="superscript"/>
          <w:lang w:eastAsia="pl-PL"/>
        </w:rPr>
        <w:t>2</w:t>
      </w:r>
      <w:r w:rsidRPr="00E24274">
        <w:rPr>
          <w:rFonts w:ascii="Times New Roman" w:hAnsi="Times New Roman"/>
          <w:sz w:val="24"/>
          <w:szCs w:val="24"/>
          <w:lang w:eastAsia="pl-PL"/>
        </w:rPr>
        <w:t xml:space="preserve"> ust. 5 pr. aut. projekt reguluje również</w:t>
      </w:r>
      <w:r w:rsidR="00BB2307">
        <w:rPr>
          <w:rFonts w:ascii="Times New Roman" w:hAnsi="Times New Roman"/>
          <w:sz w:val="24"/>
          <w:szCs w:val="24"/>
          <w:lang w:eastAsia="pl-PL"/>
        </w:rPr>
        <w:t xml:space="preserve"> w </w:t>
      </w:r>
      <w:r w:rsidR="00814D7E" w:rsidRPr="00E24274">
        <w:rPr>
          <w:rFonts w:ascii="Times New Roman" w:hAnsi="Times New Roman"/>
          <w:sz w:val="24"/>
          <w:szCs w:val="24"/>
          <w:lang w:eastAsia="pl-PL"/>
        </w:rPr>
        <w:t xml:space="preserve">treści art. 63 ust. 4 </w:t>
      </w:r>
      <w:r w:rsidRPr="00E24274">
        <w:rPr>
          <w:rFonts w:ascii="Times New Roman" w:hAnsi="Times New Roman"/>
          <w:sz w:val="24"/>
          <w:szCs w:val="24"/>
          <w:lang w:eastAsia="pl-PL"/>
        </w:rPr>
        <w:t>krąg osób wyłączonych z kandydowania na arbitra Komisji, eliminując osoby pełniące funkcję w organie podmiotu, który może zgłaszać kandydatów na arbitrów</w:t>
      </w:r>
      <w:r w:rsidR="00582B25">
        <w:rPr>
          <w:rFonts w:ascii="Times New Roman" w:hAnsi="Times New Roman"/>
          <w:sz w:val="24"/>
          <w:szCs w:val="24"/>
          <w:lang w:eastAsia="pl-PL"/>
        </w:rPr>
        <w:t>,</w:t>
      </w:r>
      <w:r w:rsidRPr="00E24274">
        <w:rPr>
          <w:rFonts w:ascii="Times New Roman" w:hAnsi="Times New Roman"/>
          <w:sz w:val="24"/>
          <w:szCs w:val="24"/>
          <w:lang w:eastAsia="pl-PL"/>
        </w:rPr>
        <w:t xml:space="preserve"> oraz </w:t>
      </w:r>
      <w:r w:rsidRPr="00E24274">
        <w:rPr>
          <w:rFonts w:ascii="Times New Roman" w:hAnsi="Times New Roman"/>
          <w:bCs/>
          <w:sz w:val="24"/>
          <w:szCs w:val="24"/>
          <w:lang w:eastAsia="pl-PL"/>
        </w:rPr>
        <w:t>skazane prawomocnym wyrokiem za przestępstwo umyślne lub przestępstwo umyślne skarbowe lub w stosunku do których orzeczono zakaz zajmowania określonego stanowiska, wykonywania określonego zawodu lub prowadzenia określonej działalności gospodarczej.</w:t>
      </w:r>
    </w:p>
    <w:p w:rsidR="007824D6" w:rsidRPr="00E24274" w:rsidRDefault="007824D6" w:rsidP="00E24274">
      <w:pPr>
        <w:spacing w:before="120" w:after="0" w:line="360" w:lineRule="auto"/>
        <w:jc w:val="both"/>
        <w:rPr>
          <w:rFonts w:ascii="Times New Roman" w:hAnsi="Times New Roman"/>
          <w:sz w:val="24"/>
          <w:szCs w:val="24"/>
          <w:lang w:eastAsia="pl-PL"/>
        </w:rPr>
      </w:pPr>
      <w:r w:rsidRPr="00E24274">
        <w:rPr>
          <w:rFonts w:ascii="Times New Roman" w:hAnsi="Times New Roman"/>
          <w:sz w:val="24"/>
          <w:szCs w:val="24"/>
          <w:lang w:eastAsia="pl-PL"/>
        </w:rPr>
        <w:t>3. Doprecyzowanie wymagań, jakie winni spełniać kandydaci na arbitrów</w:t>
      </w:r>
      <w:r w:rsidR="008B045E" w:rsidRPr="00E24274">
        <w:rPr>
          <w:rFonts w:ascii="Times New Roman" w:hAnsi="Times New Roman"/>
          <w:sz w:val="24"/>
          <w:szCs w:val="24"/>
          <w:lang w:eastAsia="pl-PL"/>
        </w:rPr>
        <w:t>, które jest dokonane w ust. 3 projektowanego przepisu,</w:t>
      </w:r>
      <w:r w:rsidRPr="00E24274">
        <w:rPr>
          <w:rFonts w:ascii="Times New Roman" w:hAnsi="Times New Roman"/>
          <w:sz w:val="24"/>
          <w:szCs w:val="24"/>
          <w:lang w:eastAsia="pl-PL"/>
        </w:rPr>
        <w:t xml:space="preserve"> polega na wskazaniu, że – oprócz </w:t>
      </w:r>
      <w:r w:rsidRPr="00E24274">
        <w:rPr>
          <w:rFonts w:ascii="Times New Roman" w:hAnsi="Times New Roman"/>
          <w:sz w:val="24"/>
          <w:szCs w:val="24"/>
        </w:rPr>
        <w:t xml:space="preserve">odpowiedniej wiedzy oraz niezbędnego doświadczenia zawodowego z zakresu prawa autorskiego i praw pokrewnych – kandydat powinien posiadać co najmniej stopień naukowy doktora nauk prawnych lub nauk ekonomicznych lub wpis na listę radców prawnych, adwokatów, biegłych rewidentów lub doradców inwestycyjnych. Rozwiązanie to służy podkreśleniu, że merytoryczne przygotowanie, jakie powinien posiadać arbiter Komisji, powinno być odzwierciedlone także przez spełnienie przez </w:t>
      </w:r>
      <w:r w:rsidRPr="00E24274">
        <w:rPr>
          <w:rFonts w:ascii="Times New Roman" w:hAnsi="Times New Roman"/>
          <w:sz w:val="24"/>
          <w:szCs w:val="24"/>
        </w:rPr>
        <w:lastRenderedPageBreak/>
        <w:t>niego, łatwiejszych do zweryfikowania w toku procedury powoływania, kryteriów formalnych.</w:t>
      </w:r>
    </w:p>
    <w:p w:rsidR="00DD55CB" w:rsidRPr="00E24274" w:rsidRDefault="007824D6" w:rsidP="00E24274">
      <w:pPr>
        <w:spacing w:before="120" w:after="0" w:line="360" w:lineRule="auto"/>
        <w:jc w:val="both"/>
        <w:rPr>
          <w:rFonts w:ascii="Times New Roman" w:hAnsi="Times New Roman"/>
          <w:sz w:val="24"/>
          <w:szCs w:val="24"/>
          <w:lang w:eastAsia="pl-PL"/>
        </w:rPr>
      </w:pPr>
      <w:r w:rsidRPr="00E24274">
        <w:rPr>
          <w:rFonts w:ascii="Times New Roman" w:hAnsi="Times New Roman"/>
          <w:sz w:val="24"/>
          <w:szCs w:val="24"/>
          <w:lang w:eastAsia="pl-PL"/>
        </w:rPr>
        <w:t xml:space="preserve">4. </w:t>
      </w:r>
      <w:r w:rsidR="008B045E" w:rsidRPr="00E24274">
        <w:rPr>
          <w:rFonts w:ascii="Times New Roman" w:hAnsi="Times New Roman"/>
          <w:sz w:val="24"/>
          <w:szCs w:val="24"/>
          <w:lang w:eastAsia="pl-PL"/>
        </w:rPr>
        <w:t xml:space="preserve">Ust. </w:t>
      </w:r>
      <w:r w:rsidR="00424D40" w:rsidRPr="00E24274">
        <w:rPr>
          <w:rFonts w:ascii="Times New Roman" w:hAnsi="Times New Roman"/>
          <w:sz w:val="24"/>
          <w:szCs w:val="24"/>
          <w:lang w:eastAsia="pl-PL"/>
        </w:rPr>
        <w:t>5</w:t>
      </w:r>
      <w:r w:rsidR="008B045E" w:rsidRPr="00E24274">
        <w:rPr>
          <w:rFonts w:ascii="Times New Roman" w:hAnsi="Times New Roman"/>
          <w:sz w:val="24"/>
          <w:szCs w:val="24"/>
          <w:lang w:eastAsia="pl-PL"/>
        </w:rPr>
        <w:t xml:space="preserve"> określa, jakie elementy powinno mieć zgłoszeni</w:t>
      </w:r>
      <w:r w:rsidR="00582B25">
        <w:rPr>
          <w:rFonts w:ascii="Times New Roman" w:hAnsi="Times New Roman"/>
          <w:sz w:val="24"/>
          <w:szCs w:val="24"/>
          <w:lang w:eastAsia="pl-PL"/>
        </w:rPr>
        <w:t>e</w:t>
      </w:r>
      <w:r w:rsidR="008B045E" w:rsidRPr="00E24274">
        <w:rPr>
          <w:rFonts w:ascii="Times New Roman" w:hAnsi="Times New Roman"/>
          <w:sz w:val="24"/>
          <w:szCs w:val="24"/>
          <w:lang w:eastAsia="pl-PL"/>
        </w:rPr>
        <w:t xml:space="preserve"> kandydata na arbitra Komisji, wyliczając w szczególności, jakie oświadczenia powinien złożyć taki kandydat. </w:t>
      </w:r>
      <w:r w:rsidRPr="00E24274">
        <w:rPr>
          <w:rFonts w:ascii="Times New Roman" w:hAnsi="Times New Roman"/>
          <w:sz w:val="24"/>
          <w:szCs w:val="24"/>
          <w:lang w:eastAsia="pl-PL"/>
        </w:rPr>
        <w:t>Dodanie obowiązku składania oświadczeń</w:t>
      </w:r>
      <w:r w:rsidR="008B045E" w:rsidRPr="00E24274">
        <w:rPr>
          <w:rFonts w:ascii="Times New Roman" w:hAnsi="Times New Roman"/>
          <w:sz w:val="24"/>
          <w:szCs w:val="24"/>
          <w:lang w:eastAsia="pl-PL"/>
        </w:rPr>
        <w:t xml:space="preserve"> wskazanych w ust. </w:t>
      </w:r>
      <w:r w:rsidR="00424D40" w:rsidRPr="00E24274">
        <w:rPr>
          <w:rFonts w:ascii="Times New Roman" w:hAnsi="Times New Roman"/>
          <w:sz w:val="24"/>
          <w:szCs w:val="24"/>
          <w:lang w:eastAsia="pl-PL"/>
        </w:rPr>
        <w:t>5</w:t>
      </w:r>
      <w:r w:rsidR="008B045E" w:rsidRPr="00E24274">
        <w:rPr>
          <w:rFonts w:ascii="Times New Roman" w:hAnsi="Times New Roman"/>
          <w:sz w:val="24"/>
          <w:szCs w:val="24"/>
          <w:lang w:eastAsia="pl-PL"/>
        </w:rPr>
        <w:t xml:space="preserve"> pkt 2</w:t>
      </w:r>
      <w:r w:rsidRPr="00E24274">
        <w:rPr>
          <w:rFonts w:ascii="Times New Roman" w:hAnsi="Times New Roman"/>
          <w:sz w:val="24"/>
          <w:szCs w:val="24"/>
          <w:lang w:eastAsia="pl-PL"/>
        </w:rPr>
        <w:t xml:space="preserve"> służy uniknięciu sytuacji, w której w rozpoznawaniu </w:t>
      </w:r>
      <w:r w:rsidR="00582B25">
        <w:rPr>
          <w:rFonts w:ascii="Times New Roman" w:hAnsi="Times New Roman"/>
          <w:sz w:val="24"/>
          <w:szCs w:val="24"/>
          <w:lang w:eastAsia="pl-PL"/>
        </w:rPr>
        <w:t xml:space="preserve">w </w:t>
      </w:r>
      <w:r w:rsidRPr="00E24274">
        <w:rPr>
          <w:rFonts w:ascii="Times New Roman" w:hAnsi="Times New Roman"/>
          <w:sz w:val="24"/>
          <w:szCs w:val="24"/>
          <w:lang w:eastAsia="pl-PL"/>
        </w:rPr>
        <w:t>poszczególnych sprawach miały brać udział osoby mogące znajdować się w sytuacji potencjalnego konfliktu interesów. Jest on skorelowany z wynikającym z art. 72 ust. 5 projektu obowiązkiem</w:t>
      </w:r>
      <w:r w:rsidR="00DD55CB" w:rsidRPr="00E24274">
        <w:rPr>
          <w:rFonts w:ascii="Times New Roman" w:hAnsi="Times New Roman"/>
          <w:sz w:val="24"/>
          <w:szCs w:val="24"/>
          <w:lang w:eastAsia="pl-PL"/>
        </w:rPr>
        <w:t xml:space="preserve"> dokonywania oceny bezstronności członków zespołów orzekających przy ich wyznaczaniu przez Przewodniczącego Komisji, który w tym celu będzie brał pod uwagę </w:t>
      </w:r>
      <w:r w:rsidRPr="00E24274">
        <w:rPr>
          <w:rFonts w:ascii="Times New Roman" w:hAnsi="Times New Roman"/>
          <w:sz w:val="24"/>
          <w:szCs w:val="24"/>
          <w:lang w:eastAsia="pl-PL"/>
        </w:rPr>
        <w:t>treś</w:t>
      </w:r>
      <w:r w:rsidR="00DD55CB" w:rsidRPr="00E24274">
        <w:rPr>
          <w:rFonts w:ascii="Times New Roman" w:hAnsi="Times New Roman"/>
          <w:sz w:val="24"/>
          <w:szCs w:val="24"/>
          <w:lang w:eastAsia="pl-PL"/>
        </w:rPr>
        <w:t>ć</w:t>
      </w:r>
      <w:r w:rsidRPr="00E24274">
        <w:rPr>
          <w:rFonts w:ascii="Times New Roman" w:hAnsi="Times New Roman"/>
          <w:sz w:val="24"/>
          <w:szCs w:val="24"/>
          <w:lang w:eastAsia="pl-PL"/>
        </w:rPr>
        <w:t xml:space="preserve"> złożonych oświadczeń. Przepis służy zapewnieniu w praktyce obiektywizmu i wszechstronnego rozpoznawania wniosków przez Komisję działającą za pośrednictwem osób, które nawet potencjalnie nie są zainteresowane w określonym załatwieniu danej sprawy.</w:t>
      </w:r>
      <w:r w:rsidR="00DD55CB" w:rsidRPr="00E24274">
        <w:rPr>
          <w:rFonts w:ascii="Times New Roman" w:hAnsi="Times New Roman"/>
          <w:sz w:val="24"/>
          <w:szCs w:val="24"/>
          <w:lang w:eastAsia="pl-PL"/>
        </w:rPr>
        <w:t xml:space="preserve"> Jego konsekwencją jest zobowiązanie arbitrów Komisji do niezwłocznego aktualizowania złożonych oświadczeń w przypadku zmiany objętych nimi okoliczności (art. </w:t>
      </w:r>
      <w:r w:rsidR="0083773E" w:rsidRPr="00E24274">
        <w:rPr>
          <w:rFonts w:ascii="Times New Roman" w:hAnsi="Times New Roman"/>
          <w:sz w:val="24"/>
          <w:szCs w:val="24"/>
          <w:lang w:eastAsia="pl-PL"/>
        </w:rPr>
        <w:t>63</w:t>
      </w:r>
      <w:r w:rsidR="00DD55CB" w:rsidRPr="00E24274">
        <w:rPr>
          <w:rFonts w:ascii="Times New Roman" w:hAnsi="Times New Roman"/>
          <w:sz w:val="24"/>
          <w:szCs w:val="24"/>
          <w:lang w:eastAsia="pl-PL"/>
        </w:rPr>
        <w:t xml:space="preserve"> ust. 7 projektu).</w:t>
      </w:r>
    </w:p>
    <w:p w:rsidR="007824D6" w:rsidRPr="00E24274" w:rsidRDefault="008B045E" w:rsidP="00E24274">
      <w:pPr>
        <w:spacing w:before="120" w:after="0" w:line="360" w:lineRule="auto"/>
        <w:jc w:val="both"/>
        <w:rPr>
          <w:rFonts w:ascii="Times New Roman" w:hAnsi="Times New Roman"/>
          <w:sz w:val="24"/>
          <w:szCs w:val="24"/>
          <w:lang w:eastAsia="pl-PL"/>
        </w:rPr>
      </w:pPr>
      <w:r w:rsidRPr="00E24274">
        <w:rPr>
          <w:rFonts w:ascii="Times New Roman" w:hAnsi="Times New Roman"/>
          <w:sz w:val="24"/>
          <w:szCs w:val="24"/>
          <w:lang w:eastAsia="pl-PL"/>
        </w:rPr>
        <w:t xml:space="preserve">Pozostałe </w:t>
      </w:r>
      <w:r w:rsidR="00DD55CB" w:rsidRPr="00E24274">
        <w:rPr>
          <w:rFonts w:ascii="Times New Roman" w:hAnsi="Times New Roman"/>
          <w:sz w:val="24"/>
          <w:szCs w:val="24"/>
          <w:lang w:eastAsia="pl-PL"/>
        </w:rPr>
        <w:t xml:space="preserve">wymagane dokumenty i </w:t>
      </w:r>
      <w:r w:rsidRPr="00E24274">
        <w:rPr>
          <w:rFonts w:ascii="Times New Roman" w:hAnsi="Times New Roman"/>
          <w:sz w:val="24"/>
          <w:szCs w:val="24"/>
          <w:lang w:eastAsia="pl-PL"/>
        </w:rPr>
        <w:t xml:space="preserve">oświadczenia – poza dość oczywistą zgodą na kandydowanie </w:t>
      </w:r>
      <w:r w:rsidR="006F7E0C" w:rsidRPr="00E24274">
        <w:rPr>
          <w:rFonts w:ascii="Times New Roman" w:hAnsi="Times New Roman"/>
          <w:sz w:val="24"/>
          <w:szCs w:val="24"/>
          <w:lang w:eastAsia="pl-PL"/>
        </w:rPr>
        <w:t>–</w:t>
      </w:r>
      <w:r w:rsidRPr="00E24274">
        <w:rPr>
          <w:rFonts w:ascii="Times New Roman" w:hAnsi="Times New Roman"/>
          <w:sz w:val="24"/>
          <w:szCs w:val="24"/>
          <w:lang w:eastAsia="pl-PL"/>
        </w:rPr>
        <w:t xml:space="preserve"> stanowią potwierdzenie, że kandydat na arbitra spełnia kryteria wskazane w treści ust. 3 projektowanego przepisu, a także że nie zachodzą kryteria wykluczające </w:t>
      </w:r>
      <w:r w:rsidR="00814D7E" w:rsidRPr="00E24274">
        <w:rPr>
          <w:rFonts w:ascii="Times New Roman" w:hAnsi="Times New Roman"/>
          <w:sz w:val="24"/>
          <w:szCs w:val="24"/>
          <w:lang w:eastAsia="pl-PL"/>
        </w:rPr>
        <w:t xml:space="preserve">możliwość </w:t>
      </w:r>
      <w:r w:rsidRPr="00E24274">
        <w:rPr>
          <w:rFonts w:ascii="Times New Roman" w:hAnsi="Times New Roman"/>
          <w:sz w:val="24"/>
          <w:szCs w:val="24"/>
          <w:lang w:eastAsia="pl-PL"/>
        </w:rPr>
        <w:t>kandydowani</w:t>
      </w:r>
      <w:r w:rsidR="00582B25">
        <w:rPr>
          <w:rFonts w:ascii="Times New Roman" w:hAnsi="Times New Roman"/>
          <w:sz w:val="24"/>
          <w:szCs w:val="24"/>
          <w:lang w:eastAsia="pl-PL"/>
        </w:rPr>
        <w:t>a</w:t>
      </w:r>
      <w:r w:rsidRPr="00E24274">
        <w:rPr>
          <w:rFonts w:ascii="Times New Roman" w:hAnsi="Times New Roman"/>
          <w:sz w:val="24"/>
          <w:szCs w:val="24"/>
          <w:lang w:eastAsia="pl-PL"/>
        </w:rPr>
        <w:t xml:space="preserve"> </w:t>
      </w:r>
      <w:r w:rsidR="00814D7E" w:rsidRPr="00E24274">
        <w:rPr>
          <w:rFonts w:ascii="Times New Roman" w:hAnsi="Times New Roman"/>
          <w:sz w:val="24"/>
          <w:szCs w:val="24"/>
          <w:lang w:eastAsia="pl-PL"/>
        </w:rPr>
        <w:t xml:space="preserve">przez konkretną osobę, które zostały </w:t>
      </w:r>
      <w:r w:rsidRPr="00E24274">
        <w:rPr>
          <w:rFonts w:ascii="Times New Roman" w:hAnsi="Times New Roman"/>
          <w:sz w:val="24"/>
          <w:szCs w:val="24"/>
          <w:lang w:eastAsia="pl-PL"/>
        </w:rPr>
        <w:t xml:space="preserve">określone w ust. </w:t>
      </w:r>
      <w:r w:rsidR="00814D7E" w:rsidRPr="00E24274">
        <w:rPr>
          <w:rFonts w:ascii="Times New Roman" w:hAnsi="Times New Roman"/>
          <w:sz w:val="24"/>
          <w:szCs w:val="24"/>
          <w:lang w:eastAsia="pl-PL"/>
        </w:rPr>
        <w:t>4</w:t>
      </w:r>
      <w:r w:rsidRPr="00E24274">
        <w:rPr>
          <w:rFonts w:ascii="Times New Roman" w:hAnsi="Times New Roman"/>
          <w:sz w:val="24"/>
          <w:szCs w:val="24"/>
          <w:lang w:eastAsia="pl-PL"/>
        </w:rPr>
        <w:t xml:space="preserve"> projektowanego przepisu.</w:t>
      </w:r>
      <w:r w:rsidR="00E24274">
        <w:rPr>
          <w:rFonts w:ascii="Times New Roman" w:hAnsi="Times New Roman"/>
          <w:sz w:val="24"/>
          <w:szCs w:val="24"/>
          <w:lang w:eastAsia="pl-PL"/>
        </w:rPr>
        <w:t xml:space="preserve"> </w:t>
      </w:r>
    </w:p>
    <w:p w:rsidR="00DD55CB" w:rsidRPr="00E24274" w:rsidRDefault="008B045E" w:rsidP="00E24274">
      <w:pPr>
        <w:spacing w:before="120" w:after="0" w:line="360" w:lineRule="auto"/>
        <w:jc w:val="both"/>
        <w:rPr>
          <w:rFonts w:ascii="Times New Roman" w:hAnsi="Times New Roman"/>
          <w:sz w:val="24"/>
          <w:szCs w:val="24"/>
          <w:lang w:eastAsia="pl-PL"/>
        </w:rPr>
      </w:pPr>
      <w:r w:rsidRPr="00E24274">
        <w:rPr>
          <w:rFonts w:ascii="Times New Roman" w:hAnsi="Times New Roman"/>
          <w:sz w:val="24"/>
          <w:szCs w:val="24"/>
          <w:lang w:eastAsia="pl-PL"/>
        </w:rPr>
        <w:t xml:space="preserve">5. Ust. </w:t>
      </w:r>
      <w:r w:rsidR="00424D40" w:rsidRPr="00E24274">
        <w:rPr>
          <w:rFonts w:ascii="Times New Roman" w:hAnsi="Times New Roman"/>
          <w:sz w:val="24"/>
          <w:szCs w:val="24"/>
          <w:lang w:eastAsia="pl-PL"/>
        </w:rPr>
        <w:t>6</w:t>
      </w:r>
      <w:r w:rsidRPr="00E24274">
        <w:rPr>
          <w:rFonts w:ascii="Times New Roman" w:hAnsi="Times New Roman"/>
          <w:sz w:val="24"/>
          <w:szCs w:val="24"/>
          <w:lang w:eastAsia="pl-PL"/>
        </w:rPr>
        <w:t xml:space="preserve"> reguluje procedurę uzupełniania zgłoszeń kandydatów na arbitrów w sytuacji, gdy zawierają one braki formalne</w:t>
      </w:r>
      <w:r w:rsidR="00814D7E" w:rsidRPr="00E24274">
        <w:rPr>
          <w:rFonts w:ascii="Times New Roman" w:hAnsi="Times New Roman"/>
          <w:sz w:val="24"/>
          <w:szCs w:val="24"/>
          <w:lang w:eastAsia="pl-PL"/>
        </w:rPr>
        <w:t xml:space="preserve">, co niestety zdarza się przy każdej okazji powoływania składu Komisji. Z kolei ust. </w:t>
      </w:r>
      <w:r w:rsidR="00DD55CB" w:rsidRPr="00E24274">
        <w:rPr>
          <w:rFonts w:ascii="Times New Roman" w:hAnsi="Times New Roman"/>
          <w:sz w:val="24"/>
          <w:szCs w:val="24"/>
          <w:lang w:eastAsia="pl-PL"/>
        </w:rPr>
        <w:t xml:space="preserve">8 </w:t>
      </w:r>
      <w:r w:rsidR="00814D7E" w:rsidRPr="00E24274">
        <w:rPr>
          <w:rFonts w:ascii="Times New Roman" w:hAnsi="Times New Roman"/>
          <w:sz w:val="24"/>
          <w:szCs w:val="24"/>
          <w:lang w:eastAsia="pl-PL"/>
        </w:rPr>
        <w:t xml:space="preserve">wprowadza – w sposób podobny jak art. 21 ust. 3 projektu </w:t>
      </w:r>
      <w:r w:rsidR="006F7E0C" w:rsidRPr="00E24274">
        <w:rPr>
          <w:rFonts w:ascii="Times New Roman" w:hAnsi="Times New Roman"/>
          <w:sz w:val="24"/>
          <w:szCs w:val="24"/>
          <w:lang w:eastAsia="pl-PL"/>
        </w:rPr>
        <w:t>–</w:t>
      </w:r>
      <w:r w:rsidR="00814D7E" w:rsidRPr="00E24274">
        <w:rPr>
          <w:rFonts w:ascii="Times New Roman" w:hAnsi="Times New Roman"/>
          <w:sz w:val="24"/>
          <w:szCs w:val="24"/>
          <w:lang w:eastAsia="pl-PL"/>
        </w:rPr>
        <w:t xml:space="preserve"> sankcję karną za złożenie fałszywego oświadczenia. Rozwiązanie to jest od dawna stosowane w polskim systemie prawnym w przypadku różnego typu oświadczeń, które są składane przez osoby fizyczne i rodzą określone skutki prawne.</w:t>
      </w:r>
      <w:r w:rsidR="00DD55CB" w:rsidRPr="00E24274">
        <w:rPr>
          <w:rFonts w:ascii="Times New Roman" w:hAnsi="Times New Roman"/>
          <w:sz w:val="24"/>
          <w:szCs w:val="24"/>
          <w:lang w:eastAsia="pl-PL"/>
        </w:rPr>
        <w:t xml:space="preserve"> Na podstawie art. 116 projektu odpowiedzialności karnej będzie podlegać także brak aktualizacji oświadczenia.</w:t>
      </w:r>
    </w:p>
    <w:p w:rsidR="007824D6" w:rsidRPr="00E24274" w:rsidRDefault="007824D6" w:rsidP="00E24274">
      <w:pPr>
        <w:spacing w:before="120" w:after="0" w:line="360" w:lineRule="auto"/>
        <w:rPr>
          <w:rFonts w:ascii="Times New Roman" w:hAnsi="Times New Roman"/>
          <w:b/>
          <w:sz w:val="24"/>
          <w:szCs w:val="24"/>
          <w:lang w:eastAsia="pl-PL"/>
        </w:rPr>
      </w:pPr>
      <w:r w:rsidRPr="00E24274">
        <w:rPr>
          <w:rFonts w:ascii="Times New Roman" w:hAnsi="Times New Roman"/>
          <w:b/>
          <w:sz w:val="24"/>
          <w:szCs w:val="24"/>
          <w:lang w:eastAsia="pl-PL"/>
        </w:rPr>
        <w:t>art. 64</w:t>
      </w:r>
    </w:p>
    <w:p w:rsidR="007824D6" w:rsidRPr="00E24274" w:rsidRDefault="007824D6" w:rsidP="00BB2307">
      <w:pPr>
        <w:spacing w:after="0" w:line="360" w:lineRule="auto"/>
        <w:jc w:val="both"/>
        <w:rPr>
          <w:rFonts w:ascii="Times New Roman" w:hAnsi="Times New Roman"/>
          <w:sz w:val="24"/>
          <w:szCs w:val="24"/>
          <w:lang w:eastAsia="pl-PL"/>
        </w:rPr>
      </w:pPr>
      <w:r w:rsidRPr="00E24274">
        <w:rPr>
          <w:rFonts w:ascii="Times New Roman" w:hAnsi="Times New Roman"/>
          <w:sz w:val="24"/>
          <w:szCs w:val="24"/>
          <w:lang w:eastAsia="pl-PL"/>
        </w:rPr>
        <w:t>1. Ust. 1 projektowanego artykułu odzwierciedla</w:t>
      </w:r>
      <w:r w:rsidR="00BB2307">
        <w:rPr>
          <w:rFonts w:ascii="Times New Roman" w:hAnsi="Times New Roman"/>
          <w:sz w:val="24"/>
          <w:szCs w:val="24"/>
          <w:lang w:eastAsia="pl-PL"/>
        </w:rPr>
        <w:t xml:space="preserve"> podstawową zasadę wynikającą z </w:t>
      </w:r>
      <w:r w:rsidRPr="00E24274">
        <w:rPr>
          <w:rFonts w:ascii="Times New Roman" w:hAnsi="Times New Roman"/>
          <w:sz w:val="24"/>
          <w:szCs w:val="24"/>
          <w:lang w:eastAsia="pl-PL"/>
        </w:rPr>
        <w:t xml:space="preserve">wyroku TK z dnia 26 stycznia 2006 r. (sygn. akt SK 40/04), zgodnie z którą </w:t>
      </w:r>
      <w:r w:rsidR="00BB2307">
        <w:rPr>
          <w:rFonts w:ascii="Times New Roman" w:hAnsi="Times New Roman"/>
          <w:sz w:val="24"/>
          <w:szCs w:val="24"/>
          <w:lang w:eastAsia="pl-PL"/>
        </w:rPr>
        <w:lastRenderedPageBreak/>
        <w:t>w </w:t>
      </w:r>
      <w:r w:rsidRPr="00E24274">
        <w:rPr>
          <w:rFonts w:ascii="Times New Roman" w:hAnsi="Times New Roman"/>
          <w:sz w:val="24"/>
          <w:szCs w:val="24"/>
          <w:lang w:eastAsia="pl-PL"/>
        </w:rPr>
        <w:t>składzie Komisji powinni być reprezentowani w równych proporcjach arbitrzy zgłaszani przez organizacje reprezentujące uprawnionych oraz organizacje reprezentujące użytkowników praw. Przepis w tym względzie odzwierciedl</w:t>
      </w:r>
      <w:r w:rsidR="000B580D" w:rsidRPr="00E24274">
        <w:rPr>
          <w:rFonts w:ascii="Times New Roman" w:hAnsi="Times New Roman"/>
          <w:sz w:val="24"/>
          <w:szCs w:val="24"/>
          <w:lang w:eastAsia="pl-PL"/>
        </w:rPr>
        <w:t>a</w:t>
      </w:r>
      <w:r w:rsidRPr="00E24274">
        <w:rPr>
          <w:rFonts w:ascii="Times New Roman" w:hAnsi="Times New Roman"/>
          <w:sz w:val="24"/>
          <w:szCs w:val="24"/>
          <w:lang w:eastAsia="pl-PL"/>
        </w:rPr>
        <w:t xml:space="preserve"> art. 110</w:t>
      </w:r>
      <w:r w:rsidRPr="00E24274">
        <w:rPr>
          <w:rFonts w:ascii="Times New Roman" w:hAnsi="Times New Roman"/>
          <w:sz w:val="24"/>
          <w:szCs w:val="24"/>
          <w:vertAlign w:val="superscript"/>
          <w:lang w:eastAsia="pl-PL"/>
        </w:rPr>
        <w:t>2</w:t>
      </w:r>
      <w:r w:rsidRPr="00E24274">
        <w:rPr>
          <w:rFonts w:ascii="Times New Roman" w:hAnsi="Times New Roman"/>
          <w:sz w:val="24"/>
          <w:szCs w:val="24"/>
          <w:lang w:eastAsia="pl-PL"/>
        </w:rPr>
        <w:t xml:space="preserve"> ust. 6 pr. aut.</w:t>
      </w:r>
      <w:r w:rsidR="000B580D" w:rsidRPr="00E24274">
        <w:rPr>
          <w:rFonts w:ascii="Times New Roman" w:hAnsi="Times New Roman"/>
          <w:sz w:val="24"/>
          <w:szCs w:val="24"/>
          <w:lang w:eastAsia="pl-PL"/>
        </w:rPr>
        <w:t xml:space="preserve"> Jednakże w związku ze zmniejszeniem składu Komisji do 20 arbitrów, organizacje uprawnionych i użytkowników będą reprezentowane przez 10</w:t>
      </w:r>
      <w:r w:rsidR="00424D40" w:rsidRPr="00E24274">
        <w:rPr>
          <w:rFonts w:ascii="Times New Roman" w:hAnsi="Times New Roman"/>
          <w:sz w:val="24"/>
          <w:szCs w:val="24"/>
          <w:lang w:eastAsia="pl-PL"/>
        </w:rPr>
        <w:t xml:space="preserve"> (każda)</w:t>
      </w:r>
      <w:r w:rsidR="000B580D" w:rsidRPr="00E24274">
        <w:rPr>
          <w:rFonts w:ascii="Times New Roman" w:hAnsi="Times New Roman"/>
          <w:sz w:val="24"/>
          <w:szCs w:val="24"/>
          <w:lang w:eastAsia="pl-PL"/>
        </w:rPr>
        <w:t>, a nie 15 przedstawicieli</w:t>
      </w:r>
      <w:r w:rsidR="00582B25">
        <w:rPr>
          <w:rFonts w:ascii="Times New Roman" w:hAnsi="Times New Roman"/>
          <w:sz w:val="24"/>
          <w:szCs w:val="24"/>
          <w:lang w:eastAsia="pl-PL"/>
        </w:rPr>
        <w:t>,</w:t>
      </w:r>
      <w:r w:rsidR="008B045E" w:rsidRPr="00E24274">
        <w:rPr>
          <w:rFonts w:ascii="Times New Roman" w:hAnsi="Times New Roman"/>
          <w:sz w:val="24"/>
          <w:szCs w:val="24"/>
          <w:lang w:eastAsia="pl-PL"/>
        </w:rPr>
        <w:t xml:space="preserve"> jak to ma miejsce w obowiązującym stanie prawnym.</w:t>
      </w:r>
    </w:p>
    <w:p w:rsidR="007824D6" w:rsidRPr="00E24274" w:rsidRDefault="007824D6" w:rsidP="00E24274">
      <w:pPr>
        <w:spacing w:before="120" w:after="0" w:line="360" w:lineRule="auto"/>
        <w:jc w:val="both"/>
        <w:rPr>
          <w:rFonts w:ascii="Times New Roman" w:hAnsi="Times New Roman"/>
          <w:sz w:val="24"/>
          <w:szCs w:val="24"/>
          <w:lang w:eastAsia="pl-PL"/>
        </w:rPr>
      </w:pPr>
      <w:r w:rsidRPr="00E24274">
        <w:rPr>
          <w:rFonts w:ascii="Times New Roman" w:hAnsi="Times New Roman"/>
          <w:sz w:val="24"/>
          <w:szCs w:val="24"/>
          <w:lang w:eastAsia="pl-PL"/>
        </w:rPr>
        <w:t xml:space="preserve">2. Ust. 2 projektowanego przepisu umożliwia ministrowi </w:t>
      </w:r>
      <w:r w:rsidRPr="00E24274">
        <w:rPr>
          <w:rFonts w:ascii="Times New Roman" w:eastAsiaTheme="minorEastAsia" w:hAnsi="Times New Roman"/>
          <w:bCs/>
          <w:sz w:val="24"/>
          <w:szCs w:val="24"/>
          <w:lang w:eastAsia="pl-PL"/>
        </w:rPr>
        <w:t>właściwemu d</w:t>
      </w:r>
      <w:r w:rsidR="00424D40" w:rsidRPr="00E24274">
        <w:rPr>
          <w:rFonts w:ascii="Times New Roman" w:eastAsiaTheme="minorEastAsia" w:hAnsi="Times New Roman"/>
          <w:bCs/>
          <w:sz w:val="24"/>
          <w:szCs w:val="24"/>
          <w:lang w:eastAsia="pl-PL"/>
        </w:rPr>
        <w:t>o spraw</w:t>
      </w:r>
      <w:r w:rsidRPr="00E24274">
        <w:rPr>
          <w:rFonts w:ascii="Times New Roman" w:eastAsiaTheme="minorEastAsia" w:hAnsi="Times New Roman"/>
          <w:bCs/>
          <w:sz w:val="24"/>
          <w:szCs w:val="24"/>
          <w:lang w:eastAsia="pl-PL"/>
        </w:rPr>
        <w:t xml:space="preserve"> kultury i dziedzictwa narodowego</w:t>
      </w:r>
      <w:r w:rsidRPr="00E24274">
        <w:rPr>
          <w:rFonts w:ascii="Times New Roman" w:hAnsi="Times New Roman"/>
          <w:sz w:val="24"/>
          <w:szCs w:val="24"/>
          <w:lang w:eastAsia="pl-PL"/>
        </w:rPr>
        <w:t xml:space="preserve"> uwzględnienie w toku oceny zgłoszeń kandydatów na arbitrów, jako jednego z kryterium ich powoływania, dotychczasowego wypełnienia przez konkretną osobę tej funkcji. Przepis ten ma charakter dyscyplinujący i służy eliminowaniu ze składu Komisji osób, które nie przykładały należytej staranności do wykonywania swoich czynności jako arbitrzy w przeszłości.</w:t>
      </w:r>
    </w:p>
    <w:p w:rsidR="007824D6" w:rsidRPr="00E24274" w:rsidRDefault="007824D6" w:rsidP="00E24274">
      <w:pPr>
        <w:spacing w:before="120" w:after="0" w:line="360" w:lineRule="auto"/>
        <w:jc w:val="both"/>
        <w:rPr>
          <w:rFonts w:ascii="Times New Roman" w:hAnsi="Times New Roman"/>
          <w:sz w:val="24"/>
          <w:szCs w:val="24"/>
          <w:lang w:eastAsia="pl-PL"/>
        </w:rPr>
      </w:pPr>
      <w:r w:rsidRPr="00E24274">
        <w:rPr>
          <w:rFonts w:ascii="Times New Roman" w:hAnsi="Times New Roman"/>
          <w:sz w:val="24"/>
          <w:szCs w:val="24"/>
          <w:lang w:eastAsia="pl-PL"/>
        </w:rPr>
        <w:t>3. Ust. 3 projektowanego przepisu umożliwia uniknięcie sytuacji, w której powołanie arbitrów Komisji jest niemożliwe ze względu na niezgłoszenie odpowiedniej liczby kandydatów przez organizacje uprawnione do tego zgodn</w:t>
      </w:r>
      <w:r w:rsidR="00BB2307">
        <w:rPr>
          <w:rFonts w:ascii="Times New Roman" w:hAnsi="Times New Roman"/>
          <w:sz w:val="24"/>
          <w:szCs w:val="24"/>
          <w:lang w:eastAsia="pl-PL"/>
        </w:rPr>
        <w:t>ie z art. 63 ust. 2 projektu. W </w:t>
      </w:r>
      <w:r w:rsidRPr="00E24274">
        <w:rPr>
          <w:rFonts w:ascii="Times New Roman" w:hAnsi="Times New Roman"/>
          <w:sz w:val="24"/>
          <w:szCs w:val="24"/>
          <w:lang w:eastAsia="pl-PL"/>
        </w:rPr>
        <w:t>takiej sytuacji minister uzyskuje prawo do powołania arbitrów spoza kręgu kandydatów zgłoszonych przez organizacje, kandydaci muszą spełniać warunki określone w art. 63 ust. 3</w:t>
      </w:r>
      <w:r w:rsidR="00B85D46">
        <w:rPr>
          <w:rFonts w:ascii="Times New Roman" w:hAnsi="Times New Roman"/>
          <w:sz w:val="24"/>
          <w:szCs w:val="24"/>
          <w:lang w:eastAsia="pl-PL"/>
        </w:rPr>
        <w:t>–</w:t>
      </w:r>
      <w:r w:rsidRPr="00E24274">
        <w:rPr>
          <w:rFonts w:ascii="Times New Roman" w:hAnsi="Times New Roman"/>
          <w:sz w:val="24"/>
          <w:szCs w:val="24"/>
          <w:lang w:eastAsia="pl-PL"/>
        </w:rPr>
        <w:t>5 projektu, a więc identyczne jak w przypadku kandydatów zgłoszonych przez uprawnione organizacje. Kompetencja ministra w tym wypadku służy uniknięciu blokowania prac Komisji.</w:t>
      </w:r>
    </w:p>
    <w:p w:rsidR="007824D6" w:rsidRPr="00E24274" w:rsidRDefault="007824D6" w:rsidP="00E24274">
      <w:pPr>
        <w:spacing w:before="120" w:after="0" w:line="360" w:lineRule="auto"/>
        <w:rPr>
          <w:rFonts w:ascii="Times New Roman" w:hAnsi="Times New Roman"/>
          <w:b/>
          <w:sz w:val="24"/>
          <w:szCs w:val="24"/>
          <w:lang w:eastAsia="pl-PL"/>
        </w:rPr>
      </w:pPr>
      <w:r w:rsidRPr="00E24274">
        <w:rPr>
          <w:rFonts w:ascii="Times New Roman" w:hAnsi="Times New Roman"/>
          <w:b/>
          <w:sz w:val="24"/>
          <w:szCs w:val="24"/>
          <w:lang w:eastAsia="pl-PL"/>
        </w:rPr>
        <w:t>art. 65</w:t>
      </w:r>
    </w:p>
    <w:p w:rsidR="007824D6" w:rsidRPr="00E24274" w:rsidRDefault="007824D6" w:rsidP="00BB2307">
      <w:pPr>
        <w:spacing w:after="0" w:line="360" w:lineRule="auto"/>
        <w:jc w:val="both"/>
        <w:rPr>
          <w:rFonts w:ascii="Times New Roman" w:hAnsi="Times New Roman"/>
          <w:sz w:val="24"/>
          <w:szCs w:val="24"/>
          <w:lang w:eastAsia="pl-PL"/>
        </w:rPr>
      </w:pPr>
      <w:r w:rsidRPr="00E24274">
        <w:rPr>
          <w:rFonts w:ascii="Times New Roman" w:hAnsi="Times New Roman"/>
          <w:sz w:val="24"/>
          <w:szCs w:val="24"/>
          <w:lang w:eastAsia="pl-PL"/>
        </w:rPr>
        <w:t>Projektowany artykuł określa podstawowe zasady regulujące wykonywanie funkcji arbitra Komisji – w ślad za art. 110</w:t>
      </w:r>
      <w:r w:rsidRPr="00E24274">
        <w:rPr>
          <w:rFonts w:ascii="Times New Roman" w:hAnsi="Times New Roman"/>
          <w:sz w:val="24"/>
          <w:szCs w:val="24"/>
          <w:vertAlign w:val="superscript"/>
          <w:lang w:eastAsia="pl-PL"/>
        </w:rPr>
        <w:t>2</w:t>
      </w:r>
      <w:r w:rsidRPr="00E24274">
        <w:rPr>
          <w:rFonts w:ascii="Times New Roman" w:hAnsi="Times New Roman"/>
          <w:sz w:val="24"/>
          <w:szCs w:val="24"/>
          <w:lang w:eastAsia="pl-PL"/>
        </w:rPr>
        <w:t xml:space="preserve"> ust. 7 i 9 pr. aut</w:t>
      </w:r>
      <w:r w:rsidR="003473C4" w:rsidRPr="00E24274">
        <w:rPr>
          <w:rFonts w:ascii="Times New Roman" w:hAnsi="Times New Roman"/>
          <w:sz w:val="24"/>
          <w:szCs w:val="24"/>
          <w:lang w:eastAsia="pl-PL"/>
        </w:rPr>
        <w:t>.</w:t>
      </w:r>
      <w:r w:rsidRPr="00E24274">
        <w:rPr>
          <w:rFonts w:ascii="Times New Roman" w:hAnsi="Times New Roman"/>
          <w:sz w:val="24"/>
          <w:szCs w:val="24"/>
          <w:lang w:eastAsia="pl-PL"/>
        </w:rPr>
        <w:t xml:space="preserve"> </w:t>
      </w:r>
      <w:r w:rsidR="00BB2307">
        <w:rPr>
          <w:rFonts w:ascii="Times New Roman" w:hAnsi="Times New Roman"/>
          <w:sz w:val="24"/>
          <w:szCs w:val="24"/>
          <w:lang w:eastAsia="pl-PL"/>
        </w:rPr>
        <w:t>– przyjmując, że arbiter jest w </w:t>
      </w:r>
      <w:r w:rsidRPr="00E24274">
        <w:rPr>
          <w:rFonts w:ascii="Times New Roman" w:hAnsi="Times New Roman"/>
          <w:sz w:val="24"/>
          <w:szCs w:val="24"/>
          <w:lang w:eastAsia="pl-PL"/>
        </w:rPr>
        <w:t xml:space="preserve">wykonywaniu swojej funkcji niezależny oraz </w:t>
      </w:r>
      <w:r w:rsidRPr="00E24274">
        <w:rPr>
          <w:rFonts w:ascii="Times New Roman" w:hAnsi="Times New Roman"/>
          <w:bCs/>
          <w:sz w:val="24"/>
          <w:szCs w:val="24"/>
          <w:lang w:eastAsia="pl-PL"/>
        </w:rPr>
        <w:t xml:space="preserve">nie może bez ważnych </w:t>
      </w:r>
      <w:r w:rsidR="00F668FF" w:rsidRPr="00E24274">
        <w:rPr>
          <w:rFonts w:ascii="Times New Roman" w:hAnsi="Times New Roman"/>
          <w:bCs/>
          <w:sz w:val="24"/>
          <w:szCs w:val="24"/>
          <w:lang w:eastAsia="pl-PL"/>
        </w:rPr>
        <w:t xml:space="preserve">przyczyn </w:t>
      </w:r>
      <w:r w:rsidRPr="00E24274">
        <w:rPr>
          <w:rFonts w:ascii="Times New Roman" w:hAnsi="Times New Roman"/>
          <w:bCs/>
          <w:sz w:val="24"/>
          <w:szCs w:val="24"/>
          <w:lang w:eastAsia="pl-PL"/>
        </w:rPr>
        <w:t xml:space="preserve">odmówić pełnienia funkcji członka zespołu orzekającego Komisji. </w:t>
      </w:r>
    </w:p>
    <w:p w:rsidR="007824D6" w:rsidRPr="00E24274" w:rsidRDefault="007824D6" w:rsidP="00E24274">
      <w:pPr>
        <w:spacing w:before="120" w:after="0" w:line="360" w:lineRule="auto"/>
        <w:rPr>
          <w:rFonts w:ascii="Times New Roman" w:hAnsi="Times New Roman"/>
          <w:b/>
          <w:sz w:val="24"/>
          <w:szCs w:val="24"/>
          <w:lang w:eastAsia="pl-PL"/>
        </w:rPr>
      </w:pPr>
      <w:r w:rsidRPr="00E24274">
        <w:rPr>
          <w:rFonts w:ascii="Times New Roman" w:hAnsi="Times New Roman"/>
          <w:b/>
          <w:sz w:val="24"/>
          <w:szCs w:val="24"/>
          <w:lang w:eastAsia="pl-PL"/>
        </w:rPr>
        <w:t>art. 66</w:t>
      </w:r>
    </w:p>
    <w:p w:rsidR="007824D6" w:rsidRPr="00E24274" w:rsidRDefault="007824D6" w:rsidP="00BB2307">
      <w:pPr>
        <w:spacing w:after="0" w:line="360" w:lineRule="auto"/>
        <w:jc w:val="both"/>
        <w:rPr>
          <w:rFonts w:ascii="Times New Roman" w:hAnsi="Times New Roman"/>
          <w:sz w:val="24"/>
          <w:szCs w:val="24"/>
          <w:lang w:eastAsia="pl-PL"/>
        </w:rPr>
      </w:pPr>
      <w:r w:rsidRPr="00E24274">
        <w:rPr>
          <w:rFonts w:ascii="Times New Roman" w:hAnsi="Times New Roman"/>
          <w:sz w:val="24"/>
          <w:szCs w:val="24"/>
          <w:lang w:eastAsia="pl-PL"/>
        </w:rPr>
        <w:t>1. Przepis reguluje sytuację wygaśnięcia mandatu arbitra Komisji przed upływem jej kadencji, będąc odpowiednikiem art. 110</w:t>
      </w:r>
      <w:r w:rsidRPr="00E24274">
        <w:rPr>
          <w:rFonts w:ascii="Times New Roman" w:hAnsi="Times New Roman"/>
          <w:sz w:val="24"/>
          <w:szCs w:val="24"/>
          <w:vertAlign w:val="superscript"/>
          <w:lang w:eastAsia="pl-PL"/>
        </w:rPr>
        <w:t>3</w:t>
      </w:r>
      <w:r w:rsidRPr="00E24274">
        <w:rPr>
          <w:rFonts w:ascii="Times New Roman" w:hAnsi="Times New Roman"/>
          <w:sz w:val="24"/>
          <w:szCs w:val="24"/>
          <w:lang w:eastAsia="pl-PL"/>
        </w:rPr>
        <w:t xml:space="preserve"> pr. aut. Ust. 1 projektowanego artykułu – podobnie jak art. 110</w:t>
      </w:r>
      <w:r w:rsidRPr="00E24274">
        <w:rPr>
          <w:rFonts w:ascii="Times New Roman" w:hAnsi="Times New Roman"/>
          <w:sz w:val="24"/>
          <w:szCs w:val="24"/>
          <w:vertAlign w:val="superscript"/>
          <w:lang w:eastAsia="pl-PL"/>
        </w:rPr>
        <w:t>3</w:t>
      </w:r>
      <w:r w:rsidRPr="00E24274">
        <w:rPr>
          <w:rFonts w:ascii="Times New Roman" w:hAnsi="Times New Roman"/>
          <w:sz w:val="24"/>
          <w:szCs w:val="24"/>
          <w:lang w:eastAsia="pl-PL"/>
        </w:rPr>
        <w:t xml:space="preserve"> ust. 1 pr. </w:t>
      </w:r>
      <w:r w:rsidR="00582B25" w:rsidRPr="00E24274">
        <w:rPr>
          <w:rFonts w:ascii="Times New Roman" w:hAnsi="Times New Roman"/>
          <w:sz w:val="24"/>
          <w:szCs w:val="24"/>
          <w:lang w:eastAsia="pl-PL"/>
        </w:rPr>
        <w:t>A</w:t>
      </w:r>
      <w:r w:rsidRPr="00E24274">
        <w:rPr>
          <w:rFonts w:ascii="Times New Roman" w:hAnsi="Times New Roman"/>
          <w:sz w:val="24"/>
          <w:szCs w:val="24"/>
          <w:lang w:eastAsia="pl-PL"/>
        </w:rPr>
        <w:t>ut</w:t>
      </w:r>
      <w:r w:rsidR="00582B25">
        <w:rPr>
          <w:rFonts w:ascii="Times New Roman" w:hAnsi="Times New Roman"/>
          <w:sz w:val="24"/>
          <w:szCs w:val="24"/>
          <w:lang w:eastAsia="pl-PL"/>
        </w:rPr>
        <w:t>.</w:t>
      </w:r>
      <w:r w:rsidRPr="00E24274">
        <w:rPr>
          <w:rFonts w:ascii="Times New Roman" w:hAnsi="Times New Roman"/>
          <w:sz w:val="24"/>
          <w:szCs w:val="24"/>
          <w:lang w:eastAsia="pl-PL"/>
        </w:rPr>
        <w:t xml:space="preserve"> – przesądza o tym, że wygaśnięcie mandatu może nastąpić wyłącznie z powodu śmierci arbitra lub jego odwołania. Rozwiązanie to stanowi jedną z gwarancji niezależności arbitrów Komisji.</w:t>
      </w:r>
    </w:p>
    <w:p w:rsidR="007824D6" w:rsidRPr="00E24274" w:rsidRDefault="007824D6" w:rsidP="00E24274">
      <w:pPr>
        <w:spacing w:before="120" w:after="0" w:line="360" w:lineRule="auto"/>
        <w:jc w:val="both"/>
        <w:rPr>
          <w:rFonts w:ascii="Times New Roman" w:hAnsi="Times New Roman"/>
          <w:bCs/>
          <w:sz w:val="24"/>
          <w:szCs w:val="24"/>
          <w:lang w:eastAsia="pl-PL"/>
        </w:rPr>
      </w:pPr>
      <w:r w:rsidRPr="00E24274">
        <w:rPr>
          <w:rFonts w:ascii="Times New Roman" w:hAnsi="Times New Roman"/>
          <w:sz w:val="24"/>
          <w:szCs w:val="24"/>
          <w:lang w:eastAsia="pl-PL"/>
        </w:rPr>
        <w:lastRenderedPageBreak/>
        <w:t>2. Ust. 2 projektowanego przepisu odzwierciedla treść art. 110</w:t>
      </w:r>
      <w:r w:rsidRPr="00E24274">
        <w:rPr>
          <w:rFonts w:ascii="Times New Roman" w:hAnsi="Times New Roman"/>
          <w:sz w:val="24"/>
          <w:szCs w:val="24"/>
          <w:vertAlign w:val="superscript"/>
          <w:lang w:eastAsia="pl-PL"/>
        </w:rPr>
        <w:t>3</w:t>
      </w:r>
      <w:r w:rsidRPr="00E24274">
        <w:rPr>
          <w:rFonts w:ascii="Times New Roman" w:hAnsi="Times New Roman"/>
          <w:sz w:val="24"/>
          <w:szCs w:val="24"/>
          <w:lang w:eastAsia="pl-PL"/>
        </w:rPr>
        <w:t xml:space="preserve"> ust. 2 pr. aut., określając enumeratywnie przypadki, w których może dojść do odwołania arbitra Komisji.</w:t>
      </w:r>
      <w:r w:rsidR="008D493F" w:rsidRPr="00E24274">
        <w:rPr>
          <w:rFonts w:ascii="Times New Roman" w:hAnsi="Times New Roman"/>
          <w:sz w:val="24"/>
          <w:szCs w:val="24"/>
          <w:lang w:eastAsia="pl-PL"/>
        </w:rPr>
        <w:t xml:space="preserve"> Lista tych przypadków została rozszerzona o możliwość odwołania z funkcji arbitra osoby, która uchyla się w sposób nieuzasadniony od jej wykonywania w praktyce. Rozwiązanie to służy uniknięciu sytuacji, w której aktywność zespołów orzekających był</w:t>
      </w:r>
      <w:r w:rsidR="0000774C">
        <w:rPr>
          <w:rFonts w:ascii="Times New Roman" w:hAnsi="Times New Roman"/>
          <w:sz w:val="24"/>
          <w:szCs w:val="24"/>
          <w:lang w:eastAsia="pl-PL"/>
        </w:rPr>
        <w:t>a</w:t>
      </w:r>
      <w:r w:rsidR="008D493F" w:rsidRPr="00E24274">
        <w:rPr>
          <w:rFonts w:ascii="Times New Roman" w:hAnsi="Times New Roman"/>
          <w:sz w:val="24"/>
          <w:szCs w:val="24"/>
          <w:lang w:eastAsia="pl-PL"/>
        </w:rPr>
        <w:t>by zablokowana ze względu na brak z</w:t>
      </w:r>
      <w:r w:rsidR="00BB2307">
        <w:rPr>
          <w:rFonts w:ascii="Times New Roman" w:hAnsi="Times New Roman"/>
          <w:sz w:val="24"/>
          <w:szCs w:val="24"/>
          <w:lang w:eastAsia="pl-PL"/>
        </w:rPr>
        <w:t>aangażowania konkretnej osoby w </w:t>
      </w:r>
      <w:r w:rsidR="008D493F" w:rsidRPr="00E24274">
        <w:rPr>
          <w:rFonts w:ascii="Times New Roman" w:hAnsi="Times New Roman"/>
          <w:sz w:val="24"/>
          <w:szCs w:val="24"/>
          <w:lang w:eastAsia="pl-PL"/>
        </w:rPr>
        <w:t>sprawowanie powierzonej mu funkcji, którą zobowiąz</w:t>
      </w:r>
      <w:r w:rsidR="00BB2307">
        <w:rPr>
          <w:rFonts w:ascii="Times New Roman" w:hAnsi="Times New Roman"/>
          <w:sz w:val="24"/>
          <w:szCs w:val="24"/>
          <w:lang w:eastAsia="pl-PL"/>
        </w:rPr>
        <w:t>ała się uprzednio dobrowolnie i </w:t>
      </w:r>
      <w:r w:rsidR="008D493F" w:rsidRPr="00E24274">
        <w:rPr>
          <w:rFonts w:ascii="Times New Roman" w:hAnsi="Times New Roman"/>
          <w:sz w:val="24"/>
          <w:szCs w:val="24"/>
          <w:lang w:eastAsia="pl-PL"/>
        </w:rPr>
        <w:t>rzetelnie pełnić.</w:t>
      </w:r>
      <w:r w:rsidR="00AD4E3F" w:rsidRPr="00E24274">
        <w:rPr>
          <w:rFonts w:ascii="Times New Roman" w:hAnsi="Times New Roman"/>
          <w:sz w:val="24"/>
          <w:szCs w:val="24"/>
          <w:lang w:eastAsia="pl-PL"/>
        </w:rPr>
        <w:t xml:space="preserve"> Arbiter zostanie także odwołany w razie zaprzestania spełniania przez niego przesłanek formalnych określonych w art. 63 ust. 3 pkt 2 i 3, tj. utraty wymaganego stopnia naukowego lub tytułu zawodowego.</w:t>
      </w:r>
      <w:r w:rsidR="008D493F" w:rsidRPr="00E24274">
        <w:rPr>
          <w:rFonts w:ascii="Times New Roman" w:hAnsi="Times New Roman"/>
          <w:sz w:val="24"/>
          <w:szCs w:val="24"/>
          <w:lang w:eastAsia="pl-PL"/>
        </w:rPr>
        <w:t xml:space="preserve"> Z</w:t>
      </w:r>
      <w:r w:rsidR="00BB2307">
        <w:rPr>
          <w:rFonts w:ascii="Times New Roman" w:hAnsi="Times New Roman"/>
          <w:sz w:val="24"/>
          <w:szCs w:val="24"/>
          <w:lang w:eastAsia="pl-PL"/>
        </w:rPr>
        <w:t xml:space="preserve"> kolei ust. 3 i 4 regulują – w </w:t>
      </w:r>
      <w:r w:rsidRPr="00E24274">
        <w:rPr>
          <w:rFonts w:ascii="Times New Roman" w:hAnsi="Times New Roman"/>
          <w:sz w:val="24"/>
          <w:szCs w:val="24"/>
          <w:lang w:eastAsia="pl-PL"/>
        </w:rPr>
        <w:t>ślad za art. 110</w:t>
      </w:r>
      <w:r w:rsidRPr="00E24274">
        <w:rPr>
          <w:rFonts w:ascii="Times New Roman" w:hAnsi="Times New Roman"/>
          <w:sz w:val="24"/>
          <w:szCs w:val="24"/>
          <w:vertAlign w:val="superscript"/>
          <w:lang w:eastAsia="pl-PL"/>
        </w:rPr>
        <w:t>3</w:t>
      </w:r>
      <w:r w:rsidRPr="00E24274">
        <w:rPr>
          <w:rFonts w:ascii="Times New Roman" w:hAnsi="Times New Roman"/>
          <w:sz w:val="24"/>
          <w:szCs w:val="24"/>
          <w:lang w:eastAsia="pl-PL"/>
        </w:rPr>
        <w:t xml:space="preserve"> ust. 3</w:t>
      </w:r>
      <w:r w:rsidR="0000774C">
        <w:rPr>
          <w:rFonts w:ascii="Times New Roman" w:hAnsi="Times New Roman"/>
          <w:sz w:val="24"/>
          <w:szCs w:val="24"/>
          <w:lang w:eastAsia="pl-PL"/>
        </w:rPr>
        <w:t xml:space="preserve"> i </w:t>
      </w:r>
      <w:r w:rsidRPr="00E24274">
        <w:rPr>
          <w:rFonts w:ascii="Times New Roman" w:hAnsi="Times New Roman"/>
          <w:sz w:val="24"/>
          <w:szCs w:val="24"/>
          <w:lang w:eastAsia="pl-PL"/>
        </w:rPr>
        <w:t xml:space="preserve">4 pr. aut. – kwestie uzupełniania składu Komisji po wygaśnięciu mandatu jednego z członków oraz uzupełniania składu zespołu orzekającego Komisji, jeżeli jego członkiem był arbiter, który został następnie odwołany lub zmarł. </w:t>
      </w:r>
    </w:p>
    <w:p w:rsidR="007824D6" w:rsidRPr="00E24274" w:rsidRDefault="007824D6" w:rsidP="00E24274">
      <w:pPr>
        <w:spacing w:before="120" w:after="0" w:line="360" w:lineRule="auto"/>
        <w:jc w:val="both"/>
        <w:rPr>
          <w:rFonts w:ascii="Times New Roman" w:hAnsi="Times New Roman"/>
          <w:b/>
          <w:sz w:val="24"/>
          <w:szCs w:val="24"/>
          <w:lang w:eastAsia="pl-PL"/>
        </w:rPr>
      </w:pPr>
      <w:r w:rsidRPr="00E24274">
        <w:rPr>
          <w:rFonts w:ascii="Times New Roman" w:hAnsi="Times New Roman"/>
          <w:b/>
          <w:sz w:val="24"/>
          <w:szCs w:val="24"/>
          <w:lang w:eastAsia="pl-PL"/>
        </w:rPr>
        <w:t>art. 67</w:t>
      </w:r>
    </w:p>
    <w:p w:rsidR="007824D6" w:rsidRPr="00E24274" w:rsidRDefault="007824D6" w:rsidP="00BB2307">
      <w:pPr>
        <w:spacing w:after="0" w:line="360" w:lineRule="auto"/>
        <w:jc w:val="both"/>
        <w:rPr>
          <w:rFonts w:ascii="Times New Roman" w:hAnsi="Times New Roman"/>
          <w:sz w:val="24"/>
          <w:szCs w:val="24"/>
          <w:lang w:eastAsia="pl-PL"/>
        </w:rPr>
      </w:pPr>
      <w:r w:rsidRPr="00E24274">
        <w:rPr>
          <w:rFonts w:ascii="Times New Roman" w:hAnsi="Times New Roman"/>
          <w:sz w:val="24"/>
          <w:szCs w:val="24"/>
          <w:lang w:eastAsia="pl-PL"/>
        </w:rPr>
        <w:t>Przepis reguluje – w identyczny sposób jak obecnie obowiązujący art. 110</w:t>
      </w:r>
      <w:r w:rsidRPr="00E24274">
        <w:rPr>
          <w:rFonts w:ascii="Times New Roman" w:hAnsi="Times New Roman"/>
          <w:sz w:val="24"/>
          <w:szCs w:val="24"/>
          <w:vertAlign w:val="superscript"/>
          <w:lang w:eastAsia="pl-PL"/>
        </w:rPr>
        <w:t xml:space="preserve">4 </w:t>
      </w:r>
      <w:r w:rsidRPr="00E24274">
        <w:rPr>
          <w:rFonts w:ascii="Times New Roman" w:hAnsi="Times New Roman"/>
          <w:sz w:val="24"/>
          <w:szCs w:val="24"/>
          <w:lang w:eastAsia="pl-PL"/>
        </w:rPr>
        <w:t>pr. aut. – tryb ogłaszania decyzji kształtujących sk</w:t>
      </w:r>
      <w:r w:rsidR="00BB2307">
        <w:rPr>
          <w:rFonts w:ascii="Times New Roman" w:hAnsi="Times New Roman"/>
          <w:sz w:val="24"/>
          <w:szCs w:val="24"/>
          <w:lang w:eastAsia="pl-PL"/>
        </w:rPr>
        <w:t>ład Komisji, w tym związanych z </w:t>
      </w:r>
      <w:r w:rsidRPr="00E24274">
        <w:rPr>
          <w:rFonts w:ascii="Times New Roman" w:hAnsi="Times New Roman"/>
          <w:sz w:val="24"/>
          <w:szCs w:val="24"/>
          <w:lang w:eastAsia="pl-PL"/>
        </w:rPr>
        <w:t>wygaśnięciem mandatu arbitra oraz powołaniem nowego arbitra do jej składu. Przesądza on, że tego rodzaju informacje winny być publikowane</w:t>
      </w:r>
      <w:r w:rsidRPr="00E24274">
        <w:rPr>
          <w:rFonts w:ascii="Times New Roman" w:eastAsiaTheme="minorEastAsia" w:hAnsi="Times New Roman"/>
          <w:sz w:val="24"/>
          <w:szCs w:val="24"/>
          <w:lang w:eastAsia="pl-PL"/>
        </w:rPr>
        <w:t xml:space="preserve"> w </w:t>
      </w:r>
      <w:r w:rsidRPr="00E24274">
        <w:rPr>
          <w:rFonts w:ascii="Times New Roman" w:hAnsi="Times New Roman"/>
          <w:sz w:val="24"/>
          <w:szCs w:val="24"/>
          <w:lang w:eastAsia="pl-PL"/>
        </w:rPr>
        <w:t xml:space="preserve">dzienniku urzędowym ministra </w:t>
      </w:r>
      <w:r w:rsidRPr="00E24274">
        <w:rPr>
          <w:rFonts w:ascii="Times New Roman" w:eastAsiaTheme="minorEastAsia" w:hAnsi="Times New Roman"/>
          <w:bCs/>
          <w:sz w:val="24"/>
          <w:szCs w:val="24"/>
          <w:lang w:eastAsia="pl-PL"/>
        </w:rPr>
        <w:t xml:space="preserve">właściwego </w:t>
      </w:r>
      <w:r w:rsidR="00EB6EBD" w:rsidRPr="00E24274">
        <w:rPr>
          <w:rFonts w:ascii="Times New Roman" w:eastAsiaTheme="minorEastAsia" w:hAnsi="Times New Roman"/>
          <w:bCs/>
          <w:sz w:val="24"/>
          <w:szCs w:val="24"/>
          <w:lang w:eastAsia="pl-PL"/>
        </w:rPr>
        <w:t>do spraw</w:t>
      </w:r>
      <w:r w:rsidRPr="00E24274">
        <w:rPr>
          <w:rFonts w:ascii="Times New Roman" w:eastAsiaTheme="minorEastAsia" w:hAnsi="Times New Roman"/>
          <w:bCs/>
          <w:sz w:val="24"/>
          <w:szCs w:val="24"/>
          <w:lang w:eastAsia="pl-PL"/>
        </w:rPr>
        <w:t xml:space="preserve"> kultury i </w:t>
      </w:r>
      <w:r w:rsidR="00EB6EBD" w:rsidRPr="00E24274">
        <w:rPr>
          <w:rFonts w:ascii="Times New Roman" w:eastAsiaTheme="minorEastAsia" w:hAnsi="Times New Roman"/>
          <w:bCs/>
          <w:sz w:val="24"/>
          <w:szCs w:val="24"/>
          <w:lang w:eastAsia="pl-PL"/>
        </w:rPr>
        <w:t xml:space="preserve">ochrony </w:t>
      </w:r>
      <w:r w:rsidRPr="00E24274">
        <w:rPr>
          <w:rFonts w:ascii="Times New Roman" w:eastAsiaTheme="minorEastAsia" w:hAnsi="Times New Roman"/>
          <w:bCs/>
          <w:sz w:val="24"/>
          <w:szCs w:val="24"/>
          <w:lang w:eastAsia="pl-PL"/>
        </w:rPr>
        <w:t>dziedzictwa narodowego</w:t>
      </w:r>
      <w:r w:rsidRPr="00E24274">
        <w:rPr>
          <w:rFonts w:ascii="Times New Roman" w:hAnsi="Times New Roman"/>
          <w:sz w:val="24"/>
          <w:szCs w:val="24"/>
          <w:lang w:eastAsia="pl-PL"/>
        </w:rPr>
        <w:t xml:space="preserve"> oraz w Biuletynie Informacji Publicznej na jego stronie podmiotowej.</w:t>
      </w:r>
    </w:p>
    <w:p w:rsidR="007824D6" w:rsidRPr="00E24274" w:rsidRDefault="007824D6" w:rsidP="00E24274">
      <w:pPr>
        <w:spacing w:before="120" w:after="0" w:line="360" w:lineRule="auto"/>
        <w:jc w:val="both"/>
        <w:rPr>
          <w:rFonts w:ascii="Times New Roman" w:hAnsi="Times New Roman"/>
          <w:b/>
          <w:sz w:val="24"/>
          <w:szCs w:val="24"/>
          <w:lang w:eastAsia="pl-PL"/>
        </w:rPr>
      </w:pPr>
      <w:r w:rsidRPr="00E24274">
        <w:rPr>
          <w:rFonts w:ascii="Times New Roman" w:hAnsi="Times New Roman"/>
          <w:b/>
          <w:sz w:val="24"/>
          <w:szCs w:val="24"/>
          <w:lang w:eastAsia="pl-PL"/>
        </w:rPr>
        <w:t>art. 68</w:t>
      </w:r>
    </w:p>
    <w:p w:rsidR="00F16AB6" w:rsidRPr="00E24274" w:rsidRDefault="007824D6" w:rsidP="00BB2307">
      <w:pPr>
        <w:spacing w:after="0" w:line="360" w:lineRule="auto"/>
        <w:jc w:val="both"/>
        <w:rPr>
          <w:rFonts w:ascii="Times New Roman" w:hAnsi="Times New Roman"/>
          <w:sz w:val="24"/>
          <w:szCs w:val="24"/>
          <w:lang w:eastAsia="pl-PL"/>
        </w:rPr>
      </w:pPr>
      <w:r w:rsidRPr="00E24274">
        <w:rPr>
          <w:rFonts w:ascii="Times New Roman" w:hAnsi="Times New Roman"/>
          <w:sz w:val="24"/>
          <w:szCs w:val="24"/>
          <w:lang w:eastAsia="pl-PL"/>
        </w:rPr>
        <w:t>1. Przepis ten reguluje</w:t>
      </w:r>
      <w:r w:rsidR="00EB6EBD" w:rsidRPr="00E24274">
        <w:rPr>
          <w:rFonts w:ascii="Times New Roman" w:hAnsi="Times New Roman"/>
          <w:sz w:val="24"/>
          <w:szCs w:val="24"/>
          <w:lang w:eastAsia="pl-PL"/>
        </w:rPr>
        <w:t>, w jakim terminie odbywa się pierw</w:t>
      </w:r>
      <w:r w:rsidR="00BB2307">
        <w:rPr>
          <w:rFonts w:ascii="Times New Roman" w:hAnsi="Times New Roman"/>
          <w:sz w:val="24"/>
          <w:szCs w:val="24"/>
          <w:lang w:eastAsia="pl-PL"/>
        </w:rPr>
        <w:t>sze posiedzenie Komisji (ust. </w:t>
      </w:r>
      <w:r w:rsidR="00EB6EBD" w:rsidRPr="00E24274">
        <w:rPr>
          <w:rFonts w:ascii="Times New Roman" w:hAnsi="Times New Roman"/>
          <w:sz w:val="24"/>
          <w:szCs w:val="24"/>
          <w:lang w:eastAsia="pl-PL"/>
        </w:rPr>
        <w:t>1) oraz kwestie</w:t>
      </w:r>
      <w:r w:rsidR="008D493F" w:rsidRPr="00E24274">
        <w:rPr>
          <w:rFonts w:ascii="Times New Roman" w:hAnsi="Times New Roman"/>
          <w:sz w:val="24"/>
          <w:szCs w:val="24"/>
          <w:lang w:eastAsia="pl-PL"/>
        </w:rPr>
        <w:t xml:space="preserve"> procedury wyboru przewodniczącego Komisji</w:t>
      </w:r>
      <w:r w:rsidR="00F16AB6" w:rsidRPr="00E24274">
        <w:rPr>
          <w:rFonts w:ascii="Times New Roman" w:hAnsi="Times New Roman"/>
          <w:sz w:val="24"/>
          <w:szCs w:val="24"/>
          <w:lang w:eastAsia="pl-PL"/>
        </w:rPr>
        <w:t xml:space="preserve"> (ust. </w:t>
      </w:r>
      <w:r w:rsidR="00EB6EBD" w:rsidRPr="00E24274">
        <w:rPr>
          <w:rFonts w:ascii="Times New Roman" w:hAnsi="Times New Roman"/>
          <w:sz w:val="24"/>
          <w:szCs w:val="24"/>
          <w:lang w:eastAsia="pl-PL"/>
        </w:rPr>
        <w:t>2</w:t>
      </w:r>
      <w:r w:rsidR="00B85D46">
        <w:rPr>
          <w:rFonts w:ascii="Times New Roman" w:hAnsi="Times New Roman"/>
          <w:sz w:val="24"/>
          <w:szCs w:val="24"/>
          <w:lang w:eastAsia="pl-PL"/>
        </w:rPr>
        <w:t>–</w:t>
      </w:r>
      <w:r w:rsidR="00F16AB6" w:rsidRPr="00E24274">
        <w:rPr>
          <w:rFonts w:ascii="Times New Roman" w:hAnsi="Times New Roman"/>
          <w:sz w:val="24"/>
          <w:szCs w:val="24"/>
          <w:lang w:eastAsia="pl-PL"/>
        </w:rPr>
        <w:t>4) w sposób zbieżny z dotychczas obowiązującym w tym względzie art. 110</w:t>
      </w:r>
      <w:r w:rsidR="00F16AB6" w:rsidRPr="00E24274">
        <w:rPr>
          <w:rFonts w:ascii="Times New Roman" w:hAnsi="Times New Roman"/>
          <w:sz w:val="24"/>
          <w:szCs w:val="24"/>
          <w:vertAlign w:val="superscript"/>
          <w:lang w:eastAsia="pl-PL"/>
        </w:rPr>
        <w:t>5</w:t>
      </w:r>
      <w:r w:rsidR="00F16AB6" w:rsidRPr="00E24274">
        <w:rPr>
          <w:rFonts w:ascii="Times New Roman" w:hAnsi="Times New Roman"/>
          <w:sz w:val="24"/>
          <w:szCs w:val="24"/>
          <w:lang w:eastAsia="pl-PL"/>
        </w:rPr>
        <w:t xml:space="preserve"> ust. 1–4 pr. aut. Jedyna korekta w tym wypadku związana jest ze zmianą większości koniecznej do wyboru przewodniczącego (z </w:t>
      </w:r>
      <w:r w:rsidR="00F16AB6" w:rsidRPr="00E24274">
        <w:rPr>
          <w:rFonts w:ascii="Times New Roman" w:hAnsi="Times New Roman"/>
          <w:sz w:val="24"/>
          <w:szCs w:val="24"/>
          <w:vertAlign w:val="superscript"/>
          <w:lang w:eastAsia="pl-PL"/>
        </w:rPr>
        <w:t>2</w:t>
      </w:r>
      <w:r w:rsidR="00F16AB6" w:rsidRPr="00E24274">
        <w:rPr>
          <w:rFonts w:ascii="Times New Roman" w:hAnsi="Times New Roman"/>
          <w:sz w:val="24"/>
          <w:szCs w:val="24"/>
          <w:lang w:eastAsia="pl-PL"/>
        </w:rPr>
        <w:t>/</w:t>
      </w:r>
      <w:r w:rsidR="00F16AB6" w:rsidRPr="00E24274">
        <w:rPr>
          <w:rFonts w:ascii="Times New Roman" w:hAnsi="Times New Roman"/>
          <w:sz w:val="24"/>
          <w:szCs w:val="24"/>
          <w:vertAlign w:val="subscript"/>
          <w:lang w:eastAsia="pl-PL"/>
        </w:rPr>
        <w:t xml:space="preserve">3 </w:t>
      </w:r>
      <w:r w:rsidR="00F16AB6" w:rsidRPr="00E24274">
        <w:rPr>
          <w:rFonts w:ascii="Times New Roman" w:hAnsi="Times New Roman"/>
          <w:sz w:val="24"/>
          <w:szCs w:val="24"/>
          <w:lang w:eastAsia="pl-PL"/>
        </w:rPr>
        <w:t>na ¾) oraz zmian</w:t>
      </w:r>
      <w:r w:rsidR="00EB6EBD" w:rsidRPr="00E24274">
        <w:rPr>
          <w:rFonts w:ascii="Times New Roman" w:hAnsi="Times New Roman"/>
          <w:sz w:val="24"/>
          <w:szCs w:val="24"/>
          <w:lang w:eastAsia="pl-PL"/>
        </w:rPr>
        <w:t>ą</w:t>
      </w:r>
      <w:r w:rsidR="00F16AB6" w:rsidRPr="00E24274">
        <w:rPr>
          <w:rFonts w:ascii="Times New Roman" w:hAnsi="Times New Roman"/>
          <w:sz w:val="24"/>
          <w:szCs w:val="24"/>
          <w:lang w:eastAsia="pl-PL"/>
        </w:rPr>
        <w:t xml:space="preserve"> kworum (konieczność obecności przynajmniej 16 arbitrów Komisji). Zmiana ta jest związana ze zmniejszeniem składu liczbowego Komisji i sł</w:t>
      </w:r>
      <w:r w:rsidR="00942950" w:rsidRPr="00E24274">
        <w:rPr>
          <w:rFonts w:ascii="Times New Roman" w:hAnsi="Times New Roman"/>
          <w:sz w:val="24"/>
          <w:szCs w:val="24"/>
          <w:lang w:eastAsia="pl-PL"/>
        </w:rPr>
        <w:t xml:space="preserve">uży zapewnieniu </w:t>
      </w:r>
      <w:r w:rsidR="0000774C">
        <w:rPr>
          <w:rFonts w:ascii="Times New Roman" w:hAnsi="Times New Roman"/>
          <w:sz w:val="24"/>
          <w:szCs w:val="24"/>
          <w:lang w:eastAsia="pl-PL"/>
        </w:rPr>
        <w:t>P</w:t>
      </w:r>
      <w:r w:rsidR="00942950" w:rsidRPr="00E24274">
        <w:rPr>
          <w:rFonts w:ascii="Times New Roman" w:hAnsi="Times New Roman"/>
          <w:sz w:val="24"/>
          <w:szCs w:val="24"/>
          <w:lang w:eastAsia="pl-PL"/>
        </w:rPr>
        <w:t>rzewodniczącemu</w:t>
      </w:r>
      <w:r w:rsidR="00F16AB6" w:rsidRPr="00E24274">
        <w:rPr>
          <w:rFonts w:ascii="Times New Roman" w:hAnsi="Times New Roman"/>
          <w:sz w:val="24"/>
          <w:szCs w:val="24"/>
          <w:lang w:eastAsia="pl-PL"/>
        </w:rPr>
        <w:t xml:space="preserve"> silnego mandatu do sprawowania tej funkcji (poparcie co najmniej 12 arbitrów Komisji, a więc osób zgłoszonych zarówno przez organizacje uprawnionych</w:t>
      </w:r>
      <w:r w:rsidR="0000774C">
        <w:rPr>
          <w:rFonts w:ascii="Times New Roman" w:hAnsi="Times New Roman"/>
          <w:sz w:val="24"/>
          <w:szCs w:val="24"/>
          <w:lang w:eastAsia="pl-PL"/>
        </w:rPr>
        <w:t>,</w:t>
      </w:r>
      <w:r w:rsidR="00F16AB6" w:rsidRPr="00E24274">
        <w:rPr>
          <w:rFonts w:ascii="Times New Roman" w:hAnsi="Times New Roman"/>
          <w:sz w:val="24"/>
          <w:szCs w:val="24"/>
          <w:lang w:eastAsia="pl-PL"/>
        </w:rPr>
        <w:t xml:space="preserve"> jak i użytkowników).</w:t>
      </w:r>
    </w:p>
    <w:p w:rsidR="00F16AB6" w:rsidRPr="00E24274" w:rsidRDefault="00F16AB6" w:rsidP="00E24274">
      <w:pPr>
        <w:spacing w:before="120" w:after="0" w:line="360" w:lineRule="auto"/>
        <w:jc w:val="both"/>
        <w:rPr>
          <w:rFonts w:ascii="Times New Roman" w:hAnsi="Times New Roman"/>
          <w:sz w:val="24"/>
          <w:szCs w:val="24"/>
          <w:lang w:eastAsia="pl-PL"/>
        </w:rPr>
      </w:pPr>
      <w:r w:rsidRPr="00E24274">
        <w:rPr>
          <w:rFonts w:ascii="Times New Roman" w:hAnsi="Times New Roman"/>
          <w:sz w:val="24"/>
          <w:szCs w:val="24"/>
          <w:lang w:eastAsia="pl-PL"/>
        </w:rPr>
        <w:lastRenderedPageBreak/>
        <w:t>2. Kolejne ustępy projektowanego przepisu (ust. 5</w:t>
      </w:r>
      <w:r w:rsidR="0000774C">
        <w:rPr>
          <w:rFonts w:ascii="Times New Roman" w:hAnsi="Times New Roman"/>
          <w:sz w:val="24"/>
          <w:szCs w:val="24"/>
          <w:lang w:eastAsia="pl-PL"/>
        </w:rPr>
        <w:t xml:space="preserve"> i </w:t>
      </w:r>
      <w:r w:rsidRPr="00E24274">
        <w:rPr>
          <w:rFonts w:ascii="Times New Roman" w:hAnsi="Times New Roman"/>
          <w:sz w:val="24"/>
          <w:szCs w:val="24"/>
          <w:lang w:eastAsia="pl-PL"/>
        </w:rPr>
        <w:t>6) regulują tryb odwoływania przewodniczącego Komisji na wniosek arbitrów w sposób odpowiada</w:t>
      </w:r>
      <w:r w:rsidR="00942950" w:rsidRPr="00E24274">
        <w:rPr>
          <w:rFonts w:ascii="Times New Roman" w:hAnsi="Times New Roman"/>
          <w:sz w:val="24"/>
          <w:szCs w:val="24"/>
          <w:lang w:eastAsia="pl-PL"/>
        </w:rPr>
        <w:t>jący treści</w:t>
      </w:r>
      <w:r w:rsidR="00BB2307">
        <w:rPr>
          <w:rFonts w:ascii="Times New Roman" w:hAnsi="Times New Roman"/>
          <w:sz w:val="24"/>
          <w:szCs w:val="24"/>
          <w:lang w:eastAsia="pl-PL"/>
        </w:rPr>
        <w:t xml:space="preserve"> art. </w:t>
      </w:r>
      <w:r w:rsidRPr="00E24274">
        <w:rPr>
          <w:rFonts w:ascii="Times New Roman" w:hAnsi="Times New Roman"/>
          <w:sz w:val="24"/>
          <w:szCs w:val="24"/>
          <w:lang w:eastAsia="pl-PL"/>
        </w:rPr>
        <w:t>110</w:t>
      </w:r>
      <w:r w:rsidRPr="00E24274">
        <w:rPr>
          <w:rFonts w:ascii="Times New Roman" w:hAnsi="Times New Roman"/>
          <w:sz w:val="24"/>
          <w:szCs w:val="24"/>
          <w:vertAlign w:val="superscript"/>
          <w:lang w:eastAsia="pl-PL"/>
        </w:rPr>
        <w:t>5</w:t>
      </w:r>
      <w:r w:rsidRPr="00E24274">
        <w:rPr>
          <w:rFonts w:ascii="Times New Roman" w:hAnsi="Times New Roman"/>
          <w:sz w:val="24"/>
          <w:szCs w:val="24"/>
          <w:lang w:eastAsia="pl-PL"/>
        </w:rPr>
        <w:t xml:space="preserve"> </w:t>
      </w:r>
      <w:r w:rsidR="00942950" w:rsidRPr="00E24274">
        <w:rPr>
          <w:rFonts w:ascii="Times New Roman" w:hAnsi="Times New Roman"/>
          <w:sz w:val="24"/>
          <w:szCs w:val="24"/>
          <w:lang w:eastAsia="pl-PL"/>
        </w:rPr>
        <w:t>ust. 6</w:t>
      </w:r>
      <w:r w:rsidR="0000774C">
        <w:rPr>
          <w:rFonts w:ascii="Times New Roman" w:hAnsi="Times New Roman"/>
          <w:sz w:val="24"/>
          <w:szCs w:val="24"/>
          <w:lang w:eastAsia="pl-PL"/>
        </w:rPr>
        <w:t xml:space="preserve"> i </w:t>
      </w:r>
      <w:r w:rsidRPr="00E24274">
        <w:rPr>
          <w:rFonts w:ascii="Times New Roman" w:hAnsi="Times New Roman"/>
          <w:sz w:val="24"/>
          <w:szCs w:val="24"/>
          <w:lang w:eastAsia="pl-PL"/>
        </w:rPr>
        <w:t>7 pr. aut. Uprawnienie do zgłoszenia takiego wniosku został</w:t>
      </w:r>
      <w:r w:rsidR="00942950" w:rsidRPr="00E24274">
        <w:rPr>
          <w:rFonts w:ascii="Times New Roman" w:hAnsi="Times New Roman"/>
          <w:sz w:val="24"/>
          <w:szCs w:val="24"/>
          <w:lang w:eastAsia="pl-PL"/>
        </w:rPr>
        <w:t>o</w:t>
      </w:r>
      <w:r w:rsidRPr="00E24274">
        <w:rPr>
          <w:rFonts w:ascii="Times New Roman" w:hAnsi="Times New Roman"/>
          <w:sz w:val="24"/>
          <w:szCs w:val="24"/>
          <w:lang w:eastAsia="pl-PL"/>
        </w:rPr>
        <w:t xml:space="preserve"> także przyznane ministrowi właściwemu d</w:t>
      </w:r>
      <w:r w:rsidR="00EB6EBD" w:rsidRPr="00E24274">
        <w:rPr>
          <w:rFonts w:ascii="Times New Roman" w:hAnsi="Times New Roman"/>
          <w:sz w:val="24"/>
          <w:szCs w:val="24"/>
          <w:lang w:eastAsia="pl-PL"/>
        </w:rPr>
        <w:t xml:space="preserve">o </w:t>
      </w:r>
      <w:r w:rsidRPr="00E24274">
        <w:rPr>
          <w:rFonts w:ascii="Times New Roman" w:hAnsi="Times New Roman"/>
          <w:sz w:val="24"/>
          <w:szCs w:val="24"/>
          <w:lang w:eastAsia="pl-PL"/>
        </w:rPr>
        <w:t>s</w:t>
      </w:r>
      <w:r w:rsidR="00EB6EBD" w:rsidRPr="00E24274">
        <w:rPr>
          <w:rFonts w:ascii="Times New Roman" w:hAnsi="Times New Roman"/>
          <w:sz w:val="24"/>
          <w:szCs w:val="24"/>
          <w:lang w:eastAsia="pl-PL"/>
        </w:rPr>
        <w:t>praw</w:t>
      </w:r>
      <w:r w:rsidRPr="00E24274">
        <w:rPr>
          <w:rFonts w:ascii="Times New Roman" w:hAnsi="Times New Roman"/>
          <w:sz w:val="24"/>
          <w:szCs w:val="24"/>
          <w:lang w:eastAsia="pl-PL"/>
        </w:rPr>
        <w:t xml:space="preserve"> kultury i ochrony dziedzictwa narodowego jako sposób reagowania na hipotetyczną sytuację, w której prze</w:t>
      </w:r>
      <w:r w:rsidR="00942950" w:rsidRPr="00E24274">
        <w:rPr>
          <w:rFonts w:ascii="Times New Roman" w:hAnsi="Times New Roman"/>
          <w:sz w:val="24"/>
          <w:szCs w:val="24"/>
          <w:lang w:eastAsia="pl-PL"/>
        </w:rPr>
        <w:t>wodniczący Komisji nie</w:t>
      </w:r>
      <w:r w:rsidRPr="00E24274">
        <w:rPr>
          <w:rFonts w:ascii="Times New Roman" w:hAnsi="Times New Roman"/>
          <w:sz w:val="24"/>
          <w:szCs w:val="24"/>
          <w:lang w:eastAsia="pl-PL"/>
        </w:rPr>
        <w:t>właściwie wykonuje powierzoną funkcję.</w:t>
      </w:r>
    </w:p>
    <w:p w:rsidR="00F16AB6" w:rsidRPr="00E24274" w:rsidRDefault="00F16AB6" w:rsidP="00E24274">
      <w:pPr>
        <w:spacing w:before="120" w:after="0" w:line="360" w:lineRule="auto"/>
        <w:jc w:val="both"/>
        <w:rPr>
          <w:rFonts w:ascii="Times New Roman" w:hAnsi="Times New Roman"/>
          <w:sz w:val="24"/>
          <w:szCs w:val="24"/>
          <w:lang w:eastAsia="pl-PL"/>
        </w:rPr>
      </w:pPr>
      <w:r w:rsidRPr="00E24274">
        <w:rPr>
          <w:rFonts w:ascii="Times New Roman" w:hAnsi="Times New Roman"/>
          <w:sz w:val="24"/>
          <w:szCs w:val="24"/>
          <w:lang w:eastAsia="pl-PL"/>
        </w:rPr>
        <w:t>3. Ust. 7 projektowanego przepisu przyznaje ministrowi właściwemu d</w:t>
      </w:r>
      <w:r w:rsidR="00EB6EBD" w:rsidRPr="00E24274">
        <w:rPr>
          <w:rFonts w:ascii="Times New Roman" w:hAnsi="Times New Roman"/>
          <w:sz w:val="24"/>
          <w:szCs w:val="24"/>
          <w:lang w:eastAsia="pl-PL"/>
        </w:rPr>
        <w:t xml:space="preserve">o </w:t>
      </w:r>
      <w:r w:rsidRPr="00E24274">
        <w:rPr>
          <w:rFonts w:ascii="Times New Roman" w:hAnsi="Times New Roman"/>
          <w:sz w:val="24"/>
          <w:szCs w:val="24"/>
          <w:lang w:eastAsia="pl-PL"/>
        </w:rPr>
        <w:t>s</w:t>
      </w:r>
      <w:r w:rsidR="00EB6EBD" w:rsidRPr="00E24274">
        <w:rPr>
          <w:rFonts w:ascii="Times New Roman" w:hAnsi="Times New Roman"/>
          <w:sz w:val="24"/>
          <w:szCs w:val="24"/>
          <w:lang w:eastAsia="pl-PL"/>
        </w:rPr>
        <w:t>praw</w:t>
      </w:r>
      <w:r w:rsidR="00BB2307">
        <w:rPr>
          <w:rFonts w:ascii="Times New Roman" w:hAnsi="Times New Roman"/>
          <w:sz w:val="24"/>
          <w:szCs w:val="24"/>
          <w:lang w:eastAsia="pl-PL"/>
        </w:rPr>
        <w:t xml:space="preserve"> kultury i </w:t>
      </w:r>
      <w:r w:rsidRPr="00E24274">
        <w:rPr>
          <w:rFonts w:ascii="Times New Roman" w:hAnsi="Times New Roman"/>
          <w:sz w:val="24"/>
          <w:szCs w:val="24"/>
          <w:lang w:eastAsia="pl-PL"/>
        </w:rPr>
        <w:t>ochrony dziedzictwa narodowego kompetencje do odwołania przewodniczącego Komisji w dwóch wąsko ukształtowanych przypadkach:</w:t>
      </w:r>
      <w:r w:rsidRPr="00E24274">
        <w:rPr>
          <w:rFonts w:ascii="Times New Roman" w:eastAsiaTheme="minorEastAsia" w:hAnsi="Times New Roman"/>
          <w:sz w:val="24"/>
          <w:szCs w:val="24"/>
          <w:lang w:eastAsia="pl-PL"/>
        </w:rPr>
        <w:t xml:space="preserve"> gdy </w:t>
      </w:r>
      <w:r w:rsidRPr="00E24274">
        <w:rPr>
          <w:rFonts w:ascii="Times New Roman" w:hAnsi="Times New Roman"/>
          <w:sz w:val="24"/>
          <w:szCs w:val="24"/>
          <w:lang w:eastAsia="pl-PL"/>
        </w:rPr>
        <w:t xml:space="preserve">uchyla się </w:t>
      </w:r>
      <w:r w:rsidR="00EB6EBD" w:rsidRPr="00E24274">
        <w:rPr>
          <w:rFonts w:ascii="Times New Roman" w:hAnsi="Times New Roman"/>
          <w:sz w:val="24"/>
          <w:szCs w:val="24"/>
          <w:lang w:eastAsia="pl-PL"/>
        </w:rPr>
        <w:t xml:space="preserve">on </w:t>
      </w:r>
      <w:r w:rsidRPr="00E24274">
        <w:rPr>
          <w:rFonts w:ascii="Times New Roman" w:hAnsi="Times New Roman"/>
          <w:sz w:val="24"/>
          <w:szCs w:val="24"/>
          <w:lang w:eastAsia="pl-PL"/>
        </w:rPr>
        <w:t>od pełnienia tej funkcji (blokując w konsekwencji działanie Komisji) lub</w:t>
      </w:r>
      <w:r w:rsidR="00942950" w:rsidRPr="00E24274">
        <w:rPr>
          <w:rFonts w:ascii="Times New Roman" w:hAnsi="Times New Roman"/>
          <w:sz w:val="24"/>
          <w:szCs w:val="24"/>
          <w:lang w:eastAsia="pl-PL"/>
        </w:rPr>
        <w:t xml:space="preserve"> stał</w:t>
      </w:r>
      <w:r w:rsidRPr="00E24274">
        <w:rPr>
          <w:rFonts w:ascii="Times New Roman" w:hAnsi="Times New Roman"/>
          <w:sz w:val="24"/>
          <w:szCs w:val="24"/>
          <w:lang w:eastAsia="pl-PL"/>
        </w:rPr>
        <w:t xml:space="preserve"> się niezdolny do </w:t>
      </w:r>
      <w:r w:rsidR="00942950" w:rsidRPr="00E24274">
        <w:rPr>
          <w:rFonts w:ascii="Times New Roman" w:hAnsi="Times New Roman"/>
          <w:sz w:val="24"/>
          <w:szCs w:val="24"/>
          <w:lang w:eastAsia="pl-PL"/>
        </w:rPr>
        <w:t>jej pełnienia</w:t>
      </w:r>
      <w:r w:rsidRPr="00E24274">
        <w:rPr>
          <w:rFonts w:ascii="Times New Roman" w:hAnsi="Times New Roman"/>
          <w:sz w:val="24"/>
          <w:szCs w:val="24"/>
          <w:lang w:eastAsia="pl-PL"/>
        </w:rPr>
        <w:t xml:space="preserve">, a stan ten trwa dłużej niż 2 miesiące. Prawo do odwołania przewodniczącego Komisji ma w tym wypadku zabezpieczać jej sprawne funkcjonowanie i jest tym bardziej uzasadnione, że projekt likwiduje instytucję wiceprzewodniczącego Komisji. </w:t>
      </w:r>
      <w:r w:rsidR="00B96CE0" w:rsidRPr="00E24274">
        <w:rPr>
          <w:rFonts w:ascii="Times New Roman" w:hAnsi="Times New Roman"/>
          <w:sz w:val="24"/>
          <w:szCs w:val="24"/>
          <w:lang w:eastAsia="pl-PL"/>
        </w:rPr>
        <w:t>Jednocześnie wybór nowego przewodniczącego po odwołaniu dotychczasowego następuje na zasadach ogólnych, a więc na podstawie głosowania arbitrów Komisji.</w:t>
      </w:r>
    </w:p>
    <w:p w:rsidR="007824D6" w:rsidRPr="00E24274" w:rsidRDefault="00B96CE0" w:rsidP="00E24274">
      <w:pPr>
        <w:spacing w:before="120" w:after="0" w:line="360" w:lineRule="auto"/>
        <w:jc w:val="both"/>
        <w:rPr>
          <w:rFonts w:ascii="Times New Roman" w:hAnsi="Times New Roman"/>
          <w:sz w:val="24"/>
          <w:szCs w:val="24"/>
        </w:rPr>
      </w:pPr>
      <w:r w:rsidRPr="00E24274">
        <w:rPr>
          <w:rFonts w:ascii="Times New Roman" w:hAnsi="Times New Roman"/>
          <w:sz w:val="24"/>
          <w:szCs w:val="24"/>
          <w:lang w:eastAsia="pl-PL"/>
        </w:rPr>
        <w:t>4. Ust. 8 i 9 projektowanego przepisu określa</w:t>
      </w:r>
      <w:r w:rsidR="0000774C">
        <w:rPr>
          <w:rFonts w:ascii="Times New Roman" w:hAnsi="Times New Roman"/>
          <w:sz w:val="24"/>
          <w:szCs w:val="24"/>
          <w:lang w:eastAsia="pl-PL"/>
        </w:rPr>
        <w:t>ją</w:t>
      </w:r>
      <w:r w:rsidRPr="00E24274">
        <w:rPr>
          <w:rFonts w:ascii="Times New Roman" w:hAnsi="Times New Roman"/>
          <w:sz w:val="24"/>
          <w:szCs w:val="24"/>
          <w:lang w:eastAsia="pl-PL"/>
        </w:rPr>
        <w:t xml:space="preserve"> </w:t>
      </w:r>
      <w:r w:rsidR="007824D6" w:rsidRPr="00E24274">
        <w:rPr>
          <w:rFonts w:ascii="Times New Roman" w:hAnsi="Times New Roman"/>
          <w:sz w:val="24"/>
          <w:szCs w:val="24"/>
          <w:lang w:eastAsia="pl-PL"/>
        </w:rPr>
        <w:t>kompetencje przewodniczącego Komisji</w:t>
      </w:r>
      <w:r w:rsidR="00942950" w:rsidRPr="00E24274">
        <w:rPr>
          <w:rFonts w:ascii="Times New Roman" w:hAnsi="Times New Roman"/>
          <w:sz w:val="24"/>
          <w:szCs w:val="24"/>
          <w:lang w:eastAsia="pl-PL"/>
        </w:rPr>
        <w:t xml:space="preserve"> </w:t>
      </w:r>
      <w:r w:rsidR="007824D6" w:rsidRPr="00E24274">
        <w:rPr>
          <w:rFonts w:ascii="Times New Roman" w:hAnsi="Times New Roman"/>
          <w:sz w:val="24"/>
          <w:szCs w:val="24"/>
          <w:lang w:eastAsia="pl-PL"/>
        </w:rPr>
        <w:t>oraz przesądza</w:t>
      </w:r>
      <w:r w:rsidR="0000774C">
        <w:rPr>
          <w:rFonts w:ascii="Times New Roman" w:hAnsi="Times New Roman"/>
          <w:sz w:val="24"/>
          <w:szCs w:val="24"/>
          <w:lang w:eastAsia="pl-PL"/>
        </w:rPr>
        <w:t>ją</w:t>
      </w:r>
      <w:r w:rsidR="007824D6" w:rsidRPr="00E24274">
        <w:rPr>
          <w:rFonts w:ascii="Times New Roman" w:hAnsi="Times New Roman"/>
          <w:sz w:val="24"/>
          <w:szCs w:val="24"/>
          <w:lang w:eastAsia="pl-PL"/>
        </w:rPr>
        <w:t xml:space="preserve">, że </w:t>
      </w:r>
      <w:r w:rsidR="007824D6" w:rsidRPr="00E24274">
        <w:rPr>
          <w:rFonts w:ascii="Times New Roman" w:hAnsi="Times New Roman"/>
          <w:sz w:val="24"/>
          <w:szCs w:val="24"/>
        </w:rPr>
        <w:t xml:space="preserve">obsługę techniczno-organizacyjną Komisji </w:t>
      </w:r>
      <w:r w:rsidR="00942950" w:rsidRPr="00E24274">
        <w:rPr>
          <w:rFonts w:ascii="Times New Roman" w:hAnsi="Times New Roman"/>
          <w:sz w:val="24"/>
          <w:szCs w:val="24"/>
        </w:rPr>
        <w:t>i jej</w:t>
      </w:r>
      <w:r w:rsidR="007824D6" w:rsidRPr="00E24274">
        <w:rPr>
          <w:rFonts w:ascii="Times New Roman" w:hAnsi="Times New Roman"/>
          <w:sz w:val="24"/>
          <w:szCs w:val="24"/>
        </w:rPr>
        <w:t xml:space="preserve"> przewodniczącego zapewnia – podobnie jak ma to miejsce w aktualnie obowiązującym stanie prawnym (art. 110</w:t>
      </w:r>
      <w:r w:rsidR="007824D6" w:rsidRPr="00E24274">
        <w:rPr>
          <w:rFonts w:ascii="Times New Roman" w:hAnsi="Times New Roman"/>
          <w:sz w:val="24"/>
          <w:szCs w:val="24"/>
          <w:vertAlign w:val="superscript"/>
        </w:rPr>
        <w:t>10</w:t>
      </w:r>
      <w:r w:rsidR="007824D6" w:rsidRPr="00E24274">
        <w:rPr>
          <w:rFonts w:ascii="Times New Roman" w:hAnsi="Times New Roman"/>
          <w:sz w:val="24"/>
          <w:szCs w:val="24"/>
        </w:rPr>
        <w:t xml:space="preserve"> pr. aut.) – urząd obsługujący ministra </w:t>
      </w:r>
      <w:r w:rsidR="007824D6" w:rsidRPr="00E24274">
        <w:rPr>
          <w:rFonts w:ascii="Times New Roman" w:eastAsiaTheme="minorEastAsia" w:hAnsi="Times New Roman"/>
          <w:bCs/>
          <w:sz w:val="24"/>
          <w:szCs w:val="24"/>
          <w:lang w:eastAsia="pl-PL"/>
        </w:rPr>
        <w:t>właściwego d</w:t>
      </w:r>
      <w:r w:rsidR="00EB6EBD" w:rsidRPr="00E24274">
        <w:rPr>
          <w:rFonts w:ascii="Times New Roman" w:eastAsiaTheme="minorEastAsia" w:hAnsi="Times New Roman"/>
          <w:bCs/>
          <w:sz w:val="24"/>
          <w:szCs w:val="24"/>
          <w:lang w:eastAsia="pl-PL"/>
        </w:rPr>
        <w:t xml:space="preserve">o </w:t>
      </w:r>
      <w:r w:rsidR="007824D6" w:rsidRPr="00E24274">
        <w:rPr>
          <w:rFonts w:ascii="Times New Roman" w:eastAsiaTheme="minorEastAsia" w:hAnsi="Times New Roman"/>
          <w:bCs/>
          <w:sz w:val="24"/>
          <w:szCs w:val="24"/>
          <w:lang w:eastAsia="pl-PL"/>
        </w:rPr>
        <w:t>s</w:t>
      </w:r>
      <w:r w:rsidR="00EB6EBD" w:rsidRPr="00E24274">
        <w:rPr>
          <w:rFonts w:ascii="Times New Roman" w:eastAsiaTheme="minorEastAsia" w:hAnsi="Times New Roman"/>
          <w:bCs/>
          <w:sz w:val="24"/>
          <w:szCs w:val="24"/>
          <w:lang w:eastAsia="pl-PL"/>
        </w:rPr>
        <w:t>praw</w:t>
      </w:r>
      <w:r w:rsidR="007824D6" w:rsidRPr="00E24274">
        <w:rPr>
          <w:rFonts w:ascii="Times New Roman" w:eastAsiaTheme="minorEastAsia" w:hAnsi="Times New Roman"/>
          <w:bCs/>
          <w:sz w:val="24"/>
          <w:szCs w:val="24"/>
          <w:lang w:eastAsia="pl-PL"/>
        </w:rPr>
        <w:t xml:space="preserve"> kultury i ochrony dziedzictwa narodowego</w:t>
      </w:r>
      <w:r w:rsidR="007824D6" w:rsidRPr="00E24274">
        <w:rPr>
          <w:rFonts w:ascii="Times New Roman" w:hAnsi="Times New Roman"/>
          <w:sz w:val="24"/>
          <w:szCs w:val="24"/>
        </w:rPr>
        <w:t xml:space="preserve"> (ust. 1 i 2).</w:t>
      </w:r>
    </w:p>
    <w:p w:rsidR="007824D6" w:rsidRPr="00E24274" w:rsidRDefault="00B96CE0"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5</w:t>
      </w:r>
      <w:r w:rsidR="007824D6" w:rsidRPr="00E24274">
        <w:rPr>
          <w:rFonts w:ascii="Times New Roman" w:hAnsi="Times New Roman"/>
          <w:sz w:val="24"/>
          <w:szCs w:val="24"/>
        </w:rPr>
        <w:t>. Projektowany przepis wyraźnie przesądza, że rola przewodniczącego Komisji ogranicza się do reprezentowania Komisji na zewnątrz oraz organizowania jej pracy. Obowiązki przewodniczącego obejmują – zgodnie z ust</w:t>
      </w:r>
      <w:r w:rsidR="00BB2307">
        <w:rPr>
          <w:rFonts w:ascii="Times New Roman" w:hAnsi="Times New Roman"/>
          <w:sz w:val="24"/>
          <w:szCs w:val="24"/>
        </w:rPr>
        <w:t>. 1 projektowanego artykułu – w </w:t>
      </w:r>
      <w:r w:rsidR="007824D6" w:rsidRPr="00E24274">
        <w:rPr>
          <w:rFonts w:ascii="Times New Roman" w:hAnsi="Times New Roman"/>
          <w:sz w:val="24"/>
          <w:szCs w:val="24"/>
        </w:rPr>
        <w:t>szczególności:</w:t>
      </w:r>
    </w:p>
    <w:p w:rsidR="007824D6" w:rsidRPr="00E24274" w:rsidRDefault="007824D6" w:rsidP="00BB2307">
      <w:pPr>
        <w:pStyle w:val="Akapitzlist"/>
        <w:numPr>
          <w:ilvl w:val="0"/>
          <w:numId w:val="25"/>
        </w:numPr>
        <w:spacing w:after="0" w:line="360" w:lineRule="auto"/>
        <w:ind w:left="406" w:hanging="378"/>
        <w:contextualSpacing w:val="0"/>
        <w:jc w:val="both"/>
        <w:rPr>
          <w:rFonts w:ascii="Times New Roman" w:hAnsi="Times New Roman"/>
          <w:sz w:val="24"/>
          <w:szCs w:val="24"/>
        </w:rPr>
      </w:pPr>
      <w:r w:rsidRPr="00E24274">
        <w:rPr>
          <w:rFonts w:ascii="Times New Roman" w:hAnsi="Times New Roman"/>
          <w:sz w:val="24"/>
          <w:szCs w:val="24"/>
        </w:rPr>
        <w:t>zwoływanie posiedzeń plenarnych Komisji;</w:t>
      </w:r>
    </w:p>
    <w:p w:rsidR="007824D6" w:rsidRPr="00E24274" w:rsidRDefault="007824D6" w:rsidP="00BB2307">
      <w:pPr>
        <w:pStyle w:val="Akapitzlist"/>
        <w:numPr>
          <w:ilvl w:val="0"/>
          <w:numId w:val="25"/>
        </w:numPr>
        <w:spacing w:after="0" w:line="360" w:lineRule="auto"/>
        <w:ind w:left="406" w:hanging="378"/>
        <w:contextualSpacing w:val="0"/>
        <w:jc w:val="both"/>
        <w:rPr>
          <w:rFonts w:ascii="Times New Roman" w:hAnsi="Times New Roman"/>
          <w:sz w:val="24"/>
          <w:szCs w:val="24"/>
        </w:rPr>
      </w:pPr>
      <w:r w:rsidRPr="00E24274">
        <w:rPr>
          <w:rFonts w:ascii="Times New Roman" w:hAnsi="Times New Roman"/>
          <w:sz w:val="24"/>
          <w:szCs w:val="24"/>
        </w:rPr>
        <w:t xml:space="preserve">wyznaczanie </w:t>
      </w:r>
      <w:r w:rsidR="007821A7" w:rsidRPr="00E24274">
        <w:rPr>
          <w:rFonts w:ascii="Times New Roman" w:hAnsi="Times New Roman"/>
          <w:sz w:val="24"/>
          <w:szCs w:val="24"/>
        </w:rPr>
        <w:t xml:space="preserve">lub odwoływanie </w:t>
      </w:r>
      <w:r w:rsidRPr="00E24274">
        <w:rPr>
          <w:rFonts w:ascii="Times New Roman" w:hAnsi="Times New Roman"/>
          <w:sz w:val="24"/>
          <w:szCs w:val="24"/>
        </w:rPr>
        <w:t xml:space="preserve">członków zespołów orzekających zgodnie </w:t>
      </w:r>
      <w:r w:rsidR="00BB2307">
        <w:rPr>
          <w:rFonts w:ascii="Times New Roman" w:hAnsi="Times New Roman"/>
          <w:sz w:val="24"/>
          <w:szCs w:val="24"/>
        </w:rPr>
        <w:t>z </w:t>
      </w:r>
      <w:r w:rsidRPr="00E24274">
        <w:rPr>
          <w:rFonts w:ascii="Times New Roman" w:hAnsi="Times New Roman"/>
          <w:sz w:val="24"/>
          <w:szCs w:val="24"/>
        </w:rPr>
        <w:t>zasadami określonymi w projekcie;</w:t>
      </w:r>
    </w:p>
    <w:p w:rsidR="007824D6" w:rsidRPr="00E24274" w:rsidRDefault="007824D6" w:rsidP="00BB2307">
      <w:pPr>
        <w:pStyle w:val="Akapitzlist"/>
        <w:numPr>
          <w:ilvl w:val="0"/>
          <w:numId w:val="25"/>
        </w:numPr>
        <w:spacing w:after="0" w:line="360" w:lineRule="auto"/>
        <w:ind w:left="406" w:hanging="378"/>
        <w:contextualSpacing w:val="0"/>
        <w:jc w:val="both"/>
        <w:rPr>
          <w:rFonts w:ascii="Times New Roman" w:hAnsi="Times New Roman"/>
          <w:sz w:val="24"/>
          <w:szCs w:val="24"/>
        </w:rPr>
      </w:pPr>
      <w:r w:rsidRPr="00E24274">
        <w:rPr>
          <w:rFonts w:ascii="Times New Roman" w:hAnsi="Times New Roman"/>
          <w:sz w:val="24"/>
          <w:szCs w:val="24"/>
        </w:rPr>
        <w:t>zwoływanie pierwszego posiedzenia zespołu orzekającego;</w:t>
      </w:r>
    </w:p>
    <w:p w:rsidR="007824D6" w:rsidRPr="00E24274" w:rsidRDefault="007824D6" w:rsidP="00BB2307">
      <w:pPr>
        <w:pStyle w:val="Akapitzlist"/>
        <w:numPr>
          <w:ilvl w:val="0"/>
          <w:numId w:val="25"/>
        </w:numPr>
        <w:spacing w:after="0" w:line="360" w:lineRule="auto"/>
        <w:ind w:left="406" w:hanging="378"/>
        <w:contextualSpacing w:val="0"/>
        <w:jc w:val="both"/>
        <w:rPr>
          <w:rFonts w:ascii="Times New Roman" w:hAnsi="Times New Roman"/>
          <w:sz w:val="24"/>
          <w:szCs w:val="24"/>
        </w:rPr>
      </w:pPr>
      <w:r w:rsidRPr="00E24274">
        <w:rPr>
          <w:rFonts w:ascii="Times New Roman" w:hAnsi="Times New Roman"/>
          <w:sz w:val="24"/>
          <w:szCs w:val="24"/>
        </w:rPr>
        <w:t xml:space="preserve">wykonywanie w razie potrzeby wstępnych czynności formalnych w stosunku do wniosków kierowanych do Komisji (uzupełnianie braków formalnych wniosków, przekazywanie pism, w stosunku do których Komisja jest niewłaściwa według </w:t>
      </w:r>
      <w:r w:rsidRPr="00E24274">
        <w:rPr>
          <w:rFonts w:ascii="Times New Roman" w:hAnsi="Times New Roman"/>
          <w:sz w:val="24"/>
          <w:szCs w:val="24"/>
        </w:rPr>
        <w:lastRenderedPageBreak/>
        <w:t>właściwości</w:t>
      </w:r>
      <w:r w:rsidR="0000774C">
        <w:rPr>
          <w:rFonts w:ascii="Times New Roman" w:hAnsi="Times New Roman"/>
          <w:sz w:val="24"/>
          <w:szCs w:val="24"/>
        </w:rPr>
        <w:t>,</w:t>
      </w:r>
      <w:r w:rsidRPr="00E24274">
        <w:rPr>
          <w:rFonts w:ascii="Times New Roman" w:hAnsi="Times New Roman"/>
          <w:sz w:val="24"/>
          <w:szCs w:val="24"/>
        </w:rPr>
        <w:t xml:space="preserve"> oraz uzupełnianie braków w zakresie wniesienia opłaty od wniosków – w sytuacjach analogicznych jak wynika to z art. 110</w:t>
      </w:r>
      <w:r w:rsidRPr="00E24274">
        <w:rPr>
          <w:rFonts w:ascii="Times New Roman" w:hAnsi="Times New Roman"/>
          <w:sz w:val="24"/>
          <w:szCs w:val="24"/>
          <w:vertAlign w:val="superscript"/>
        </w:rPr>
        <w:t>5</w:t>
      </w:r>
      <w:r w:rsidRPr="00E24274">
        <w:rPr>
          <w:rFonts w:ascii="Times New Roman" w:hAnsi="Times New Roman"/>
          <w:sz w:val="24"/>
          <w:szCs w:val="24"/>
        </w:rPr>
        <w:t xml:space="preserve"> ust. 9 pr. aut.);</w:t>
      </w:r>
    </w:p>
    <w:p w:rsidR="007824D6" w:rsidRPr="00E24274" w:rsidRDefault="007824D6" w:rsidP="00BB2307">
      <w:pPr>
        <w:pStyle w:val="Akapitzlist"/>
        <w:numPr>
          <w:ilvl w:val="0"/>
          <w:numId w:val="25"/>
        </w:numPr>
        <w:spacing w:after="0" w:line="360" w:lineRule="auto"/>
        <w:ind w:left="406" w:hanging="378"/>
        <w:contextualSpacing w:val="0"/>
        <w:jc w:val="both"/>
        <w:rPr>
          <w:rFonts w:ascii="Times New Roman" w:hAnsi="Times New Roman"/>
          <w:sz w:val="24"/>
          <w:szCs w:val="24"/>
        </w:rPr>
      </w:pPr>
      <w:r w:rsidRPr="00E24274">
        <w:rPr>
          <w:rFonts w:ascii="Times New Roman" w:hAnsi="Times New Roman"/>
          <w:sz w:val="24"/>
          <w:szCs w:val="24"/>
        </w:rPr>
        <w:t>przekazywanie sprawy do rozpoznania przez właściwy zespół orzekający Komisji;</w:t>
      </w:r>
    </w:p>
    <w:p w:rsidR="007824D6" w:rsidRPr="00E24274" w:rsidRDefault="00B96CE0" w:rsidP="00BB2307">
      <w:pPr>
        <w:pStyle w:val="Akapitzlist"/>
        <w:numPr>
          <w:ilvl w:val="0"/>
          <w:numId w:val="25"/>
        </w:numPr>
        <w:spacing w:after="0" w:line="360" w:lineRule="auto"/>
        <w:ind w:left="406" w:hanging="378"/>
        <w:contextualSpacing w:val="0"/>
        <w:jc w:val="both"/>
        <w:rPr>
          <w:rFonts w:ascii="Times New Roman" w:hAnsi="Times New Roman"/>
          <w:sz w:val="24"/>
          <w:szCs w:val="24"/>
        </w:rPr>
      </w:pPr>
      <w:r w:rsidRPr="00E24274">
        <w:rPr>
          <w:rFonts w:ascii="Times New Roman" w:hAnsi="Times New Roman"/>
          <w:sz w:val="24"/>
          <w:szCs w:val="24"/>
        </w:rPr>
        <w:t xml:space="preserve">przekazywanie do </w:t>
      </w:r>
      <w:r w:rsidR="007824D6" w:rsidRPr="00E24274">
        <w:rPr>
          <w:rFonts w:ascii="Times New Roman" w:hAnsi="Times New Roman"/>
          <w:sz w:val="24"/>
          <w:szCs w:val="24"/>
        </w:rPr>
        <w:t>publikacj</w:t>
      </w:r>
      <w:r w:rsidRPr="00E24274">
        <w:rPr>
          <w:rFonts w:ascii="Times New Roman" w:hAnsi="Times New Roman"/>
          <w:sz w:val="24"/>
          <w:szCs w:val="24"/>
        </w:rPr>
        <w:t>i</w:t>
      </w:r>
      <w:r w:rsidR="007824D6" w:rsidRPr="00E24274">
        <w:rPr>
          <w:rFonts w:ascii="Times New Roman" w:hAnsi="Times New Roman"/>
          <w:sz w:val="24"/>
          <w:szCs w:val="24"/>
        </w:rPr>
        <w:t xml:space="preserve"> </w:t>
      </w:r>
      <w:r w:rsidRPr="00E24274">
        <w:rPr>
          <w:rFonts w:ascii="Times New Roman" w:hAnsi="Times New Roman"/>
          <w:sz w:val="24"/>
          <w:szCs w:val="24"/>
        </w:rPr>
        <w:t>przez ministra właściwego d</w:t>
      </w:r>
      <w:r w:rsidR="007821A7" w:rsidRPr="00E24274">
        <w:rPr>
          <w:rFonts w:ascii="Times New Roman" w:hAnsi="Times New Roman"/>
          <w:sz w:val="24"/>
          <w:szCs w:val="24"/>
        </w:rPr>
        <w:t xml:space="preserve">o </w:t>
      </w:r>
      <w:r w:rsidRPr="00E24274">
        <w:rPr>
          <w:rFonts w:ascii="Times New Roman" w:hAnsi="Times New Roman"/>
          <w:sz w:val="24"/>
          <w:szCs w:val="24"/>
        </w:rPr>
        <w:t>s</w:t>
      </w:r>
      <w:r w:rsidR="007821A7" w:rsidRPr="00E24274">
        <w:rPr>
          <w:rFonts w:ascii="Times New Roman" w:hAnsi="Times New Roman"/>
          <w:sz w:val="24"/>
          <w:szCs w:val="24"/>
        </w:rPr>
        <w:t>praw</w:t>
      </w:r>
      <w:r w:rsidRPr="00E24274">
        <w:rPr>
          <w:rFonts w:ascii="Times New Roman" w:hAnsi="Times New Roman"/>
          <w:sz w:val="24"/>
          <w:szCs w:val="24"/>
        </w:rPr>
        <w:t xml:space="preserve"> kultury i </w:t>
      </w:r>
      <w:r w:rsidR="007821A7" w:rsidRPr="00E24274">
        <w:rPr>
          <w:rFonts w:ascii="Times New Roman" w:hAnsi="Times New Roman"/>
          <w:sz w:val="24"/>
          <w:szCs w:val="24"/>
        </w:rPr>
        <w:t xml:space="preserve">ochrony </w:t>
      </w:r>
      <w:r w:rsidRPr="00E24274">
        <w:rPr>
          <w:rFonts w:ascii="Times New Roman" w:hAnsi="Times New Roman"/>
          <w:sz w:val="24"/>
          <w:szCs w:val="24"/>
        </w:rPr>
        <w:t xml:space="preserve">dziedzictwa narodowego </w:t>
      </w:r>
      <w:r w:rsidR="007824D6" w:rsidRPr="00E24274">
        <w:rPr>
          <w:rFonts w:ascii="Times New Roman" w:hAnsi="Times New Roman"/>
          <w:sz w:val="24"/>
          <w:szCs w:val="24"/>
        </w:rPr>
        <w:t xml:space="preserve">orzeczeń zespołów orzekających Komisji kończących postępowanie. </w:t>
      </w:r>
    </w:p>
    <w:p w:rsidR="007824D6" w:rsidRPr="00E24274" w:rsidRDefault="007824D6"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 xml:space="preserve">Zakres uprawnień przewodniczącego Komisji ograniczony jest więc do kwestii organizacyjnych i formalnych, które nie są związane z merytoryczną oceną wniosków do niej kierowanych. Przypisanie wszystkich tego rodzaju obowiązków przewodniczącemu służy odciążeniu zespołów orzekających od czynności o charakterze formalnym, umożliwiając im skoncentrowanie się na prowadzeniu postępowania administracyjnego służącego merytorycznej ocenie składanych wniosków. Takie rozgraniczenie roli przewodniczącego Komisji i jej zespołów orzekających jest dodatkowo wyraźnie potwierdzone treścią ust. </w:t>
      </w:r>
      <w:r w:rsidR="007821A7" w:rsidRPr="00E24274">
        <w:rPr>
          <w:rFonts w:ascii="Times New Roman" w:hAnsi="Times New Roman"/>
          <w:sz w:val="24"/>
          <w:szCs w:val="24"/>
        </w:rPr>
        <w:t xml:space="preserve">10 </w:t>
      </w:r>
      <w:r w:rsidRPr="00E24274">
        <w:rPr>
          <w:rFonts w:ascii="Times New Roman" w:hAnsi="Times New Roman"/>
          <w:sz w:val="24"/>
          <w:szCs w:val="24"/>
        </w:rPr>
        <w:t>projektowanego przepisu, który przesądza wprost, że przewodniczący Komisji nie może być członkiem zespołów orzekających. Zasada ta obecnie wynika wprost z treści art. 110</w:t>
      </w:r>
      <w:r w:rsidRPr="00E24274">
        <w:rPr>
          <w:rFonts w:ascii="Times New Roman" w:hAnsi="Times New Roman"/>
          <w:sz w:val="24"/>
          <w:szCs w:val="24"/>
          <w:vertAlign w:val="superscript"/>
        </w:rPr>
        <w:t>5</w:t>
      </w:r>
      <w:r w:rsidRPr="00E24274">
        <w:rPr>
          <w:rFonts w:ascii="Times New Roman" w:hAnsi="Times New Roman"/>
          <w:sz w:val="24"/>
          <w:szCs w:val="24"/>
        </w:rPr>
        <w:t xml:space="preserve"> ust. 8 pr. aut., a jej potwierdzenie w treści projektu wyjaśnia ewentualne wątpliwości co do pozycji ustrojowej i zakresu kompetencji przewodniczącego Komisji w projektowanym stanie prawnym. </w:t>
      </w:r>
    </w:p>
    <w:p w:rsidR="007824D6" w:rsidRPr="00E24274" w:rsidRDefault="00B96CE0" w:rsidP="00E24274">
      <w:pPr>
        <w:spacing w:before="120" w:after="0" w:line="360" w:lineRule="auto"/>
        <w:jc w:val="both"/>
        <w:rPr>
          <w:rFonts w:ascii="Times New Roman" w:hAnsi="Times New Roman"/>
          <w:sz w:val="24"/>
          <w:szCs w:val="24"/>
          <w:lang w:eastAsia="pl-PL"/>
        </w:rPr>
      </w:pPr>
      <w:r w:rsidRPr="00E24274">
        <w:rPr>
          <w:rFonts w:ascii="Times New Roman" w:hAnsi="Times New Roman"/>
          <w:sz w:val="24"/>
          <w:szCs w:val="24"/>
        </w:rPr>
        <w:t>6</w:t>
      </w:r>
      <w:r w:rsidR="007824D6" w:rsidRPr="00E24274">
        <w:rPr>
          <w:rFonts w:ascii="Times New Roman" w:hAnsi="Times New Roman"/>
          <w:sz w:val="24"/>
          <w:szCs w:val="24"/>
        </w:rPr>
        <w:t xml:space="preserve">. </w:t>
      </w:r>
      <w:r w:rsidRPr="00E24274">
        <w:rPr>
          <w:rFonts w:ascii="Times New Roman" w:hAnsi="Times New Roman"/>
          <w:sz w:val="24"/>
          <w:szCs w:val="24"/>
        </w:rPr>
        <w:t>Ust. 1</w:t>
      </w:r>
      <w:r w:rsidR="007821A7" w:rsidRPr="00E24274">
        <w:rPr>
          <w:rFonts w:ascii="Times New Roman" w:hAnsi="Times New Roman"/>
          <w:sz w:val="24"/>
          <w:szCs w:val="24"/>
        </w:rPr>
        <w:t>1</w:t>
      </w:r>
      <w:r w:rsidRPr="00E24274">
        <w:rPr>
          <w:rFonts w:ascii="Times New Roman" w:hAnsi="Times New Roman"/>
          <w:sz w:val="24"/>
          <w:szCs w:val="24"/>
        </w:rPr>
        <w:t xml:space="preserve"> określa </w:t>
      </w:r>
      <w:r w:rsidR="00942950" w:rsidRPr="00E24274">
        <w:rPr>
          <w:rFonts w:ascii="Times New Roman" w:hAnsi="Times New Roman"/>
          <w:sz w:val="24"/>
          <w:szCs w:val="24"/>
        </w:rPr>
        <w:t>– jako</w:t>
      </w:r>
      <w:r w:rsidR="007824D6" w:rsidRPr="00E24274">
        <w:rPr>
          <w:rFonts w:ascii="Times New Roman" w:hAnsi="Times New Roman"/>
          <w:sz w:val="24"/>
          <w:szCs w:val="24"/>
        </w:rPr>
        <w:t xml:space="preserve"> odpowiednik obecnego art. 110</w:t>
      </w:r>
      <w:r w:rsidR="007824D6" w:rsidRPr="00E24274">
        <w:rPr>
          <w:rFonts w:ascii="Times New Roman" w:hAnsi="Times New Roman"/>
          <w:sz w:val="24"/>
          <w:szCs w:val="24"/>
          <w:vertAlign w:val="superscript"/>
        </w:rPr>
        <w:t xml:space="preserve">7 </w:t>
      </w:r>
      <w:r w:rsidR="007824D6" w:rsidRPr="00E24274">
        <w:rPr>
          <w:rFonts w:ascii="Times New Roman" w:hAnsi="Times New Roman"/>
          <w:sz w:val="24"/>
          <w:szCs w:val="24"/>
        </w:rPr>
        <w:t xml:space="preserve">pr. aut. </w:t>
      </w:r>
      <w:r w:rsidR="00942950" w:rsidRPr="00E24274">
        <w:rPr>
          <w:rFonts w:ascii="Times New Roman" w:hAnsi="Times New Roman"/>
          <w:sz w:val="24"/>
          <w:szCs w:val="24"/>
        </w:rPr>
        <w:t>–</w:t>
      </w:r>
      <w:r w:rsidRPr="00E24274">
        <w:rPr>
          <w:rFonts w:ascii="Times New Roman" w:hAnsi="Times New Roman"/>
          <w:sz w:val="24"/>
          <w:szCs w:val="24"/>
        </w:rPr>
        <w:t xml:space="preserve"> </w:t>
      </w:r>
      <w:r w:rsidR="00942950" w:rsidRPr="00E24274">
        <w:rPr>
          <w:rFonts w:ascii="Times New Roman" w:hAnsi="Times New Roman"/>
          <w:sz w:val="24"/>
          <w:szCs w:val="24"/>
        </w:rPr>
        <w:t>z</w:t>
      </w:r>
      <w:r w:rsidR="007824D6" w:rsidRPr="00E24274">
        <w:rPr>
          <w:rFonts w:ascii="Times New Roman" w:hAnsi="Times New Roman"/>
          <w:sz w:val="24"/>
          <w:szCs w:val="24"/>
        </w:rPr>
        <w:t>asady wynagradzania przewodniczącego Komisji Prawa Autorskiego.</w:t>
      </w:r>
    </w:p>
    <w:p w:rsidR="007824D6" w:rsidRPr="00E24274" w:rsidRDefault="007824D6" w:rsidP="00E24274">
      <w:pPr>
        <w:spacing w:before="120" w:after="0" w:line="360" w:lineRule="auto"/>
        <w:rPr>
          <w:rFonts w:ascii="Times New Roman" w:hAnsi="Times New Roman"/>
          <w:b/>
          <w:sz w:val="24"/>
          <w:szCs w:val="24"/>
          <w:lang w:eastAsia="pl-PL"/>
        </w:rPr>
      </w:pPr>
      <w:r w:rsidRPr="00E24274">
        <w:rPr>
          <w:rFonts w:ascii="Times New Roman" w:hAnsi="Times New Roman"/>
          <w:b/>
          <w:sz w:val="24"/>
          <w:szCs w:val="24"/>
          <w:lang w:eastAsia="pl-PL"/>
        </w:rPr>
        <w:t>art. 69</w:t>
      </w:r>
    </w:p>
    <w:p w:rsidR="007824D6" w:rsidRPr="00E24274" w:rsidRDefault="007824D6" w:rsidP="00BB2307">
      <w:pPr>
        <w:spacing w:after="0" w:line="360" w:lineRule="auto"/>
        <w:jc w:val="both"/>
        <w:rPr>
          <w:rFonts w:ascii="Times New Roman" w:hAnsi="Times New Roman"/>
          <w:sz w:val="24"/>
          <w:szCs w:val="24"/>
          <w:lang w:eastAsia="pl-PL"/>
        </w:rPr>
      </w:pPr>
      <w:r w:rsidRPr="00E24274">
        <w:rPr>
          <w:rFonts w:ascii="Times New Roman" w:hAnsi="Times New Roman"/>
          <w:sz w:val="24"/>
          <w:szCs w:val="24"/>
          <w:lang w:eastAsia="pl-PL"/>
        </w:rPr>
        <w:t>1. Przepis ten reguluje zasady wydawania orzeczeń przez Komisję (ust. 1, 3</w:t>
      </w:r>
      <w:r w:rsidR="0000774C">
        <w:rPr>
          <w:rFonts w:ascii="Times New Roman" w:hAnsi="Times New Roman"/>
          <w:sz w:val="24"/>
          <w:szCs w:val="24"/>
          <w:lang w:eastAsia="pl-PL"/>
        </w:rPr>
        <w:t xml:space="preserve"> i </w:t>
      </w:r>
      <w:r w:rsidRPr="00E24274">
        <w:rPr>
          <w:rFonts w:ascii="Times New Roman" w:hAnsi="Times New Roman"/>
          <w:sz w:val="24"/>
          <w:szCs w:val="24"/>
          <w:lang w:eastAsia="pl-PL"/>
        </w:rPr>
        <w:t xml:space="preserve">4), ich formę (ust. 2) oraz przesądza, że orzeczenia kończące postępowanie są z urzędu doręczane stronom oraz </w:t>
      </w:r>
      <w:r w:rsidR="007821A7" w:rsidRPr="00E24274">
        <w:rPr>
          <w:rFonts w:ascii="Times New Roman" w:hAnsi="Times New Roman"/>
          <w:sz w:val="24"/>
          <w:szCs w:val="24"/>
          <w:lang w:eastAsia="pl-PL"/>
        </w:rPr>
        <w:t>uczestnikom</w:t>
      </w:r>
      <w:r w:rsidRPr="00E24274">
        <w:rPr>
          <w:rFonts w:ascii="Times New Roman" w:hAnsi="Times New Roman"/>
          <w:sz w:val="24"/>
          <w:szCs w:val="24"/>
          <w:lang w:eastAsia="pl-PL"/>
        </w:rPr>
        <w:t xml:space="preserve"> wraz z uzasadnieniem (ust. 5).</w:t>
      </w:r>
    </w:p>
    <w:p w:rsidR="007824D6" w:rsidRPr="00E24274" w:rsidRDefault="007824D6" w:rsidP="00E24274">
      <w:pPr>
        <w:spacing w:before="120" w:after="0" w:line="360" w:lineRule="auto"/>
        <w:jc w:val="both"/>
        <w:rPr>
          <w:rFonts w:ascii="Times New Roman" w:hAnsi="Times New Roman"/>
          <w:sz w:val="24"/>
          <w:szCs w:val="24"/>
        </w:rPr>
      </w:pPr>
      <w:r w:rsidRPr="00E24274">
        <w:rPr>
          <w:rFonts w:ascii="Times New Roman" w:hAnsi="Times New Roman"/>
          <w:sz w:val="24"/>
          <w:szCs w:val="24"/>
          <w:lang w:eastAsia="pl-PL"/>
        </w:rPr>
        <w:t xml:space="preserve">2. Ust. 1 przesądza, że posiedzenia zespołów orzekających odbywają się w obecności co najmniej </w:t>
      </w:r>
      <w:r w:rsidR="00D81822" w:rsidRPr="00E24274">
        <w:rPr>
          <w:rFonts w:ascii="Times New Roman" w:hAnsi="Times New Roman"/>
          <w:sz w:val="24"/>
          <w:szCs w:val="24"/>
          <w:lang w:eastAsia="pl-PL"/>
        </w:rPr>
        <w:t>2</w:t>
      </w:r>
      <w:r w:rsidRPr="00E24274">
        <w:rPr>
          <w:rFonts w:ascii="Times New Roman" w:hAnsi="Times New Roman"/>
          <w:sz w:val="24"/>
          <w:szCs w:val="24"/>
          <w:lang w:eastAsia="pl-PL"/>
        </w:rPr>
        <w:t>/</w:t>
      </w:r>
      <w:r w:rsidR="00D81822" w:rsidRPr="00E24274">
        <w:rPr>
          <w:rFonts w:ascii="Times New Roman" w:hAnsi="Times New Roman"/>
          <w:sz w:val="24"/>
          <w:szCs w:val="24"/>
          <w:lang w:eastAsia="pl-PL"/>
        </w:rPr>
        <w:t>3</w:t>
      </w:r>
      <w:r w:rsidRPr="00E24274">
        <w:rPr>
          <w:rFonts w:ascii="Times New Roman" w:hAnsi="Times New Roman"/>
          <w:sz w:val="24"/>
          <w:szCs w:val="24"/>
          <w:lang w:eastAsia="pl-PL"/>
        </w:rPr>
        <w:t xml:space="preserve"> ich składów. Kworum określane jest w sposób identyczny (po uchyleniu przepisów dotyczących postępowania o wyznaczenie organizacji właściwej prowadzonego w składzie trzyosobowym – art. 110</w:t>
      </w:r>
      <w:r w:rsidRPr="00E24274">
        <w:rPr>
          <w:rFonts w:ascii="Times New Roman" w:hAnsi="Times New Roman"/>
          <w:sz w:val="24"/>
          <w:szCs w:val="24"/>
          <w:vertAlign w:val="superscript"/>
          <w:lang w:eastAsia="pl-PL"/>
        </w:rPr>
        <w:t>17</w:t>
      </w:r>
      <w:r w:rsidRPr="00E24274">
        <w:rPr>
          <w:rFonts w:ascii="Times New Roman" w:hAnsi="Times New Roman"/>
          <w:sz w:val="24"/>
          <w:szCs w:val="24"/>
          <w:lang w:eastAsia="pl-PL"/>
        </w:rPr>
        <w:t xml:space="preserve"> pr. aut.)</w:t>
      </w:r>
      <w:r w:rsidR="0000774C">
        <w:rPr>
          <w:rFonts w:ascii="Times New Roman" w:hAnsi="Times New Roman"/>
          <w:sz w:val="24"/>
          <w:szCs w:val="24"/>
          <w:lang w:eastAsia="pl-PL"/>
        </w:rPr>
        <w:t>,</w:t>
      </w:r>
      <w:r w:rsidRPr="00E24274">
        <w:rPr>
          <w:rFonts w:ascii="Times New Roman" w:hAnsi="Times New Roman"/>
          <w:sz w:val="24"/>
          <w:szCs w:val="24"/>
          <w:lang w:eastAsia="pl-PL"/>
        </w:rPr>
        <w:t xml:space="preserve"> jak wynika to z obecnie obowiązującego art. 110</w:t>
      </w:r>
      <w:r w:rsidRPr="00E24274">
        <w:rPr>
          <w:rFonts w:ascii="Times New Roman" w:hAnsi="Times New Roman"/>
          <w:sz w:val="24"/>
          <w:szCs w:val="24"/>
          <w:vertAlign w:val="superscript"/>
          <w:lang w:eastAsia="pl-PL"/>
        </w:rPr>
        <w:t>6</w:t>
      </w:r>
      <w:r w:rsidRPr="00E24274">
        <w:rPr>
          <w:rFonts w:ascii="Times New Roman" w:hAnsi="Times New Roman"/>
          <w:sz w:val="24"/>
          <w:szCs w:val="24"/>
          <w:lang w:eastAsia="pl-PL"/>
        </w:rPr>
        <w:t xml:space="preserve"> ust. 1 pr. aut. </w:t>
      </w:r>
      <w:r w:rsidRPr="00E24274">
        <w:rPr>
          <w:rFonts w:ascii="Times New Roman" w:hAnsi="Times New Roman"/>
          <w:sz w:val="24"/>
          <w:szCs w:val="24"/>
        </w:rPr>
        <w:t>Natomiast orzeczenia kończące postępowanie – podobnie jak w obowiązującym</w:t>
      </w:r>
      <w:r w:rsidRPr="00E24274">
        <w:rPr>
          <w:rFonts w:ascii="Times New Roman" w:hAnsi="Times New Roman"/>
          <w:sz w:val="24"/>
          <w:szCs w:val="24"/>
          <w:lang w:eastAsia="pl-PL"/>
        </w:rPr>
        <w:t xml:space="preserve"> </w:t>
      </w:r>
      <w:r w:rsidRPr="00E24274">
        <w:rPr>
          <w:rFonts w:ascii="Times New Roman" w:hAnsi="Times New Roman"/>
          <w:sz w:val="24"/>
          <w:szCs w:val="24"/>
        </w:rPr>
        <w:t>art. 110</w:t>
      </w:r>
      <w:r w:rsidRPr="00E24274">
        <w:rPr>
          <w:rFonts w:ascii="Times New Roman" w:hAnsi="Times New Roman"/>
          <w:sz w:val="24"/>
          <w:szCs w:val="24"/>
          <w:vertAlign w:val="superscript"/>
        </w:rPr>
        <w:t>6</w:t>
      </w:r>
      <w:r w:rsidRPr="00E24274">
        <w:rPr>
          <w:rFonts w:ascii="Times New Roman" w:hAnsi="Times New Roman"/>
          <w:sz w:val="24"/>
          <w:szCs w:val="24"/>
        </w:rPr>
        <w:t xml:space="preserve"> ust. 4 pr. aut. powinny zapaść w obecności całego składu zespołu orzekającego Komisji. </w:t>
      </w:r>
      <w:r w:rsidRPr="00E24274">
        <w:rPr>
          <w:rFonts w:ascii="Times New Roman" w:hAnsi="Times New Roman"/>
          <w:sz w:val="24"/>
          <w:szCs w:val="24"/>
          <w:lang w:eastAsia="pl-PL"/>
        </w:rPr>
        <w:t xml:space="preserve">Identycznie również jak w obecnie </w:t>
      </w:r>
      <w:r w:rsidRPr="00E24274">
        <w:rPr>
          <w:rFonts w:ascii="Times New Roman" w:hAnsi="Times New Roman"/>
          <w:sz w:val="24"/>
          <w:szCs w:val="24"/>
          <w:lang w:eastAsia="pl-PL"/>
        </w:rPr>
        <w:lastRenderedPageBreak/>
        <w:t>obowiązującym stanie prawnym</w:t>
      </w:r>
      <w:r w:rsidR="0000774C">
        <w:rPr>
          <w:rFonts w:ascii="Times New Roman" w:hAnsi="Times New Roman"/>
          <w:sz w:val="24"/>
          <w:szCs w:val="24"/>
          <w:lang w:eastAsia="pl-PL"/>
        </w:rPr>
        <w:t>,</w:t>
      </w:r>
      <w:r w:rsidRPr="00E24274">
        <w:rPr>
          <w:rFonts w:ascii="Times New Roman" w:hAnsi="Times New Roman"/>
          <w:sz w:val="24"/>
          <w:szCs w:val="24"/>
          <w:lang w:eastAsia="pl-PL"/>
        </w:rPr>
        <w:t xml:space="preserve"> tj. art. 110</w:t>
      </w:r>
      <w:r w:rsidRPr="00E24274">
        <w:rPr>
          <w:rFonts w:ascii="Times New Roman" w:hAnsi="Times New Roman"/>
          <w:sz w:val="24"/>
          <w:szCs w:val="24"/>
          <w:vertAlign w:val="superscript"/>
          <w:lang w:eastAsia="pl-PL"/>
        </w:rPr>
        <w:t>6</w:t>
      </w:r>
      <w:r w:rsidRPr="00E24274">
        <w:rPr>
          <w:rFonts w:ascii="Times New Roman" w:hAnsi="Times New Roman"/>
          <w:sz w:val="24"/>
          <w:szCs w:val="24"/>
          <w:lang w:eastAsia="pl-PL"/>
        </w:rPr>
        <w:t xml:space="preserve"> ust. 3 pr. aut., w którym przyjęto, że wszystkie o</w:t>
      </w:r>
      <w:r w:rsidRPr="00E24274">
        <w:rPr>
          <w:rFonts w:ascii="Times New Roman" w:hAnsi="Times New Roman"/>
          <w:sz w:val="24"/>
          <w:szCs w:val="24"/>
        </w:rPr>
        <w:t xml:space="preserve">rzeczenia Komisji zapadają większością głosów, </w:t>
      </w:r>
      <w:r w:rsidR="0000774C">
        <w:rPr>
          <w:rFonts w:ascii="Times New Roman" w:hAnsi="Times New Roman"/>
          <w:sz w:val="24"/>
          <w:szCs w:val="24"/>
        </w:rPr>
        <w:t>a</w:t>
      </w:r>
      <w:r w:rsidRPr="00E24274">
        <w:rPr>
          <w:rFonts w:ascii="Times New Roman" w:hAnsi="Times New Roman"/>
          <w:sz w:val="24"/>
          <w:szCs w:val="24"/>
        </w:rPr>
        <w:t>by uniknąć blokowania czynności przez pojedynczego członka zespołu.</w:t>
      </w:r>
    </w:p>
    <w:p w:rsidR="007824D6" w:rsidRPr="00E24274" w:rsidRDefault="007824D6" w:rsidP="00E24274">
      <w:pPr>
        <w:spacing w:before="120" w:after="0" w:line="360" w:lineRule="auto"/>
        <w:jc w:val="both"/>
        <w:rPr>
          <w:rFonts w:ascii="Times New Roman" w:hAnsi="Times New Roman"/>
          <w:sz w:val="24"/>
          <w:szCs w:val="24"/>
          <w:lang w:eastAsia="pl-PL"/>
        </w:rPr>
      </w:pPr>
      <w:r w:rsidRPr="00E24274">
        <w:rPr>
          <w:rFonts w:ascii="Times New Roman" w:hAnsi="Times New Roman"/>
          <w:sz w:val="24"/>
          <w:szCs w:val="24"/>
          <w:lang w:eastAsia="pl-PL"/>
        </w:rPr>
        <w:t xml:space="preserve">3. Określenie formy, w jakiej mają być wydawane orzeczenia </w:t>
      </w:r>
      <w:r w:rsidR="00D81822" w:rsidRPr="00E24274">
        <w:rPr>
          <w:rFonts w:ascii="Times New Roman" w:hAnsi="Times New Roman"/>
          <w:sz w:val="24"/>
          <w:szCs w:val="24"/>
          <w:lang w:eastAsia="pl-PL"/>
        </w:rPr>
        <w:t>Komisji</w:t>
      </w:r>
      <w:r w:rsidRPr="00E24274">
        <w:rPr>
          <w:rFonts w:ascii="Times New Roman" w:hAnsi="Times New Roman"/>
          <w:sz w:val="24"/>
          <w:szCs w:val="24"/>
          <w:lang w:eastAsia="pl-PL"/>
        </w:rPr>
        <w:t xml:space="preserve"> (zgodnie z ust. 2 projektowanego przepisu decyzja lub postanowienia), wiąże się z odpowiednim zastosowaniem w przypadku postępowań w przedmiocie zatwierdzenia tabel wynagrodzeń przepisów Kodeksu postępowania administracyjnego. </w:t>
      </w:r>
    </w:p>
    <w:p w:rsidR="007824D6" w:rsidRPr="00E24274" w:rsidRDefault="007824D6" w:rsidP="00E24274">
      <w:pPr>
        <w:spacing w:before="120" w:after="0" w:line="360" w:lineRule="auto"/>
        <w:rPr>
          <w:rFonts w:ascii="Times New Roman" w:hAnsi="Times New Roman"/>
          <w:b/>
          <w:sz w:val="24"/>
          <w:szCs w:val="24"/>
          <w:lang w:eastAsia="pl-PL"/>
        </w:rPr>
      </w:pPr>
      <w:r w:rsidRPr="00E24274">
        <w:rPr>
          <w:rFonts w:ascii="Times New Roman" w:hAnsi="Times New Roman"/>
          <w:b/>
          <w:sz w:val="24"/>
          <w:szCs w:val="24"/>
          <w:lang w:eastAsia="pl-PL"/>
        </w:rPr>
        <w:t>art. 70</w:t>
      </w:r>
    </w:p>
    <w:p w:rsidR="007824D6" w:rsidRPr="00E24274" w:rsidRDefault="007824D6" w:rsidP="00BB2307">
      <w:pPr>
        <w:spacing w:after="0" w:line="360" w:lineRule="auto"/>
        <w:jc w:val="both"/>
        <w:rPr>
          <w:rFonts w:ascii="Times New Roman" w:hAnsi="Times New Roman"/>
          <w:sz w:val="24"/>
          <w:szCs w:val="24"/>
          <w:lang w:eastAsia="pl-PL"/>
        </w:rPr>
      </w:pPr>
      <w:r w:rsidRPr="00E24274">
        <w:rPr>
          <w:rFonts w:ascii="Times New Roman" w:hAnsi="Times New Roman"/>
          <w:sz w:val="24"/>
          <w:szCs w:val="24"/>
          <w:lang w:eastAsia="pl-PL"/>
        </w:rPr>
        <w:t>1. Przepis ten określa zasady wynagradzania członków Komisji za wydanie orzeczeń kończących postępowanie w sprawach przez nich prowadzonych, stanowiąc odpowiednik art. 110</w:t>
      </w:r>
      <w:r w:rsidRPr="00E24274">
        <w:rPr>
          <w:rFonts w:ascii="Times New Roman" w:hAnsi="Times New Roman"/>
          <w:sz w:val="24"/>
          <w:szCs w:val="24"/>
          <w:vertAlign w:val="superscript"/>
          <w:lang w:eastAsia="pl-PL"/>
        </w:rPr>
        <w:t xml:space="preserve">8 </w:t>
      </w:r>
      <w:r w:rsidRPr="00E24274">
        <w:rPr>
          <w:rFonts w:ascii="Times New Roman" w:hAnsi="Times New Roman"/>
          <w:sz w:val="24"/>
          <w:szCs w:val="24"/>
          <w:lang w:eastAsia="pl-PL"/>
        </w:rPr>
        <w:t>pr. aut. W odróżnieniu od tego przepisu projektowana regulacja różnicuje uzyskiwane wynagrodzenia w zależności od efektów pracy zespołów orzekających i nakładu ich pracy, określając na w</w:t>
      </w:r>
      <w:r w:rsidR="00BB2307">
        <w:rPr>
          <w:rFonts w:ascii="Times New Roman" w:hAnsi="Times New Roman"/>
          <w:sz w:val="24"/>
          <w:szCs w:val="24"/>
          <w:lang w:eastAsia="pl-PL"/>
        </w:rPr>
        <w:t>yższym poziomie wynagrodzenie w </w:t>
      </w:r>
      <w:r w:rsidRPr="00E24274">
        <w:rPr>
          <w:rFonts w:ascii="Times New Roman" w:hAnsi="Times New Roman"/>
          <w:sz w:val="24"/>
          <w:szCs w:val="24"/>
          <w:lang w:eastAsia="pl-PL"/>
        </w:rPr>
        <w:t>wymagających większego wysiłku postępowaniach, w których zapadły orzeczenia merytoryczne. Dodatkowo wyróżnia także przewodniczących zespołów orzekających jako osoby obciążone w większym stopniu odpowiedzialnością za pracę zespołu niż jego poszczególni członkowie.</w:t>
      </w:r>
    </w:p>
    <w:p w:rsidR="007824D6" w:rsidRPr="00E24274" w:rsidRDefault="007824D6" w:rsidP="00E24274">
      <w:pPr>
        <w:spacing w:before="120" w:after="0" w:line="360" w:lineRule="auto"/>
        <w:jc w:val="both"/>
        <w:rPr>
          <w:rFonts w:ascii="Times New Roman" w:hAnsi="Times New Roman"/>
          <w:sz w:val="24"/>
          <w:szCs w:val="24"/>
          <w:lang w:eastAsia="pl-PL"/>
        </w:rPr>
      </w:pPr>
      <w:r w:rsidRPr="00E24274">
        <w:rPr>
          <w:rFonts w:ascii="Times New Roman" w:hAnsi="Times New Roman"/>
          <w:sz w:val="24"/>
          <w:szCs w:val="24"/>
          <w:lang w:eastAsia="pl-PL"/>
        </w:rPr>
        <w:t>2. Określając wysokość wynagradzania członków Komisji, projekt:</w:t>
      </w:r>
    </w:p>
    <w:p w:rsidR="007824D6" w:rsidRPr="00E24274" w:rsidRDefault="007824D6" w:rsidP="00BB2307">
      <w:pPr>
        <w:pStyle w:val="Akapitzlist"/>
        <w:numPr>
          <w:ilvl w:val="0"/>
          <w:numId w:val="27"/>
        </w:numPr>
        <w:spacing w:before="120" w:after="0" w:line="360" w:lineRule="auto"/>
        <w:ind w:left="284" w:hanging="284"/>
        <w:contextualSpacing w:val="0"/>
        <w:jc w:val="both"/>
        <w:rPr>
          <w:rFonts w:ascii="Times New Roman" w:hAnsi="Times New Roman"/>
          <w:sz w:val="24"/>
          <w:szCs w:val="24"/>
          <w:lang w:eastAsia="pl-PL"/>
        </w:rPr>
      </w:pPr>
      <w:r w:rsidRPr="00E24274">
        <w:rPr>
          <w:rFonts w:ascii="Times New Roman" w:hAnsi="Times New Roman"/>
          <w:sz w:val="24"/>
          <w:szCs w:val="24"/>
          <w:lang w:eastAsia="pl-PL"/>
        </w:rPr>
        <w:t>obniża wysokość wynagrodzenia za udz</w:t>
      </w:r>
      <w:r w:rsidR="00BB2307">
        <w:rPr>
          <w:rFonts w:ascii="Times New Roman" w:hAnsi="Times New Roman"/>
          <w:sz w:val="24"/>
          <w:szCs w:val="24"/>
          <w:lang w:eastAsia="pl-PL"/>
        </w:rPr>
        <w:t>iał w postępowaniu w sprawach o </w:t>
      </w:r>
      <w:r w:rsidRPr="00E24274">
        <w:rPr>
          <w:rFonts w:ascii="Times New Roman" w:hAnsi="Times New Roman"/>
          <w:sz w:val="24"/>
          <w:szCs w:val="24"/>
          <w:lang w:eastAsia="pl-PL"/>
        </w:rPr>
        <w:t xml:space="preserve">zatwierdzenie tabel wynagrodzeń z dwukrotności przeciętnego miesięcznego wynagrodzenia w sektorze przedsiębiorstw, </w:t>
      </w:r>
      <w:r w:rsidR="00BB2307">
        <w:rPr>
          <w:rFonts w:ascii="Times New Roman" w:hAnsi="Times New Roman"/>
          <w:sz w:val="24"/>
          <w:szCs w:val="24"/>
          <w:lang w:eastAsia="pl-PL"/>
        </w:rPr>
        <w:t>włącznie z wypłatami z zysku, w </w:t>
      </w:r>
      <w:r w:rsidRPr="00E24274">
        <w:rPr>
          <w:rFonts w:ascii="Times New Roman" w:hAnsi="Times New Roman"/>
          <w:sz w:val="24"/>
          <w:szCs w:val="24"/>
          <w:lang w:eastAsia="pl-PL"/>
        </w:rPr>
        <w:t>kwartale poprzedzającym złożenie wniosku (obecnie obowiązujący art. 110</w:t>
      </w:r>
      <w:r w:rsidRPr="00E24274">
        <w:rPr>
          <w:rFonts w:ascii="Times New Roman" w:hAnsi="Times New Roman"/>
          <w:sz w:val="24"/>
          <w:szCs w:val="24"/>
          <w:vertAlign w:val="superscript"/>
          <w:lang w:eastAsia="pl-PL"/>
        </w:rPr>
        <w:t>8</w:t>
      </w:r>
      <w:r w:rsidRPr="00E24274">
        <w:rPr>
          <w:rFonts w:ascii="Times New Roman" w:hAnsi="Times New Roman"/>
          <w:sz w:val="24"/>
          <w:szCs w:val="24"/>
          <w:lang w:eastAsia="pl-PL"/>
        </w:rPr>
        <w:t xml:space="preserve"> ust. 1 pkt 1 pr. aut.) do jego jednokrotności (art. 70 ust. 1 pkt 1 projektu);</w:t>
      </w:r>
    </w:p>
    <w:p w:rsidR="007824D6" w:rsidRPr="00E24274" w:rsidRDefault="007824D6" w:rsidP="00BB2307">
      <w:pPr>
        <w:pStyle w:val="Akapitzlist"/>
        <w:numPr>
          <w:ilvl w:val="0"/>
          <w:numId w:val="27"/>
        </w:numPr>
        <w:spacing w:before="120" w:after="0" w:line="360" w:lineRule="auto"/>
        <w:ind w:left="284" w:hanging="284"/>
        <w:contextualSpacing w:val="0"/>
        <w:jc w:val="both"/>
        <w:rPr>
          <w:rFonts w:ascii="Times New Roman" w:hAnsi="Times New Roman"/>
          <w:sz w:val="24"/>
          <w:szCs w:val="24"/>
          <w:lang w:eastAsia="pl-PL"/>
        </w:rPr>
      </w:pPr>
      <w:r w:rsidRPr="00E24274">
        <w:rPr>
          <w:rFonts w:ascii="Times New Roman" w:eastAsiaTheme="minorEastAsia" w:hAnsi="Times New Roman"/>
          <w:sz w:val="24"/>
          <w:szCs w:val="24"/>
          <w:lang w:eastAsia="pl-PL"/>
        </w:rPr>
        <w:t>utrzymuje wynagrodzenie w dotychczasowej wysokości w przypadku rozpat</w:t>
      </w:r>
      <w:r w:rsidRPr="00E24274">
        <w:rPr>
          <w:rFonts w:ascii="Times New Roman" w:hAnsi="Times New Roman"/>
          <w:sz w:val="24"/>
          <w:szCs w:val="24"/>
          <w:lang w:eastAsia="pl-PL"/>
        </w:rPr>
        <w:t>rywani</w:t>
      </w:r>
      <w:r w:rsidR="00D81822" w:rsidRPr="00E24274">
        <w:rPr>
          <w:rFonts w:ascii="Times New Roman" w:hAnsi="Times New Roman"/>
          <w:sz w:val="24"/>
          <w:szCs w:val="24"/>
          <w:lang w:eastAsia="pl-PL"/>
        </w:rPr>
        <w:t>a</w:t>
      </w:r>
      <w:r w:rsidRPr="00E24274">
        <w:rPr>
          <w:rFonts w:ascii="Times New Roman" w:hAnsi="Times New Roman"/>
          <w:sz w:val="24"/>
          <w:szCs w:val="24"/>
          <w:lang w:eastAsia="pl-PL"/>
        </w:rPr>
        <w:t xml:space="preserve"> spraw o uzupełnienie, sprostowanie oraz wyjaśnienie wątpliwości co do treści orzeczeń Komisji (obecnie obowiązujący art. 110</w:t>
      </w:r>
      <w:r w:rsidRPr="00E24274">
        <w:rPr>
          <w:rFonts w:ascii="Times New Roman" w:hAnsi="Times New Roman"/>
          <w:sz w:val="24"/>
          <w:szCs w:val="24"/>
          <w:vertAlign w:val="superscript"/>
          <w:lang w:eastAsia="pl-PL"/>
        </w:rPr>
        <w:t xml:space="preserve">8 </w:t>
      </w:r>
      <w:r w:rsidRPr="00E24274">
        <w:rPr>
          <w:rFonts w:ascii="Times New Roman" w:hAnsi="Times New Roman"/>
          <w:sz w:val="24"/>
          <w:szCs w:val="24"/>
          <w:lang w:eastAsia="pl-PL"/>
        </w:rPr>
        <w:t>ust. 1 pkt 4 pr. aut. oraz art. 70 ust. 1 pkt 2 projektu);</w:t>
      </w:r>
    </w:p>
    <w:p w:rsidR="007824D6" w:rsidRPr="00E24274" w:rsidRDefault="007824D6" w:rsidP="00BB2307">
      <w:pPr>
        <w:pStyle w:val="Akapitzlist"/>
        <w:numPr>
          <w:ilvl w:val="0"/>
          <w:numId w:val="27"/>
        </w:numPr>
        <w:spacing w:before="120" w:after="0" w:line="360" w:lineRule="auto"/>
        <w:ind w:left="284" w:hanging="284"/>
        <w:contextualSpacing w:val="0"/>
        <w:jc w:val="both"/>
        <w:rPr>
          <w:rFonts w:ascii="Times New Roman" w:hAnsi="Times New Roman"/>
          <w:bCs/>
          <w:sz w:val="24"/>
          <w:szCs w:val="24"/>
          <w:lang w:eastAsia="pl-PL"/>
        </w:rPr>
      </w:pPr>
      <w:r w:rsidRPr="00E24274">
        <w:rPr>
          <w:rFonts w:ascii="Times New Roman" w:eastAsiaTheme="minorEastAsia" w:hAnsi="Times New Roman"/>
          <w:bCs/>
          <w:sz w:val="24"/>
          <w:szCs w:val="24"/>
          <w:lang w:eastAsia="pl-PL"/>
        </w:rPr>
        <w:t xml:space="preserve">utrzymuje </w:t>
      </w:r>
      <w:r w:rsidRPr="00E24274">
        <w:rPr>
          <w:rFonts w:ascii="Times New Roman" w:hAnsi="Times New Roman"/>
          <w:bCs/>
          <w:sz w:val="24"/>
          <w:szCs w:val="24"/>
          <w:lang w:eastAsia="pl-PL"/>
        </w:rPr>
        <w:t xml:space="preserve">wynagrodzenie w dotychczasowej wysokości w przypadku postępowań mediacyjnych dotyczących sporów o stosowanie tabel wynagrodzeń oraz związanych z zawarciem </w:t>
      </w:r>
      <w:r w:rsidR="007821A7" w:rsidRPr="00E24274">
        <w:rPr>
          <w:rFonts w:ascii="Times New Roman" w:hAnsi="Times New Roman"/>
          <w:bCs/>
          <w:sz w:val="24"/>
          <w:szCs w:val="24"/>
          <w:lang w:eastAsia="pl-PL"/>
        </w:rPr>
        <w:t xml:space="preserve">i warunkami </w:t>
      </w:r>
      <w:r w:rsidRPr="00E24274">
        <w:rPr>
          <w:rFonts w:ascii="Times New Roman" w:hAnsi="Times New Roman"/>
          <w:bCs/>
          <w:sz w:val="24"/>
          <w:szCs w:val="24"/>
          <w:lang w:eastAsia="pl-PL"/>
        </w:rPr>
        <w:t xml:space="preserve">umowy o </w:t>
      </w:r>
      <w:r w:rsidR="007821A7" w:rsidRPr="00E24274">
        <w:rPr>
          <w:rFonts w:ascii="Times New Roman" w:hAnsi="Times New Roman"/>
          <w:bCs/>
          <w:sz w:val="24"/>
          <w:szCs w:val="24"/>
          <w:lang w:eastAsia="pl-PL"/>
        </w:rPr>
        <w:t xml:space="preserve">reemitowanie </w:t>
      </w:r>
      <w:r w:rsidRPr="00E24274">
        <w:rPr>
          <w:rFonts w:ascii="Times New Roman" w:hAnsi="Times New Roman"/>
          <w:bCs/>
          <w:sz w:val="24"/>
          <w:szCs w:val="24"/>
          <w:lang w:eastAsia="pl-PL"/>
        </w:rPr>
        <w:t>w sieciach kablowych (obecnie obowiązujący art. 110</w:t>
      </w:r>
      <w:r w:rsidRPr="00E24274">
        <w:rPr>
          <w:rFonts w:ascii="Times New Roman" w:hAnsi="Times New Roman"/>
          <w:bCs/>
          <w:sz w:val="24"/>
          <w:szCs w:val="24"/>
          <w:vertAlign w:val="superscript"/>
          <w:lang w:eastAsia="pl-PL"/>
        </w:rPr>
        <w:t xml:space="preserve">8 </w:t>
      </w:r>
      <w:r w:rsidRPr="00E24274">
        <w:rPr>
          <w:rFonts w:ascii="Times New Roman" w:hAnsi="Times New Roman"/>
          <w:bCs/>
          <w:sz w:val="24"/>
          <w:szCs w:val="24"/>
          <w:lang w:eastAsia="pl-PL"/>
        </w:rPr>
        <w:t>ust. 1 pkt 2 pr. aut. oraz art. 70 ust. 5 projektu).</w:t>
      </w:r>
    </w:p>
    <w:p w:rsidR="007824D6" w:rsidRPr="00E24274" w:rsidRDefault="007824D6" w:rsidP="00E24274">
      <w:pPr>
        <w:spacing w:before="120" w:after="0" w:line="360" w:lineRule="auto"/>
        <w:jc w:val="both"/>
        <w:rPr>
          <w:rFonts w:ascii="Times New Roman" w:hAnsi="Times New Roman"/>
          <w:bCs/>
          <w:sz w:val="24"/>
          <w:szCs w:val="24"/>
          <w:lang w:eastAsia="pl-PL"/>
        </w:rPr>
      </w:pPr>
      <w:r w:rsidRPr="00E24274">
        <w:rPr>
          <w:rFonts w:ascii="Times New Roman" w:hAnsi="Times New Roman"/>
          <w:bCs/>
          <w:sz w:val="24"/>
          <w:szCs w:val="24"/>
          <w:lang w:eastAsia="pl-PL"/>
        </w:rPr>
        <w:lastRenderedPageBreak/>
        <w:t>3. Zgodnie z art. 70 ust. 2 projektu wynagrodzenie przewodniczącego zespołu orzekającego odpowiada dwukrotności wynagrodzenia należnego członkowi takiego zespołu, w sprawach</w:t>
      </w:r>
      <w:r w:rsidR="0001203A" w:rsidRPr="00E24274">
        <w:rPr>
          <w:rFonts w:ascii="Times New Roman" w:hAnsi="Times New Roman"/>
          <w:bCs/>
          <w:sz w:val="24"/>
          <w:szCs w:val="24"/>
          <w:lang w:eastAsia="pl-PL"/>
        </w:rPr>
        <w:t xml:space="preserve"> o zatwierdzenie tabel wynagrodzeń</w:t>
      </w:r>
      <w:r w:rsidRPr="00E24274">
        <w:rPr>
          <w:rFonts w:ascii="Times New Roman" w:hAnsi="Times New Roman"/>
          <w:bCs/>
          <w:sz w:val="24"/>
          <w:szCs w:val="24"/>
          <w:lang w:eastAsia="pl-PL"/>
        </w:rPr>
        <w:t>. Jednocześnie w przypadku zakończenia postępowania w drodze jego umorzenia wynagrodzenie należne członkom zespołów orzekających zgodnie z ust. 3 projek</w:t>
      </w:r>
      <w:r w:rsidR="00BB2307">
        <w:rPr>
          <w:rFonts w:ascii="Times New Roman" w:hAnsi="Times New Roman"/>
          <w:bCs/>
          <w:sz w:val="24"/>
          <w:szCs w:val="24"/>
          <w:lang w:eastAsia="pl-PL"/>
        </w:rPr>
        <w:t>towanego artykułu przysługuje w </w:t>
      </w:r>
      <w:r w:rsidRPr="00E24274">
        <w:rPr>
          <w:rFonts w:ascii="Times New Roman" w:hAnsi="Times New Roman"/>
          <w:bCs/>
          <w:sz w:val="24"/>
          <w:szCs w:val="24"/>
          <w:lang w:eastAsia="pl-PL"/>
        </w:rPr>
        <w:t>połowie jego wysokości. Ust. 4 reguluje z kolei – id</w:t>
      </w:r>
      <w:r w:rsidR="00BB2307">
        <w:rPr>
          <w:rFonts w:ascii="Times New Roman" w:hAnsi="Times New Roman"/>
          <w:bCs/>
          <w:sz w:val="24"/>
          <w:szCs w:val="24"/>
          <w:lang w:eastAsia="pl-PL"/>
        </w:rPr>
        <w:t>entycznie jak obowiązujący art. </w:t>
      </w:r>
      <w:r w:rsidRPr="00E24274">
        <w:rPr>
          <w:rFonts w:ascii="Times New Roman" w:hAnsi="Times New Roman"/>
          <w:bCs/>
          <w:sz w:val="24"/>
          <w:szCs w:val="24"/>
          <w:lang w:eastAsia="pl-PL"/>
        </w:rPr>
        <w:t>110</w:t>
      </w:r>
      <w:r w:rsidRPr="00E24274">
        <w:rPr>
          <w:rFonts w:ascii="Times New Roman" w:hAnsi="Times New Roman"/>
          <w:bCs/>
          <w:sz w:val="24"/>
          <w:szCs w:val="24"/>
          <w:vertAlign w:val="superscript"/>
          <w:lang w:eastAsia="pl-PL"/>
        </w:rPr>
        <w:t>8</w:t>
      </w:r>
      <w:r w:rsidRPr="00E24274">
        <w:rPr>
          <w:rFonts w:ascii="Times New Roman" w:hAnsi="Times New Roman"/>
          <w:bCs/>
          <w:sz w:val="24"/>
          <w:szCs w:val="24"/>
          <w:lang w:eastAsia="pl-PL"/>
        </w:rPr>
        <w:t xml:space="preserve"> ust. 3 pr. aut. kwestię wynagrodzeń w przypadku zmian w składzie zespołów orzekających, stanowiąc, że w przypadku zmienionych członków zespołów winno ono być wypłacane proporcjonalnie do liczby posiedzeń, w których brali udział. W końcu projektowany ust. 5 będzie przesądzał, że za udzi</w:t>
      </w:r>
      <w:r w:rsidR="00BB2307">
        <w:rPr>
          <w:rFonts w:ascii="Times New Roman" w:hAnsi="Times New Roman"/>
          <w:bCs/>
          <w:sz w:val="24"/>
          <w:szCs w:val="24"/>
          <w:lang w:eastAsia="pl-PL"/>
        </w:rPr>
        <w:t>ał w postępowaniu mediacyjnym w </w:t>
      </w:r>
      <w:r w:rsidRPr="00E24274">
        <w:rPr>
          <w:rFonts w:ascii="Times New Roman" w:hAnsi="Times New Roman"/>
          <w:bCs/>
          <w:sz w:val="24"/>
          <w:szCs w:val="24"/>
          <w:lang w:eastAsia="pl-PL"/>
        </w:rPr>
        <w:t xml:space="preserve">sprawach, o których mowa w projektowanym art. 61 ust. 2 pkt </w:t>
      </w:r>
      <w:r w:rsidR="0001203A" w:rsidRPr="00E24274">
        <w:rPr>
          <w:rFonts w:ascii="Times New Roman" w:hAnsi="Times New Roman"/>
          <w:bCs/>
          <w:sz w:val="24"/>
          <w:szCs w:val="24"/>
          <w:lang w:eastAsia="pl-PL"/>
        </w:rPr>
        <w:t>2</w:t>
      </w:r>
      <w:r w:rsidRPr="00E24274">
        <w:rPr>
          <w:rFonts w:ascii="Times New Roman" w:hAnsi="Times New Roman"/>
          <w:bCs/>
          <w:sz w:val="24"/>
          <w:szCs w:val="24"/>
          <w:lang w:eastAsia="pl-PL"/>
        </w:rPr>
        <w:t xml:space="preserve"> i </w:t>
      </w:r>
      <w:r w:rsidR="0001203A" w:rsidRPr="00E24274">
        <w:rPr>
          <w:rFonts w:ascii="Times New Roman" w:hAnsi="Times New Roman"/>
          <w:bCs/>
          <w:sz w:val="24"/>
          <w:szCs w:val="24"/>
          <w:lang w:eastAsia="pl-PL"/>
        </w:rPr>
        <w:t>3</w:t>
      </w:r>
      <w:r w:rsidRPr="00E24274">
        <w:rPr>
          <w:rFonts w:ascii="Times New Roman" w:hAnsi="Times New Roman"/>
          <w:bCs/>
          <w:sz w:val="24"/>
          <w:szCs w:val="24"/>
          <w:lang w:eastAsia="pl-PL"/>
        </w:rPr>
        <w:t>, mediatorowi będzie przysługiwało wynagrodzenie w wysokości przeciętnego miesięcznego wynagrodzenia, o którym mowa w projektowanym art. 70 ust. 1 pkt 1, wypłacane po zakończeniu postępowania mediacyjnego.</w:t>
      </w:r>
    </w:p>
    <w:p w:rsidR="007824D6" w:rsidRPr="00E24274" w:rsidRDefault="007824D6" w:rsidP="00E24274">
      <w:pPr>
        <w:spacing w:before="120" w:after="0" w:line="360" w:lineRule="auto"/>
        <w:jc w:val="both"/>
        <w:rPr>
          <w:rFonts w:ascii="Times New Roman" w:hAnsi="Times New Roman"/>
          <w:sz w:val="24"/>
          <w:szCs w:val="24"/>
          <w:lang w:eastAsia="pl-PL"/>
        </w:rPr>
      </w:pPr>
      <w:r w:rsidRPr="00E24274">
        <w:rPr>
          <w:rFonts w:ascii="Times New Roman" w:hAnsi="Times New Roman"/>
          <w:bCs/>
          <w:sz w:val="24"/>
          <w:szCs w:val="24"/>
          <w:lang w:eastAsia="pl-PL"/>
        </w:rPr>
        <w:t>4. Projektowany artykuł określa także w ust. 6 w sposób a</w:t>
      </w:r>
      <w:r w:rsidR="00BB2307">
        <w:rPr>
          <w:rFonts w:ascii="Times New Roman" w:hAnsi="Times New Roman"/>
          <w:bCs/>
          <w:sz w:val="24"/>
          <w:szCs w:val="24"/>
          <w:lang w:eastAsia="pl-PL"/>
        </w:rPr>
        <w:t>nalogiczny jak obecnie (art. </w:t>
      </w:r>
      <w:r w:rsidRPr="00E24274">
        <w:rPr>
          <w:rFonts w:ascii="Times New Roman" w:hAnsi="Times New Roman"/>
          <w:bCs/>
          <w:sz w:val="24"/>
          <w:szCs w:val="24"/>
          <w:lang w:eastAsia="pl-PL"/>
        </w:rPr>
        <w:t>110</w:t>
      </w:r>
      <w:r w:rsidRPr="00E24274">
        <w:rPr>
          <w:rFonts w:ascii="Times New Roman" w:hAnsi="Times New Roman"/>
          <w:bCs/>
          <w:sz w:val="24"/>
          <w:szCs w:val="24"/>
          <w:vertAlign w:val="superscript"/>
          <w:lang w:eastAsia="pl-PL"/>
        </w:rPr>
        <w:t>8</w:t>
      </w:r>
      <w:r w:rsidRPr="00E24274">
        <w:rPr>
          <w:rFonts w:ascii="Times New Roman" w:hAnsi="Times New Roman"/>
          <w:bCs/>
          <w:sz w:val="24"/>
          <w:szCs w:val="24"/>
          <w:lang w:eastAsia="pl-PL"/>
        </w:rPr>
        <w:t xml:space="preserve"> ust. 2 pr. aut.) źródło środków publicznych pokrywających koszty wynagrodzeń członków zespołów orzekających – </w:t>
      </w:r>
      <w:r w:rsidR="00BB2307">
        <w:rPr>
          <w:rFonts w:ascii="Times New Roman" w:hAnsi="Times New Roman"/>
          <w:bCs/>
          <w:sz w:val="24"/>
          <w:szCs w:val="24"/>
          <w:lang w:eastAsia="pl-PL"/>
        </w:rPr>
        <w:t>część budżetu państwa, będącą w </w:t>
      </w:r>
      <w:r w:rsidRPr="00E24274">
        <w:rPr>
          <w:rFonts w:ascii="Times New Roman" w:hAnsi="Times New Roman"/>
          <w:bCs/>
          <w:sz w:val="24"/>
          <w:szCs w:val="24"/>
          <w:lang w:eastAsia="pl-PL"/>
        </w:rPr>
        <w:t xml:space="preserve">dyspozycji ministra </w:t>
      </w:r>
      <w:r w:rsidRPr="00E24274">
        <w:rPr>
          <w:rFonts w:ascii="Times New Roman" w:hAnsi="Times New Roman"/>
          <w:sz w:val="24"/>
          <w:szCs w:val="24"/>
        </w:rPr>
        <w:t>właściwego d</w:t>
      </w:r>
      <w:r w:rsidR="000F5DA1" w:rsidRPr="00E24274">
        <w:rPr>
          <w:rFonts w:ascii="Times New Roman" w:hAnsi="Times New Roman"/>
          <w:sz w:val="24"/>
          <w:szCs w:val="24"/>
        </w:rPr>
        <w:t xml:space="preserve">o </w:t>
      </w:r>
      <w:r w:rsidRPr="00E24274">
        <w:rPr>
          <w:rFonts w:ascii="Times New Roman" w:hAnsi="Times New Roman"/>
          <w:sz w:val="24"/>
          <w:szCs w:val="24"/>
        </w:rPr>
        <w:t>s</w:t>
      </w:r>
      <w:r w:rsidR="000F5DA1" w:rsidRPr="00E24274">
        <w:rPr>
          <w:rFonts w:ascii="Times New Roman" w:hAnsi="Times New Roman"/>
          <w:sz w:val="24"/>
          <w:szCs w:val="24"/>
        </w:rPr>
        <w:t>praw</w:t>
      </w:r>
      <w:r w:rsidRPr="00E24274">
        <w:rPr>
          <w:rFonts w:ascii="Times New Roman" w:hAnsi="Times New Roman"/>
          <w:sz w:val="24"/>
          <w:szCs w:val="24"/>
        </w:rPr>
        <w:t xml:space="preserve"> kultury i ochrony dziedzictwa narodowego</w:t>
      </w:r>
      <w:r w:rsidRPr="00E24274">
        <w:rPr>
          <w:rFonts w:ascii="Times New Roman" w:hAnsi="Times New Roman"/>
          <w:bCs/>
          <w:sz w:val="24"/>
          <w:szCs w:val="24"/>
          <w:lang w:eastAsia="pl-PL"/>
        </w:rPr>
        <w:t>. Przesądza również – podobnie jak obowiązująca regulacja – o terminach wypłaty wynagrodzeń, łącząc je z wydaniem orzeczenia kończącego postępowania w sprawie (ust. 1), sporządzeniem uzasadnienia kończącego postępowanie (ust. 2) oraz zakończeniem postępowania mediacyjnego (ust. 5).</w:t>
      </w:r>
    </w:p>
    <w:p w:rsidR="007824D6" w:rsidRPr="00E24274" w:rsidRDefault="007824D6" w:rsidP="00E24274">
      <w:pPr>
        <w:spacing w:before="120" w:after="0" w:line="360" w:lineRule="auto"/>
        <w:rPr>
          <w:rFonts w:ascii="Times New Roman" w:hAnsi="Times New Roman"/>
          <w:b/>
          <w:sz w:val="24"/>
          <w:szCs w:val="24"/>
          <w:lang w:eastAsia="pl-PL"/>
        </w:rPr>
      </w:pPr>
      <w:r w:rsidRPr="00E24274">
        <w:rPr>
          <w:rFonts w:ascii="Times New Roman" w:hAnsi="Times New Roman"/>
          <w:b/>
          <w:sz w:val="24"/>
          <w:szCs w:val="24"/>
          <w:lang w:eastAsia="pl-PL"/>
        </w:rPr>
        <w:t>art. 71</w:t>
      </w:r>
    </w:p>
    <w:p w:rsidR="007824D6" w:rsidRPr="00E24274" w:rsidRDefault="007824D6" w:rsidP="00BB2307">
      <w:pPr>
        <w:spacing w:after="0" w:line="360" w:lineRule="auto"/>
        <w:jc w:val="both"/>
        <w:rPr>
          <w:rFonts w:ascii="Times New Roman" w:hAnsi="Times New Roman"/>
          <w:sz w:val="24"/>
          <w:szCs w:val="24"/>
          <w:lang w:eastAsia="pl-PL"/>
        </w:rPr>
      </w:pPr>
      <w:r w:rsidRPr="00E24274">
        <w:rPr>
          <w:rFonts w:ascii="Times New Roman" w:hAnsi="Times New Roman"/>
          <w:sz w:val="24"/>
          <w:szCs w:val="24"/>
          <w:lang w:eastAsia="pl-PL"/>
        </w:rPr>
        <w:t>1. Przepis określa wysokość opłat za rozpoznan</w:t>
      </w:r>
      <w:r w:rsidR="00BB2307">
        <w:rPr>
          <w:rFonts w:ascii="Times New Roman" w:hAnsi="Times New Roman"/>
          <w:sz w:val="24"/>
          <w:szCs w:val="24"/>
          <w:lang w:eastAsia="pl-PL"/>
        </w:rPr>
        <w:t>ie wniosków, które pozostają we </w:t>
      </w:r>
      <w:r w:rsidRPr="00E24274">
        <w:rPr>
          <w:rFonts w:ascii="Times New Roman" w:hAnsi="Times New Roman"/>
          <w:sz w:val="24"/>
          <w:szCs w:val="24"/>
          <w:lang w:eastAsia="pl-PL"/>
        </w:rPr>
        <w:t xml:space="preserve">właściwości Komisji. Stawki opłat zostały obniżone w stosunku do obecnie obowiązujących, </w:t>
      </w:r>
      <w:r w:rsidR="0000774C">
        <w:rPr>
          <w:rFonts w:ascii="Times New Roman" w:hAnsi="Times New Roman"/>
          <w:sz w:val="24"/>
          <w:szCs w:val="24"/>
          <w:lang w:eastAsia="pl-PL"/>
        </w:rPr>
        <w:t>a</w:t>
      </w:r>
      <w:r w:rsidRPr="00E24274">
        <w:rPr>
          <w:rFonts w:ascii="Times New Roman" w:hAnsi="Times New Roman"/>
          <w:sz w:val="24"/>
          <w:szCs w:val="24"/>
          <w:lang w:eastAsia="pl-PL"/>
        </w:rPr>
        <w:t>by zachęcić wnioskodawców do korzystania z pośrednictwa Komisji</w:t>
      </w:r>
      <w:r w:rsidR="0000774C">
        <w:rPr>
          <w:rFonts w:ascii="Times New Roman" w:hAnsi="Times New Roman"/>
          <w:sz w:val="24"/>
          <w:szCs w:val="24"/>
          <w:lang w:eastAsia="pl-PL"/>
        </w:rPr>
        <w:t>,</w:t>
      </w:r>
      <w:r w:rsidRPr="00E24274">
        <w:rPr>
          <w:rFonts w:ascii="Times New Roman" w:hAnsi="Times New Roman"/>
          <w:sz w:val="24"/>
          <w:szCs w:val="24"/>
          <w:lang w:eastAsia="pl-PL"/>
        </w:rPr>
        <w:t xml:space="preserve"> w sytuacji gdy – w świetle art. 73 projektu – wnioski o zatwierdzanie tabel wynagrodzeń w przypadku większości pól eksploatacji mają charakter fakultatywny. Obniżenie opłat jest także związane ze zmniejszeniem kosztów funkcjonowania Komisji m.in. w związku ze zlikwidowaniem stanowiska wiceprzewodniczącego Komisji</w:t>
      </w:r>
      <w:r w:rsidR="00942950" w:rsidRPr="00E24274">
        <w:rPr>
          <w:rFonts w:ascii="Times New Roman" w:hAnsi="Times New Roman"/>
          <w:sz w:val="24"/>
          <w:szCs w:val="24"/>
          <w:lang w:eastAsia="pl-PL"/>
        </w:rPr>
        <w:t>, a co za tym idzie z brakiem konieczności</w:t>
      </w:r>
      <w:r w:rsidRPr="00E24274">
        <w:rPr>
          <w:rFonts w:ascii="Times New Roman" w:hAnsi="Times New Roman"/>
          <w:sz w:val="24"/>
          <w:szCs w:val="24"/>
          <w:lang w:eastAsia="pl-PL"/>
        </w:rPr>
        <w:t xml:space="preserve"> wypłaty </w:t>
      </w:r>
      <w:r w:rsidR="000F5DA1" w:rsidRPr="00E24274">
        <w:rPr>
          <w:rFonts w:ascii="Times New Roman" w:hAnsi="Times New Roman"/>
          <w:sz w:val="24"/>
          <w:szCs w:val="24"/>
          <w:lang w:eastAsia="pl-PL"/>
        </w:rPr>
        <w:t xml:space="preserve">wynagrodzenia związanego </w:t>
      </w:r>
      <w:r w:rsidRPr="00E24274">
        <w:rPr>
          <w:rFonts w:ascii="Times New Roman" w:hAnsi="Times New Roman"/>
          <w:sz w:val="24"/>
          <w:szCs w:val="24"/>
          <w:lang w:eastAsia="pl-PL"/>
        </w:rPr>
        <w:t xml:space="preserve">z pełnieniem </w:t>
      </w:r>
      <w:r w:rsidR="000F5DA1" w:rsidRPr="00E24274">
        <w:rPr>
          <w:rFonts w:ascii="Times New Roman" w:hAnsi="Times New Roman"/>
          <w:sz w:val="24"/>
          <w:szCs w:val="24"/>
          <w:lang w:eastAsia="pl-PL"/>
        </w:rPr>
        <w:t xml:space="preserve">tej </w:t>
      </w:r>
      <w:r w:rsidRPr="00E24274">
        <w:rPr>
          <w:rFonts w:ascii="Times New Roman" w:hAnsi="Times New Roman"/>
          <w:sz w:val="24"/>
          <w:szCs w:val="24"/>
          <w:lang w:eastAsia="pl-PL"/>
        </w:rPr>
        <w:t>funkcji.</w:t>
      </w:r>
    </w:p>
    <w:p w:rsidR="007824D6" w:rsidRPr="00E24274" w:rsidRDefault="007824D6" w:rsidP="00E24274">
      <w:pPr>
        <w:spacing w:before="120" w:after="0" w:line="360" w:lineRule="auto"/>
        <w:jc w:val="both"/>
        <w:rPr>
          <w:rFonts w:ascii="Times New Roman" w:hAnsi="Times New Roman"/>
          <w:sz w:val="24"/>
          <w:szCs w:val="24"/>
          <w:lang w:eastAsia="pl-PL"/>
        </w:rPr>
      </w:pPr>
      <w:r w:rsidRPr="00E24274">
        <w:rPr>
          <w:rFonts w:ascii="Times New Roman" w:hAnsi="Times New Roman"/>
          <w:sz w:val="24"/>
          <w:szCs w:val="24"/>
          <w:lang w:eastAsia="pl-PL"/>
        </w:rPr>
        <w:lastRenderedPageBreak/>
        <w:t>2. Zgodnie z projektowanym przepisem stawki opłat zostały określone:</w:t>
      </w:r>
    </w:p>
    <w:p w:rsidR="007824D6" w:rsidRPr="00E24274" w:rsidRDefault="007824D6" w:rsidP="00BB2307">
      <w:pPr>
        <w:pStyle w:val="Akapitzlist"/>
        <w:numPr>
          <w:ilvl w:val="0"/>
          <w:numId w:val="28"/>
        </w:numPr>
        <w:spacing w:after="0" w:line="360" w:lineRule="auto"/>
        <w:ind w:left="280" w:hanging="280"/>
        <w:contextualSpacing w:val="0"/>
        <w:jc w:val="both"/>
        <w:rPr>
          <w:rFonts w:ascii="Times New Roman" w:hAnsi="Times New Roman"/>
          <w:sz w:val="24"/>
          <w:szCs w:val="24"/>
          <w:lang w:eastAsia="pl-PL"/>
        </w:rPr>
      </w:pPr>
      <w:r w:rsidRPr="00E24274">
        <w:rPr>
          <w:rFonts w:ascii="Times New Roman" w:hAnsi="Times New Roman"/>
          <w:sz w:val="24"/>
          <w:szCs w:val="24"/>
          <w:lang w:eastAsia="pl-PL"/>
        </w:rPr>
        <w:t>w przypadku wniosków o zatwierdzenie tabel wynagrodzeń jako sześciokrotności przeciętnego miesięcznego wynagrodzenia w sekto</w:t>
      </w:r>
      <w:r w:rsidR="00BB2307">
        <w:rPr>
          <w:rFonts w:ascii="Times New Roman" w:hAnsi="Times New Roman"/>
          <w:sz w:val="24"/>
          <w:szCs w:val="24"/>
          <w:lang w:eastAsia="pl-PL"/>
        </w:rPr>
        <w:t>rze przedsiębiorstw, włącznie z </w:t>
      </w:r>
      <w:r w:rsidRPr="00E24274">
        <w:rPr>
          <w:rFonts w:ascii="Times New Roman" w:hAnsi="Times New Roman"/>
          <w:sz w:val="24"/>
          <w:szCs w:val="24"/>
          <w:lang w:eastAsia="pl-PL"/>
        </w:rPr>
        <w:t xml:space="preserve">wypłatami z zysku, w kwartale poprzedzającym </w:t>
      </w:r>
      <w:r w:rsidR="00BB2307">
        <w:rPr>
          <w:rFonts w:ascii="Times New Roman" w:hAnsi="Times New Roman"/>
          <w:sz w:val="24"/>
          <w:szCs w:val="24"/>
          <w:lang w:eastAsia="pl-PL"/>
        </w:rPr>
        <w:t>złożenie wniosku, ogłaszanego w </w:t>
      </w:r>
      <w:r w:rsidRPr="00E24274">
        <w:rPr>
          <w:rFonts w:ascii="Times New Roman" w:hAnsi="Times New Roman"/>
          <w:sz w:val="24"/>
          <w:szCs w:val="24"/>
          <w:lang w:eastAsia="pl-PL"/>
        </w:rPr>
        <w:t>Komunikacie Prezesa Głównego Urzędu Statystyc</w:t>
      </w:r>
      <w:r w:rsidR="00BB2307">
        <w:rPr>
          <w:rFonts w:ascii="Times New Roman" w:hAnsi="Times New Roman"/>
          <w:sz w:val="24"/>
          <w:szCs w:val="24"/>
          <w:lang w:eastAsia="pl-PL"/>
        </w:rPr>
        <w:t>znego (obecnie – zgodnie z art. </w:t>
      </w:r>
      <w:r w:rsidRPr="00E24274">
        <w:rPr>
          <w:rFonts w:ascii="Times New Roman" w:hAnsi="Times New Roman"/>
          <w:sz w:val="24"/>
          <w:szCs w:val="24"/>
          <w:lang w:eastAsia="pl-PL"/>
        </w:rPr>
        <w:t>110</w:t>
      </w:r>
      <w:r w:rsidRPr="00E24274">
        <w:rPr>
          <w:rFonts w:ascii="Times New Roman" w:hAnsi="Times New Roman"/>
          <w:sz w:val="24"/>
          <w:szCs w:val="24"/>
          <w:vertAlign w:val="superscript"/>
          <w:lang w:eastAsia="pl-PL"/>
        </w:rPr>
        <w:t xml:space="preserve">9 </w:t>
      </w:r>
      <w:r w:rsidRPr="00E24274">
        <w:rPr>
          <w:rFonts w:ascii="Times New Roman" w:hAnsi="Times New Roman"/>
          <w:sz w:val="24"/>
          <w:szCs w:val="24"/>
          <w:lang w:eastAsia="pl-PL"/>
        </w:rPr>
        <w:t>ust. 1 pkt 1 pr. aut. – jest to dziesięciokrotność przeciętnego miesięcznego wynagrodzenia);</w:t>
      </w:r>
    </w:p>
    <w:p w:rsidR="007824D6" w:rsidRPr="00E24274" w:rsidRDefault="007824D6" w:rsidP="00BB2307">
      <w:pPr>
        <w:pStyle w:val="PKTpunkt"/>
        <w:numPr>
          <w:ilvl w:val="0"/>
          <w:numId w:val="28"/>
        </w:numPr>
        <w:ind w:left="280" w:hanging="280"/>
        <w:rPr>
          <w:rFonts w:ascii="Times New Roman" w:hAnsi="Times New Roman" w:cs="Times New Roman"/>
        </w:rPr>
      </w:pPr>
      <w:r w:rsidRPr="00E24274">
        <w:rPr>
          <w:rFonts w:ascii="Times New Roman" w:hAnsi="Times New Roman" w:cs="Times New Roman"/>
        </w:rPr>
        <w:t xml:space="preserve">w przypadku wniosków w pozostałych sprawach będących w kompetencji Komisji określonych w art. 61 ust. 2 pkt </w:t>
      </w:r>
      <w:r w:rsidR="0001203A" w:rsidRPr="00E24274">
        <w:rPr>
          <w:rFonts w:ascii="Times New Roman" w:hAnsi="Times New Roman" w:cs="Times New Roman"/>
        </w:rPr>
        <w:t>2</w:t>
      </w:r>
      <w:r w:rsidRPr="00E24274">
        <w:rPr>
          <w:rFonts w:ascii="Times New Roman" w:hAnsi="Times New Roman" w:cs="Times New Roman"/>
        </w:rPr>
        <w:t xml:space="preserve"> i </w:t>
      </w:r>
      <w:r w:rsidR="0001203A" w:rsidRPr="00E24274">
        <w:rPr>
          <w:rFonts w:ascii="Times New Roman" w:hAnsi="Times New Roman" w:cs="Times New Roman"/>
        </w:rPr>
        <w:t>3</w:t>
      </w:r>
      <w:r w:rsidRPr="00E24274">
        <w:rPr>
          <w:rFonts w:ascii="Times New Roman" w:hAnsi="Times New Roman" w:cs="Times New Roman"/>
        </w:rPr>
        <w:t xml:space="preserve"> projektu, w tym związanych z wyjaśnieniem wątpliwości co do treści orzeczenia Komisji, jako równowartość wzmiankowanego przeciętnego miesięcznego wynagrodzenia, o któ</w:t>
      </w:r>
      <w:r w:rsidR="00BB2307">
        <w:rPr>
          <w:rFonts w:ascii="Times New Roman" w:hAnsi="Times New Roman" w:cs="Times New Roman"/>
        </w:rPr>
        <w:t>rym mowa w powyższym tirecie (w </w:t>
      </w:r>
      <w:r w:rsidRPr="00E24274">
        <w:rPr>
          <w:rFonts w:ascii="Times New Roman" w:hAnsi="Times New Roman" w:cs="Times New Roman"/>
        </w:rPr>
        <w:t>obecnie obowiązującym stanie prawnym – zgodnie z art. 110</w:t>
      </w:r>
      <w:r w:rsidRPr="00E24274">
        <w:rPr>
          <w:rFonts w:ascii="Times New Roman" w:hAnsi="Times New Roman" w:cs="Times New Roman"/>
          <w:vertAlign w:val="superscript"/>
        </w:rPr>
        <w:t xml:space="preserve">9 </w:t>
      </w:r>
      <w:r w:rsidRPr="00E24274">
        <w:rPr>
          <w:rFonts w:ascii="Times New Roman" w:hAnsi="Times New Roman" w:cs="Times New Roman"/>
        </w:rPr>
        <w:t>ust. 1 pkt 2</w:t>
      </w:r>
      <w:r w:rsidR="0000774C">
        <w:rPr>
          <w:rFonts w:ascii="Times New Roman" w:hAnsi="Times New Roman" w:cs="Times New Roman"/>
        </w:rPr>
        <w:t xml:space="preserve"> i </w:t>
      </w:r>
      <w:r w:rsidR="00BB2307">
        <w:rPr>
          <w:rFonts w:ascii="Times New Roman" w:hAnsi="Times New Roman" w:cs="Times New Roman"/>
        </w:rPr>
        <w:t>3 pr. </w:t>
      </w:r>
      <w:r w:rsidRPr="00E24274">
        <w:rPr>
          <w:rFonts w:ascii="Times New Roman" w:hAnsi="Times New Roman" w:cs="Times New Roman"/>
        </w:rPr>
        <w:t>aut. – jest to trzykrotność przeciętne</w:t>
      </w:r>
      <w:r w:rsidR="00BB2307">
        <w:rPr>
          <w:rFonts w:ascii="Times New Roman" w:hAnsi="Times New Roman" w:cs="Times New Roman"/>
        </w:rPr>
        <w:t>go miesięcznego wynagrodzenia w </w:t>
      </w:r>
      <w:r w:rsidRPr="00E24274">
        <w:rPr>
          <w:rFonts w:ascii="Times New Roman" w:hAnsi="Times New Roman" w:cs="Times New Roman"/>
        </w:rPr>
        <w:t>przypadku spraw o rozstrzyganie sporów</w:t>
      </w:r>
      <w:r w:rsidR="00BB2307">
        <w:rPr>
          <w:rFonts w:ascii="Times New Roman" w:hAnsi="Times New Roman" w:cs="Times New Roman"/>
        </w:rPr>
        <w:t xml:space="preserve"> dotyczących stosowania tabel i </w:t>
      </w:r>
      <w:r w:rsidRPr="00E24274">
        <w:rPr>
          <w:rFonts w:ascii="Times New Roman" w:hAnsi="Times New Roman" w:cs="Times New Roman"/>
        </w:rPr>
        <w:t>rozwiązywanie sporów związanych z zawarciem umowy o reemisję w sieciach kablowych oraz zgodnie z art. 110</w:t>
      </w:r>
      <w:r w:rsidRPr="00E24274">
        <w:rPr>
          <w:rFonts w:ascii="Times New Roman" w:hAnsi="Times New Roman" w:cs="Times New Roman"/>
          <w:vertAlign w:val="superscript"/>
        </w:rPr>
        <w:t xml:space="preserve">9 </w:t>
      </w:r>
      <w:r w:rsidRPr="00E24274">
        <w:rPr>
          <w:rFonts w:ascii="Times New Roman" w:hAnsi="Times New Roman" w:cs="Times New Roman"/>
        </w:rPr>
        <w:t xml:space="preserve">ust. 1 pkt 6 pr. aut. i </w:t>
      </w:r>
      <w:r w:rsidRPr="00E24274">
        <w:rPr>
          <w:rFonts w:ascii="Times New Roman" w:hAnsi="Times New Roman" w:cs="Times New Roman"/>
          <w:vertAlign w:val="superscript"/>
        </w:rPr>
        <w:t>2</w:t>
      </w:r>
      <w:r w:rsidRPr="00E24274">
        <w:rPr>
          <w:rFonts w:ascii="Times New Roman" w:hAnsi="Times New Roman" w:cs="Times New Roman"/>
        </w:rPr>
        <w:t>/</w:t>
      </w:r>
      <w:r w:rsidRPr="00E24274">
        <w:rPr>
          <w:rFonts w:ascii="Times New Roman" w:hAnsi="Times New Roman" w:cs="Times New Roman"/>
          <w:vertAlign w:val="subscript"/>
        </w:rPr>
        <w:t>3</w:t>
      </w:r>
      <w:r w:rsidRPr="00E24274">
        <w:rPr>
          <w:rFonts w:ascii="Times New Roman" w:hAnsi="Times New Roman" w:cs="Times New Roman"/>
        </w:rPr>
        <w:t xml:space="preserve"> przeciętnego miesięcznego wynagrodzenia w sprawach o wykładnię orzeczeń Komisji).</w:t>
      </w:r>
    </w:p>
    <w:p w:rsidR="007824D6" w:rsidRPr="00E24274" w:rsidRDefault="007824D6" w:rsidP="00E24274">
      <w:pPr>
        <w:spacing w:before="120" w:after="0" w:line="360" w:lineRule="auto"/>
        <w:jc w:val="both"/>
        <w:rPr>
          <w:rFonts w:ascii="Times New Roman" w:hAnsi="Times New Roman"/>
          <w:bCs/>
          <w:sz w:val="24"/>
          <w:szCs w:val="24"/>
          <w:lang w:eastAsia="pl-PL"/>
        </w:rPr>
      </w:pPr>
      <w:r w:rsidRPr="00E24274">
        <w:rPr>
          <w:rFonts w:ascii="Times New Roman" w:hAnsi="Times New Roman"/>
          <w:sz w:val="24"/>
          <w:szCs w:val="24"/>
          <w:lang w:eastAsia="pl-PL"/>
        </w:rPr>
        <w:t>3. Ust. 2 projektowanego przepisu określa sposób uiszczania opłat, a ust. 3 ich przeznaczenie – w obu przypadkach analogicznie jak obowiązujący</w:t>
      </w:r>
      <w:r w:rsidRPr="00E24274">
        <w:rPr>
          <w:rFonts w:ascii="Times New Roman" w:hAnsi="Times New Roman"/>
          <w:sz w:val="24"/>
          <w:szCs w:val="24"/>
        </w:rPr>
        <w:t xml:space="preserve"> </w:t>
      </w:r>
      <w:r w:rsidRPr="00E24274">
        <w:rPr>
          <w:rFonts w:ascii="Times New Roman" w:hAnsi="Times New Roman"/>
          <w:sz w:val="24"/>
          <w:szCs w:val="24"/>
          <w:lang w:eastAsia="pl-PL"/>
        </w:rPr>
        <w:t>art. 110</w:t>
      </w:r>
      <w:r w:rsidRPr="00E24274">
        <w:rPr>
          <w:rFonts w:ascii="Times New Roman" w:hAnsi="Times New Roman"/>
          <w:sz w:val="24"/>
          <w:szCs w:val="24"/>
          <w:vertAlign w:val="superscript"/>
          <w:lang w:eastAsia="pl-PL"/>
        </w:rPr>
        <w:t xml:space="preserve">9 </w:t>
      </w:r>
      <w:r w:rsidRPr="00E24274">
        <w:rPr>
          <w:rFonts w:ascii="Times New Roman" w:hAnsi="Times New Roman"/>
          <w:sz w:val="24"/>
          <w:szCs w:val="24"/>
          <w:lang w:eastAsia="pl-PL"/>
        </w:rPr>
        <w:t>ust. 2</w:t>
      </w:r>
      <w:r w:rsidR="0000774C">
        <w:rPr>
          <w:rFonts w:ascii="Times New Roman" w:hAnsi="Times New Roman"/>
          <w:sz w:val="24"/>
          <w:szCs w:val="24"/>
          <w:lang w:eastAsia="pl-PL"/>
        </w:rPr>
        <w:t xml:space="preserve"> i </w:t>
      </w:r>
      <w:r w:rsidR="00BB2307">
        <w:rPr>
          <w:rFonts w:ascii="Times New Roman" w:hAnsi="Times New Roman"/>
          <w:sz w:val="24"/>
          <w:szCs w:val="24"/>
          <w:lang w:eastAsia="pl-PL"/>
        </w:rPr>
        <w:t>3 pr. </w:t>
      </w:r>
      <w:r w:rsidRPr="00E24274">
        <w:rPr>
          <w:rFonts w:ascii="Times New Roman" w:hAnsi="Times New Roman"/>
          <w:sz w:val="24"/>
          <w:szCs w:val="24"/>
          <w:lang w:eastAsia="pl-PL"/>
        </w:rPr>
        <w:t>aut. Z kolei ust. 4 projektowanego przepisu przesądza, w identyczny sposób jako obowiązujący art. 110</w:t>
      </w:r>
      <w:r w:rsidRPr="00E24274">
        <w:rPr>
          <w:rFonts w:ascii="Times New Roman" w:hAnsi="Times New Roman"/>
          <w:sz w:val="24"/>
          <w:szCs w:val="24"/>
          <w:vertAlign w:val="superscript"/>
          <w:lang w:eastAsia="pl-PL"/>
        </w:rPr>
        <w:t xml:space="preserve">9 </w:t>
      </w:r>
      <w:r w:rsidRPr="00E24274">
        <w:rPr>
          <w:rFonts w:ascii="Times New Roman" w:hAnsi="Times New Roman"/>
          <w:sz w:val="24"/>
          <w:szCs w:val="24"/>
          <w:lang w:eastAsia="pl-PL"/>
        </w:rPr>
        <w:t xml:space="preserve">ust. 4 pr. aut., że nie </w:t>
      </w:r>
      <w:r w:rsidR="00BB2307">
        <w:rPr>
          <w:rFonts w:ascii="Times New Roman" w:hAnsi="Times New Roman"/>
          <w:sz w:val="24"/>
          <w:szCs w:val="24"/>
          <w:lang w:eastAsia="pl-PL"/>
        </w:rPr>
        <w:t>pobiera się opłat od wniosków o </w:t>
      </w:r>
      <w:r w:rsidRPr="00E24274">
        <w:rPr>
          <w:rFonts w:ascii="Times New Roman" w:hAnsi="Times New Roman"/>
          <w:bCs/>
          <w:sz w:val="24"/>
          <w:szCs w:val="24"/>
          <w:lang w:eastAsia="pl-PL"/>
        </w:rPr>
        <w:t>uzupełnienie lub sprostowanie orzeczenia Komisji.</w:t>
      </w:r>
    </w:p>
    <w:p w:rsidR="007824D6" w:rsidRPr="00E24274" w:rsidRDefault="007824D6" w:rsidP="00E24274">
      <w:pPr>
        <w:pStyle w:val="ROZDZODDZPRZEDMprzedmiotregulacjirozdziauluboddziau"/>
        <w:jc w:val="left"/>
        <w:outlineLvl w:val="0"/>
        <w:rPr>
          <w:rFonts w:ascii="Times New Roman" w:hAnsi="Times New Roman"/>
        </w:rPr>
      </w:pPr>
      <w:r w:rsidRPr="00E24274">
        <w:rPr>
          <w:rFonts w:ascii="Times New Roman" w:hAnsi="Times New Roman"/>
        </w:rPr>
        <w:t>Oddział 2. Zatwierdzanie tabel wynagrodzeń</w:t>
      </w:r>
      <w:r w:rsidR="0001203A" w:rsidRPr="00E24274">
        <w:rPr>
          <w:rFonts w:ascii="Times New Roman" w:hAnsi="Times New Roman"/>
        </w:rPr>
        <w:t xml:space="preserve"> za korzystanie z utworów lub przedmiotów praw pokrewnych</w:t>
      </w:r>
      <w:r w:rsidRPr="00E24274">
        <w:rPr>
          <w:rFonts w:ascii="Times New Roman" w:hAnsi="Times New Roman"/>
        </w:rPr>
        <w:t xml:space="preserve"> (art. 72–81 projektu)</w:t>
      </w:r>
    </w:p>
    <w:p w:rsidR="00650243" w:rsidRPr="00E24274" w:rsidRDefault="00650243" w:rsidP="00E24274">
      <w:pPr>
        <w:spacing w:before="120" w:after="0" w:line="360" w:lineRule="auto"/>
        <w:jc w:val="both"/>
        <w:rPr>
          <w:rFonts w:ascii="Times New Roman" w:hAnsi="Times New Roman"/>
          <w:b/>
          <w:sz w:val="24"/>
          <w:szCs w:val="24"/>
          <w:lang w:eastAsia="pl-PL"/>
        </w:rPr>
      </w:pPr>
      <w:r w:rsidRPr="00E24274">
        <w:rPr>
          <w:rFonts w:ascii="Times New Roman" w:hAnsi="Times New Roman"/>
          <w:b/>
          <w:sz w:val="24"/>
          <w:szCs w:val="24"/>
          <w:lang w:eastAsia="pl-PL"/>
        </w:rPr>
        <w:t>art. 72</w:t>
      </w:r>
    </w:p>
    <w:p w:rsidR="001F2C2F" w:rsidRPr="00E24274" w:rsidRDefault="00650243" w:rsidP="00BB2307">
      <w:pPr>
        <w:spacing w:after="0" w:line="360" w:lineRule="auto"/>
        <w:jc w:val="both"/>
        <w:rPr>
          <w:rFonts w:ascii="Times New Roman" w:hAnsi="Times New Roman"/>
          <w:sz w:val="24"/>
          <w:szCs w:val="24"/>
          <w:lang w:eastAsia="pl-PL"/>
        </w:rPr>
      </w:pPr>
      <w:r w:rsidRPr="00E24274">
        <w:rPr>
          <w:rFonts w:ascii="Times New Roman" w:hAnsi="Times New Roman"/>
          <w:sz w:val="24"/>
          <w:szCs w:val="24"/>
          <w:lang w:eastAsia="pl-PL"/>
        </w:rPr>
        <w:t xml:space="preserve">Przepis określa skład zespołu orzekającego (ust. 1) oraz tryb jego kształtowania </w:t>
      </w:r>
      <w:r w:rsidR="00BB2307">
        <w:rPr>
          <w:rFonts w:ascii="Times New Roman" w:hAnsi="Times New Roman"/>
          <w:sz w:val="24"/>
          <w:szCs w:val="24"/>
          <w:lang w:eastAsia="pl-PL"/>
        </w:rPr>
        <w:br/>
      </w:r>
      <w:r w:rsidRPr="00E24274">
        <w:rPr>
          <w:rFonts w:ascii="Times New Roman" w:hAnsi="Times New Roman"/>
          <w:sz w:val="24"/>
          <w:szCs w:val="24"/>
          <w:lang w:eastAsia="pl-PL"/>
        </w:rPr>
        <w:t>(ust. 2</w:t>
      </w:r>
      <w:r w:rsidR="00B85D46">
        <w:rPr>
          <w:rFonts w:ascii="Times New Roman" w:hAnsi="Times New Roman"/>
          <w:sz w:val="24"/>
          <w:szCs w:val="24"/>
          <w:lang w:eastAsia="pl-PL"/>
        </w:rPr>
        <w:t>–</w:t>
      </w:r>
      <w:r w:rsidRPr="00E24274">
        <w:rPr>
          <w:rFonts w:ascii="Times New Roman" w:hAnsi="Times New Roman"/>
          <w:sz w:val="24"/>
          <w:szCs w:val="24"/>
          <w:lang w:eastAsia="pl-PL"/>
        </w:rPr>
        <w:t>5) w postępowaniach o zatwierdzenie tabel wynagrodzeń. W przeciwieństwie do obecnego stanu prawnego skład zespołu orzekającego sprawy o zatwierdzanie tabel wynagrodzeń za korzystanie z utworów lub przedmiotów praw pokrewnych będzie rozpatrywał zespół orzekający Komisji w składzie trzech, a nie pięciu arbitrów. Winno to służyć usprawnieniu działań Komisji i je</w:t>
      </w:r>
      <w:r w:rsidR="0000774C">
        <w:rPr>
          <w:rFonts w:ascii="Times New Roman" w:hAnsi="Times New Roman"/>
          <w:sz w:val="24"/>
          <w:szCs w:val="24"/>
          <w:lang w:eastAsia="pl-PL"/>
        </w:rPr>
        <w:t>st</w:t>
      </w:r>
      <w:r w:rsidRPr="00E24274">
        <w:rPr>
          <w:rFonts w:ascii="Times New Roman" w:hAnsi="Times New Roman"/>
          <w:sz w:val="24"/>
          <w:szCs w:val="24"/>
          <w:lang w:eastAsia="pl-PL"/>
        </w:rPr>
        <w:t xml:space="preserve"> związane z ograniczenie</w:t>
      </w:r>
      <w:r w:rsidR="00627C43">
        <w:rPr>
          <w:rFonts w:ascii="Times New Roman" w:hAnsi="Times New Roman"/>
          <w:sz w:val="24"/>
          <w:szCs w:val="24"/>
          <w:lang w:eastAsia="pl-PL"/>
        </w:rPr>
        <w:t>m</w:t>
      </w:r>
      <w:r w:rsidRPr="00E24274">
        <w:rPr>
          <w:rFonts w:ascii="Times New Roman" w:hAnsi="Times New Roman"/>
          <w:sz w:val="24"/>
          <w:szCs w:val="24"/>
          <w:lang w:eastAsia="pl-PL"/>
        </w:rPr>
        <w:t xml:space="preserve"> jej składu liczbowego. Dwóch spośród z nich wyznaczać będzie przewodniczący Komisji: po </w:t>
      </w:r>
      <w:r w:rsidRPr="00E24274">
        <w:rPr>
          <w:rFonts w:ascii="Times New Roman" w:hAnsi="Times New Roman"/>
          <w:sz w:val="24"/>
          <w:szCs w:val="24"/>
          <w:lang w:eastAsia="pl-PL"/>
        </w:rPr>
        <w:lastRenderedPageBreak/>
        <w:t>jednym spośród arbitrów wskazanych przez podmiot</w:t>
      </w:r>
      <w:r w:rsidR="00BB2307">
        <w:rPr>
          <w:rFonts w:ascii="Times New Roman" w:hAnsi="Times New Roman"/>
          <w:sz w:val="24"/>
          <w:szCs w:val="24"/>
          <w:lang w:eastAsia="pl-PL"/>
        </w:rPr>
        <w:t>y reprezentujące uprawnionych i </w:t>
      </w:r>
      <w:r w:rsidRPr="00E24274">
        <w:rPr>
          <w:rFonts w:ascii="Times New Roman" w:hAnsi="Times New Roman"/>
          <w:sz w:val="24"/>
          <w:szCs w:val="24"/>
          <w:lang w:eastAsia="pl-PL"/>
        </w:rPr>
        <w:t>użytkowników praw. Podobnie jak w obowiązującym stanie prawnym</w:t>
      </w:r>
      <w:r w:rsidR="0000774C">
        <w:rPr>
          <w:rFonts w:ascii="Times New Roman" w:hAnsi="Times New Roman"/>
          <w:sz w:val="24"/>
          <w:szCs w:val="24"/>
          <w:lang w:eastAsia="pl-PL"/>
        </w:rPr>
        <w:t>,</w:t>
      </w:r>
      <w:r w:rsidRPr="00E24274">
        <w:rPr>
          <w:rFonts w:ascii="Times New Roman" w:hAnsi="Times New Roman"/>
          <w:sz w:val="24"/>
          <w:szCs w:val="24"/>
          <w:lang w:eastAsia="pl-PL"/>
        </w:rPr>
        <w:t xml:space="preserve"> tak wskazani arbitrzy wybiorą przewodniczącego zespołu orzekającego komisji. Jeśli do takiego wyboru nie dojdzie we wskazanym w ust. 4 projektowanego artykułu terminie, przewodniczącego zespołu orzekającego wyznaczy przewodniczący Komisji. Przy wyznaczeniu członków zespołu przewodniczący ma obowiązek</w:t>
      </w:r>
      <w:r w:rsidR="0001203A" w:rsidRPr="00E24274">
        <w:rPr>
          <w:rFonts w:ascii="Times New Roman" w:hAnsi="Times New Roman"/>
          <w:sz w:val="24"/>
          <w:szCs w:val="24"/>
          <w:lang w:eastAsia="pl-PL"/>
        </w:rPr>
        <w:t xml:space="preserve"> dokonać oceny ich bezstronności, biorąc pod uwagę</w:t>
      </w:r>
      <w:r w:rsidRPr="00E24274">
        <w:rPr>
          <w:rFonts w:ascii="Times New Roman" w:hAnsi="Times New Roman"/>
          <w:sz w:val="24"/>
          <w:szCs w:val="24"/>
          <w:lang w:eastAsia="pl-PL"/>
        </w:rPr>
        <w:t xml:space="preserve"> treść oświadczeń arbitrów, o których mowa w art. 63 ust. </w:t>
      </w:r>
      <w:r w:rsidR="000F5DA1" w:rsidRPr="00E24274">
        <w:rPr>
          <w:rFonts w:ascii="Times New Roman" w:hAnsi="Times New Roman"/>
          <w:sz w:val="24"/>
          <w:szCs w:val="24"/>
          <w:lang w:eastAsia="pl-PL"/>
        </w:rPr>
        <w:t xml:space="preserve">5 pkt 2 </w:t>
      </w:r>
      <w:r w:rsidRPr="00E24274">
        <w:rPr>
          <w:rFonts w:ascii="Times New Roman" w:hAnsi="Times New Roman"/>
          <w:sz w:val="24"/>
          <w:szCs w:val="24"/>
          <w:lang w:eastAsia="pl-PL"/>
        </w:rPr>
        <w:t>projektu, a więc dotyczących stosunków łączących ich z podmiotami zgłaszającymi kandydatów na arbitrów.</w:t>
      </w:r>
    </w:p>
    <w:p w:rsidR="00993075" w:rsidRPr="00E24274" w:rsidRDefault="00993075" w:rsidP="00E24274">
      <w:pPr>
        <w:spacing w:before="120" w:after="0" w:line="360" w:lineRule="auto"/>
        <w:jc w:val="both"/>
        <w:rPr>
          <w:rFonts w:ascii="Times New Roman" w:hAnsi="Times New Roman"/>
          <w:sz w:val="24"/>
          <w:szCs w:val="24"/>
          <w:lang w:eastAsia="pl-PL"/>
        </w:rPr>
      </w:pPr>
      <w:r w:rsidRPr="00E24274">
        <w:rPr>
          <w:rFonts w:ascii="Times New Roman" w:hAnsi="Times New Roman"/>
          <w:sz w:val="24"/>
          <w:szCs w:val="24"/>
          <w:lang w:eastAsia="pl-PL"/>
        </w:rPr>
        <w:t>Natomiast projektowany art. 72 ust. 6 rozstrzygnie kwestię niezakończenia postępowania przed upływem kadencji Komisji. W takiej sytuacji postępowanie będzie kontynuowane przez nowy zespół orzekający, powołany spośród arbitrów Komisji nowej kadencji, przy czym rozstrzygnięcia podjęte przez zespół orzekający Komisji poprzedniej kadencji zachowają ważność. Bieg 7-dniowego terminu wyznaczenia przez Przewodniczącego Komisji dwóch arbitrów do nowego zespołu orzekającego rozpocznie się z momentem jego powołania.</w:t>
      </w:r>
    </w:p>
    <w:p w:rsidR="00650243" w:rsidRPr="00E24274" w:rsidRDefault="00650243" w:rsidP="00E24274">
      <w:pPr>
        <w:spacing w:before="120" w:after="0" w:line="360" w:lineRule="auto"/>
        <w:jc w:val="both"/>
        <w:rPr>
          <w:rFonts w:ascii="Times New Roman" w:hAnsi="Times New Roman"/>
          <w:b/>
          <w:sz w:val="24"/>
          <w:szCs w:val="24"/>
          <w:lang w:eastAsia="pl-PL"/>
        </w:rPr>
      </w:pPr>
      <w:r w:rsidRPr="00E24274">
        <w:rPr>
          <w:rFonts w:ascii="Times New Roman" w:hAnsi="Times New Roman"/>
          <w:b/>
          <w:sz w:val="24"/>
          <w:szCs w:val="24"/>
          <w:lang w:eastAsia="pl-PL"/>
        </w:rPr>
        <w:t>art. 73</w:t>
      </w:r>
    </w:p>
    <w:p w:rsidR="009D0908" w:rsidRPr="00E24274" w:rsidRDefault="00650243" w:rsidP="00BB2307">
      <w:pPr>
        <w:spacing w:after="0" w:line="360" w:lineRule="auto"/>
        <w:jc w:val="both"/>
        <w:rPr>
          <w:rFonts w:ascii="Times New Roman" w:hAnsi="Times New Roman"/>
          <w:sz w:val="24"/>
          <w:szCs w:val="24"/>
          <w:lang w:eastAsia="pl-PL"/>
        </w:rPr>
      </w:pPr>
      <w:r w:rsidRPr="00E24274">
        <w:rPr>
          <w:rFonts w:ascii="Times New Roman" w:hAnsi="Times New Roman"/>
          <w:sz w:val="24"/>
          <w:szCs w:val="24"/>
          <w:lang w:eastAsia="pl-PL"/>
        </w:rPr>
        <w:t>1. Ust. 1 projektowanego przepisu wskazuje – podobnie jak art. 110</w:t>
      </w:r>
      <w:r w:rsidRPr="00E24274">
        <w:rPr>
          <w:rFonts w:ascii="Times New Roman" w:hAnsi="Times New Roman"/>
          <w:sz w:val="24"/>
          <w:szCs w:val="24"/>
          <w:vertAlign w:val="superscript"/>
          <w:lang w:eastAsia="pl-PL"/>
        </w:rPr>
        <w:t>12</w:t>
      </w:r>
      <w:r w:rsidRPr="00E24274">
        <w:rPr>
          <w:rFonts w:ascii="Times New Roman" w:hAnsi="Times New Roman"/>
          <w:sz w:val="24"/>
          <w:szCs w:val="24"/>
          <w:lang w:eastAsia="pl-PL"/>
        </w:rPr>
        <w:t xml:space="preserve"> ust 1 pr. aut. – organizację zbiorowego zarządzania jako podmiot u</w:t>
      </w:r>
      <w:r w:rsidR="00BB2307">
        <w:rPr>
          <w:rFonts w:ascii="Times New Roman" w:hAnsi="Times New Roman"/>
          <w:sz w:val="24"/>
          <w:szCs w:val="24"/>
          <w:lang w:eastAsia="pl-PL"/>
        </w:rPr>
        <w:t>prawniony do złożenia wniosku o </w:t>
      </w:r>
      <w:r w:rsidRPr="00E24274">
        <w:rPr>
          <w:rFonts w:ascii="Times New Roman" w:hAnsi="Times New Roman"/>
          <w:sz w:val="24"/>
          <w:szCs w:val="24"/>
          <w:lang w:eastAsia="pl-PL"/>
        </w:rPr>
        <w:t>zatwierdzenie tabeli wynagrodzeń, dając jednocześnie możliwość składania wniosku</w:t>
      </w:r>
      <w:r w:rsidR="0001203A" w:rsidRPr="00E24274">
        <w:rPr>
          <w:rFonts w:ascii="Times New Roman" w:hAnsi="Times New Roman"/>
          <w:sz w:val="24"/>
          <w:szCs w:val="24"/>
          <w:lang w:eastAsia="pl-PL"/>
        </w:rPr>
        <w:t xml:space="preserve"> o zatwierdzenie wspólnej tabeli</w:t>
      </w:r>
      <w:r w:rsidRPr="00E24274">
        <w:rPr>
          <w:rFonts w:ascii="Times New Roman" w:hAnsi="Times New Roman"/>
          <w:sz w:val="24"/>
          <w:szCs w:val="24"/>
          <w:lang w:eastAsia="pl-PL"/>
        </w:rPr>
        <w:t xml:space="preserve"> przez kilka organizacji działających łącznie. To ostatnie rozwiązanie, które służy porządkowaniu rynku zbiorowego zarządzania prawami autorskimi i pokrewnymi w Polsce, jest pożądane z punktu widzenia projektodawcy, wiążąc się – zgodnie z ust. </w:t>
      </w:r>
      <w:r w:rsidR="009D0908" w:rsidRPr="00E24274">
        <w:rPr>
          <w:rFonts w:ascii="Times New Roman" w:hAnsi="Times New Roman"/>
          <w:sz w:val="24"/>
          <w:szCs w:val="24"/>
          <w:lang w:eastAsia="pl-PL"/>
        </w:rPr>
        <w:t xml:space="preserve">4 </w:t>
      </w:r>
      <w:r w:rsidRPr="00E24274">
        <w:rPr>
          <w:rFonts w:ascii="Times New Roman" w:hAnsi="Times New Roman"/>
          <w:sz w:val="24"/>
          <w:szCs w:val="24"/>
          <w:lang w:eastAsia="pl-PL"/>
        </w:rPr>
        <w:t>projektowanego przepisu – z istotnym obniżeniem opłaty od wniosku.</w:t>
      </w:r>
    </w:p>
    <w:p w:rsidR="009D0908" w:rsidRPr="00E24274" w:rsidRDefault="00650243" w:rsidP="00E24274">
      <w:pPr>
        <w:spacing w:before="120" w:after="0" w:line="360" w:lineRule="auto"/>
        <w:jc w:val="both"/>
        <w:rPr>
          <w:rFonts w:ascii="Times New Roman" w:hAnsi="Times New Roman"/>
          <w:sz w:val="24"/>
          <w:szCs w:val="24"/>
          <w:lang w:eastAsia="pl-PL"/>
        </w:rPr>
      </w:pPr>
      <w:r w:rsidRPr="00E24274">
        <w:rPr>
          <w:rFonts w:ascii="Times New Roman" w:hAnsi="Times New Roman"/>
          <w:sz w:val="24"/>
          <w:szCs w:val="24"/>
          <w:lang w:eastAsia="pl-PL"/>
        </w:rPr>
        <w:t xml:space="preserve">2. Ust. </w:t>
      </w:r>
      <w:r w:rsidR="009D0908" w:rsidRPr="00E24274">
        <w:rPr>
          <w:rFonts w:ascii="Times New Roman" w:hAnsi="Times New Roman"/>
          <w:sz w:val="24"/>
          <w:szCs w:val="24"/>
          <w:lang w:eastAsia="pl-PL"/>
        </w:rPr>
        <w:t>2</w:t>
      </w:r>
      <w:r w:rsidRPr="00E24274">
        <w:rPr>
          <w:rFonts w:ascii="Times New Roman" w:hAnsi="Times New Roman"/>
          <w:sz w:val="24"/>
          <w:szCs w:val="24"/>
          <w:lang w:eastAsia="pl-PL"/>
        </w:rPr>
        <w:t xml:space="preserve"> jest kolejnym rozwiązaniem służącym zapewnieniu w praktyce realizacji zasady tzw. </w:t>
      </w:r>
      <w:r w:rsidR="00E24274">
        <w:rPr>
          <w:rFonts w:ascii="Times New Roman" w:hAnsi="Times New Roman"/>
          <w:sz w:val="24"/>
          <w:szCs w:val="24"/>
          <w:lang w:eastAsia="pl-PL"/>
        </w:rPr>
        <w:t>„</w:t>
      </w:r>
      <w:r w:rsidRPr="00E24274">
        <w:rPr>
          <w:rFonts w:ascii="Times New Roman" w:hAnsi="Times New Roman"/>
          <w:sz w:val="24"/>
          <w:szCs w:val="24"/>
          <w:lang w:eastAsia="pl-PL"/>
        </w:rPr>
        <w:t>jednego okienka</w:t>
      </w:r>
      <w:r w:rsidR="00E24274">
        <w:rPr>
          <w:rFonts w:ascii="Times New Roman" w:hAnsi="Times New Roman"/>
          <w:sz w:val="24"/>
          <w:szCs w:val="24"/>
          <w:lang w:eastAsia="pl-PL"/>
        </w:rPr>
        <w:t>”</w:t>
      </w:r>
      <w:r w:rsidRPr="00E24274">
        <w:rPr>
          <w:rFonts w:ascii="Times New Roman" w:hAnsi="Times New Roman"/>
          <w:sz w:val="24"/>
          <w:szCs w:val="24"/>
          <w:lang w:eastAsia="pl-PL"/>
        </w:rPr>
        <w:t xml:space="preserve"> w najbardziej konfliktogennej części systemu zbiorowego zarządzania, tj. w sytuacji gdy zakresy zezwoleń organizacji krzyżują się. Rozwiązanie to jest spójne z wprowadzanymi regulacjami dotyczącymi wspólnego kontraktowania ujętymi w art. 44 ust. </w:t>
      </w:r>
      <w:r w:rsidR="009D0908" w:rsidRPr="00E24274">
        <w:rPr>
          <w:rFonts w:ascii="Times New Roman" w:hAnsi="Times New Roman"/>
          <w:sz w:val="24"/>
          <w:szCs w:val="24"/>
          <w:lang w:eastAsia="pl-PL"/>
        </w:rPr>
        <w:t xml:space="preserve">2 </w:t>
      </w:r>
      <w:r w:rsidRPr="00E24274">
        <w:rPr>
          <w:rFonts w:ascii="Times New Roman" w:hAnsi="Times New Roman"/>
          <w:sz w:val="24"/>
          <w:szCs w:val="24"/>
          <w:lang w:eastAsia="pl-PL"/>
        </w:rPr>
        <w:t>projektu, które dotyczą tego samego przypadku. Przyjmowanie wspólnych tabel wynagrodzeń winno wydatnie ułatwić wspólne udzielani</w:t>
      </w:r>
      <w:r w:rsidR="0000774C">
        <w:rPr>
          <w:rFonts w:ascii="Times New Roman" w:hAnsi="Times New Roman"/>
          <w:sz w:val="24"/>
          <w:szCs w:val="24"/>
          <w:lang w:eastAsia="pl-PL"/>
        </w:rPr>
        <w:t>e</w:t>
      </w:r>
      <w:r w:rsidRPr="00E24274">
        <w:rPr>
          <w:rFonts w:ascii="Times New Roman" w:hAnsi="Times New Roman"/>
          <w:sz w:val="24"/>
          <w:szCs w:val="24"/>
          <w:lang w:eastAsia="pl-PL"/>
        </w:rPr>
        <w:t xml:space="preserve"> licencji i wspólny pobór wynagrodzeń. </w:t>
      </w:r>
    </w:p>
    <w:p w:rsidR="009D0908" w:rsidRPr="00E24274" w:rsidRDefault="00650243" w:rsidP="00E24274">
      <w:pPr>
        <w:spacing w:before="120" w:after="0" w:line="360" w:lineRule="auto"/>
        <w:jc w:val="both"/>
        <w:rPr>
          <w:rFonts w:ascii="Times New Roman" w:hAnsi="Times New Roman"/>
          <w:sz w:val="24"/>
          <w:szCs w:val="24"/>
          <w:lang w:eastAsia="pl-PL"/>
        </w:rPr>
      </w:pPr>
      <w:r w:rsidRPr="00E24274">
        <w:rPr>
          <w:rFonts w:ascii="Times New Roman" w:hAnsi="Times New Roman"/>
          <w:sz w:val="24"/>
          <w:szCs w:val="24"/>
          <w:lang w:eastAsia="pl-PL"/>
        </w:rPr>
        <w:lastRenderedPageBreak/>
        <w:t xml:space="preserve">3. Ust. </w:t>
      </w:r>
      <w:r w:rsidR="009D0908" w:rsidRPr="00E24274">
        <w:rPr>
          <w:rFonts w:ascii="Times New Roman" w:hAnsi="Times New Roman"/>
          <w:sz w:val="24"/>
          <w:szCs w:val="24"/>
          <w:lang w:eastAsia="pl-PL"/>
        </w:rPr>
        <w:t xml:space="preserve">3 </w:t>
      </w:r>
      <w:r w:rsidRPr="00E24274">
        <w:rPr>
          <w:rFonts w:ascii="Times New Roman" w:hAnsi="Times New Roman"/>
          <w:sz w:val="24"/>
          <w:szCs w:val="24"/>
          <w:lang w:eastAsia="pl-PL"/>
        </w:rPr>
        <w:t>określa sytuacje, w których organizacje zbiorowego zarządzania mają obowiązek złożenia wspólnego wniosku o zatwierdzenie wspólnych tabel wynagrodzeń za korzystanie z utworów lub przedmiotów praw pokrewnych. Dotyczy to pól eksploatacji: publiczne odtwarzanie oraz pobór wyna</w:t>
      </w:r>
      <w:r w:rsidR="00BB2307">
        <w:rPr>
          <w:rFonts w:ascii="Times New Roman" w:hAnsi="Times New Roman"/>
          <w:sz w:val="24"/>
          <w:szCs w:val="24"/>
          <w:lang w:eastAsia="pl-PL"/>
        </w:rPr>
        <w:t>grodzenia, o którym mowa w art. </w:t>
      </w:r>
      <w:r w:rsidRPr="00E24274">
        <w:rPr>
          <w:rFonts w:ascii="Times New Roman" w:hAnsi="Times New Roman"/>
          <w:sz w:val="24"/>
          <w:szCs w:val="24"/>
          <w:lang w:eastAsia="pl-PL"/>
        </w:rPr>
        <w:t>70 ust.</w:t>
      </w:r>
      <w:r w:rsidR="009B1E13" w:rsidRPr="00E24274">
        <w:rPr>
          <w:rFonts w:ascii="Times New Roman" w:hAnsi="Times New Roman"/>
          <w:sz w:val="24"/>
          <w:szCs w:val="24"/>
          <w:lang w:eastAsia="pl-PL"/>
        </w:rPr>
        <w:t xml:space="preserve"> </w:t>
      </w:r>
      <w:r w:rsidRPr="00E24274">
        <w:rPr>
          <w:rFonts w:ascii="Times New Roman" w:hAnsi="Times New Roman"/>
          <w:sz w:val="24"/>
          <w:szCs w:val="24"/>
          <w:lang w:eastAsia="pl-PL"/>
        </w:rPr>
        <w:t>2</w:t>
      </w:r>
      <w:r w:rsidRPr="00E24274">
        <w:rPr>
          <w:rFonts w:ascii="Times New Roman" w:hAnsi="Times New Roman"/>
          <w:sz w:val="24"/>
          <w:szCs w:val="24"/>
          <w:vertAlign w:val="superscript"/>
          <w:lang w:eastAsia="pl-PL"/>
        </w:rPr>
        <w:t>1</w:t>
      </w:r>
      <w:r w:rsidRPr="00E24274">
        <w:rPr>
          <w:rFonts w:ascii="Times New Roman" w:hAnsi="Times New Roman"/>
          <w:sz w:val="24"/>
          <w:szCs w:val="24"/>
          <w:lang w:eastAsia="pl-PL"/>
        </w:rPr>
        <w:t xml:space="preserve"> pkt 1 pr. aut. Obecnie obowiązujące przepisy nie przewidują takiego obowiązku. Wskazują jedynie, że każda organizacja – w myśl art. 110</w:t>
      </w:r>
      <w:r w:rsidRPr="00E24274">
        <w:rPr>
          <w:rFonts w:ascii="Times New Roman" w:hAnsi="Times New Roman"/>
          <w:sz w:val="24"/>
          <w:szCs w:val="24"/>
          <w:vertAlign w:val="superscript"/>
          <w:lang w:eastAsia="pl-PL"/>
        </w:rPr>
        <w:t>12</w:t>
      </w:r>
      <w:r w:rsidRPr="00E24274">
        <w:rPr>
          <w:rFonts w:ascii="Times New Roman" w:hAnsi="Times New Roman"/>
          <w:sz w:val="24"/>
          <w:szCs w:val="24"/>
          <w:lang w:eastAsia="pl-PL"/>
        </w:rPr>
        <w:t xml:space="preserve"> ust. 2 pr. aut. – winna złożyć osobny wniosek o zatwierdzenie tabeli na określonych polach eksploatacji (poza </w:t>
      </w:r>
      <w:r w:rsidR="009D0908" w:rsidRPr="00E24274">
        <w:rPr>
          <w:rFonts w:ascii="Times New Roman" w:hAnsi="Times New Roman"/>
          <w:sz w:val="24"/>
          <w:szCs w:val="24"/>
          <w:lang w:eastAsia="pl-PL"/>
        </w:rPr>
        <w:t xml:space="preserve">reemitowaniem </w:t>
      </w:r>
      <w:r w:rsidRPr="00E24274">
        <w:rPr>
          <w:rFonts w:ascii="Times New Roman" w:hAnsi="Times New Roman"/>
          <w:sz w:val="24"/>
          <w:szCs w:val="24"/>
          <w:lang w:eastAsia="pl-PL"/>
        </w:rPr>
        <w:t>w sieciach kablowych i publicznym odtwarzaniem przepis wymienia nadawanie drobnych utworów muzycznych i słowno-muzycznych, o którym mowa w art. 21</w:t>
      </w:r>
      <w:r w:rsidRPr="00E24274">
        <w:rPr>
          <w:rFonts w:ascii="Times New Roman" w:hAnsi="Times New Roman"/>
          <w:sz w:val="24"/>
          <w:szCs w:val="24"/>
          <w:vertAlign w:val="superscript"/>
          <w:lang w:eastAsia="pl-PL"/>
        </w:rPr>
        <w:t>1</w:t>
      </w:r>
      <w:r w:rsidRPr="00E24274">
        <w:rPr>
          <w:rFonts w:ascii="Times New Roman" w:hAnsi="Times New Roman"/>
          <w:sz w:val="24"/>
          <w:szCs w:val="24"/>
          <w:lang w:eastAsia="pl-PL"/>
        </w:rPr>
        <w:t xml:space="preserve"> ust. 1 pr. aut.</w:t>
      </w:r>
      <w:r w:rsidR="0000774C">
        <w:rPr>
          <w:rFonts w:ascii="Times New Roman" w:hAnsi="Times New Roman"/>
          <w:sz w:val="24"/>
          <w:szCs w:val="24"/>
          <w:lang w:eastAsia="pl-PL"/>
        </w:rPr>
        <w:t>,</w:t>
      </w:r>
      <w:r w:rsidRPr="00E24274">
        <w:rPr>
          <w:rFonts w:ascii="Times New Roman" w:hAnsi="Times New Roman"/>
          <w:sz w:val="24"/>
          <w:szCs w:val="24"/>
          <w:lang w:eastAsia="pl-PL"/>
        </w:rPr>
        <w:t xml:space="preserve"> oraz eksploatację określoną w art. 70 ust. 2</w:t>
      </w:r>
      <w:r w:rsidRPr="00E24274">
        <w:rPr>
          <w:rFonts w:ascii="Times New Roman" w:hAnsi="Times New Roman"/>
          <w:sz w:val="24"/>
          <w:szCs w:val="24"/>
          <w:vertAlign w:val="superscript"/>
          <w:lang w:eastAsia="pl-PL"/>
        </w:rPr>
        <w:t>1</w:t>
      </w:r>
      <w:r w:rsidRPr="00E24274">
        <w:rPr>
          <w:rFonts w:ascii="Times New Roman" w:hAnsi="Times New Roman"/>
          <w:sz w:val="24"/>
          <w:szCs w:val="24"/>
          <w:lang w:eastAsia="pl-PL"/>
        </w:rPr>
        <w:t xml:space="preserve"> pr. aut.). Celem projektowanej regulacji jest uporządkowanie sfe</w:t>
      </w:r>
      <w:r w:rsidR="00BB2307">
        <w:rPr>
          <w:rFonts w:ascii="Times New Roman" w:hAnsi="Times New Roman"/>
          <w:sz w:val="24"/>
          <w:szCs w:val="24"/>
          <w:lang w:eastAsia="pl-PL"/>
        </w:rPr>
        <w:t>ry zbiorowego zarządzania, w </w:t>
      </w:r>
      <w:r w:rsidRPr="00E24274">
        <w:rPr>
          <w:rFonts w:ascii="Times New Roman" w:hAnsi="Times New Roman"/>
          <w:sz w:val="24"/>
          <w:szCs w:val="24"/>
          <w:lang w:eastAsia="pl-PL"/>
        </w:rPr>
        <w:t>której mamy do czynienia z relacją między kilkoma organizacjami zb</w:t>
      </w:r>
      <w:r w:rsidR="0000774C">
        <w:rPr>
          <w:rFonts w:ascii="Times New Roman" w:hAnsi="Times New Roman"/>
          <w:sz w:val="24"/>
          <w:szCs w:val="24"/>
          <w:lang w:eastAsia="pl-PL"/>
        </w:rPr>
        <w:t>i</w:t>
      </w:r>
      <w:r w:rsidRPr="00E24274">
        <w:rPr>
          <w:rFonts w:ascii="Times New Roman" w:hAnsi="Times New Roman"/>
          <w:sz w:val="24"/>
          <w:szCs w:val="24"/>
          <w:lang w:eastAsia="pl-PL"/>
        </w:rPr>
        <w:t>orowego zarządzania a dużą liczbą często drobnych uży</w:t>
      </w:r>
      <w:r w:rsidR="00BB2307">
        <w:rPr>
          <w:rFonts w:ascii="Times New Roman" w:hAnsi="Times New Roman"/>
          <w:sz w:val="24"/>
          <w:szCs w:val="24"/>
          <w:lang w:eastAsia="pl-PL"/>
        </w:rPr>
        <w:t>tkowników, a samo korzystanie z </w:t>
      </w:r>
      <w:r w:rsidRPr="00E24274">
        <w:rPr>
          <w:rFonts w:ascii="Times New Roman" w:hAnsi="Times New Roman"/>
          <w:sz w:val="24"/>
          <w:szCs w:val="24"/>
          <w:lang w:eastAsia="pl-PL"/>
        </w:rPr>
        <w:t>utworów i przedmiotów praw pokrewnych ma charakter masowy. W takim wypadku tabele wynagrodzeń istotnie ułatwiają zawarcie umowy w sytuacji, w której pośrednictwo organizacji zbiorowego zarządzania ma charakter obligatoryjny, służąc ponadto zachowaniu w praktyce zasady równego traktowania użytkowników korzystających z tych samych dóbr w identyczny sposób. Rezygnacja z obowiązku złożenia przez organizację wniosku o zatwierdzenie tabel wynagrodzeń w przypadku nadawania drobnych utworów muzycznych i słowno-muzycznych (art. 21</w:t>
      </w:r>
      <w:r w:rsidR="009B1E13" w:rsidRPr="00E24274">
        <w:rPr>
          <w:rFonts w:ascii="Times New Roman" w:hAnsi="Times New Roman"/>
          <w:sz w:val="24"/>
          <w:szCs w:val="24"/>
          <w:vertAlign w:val="superscript"/>
          <w:lang w:eastAsia="pl-PL"/>
        </w:rPr>
        <w:t>1</w:t>
      </w:r>
      <w:r w:rsidR="00BB2307">
        <w:rPr>
          <w:rFonts w:ascii="Times New Roman" w:hAnsi="Times New Roman"/>
          <w:sz w:val="24"/>
          <w:szCs w:val="24"/>
          <w:lang w:eastAsia="pl-PL"/>
        </w:rPr>
        <w:t xml:space="preserve"> ust. 1 pr. </w:t>
      </w:r>
      <w:r w:rsidRPr="00E24274">
        <w:rPr>
          <w:rFonts w:ascii="Times New Roman" w:hAnsi="Times New Roman"/>
          <w:sz w:val="24"/>
          <w:szCs w:val="24"/>
          <w:lang w:eastAsia="pl-PL"/>
        </w:rPr>
        <w:t>aut.) wynika z faktu, że w przypadku tego typu eksploatacji liczba użytkowników jest mniejsza i są to często duże podmioty gospodarcze przygotowane do prowadz</w:t>
      </w:r>
      <w:r w:rsidR="0000774C">
        <w:rPr>
          <w:rFonts w:ascii="Times New Roman" w:hAnsi="Times New Roman"/>
          <w:sz w:val="24"/>
          <w:szCs w:val="24"/>
          <w:lang w:eastAsia="pl-PL"/>
        </w:rPr>
        <w:t>e</w:t>
      </w:r>
      <w:r w:rsidRPr="00E24274">
        <w:rPr>
          <w:rFonts w:ascii="Times New Roman" w:hAnsi="Times New Roman"/>
          <w:sz w:val="24"/>
          <w:szCs w:val="24"/>
          <w:lang w:eastAsia="pl-PL"/>
        </w:rPr>
        <w:t>nia negocjacji z organizacjami zbiorowego zarządzania. Także w przypadku takiej eksploatacji – zgodnie z ust. 1 – organizacje mają możliwość złoż</w:t>
      </w:r>
      <w:r w:rsidR="00BB2307">
        <w:rPr>
          <w:rFonts w:ascii="Times New Roman" w:hAnsi="Times New Roman"/>
          <w:sz w:val="24"/>
          <w:szCs w:val="24"/>
          <w:lang w:eastAsia="pl-PL"/>
        </w:rPr>
        <w:t>enia wniosku o </w:t>
      </w:r>
      <w:r w:rsidRPr="00E24274">
        <w:rPr>
          <w:rFonts w:ascii="Times New Roman" w:hAnsi="Times New Roman"/>
          <w:sz w:val="24"/>
          <w:szCs w:val="24"/>
          <w:lang w:eastAsia="pl-PL"/>
        </w:rPr>
        <w:t>zatwierdzenie tabeli wynagrodzeń, o ile w ich ocenie praktyka uzasadnia taką potrzebę.</w:t>
      </w:r>
    </w:p>
    <w:p w:rsidR="00650243" w:rsidRPr="00E24274" w:rsidRDefault="00650243" w:rsidP="00E24274">
      <w:pPr>
        <w:spacing w:before="120" w:after="0" w:line="360" w:lineRule="auto"/>
        <w:jc w:val="both"/>
        <w:rPr>
          <w:rFonts w:ascii="Times New Roman" w:hAnsi="Times New Roman"/>
          <w:sz w:val="24"/>
          <w:szCs w:val="24"/>
        </w:rPr>
      </w:pPr>
      <w:r w:rsidRPr="00E24274">
        <w:rPr>
          <w:rFonts w:ascii="Times New Roman" w:hAnsi="Times New Roman"/>
          <w:sz w:val="24"/>
          <w:szCs w:val="24"/>
          <w:lang w:eastAsia="pl-PL"/>
        </w:rPr>
        <w:t xml:space="preserve">4. Ust. </w:t>
      </w:r>
      <w:r w:rsidR="009D0908" w:rsidRPr="00E24274">
        <w:rPr>
          <w:rFonts w:ascii="Times New Roman" w:hAnsi="Times New Roman"/>
          <w:sz w:val="24"/>
          <w:szCs w:val="24"/>
          <w:lang w:eastAsia="pl-PL"/>
        </w:rPr>
        <w:t xml:space="preserve">4 </w:t>
      </w:r>
      <w:r w:rsidRPr="00E24274">
        <w:rPr>
          <w:rFonts w:ascii="Times New Roman" w:hAnsi="Times New Roman"/>
          <w:sz w:val="24"/>
          <w:szCs w:val="24"/>
          <w:lang w:eastAsia="pl-PL"/>
        </w:rPr>
        <w:t>przewiduje, że w przypadku złożenia pr</w:t>
      </w:r>
      <w:r w:rsidR="00BB2307">
        <w:rPr>
          <w:rFonts w:ascii="Times New Roman" w:hAnsi="Times New Roman"/>
          <w:sz w:val="24"/>
          <w:szCs w:val="24"/>
          <w:lang w:eastAsia="pl-PL"/>
        </w:rPr>
        <w:t>zez kilka organizacji wniosku o </w:t>
      </w:r>
      <w:r w:rsidRPr="00E24274">
        <w:rPr>
          <w:rFonts w:ascii="Times New Roman" w:hAnsi="Times New Roman"/>
          <w:sz w:val="24"/>
          <w:szCs w:val="24"/>
          <w:lang w:eastAsia="pl-PL"/>
        </w:rPr>
        <w:t>zatwierdzenie wspólnej tabeli, pobierana jest tylko opłata odpowiadająca wysokości opłaty od jednego wniosku, która jest ponoszona w równych częściach przez wszystkich wnioskodawców. Takie rozwiązanie – jak wskazano powyżej – stanowi zachętę do składania wniosków o zatwierdzenie wspólnych tabel przez kilka organizacji</w:t>
      </w:r>
      <w:r w:rsidR="009B1E13" w:rsidRPr="00E24274">
        <w:rPr>
          <w:rFonts w:ascii="Times New Roman" w:hAnsi="Times New Roman"/>
          <w:sz w:val="24"/>
          <w:szCs w:val="24"/>
        </w:rPr>
        <w:t>.</w:t>
      </w:r>
    </w:p>
    <w:p w:rsidR="00650243" w:rsidRPr="00E24274" w:rsidRDefault="00650243" w:rsidP="00BB2307">
      <w:pPr>
        <w:pStyle w:val="USTustnpkodeksu"/>
        <w:keepNext/>
        <w:spacing w:before="120"/>
        <w:ind w:firstLine="0"/>
        <w:rPr>
          <w:rFonts w:ascii="Times New Roman" w:hAnsi="Times New Roman" w:cs="Times New Roman"/>
          <w:b/>
          <w:szCs w:val="24"/>
        </w:rPr>
      </w:pPr>
      <w:r w:rsidRPr="00E24274">
        <w:rPr>
          <w:rFonts w:ascii="Times New Roman" w:hAnsi="Times New Roman" w:cs="Times New Roman"/>
          <w:b/>
          <w:szCs w:val="24"/>
        </w:rPr>
        <w:lastRenderedPageBreak/>
        <w:t>art. 74</w:t>
      </w:r>
    </w:p>
    <w:p w:rsidR="009D0908" w:rsidRPr="00E24274" w:rsidRDefault="00650243" w:rsidP="00BB2307">
      <w:pPr>
        <w:pStyle w:val="USTustnpkodeksu"/>
        <w:keepNext/>
        <w:ind w:firstLine="0"/>
        <w:rPr>
          <w:rFonts w:ascii="Times New Roman" w:hAnsi="Times New Roman" w:cs="Times New Roman"/>
          <w:szCs w:val="24"/>
        </w:rPr>
      </w:pPr>
      <w:r w:rsidRPr="00E24274">
        <w:rPr>
          <w:rFonts w:ascii="Times New Roman" w:hAnsi="Times New Roman" w:cs="Times New Roman"/>
          <w:szCs w:val="24"/>
        </w:rPr>
        <w:t>1. Przepis określa elementy konieczne wniosku o zatwierdzenie tabeli wynagrodzeń (ust. 1). Dodatkowo przesądza, że organizacja zbio</w:t>
      </w:r>
      <w:r w:rsidR="00BB2307">
        <w:rPr>
          <w:rFonts w:ascii="Times New Roman" w:hAnsi="Times New Roman" w:cs="Times New Roman"/>
          <w:szCs w:val="24"/>
        </w:rPr>
        <w:t>rowego zarządzania we wniosku o </w:t>
      </w:r>
      <w:r w:rsidRPr="00E24274">
        <w:rPr>
          <w:rFonts w:ascii="Times New Roman" w:hAnsi="Times New Roman" w:cs="Times New Roman"/>
          <w:szCs w:val="24"/>
        </w:rPr>
        <w:t>zatwierdzenie tabel wynagrodzeń ma obowiązek przedstawić niższe stawki wynagrodzeń obowiązujące podmioty prowadzące działalność kulturalną, o której mowa art. 1 ust. 1 ustawy z dnia 25 paździe</w:t>
      </w:r>
      <w:r w:rsidR="00BB2307">
        <w:rPr>
          <w:rFonts w:ascii="Times New Roman" w:hAnsi="Times New Roman" w:cs="Times New Roman"/>
          <w:szCs w:val="24"/>
        </w:rPr>
        <w:t>rnika 1991 r. o organizowaniu i </w:t>
      </w:r>
      <w:r w:rsidRPr="00E24274">
        <w:rPr>
          <w:rFonts w:ascii="Times New Roman" w:hAnsi="Times New Roman" w:cs="Times New Roman"/>
          <w:szCs w:val="24"/>
        </w:rPr>
        <w:t>prowadzeniu</w:t>
      </w:r>
      <w:r w:rsidR="009B1E13" w:rsidRPr="00E24274">
        <w:rPr>
          <w:rFonts w:ascii="Times New Roman" w:hAnsi="Times New Roman" w:cs="Times New Roman"/>
          <w:szCs w:val="24"/>
        </w:rPr>
        <w:t xml:space="preserve"> działalności kulturalnej (</w:t>
      </w:r>
      <w:r w:rsidRPr="00E24274">
        <w:rPr>
          <w:rFonts w:ascii="Times New Roman" w:hAnsi="Times New Roman" w:cs="Times New Roman"/>
          <w:szCs w:val="24"/>
        </w:rPr>
        <w:t>Dz.</w:t>
      </w:r>
      <w:r w:rsidR="00E24274">
        <w:rPr>
          <w:rFonts w:ascii="Times New Roman" w:hAnsi="Times New Roman" w:cs="Times New Roman"/>
          <w:szCs w:val="24"/>
        </w:rPr>
        <w:t xml:space="preserve"> </w:t>
      </w:r>
      <w:r w:rsidRPr="00E24274">
        <w:rPr>
          <w:rFonts w:ascii="Times New Roman" w:hAnsi="Times New Roman" w:cs="Times New Roman"/>
          <w:szCs w:val="24"/>
        </w:rPr>
        <w:t>U</w:t>
      </w:r>
      <w:r w:rsidR="009B1E13" w:rsidRPr="00E24274">
        <w:rPr>
          <w:rFonts w:ascii="Times New Roman" w:hAnsi="Times New Roman" w:cs="Times New Roman"/>
          <w:szCs w:val="24"/>
        </w:rPr>
        <w:t xml:space="preserve">. z 2017 </w:t>
      </w:r>
      <w:r w:rsidR="00730197">
        <w:rPr>
          <w:rFonts w:ascii="Times New Roman" w:hAnsi="Times New Roman" w:cs="Times New Roman"/>
          <w:szCs w:val="24"/>
        </w:rPr>
        <w:t xml:space="preserve">r. </w:t>
      </w:r>
      <w:r w:rsidR="009B1E13" w:rsidRPr="00E24274">
        <w:rPr>
          <w:rFonts w:ascii="Times New Roman" w:hAnsi="Times New Roman" w:cs="Times New Roman"/>
          <w:szCs w:val="24"/>
        </w:rPr>
        <w:t>poz</w:t>
      </w:r>
      <w:r w:rsidR="0000774C">
        <w:rPr>
          <w:rFonts w:ascii="Times New Roman" w:hAnsi="Times New Roman" w:cs="Times New Roman"/>
          <w:szCs w:val="24"/>
        </w:rPr>
        <w:t>.</w:t>
      </w:r>
      <w:r w:rsidRPr="00E24274">
        <w:rPr>
          <w:rFonts w:ascii="Times New Roman" w:hAnsi="Times New Roman" w:cs="Times New Roman"/>
          <w:szCs w:val="24"/>
        </w:rPr>
        <w:t xml:space="preserve"> 862</w:t>
      </w:r>
      <w:r w:rsidR="0000774C">
        <w:rPr>
          <w:rFonts w:ascii="Times New Roman" w:hAnsi="Times New Roman" w:cs="Times New Roman"/>
          <w:szCs w:val="24"/>
        </w:rPr>
        <w:t>,</w:t>
      </w:r>
      <w:r w:rsidRPr="00E24274">
        <w:rPr>
          <w:rFonts w:ascii="Times New Roman" w:hAnsi="Times New Roman" w:cs="Times New Roman"/>
          <w:szCs w:val="24"/>
        </w:rPr>
        <w:t xml:space="preserve"> z późn. zm.), o ile korzystanie z utworów lub przedmiotów praw pokrewnych odbywa się w ramach działalności statutowej takiego podmiotu i nie wiąże się z osiąganiem bezpośrednich lub pośrednich korzyści majątkowych (ust. 2). </w:t>
      </w:r>
    </w:p>
    <w:p w:rsidR="009B1E13" w:rsidRPr="00E24274" w:rsidRDefault="00650243" w:rsidP="00E24274">
      <w:pPr>
        <w:pStyle w:val="USTustnpkodeksu"/>
        <w:spacing w:before="120"/>
        <w:ind w:firstLine="0"/>
        <w:rPr>
          <w:rFonts w:ascii="Times New Roman" w:hAnsi="Times New Roman" w:cs="Times New Roman"/>
          <w:szCs w:val="24"/>
        </w:rPr>
      </w:pPr>
      <w:r w:rsidRPr="00E24274">
        <w:rPr>
          <w:rFonts w:ascii="Times New Roman" w:hAnsi="Times New Roman" w:cs="Times New Roman"/>
          <w:szCs w:val="24"/>
        </w:rPr>
        <w:t>2. Ust. 1 projektowanego artykułu stanowi odpowiednik obowiązującego art. 110</w:t>
      </w:r>
      <w:r w:rsidRPr="00E24274">
        <w:rPr>
          <w:rFonts w:ascii="Times New Roman" w:hAnsi="Times New Roman" w:cs="Times New Roman"/>
          <w:szCs w:val="24"/>
          <w:vertAlign w:val="superscript"/>
        </w:rPr>
        <w:t>12</w:t>
      </w:r>
      <w:r w:rsidR="00BB2307">
        <w:rPr>
          <w:rFonts w:ascii="Times New Roman" w:hAnsi="Times New Roman" w:cs="Times New Roman"/>
          <w:szCs w:val="24"/>
        </w:rPr>
        <w:t xml:space="preserve"> ust. </w:t>
      </w:r>
      <w:r w:rsidRPr="00E24274">
        <w:rPr>
          <w:rFonts w:ascii="Times New Roman" w:hAnsi="Times New Roman" w:cs="Times New Roman"/>
          <w:szCs w:val="24"/>
        </w:rPr>
        <w:t>4 pr. aut., przy czym wprowadza dwie istotne modyfikacje. Jedną jest konieczność wskazania we wniosku o zatwierdzenie wspólnej tabeli wynagrodzeń wysokości stawek wynagrodzenia przysługującego poszczególnym kategoriom uprawnionych wraz z ich podziałem na poszczególne organizacje. Druga polega na konieczności uzasadnienia stawek wynagrodzeń wskazanych we wniosku o zatw</w:t>
      </w:r>
      <w:r w:rsidR="00BB2307">
        <w:rPr>
          <w:rFonts w:ascii="Times New Roman" w:hAnsi="Times New Roman" w:cs="Times New Roman"/>
          <w:szCs w:val="24"/>
        </w:rPr>
        <w:t>ierdzenie tabeli wynagrodzeń. W </w:t>
      </w:r>
      <w:r w:rsidRPr="00E24274">
        <w:rPr>
          <w:rFonts w:ascii="Times New Roman" w:hAnsi="Times New Roman" w:cs="Times New Roman"/>
          <w:szCs w:val="24"/>
        </w:rPr>
        <w:t>pierwszym przypadku chodzi o uniknięcie sytuacji, w której wprost z treści tabeli nie wynika, jaka część zatwierdzonej stawki wynagrodzeń dla danej kategorii uprawnionych należna jest poszczególnym organizacjom zbiorowego zarządzania, których repertuar składa się na daną stawkę (por. art. 117 ust. 2 projektu). Tego rodzaju sytuacja podważałaby porządkujący dla rynku sens przyjęcia tabel wynagrodzeń, a sam podział stawki prowadziłby do dodatkowych kon</w:t>
      </w:r>
      <w:r w:rsidR="00BB2307">
        <w:rPr>
          <w:rFonts w:ascii="Times New Roman" w:hAnsi="Times New Roman" w:cs="Times New Roman"/>
          <w:szCs w:val="24"/>
        </w:rPr>
        <w:t>fliktów między organizacjami. W </w:t>
      </w:r>
      <w:r w:rsidRPr="00E24274">
        <w:rPr>
          <w:rFonts w:ascii="Times New Roman" w:hAnsi="Times New Roman" w:cs="Times New Roman"/>
          <w:szCs w:val="24"/>
        </w:rPr>
        <w:t>drugim</w:t>
      </w:r>
      <w:r w:rsidR="0000774C">
        <w:rPr>
          <w:rFonts w:ascii="Times New Roman" w:hAnsi="Times New Roman" w:cs="Times New Roman"/>
          <w:szCs w:val="24"/>
        </w:rPr>
        <w:t xml:space="preserve"> przypadku</w:t>
      </w:r>
      <w:r w:rsidRPr="00E24274">
        <w:rPr>
          <w:rFonts w:ascii="Times New Roman" w:hAnsi="Times New Roman" w:cs="Times New Roman"/>
          <w:szCs w:val="24"/>
        </w:rPr>
        <w:t xml:space="preserve"> obowiązek taki służy realizacji w praktyce zasady wyrażonej w art. 41 ust. 2 projektu, a także możliwości zweryfikowania w toku postępowania sposobu rozumowania, jaki przyświecał wnioskodawcy.</w:t>
      </w:r>
    </w:p>
    <w:p w:rsidR="00650243" w:rsidRPr="00E24274" w:rsidRDefault="00650243" w:rsidP="00E24274">
      <w:pPr>
        <w:pStyle w:val="USTustnpkodeksu"/>
        <w:spacing w:before="120"/>
        <w:ind w:firstLine="0"/>
        <w:rPr>
          <w:rFonts w:ascii="Times New Roman" w:hAnsi="Times New Roman" w:cs="Times New Roman"/>
          <w:b/>
          <w:szCs w:val="24"/>
        </w:rPr>
      </w:pPr>
      <w:r w:rsidRPr="00E24274">
        <w:rPr>
          <w:rFonts w:ascii="Times New Roman" w:hAnsi="Times New Roman" w:cs="Times New Roman"/>
          <w:b/>
          <w:szCs w:val="24"/>
        </w:rPr>
        <w:t>art. 75</w:t>
      </w:r>
    </w:p>
    <w:p w:rsidR="009D0908" w:rsidRPr="00E24274" w:rsidRDefault="00650243" w:rsidP="00BB2307">
      <w:pPr>
        <w:pStyle w:val="USTustnpkodeksu"/>
        <w:ind w:firstLine="0"/>
        <w:rPr>
          <w:rFonts w:ascii="Times New Roman" w:hAnsi="Times New Roman" w:cs="Times New Roman"/>
          <w:szCs w:val="24"/>
        </w:rPr>
      </w:pPr>
      <w:r w:rsidRPr="00E24274">
        <w:rPr>
          <w:rFonts w:ascii="Times New Roman" w:hAnsi="Times New Roman" w:cs="Times New Roman"/>
          <w:szCs w:val="24"/>
        </w:rPr>
        <w:t>1. Przepis określa podmioty będące stronami postępowania o zatwierdzenie tabel wynagrodzeń (ust. 1), a także występujące w tym postępowaniu jako organizacje społeczne na prawach strony (ust. 2). Reguluje więc – z zachowaniem terminologii właściwej dla postępowania administracyjnego – kwestie określone w obecnie obowiązującym stanie prawnym w treści art. 110</w:t>
      </w:r>
      <w:r w:rsidRPr="00E24274">
        <w:rPr>
          <w:rFonts w:ascii="Times New Roman" w:hAnsi="Times New Roman" w:cs="Times New Roman"/>
          <w:szCs w:val="24"/>
          <w:vertAlign w:val="superscript"/>
        </w:rPr>
        <w:t>12</w:t>
      </w:r>
      <w:r w:rsidRPr="00E24274">
        <w:rPr>
          <w:rFonts w:ascii="Times New Roman" w:hAnsi="Times New Roman" w:cs="Times New Roman"/>
          <w:szCs w:val="24"/>
        </w:rPr>
        <w:t xml:space="preserve"> ust. 6 pr. aut. Dodatkowo przedmiotem regulacji jest kwestia trybu ogłaszania przez przewodniczącego zespołu </w:t>
      </w:r>
      <w:r w:rsidRPr="00E24274">
        <w:rPr>
          <w:rFonts w:ascii="Times New Roman" w:hAnsi="Times New Roman" w:cs="Times New Roman"/>
          <w:szCs w:val="24"/>
        </w:rPr>
        <w:lastRenderedPageBreak/>
        <w:t>orzekającego o toczącym się postępowaniu (ust. 3) o</w:t>
      </w:r>
      <w:r w:rsidR="00BB2307">
        <w:rPr>
          <w:rFonts w:ascii="Times New Roman" w:hAnsi="Times New Roman" w:cs="Times New Roman"/>
          <w:szCs w:val="24"/>
        </w:rPr>
        <w:t>raz zaskarżania postanowienia o </w:t>
      </w:r>
      <w:r w:rsidRPr="00E24274">
        <w:rPr>
          <w:rFonts w:ascii="Times New Roman" w:hAnsi="Times New Roman" w:cs="Times New Roman"/>
          <w:szCs w:val="24"/>
        </w:rPr>
        <w:t xml:space="preserve">odmowie dopuszczenia do udziału w postępowaniu (ust. 4). </w:t>
      </w:r>
    </w:p>
    <w:p w:rsidR="00AA2E0A" w:rsidRPr="00E24274" w:rsidRDefault="00650243" w:rsidP="00E24274">
      <w:pPr>
        <w:pStyle w:val="USTustnpkodeksu"/>
        <w:spacing w:before="120"/>
        <w:ind w:firstLine="0"/>
        <w:rPr>
          <w:rFonts w:ascii="Times New Roman" w:hAnsi="Times New Roman" w:cs="Times New Roman"/>
          <w:szCs w:val="24"/>
        </w:rPr>
      </w:pPr>
      <w:r w:rsidRPr="00E24274">
        <w:rPr>
          <w:rFonts w:ascii="Times New Roman" w:hAnsi="Times New Roman" w:cs="Times New Roman"/>
          <w:szCs w:val="24"/>
        </w:rPr>
        <w:t>2. Kształtując krąg podmiotów biorących udział w postępowaniu o zatwierdzenie tabel wynagrodzeń, projektodawca wskazał, że – poza wnioskodawcą – w postępowaniu biorą udział organizacje zbiorowego zarządzania, które posiadają zezwolenie na zbiorowe zarządzanie prawami na danym polu eksploatacji oraz organizacje społeczne zrzeszające podmioty korzystające z utworów lub przedmiotów praw pokrewnych na polach eksploatacji, których dotyczy wniosek o zatwierdzenie tabeli wynagrodzeń. Ich udział w postępowaniu uzależniony jest od złożenia w terminie stosownego wniosku. Przeniesienie na grunt projektu rozwiązań co do zasady tożsamych z obecnie obowiązującymi wynika z ich oceny jako rozsądnego kompromisu. Z jednej strony udział innych organizacji zbiorowego zarządzania</w:t>
      </w:r>
      <w:r w:rsidR="00AA2E0A" w:rsidRPr="00E24274">
        <w:rPr>
          <w:rFonts w:ascii="Times New Roman" w:hAnsi="Times New Roman" w:cs="Times New Roman"/>
          <w:szCs w:val="24"/>
        </w:rPr>
        <w:t xml:space="preserve"> posiadających zezwolenie na polach eksploatacji, których dotyczy wniosek o zatwierdzenie tabeli wynagrodzeń, </w:t>
      </w:r>
      <w:r w:rsidR="00BB2307">
        <w:rPr>
          <w:rFonts w:ascii="Times New Roman" w:hAnsi="Times New Roman" w:cs="Times New Roman"/>
          <w:szCs w:val="24"/>
        </w:rPr>
        <w:t>we </w:t>
      </w:r>
      <w:r w:rsidRPr="00E24274">
        <w:rPr>
          <w:rFonts w:ascii="Times New Roman" w:hAnsi="Times New Roman" w:cs="Times New Roman"/>
          <w:szCs w:val="24"/>
        </w:rPr>
        <w:t>wskazanym zakresie jest konieczny, gdyż posiadają one zezwolenie na zbiorowe zarz</w:t>
      </w:r>
      <w:r w:rsidR="0000774C">
        <w:rPr>
          <w:rFonts w:ascii="Times New Roman" w:hAnsi="Times New Roman" w:cs="Times New Roman"/>
          <w:szCs w:val="24"/>
        </w:rPr>
        <w:t>ą</w:t>
      </w:r>
      <w:r w:rsidRPr="00E24274">
        <w:rPr>
          <w:rFonts w:ascii="Times New Roman" w:hAnsi="Times New Roman" w:cs="Times New Roman"/>
          <w:szCs w:val="24"/>
        </w:rPr>
        <w:t>dzanie prawami na danym polu eksploatacj</w:t>
      </w:r>
      <w:r w:rsidR="00BB2307">
        <w:rPr>
          <w:rFonts w:ascii="Times New Roman" w:hAnsi="Times New Roman" w:cs="Times New Roman"/>
          <w:szCs w:val="24"/>
        </w:rPr>
        <w:t>i, podobnie jak wnioskodawca, a </w:t>
      </w:r>
      <w:r w:rsidRPr="00E24274">
        <w:rPr>
          <w:rFonts w:ascii="Times New Roman" w:hAnsi="Times New Roman" w:cs="Times New Roman"/>
          <w:szCs w:val="24"/>
        </w:rPr>
        <w:t>ewentualne przyjęcie tabeli wynagrodzeń wpływa, przynajmniej pośrednio, na warunki wykonywania takiego zarządu. Z drugiej strony udział organizacji społecznych zrzeszających podmioty korzystające z utworów lub przedmiotów praw pokrewnych umożliwia społeczną kontrolę procedury zatwierdzania tabel przez organizacje zrzeszające podmioty, dla których działalności, w tym gospodarczej, istnienie tabeli wynagrodzeń ma istotne znaczenie. Takie rozwiązanie pozwala również na uniknięcie sytuacji, gdy w postępowaniu bierze udział nadmierna liczba organizacji, w tym zainteresowanych wyłącznie nadużywaniem regulacji służących społecznej kontroli procedury zatwierdzania tabel w celu jej blokowania lub opóźniania.</w:t>
      </w:r>
    </w:p>
    <w:p w:rsidR="00650243" w:rsidRPr="00E24274" w:rsidRDefault="00650243" w:rsidP="00E24274">
      <w:pPr>
        <w:pStyle w:val="USTustnpkodeksu"/>
        <w:spacing w:before="120"/>
        <w:ind w:firstLine="0"/>
        <w:rPr>
          <w:rFonts w:ascii="Times New Roman" w:hAnsi="Times New Roman" w:cs="Times New Roman"/>
          <w:szCs w:val="24"/>
        </w:rPr>
      </w:pPr>
      <w:r w:rsidRPr="00E24274">
        <w:rPr>
          <w:rFonts w:ascii="Times New Roman" w:hAnsi="Times New Roman" w:cs="Times New Roman"/>
          <w:szCs w:val="24"/>
        </w:rPr>
        <w:t>3. W przypadku trybu ogłaszania przez przewodn</w:t>
      </w:r>
      <w:r w:rsidR="00BB2307">
        <w:rPr>
          <w:rFonts w:ascii="Times New Roman" w:hAnsi="Times New Roman" w:cs="Times New Roman"/>
          <w:szCs w:val="24"/>
        </w:rPr>
        <w:t>iczącego zespołu orzekającego o </w:t>
      </w:r>
      <w:r w:rsidRPr="00E24274">
        <w:rPr>
          <w:rFonts w:ascii="Times New Roman" w:hAnsi="Times New Roman" w:cs="Times New Roman"/>
          <w:szCs w:val="24"/>
        </w:rPr>
        <w:t>toczącym się postępowaniu projektowany przepis stanowi co do zasady odzwierciedlenie obowiązującego art. 110</w:t>
      </w:r>
      <w:r w:rsidRPr="00E24274">
        <w:rPr>
          <w:rFonts w:ascii="Times New Roman" w:hAnsi="Times New Roman" w:cs="Times New Roman"/>
          <w:szCs w:val="24"/>
          <w:vertAlign w:val="superscript"/>
        </w:rPr>
        <w:t>12</w:t>
      </w:r>
      <w:r w:rsidRPr="00E24274">
        <w:rPr>
          <w:rFonts w:ascii="Times New Roman" w:hAnsi="Times New Roman" w:cs="Times New Roman"/>
          <w:szCs w:val="24"/>
        </w:rPr>
        <w:t xml:space="preserve"> ust. 8 pr. aut. Z kolei możliwość zaskarżania postanowienia o odmowie dopuszczenia do udziału w postępowaniu jest przewidziana w treści 110</w:t>
      </w:r>
      <w:r w:rsidRPr="00E24274">
        <w:rPr>
          <w:rFonts w:ascii="Times New Roman" w:hAnsi="Times New Roman" w:cs="Times New Roman"/>
          <w:szCs w:val="24"/>
          <w:vertAlign w:val="superscript"/>
        </w:rPr>
        <w:t>12</w:t>
      </w:r>
      <w:r w:rsidRPr="00E24274">
        <w:rPr>
          <w:rFonts w:ascii="Times New Roman" w:hAnsi="Times New Roman" w:cs="Times New Roman"/>
          <w:szCs w:val="24"/>
        </w:rPr>
        <w:t xml:space="preserve"> ust. 7 pr. aut. </w:t>
      </w:r>
    </w:p>
    <w:p w:rsidR="00650243" w:rsidRPr="00E24274" w:rsidRDefault="00650243" w:rsidP="00E24274">
      <w:pPr>
        <w:pStyle w:val="USTustnpkodeksu"/>
        <w:spacing w:before="120"/>
        <w:ind w:firstLine="0"/>
        <w:rPr>
          <w:rFonts w:ascii="Times New Roman" w:hAnsi="Times New Roman" w:cs="Times New Roman"/>
          <w:b/>
          <w:szCs w:val="24"/>
        </w:rPr>
      </w:pPr>
      <w:r w:rsidRPr="00E24274">
        <w:rPr>
          <w:rFonts w:ascii="Times New Roman" w:hAnsi="Times New Roman" w:cs="Times New Roman"/>
          <w:b/>
          <w:szCs w:val="24"/>
        </w:rPr>
        <w:t>art. 76</w:t>
      </w:r>
    </w:p>
    <w:p w:rsidR="00650243" w:rsidRPr="00E24274" w:rsidRDefault="00650243" w:rsidP="00BB2307">
      <w:pPr>
        <w:pStyle w:val="USTustnpkodeksu"/>
        <w:ind w:firstLine="0"/>
        <w:rPr>
          <w:rFonts w:ascii="Times New Roman" w:hAnsi="Times New Roman" w:cs="Times New Roman"/>
          <w:szCs w:val="24"/>
        </w:rPr>
      </w:pPr>
      <w:r w:rsidRPr="00E24274">
        <w:rPr>
          <w:rFonts w:ascii="Times New Roman" w:hAnsi="Times New Roman" w:cs="Times New Roman"/>
          <w:szCs w:val="24"/>
        </w:rPr>
        <w:t>W przeciwieństwie do obecnych rozwiązań, projektowane przepisy nie zawierają</w:t>
      </w:r>
      <w:r w:rsidRPr="00E24274">
        <w:rPr>
          <w:rFonts w:ascii="Times New Roman" w:hAnsi="Times New Roman" w:cs="Times New Roman"/>
          <w:b/>
          <w:szCs w:val="24"/>
        </w:rPr>
        <w:t xml:space="preserve"> </w:t>
      </w:r>
      <w:r w:rsidRPr="00E24274">
        <w:rPr>
          <w:rFonts w:ascii="Times New Roman" w:hAnsi="Times New Roman" w:cs="Times New Roman"/>
          <w:szCs w:val="24"/>
        </w:rPr>
        <w:t>odpowiednika art. 110</w:t>
      </w:r>
      <w:r w:rsidRPr="00E24274">
        <w:rPr>
          <w:rFonts w:ascii="Times New Roman" w:hAnsi="Times New Roman" w:cs="Times New Roman"/>
          <w:szCs w:val="24"/>
          <w:vertAlign w:val="superscript"/>
        </w:rPr>
        <w:t xml:space="preserve">13 </w:t>
      </w:r>
      <w:r w:rsidRPr="00E24274">
        <w:rPr>
          <w:rFonts w:ascii="Times New Roman" w:hAnsi="Times New Roman" w:cs="Times New Roman"/>
          <w:szCs w:val="24"/>
        </w:rPr>
        <w:t>ust. 1</w:t>
      </w:r>
      <w:r w:rsidR="00B85D46">
        <w:rPr>
          <w:rFonts w:ascii="Times New Roman" w:hAnsi="Times New Roman" w:cs="Times New Roman"/>
          <w:szCs w:val="24"/>
        </w:rPr>
        <w:t>–</w:t>
      </w:r>
      <w:r w:rsidRPr="00E24274">
        <w:rPr>
          <w:rFonts w:ascii="Times New Roman" w:hAnsi="Times New Roman" w:cs="Times New Roman"/>
          <w:szCs w:val="24"/>
        </w:rPr>
        <w:t xml:space="preserve">3 pr. aut., który określałby nieprzekraczalne terminy na </w:t>
      </w:r>
      <w:r w:rsidRPr="00E24274">
        <w:rPr>
          <w:rFonts w:ascii="Times New Roman" w:hAnsi="Times New Roman" w:cs="Times New Roman"/>
          <w:szCs w:val="24"/>
        </w:rPr>
        <w:lastRenderedPageBreak/>
        <w:t>merytoryczne zakończenie postępowania o zatwierdzenie tabel wynagrodzeń. Tego rodzaju rozwiązanie – jak wspomniano powyżej – doprowadziło w praktyce do zakończenia większości postępowań przed Komisją bez merytorycznego rozpoznania wniosku. W konsekwencji proponuje się pozostawienie kwestii terminu załatwiania spraw ogólnym normom Kodeksu postępowania ad</w:t>
      </w:r>
      <w:r w:rsidR="00BB2307">
        <w:rPr>
          <w:rFonts w:ascii="Times New Roman" w:hAnsi="Times New Roman" w:cs="Times New Roman"/>
          <w:szCs w:val="24"/>
        </w:rPr>
        <w:t>ministracyjnego. Przepisy te, z </w:t>
      </w:r>
      <w:r w:rsidRPr="00E24274">
        <w:rPr>
          <w:rFonts w:ascii="Times New Roman" w:hAnsi="Times New Roman" w:cs="Times New Roman"/>
          <w:szCs w:val="24"/>
        </w:rPr>
        <w:t>jednej strony nie zawierają norm obligujących zespół orzekający Komisji do umorzenia postępowania z powodu upływu określonego terminu, dając nadzieję na merytoryczne rozpoznanie wniosku. Z drugiej zaś strony zawierają one normy umożliwiające stronom zaskarżenie działań lub zaniechań zespołów orzekających, jeżeli powodują one przewlekłość w załatwieniu sprawy. Pozwoli to zastosować wobec takich czynności zespołów orzekających bogate orzecznictwo dotyczące przewlekłości postępowania. Projektowany artykuł stanowi element tej regulacji, ma charakter dyscyplinujący członków zespołów orzekających, służy zdynamizowaniu postępowania. Koresponduje w ten sposób z regulacją zawartą w treści art. 37 Kodeksu postępowania administracyjnego, który na podstawie art. 61 ust. 3 projektu znajdzie odpowiednie zastosowanie w przypadku postępowania o zatwierdzenie tabel wynagrodzeń. Na podstawie projektowanego przepisu minister właściwy do spraw kultury i ochrony dziedzictwa narodowego, uznaj</w:t>
      </w:r>
      <w:r w:rsidR="00BB2307">
        <w:rPr>
          <w:rFonts w:ascii="Times New Roman" w:hAnsi="Times New Roman" w:cs="Times New Roman"/>
          <w:szCs w:val="24"/>
        </w:rPr>
        <w:t>ąc za uzasadnione ponaglenie, o </w:t>
      </w:r>
      <w:r w:rsidRPr="00E24274">
        <w:rPr>
          <w:rFonts w:ascii="Times New Roman" w:hAnsi="Times New Roman" w:cs="Times New Roman"/>
          <w:szCs w:val="24"/>
        </w:rPr>
        <w:t xml:space="preserve">którym mowa w art. 37 Kodeksu postępowania administracyjnego, będzie </w:t>
      </w:r>
      <w:r w:rsidR="00AA2E0A" w:rsidRPr="00E24274">
        <w:rPr>
          <w:rFonts w:ascii="Times New Roman" w:hAnsi="Times New Roman" w:cs="Times New Roman"/>
          <w:szCs w:val="24"/>
        </w:rPr>
        <w:t>zobowiązywał</w:t>
      </w:r>
      <w:r w:rsidRPr="00E24274">
        <w:rPr>
          <w:rFonts w:ascii="Times New Roman" w:hAnsi="Times New Roman" w:cs="Times New Roman"/>
          <w:szCs w:val="24"/>
        </w:rPr>
        <w:t xml:space="preserve"> Przewodniczącego Komisji do odwołania członków zespołu orzekającego i powołania w ich miejsce nowego zespołu orzekającego. Powołanie to winno odbyć się z poszanowaniem zasad określonych w art. 72 ust. 2</w:t>
      </w:r>
      <w:r w:rsidR="00B85D46">
        <w:rPr>
          <w:rFonts w:ascii="Times New Roman" w:hAnsi="Times New Roman" w:cs="Times New Roman"/>
          <w:szCs w:val="24"/>
        </w:rPr>
        <w:t>–</w:t>
      </w:r>
      <w:r w:rsidRPr="00E24274">
        <w:rPr>
          <w:rFonts w:ascii="Times New Roman" w:hAnsi="Times New Roman" w:cs="Times New Roman"/>
          <w:szCs w:val="24"/>
        </w:rPr>
        <w:t>5 projektu i bez możliwości wydawania przez ministra właściwego d</w:t>
      </w:r>
      <w:r w:rsidR="00AA2E0A" w:rsidRPr="00E24274">
        <w:rPr>
          <w:rFonts w:ascii="Times New Roman" w:hAnsi="Times New Roman" w:cs="Times New Roman"/>
          <w:szCs w:val="24"/>
        </w:rPr>
        <w:t>o sprawy</w:t>
      </w:r>
      <w:r w:rsidRPr="00E24274">
        <w:rPr>
          <w:rFonts w:ascii="Times New Roman" w:hAnsi="Times New Roman" w:cs="Times New Roman"/>
          <w:szCs w:val="24"/>
        </w:rPr>
        <w:t xml:space="preserve"> kultury i </w:t>
      </w:r>
      <w:r w:rsidR="00AA2E0A" w:rsidRPr="00E24274">
        <w:rPr>
          <w:rFonts w:ascii="Times New Roman" w:hAnsi="Times New Roman" w:cs="Times New Roman"/>
          <w:szCs w:val="24"/>
        </w:rPr>
        <w:t xml:space="preserve">ochrony </w:t>
      </w:r>
      <w:r w:rsidRPr="00E24274">
        <w:rPr>
          <w:rFonts w:ascii="Times New Roman" w:hAnsi="Times New Roman" w:cs="Times New Roman"/>
          <w:szCs w:val="24"/>
        </w:rPr>
        <w:t xml:space="preserve">dziedzictwa narodowego wskazówek co do merytorycznego rozstrzygnięcia sprawy. Przez przewlekłość postępowania w tym wypadku należy rozumieć przede wszystkim sytuacje, w których zespół orzekający podejmuje </w:t>
      </w:r>
      <w:r w:rsidR="00BB2307">
        <w:rPr>
          <w:rFonts w:ascii="Times New Roman" w:hAnsi="Times New Roman" w:cs="Times New Roman"/>
          <w:szCs w:val="24"/>
        </w:rPr>
        <w:t>czynności w toku postępowania w </w:t>
      </w:r>
      <w:r w:rsidRPr="00E24274">
        <w:rPr>
          <w:rFonts w:ascii="Times New Roman" w:hAnsi="Times New Roman" w:cs="Times New Roman"/>
          <w:szCs w:val="24"/>
        </w:rPr>
        <w:t xml:space="preserve">sposób nieefektywny lub pozorny, a nie takiej, w których mimo podjęcia wszystkich koniecznych czynności nie zakończył postępowania. </w:t>
      </w:r>
    </w:p>
    <w:p w:rsidR="00650243" w:rsidRPr="00E24274" w:rsidRDefault="00650243" w:rsidP="00E24274">
      <w:pPr>
        <w:pStyle w:val="USTustnpkodeksu"/>
        <w:spacing w:before="120"/>
        <w:ind w:firstLine="0"/>
        <w:rPr>
          <w:rFonts w:ascii="Times New Roman" w:hAnsi="Times New Roman" w:cs="Times New Roman"/>
          <w:b/>
          <w:szCs w:val="24"/>
        </w:rPr>
      </w:pPr>
      <w:r w:rsidRPr="00E24274">
        <w:rPr>
          <w:rFonts w:ascii="Times New Roman" w:hAnsi="Times New Roman" w:cs="Times New Roman"/>
          <w:b/>
          <w:szCs w:val="24"/>
        </w:rPr>
        <w:t>art. 77</w:t>
      </w:r>
    </w:p>
    <w:p w:rsidR="00AA2E0A" w:rsidRPr="00E24274" w:rsidRDefault="00650243" w:rsidP="00BB2307">
      <w:pPr>
        <w:pStyle w:val="USTustnpkodeksu"/>
        <w:ind w:firstLine="0"/>
        <w:rPr>
          <w:rFonts w:ascii="Times New Roman" w:hAnsi="Times New Roman" w:cs="Times New Roman"/>
          <w:szCs w:val="24"/>
        </w:rPr>
      </w:pPr>
      <w:r w:rsidRPr="00E24274">
        <w:rPr>
          <w:rFonts w:ascii="Times New Roman" w:hAnsi="Times New Roman" w:cs="Times New Roman"/>
          <w:szCs w:val="24"/>
        </w:rPr>
        <w:t>1. Projektowany artykuł określa, jakie rodzaje roz</w:t>
      </w:r>
      <w:r w:rsidR="00BB2307">
        <w:rPr>
          <w:rFonts w:ascii="Times New Roman" w:hAnsi="Times New Roman" w:cs="Times New Roman"/>
          <w:szCs w:val="24"/>
        </w:rPr>
        <w:t>strzygnięć może wydać Komisja w </w:t>
      </w:r>
      <w:r w:rsidRPr="00E24274">
        <w:rPr>
          <w:rFonts w:ascii="Times New Roman" w:hAnsi="Times New Roman" w:cs="Times New Roman"/>
          <w:szCs w:val="24"/>
        </w:rPr>
        <w:t>postępowaniu o zatwierdzenie tabeli wynagrodzeń (ust. 1), wskazuje kryteria, pod kątem których zespoły orzekające winny oceniać składane wnioski (ust. 2)</w:t>
      </w:r>
      <w:r w:rsidR="0000774C">
        <w:rPr>
          <w:rFonts w:ascii="Times New Roman" w:hAnsi="Times New Roman" w:cs="Times New Roman"/>
          <w:szCs w:val="24"/>
        </w:rPr>
        <w:t>,</w:t>
      </w:r>
      <w:r w:rsidRPr="00E24274">
        <w:rPr>
          <w:rFonts w:ascii="Times New Roman" w:hAnsi="Times New Roman" w:cs="Times New Roman"/>
          <w:szCs w:val="24"/>
        </w:rPr>
        <w:t xml:space="preserve"> i rodzaje stawek, jakie mogą być zawarte w tabelach (ust. 3) oraz przewiduje obowiązek </w:t>
      </w:r>
      <w:r w:rsidRPr="00E24274">
        <w:rPr>
          <w:rFonts w:ascii="Times New Roman" w:hAnsi="Times New Roman" w:cs="Times New Roman"/>
          <w:szCs w:val="24"/>
        </w:rPr>
        <w:lastRenderedPageBreak/>
        <w:t>publikacji zatwierdzonych tabel w Biuletynie Informacji Publicznej (ust. 4). Dodatkowo przepis reguluje kwestię waloryzacji z</w:t>
      </w:r>
      <w:r w:rsidR="009B1E13" w:rsidRPr="00E24274">
        <w:rPr>
          <w:rFonts w:ascii="Times New Roman" w:hAnsi="Times New Roman" w:cs="Times New Roman"/>
          <w:szCs w:val="24"/>
        </w:rPr>
        <w:t>atwierdzonych tabel (ust. 5</w:t>
      </w:r>
      <w:r w:rsidR="0000774C">
        <w:rPr>
          <w:rFonts w:ascii="Times New Roman" w:hAnsi="Times New Roman" w:cs="Times New Roman"/>
          <w:szCs w:val="24"/>
        </w:rPr>
        <w:t xml:space="preserve"> i </w:t>
      </w:r>
      <w:r w:rsidR="009B1E13" w:rsidRPr="00E24274">
        <w:rPr>
          <w:rFonts w:ascii="Times New Roman" w:hAnsi="Times New Roman" w:cs="Times New Roman"/>
          <w:szCs w:val="24"/>
        </w:rPr>
        <w:t>6).</w:t>
      </w:r>
    </w:p>
    <w:p w:rsidR="00650243" w:rsidRPr="00E24274" w:rsidRDefault="00650243" w:rsidP="00E24274">
      <w:pPr>
        <w:pStyle w:val="USTustnpkodeksu"/>
        <w:spacing w:before="120"/>
        <w:ind w:firstLine="0"/>
        <w:rPr>
          <w:rFonts w:ascii="Times New Roman" w:hAnsi="Times New Roman" w:cs="Times New Roman"/>
          <w:szCs w:val="24"/>
        </w:rPr>
      </w:pPr>
      <w:r w:rsidRPr="00E24274">
        <w:rPr>
          <w:rFonts w:ascii="Times New Roman" w:hAnsi="Times New Roman" w:cs="Times New Roman"/>
          <w:szCs w:val="24"/>
        </w:rPr>
        <w:t>2. Ust</w:t>
      </w:r>
      <w:r w:rsidR="0000774C">
        <w:rPr>
          <w:rFonts w:ascii="Times New Roman" w:hAnsi="Times New Roman" w:cs="Times New Roman"/>
          <w:szCs w:val="24"/>
        </w:rPr>
        <w:t>.</w:t>
      </w:r>
      <w:r w:rsidRPr="00E24274">
        <w:rPr>
          <w:rFonts w:ascii="Times New Roman" w:hAnsi="Times New Roman" w:cs="Times New Roman"/>
          <w:szCs w:val="24"/>
        </w:rPr>
        <w:t xml:space="preserve"> 1 projektowanego artykułu zawiera katalog dec</w:t>
      </w:r>
      <w:r w:rsidR="00BB2307">
        <w:rPr>
          <w:rFonts w:ascii="Times New Roman" w:hAnsi="Times New Roman" w:cs="Times New Roman"/>
          <w:szCs w:val="24"/>
        </w:rPr>
        <w:t>yzji, jakie w postępowaniu o </w:t>
      </w:r>
      <w:r w:rsidRPr="00E24274">
        <w:rPr>
          <w:rFonts w:ascii="Times New Roman" w:hAnsi="Times New Roman" w:cs="Times New Roman"/>
          <w:szCs w:val="24"/>
        </w:rPr>
        <w:t>zatwierdzenie tabel wynagrodzeń może wydać zespół orzekający Komisji. Należą do nich:</w:t>
      </w:r>
    </w:p>
    <w:p w:rsidR="00650243" w:rsidRPr="00E24274" w:rsidRDefault="00650243" w:rsidP="00BB2307">
      <w:pPr>
        <w:pStyle w:val="USTustnpkodeksu"/>
        <w:numPr>
          <w:ilvl w:val="0"/>
          <w:numId w:val="29"/>
        </w:numPr>
        <w:spacing w:before="120"/>
        <w:ind w:left="336" w:hanging="336"/>
        <w:rPr>
          <w:rFonts w:ascii="Times New Roman" w:hAnsi="Times New Roman" w:cs="Times New Roman"/>
          <w:szCs w:val="24"/>
        </w:rPr>
      </w:pPr>
      <w:r w:rsidRPr="00E24274">
        <w:rPr>
          <w:rFonts w:ascii="Times New Roman" w:hAnsi="Times New Roman" w:cs="Times New Roman"/>
          <w:szCs w:val="24"/>
        </w:rPr>
        <w:t>zatwierdzenie w całości albo w części tabeli wynagrodzeń za korzystanie z utworów lub przedmiotów praw pokrewnych (art. 77 ust. 1 pkt 1 projektu);</w:t>
      </w:r>
    </w:p>
    <w:p w:rsidR="00650243" w:rsidRPr="00E24274" w:rsidRDefault="00650243" w:rsidP="00BB2307">
      <w:pPr>
        <w:pStyle w:val="USTustnpkodeksu"/>
        <w:numPr>
          <w:ilvl w:val="0"/>
          <w:numId w:val="29"/>
        </w:numPr>
        <w:spacing w:before="120"/>
        <w:ind w:left="336" w:hanging="336"/>
        <w:rPr>
          <w:rFonts w:ascii="Times New Roman" w:hAnsi="Times New Roman" w:cs="Times New Roman"/>
          <w:szCs w:val="24"/>
        </w:rPr>
      </w:pPr>
      <w:r w:rsidRPr="00E24274">
        <w:rPr>
          <w:rFonts w:ascii="Times New Roman" w:hAnsi="Times New Roman" w:cs="Times New Roman"/>
          <w:szCs w:val="24"/>
        </w:rPr>
        <w:t>odmowa zatwierdzenia w całości albo części tabe</w:t>
      </w:r>
      <w:r w:rsidR="00BB2307">
        <w:rPr>
          <w:rFonts w:ascii="Times New Roman" w:hAnsi="Times New Roman" w:cs="Times New Roman"/>
          <w:szCs w:val="24"/>
        </w:rPr>
        <w:t>li wynagrodzeń za korzystanie z </w:t>
      </w:r>
      <w:r w:rsidRPr="00E24274">
        <w:rPr>
          <w:rFonts w:ascii="Times New Roman" w:hAnsi="Times New Roman" w:cs="Times New Roman"/>
          <w:szCs w:val="24"/>
        </w:rPr>
        <w:t>utworów lub przedmiotów praw pokrewnych (art. 77 ust. 1 pkt 2 projektu);</w:t>
      </w:r>
    </w:p>
    <w:p w:rsidR="00650243" w:rsidRPr="00E24274" w:rsidRDefault="00650243" w:rsidP="00BB2307">
      <w:pPr>
        <w:pStyle w:val="USTustnpkodeksu"/>
        <w:numPr>
          <w:ilvl w:val="0"/>
          <w:numId w:val="29"/>
        </w:numPr>
        <w:spacing w:before="120"/>
        <w:ind w:left="336" w:hanging="336"/>
        <w:rPr>
          <w:rFonts w:ascii="Times New Roman" w:hAnsi="Times New Roman" w:cs="Times New Roman"/>
          <w:szCs w:val="24"/>
        </w:rPr>
      </w:pPr>
      <w:r w:rsidRPr="00E24274">
        <w:rPr>
          <w:rFonts w:ascii="Times New Roman" w:hAnsi="Times New Roman" w:cs="Times New Roman"/>
          <w:szCs w:val="24"/>
        </w:rPr>
        <w:t>zmiana i zatwierdzenie zmienionej całości albo</w:t>
      </w:r>
      <w:r w:rsidR="00BB2307">
        <w:rPr>
          <w:rFonts w:ascii="Times New Roman" w:hAnsi="Times New Roman" w:cs="Times New Roman"/>
          <w:szCs w:val="24"/>
        </w:rPr>
        <w:t xml:space="preserve"> części tabeli wynagrodzeń za </w:t>
      </w:r>
      <w:r w:rsidRPr="00E24274">
        <w:rPr>
          <w:rFonts w:ascii="Times New Roman" w:hAnsi="Times New Roman" w:cs="Times New Roman"/>
          <w:szCs w:val="24"/>
        </w:rPr>
        <w:t>korzystanie z utworów lub przedmiotów praw pokrewnych w (art. 77 ust. 1 pkt 3 projektu).</w:t>
      </w:r>
    </w:p>
    <w:p w:rsidR="00E52464" w:rsidRPr="00E24274" w:rsidRDefault="00650243" w:rsidP="00BB2307">
      <w:pPr>
        <w:pStyle w:val="USTustnpkodeksu"/>
        <w:spacing w:before="120"/>
        <w:ind w:firstLine="0"/>
        <w:rPr>
          <w:rFonts w:ascii="Times New Roman" w:hAnsi="Times New Roman" w:cs="Times New Roman"/>
          <w:szCs w:val="24"/>
        </w:rPr>
      </w:pPr>
      <w:r w:rsidRPr="00E24274">
        <w:rPr>
          <w:rFonts w:ascii="Times New Roman" w:hAnsi="Times New Roman" w:cs="Times New Roman"/>
          <w:szCs w:val="24"/>
        </w:rPr>
        <w:t xml:space="preserve">Powyższe orzeczenia, zgodnie z art. 77 ust. 1 </w:t>
      </w:r>
      <w:r w:rsidRPr="00E24274">
        <w:rPr>
          <w:rFonts w:ascii="Times New Roman" w:hAnsi="Times New Roman" w:cs="Times New Roman"/>
          <w:i/>
          <w:szCs w:val="24"/>
        </w:rPr>
        <w:t>in principio</w:t>
      </w:r>
      <w:r w:rsidRPr="00E24274">
        <w:rPr>
          <w:rFonts w:ascii="Times New Roman" w:hAnsi="Times New Roman" w:cs="Times New Roman"/>
          <w:szCs w:val="24"/>
        </w:rPr>
        <w:t>, będą zapadały w formie decyzji administracyjnych. Niezależnie od zakresu powyższego przepisu zespół Komisji będzie uprawniony również do wydawania decyzji o umorzeniu postępowania, jeżeli uzna je za bezprzedmiotowe (art. 61 ust. 3 projektu w zw. z art. 105 Kodeksu postępowania administracyjnego). Tak ukształtowany katalog decyzji pozwala Komisji na modyfikowanie w koniecznym zakresie tabel wynagrodzeń w stosunku do złożonego wniosku. Takiej możliwości nie zawiera obecnie obowiązujący art. 110</w:t>
      </w:r>
      <w:r w:rsidRPr="00E24274">
        <w:rPr>
          <w:rFonts w:ascii="Times New Roman" w:hAnsi="Times New Roman" w:cs="Times New Roman"/>
          <w:szCs w:val="24"/>
          <w:vertAlign w:val="superscript"/>
        </w:rPr>
        <w:t>13</w:t>
      </w:r>
      <w:r w:rsidRPr="00E24274">
        <w:rPr>
          <w:rFonts w:ascii="Times New Roman" w:hAnsi="Times New Roman" w:cs="Times New Roman"/>
          <w:szCs w:val="24"/>
        </w:rPr>
        <w:t xml:space="preserve"> ust. 4 pr. aut., który pozwala jedynie na wskazanie propozycji zmian w przedłożonej do zatwierdzenia tabeli wynagrodzeń wraz z ich uzasadnieniem. Celem takiego rozwiązania jest stworzenie zespołowi orzekającemu możliwości wszechstronnego merytorycznego rozpatrzenia sprawy i kształtowania treści tabeli, a nie jedynie sprowadzenie jego roli wyłącznie do przyjmowania lub odmowy przyjmowania stawek zaproponowanych we wniosku o zatwierdzenie tabeli. Takie ograniczenie roli Komisji utrudnia w praktyce wykorzystanie jej jako organu wspierającego porządkowanie i prawidłowe funkcjonowanie rynku z</w:t>
      </w:r>
      <w:r w:rsidR="005B4B9B" w:rsidRPr="00E24274">
        <w:rPr>
          <w:rFonts w:ascii="Times New Roman" w:hAnsi="Times New Roman" w:cs="Times New Roman"/>
          <w:szCs w:val="24"/>
        </w:rPr>
        <w:t>biorowego zarządzania w Polsce.</w:t>
      </w:r>
    </w:p>
    <w:p w:rsidR="00650243" w:rsidRPr="00E24274" w:rsidRDefault="00650243" w:rsidP="00BB2307">
      <w:pPr>
        <w:pStyle w:val="USTustnpkodeksu"/>
        <w:widowControl w:val="0"/>
        <w:spacing w:before="120"/>
        <w:ind w:firstLine="0"/>
        <w:rPr>
          <w:rFonts w:ascii="Times New Roman" w:hAnsi="Times New Roman" w:cs="Times New Roman"/>
          <w:szCs w:val="24"/>
        </w:rPr>
      </w:pPr>
      <w:r w:rsidRPr="00E24274">
        <w:rPr>
          <w:rFonts w:ascii="Times New Roman" w:hAnsi="Times New Roman" w:cs="Times New Roman"/>
          <w:szCs w:val="24"/>
        </w:rPr>
        <w:t>3. Projektowany art. 77 ust. 2 określa kryteria, które winien wziąć pod uwagę zespól orzekający Komisji w toku rozpatrywania wniosku o zatwierdzenie tabeli wynagrodzeń, przesądzając, że są to:</w:t>
      </w:r>
    </w:p>
    <w:p w:rsidR="00650243" w:rsidRPr="00E24274" w:rsidRDefault="00650243" w:rsidP="00BB2307">
      <w:pPr>
        <w:pStyle w:val="USTustnpkodeksu"/>
        <w:widowControl w:val="0"/>
        <w:numPr>
          <w:ilvl w:val="0"/>
          <w:numId w:val="30"/>
        </w:numPr>
        <w:ind w:left="294" w:hanging="280"/>
        <w:rPr>
          <w:rFonts w:ascii="Times New Roman" w:hAnsi="Times New Roman" w:cs="Times New Roman"/>
          <w:szCs w:val="24"/>
        </w:rPr>
      </w:pPr>
      <w:r w:rsidRPr="00E24274">
        <w:rPr>
          <w:rFonts w:ascii="Times New Roman" w:hAnsi="Times New Roman" w:cs="Times New Roman"/>
          <w:szCs w:val="24"/>
        </w:rPr>
        <w:t xml:space="preserve">kryteria określone w art. 41 ust. 2 projektu, a więc wykorzystywane przy określaniu </w:t>
      </w:r>
      <w:r w:rsidRPr="00E24274">
        <w:rPr>
          <w:rFonts w:ascii="Times New Roman" w:hAnsi="Times New Roman" w:cs="Times New Roman"/>
          <w:szCs w:val="24"/>
        </w:rPr>
        <w:lastRenderedPageBreak/>
        <w:t xml:space="preserve">wszystkich rodzajów wynagrodzeń z tytułu korzystania z utworów lub przedmiotów praw pokrewnych; </w:t>
      </w:r>
    </w:p>
    <w:p w:rsidR="00650243" w:rsidRPr="00E24274" w:rsidRDefault="00650243" w:rsidP="00BB2307">
      <w:pPr>
        <w:pStyle w:val="USTustnpkodeksu"/>
        <w:widowControl w:val="0"/>
        <w:numPr>
          <w:ilvl w:val="0"/>
          <w:numId w:val="30"/>
        </w:numPr>
        <w:ind w:left="294" w:hanging="280"/>
        <w:rPr>
          <w:rFonts w:ascii="Times New Roman" w:hAnsi="Times New Roman" w:cs="Times New Roman"/>
          <w:szCs w:val="24"/>
        </w:rPr>
      </w:pPr>
      <w:r w:rsidRPr="00E24274">
        <w:rPr>
          <w:rFonts w:ascii="Times New Roman" w:hAnsi="Times New Roman" w:cs="Times New Roman"/>
          <w:szCs w:val="24"/>
        </w:rPr>
        <w:t>obowiązujące na gruncie art. 110</w:t>
      </w:r>
      <w:r w:rsidRPr="00E24274">
        <w:rPr>
          <w:rFonts w:ascii="Times New Roman" w:hAnsi="Times New Roman" w:cs="Times New Roman"/>
          <w:szCs w:val="24"/>
          <w:vertAlign w:val="superscript"/>
        </w:rPr>
        <w:t>13</w:t>
      </w:r>
      <w:r w:rsidRPr="00E24274">
        <w:rPr>
          <w:rFonts w:ascii="Times New Roman" w:hAnsi="Times New Roman" w:cs="Times New Roman"/>
          <w:szCs w:val="24"/>
        </w:rPr>
        <w:t xml:space="preserve"> ust. 5 pr. aut. kryterium ogólnego obciążenia podmiotów korzystających z utworów lub przedmiotów praw pokrewnych na rzecz wszystkich organizacji zbiorowego zarządzania;</w:t>
      </w:r>
    </w:p>
    <w:p w:rsidR="00E52464" w:rsidRPr="00E24274" w:rsidRDefault="00650243" w:rsidP="00BB2307">
      <w:pPr>
        <w:pStyle w:val="USTustnpkodeksu"/>
        <w:widowControl w:val="0"/>
        <w:numPr>
          <w:ilvl w:val="0"/>
          <w:numId w:val="30"/>
        </w:numPr>
        <w:ind w:left="294" w:hanging="280"/>
        <w:rPr>
          <w:rFonts w:ascii="Times New Roman" w:hAnsi="Times New Roman" w:cs="Times New Roman"/>
          <w:szCs w:val="24"/>
        </w:rPr>
      </w:pPr>
      <w:r w:rsidRPr="00E24274">
        <w:rPr>
          <w:rFonts w:ascii="Times New Roman" w:hAnsi="Times New Roman" w:cs="Times New Roman"/>
          <w:szCs w:val="24"/>
        </w:rPr>
        <w:t>uzasadniony interes społeczny.</w:t>
      </w:r>
    </w:p>
    <w:p w:rsidR="00E52464" w:rsidRPr="00E24274" w:rsidRDefault="00650243" w:rsidP="00BB2307">
      <w:pPr>
        <w:pStyle w:val="USTustnpkodeksu"/>
        <w:spacing w:before="120"/>
        <w:ind w:firstLine="0"/>
        <w:rPr>
          <w:rFonts w:ascii="Times New Roman" w:hAnsi="Times New Roman" w:cs="Times New Roman"/>
          <w:szCs w:val="24"/>
        </w:rPr>
      </w:pPr>
      <w:r w:rsidRPr="00E24274">
        <w:rPr>
          <w:rFonts w:ascii="Times New Roman" w:hAnsi="Times New Roman" w:cs="Times New Roman"/>
          <w:szCs w:val="24"/>
        </w:rPr>
        <w:t>W porównaniu z obowiązującym art. 110</w:t>
      </w:r>
      <w:r w:rsidRPr="00E24274">
        <w:rPr>
          <w:rFonts w:ascii="Times New Roman" w:hAnsi="Times New Roman" w:cs="Times New Roman"/>
          <w:szCs w:val="24"/>
          <w:vertAlign w:val="superscript"/>
        </w:rPr>
        <w:t>13</w:t>
      </w:r>
      <w:r w:rsidRPr="00E24274">
        <w:rPr>
          <w:rFonts w:ascii="Times New Roman" w:hAnsi="Times New Roman" w:cs="Times New Roman"/>
          <w:szCs w:val="24"/>
        </w:rPr>
        <w:t xml:space="preserve"> ust. 5 pr. a</w:t>
      </w:r>
      <w:r w:rsidR="00BB2307">
        <w:rPr>
          <w:rFonts w:ascii="Times New Roman" w:hAnsi="Times New Roman" w:cs="Times New Roman"/>
          <w:szCs w:val="24"/>
        </w:rPr>
        <w:t>ut. lista ta została skrócona o </w:t>
      </w:r>
      <w:r w:rsidRPr="00E24274">
        <w:rPr>
          <w:rFonts w:ascii="Times New Roman" w:hAnsi="Times New Roman" w:cs="Times New Roman"/>
          <w:szCs w:val="24"/>
        </w:rPr>
        <w:t xml:space="preserve">kryteria </w:t>
      </w:r>
      <w:r w:rsidR="00E24274">
        <w:rPr>
          <w:rFonts w:ascii="Times New Roman" w:hAnsi="Times New Roman" w:cs="Times New Roman"/>
          <w:i/>
          <w:szCs w:val="24"/>
        </w:rPr>
        <w:t>„</w:t>
      </w:r>
      <w:r w:rsidRPr="00E24274">
        <w:rPr>
          <w:rFonts w:ascii="Times New Roman" w:hAnsi="Times New Roman" w:cs="Times New Roman"/>
          <w:i/>
          <w:szCs w:val="24"/>
        </w:rPr>
        <w:t>zebranego w sprawie materiału dowodowego</w:t>
      </w:r>
      <w:r w:rsidR="00E24274">
        <w:rPr>
          <w:rFonts w:ascii="Times New Roman" w:hAnsi="Times New Roman" w:cs="Times New Roman"/>
          <w:i/>
          <w:szCs w:val="24"/>
        </w:rPr>
        <w:t>”</w:t>
      </w:r>
      <w:r w:rsidRPr="00E24274">
        <w:rPr>
          <w:rFonts w:ascii="Times New Roman" w:hAnsi="Times New Roman" w:cs="Times New Roman"/>
          <w:szCs w:val="24"/>
        </w:rPr>
        <w:t xml:space="preserve"> oraz </w:t>
      </w:r>
      <w:r w:rsidR="00E24274">
        <w:rPr>
          <w:rFonts w:ascii="Times New Roman" w:hAnsi="Times New Roman" w:cs="Times New Roman"/>
          <w:i/>
          <w:szCs w:val="24"/>
        </w:rPr>
        <w:t>„</w:t>
      </w:r>
      <w:r w:rsidRPr="00E24274">
        <w:rPr>
          <w:rFonts w:ascii="Times New Roman" w:hAnsi="Times New Roman" w:cs="Times New Roman"/>
          <w:i/>
          <w:szCs w:val="24"/>
        </w:rPr>
        <w:t>stanowisk uczestników postępowania</w:t>
      </w:r>
      <w:r w:rsidR="00E24274">
        <w:rPr>
          <w:rFonts w:ascii="Times New Roman" w:hAnsi="Times New Roman" w:cs="Times New Roman"/>
          <w:i/>
          <w:szCs w:val="24"/>
        </w:rPr>
        <w:t>”</w:t>
      </w:r>
      <w:r w:rsidRPr="00E24274">
        <w:rPr>
          <w:rFonts w:ascii="Times New Roman" w:hAnsi="Times New Roman" w:cs="Times New Roman"/>
          <w:szCs w:val="24"/>
        </w:rPr>
        <w:t xml:space="preserve">. Odwoływanie się do tych kryteriów jest w ocenie projektodawcy zbędne, gdyż zespół orzekający Komisji jest zobligowany do uwzględnienia art. 7, </w:t>
      </w:r>
      <w:r w:rsidR="0000774C">
        <w:rPr>
          <w:rFonts w:ascii="Times New Roman" w:hAnsi="Times New Roman" w:cs="Times New Roman"/>
          <w:szCs w:val="24"/>
        </w:rPr>
        <w:t xml:space="preserve">art. </w:t>
      </w:r>
      <w:r w:rsidRPr="00E24274">
        <w:rPr>
          <w:rFonts w:ascii="Times New Roman" w:hAnsi="Times New Roman" w:cs="Times New Roman"/>
          <w:szCs w:val="24"/>
        </w:rPr>
        <w:t xml:space="preserve">77 i </w:t>
      </w:r>
      <w:r w:rsidR="0000774C">
        <w:rPr>
          <w:rFonts w:ascii="Times New Roman" w:hAnsi="Times New Roman" w:cs="Times New Roman"/>
          <w:szCs w:val="24"/>
        </w:rPr>
        <w:t xml:space="preserve">art. </w:t>
      </w:r>
      <w:r w:rsidRPr="00E24274">
        <w:rPr>
          <w:rFonts w:ascii="Times New Roman" w:hAnsi="Times New Roman" w:cs="Times New Roman"/>
          <w:szCs w:val="24"/>
        </w:rPr>
        <w:t>80 Kodeksu postępowania administracyjnego, które nakazują wydawać decyzje administracyjne na podstawie całokształtu mate</w:t>
      </w:r>
      <w:r w:rsidR="00BB2307">
        <w:rPr>
          <w:rFonts w:ascii="Times New Roman" w:hAnsi="Times New Roman" w:cs="Times New Roman"/>
          <w:szCs w:val="24"/>
        </w:rPr>
        <w:t>riału dowodowego, w tym także z </w:t>
      </w:r>
      <w:r w:rsidRPr="00E24274">
        <w:rPr>
          <w:rFonts w:ascii="Times New Roman" w:hAnsi="Times New Roman" w:cs="Times New Roman"/>
          <w:szCs w:val="24"/>
        </w:rPr>
        <w:t>wnikliwym rozpatrzeniem słusznych stanowisk stron</w:t>
      </w:r>
      <w:r w:rsidR="00E52464" w:rsidRPr="00E24274">
        <w:rPr>
          <w:rFonts w:ascii="Times New Roman" w:hAnsi="Times New Roman" w:cs="Times New Roman"/>
          <w:szCs w:val="24"/>
        </w:rPr>
        <w:t xml:space="preserve"> (podmiotów na prawach strony)</w:t>
      </w:r>
      <w:r w:rsidRPr="00E24274">
        <w:rPr>
          <w:rFonts w:ascii="Times New Roman" w:hAnsi="Times New Roman" w:cs="Times New Roman"/>
          <w:szCs w:val="24"/>
        </w:rPr>
        <w:t>. Oczywistym więc jest, że zespół orzekający nie może zastosować kryteriów określonych w treści ust. 2 projektowanego artykułu w oderwaniu od ustaleń faktycznych dokonanych zgodnie z zasadami postępowania dowodowego.</w:t>
      </w:r>
    </w:p>
    <w:p w:rsidR="00E52464" w:rsidRPr="00E24274" w:rsidRDefault="00650243" w:rsidP="00E24274">
      <w:pPr>
        <w:pStyle w:val="USTustnpkodeksu"/>
        <w:spacing w:before="120"/>
        <w:ind w:firstLine="0"/>
        <w:rPr>
          <w:rFonts w:ascii="Times New Roman" w:hAnsi="Times New Roman" w:cs="Times New Roman"/>
          <w:szCs w:val="24"/>
        </w:rPr>
      </w:pPr>
      <w:r w:rsidRPr="00E24274">
        <w:rPr>
          <w:rFonts w:ascii="Times New Roman" w:hAnsi="Times New Roman" w:cs="Times New Roman"/>
          <w:szCs w:val="24"/>
        </w:rPr>
        <w:t xml:space="preserve">4. Zgodnie z projektowanym art. 77 ust. 3 zatwierdzona tabela wynagrodzeń za korzystanie z utworów lub przedmiotów praw pokrewnych będzie zawierać stawki wynagrodzeń określone kwotowo albo procentowo. W obowiązującym stanie prawnym przepisy nie precyzowały wprost </w:t>
      </w:r>
      <w:r w:rsidR="00D46A7C" w:rsidRPr="00E24274">
        <w:rPr>
          <w:rFonts w:ascii="Times New Roman" w:hAnsi="Times New Roman" w:cs="Times New Roman"/>
          <w:szCs w:val="24"/>
        </w:rPr>
        <w:t>sposobu określania</w:t>
      </w:r>
      <w:r w:rsidRPr="00E24274">
        <w:rPr>
          <w:rFonts w:ascii="Times New Roman" w:hAnsi="Times New Roman" w:cs="Times New Roman"/>
          <w:szCs w:val="24"/>
        </w:rPr>
        <w:t xml:space="preserve"> stawek wynagrodzeń zawar</w:t>
      </w:r>
      <w:r w:rsidR="00BB2307">
        <w:rPr>
          <w:rFonts w:ascii="Times New Roman" w:hAnsi="Times New Roman" w:cs="Times New Roman"/>
          <w:szCs w:val="24"/>
        </w:rPr>
        <w:t>tych w </w:t>
      </w:r>
      <w:r w:rsidR="00C424FA" w:rsidRPr="00E24274">
        <w:rPr>
          <w:rFonts w:ascii="Times New Roman" w:hAnsi="Times New Roman" w:cs="Times New Roman"/>
          <w:szCs w:val="24"/>
        </w:rPr>
        <w:t>zatwierdzonych tabelach.</w:t>
      </w:r>
    </w:p>
    <w:p w:rsidR="00E52464" w:rsidRPr="00E24274" w:rsidRDefault="00650243" w:rsidP="00E24274">
      <w:pPr>
        <w:pStyle w:val="USTustnpkodeksu"/>
        <w:spacing w:before="120"/>
        <w:ind w:firstLine="0"/>
        <w:rPr>
          <w:rFonts w:ascii="Times New Roman" w:hAnsi="Times New Roman" w:cs="Times New Roman"/>
          <w:szCs w:val="24"/>
        </w:rPr>
      </w:pPr>
      <w:r w:rsidRPr="00E24274">
        <w:rPr>
          <w:rFonts w:ascii="Times New Roman" w:hAnsi="Times New Roman" w:cs="Times New Roman"/>
          <w:szCs w:val="24"/>
        </w:rPr>
        <w:t>5. W przeciwieństwie do obecnego stanu prawnego obowiązek publikacji zatwierdzonych tabel będzie obciążał ministra właściwego do spraw kultury i ochrony dziedzictwa narodowego, a nie Przewodniczącego Komisji. Publikacja winna nastąpić</w:t>
      </w:r>
      <w:r w:rsidR="00993075" w:rsidRPr="00E24274">
        <w:rPr>
          <w:rFonts w:ascii="Times New Roman" w:hAnsi="Times New Roman" w:cs="Times New Roman"/>
          <w:szCs w:val="24"/>
        </w:rPr>
        <w:t xml:space="preserve"> poprzez ogłoszenie</w:t>
      </w:r>
      <w:r w:rsidR="000803C5" w:rsidRPr="00E24274">
        <w:rPr>
          <w:rFonts w:ascii="Times New Roman" w:hAnsi="Times New Roman" w:cs="Times New Roman"/>
          <w:szCs w:val="24"/>
        </w:rPr>
        <w:t xml:space="preserve"> decyzji w przedmiocie </w:t>
      </w:r>
      <w:r w:rsidR="00695A8F" w:rsidRPr="00E24274">
        <w:rPr>
          <w:rFonts w:ascii="Times New Roman" w:hAnsi="Times New Roman" w:cs="Times New Roman"/>
          <w:szCs w:val="24"/>
        </w:rPr>
        <w:t>zatwierdzenia</w:t>
      </w:r>
      <w:r w:rsidR="00993075" w:rsidRPr="00E24274">
        <w:rPr>
          <w:rFonts w:ascii="Times New Roman" w:hAnsi="Times New Roman" w:cs="Times New Roman"/>
          <w:szCs w:val="24"/>
        </w:rPr>
        <w:t xml:space="preserve"> </w:t>
      </w:r>
      <w:r w:rsidR="000803C5" w:rsidRPr="00E24274">
        <w:rPr>
          <w:rFonts w:ascii="Times New Roman" w:hAnsi="Times New Roman" w:cs="Times New Roman"/>
          <w:szCs w:val="24"/>
        </w:rPr>
        <w:t>tabeli</w:t>
      </w:r>
      <w:r w:rsidRPr="00E24274">
        <w:rPr>
          <w:rFonts w:ascii="Times New Roman" w:hAnsi="Times New Roman" w:cs="Times New Roman"/>
          <w:szCs w:val="24"/>
        </w:rPr>
        <w:t xml:space="preserve"> w Biuletynie Informacji Publicznej na stronie podmiotowej ministra właściwego </w:t>
      </w:r>
      <w:r w:rsidR="00E52464" w:rsidRPr="00E24274">
        <w:rPr>
          <w:rFonts w:ascii="Times New Roman" w:hAnsi="Times New Roman" w:cs="Times New Roman"/>
          <w:szCs w:val="24"/>
        </w:rPr>
        <w:t>spraw kultury i ochrony dziedzictwa narodowego</w:t>
      </w:r>
      <w:r w:rsidRPr="00E24274">
        <w:rPr>
          <w:rFonts w:ascii="Times New Roman" w:hAnsi="Times New Roman" w:cs="Times New Roman"/>
          <w:szCs w:val="24"/>
        </w:rPr>
        <w:t xml:space="preserve">. Przy czym na podstawie tego ustępu Przewodniczący Komisji będzie zobligowany do przekazania ministrowi </w:t>
      </w:r>
      <w:r w:rsidR="000803C5" w:rsidRPr="00E24274">
        <w:rPr>
          <w:rFonts w:ascii="Times New Roman" w:hAnsi="Times New Roman" w:cs="Times New Roman"/>
          <w:szCs w:val="24"/>
        </w:rPr>
        <w:t xml:space="preserve">ostatecznej decyzji zatwierdzającej </w:t>
      </w:r>
      <w:r w:rsidRPr="00E24274">
        <w:rPr>
          <w:rFonts w:ascii="Times New Roman" w:hAnsi="Times New Roman" w:cs="Times New Roman"/>
          <w:szCs w:val="24"/>
        </w:rPr>
        <w:t>tabelę wynagrodzeń za korzystanie z utworów lub</w:t>
      </w:r>
      <w:r w:rsidR="00BB2307">
        <w:rPr>
          <w:rFonts w:ascii="Times New Roman" w:hAnsi="Times New Roman" w:cs="Times New Roman"/>
          <w:szCs w:val="24"/>
        </w:rPr>
        <w:t xml:space="preserve"> przedmiotów praw pokrewnych. W </w:t>
      </w:r>
      <w:r w:rsidRPr="00E24274">
        <w:rPr>
          <w:rFonts w:ascii="Times New Roman" w:hAnsi="Times New Roman" w:cs="Times New Roman"/>
          <w:szCs w:val="24"/>
        </w:rPr>
        <w:t>konsekwencji ust</w:t>
      </w:r>
      <w:r w:rsidR="0000774C">
        <w:rPr>
          <w:rFonts w:ascii="Times New Roman" w:hAnsi="Times New Roman" w:cs="Times New Roman"/>
          <w:szCs w:val="24"/>
        </w:rPr>
        <w:t>.</w:t>
      </w:r>
      <w:r w:rsidRPr="00E24274">
        <w:rPr>
          <w:rFonts w:ascii="Times New Roman" w:hAnsi="Times New Roman" w:cs="Times New Roman"/>
          <w:szCs w:val="24"/>
        </w:rPr>
        <w:t xml:space="preserve"> 4 projektowanego przepisu stanowi doprecyzowanie obecnego art. 110</w:t>
      </w:r>
      <w:r w:rsidRPr="00E24274">
        <w:rPr>
          <w:rFonts w:ascii="Times New Roman" w:hAnsi="Times New Roman" w:cs="Times New Roman"/>
          <w:szCs w:val="24"/>
          <w:vertAlign w:val="superscript"/>
        </w:rPr>
        <w:t>13</w:t>
      </w:r>
      <w:r w:rsidRPr="00E24274">
        <w:rPr>
          <w:rFonts w:ascii="Times New Roman" w:hAnsi="Times New Roman" w:cs="Times New Roman"/>
          <w:szCs w:val="24"/>
        </w:rPr>
        <w:t xml:space="preserve"> ust. 7 pr. aut.</w:t>
      </w:r>
    </w:p>
    <w:p w:rsidR="00650243" w:rsidRPr="00E24274" w:rsidRDefault="00650243" w:rsidP="00E24274">
      <w:pPr>
        <w:pStyle w:val="USTustnpkodeksu"/>
        <w:spacing w:before="120"/>
        <w:ind w:firstLine="0"/>
        <w:rPr>
          <w:rFonts w:ascii="Times New Roman" w:hAnsi="Times New Roman" w:cs="Times New Roman"/>
          <w:szCs w:val="24"/>
        </w:rPr>
      </w:pPr>
      <w:r w:rsidRPr="00E24274">
        <w:rPr>
          <w:rFonts w:ascii="Times New Roman" w:hAnsi="Times New Roman" w:cs="Times New Roman"/>
          <w:szCs w:val="24"/>
        </w:rPr>
        <w:lastRenderedPageBreak/>
        <w:t>6. Istotne zmiany dotyczą waloryzacji zatwierdzony</w:t>
      </w:r>
      <w:r w:rsidR="00BB2307">
        <w:rPr>
          <w:rFonts w:ascii="Times New Roman" w:hAnsi="Times New Roman" w:cs="Times New Roman"/>
          <w:szCs w:val="24"/>
        </w:rPr>
        <w:t>ch tabel wynagrodzeń. Zgodnie z </w:t>
      </w:r>
      <w:r w:rsidRPr="00E24274">
        <w:rPr>
          <w:rFonts w:ascii="Times New Roman" w:hAnsi="Times New Roman" w:cs="Times New Roman"/>
          <w:szCs w:val="24"/>
        </w:rPr>
        <w:t>obowiązującym art. 110</w:t>
      </w:r>
      <w:r w:rsidRPr="00E24274">
        <w:rPr>
          <w:rFonts w:ascii="Times New Roman" w:hAnsi="Times New Roman" w:cs="Times New Roman"/>
          <w:szCs w:val="24"/>
          <w:vertAlign w:val="superscript"/>
        </w:rPr>
        <w:t>13</w:t>
      </w:r>
      <w:r w:rsidRPr="00E24274">
        <w:rPr>
          <w:rFonts w:ascii="Times New Roman" w:hAnsi="Times New Roman" w:cs="Times New Roman"/>
          <w:szCs w:val="24"/>
        </w:rPr>
        <w:t xml:space="preserve"> ust. 8 zd. 1 pr. aut. obowiązek dokonania waloryzacji nałożony był na organizację zbiorowego zarządzan</w:t>
      </w:r>
      <w:r w:rsidR="00BB2307">
        <w:rPr>
          <w:rFonts w:ascii="Times New Roman" w:hAnsi="Times New Roman" w:cs="Times New Roman"/>
          <w:szCs w:val="24"/>
        </w:rPr>
        <w:t>ia, która w terminie do dnia 15 </w:t>
      </w:r>
      <w:r w:rsidRPr="00E24274">
        <w:rPr>
          <w:rFonts w:ascii="Times New Roman" w:hAnsi="Times New Roman" w:cs="Times New Roman"/>
          <w:szCs w:val="24"/>
        </w:rPr>
        <w:t>lutego winna przeprowadzić waloryzac</w:t>
      </w:r>
      <w:r w:rsidR="00BB2307">
        <w:rPr>
          <w:rFonts w:ascii="Times New Roman" w:hAnsi="Times New Roman" w:cs="Times New Roman"/>
          <w:szCs w:val="24"/>
        </w:rPr>
        <w:t>ję określonych kwotowo stawek z </w:t>
      </w:r>
      <w:r w:rsidRPr="00E24274">
        <w:rPr>
          <w:rFonts w:ascii="Times New Roman" w:hAnsi="Times New Roman" w:cs="Times New Roman"/>
          <w:szCs w:val="24"/>
        </w:rPr>
        <w:t xml:space="preserve">wykorzystaniem średniorocznego wskaźnika cen towarów i usług konsumpcyjnych ogłaszanego przez Prezesa Głównego Urzędu Statystycznego. Następnie organizacje winny przekazać informację o zwaloryzowanych stawkach wynagrodzeń </w:t>
      </w:r>
      <w:r w:rsidR="00E52464" w:rsidRPr="00E24274">
        <w:rPr>
          <w:rFonts w:ascii="Times New Roman" w:hAnsi="Times New Roman" w:cs="Times New Roman"/>
          <w:szCs w:val="24"/>
        </w:rPr>
        <w:t>P</w:t>
      </w:r>
      <w:r w:rsidRPr="00E24274">
        <w:rPr>
          <w:rFonts w:ascii="Times New Roman" w:hAnsi="Times New Roman" w:cs="Times New Roman"/>
          <w:szCs w:val="24"/>
        </w:rPr>
        <w:t>rzewodniczącemu Komisji, który był – jak wskazano powyżej – zobligowany do ich ogłoszenia w Biuletynie Informacji Publicznej. Projektowany przepis, upraszczając całą procedurę, nakłada obowiązek dokonywania waloryzacji bezpośrednio na ministra właściwego do spraw kultury i ochrony dziedzictwa narodowego. Pozwoli to uniknąć zdarzających się w przeszłości sytuacji, w których obowiązek waloryzacji tabel nie był prawidłowo lub terminowo wykonywany. Wydłużeniu uległ przy tym termin na dokonanie waloryzacji – powinna ona być dokonana do 15 marca każdego roku kalendarzowego; zmiana ta wynika z konieczności zapewnienia urzędowi, który realizuje ponadto wiele innych obowiązków związanych z nadzorem nad działalnością organizacji zbiorowego zarządzania, odpowiedniego czasu na przeprowadzenie waloryzacji potencjalnie znacznej liczby stawek zawartych w tabelach. Na potrzeby waloryzacji przyjęto – w celu uniknięcia problemów praktycznych – obowiązek zaokrąglania zwaloryzowanych staw</w:t>
      </w:r>
      <w:r w:rsidR="0000774C">
        <w:rPr>
          <w:rFonts w:ascii="Times New Roman" w:hAnsi="Times New Roman" w:cs="Times New Roman"/>
          <w:szCs w:val="24"/>
        </w:rPr>
        <w:t>ek</w:t>
      </w:r>
      <w:r w:rsidRPr="00E24274">
        <w:rPr>
          <w:rFonts w:ascii="Times New Roman" w:hAnsi="Times New Roman" w:cs="Times New Roman"/>
          <w:szCs w:val="24"/>
        </w:rPr>
        <w:t xml:space="preserve"> w gó</w:t>
      </w:r>
      <w:r w:rsidR="00BB2307">
        <w:rPr>
          <w:rFonts w:ascii="Times New Roman" w:hAnsi="Times New Roman" w:cs="Times New Roman"/>
          <w:szCs w:val="24"/>
        </w:rPr>
        <w:t>rę do 1 gr. Dodatkowo zgodnie z </w:t>
      </w:r>
      <w:r w:rsidRPr="00E24274">
        <w:rPr>
          <w:rFonts w:ascii="Times New Roman" w:hAnsi="Times New Roman" w:cs="Times New Roman"/>
          <w:szCs w:val="24"/>
        </w:rPr>
        <w:t>projektowanym art. 77 ust. 6 zwaloryzowane stawki będą stosowane od 1 kwietnia danego roku – obecnie obowiązujące przepisy nie określały tej daty, co mogło budzić wątpliwości w praktyce.</w:t>
      </w:r>
    </w:p>
    <w:p w:rsidR="00650243" w:rsidRPr="00E24274" w:rsidRDefault="00650243" w:rsidP="00E24274">
      <w:pPr>
        <w:pStyle w:val="USTustnpkodeksu"/>
        <w:spacing w:before="120"/>
        <w:ind w:firstLine="0"/>
        <w:rPr>
          <w:rFonts w:ascii="Times New Roman" w:hAnsi="Times New Roman" w:cs="Times New Roman"/>
          <w:b/>
          <w:szCs w:val="24"/>
        </w:rPr>
      </w:pPr>
      <w:r w:rsidRPr="00E24274">
        <w:rPr>
          <w:rFonts w:ascii="Times New Roman" w:hAnsi="Times New Roman" w:cs="Times New Roman"/>
          <w:b/>
          <w:szCs w:val="24"/>
        </w:rPr>
        <w:t>art. 78</w:t>
      </w:r>
    </w:p>
    <w:p w:rsidR="00E52464" w:rsidRPr="00E24274" w:rsidRDefault="00650243" w:rsidP="00BB2307">
      <w:pPr>
        <w:pStyle w:val="USTustnpkodeksu"/>
        <w:ind w:firstLine="0"/>
        <w:rPr>
          <w:rFonts w:ascii="Times New Roman" w:hAnsi="Times New Roman" w:cs="Times New Roman"/>
          <w:szCs w:val="24"/>
        </w:rPr>
      </w:pPr>
      <w:r w:rsidRPr="00E24274">
        <w:rPr>
          <w:rFonts w:ascii="Times New Roman" w:hAnsi="Times New Roman" w:cs="Times New Roman"/>
          <w:szCs w:val="24"/>
        </w:rPr>
        <w:t>1. Projektowany art. 78 reguluje dwie zasadnicze kwestie: zakres stosowania zatwierdzonych tabel wynagrodzeń za korzystanie z utworów lub przedmiotów praw pokrewnych (ust. 1) oraz prawne sankcje związane z zastosowaniem w umowie stawek innych niż wynikające z zatwierdzonych tabel wynagrodzeń (ust. 2).</w:t>
      </w:r>
    </w:p>
    <w:p w:rsidR="00E52464" w:rsidRPr="00E24274" w:rsidRDefault="00650243" w:rsidP="00E24274">
      <w:pPr>
        <w:pStyle w:val="USTustnpkodeksu"/>
        <w:spacing w:before="120"/>
        <w:ind w:firstLine="0"/>
        <w:rPr>
          <w:rFonts w:ascii="Times New Roman" w:hAnsi="Times New Roman" w:cs="Times New Roman"/>
          <w:szCs w:val="24"/>
        </w:rPr>
      </w:pPr>
      <w:r w:rsidRPr="00E24274">
        <w:rPr>
          <w:rFonts w:ascii="Times New Roman" w:hAnsi="Times New Roman" w:cs="Times New Roman"/>
          <w:szCs w:val="24"/>
        </w:rPr>
        <w:t>2. Ust</w:t>
      </w:r>
      <w:r w:rsidR="0000774C">
        <w:rPr>
          <w:rFonts w:ascii="Times New Roman" w:hAnsi="Times New Roman" w:cs="Times New Roman"/>
          <w:szCs w:val="24"/>
        </w:rPr>
        <w:t>.</w:t>
      </w:r>
      <w:r w:rsidRPr="00E24274">
        <w:rPr>
          <w:rFonts w:ascii="Times New Roman" w:hAnsi="Times New Roman" w:cs="Times New Roman"/>
          <w:szCs w:val="24"/>
        </w:rPr>
        <w:t xml:space="preserve"> 1 projektowanego artykułu odpowiada treści art. 110</w:t>
      </w:r>
      <w:r w:rsidRPr="00E24274">
        <w:rPr>
          <w:rFonts w:ascii="Times New Roman" w:hAnsi="Times New Roman" w:cs="Times New Roman"/>
          <w:szCs w:val="24"/>
          <w:vertAlign w:val="superscript"/>
        </w:rPr>
        <w:t>16</w:t>
      </w:r>
      <w:r w:rsidRPr="00E24274">
        <w:rPr>
          <w:rFonts w:ascii="Times New Roman" w:hAnsi="Times New Roman" w:cs="Times New Roman"/>
          <w:szCs w:val="24"/>
        </w:rPr>
        <w:t xml:space="preserve"> ust. 1 pr. aut. Jego zasadniczym celem jest przesądzenie, że stawki określone w zatwierdzonych tabelach wynagrodzeń stosuje się w umowach, których stroną jest organizacja zbiorowego zarządzania posiadająca takie zatwierdzone tabele. </w:t>
      </w:r>
      <w:r w:rsidRPr="00E24274">
        <w:rPr>
          <w:rFonts w:ascii="Times New Roman" w:hAnsi="Times New Roman" w:cs="Times New Roman"/>
          <w:i/>
          <w:szCs w:val="24"/>
        </w:rPr>
        <w:t>A contrario</w:t>
      </w:r>
      <w:r w:rsidRPr="00E24274">
        <w:rPr>
          <w:rFonts w:ascii="Times New Roman" w:hAnsi="Times New Roman" w:cs="Times New Roman"/>
          <w:szCs w:val="24"/>
        </w:rPr>
        <w:t xml:space="preserve"> powyższe stawki nie </w:t>
      </w:r>
      <w:r w:rsidRPr="00E24274">
        <w:rPr>
          <w:rFonts w:ascii="Times New Roman" w:hAnsi="Times New Roman" w:cs="Times New Roman"/>
          <w:szCs w:val="24"/>
        </w:rPr>
        <w:lastRenderedPageBreak/>
        <w:t>muszą być stosowane w przypadku umów, które samodzielnie zawierają uprawnieni, nawet jeżeli są oni członkami orga</w:t>
      </w:r>
      <w:r w:rsidR="00C424FA" w:rsidRPr="00E24274">
        <w:rPr>
          <w:rFonts w:ascii="Times New Roman" w:hAnsi="Times New Roman" w:cs="Times New Roman"/>
          <w:szCs w:val="24"/>
        </w:rPr>
        <w:t>nizacji zbiorowego zarządzania.</w:t>
      </w:r>
    </w:p>
    <w:p w:rsidR="00C424FA" w:rsidRPr="00E24274" w:rsidRDefault="00650243" w:rsidP="00E24274">
      <w:pPr>
        <w:pStyle w:val="USTustnpkodeksu"/>
        <w:spacing w:before="120"/>
        <w:ind w:firstLine="0"/>
        <w:rPr>
          <w:rFonts w:ascii="Times New Roman" w:hAnsi="Times New Roman" w:cs="Times New Roman"/>
          <w:szCs w:val="24"/>
        </w:rPr>
      </w:pPr>
      <w:r w:rsidRPr="00E24274">
        <w:rPr>
          <w:rFonts w:ascii="Times New Roman" w:hAnsi="Times New Roman" w:cs="Times New Roman"/>
          <w:szCs w:val="24"/>
        </w:rPr>
        <w:t>3. Projektowany art. 78 ust. 2 modyfikuje obecnie obowiązujący art. 110</w:t>
      </w:r>
      <w:r w:rsidRPr="00E24274">
        <w:rPr>
          <w:rFonts w:ascii="Times New Roman" w:hAnsi="Times New Roman" w:cs="Times New Roman"/>
          <w:szCs w:val="24"/>
          <w:vertAlign w:val="superscript"/>
        </w:rPr>
        <w:t>16</w:t>
      </w:r>
      <w:r w:rsidRPr="00E24274">
        <w:rPr>
          <w:rFonts w:ascii="Times New Roman" w:hAnsi="Times New Roman" w:cs="Times New Roman"/>
          <w:szCs w:val="24"/>
        </w:rPr>
        <w:t xml:space="preserve"> ust. 2 pr. aut. Istota tej zmiany sprawdza się do przesądzenia, że jakiekolwiek postanowienia umowne określające wynagrodzenia w inny sposób (zarówno mniej lub bardziej korzystny dla uprawnionych) niż wynika to z zatwierdzonych tabel wynagrodzeń są nieważne. Projektowana zmiana sprawia więc, że stawki wynagrodzeń zawarte w zatwierdzonych tabelach wynagrodzeń uzyskują charakter sztywny. Sankcją nieważności w obecnie obowiązującym stanie prawnym były objęte bowiem tylko te postanowienia umowne, które określały wynagrodzenie uprawnionych mn</w:t>
      </w:r>
      <w:r w:rsidR="00BB2307">
        <w:rPr>
          <w:rFonts w:ascii="Times New Roman" w:hAnsi="Times New Roman" w:cs="Times New Roman"/>
          <w:szCs w:val="24"/>
        </w:rPr>
        <w:t>iej korzystnie niż wynikałoby z </w:t>
      </w:r>
      <w:r w:rsidRPr="00E24274">
        <w:rPr>
          <w:rFonts w:ascii="Times New Roman" w:hAnsi="Times New Roman" w:cs="Times New Roman"/>
          <w:szCs w:val="24"/>
        </w:rPr>
        <w:t xml:space="preserve">zatwierdzonych tabel wynagrodzeń. Rozwiązanie to koresponduje z regulacją zawartą w treści art. 77 ust. 3 projektu, który określa m.in. </w:t>
      </w:r>
      <w:r w:rsidR="00BB2307">
        <w:rPr>
          <w:rFonts w:ascii="Times New Roman" w:hAnsi="Times New Roman" w:cs="Times New Roman"/>
          <w:szCs w:val="24"/>
        </w:rPr>
        <w:t>charakter stawek wynagrodzeń, i </w:t>
      </w:r>
      <w:r w:rsidRPr="00E24274">
        <w:rPr>
          <w:rFonts w:ascii="Times New Roman" w:hAnsi="Times New Roman" w:cs="Times New Roman"/>
          <w:szCs w:val="24"/>
        </w:rPr>
        <w:t>uzasadnione jest tymi samymi względami, co przywoła</w:t>
      </w:r>
      <w:r w:rsidR="00C424FA" w:rsidRPr="00E24274">
        <w:rPr>
          <w:rFonts w:ascii="Times New Roman" w:hAnsi="Times New Roman" w:cs="Times New Roman"/>
          <w:szCs w:val="24"/>
        </w:rPr>
        <w:t>na regulacja.</w:t>
      </w:r>
    </w:p>
    <w:p w:rsidR="00D46A7C" w:rsidRPr="00E24274" w:rsidRDefault="00D46A7C" w:rsidP="00E24274">
      <w:pPr>
        <w:pStyle w:val="USTustnpkodeksu"/>
        <w:spacing w:before="120"/>
        <w:ind w:firstLine="0"/>
        <w:rPr>
          <w:rFonts w:ascii="Times New Roman" w:hAnsi="Times New Roman" w:cs="Times New Roman"/>
          <w:szCs w:val="24"/>
        </w:rPr>
      </w:pPr>
      <w:r w:rsidRPr="00E24274">
        <w:rPr>
          <w:rFonts w:ascii="Times New Roman" w:hAnsi="Times New Roman" w:cs="Times New Roman"/>
          <w:szCs w:val="24"/>
        </w:rPr>
        <w:t>Projektowana zmiana wynika z istoty mechanizmu tabelowego jako instrumentu służącego porządkowaniu rynku zbiorowego zarzą</w:t>
      </w:r>
      <w:r w:rsidR="00BB2307">
        <w:rPr>
          <w:rFonts w:ascii="Times New Roman" w:hAnsi="Times New Roman" w:cs="Times New Roman"/>
          <w:szCs w:val="24"/>
        </w:rPr>
        <w:t>dzania. Tabele winny określać w </w:t>
      </w:r>
      <w:r w:rsidRPr="00E24274">
        <w:rPr>
          <w:rFonts w:ascii="Times New Roman" w:hAnsi="Times New Roman" w:cs="Times New Roman"/>
          <w:szCs w:val="24"/>
        </w:rPr>
        <w:t xml:space="preserve">koniecznym zakresie warunki kontraktowania, odnoszące się w szczególności do stawek wynagrodzeń, w sposób jednolity, niedyskryminujący i stabilny, po racjonalnym wyważeniu interesów majątkowych uprawnionych oraz użytkowników praw. Winny również spełniać funkcję gwarancyjno-ochronną nie tylko dla uprawnionych, ale także użytkowników utworów lub przedmiotów praw pokrewnych, co było kilkakrotnie podnoszone dotychczas przez przedstawicieli doktryny prawa autorskiego. Projektowane rozwiązanie jest tym bardziej uzasadnione, że zatwierdzenie tabeli wynagrodzeń jest efektem kompleksowej, kosztownej i relatywnie długotrwałej procedury, która pozwala – w oparciu o kryteria wskazane w treści art. 77 ust. 2 projektu – na wszechstronne zbadanie podstaw określenia poszczególnych stawek przez niezależny organ, jakim jest Komisja. Efekt tej procedury – zatwierdzona tabela wynagrodzeń – winien zabezpieczać przed arbitralnym różnicowaniem stawek (zarówno ich podnoszeniem, jak i obniżaniem) w zależności od niepodlegających kontroli kryteriów, np. odnoszących się do sytuacji faktycznej lub pozycji rynkowej poszczególnych użytkowników. Praktyka niektórych organizacji posługujących się tabelami wskazuje zresztą, że często stawki zawarte w tabelach są </w:t>
      </w:r>
      <w:r w:rsidRPr="00E24274">
        <w:rPr>
          <w:rFonts w:ascii="Times New Roman" w:hAnsi="Times New Roman" w:cs="Times New Roman"/>
          <w:i/>
          <w:szCs w:val="24"/>
        </w:rPr>
        <w:t>de facto</w:t>
      </w:r>
      <w:r w:rsidRPr="00E24274">
        <w:rPr>
          <w:rFonts w:ascii="Times New Roman" w:hAnsi="Times New Roman" w:cs="Times New Roman"/>
          <w:szCs w:val="24"/>
        </w:rPr>
        <w:t xml:space="preserve"> uznawane za stałe.</w:t>
      </w:r>
    </w:p>
    <w:p w:rsidR="007824D6" w:rsidRPr="00E24274" w:rsidRDefault="007824D6" w:rsidP="00E24274">
      <w:pPr>
        <w:pStyle w:val="USTustnpkodeksu"/>
        <w:spacing w:before="120"/>
        <w:ind w:firstLine="0"/>
        <w:rPr>
          <w:rFonts w:ascii="Times New Roman" w:eastAsiaTheme="minorHAnsi" w:hAnsi="Times New Roman" w:cs="Times New Roman"/>
          <w:bCs w:val="0"/>
          <w:color w:val="000000" w:themeColor="text1"/>
          <w:szCs w:val="24"/>
          <w:lang w:eastAsia="en-US"/>
        </w:rPr>
      </w:pPr>
      <w:r w:rsidRPr="00E24274">
        <w:rPr>
          <w:rFonts w:ascii="Times New Roman" w:hAnsi="Times New Roman" w:cs="Times New Roman"/>
          <w:b/>
          <w:szCs w:val="24"/>
        </w:rPr>
        <w:lastRenderedPageBreak/>
        <w:t>art. 79</w:t>
      </w:r>
    </w:p>
    <w:p w:rsidR="007824D6" w:rsidRPr="00E24274" w:rsidRDefault="007824D6" w:rsidP="00BB2307">
      <w:pPr>
        <w:pStyle w:val="USTustnpkodeksu"/>
        <w:ind w:firstLine="0"/>
        <w:rPr>
          <w:rFonts w:ascii="Times New Roman" w:eastAsiaTheme="minorHAnsi" w:hAnsi="Times New Roman" w:cs="Times New Roman"/>
          <w:bCs w:val="0"/>
          <w:color w:val="000000" w:themeColor="text1"/>
          <w:szCs w:val="24"/>
          <w:lang w:eastAsia="en-US"/>
        </w:rPr>
      </w:pPr>
      <w:r w:rsidRPr="00E24274">
        <w:rPr>
          <w:rFonts w:ascii="Times New Roman" w:eastAsiaTheme="minorHAnsi" w:hAnsi="Times New Roman" w:cs="Times New Roman"/>
          <w:bCs w:val="0"/>
          <w:color w:val="000000" w:themeColor="text1"/>
          <w:szCs w:val="24"/>
          <w:lang w:eastAsia="en-US"/>
        </w:rPr>
        <w:t xml:space="preserve">1. Projektowany art. 79 reguluje kwestię zaskarżania decyzji Komisji i podmiotu właściwego do rozpoznawania środków zaskarżenia (ust. 1) oraz nakłada na </w:t>
      </w:r>
      <w:r w:rsidR="00E52464" w:rsidRPr="00E24274">
        <w:rPr>
          <w:rFonts w:ascii="Times New Roman" w:eastAsiaTheme="minorHAnsi" w:hAnsi="Times New Roman" w:cs="Times New Roman"/>
          <w:bCs w:val="0"/>
          <w:color w:val="000000" w:themeColor="text1"/>
          <w:szCs w:val="24"/>
          <w:lang w:eastAsia="en-US"/>
        </w:rPr>
        <w:t>P</w:t>
      </w:r>
      <w:r w:rsidRPr="00E24274">
        <w:rPr>
          <w:rFonts w:ascii="Times New Roman" w:eastAsiaTheme="minorHAnsi" w:hAnsi="Times New Roman" w:cs="Times New Roman"/>
          <w:bCs w:val="0"/>
          <w:color w:val="000000" w:themeColor="text1"/>
          <w:szCs w:val="24"/>
          <w:lang w:eastAsia="en-US"/>
        </w:rPr>
        <w:t xml:space="preserve">rzewodniczącego Komisji obowiązek </w:t>
      </w:r>
      <w:r w:rsidR="000803C5" w:rsidRPr="00E24274">
        <w:rPr>
          <w:rFonts w:ascii="Times New Roman" w:eastAsiaTheme="minorHAnsi" w:hAnsi="Times New Roman" w:cs="Times New Roman"/>
          <w:bCs w:val="0"/>
          <w:color w:val="000000" w:themeColor="text1"/>
          <w:szCs w:val="24"/>
          <w:lang w:eastAsia="en-US"/>
        </w:rPr>
        <w:t xml:space="preserve">zamieszczenia </w:t>
      </w:r>
      <w:r w:rsidRPr="00E24274">
        <w:rPr>
          <w:rFonts w:ascii="Times New Roman" w:eastAsiaTheme="minorHAnsi" w:hAnsi="Times New Roman" w:cs="Times New Roman"/>
          <w:bCs w:val="0"/>
          <w:color w:val="000000" w:themeColor="text1"/>
          <w:szCs w:val="24"/>
          <w:lang w:eastAsia="en-US"/>
        </w:rPr>
        <w:t xml:space="preserve">w Biuletynie Informacji Publicznej </w:t>
      </w:r>
      <w:r w:rsidRPr="00E24274">
        <w:rPr>
          <w:rFonts w:ascii="Times New Roman" w:hAnsi="Times New Roman" w:cs="Times New Roman"/>
          <w:szCs w:val="24"/>
        </w:rPr>
        <w:t>informacji o złożeniu odwołania</w:t>
      </w:r>
      <w:r w:rsidRPr="00E24274">
        <w:rPr>
          <w:rFonts w:ascii="Times New Roman" w:eastAsiaTheme="minorHAnsi" w:hAnsi="Times New Roman" w:cs="Times New Roman"/>
          <w:bCs w:val="0"/>
          <w:color w:val="000000" w:themeColor="text1"/>
          <w:szCs w:val="24"/>
          <w:lang w:eastAsia="en-US"/>
        </w:rPr>
        <w:t xml:space="preserve"> (ust. 2). Obowiązek ten w obowiązującym stanie prawnym wynika z treści art. 110</w:t>
      </w:r>
      <w:r w:rsidRPr="00E24274">
        <w:rPr>
          <w:rFonts w:ascii="Times New Roman" w:eastAsiaTheme="minorHAnsi" w:hAnsi="Times New Roman" w:cs="Times New Roman"/>
          <w:bCs w:val="0"/>
          <w:color w:val="000000" w:themeColor="text1"/>
          <w:szCs w:val="24"/>
          <w:vertAlign w:val="superscript"/>
          <w:lang w:eastAsia="en-US"/>
        </w:rPr>
        <w:t>14</w:t>
      </w:r>
      <w:r w:rsidRPr="00E24274">
        <w:rPr>
          <w:rFonts w:ascii="Times New Roman" w:eastAsiaTheme="minorHAnsi" w:hAnsi="Times New Roman" w:cs="Times New Roman"/>
          <w:bCs w:val="0"/>
          <w:color w:val="000000" w:themeColor="text1"/>
          <w:szCs w:val="24"/>
          <w:lang w:eastAsia="en-US"/>
        </w:rPr>
        <w:t xml:space="preserve"> ust. 2 pr. aut.</w:t>
      </w:r>
    </w:p>
    <w:p w:rsidR="007824D6" w:rsidRPr="00E24274" w:rsidRDefault="007824D6" w:rsidP="00E24274">
      <w:pPr>
        <w:pStyle w:val="USTustnpkodeksu"/>
        <w:spacing w:before="120"/>
        <w:ind w:firstLine="0"/>
        <w:rPr>
          <w:rFonts w:ascii="Times New Roman" w:hAnsi="Times New Roman" w:cs="Times New Roman"/>
          <w:color w:val="000000" w:themeColor="text1"/>
          <w:szCs w:val="24"/>
        </w:rPr>
      </w:pPr>
      <w:r w:rsidRPr="00E24274">
        <w:rPr>
          <w:rFonts w:ascii="Times New Roman" w:hAnsi="Times New Roman" w:cs="Times New Roman"/>
          <w:color w:val="000000" w:themeColor="text1"/>
          <w:szCs w:val="24"/>
        </w:rPr>
        <w:t xml:space="preserve">2. W przypadku środków zaskarżenia projekt zakłada, że </w:t>
      </w:r>
      <w:r w:rsidR="00BB2307">
        <w:rPr>
          <w:rFonts w:ascii="Times New Roman" w:eastAsiaTheme="minorHAnsi" w:hAnsi="Times New Roman" w:cs="Times New Roman"/>
          <w:bCs w:val="0"/>
          <w:color w:val="000000" w:themeColor="text1"/>
          <w:szCs w:val="24"/>
          <w:lang w:eastAsia="en-US"/>
        </w:rPr>
        <w:t>od decyzji Komisji w </w:t>
      </w:r>
      <w:r w:rsidRPr="00E24274">
        <w:rPr>
          <w:rFonts w:ascii="Times New Roman" w:eastAsiaTheme="minorHAnsi" w:hAnsi="Times New Roman" w:cs="Times New Roman"/>
          <w:bCs w:val="0"/>
          <w:color w:val="000000" w:themeColor="text1"/>
          <w:szCs w:val="24"/>
          <w:lang w:eastAsia="en-US"/>
        </w:rPr>
        <w:t xml:space="preserve">przedmiocie zatwierdzenia tabeli wynagrodzeń będzie służyło odwołanie do ministra </w:t>
      </w:r>
      <w:r w:rsidRPr="00E24274">
        <w:rPr>
          <w:rFonts w:ascii="Times New Roman" w:hAnsi="Times New Roman" w:cs="Times New Roman"/>
          <w:color w:val="000000" w:themeColor="text1"/>
          <w:szCs w:val="24"/>
        </w:rPr>
        <w:t>właściwego d</w:t>
      </w:r>
      <w:r w:rsidR="00E52464" w:rsidRPr="00E24274">
        <w:rPr>
          <w:rFonts w:ascii="Times New Roman" w:hAnsi="Times New Roman" w:cs="Times New Roman"/>
          <w:color w:val="000000" w:themeColor="text1"/>
          <w:szCs w:val="24"/>
        </w:rPr>
        <w:t xml:space="preserve">o </w:t>
      </w:r>
      <w:r w:rsidRPr="00E24274">
        <w:rPr>
          <w:rFonts w:ascii="Times New Roman" w:hAnsi="Times New Roman" w:cs="Times New Roman"/>
          <w:color w:val="000000" w:themeColor="text1"/>
          <w:szCs w:val="24"/>
        </w:rPr>
        <w:t>s</w:t>
      </w:r>
      <w:r w:rsidR="00E52464" w:rsidRPr="00E24274">
        <w:rPr>
          <w:rFonts w:ascii="Times New Roman" w:hAnsi="Times New Roman" w:cs="Times New Roman"/>
          <w:color w:val="000000" w:themeColor="text1"/>
          <w:szCs w:val="24"/>
        </w:rPr>
        <w:t>praw</w:t>
      </w:r>
      <w:r w:rsidRPr="00E24274">
        <w:rPr>
          <w:rFonts w:ascii="Times New Roman" w:hAnsi="Times New Roman" w:cs="Times New Roman"/>
          <w:color w:val="000000" w:themeColor="text1"/>
          <w:szCs w:val="24"/>
        </w:rPr>
        <w:t xml:space="preserve"> kultury i ochrony dziedzictwa narodowego</w:t>
      </w:r>
      <w:r w:rsidRPr="00E24274">
        <w:rPr>
          <w:rFonts w:ascii="Times New Roman" w:eastAsiaTheme="minorHAnsi" w:hAnsi="Times New Roman" w:cs="Times New Roman"/>
          <w:bCs w:val="0"/>
          <w:color w:val="000000" w:themeColor="text1"/>
          <w:szCs w:val="24"/>
          <w:lang w:eastAsia="en-US"/>
        </w:rPr>
        <w:t>. W obecnie obowiązującym stanie prawnym, przy odpowiednim zastosowaniu przepisów Kodeksu postępowania cywilnego</w:t>
      </w:r>
      <w:r w:rsidR="0000774C">
        <w:rPr>
          <w:rFonts w:ascii="Times New Roman" w:eastAsiaTheme="minorHAnsi" w:hAnsi="Times New Roman" w:cs="Times New Roman"/>
          <w:bCs w:val="0"/>
          <w:color w:val="000000" w:themeColor="text1"/>
          <w:szCs w:val="24"/>
          <w:lang w:eastAsia="en-US"/>
        </w:rPr>
        <w:t>,</w:t>
      </w:r>
      <w:r w:rsidRPr="00E24274">
        <w:rPr>
          <w:rFonts w:ascii="Times New Roman" w:eastAsiaTheme="minorHAnsi" w:hAnsi="Times New Roman" w:cs="Times New Roman"/>
          <w:bCs w:val="0"/>
          <w:color w:val="000000" w:themeColor="text1"/>
          <w:szCs w:val="24"/>
          <w:lang w:eastAsia="en-US"/>
        </w:rPr>
        <w:t xml:space="preserve"> w takiej sytuacji służy prawo do złożenia, w terminie 14 dni od dnia doręczenia orzeczenia z uzasadnieniem, wniosku o zatwierdzenie albo odmowę zatwierdzenia tabeli wynagrodzeń do sądu powszechnego (art. 110</w:t>
      </w:r>
      <w:r w:rsidRPr="00E24274">
        <w:rPr>
          <w:rFonts w:ascii="Times New Roman" w:eastAsiaTheme="minorHAnsi" w:hAnsi="Times New Roman" w:cs="Times New Roman"/>
          <w:bCs w:val="0"/>
          <w:color w:val="000000" w:themeColor="text1"/>
          <w:szCs w:val="24"/>
          <w:vertAlign w:val="superscript"/>
          <w:lang w:eastAsia="en-US"/>
        </w:rPr>
        <w:t>14</w:t>
      </w:r>
      <w:r w:rsidRPr="00E24274">
        <w:rPr>
          <w:rFonts w:ascii="Times New Roman" w:eastAsiaTheme="minorHAnsi" w:hAnsi="Times New Roman" w:cs="Times New Roman"/>
          <w:bCs w:val="0"/>
          <w:color w:val="000000" w:themeColor="text1"/>
          <w:szCs w:val="24"/>
          <w:lang w:eastAsia="en-US"/>
        </w:rPr>
        <w:t xml:space="preserve"> ust. 1 pr. aut.). Termin na skorzystanie ze środka zaskarżenia pozostał niezmieniony, natomiast zmiana rodzaju środka zaskarżenia wiąże się ze zmianą przepisów stosowanych odpowiednio wobec postępowań o zatwierdzenie tabel: z procedury cywilnej na procedurę administracyjną. Uprawnienia ministra do pełnienia roli organu odwoławczego w tym wypadku i rozpoznawania odwołań od decyzji Komisji wynikały z przepisów regulujących działalność Komisji przed wejściem w życie przepisów ustawy</w:t>
      </w:r>
      <w:r w:rsidRPr="00E24274">
        <w:rPr>
          <w:rFonts w:ascii="Times New Roman" w:eastAsia="Calibri" w:hAnsi="Times New Roman" w:cs="Times New Roman"/>
          <w:bCs w:val="0"/>
          <w:szCs w:val="24"/>
        </w:rPr>
        <w:t xml:space="preserve"> </w:t>
      </w:r>
      <w:r w:rsidR="00BB2307">
        <w:rPr>
          <w:rFonts w:ascii="Times New Roman" w:eastAsiaTheme="minorHAnsi" w:hAnsi="Times New Roman" w:cs="Times New Roman"/>
          <w:bCs w:val="0"/>
          <w:color w:val="000000" w:themeColor="text1"/>
          <w:szCs w:val="24"/>
          <w:lang w:eastAsia="en-US"/>
        </w:rPr>
        <w:t>z dnia 8 </w:t>
      </w:r>
      <w:r w:rsidRPr="00E24274">
        <w:rPr>
          <w:rFonts w:ascii="Times New Roman" w:eastAsiaTheme="minorHAnsi" w:hAnsi="Times New Roman" w:cs="Times New Roman"/>
          <w:bCs w:val="0"/>
          <w:color w:val="000000" w:themeColor="text1"/>
          <w:szCs w:val="24"/>
          <w:lang w:eastAsia="en-US"/>
        </w:rPr>
        <w:t>lipca 2010 r. o zmianie ustawy o prawie autorskim i prawach pokrewnych oraz ustawy o kosztach sądowych w sprawach cywilnych i nie były wówczas kwestionowane.</w:t>
      </w:r>
    </w:p>
    <w:p w:rsidR="007824D6" w:rsidRPr="00E24274" w:rsidRDefault="007824D6" w:rsidP="00E24274">
      <w:pPr>
        <w:pStyle w:val="ARTartustawynprozporzdzenia"/>
        <w:tabs>
          <w:tab w:val="left" w:pos="5284"/>
        </w:tabs>
        <w:ind w:firstLine="0"/>
        <w:rPr>
          <w:rFonts w:ascii="Times New Roman" w:hAnsi="Times New Roman" w:cs="Times New Roman"/>
          <w:b/>
          <w:bCs/>
        </w:rPr>
      </w:pPr>
      <w:r w:rsidRPr="00E24274">
        <w:rPr>
          <w:rFonts w:ascii="Times New Roman" w:hAnsi="Times New Roman" w:cs="Times New Roman"/>
          <w:b/>
          <w:bCs/>
        </w:rPr>
        <w:t>art. 80</w:t>
      </w:r>
    </w:p>
    <w:p w:rsidR="007824D6" w:rsidRPr="00E24274" w:rsidRDefault="007824D6" w:rsidP="00BB2307">
      <w:pPr>
        <w:pStyle w:val="ARTartustawynprozporzdzenia"/>
        <w:spacing w:before="0"/>
        <w:ind w:firstLine="0"/>
        <w:rPr>
          <w:rFonts w:ascii="Times New Roman" w:hAnsi="Times New Roman" w:cs="Times New Roman"/>
          <w:bCs/>
        </w:rPr>
      </w:pPr>
      <w:r w:rsidRPr="00E24274">
        <w:rPr>
          <w:rFonts w:ascii="Times New Roman" w:hAnsi="Times New Roman" w:cs="Times New Roman"/>
          <w:bCs/>
        </w:rPr>
        <w:t xml:space="preserve">1. Projektowany art. 80 określa, jakie rodzaje decyzji może wydać minister </w:t>
      </w:r>
      <w:r w:rsidRPr="00E24274">
        <w:rPr>
          <w:rFonts w:ascii="Times New Roman" w:hAnsi="Times New Roman" w:cs="Times New Roman"/>
        </w:rPr>
        <w:t>właściwy d</w:t>
      </w:r>
      <w:r w:rsidR="00E52464" w:rsidRPr="00E24274">
        <w:rPr>
          <w:rFonts w:ascii="Times New Roman" w:hAnsi="Times New Roman" w:cs="Times New Roman"/>
        </w:rPr>
        <w:t xml:space="preserve">o </w:t>
      </w:r>
      <w:r w:rsidRPr="00E24274">
        <w:rPr>
          <w:rFonts w:ascii="Times New Roman" w:hAnsi="Times New Roman" w:cs="Times New Roman"/>
        </w:rPr>
        <w:t>s</w:t>
      </w:r>
      <w:r w:rsidR="00E52464" w:rsidRPr="00E24274">
        <w:rPr>
          <w:rFonts w:ascii="Times New Roman" w:hAnsi="Times New Roman" w:cs="Times New Roman"/>
        </w:rPr>
        <w:t>praw</w:t>
      </w:r>
      <w:r w:rsidRPr="00E24274">
        <w:rPr>
          <w:rFonts w:ascii="Times New Roman" w:hAnsi="Times New Roman" w:cs="Times New Roman"/>
        </w:rPr>
        <w:t xml:space="preserve"> kultury i ochrony dziedzictwa narodowego</w:t>
      </w:r>
      <w:r w:rsidRPr="00E24274">
        <w:rPr>
          <w:rFonts w:ascii="Times New Roman" w:hAnsi="Times New Roman" w:cs="Times New Roman"/>
          <w:bCs/>
        </w:rPr>
        <w:t xml:space="preserve"> jako organ odwoławczy w wyniku rozpoznania odwołania od decyzji wydanej przez Komisję. Zgodnie z projektowanym przepisem minister będzie mógł:</w:t>
      </w:r>
    </w:p>
    <w:p w:rsidR="007824D6" w:rsidRPr="00E24274" w:rsidRDefault="007824D6" w:rsidP="00BB2307">
      <w:pPr>
        <w:pStyle w:val="ARTartustawynprozporzdzenia"/>
        <w:numPr>
          <w:ilvl w:val="0"/>
          <w:numId w:val="32"/>
        </w:numPr>
        <w:spacing w:before="0"/>
        <w:ind w:left="420" w:hanging="406"/>
        <w:rPr>
          <w:rFonts w:ascii="Times New Roman" w:hAnsi="Times New Roman" w:cs="Times New Roman"/>
          <w:bCs/>
        </w:rPr>
      </w:pPr>
      <w:r w:rsidRPr="00E24274">
        <w:rPr>
          <w:rFonts w:ascii="Times New Roman" w:hAnsi="Times New Roman" w:cs="Times New Roman"/>
          <w:bCs/>
        </w:rPr>
        <w:t>utrzymać w mocy zaskarżoną decyzję albo</w:t>
      </w:r>
    </w:p>
    <w:p w:rsidR="007824D6" w:rsidRPr="00E24274" w:rsidRDefault="007824D6" w:rsidP="00BB2307">
      <w:pPr>
        <w:pStyle w:val="ARTartustawynprozporzdzenia"/>
        <w:numPr>
          <w:ilvl w:val="0"/>
          <w:numId w:val="32"/>
        </w:numPr>
        <w:spacing w:before="0"/>
        <w:ind w:left="420" w:hanging="406"/>
        <w:rPr>
          <w:rFonts w:ascii="Times New Roman" w:hAnsi="Times New Roman" w:cs="Times New Roman"/>
          <w:bCs/>
        </w:rPr>
      </w:pPr>
      <w:r w:rsidRPr="00E24274">
        <w:rPr>
          <w:rFonts w:ascii="Times New Roman" w:hAnsi="Times New Roman" w:cs="Times New Roman"/>
          <w:bCs/>
        </w:rPr>
        <w:t xml:space="preserve">uchylić zaskarżoną decyzję w całości albo w części i w tym zakresie zatwierdzić lub odmówić zatwierdzenia tabeli wynagrodzeń </w:t>
      </w:r>
      <w:r w:rsidRPr="00E24274">
        <w:rPr>
          <w:rFonts w:ascii="Times New Roman" w:hAnsi="Times New Roman" w:cs="Times New Roman"/>
        </w:rPr>
        <w:t>za korzystanie z utworów lub przedmiotów praw pokrewnych</w:t>
      </w:r>
      <w:r w:rsidRPr="00E24274">
        <w:rPr>
          <w:rFonts w:ascii="Times New Roman" w:hAnsi="Times New Roman" w:cs="Times New Roman"/>
          <w:bCs/>
        </w:rPr>
        <w:t xml:space="preserve"> bądź umarzając tę decyzję umorzyć postępowanie pierwszej instancji, albo</w:t>
      </w:r>
    </w:p>
    <w:p w:rsidR="007824D6" w:rsidRPr="00E24274" w:rsidRDefault="007824D6" w:rsidP="00BB2307">
      <w:pPr>
        <w:pStyle w:val="ARTartustawynprozporzdzenia"/>
        <w:numPr>
          <w:ilvl w:val="0"/>
          <w:numId w:val="32"/>
        </w:numPr>
        <w:spacing w:before="0"/>
        <w:ind w:left="420" w:hanging="406"/>
        <w:rPr>
          <w:rFonts w:ascii="Times New Roman" w:hAnsi="Times New Roman" w:cs="Times New Roman"/>
          <w:bCs/>
        </w:rPr>
      </w:pPr>
      <w:r w:rsidRPr="00E24274">
        <w:rPr>
          <w:rFonts w:ascii="Times New Roman" w:hAnsi="Times New Roman" w:cs="Times New Roman"/>
          <w:bCs/>
        </w:rPr>
        <w:t>umorzyć postępowanie odwoławcze</w:t>
      </w:r>
      <w:r w:rsidR="0000774C">
        <w:rPr>
          <w:rFonts w:ascii="Times New Roman" w:hAnsi="Times New Roman" w:cs="Times New Roman"/>
          <w:bCs/>
        </w:rPr>
        <w:t>,</w:t>
      </w:r>
    </w:p>
    <w:p w:rsidR="007824D6" w:rsidRPr="00E24274" w:rsidRDefault="007824D6" w:rsidP="00BB2307">
      <w:pPr>
        <w:pStyle w:val="ARTartustawynprozporzdzenia"/>
        <w:numPr>
          <w:ilvl w:val="0"/>
          <w:numId w:val="32"/>
        </w:numPr>
        <w:spacing w:before="0"/>
        <w:ind w:left="420" w:hanging="406"/>
        <w:rPr>
          <w:rFonts w:ascii="Times New Roman" w:hAnsi="Times New Roman" w:cs="Times New Roman"/>
          <w:bCs/>
        </w:rPr>
      </w:pPr>
      <w:r w:rsidRPr="00E24274">
        <w:rPr>
          <w:rFonts w:ascii="Times New Roman" w:hAnsi="Times New Roman" w:cs="Times New Roman"/>
          <w:bCs/>
        </w:rPr>
        <w:lastRenderedPageBreak/>
        <w:t>uchylić zaskarżoną decyzję w całości i przekazać sprawę do ponownego rozpatrzenia przez Komisję Prawa Autorskieg</w:t>
      </w:r>
      <w:r w:rsidR="00BB2307">
        <w:rPr>
          <w:rFonts w:ascii="Times New Roman" w:hAnsi="Times New Roman" w:cs="Times New Roman"/>
          <w:bCs/>
        </w:rPr>
        <w:t>o, gdy decyzja została wydana z </w:t>
      </w:r>
      <w:r w:rsidRPr="00E24274">
        <w:rPr>
          <w:rFonts w:ascii="Times New Roman" w:hAnsi="Times New Roman" w:cs="Times New Roman"/>
          <w:bCs/>
        </w:rPr>
        <w:t>naruszeniem przepisów postępowania, a konieczny do wyjaśnienia zakres sprawy ma istotny wpływ na jej rozstrzygnięcie.</w:t>
      </w:r>
    </w:p>
    <w:p w:rsidR="007824D6" w:rsidRPr="00E24274" w:rsidRDefault="007824D6" w:rsidP="00E24274">
      <w:pPr>
        <w:pStyle w:val="ARTartustawynprozporzdzenia"/>
        <w:ind w:firstLine="0"/>
        <w:rPr>
          <w:rFonts w:ascii="Times New Roman" w:hAnsi="Times New Roman" w:cs="Times New Roman"/>
          <w:bCs/>
        </w:rPr>
      </w:pPr>
      <w:r w:rsidRPr="00E24274">
        <w:rPr>
          <w:rFonts w:ascii="Times New Roman" w:hAnsi="Times New Roman" w:cs="Times New Roman"/>
          <w:bCs/>
        </w:rPr>
        <w:t xml:space="preserve">W tym ostatnim wypadku minister będzie zobligowany do wskazania, jakie okoliczności należy wziąć pod uwagę przy ponownym </w:t>
      </w:r>
      <w:r w:rsidR="00BB2307">
        <w:rPr>
          <w:rFonts w:ascii="Times New Roman" w:hAnsi="Times New Roman" w:cs="Times New Roman"/>
          <w:bCs/>
        </w:rPr>
        <w:t>rozpatrzeniu sprawy (ust. 2 zd. </w:t>
      </w:r>
      <w:r w:rsidRPr="00E24274">
        <w:rPr>
          <w:rFonts w:ascii="Times New Roman" w:hAnsi="Times New Roman" w:cs="Times New Roman"/>
          <w:bCs/>
        </w:rPr>
        <w:t>2) przez</w:t>
      </w:r>
      <w:r w:rsidRPr="00E24274">
        <w:rPr>
          <w:rFonts w:ascii="Times New Roman" w:hAnsi="Times New Roman" w:cs="Times New Roman"/>
        </w:rPr>
        <w:t xml:space="preserve"> </w:t>
      </w:r>
      <w:r w:rsidRPr="00E24274">
        <w:rPr>
          <w:rFonts w:ascii="Times New Roman" w:hAnsi="Times New Roman" w:cs="Times New Roman"/>
          <w:bCs/>
        </w:rPr>
        <w:t>zespół orzekający w innym składzie (ust. 3 projektowanego przepisu).</w:t>
      </w:r>
    </w:p>
    <w:p w:rsidR="007824D6" w:rsidRPr="00E24274" w:rsidRDefault="007824D6" w:rsidP="00E24274">
      <w:pPr>
        <w:pStyle w:val="ARTartustawynprozporzdzenia"/>
        <w:ind w:firstLine="0"/>
        <w:rPr>
          <w:rFonts w:ascii="Times New Roman" w:hAnsi="Times New Roman" w:cs="Times New Roman"/>
          <w:bCs/>
        </w:rPr>
      </w:pPr>
      <w:r w:rsidRPr="00E24274">
        <w:rPr>
          <w:rFonts w:ascii="Times New Roman" w:hAnsi="Times New Roman" w:cs="Times New Roman"/>
          <w:bCs/>
        </w:rPr>
        <w:t xml:space="preserve">Powyższy przepis stanowi </w:t>
      </w:r>
      <w:r w:rsidRPr="00E24274">
        <w:rPr>
          <w:rFonts w:ascii="Times New Roman" w:hAnsi="Times New Roman" w:cs="Times New Roman"/>
          <w:bCs/>
          <w:i/>
        </w:rPr>
        <w:t>lex specialis</w:t>
      </w:r>
      <w:r w:rsidRPr="00E24274">
        <w:rPr>
          <w:rFonts w:ascii="Times New Roman" w:hAnsi="Times New Roman" w:cs="Times New Roman"/>
          <w:bCs/>
        </w:rPr>
        <w:t xml:space="preserve"> wobec art. 138 Kodeksu postępowania administracyjnego. Jednocześnie projektowany katalog jest ukształtowany w sposób tożsamy z katalogiem rozstrzygnięć, jakie w przypadku tabel wynagrodzeń może obecnie wydać sąd, który może zatwierdzić albo odmówić zatwierdzenia tabeli wynagrodzeń, w całości albo w części (art. 110</w:t>
      </w:r>
      <w:r w:rsidRPr="00E24274">
        <w:rPr>
          <w:rFonts w:ascii="Times New Roman" w:hAnsi="Times New Roman" w:cs="Times New Roman"/>
          <w:bCs/>
          <w:vertAlign w:val="superscript"/>
        </w:rPr>
        <w:t>14</w:t>
      </w:r>
      <w:r w:rsidRPr="00E24274">
        <w:rPr>
          <w:rFonts w:ascii="Times New Roman" w:hAnsi="Times New Roman" w:cs="Times New Roman"/>
          <w:bCs/>
        </w:rPr>
        <w:t xml:space="preserve"> ust. 1 pr. aut.). Podobnie więc jak obecnie organ odwoławczy nie będzie miał uprawnienia do samodzielnego kształtowania treści tabeli wynagrodzeń, a tym samym wpływania bezpośrednio na ich wysokość. </w:t>
      </w:r>
    </w:p>
    <w:p w:rsidR="005E27FB" w:rsidRPr="00E24274" w:rsidRDefault="005E27FB" w:rsidP="00E24274">
      <w:pPr>
        <w:pStyle w:val="ARTartustawynprozporzdzenia"/>
        <w:ind w:firstLine="0"/>
        <w:rPr>
          <w:rFonts w:ascii="Times New Roman" w:hAnsi="Times New Roman" w:cs="Times New Roman"/>
          <w:b/>
          <w:bCs/>
        </w:rPr>
      </w:pPr>
      <w:r w:rsidRPr="00E24274">
        <w:rPr>
          <w:rFonts w:ascii="Times New Roman" w:hAnsi="Times New Roman" w:cs="Times New Roman"/>
          <w:b/>
          <w:bCs/>
        </w:rPr>
        <w:t>art. 81</w:t>
      </w:r>
    </w:p>
    <w:p w:rsidR="005E27FB" w:rsidRPr="00E24274" w:rsidRDefault="005E27FB" w:rsidP="00BB2307">
      <w:pPr>
        <w:pStyle w:val="ARTartustawynprozporzdzenia"/>
        <w:spacing w:before="0"/>
        <w:ind w:firstLine="0"/>
        <w:rPr>
          <w:rFonts w:ascii="Times New Roman" w:hAnsi="Times New Roman" w:cs="Times New Roman"/>
          <w:bCs/>
        </w:rPr>
      </w:pPr>
      <w:r w:rsidRPr="00E24274">
        <w:rPr>
          <w:rFonts w:ascii="Times New Roman" w:hAnsi="Times New Roman" w:cs="Times New Roman"/>
          <w:bCs/>
        </w:rPr>
        <w:t>1. Projektowany art. 81 reguluje dwie kwestie:</w:t>
      </w:r>
    </w:p>
    <w:p w:rsidR="005E27FB" w:rsidRPr="00E24274" w:rsidRDefault="005E27FB" w:rsidP="00BB2307">
      <w:pPr>
        <w:pStyle w:val="ARTartustawynprozporzdzenia"/>
        <w:numPr>
          <w:ilvl w:val="0"/>
          <w:numId w:val="42"/>
        </w:numPr>
        <w:spacing w:before="0"/>
        <w:ind w:left="280" w:hanging="280"/>
        <w:rPr>
          <w:rFonts w:ascii="Times New Roman" w:hAnsi="Times New Roman" w:cs="Times New Roman"/>
          <w:bCs/>
        </w:rPr>
      </w:pPr>
      <w:r w:rsidRPr="00E24274">
        <w:rPr>
          <w:rFonts w:ascii="Times New Roman" w:hAnsi="Times New Roman" w:cs="Times New Roman"/>
          <w:bCs/>
        </w:rPr>
        <w:t>zmianę zatwierdzonej tabeli wynagrodzeń w przypadku istotnej zmiany okoliczności stanowiących podstawę decyzji w sprawie zatwierdzenia tabeli wynagrodzeń (ust. 1)</w:t>
      </w:r>
      <w:r w:rsidR="0000774C">
        <w:rPr>
          <w:rFonts w:ascii="Times New Roman" w:hAnsi="Times New Roman" w:cs="Times New Roman"/>
          <w:bCs/>
        </w:rPr>
        <w:t>,</w:t>
      </w:r>
      <w:r w:rsidRPr="00E24274">
        <w:rPr>
          <w:rFonts w:ascii="Times New Roman" w:hAnsi="Times New Roman" w:cs="Times New Roman"/>
          <w:bCs/>
        </w:rPr>
        <w:t xml:space="preserve"> </w:t>
      </w:r>
    </w:p>
    <w:p w:rsidR="005E27FB" w:rsidRPr="00E24274" w:rsidRDefault="005E27FB" w:rsidP="00BB2307">
      <w:pPr>
        <w:pStyle w:val="ARTartustawynprozporzdzenia"/>
        <w:numPr>
          <w:ilvl w:val="0"/>
          <w:numId w:val="42"/>
        </w:numPr>
        <w:spacing w:before="0"/>
        <w:ind w:left="280" w:hanging="280"/>
        <w:rPr>
          <w:rFonts w:ascii="Times New Roman" w:hAnsi="Times New Roman" w:cs="Times New Roman"/>
          <w:bCs/>
        </w:rPr>
      </w:pPr>
      <w:r w:rsidRPr="00E24274">
        <w:rPr>
          <w:rFonts w:ascii="Times New Roman" w:hAnsi="Times New Roman" w:cs="Times New Roman"/>
          <w:bCs/>
        </w:rPr>
        <w:t xml:space="preserve">uprawnienie przewodniczącego Komisji do wszczęcia na wniosek organizacji, która ma w tym interes prawny postępowania w przedmiocie zmiany tabeli wynagrodzeń, jeżeli udzielenie nowego zezwolenia na zbiorowe zarządzanie albo zmiana lub cofnięcie zezwolenia powoduje konieczność dokonania lub modyfikacji podziału stawki wynagrodzeń między organizacje zbiorowego zarządzania, których dotyczyła zatwierdzona tabela (ust. 2). </w:t>
      </w:r>
    </w:p>
    <w:p w:rsidR="005E27FB" w:rsidRPr="00E24274" w:rsidRDefault="005E27FB" w:rsidP="00E24274">
      <w:pPr>
        <w:pStyle w:val="ARTartustawynprozporzdzenia"/>
        <w:ind w:firstLine="0"/>
        <w:rPr>
          <w:rFonts w:ascii="Times New Roman" w:hAnsi="Times New Roman" w:cs="Times New Roman"/>
          <w:bCs/>
        </w:rPr>
      </w:pPr>
      <w:r w:rsidRPr="00E24274">
        <w:rPr>
          <w:rFonts w:ascii="Times New Roman" w:hAnsi="Times New Roman" w:cs="Times New Roman"/>
          <w:bCs/>
        </w:rPr>
        <w:t>Dodatkowo ust. 3 projektowanego przepisu wskazuje przepisy właściwe w przypadku postępowania w sprawie zmiany zatwierdzonej tabeli wynagrodzeń, przesądzając, że będą miały wówczas</w:t>
      </w:r>
      <w:r w:rsidR="000803C5" w:rsidRPr="00E24274">
        <w:rPr>
          <w:rFonts w:ascii="Times New Roman" w:hAnsi="Times New Roman" w:cs="Times New Roman"/>
          <w:bCs/>
        </w:rPr>
        <w:t xml:space="preserve"> odpowiednie</w:t>
      </w:r>
      <w:r w:rsidRPr="00E24274">
        <w:rPr>
          <w:rFonts w:ascii="Times New Roman" w:hAnsi="Times New Roman" w:cs="Times New Roman"/>
          <w:bCs/>
        </w:rPr>
        <w:t xml:space="preserve"> zastosowanie przepisy dotyczące zatwierdzania tabel wynagrodzeń.</w:t>
      </w:r>
    </w:p>
    <w:p w:rsidR="005E27FB" w:rsidRPr="00E24274" w:rsidRDefault="005E27FB" w:rsidP="00E24274">
      <w:pPr>
        <w:pStyle w:val="ARTartustawynprozporzdzenia"/>
        <w:ind w:firstLine="0"/>
        <w:rPr>
          <w:rFonts w:ascii="Times New Roman" w:hAnsi="Times New Roman" w:cs="Times New Roman"/>
          <w:bCs/>
        </w:rPr>
      </w:pPr>
      <w:r w:rsidRPr="00E24274">
        <w:rPr>
          <w:rFonts w:ascii="Times New Roman" w:hAnsi="Times New Roman" w:cs="Times New Roman"/>
          <w:bCs/>
        </w:rPr>
        <w:t>2. Projektowany art. 81 ust. 1 spełnia tę samą funkc</w:t>
      </w:r>
      <w:r w:rsidR="00BB2307">
        <w:rPr>
          <w:rFonts w:ascii="Times New Roman" w:hAnsi="Times New Roman" w:cs="Times New Roman"/>
          <w:bCs/>
        </w:rPr>
        <w:t>ję co obecnie obowiązujący art. </w:t>
      </w:r>
      <w:r w:rsidRPr="00E24274">
        <w:rPr>
          <w:rFonts w:ascii="Times New Roman" w:hAnsi="Times New Roman" w:cs="Times New Roman"/>
          <w:bCs/>
        </w:rPr>
        <w:t>110</w:t>
      </w:r>
      <w:r w:rsidRPr="00E24274">
        <w:rPr>
          <w:rFonts w:ascii="Times New Roman" w:hAnsi="Times New Roman" w:cs="Times New Roman"/>
          <w:bCs/>
          <w:vertAlign w:val="superscript"/>
        </w:rPr>
        <w:t>15</w:t>
      </w:r>
      <w:r w:rsidRPr="00E24274">
        <w:rPr>
          <w:rFonts w:ascii="Times New Roman" w:hAnsi="Times New Roman" w:cs="Times New Roman"/>
          <w:bCs/>
        </w:rPr>
        <w:t xml:space="preserve"> pr. aut. Istotna zmiana w tym wypadku polega na tym, że na podstawie obecnie obowiązującego przepisu prawo do złożenia wniosku o zmianę zatwierdzonej </w:t>
      </w:r>
      <w:r w:rsidRPr="00E24274">
        <w:rPr>
          <w:rFonts w:ascii="Times New Roman" w:hAnsi="Times New Roman" w:cs="Times New Roman"/>
          <w:bCs/>
        </w:rPr>
        <w:lastRenderedPageBreak/>
        <w:t xml:space="preserve">tabeli przysługuje </w:t>
      </w:r>
      <w:r w:rsidR="00E24274">
        <w:rPr>
          <w:rFonts w:ascii="Times New Roman" w:hAnsi="Times New Roman" w:cs="Times New Roman"/>
          <w:bCs/>
        </w:rPr>
        <w:t>„</w:t>
      </w:r>
      <w:r w:rsidRPr="00E24274">
        <w:rPr>
          <w:rFonts w:ascii="Times New Roman" w:hAnsi="Times New Roman" w:cs="Times New Roman"/>
          <w:bCs/>
          <w:i/>
        </w:rPr>
        <w:t>każdemu z uczestników postępowania</w:t>
      </w:r>
      <w:r w:rsidR="00E24274">
        <w:rPr>
          <w:rFonts w:ascii="Times New Roman" w:hAnsi="Times New Roman" w:cs="Times New Roman"/>
          <w:bCs/>
        </w:rPr>
        <w:t>”</w:t>
      </w:r>
      <w:r w:rsidRPr="00E24274">
        <w:rPr>
          <w:rFonts w:ascii="Times New Roman" w:hAnsi="Times New Roman" w:cs="Times New Roman"/>
          <w:bCs/>
        </w:rPr>
        <w:t xml:space="preserve">. Natomiast według projektowanego przepisu, po pierwsze, nie będzie to uprawnienie, lecz obowiązek, po drugie, będzie on nałożony wyłącznie na </w:t>
      </w:r>
      <w:r w:rsidR="00E24274">
        <w:rPr>
          <w:rFonts w:ascii="Times New Roman" w:hAnsi="Times New Roman" w:cs="Times New Roman"/>
          <w:bCs/>
        </w:rPr>
        <w:t>„</w:t>
      </w:r>
      <w:r w:rsidRPr="00E24274">
        <w:rPr>
          <w:rFonts w:ascii="Times New Roman" w:hAnsi="Times New Roman" w:cs="Times New Roman"/>
          <w:bCs/>
          <w:i/>
        </w:rPr>
        <w:t>wnioskodawcę w postępowaniu, w którym doszło do zatwierdzenia tabeli</w:t>
      </w:r>
      <w:r w:rsidR="00E24274">
        <w:rPr>
          <w:rFonts w:ascii="Times New Roman" w:hAnsi="Times New Roman" w:cs="Times New Roman"/>
          <w:bCs/>
        </w:rPr>
        <w:t>”</w:t>
      </w:r>
      <w:r w:rsidRPr="00E24274">
        <w:rPr>
          <w:rFonts w:ascii="Times New Roman" w:hAnsi="Times New Roman" w:cs="Times New Roman"/>
          <w:bCs/>
        </w:rPr>
        <w:t xml:space="preserve">, czyli organizację zbiorowego zarządzania, na wniosek której została uprzednio zatwierdzona przez Komisję tabela wynagrodzeń. Proponowana zmiana zapewnia spójność przyjętych rozwiązań z podstawową zasadą wyrażoną w treści art. 73 ust. </w:t>
      </w:r>
      <w:r w:rsidR="00783FE2" w:rsidRPr="00E24274">
        <w:rPr>
          <w:rFonts w:ascii="Times New Roman" w:hAnsi="Times New Roman" w:cs="Times New Roman"/>
          <w:bCs/>
        </w:rPr>
        <w:t xml:space="preserve">1 </w:t>
      </w:r>
      <w:r w:rsidRPr="00E24274">
        <w:rPr>
          <w:rFonts w:ascii="Times New Roman" w:hAnsi="Times New Roman" w:cs="Times New Roman"/>
          <w:bCs/>
        </w:rPr>
        <w:t>projektu, zgodnie z którą wniosek o zatwierdzenie tabeli wynagrodzeń może złożyć jedynie organizacja zbiorowego zarządzania. Odmienne ukształtowanie kręgu potencjalnych wnioskodawców mogłoby doprowadzić do składania wniosków przez innych uczestników postępowania wyłącznie w celu podważenia uprzednio zatwierdzonych tabel wynagrodzeń. W praktyce niweczyłoby to stan pewności prawnej w relacji między organ</w:t>
      </w:r>
      <w:r w:rsidR="00BB2307">
        <w:rPr>
          <w:rFonts w:ascii="Times New Roman" w:hAnsi="Times New Roman" w:cs="Times New Roman"/>
          <w:bCs/>
        </w:rPr>
        <w:t>izacją zbiorowego zarządzania a </w:t>
      </w:r>
      <w:r w:rsidRPr="00E24274">
        <w:rPr>
          <w:rFonts w:ascii="Times New Roman" w:hAnsi="Times New Roman" w:cs="Times New Roman"/>
          <w:bCs/>
        </w:rPr>
        <w:t xml:space="preserve">użytkownikiem, którego osiągnieciu zatwierdzenie tabeli wynagrodzeń powinno służyć. </w:t>
      </w:r>
    </w:p>
    <w:p w:rsidR="005E27FB" w:rsidRPr="00E24274" w:rsidRDefault="005E27FB" w:rsidP="00E24274">
      <w:pPr>
        <w:pStyle w:val="ARTartustawynprozporzdzenia"/>
        <w:ind w:firstLine="0"/>
        <w:rPr>
          <w:rFonts w:ascii="Times New Roman" w:hAnsi="Times New Roman" w:cs="Times New Roman"/>
          <w:bCs/>
        </w:rPr>
      </w:pPr>
      <w:r w:rsidRPr="00E24274">
        <w:rPr>
          <w:rFonts w:ascii="Times New Roman" w:hAnsi="Times New Roman" w:cs="Times New Roman"/>
          <w:bCs/>
        </w:rPr>
        <w:t xml:space="preserve">3. Ust. 2 projektowanego przepisu będzie koniecznym </w:t>
      </w:r>
      <w:r w:rsidRPr="00E24274">
        <w:rPr>
          <w:rFonts w:ascii="Times New Roman" w:hAnsi="Times New Roman" w:cs="Times New Roman"/>
          <w:bCs/>
          <w:i/>
        </w:rPr>
        <w:t xml:space="preserve">novum </w:t>
      </w:r>
      <w:r w:rsidRPr="00E24274">
        <w:rPr>
          <w:rFonts w:ascii="Times New Roman" w:hAnsi="Times New Roman" w:cs="Times New Roman"/>
          <w:bCs/>
        </w:rPr>
        <w:t>w polskim porządku prawnym. W trakcie formułowania wniosku o zatwier</w:t>
      </w:r>
      <w:r w:rsidR="00BB2307">
        <w:rPr>
          <w:rFonts w:ascii="Times New Roman" w:hAnsi="Times New Roman" w:cs="Times New Roman"/>
          <w:bCs/>
        </w:rPr>
        <w:t>dzenie tabel wynagrodzeń oraz w </w:t>
      </w:r>
      <w:r w:rsidRPr="00E24274">
        <w:rPr>
          <w:rFonts w:ascii="Times New Roman" w:hAnsi="Times New Roman" w:cs="Times New Roman"/>
          <w:bCs/>
        </w:rPr>
        <w:t>trakcie postępowania o zatwierdzenie tabel wynagrodzeń jednym z kryteriów, które winno się wziąć pod uwagę</w:t>
      </w:r>
      <w:r w:rsidR="0000774C">
        <w:rPr>
          <w:rFonts w:ascii="Times New Roman" w:hAnsi="Times New Roman" w:cs="Times New Roman"/>
          <w:bCs/>
        </w:rPr>
        <w:t>,</w:t>
      </w:r>
      <w:r w:rsidRPr="00E24274">
        <w:rPr>
          <w:rFonts w:ascii="Times New Roman" w:hAnsi="Times New Roman" w:cs="Times New Roman"/>
          <w:bCs/>
        </w:rPr>
        <w:t xml:space="preserve"> jest m.in. </w:t>
      </w:r>
      <w:r w:rsidR="00E24274">
        <w:rPr>
          <w:rFonts w:ascii="Times New Roman" w:hAnsi="Times New Roman" w:cs="Times New Roman"/>
          <w:bCs/>
        </w:rPr>
        <w:t>„</w:t>
      </w:r>
      <w:r w:rsidRPr="00E24274">
        <w:rPr>
          <w:rFonts w:ascii="Times New Roman" w:hAnsi="Times New Roman" w:cs="Times New Roman"/>
          <w:bCs/>
          <w:i/>
        </w:rPr>
        <w:t>ogólne obciąż</w:t>
      </w:r>
      <w:r w:rsidR="00BB2307">
        <w:rPr>
          <w:rFonts w:ascii="Times New Roman" w:hAnsi="Times New Roman" w:cs="Times New Roman"/>
          <w:bCs/>
          <w:i/>
        </w:rPr>
        <w:t>enie podmiotów korzystających z </w:t>
      </w:r>
      <w:r w:rsidRPr="00E24274">
        <w:rPr>
          <w:rFonts w:ascii="Times New Roman" w:hAnsi="Times New Roman" w:cs="Times New Roman"/>
          <w:bCs/>
          <w:i/>
        </w:rPr>
        <w:t>utworów lub przedmiotów praw pokrewnych na rzecz wszystkich organizacji zbiorowego zarządzania z tytułu korzystania z praw autorskich i praw pokrewnych na danym polu eksploatacji</w:t>
      </w:r>
      <w:r w:rsidR="00E24274">
        <w:rPr>
          <w:rFonts w:ascii="Times New Roman" w:hAnsi="Times New Roman" w:cs="Times New Roman"/>
          <w:bCs/>
        </w:rPr>
        <w:t>”</w:t>
      </w:r>
      <w:r w:rsidRPr="00E24274">
        <w:rPr>
          <w:rFonts w:ascii="Times New Roman" w:hAnsi="Times New Roman" w:cs="Times New Roman"/>
          <w:bCs/>
        </w:rPr>
        <w:t>, o którym mowa w art. 77 ust. 2 pkt 2 projektu. Uwzględnienie tego kryterium sprowadza się do ustalenia globalnego wynagrodzenia należnego wszystkim organizacjom zbiorowego zarządzania od użytkowników z tytułu korzystania przez nich z utworów lub przedmiotów praw pokrewnych na konkretnym polu eksploatacji. Globalna stawka wynagrodzenia – co wynika z treści art. 74 ust. 1 projektu – przysługującego poszczególnym kategoriom uprawnionych winna następnie zostać podzielona na poszczególne organizacje. Każda zmiana kręgu organizacji, których dotyczy dana tabela wynagrodzeń (zarów</w:t>
      </w:r>
      <w:r w:rsidR="00BB2307">
        <w:rPr>
          <w:rFonts w:ascii="Times New Roman" w:hAnsi="Times New Roman" w:cs="Times New Roman"/>
          <w:bCs/>
        </w:rPr>
        <w:t>no poszerzająca ten krąg, jak i </w:t>
      </w:r>
      <w:r w:rsidRPr="00E24274">
        <w:rPr>
          <w:rFonts w:ascii="Times New Roman" w:hAnsi="Times New Roman" w:cs="Times New Roman"/>
          <w:bCs/>
        </w:rPr>
        <w:t>zawężająca), wymaga podzielenia ustalonej stawk</w:t>
      </w:r>
      <w:r w:rsidR="00BB2307">
        <w:rPr>
          <w:rFonts w:ascii="Times New Roman" w:hAnsi="Times New Roman" w:cs="Times New Roman"/>
          <w:bCs/>
        </w:rPr>
        <w:t>i po raz kolejny przynajmniej w </w:t>
      </w:r>
      <w:r w:rsidRPr="00E24274">
        <w:rPr>
          <w:rFonts w:ascii="Times New Roman" w:hAnsi="Times New Roman" w:cs="Times New Roman"/>
          <w:bCs/>
        </w:rPr>
        <w:t>przypadku grupy uprawnionych, których organizacja likwidowana reprezentowała lub których organizacja rozpoczynająca działalność ma</w:t>
      </w:r>
      <w:r w:rsidR="00BB2307">
        <w:rPr>
          <w:rFonts w:ascii="Times New Roman" w:hAnsi="Times New Roman" w:cs="Times New Roman"/>
          <w:bCs/>
        </w:rPr>
        <w:t xml:space="preserve"> reprezentować w przyszłości. W </w:t>
      </w:r>
      <w:r w:rsidRPr="00E24274">
        <w:rPr>
          <w:rFonts w:ascii="Times New Roman" w:hAnsi="Times New Roman" w:cs="Times New Roman"/>
          <w:bCs/>
        </w:rPr>
        <w:t xml:space="preserve">tym celu konieczne jest przeprowadzenie postępowania, które winno doprowadzić do koniecznej zmiany uprzednio zatwierdzonej tabeli wynagrodzeń. Jego wszczęcie – jako </w:t>
      </w:r>
      <w:r w:rsidRPr="00E24274">
        <w:rPr>
          <w:rFonts w:ascii="Times New Roman" w:hAnsi="Times New Roman" w:cs="Times New Roman"/>
          <w:bCs/>
        </w:rPr>
        <w:lastRenderedPageBreak/>
        <w:t>postępowania służącego prawidłowemu funkcjonowaniu systemu zbiorowego zarządzania – będzie następowało na wniosek organizacji, która będzie miała w tym interes prawny (czyli również takiej organizacji, która uzyska zezwolenie ministra właściwego do spraw kultury i ochrony dziedzictwa narodowego na zbiorowe zarz</w:t>
      </w:r>
      <w:r w:rsidR="0000774C">
        <w:rPr>
          <w:rFonts w:ascii="Times New Roman" w:hAnsi="Times New Roman" w:cs="Times New Roman"/>
          <w:bCs/>
        </w:rPr>
        <w:t>ą</w:t>
      </w:r>
      <w:r w:rsidRPr="00E24274">
        <w:rPr>
          <w:rFonts w:ascii="Times New Roman" w:hAnsi="Times New Roman" w:cs="Times New Roman"/>
          <w:bCs/>
        </w:rPr>
        <w:t xml:space="preserve">dzanie prawa autorskimi lub prawami pokrewnymi po uprzednim zatwierdzeniu ww. tabeli wynagrodzeń). </w:t>
      </w:r>
    </w:p>
    <w:p w:rsidR="005E27FB" w:rsidRPr="00E24274" w:rsidRDefault="005E27FB" w:rsidP="00E24274">
      <w:pPr>
        <w:pStyle w:val="ARTartustawynprozporzdzenia"/>
        <w:ind w:firstLine="0"/>
        <w:rPr>
          <w:rFonts w:ascii="Times New Roman" w:hAnsi="Times New Roman" w:cs="Times New Roman"/>
          <w:b/>
          <w:bCs/>
        </w:rPr>
      </w:pPr>
      <w:r w:rsidRPr="00E24274">
        <w:rPr>
          <w:rFonts w:ascii="Times New Roman" w:hAnsi="Times New Roman" w:cs="Times New Roman"/>
          <w:b/>
          <w:bCs/>
        </w:rPr>
        <w:t>Oddział 3. Postępowanie mediacyjne (art. 82 projektu)</w:t>
      </w:r>
    </w:p>
    <w:p w:rsidR="005E27FB" w:rsidRPr="00E24274" w:rsidRDefault="005E27FB" w:rsidP="00E24274">
      <w:pPr>
        <w:pStyle w:val="ARTartustawynprozporzdzenia"/>
        <w:ind w:firstLine="0"/>
        <w:rPr>
          <w:rFonts w:ascii="Times New Roman" w:hAnsi="Times New Roman" w:cs="Times New Roman"/>
          <w:b/>
          <w:bCs/>
        </w:rPr>
      </w:pPr>
      <w:r w:rsidRPr="00E24274">
        <w:rPr>
          <w:rFonts w:ascii="Times New Roman" w:hAnsi="Times New Roman" w:cs="Times New Roman"/>
          <w:b/>
          <w:bCs/>
        </w:rPr>
        <w:t>art. 82</w:t>
      </w:r>
    </w:p>
    <w:p w:rsidR="005E27FB" w:rsidRPr="00E24274" w:rsidRDefault="005E27FB" w:rsidP="00BB2307">
      <w:pPr>
        <w:pStyle w:val="ARTartustawynprozporzdzenia"/>
        <w:spacing w:before="0"/>
        <w:ind w:firstLine="0"/>
        <w:rPr>
          <w:rFonts w:ascii="Times New Roman" w:hAnsi="Times New Roman" w:cs="Times New Roman"/>
          <w:bCs/>
        </w:rPr>
      </w:pPr>
      <w:r w:rsidRPr="00E24274">
        <w:rPr>
          <w:rFonts w:ascii="Times New Roman" w:hAnsi="Times New Roman" w:cs="Times New Roman"/>
          <w:bCs/>
        </w:rPr>
        <w:t xml:space="preserve">1. Zgodnie z tym przepisem projektowanej ustawy </w:t>
      </w:r>
      <w:r w:rsidR="00B85D46">
        <w:rPr>
          <w:rFonts w:ascii="Times New Roman" w:hAnsi="Times New Roman" w:cs="Times New Roman"/>
          <w:bCs/>
        </w:rPr>
        <w:t>–</w:t>
      </w:r>
      <w:r w:rsidRPr="00E24274">
        <w:rPr>
          <w:rFonts w:ascii="Times New Roman" w:hAnsi="Times New Roman" w:cs="Times New Roman"/>
          <w:bCs/>
        </w:rPr>
        <w:t xml:space="preserve"> bez uszczerbku dla dopuszczalności drogi sądowej </w:t>
      </w:r>
      <w:r w:rsidR="00B85D46">
        <w:rPr>
          <w:rFonts w:ascii="Times New Roman" w:hAnsi="Times New Roman" w:cs="Times New Roman"/>
          <w:bCs/>
        </w:rPr>
        <w:t>–</w:t>
      </w:r>
      <w:r w:rsidRPr="00E24274">
        <w:rPr>
          <w:rFonts w:ascii="Times New Roman" w:hAnsi="Times New Roman" w:cs="Times New Roman"/>
          <w:bCs/>
        </w:rPr>
        <w:t xml:space="preserve"> spory dotyczące stosowania zatwierdzonych prawomocnie tabel wynagrodzeń za korzystanie z utworów lub przedmiotów praw pokrewnych oraz spory związane z zawarciem lub w</w:t>
      </w:r>
      <w:r w:rsidR="00BB2307">
        <w:rPr>
          <w:rFonts w:ascii="Times New Roman" w:hAnsi="Times New Roman" w:cs="Times New Roman"/>
          <w:bCs/>
        </w:rPr>
        <w:t>arunkami umowy, o której mowa w </w:t>
      </w:r>
      <w:r w:rsidRPr="00E24274">
        <w:rPr>
          <w:rFonts w:ascii="Times New Roman" w:hAnsi="Times New Roman" w:cs="Times New Roman"/>
          <w:bCs/>
        </w:rPr>
        <w:t>art. 21</w:t>
      </w:r>
      <w:r w:rsidRPr="00E24274">
        <w:rPr>
          <w:rFonts w:ascii="Times New Roman" w:hAnsi="Times New Roman" w:cs="Times New Roman"/>
          <w:bCs/>
          <w:vertAlign w:val="superscript"/>
        </w:rPr>
        <w:t>1</w:t>
      </w:r>
      <w:r w:rsidRPr="00E24274">
        <w:rPr>
          <w:rFonts w:ascii="Times New Roman" w:hAnsi="Times New Roman" w:cs="Times New Roman"/>
          <w:bCs/>
        </w:rPr>
        <w:t xml:space="preserve"> ust. 1 pr. aut. (tj. umowy na </w:t>
      </w:r>
      <w:r w:rsidR="00783FE2" w:rsidRPr="00E24274">
        <w:rPr>
          <w:rFonts w:ascii="Times New Roman" w:hAnsi="Times New Roman" w:cs="Times New Roman"/>
          <w:bCs/>
        </w:rPr>
        <w:t xml:space="preserve">reemitowanie w sieciach </w:t>
      </w:r>
      <w:r w:rsidRPr="00E24274">
        <w:rPr>
          <w:rFonts w:ascii="Times New Roman" w:hAnsi="Times New Roman" w:cs="Times New Roman"/>
          <w:bCs/>
        </w:rPr>
        <w:t>kablow</w:t>
      </w:r>
      <w:r w:rsidR="00783FE2" w:rsidRPr="00E24274">
        <w:rPr>
          <w:rFonts w:ascii="Times New Roman" w:hAnsi="Times New Roman" w:cs="Times New Roman"/>
          <w:bCs/>
        </w:rPr>
        <w:t>ych</w:t>
      </w:r>
      <w:r w:rsidRPr="00E24274">
        <w:rPr>
          <w:rFonts w:ascii="Times New Roman" w:hAnsi="Times New Roman" w:cs="Times New Roman"/>
          <w:bCs/>
        </w:rPr>
        <w:t xml:space="preserve">), mogą być rozwiązywane w drodze postępowania mediacyjnego między stronami. Przy kształtowaniu tego przepisu, w sytuacji gdy mediacja dotyczy zawierania umów na reemisję kablową, należy mieć na uwadze treść art. 11 dyrektywy Rady nr 93/83/EWG z dnia 27 września 1993 r. w sprawie koordynacji niektórych zasad dotyczących prawa autorskiego oraz praw pokrewnych stosowanych w odniesieniu do przekazu satelitarnego oraz retransmisji drogą kablową (Dz. Urz. UE L 248 z 06.10.1993, str. 15 </w:t>
      </w:r>
      <w:r w:rsidR="0000774C">
        <w:rPr>
          <w:rFonts w:ascii="Times New Roman" w:hAnsi="Times New Roman" w:cs="Times New Roman"/>
          <w:bCs/>
        </w:rPr>
        <w:t xml:space="preserve">– </w:t>
      </w:r>
      <w:r w:rsidRPr="00E24274">
        <w:rPr>
          <w:rFonts w:ascii="Times New Roman" w:hAnsi="Times New Roman" w:cs="Times New Roman"/>
          <w:bCs/>
        </w:rPr>
        <w:t xml:space="preserve">Dz. Urz. UE Polskie wydanie specjalne, rozdz. 17, t. 1, str. 134). Zgodnie z tymi przepisami w przypadku, gdy nie zawarto umowy na retransmisję drogą kablową, państwa członkowskie </w:t>
      </w:r>
      <w:r w:rsidR="00E24274">
        <w:rPr>
          <w:rFonts w:ascii="Times New Roman" w:hAnsi="Times New Roman" w:cs="Times New Roman"/>
          <w:bCs/>
        </w:rPr>
        <w:t>„</w:t>
      </w:r>
      <w:r w:rsidRPr="00E24274">
        <w:rPr>
          <w:rFonts w:ascii="Times New Roman" w:hAnsi="Times New Roman" w:cs="Times New Roman"/>
          <w:bCs/>
          <w:i/>
        </w:rPr>
        <w:t>zobowiązane są zapewnić, aby każda ze stron miała możliwość skorzystania z pomocy jednego lub kilku mediatorów</w:t>
      </w:r>
      <w:r w:rsidR="00E24274">
        <w:rPr>
          <w:rFonts w:ascii="Times New Roman" w:hAnsi="Times New Roman" w:cs="Times New Roman"/>
          <w:bCs/>
          <w:i/>
        </w:rPr>
        <w:t>”</w:t>
      </w:r>
      <w:r w:rsidRPr="00E24274">
        <w:rPr>
          <w:rFonts w:ascii="Times New Roman" w:hAnsi="Times New Roman" w:cs="Times New Roman"/>
          <w:bCs/>
        </w:rPr>
        <w:t xml:space="preserve">, których zadaniem jest </w:t>
      </w:r>
      <w:r w:rsidR="00E24274">
        <w:rPr>
          <w:rFonts w:ascii="Times New Roman" w:hAnsi="Times New Roman" w:cs="Times New Roman"/>
          <w:bCs/>
          <w:i/>
        </w:rPr>
        <w:t>„</w:t>
      </w:r>
      <w:r w:rsidRPr="00E24274">
        <w:rPr>
          <w:rFonts w:ascii="Times New Roman" w:hAnsi="Times New Roman" w:cs="Times New Roman"/>
          <w:bCs/>
          <w:i/>
        </w:rPr>
        <w:t>udzielenie pomocy w negocjacjach</w:t>
      </w:r>
      <w:r w:rsidR="00E24274">
        <w:rPr>
          <w:rFonts w:ascii="Times New Roman" w:hAnsi="Times New Roman" w:cs="Times New Roman"/>
          <w:bCs/>
          <w:i/>
        </w:rPr>
        <w:t>”</w:t>
      </w:r>
      <w:r w:rsidRPr="00E24274">
        <w:rPr>
          <w:rFonts w:ascii="Times New Roman" w:hAnsi="Times New Roman" w:cs="Times New Roman"/>
          <w:bCs/>
        </w:rPr>
        <w:t xml:space="preserve"> i którzy mogą </w:t>
      </w:r>
      <w:r w:rsidR="00E24274">
        <w:rPr>
          <w:rFonts w:ascii="Times New Roman" w:hAnsi="Times New Roman" w:cs="Times New Roman"/>
          <w:bCs/>
          <w:i/>
        </w:rPr>
        <w:t>„</w:t>
      </w:r>
      <w:r w:rsidRPr="00E24274">
        <w:rPr>
          <w:rFonts w:ascii="Times New Roman" w:hAnsi="Times New Roman" w:cs="Times New Roman"/>
          <w:bCs/>
          <w:i/>
        </w:rPr>
        <w:t>przedstawiać stronom wnioski</w:t>
      </w:r>
      <w:r w:rsidR="00E24274">
        <w:rPr>
          <w:rFonts w:ascii="Times New Roman" w:hAnsi="Times New Roman" w:cs="Times New Roman"/>
          <w:bCs/>
          <w:i/>
        </w:rPr>
        <w:t>”</w:t>
      </w:r>
      <w:r w:rsidRPr="00E24274">
        <w:rPr>
          <w:rFonts w:ascii="Times New Roman" w:hAnsi="Times New Roman" w:cs="Times New Roman"/>
          <w:bCs/>
          <w:i/>
        </w:rPr>
        <w:t>.</w:t>
      </w:r>
      <w:r w:rsidRPr="00E24274">
        <w:rPr>
          <w:rFonts w:ascii="Times New Roman" w:hAnsi="Times New Roman" w:cs="Times New Roman"/>
          <w:bCs/>
        </w:rPr>
        <w:t xml:space="preserve"> Zgodnie z art. 11 ust. 3 omawianej dyrektywy, jeżeli żadna ze stron w terminie trzech miesięcy od chwili przedłożenia propozycji mediatora nie zgłosi sprzeciwu, propozycję </w:t>
      </w:r>
      <w:r w:rsidR="00E24274">
        <w:rPr>
          <w:rFonts w:ascii="Times New Roman" w:hAnsi="Times New Roman" w:cs="Times New Roman"/>
          <w:bCs/>
          <w:i/>
        </w:rPr>
        <w:t>„</w:t>
      </w:r>
      <w:r w:rsidRPr="00E24274">
        <w:rPr>
          <w:rFonts w:ascii="Times New Roman" w:hAnsi="Times New Roman" w:cs="Times New Roman"/>
          <w:bCs/>
          <w:i/>
        </w:rPr>
        <w:t>uważa się za przyjętą</w:t>
      </w:r>
      <w:r w:rsidR="00E24274">
        <w:rPr>
          <w:rFonts w:ascii="Times New Roman" w:hAnsi="Times New Roman" w:cs="Times New Roman"/>
          <w:bCs/>
          <w:i/>
        </w:rPr>
        <w:t>”</w:t>
      </w:r>
      <w:r w:rsidRPr="00E24274">
        <w:rPr>
          <w:rFonts w:ascii="Times New Roman" w:hAnsi="Times New Roman" w:cs="Times New Roman"/>
          <w:bCs/>
          <w:i/>
        </w:rPr>
        <w:t>.</w:t>
      </w:r>
      <w:r w:rsidRPr="00E24274">
        <w:rPr>
          <w:rFonts w:ascii="Times New Roman" w:hAnsi="Times New Roman" w:cs="Times New Roman"/>
          <w:bCs/>
        </w:rPr>
        <w:t xml:space="preserve"> Zgodnie z dyrektywą przy wyborze mediatorów </w:t>
      </w:r>
      <w:r w:rsidR="00E24274">
        <w:rPr>
          <w:rFonts w:ascii="Times New Roman" w:hAnsi="Times New Roman" w:cs="Times New Roman"/>
          <w:bCs/>
          <w:i/>
        </w:rPr>
        <w:t>„</w:t>
      </w:r>
      <w:r w:rsidRPr="00E24274">
        <w:rPr>
          <w:rFonts w:ascii="Times New Roman" w:hAnsi="Times New Roman" w:cs="Times New Roman"/>
          <w:bCs/>
          <w:i/>
        </w:rPr>
        <w:t>należy upewnić się, że ich niezależność i bezstronność jest niekwestionowana</w:t>
      </w:r>
      <w:r w:rsidR="00E24274">
        <w:rPr>
          <w:rFonts w:ascii="Times New Roman" w:hAnsi="Times New Roman" w:cs="Times New Roman"/>
          <w:bCs/>
          <w:i/>
        </w:rPr>
        <w:t>”</w:t>
      </w:r>
      <w:r w:rsidRPr="00E24274">
        <w:rPr>
          <w:rFonts w:ascii="Times New Roman" w:hAnsi="Times New Roman" w:cs="Times New Roman"/>
          <w:bCs/>
        </w:rPr>
        <w:t>.</w:t>
      </w:r>
    </w:p>
    <w:p w:rsidR="005E27FB" w:rsidRPr="00E24274" w:rsidRDefault="005E27FB" w:rsidP="00E24274">
      <w:pPr>
        <w:pStyle w:val="ARTartustawynprozporzdzenia"/>
        <w:ind w:firstLine="0"/>
        <w:rPr>
          <w:rFonts w:ascii="Times New Roman" w:hAnsi="Times New Roman" w:cs="Times New Roman"/>
          <w:bCs/>
        </w:rPr>
      </w:pPr>
      <w:r w:rsidRPr="00E24274">
        <w:rPr>
          <w:rFonts w:ascii="Times New Roman" w:hAnsi="Times New Roman" w:cs="Times New Roman"/>
          <w:bCs/>
        </w:rPr>
        <w:t xml:space="preserve">W projektowanym przepisie zachowana została dotychczasowa zasada, zgodnie z którą ten tryb rozwiązywania sporów jest trybem dobrowolnym, a zatem obydwie strony sporu powinny wyrazić, </w:t>
      </w:r>
      <w:r w:rsidRPr="00E24274">
        <w:rPr>
          <w:rFonts w:ascii="Times New Roman" w:hAnsi="Times New Roman" w:cs="Times New Roman"/>
          <w:bCs/>
          <w:i/>
        </w:rPr>
        <w:t>ex post</w:t>
      </w:r>
      <w:r w:rsidRPr="00E24274">
        <w:rPr>
          <w:rFonts w:ascii="Times New Roman" w:hAnsi="Times New Roman" w:cs="Times New Roman"/>
          <w:bCs/>
        </w:rPr>
        <w:t xml:space="preserve"> lub </w:t>
      </w:r>
      <w:r w:rsidRPr="00E24274">
        <w:rPr>
          <w:rFonts w:ascii="Times New Roman" w:hAnsi="Times New Roman" w:cs="Times New Roman"/>
          <w:bCs/>
          <w:i/>
        </w:rPr>
        <w:t>ex ante</w:t>
      </w:r>
      <w:r w:rsidRPr="00E24274">
        <w:rPr>
          <w:rFonts w:ascii="Times New Roman" w:hAnsi="Times New Roman" w:cs="Times New Roman"/>
          <w:bCs/>
        </w:rPr>
        <w:t xml:space="preserve">, zgodę na przystąpienie do tego postępowania. Taka zgoda może być wyrażona w umowie o mediację bądź poprzez </w:t>
      </w:r>
      <w:r w:rsidRPr="00E24274">
        <w:rPr>
          <w:rFonts w:ascii="Times New Roman" w:hAnsi="Times New Roman" w:cs="Times New Roman"/>
          <w:bCs/>
        </w:rPr>
        <w:lastRenderedPageBreak/>
        <w:t xml:space="preserve">brak sprzeciwu w przypadku, gdy wniosek o mediację jedna ze stron skieruje do przewodniczącego Komisji. W tym pierwszym przypadku strony powinny uzgodnić osobę mediatora z listy arbitrów Komisji, gdyż projektowana ustawa nie przewiduje tutaj mechanizmu tzw. wyznaczenia zastępczego. W drugim przypadku, jeżeli obie strony nie uzgodnią osoby mediatora w terminie 14 dni od dnia doręczenia im stosownego wezwania, mediatora wyznaczy (tzw. wyznaczenie zastępcze) </w:t>
      </w:r>
      <w:r w:rsidR="0000774C">
        <w:rPr>
          <w:rFonts w:ascii="Times New Roman" w:hAnsi="Times New Roman" w:cs="Times New Roman"/>
          <w:bCs/>
        </w:rPr>
        <w:t>P</w:t>
      </w:r>
      <w:r w:rsidRPr="00E24274">
        <w:rPr>
          <w:rFonts w:ascii="Times New Roman" w:hAnsi="Times New Roman" w:cs="Times New Roman"/>
          <w:bCs/>
        </w:rPr>
        <w:t>rzewodniczący Komisji.</w:t>
      </w:r>
    </w:p>
    <w:p w:rsidR="005E27FB" w:rsidRPr="00E24274" w:rsidRDefault="005E27FB" w:rsidP="00E24274">
      <w:pPr>
        <w:pStyle w:val="ARTartustawynprozporzdzenia"/>
        <w:ind w:firstLine="0"/>
        <w:rPr>
          <w:rFonts w:ascii="Times New Roman" w:hAnsi="Times New Roman" w:cs="Times New Roman"/>
          <w:bCs/>
        </w:rPr>
      </w:pPr>
      <w:r w:rsidRPr="00E24274">
        <w:rPr>
          <w:rFonts w:ascii="Times New Roman" w:hAnsi="Times New Roman" w:cs="Times New Roman"/>
          <w:bCs/>
        </w:rPr>
        <w:t>2. Zgodnie z powszechnie przyjętymi regułami mediacji mediator nie ma kompetencji do władczego, tj. wiążącego prawnie rozstrzygnięcia sprawy. Może on jedynie przedstawiać stronom propozycje ugody. Jeżeli żadna ze stron w terminie trzech miesięcy od przedłożenia propozycji ugody nie zgłosi mediatorowi na piśmie sprzeciwu wraz z uzasadnieniem, propozycję mediatora uważa się za przyjętą, co należy rozumieć jako zawarcie przez strony ugody w rozumieniu art. 917 Kodeksu cywilnego. Mediacja nie zamyka stronom drogi sądowej, nie jest także trybem bezwzględnie obligatoryjnym. Zachowany zostaje jej dobrowolny charakter, z zastrzeżeniem ryzyka poniesienia kosztów postępowania sądowego, o którym mowa w art. 82 ust. 5 projektu. Strony zachowują prawo do sprzeciwu wobec propozycji mediatora w zgodnym z dyrektywą trzymiesięcznym terminie. W razie zgłoszenia sprzeciw</w:t>
      </w:r>
      <w:r w:rsidR="00DC207A">
        <w:rPr>
          <w:rFonts w:ascii="Times New Roman" w:hAnsi="Times New Roman" w:cs="Times New Roman"/>
          <w:bCs/>
        </w:rPr>
        <w:t>u propozycja mediatora upada i </w:t>
      </w:r>
      <w:r w:rsidRPr="00E24274">
        <w:rPr>
          <w:rFonts w:ascii="Times New Roman" w:hAnsi="Times New Roman" w:cs="Times New Roman"/>
          <w:bCs/>
        </w:rPr>
        <w:t xml:space="preserve">mediację należy uznać za bezskuteczną. </w:t>
      </w:r>
    </w:p>
    <w:p w:rsidR="005E27FB" w:rsidRPr="00E24274" w:rsidRDefault="005E27FB" w:rsidP="00E24274">
      <w:pPr>
        <w:pStyle w:val="ARTartustawynprozporzdzenia"/>
        <w:ind w:firstLine="0"/>
        <w:rPr>
          <w:rFonts w:ascii="Times New Roman" w:hAnsi="Times New Roman" w:cs="Times New Roman"/>
          <w:bCs/>
        </w:rPr>
      </w:pPr>
      <w:r w:rsidRPr="00E24274">
        <w:rPr>
          <w:rFonts w:ascii="Times New Roman" w:hAnsi="Times New Roman" w:cs="Times New Roman"/>
          <w:bCs/>
        </w:rPr>
        <w:t>3. Zgodnie z ust. 5 omawianego artykułu sąd w sprawie, która miała być przedmiotem mediacji, może obciążyć stronę, niezależnie od wyniku tej sprawy, obowiązkiem zwrotu kosztów postępowania cywilnego, jeżeli odmowa poddania się mediacji była oczywiście niezasadna. Przepis ten ma na celu sk</w:t>
      </w:r>
      <w:r w:rsidR="00DC207A">
        <w:rPr>
          <w:rFonts w:ascii="Times New Roman" w:hAnsi="Times New Roman" w:cs="Times New Roman"/>
          <w:bCs/>
        </w:rPr>
        <w:t>łonienie stron do korzystania z </w:t>
      </w:r>
      <w:r w:rsidRPr="00E24274">
        <w:rPr>
          <w:rFonts w:ascii="Times New Roman" w:hAnsi="Times New Roman" w:cs="Times New Roman"/>
          <w:bCs/>
        </w:rPr>
        <w:t>mediacji jako trybu rozstrzygania sporów, o których mowa w ust. 1. Za wprowadzeniem tego rodzaju swoistej sankcji przemawia szczególny charakter sporów o stosowanie zatwierdzonych tabel wynagrodzeń oraz sporów o zawarcie umowy na reemisję kablową, w tym drugim przypadku m.in. z uwagi na obowiązkowe pośrednictwo organizacji zbiorowego zarządzania przy zawieraniu tych umów.</w:t>
      </w:r>
    </w:p>
    <w:p w:rsidR="00783FE2" w:rsidRPr="00E24274" w:rsidRDefault="00783FE2" w:rsidP="00E24274">
      <w:pPr>
        <w:pStyle w:val="ARTartustawynprozporzdzenia"/>
        <w:ind w:firstLine="0"/>
        <w:rPr>
          <w:rFonts w:ascii="Times New Roman" w:hAnsi="Times New Roman" w:cs="Times New Roman"/>
          <w:b/>
          <w:bCs/>
        </w:rPr>
      </w:pPr>
      <w:r w:rsidRPr="00E24274">
        <w:rPr>
          <w:rFonts w:ascii="Times New Roman" w:hAnsi="Times New Roman" w:cs="Times New Roman"/>
          <w:b/>
          <w:bCs/>
        </w:rPr>
        <w:t>Oddział 4. Pozostał</w:t>
      </w:r>
      <w:r w:rsidR="0000774C">
        <w:rPr>
          <w:rFonts w:ascii="Times New Roman" w:hAnsi="Times New Roman" w:cs="Times New Roman"/>
          <w:b/>
          <w:bCs/>
        </w:rPr>
        <w:t>e</w:t>
      </w:r>
      <w:r w:rsidRPr="00E24274">
        <w:rPr>
          <w:rFonts w:ascii="Times New Roman" w:hAnsi="Times New Roman" w:cs="Times New Roman"/>
          <w:b/>
          <w:bCs/>
        </w:rPr>
        <w:t xml:space="preserve"> postępowania (art. 83 projektu)</w:t>
      </w:r>
    </w:p>
    <w:p w:rsidR="00783FE2" w:rsidRPr="00E24274" w:rsidRDefault="00783FE2" w:rsidP="00E24274">
      <w:pPr>
        <w:pStyle w:val="ARTartustawynprozporzdzenia"/>
        <w:ind w:firstLine="0"/>
        <w:rPr>
          <w:rFonts w:ascii="Times New Roman" w:hAnsi="Times New Roman" w:cs="Times New Roman"/>
          <w:bCs/>
        </w:rPr>
      </w:pPr>
      <w:r w:rsidRPr="00E24274">
        <w:rPr>
          <w:rFonts w:ascii="Times New Roman" w:hAnsi="Times New Roman" w:cs="Times New Roman"/>
          <w:bCs/>
        </w:rPr>
        <w:t>Projektowany art. 83 – stanowiący co do zasady odpowiednik obecnego art. 110</w:t>
      </w:r>
      <w:r w:rsidRPr="00E24274">
        <w:rPr>
          <w:rFonts w:ascii="Times New Roman" w:hAnsi="Times New Roman" w:cs="Times New Roman"/>
          <w:bCs/>
          <w:vertAlign w:val="superscript"/>
        </w:rPr>
        <w:t>19</w:t>
      </w:r>
      <w:r w:rsidRPr="00E24274">
        <w:rPr>
          <w:rFonts w:ascii="Times New Roman" w:hAnsi="Times New Roman" w:cs="Times New Roman"/>
          <w:bCs/>
        </w:rPr>
        <w:t xml:space="preserve"> ust. 3 pr. aut. </w:t>
      </w:r>
      <w:r w:rsidR="00C424FA" w:rsidRPr="00E24274">
        <w:rPr>
          <w:rFonts w:ascii="Times New Roman" w:hAnsi="Times New Roman" w:cs="Times New Roman"/>
          <w:bCs/>
        </w:rPr>
        <w:t>–</w:t>
      </w:r>
      <w:r w:rsidRPr="00E24274">
        <w:rPr>
          <w:rFonts w:ascii="Times New Roman" w:hAnsi="Times New Roman" w:cs="Times New Roman"/>
          <w:bCs/>
        </w:rPr>
        <w:t xml:space="preserve"> </w:t>
      </w:r>
      <w:r w:rsidR="00C424FA" w:rsidRPr="00E24274">
        <w:rPr>
          <w:rFonts w:ascii="Times New Roman" w:hAnsi="Times New Roman" w:cs="Times New Roman"/>
          <w:bCs/>
        </w:rPr>
        <w:t>przesądzi</w:t>
      </w:r>
      <w:r w:rsidRPr="00E24274">
        <w:rPr>
          <w:rFonts w:ascii="Times New Roman" w:hAnsi="Times New Roman" w:cs="Times New Roman"/>
          <w:bCs/>
        </w:rPr>
        <w:t xml:space="preserve">, że </w:t>
      </w:r>
      <w:r w:rsidRPr="00E24274">
        <w:rPr>
          <w:rFonts w:ascii="Times New Roman" w:hAnsi="Times New Roman" w:cs="Times New Roman"/>
        </w:rPr>
        <w:t xml:space="preserve">sprawy o uzupełnienie, sprostowanie lub wyjaśnienie wątpliwości co do treści orzeczenia Komisji będzie rozpatrywał zespół orzekający </w:t>
      </w:r>
      <w:r w:rsidRPr="00E24274">
        <w:rPr>
          <w:rFonts w:ascii="Times New Roman" w:hAnsi="Times New Roman" w:cs="Times New Roman"/>
        </w:rPr>
        <w:lastRenderedPageBreak/>
        <w:t>Komisji w składzie, który wydał orzeczenie w sprawie. Zgodnie ze zd. 2 tego przepisu, jeżeli rozpatrzenie sprawy w ty</w:t>
      </w:r>
      <w:r w:rsidR="00C424FA" w:rsidRPr="00E24274">
        <w:rPr>
          <w:rFonts w:ascii="Times New Roman" w:hAnsi="Times New Roman" w:cs="Times New Roman"/>
        </w:rPr>
        <w:t>m składzie będzie niemożliwe,</w:t>
      </w:r>
      <w:r w:rsidRPr="00E24274">
        <w:rPr>
          <w:rFonts w:ascii="Times New Roman" w:hAnsi="Times New Roman" w:cs="Times New Roman"/>
        </w:rPr>
        <w:t xml:space="preserve"> Przewodniczący Komisji wyznaczy nowy zespół orzekający na zasadach, o których mowa w art. 72 ust. 2</w:t>
      </w:r>
      <w:r w:rsidR="00B85D46">
        <w:rPr>
          <w:rFonts w:ascii="Times New Roman" w:hAnsi="Times New Roman" w:cs="Times New Roman"/>
        </w:rPr>
        <w:t>–</w:t>
      </w:r>
      <w:r w:rsidRPr="00E24274">
        <w:rPr>
          <w:rFonts w:ascii="Times New Roman" w:hAnsi="Times New Roman" w:cs="Times New Roman"/>
        </w:rPr>
        <w:t>5.</w:t>
      </w:r>
      <w:r w:rsidR="000803C5" w:rsidRPr="00E24274">
        <w:rPr>
          <w:rFonts w:ascii="Times New Roman" w:hAnsi="Times New Roman" w:cs="Times New Roman"/>
        </w:rPr>
        <w:t xml:space="preserve"> Odpowiednie zastosowanie znajdzie także art. 72 ust. 6 regulujący sytuację, w której w toku postępowania wygasła kadencja Komisji.</w:t>
      </w:r>
    </w:p>
    <w:p w:rsidR="00D2655C" w:rsidRPr="00E24274" w:rsidRDefault="00D2655C" w:rsidP="00DC207A">
      <w:pPr>
        <w:spacing w:before="240" w:after="0" w:line="360" w:lineRule="auto"/>
        <w:jc w:val="both"/>
        <w:rPr>
          <w:rFonts w:ascii="Times New Roman" w:hAnsi="Times New Roman"/>
          <w:b/>
          <w:bCs/>
          <w:sz w:val="24"/>
          <w:szCs w:val="24"/>
          <w:lang w:eastAsia="pl-PL"/>
        </w:rPr>
      </w:pPr>
      <w:r w:rsidRPr="00E24274">
        <w:rPr>
          <w:rFonts w:ascii="Times New Roman" w:hAnsi="Times New Roman"/>
          <w:b/>
          <w:bCs/>
          <w:sz w:val="24"/>
          <w:szCs w:val="24"/>
          <w:lang w:eastAsia="pl-PL"/>
        </w:rPr>
        <w:t>II. 8. Rozdział 8. Obowiązki informacyjne i sprawozdawcze organizacji zbiorowego zarządzania (art. 84–90 projektu)</w:t>
      </w:r>
    </w:p>
    <w:p w:rsidR="00D2655C" w:rsidRPr="00E24274" w:rsidRDefault="00D2655C" w:rsidP="00E24274">
      <w:pPr>
        <w:spacing w:before="120" w:after="0" w:line="360" w:lineRule="auto"/>
        <w:jc w:val="both"/>
        <w:rPr>
          <w:rFonts w:ascii="Times New Roman" w:hAnsi="Times New Roman"/>
          <w:bCs/>
          <w:sz w:val="24"/>
          <w:szCs w:val="24"/>
          <w:lang w:eastAsia="pl-PL"/>
        </w:rPr>
      </w:pPr>
      <w:r w:rsidRPr="00E24274">
        <w:rPr>
          <w:rFonts w:ascii="Times New Roman" w:hAnsi="Times New Roman"/>
          <w:bCs/>
          <w:sz w:val="24"/>
          <w:szCs w:val="24"/>
          <w:lang w:eastAsia="pl-PL"/>
        </w:rPr>
        <w:t>Rozdział 8 projektowanej ustawy doty</w:t>
      </w:r>
      <w:r w:rsidR="00DC207A">
        <w:rPr>
          <w:rFonts w:ascii="Times New Roman" w:hAnsi="Times New Roman"/>
          <w:bCs/>
          <w:sz w:val="24"/>
          <w:szCs w:val="24"/>
          <w:lang w:eastAsia="pl-PL"/>
        </w:rPr>
        <w:t>czy obowiązków informacyjnych i </w:t>
      </w:r>
      <w:r w:rsidRPr="00E24274">
        <w:rPr>
          <w:rFonts w:ascii="Times New Roman" w:hAnsi="Times New Roman"/>
          <w:bCs/>
          <w:sz w:val="24"/>
          <w:szCs w:val="24"/>
          <w:lang w:eastAsia="pl-PL"/>
        </w:rPr>
        <w:t>sprawozdawczych organizacji zbiorowego zarządzania, stanowiących implementację przepisów rozdziału 5 dyrektywy CRM (art. 18</w:t>
      </w:r>
      <w:r w:rsidR="00B85D46">
        <w:rPr>
          <w:rFonts w:ascii="Times New Roman" w:hAnsi="Times New Roman"/>
          <w:bCs/>
          <w:sz w:val="24"/>
          <w:szCs w:val="24"/>
          <w:lang w:eastAsia="pl-PL"/>
        </w:rPr>
        <w:t>–</w:t>
      </w:r>
      <w:r w:rsidRPr="00E24274">
        <w:rPr>
          <w:rFonts w:ascii="Times New Roman" w:hAnsi="Times New Roman"/>
          <w:bCs/>
          <w:sz w:val="24"/>
          <w:szCs w:val="24"/>
          <w:lang w:eastAsia="pl-PL"/>
        </w:rPr>
        <w:t>22). Należy zaznaczyć, że zakres obowiązków informacyjnych ma charakter minimalny, zatem każda organizacja może przekazywane informacje uzupełnić o dodatkowe elementy, jeżeli uzna to za stosowne.</w:t>
      </w:r>
    </w:p>
    <w:p w:rsidR="00D2655C" w:rsidRPr="00E24274" w:rsidRDefault="00D2655C" w:rsidP="00E24274">
      <w:pPr>
        <w:spacing w:before="120" w:after="0" w:line="360" w:lineRule="auto"/>
        <w:jc w:val="both"/>
        <w:rPr>
          <w:rFonts w:ascii="Times New Roman" w:hAnsi="Times New Roman"/>
          <w:b/>
          <w:bCs/>
          <w:sz w:val="24"/>
          <w:szCs w:val="24"/>
          <w:lang w:eastAsia="pl-PL"/>
        </w:rPr>
      </w:pPr>
      <w:r w:rsidRPr="00E24274">
        <w:rPr>
          <w:rFonts w:ascii="Times New Roman" w:hAnsi="Times New Roman"/>
          <w:b/>
          <w:bCs/>
          <w:sz w:val="24"/>
          <w:szCs w:val="24"/>
          <w:lang w:eastAsia="pl-PL"/>
        </w:rPr>
        <w:t>art. 84</w:t>
      </w:r>
    </w:p>
    <w:p w:rsidR="00D2655C" w:rsidRPr="00E24274" w:rsidRDefault="00D2655C" w:rsidP="00DC207A">
      <w:pPr>
        <w:spacing w:after="0" w:line="360" w:lineRule="auto"/>
        <w:jc w:val="both"/>
        <w:rPr>
          <w:rFonts w:ascii="Times New Roman" w:hAnsi="Times New Roman"/>
          <w:bCs/>
          <w:sz w:val="24"/>
          <w:szCs w:val="24"/>
          <w:highlight w:val="yellow"/>
          <w:lang w:eastAsia="pl-PL"/>
        </w:rPr>
      </w:pPr>
      <w:r w:rsidRPr="00E24274">
        <w:rPr>
          <w:rFonts w:ascii="Times New Roman" w:hAnsi="Times New Roman"/>
          <w:bCs/>
          <w:sz w:val="24"/>
          <w:szCs w:val="24"/>
          <w:lang w:eastAsia="pl-PL"/>
        </w:rPr>
        <w:t>1. Art. 84 projektowanej ustawy implementuje art. 18 ust. 1 dyrektywy CRM i określa</w:t>
      </w:r>
      <w:r w:rsidR="000803C5" w:rsidRPr="00E24274">
        <w:rPr>
          <w:rFonts w:ascii="Times New Roman" w:hAnsi="Times New Roman"/>
          <w:bCs/>
          <w:sz w:val="24"/>
          <w:szCs w:val="24"/>
          <w:lang w:eastAsia="pl-PL"/>
        </w:rPr>
        <w:t xml:space="preserve"> minimalny</w:t>
      </w:r>
      <w:r w:rsidRPr="00E24274">
        <w:rPr>
          <w:rFonts w:ascii="Times New Roman" w:hAnsi="Times New Roman"/>
          <w:bCs/>
          <w:sz w:val="24"/>
          <w:szCs w:val="24"/>
          <w:lang w:eastAsia="pl-PL"/>
        </w:rPr>
        <w:t xml:space="preserve"> zakres informacji dotyczących zbiorowego zarządzania, jakie organizacja zbiorowego zarządzania obowiązana jest przynajmniej raz w roku udzielić uprawnionemu, na rzecz którego dokonała podziału lub wypłaty przychodów z praw. Są to zatem dane kontaktowe</w:t>
      </w:r>
      <w:r w:rsidR="000803C5" w:rsidRPr="00E24274">
        <w:rPr>
          <w:rFonts w:ascii="Times New Roman" w:hAnsi="Times New Roman"/>
          <w:bCs/>
          <w:sz w:val="24"/>
          <w:szCs w:val="24"/>
          <w:lang w:eastAsia="pl-PL"/>
        </w:rPr>
        <w:t xml:space="preserve"> uprawnionego</w:t>
      </w:r>
      <w:r w:rsidRPr="00E24274">
        <w:rPr>
          <w:rFonts w:ascii="Times New Roman" w:hAnsi="Times New Roman"/>
          <w:bCs/>
          <w:sz w:val="24"/>
          <w:szCs w:val="24"/>
          <w:lang w:eastAsia="pl-PL"/>
        </w:rPr>
        <w:t>, które organizacja może za</w:t>
      </w:r>
      <w:r w:rsidR="000803C5" w:rsidRPr="00E24274">
        <w:rPr>
          <w:rFonts w:ascii="Times New Roman" w:hAnsi="Times New Roman"/>
          <w:bCs/>
          <w:sz w:val="24"/>
          <w:szCs w:val="24"/>
          <w:lang w:eastAsia="pl-PL"/>
        </w:rPr>
        <w:t xml:space="preserve"> jego</w:t>
      </w:r>
      <w:r w:rsidRPr="00E24274">
        <w:rPr>
          <w:rFonts w:ascii="Times New Roman" w:hAnsi="Times New Roman"/>
          <w:bCs/>
          <w:sz w:val="24"/>
          <w:szCs w:val="24"/>
          <w:lang w:eastAsia="pl-PL"/>
        </w:rPr>
        <w:t xml:space="preserve"> zgodą wykorzystywać, aby go ustalić i odnaleźć – w przepisie ustawy doprecyzowuje się, że celem tego udostępnienia jest aktualizacja tych danych przez uprawnionego. Informacja powinna także określać kwotę przychodów z praw przydzielonych uprawnionemu (kwoty należne) oraz kwoty już wypłacone uprawnionemu, z tym, że kwoty wypłacone organizacja obowiązana jest wskazać wg podziału na kategorie praw i pola eksploatacji, których te wypłaty dotyczyły. Przewiduje się również, zgodnie z dyrektywą, wskazanie kwot potrąceń dokonanych na pokrycie kosztów zbiorowego zarządzania oraz potrąceń na prowadzoną przez organizację działalność o charakterze socjalnym, kulturalnym lub edukacyjnym. Oczywiście organizacja obowiązana jest wskazać okres, za który dokonała podziału lub wypłaty (a więc także potrąceń), p</w:t>
      </w:r>
      <w:r w:rsidR="00DC207A">
        <w:rPr>
          <w:rFonts w:ascii="Times New Roman" w:hAnsi="Times New Roman"/>
          <w:bCs/>
          <w:sz w:val="24"/>
          <w:szCs w:val="24"/>
          <w:lang w:eastAsia="pl-PL"/>
        </w:rPr>
        <w:t>rzy czym zgodnie z art. 18 ust. </w:t>
      </w:r>
      <w:r w:rsidRPr="00E24274">
        <w:rPr>
          <w:rFonts w:ascii="Times New Roman" w:hAnsi="Times New Roman"/>
          <w:bCs/>
          <w:sz w:val="24"/>
          <w:szCs w:val="24"/>
          <w:lang w:eastAsia="pl-PL"/>
        </w:rPr>
        <w:t xml:space="preserve">1 lit. d dyrektywy CRM jest zwolniona z tego obowiązku, jeżeli z obiektywnych przyczyn związanych ze zgłaszaniem wykorzystania praw przez użytkowników nie jest w stanie udostępnić tych informacji. Wreszcie organizacja obowiązana jest wskazać </w:t>
      </w:r>
      <w:r w:rsidRPr="00E24274">
        <w:rPr>
          <w:rFonts w:ascii="Times New Roman" w:hAnsi="Times New Roman"/>
          <w:bCs/>
          <w:sz w:val="24"/>
          <w:szCs w:val="24"/>
          <w:lang w:eastAsia="pl-PL"/>
        </w:rPr>
        <w:lastRenderedPageBreak/>
        <w:t>wysokość przychodów z praw należnych uprawnionemu, których jeszcze mu nie wypłaciła za którykolwiek okres.</w:t>
      </w:r>
    </w:p>
    <w:p w:rsidR="00D2655C" w:rsidRPr="00E24274" w:rsidRDefault="00D2655C" w:rsidP="00E24274">
      <w:pPr>
        <w:spacing w:before="120" w:after="0" w:line="360" w:lineRule="auto"/>
        <w:jc w:val="both"/>
        <w:rPr>
          <w:rFonts w:ascii="Times New Roman" w:hAnsi="Times New Roman"/>
          <w:bCs/>
          <w:sz w:val="24"/>
          <w:szCs w:val="24"/>
          <w:lang w:eastAsia="pl-PL"/>
        </w:rPr>
      </w:pPr>
      <w:r w:rsidRPr="00E24274">
        <w:rPr>
          <w:rFonts w:ascii="Times New Roman" w:hAnsi="Times New Roman"/>
          <w:bCs/>
          <w:sz w:val="24"/>
          <w:szCs w:val="24"/>
          <w:lang w:eastAsia="pl-PL"/>
        </w:rPr>
        <w:t>2. Projekt nie zawiera implementacji art. 18 ust. 2 dyrektywy CRM, gdyż dotyczy on sytuacji, gdy prawo do dokonania podziału przychodów z praw przysługuje członkom organizacji zbiorowego zarządzania. W polskim systemie zbiorowego zarządzania taka sytuacja nie występuje, gdyż prawo do dokonania podziału przychodów z praw przysługuje wyłącznie organizacjom zbiorowego zarządzania jako odrębnym podmiotom prawa na zasadach określonych w regulaminach przyjętych przez członków organizacji (por. art. 17 ust. 1 pkt 4</w:t>
      </w:r>
      <w:r w:rsidR="0000774C">
        <w:rPr>
          <w:rFonts w:ascii="Times New Roman" w:hAnsi="Times New Roman"/>
          <w:bCs/>
          <w:sz w:val="24"/>
          <w:szCs w:val="24"/>
          <w:lang w:eastAsia="pl-PL"/>
        </w:rPr>
        <w:t xml:space="preserve"> i </w:t>
      </w:r>
      <w:r w:rsidRPr="00E24274">
        <w:rPr>
          <w:rFonts w:ascii="Times New Roman" w:hAnsi="Times New Roman"/>
          <w:bCs/>
          <w:sz w:val="24"/>
          <w:szCs w:val="24"/>
          <w:lang w:eastAsia="pl-PL"/>
        </w:rPr>
        <w:t>5 projektu), a nie ich członkom.</w:t>
      </w:r>
    </w:p>
    <w:p w:rsidR="00D2655C" w:rsidRPr="00E24274" w:rsidRDefault="00D2655C" w:rsidP="00E24274">
      <w:pPr>
        <w:spacing w:before="120" w:after="0" w:line="360" w:lineRule="auto"/>
        <w:jc w:val="both"/>
        <w:rPr>
          <w:rFonts w:ascii="Times New Roman" w:hAnsi="Times New Roman"/>
          <w:b/>
          <w:bCs/>
          <w:sz w:val="24"/>
          <w:szCs w:val="24"/>
          <w:lang w:eastAsia="pl-PL"/>
        </w:rPr>
      </w:pPr>
      <w:r w:rsidRPr="00E24274">
        <w:rPr>
          <w:rFonts w:ascii="Times New Roman" w:hAnsi="Times New Roman"/>
          <w:b/>
          <w:bCs/>
          <w:sz w:val="24"/>
          <w:szCs w:val="24"/>
          <w:lang w:eastAsia="pl-PL"/>
        </w:rPr>
        <w:t>art. 85</w:t>
      </w:r>
    </w:p>
    <w:p w:rsidR="00D2655C" w:rsidRPr="00E24274" w:rsidRDefault="00D2655C" w:rsidP="00DC207A">
      <w:pPr>
        <w:spacing w:after="0" w:line="360" w:lineRule="auto"/>
        <w:jc w:val="both"/>
        <w:rPr>
          <w:rFonts w:ascii="Times New Roman" w:hAnsi="Times New Roman"/>
          <w:bCs/>
          <w:sz w:val="24"/>
          <w:szCs w:val="24"/>
          <w:lang w:eastAsia="pl-PL"/>
        </w:rPr>
      </w:pPr>
      <w:r w:rsidRPr="00E24274">
        <w:rPr>
          <w:rFonts w:ascii="Times New Roman" w:hAnsi="Times New Roman"/>
          <w:bCs/>
          <w:sz w:val="24"/>
          <w:szCs w:val="24"/>
          <w:lang w:eastAsia="pl-PL"/>
        </w:rPr>
        <w:t xml:space="preserve">Art. 85 projektowanej ustawy implementuje art. 19 dyrektywy CRM i określa </w:t>
      </w:r>
      <w:r w:rsidR="000803C5" w:rsidRPr="00E24274">
        <w:rPr>
          <w:rFonts w:ascii="Times New Roman" w:hAnsi="Times New Roman"/>
          <w:bCs/>
          <w:sz w:val="24"/>
          <w:szCs w:val="24"/>
          <w:lang w:eastAsia="pl-PL"/>
        </w:rPr>
        <w:t xml:space="preserve">minimalny </w:t>
      </w:r>
      <w:r w:rsidRPr="00E24274">
        <w:rPr>
          <w:rFonts w:ascii="Times New Roman" w:hAnsi="Times New Roman"/>
          <w:bCs/>
          <w:sz w:val="24"/>
          <w:szCs w:val="24"/>
          <w:lang w:eastAsia="pl-PL"/>
        </w:rPr>
        <w:t>zakres informacji, jakie organizacja zbiorowego zarządzania obowiązana jest przynajmniej raz w roku udzielić innej organizacji zbiorowego zarządzania, której prawami zarządza na podstawie umowy o reprezentacji. Zakres przekazywanych informacji jest zbliżony do tych przekazywanych uprawnionym i obejmuje wskazanie kwoty przychodów z praw należnych danej organizacji</w:t>
      </w:r>
      <w:r w:rsidR="00DC207A">
        <w:rPr>
          <w:rFonts w:ascii="Times New Roman" w:hAnsi="Times New Roman"/>
          <w:bCs/>
          <w:sz w:val="24"/>
          <w:szCs w:val="24"/>
          <w:lang w:eastAsia="pl-PL"/>
        </w:rPr>
        <w:t xml:space="preserve"> oraz kwoty już jej wypłacone z </w:t>
      </w:r>
      <w:r w:rsidRPr="00E24274">
        <w:rPr>
          <w:rFonts w:ascii="Times New Roman" w:hAnsi="Times New Roman"/>
          <w:bCs/>
          <w:sz w:val="24"/>
          <w:szCs w:val="24"/>
          <w:lang w:eastAsia="pl-PL"/>
        </w:rPr>
        <w:t>tytułu korzystania z utworów lub przedmiotów praw pokrewnych na poszczególnych polach eksploatacji oraz kwoty należnych przychodów praw, które jeszcze nie został</w:t>
      </w:r>
      <w:r w:rsidR="0000774C">
        <w:rPr>
          <w:rFonts w:ascii="Times New Roman" w:hAnsi="Times New Roman"/>
          <w:bCs/>
          <w:sz w:val="24"/>
          <w:szCs w:val="24"/>
          <w:lang w:eastAsia="pl-PL"/>
        </w:rPr>
        <w:t>y</w:t>
      </w:r>
      <w:r w:rsidRPr="00E24274">
        <w:rPr>
          <w:rFonts w:ascii="Times New Roman" w:hAnsi="Times New Roman"/>
          <w:bCs/>
          <w:sz w:val="24"/>
          <w:szCs w:val="24"/>
          <w:lang w:eastAsia="pl-PL"/>
        </w:rPr>
        <w:t xml:space="preserve"> wypłacone za którykolwiek okres. Organizacja obowiązana jest wskazać kwotę potrąceń dokonanych na pokrycie kosztów zbiorowego zarządzania oraz na prowadzoną przez organizację działalność o charakterze socjalnym, kulturalnym lub edukacyjnym. W tym ostatnim przypadku dyrektywa CRM mówi o kwotach potrąconych </w:t>
      </w:r>
      <w:r w:rsidR="00E24274">
        <w:rPr>
          <w:rFonts w:ascii="Times New Roman" w:hAnsi="Times New Roman"/>
          <w:bCs/>
          <w:i/>
          <w:sz w:val="24"/>
          <w:szCs w:val="24"/>
          <w:lang w:eastAsia="pl-PL"/>
        </w:rPr>
        <w:t>„</w:t>
      </w:r>
      <w:r w:rsidRPr="00E24274">
        <w:rPr>
          <w:rFonts w:ascii="Times New Roman" w:hAnsi="Times New Roman"/>
          <w:bCs/>
          <w:i/>
          <w:sz w:val="24"/>
          <w:szCs w:val="24"/>
          <w:lang w:eastAsia="pl-PL"/>
        </w:rPr>
        <w:t>na każdy inny cel</w:t>
      </w:r>
      <w:r w:rsidR="00E24274">
        <w:rPr>
          <w:rFonts w:ascii="Times New Roman" w:hAnsi="Times New Roman"/>
          <w:bCs/>
          <w:i/>
          <w:sz w:val="24"/>
          <w:szCs w:val="24"/>
          <w:lang w:eastAsia="pl-PL"/>
        </w:rPr>
        <w:t>”</w:t>
      </w:r>
      <w:r w:rsidRPr="00E24274">
        <w:rPr>
          <w:rFonts w:ascii="Times New Roman" w:hAnsi="Times New Roman"/>
          <w:bCs/>
          <w:sz w:val="24"/>
          <w:szCs w:val="24"/>
          <w:lang w:eastAsia="pl-PL"/>
        </w:rPr>
        <w:t>, jednakże zgodnie z projektowaną ustawą takim celem może być jedynie działalność o charakterze socjalnym, kulturalnym lub edukacyjnym. W odróżnieniu od zakresu informacji przekazywanych uprawnionym organizacja zbiorowego zarządzania ma w tym przypadku także obowiązek przekazania informacji dotyczących wszelkich udzielonych licencji w odniesieniu do praw objętych umową o reprezentacji oraz licencji, których udzielenia odmówiła. Winna także przekazać kopie uchwał przyjętych przez walne zebranie członków, jeżeli mają one znaczenie dla</w:t>
      </w:r>
      <w:r w:rsidR="000803C5" w:rsidRPr="00E24274">
        <w:rPr>
          <w:rFonts w:ascii="Times New Roman" w:hAnsi="Times New Roman"/>
          <w:bCs/>
          <w:sz w:val="24"/>
          <w:szCs w:val="24"/>
          <w:lang w:eastAsia="pl-PL"/>
        </w:rPr>
        <w:t xml:space="preserve"> zbiorowego</w:t>
      </w:r>
      <w:r w:rsidRPr="00E24274">
        <w:rPr>
          <w:rFonts w:ascii="Times New Roman" w:hAnsi="Times New Roman"/>
          <w:bCs/>
          <w:sz w:val="24"/>
          <w:szCs w:val="24"/>
          <w:lang w:eastAsia="pl-PL"/>
        </w:rPr>
        <w:t xml:space="preserve"> zarządzania prawami objętymi umową o reprezentacji.</w:t>
      </w:r>
    </w:p>
    <w:p w:rsidR="00D2655C" w:rsidRPr="00E24274" w:rsidRDefault="00D2655C" w:rsidP="00DC207A">
      <w:pPr>
        <w:keepNext/>
        <w:keepLines/>
        <w:spacing w:before="120" w:after="0" w:line="360" w:lineRule="auto"/>
        <w:jc w:val="both"/>
        <w:rPr>
          <w:rFonts w:ascii="Times New Roman" w:hAnsi="Times New Roman"/>
          <w:b/>
          <w:bCs/>
          <w:sz w:val="24"/>
          <w:szCs w:val="24"/>
          <w:lang w:eastAsia="pl-PL"/>
        </w:rPr>
      </w:pPr>
      <w:r w:rsidRPr="00E24274">
        <w:rPr>
          <w:rFonts w:ascii="Times New Roman" w:hAnsi="Times New Roman"/>
          <w:b/>
          <w:bCs/>
          <w:sz w:val="24"/>
          <w:szCs w:val="24"/>
          <w:lang w:eastAsia="pl-PL"/>
        </w:rPr>
        <w:lastRenderedPageBreak/>
        <w:t>art. 86</w:t>
      </w:r>
    </w:p>
    <w:p w:rsidR="00D2655C" w:rsidRPr="00E24274" w:rsidRDefault="00D2655C" w:rsidP="00DC207A">
      <w:pPr>
        <w:keepNext/>
        <w:keepLines/>
        <w:spacing w:after="0" w:line="360" w:lineRule="auto"/>
        <w:jc w:val="both"/>
        <w:rPr>
          <w:rFonts w:ascii="Times New Roman" w:hAnsi="Times New Roman"/>
          <w:bCs/>
          <w:sz w:val="24"/>
          <w:szCs w:val="24"/>
          <w:lang w:eastAsia="pl-PL"/>
        </w:rPr>
      </w:pPr>
      <w:r w:rsidRPr="00E24274">
        <w:rPr>
          <w:rFonts w:ascii="Times New Roman" w:hAnsi="Times New Roman"/>
          <w:bCs/>
          <w:sz w:val="24"/>
          <w:szCs w:val="24"/>
          <w:lang w:eastAsia="pl-PL"/>
        </w:rPr>
        <w:t xml:space="preserve">Art. 86 projektowanej ustawy dokonuje implementacji art. 20 dyrektywy CRM, który określa zakres informacji o repertuarze danej organizacji zbiorowego zarządzania, jakie obowiązana jest ona udostępnić na </w:t>
      </w:r>
      <w:r w:rsidR="00E24274">
        <w:rPr>
          <w:rFonts w:ascii="Times New Roman" w:hAnsi="Times New Roman"/>
          <w:bCs/>
          <w:i/>
          <w:sz w:val="24"/>
          <w:szCs w:val="24"/>
          <w:lang w:eastAsia="pl-PL"/>
        </w:rPr>
        <w:t>„</w:t>
      </w:r>
      <w:r w:rsidRPr="00E24274">
        <w:rPr>
          <w:rFonts w:ascii="Times New Roman" w:hAnsi="Times New Roman"/>
          <w:bCs/>
          <w:i/>
          <w:sz w:val="24"/>
          <w:szCs w:val="24"/>
          <w:lang w:eastAsia="pl-PL"/>
        </w:rPr>
        <w:t>należycie uzasadniony</w:t>
      </w:r>
      <w:r w:rsidR="00E24274">
        <w:rPr>
          <w:rFonts w:ascii="Times New Roman" w:hAnsi="Times New Roman"/>
          <w:bCs/>
          <w:i/>
          <w:sz w:val="24"/>
          <w:szCs w:val="24"/>
          <w:lang w:eastAsia="pl-PL"/>
        </w:rPr>
        <w:t>”</w:t>
      </w:r>
      <w:r w:rsidRPr="00E24274">
        <w:rPr>
          <w:rFonts w:ascii="Times New Roman" w:hAnsi="Times New Roman"/>
          <w:bCs/>
          <w:sz w:val="24"/>
          <w:szCs w:val="24"/>
          <w:lang w:eastAsia="pl-PL"/>
        </w:rPr>
        <w:t xml:space="preserve"> wniosek uprawnionego, użytkownika oraz organizacji zbiorowego zarządzania, której prawami zarządza na podstawie umowy o reprezentacji. Żądane informacje powinny być udostępnione </w:t>
      </w:r>
      <w:r w:rsidR="00E24274">
        <w:rPr>
          <w:rFonts w:ascii="Times New Roman" w:hAnsi="Times New Roman"/>
          <w:bCs/>
          <w:i/>
          <w:sz w:val="24"/>
          <w:szCs w:val="24"/>
          <w:lang w:eastAsia="pl-PL"/>
        </w:rPr>
        <w:t>„</w:t>
      </w:r>
      <w:r w:rsidRPr="00E24274">
        <w:rPr>
          <w:rFonts w:ascii="Times New Roman" w:hAnsi="Times New Roman"/>
          <w:bCs/>
          <w:i/>
          <w:sz w:val="24"/>
          <w:szCs w:val="24"/>
          <w:lang w:eastAsia="pl-PL"/>
        </w:rPr>
        <w:t>bez zbędnej zwłoki</w:t>
      </w:r>
      <w:r w:rsidR="00E24274">
        <w:rPr>
          <w:rFonts w:ascii="Times New Roman" w:hAnsi="Times New Roman"/>
          <w:bCs/>
          <w:i/>
          <w:sz w:val="24"/>
          <w:szCs w:val="24"/>
          <w:lang w:eastAsia="pl-PL"/>
        </w:rPr>
        <w:t>”</w:t>
      </w:r>
      <w:r w:rsidRPr="00E24274">
        <w:rPr>
          <w:rFonts w:ascii="Times New Roman" w:hAnsi="Times New Roman"/>
          <w:bCs/>
          <w:i/>
          <w:sz w:val="24"/>
          <w:szCs w:val="24"/>
          <w:lang w:eastAsia="pl-PL"/>
        </w:rPr>
        <w:t xml:space="preserve"> </w:t>
      </w:r>
      <w:r w:rsidRPr="00E24274">
        <w:rPr>
          <w:rFonts w:ascii="Times New Roman" w:hAnsi="Times New Roman"/>
          <w:bCs/>
          <w:sz w:val="24"/>
          <w:szCs w:val="24"/>
          <w:lang w:eastAsia="pl-PL"/>
        </w:rPr>
        <w:t>i w formie elektronicznej. Projektowana ustawa wskazuje, że powinny dotyczyć utworów lub przedmiotów praw pokrewnych, którymi organizacja</w:t>
      </w:r>
      <w:r w:rsidR="000803C5" w:rsidRPr="00E24274">
        <w:rPr>
          <w:rFonts w:ascii="Times New Roman" w:hAnsi="Times New Roman"/>
          <w:bCs/>
          <w:sz w:val="24"/>
          <w:szCs w:val="24"/>
          <w:lang w:eastAsia="pl-PL"/>
        </w:rPr>
        <w:t xml:space="preserve"> zbiorowo</w:t>
      </w:r>
      <w:r w:rsidRPr="00E24274">
        <w:rPr>
          <w:rFonts w:ascii="Times New Roman" w:hAnsi="Times New Roman"/>
          <w:bCs/>
          <w:sz w:val="24"/>
          <w:szCs w:val="24"/>
          <w:lang w:eastAsia="pl-PL"/>
        </w:rPr>
        <w:t xml:space="preserve"> zarządza na podstawie umowy o zbiorowe zarządzanie lub umowy o reprezentacji oraz pól eksploatacji i terytoriów, których ten zarząd dotyczy. Art. 20 ust. 1 pkt b) dyrektywy CRM przewiduje, że zamiast utworów lub przedmiotów praw pokrewnych organizacja może wskazać tylko ich rodzaje, jeżeli </w:t>
      </w:r>
      <w:r w:rsidR="00E24274">
        <w:rPr>
          <w:rFonts w:ascii="Times New Roman" w:hAnsi="Times New Roman"/>
          <w:bCs/>
          <w:sz w:val="24"/>
          <w:szCs w:val="24"/>
          <w:lang w:eastAsia="pl-PL"/>
        </w:rPr>
        <w:t>„</w:t>
      </w:r>
      <w:r w:rsidRPr="00E24274">
        <w:rPr>
          <w:rFonts w:ascii="Times New Roman" w:hAnsi="Times New Roman"/>
          <w:bCs/>
          <w:i/>
          <w:sz w:val="24"/>
          <w:szCs w:val="24"/>
          <w:lang w:eastAsia="pl-PL"/>
        </w:rPr>
        <w:t>ze względu na zakres działalności organizacji zbiorowego zarządzania taki utwór lub inny przedmiot objęty ochroną nie może zostać określony</w:t>
      </w:r>
      <w:r w:rsidR="00E24274">
        <w:rPr>
          <w:rFonts w:ascii="Times New Roman" w:hAnsi="Times New Roman"/>
          <w:bCs/>
          <w:i/>
          <w:sz w:val="24"/>
          <w:szCs w:val="24"/>
          <w:lang w:eastAsia="pl-PL"/>
        </w:rPr>
        <w:t>”</w:t>
      </w:r>
      <w:r w:rsidRPr="00E24274">
        <w:rPr>
          <w:rFonts w:ascii="Times New Roman" w:hAnsi="Times New Roman"/>
          <w:bCs/>
          <w:sz w:val="24"/>
          <w:szCs w:val="24"/>
          <w:lang w:eastAsia="pl-PL"/>
        </w:rPr>
        <w:t>.</w:t>
      </w:r>
      <w:r w:rsidR="00E24274">
        <w:rPr>
          <w:rFonts w:ascii="Times New Roman" w:hAnsi="Times New Roman"/>
          <w:bCs/>
          <w:sz w:val="24"/>
          <w:szCs w:val="24"/>
          <w:lang w:eastAsia="pl-PL"/>
        </w:rPr>
        <w:t xml:space="preserve"> </w:t>
      </w:r>
      <w:r w:rsidRPr="00E24274">
        <w:rPr>
          <w:rFonts w:ascii="Times New Roman" w:hAnsi="Times New Roman"/>
          <w:bCs/>
          <w:sz w:val="24"/>
          <w:szCs w:val="24"/>
          <w:lang w:eastAsia="pl-PL"/>
        </w:rPr>
        <w:t>Dlatego też zgodnie z pkt 1</w:t>
      </w:r>
      <w:r w:rsidR="0000774C">
        <w:rPr>
          <w:rFonts w:ascii="Times New Roman" w:hAnsi="Times New Roman"/>
          <w:bCs/>
          <w:sz w:val="24"/>
          <w:szCs w:val="24"/>
          <w:lang w:eastAsia="pl-PL"/>
        </w:rPr>
        <w:t>,</w:t>
      </w:r>
      <w:r w:rsidRPr="00E24274">
        <w:rPr>
          <w:rFonts w:ascii="Times New Roman" w:hAnsi="Times New Roman"/>
          <w:bCs/>
          <w:sz w:val="24"/>
          <w:szCs w:val="24"/>
          <w:lang w:eastAsia="pl-PL"/>
        </w:rPr>
        <w:t xml:space="preserve"> </w:t>
      </w:r>
      <w:r w:rsidR="00E24274">
        <w:rPr>
          <w:rFonts w:ascii="Times New Roman" w:hAnsi="Times New Roman"/>
          <w:bCs/>
          <w:sz w:val="24"/>
          <w:szCs w:val="24"/>
          <w:lang w:eastAsia="pl-PL"/>
        </w:rPr>
        <w:t>„</w:t>
      </w:r>
      <w:r w:rsidRPr="00E24274">
        <w:rPr>
          <w:rFonts w:ascii="Times New Roman" w:hAnsi="Times New Roman"/>
          <w:bCs/>
          <w:sz w:val="24"/>
          <w:szCs w:val="24"/>
          <w:lang w:eastAsia="pl-PL"/>
        </w:rPr>
        <w:t>jeżeli z obiektywnych przyczyn</w:t>
      </w:r>
      <w:r w:rsidR="00E24274">
        <w:rPr>
          <w:rFonts w:ascii="Times New Roman" w:hAnsi="Times New Roman"/>
          <w:bCs/>
          <w:sz w:val="24"/>
          <w:szCs w:val="24"/>
          <w:lang w:eastAsia="pl-PL"/>
        </w:rPr>
        <w:t>”</w:t>
      </w:r>
      <w:r w:rsidRPr="00E24274">
        <w:rPr>
          <w:rFonts w:ascii="Times New Roman" w:hAnsi="Times New Roman"/>
          <w:bCs/>
          <w:sz w:val="24"/>
          <w:szCs w:val="24"/>
          <w:lang w:eastAsia="pl-PL"/>
        </w:rPr>
        <w:t xml:space="preserve"> udostępnienie informacji o utworach lub przedmiotach praw pokrewnych nie jest możliwe, dopuszcza się ograniczenie takiej informacji do rodzajów utworów lub przedmiotów praw pokrewnych, którymi organizacja zbiorowo zarządza.</w:t>
      </w:r>
    </w:p>
    <w:p w:rsidR="00D2655C" w:rsidRPr="00E24274" w:rsidRDefault="00D2655C" w:rsidP="00E24274">
      <w:pPr>
        <w:spacing w:before="120" w:after="0" w:line="360" w:lineRule="auto"/>
        <w:jc w:val="both"/>
        <w:rPr>
          <w:rFonts w:ascii="Times New Roman" w:hAnsi="Times New Roman"/>
          <w:b/>
          <w:bCs/>
          <w:sz w:val="24"/>
          <w:szCs w:val="24"/>
          <w:lang w:eastAsia="pl-PL"/>
        </w:rPr>
      </w:pPr>
      <w:r w:rsidRPr="00E24274">
        <w:rPr>
          <w:rFonts w:ascii="Times New Roman" w:hAnsi="Times New Roman"/>
          <w:b/>
          <w:bCs/>
          <w:sz w:val="24"/>
          <w:szCs w:val="24"/>
          <w:lang w:eastAsia="pl-PL"/>
        </w:rPr>
        <w:t>art. 87</w:t>
      </w:r>
    </w:p>
    <w:p w:rsidR="00D2655C" w:rsidRPr="00E24274" w:rsidRDefault="00D2655C" w:rsidP="00DC207A">
      <w:pPr>
        <w:spacing w:after="0" w:line="360" w:lineRule="auto"/>
        <w:jc w:val="both"/>
        <w:rPr>
          <w:rFonts w:ascii="Times New Roman" w:hAnsi="Times New Roman"/>
          <w:bCs/>
          <w:sz w:val="24"/>
          <w:szCs w:val="24"/>
          <w:lang w:eastAsia="pl-PL"/>
        </w:rPr>
      </w:pPr>
      <w:r w:rsidRPr="00E24274">
        <w:rPr>
          <w:rFonts w:ascii="Times New Roman" w:hAnsi="Times New Roman"/>
          <w:bCs/>
          <w:sz w:val="24"/>
          <w:szCs w:val="24"/>
          <w:lang w:eastAsia="pl-PL"/>
        </w:rPr>
        <w:t xml:space="preserve">Art. 87 projektowanej ustawy dokonuje implementacji art. 21 dyrektywy CRM, który wprowadza obowiązek podawania przez organizacje zbiorowego zarządzania określonych informacji i dokumentów do wiadomości publicznej poprzez ich publikację na stronach internetowych tych organizacji. Należy zauważyć, że podobny obowiązek istnieje już w pr. aut. od jej nowelizacji dokonanej w </w:t>
      </w:r>
      <w:r w:rsidR="00DC207A">
        <w:rPr>
          <w:rFonts w:ascii="Times New Roman" w:hAnsi="Times New Roman"/>
          <w:bCs/>
          <w:sz w:val="24"/>
          <w:szCs w:val="24"/>
          <w:lang w:eastAsia="pl-PL"/>
        </w:rPr>
        <w:t>dniu 21 października 2010 r., z </w:t>
      </w:r>
      <w:r w:rsidRPr="00E24274">
        <w:rPr>
          <w:rFonts w:ascii="Times New Roman" w:hAnsi="Times New Roman"/>
          <w:bCs/>
          <w:sz w:val="24"/>
          <w:szCs w:val="24"/>
          <w:lang w:eastAsia="pl-PL"/>
        </w:rPr>
        <w:t>tym że informacje te zawarte są w rocznych sprawozdaniach z działalności, podczas gdy dyrektywa CRM kwestie sprawozdań reguluje odrębnie. Zakres informacji, których publicznego udostępnienia wymaga dyrektywa CRM, jest w znacznym stopniu zbieżny z tymi, które organizacje zbiorowego zarządzania mają obowiązek w aktualnym stanie prawnym zamieścić w swoich rocznych sprawozdaniach</w:t>
      </w:r>
      <w:r w:rsidR="00DC207A">
        <w:rPr>
          <w:rFonts w:ascii="Times New Roman" w:hAnsi="Times New Roman"/>
          <w:bCs/>
          <w:sz w:val="24"/>
          <w:szCs w:val="24"/>
          <w:lang w:eastAsia="pl-PL"/>
        </w:rPr>
        <w:t xml:space="preserve"> z działalności. Zgodnie z art. </w:t>
      </w:r>
      <w:r w:rsidRPr="00E24274">
        <w:rPr>
          <w:rFonts w:ascii="Times New Roman" w:hAnsi="Times New Roman"/>
          <w:bCs/>
          <w:sz w:val="24"/>
          <w:szCs w:val="24"/>
          <w:lang w:eastAsia="pl-PL"/>
        </w:rPr>
        <w:t xml:space="preserve">87 projektu obowiązek publicznego udostępnienia obejmie </w:t>
      </w:r>
      <w:r w:rsidR="000803C5" w:rsidRPr="00E24274">
        <w:rPr>
          <w:rFonts w:ascii="Times New Roman" w:hAnsi="Times New Roman"/>
          <w:bCs/>
          <w:sz w:val="24"/>
          <w:szCs w:val="24"/>
          <w:lang w:eastAsia="pl-PL"/>
        </w:rPr>
        <w:t xml:space="preserve">co najmniej </w:t>
      </w:r>
      <w:r w:rsidRPr="00E24274">
        <w:rPr>
          <w:rFonts w:ascii="Times New Roman" w:hAnsi="Times New Roman"/>
          <w:bCs/>
          <w:sz w:val="24"/>
          <w:szCs w:val="24"/>
          <w:lang w:eastAsia="pl-PL"/>
        </w:rPr>
        <w:t>statut organizacji, warunki</w:t>
      </w:r>
      <w:r w:rsidR="00021350" w:rsidRPr="00E24274">
        <w:rPr>
          <w:rFonts w:ascii="Times New Roman" w:hAnsi="Times New Roman"/>
          <w:bCs/>
          <w:sz w:val="24"/>
          <w:szCs w:val="24"/>
          <w:lang w:eastAsia="pl-PL"/>
        </w:rPr>
        <w:t xml:space="preserve"> i sposób nabywania oraz utraty</w:t>
      </w:r>
      <w:r w:rsidRPr="00E24274">
        <w:rPr>
          <w:rFonts w:ascii="Times New Roman" w:hAnsi="Times New Roman"/>
          <w:bCs/>
          <w:sz w:val="24"/>
          <w:szCs w:val="24"/>
          <w:lang w:eastAsia="pl-PL"/>
        </w:rPr>
        <w:t xml:space="preserve"> członkostwa, warunki zawier</w:t>
      </w:r>
      <w:r w:rsidR="00DC207A">
        <w:rPr>
          <w:rFonts w:ascii="Times New Roman" w:hAnsi="Times New Roman"/>
          <w:bCs/>
          <w:sz w:val="24"/>
          <w:szCs w:val="24"/>
          <w:lang w:eastAsia="pl-PL"/>
        </w:rPr>
        <w:t>ania i </w:t>
      </w:r>
      <w:r w:rsidRPr="00E24274">
        <w:rPr>
          <w:rFonts w:ascii="Times New Roman" w:hAnsi="Times New Roman"/>
          <w:bCs/>
          <w:sz w:val="24"/>
          <w:szCs w:val="24"/>
          <w:lang w:eastAsia="pl-PL"/>
        </w:rPr>
        <w:t xml:space="preserve">wypowiadania umowy o zbiorowe zarządzanie (o ile nie są ujęte w statucie), wzory standardowych umów licencyjnych, zatwierdzone tabele wynagrodzeń oraz pozostałe standardowe stosowane stawki wynagrodzeń, łącznie ze zniżkami, wykaz osób </w:t>
      </w:r>
      <w:r w:rsidRPr="00E24274">
        <w:rPr>
          <w:rFonts w:ascii="Times New Roman" w:hAnsi="Times New Roman"/>
          <w:bCs/>
          <w:sz w:val="24"/>
          <w:szCs w:val="24"/>
          <w:lang w:eastAsia="pl-PL"/>
        </w:rPr>
        <w:lastRenderedPageBreak/>
        <w:t>kierujących działalnością organizacji zbiorowego zarzą</w:t>
      </w:r>
      <w:r w:rsidR="00DC207A">
        <w:rPr>
          <w:rFonts w:ascii="Times New Roman" w:hAnsi="Times New Roman"/>
          <w:bCs/>
          <w:sz w:val="24"/>
          <w:szCs w:val="24"/>
          <w:lang w:eastAsia="pl-PL"/>
        </w:rPr>
        <w:t>dzania, regulaminy repartycji i </w:t>
      </w:r>
      <w:r w:rsidRPr="00E24274">
        <w:rPr>
          <w:rFonts w:ascii="Times New Roman" w:hAnsi="Times New Roman"/>
          <w:bCs/>
          <w:sz w:val="24"/>
          <w:szCs w:val="24"/>
          <w:lang w:eastAsia="pl-PL"/>
        </w:rPr>
        <w:t>potrąceń na działalność socjalną, kulturalną lub edukacyjną (o których mowa w art. 17 pkt 4</w:t>
      </w:r>
      <w:r w:rsidR="0000774C">
        <w:rPr>
          <w:rFonts w:ascii="Times New Roman" w:hAnsi="Times New Roman"/>
          <w:bCs/>
          <w:sz w:val="24"/>
          <w:szCs w:val="24"/>
          <w:lang w:eastAsia="pl-PL"/>
        </w:rPr>
        <w:t xml:space="preserve"> i </w:t>
      </w:r>
      <w:r w:rsidRPr="00E24274">
        <w:rPr>
          <w:rFonts w:ascii="Times New Roman" w:hAnsi="Times New Roman"/>
          <w:bCs/>
          <w:sz w:val="24"/>
          <w:szCs w:val="24"/>
          <w:lang w:eastAsia="pl-PL"/>
        </w:rPr>
        <w:t xml:space="preserve">5 projektu), wykaz zawartych umów o reprezentacji ze wskazaniem stron, przedmiotu, daty zawarcia oraz okresu obowiązywania, a także informację o procedurze rozpatrywania skarg w ramach postępowania wewnętrznego w organizacji (art. 91 projektu), możliwości skorzystania z postępowania mediacyjnego (art. 82 projektu) oraz możliwości poddania sporu z organizacją, za jej zgodą, pod rozstrzygnięcie sądu polubownego stosownie do przepisów cz. 5 ustawy z dnia 17 listopada 1964 r. </w:t>
      </w:r>
      <w:r w:rsidR="0000774C">
        <w:rPr>
          <w:rFonts w:ascii="Times New Roman" w:hAnsi="Times New Roman"/>
          <w:bCs/>
          <w:sz w:val="24"/>
          <w:szCs w:val="24"/>
          <w:lang w:eastAsia="pl-PL"/>
        </w:rPr>
        <w:t xml:space="preserve">– </w:t>
      </w:r>
      <w:r w:rsidRPr="00E24274">
        <w:rPr>
          <w:rFonts w:ascii="Times New Roman" w:hAnsi="Times New Roman"/>
          <w:bCs/>
          <w:sz w:val="24"/>
          <w:szCs w:val="24"/>
          <w:lang w:eastAsia="pl-PL"/>
        </w:rPr>
        <w:t>Kodeks postępowania cywilnego. Powyższe informacje i dokumenty organizacja zbiorowego zarządzania będzie miała obowiązek na bieżąco aktualizować.</w:t>
      </w:r>
    </w:p>
    <w:p w:rsidR="00D2655C" w:rsidRPr="00E24274" w:rsidRDefault="00D2655C" w:rsidP="00E24274">
      <w:pPr>
        <w:spacing w:before="120" w:after="0" w:line="360" w:lineRule="auto"/>
        <w:jc w:val="both"/>
        <w:rPr>
          <w:rFonts w:ascii="Times New Roman" w:hAnsi="Times New Roman"/>
          <w:b/>
          <w:bCs/>
          <w:sz w:val="24"/>
          <w:szCs w:val="24"/>
          <w:lang w:eastAsia="pl-PL"/>
        </w:rPr>
      </w:pPr>
      <w:r w:rsidRPr="00E24274">
        <w:rPr>
          <w:rFonts w:ascii="Times New Roman" w:hAnsi="Times New Roman"/>
          <w:b/>
          <w:bCs/>
          <w:sz w:val="24"/>
          <w:szCs w:val="24"/>
          <w:lang w:eastAsia="pl-PL"/>
        </w:rPr>
        <w:t>art. 88</w:t>
      </w:r>
      <w:r w:rsidR="00B85D46">
        <w:rPr>
          <w:rFonts w:ascii="Times New Roman" w:hAnsi="Times New Roman"/>
          <w:b/>
          <w:bCs/>
          <w:sz w:val="24"/>
          <w:szCs w:val="24"/>
          <w:lang w:eastAsia="pl-PL"/>
        </w:rPr>
        <w:t>–</w:t>
      </w:r>
      <w:r w:rsidRPr="00E24274">
        <w:rPr>
          <w:rFonts w:ascii="Times New Roman" w:hAnsi="Times New Roman"/>
          <w:b/>
          <w:bCs/>
          <w:sz w:val="24"/>
          <w:szCs w:val="24"/>
          <w:lang w:eastAsia="pl-PL"/>
        </w:rPr>
        <w:t>90</w:t>
      </w:r>
    </w:p>
    <w:p w:rsidR="00D2655C" w:rsidRPr="00E24274" w:rsidRDefault="00D2655C" w:rsidP="00DC207A">
      <w:pPr>
        <w:spacing w:after="0" w:line="360" w:lineRule="auto"/>
        <w:jc w:val="both"/>
        <w:rPr>
          <w:rFonts w:ascii="Times New Roman" w:hAnsi="Times New Roman"/>
          <w:bCs/>
          <w:sz w:val="24"/>
          <w:szCs w:val="24"/>
          <w:lang w:eastAsia="pl-PL"/>
        </w:rPr>
      </w:pPr>
      <w:r w:rsidRPr="00E24274">
        <w:rPr>
          <w:rFonts w:ascii="Times New Roman" w:hAnsi="Times New Roman"/>
          <w:bCs/>
          <w:sz w:val="24"/>
          <w:szCs w:val="24"/>
          <w:lang w:eastAsia="pl-PL"/>
        </w:rPr>
        <w:t>1. Art. 88</w:t>
      </w:r>
      <w:r w:rsidR="00B85D46">
        <w:rPr>
          <w:rFonts w:ascii="Times New Roman" w:hAnsi="Times New Roman"/>
          <w:bCs/>
          <w:sz w:val="24"/>
          <w:szCs w:val="24"/>
          <w:lang w:eastAsia="pl-PL"/>
        </w:rPr>
        <w:t>–</w:t>
      </w:r>
      <w:r w:rsidRPr="00E24274">
        <w:rPr>
          <w:rFonts w:ascii="Times New Roman" w:hAnsi="Times New Roman"/>
          <w:bCs/>
          <w:sz w:val="24"/>
          <w:szCs w:val="24"/>
          <w:lang w:eastAsia="pl-PL"/>
        </w:rPr>
        <w:t>90 projektowanej ustawy dokonują implementacji art. 22 dyrektywy CRM, który dotyczy rocznych sprawozdań organizacji zb</w:t>
      </w:r>
      <w:r w:rsidR="00DC207A">
        <w:rPr>
          <w:rFonts w:ascii="Times New Roman" w:hAnsi="Times New Roman"/>
          <w:bCs/>
          <w:sz w:val="24"/>
          <w:szCs w:val="24"/>
          <w:lang w:eastAsia="pl-PL"/>
        </w:rPr>
        <w:t>iorowego zarządzania. Zgodnie z </w:t>
      </w:r>
      <w:r w:rsidRPr="00E24274">
        <w:rPr>
          <w:rFonts w:ascii="Times New Roman" w:hAnsi="Times New Roman"/>
          <w:bCs/>
          <w:sz w:val="24"/>
          <w:szCs w:val="24"/>
          <w:lang w:eastAsia="pl-PL"/>
        </w:rPr>
        <w:t>dyrektywą CRM</w:t>
      </w:r>
      <w:r w:rsidRPr="00E24274">
        <w:rPr>
          <w:rFonts w:ascii="Times New Roman" w:hAnsi="Times New Roman"/>
          <w:bCs/>
          <w:i/>
          <w:sz w:val="24"/>
          <w:szCs w:val="24"/>
          <w:lang w:eastAsia="pl-PL"/>
        </w:rPr>
        <w:t xml:space="preserve"> </w:t>
      </w:r>
      <w:r w:rsidR="00E24274">
        <w:rPr>
          <w:rFonts w:ascii="Times New Roman" w:hAnsi="Times New Roman"/>
          <w:bCs/>
          <w:i/>
          <w:sz w:val="24"/>
          <w:szCs w:val="24"/>
          <w:lang w:eastAsia="pl-PL"/>
        </w:rPr>
        <w:t>„</w:t>
      </w:r>
      <w:r w:rsidRPr="00E24274">
        <w:rPr>
          <w:rFonts w:ascii="Times New Roman" w:hAnsi="Times New Roman"/>
          <w:bCs/>
          <w:i/>
          <w:sz w:val="24"/>
          <w:szCs w:val="24"/>
          <w:lang w:eastAsia="pl-PL"/>
        </w:rPr>
        <w:t>Państwa członkowskie zapewniają, aby każda organizacja zbiorowego zarządzania, niezależnie od jej formy prawnej zgodnie z prawem krajowym, za każdy rok obrotowy sporządzała i podawała do wiadomości publicznej, najpóźniej osiem miesięcy po zakończeniu tego roku obrotowego, roczne sprawozdanie na temat przejrzystości, w tym odrębne sprawozdanie, o którym mowa w ust. 3</w:t>
      </w:r>
      <w:r w:rsidR="00DC207A">
        <w:rPr>
          <w:rFonts w:ascii="Times New Roman" w:hAnsi="Times New Roman"/>
          <w:bCs/>
          <w:sz w:val="24"/>
          <w:szCs w:val="24"/>
          <w:lang w:eastAsia="pl-PL"/>
        </w:rPr>
        <w:t xml:space="preserve"> [tj. o </w:t>
      </w:r>
      <w:r w:rsidRPr="00E24274">
        <w:rPr>
          <w:rFonts w:ascii="Times New Roman" w:hAnsi="Times New Roman"/>
          <w:bCs/>
          <w:sz w:val="24"/>
          <w:szCs w:val="24"/>
          <w:lang w:eastAsia="pl-PL"/>
        </w:rPr>
        <w:t>wykorzystaniu środków na działalność socjalną, kulturalną lub edukacyjną – przyp.]</w:t>
      </w:r>
      <w:r w:rsidR="00E24274">
        <w:rPr>
          <w:rFonts w:ascii="Times New Roman" w:hAnsi="Times New Roman"/>
          <w:bCs/>
          <w:sz w:val="24"/>
          <w:szCs w:val="24"/>
          <w:lang w:eastAsia="pl-PL"/>
        </w:rPr>
        <w:t>”</w:t>
      </w:r>
      <w:r w:rsidRPr="00E24274">
        <w:rPr>
          <w:rFonts w:ascii="Times New Roman" w:hAnsi="Times New Roman"/>
          <w:bCs/>
          <w:sz w:val="24"/>
          <w:szCs w:val="24"/>
          <w:lang w:eastAsia="pl-PL"/>
        </w:rPr>
        <w:t xml:space="preserve">. Takie sprawozdanie ma być upublicznione przez organizację na jej stronie internetowej i pozostać publicznie dostępne przez okres przynajmniej 5 lat. Treść sprawozdania określa załącznik do dyrektywy CRM. Zgodnie z art. 22 ust. 4 dyrektywy CRM informacje księgowe zawarte w sprawozdaniu powinny być badane przez </w:t>
      </w:r>
      <w:r w:rsidR="00E24274">
        <w:rPr>
          <w:rFonts w:ascii="Times New Roman" w:hAnsi="Times New Roman"/>
          <w:bCs/>
          <w:sz w:val="24"/>
          <w:szCs w:val="24"/>
          <w:lang w:eastAsia="pl-PL"/>
        </w:rPr>
        <w:t>„</w:t>
      </w:r>
      <w:r w:rsidRPr="00E24274">
        <w:rPr>
          <w:rFonts w:ascii="Times New Roman" w:hAnsi="Times New Roman"/>
          <w:bCs/>
          <w:i/>
          <w:sz w:val="24"/>
          <w:szCs w:val="24"/>
          <w:lang w:eastAsia="pl-PL"/>
        </w:rPr>
        <w:t>co najmniej jedną osobę upoważnioną na mocy prawa do przeprowadzania badań sprawozdań finansowych zgodnie z dyrektywą 2006/43/WE Parlamentu Europejskiego i Rady</w:t>
      </w:r>
      <w:r w:rsidR="00E24274">
        <w:rPr>
          <w:rFonts w:ascii="Times New Roman" w:hAnsi="Times New Roman"/>
          <w:bCs/>
          <w:i/>
          <w:sz w:val="24"/>
          <w:szCs w:val="24"/>
          <w:lang w:eastAsia="pl-PL"/>
        </w:rPr>
        <w:t>”</w:t>
      </w:r>
      <w:r w:rsidRPr="00E24274">
        <w:rPr>
          <w:rFonts w:ascii="Times New Roman" w:hAnsi="Times New Roman"/>
          <w:bCs/>
          <w:i/>
          <w:sz w:val="24"/>
          <w:szCs w:val="24"/>
          <w:lang w:eastAsia="pl-PL"/>
        </w:rPr>
        <w:t xml:space="preserve">. </w:t>
      </w:r>
    </w:p>
    <w:p w:rsidR="00D2655C" w:rsidRPr="00E24274" w:rsidRDefault="00D2655C" w:rsidP="00E24274">
      <w:pPr>
        <w:spacing w:before="120" w:after="0" w:line="360" w:lineRule="auto"/>
        <w:jc w:val="both"/>
        <w:rPr>
          <w:rFonts w:ascii="Times New Roman" w:hAnsi="Times New Roman"/>
          <w:bCs/>
          <w:sz w:val="24"/>
          <w:szCs w:val="24"/>
          <w:highlight w:val="yellow"/>
          <w:lang w:eastAsia="pl-PL"/>
        </w:rPr>
      </w:pPr>
      <w:r w:rsidRPr="00E24274">
        <w:rPr>
          <w:rFonts w:ascii="Times New Roman" w:hAnsi="Times New Roman"/>
          <w:bCs/>
          <w:sz w:val="24"/>
          <w:szCs w:val="24"/>
          <w:lang w:eastAsia="pl-PL"/>
        </w:rPr>
        <w:t>2. Dokonując implementacji art. 22 dyrektywy CRM, starano się maksymalnie wykorzystać dorobek legislacyjny wynikający z treści art. 104 ust. 3</w:t>
      </w:r>
      <w:r w:rsidRPr="00E24274">
        <w:rPr>
          <w:rFonts w:ascii="Times New Roman" w:hAnsi="Times New Roman"/>
          <w:bCs/>
          <w:sz w:val="24"/>
          <w:szCs w:val="24"/>
          <w:vertAlign w:val="superscript"/>
          <w:lang w:eastAsia="pl-PL"/>
        </w:rPr>
        <w:t>1</w:t>
      </w:r>
      <w:r w:rsidR="00B85D46">
        <w:rPr>
          <w:rFonts w:ascii="Times New Roman" w:hAnsi="Times New Roman"/>
          <w:bCs/>
          <w:sz w:val="24"/>
          <w:szCs w:val="24"/>
          <w:lang w:eastAsia="pl-PL"/>
        </w:rPr>
        <w:t>–</w:t>
      </w:r>
      <w:r w:rsidRPr="00E24274">
        <w:rPr>
          <w:rFonts w:ascii="Times New Roman" w:hAnsi="Times New Roman"/>
          <w:bCs/>
          <w:sz w:val="24"/>
          <w:szCs w:val="24"/>
          <w:lang w:eastAsia="pl-PL"/>
        </w:rPr>
        <w:t>3</w:t>
      </w:r>
      <w:r w:rsidRPr="00E24274">
        <w:rPr>
          <w:rFonts w:ascii="Times New Roman" w:hAnsi="Times New Roman"/>
          <w:bCs/>
          <w:sz w:val="24"/>
          <w:szCs w:val="24"/>
          <w:vertAlign w:val="superscript"/>
          <w:lang w:eastAsia="pl-PL"/>
        </w:rPr>
        <w:t>5</w:t>
      </w:r>
      <w:r w:rsidRPr="00E24274">
        <w:rPr>
          <w:rFonts w:ascii="Times New Roman" w:hAnsi="Times New Roman"/>
          <w:bCs/>
          <w:sz w:val="24"/>
          <w:szCs w:val="24"/>
          <w:lang w:eastAsia="pl-PL"/>
        </w:rPr>
        <w:t xml:space="preserve"> pr. aut. oraz rozporządzenia Ministra Kultury i Dziedzictwa Narod</w:t>
      </w:r>
      <w:r w:rsidR="00DC207A">
        <w:rPr>
          <w:rFonts w:ascii="Times New Roman" w:hAnsi="Times New Roman"/>
          <w:bCs/>
          <w:sz w:val="24"/>
          <w:szCs w:val="24"/>
          <w:lang w:eastAsia="pl-PL"/>
        </w:rPr>
        <w:t>owego z dnia 17 lipca 2014 r. w </w:t>
      </w:r>
      <w:r w:rsidRPr="00E24274">
        <w:rPr>
          <w:rFonts w:ascii="Times New Roman" w:hAnsi="Times New Roman"/>
          <w:bCs/>
          <w:sz w:val="24"/>
          <w:szCs w:val="24"/>
          <w:lang w:eastAsia="pl-PL"/>
        </w:rPr>
        <w:t>sprawie szczegółowego zakresu rocznego sprawozdania z działalności organizacji zbiorowego zarządzania prawami autorskimi lub prawami pokrewnymi</w:t>
      </w:r>
      <w:r w:rsidR="00E24274">
        <w:rPr>
          <w:rFonts w:ascii="Times New Roman" w:hAnsi="Times New Roman"/>
          <w:bCs/>
          <w:sz w:val="24"/>
          <w:szCs w:val="24"/>
          <w:lang w:eastAsia="pl-PL"/>
        </w:rPr>
        <w:t xml:space="preserve"> </w:t>
      </w:r>
      <w:r w:rsidRPr="00E24274">
        <w:rPr>
          <w:rFonts w:ascii="Times New Roman" w:hAnsi="Times New Roman"/>
          <w:bCs/>
          <w:sz w:val="24"/>
          <w:szCs w:val="24"/>
          <w:lang w:eastAsia="pl-PL"/>
        </w:rPr>
        <w:t>oraz praktyki ich stosowania. Przewiduje się zatem utrzymanie dot</w:t>
      </w:r>
      <w:r w:rsidR="00DC207A">
        <w:rPr>
          <w:rFonts w:ascii="Times New Roman" w:hAnsi="Times New Roman"/>
          <w:bCs/>
          <w:sz w:val="24"/>
          <w:szCs w:val="24"/>
          <w:lang w:eastAsia="pl-PL"/>
        </w:rPr>
        <w:t>ychczasowej praktyki, zgodnie z </w:t>
      </w:r>
      <w:r w:rsidRPr="00E24274">
        <w:rPr>
          <w:rFonts w:ascii="Times New Roman" w:hAnsi="Times New Roman"/>
          <w:bCs/>
          <w:sz w:val="24"/>
          <w:szCs w:val="24"/>
          <w:lang w:eastAsia="pl-PL"/>
        </w:rPr>
        <w:t xml:space="preserve">którą szczegółowa treść sprawozdania jest określana w rozporządzeniu wydawanym na podstawie upoważnienia ustawowego. Przy czym – zgodnie z art. 89 projektowanej </w:t>
      </w:r>
      <w:r w:rsidRPr="00E24274">
        <w:rPr>
          <w:rFonts w:ascii="Times New Roman" w:hAnsi="Times New Roman"/>
          <w:bCs/>
          <w:sz w:val="24"/>
          <w:szCs w:val="24"/>
          <w:lang w:eastAsia="pl-PL"/>
        </w:rPr>
        <w:lastRenderedPageBreak/>
        <w:t xml:space="preserve">ustawy – elementy sprawozdania zawarte w załączniku do dyrektywy CRM będą stanowić niezbędne minimum i możliwe będzie uwzględnienie w rozporządzeniu także dodatkowych elementów, nieprzewidzianych we </w:t>
      </w:r>
      <w:r w:rsidR="00DC207A">
        <w:rPr>
          <w:rFonts w:ascii="Times New Roman" w:hAnsi="Times New Roman"/>
          <w:bCs/>
          <w:sz w:val="24"/>
          <w:szCs w:val="24"/>
          <w:lang w:eastAsia="pl-PL"/>
        </w:rPr>
        <w:t>wspomnianym załączniku, które w </w:t>
      </w:r>
      <w:r w:rsidRPr="00E24274">
        <w:rPr>
          <w:rFonts w:ascii="Times New Roman" w:hAnsi="Times New Roman"/>
          <w:bCs/>
          <w:sz w:val="24"/>
          <w:szCs w:val="24"/>
          <w:lang w:eastAsia="pl-PL"/>
        </w:rPr>
        <w:t xml:space="preserve">obowiązującym stanie prawnym stanowią element sprawozdań. Zawarty w polskim tłumaczeniu dyrektywy termin </w:t>
      </w:r>
      <w:r w:rsidR="00E24274">
        <w:rPr>
          <w:rFonts w:ascii="Times New Roman" w:hAnsi="Times New Roman"/>
          <w:bCs/>
          <w:sz w:val="24"/>
          <w:szCs w:val="24"/>
          <w:lang w:eastAsia="pl-PL"/>
        </w:rPr>
        <w:t>„</w:t>
      </w:r>
      <w:r w:rsidRPr="00E24274">
        <w:rPr>
          <w:rFonts w:ascii="Times New Roman" w:hAnsi="Times New Roman"/>
          <w:bCs/>
          <w:i/>
          <w:sz w:val="24"/>
          <w:szCs w:val="24"/>
          <w:lang w:eastAsia="pl-PL"/>
        </w:rPr>
        <w:t>roczne sprawozdanie na temat przejrzystości</w:t>
      </w:r>
      <w:r w:rsidR="00E24274">
        <w:rPr>
          <w:rFonts w:ascii="Times New Roman" w:hAnsi="Times New Roman"/>
          <w:bCs/>
          <w:i/>
          <w:sz w:val="24"/>
          <w:szCs w:val="24"/>
          <w:lang w:eastAsia="pl-PL"/>
        </w:rPr>
        <w:t>”</w:t>
      </w:r>
      <w:r w:rsidR="00DC207A">
        <w:rPr>
          <w:rFonts w:ascii="Times New Roman" w:hAnsi="Times New Roman"/>
          <w:bCs/>
          <w:sz w:val="24"/>
          <w:szCs w:val="24"/>
          <w:lang w:eastAsia="pl-PL"/>
        </w:rPr>
        <w:t xml:space="preserve"> (ang. </w:t>
      </w:r>
      <w:r w:rsidR="00E24274">
        <w:rPr>
          <w:rFonts w:ascii="Times New Roman" w:hAnsi="Times New Roman"/>
          <w:bCs/>
          <w:sz w:val="24"/>
          <w:szCs w:val="24"/>
          <w:lang w:eastAsia="pl-PL"/>
        </w:rPr>
        <w:t>„</w:t>
      </w:r>
      <w:r w:rsidRPr="00E24274">
        <w:rPr>
          <w:rFonts w:ascii="Times New Roman" w:hAnsi="Times New Roman"/>
          <w:bCs/>
          <w:i/>
          <w:sz w:val="24"/>
          <w:szCs w:val="24"/>
          <w:lang w:eastAsia="pl-PL"/>
        </w:rPr>
        <w:t>annual transparency report</w:t>
      </w:r>
      <w:r w:rsidR="00E24274">
        <w:rPr>
          <w:rFonts w:ascii="Times New Roman" w:hAnsi="Times New Roman"/>
          <w:bCs/>
          <w:sz w:val="24"/>
          <w:szCs w:val="24"/>
          <w:lang w:eastAsia="pl-PL"/>
        </w:rPr>
        <w:t>”</w:t>
      </w:r>
      <w:r w:rsidRPr="00E24274">
        <w:rPr>
          <w:rFonts w:ascii="Times New Roman" w:hAnsi="Times New Roman"/>
          <w:bCs/>
          <w:sz w:val="24"/>
          <w:szCs w:val="24"/>
          <w:lang w:eastAsia="pl-PL"/>
        </w:rPr>
        <w:t>) nie zostaje w pr</w:t>
      </w:r>
      <w:r w:rsidR="00DC207A">
        <w:rPr>
          <w:rFonts w:ascii="Times New Roman" w:hAnsi="Times New Roman"/>
          <w:bCs/>
          <w:sz w:val="24"/>
          <w:szCs w:val="24"/>
          <w:lang w:eastAsia="pl-PL"/>
        </w:rPr>
        <w:t>ojektowanej ustawie przyjęty, z </w:t>
      </w:r>
      <w:r w:rsidRPr="00E24274">
        <w:rPr>
          <w:rFonts w:ascii="Times New Roman" w:hAnsi="Times New Roman"/>
          <w:bCs/>
          <w:sz w:val="24"/>
          <w:szCs w:val="24"/>
          <w:lang w:eastAsia="pl-PL"/>
        </w:rPr>
        <w:t xml:space="preserve">uwagi na dotychczas stosowany, bardziej zrozumiały i bardziej poprawny językowo termin </w:t>
      </w:r>
      <w:r w:rsidR="00E24274">
        <w:rPr>
          <w:rFonts w:ascii="Times New Roman" w:hAnsi="Times New Roman"/>
          <w:bCs/>
          <w:i/>
          <w:sz w:val="24"/>
          <w:szCs w:val="24"/>
          <w:lang w:eastAsia="pl-PL"/>
        </w:rPr>
        <w:t>„</w:t>
      </w:r>
      <w:r w:rsidRPr="00E24274">
        <w:rPr>
          <w:rFonts w:ascii="Times New Roman" w:hAnsi="Times New Roman"/>
          <w:bCs/>
          <w:i/>
          <w:sz w:val="24"/>
          <w:szCs w:val="24"/>
          <w:lang w:eastAsia="pl-PL"/>
        </w:rPr>
        <w:t>roczne sprawozdanie z działalności</w:t>
      </w:r>
      <w:r w:rsidR="00E24274">
        <w:rPr>
          <w:rFonts w:ascii="Times New Roman" w:hAnsi="Times New Roman"/>
          <w:bCs/>
          <w:i/>
          <w:sz w:val="24"/>
          <w:szCs w:val="24"/>
          <w:lang w:eastAsia="pl-PL"/>
        </w:rPr>
        <w:t>”</w:t>
      </w:r>
      <w:r w:rsidRPr="00E24274">
        <w:rPr>
          <w:rFonts w:ascii="Times New Roman" w:hAnsi="Times New Roman"/>
          <w:bCs/>
          <w:i/>
          <w:sz w:val="24"/>
          <w:szCs w:val="24"/>
          <w:lang w:eastAsia="pl-PL"/>
        </w:rPr>
        <w:t>.</w:t>
      </w:r>
      <w:r w:rsidRPr="00E24274">
        <w:rPr>
          <w:rFonts w:ascii="Times New Roman" w:hAnsi="Times New Roman"/>
          <w:bCs/>
          <w:sz w:val="24"/>
          <w:szCs w:val="24"/>
          <w:lang w:eastAsia="pl-PL"/>
        </w:rPr>
        <w:t xml:space="preserve"> Utrzymuje się także dotychczasowy termin na sporządzenie i upublicznienie sprawozdania wynoszący 6 miesięcy od końca roku obrotowego (wg dyrektywy termin ten może wynosić do 8 miesięcy), jak również dotychczasowy obowiązek przekazywania</w:t>
      </w:r>
      <w:r w:rsidR="00810717" w:rsidRPr="00E24274">
        <w:rPr>
          <w:rFonts w:ascii="Times New Roman" w:hAnsi="Times New Roman"/>
          <w:bCs/>
          <w:sz w:val="24"/>
          <w:szCs w:val="24"/>
          <w:lang w:eastAsia="pl-PL"/>
        </w:rPr>
        <w:t xml:space="preserve"> zatwierdzonego</w:t>
      </w:r>
      <w:r w:rsidRPr="00E24274">
        <w:rPr>
          <w:rFonts w:ascii="Times New Roman" w:hAnsi="Times New Roman"/>
          <w:bCs/>
          <w:sz w:val="24"/>
          <w:szCs w:val="24"/>
          <w:lang w:eastAsia="pl-PL"/>
        </w:rPr>
        <w:t xml:space="preserve"> sprawozdania organowi nadzoru</w:t>
      </w:r>
      <w:r w:rsidR="00452E8B" w:rsidRPr="00E24274">
        <w:rPr>
          <w:rFonts w:ascii="Times New Roman" w:hAnsi="Times New Roman"/>
          <w:bCs/>
          <w:sz w:val="24"/>
          <w:szCs w:val="24"/>
          <w:lang w:eastAsia="pl-PL"/>
        </w:rPr>
        <w:t xml:space="preserve"> (art. 88 ust. 6 projektu)</w:t>
      </w:r>
      <w:r w:rsidRPr="00E24274">
        <w:rPr>
          <w:rFonts w:ascii="Times New Roman" w:hAnsi="Times New Roman"/>
          <w:bCs/>
          <w:sz w:val="24"/>
          <w:szCs w:val="24"/>
          <w:lang w:eastAsia="pl-PL"/>
        </w:rPr>
        <w:t>. W związku ze zmianami regulacji dotyczących zadań biegłych rewidentów dotychczasowy obowiązek przekazywania ich raportów i opinii zostaje zastąpiony obowiązkiem przekazywan</w:t>
      </w:r>
      <w:r w:rsidR="00DC207A">
        <w:rPr>
          <w:rFonts w:ascii="Times New Roman" w:hAnsi="Times New Roman"/>
          <w:bCs/>
          <w:sz w:val="24"/>
          <w:szCs w:val="24"/>
          <w:lang w:eastAsia="pl-PL"/>
        </w:rPr>
        <w:t>ia ich sprawozdań z badania ww. </w:t>
      </w:r>
      <w:r w:rsidRPr="00E24274">
        <w:rPr>
          <w:rFonts w:ascii="Times New Roman" w:hAnsi="Times New Roman"/>
          <w:bCs/>
          <w:sz w:val="24"/>
          <w:szCs w:val="24"/>
          <w:lang w:eastAsia="pl-PL"/>
        </w:rPr>
        <w:t xml:space="preserve">rocznych sprawozdań organizacji zbiorowego zarządzania. </w:t>
      </w:r>
    </w:p>
    <w:p w:rsidR="00D2655C" w:rsidRPr="00E24274" w:rsidRDefault="00D2655C" w:rsidP="00E24274">
      <w:pPr>
        <w:spacing w:before="120" w:after="0" w:line="360" w:lineRule="auto"/>
        <w:jc w:val="both"/>
        <w:rPr>
          <w:rFonts w:ascii="Times New Roman" w:hAnsi="Times New Roman"/>
          <w:bCs/>
          <w:sz w:val="24"/>
          <w:szCs w:val="24"/>
          <w:lang w:eastAsia="pl-PL"/>
        </w:rPr>
      </w:pPr>
      <w:r w:rsidRPr="00E24274">
        <w:rPr>
          <w:rFonts w:ascii="Times New Roman" w:hAnsi="Times New Roman"/>
          <w:bCs/>
          <w:sz w:val="24"/>
          <w:szCs w:val="24"/>
          <w:lang w:eastAsia="pl-PL"/>
        </w:rPr>
        <w:t>3. Zgodnie z art. 88 ust. 2 projektowanej ustawy zmianie ulegnie natomiast struktura sprawozdania, które obecnie będzie się składać z 3 części – sprawozdania podstawowego, sprawozdania finansowego oraz sprawozdania z wykorzystania środków na działalność socjalną, kulturalną lub edukacyjną. Zgodnie z art. 22 ust. 1 dyrektywy CRM to ostatnie sprawozdanie ma być sprawozdaniem odrębnym od sprawozdania podstawowego, będzie więc zatem stanowić odrębną część sprawozdania z działalności – w aktualnym stanie prawnym in</w:t>
      </w:r>
      <w:r w:rsidR="00DC207A">
        <w:rPr>
          <w:rFonts w:ascii="Times New Roman" w:hAnsi="Times New Roman"/>
          <w:bCs/>
          <w:sz w:val="24"/>
          <w:szCs w:val="24"/>
          <w:lang w:eastAsia="pl-PL"/>
        </w:rPr>
        <w:t>formacje te zamieszcza się w IV </w:t>
      </w:r>
      <w:r w:rsidRPr="00E24274">
        <w:rPr>
          <w:rFonts w:ascii="Times New Roman" w:hAnsi="Times New Roman"/>
          <w:bCs/>
          <w:sz w:val="24"/>
          <w:szCs w:val="24"/>
          <w:lang w:eastAsia="pl-PL"/>
        </w:rPr>
        <w:t xml:space="preserve">rozdziale sprawozdania z działalności (repartycja). </w:t>
      </w:r>
    </w:p>
    <w:p w:rsidR="00D2655C" w:rsidRPr="00E24274" w:rsidRDefault="00D2655C" w:rsidP="00E24274">
      <w:pPr>
        <w:spacing w:before="120" w:after="0" w:line="360" w:lineRule="auto"/>
        <w:jc w:val="both"/>
        <w:rPr>
          <w:rFonts w:ascii="Times New Roman" w:hAnsi="Times New Roman"/>
          <w:bCs/>
          <w:sz w:val="24"/>
          <w:szCs w:val="24"/>
          <w:lang w:eastAsia="pl-PL"/>
        </w:rPr>
      </w:pPr>
      <w:r w:rsidRPr="00E24274">
        <w:rPr>
          <w:rFonts w:ascii="Times New Roman" w:hAnsi="Times New Roman"/>
          <w:bCs/>
          <w:sz w:val="24"/>
          <w:szCs w:val="24"/>
          <w:lang w:eastAsia="pl-PL"/>
        </w:rPr>
        <w:t>4. Chociaż dyrektywa CRM wymaga, aby sprawozdania były publicznie dostępne przez okres przynajmniej 5 lat projektowana ustawa wprowadza obowiązek utrzymywania tych sprawozdań na stronach internetowych organizacji zbiorowego zarządzania przez czas nieokreślony. W aktualnym stanie prawnym ta kwestia nie została wyraźnie uregulowana, aczkolwiek za zasadny należy przyjąć pogląd o braku podstaw do usuwania ze stron internetowych organizacji zbiorowego zarządzania sprawozdań za poprzednie lata obrotowe.</w:t>
      </w:r>
    </w:p>
    <w:p w:rsidR="00B7656C" w:rsidRPr="00E24274" w:rsidRDefault="00D2655C" w:rsidP="00E24274">
      <w:pPr>
        <w:spacing w:before="120" w:after="0" w:line="360" w:lineRule="auto"/>
        <w:jc w:val="both"/>
        <w:rPr>
          <w:rFonts w:ascii="Times New Roman" w:hAnsi="Times New Roman"/>
          <w:bCs/>
          <w:sz w:val="24"/>
          <w:szCs w:val="24"/>
          <w:lang w:eastAsia="pl-PL"/>
        </w:rPr>
      </w:pPr>
      <w:r w:rsidRPr="00E24274">
        <w:rPr>
          <w:rFonts w:ascii="Times New Roman" w:hAnsi="Times New Roman"/>
          <w:bCs/>
          <w:sz w:val="24"/>
          <w:szCs w:val="24"/>
          <w:lang w:eastAsia="pl-PL"/>
        </w:rPr>
        <w:t xml:space="preserve">5. Zgodnie z art. 89 projektowanej ustawy minister </w:t>
      </w:r>
      <w:r w:rsidR="00DC207A">
        <w:rPr>
          <w:rFonts w:ascii="Times New Roman" w:hAnsi="Times New Roman"/>
          <w:sz w:val="24"/>
          <w:szCs w:val="24"/>
        </w:rPr>
        <w:t>właściwy do spraw kultury i </w:t>
      </w:r>
      <w:r w:rsidRPr="00E24274">
        <w:rPr>
          <w:rFonts w:ascii="Times New Roman" w:hAnsi="Times New Roman"/>
          <w:sz w:val="24"/>
          <w:szCs w:val="24"/>
        </w:rPr>
        <w:t>ochrony dziedzictwa narodowego</w:t>
      </w:r>
      <w:r w:rsidRPr="00E24274">
        <w:rPr>
          <w:rFonts w:ascii="Times New Roman" w:hAnsi="Times New Roman"/>
          <w:bCs/>
          <w:sz w:val="24"/>
          <w:szCs w:val="24"/>
          <w:lang w:eastAsia="pl-PL"/>
        </w:rPr>
        <w:t xml:space="preserve"> określi, w drodze rozporządzenia, szczegółowy </w:t>
      </w:r>
      <w:r w:rsidRPr="00E24274">
        <w:rPr>
          <w:rFonts w:ascii="Times New Roman" w:hAnsi="Times New Roman"/>
          <w:bCs/>
          <w:sz w:val="24"/>
          <w:szCs w:val="24"/>
          <w:lang w:eastAsia="pl-PL"/>
        </w:rPr>
        <w:lastRenderedPageBreak/>
        <w:t>zakres sprawozdania podstawowego i sprawozdania o wykorzystaniu środków na działalność socjalną, kulturalną lub edukacyjną, obejmujący co najmniej informacje wymienione w załączniku do dyrektywy CRM, uwzględniając informacje na temat struktury organizacyjnej organizacji, jej organów wewnętrznych i majątku oraz działalności w zakresie zbiorowego zarządzania, a także konieczność dokonania oceny prawidłowości realizacji przez organizację jej celów</w:t>
      </w:r>
      <w:r w:rsidR="00DC207A">
        <w:rPr>
          <w:rFonts w:ascii="Times New Roman" w:hAnsi="Times New Roman"/>
          <w:bCs/>
          <w:sz w:val="24"/>
          <w:szCs w:val="24"/>
          <w:lang w:eastAsia="pl-PL"/>
        </w:rPr>
        <w:t xml:space="preserve"> statutowych. Treść zawartych w </w:t>
      </w:r>
      <w:r w:rsidRPr="00E24274">
        <w:rPr>
          <w:rFonts w:ascii="Times New Roman" w:hAnsi="Times New Roman"/>
          <w:bCs/>
          <w:sz w:val="24"/>
          <w:szCs w:val="24"/>
          <w:lang w:eastAsia="pl-PL"/>
        </w:rPr>
        <w:t>tym upoważnieniu wytycznych, z wyjątkiem odnoszących się do dyrektywy CRM, odpowiada obecnie obowiązującym wytycznym zawartym w art. 104 ust. 3</w:t>
      </w:r>
      <w:r w:rsidRPr="00E24274">
        <w:rPr>
          <w:rFonts w:ascii="Times New Roman" w:hAnsi="Times New Roman"/>
          <w:bCs/>
          <w:sz w:val="24"/>
          <w:szCs w:val="24"/>
          <w:vertAlign w:val="superscript"/>
          <w:lang w:eastAsia="pl-PL"/>
        </w:rPr>
        <w:t>5</w:t>
      </w:r>
      <w:r w:rsidRPr="00E24274">
        <w:rPr>
          <w:rFonts w:ascii="Times New Roman" w:hAnsi="Times New Roman"/>
          <w:bCs/>
          <w:sz w:val="24"/>
          <w:szCs w:val="24"/>
          <w:lang w:eastAsia="pl-PL"/>
        </w:rPr>
        <w:t xml:space="preserve"> pr. aut., na podstawie którego zostało wydane wspomniane rozporządzenie z 2014 r., jak również poprzednio obowiązujące rozporządzenie z dnia 18 k</w:t>
      </w:r>
      <w:r w:rsidR="00DC207A">
        <w:rPr>
          <w:rFonts w:ascii="Times New Roman" w:hAnsi="Times New Roman"/>
          <w:bCs/>
          <w:sz w:val="24"/>
          <w:szCs w:val="24"/>
          <w:lang w:eastAsia="pl-PL"/>
        </w:rPr>
        <w:t>wietnia 2011 r. Podobnie jak w </w:t>
      </w:r>
      <w:r w:rsidRPr="00E24274">
        <w:rPr>
          <w:rFonts w:ascii="Times New Roman" w:hAnsi="Times New Roman"/>
          <w:bCs/>
          <w:sz w:val="24"/>
          <w:szCs w:val="24"/>
          <w:lang w:eastAsia="pl-PL"/>
        </w:rPr>
        <w:t>obowiązującym stanie prawnym</w:t>
      </w:r>
      <w:r w:rsidR="00B7656C" w:rsidRPr="00E24274">
        <w:rPr>
          <w:rFonts w:ascii="Times New Roman" w:hAnsi="Times New Roman"/>
          <w:bCs/>
          <w:sz w:val="24"/>
          <w:szCs w:val="24"/>
          <w:lang w:eastAsia="pl-PL"/>
        </w:rPr>
        <w:t xml:space="preserve"> do organizacji zbiorowego zarządzania będzie miała zastosowanie</w:t>
      </w:r>
      <w:r w:rsidRPr="00E24274">
        <w:rPr>
          <w:rFonts w:ascii="Times New Roman" w:hAnsi="Times New Roman"/>
          <w:bCs/>
          <w:sz w:val="24"/>
          <w:szCs w:val="24"/>
          <w:lang w:eastAsia="pl-PL"/>
        </w:rPr>
        <w:t>, zgodnie z art. 90 projektowanej ustawy,</w:t>
      </w:r>
      <w:r w:rsidR="00DC207A">
        <w:rPr>
          <w:rFonts w:ascii="Times New Roman" w:hAnsi="Times New Roman"/>
          <w:bCs/>
          <w:sz w:val="24"/>
          <w:szCs w:val="24"/>
          <w:lang w:eastAsia="pl-PL"/>
        </w:rPr>
        <w:t xml:space="preserve"> ustawa z dnia 29 września 1994 </w:t>
      </w:r>
      <w:r w:rsidRPr="00E24274">
        <w:rPr>
          <w:rFonts w:ascii="Times New Roman" w:hAnsi="Times New Roman"/>
          <w:bCs/>
          <w:sz w:val="24"/>
          <w:szCs w:val="24"/>
          <w:lang w:eastAsia="pl-PL"/>
        </w:rPr>
        <w:t>r. o rachunkowości.</w:t>
      </w:r>
      <w:r w:rsidR="00B7656C" w:rsidRPr="00E24274">
        <w:rPr>
          <w:rFonts w:ascii="Times New Roman" w:hAnsi="Times New Roman"/>
          <w:bCs/>
          <w:sz w:val="24"/>
          <w:szCs w:val="24"/>
          <w:lang w:eastAsia="pl-PL"/>
        </w:rPr>
        <w:t xml:space="preserve"> Art. 22 ust. 4 w zw. z pkt 1 lit. a załącznika dyrektywy CRM wymaga,</w:t>
      </w:r>
      <w:r w:rsidRPr="00E24274">
        <w:rPr>
          <w:rFonts w:ascii="Times New Roman" w:hAnsi="Times New Roman"/>
          <w:bCs/>
          <w:sz w:val="24"/>
          <w:szCs w:val="24"/>
          <w:lang w:eastAsia="pl-PL"/>
        </w:rPr>
        <w:t xml:space="preserve"> </w:t>
      </w:r>
      <w:r w:rsidR="00B7656C" w:rsidRPr="00E24274">
        <w:rPr>
          <w:rFonts w:ascii="Times New Roman" w:hAnsi="Times New Roman"/>
          <w:bCs/>
          <w:sz w:val="24"/>
          <w:szCs w:val="24"/>
          <w:lang w:eastAsia="pl-PL"/>
        </w:rPr>
        <w:t>aby sprawozdanie finansowe obejmowało b</w:t>
      </w:r>
      <w:r w:rsidR="00DC207A">
        <w:rPr>
          <w:rFonts w:ascii="Times New Roman" w:hAnsi="Times New Roman"/>
          <w:bCs/>
          <w:sz w:val="24"/>
          <w:szCs w:val="24"/>
          <w:lang w:eastAsia="pl-PL"/>
        </w:rPr>
        <w:t>ilans lub zestawienie aktywów i </w:t>
      </w:r>
      <w:r w:rsidR="00B7656C" w:rsidRPr="00E24274">
        <w:rPr>
          <w:rFonts w:ascii="Times New Roman" w:hAnsi="Times New Roman"/>
          <w:bCs/>
          <w:sz w:val="24"/>
          <w:szCs w:val="24"/>
          <w:lang w:eastAsia="pl-PL"/>
        </w:rPr>
        <w:t xml:space="preserve">pasywów, rachunek dochodów i wydatków za dany rok obrotowy oraz rachunek przepływów pieniężnych. Jednak zgodnie z art. 45 ust. 2 i 3 ustawy o rachunkowości ten ostatni element sporządzają tylko jednostki określone w art. 64 ust. 1 tej ustawy. Dlatego konieczne jest wprowadzenie w projektowanej ustawie – która w tym zakresie będzie stanowić </w:t>
      </w:r>
      <w:r w:rsidR="00B7656C" w:rsidRPr="00E24274">
        <w:rPr>
          <w:rFonts w:ascii="Times New Roman" w:hAnsi="Times New Roman"/>
          <w:bCs/>
          <w:i/>
          <w:sz w:val="24"/>
          <w:szCs w:val="24"/>
          <w:lang w:eastAsia="pl-PL"/>
        </w:rPr>
        <w:t>lex specialis</w:t>
      </w:r>
      <w:r w:rsidR="00B7656C" w:rsidRPr="00E24274">
        <w:rPr>
          <w:rFonts w:ascii="Times New Roman" w:hAnsi="Times New Roman"/>
          <w:bCs/>
          <w:sz w:val="24"/>
          <w:szCs w:val="24"/>
          <w:lang w:eastAsia="pl-PL"/>
        </w:rPr>
        <w:t xml:space="preserve"> wobec ustawy o rachunkowości – bezwzględnego obowiązku sporządzania rachunku przepływów pieniężnych w ramach sprawozdania finansowego. Ponadto wyłączone zostanie st</w:t>
      </w:r>
      <w:r w:rsidR="00DC207A">
        <w:rPr>
          <w:rFonts w:ascii="Times New Roman" w:hAnsi="Times New Roman"/>
          <w:bCs/>
          <w:sz w:val="24"/>
          <w:szCs w:val="24"/>
          <w:lang w:eastAsia="pl-PL"/>
        </w:rPr>
        <w:t>osowanie art. 2 ust. 5 ustawy o </w:t>
      </w:r>
      <w:r w:rsidR="00B7656C" w:rsidRPr="00E24274">
        <w:rPr>
          <w:rFonts w:ascii="Times New Roman" w:hAnsi="Times New Roman"/>
          <w:bCs/>
          <w:sz w:val="24"/>
          <w:szCs w:val="24"/>
          <w:lang w:eastAsia="pl-PL"/>
        </w:rPr>
        <w:t>rachunkowości, który umożliwia określonym jednostkom prowadzenie rachunkowości uproszczonej.</w:t>
      </w:r>
    </w:p>
    <w:p w:rsidR="00D2655C" w:rsidRPr="00E24274" w:rsidRDefault="00D2655C" w:rsidP="00E24274">
      <w:pPr>
        <w:spacing w:before="120" w:after="0" w:line="360" w:lineRule="auto"/>
        <w:jc w:val="both"/>
        <w:rPr>
          <w:rFonts w:ascii="Times New Roman" w:hAnsi="Times New Roman"/>
          <w:bCs/>
          <w:sz w:val="24"/>
          <w:szCs w:val="24"/>
          <w:lang w:eastAsia="pl-PL"/>
        </w:rPr>
      </w:pPr>
      <w:r w:rsidRPr="00E24274">
        <w:rPr>
          <w:rFonts w:ascii="Times New Roman" w:hAnsi="Times New Roman"/>
          <w:bCs/>
          <w:sz w:val="24"/>
          <w:szCs w:val="24"/>
          <w:lang w:eastAsia="pl-PL"/>
        </w:rPr>
        <w:t xml:space="preserve">W aktualnym stanie prawnym badaniu przez biegłego rewidenta podlega jedynie sprawozdanie finansowe. Zgodnie z art. 88 ust. </w:t>
      </w:r>
      <w:r w:rsidR="00B7656C" w:rsidRPr="00E24274">
        <w:rPr>
          <w:rFonts w:ascii="Times New Roman" w:hAnsi="Times New Roman"/>
          <w:bCs/>
          <w:sz w:val="24"/>
          <w:szCs w:val="24"/>
          <w:lang w:eastAsia="pl-PL"/>
        </w:rPr>
        <w:t>4</w:t>
      </w:r>
      <w:r w:rsidRPr="00E24274">
        <w:rPr>
          <w:rFonts w:ascii="Times New Roman" w:hAnsi="Times New Roman"/>
          <w:bCs/>
          <w:sz w:val="24"/>
          <w:szCs w:val="24"/>
          <w:lang w:eastAsia="pl-PL"/>
        </w:rPr>
        <w:t xml:space="preserve"> projektowanej ustawy takiemu badaniu będzie podlegać </w:t>
      </w:r>
      <w:r w:rsidR="00B7656C" w:rsidRPr="00E24274">
        <w:rPr>
          <w:rFonts w:ascii="Times New Roman" w:hAnsi="Times New Roman"/>
          <w:bCs/>
          <w:sz w:val="24"/>
          <w:szCs w:val="24"/>
          <w:lang w:eastAsia="pl-PL"/>
        </w:rPr>
        <w:t xml:space="preserve">nie tylko </w:t>
      </w:r>
      <w:r w:rsidRPr="00E24274">
        <w:rPr>
          <w:rFonts w:ascii="Times New Roman" w:hAnsi="Times New Roman"/>
          <w:bCs/>
          <w:sz w:val="24"/>
          <w:szCs w:val="24"/>
          <w:lang w:eastAsia="pl-PL"/>
        </w:rPr>
        <w:t>sprawozdanie</w:t>
      </w:r>
      <w:r w:rsidR="007B19DC" w:rsidRPr="00E24274">
        <w:rPr>
          <w:rFonts w:ascii="Times New Roman" w:hAnsi="Times New Roman"/>
          <w:bCs/>
          <w:sz w:val="24"/>
          <w:szCs w:val="24"/>
          <w:lang w:eastAsia="pl-PL"/>
        </w:rPr>
        <w:t xml:space="preserve"> finansowe, a</w:t>
      </w:r>
      <w:r w:rsidR="00B7656C" w:rsidRPr="00E24274">
        <w:rPr>
          <w:rFonts w:ascii="Times New Roman" w:hAnsi="Times New Roman"/>
          <w:bCs/>
          <w:sz w:val="24"/>
          <w:szCs w:val="24"/>
          <w:lang w:eastAsia="pl-PL"/>
        </w:rPr>
        <w:t>le</w:t>
      </w:r>
      <w:r w:rsidR="007B19DC" w:rsidRPr="00E24274">
        <w:rPr>
          <w:rFonts w:ascii="Times New Roman" w:hAnsi="Times New Roman"/>
          <w:bCs/>
          <w:sz w:val="24"/>
          <w:szCs w:val="24"/>
          <w:lang w:eastAsia="pl-PL"/>
        </w:rPr>
        <w:t xml:space="preserve"> dodatkowo</w:t>
      </w:r>
      <w:r w:rsidR="00B7656C" w:rsidRPr="00E24274">
        <w:rPr>
          <w:rFonts w:ascii="Times New Roman" w:hAnsi="Times New Roman"/>
          <w:bCs/>
          <w:sz w:val="24"/>
          <w:szCs w:val="24"/>
          <w:lang w:eastAsia="pl-PL"/>
        </w:rPr>
        <w:t xml:space="preserve"> także</w:t>
      </w:r>
      <w:r w:rsidR="007B19DC" w:rsidRPr="00E24274">
        <w:rPr>
          <w:rFonts w:ascii="Times New Roman" w:hAnsi="Times New Roman"/>
          <w:bCs/>
          <w:sz w:val="24"/>
          <w:szCs w:val="24"/>
          <w:lang w:eastAsia="pl-PL"/>
        </w:rPr>
        <w:t xml:space="preserve"> sprawozdanie podstawowe i sprawozdanie z wykorzystania potrąceń na cele socjalne, kulturalne i edukacyjne </w:t>
      </w:r>
      <w:r w:rsidRPr="00E24274">
        <w:rPr>
          <w:rFonts w:ascii="Times New Roman" w:hAnsi="Times New Roman"/>
          <w:bCs/>
          <w:sz w:val="24"/>
          <w:szCs w:val="24"/>
          <w:lang w:eastAsia="pl-PL"/>
        </w:rPr>
        <w:t xml:space="preserve">w zakresie </w:t>
      </w:r>
      <w:r w:rsidR="00931D96" w:rsidRPr="00E24274">
        <w:rPr>
          <w:rFonts w:ascii="Times New Roman" w:hAnsi="Times New Roman"/>
          <w:bCs/>
          <w:sz w:val="24"/>
          <w:szCs w:val="24"/>
          <w:lang w:eastAsia="pl-PL"/>
        </w:rPr>
        <w:t xml:space="preserve">zawartych w </w:t>
      </w:r>
      <w:r w:rsidR="007B19DC" w:rsidRPr="00E24274">
        <w:rPr>
          <w:rFonts w:ascii="Times New Roman" w:hAnsi="Times New Roman"/>
          <w:bCs/>
          <w:sz w:val="24"/>
          <w:szCs w:val="24"/>
          <w:lang w:eastAsia="pl-PL"/>
        </w:rPr>
        <w:t>nich</w:t>
      </w:r>
      <w:r w:rsidR="00A933C8" w:rsidRPr="00E24274">
        <w:rPr>
          <w:rFonts w:ascii="Times New Roman" w:hAnsi="Times New Roman"/>
          <w:bCs/>
          <w:sz w:val="24"/>
          <w:szCs w:val="24"/>
          <w:lang w:eastAsia="pl-PL"/>
        </w:rPr>
        <w:t xml:space="preserve"> określonych</w:t>
      </w:r>
      <w:r w:rsidR="007B19DC" w:rsidRPr="00E24274">
        <w:rPr>
          <w:rFonts w:ascii="Times New Roman" w:hAnsi="Times New Roman"/>
          <w:bCs/>
          <w:sz w:val="24"/>
          <w:szCs w:val="24"/>
          <w:lang w:eastAsia="pl-PL"/>
        </w:rPr>
        <w:t xml:space="preserve"> </w:t>
      </w:r>
      <w:r w:rsidRPr="00E24274">
        <w:rPr>
          <w:rFonts w:ascii="Times New Roman" w:hAnsi="Times New Roman"/>
          <w:bCs/>
          <w:sz w:val="24"/>
          <w:szCs w:val="24"/>
          <w:lang w:eastAsia="pl-PL"/>
        </w:rPr>
        <w:t>danych finansowych (tzw. dane księgowe w rozumieniu dyrektywy – art. 22 ust. 4 dyrektywy CRM).</w:t>
      </w:r>
      <w:r w:rsidR="00B7656C" w:rsidRPr="00E24274">
        <w:rPr>
          <w:rFonts w:ascii="Times New Roman" w:hAnsi="Times New Roman"/>
          <w:bCs/>
          <w:sz w:val="24"/>
          <w:szCs w:val="24"/>
          <w:lang w:eastAsia="pl-PL"/>
        </w:rPr>
        <w:t xml:space="preserve"> Natomiast zgodnie z art. 88 ust. 5 projektu obowiązkiem biegłego rewidenta będzie weryfikacja, czy wskazane dane finansowe zostały przedstawione zgodnie z wymogami </w:t>
      </w:r>
      <w:r w:rsidR="00021350" w:rsidRPr="00E24274">
        <w:rPr>
          <w:rFonts w:ascii="Times New Roman" w:hAnsi="Times New Roman"/>
          <w:bCs/>
          <w:sz w:val="24"/>
          <w:szCs w:val="24"/>
          <w:lang w:eastAsia="pl-PL"/>
        </w:rPr>
        <w:t>określonymi w ust. 1</w:t>
      </w:r>
      <w:r w:rsidR="00B85D46">
        <w:rPr>
          <w:rFonts w:ascii="Times New Roman" w:hAnsi="Times New Roman"/>
          <w:bCs/>
          <w:sz w:val="24"/>
          <w:szCs w:val="24"/>
          <w:lang w:eastAsia="pl-PL"/>
        </w:rPr>
        <w:t>–</w:t>
      </w:r>
      <w:r w:rsidR="00021350" w:rsidRPr="00E24274">
        <w:rPr>
          <w:rFonts w:ascii="Times New Roman" w:hAnsi="Times New Roman"/>
          <w:bCs/>
          <w:sz w:val="24"/>
          <w:szCs w:val="24"/>
          <w:lang w:eastAsia="pl-PL"/>
        </w:rPr>
        <w:t xml:space="preserve">3 </w:t>
      </w:r>
      <w:r w:rsidR="00B7656C" w:rsidRPr="00E24274">
        <w:rPr>
          <w:rFonts w:ascii="Times New Roman" w:hAnsi="Times New Roman"/>
          <w:bCs/>
          <w:sz w:val="24"/>
          <w:szCs w:val="24"/>
          <w:lang w:eastAsia="pl-PL"/>
        </w:rPr>
        <w:t>(w szczególności</w:t>
      </w:r>
      <w:r w:rsidR="00FD568C">
        <w:rPr>
          <w:rFonts w:ascii="Times New Roman" w:hAnsi="Times New Roman"/>
          <w:bCs/>
          <w:sz w:val="24"/>
          <w:szCs w:val="24"/>
          <w:lang w:eastAsia="pl-PL"/>
        </w:rPr>
        <w:t>,</w:t>
      </w:r>
      <w:r w:rsidR="00B7656C" w:rsidRPr="00E24274">
        <w:rPr>
          <w:rFonts w:ascii="Times New Roman" w:hAnsi="Times New Roman"/>
          <w:bCs/>
          <w:sz w:val="24"/>
          <w:szCs w:val="24"/>
          <w:lang w:eastAsia="pl-PL"/>
        </w:rPr>
        <w:t xml:space="preserve"> czy znajdują odzwierciedlenie w ewidencji księgowej) oraz rozporządzenia wydanego na podstawie art. 89.</w:t>
      </w:r>
    </w:p>
    <w:p w:rsidR="00D2655C" w:rsidRPr="00E24274" w:rsidRDefault="00D2655C" w:rsidP="00E24274">
      <w:pPr>
        <w:spacing w:before="120" w:after="0" w:line="360" w:lineRule="auto"/>
        <w:jc w:val="both"/>
        <w:outlineLvl w:val="0"/>
        <w:rPr>
          <w:rFonts w:ascii="Times New Roman" w:hAnsi="Times New Roman"/>
          <w:b/>
          <w:sz w:val="24"/>
          <w:szCs w:val="24"/>
        </w:rPr>
      </w:pPr>
      <w:r w:rsidRPr="00E24274">
        <w:rPr>
          <w:rFonts w:ascii="Times New Roman" w:hAnsi="Times New Roman"/>
          <w:b/>
          <w:bCs/>
          <w:sz w:val="24"/>
          <w:szCs w:val="24"/>
          <w:lang w:eastAsia="pl-PL"/>
        </w:rPr>
        <w:lastRenderedPageBreak/>
        <w:t xml:space="preserve">II. 9. Rozdział 9. Skargi </w:t>
      </w:r>
      <w:r w:rsidRPr="00E24274">
        <w:rPr>
          <w:rFonts w:ascii="Times New Roman" w:hAnsi="Times New Roman"/>
          <w:b/>
          <w:sz w:val="24"/>
          <w:szCs w:val="24"/>
        </w:rPr>
        <w:t>(art. 91 projektu)</w:t>
      </w:r>
    </w:p>
    <w:p w:rsidR="00D2655C" w:rsidRPr="00E24274" w:rsidRDefault="00D2655C" w:rsidP="00E24274">
      <w:pPr>
        <w:spacing w:before="120" w:after="0" w:line="360" w:lineRule="auto"/>
        <w:jc w:val="both"/>
        <w:rPr>
          <w:rFonts w:ascii="Times New Roman" w:hAnsi="Times New Roman"/>
          <w:b/>
          <w:sz w:val="24"/>
          <w:szCs w:val="24"/>
        </w:rPr>
      </w:pPr>
      <w:r w:rsidRPr="00E24274">
        <w:rPr>
          <w:rFonts w:ascii="Times New Roman" w:hAnsi="Times New Roman"/>
          <w:b/>
          <w:sz w:val="24"/>
          <w:szCs w:val="24"/>
        </w:rPr>
        <w:t>art. 91</w:t>
      </w:r>
    </w:p>
    <w:p w:rsidR="00D2655C" w:rsidRPr="00E24274" w:rsidRDefault="00D2655C" w:rsidP="00DC207A">
      <w:pPr>
        <w:spacing w:after="0" w:line="360" w:lineRule="auto"/>
        <w:jc w:val="both"/>
        <w:rPr>
          <w:rFonts w:ascii="Times New Roman" w:hAnsi="Times New Roman"/>
          <w:b/>
          <w:sz w:val="24"/>
          <w:szCs w:val="24"/>
          <w:highlight w:val="red"/>
        </w:rPr>
      </w:pPr>
      <w:r w:rsidRPr="00E24274">
        <w:rPr>
          <w:rFonts w:ascii="Times New Roman" w:hAnsi="Times New Roman"/>
          <w:sz w:val="24"/>
          <w:szCs w:val="24"/>
        </w:rPr>
        <w:t xml:space="preserve">1. Zgodnie z art. 33 dyrektywy CRM organizacje zbiorowego zarządzania powinny udostępniać </w:t>
      </w:r>
      <w:r w:rsidR="00E24274">
        <w:rPr>
          <w:rFonts w:ascii="Times New Roman" w:hAnsi="Times New Roman"/>
          <w:i/>
          <w:sz w:val="24"/>
          <w:szCs w:val="24"/>
        </w:rPr>
        <w:t>„</w:t>
      </w:r>
      <w:r w:rsidRPr="00E24274">
        <w:rPr>
          <w:rFonts w:ascii="Times New Roman" w:hAnsi="Times New Roman"/>
          <w:i/>
          <w:sz w:val="24"/>
          <w:szCs w:val="24"/>
        </w:rPr>
        <w:t>swoim członkom oraz organizacjom zbiorowego zarządzania, w imieniu których zarządzają prawami na podstawie umowy o reprezentacji, skuteczne procedury szybkiego rozpatrywania skarg, szczególnie w odniesieniu do udzielenia upoważnienia do zarządzania prawami oraz wypowiedzenia lub wycofania praw spod zarządu, warunków członkostwa, pobierania kwot należnych podmiotom uprawnionym, dokonywania potrąceń od tych kwot oraz ich podziału</w:t>
      </w:r>
      <w:r w:rsidR="00E24274">
        <w:rPr>
          <w:rFonts w:ascii="Times New Roman" w:hAnsi="Times New Roman"/>
          <w:i/>
          <w:sz w:val="24"/>
          <w:szCs w:val="24"/>
        </w:rPr>
        <w:t>”</w:t>
      </w:r>
      <w:r w:rsidRPr="00E24274">
        <w:rPr>
          <w:rFonts w:ascii="Times New Roman" w:hAnsi="Times New Roman"/>
          <w:i/>
          <w:sz w:val="24"/>
          <w:szCs w:val="24"/>
        </w:rPr>
        <w:t>.</w:t>
      </w:r>
      <w:r w:rsidRPr="00E24274">
        <w:rPr>
          <w:rFonts w:ascii="Times New Roman" w:hAnsi="Times New Roman"/>
          <w:sz w:val="24"/>
          <w:szCs w:val="24"/>
        </w:rPr>
        <w:t xml:space="preserve"> Zgodnie z dyrektywą CRM odpowiedzi na takie skargi powinny być udzielane na piśmie, a każde ich </w:t>
      </w:r>
      <w:r w:rsidR="00E24274">
        <w:rPr>
          <w:rFonts w:ascii="Times New Roman" w:hAnsi="Times New Roman"/>
          <w:sz w:val="24"/>
          <w:szCs w:val="24"/>
        </w:rPr>
        <w:t>„</w:t>
      </w:r>
      <w:r w:rsidRPr="00E24274">
        <w:rPr>
          <w:rFonts w:ascii="Times New Roman" w:hAnsi="Times New Roman"/>
          <w:i/>
          <w:sz w:val="24"/>
          <w:szCs w:val="24"/>
        </w:rPr>
        <w:t>odrzucenie</w:t>
      </w:r>
      <w:r w:rsidR="00E24274">
        <w:rPr>
          <w:rFonts w:ascii="Times New Roman" w:hAnsi="Times New Roman"/>
          <w:i/>
          <w:sz w:val="24"/>
          <w:szCs w:val="24"/>
        </w:rPr>
        <w:t>”</w:t>
      </w:r>
      <w:r w:rsidRPr="00E24274">
        <w:rPr>
          <w:rFonts w:ascii="Times New Roman" w:hAnsi="Times New Roman"/>
          <w:sz w:val="24"/>
          <w:szCs w:val="24"/>
        </w:rPr>
        <w:t xml:space="preserve"> </w:t>
      </w:r>
      <w:r w:rsidR="00E24274">
        <w:rPr>
          <w:rFonts w:ascii="Times New Roman" w:hAnsi="Times New Roman"/>
          <w:i/>
          <w:sz w:val="24"/>
          <w:szCs w:val="24"/>
        </w:rPr>
        <w:t>„</w:t>
      </w:r>
      <w:r w:rsidRPr="00E24274">
        <w:rPr>
          <w:rFonts w:ascii="Times New Roman" w:hAnsi="Times New Roman"/>
          <w:i/>
          <w:sz w:val="24"/>
          <w:szCs w:val="24"/>
        </w:rPr>
        <w:t>wymaga uzasadnienia</w:t>
      </w:r>
      <w:r w:rsidR="00E24274">
        <w:rPr>
          <w:rFonts w:ascii="Times New Roman" w:hAnsi="Times New Roman"/>
          <w:i/>
          <w:sz w:val="24"/>
          <w:szCs w:val="24"/>
        </w:rPr>
        <w:t>”</w:t>
      </w:r>
      <w:r w:rsidRPr="00E24274">
        <w:rPr>
          <w:rFonts w:ascii="Times New Roman" w:hAnsi="Times New Roman"/>
          <w:sz w:val="24"/>
          <w:szCs w:val="24"/>
        </w:rPr>
        <w:t>. W art. 91 projektowanej ustawy wprowadza się zatem odpowiednią procedurę skargową. Ponieważ w polskim systemie zbiorowego zarządzania uprawniony, którego prawami zarządza dana organizacja, nie musi pozostawać z nią w stosunku członkostwa, konieczne jest przyznanie uprawnienia do składania skarg nie tyle członkom organizacji, co uprawnionym. Wymaga tego zresztą art. 7 ust. 1 dyrektywy CRM, zobowiązujący organizacje zbiorowego zarządzania do stosowania określonej w art. 33 procedury skargowej również wobec uprawnionych, którzy nie są jej członkami. Z uwagi na to roz</w:t>
      </w:r>
      <w:r w:rsidR="00DC207A">
        <w:rPr>
          <w:rFonts w:ascii="Times New Roman" w:hAnsi="Times New Roman"/>
          <w:sz w:val="24"/>
          <w:szCs w:val="24"/>
        </w:rPr>
        <w:t>różnienie członka organizacji i </w:t>
      </w:r>
      <w:r w:rsidRPr="00E24274">
        <w:rPr>
          <w:rFonts w:ascii="Times New Roman" w:hAnsi="Times New Roman"/>
          <w:sz w:val="24"/>
          <w:szCs w:val="24"/>
        </w:rPr>
        <w:t>uprawnionego precyzuje się też, że skargi mogą dotyczyć członkostwa w organizacji lub wykonywania zbiorowego zarządzania. Organizacja obowiązana jest rozpoznać skargę niezwłocznie i zgodnie z dyrektywą CRM udzielić odpowiedzi w formie pisemnej, a w przypadku nieuwzględnienia skargi (ze względu na zarówno powody formalne</w:t>
      </w:r>
      <w:r w:rsidR="00FD568C">
        <w:rPr>
          <w:rFonts w:ascii="Times New Roman" w:hAnsi="Times New Roman"/>
          <w:sz w:val="24"/>
          <w:szCs w:val="24"/>
        </w:rPr>
        <w:t>,</w:t>
      </w:r>
      <w:r w:rsidRPr="00E24274">
        <w:rPr>
          <w:rFonts w:ascii="Times New Roman" w:hAnsi="Times New Roman"/>
          <w:sz w:val="24"/>
          <w:szCs w:val="24"/>
        </w:rPr>
        <w:t xml:space="preserve"> jak i merytoryczne) uzasadnić przyjęte stanowisko.</w:t>
      </w:r>
    </w:p>
    <w:p w:rsidR="00D2655C" w:rsidRPr="00E24274" w:rsidRDefault="00D2655C" w:rsidP="00E24274">
      <w:pPr>
        <w:spacing w:before="120" w:after="0" w:line="360" w:lineRule="auto"/>
        <w:jc w:val="both"/>
        <w:rPr>
          <w:rFonts w:ascii="Times New Roman" w:hAnsi="Times New Roman"/>
          <w:b/>
          <w:bCs/>
          <w:sz w:val="24"/>
          <w:szCs w:val="24"/>
          <w:highlight w:val="red"/>
        </w:rPr>
      </w:pPr>
      <w:r w:rsidRPr="00E24274">
        <w:rPr>
          <w:rFonts w:ascii="Times New Roman" w:hAnsi="Times New Roman"/>
          <w:bCs/>
          <w:sz w:val="24"/>
          <w:szCs w:val="24"/>
        </w:rPr>
        <w:t xml:space="preserve">2. Obok trybu skargowego dyrektywa CRM w art. 34 ust. 1 dopuszcza stworzenie </w:t>
      </w:r>
      <w:r w:rsidR="00E24274">
        <w:rPr>
          <w:rFonts w:ascii="Times New Roman" w:hAnsi="Times New Roman"/>
          <w:bCs/>
          <w:i/>
          <w:sz w:val="24"/>
          <w:szCs w:val="24"/>
        </w:rPr>
        <w:t>„</w:t>
      </w:r>
      <w:r w:rsidRPr="00E24274">
        <w:rPr>
          <w:rFonts w:ascii="Times New Roman" w:hAnsi="Times New Roman"/>
          <w:bCs/>
          <w:i/>
          <w:sz w:val="24"/>
          <w:szCs w:val="24"/>
        </w:rPr>
        <w:t>niezależnej i bezstronnej alternatywnej procedury rozstrzygania sporów</w:t>
      </w:r>
      <w:r w:rsidR="00E24274">
        <w:rPr>
          <w:rFonts w:ascii="Times New Roman" w:hAnsi="Times New Roman"/>
          <w:bCs/>
          <w:i/>
          <w:sz w:val="24"/>
          <w:szCs w:val="24"/>
        </w:rPr>
        <w:t>”</w:t>
      </w:r>
      <w:r w:rsidRPr="00E24274">
        <w:rPr>
          <w:rFonts w:ascii="Times New Roman" w:hAnsi="Times New Roman"/>
          <w:bCs/>
          <w:sz w:val="24"/>
          <w:szCs w:val="24"/>
        </w:rPr>
        <w:t xml:space="preserve"> między organizacjami zbiorowego zarządzania, członkami tych organizacji, uprawnionymi lub użytkownikami dotyczących </w:t>
      </w:r>
      <w:r w:rsidR="00E24274">
        <w:rPr>
          <w:rFonts w:ascii="Times New Roman" w:hAnsi="Times New Roman"/>
          <w:bCs/>
          <w:i/>
          <w:sz w:val="24"/>
          <w:szCs w:val="24"/>
        </w:rPr>
        <w:t>„</w:t>
      </w:r>
      <w:r w:rsidRPr="00E24274">
        <w:rPr>
          <w:rFonts w:ascii="Times New Roman" w:hAnsi="Times New Roman"/>
          <w:bCs/>
          <w:i/>
          <w:sz w:val="24"/>
          <w:szCs w:val="24"/>
        </w:rPr>
        <w:t>przepisów prawa</w:t>
      </w:r>
      <w:r w:rsidR="00DC207A">
        <w:rPr>
          <w:rFonts w:ascii="Times New Roman" w:hAnsi="Times New Roman"/>
          <w:bCs/>
          <w:i/>
          <w:sz w:val="24"/>
          <w:szCs w:val="24"/>
        </w:rPr>
        <w:t xml:space="preserve"> krajowego przyjętych zgodnie z </w:t>
      </w:r>
      <w:r w:rsidRPr="00E24274">
        <w:rPr>
          <w:rFonts w:ascii="Times New Roman" w:hAnsi="Times New Roman"/>
          <w:bCs/>
          <w:i/>
          <w:sz w:val="24"/>
          <w:szCs w:val="24"/>
        </w:rPr>
        <w:t>wymogami niniejszej dyrektywy</w:t>
      </w:r>
      <w:r w:rsidR="00E24274">
        <w:rPr>
          <w:rFonts w:ascii="Times New Roman" w:hAnsi="Times New Roman"/>
          <w:bCs/>
          <w:i/>
          <w:sz w:val="24"/>
          <w:szCs w:val="24"/>
        </w:rPr>
        <w:t>”</w:t>
      </w:r>
      <w:r w:rsidRPr="00E24274">
        <w:rPr>
          <w:rFonts w:ascii="Times New Roman" w:hAnsi="Times New Roman"/>
          <w:bCs/>
          <w:i/>
          <w:sz w:val="24"/>
          <w:szCs w:val="24"/>
        </w:rPr>
        <w:t>.</w:t>
      </w:r>
      <w:r w:rsidRPr="00E24274">
        <w:rPr>
          <w:rFonts w:ascii="Times New Roman" w:hAnsi="Times New Roman"/>
          <w:bCs/>
          <w:sz w:val="24"/>
          <w:szCs w:val="24"/>
        </w:rPr>
        <w:t xml:space="preserve"> W art. 34 ust. 2 dyrektywa CRM wskazuje natomiast przypadki sporów związanych</w:t>
      </w:r>
      <w:r w:rsidRPr="00E24274">
        <w:rPr>
          <w:rFonts w:ascii="Times New Roman" w:hAnsi="Times New Roman"/>
          <w:b/>
          <w:bCs/>
          <w:sz w:val="24"/>
          <w:szCs w:val="24"/>
        </w:rPr>
        <w:t xml:space="preserve"> </w:t>
      </w:r>
      <w:r w:rsidRPr="00E24274">
        <w:rPr>
          <w:rFonts w:ascii="Times New Roman" w:hAnsi="Times New Roman"/>
          <w:bCs/>
          <w:sz w:val="24"/>
          <w:szCs w:val="24"/>
        </w:rPr>
        <w:t>z zawieraniem przez krajowe organizacje zbiorowego zarządzania licencji wieloterytorialnyc</w:t>
      </w:r>
      <w:r w:rsidR="00DC207A">
        <w:rPr>
          <w:rFonts w:ascii="Times New Roman" w:hAnsi="Times New Roman"/>
          <w:bCs/>
          <w:sz w:val="24"/>
          <w:szCs w:val="24"/>
        </w:rPr>
        <w:t>h, o których mowa w rozdziale 6 </w:t>
      </w:r>
      <w:r w:rsidRPr="00E24274">
        <w:rPr>
          <w:rFonts w:ascii="Times New Roman" w:hAnsi="Times New Roman"/>
          <w:bCs/>
          <w:sz w:val="24"/>
          <w:szCs w:val="24"/>
        </w:rPr>
        <w:t xml:space="preserve">projektowanej ustawy, co do których taka alternatywna procedura rozstrzygania sporów powinna być stworzona. </w:t>
      </w:r>
    </w:p>
    <w:p w:rsidR="00D2655C" w:rsidRPr="00E24274" w:rsidRDefault="00D2655C" w:rsidP="00E24274">
      <w:pPr>
        <w:spacing w:before="120" w:after="0" w:line="360" w:lineRule="auto"/>
        <w:jc w:val="both"/>
        <w:rPr>
          <w:rFonts w:ascii="Times New Roman" w:hAnsi="Times New Roman"/>
          <w:bCs/>
          <w:sz w:val="24"/>
          <w:szCs w:val="24"/>
        </w:rPr>
      </w:pPr>
      <w:r w:rsidRPr="00E24274">
        <w:rPr>
          <w:rFonts w:ascii="Times New Roman" w:hAnsi="Times New Roman"/>
          <w:bCs/>
          <w:sz w:val="24"/>
          <w:szCs w:val="24"/>
        </w:rPr>
        <w:lastRenderedPageBreak/>
        <w:t xml:space="preserve">Wychodząc z założenia, że fundamentem każdej metody alternatywnego rozstrzygania sporów (ADR) jest zgoda wszystkich stron na poddanie się tej procedurze, należy uznać, że istniejąca w polskim systemie prawnym instytucja sądownictwa polubownego (cz. V Kodeksu postępowania cywilnego) spełnia przesłanki </w:t>
      </w:r>
      <w:r w:rsidR="00E24274">
        <w:rPr>
          <w:rFonts w:ascii="Times New Roman" w:hAnsi="Times New Roman"/>
          <w:bCs/>
          <w:sz w:val="24"/>
          <w:szCs w:val="24"/>
        </w:rPr>
        <w:t>„</w:t>
      </w:r>
      <w:r w:rsidRPr="00E24274">
        <w:rPr>
          <w:rFonts w:ascii="Times New Roman" w:hAnsi="Times New Roman"/>
          <w:bCs/>
          <w:i/>
          <w:sz w:val="24"/>
          <w:szCs w:val="24"/>
        </w:rPr>
        <w:t>niezależnej i bezstronnej alternatywnej procedury rozstrzygania sporów</w:t>
      </w:r>
      <w:r w:rsidR="00E24274">
        <w:rPr>
          <w:rFonts w:ascii="Times New Roman" w:hAnsi="Times New Roman"/>
          <w:bCs/>
          <w:i/>
          <w:sz w:val="24"/>
          <w:szCs w:val="24"/>
        </w:rPr>
        <w:t>”</w:t>
      </w:r>
      <w:r w:rsidRPr="00E24274">
        <w:rPr>
          <w:rFonts w:ascii="Times New Roman" w:hAnsi="Times New Roman"/>
          <w:bCs/>
          <w:i/>
          <w:sz w:val="24"/>
          <w:szCs w:val="24"/>
        </w:rPr>
        <w:t xml:space="preserve"> </w:t>
      </w:r>
      <w:r w:rsidRPr="00E24274">
        <w:rPr>
          <w:rFonts w:ascii="Times New Roman" w:hAnsi="Times New Roman"/>
          <w:sz w:val="24"/>
          <w:szCs w:val="24"/>
        </w:rPr>
        <w:t>w rozumieniu dyrektywy</w:t>
      </w:r>
      <w:r w:rsidRPr="00E24274">
        <w:rPr>
          <w:rFonts w:ascii="Times New Roman" w:hAnsi="Times New Roman"/>
          <w:bCs/>
          <w:sz w:val="24"/>
          <w:szCs w:val="24"/>
        </w:rPr>
        <w:t xml:space="preserve">. Zgodnie bowiem z art. </w:t>
      </w:r>
      <w:r w:rsidRPr="00E24274">
        <w:rPr>
          <w:rFonts w:ascii="Times New Roman" w:hAnsi="Times New Roman"/>
          <w:sz w:val="24"/>
          <w:szCs w:val="24"/>
        </w:rPr>
        <w:t xml:space="preserve">1157 Kodeksu postępowania cywilnego </w:t>
      </w:r>
      <w:r w:rsidRPr="00E24274">
        <w:rPr>
          <w:rFonts w:ascii="Times New Roman" w:hAnsi="Times New Roman"/>
          <w:bCs/>
          <w:sz w:val="24"/>
          <w:szCs w:val="24"/>
        </w:rPr>
        <w:t>strony mogą poddać pod rozstrzygnięcie sądu polubownego niemal każdy spór – zarówno spory o prawa majątkowe</w:t>
      </w:r>
      <w:r w:rsidR="00FD568C">
        <w:rPr>
          <w:rFonts w:ascii="Times New Roman" w:hAnsi="Times New Roman"/>
          <w:bCs/>
          <w:sz w:val="24"/>
          <w:szCs w:val="24"/>
        </w:rPr>
        <w:t>,</w:t>
      </w:r>
      <w:r w:rsidRPr="00E24274">
        <w:rPr>
          <w:rFonts w:ascii="Times New Roman" w:hAnsi="Times New Roman"/>
          <w:bCs/>
          <w:sz w:val="24"/>
          <w:szCs w:val="24"/>
        </w:rPr>
        <w:t xml:space="preserve"> jak i o prawa niemajątkowe – mogący być przedmiotem ugody sąd</w:t>
      </w:r>
      <w:r w:rsidR="00DC207A">
        <w:rPr>
          <w:rFonts w:ascii="Times New Roman" w:hAnsi="Times New Roman"/>
          <w:bCs/>
          <w:sz w:val="24"/>
          <w:szCs w:val="24"/>
        </w:rPr>
        <w:t>owej, z </w:t>
      </w:r>
      <w:r w:rsidRPr="00E24274">
        <w:rPr>
          <w:rFonts w:ascii="Times New Roman" w:hAnsi="Times New Roman"/>
          <w:bCs/>
          <w:sz w:val="24"/>
          <w:szCs w:val="24"/>
        </w:rPr>
        <w:t>wyjątkiem spraw o alimenty (oczywiście przepisy szczególne mogą wyłączyć dopuszczalność tej drogi postępowania cywilnego w odniesieniu do danej kategorii spraw). W praktyce zatem wszystkie spory związane z członkostwem w organizacji zbiorowego zarządzania czy też wykonywaniem zbiorowego zarządu mogą być poddane pod rozstrzygnięcie sądu polubownego (arbitrażowego). To samo dotyczy również udzielania licencji wieloterytorialnych. Wobec powyższego należy uznać, że wdrożenie art. 34 ust. 2 dyrektywy CRM nie wymaga wprowadzenia szczególnej regulacji w projektowanej ustawie.</w:t>
      </w:r>
    </w:p>
    <w:p w:rsidR="00D2655C" w:rsidRPr="00E24274" w:rsidRDefault="00D2655C" w:rsidP="00E24274">
      <w:pPr>
        <w:spacing w:before="120" w:after="0" w:line="360" w:lineRule="auto"/>
        <w:jc w:val="both"/>
        <w:rPr>
          <w:rFonts w:ascii="Times New Roman" w:hAnsi="Times New Roman"/>
          <w:b/>
          <w:bCs/>
          <w:sz w:val="24"/>
          <w:szCs w:val="24"/>
        </w:rPr>
      </w:pPr>
      <w:r w:rsidRPr="00E24274">
        <w:rPr>
          <w:rFonts w:ascii="Times New Roman" w:hAnsi="Times New Roman"/>
          <w:bCs/>
          <w:sz w:val="24"/>
          <w:szCs w:val="24"/>
        </w:rPr>
        <w:t xml:space="preserve">3. Zgodnie z art. 35 ust. 1 dyrektywy CRM </w:t>
      </w:r>
      <w:r w:rsidR="00E24274">
        <w:rPr>
          <w:rFonts w:ascii="Times New Roman" w:hAnsi="Times New Roman"/>
          <w:bCs/>
          <w:i/>
          <w:sz w:val="24"/>
          <w:szCs w:val="24"/>
        </w:rPr>
        <w:t>„</w:t>
      </w:r>
      <w:r w:rsidRPr="00E24274">
        <w:rPr>
          <w:rFonts w:ascii="Times New Roman" w:hAnsi="Times New Roman"/>
          <w:bCs/>
          <w:i/>
          <w:sz w:val="24"/>
          <w:szCs w:val="24"/>
        </w:rPr>
        <w:t>spory między organizacjami zbiorowego zarządzania a użytkownikami dotyczące w szczególności obowiązujących lub proponowanych warunków udzielenia licencji lub naruszenia umowy mogły być przekazywane do rozstrzygnięcia przez sąd lub, w stosownych przypadkach, przez inny niezależny i bezstronny organ rozstrzygania spor</w:t>
      </w:r>
      <w:r w:rsidR="00DC207A">
        <w:rPr>
          <w:rFonts w:ascii="Times New Roman" w:hAnsi="Times New Roman"/>
          <w:bCs/>
          <w:i/>
          <w:sz w:val="24"/>
          <w:szCs w:val="24"/>
        </w:rPr>
        <w:t>ów posiadający wiedzę fachową w </w:t>
      </w:r>
      <w:r w:rsidRPr="00E24274">
        <w:rPr>
          <w:rFonts w:ascii="Times New Roman" w:hAnsi="Times New Roman"/>
          <w:bCs/>
          <w:i/>
          <w:sz w:val="24"/>
          <w:szCs w:val="24"/>
        </w:rPr>
        <w:t>zakresie prawa własności intelektualnej</w:t>
      </w:r>
      <w:r w:rsidR="00E24274">
        <w:rPr>
          <w:rFonts w:ascii="Times New Roman" w:hAnsi="Times New Roman"/>
          <w:bCs/>
          <w:i/>
          <w:sz w:val="24"/>
          <w:szCs w:val="24"/>
        </w:rPr>
        <w:t>”</w:t>
      </w:r>
      <w:r w:rsidRPr="00E24274">
        <w:rPr>
          <w:rFonts w:ascii="Times New Roman" w:hAnsi="Times New Roman"/>
          <w:bCs/>
          <w:i/>
          <w:sz w:val="24"/>
          <w:szCs w:val="24"/>
        </w:rPr>
        <w:t xml:space="preserve">. </w:t>
      </w:r>
      <w:r w:rsidRPr="00E24274">
        <w:rPr>
          <w:rFonts w:ascii="Times New Roman" w:hAnsi="Times New Roman"/>
          <w:bCs/>
          <w:sz w:val="24"/>
          <w:szCs w:val="24"/>
        </w:rPr>
        <w:t xml:space="preserve">Również ten przepis dyrektywy CRM nie wymaga wprowadzenia szczególnej regulacji w projektowanej ustawie, gdyż w polskim systemie postępowania cywilnego wszystkie te sprawy podlegają jurysdykcji polskich sądów powszechnych, mogą być również, jak wyżej wyjaśniono, poddane pod rozstrzygnięcie sądu polubownego. Zgodnie z art. 35 ust. 2 dyrektywy CRM zarówno ścieżka postępowania skargowego uregulowana w niniejszym artykule projektowanej ustawy, jak też ścieżka postępowania polubownego uregulowanego w cz. V </w:t>
      </w:r>
      <w:r w:rsidRPr="00E24274">
        <w:rPr>
          <w:rFonts w:ascii="Times New Roman" w:hAnsi="Times New Roman"/>
          <w:sz w:val="24"/>
          <w:szCs w:val="24"/>
        </w:rPr>
        <w:t>Kodeksu postępowania cywilnego</w:t>
      </w:r>
      <w:r w:rsidRPr="00E24274">
        <w:rPr>
          <w:rFonts w:ascii="Times New Roman" w:hAnsi="Times New Roman"/>
          <w:bCs/>
          <w:sz w:val="24"/>
          <w:szCs w:val="24"/>
        </w:rPr>
        <w:t xml:space="preserve"> </w:t>
      </w:r>
      <w:r w:rsidR="00E24274">
        <w:rPr>
          <w:rFonts w:ascii="Times New Roman" w:hAnsi="Times New Roman"/>
          <w:bCs/>
          <w:i/>
          <w:sz w:val="24"/>
          <w:szCs w:val="24"/>
        </w:rPr>
        <w:t>„</w:t>
      </w:r>
      <w:r w:rsidRPr="00E24274">
        <w:rPr>
          <w:rFonts w:ascii="Times New Roman" w:hAnsi="Times New Roman"/>
          <w:bCs/>
          <w:i/>
          <w:sz w:val="24"/>
          <w:szCs w:val="24"/>
        </w:rPr>
        <w:t>pozostają bez uszczerbku d</w:t>
      </w:r>
      <w:r w:rsidR="00DC207A">
        <w:rPr>
          <w:rFonts w:ascii="Times New Roman" w:hAnsi="Times New Roman"/>
          <w:bCs/>
          <w:i/>
          <w:sz w:val="24"/>
          <w:szCs w:val="24"/>
        </w:rPr>
        <w:t>la prawa stron do dochodzenia i </w:t>
      </w:r>
      <w:r w:rsidRPr="00E24274">
        <w:rPr>
          <w:rFonts w:ascii="Times New Roman" w:hAnsi="Times New Roman"/>
          <w:bCs/>
          <w:i/>
          <w:sz w:val="24"/>
          <w:szCs w:val="24"/>
        </w:rPr>
        <w:t>obrony swoich praw na drodze sądowej</w:t>
      </w:r>
      <w:r w:rsidR="00E24274">
        <w:rPr>
          <w:rFonts w:ascii="Times New Roman" w:hAnsi="Times New Roman"/>
          <w:bCs/>
          <w:i/>
          <w:sz w:val="24"/>
          <w:szCs w:val="24"/>
        </w:rPr>
        <w:t>”</w:t>
      </w:r>
      <w:r w:rsidRPr="00E24274">
        <w:rPr>
          <w:rFonts w:ascii="Times New Roman" w:hAnsi="Times New Roman"/>
          <w:bCs/>
          <w:i/>
          <w:sz w:val="24"/>
          <w:szCs w:val="24"/>
        </w:rPr>
        <w:t>.</w:t>
      </w:r>
    </w:p>
    <w:p w:rsidR="00D2655C" w:rsidRPr="00E24274" w:rsidRDefault="00D2655C" w:rsidP="00E24274">
      <w:pPr>
        <w:spacing w:before="120" w:after="0" w:line="360" w:lineRule="auto"/>
        <w:jc w:val="both"/>
        <w:rPr>
          <w:rFonts w:ascii="Times New Roman" w:hAnsi="Times New Roman"/>
          <w:bCs/>
          <w:i/>
          <w:sz w:val="24"/>
          <w:szCs w:val="24"/>
        </w:rPr>
      </w:pPr>
      <w:r w:rsidRPr="00E24274">
        <w:rPr>
          <w:rFonts w:ascii="Times New Roman" w:hAnsi="Times New Roman"/>
          <w:bCs/>
          <w:sz w:val="24"/>
          <w:szCs w:val="24"/>
        </w:rPr>
        <w:t xml:space="preserve">4. Osobnym trybem rozstrzygania sporów jest natomiast postępowanie mediacyjne uregulowane w art. 82 projektowanej ustawy. Znajduje ono zastosowanie w sporach dotyczących stosowania zatwierdzonych prawomocnie tabel wynagrodzeń oraz sporach </w:t>
      </w:r>
      <w:r w:rsidRPr="00E24274">
        <w:rPr>
          <w:rFonts w:ascii="Times New Roman" w:hAnsi="Times New Roman"/>
          <w:bCs/>
          <w:sz w:val="24"/>
          <w:szCs w:val="24"/>
        </w:rPr>
        <w:lastRenderedPageBreak/>
        <w:t>związanych z zawieraniem umów na reemisję kablo</w:t>
      </w:r>
      <w:r w:rsidR="00DC207A">
        <w:rPr>
          <w:rFonts w:ascii="Times New Roman" w:hAnsi="Times New Roman"/>
          <w:bCs/>
          <w:sz w:val="24"/>
          <w:szCs w:val="24"/>
        </w:rPr>
        <w:t>wą (tj. umów, o których mowa w </w:t>
      </w:r>
      <w:r w:rsidRPr="00E24274">
        <w:rPr>
          <w:rFonts w:ascii="Times New Roman" w:hAnsi="Times New Roman"/>
          <w:bCs/>
          <w:sz w:val="24"/>
          <w:szCs w:val="24"/>
        </w:rPr>
        <w:t>art. 21</w:t>
      </w:r>
      <w:r w:rsidRPr="00E24274">
        <w:rPr>
          <w:rFonts w:ascii="Times New Roman" w:hAnsi="Times New Roman"/>
          <w:bCs/>
          <w:sz w:val="24"/>
          <w:szCs w:val="24"/>
          <w:vertAlign w:val="superscript"/>
        </w:rPr>
        <w:t>1</w:t>
      </w:r>
      <w:r w:rsidRPr="00E24274">
        <w:rPr>
          <w:rFonts w:ascii="Times New Roman" w:hAnsi="Times New Roman"/>
          <w:bCs/>
          <w:sz w:val="24"/>
          <w:szCs w:val="24"/>
        </w:rPr>
        <w:t xml:space="preserve"> ust. 1 pr. aut.). Z uwagi na dobrowolny charakter tego postępowania</w:t>
      </w:r>
      <w:r w:rsidR="00DC207A">
        <w:rPr>
          <w:rFonts w:ascii="Times New Roman" w:hAnsi="Times New Roman"/>
          <w:bCs/>
          <w:sz w:val="24"/>
          <w:szCs w:val="24"/>
        </w:rPr>
        <w:t xml:space="preserve"> i </w:t>
      </w:r>
      <w:r w:rsidRPr="00E24274">
        <w:rPr>
          <w:rFonts w:ascii="Times New Roman" w:hAnsi="Times New Roman"/>
          <w:bCs/>
          <w:sz w:val="24"/>
          <w:szCs w:val="24"/>
        </w:rPr>
        <w:t xml:space="preserve">możliwość wyboru mediatora przez strony, w tym także z listy arbitrów Komisji, należy uznać, że również to postępowanie spełnia przesłanki </w:t>
      </w:r>
      <w:r w:rsidR="00E24274">
        <w:rPr>
          <w:rFonts w:ascii="Times New Roman" w:hAnsi="Times New Roman"/>
          <w:bCs/>
          <w:i/>
          <w:sz w:val="24"/>
          <w:szCs w:val="24"/>
        </w:rPr>
        <w:t>„</w:t>
      </w:r>
      <w:r w:rsidRPr="00E24274">
        <w:rPr>
          <w:rFonts w:ascii="Times New Roman" w:hAnsi="Times New Roman"/>
          <w:bCs/>
          <w:i/>
          <w:sz w:val="24"/>
          <w:szCs w:val="24"/>
        </w:rPr>
        <w:t>niezależnej i bezstronnej alternatywnej procedury rozstrzygania sporów</w:t>
      </w:r>
      <w:r w:rsidR="00E24274">
        <w:rPr>
          <w:rFonts w:ascii="Times New Roman" w:hAnsi="Times New Roman"/>
          <w:bCs/>
          <w:i/>
          <w:sz w:val="24"/>
          <w:szCs w:val="24"/>
        </w:rPr>
        <w:t>”</w:t>
      </w:r>
      <w:r w:rsidRPr="00E24274">
        <w:rPr>
          <w:rFonts w:ascii="Times New Roman" w:hAnsi="Times New Roman"/>
          <w:bCs/>
          <w:sz w:val="24"/>
          <w:szCs w:val="24"/>
        </w:rPr>
        <w:t xml:space="preserve"> w rozumieniu art. 34 ust. 1 i 2 dyrektywy CRM, zaś mediator może być uznany za </w:t>
      </w:r>
      <w:r w:rsidR="00E24274">
        <w:rPr>
          <w:rFonts w:ascii="Times New Roman" w:hAnsi="Times New Roman"/>
          <w:bCs/>
          <w:i/>
          <w:sz w:val="24"/>
          <w:szCs w:val="24"/>
        </w:rPr>
        <w:t>„</w:t>
      </w:r>
      <w:r w:rsidRPr="00E24274">
        <w:rPr>
          <w:rFonts w:ascii="Times New Roman" w:hAnsi="Times New Roman"/>
          <w:bCs/>
          <w:i/>
          <w:sz w:val="24"/>
          <w:szCs w:val="24"/>
        </w:rPr>
        <w:t>inny niezależny i bezstronny organ rozstrzygania sporów posiadający wiedzę fachową w zakresie prawa własności intelektualnej</w:t>
      </w:r>
      <w:r w:rsidR="00E24274">
        <w:rPr>
          <w:rFonts w:ascii="Times New Roman" w:hAnsi="Times New Roman"/>
          <w:bCs/>
          <w:i/>
          <w:sz w:val="24"/>
          <w:szCs w:val="24"/>
        </w:rPr>
        <w:t>”</w:t>
      </w:r>
      <w:r w:rsidRPr="00E24274">
        <w:rPr>
          <w:rFonts w:ascii="Times New Roman" w:hAnsi="Times New Roman"/>
          <w:bCs/>
          <w:i/>
          <w:sz w:val="24"/>
          <w:szCs w:val="24"/>
        </w:rPr>
        <w:t xml:space="preserve"> </w:t>
      </w:r>
      <w:r w:rsidRPr="00E24274">
        <w:rPr>
          <w:rFonts w:ascii="Times New Roman" w:hAnsi="Times New Roman"/>
          <w:bCs/>
          <w:sz w:val="24"/>
          <w:szCs w:val="24"/>
        </w:rPr>
        <w:t xml:space="preserve">w rozumieniu art. 35 ust. 1 dyrektywy CRM. Zgodnie z art. 35 ust. 2 dyrektywy CRM postępowanie mediacyjne również pozostaje </w:t>
      </w:r>
      <w:r w:rsidR="00E24274">
        <w:rPr>
          <w:rFonts w:ascii="Times New Roman" w:hAnsi="Times New Roman"/>
          <w:bCs/>
          <w:sz w:val="24"/>
          <w:szCs w:val="24"/>
        </w:rPr>
        <w:t>„</w:t>
      </w:r>
      <w:r w:rsidRPr="00E24274">
        <w:rPr>
          <w:rFonts w:ascii="Times New Roman" w:hAnsi="Times New Roman"/>
          <w:bCs/>
          <w:i/>
          <w:sz w:val="24"/>
          <w:szCs w:val="24"/>
        </w:rPr>
        <w:t>bez uszczerbku dla prawa stron do dochodzenia i obrony swoich praw na drodze sądowej</w:t>
      </w:r>
      <w:r w:rsidR="00E24274">
        <w:rPr>
          <w:rFonts w:ascii="Times New Roman" w:hAnsi="Times New Roman"/>
          <w:bCs/>
          <w:i/>
          <w:sz w:val="24"/>
          <w:szCs w:val="24"/>
        </w:rPr>
        <w:t>”</w:t>
      </w:r>
      <w:r w:rsidRPr="00E24274">
        <w:rPr>
          <w:rFonts w:ascii="Times New Roman" w:hAnsi="Times New Roman"/>
          <w:bCs/>
          <w:i/>
          <w:sz w:val="24"/>
          <w:szCs w:val="24"/>
        </w:rPr>
        <w:t>.</w:t>
      </w:r>
    </w:p>
    <w:p w:rsidR="00D2655C" w:rsidRPr="00E24274" w:rsidRDefault="00D2655C" w:rsidP="00E24274">
      <w:pPr>
        <w:pStyle w:val="ROZDZODDZOZNoznaczenierozdziauluboddziau"/>
        <w:jc w:val="both"/>
        <w:rPr>
          <w:rFonts w:ascii="Times New Roman" w:hAnsi="Times New Roman" w:cs="Times New Roman"/>
          <w:b/>
        </w:rPr>
      </w:pPr>
      <w:r w:rsidRPr="00E24274">
        <w:rPr>
          <w:rFonts w:ascii="Times New Roman" w:hAnsi="Times New Roman" w:cs="Times New Roman"/>
          <w:b/>
          <w:bCs w:val="0"/>
        </w:rPr>
        <w:t>II.</w:t>
      </w:r>
      <w:r w:rsidR="00DC207A">
        <w:rPr>
          <w:rFonts w:ascii="Times New Roman" w:hAnsi="Times New Roman" w:cs="Times New Roman"/>
          <w:b/>
          <w:bCs w:val="0"/>
        </w:rPr>
        <w:t xml:space="preserve"> </w:t>
      </w:r>
      <w:r w:rsidRPr="00E24274">
        <w:rPr>
          <w:rFonts w:ascii="Times New Roman" w:hAnsi="Times New Roman" w:cs="Times New Roman"/>
          <w:b/>
          <w:bCs w:val="0"/>
        </w:rPr>
        <w:t xml:space="preserve">10. </w:t>
      </w:r>
      <w:r w:rsidRPr="00E24274">
        <w:rPr>
          <w:rFonts w:ascii="Times New Roman" w:hAnsi="Times New Roman" w:cs="Times New Roman"/>
          <w:b/>
        </w:rPr>
        <w:t>Rozdział 10. Nadzór nad organizacjami zbiorowego zarządzania (art. 92–101 projektu)</w:t>
      </w:r>
    </w:p>
    <w:p w:rsidR="00D2655C" w:rsidRPr="00E24274" w:rsidRDefault="00D2655C" w:rsidP="00E24274">
      <w:pPr>
        <w:spacing w:before="120" w:after="0" w:line="360" w:lineRule="auto"/>
        <w:jc w:val="both"/>
        <w:rPr>
          <w:rFonts w:ascii="Times New Roman" w:hAnsi="Times New Roman"/>
          <w:sz w:val="24"/>
          <w:szCs w:val="24"/>
          <w:lang w:eastAsia="pl-PL"/>
        </w:rPr>
      </w:pPr>
      <w:r w:rsidRPr="00E24274">
        <w:rPr>
          <w:rFonts w:ascii="Times New Roman" w:hAnsi="Times New Roman"/>
          <w:sz w:val="24"/>
          <w:szCs w:val="24"/>
          <w:lang w:eastAsia="pl-PL"/>
        </w:rPr>
        <w:t>Rozdział 10 projektu dotyczy nadzoru nad organiz</w:t>
      </w:r>
      <w:r w:rsidR="00DC207A">
        <w:rPr>
          <w:rFonts w:ascii="Times New Roman" w:hAnsi="Times New Roman"/>
          <w:sz w:val="24"/>
          <w:szCs w:val="24"/>
          <w:lang w:eastAsia="pl-PL"/>
        </w:rPr>
        <w:t>acjami zbiorowego zarządzania i </w:t>
      </w:r>
      <w:r w:rsidRPr="00E24274">
        <w:rPr>
          <w:rFonts w:ascii="Times New Roman" w:hAnsi="Times New Roman"/>
          <w:sz w:val="24"/>
          <w:szCs w:val="24"/>
          <w:lang w:eastAsia="pl-PL"/>
        </w:rPr>
        <w:t xml:space="preserve">stanowi wdrożenie art. 36 dyrektywy CRM. Artykuł ten w ust. 1 i 3 zobowiązuje państwa członkowskie UE, aby ich właściwe organy </w:t>
      </w:r>
      <w:r w:rsidR="00E24274">
        <w:rPr>
          <w:rFonts w:ascii="Times New Roman" w:hAnsi="Times New Roman"/>
          <w:sz w:val="24"/>
          <w:szCs w:val="24"/>
          <w:lang w:eastAsia="pl-PL"/>
        </w:rPr>
        <w:t>„</w:t>
      </w:r>
      <w:r w:rsidRPr="00E24274">
        <w:rPr>
          <w:rFonts w:ascii="Times New Roman" w:hAnsi="Times New Roman"/>
          <w:i/>
          <w:sz w:val="24"/>
          <w:szCs w:val="24"/>
          <w:lang w:eastAsia="pl-PL"/>
        </w:rPr>
        <w:t>monitorowały przestrzeganie przez organizacje zbiorowego zarządzania mające siedzibę na ich terytorium przepisów prawa krajowego przyjętych zgodnie z wymogami ustanowionymi w niniejszej dyrektywie</w:t>
      </w:r>
      <w:r w:rsidR="00E24274">
        <w:rPr>
          <w:rFonts w:ascii="Times New Roman" w:hAnsi="Times New Roman"/>
          <w:i/>
          <w:sz w:val="24"/>
          <w:szCs w:val="24"/>
          <w:lang w:eastAsia="pl-PL"/>
        </w:rPr>
        <w:t>”</w:t>
      </w:r>
      <w:r w:rsidRPr="00E24274">
        <w:rPr>
          <w:rFonts w:ascii="Times New Roman" w:hAnsi="Times New Roman"/>
          <w:sz w:val="24"/>
          <w:szCs w:val="24"/>
          <w:lang w:eastAsia="pl-PL"/>
        </w:rPr>
        <w:t xml:space="preserve"> oraz aby organy te posiadały kompetencje </w:t>
      </w:r>
      <w:r w:rsidR="00E24274">
        <w:rPr>
          <w:rFonts w:ascii="Times New Roman" w:hAnsi="Times New Roman"/>
          <w:i/>
          <w:sz w:val="24"/>
          <w:szCs w:val="24"/>
          <w:lang w:eastAsia="pl-PL"/>
        </w:rPr>
        <w:t>„</w:t>
      </w:r>
      <w:r w:rsidRPr="00E24274">
        <w:rPr>
          <w:rFonts w:ascii="Times New Roman" w:hAnsi="Times New Roman"/>
          <w:i/>
          <w:sz w:val="24"/>
          <w:szCs w:val="24"/>
          <w:lang w:eastAsia="pl-PL"/>
        </w:rPr>
        <w:t>w zakresie nakładania stosownych kar lub podejmowania stosownych środków w przypadku nieprzestrzegania przepisów prawa krajowego przyjętych w celu wykonania niniejszej dyrektywy</w:t>
      </w:r>
      <w:r w:rsidR="00E24274">
        <w:rPr>
          <w:rFonts w:ascii="Times New Roman" w:hAnsi="Times New Roman"/>
          <w:i/>
          <w:sz w:val="24"/>
          <w:szCs w:val="24"/>
          <w:lang w:eastAsia="pl-PL"/>
        </w:rPr>
        <w:t>”</w:t>
      </w:r>
      <w:r w:rsidRPr="00E24274">
        <w:rPr>
          <w:rFonts w:ascii="Times New Roman" w:hAnsi="Times New Roman"/>
          <w:i/>
          <w:sz w:val="24"/>
          <w:szCs w:val="24"/>
          <w:lang w:eastAsia="pl-PL"/>
        </w:rPr>
        <w:t>.</w:t>
      </w:r>
      <w:r w:rsidRPr="00E24274">
        <w:rPr>
          <w:rFonts w:ascii="Times New Roman" w:hAnsi="Times New Roman"/>
          <w:sz w:val="24"/>
          <w:szCs w:val="24"/>
          <w:lang w:eastAsia="pl-PL"/>
        </w:rPr>
        <w:t xml:space="preserve"> Te kary i środki muszą być </w:t>
      </w:r>
      <w:r w:rsidR="00E24274">
        <w:rPr>
          <w:rFonts w:ascii="Times New Roman" w:hAnsi="Times New Roman"/>
          <w:i/>
          <w:sz w:val="24"/>
          <w:szCs w:val="24"/>
          <w:lang w:eastAsia="pl-PL"/>
        </w:rPr>
        <w:t>„</w:t>
      </w:r>
      <w:r w:rsidRPr="00E24274">
        <w:rPr>
          <w:rFonts w:ascii="Times New Roman" w:hAnsi="Times New Roman"/>
          <w:i/>
          <w:sz w:val="24"/>
          <w:szCs w:val="24"/>
          <w:lang w:eastAsia="pl-PL"/>
        </w:rPr>
        <w:t>skuteczne, proporcjonalne i odstraszające</w:t>
      </w:r>
      <w:r w:rsidR="00E24274">
        <w:rPr>
          <w:rFonts w:ascii="Times New Roman" w:hAnsi="Times New Roman"/>
          <w:i/>
          <w:sz w:val="24"/>
          <w:szCs w:val="24"/>
          <w:lang w:eastAsia="pl-PL"/>
        </w:rPr>
        <w:t>”</w:t>
      </w:r>
      <w:r w:rsidRPr="00E24274">
        <w:rPr>
          <w:rFonts w:ascii="Times New Roman" w:hAnsi="Times New Roman"/>
          <w:sz w:val="24"/>
          <w:szCs w:val="24"/>
          <w:lang w:eastAsia="pl-PL"/>
        </w:rPr>
        <w:t xml:space="preserve">. Przepis ust. 2 zobowiązuje zaś państwa członkowskie UE do stworzenia procedur umożliwiających wszystkim podmiotom zainteresowanym </w:t>
      </w:r>
      <w:r w:rsidR="00DC207A">
        <w:rPr>
          <w:rFonts w:ascii="Times New Roman" w:hAnsi="Times New Roman"/>
          <w:sz w:val="24"/>
          <w:szCs w:val="24"/>
          <w:lang w:eastAsia="pl-PL"/>
        </w:rPr>
        <w:t>zawiadamianie organów nadzoru o </w:t>
      </w:r>
      <w:r w:rsidR="00E24274">
        <w:rPr>
          <w:rFonts w:ascii="Times New Roman" w:hAnsi="Times New Roman"/>
          <w:i/>
          <w:sz w:val="24"/>
          <w:szCs w:val="24"/>
          <w:lang w:eastAsia="pl-PL"/>
        </w:rPr>
        <w:t>„</w:t>
      </w:r>
      <w:r w:rsidRPr="00E24274">
        <w:rPr>
          <w:rFonts w:ascii="Times New Roman" w:hAnsi="Times New Roman"/>
          <w:i/>
          <w:sz w:val="24"/>
          <w:szCs w:val="24"/>
          <w:lang w:eastAsia="pl-PL"/>
        </w:rPr>
        <w:t>działaniach lub okolicznościach, które w ich opinii stanowią naruszenie przepisów prawa krajowego przyjętych zgodnie z wymogami ustanowionymi w niniejszej dyrektywie</w:t>
      </w:r>
      <w:r w:rsidR="00E24274">
        <w:rPr>
          <w:rFonts w:ascii="Times New Roman" w:hAnsi="Times New Roman"/>
          <w:i/>
          <w:sz w:val="24"/>
          <w:szCs w:val="24"/>
          <w:lang w:eastAsia="pl-PL"/>
        </w:rPr>
        <w:t>”</w:t>
      </w:r>
      <w:r w:rsidRPr="00E24274">
        <w:rPr>
          <w:rFonts w:ascii="Times New Roman" w:hAnsi="Times New Roman"/>
          <w:i/>
          <w:sz w:val="24"/>
          <w:szCs w:val="24"/>
          <w:lang w:eastAsia="pl-PL"/>
        </w:rPr>
        <w:t xml:space="preserve">. </w:t>
      </w:r>
      <w:r w:rsidRPr="00E24274">
        <w:rPr>
          <w:rFonts w:ascii="Times New Roman" w:hAnsi="Times New Roman"/>
          <w:sz w:val="24"/>
          <w:szCs w:val="24"/>
          <w:lang w:eastAsia="pl-PL"/>
        </w:rPr>
        <w:t>Tym samym dyrektywa CRM pozostawia ustawodawcy krajowemu znaczną swobodę w zakresie tworzenia systemu nadzoru nad organizacjami zbiorowego zarządzania zarówno</w:t>
      </w:r>
      <w:r w:rsidR="00FD568C">
        <w:rPr>
          <w:rFonts w:ascii="Times New Roman" w:hAnsi="Times New Roman"/>
          <w:sz w:val="24"/>
          <w:szCs w:val="24"/>
          <w:lang w:eastAsia="pl-PL"/>
        </w:rPr>
        <w:t>,</w:t>
      </w:r>
      <w:r w:rsidRPr="00E24274">
        <w:rPr>
          <w:rFonts w:ascii="Times New Roman" w:hAnsi="Times New Roman"/>
          <w:sz w:val="24"/>
          <w:szCs w:val="24"/>
          <w:lang w:eastAsia="pl-PL"/>
        </w:rPr>
        <w:t xml:space="preserve"> gdy chodzi o wyznaczenie podmiotu mającego pełnić funkcję organu nadzoru</w:t>
      </w:r>
      <w:r w:rsidR="00FD568C">
        <w:rPr>
          <w:rFonts w:ascii="Times New Roman" w:hAnsi="Times New Roman"/>
          <w:sz w:val="24"/>
          <w:szCs w:val="24"/>
          <w:lang w:eastAsia="pl-PL"/>
        </w:rPr>
        <w:t>,</w:t>
      </w:r>
      <w:r w:rsidRPr="00E24274">
        <w:rPr>
          <w:rFonts w:ascii="Times New Roman" w:hAnsi="Times New Roman"/>
          <w:sz w:val="24"/>
          <w:szCs w:val="24"/>
          <w:lang w:eastAsia="pl-PL"/>
        </w:rPr>
        <w:t xml:space="preserve"> jak i określenie zasad działania tego organu i zakresu jego kompetencji. Projektowana ustawa w zakresie nadzoru podtrzymuje, rozwija i poprawia najważniejsze rozwiązania zawarte obecnie w pr. aut. z wykorzystaniem doświadczeń organu nadzoru z ostatnich kilku lat jego funkcjonowania.</w:t>
      </w:r>
    </w:p>
    <w:p w:rsidR="00D2655C" w:rsidRPr="00E24274" w:rsidRDefault="00D2655C" w:rsidP="00E24274">
      <w:pPr>
        <w:spacing w:before="120" w:after="0" w:line="360" w:lineRule="auto"/>
        <w:rPr>
          <w:rFonts w:ascii="Times New Roman" w:hAnsi="Times New Roman"/>
          <w:b/>
          <w:sz w:val="24"/>
          <w:szCs w:val="24"/>
          <w:lang w:eastAsia="pl-PL"/>
        </w:rPr>
      </w:pPr>
      <w:r w:rsidRPr="00E24274">
        <w:rPr>
          <w:rFonts w:ascii="Times New Roman" w:hAnsi="Times New Roman"/>
          <w:b/>
          <w:sz w:val="24"/>
          <w:szCs w:val="24"/>
          <w:lang w:eastAsia="pl-PL"/>
        </w:rPr>
        <w:lastRenderedPageBreak/>
        <w:t>art. 92</w:t>
      </w:r>
    </w:p>
    <w:p w:rsidR="00D2655C" w:rsidRPr="00E24274" w:rsidRDefault="00D2655C" w:rsidP="00DC207A">
      <w:pPr>
        <w:spacing w:after="0" w:line="360" w:lineRule="auto"/>
        <w:jc w:val="both"/>
        <w:rPr>
          <w:rFonts w:ascii="Times New Roman" w:hAnsi="Times New Roman"/>
          <w:sz w:val="24"/>
          <w:szCs w:val="24"/>
          <w:lang w:eastAsia="pl-PL"/>
        </w:rPr>
      </w:pPr>
      <w:r w:rsidRPr="00E24274">
        <w:rPr>
          <w:rFonts w:ascii="Times New Roman" w:hAnsi="Times New Roman"/>
          <w:sz w:val="24"/>
          <w:szCs w:val="24"/>
          <w:lang w:eastAsia="pl-PL"/>
        </w:rPr>
        <w:t xml:space="preserve">Zgodnie z art. 92 ust. 1 organem nadzoru pozostaje – jak dotychczas – minister </w:t>
      </w:r>
      <w:r w:rsidRPr="00E24274">
        <w:rPr>
          <w:rFonts w:ascii="Times New Roman" w:hAnsi="Times New Roman"/>
          <w:sz w:val="24"/>
          <w:szCs w:val="24"/>
        </w:rPr>
        <w:t>właściwy do spraw kultury i ochrony dziedzictwa narodowego</w:t>
      </w:r>
      <w:r w:rsidR="00DC207A">
        <w:rPr>
          <w:rFonts w:ascii="Times New Roman" w:hAnsi="Times New Roman"/>
          <w:sz w:val="24"/>
          <w:szCs w:val="24"/>
          <w:lang w:eastAsia="pl-PL"/>
        </w:rPr>
        <w:t>, działający z urzędu (art. </w:t>
      </w:r>
      <w:r w:rsidRPr="00E24274">
        <w:rPr>
          <w:rFonts w:ascii="Times New Roman" w:hAnsi="Times New Roman"/>
          <w:sz w:val="24"/>
          <w:szCs w:val="24"/>
          <w:lang w:eastAsia="pl-PL"/>
        </w:rPr>
        <w:t>92 ust. 2 projektu). Zgodnie z ust. 3 projektowanego artykułu nadzór nie będzie obejmował terenowych jednostek organizacyjnych aktualnie istniejących organizacji zbiorowego zarządzania, jeżeli nie wykonują one czynności z zakresu zbiorowego zarządzania. Nadzór nad tymi jednostkami będzie sprawowany wg ogólnych zasad nadzoru nad stowarzyszeniami, a więc przez starostę właściwego ze względu na siedzibę jednostki (art. 27 Prawa o stowarzyszeniach)</w:t>
      </w:r>
      <w:r w:rsidR="00DC207A">
        <w:rPr>
          <w:rFonts w:ascii="Times New Roman" w:hAnsi="Times New Roman"/>
          <w:sz w:val="24"/>
          <w:szCs w:val="24"/>
          <w:lang w:eastAsia="pl-PL"/>
        </w:rPr>
        <w:t>. Rozwiązanie to koresponduje z </w:t>
      </w:r>
      <w:r w:rsidRPr="00E24274">
        <w:rPr>
          <w:rFonts w:ascii="Times New Roman" w:hAnsi="Times New Roman"/>
          <w:sz w:val="24"/>
          <w:szCs w:val="24"/>
          <w:lang w:eastAsia="pl-PL"/>
        </w:rPr>
        <w:t>treścią art. 8 pkt 1 projektu, który zakazuje udzielania zezwoleń na zbiorowe zarządzanie terenowym jednostkom organizacyjnym stowarzyszeń.</w:t>
      </w:r>
    </w:p>
    <w:p w:rsidR="00D2655C" w:rsidRPr="00E24274" w:rsidRDefault="00D2655C" w:rsidP="00E24274">
      <w:pPr>
        <w:spacing w:before="120" w:after="0" w:line="360" w:lineRule="auto"/>
        <w:jc w:val="both"/>
        <w:rPr>
          <w:rFonts w:ascii="Times New Roman" w:hAnsi="Times New Roman"/>
          <w:sz w:val="24"/>
          <w:szCs w:val="24"/>
          <w:lang w:eastAsia="pl-PL"/>
        </w:rPr>
      </w:pPr>
      <w:r w:rsidRPr="00E24274">
        <w:rPr>
          <w:rFonts w:ascii="Times New Roman" w:hAnsi="Times New Roman"/>
          <w:b/>
          <w:sz w:val="24"/>
          <w:szCs w:val="24"/>
          <w:lang w:eastAsia="pl-PL"/>
        </w:rPr>
        <w:t>art. 93</w:t>
      </w:r>
    </w:p>
    <w:p w:rsidR="00D2655C" w:rsidRPr="00E24274" w:rsidRDefault="00D2655C" w:rsidP="00DC207A">
      <w:pPr>
        <w:spacing w:after="0" w:line="360" w:lineRule="auto"/>
        <w:jc w:val="both"/>
        <w:rPr>
          <w:rFonts w:ascii="Times New Roman" w:hAnsi="Times New Roman"/>
          <w:sz w:val="24"/>
          <w:szCs w:val="24"/>
          <w:lang w:eastAsia="pl-PL"/>
        </w:rPr>
      </w:pPr>
      <w:r w:rsidRPr="00E24274">
        <w:rPr>
          <w:rFonts w:ascii="Times New Roman" w:hAnsi="Times New Roman"/>
          <w:sz w:val="24"/>
          <w:szCs w:val="24"/>
          <w:lang w:eastAsia="pl-PL"/>
        </w:rPr>
        <w:t xml:space="preserve">W art. 93 projektowanej ustawy definiuje się cel nadzoru jako </w:t>
      </w:r>
      <w:r w:rsidR="00E24274">
        <w:rPr>
          <w:rFonts w:ascii="Times New Roman" w:hAnsi="Times New Roman"/>
          <w:sz w:val="24"/>
          <w:szCs w:val="24"/>
          <w:lang w:eastAsia="pl-PL"/>
        </w:rPr>
        <w:t>„</w:t>
      </w:r>
      <w:r w:rsidRPr="00E24274">
        <w:rPr>
          <w:rFonts w:ascii="Times New Roman" w:hAnsi="Times New Roman"/>
          <w:sz w:val="24"/>
          <w:szCs w:val="24"/>
          <w:lang w:eastAsia="pl-PL"/>
        </w:rPr>
        <w:t>zapewnienie należytego wykonywania zbiorowego zarządzania</w:t>
      </w:r>
      <w:r w:rsidR="00E24274">
        <w:rPr>
          <w:rFonts w:ascii="Times New Roman" w:hAnsi="Times New Roman"/>
          <w:sz w:val="24"/>
          <w:szCs w:val="24"/>
          <w:lang w:eastAsia="pl-PL"/>
        </w:rPr>
        <w:t>”</w:t>
      </w:r>
      <w:r w:rsidRPr="00E24274">
        <w:rPr>
          <w:rFonts w:ascii="Times New Roman" w:hAnsi="Times New Roman"/>
          <w:sz w:val="24"/>
          <w:szCs w:val="24"/>
          <w:lang w:eastAsia="pl-PL"/>
        </w:rPr>
        <w:t xml:space="preserve"> oraz w pkt 1</w:t>
      </w:r>
      <w:r w:rsidR="00B85D46">
        <w:rPr>
          <w:rFonts w:ascii="Times New Roman" w:hAnsi="Times New Roman"/>
          <w:sz w:val="24"/>
          <w:szCs w:val="24"/>
          <w:lang w:eastAsia="pl-PL"/>
        </w:rPr>
        <w:t>–</w:t>
      </w:r>
      <w:r w:rsidR="00DC207A">
        <w:rPr>
          <w:rFonts w:ascii="Times New Roman" w:hAnsi="Times New Roman"/>
          <w:sz w:val="24"/>
          <w:szCs w:val="24"/>
          <w:lang w:eastAsia="pl-PL"/>
        </w:rPr>
        <w:t>4 wskazuje, że chodzi o </w:t>
      </w:r>
      <w:r w:rsidRPr="00E24274">
        <w:rPr>
          <w:rFonts w:ascii="Times New Roman" w:hAnsi="Times New Roman"/>
          <w:sz w:val="24"/>
          <w:szCs w:val="24"/>
          <w:lang w:eastAsia="pl-PL"/>
        </w:rPr>
        <w:t>zapewnienie zgodności działań organizacji z przepisami prawa, zezwoleniem na zbiorowe zarządzanie oraz aktami wewnętrznymi organizacji, zapewnienie skutecznego funkcjonowania systemu zbiorowego zarządzania prawami autorskimi lub prawami pokrewnymi, prawidłowego</w:t>
      </w:r>
      <w:r w:rsidR="00E24274">
        <w:rPr>
          <w:rFonts w:ascii="Times New Roman" w:hAnsi="Times New Roman"/>
          <w:sz w:val="24"/>
          <w:szCs w:val="24"/>
          <w:lang w:eastAsia="pl-PL"/>
        </w:rPr>
        <w:t xml:space="preserve"> </w:t>
      </w:r>
      <w:r w:rsidRPr="00E24274">
        <w:rPr>
          <w:rFonts w:ascii="Times New Roman" w:hAnsi="Times New Roman"/>
          <w:sz w:val="24"/>
          <w:szCs w:val="24"/>
          <w:lang w:eastAsia="pl-PL"/>
        </w:rPr>
        <w:t xml:space="preserve">i terminowego podziału przychodów z praw i ich wypłaty uprawnionym oraz uzasadnionego poziomu potrąceń na pokrycie kosztów zbiorowego zarządzania. W ten sposób określa się po co winien być wykonywany nadzór nad organizacjami w interesie samych uprawnionych </w:t>
      </w:r>
      <w:r w:rsidR="00DC207A">
        <w:rPr>
          <w:rFonts w:ascii="Times New Roman" w:hAnsi="Times New Roman"/>
          <w:sz w:val="24"/>
          <w:szCs w:val="24"/>
          <w:lang w:eastAsia="pl-PL"/>
        </w:rPr>
        <w:t>i użytkowników korzystających z </w:t>
      </w:r>
      <w:r w:rsidRPr="00E24274">
        <w:rPr>
          <w:rFonts w:ascii="Times New Roman" w:hAnsi="Times New Roman"/>
          <w:sz w:val="24"/>
          <w:szCs w:val="24"/>
          <w:lang w:eastAsia="pl-PL"/>
        </w:rPr>
        <w:t>pośrednictwa organizacji w uzyskiwaniu licencji.</w:t>
      </w:r>
    </w:p>
    <w:p w:rsidR="00D2655C" w:rsidRPr="00E24274" w:rsidRDefault="00D2655C" w:rsidP="00E24274">
      <w:pPr>
        <w:spacing w:before="120" w:after="0" w:line="360" w:lineRule="auto"/>
        <w:jc w:val="both"/>
        <w:rPr>
          <w:rFonts w:ascii="Times New Roman" w:hAnsi="Times New Roman"/>
          <w:b/>
          <w:sz w:val="24"/>
          <w:szCs w:val="24"/>
          <w:lang w:eastAsia="pl-PL"/>
        </w:rPr>
      </w:pPr>
      <w:r w:rsidRPr="00E24274">
        <w:rPr>
          <w:rFonts w:ascii="Times New Roman" w:hAnsi="Times New Roman"/>
          <w:b/>
          <w:sz w:val="24"/>
          <w:szCs w:val="24"/>
          <w:lang w:eastAsia="pl-PL"/>
        </w:rPr>
        <w:t>art. 94</w:t>
      </w:r>
      <w:r w:rsidR="00FD568C">
        <w:rPr>
          <w:rFonts w:ascii="Times New Roman" w:hAnsi="Times New Roman"/>
          <w:b/>
          <w:sz w:val="24"/>
          <w:szCs w:val="24"/>
          <w:lang w:eastAsia="pl-PL"/>
        </w:rPr>
        <w:t xml:space="preserve"> i </w:t>
      </w:r>
      <w:r w:rsidRPr="00E24274">
        <w:rPr>
          <w:rFonts w:ascii="Times New Roman" w:hAnsi="Times New Roman"/>
          <w:b/>
          <w:sz w:val="24"/>
          <w:szCs w:val="24"/>
          <w:lang w:eastAsia="pl-PL"/>
        </w:rPr>
        <w:t xml:space="preserve">95 </w:t>
      </w:r>
      <w:r w:rsidR="00FD568C">
        <w:rPr>
          <w:rFonts w:ascii="Times New Roman" w:hAnsi="Times New Roman"/>
          <w:b/>
          <w:sz w:val="24"/>
          <w:szCs w:val="24"/>
          <w:lang w:eastAsia="pl-PL"/>
        </w:rPr>
        <w:t>oraz</w:t>
      </w:r>
      <w:r w:rsidRPr="00E24274">
        <w:rPr>
          <w:rFonts w:ascii="Times New Roman" w:hAnsi="Times New Roman"/>
          <w:b/>
          <w:sz w:val="24"/>
          <w:szCs w:val="24"/>
          <w:lang w:eastAsia="pl-PL"/>
        </w:rPr>
        <w:t xml:space="preserve"> 97</w:t>
      </w:r>
      <w:r w:rsidR="00FD568C">
        <w:rPr>
          <w:rFonts w:ascii="Times New Roman" w:hAnsi="Times New Roman"/>
          <w:b/>
          <w:sz w:val="24"/>
          <w:szCs w:val="24"/>
          <w:lang w:eastAsia="pl-PL"/>
        </w:rPr>
        <w:t xml:space="preserve"> i </w:t>
      </w:r>
      <w:r w:rsidRPr="00E24274">
        <w:rPr>
          <w:rFonts w:ascii="Times New Roman" w:hAnsi="Times New Roman"/>
          <w:b/>
          <w:sz w:val="24"/>
          <w:szCs w:val="24"/>
          <w:lang w:eastAsia="pl-PL"/>
        </w:rPr>
        <w:t>98</w:t>
      </w:r>
    </w:p>
    <w:p w:rsidR="00D2655C" w:rsidRPr="00E24274" w:rsidRDefault="00D2655C" w:rsidP="00DC207A">
      <w:pPr>
        <w:spacing w:after="0" w:line="360" w:lineRule="auto"/>
        <w:jc w:val="both"/>
        <w:rPr>
          <w:rFonts w:ascii="Times New Roman" w:hAnsi="Times New Roman"/>
          <w:sz w:val="24"/>
          <w:szCs w:val="24"/>
          <w:lang w:eastAsia="pl-PL"/>
        </w:rPr>
      </w:pPr>
      <w:r w:rsidRPr="00E24274">
        <w:rPr>
          <w:rFonts w:ascii="Times New Roman" w:hAnsi="Times New Roman"/>
          <w:sz w:val="24"/>
          <w:szCs w:val="24"/>
          <w:lang w:eastAsia="pl-PL"/>
        </w:rPr>
        <w:t xml:space="preserve">1. Przepisy te określają znacznie rozbudowany w stosunku do aktualnego stanu prawnego katalog środków, którymi organ nadzoru będzie dysponował w toku wykonywania nadzoru nad organizacjami. Uzasadnione jest ich potraktowanie – jako spójnej konstrukcji – także w ramach uzasadnienia do projektu ustawy. Katalog środków nadzoru został ukształtowany zgodnie z dyspozycją dyrektywy CRM, która nakazuje – jak wskazano powyżej – </w:t>
      </w:r>
      <w:r w:rsidR="00FD568C">
        <w:rPr>
          <w:rFonts w:ascii="Times New Roman" w:hAnsi="Times New Roman"/>
          <w:sz w:val="24"/>
          <w:szCs w:val="24"/>
          <w:lang w:eastAsia="pl-PL"/>
        </w:rPr>
        <w:t>a</w:t>
      </w:r>
      <w:r w:rsidRPr="00E24274">
        <w:rPr>
          <w:rFonts w:ascii="Times New Roman" w:hAnsi="Times New Roman"/>
          <w:sz w:val="24"/>
          <w:szCs w:val="24"/>
          <w:lang w:eastAsia="pl-PL"/>
        </w:rPr>
        <w:t xml:space="preserve">by środki te były </w:t>
      </w:r>
      <w:r w:rsidR="00E24274">
        <w:rPr>
          <w:rFonts w:ascii="Times New Roman" w:hAnsi="Times New Roman"/>
          <w:i/>
          <w:sz w:val="24"/>
          <w:szCs w:val="24"/>
          <w:lang w:eastAsia="pl-PL"/>
        </w:rPr>
        <w:t>„</w:t>
      </w:r>
      <w:r w:rsidR="00DC207A">
        <w:rPr>
          <w:rFonts w:ascii="Times New Roman" w:hAnsi="Times New Roman"/>
          <w:i/>
          <w:sz w:val="24"/>
          <w:szCs w:val="24"/>
          <w:lang w:eastAsia="pl-PL"/>
        </w:rPr>
        <w:t>skuteczne, proporcjonalne i </w:t>
      </w:r>
      <w:r w:rsidRPr="00E24274">
        <w:rPr>
          <w:rFonts w:ascii="Times New Roman" w:hAnsi="Times New Roman"/>
          <w:i/>
          <w:sz w:val="24"/>
          <w:szCs w:val="24"/>
          <w:lang w:eastAsia="pl-PL"/>
        </w:rPr>
        <w:t>odstraszające</w:t>
      </w:r>
      <w:r w:rsidR="00E24274">
        <w:rPr>
          <w:rFonts w:ascii="Times New Roman" w:hAnsi="Times New Roman"/>
          <w:i/>
          <w:sz w:val="24"/>
          <w:szCs w:val="24"/>
          <w:lang w:eastAsia="pl-PL"/>
        </w:rPr>
        <w:t>”</w:t>
      </w:r>
      <w:r w:rsidRPr="00E24274">
        <w:rPr>
          <w:rFonts w:ascii="Times New Roman" w:hAnsi="Times New Roman"/>
          <w:sz w:val="24"/>
          <w:szCs w:val="24"/>
          <w:lang w:eastAsia="pl-PL"/>
        </w:rPr>
        <w:t>. Zasadne jest stworzenie norma</w:t>
      </w:r>
      <w:r w:rsidR="00DC207A">
        <w:rPr>
          <w:rFonts w:ascii="Times New Roman" w:hAnsi="Times New Roman"/>
          <w:sz w:val="24"/>
          <w:szCs w:val="24"/>
          <w:lang w:eastAsia="pl-PL"/>
        </w:rPr>
        <w:t>tywnego katalogu tych środków i </w:t>
      </w:r>
      <w:r w:rsidRPr="00E24274">
        <w:rPr>
          <w:rFonts w:ascii="Times New Roman" w:hAnsi="Times New Roman"/>
          <w:sz w:val="24"/>
          <w:szCs w:val="24"/>
          <w:lang w:eastAsia="pl-PL"/>
        </w:rPr>
        <w:t xml:space="preserve">uzupełnienie go o środki o charakterze niesankcyjnym oraz sankcje o umiarkowanym charakterze, których brak czasem uniemożliwiał w pełni skuteczne wykonywanie nadzoru i był wielokrotnie krytykowany przez przedstawicieli doktryny prawa </w:t>
      </w:r>
      <w:r w:rsidRPr="00E24274">
        <w:rPr>
          <w:rFonts w:ascii="Times New Roman" w:hAnsi="Times New Roman"/>
          <w:sz w:val="24"/>
          <w:szCs w:val="24"/>
          <w:lang w:eastAsia="pl-PL"/>
        </w:rPr>
        <w:lastRenderedPageBreak/>
        <w:t>autorskiego. W aktualnie obowiązującym stanie prawnym w przypadku stwierdzenia uchybień w wykonywaniu zbiorowego zarządzania organ nadzoru może zalecić sposób niewiążący usunięcie uchybień lub jedynie cofnąć zezwolenie na zbiorowe zarządzanie, co jest sankcją najbardziej dotkliwą z możliwych, dodatkowo często niedostosowaną do skali i wagi stwierdzonych nieprawidłowości.</w:t>
      </w:r>
    </w:p>
    <w:p w:rsidR="00D2655C" w:rsidRPr="00E24274" w:rsidRDefault="00D2655C" w:rsidP="00E24274">
      <w:pPr>
        <w:spacing w:before="120" w:after="0" w:line="360" w:lineRule="auto"/>
        <w:jc w:val="both"/>
        <w:rPr>
          <w:rFonts w:ascii="Times New Roman" w:hAnsi="Times New Roman"/>
          <w:sz w:val="24"/>
          <w:szCs w:val="24"/>
          <w:lang w:eastAsia="pl-PL"/>
        </w:rPr>
      </w:pPr>
      <w:r w:rsidRPr="00E24274">
        <w:rPr>
          <w:rFonts w:ascii="Times New Roman" w:hAnsi="Times New Roman"/>
          <w:sz w:val="24"/>
          <w:szCs w:val="24"/>
          <w:lang w:eastAsia="pl-PL"/>
        </w:rPr>
        <w:t>2. Art. 94</w:t>
      </w:r>
      <w:r w:rsidR="00FD568C">
        <w:rPr>
          <w:rFonts w:ascii="Times New Roman" w:hAnsi="Times New Roman"/>
          <w:sz w:val="24"/>
          <w:szCs w:val="24"/>
          <w:lang w:eastAsia="pl-PL"/>
        </w:rPr>
        <w:t xml:space="preserve"> i </w:t>
      </w:r>
      <w:r w:rsidRPr="00E24274">
        <w:rPr>
          <w:rFonts w:ascii="Times New Roman" w:hAnsi="Times New Roman"/>
          <w:sz w:val="24"/>
          <w:szCs w:val="24"/>
          <w:lang w:eastAsia="pl-PL"/>
        </w:rPr>
        <w:t>95 projektowanej ustawy określają instrumenty nadzoru o charakterze niesankcyjnym, do których należą cztery kategorie – wezwanie do przekazania określonych informacji i dokumentów, zalecenia, reko</w:t>
      </w:r>
      <w:r w:rsidR="00DC207A">
        <w:rPr>
          <w:rFonts w:ascii="Times New Roman" w:hAnsi="Times New Roman"/>
          <w:sz w:val="24"/>
          <w:szCs w:val="24"/>
          <w:lang w:eastAsia="pl-PL"/>
        </w:rPr>
        <w:t>mendacje oraz nakazy. Zgodnie z </w:t>
      </w:r>
      <w:r w:rsidRPr="00E24274">
        <w:rPr>
          <w:rFonts w:ascii="Times New Roman" w:hAnsi="Times New Roman"/>
          <w:sz w:val="24"/>
          <w:szCs w:val="24"/>
          <w:lang w:eastAsia="pl-PL"/>
        </w:rPr>
        <w:t xml:space="preserve">art. 94 ust. 2 i </w:t>
      </w:r>
      <w:r w:rsidR="00FD568C">
        <w:rPr>
          <w:rFonts w:ascii="Times New Roman" w:hAnsi="Times New Roman"/>
          <w:sz w:val="24"/>
          <w:szCs w:val="24"/>
          <w:lang w:eastAsia="pl-PL"/>
        </w:rPr>
        <w:t xml:space="preserve">art. </w:t>
      </w:r>
      <w:r w:rsidRPr="00E24274">
        <w:rPr>
          <w:rFonts w:ascii="Times New Roman" w:hAnsi="Times New Roman"/>
          <w:sz w:val="24"/>
          <w:szCs w:val="24"/>
          <w:lang w:eastAsia="pl-PL"/>
        </w:rPr>
        <w:t xml:space="preserve">95 ust. 2 </w:t>
      </w:r>
      <w:r w:rsidRPr="00E24274">
        <w:rPr>
          <w:rFonts w:ascii="Times New Roman" w:hAnsi="Times New Roman"/>
          <w:sz w:val="24"/>
          <w:szCs w:val="24"/>
        </w:rPr>
        <w:t>wezwania, żądania, zalecenia i rekomendacje, winny zawierać pisemne uzasadnienie, wskazujące ich cel i zakres.</w:t>
      </w:r>
    </w:p>
    <w:p w:rsidR="00D2655C" w:rsidRPr="00E24274" w:rsidRDefault="00D2655C" w:rsidP="00E24274">
      <w:pPr>
        <w:spacing w:before="120" w:after="0" w:line="360" w:lineRule="auto"/>
        <w:jc w:val="both"/>
        <w:rPr>
          <w:rFonts w:ascii="Times New Roman" w:hAnsi="Times New Roman"/>
          <w:sz w:val="24"/>
          <w:szCs w:val="24"/>
          <w:lang w:eastAsia="pl-PL"/>
        </w:rPr>
      </w:pPr>
      <w:r w:rsidRPr="00E24274">
        <w:rPr>
          <w:rFonts w:ascii="Times New Roman" w:hAnsi="Times New Roman"/>
          <w:sz w:val="24"/>
          <w:szCs w:val="24"/>
          <w:lang w:eastAsia="pl-PL"/>
        </w:rPr>
        <w:t xml:space="preserve">Zgodnie z art. 94 w ramach sprawowanego nadzoru </w:t>
      </w:r>
      <w:r w:rsidRPr="00E24274">
        <w:rPr>
          <w:rFonts w:ascii="Times New Roman" w:hAnsi="Times New Roman"/>
          <w:sz w:val="24"/>
          <w:szCs w:val="24"/>
        </w:rPr>
        <w:t>minister</w:t>
      </w:r>
      <w:r w:rsidRPr="00E24274">
        <w:rPr>
          <w:rFonts w:ascii="Times New Roman" w:hAnsi="Times New Roman"/>
          <w:sz w:val="24"/>
          <w:szCs w:val="24"/>
          <w:lang w:eastAsia="pl-PL"/>
        </w:rPr>
        <w:t xml:space="preserve"> może wezwać organizację zbiorowego zarządzania do przekazania w wyznaczonym terminie określonych informacji i dokumentów niezbędnych dla realizacji celów nadzoru lub do ich okresowego przekazywania celem oceny prawidłowości wykonywania zbiorowego zarządu lub ustalenia, że zaistniałe uchybienia zostały usunięte. W pierwszym przypadku mamy po stronie organizacji zbioro</w:t>
      </w:r>
      <w:r w:rsidR="00DC207A">
        <w:rPr>
          <w:rFonts w:ascii="Times New Roman" w:hAnsi="Times New Roman"/>
          <w:sz w:val="24"/>
          <w:szCs w:val="24"/>
          <w:lang w:eastAsia="pl-PL"/>
        </w:rPr>
        <w:t>wego zarządzania do czynienia z </w:t>
      </w:r>
      <w:r w:rsidRPr="00E24274">
        <w:rPr>
          <w:rFonts w:ascii="Times New Roman" w:hAnsi="Times New Roman"/>
          <w:sz w:val="24"/>
          <w:szCs w:val="24"/>
          <w:lang w:eastAsia="pl-PL"/>
        </w:rPr>
        <w:t>działaniem jednorazowym – na wezwanie organu nadzoru organizacja udziela określonych informacji lub dokumentów i w tym mome</w:t>
      </w:r>
      <w:r w:rsidR="00DC207A">
        <w:rPr>
          <w:rFonts w:ascii="Times New Roman" w:hAnsi="Times New Roman"/>
          <w:sz w:val="24"/>
          <w:szCs w:val="24"/>
          <w:lang w:eastAsia="pl-PL"/>
        </w:rPr>
        <w:t>ncie jej obowiązki wynikające z </w:t>
      </w:r>
      <w:r w:rsidRPr="00E24274">
        <w:rPr>
          <w:rFonts w:ascii="Times New Roman" w:hAnsi="Times New Roman"/>
          <w:sz w:val="24"/>
          <w:szCs w:val="24"/>
          <w:lang w:eastAsia="pl-PL"/>
        </w:rPr>
        <w:t xml:space="preserve">żądania organu nadzoru zostają wypełnione. W drugim przypadku mamy do czynienia z działaniem cyklicznym – organizacja zostaje przez organ nadzoru zobowiązana do przekazywania określonych informacji lub dokumentów w określonych odstępach czasu – tygodniowo, kwartalnie itp. Inne są też przesłanki stosowania obydwu instrumentów – wezwanie do przekazania informacji służy </w:t>
      </w:r>
      <w:r w:rsidR="00E24274">
        <w:rPr>
          <w:rFonts w:ascii="Times New Roman" w:hAnsi="Times New Roman"/>
          <w:sz w:val="24"/>
          <w:szCs w:val="24"/>
          <w:lang w:eastAsia="pl-PL"/>
        </w:rPr>
        <w:t>„</w:t>
      </w:r>
      <w:r w:rsidRPr="00E24274">
        <w:rPr>
          <w:rFonts w:ascii="Times New Roman" w:hAnsi="Times New Roman"/>
          <w:i/>
          <w:sz w:val="24"/>
          <w:szCs w:val="24"/>
          <w:lang w:eastAsia="pl-PL"/>
        </w:rPr>
        <w:t>realizacji celów nadzoru</w:t>
      </w:r>
      <w:r w:rsidR="00E24274">
        <w:rPr>
          <w:rFonts w:ascii="Times New Roman" w:hAnsi="Times New Roman"/>
          <w:sz w:val="24"/>
          <w:szCs w:val="24"/>
          <w:lang w:eastAsia="pl-PL"/>
        </w:rPr>
        <w:t>”</w:t>
      </w:r>
      <w:r w:rsidRPr="00E24274">
        <w:rPr>
          <w:rFonts w:ascii="Times New Roman" w:hAnsi="Times New Roman"/>
          <w:sz w:val="24"/>
          <w:szCs w:val="24"/>
          <w:lang w:eastAsia="pl-PL"/>
        </w:rPr>
        <w:t>, a więc może być zastosowane w każdym celu mieszczącym się w granicach kompetencji organu nadzoru. Natomiast żądanie okresowego przekazywania danych ma służyć wyłącznie ocenie prawidłowości wykonywania zbiorowego zarządu lub ustaleniu, że zaistniałe uchybienia zostały usunięte.</w:t>
      </w:r>
    </w:p>
    <w:p w:rsidR="00D2655C" w:rsidRPr="00E24274" w:rsidRDefault="00D2655C" w:rsidP="00E24274">
      <w:pPr>
        <w:spacing w:before="120" w:after="0" w:line="360" w:lineRule="auto"/>
        <w:jc w:val="both"/>
        <w:rPr>
          <w:rFonts w:ascii="Times New Roman" w:hAnsi="Times New Roman"/>
          <w:sz w:val="24"/>
          <w:szCs w:val="24"/>
          <w:lang w:eastAsia="pl-PL"/>
        </w:rPr>
      </w:pPr>
      <w:r w:rsidRPr="00E24274">
        <w:rPr>
          <w:rFonts w:ascii="Times New Roman" w:hAnsi="Times New Roman"/>
          <w:sz w:val="24"/>
          <w:szCs w:val="24"/>
          <w:lang w:eastAsia="pl-PL"/>
        </w:rPr>
        <w:t xml:space="preserve">3. Nowymi instrumentami nadzoru przewidzianymi w art. 94 i </w:t>
      </w:r>
      <w:r w:rsidR="00FD568C">
        <w:rPr>
          <w:rFonts w:ascii="Times New Roman" w:hAnsi="Times New Roman"/>
          <w:sz w:val="24"/>
          <w:szCs w:val="24"/>
          <w:lang w:eastAsia="pl-PL"/>
        </w:rPr>
        <w:t xml:space="preserve">art. </w:t>
      </w:r>
      <w:r w:rsidRPr="00E24274">
        <w:rPr>
          <w:rFonts w:ascii="Times New Roman" w:hAnsi="Times New Roman"/>
          <w:sz w:val="24"/>
          <w:szCs w:val="24"/>
          <w:lang w:eastAsia="pl-PL"/>
        </w:rPr>
        <w:t xml:space="preserve">95 projektowanej ustawy są zalecenia i rekomendacje o niewiążącym charakterze. Zalecenia są kierowane do konkretnej organizacji zbiorowego zarządzania, zatem ich przedmiotem są kwestie dotyczące tej konkretnej organizacji. Przedmiotem zalecenia może być każda kwestia wchodząca w zakres nadzoru, przy czym ustawa wskazuje przykładowo na takie </w:t>
      </w:r>
      <w:r w:rsidRPr="00E24274">
        <w:rPr>
          <w:rFonts w:ascii="Times New Roman" w:hAnsi="Times New Roman"/>
          <w:sz w:val="24"/>
          <w:szCs w:val="24"/>
          <w:lang w:eastAsia="pl-PL"/>
        </w:rPr>
        <w:lastRenderedPageBreak/>
        <w:t>kwestie</w:t>
      </w:r>
      <w:r w:rsidR="00FD568C">
        <w:rPr>
          <w:rFonts w:ascii="Times New Roman" w:hAnsi="Times New Roman"/>
          <w:sz w:val="24"/>
          <w:szCs w:val="24"/>
          <w:lang w:eastAsia="pl-PL"/>
        </w:rPr>
        <w:t>,</w:t>
      </w:r>
      <w:r w:rsidRPr="00E24274">
        <w:rPr>
          <w:rFonts w:ascii="Times New Roman" w:hAnsi="Times New Roman"/>
          <w:sz w:val="24"/>
          <w:szCs w:val="24"/>
          <w:lang w:eastAsia="pl-PL"/>
        </w:rPr>
        <w:t xml:space="preserve"> jak zapewnienie zgodności działalności danej organizacji z przepisami prawa czy np. opracowanie i stosowanie procedur, które zapewnią należytą realizację obowiązków dotyczących zbiorowego zarządza</w:t>
      </w:r>
      <w:r w:rsidR="00DC207A">
        <w:rPr>
          <w:rFonts w:ascii="Times New Roman" w:hAnsi="Times New Roman"/>
          <w:sz w:val="24"/>
          <w:szCs w:val="24"/>
          <w:lang w:eastAsia="pl-PL"/>
        </w:rPr>
        <w:t>nia. W praktyce może to być np. </w:t>
      </w:r>
      <w:r w:rsidRPr="00E24274">
        <w:rPr>
          <w:rFonts w:ascii="Times New Roman" w:hAnsi="Times New Roman"/>
          <w:sz w:val="24"/>
          <w:szCs w:val="24"/>
          <w:lang w:eastAsia="pl-PL"/>
        </w:rPr>
        <w:t>zalecenie przyjęcia harmonogramu podziału i wypłaty przychodów z praw, których organizacja nie zdołała dotąd podzielić lub wypłacić lub np. zalecenie uregulowania określonych kwestii w statucie, regulaminie repartycji lub innym akcie wewnętrznym organizacji. W odróżnieniu od zaleceń rekomendacje są adresowane do wszystkich organizacji zbiorowego zarządzania i dotyczą dobrych praktyk w zakresie zbiorowego zarządzania. Rekomendacje mogą zatem dotyczyć np. określonego sposobu postępowania w relacjach z użytkownikami czy dokumentowania czynności mających na celu odszukanie uprawnionych, na rzecz których organizacja dokonała podziału przychodów z praw. Zarówno zalecenia</w:t>
      </w:r>
      <w:r w:rsidR="00FD568C">
        <w:rPr>
          <w:rFonts w:ascii="Times New Roman" w:hAnsi="Times New Roman"/>
          <w:sz w:val="24"/>
          <w:szCs w:val="24"/>
          <w:lang w:eastAsia="pl-PL"/>
        </w:rPr>
        <w:t>,</w:t>
      </w:r>
      <w:r w:rsidRPr="00E24274">
        <w:rPr>
          <w:rFonts w:ascii="Times New Roman" w:hAnsi="Times New Roman"/>
          <w:sz w:val="24"/>
          <w:szCs w:val="24"/>
          <w:lang w:eastAsia="pl-PL"/>
        </w:rPr>
        <w:t xml:space="preserve"> jak i rekomend</w:t>
      </w:r>
      <w:r w:rsidR="00DC207A">
        <w:rPr>
          <w:rFonts w:ascii="Times New Roman" w:hAnsi="Times New Roman"/>
          <w:sz w:val="24"/>
          <w:szCs w:val="24"/>
          <w:lang w:eastAsia="pl-PL"/>
        </w:rPr>
        <w:t>acje są instrumentami nadzoru o </w:t>
      </w:r>
      <w:r w:rsidRPr="00E24274">
        <w:rPr>
          <w:rFonts w:ascii="Times New Roman" w:hAnsi="Times New Roman"/>
          <w:sz w:val="24"/>
          <w:szCs w:val="24"/>
          <w:lang w:eastAsia="pl-PL"/>
        </w:rPr>
        <w:t xml:space="preserve">charakterze </w:t>
      </w:r>
      <w:r w:rsidR="00E24274">
        <w:rPr>
          <w:rFonts w:ascii="Times New Roman" w:hAnsi="Times New Roman"/>
          <w:sz w:val="24"/>
          <w:szCs w:val="24"/>
          <w:lang w:eastAsia="pl-PL"/>
        </w:rPr>
        <w:t>„</w:t>
      </w:r>
      <w:r w:rsidRPr="00E24274">
        <w:rPr>
          <w:rFonts w:ascii="Times New Roman" w:hAnsi="Times New Roman"/>
          <w:sz w:val="24"/>
          <w:szCs w:val="24"/>
          <w:lang w:eastAsia="pl-PL"/>
        </w:rPr>
        <w:t>miękkim</w:t>
      </w:r>
      <w:r w:rsidR="00E24274">
        <w:rPr>
          <w:rFonts w:ascii="Times New Roman" w:hAnsi="Times New Roman"/>
          <w:sz w:val="24"/>
          <w:szCs w:val="24"/>
          <w:lang w:eastAsia="pl-PL"/>
        </w:rPr>
        <w:t>”</w:t>
      </w:r>
      <w:r w:rsidRPr="00E24274">
        <w:rPr>
          <w:rFonts w:ascii="Times New Roman" w:hAnsi="Times New Roman"/>
          <w:sz w:val="24"/>
          <w:szCs w:val="24"/>
          <w:lang w:eastAsia="pl-PL"/>
        </w:rPr>
        <w:t xml:space="preserve">, gdyż nie są w żaden sposób prawnie wiążące dla adresatów i za niezastosowanie się do nich nie mogą być stosowane żadne sankcje. Nie wyklucza to natomiast sytuacji, gdy niewykonanie zaleceń lub rekomendacji doprowadzi do powstania nieprawidłowości, które będą uzasadniały zastosowanie właściwych sankcji. </w:t>
      </w:r>
    </w:p>
    <w:p w:rsidR="00021350" w:rsidRPr="00E24274" w:rsidRDefault="00021350" w:rsidP="00E24274">
      <w:pPr>
        <w:spacing w:before="120" w:after="0" w:line="360" w:lineRule="auto"/>
        <w:jc w:val="both"/>
        <w:rPr>
          <w:rFonts w:ascii="Times New Roman" w:hAnsi="Times New Roman"/>
          <w:sz w:val="24"/>
          <w:szCs w:val="24"/>
          <w:lang w:eastAsia="pl-PL"/>
        </w:rPr>
      </w:pPr>
      <w:r w:rsidRPr="00E24274">
        <w:rPr>
          <w:rFonts w:ascii="Times New Roman" w:hAnsi="Times New Roman"/>
          <w:sz w:val="24"/>
          <w:szCs w:val="24"/>
          <w:lang w:eastAsia="pl-PL"/>
        </w:rPr>
        <w:t>Nowością będzie też przesądzenie o możliwości prowadzenia przez ministra uzgodnień w sprawach spornych między organizacjami zbiorowego zarządzania, w szczególności dotyczących zasad ich wspólnego działania, o którym mowa w art. 44 ust. 2 i 4.</w:t>
      </w:r>
      <w:r w:rsidR="002D0799" w:rsidRPr="00E24274">
        <w:rPr>
          <w:rFonts w:ascii="Times New Roman" w:hAnsi="Times New Roman"/>
          <w:sz w:val="24"/>
          <w:szCs w:val="24"/>
          <w:lang w:eastAsia="pl-PL"/>
        </w:rPr>
        <w:t xml:space="preserve"> Tego rodzaju uzgodnienia mogą pomóc w prowadzeniu negocjacji dotyczących wykonania ustawowych obowiązków przez organizacje, przyczyniając się tym samym do bardziej efektywnego funkcjonowania systemu zbiorowego zarządu bez konieczności stosowania bardziej sformalizowanych środków nadzoru (oczywiście nie wykluczając możliwości ich stosowania</w:t>
      </w:r>
      <w:r w:rsidR="00FD568C">
        <w:rPr>
          <w:rFonts w:ascii="Times New Roman" w:hAnsi="Times New Roman"/>
          <w:sz w:val="24"/>
          <w:szCs w:val="24"/>
          <w:lang w:eastAsia="pl-PL"/>
        </w:rPr>
        <w:t>,</w:t>
      </w:r>
      <w:r w:rsidR="002D0799" w:rsidRPr="00E24274">
        <w:rPr>
          <w:rFonts w:ascii="Times New Roman" w:hAnsi="Times New Roman"/>
          <w:sz w:val="24"/>
          <w:szCs w:val="24"/>
          <w:lang w:eastAsia="pl-PL"/>
        </w:rPr>
        <w:t xml:space="preserve"> w razie gdyby uzgodnienia zakończyły się fiaskiem</w:t>
      </w:r>
      <w:r w:rsidR="0083773E" w:rsidRPr="00E24274">
        <w:rPr>
          <w:rFonts w:ascii="Times New Roman" w:hAnsi="Times New Roman"/>
          <w:sz w:val="24"/>
          <w:szCs w:val="24"/>
          <w:lang w:eastAsia="pl-PL"/>
        </w:rPr>
        <w:t xml:space="preserve"> lub ich ustalenia nie były w praktyce respektowane</w:t>
      </w:r>
      <w:r w:rsidR="002D0799" w:rsidRPr="00E24274">
        <w:rPr>
          <w:rFonts w:ascii="Times New Roman" w:hAnsi="Times New Roman"/>
          <w:sz w:val="24"/>
          <w:szCs w:val="24"/>
          <w:lang w:eastAsia="pl-PL"/>
        </w:rPr>
        <w:t>).</w:t>
      </w:r>
    </w:p>
    <w:p w:rsidR="00D2655C" w:rsidRPr="00E24274" w:rsidRDefault="00D2655C" w:rsidP="00E24274">
      <w:pPr>
        <w:spacing w:before="120" w:after="0" w:line="360" w:lineRule="auto"/>
        <w:jc w:val="both"/>
        <w:rPr>
          <w:rFonts w:ascii="Times New Roman" w:hAnsi="Times New Roman"/>
          <w:sz w:val="24"/>
          <w:szCs w:val="24"/>
          <w:lang w:eastAsia="pl-PL"/>
        </w:rPr>
      </w:pPr>
      <w:r w:rsidRPr="00E24274">
        <w:rPr>
          <w:rFonts w:ascii="Times New Roman" w:hAnsi="Times New Roman"/>
          <w:sz w:val="24"/>
          <w:szCs w:val="24"/>
          <w:lang w:eastAsia="pl-PL"/>
        </w:rPr>
        <w:t xml:space="preserve">4. Kolejnym nowym rozwiązaniem przyjętym w art. 97 projektowanej ustawy jest kierowany do organizacji zbiorowego zarządzania </w:t>
      </w:r>
      <w:r w:rsidR="00DC207A">
        <w:rPr>
          <w:rFonts w:ascii="Times New Roman" w:hAnsi="Times New Roman"/>
          <w:sz w:val="24"/>
          <w:szCs w:val="24"/>
          <w:lang w:eastAsia="pl-PL"/>
        </w:rPr>
        <w:t>nakaz opracowania i wykonania w </w:t>
      </w:r>
      <w:r w:rsidRPr="00E24274">
        <w:rPr>
          <w:rFonts w:ascii="Times New Roman" w:hAnsi="Times New Roman"/>
          <w:sz w:val="24"/>
          <w:szCs w:val="24"/>
          <w:lang w:eastAsia="pl-PL"/>
        </w:rPr>
        <w:t>oznaczonym terminie planu podziału i wypłaty uprawnionym pobranych przez nią przychodów z praw. Ten instrument nadzoru ma być stosowany w przypadkach rażącego opóźnienia wypłat przychodów z pr</w:t>
      </w:r>
      <w:r w:rsidR="00DC207A">
        <w:rPr>
          <w:rFonts w:ascii="Times New Roman" w:hAnsi="Times New Roman"/>
          <w:sz w:val="24"/>
          <w:szCs w:val="24"/>
          <w:lang w:eastAsia="pl-PL"/>
        </w:rPr>
        <w:t>aw i w odróżnieniu od zaleceń i </w:t>
      </w:r>
      <w:r w:rsidRPr="00E24274">
        <w:rPr>
          <w:rFonts w:ascii="Times New Roman" w:hAnsi="Times New Roman"/>
          <w:sz w:val="24"/>
          <w:szCs w:val="24"/>
          <w:lang w:eastAsia="pl-PL"/>
        </w:rPr>
        <w:t xml:space="preserve">rekomendacji ma on charakter wiążący adresata w tym znaczeniu, że niewykonanie nakazu stanowić może bezpośrednie uzasadnienie zastosowania określonych sankcji przez organ nadzoru. Przedmiotowy nakaz jest najsilniejszym instrumentem </w:t>
      </w:r>
      <w:r w:rsidRPr="00E24274">
        <w:rPr>
          <w:rFonts w:ascii="Times New Roman" w:hAnsi="Times New Roman"/>
          <w:sz w:val="24"/>
          <w:szCs w:val="24"/>
          <w:lang w:eastAsia="pl-PL"/>
        </w:rPr>
        <w:lastRenderedPageBreak/>
        <w:t>niesankcyjnym, stanowi ingerencję w samorządność organizacji zbiorowego zarządzania, ale jej uzasadnienie wydaje się oczywiste. Organizacja zbiorowego zarządzania stanowi szczególną kategorię podmiotów prawa prywatnego. Na mocy zezwolenia ministra w</w:t>
      </w:r>
      <w:r w:rsidRPr="00E24274">
        <w:rPr>
          <w:rFonts w:ascii="Times New Roman" w:hAnsi="Times New Roman"/>
          <w:sz w:val="24"/>
          <w:szCs w:val="24"/>
        </w:rPr>
        <w:t>łaściwego do spraw kultury i ochrony dziedzictwa narodowego</w:t>
      </w:r>
      <w:r w:rsidRPr="00E24274">
        <w:rPr>
          <w:rFonts w:ascii="Times New Roman" w:hAnsi="Times New Roman"/>
          <w:sz w:val="24"/>
          <w:szCs w:val="24"/>
          <w:lang w:eastAsia="pl-PL"/>
        </w:rPr>
        <w:t xml:space="preserve"> podmiot ten uzyskuje możliwość działania w stosunkach cywilnoprawnych na zasadach wykraczających poza tradycyjnie przyjęte ramy prawa prywatnego, korzystając z takich instrumentów prawnych</w:t>
      </w:r>
      <w:r w:rsidR="00FD568C">
        <w:rPr>
          <w:rFonts w:ascii="Times New Roman" w:hAnsi="Times New Roman"/>
          <w:sz w:val="24"/>
          <w:szCs w:val="24"/>
          <w:lang w:eastAsia="pl-PL"/>
        </w:rPr>
        <w:t>,</w:t>
      </w:r>
      <w:r w:rsidRPr="00E24274">
        <w:rPr>
          <w:rFonts w:ascii="Times New Roman" w:hAnsi="Times New Roman"/>
          <w:sz w:val="24"/>
          <w:szCs w:val="24"/>
          <w:lang w:eastAsia="pl-PL"/>
        </w:rPr>
        <w:t xml:space="preserve"> jak roszczenie informacyjne, domniemanie reprezentacji czy status organizacji reprezentatywnej, które w określon</w:t>
      </w:r>
      <w:r w:rsidR="00DC207A">
        <w:rPr>
          <w:rFonts w:ascii="Times New Roman" w:hAnsi="Times New Roman"/>
          <w:sz w:val="24"/>
          <w:szCs w:val="24"/>
          <w:lang w:eastAsia="pl-PL"/>
        </w:rPr>
        <w:t>ym zakresie pozwalają działać w </w:t>
      </w:r>
      <w:r w:rsidRPr="00E24274">
        <w:rPr>
          <w:rFonts w:ascii="Times New Roman" w:hAnsi="Times New Roman"/>
          <w:sz w:val="24"/>
          <w:szCs w:val="24"/>
          <w:lang w:eastAsia="pl-PL"/>
        </w:rPr>
        <w:t>imieniu uprawnionych bez konieczności wykazy</w:t>
      </w:r>
      <w:r w:rsidR="00DC207A">
        <w:rPr>
          <w:rFonts w:ascii="Times New Roman" w:hAnsi="Times New Roman"/>
          <w:sz w:val="24"/>
          <w:szCs w:val="24"/>
          <w:lang w:eastAsia="pl-PL"/>
        </w:rPr>
        <w:t>wania umocowania z ich strony w </w:t>
      </w:r>
      <w:r w:rsidRPr="00E24274">
        <w:rPr>
          <w:rFonts w:ascii="Times New Roman" w:hAnsi="Times New Roman"/>
          <w:sz w:val="24"/>
          <w:szCs w:val="24"/>
          <w:lang w:eastAsia="pl-PL"/>
        </w:rPr>
        <w:t xml:space="preserve">tym zakresie. Ułatwia </w:t>
      </w:r>
      <w:r w:rsidR="00FD568C">
        <w:rPr>
          <w:rFonts w:ascii="Times New Roman" w:hAnsi="Times New Roman"/>
          <w:sz w:val="24"/>
          <w:szCs w:val="24"/>
          <w:lang w:eastAsia="pl-PL"/>
        </w:rPr>
        <w:t>t</w:t>
      </w:r>
      <w:r w:rsidRPr="00E24274">
        <w:rPr>
          <w:rFonts w:ascii="Times New Roman" w:hAnsi="Times New Roman"/>
          <w:sz w:val="24"/>
          <w:szCs w:val="24"/>
          <w:lang w:eastAsia="pl-PL"/>
        </w:rPr>
        <w:t>o organizacji dochodzenie roszczeń, ale jednocześnie uzasadnia ingerencję organu władzy publicznej w celu m.in. zagwarantowania, że pobrane przez organizację środki (przychody z praw)</w:t>
      </w:r>
      <w:r w:rsidR="00DC207A">
        <w:rPr>
          <w:rFonts w:ascii="Times New Roman" w:hAnsi="Times New Roman"/>
          <w:sz w:val="24"/>
          <w:szCs w:val="24"/>
          <w:lang w:eastAsia="pl-PL"/>
        </w:rPr>
        <w:t xml:space="preserve"> zostaną należycie podzielone i </w:t>
      </w:r>
      <w:r w:rsidRPr="00E24274">
        <w:rPr>
          <w:rFonts w:ascii="Times New Roman" w:hAnsi="Times New Roman"/>
          <w:sz w:val="24"/>
          <w:szCs w:val="24"/>
          <w:lang w:eastAsia="pl-PL"/>
        </w:rPr>
        <w:t>rzeczywiście wypłacone uprawnionym w racjonalnych terminach. Rozwiązanie to koresponduje z celem przepisów zawartych w rozdziale</w:t>
      </w:r>
      <w:r w:rsidRPr="00E24274">
        <w:rPr>
          <w:rFonts w:ascii="Times New Roman" w:hAnsi="Times New Roman"/>
          <w:sz w:val="24"/>
          <w:szCs w:val="24"/>
        </w:rPr>
        <w:t xml:space="preserve"> </w:t>
      </w:r>
      <w:r w:rsidRPr="00E24274">
        <w:rPr>
          <w:rFonts w:ascii="Times New Roman" w:hAnsi="Times New Roman"/>
          <w:sz w:val="24"/>
          <w:szCs w:val="24"/>
          <w:lang w:eastAsia="pl-PL"/>
        </w:rPr>
        <w:t>4 oddziale 2 projektu odnoszących się do zarządzania przez organizację przychodami z praw.</w:t>
      </w:r>
    </w:p>
    <w:p w:rsidR="00D2655C" w:rsidRPr="00E24274" w:rsidRDefault="00D2655C" w:rsidP="00E24274">
      <w:pPr>
        <w:pStyle w:val="ARTartustawynprozporzdzenia"/>
        <w:keepNext/>
        <w:ind w:firstLine="0"/>
        <w:rPr>
          <w:rFonts w:ascii="Times New Roman" w:eastAsia="Calibri" w:hAnsi="Times New Roman" w:cs="Times New Roman"/>
          <w:b/>
          <w:lang w:eastAsia="en-US"/>
        </w:rPr>
      </w:pPr>
      <w:r w:rsidRPr="00E24274">
        <w:rPr>
          <w:rStyle w:val="Ppogrubienie"/>
          <w:rFonts w:ascii="Times New Roman" w:hAnsi="Times New Roman" w:cs="Times New Roman"/>
          <w:b w:val="0"/>
        </w:rPr>
        <w:t>5. Zgodnie z art. 98 sąd na wniosek m</w:t>
      </w:r>
      <w:r w:rsidRPr="00E24274">
        <w:rPr>
          <w:rFonts w:ascii="Times New Roman" w:hAnsi="Times New Roman" w:cs="Times New Roman"/>
        </w:rPr>
        <w:t>inistra właściwego do spraw kultury i ochrony dziedzictwa narodowego</w:t>
      </w:r>
      <w:r w:rsidR="009A3313" w:rsidRPr="00E24274">
        <w:rPr>
          <w:rFonts w:ascii="Times New Roman" w:hAnsi="Times New Roman" w:cs="Times New Roman"/>
        </w:rPr>
        <w:t xml:space="preserve"> lub prokuratora</w:t>
      </w:r>
      <w:r w:rsidRPr="00E24274">
        <w:rPr>
          <w:rFonts w:ascii="Times New Roman" w:hAnsi="Times New Roman" w:cs="Times New Roman"/>
        </w:rPr>
        <w:t xml:space="preserve"> może uchylić niezgodną z prawem lub statutem uchwałę organizacji zbiorowego zarządzania. Jest to przeniesienie na grunt projektowanej ustawy rozwiązania przewidzianego w obowiązującym w aktualnym stanie prawnym art. 29 ust. 1 pkt 2 ustawy </w:t>
      </w:r>
      <w:r w:rsidR="00FD568C">
        <w:rPr>
          <w:rFonts w:ascii="Times New Roman" w:hAnsi="Times New Roman" w:cs="Times New Roman"/>
        </w:rPr>
        <w:t xml:space="preserve">– </w:t>
      </w:r>
      <w:r w:rsidRPr="00E24274">
        <w:rPr>
          <w:rFonts w:ascii="Times New Roman" w:hAnsi="Times New Roman" w:cs="Times New Roman"/>
        </w:rPr>
        <w:t>Prawo o stowarzyszeniach, który funkcjonuje jako środek nadzoru nad stowarzyszeniami od początku obowiązywania tej ustawy</w:t>
      </w:r>
      <w:r w:rsidR="00FD568C">
        <w:rPr>
          <w:rFonts w:ascii="Times New Roman" w:hAnsi="Times New Roman" w:cs="Times New Roman"/>
        </w:rPr>
        <w:t>,</w:t>
      </w:r>
      <w:r w:rsidRPr="00E24274">
        <w:rPr>
          <w:rFonts w:ascii="Times New Roman" w:hAnsi="Times New Roman" w:cs="Times New Roman"/>
        </w:rPr>
        <w:t xml:space="preserve"> tj. 1989 r.</w:t>
      </w:r>
    </w:p>
    <w:p w:rsidR="00D2655C" w:rsidRPr="00E24274" w:rsidRDefault="00D2655C" w:rsidP="00E24274">
      <w:pPr>
        <w:spacing w:before="120" w:after="0" w:line="360" w:lineRule="auto"/>
        <w:jc w:val="both"/>
        <w:rPr>
          <w:rFonts w:ascii="Times New Roman" w:hAnsi="Times New Roman"/>
          <w:b/>
          <w:sz w:val="24"/>
          <w:szCs w:val="24"/>
          <w:lang w:eastAsia="pl-PL"/>
        </w:rPr>
      </w:pPr>
      <w:r w:rsidRPr="00E24274">
        <w:rPr>
          <w:rFonts w:ascii="Times New Roman" w:hAnsi="Times New Roman"/>
          <w:b/>
          <w:sz w:val="24"/>
          <w:szCs w:val="24"/>
          <w:lang w:eastAsia="pl-PL"/>
        </w:rPr>
        <w:t xml:space="preserve">art. 96 </w:t>
      </w:r>
    </w:p>
    <w:p w:rsidR="00D2655C" w:rsidRPr="00E24274" w:rsidRDefault="00D2655C" w:rsidP="00DC207A">
      <w:pPr>
        <w:spacing w:after="0" w:line="360" w:lineRule="auto"/>
        <w:jc w:val="both"/>
        <w:rPr>
          <w:rFonts w:ascii="Times New Roman" w:hAnsi="Times New Roman"/>
          <w:sz w:val="24"/>
          <w:szCs w:val="24"/>
          <w:lang w:eastAsia="pl-PL"/>
        </w:rPr>
      </w:pPr>
      <w:r w:rsidRPr="00E24274">
        <w:rPr>
          <w:rFonts w:ascii="Times New Roman" w:hAnsi="Times New Roman"/>
          <w:sz w:val="24"/>
          <w:szCs w:val="24"/>
          <w:lang w:eastAsia="pl-PL"/>
        </w:rPr>
        <w:t xml:space="preserve">Zgodnie z art. 96 ustawy organ nadzoru może przeprowadzać kontrolę w siedzibie organizacji zbiorowego zarządzania lub jej terenowych jednostkach organizacyjnych, jeżeli wykonują one zbiorowe zarządzanie. W dotychczasowym stanie prawnym takie kontrole były prowadzone w oparciu o przepis przyznający ministrowi </w:t>
      </w:r>
      <w:r w:rsidRPr="00E24274">
        <w:rPr>
          <w:rFonts w:ascii="Times New Roman" w:hAnsi="Times New Roman"/>
          <w:sz w:val="24"/>
          <w:szCs w:val="24"/>
        </w:rPr>
        <w:t>właściwemu do spraw kultury i ochrony dziedzictwa narodowego</w:t>
      </w:r>
      <w:r w:rsidRPr="00E24274">
        <w:rPr>
          <w:rFonts w:ascii="Times New Roman" w:hAnsi="Times New Roman"/>
          <w:sz w:val="24"/>
          <w:szCs w:val="24"/>
          <w:lang w:eastAsia="pl-PL"/>
        </w:rPr>
        <w:t xml:space="preserve"> ogólną kompetencję nadzorczą nad organizacjami zbiorowego zarządzania oraz przepisy u</w:t>
      </w:r>
      <w:r w:rsidR="00DC207A">
        <w:rPr>
          <w:rFonts w:ascii="Times New Roman" w:hAnsi="Times New Roman"/>
          <w:sz w:val="24"/>
          <w:szCs w:val="24"/>
          <w:lang w:eastAsia="pl-PL"/>
        </w:rPr>
        <w:t>stawy z dnia 15 lipca 2011 r. o </w:t>
      </w:r>
      <w:r w:rsidRPr="00E24274">
        <w:rPr>
          <w:rFonts w:ascii="Times New Roman" w:hAnsi="Times New Roman"/>
          <w:sz w:val="24"/>
          <w:szCs w:val="24"/>
          <w:lang w:eastAsia="pl-PL"/>
        </w:rPr>
        <w:t>kontroli w administracji rządowej. Art. 96 ust. 2 projektowanej ustawy wyraźnie obecnie przesądza tę kwestię.</w:t>
      </w:r>
    </w:p>
    <w:p w:rsidR="00D2655C" w:rsidRPr="00E24274" w:rsidRDefault="00D2655C" w:rsidP="00DC207A">
      <w:pPr>
        <w:keepNext/>
        <w:spacing w:before="120" w:after="0" w:line="360" w:lineRule="auto"/>
        <w:jc w:val="both"/>
        <w:rPr>
          <w:rFonts w:ascii="Times New Roman" w:hAnsi="Times New Roman"/>
          <w:b/>
          <w:sz w:val="24"/>
          <w:szCs w:val="24"/>
          <w:lang w:eastAsia="pl-PL"/>
        </w:rPr>
      </w:pPr>
      <w:r w:rsidRPr="00E24274">
        <w:rPr>
          <w:rFonts w:ascii="Times New Roman" w:hAnsi="Times New Roman"/>
          <w:b/>
          <w:sz w:val="24"/>
          <w:szCs w:val="24"/>
          <w:lang w:eastAsia="pl-PL"/>
        </w:rPr>
        <w:lastRenderedPageBreak/>
        <w:t>art. 99</w:t>
      </w:r>
      <w:r w:rsidR="00C64518" w:rsidRPr="00E24274">
        <w:rPr>
          <w:rFonts w:ascii="Times New Roman" w:hAnsi="Times New Roman"/>
          <w:b/>
          <w:sz w:val="24"/>
          <w:szCs w:val="24"/>
          <w:lang w:eastAsia="pl-PL"/>
        </w:rPr>
        <w:t xml:space="preserve"> i </w:t>
      </w:r>
      <w:r w:rsidR="00FD568C">
        <w:rPr>
          <w:rFonts w:ascii="Times New Roman" w:hAnsi="Times New Roman"/>
          <w:b/>
          <w:sz w:val="24"/>
          <w:szCs w:val="24"/>
          <w:lang w:eastAsia="pl-PL"/>
        </w:rPr>
        <w:t xml:space="preserve">art. </w:t>
      </w:r>
      <w:r w:rsidR="00C64518" w:rsidRPr="00E24274">
        <w:rPr>
          <w:rFonts w:ascii="Times New Roman" w:hAnsi="Times New Roman"/>
          <w:b/>
          <w:sz w:val="24"/>
          <w:szCs w:val="24"/>
          <w:lang w:eastAsia="pl-PL"/>
        </w:rPr>
        <w:t>101</w:t>
      </w:r>
    </w:p>
    <w:p w:rsidR="00D2655C" w:rsidRPr="00E24274" w:rsidRDefault="00D2655C" w:rsidP="00DC207A">
      <w:pPr>
        <w:keepNext/>
        <w:spacing w:before="120" w:after="0" w:line="360" w:lineRule="auto"/>
        <w:jc w:val="both"/>
        <w:rPr>
          <w:rFonts w:ascii="Times New Roman" w:hAnsi="Times New Roman"/>
          <w:sz w:val="24"/>
          <w:szCs w:val="24"/>
          <w:lang w:eastAsia="pl-PL"/>
        </w:rPr>
      </w:pPr>
      <w:r w:rsidRPr="00E24274">
        <w:rPr>
          <w:rFonts w:ascii="Times New Roman" w:hAnsi="Times New Roman"/>
          <w:sz w:val="24"/>
          <w:szCs w:val="24"/>
          <w:lang w:eastAsia="pl-PL"/>
        </w:rPr>
        <w:t>1. Art. 99 ust. 1 projektowanej ustawy przewiduje zamknięty katalog sankcji, które organ nadzoru może zastosować wobec organizacji zbiorowego zarządzania oraz osób kierujących jej działalnością. Zastosowanie tych sank</w:t>
      </w:r>
      <w:r w:rsidR="00DC207A">
        <w:rPr>
          <w:rFonts w:ascii="Times New Roman" w:hAnsi="Times New Roman"/>
          <w:sz w:val="24"/>
          <w:szCs w:val="24"/>
          <w:lang w:eastAsia="pl-PL"/>
        </w:rPr>
        <w:t>cji jest jednak możliwe tylko w </w:t>
      </w:r>
      <w:r w:rsidRPr="00E24274">
        <w:rPr>
          <w:rFonts w:ascii="Times New Roman" w:hAnsi="Times New Roman"/>
          <w:sz w:val="24"/>
          <w:szCs w:val="24"/>
          <w:lang w:eastAsia="pl-PL"/>
        </w:rPr>
        <w:t>ściśle określonych, wskazanych w ustawie przypadkac</w:t>
      </w:r>
      <w:r w:rsidR="00DC207A">
        <w:rPr>
          <w:rFonts w:ascii="Times New Roman" w:hAnsi="Times New Roman"/>
          <w:sz w:val="24"/>
          <w:szCs w:val="24"/>
          <w:lang w:eastAsia="pl-PL"/>
        </w:rPr>
        <w:t>h, tj. gdy organizacja działa z </w:t>
      </w:r>
      <w:r w:rsidRPr="00E24274">
        <w:rPr>
          <w:rFonts w:ascii="Times New Roman" w:hAnsi="Times New Roman"/>
          <w:sz w:val="24"/>
          <w:szCs w:val="24"/>
          <w:lang w:eastAsia="pl-PL"/>
        </w:rPr>
        <w:t xml:space="preserve">naruszeniem </w:t>
      </w:r>
      <w:r w:rsidR="002D0799" w:rsidRPr="00E24274">
        <w:rPr>
          <w:rFonts w:ascii="Times New Roman" w:hAnsi="Times New Roman"/>
          <w:sz w:val="24"/>
          <w:szCs w:val="24"/>
          <w:lang w:eastAsia="pl-PL"/>
        </w:rPr>
        <w:t>przepisów projektowanej ustawy nakładających na nią określone obowiązki</w:t>
      </w:r>
      <w:r w:rsidRPr="00E24274">
        <w:rPr>
          <w:rFonts w:ascii="Times New Roman" w:hAnsi="Times New Roman"/>
          <w:sz w:val="24"/>
          <w:szCs w:val="24"/>
          <w:lang w:eastAsia="pl-PL"/>
        </w:rPr>
        <w:t>, statutu lub innych aktów wewnętrznych organizacji, nie wykonuje należycie zbiorowego zarządzania, nieprawidłowo wykonuje obowiązki przekazywania informacji i</w:t>
      </w:r>
      <w:r w:rsidR="00E24274">
        <w:rPr>
          <w:rFonts w:ascii="Times New Roman" w:hAnsi="Times New Roman"/>
          <w:sz w:val="24"/>
          <w:szCs w:val="24"/>
          <w:lang w:eastAsia="pl-PL"/>
        </w:rPr>
        <w:t xml:space="preserve"> </w:t>
      </w:r>
      <w:r w:rsidRPr="00E24274">
        <w:rPr>
          <w:rFonts w:ascii="Times New Roman" w:hAnsi="Times New Roman"/>
          <w:sz w:val="24"/>
          <w:szCs w:val="24"/>
          <w:lang w:eastAsia="pl-PL"/>
        </w:rPr>
        <w:t>dokumentów, o których mowa w art. 94 pkt 1 i 2 ustawy, utrudnia albo uniemożliwia przeprowadzenie kontroli, o której mowa w art. 96 ustawy lub nie wykonuje wydanych w jej wyniku zaleceń pokon</w:t>
      </w:r>
      <w:r w:rsidR="00DC207A">
        <w:rPr>
          <w:rFonts w:ascii="Times New Roman" w:hAnsi="Times New Roman"/>
          <w:sz w:val="24"/>
          <w:szCs w:val="24"/>
          <w:lang w:eastAsia="pl-PL"/>
        </w:rPr>
        <w:t>trolnych lub też nie wykonała w </w:t>
      </w:r>
      <w:r w:rsidRPr="00E24274">
        <w:rPr>
          <w:rFonts w:ascii="Times New Roman" w:hAnsi="Times New Roman"/>
          <w:sz w:val="24"/>
          <w:szCs w:val="24"/>
          <w:lang w:eastAsia="pl-PL"/>
        </w:rPr>
        <w:t>wyznaczonym terminie nakazu opracowania i wykonania w oznaczonym terminie planu podziału i wypłaty uprawnionym pobranych p</w:t>
      </w:r>
      <w:r w:rsidR="00DC207A">
        <w:rPr>
          <w:rFonts w:ascii="Times New Roman" w:hAnsi="Times New Roman"/>
          <w:sz w:val="24"/>
          <w:szCs w:val="24"/>
          <w:lang w:eastAsia="pl-PL"/>
        </w:rPr>
        <w:t>rzez nią przychodów z praw, tj. </w:t>
      </w:r>
      <w:r w:rsidRPr="00E24274">
        <w:rPr>
          <w:rFonts w:ascii="Times New Roman" w:hAnsi="Times New Roman"/>
          <w:sz w:val="24"/>
          <w:szCs w:val="24"/>
          <w:lang w:eastAsia="pl-PL"/>
        </w:rPr>
        <w:t xml:space="preserve">nakazu o którym mowa w art. 97 ustawy. Koniecznym warunkiem zastosowania sankcji – podobnie jak w aktualnie obowiązującym stanie prawnym (art. 104 ust. </w:t>
      </w:r>
      <w:r w:rsidR="00DC207A">
        <w:rPr>
          <w:rFonts w:ascii="Times New Roman" w:hAnsi="Times New Roman"/>
          <w:sz w:val="24"/>
          <w:szCs w:val="24"/>
          <w:lang w:eastAsia="pl-PL"/>
        </w:rPr>
        <w:t>4 pr. </w:t>
      </w:r>
      <w:r w:rsidRPr="00E24274">
        <w:rPr>
          <w:rFonts w:ascii="Times New Roman" w:hAnsi="Times New Roman"/>
          <w:sz w:val="24"/>
          <w:szCs w:val="24"/>
          <w:lang w:eastAsia="pl-PL"/>
        </w:rPr>
        <w:t>aut.) – jest uprzednie bezskuteczne wezwanie orga</w:t>
      </w:r>
      <w:r w:rsidR="00DC207A">
        <w:rPr>
          <w:rFonts w:ascii="Times New Roman" w:hAnsi="Times New Roman"/>
          <w:sz w:val="24"/>
          <w:szCs w:val="24"/>
          <w:lang w:eastAsia="pl-PL"/>
        </w:rPr>
        <w:t>nizacji do usunięcia uchybień w </w:t>
      </w:r>
      <w:r w:rsidRPr="00E24274">
        <w:rPr>
          <w:rFonts w:ascii="Times New Roman" w:hAnsi="Times New Roman"/>
          <w:sz w:val="24"/>
          <w:szCs w:val="24"/>
          <w:lang w:eastAsia="pl-PL"/>
        </w:rPr>
        <w:t>wyznaczonym terminie.</w:t>
      </w:r>
    </w:p>
    <w:p w:rsidR="00D2655C" w:rsidRPr="00E24274" w:rsidRDefault="00D2655C" w:rsidP="00E24274">
      <w:pPr>
        <w:spacing w:before="120" w:after="0" w:line="360" w:lineRule="auto"/>
        <w:jc w:val="both"/>
        <w:rPr>
          <w:rFonts w:ascii="Times New Roman" w:hAnsi="Times New Roman"/>
          <w:sz w:val="24"/>
          <w:szCs w:val="24"/>
          <w:lang w:eastAsia="pl-PL"/>
        </w:rPr>
      </w:pPr>
      <w:r w:rsidRPr="00E24274">
        <w:rPr>
          <w:rFonts w:ascii="Times New Roman" w:hAnsi="Times New Roman"/>
          <w:sz w:val="24"/>
          <w:szCs w:val="24"/>
          <w:lang w:eastAsia="pl-PL"/>
        </w:rPr>
        <w:t>2. Sankcje określone w ust. 1 pkt 1</w:t>
      </w:r>
      <w:r w:rsidR="00FD568C">
        <w:rPr>
          <w:rFonts w:ascii="Times New Roman" w:hAnsi="Times New Roman"/>
          <w:sz w:val="24"/>
          <w:szCs w:val="24"/>
          <w:lang w:eastAsia="pl-PL"/>
        </w:rPr>
        <w:t xml:space="preserve"> i </w:t>
      </w:r>
      <w:r w:rsidRPr="00E24274">
        <w:rPr>
          <w:rFonts w:ascii="Times New Roman" w:hAnsi="Times New Roman"/>
          <w:sz w:val="24"/>
          <w:szCs w:val="24"/>
          <w:lang w:eastAsia="pl-PL"/>
        </w:rPr>
        <w:t>2 projektowanej</w:t>
      </w:r>
      <w:r w:rsidR="00DC207A">
        <w:rPr>
          <w:rFonts w:ascii="Times New Roman" w:hAnsi="Times New Roman"/>
          <w:sz w:val="24"/>
          <w:szCs w:val="24"/>
          <w:lang w:eastAsia="pl-PL"/>
        </w:rPr>
        <w:t xml:space="preserve"> ustawy są nowym rozwiązaniem w </w:t>
      </w:r>
      <w:r w:rsidRPr="00E24274">
        <w:rPr>
          <w:rFonts w:ascii="Times New Roman" w:hAnsi="Times New Roman"/>
          <w:sz w:val="24"/>
          <w:szCs w:val="24"/>
          <w:lang w:eastAsia="pl-PL"/>
        </w:rPr>
        <w:t>stosunku do obowiązującego stanu prawnego. Dotyczą nieprawidłowo</w:t>
      </w:r>
      <w:r w:rsidR="00DC207A">
        <w:rPr>
          <w:rFonts w:ascii="Times New Roman" w:hAnsi="Times New Roman"/>
          <w:sz w:val="24"/>
          <w:szCs w:val="24"/>
          <w:lang w:eastAsia="pl-PL"/>
        </w:rPr>
        <w:t>ści w </w:t>
      </w:r>
      <w:r w:rsidRPr="00E24274">
        <w:rPr>
          <w:rFonts w:ascii="Times New Roman" w:hAnsi="Times New Roman"/>
          <w:sz w:val="24"/>
          <w:szCs w:val="24"/>
          <w:lang w:eastAsia="pl-PL"/>
        </w:rPr>
        <w:t xml:space="preserve">działalności organizacji zbiorowego zarządzania, za które odpowiedzialność ponosi ograniczona liczba osób, możliwych do zidentyfikowania. W takich przypadkach organ nadzoru móc będzie mógł wystąpić do organizacji z wnioskiem o odwołanie członka zarządu lub komisji rewizyjnej odpowiedzialnego za stwierdzone nieprawidłowości, aczkolwiek do samodzielnej decyzji samej organizacji będzie należało, czy zastosuje się do tego wystąpienia. Istotnym nowym rodzajem sankcji jest też możliwość nałożenia na tę osobę kary pieniężnej. Przewiduje się górny pułap tej kary w wysokości trzykrotności przeciętnego miesięcznego wynagrodzenia w sektorze przedsiębiorstw w kwartale poprzedzającym wydanie decyzji nakładającej karę, włącznie z wypłatami z zysku, ogłaszanego w </w:t>
      </w:r>
      <w:r w:rsidRPr="00E24274">
        <w:rPr>
          <w:rFonts w:ascii="Times New Roman" w:hAnsi="Times New Roman"/>
          <w:sz w:val="24"/>
          <w:szCs w:val="24"/>
        </w:rPr>
        <w:t xml:space="preserve">Komunikacie Prezesa Głównego Urzędu Statystycznego. </w:t>
      </w:r>
      <w:r w:rsidRPr="00E24274">
        <w:rPr>
          <w:rFonts w:ascii="Times New Roman" w:hAnsi="Times New Roman"/>
          <w:sz w:val="24"/>
          <w:szCs w:val="24"/>
          <w:lang w:eastAsia="pl-PL"/>
        </w:rPr>
        <w:t xml:space="preserve">Odwołanie do wysokości przeciętnego miesięcznego wynagrodzenia, a więc do wskaźnika obiektywnego i publicznie dostępnego, zamiast np. przeciętnego miesięcznego wynagrodzenia osoby, wobec której kara pieniężna zostanie zastosowana, ma na celu uniknięcie konieczności uzyskiwania przez organ nadzoru danych o charakterze </w:t>
      </w:r>
      <w:r w:rsidRPr="00E24274">
        <w:rPr>
          <w:rFonts w:ascii="Times New Roman" w:hAnsi="Times New Roman"/>
          <w:sz w:val="24"/>
          <w:szCs w:val="24"/>
          <w:lang w:eastAsia="pl-PL"/>
        </w:rPr>
        <w:lastRenderedPageBreak/>
        <w:t>wrażliwym, jakimi bez wątpienia są dane o wysokoś</w:t>
      </w:r>
      <w:r w:rsidR="00DC207A">
        <w:rPr>
          <w:rFonts w:ascii="Times New Roman" w:hAnsi="Times New Roman"/>
          <w:sz w:val="24"/>
          <w:szCs w:val="24"/>
          <w:lang w:eastAsia="pl-PL"/>
        </w:rPr>
        <w:t>ci indywidualnych wynagrodzeń w </w:t>
      </w:r>
      <w:r w:rsidRPr="00E24274">
        <w:rPr>
          <w:rFonts w:ascii="Times New Roman" w:hAnsi="Times New Roman"/>
          <w:sz w:val="24"/>
          <w:szCs w:val="24"/>
          <w:lang w:eastAsia="pl-PL"/>
        </w:rPr>
        <w:t xml:space="preserve">podmiotach prawa prywatnego, jakimi są organizacje zbiorowego zarządzania. Negatywną stroną takiego rozwiązania jest brak bezpośredniego powiązania kary pieniężnej z sytuacją majątkową osoby karanej, wydaje się jednak, że z uwagi na dość wąski zakres podmiotowy stosowania tych przepisów oraz specyfikę działalności organizacji zbiorowego zarządzania proponowane rozwiązanie zasługuje na akceptację. </w:t>
      </w:r>
    </w:p>
    <w:p w:rsidR="00D2655C" w:rsidRPr="00E24274" w:rsidRDefault="00D2655C" w:rsidP="00E24274">
      <w:pPr>
        <w:spacing w:before="120" w:after="0" w:line="360" w:lineRule="auto"/>
        <w:jc w:val="both"/>
        <w:rPr>
          <w:rFonts w:ascii="Times New Roman" w:hAnsi="Times New Roman"/>
          <w:sz w:val="24"/>
          <w:szCs w:val="24"/>
          <w:lang w:eastAsia="pl-PL"/>
        </w:rPr>
      </w:pPr>
      <w:r w:rsidRPr="00E24274">
        <w:rPr>
          <w:rFonts w:ascii="Times New Roman" w:hAnsi="Times New Roman"/>
          <w:sz w:val="24"/>
          <w:szCs w:val="24"/>
          <w:lang w:eastAsia="pl-PL"/>
        </w:rPr>
        <w:t>3. Kolejne sankcje przewidziane w ust. 1 pkt 3</w:t>
      </w:r>
      <w:r w:rsidR="00B85D46">
        <w:rPr>
          <w:rFonts w:ascii="Times New Roman" w:hAnsi="Times New Roman"/>
          <w:sz w:val="24"/>
          <w:szCs w:val="24"/>
          <w:lang w:eastAsia="pl-PL"/>
        </w:rPr>
        <w:t>–</w:t>
      </w:r>
      <w:r w:rsidRPr="00E24274">
        <w:rPr>
          <w:rFonts w:ascii="Times New Roman" w:hAnsi="Times New Roman"/>
          <w:sz w:val="24"/>
          <w:szCs w:val="24"/>
          <w:lang w:eastAsia="pl-PL"/>
        </w:rPr>
        <w:t>5 są oderwane od działalności konkretnych osób w organizacji zbiorowego zarządzania, gdyż przedmiotem oceny organu nadzoru jest w tych przypadkach działalność danej organizacji jako całości. Sankcja jest zatem kierowana nie pod adresem konkretnej osoby, a całej organizacji. Utrzymana została, występująca w obowiązującym stanie prawnym, sankcja cofnięcia zezwolenia na zbiorowe zarządzanie – w całości lub w części. Nowym rozwiązaniem jest natomiast możliwość nakładana na organizację k</w:t>
      </w:r>
      <w:r w:rsidR="00DC207A">
        <w:rPr>
          <w:rFonts w:ascii="Times New Roman" w:hAnsi="Times New Roman"/>
          <w:sz w:val="24"/>
          <w:szCs w:val="24"/>
          <w:lang w:eastAsia="pl-PL"/>
        </w:rPr>
        <w:t>ary pieniężnej w wysokości do 1 </w:t>
      </w:r>
      <w:r w:rsidRPr="00E24274">
        <w:rPr>
          <w:rFonts w:ascii="Times New Roman" w:hAnsi="Times New Roman"/>
          <w:sz w:val="24"/>
          <w:szCs w:val="24"/>
          <w:lang w:eastAsia="pl-PL"/>
        </w:rPr>
        <w:t>mln zł. Zgodnie z ust. 2</w:t>
      </w:r>
      <w:r w:rsidR="00FD568C">
        <w:rPr>
          <w:rFonts w:ascii="Times New Roman" w:hAnsi="Times New Roman"/>
          <w:sz w:val="24"/>
          <w:szCs w:val="24"/>
          <w:lang w:eastAsia="pl-PL"/>
        </w:rPr>
        <w:t>,</w:t>
      </w:r>
      <w:r w:rsidRPr="00E24274">
        <w:rPr>
          <w:rFonts w:ascii="Times New Roman" w:hAnsi="Times New Roman"/>
          <w:sz w:val="24"/>
          <w:szCs w:val="24"/>
          <w:lang w:eastAsia="pl-PL"/>
        </w:rPr>
        <w:t xml:space="preserve"> nakładając tę karę, organ uwzględnia także sytuację finansową organizacji zbiorowego zarządzania. Podobnie zatem jak w przypadku kary nakładanej na osobę kierującą działalnością organizacji konstrukcja przepisu pozwala na uwzględnienie okoliczności miarkujących wys</w:t>
      </w:r>
      <w:r w:rsidR="00DC207A">
        <w:rPr>
          <w:rFonts w:ascii="Times New Roman" w:hAnsi="Times New Roman"/>
          <w:sz w:val="24"/>
          <w:szCs w:val="24"/>
          <w:lang w:eastAsia="pl-PL"/>
        </w:rPr>
        <w:t>okość kary, które są wskazane w </w:t>
      </w:r>
      <w:r w:rsidRPr="00E24274">
        <w:rPr>
          <w:rFonts w:ascii="Times New Roman" w:hAnsi="Times New Roman"/>
          <w:sz w:val="24"/>
          <w:szCs w:val="24"/>
          <w:lang w:eastAsia="pl-PL"/>
        </w:rPr>
        <w:t xml:space="preserve">przepisach działu IVa </w:t>
      </w:r>
      <w:r w:rsidRPr="00E24274">
        <w:rPr>
          <w:rFonts w:ascii="Times New Roman" w:hAnsi="Times New Roman"/>
          <w:sz w:val="24"/>
          <w:szCs w:val="24"/>
        </w:rPr>
        <w:t>Kodeks</w:t>
      </w:r>
      <w:r w:rsidR="00C64518" w:rsidRPr="00E24274">
        <w:rPr>
          <w:rFonts w:ascii="Times New Roman" w:hAnsi="Times New Roman"/>
          <w:sz w:val="24"/>
          <w:szCs w:val="24"/>
        </w:rPr>
        <w:t>u</w:t>
      </w:r>
      <w:r w:rsidRPr="00E24274">
        <w:rPr>
          <w:rFonts w:ascii="Times New Roman" w:hAnsi="Times New Roman"/>
          <w:sz w:val="24"/>
          <w:szCs w:val="24"/>
        </w:rPr>
        <w:t xml:space="preserve"> postępowania administracyjnego</w:t>
      </w:r>
      <w:r w:rsidRPr="00E24274">
        <w:rPr>
          <w:rFonts w:ascii="Times New Roman" w:hAnsi="Times New Roman"/>
          <w:sz w:val="24"/>
          <w:szCs w:val="24"/>
          <w:lang w:eastAsia="pl-PL"/>
        </w:rPr>
        <w:t xml:space="preserve">. Zgodnie z ust. 6 kara ta nie może być zapłacona z przychodów z praw podlegających podziałowi lub podzielonych między uprawnionych. Oznacza to, że organizacja będzie musiała uiścić ją z tzw. majątku własnego, tj. majątku powstałego z innych źródeł </w:t>
      </w:r>
      <w:r w:rsidR="00DC207A">
        <w:rPr>
          <w:rFonts w:ascii="Times New Roman" w:hAnsi="Times New Roman"/>
          <w:sz w:val="24"/>
          <w:szCs w:val="24"/>
          <w:lang w:eastAsia="pl-PL"/>
        </w:rPr>
        <w:t>niż przychody z </w:t>
      </w:r>
      <w:r w:rsidRPr="00E24274">
        <w:rPr>
          <w:rFonts w:ascii="Times New Roman" w:hAnsi="Times New Roman"/>
          <w:sz w:val="24"/>
          <w:szCs w:val="24"/>
          <w:lang w:eastAsia="pl-PL"/>
        </w:rPr>
        <w:t>praw, np. składek członkowskich czy przychodów z zarządzania majątkiem własnym organizacji.</w:t>
      </w:r>
    </w:p>
    <w:p w:rsidR="00D2655C" w:rsidRPr="00E24274" w:rsidRDefault="00D2655C" w:rsidP="00E24274">
      <w:pPr>
        <w:spacing w:before="120" w:after="0" w:line="360" w:lineRule="auto"/>
        <w:jc w:val="both"/>
        <w:rPr>
          <w:rFonts w:ascii="Times New Roman" w:hAnsi="Times New Roman"/>
          <w:sz w:val="24"/>
          <w:szCs w:val="24"/>
          <w:lang w:eastAsia="pl-PL"/>
        </w:rPr>
      </w:pPr>
      <w:r w:rsidRPr="00E24274">
        <w:rPr>
          <w:rFonts w:ascii="Times New Roman" w:hAnsi="Times New Roman"/>
          <w:sz w:val="24"/>
          <w:szCs w:val="24"/>
          <w:lang w:eastAsia="pl-PL"/>
        </w:rPr>
        <w:t>4. Zgodnie z ust. 5 projektowanej ustawy zarówno decyzja o nałożeniu kary pieniężnej na osobę kierując</w:t>
      </w:r>
      <w:r w:rsidR="00FD568C">
        <w:rPr>
          <w:rFonts w:ascii="Times New Roman" w:hAnsi="Times New Roman"/>
          <w:sz w:val="24"/>
          <w:szCs w:val="24"/>
          <w:lang w:eastAsia="pl-PL"/>
        </w:rPr>
        <w:t>ą</w:t>
      </w:r>
      <w:r w:rsidRPr="00E24274">
        <w:rPr>
          <w:rFonts w:ascii="Times New Roman" w:hAnsi="Times New Roman"/>
          <w:sz w:val="24"/>
          <w:szCs w:val="24"/>
          <w:lang w:eastAsia="pl-PL"/>
        </w:rPr>
        <w:t xml:space="preserve"> działalnością organizacji, jak i na samą organizację powinna wskazywać termin i sposób zapłaty należności. Projektowana ustawa wyraźnie rozstrzyga, że wszystkie instrumenty sankcyjne, o których mowa w ust. 1 pkt 1</w:t>
      </w:r>
      <w:r w:rsidR="00B85D46">
        <w:rPr>
          <w:rFonts w:ascii="Times New Roman" w:hAnsi="Times New Roman"/>
          <w:sz w:val="24"/>
          <w:szCs w:val="24"/>
          <w:lang w:eastAsia="pl-PL"/>
        </w:rPr>
        <w:t>–</w:t>
      </w:r>
      <w:r w:rsidRPr="00E24274">
        <w:rPr>
          <w:rFonts w:ascii="Times New Roman" w:hAnsi="Times New Roman"/>
          <w:sz w:val="24"/>
          <w:szCs w:val="24"/>
          <w:lang w:eastAsia="pl-PL"/>
        </w:rPr>
        <w:t xml:space="preserve">4, mogą być stosowane łącznie, przy czym kary pieniężne także wielokrotnie w przypadku, gdy uchybienie nie zostało usunięte pomimo nałożenia tych kar. Ich podstawowym celem jest bowiem wyeliminowanie nieprawidłowości w wykonywaniu zbiorowego zarządzania, których skutki obciążają najczęściej uprawnionych i użytkowników. Łączeniu z innymi nie podlega jedynie sankcja cofnięcia w całości zezwolenia na zbiorowe zarządzanie (ust. 1 pkt 5), gdyż w jej wyniku organizacja traci status </w:t>
      </w:r>
      <w:r w:rsidRPr="00E24274">
        <w:rPr>
          <w:rFonts w:ascii="Times New Roman" w:hAnsi="Times New Roman"/>
          <w:sz w:val="24"/>
          <w:szCs w:val="24"/>
          <w:lang w:eastAsia="pl-PL"/>
        </w:rPr>
        <w:lastRenderedPageBreak/>
        <w:t>organizacji zbiorowego zarządzania i tym samym nie może być adresatem pozostałych sankcji.</w:t>
      </w:r>
      <w:r w:rsidR="00E24274">
        <w:rPr>
          <w:rFonts w:ascii="Times New Roman" w:hAnsi="Times New Roman"/>
          <w:sz w:val="24"/>
          <w:szCs w:val="24"/>
          <w:lang w:eastAsia="pl-PL"/>
        </w:rPr>
        <w:t xml:space="preserve"> </w:t>
      </w:r>
    </w:p>
    <w:p w:rsidR="00D2655C" w:rsidRPr="00E24274" w:rsidRDefault="00D2655C" w:rsidP="00E24274">
      <w:pPr>
        <w:pStyle w:val="ARTartustawynprozporzdzenia"/>
        <w:ind w:firstLine="0"/>
        <w:rPr>
          <w:rFonts w:ascii="Times New Roman" w:hAnsi="Times New Roman" w:cs="Times New Roman"/>
        </w:rPr>
      </w:pPr>
      <w:r w:rsidRPr="00E24274">
        <w:rPr>
          <w:rFonts w:ascii="Times New Roman" w:hAnsi="Times New Roman" w:cs="Times New Roman"/>
        </w:rPr>
        <w:t>5. Zgodnie z ust. 4 zastosowanie wszystkich instrumentów sankcyjnych, oprócz wniosku o odwołanie członka zarządu lub komisji rewizyjnej, następuje w drodze decyzji administracyjnej. Zgodnie z art. 101</w:t>
      </w:r>
      <w:r w:rsidR="00C64518" w:rsidRPr="00E24274">
        <w:rPr>
          <w:rFonts w:ascii="Times New Roman" w:hAnsi="Times New Roman" w:cs="Times New Roman"/>
        </w:rPr>
        <w:t xml:space="preserve"> </w:t>
      </w:r>
      <w:r w:rsidRPr="00E24274">
        <w:rPr>
          <w:rFonts w:ascii="Times New Roman" w:hAnsi="Times New Roman" w:cs="Times New Roman"/>
        </w:rPr>
        <w:t>do decyzji tych stosuje się przepisy Kodeks</w:t>
      </w:r>
      <w:r w:rsidR="00C64518" w:rsidRPr="00E24274">
        <w:rPr>
          <w:rFonts w:ascii="Times New Roman" w:hAnsi="Times New Roman" w:cs="Times New Roman"/>
        </w:rPr>
        <w:t>u</w:t>
      </w:r>
      <w:r w:rsidRPr="00E24274">
        <w:rPr>
          <w:rFonts w:ascii="Times New Roman" w:hAnsi="Times New Roman" w:cs="Times New Roman"/>
        </w:rPr>
        <w:t xml:space="preserve"> postępowania administracyjnego, w tym działu IVa z wyłączeniem art. 189k</w:t>
      </w:r>
      <w:r w:rsidRPr="00E24274">
        <w:rPr>
          <w:rStyle w:val="Odwoaniedokomentarza"/>
          <w:rFonts w:ascii="Times New Roman" w:eastAsia="Times New Roman" w:hAnsi="Times New Roman"/>
          <w:sz w:val="24"/>
          <w:szCs w:val="24"/>
        </w:rPr>
        <w:t>.</w:t>
      </w:r>
      <w:r w:rsidR="00C64518" w:rsidRPr="00E24274">
        <w:rPr>
          <w:rStyle w:val="Odwoaniedokomentarza"/>
          <w:rFonts w:ascii="Times New Roman" w:eastAsia="Times New Roman" w:hAnsi="Times New Roman"/>
          <w:sz w:val="24"/>
          <w:szCs w:val="24"/>
        </w:rPr>
        <w:t xml:space="preserve"> </w:t>
      </w:r>
      <w:r w:rsidRPr="00E24274">
        <w:rPr>
          <w:rStyle w:val="Odwoaniedokomentarza"/>
          <w:rFonts w:ascii="Times New Roman" w:eastAsia="Times New Roman" w:hAnsi="Times New Roman"/>
          <w:sz w:val="24"/>
          <w:szCs w:val="24"/>
        </w:rPr>
        <w:t>Wydaje się, że przepis ten rozstrzyga ostatecznie wszelkie zgłaszane w toku konsultacji publicznych projektu wątpliwości, czy przedmiotowe decyzje są zaskarżalne do s</w:t>
      </w:r>
      <w:r w:rsidR="00FD568C">
        <w:rPr>
          <w:rStyle w:val="Odwoaniedokomentarza"/>
          <w:rFonts w:ascii="Times New Roman" w:eastAsia="Times New Roman" w:hAnsi="Times New Roman"/>
          <w:sz w:val="24"/>
          <w:szCs w:val="24"/>
        </w:rPr>
        <w:t>ą</w:t>
      </w:r>
      <w:r w:rsidRPr="00E24274">
        <w:rPr>
          <w:rStyle w:val="Odwoaniedokomentarza"/>
          <w:rFonts w:ascii="Times New Roman" w:eastAsia="Times New Roman" w:hAnsi="Times New Roman"/>
          <w:sz w:val="24"/>
          <w:szCs w:val="24"/>
        </w:rPr>
        <w:t>du administracyjnego, a zatem</w:t>
      </w:r>
      <w:r w:rsidR="0097443B">
        <w:rPr>
          <w:rStyle w:val="Odwoaniedokomentarza"/>
          <w:rFonts w:ascii="Times New Roman" w:eastAsia="Times New Roman" w:hAnsi="Times New Roman"/>
          <w:sz w:val="24"/>
          <w:szCs w:val="24"/>
        </w:rPr>
        <w:t>,</w:t>
      </w:r>
      <w:r w:rsidRPr="00E24274">
        <w:rPr>
          <w:rStyle w:val="Odwoaniedokomentarza"/>
          <w:rFonts w:ascii="Times New Roman" w:eastAsia="Times New Roman" w:hAnsi="Times New Roman"/>
          <w:sz w:val="24"/>
          <w:szCs w:val="24"/>
        </w:rPr>
        <w:t xml:space="preserve"> czy środki sanacyjne stosowane przez organ nadzoru podlegają jakiejkolwiek kontroli sądowej. </w:t>
      </w:r>
    </w:p>
    <w:p w:rsidR="00D2655C" w:rsidRPr="00E24274" w:rsidRDefault="00D2655C" w:rsidP="00E24274">
      <w:pPr>
        <w:spacing w:before="120" w:after="0" w:line="360" w:lineRule="auto"/>
        <w:jc w:val="both"/>
        <w:rPr>
          <w:rFonts w:ascii="Times New Roman" w:hAnsi="Times New Roman"/>
          <w:sz w:val="24"/>
          <w:szCs w:val="24"/>
          <w:lang w:eastAsia="pl-PL"/>
        </w:rPr>
      </w:pPr>
      <w:r w:rsidRPr="00E24274">
        <w:rPr>
          <w:rFonts w:ascii="Times New Roman" w:hAnsi="Times New Roman"/>
          <w:sz w:val="24"/>
          <w:szCs w:val="24"/>
          <w:lang w:eastAsia="pl-PL"/>
        </w:rPr>
        <w:t xml:space="preserve">6. Stosownie do ust. 7 projektowanej ustawy ostateczna decyzja o cofnięciu zezwolenia na zbiorowe zarządzanie będzie niezwłocznie ogłaszana w </w:t>
      </w:r>
      <w:r w:rsidRPr="00E24274">
        <w:rPr>
          <w:rFonts w:ascii="Times New Roman" w:hAnsi="Times New Roman"/>
          <w:sz w:val="24"/>
          <w:szCs w:val="24"/>
        </w:rPr>
        <w:t>Biuletynie Informacji Publicznej na stronie podmiotowej ministra właściwego do spraw kultury i ochrony dziedzictwa narodowego.</w:t>
      </w:r>
    </w:p>
    <w:p w:rsidR="00D2655C" w:rsidRDefault="00D2655C" w:rsidP="00E24274">
      <w:pPr>
        <w:spacing w:before="120" w:after="0" w:line="360" w:lineRule="auto"/>
        <w:jc w:val="both"/>
        <w:rPr>
          <w:rFonts w:ascii="Times New Roman" w:hAnsi="Times New Roman"/>
          <w:b/>
          <w:sz w:val="24"/>
          <w:szCs w:val="24"/>
          <w:lang w:eastAsia="pl-PL"/>
        </w:rPr>
      </w:pPr>
      <w:r w:rsidRPr="00E24274">
        <w:rPr>
          <w:rFonts w:ascii="Times New Roman" w:hAnsi="Times New Roman"/>
          <w:b/>
          <w:sz w:val="24"/>
          <w:szCs w:val="24"/>
          <w:lang w:eastAsia="pl-PL"/>
        </w:rPr>
        <w:t>art. 100</w:t>
      </w:r>
    </w:p>
    <w:p w:rsidR="00DC207A" w:rsidRDefault="00DC207A" w:rsidP="00DC207A">
      <w:pPr>
        <w:spacing w:after="0" w:line="360" w:lineRule="auto"/>
        <w:jc w:val="both"/>
        <w:rPr>
          <w:rFonts w:ascii="Times New Roman" w:hAnsi="Times New Roman"/>
          <w:sz w:val="24"/>
          <w:szCs w:val="24"/>
          <w:lang w:eastAsia="pl-PL"/>
        </w:rPr>
      </w:pPr>
      <w:r w:rsidRPr="00DC207A">
        <w:rPr>
          <w:rFonts w:ascii="Times New Roman" w:hAnsi="Times New Roman"/>
          <w:sz w:val="24"/>
          <w:szCs w:val="24"/>
          <w:lang w:eastAsia="pl-PL"/>
        </w:rPr>
        <w:t>Art. 100 projektowanej ustawy określa tryb egzekucji i przeznaczenie należności z kar pieniężnych nakładanych na podstawie art. 99 ust. 1 pkt 2–3 projektu. Będą one podlegały egzekucji w trybie przepisów ustawy z dnia 17 czerwca 1966 r.</w:t>
      </w:r>
      <w:r>
        <w:rPr>
          <w:rFonts w:ascii="Times New Roman" w:hAnsi="Times New Roman"/>
          <w:sz w:val="24"/>
          <w:szCs w:val="24"/>
          <w:lang w:eastAsia="pl-PL"/>
        </w:rPr>
        <w:t xml:space="preserve"> o </w:t>
      </w:r>
      <w:r w:rsidRPr="00DC207A">
        <w:rPr>
          <w:rFonts w:ascii="Times New Roman" w:hAnsi="Times New Roman"/>
          <w:sz w:val="24"/>
          <w:szCs w:val="24"/>
          <w:lang w:eastAsia="pl-PL"/>
        </w:rPr>
        <w:t xml:space="preserve">postępowaniu egzekucyjnym w administracji, a wpływy z nich mają stanowić przychód Funduszu Promocji Kultury, o którym mowa w art. 87 </w:t>
      </w:r>
      <w:r>
        <w:rPr>
          <w:rFonts w:ascii="Times New Roman" w:hAnsi="Times New Roman"/>
          <w:sz w:val="24"/>
          <w:szCs w:val="24"/>
          <w:lang w:eastAsia="pl-PL"/>
        </w:rPr>
        <w:t>ustawy z dnia 19 </w:t>
      </w:r>
      <w:r w:rsidRPr="00DC207A">
        <w:rPr>
          <w:rFonts w:ascii="Times New Roman" w:hAnsi="Times New Roman"/>
          <w:sz w:val="24"/>
          <w:szCs w:val="24"/>
          <w:lang w:eastAsia="pl-PL"/>
        </w:rPr>
        <w:t>listopada 2009 r. o grach hazardowych. Celem projektowanych kar pieniężnych jest eliminowanie nieprawidłowości w wykonywaniu zbiorowego zarządzania, które prowadzą do pomniejszenia lub opóźnienia wypłat przychodów z praw dla uprawnionych bądź zakłócają skuteczne i zgodne z prawem funkcjonowanie systemu zbiorowego zarządzania prawami autorskimi lub prawami pokrewnymi, utrudniając prowadzenie szeroko rozumianej działalności kulturalnej lub zapewnienie zaangażowanym w tę działalność podmiotom należnego wynagrodzenia. Uzasadnione jest więc przeznaczenie wpływów z tych kar na Fundusz Promocji Kultury, który powołany jest i wykorzystywany na stwarzanie warunków dla prowadzenie działalności kulturalnej w różnych jej wymiarach.</w:t>
      </w:r>
    </w:p>
    <w:p w:rsidR="0097443B" w:rsidRDefault="0097443B" w:rsidP="00DC207A">
      <w:pPr>
        <w:spacing w:after="0" w:line="360" w:lineRule="auto"/>
        <w:jc w:val="both"/>
        <w:rPr>
          <w:rFonts w:ascii="Times New Roman" w:hAnsi="Times New Roman"/>
          <w:sz w:val="24"/>
          <w:szCs w:val="24"/>
          <w:lang w:eastAsia="pl-PL"/>
        </w:rPr>
      </w:pPr>
    </w:p>
    <w:p w:rsidR="0097443B" w:rsidRPr="00DC207A" w:rsidRDefault="0097443B" w:rsidP="00DC207A">
      <w:pPr>
        <w:spacing w:after="0" w:line="360" w:lineRule="auto"/>
        <w:jc w:val="both"/>
        <w:rPr>
          <w:rFonts w:ascii="Times New Roman" w:hAnsi="Times New Roman"/>
          <w:sz w:val="24"/>
          <w:szCs w:val="24"/>
          <w:lang w:eastAsia="pl-PL"/>
        </w:rPr>
      </w:pPr>
    </w:p>
    <w:p w:rsidR="00D2655C" w:rsidRPr="00E24274" w:rsidRDefault="00D2655C" w:rsidP="00E24274">
      <w:pPr>
        <w:spacing w:before="120" w:after="0" w:line="360" w:lineRule="auto"/>
        <w:jc w:val="both"/>
        <w:rPr>
          <w:rFonts w:ascii="Times New Roman" w:hAnsi="Times New Roman"/>
          <w:b/>
          <w:sz w:val="24"/>
          <w:szCs w:val="24"/>
          <w:lang w:eastAsia="pl-PL"/>
        </w:rPr>
      </w:pPr>
      <w:r w:rsidRPr="00E24274">
        <w:rPr>
          <w:rFonts w:ascii="Times New Roman" w:hAnsi="Times New Roman"/>
          <w:b/>
          <w:sz w:val="24"/>
          <w:szCs w:val="24"/>
          <w:lang w:eastAsia="pl-PL"/>
        </w:rPr>
        <w:lastRenderedPageBreak/>
        <w:t>art. 102</w:t>
      </w:r>
    </w:p>
    <w:p w:rsidR="00D2655C" w:rsidRPr="00E24274" w:rsidRDefault="00D2655C" w:rsidP="00DC207A">
      <w:pPr>
        <w:spacing w:after="0" w:line="360" w:lineRule="auto"/>
        <w:jc w:val="both"/>
        <w:rPr>
          <w:rFonts w:ascii="Times New Roman" w:hAnsi="Times New Roman"/>
          <w:sz w:val="24"/>
          <w:szCs w:val="24"/>
          <w:lang w:eastAsia="pl-PL"/>
        </w:rPr>
      </w:pPr>
      <w:r w:rsidRPr="00E24274">
        <w:rPr>
          <w:rFonts w:ascii="Times New Roman" w:hAnsi="Times New Roman"/>
          <w:sz w:val="24"/>
          <w:szCs w:val="24"/>
          <w:lang w:eastAsia="pl-PL"/>
        </w:rPr>
        <w:t>Art. 102 projektowanej ustawy stanowi implementację art. 36 ust. 2 dyrektywy CRM, który nakazuje wprowadzić procedury umożliwiające wszystkim zainteresowanym,</w:t>
      </w:r>
      <w:r w:rsidR="00E24274">
        <w:rPr>
          <w:rFonts w:ascii="Times New Roman" w:hAnsi="Times New Roman"/>
          <w:sz w:val="24"/>
          <w:szCs w:val="24"/>
          <w:lang w:eastAsia="pl-PL"/>
        </w:rPr>
        <w:t xml:space="preserve"> </w:t>
      </w:r>
      <w:r w:rsidR="00DC207A">
        <w:rPr>
          <w:rFonts w:ascii="Times New Roman" w:hAnsi="Times New Roman"/>
          <w:sz w:val="24"/>
          <w:szCs w:val="24"/>
          <w:lang w:eastAsia="pl-PL"/>
        </w:rPr>
        <w:t>(w </w:t>
      </w:r>
      <w:r w:rsidRPr="00E24274">
        <w:rPr>
          <w:rFonts w:ascii="Times New Roman" w:hAnsi="Times New Roman"/>
          <w:sz w:val="24"/>
          <w:szCs w:val="24"/>
          <w:lang w:eastAsia="pl-PL"/>
        </w:rPr>
        <w:t xml:space="preserve">szczególności członkom organizacji zbiorowego zarządzania i pozostałym uprawnionym, użytkownikom oraz pozostałym organizacjom zbiorowego zarządzania) powiadamianie właściwych organów nadzorczych o działaniach lub okolicznościach, które w ich opinii stanowią naruszenie przepisów prawa krajowego przyjętych zgodnie </w:t>
      </w:r>
      <w:r w:rsidR="00536F63">
        <w:rPr>
          <w:rFonts w:ascii="Times New Roman" w:hAnsi="Times New Roman"/>
          <w:sz w:val="24"/>
          <w:szCs w:val="24"/>
          <w:lang w:eastAsia="pl-PL"/>
        </w:rPr>
        <w:t xml:space="preserve">z </w:t>
      </w:r>
      <w:r w:rsidRPr="00E24274">
        <w:rPr>
          <w:rFonts w:ascii="Times New Roman" w:hAnsi="Times New Roman"/>
          <w:sz w:val="24"/>
          <w:szCs w:val="24"/>
          <w:lang w:eastAsia="pl-PL"/>
        </w:rPr>
        <w:t>dyrektywą. Zgodnie z projektowanym przepisem ustawy każdy będzie mógł zatem zawiadomić organ nadzoru o działaniach lub okolicznościach uzasadniających w ocenie zawiadamiającego podjęcie czynności nadzorczych wobec organizacji zbiorowego zarządzania. Odpowiada to zresztą aktualnej praktyce organu nadzoru, który reaguje na tego typ</w:t>
      </w:r>
      <w:r w:rsidR="0097443B">
        <w:rPr>
          <w:rFonts w:ascii="Times New Roman" w:hAnsi="Times New Roman"/>
          <w:sz w:val="24"/>
          <w:szCs w:val="24"/>
          <w:lang w:eastAsia="pl-PL"/>
        </w:rPr>
        <w:t xml:space="preserve">u zawiadomienia </w:t>
      </w:r>
      <w:r w:rsidRPr="00E24274">
        <w:rPr>
          <w:rFonts w:ascii="Times New Roman" w:hAnsi="Times New Roman"/>
          <w:sz w:val="24"/>
          <w:szCs w:val="24"/>
          <w:lang w:eastAsia="pl-PL"/>
        </w:rPr>
        <w:t>przez prowadzenie postępowania nadzorczego lub udzielenie zawiadamiającemu odpowiedzi, jeśli wszczęcie postępowania nadzorczego okazuje się zbędne lub merytorycznie nieuzasadnione. W projektowanym stanie prawnym taka praktyka zostaje wprost uregulowana w treści ustawy. Organ nadzoru będzie miał obowiązek udzielenia odpowiedzi na każde zawiadomienie, a w przypadku, gdy w jego wyniku podejmie w danej sprawie czynności nadzorcze – także poinformować zawiadamiającego o tych czynnościach.</w:t>
      </w:r>
    </w:p>
    <w:p w:rsidR="00D2655C" w:rsidRPr="00E24274" w:rsidRDefault="00D2655C" w:rsidP="00E24274">
      <w:pPr>
        <w:spacing w:before="120" w:after="0" w:line="360" w:lineRule="auto"/>
        <w:jc w:val="both"/>
        <w:rPr>
          <w:rFonts w:ascii="Times New Roman" w:hAnsi="Times New Roman"/>
          <w:b/>
          <w:sz w:val="24"/>
          <w:szCs w:val="24"/>
          <w:lang w:eastAsia="pl-PL"/>
        </w:rPr>
      </w:pPr>
      <w:r w:rsidRPr="00E24274">
        <w:rPr>
          <w:rFonts w:ascii="Times New Roman" w:hAnsi="Times New Roman"/>
          <w:b/>
          <w:sz w:val="24"/>
          <w:szCs w:val="24"/>
          <w:lang w:eastAsia="pl-PL"/>
        </w:rPr>
        <w:t>art. 103</w:t>
      </w:r>
    </w:p>
    <w:p w:rsidR="00D2655C" w:rsidRPr="00E24274" w:rsidRDefault="00D2655C" w:rsidP="00DC207A">
      <w:pPr>
        <w:spacing w:after="0" w:line="360" w:lineRule="auto"/>
        <w:jc w:val="both"/>
        <w:rPr>
          <w:rFonts w:ascii="Times New Roman" w:hAnsi="Times New Roman"/>
          <w:sz w:val="24"/>
          <w:szCs w:val="24"/>
          <w:lang w:eastAsia="pl-PL"/>
        </w:rPr>
      </w:pPr>
      <w:r w:rsidRPr="00E24274">
        <w:rPr>
          <w:rFonts w:ascii="Times New Roman" w:hAnsi="Times New Roman"/>
          <w:sz w:val="24"/>
          <w:szCs w:val="24"/>
          <w:lang w:eastAsia="pl-PL"/>
        </w:rPr>
        <w:t xml:space="preserve">1. Art. 103 projektowanej ustawy stanowi implementację art. 37 dyrektywy CRM, który określa warunki współpracy między organami nadzoru nad organizacjami zbiorowego zarządzania w państwach członkowskich UE. Przepis ten wychodzi jednak poza minimum wymagane przez dyrektywę, statuując w ust. 1 ogólną zasadę współpracy organu nadzoru z innymi podmiotami w celu wykonania zadań wynikających z ustawy, przy czym jedynie przykładowo wskazuje się na organy nadzoru państw członkowskich UE, Komisję Europejską, zagraniczne organizacje zbiorowego zarządzania oraz ich międzynarodowe zrzeszenia (np. CISAC, GESAC, AEPO-ARTIS itp.). </w:t>
      </w:r>
    </w:p>
    <w:p w:rsidR="00D2655C" w:rsidRPr="00E24274" w:rsidRDefault="00D2655C" w:rsidP="00E24274">
      <w:pPr>
        <w:spacing w:before="120" w:after="0" w:line="360" w:lineRule="auto"/>
        <w:jc w:val="both"/>
        <w:rPr>
          <w:rFonts w:ascii="Times New Roman" w:hAnsi="Times New Roman"/>
          <w:sz w:val="24"/>
          <w:szCs w:val="24"/>
          <w:lang w:eastAsia="pl-PL"/>
        </w:rPr>
      </w:pPr>
      <w:r w:rsidRPr="00E24274">
        <w:rPr>
          <w:rFonts w:ascii="Times New Roman" w:hAnsi="Times New Roman"/>
          <w:sz w:val="24"/>
          <w:szCs w:val="24"/>
          <w:lang w:eastAsia="pl-PL"/>
        </w:rPr>
        <w:t xml:space="preserve">2. W kolejnych przepisach tego artykułu dokonuje </w:t>
      </w:r>
      <w:r w:rsidR="00DC207A">
        <w:rPr>
          <w:rFonts w:ascii="Times New Roman" w:hAnsi="Times New Roman"/>
          <w:sz w:val="24"/>
          <w:szCs w:val="24"/>
          <w:lang w:eastAsia="pl-PL"/>
        </w:rPr>
        <w:t>się właściwej implementacji ww. </w:t>
      </w:r>
      <w:r w:rsidRPr="00E24274">
        <w:rPr>
          <w:rFonts w:ascii="Times New Roman" w:hAnsi="Times New Roman"/>
          <w:sz w:val="24"/>
          <w:szCs w:val="24"/>
          <w:lang w:eastAsia="pl-PL"/>
        </w:rPr>
        <w:t xml:space="preserve">artykułu dyrektywy. W ust. 2 implementuje się art. 37 ust. 1 dyrektywy CRM, zgodnie z którym organy nadzoru powinny udzielać sobie bez zbędnej zwłoki informacji istotnych dla stosowania dyrektywy </w:t>
      </w:r>
      <w:r w:rsidR="00E24274">
        <w:rPr>
          <w:rFonts w:ascii="Times New Roman" w:hAnsi="Times New Roman"/>
          <w:sz w:val="24"/>
          <w:szCs w:val="24"/>
          <w:lang w:eastAsia="pl-PL"/>
        </w:rPr>
        <w:t>„</w:t>
      </w:r>
      <w:r w:rsidRPr="00E24274">
        <w:rPr>
          <w:rFonts w:ascii="Times New Roman" w:hAnsi="Times New Roman"/>
          <w:i/>
          <w:sz w:val="24"/>
          <w:szCs w:val="24"/>
          <w:lang w:eastAsia="pl-PL"/>
        </w:rPr>
        <w:t xml:space="preserve">w szczególności w odniesieniu do działalności organizacji zbiorowego zarządzania mającej siedzibę na terytorium państwa członkowskiego, do którego zwrócono się z wnioskiem, pod warunkiem że </w:t>
      </w:r>
      <w:r w:rsidRPr="00E24274">
        <w:rPr>
          <w:rFonts w:ascii="Times New Roman" w:hAnsi="Times New Roman"/>
          <w:i/>
          <w:sz w:val="24"/>
          <w:szCs w:val="24"/>
          <w:lang w:eastAsia="pl-PL"/>
        </w:rPr>
        <w:lastRenderedPageBreak/>
        <w:t>wniosek taki został należycie uzasadniony</w:t>
      </w:r>
      <w:r w:rsidR="00E24274">
        <w:rPr>
          <w:rFonts w:ascii="Times New Roman" w:hAnsi="Times New Roman"/>
          <w:i/>
          <w:sz w:val="24"/>
          <w:szCs w:val="24"/>
          <w:lang w:eastAsia="pl-PL"/>
        </w:rPr>
        <w:t>”</w:t>
      </w:r>
      <w:r w:rsidRPr="00E24274">
        <w:rPr>
          <w:rFonts w:ascii="Times New Roman" w:hAnsi="Times New Roman"/>
          <w:i/>
          <w:sz w:val="24"/>
          <w:szCs w:val="24"/>
          <w:lang w:eastAsia="pl-PL"/>
        </w:rPr>
        <w:t>.</w:t>
      </w:r>
      <w:r w:rsidRPr="00E24274">
        <w:rPr>
          <w:rFonts w:ascii="Times New Roman" w:hAnsi="Times New Roman"/>
          <w:sz w:val="24"/>
          <w:szCs w:val="24"/>
          <w:lang w:eastAsia="pl-PL"/>
        </w:rPr>
        <w:t xml:space="preserve"> Zgodnie z przedmiotowym przepisem projektu </w:t>
      </w:r>
      <w:r w:rsidRPr="00E24274">
        <w:rPr>
          <w:rFonts w:ascii="Times New Roman" w:hAnsi="Times New Roman"/>
          <w:sz w:val="24"/>
          <w:szCs w:val="24"/>
        </w:rPr>
        <w:t>minister</w:t>
      </w:r>
      <w:r w:rsidRPr="00E24274">
        <w:rPr>
          <w:rFonts w:ascii="Times New Roman" w:hAnsi="Times New Roman"/>
          <w:sz w:val="24"/>
          <w:szCs w:val="24"/>
          <w:lang w:eastAsia="pl-PL"/>
        </w:rPr>
        <w:t xml:space="preserve"> będzie zatem miał obowiązek odpowiedzieć bez zbędnej zwłoki na należycie uzasadniony wniosek organu państwa członkowskiego Unii Europejskiej lub EFTA odpowiedzialnego za nadzór nad organiz</w:t>
      </w:r>
      <w:r w:rsidR="00DC207A">
        <w:rPr>
          <w:rFonts w:ascii="Times New Roman" w:hAnsi="Times New Roman"/>
          <w:sz w:val="24"/>
          <w:szCs w:val="24"/>
          <w:lang w:eastAsia="pl-PL"/>
        </w:rPr>
        <w:t>acjami zbiorowego zarządzania o </w:t>
      </w:r>
      <w:r w:rsidRPr="00E24274">
        <w:rPr>
          <w:rFonts w:ascii="Times New Roman" w:hAnsi="Times New Roman"/>
          <w:sz w:val="24"/>
          <w:szCs w:val="24"/>
          <w:lang w:eastAsia="pl-PL"/>
        </w:rPr>
        <w:t>udzielenie informacji istotnych dla stosowania dyrektywy, w szczególności dotyczących działalności organizacji zbiorowego zarządzania mającej siedzibę na terytorium Rzecz</w:t>
      </w:r>
      <w:r w:rsidR="00536F63">
        <w:rPr>
          <w:rFonts w:ascii="Times New Roman" w:hAnsi="Times New Roman"/>
          <w:sz w:val="24"/>
          <w:szCs w:val="24"/>
          <w:lang w:eastAsia="pl-PL"/>
        </w:rPr>
        <w:t>y</w:t>
      </w:r>
      <w:r w:rsidRPr="00E24274">
        <w:rPr>
          <w:rFonts w:ascii="Times New Roman" w:hAnsi="Times New Roman"/>
          <w:sz w:val="24"/>
          <w:szCs w:val="24"/>
          <w:lang w:eastAsia="pl-PL"/>
        </w:rPr>
        <w:t xml:space="preserve">pospolitej Polskiej. Zgodnie z ust. 3 na należycie uzasadniony wniosek ww. organów państw UE lub EFTA </w:t>
      </w:r>
      <w:r w:rsidRPr="00E24274">
        <w:rPr>
          <w:rFonts w:ascii="Times New Roman" w:hAnsi="Times New Roman"/>
          <w:sz w:val="24"/>
          <w:szCs w:val="24"/>
        </w:rPr>
        <w:t xml:space="preserve">o podjęcie odpowiednich działań wobec organizacji zbiorowego </w:t>
      </w:r>
      <w:r w:rsidR="00536F63">
        <w:rPr>
          <w:rFonts w:ascii="Times New Roman" w:hAnsi="Times New Roman"/>
          <w:sz w:val="24"/>
          <w:szCs w:val="24"/>
        </w:rPr>
        <w:t xml:space="preserve">zarządzania </w:t>
      </w:r>
      <w:r w:rsidRPr="00E24274">
        <w:rPr>
          <w:rFonts w:ascii="Times New Roman" w:hAnsi="Times New Roman"/>
          <w:sz w:val="24"/>
          <w:szCs w:val="24"/>
        </w:rPr>
        <w:t>mającej siedzibę na terytorium Rzecz</w:t>
      </w:r>
      <w:r w:rsidR="00536F63">
        <w:rPr>
          <w:rFonts w:ascii="Times New Roman" w:hAnsi="Times New Roman"/>
          <w:sz w:val="24"/>
          <w:szCs w:val="24"/>
        </w:rPr>
        <w:t>y</w:t>
      </w:r>
      <w:r w:rsidRPr="00E24274">
        <w:rPr>
          <w:rFonts w:ascii="Times New Roman" w:hAnsi="Times New Roman"/>
          <w:sz w:val="24"/>
          <w:szCs w:val="24"/>
        </w:rPr>
        <w:t>pospolitej Polskiej i naruszającej przepisy projektowanej ustawy, minister obowiązany będzie udzielić zawierającej uzasadnienie odpowiedzi o podjętych działaniac</w:t>
      </w:r>
      <w:r w:rsidR="00DC207A">
        <w:rPr>
          <w:rFonts w:ascii="Times New Roman" w:hAnsi="Times New Roman"/>
          <w:sz w:val="24"/>
          <w:szCs w:val="24"/>
        </w:rPr>
        <w:t>h w terminie nie dłuższym niż 3 </w:t>
      </w:r>
      <w:r w:rsidRPr="00E24274">
        <w:rPr>
          <w:rFonts w:ascii="Times New Roman" w:hAnsi="Times New Roman"/>
          <w:sz w:val="24"/>
          <w:szCs w:val="24"/>
        </w:rPr>
        <w:t>miesiące. Natomiast zgodnie z ust. 4 z podobnymi wnioskami będzie mógł wystąpić również minister do organów państw członkowskich UE lub EFTA nadzorujących wykonywanie zbiorowego zarządzania prawami autorskimi lub prawami pokrewnymi.</w:t>
      </w:r>
    </w:p>
    <w:p w:rsidR="00D2655C" w:rsidRPr="00E24274" w:rsidRDefault="00D2655C" w:rsidP="00E24274">
      <w:pPr>
        <w:spacing w:before="120" w:after="0" w:line="360" w:lineRule="auto"/>
        <w:jc w:val="both"/>
        <w:rPr>
          <w:rFonts w:ascii="Times New Roman" w:hAnsi="Times New Roman"/>
          <w:sz w:val="24"/>
          <w:szCs w:val="24"/>
          <w:lang w:eastAsia="pl-PL"/>
        </w:rPr>
      </w:pPr>
      <w:r w:rsidRPr="00E24274">
        <w:rPr>
          <w:rFonts w:ascii="Times New Roman" w:hAnsi="Times New Roman"/>
          <w:sz w:val="24"/>
          <w:szCs w:val="24"/>
          <w:lang w:eastAsia="pl-PL"/>
        </w:rPr>
        <w:t xml:space="preserve">3. Z kolei zgodnie z ust. 5 </w:t>
      </w:r>
      <w:r w:rsidRPr="00E24274">
        <w:rPr>
          <w:rFonts w:ascii="Times New Roman" w:hAnsi="Times New Roman"/>
          <w:sz w:val="24"/>
          <w:szCs w:val="24"/>
        </w:rPr>
        <w:t>minister</w:t>
      </w:r>
      <w:r w:rsidRPr="00E24274">
        <w:rPr>
          <w:rFonts w:ascii="Times New Roman" w:hAnsi="Times New Roman"/>
          <w:sz w:val="24"/>
          <w:szCs w:val="24"/>
          <w:lang w:eastAsia="pl-PL"/>
        </w:rPr>
        <w:t xml:space="preserve"> będzie mógł zawie</w:t>
      </w:r>
      <w:r w:rsidR="00DC207A">
        <w:rPr>
          <w:rFonts w:ascii="Times New Roman" w:hAnsi="Times New Roman"/>
          <w:sz w:val="24"/>
          <w:szCs w:val="24"/>
          <w:lang w:eastAsia="pl-PL"/>
        </w:rPr>
        <w:t>rać porozumienia o współpracy z </w:t>
      </w:r>
      <w:r w:rsidRPr="00E24274">
        <w:rPr>
          <w:rFonts w:ascii="Times New Roman" w:hAnsi="Times New Roman"/>
          <w:sz w:val="24"/>
          <w:szCs w:val="24"/>
          <w:lang w:eastAsia="pl-PL"/>
        </w:rPr>
        <w:t>organami nadzorczymi pozostałych państw członkowskich UE lub EFTA, ułatwiające wykonywanie przez niego nadzoru nad organizacjami zbiorowego zarządzania. Celem takich umów może być np. koordynacja działań organów nadzorczych czy też wymiana informacji, doświadczeń i dobrych praktyk. Przepis ten nie będzie natomiast stanowił podstawy do delegacji uprawnień krajowego organu nadzoru na podmioty lub instytucje zagraniczne, a takie obawy wyrazili niektórzy uczestnicy konsultacji publicznych projektu.</w:t>
      </w:r>
      <w:r w:rsidR="00E24274">
        <w:rPr>
          <w:rFonts w:ascii="Times New Roman" w:hAnsi="Times New Roman"/>
          <w:sz w:val="24"/>
          <w:szCs w:val="24"/>
          <w:lang w:eastAsia="pl-PL"/>
        </w:rPr>
        <w:t xml:space="preserve"> </w:t>
      </w:r>
    </w:p>
    <w:p w:rsidR="00D2655C" w:rsidRPr="00E24274" w:rsidRDefault="00D2655C" w:rsidP="00DC207A">
      <w:pPr>
        <w:pStyle w:val="ROZDZODDZOZNoznaczenierozdziauluboddziau"/>
        <w:spacing w:before="240"/>
        <w:jc w:val="both"/>
        <w:rPr>
          <w:rFonts w:ascii="Times New Roman" w:hAnsi="Times New Roman" w:cs="Times New Roman"/>
          <w:b/>
        </w:rPr>
      </w:pPr>
      <w:r w:rsidRPr="00E24274">
        <w:rPr>
          <w:rFonts w:ascii="Times New Roman" w:hAnsi="Times New Roman" w:cs="Times New Roman"/>
          <w:b/>
        </w:rPr>
        <w:t>II.</w:t>
      </w:r>
      <w:r w:rsidR="00DC207A">
        <w:rPr>
          <w:rFonts w:ascii="Times New Roman" w:hAnsi="Times New Roman" w:cs="Times New Roman"/>
          <w:b/>
        </w:rPr>
        <w:t xml:space="preserve"> </w:t>
      </w:r>
      <w:r w:rsidRPr="00E24274">
        <w:rPr>
          <w:rFonts w:ascii="Times New Roman" w:hAnsi="Times New Roman" w:cs="Times New Roman"/>
          <w:b/>
        </w:rPr>
        <w:t>11. Rozdział 11. Cofnięcie zezwolenia i likwidacja organizacji zbiorowego zarządzania (art. 104–108 projektu)</w:t>
      </w:r>
    </w:p>
    <w:p w:rsidR="00D2655C" w:rsidRPr="00E24274" w:rsidRDefault="00D2655C"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Obecnie obowiązujące przepisy regulują cofnięcie zezwolenia na zbiorowe zarządzani</w:t>
      </w:r>
      <w:r w:rsidR="00536F63">
        <w:rPr>
          <w:rFonts w:ascii="Times New Roman" w:hAnsi="Times New Roman"/>
          <w:sz w:val="24"/>
          <w:szCs w:val="24"/>
        </w:rPr>
        <w:t>e</w:t>
      </w:r>
      <w:r w:rsidRPr="00E24274">
        <w:rPr>
          <w:rFonts w:ascii="Times New Roman" w:hAnsi="Times New Roman"/>
          <w:sz w:val="24"/>
          <w:szCs w:val="24"/>
        </w:rPr>
        <w:t xml:space="preserve"> w treści art. 104 ust. 5 pr. aut., przewidując trzy przypadki, w których taka sytuacja może nastąpić po przeprowadzeniu postępowania wszczynanego z urzędu. Ustawa wymienia w tym wypadku: niewykonywanie</w:t>
      </w:r>
      <w:r w:rsidR="00DC207A">
        <w:rPr>
          <w:rFonts w:ascii="Times New Roman" w:hAnsi="Times New Roman"/>
          <w:sz w:val="24"/>
          <w:szCs w:val="24"/>
        </w:rPr>
        <w:t xml:space="preserve"> w sposób należyty obowiązków w </w:t>
      </w:r>
      <w:r w:rsidRPr="00E24274">
        <w:rPr>
          <w:rFonts w:ascii="Times New Roman" w:hAnsi="Times New Roman"/>
          <w:sz w:val="24"/>
          <w:szCs w:val="24"/>
        </w:rPr>
        <w:t xml:space="preserve">zakresie zarządzania powierzonymi jej prawami autorskimi lub pokrewnymi oraz ich ochrony, naruszanie przepisów prawa w zakresie udzielonego zezwolenia oraz sytuację, gdy organizacja nie wypełnia obowiązku złożenia do zatwierdzenia tabel wynagrodzeń </w:t>
      </w:r>
      <w:r w:rsidRPr="00E24274">
        <w:rPr>
          <w:rFonts w:ascii="Times New Roman" w:hAnsi="Times New Roman"/>
          <w:sz w:val="24"/>
          <w:szCs w:val="24"/>
        </w:rPr>
        <w:lastRenderedPageBreak/>
        <w:t>na polach eksploatacji, które zostały wskazane w analizowanym przepisie. Z kolei w</w:t>
      </w:r>
      <w:r w:rsidR="00DC207A">
        <w:rPr>
          <w:rFonts w:ascii="Times New Roman" w:hAnsi="Times New Roman"/>
          <w:sz w:val="24"/>
          <w:szCs w:val="24"/>
        </w:rPr>
        <w:t> </w:t>
      </w:r>
      <w:r w:rsidRPr="00E24274">
        <w:rPr>
          <w:rFonts w:ascii="Times New Roman" w:hAnsi="Times New Roman"/>
          <w:sz w:val="24"/>
          <w:szCs w:val="24"/>
        </w:rPr>
        <w:t>przypadku likwidacji organizacji zbiorowego zarządzania zastosowanie w aktualnym stanie prawnym znajdą art. 36</w:t>
      </w:r>
      <w:r w:rsidR="00B85D46">
        <w:rPr>
          <w:rFonts w:ascii="Times New Roman" w:hAnsi="Times New Roman"/>
          <w:sz w:val="24"/>
          <w:szCs w:val="24"/>
        </w:rPr>
        <w:t>–</w:t>
      </w:r>
      <w:r w:rsidRPr="00E24274">
        <w:rPr>
          <w:rFonts w:ascii="Times New Roman" w:hAnsi="Times New Roman"/>
          <w:sz w:val="24"/>
          <w:szCs w:val="24"/>
        </w:rPr>
        <w:t xml:space="preserve">39 Prawa o stowarzyszeniach dotyczące likwidacji wszystkich rodzajów stowarzyszeń. </w:t>
      </w:r>
    </w:p>
    <w:p w:rsidR="00D2655C" w:rsidRPr="00E24274" w:rsidRDefault="00D2655C"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Obowiązujące przepisy nie regulują natomiast w ogóle sposobu przeznaczenia przychodów z praw, których organizacja w likwidacji lub której zezwolenie cofnięto nie przekazała uprawnionym. Taki stan rzeczy w przypadku skutecznego cofnięci</w:t>
      </w:r>
      <w:r w:rsidR="00536F63">
        <w:rPr>
          <w:rFonts w:ascii="Times New Roman" w:hAnsi="Times New Roman"/>
          <w:sz w:val="24"/>
          <w:szCs w:val="24"/>
        </w:rPr>
        <w:t>a</w:t>
      </w:r>
      <w:r w:rsidRPr="00E24274">
        <w:rPr>
          <w:rFonts w:ascii="Times New Roman" w:hAnsi="Times New Roman"/>
          <w:sz w:val="24"/>
          <w:szCs w:val="24"/>
        </w:rPr>
        <w:t xml:space="preserve"> zezwolenia, kiedy organizacja przestaje podlegać nadzorowi ministra, oznacza, że zgromadzone przez nią środki należne uprawnionym w okresie, gdy organizacja wykonywała jeszcze zbiorowe zarządzanie, mogą być w chwili obecnej wykorzystywane </w:t>
      </w:r>
      <w:r w:rsidRPr="00DE4E2F">
        <w:rPr>
          <w:rFonts w:ascii="Times New Roman" w:hAnsi="Times New Roman"/>
          <w:i/>
          <w:sz w:val="24"/>
          <w:szCs w:val="24"/>
        </w:rPr>
        <w:t>de facto</w:t>
      </w:r>
      <w:r w:rsidRPr="00E24274">
        <w:rPr>
          <w:rFonts w:ascii="Times New Roman" w:hAnsi="Times New Roman"/>
          <w:sz w:val="24"/>
          <w:szCs w:val="24"/>
        </w:rPr>
        <w:t xml:space="preserve"> w jakikolwiek sposób, także z całkowitym lekceważeniem zasad określonych w rozdziale 4 oddziale 2 projektu. Trudno taką sytuację uznać za możliwą do zaakceptowania. Podobnie w przypadku organizacji podlegającej likwidacji – ze względu na konieczność zapewniania real</w:t>
      </w:r>
      <w:r w:rsidR="00DC207A">
        <w:rPr>
          <w:rFonts w:ascii="Times New Roman" w:hAnsi="Times New Roman"/>
          <w:sz w:val="24"/>
          <w:szCs w:val="24"/>
        </w:rPr>
        <w:t>nej ochrony praw uprawnionych i </w:t>
      </w:r>
      <w:r w:rsidRPr="00E24274">
        <w:rPr>
          <w:rFonts w:ascii="Times New Roman" w:hAnsi="Times New Roman"/>
          <w:sz w:val="24"/>
          <w:szCs w:val="24"/>
        </w:rPr>
        <w:t>wyraźne na gruncie dyrektywy CRM rozdzielenie maj</w:t>
      </w:r>
      <w:r w:rsidR="00DC207A">
        <w:rPr>
          <w:rFonts w:ascii="Times New Roman" w:hAnsi="Times New Roman"/>
          <w:sz w:val="24"/>
          <w:szCs w:val="24"/>
        </w:rPr>
        <w:t>ątku organizacji i przychodów z </w:t>
      </w:r>
      <w:r w:rsidRPr="00E24274">
        <w:rPr>
          <w:rFonts w:ascii="Times New Roman" w:hAnsi="Times New Roman"/>
          <w:sz w:val="24"/>
          <w:szCs w:val="24"/>
        </w:rPr>
        <w:t xml:space="preserve">praw podlegających co do zasady wypłacie uprawnionym – niemożliwe i niezasadne jest uznanie przychodów podlegających wypłacie uprawnionym za stanowiące majątek organizacji, który zgodnie z art. 38 </w:t>
      </w:r>
      <w:r w:rsidR="00536F63">
        <w:rPr>
          <w:rFonts w:ascii="Times New Roman" w:hAnsi="Times New Roman"/>
          <w:sz w:val="24"/>
          <w:szCs w:val="24"/>
        </w:rPr>
        <w:t xml:space="preserve">– </w:t>
      </w:r>
      <w:r w:rsidRPr="00E24274">
        <w:rPr>
          <w:rFonts w:ascii="Times New Roman" w:hAnsi="Times New Roman"/>
          <w:sz w:val="24"/>
          <w:szCs w:val="24"/>
        </w:rPr>
        <w:t xml:space="preserve">Prawa o stowarzyszeniach, mógłby być przeznaczony na cele określone w statucie organizacji, </w:t>
      </w:r>
      <w:r w:rsidR="00DC207A">
        <w:rPr>
          <w:rFonts w:ascii="Times New Roman" w:hAnsi="Times New Roman"/>
          <w:sz w:val="24"/>
          <w:szCs w:val="24"/>
        </w:rPr>
        <w:t>uchwale o jej rozwiązaniu lub w </w:t>
      </w:r>
      <w:r w:rsidRPr="00E24274">
        <w:rPr>
          <w:rFonts w:ascii="Times New Roman" w:hAnsi="Times New Roman"/>
          <w:sz w:val="24"/>
          <w:szCs w:val="24"/>
        </w:rPr>
        <w:t>razie ich braku stosownym postanowieniu sądu. Brak rozwiązań w tym względzie należy uznać za lukę prawną konieczną do uzupełniania w kompleksowej regulacji dotyczącej zbiorowego zarządzania.</w:t>
      </w:r>
    </w:p>
    <w:p w:rsidR="00D2655C" w:rsidRPr="00E24274" w:rsidRDefault="00D2655C" w:rsidP="00E24274">
      <w:pPr>
        <w:spacing w:before="120" w:after="0" w:line="360" w:lineRule="auto"/>
        <w:jc w:val="both"/>
        <w:rPr>
          <w:rFonts w:ascii="Times New Roman" w:hAnsi="Times New Roman"/>
          <w:b/>
          <w:sz w:val="24"/>
          <w:szCs w:val="24"/>
          <w:lang w:eastAsia="pl-PL"/>
        </w:rPr>
      </w:pPr>
      <w:r w:rsidRPr="00E24274">
        <w:rPr>
          <w:rFonts w:ascii="Times New Roman" w:hAnsi="Times New Roman"/>
          <w:b/>
          <w:sz w:val="24"/>
          <w:szCs w:val="24"/>
          <w:lang w:eastAsia="pl-PL"/>
        </w:rPr>
        <w:t>art. 104</w:t>
      </w:r>
    </w:p>
    <w:p w:rsidR="00D2655C" w:rsidRPr="00E24274" w:rsidRDefault="00D2655C" w:rsidP="00DC207A">
      <w:pPr>
        <w:spacing w:after="0" w:line="360" w:lineRule="auto"/>
        <w:jc w:val="both"/>
        <w:rPr>
          <w:rFonts w:ascii="Times New Roman" w:hAnsi="Times New Roman"/>
          <w:sz w:val="24"/>
          <w:szCs w:val="24"/>
          <w:lang w:eastAsia="pl-PL"/>
        </w:rPr>
      </w:pPr>
      <w:r w:rsidRPr="00E24274">
        <w:rPr>
          <w:rFonts w:ascii="Times New Roman" w:hAnsi="Times New Roman"/>
          <w:sz w:val="24"/>
          <w:szCs w:val="24"/>
          <w:lang w:eastAsia="pl-PL"/>
        </w:rPr>
        <w:t>Projektowany art. 104 przewiduje, że cofnięcie zezwolenia na zbiorowe zarządzanie może nastąpić z urzędu w przypadkach, o których mowa w art. 99 ust. 1 pkt 4</w:t>
      </w:r>
      <w:r w:rsidR="00B85D46">
        <w:rPr>
          <w:rFonts w:ascii="Times New Roman" w:hAnsi="Times New Roman"/>
          <w:sz w:val="24"/>
          <w:szCs w:val="24"/>
          <w:lang w:eastAsia="pl-PL"/>
        </w:rPr>
        <w:t>–</w:t>
      </w:r>
      <w:r w:rsidRPr="00E24274">
        <w:rPr>
          <w:rFonts w:ascii="Times New Roman" w:hAnsi="Times New Roman"/>
          <w:sz w:val="24"/>
          <w:szCs w:val="24"/>
          <w:lang w:eastAsia="pl-PL"/>
        </w:rPr>
        <w:t xml:space="preserve">5 (jako najpoważniejsza sankcja możliwa do nałożenia w trybie postępowania nadzorczego za nieprawidłowe wykonywanie zbiorowego zarządzania) oraz w art. 108 ust. 1 (jako efekt rozwiązania stowarzyszenia posiadającego zezwolenie na zbiorowe zarządzanie, gdy brak jego wniosku o cofnięcie zezwolenia). Cofnięcie zezwolenia będzie także możliwe na wniosek samej organizacji w sytuacji, gdy nie jest ona zainteresowana wykonywaniem zbiorowego zarządzania lub zgodnie z wolą swoich członków ma być zlikwidowana. Cofnięcie organizacji zezwolenia z urzędu będzie dokonywane w części albo w całości przez ministra </w:t>
      </w:r>
      <w:r w:rsidRPr="00E24274">
        <w:rPr>
          <w:rFonts w:ascii="Times New Roman" w:hAnsi="Times New Roman"/>
          <w:sz w:val="24"/>
          <w:szCs w:val="24"/>
        </w:rPr>
        <w:t xml:space="preserve">właściwego do spraw kultury i ochrony dziedzictwa </w:t>
      </w:r>
      <w:r w:rsidRPr="00E24274">
        <w:rPr>
          <w:rFonts w:ascii="Times New Roman" w:hAnsi="Times New Roman"/>
          <w:sz w:val="24"/>
          <w:szCs w:val="24"/>
        </w:rPr>
        <w:lastRenderedPageBreak/>
        <w:t>narodowego</w:t>
      </w:r>
      <w:r w:rsidRPr="00E24274">
        <w:rPr>
          <w:rFonts w:ascii="Times New Roman" w:hAnsi="Times New Roman"/>
          <w:sz w:val="24"/>
          <w:szCs w:val="24"/>
          <w:lang w:eastAsia="pl-PL"/>
        </w:rPr>
        <w:t xml:space="preserve"> w trybie nadzorczym po uprzednim bezskutecznym wezwaniu jej do usunięcia uchybień w wyznaczonym terminie. </w:t>
      </w:r>
    </w:p>
    <w:p w:rsidR="00D2655C" w:rsidRPr="00E24274" w:rsidRDefault="00D2655C" w:rsidP="00E24274">
      <w:pPr>
        <w:spacing w:before="120" w:after="0" w:line="360" w:lineRule="auto"/>
        <w:jc w:val="both"/>
        <w:rPr>
          <w:rFonts w:ascii="Times New Roman" w:hAnsi="Times New Roman"/>
          <w:b/>
          <w:sz w:val="24"/>
          <w:szCs w:val="24"/>
          <w:lang w:eastAsia="pl-PL"/>
        </w:rPr>
      </w:pPr>
      <w:r w:rsidRPr="00E24274">
        <w:rPr>
          <w:rFonts w:ascii="Times New Roman" w:hAnsi="Times New Roman"/>
          <w:b/>
          <w:sz w:val="24"/>
          <w:szCs w:val="24"/>
          <w:lang w:eastAsia="pl-PL"/>
        </w:rPr>
        <w:t>art. 105</w:t>
      </w:r>
    </w:p>
    <w:p w:rsidR="00D2655C" w:rsidRPr="00E24274" w:rsidRDefault="00D2655C" w:rsidP="00DC207A">
      <w:pPr>
        <w:spacing w:after="0" w:line="360" w:lineRule="auto"/>
        <w:jc w:val="both"/>
        <w:rPr>
          <w:rFonts w:ascii="Times New Roman" w:hAnsi="Times New Roman"/>
          <w:sz w:val="24"/>
          <w:szCs w:val="24"/>
          <w:lang w:eastAsia="pl-PL"/>
        </w:rPr>
      </w:pPr>
      <w:r w:rsidRPr="00E24274">
        <w:rPr>
          <w:rFonts w:ascii="Times New Roman" w:hAnsi="Times New Roman"/>
          <w:sz w:val="24"/>
          <w:szCs w:val="24"/>
          <w:lang w:eastAsia="pl-PL"/>
        </w:rPr>
        <w:t xml:space="preserve">1. Projektowany przepis przesądza, jakie obowiązki związane z rozliczeniem kwot podlegających wypłacie uprawnionym minister </w:t>
      </w:r>
      <w:r w:rsidRPr="00E24274">
        <w:rPr>
          <w:rFonts w:ascii="Times New Roman" w:hAnsi="Times New Roman"/>
          <w:sz w:val="24"/>
          <w:szCs w:val="24"/>
        </w:rPr>
        <w:t>właściwy do spraw kultury i ochrony dziedzictwa narodowego</w:t>
      </w:r>
      <w:r w:rsidRPr="00E24274">
        <w:rPr>
          <w:rFonts w:ascii="Times New Roman" w:hAnsi="Times New Roman"/>
          <w:sz w:val="24"/>
          <w:szCs w:val="24"/>
          <w:lang w:eastAsia="pl-PL"/>
        </w:rPr>
        <w:t xml:space="preserve"> będzie mógł nałożyć w decyzji o cofnięciu zezwolenia na zbiorowe zarządzanie. Winny one być w sposób elastyczny dostosowane do rodzaju przychodów z praw podlegających wypłacie, które nie zostały jeszcze wypłacone uprawnionym i zapewnić przeprowadzenie wypłaty w sposób efektywny. Odmienne obowiązki mogą być przez ministra nakładane w przypad</w:t>
      </w:r>
      <w:r w:rsidR="00DC207A">
        <w:rPr>
          <w:rFonts w:ascii="Times New Roman" w:hAnsi="Times New Roman"/>
          <w:sz w:val="24"/>
          <w:szCs w:val="24"/>
          <w:lang w:eastAsia="pl-PL"/>
        </w:rPr>
        <w:t>ku innej sytuacji faktycznej, w </w:t>
      </w:r>
      <w:r w:rsidRPr="00E24274">
        <w:rPr>
          <w:rFonts w:ascii="Times New Roman" w:hAnsi="Times New Roman"/>
          <w:sz w:val="24"/>
          <w:szCs w:val="24"/>
          <w:lang w:eastAsia="pl-PL"/>
        </w:rPr>
        <w:t>jakiej znajdują się przychody z praw (np. gdy część z nich jest niemożliwa do podzielenia lub przypisania do konkretnych uprawnionych). Projektodawca preferuje jako podstawowy i pierwotny środek w tym wypadku obowiązek podziału i wypłaty przez organizację zbiorowego zarządzania przychodów z praw należnych uprawnionym w wyznaczonym terminie (ust. 1 pkt 1). Dopiero po niezrealizowaniu tego obowiązku we wskazanym w decyzji terminie zastosowanie będą mogły znaleźć inne środki przewidziane w treści ust. 1, które zostały wskazane w decyzji ministra w</w:t>
      </w:r>
      <w:r w:rsidR="00DC207A">
        <w:rPr>
          <w:rFonts w:ascii="Times New Roman" w:hAnsi="Times New Roman"/>
          <w:sz w:val="24"/>
          <w:szCs w:val="24"/>
          <w:lang w:eastAsia="pl-PL"/>
        </w:rPr>
        <w:t>łaściwego ds. </w:t>
      </w:r>
      <w:r w:rsidRPr="00E24274">
        <w:rPr>
          <w:rFonts w:ascii="Times New Roman" w:hAnsi="Times New Roman"/>
          <w:sz w:val="24"/>
          <w:szCs w:val="24"/>
          <w:lang w:eastAsia="pl-PL"/>
        </w:rPr>
        <w:t>kultury i dziedzictwa narodowego</w:t>
      </w:r>
      <w:r w:rsidR="00536F63">
        <w:rPr>
          <w:rFonts w:ascii="Times New Roman" w:hAnsi="Times New Roman"/>
          <w:sz w:val="24"/>
          <w:szCs w:val="24"/>
          <w:lang w:eastAsia="pl-PL"/>
        </w:rPr>
        <w:t>,</w:t>
      </w:r>
      <w:r w:rsidRPr="00E24274">
        <w:rPr>
          <w:rFonts w:ascii="Times New Roman" w:hAnsi="Times New Roman"/>
          <w:sz w:val="24"/>
          <w:szCs w:val="24"/>
          <w:lang w:eastAsia="pl-PL"/>
        </w:rPr>
        <w:t xml:space="preserve"> cofającej zezwolenia na zbiorowe zarządzanie prawami autorskimi i prawami pokrewnymi. Środki te winny </w:t>
      </w:r>
      <w:r w:rsidR="00536F63">
        <w:rPr>
          <w:rFonts w:ascii="Times New Roman" w:hAnsi="Times New Roman"/>
          <w:sz w:val="24"/>
          <w:szCs w:val="24"/>
          <w:lang w:eastAsia="pl-PL"/>
        </w:rPr>
        <w:t xml:space="preserve">być </w:t>
      </w:r>
      <w:r w:rsidRPr="00E24274">
        <w:rPr>
          <w:rFonts w:ascii="Times New Roman" w:hAnsi="Times New Roman"/>
          <w:sz w:val="24"/>
          <w:szCs w:val="24"/>
          <w:lang w:eastAsia="pl-PL"/>
        </w:rPr>
        <w:t xml:space="preserve">dostosowane do rodzaju przychodów z praw, które mają być przedmiotem podziału i wypłaty. </w:t>
      </w:r>
    </w:p>
    <w:p w:rsidR="00D2655C" w:rsidRPr="00E24274" w:rsidRDefault="00D2655C" w:rsidP="00E24274">
      <w:pPr>
        <w:spacing w:before="120" w:after="0" w:line="360" w:lineRule="auto"/>
        <w:jc w:val="both"/>
        <w:rPr>
          <w:rFonts w:ascii="Times New Roman" w:hAnsi="Times New Roman"/>
          <w:sz w:val="24"/>
          <w:szCs w:val="24"/>
          <w:lang w:eastAsia="pl-PL"/>
        </w:rPr>
      </w:pPr>
      <w:r w:rsidRPr="00E24274">
        <w:rPr>
          <w:rFonts w:ascii="Times New Roman" w:hAnsi="Times New Roman"/>
          <w:sz w:val="24"/>
          <w:szCs w:val="24"/>
          <w:lang w:eastAsia="pl-PL"/>
        </w:rPr>
        <w:t>2. Obowiązek podziału i wypłaty przez organizację zbiorowego zarządzania przychodów z praw należnych uprawnionym w wyznaczonym terminie jest najbardziej naturalnym sposobem wykonania przez organizację jej obowiązków wobec uprawnionych. Jest to obowiązek możliwy do realizacji tylko, gdy – ze względu na posiadane informacje od użytkowników – organizacja jest w stanie w racjonalnym terminie podzielić i wypłacić zgormadzone środki uprawnionym.</w:t>
      </w:r>
      <w:r w:rsidR="00E24274">
        <w:rPr>
          <w:rFonts w:ascii="Times New Roman" w:hAnsi="Times New Roman"/>
          <w:sz w:val="24"/>
          <w:szCs w:val="24"/>
          <w:lang w:eastAsia="pl-PL"/>
        </w:rPr>
        <w:t xml:space="preserve"> </w:t>
      </w:r>
    </w:p>
    <w:p w:rsidR="00D2655C" w:rsidRPr="00E24274" w:rsidRDefault="00D2655C" w:rsidP="00E24274">
      <w:pPr>
        <w:spacing w:before="120" w:after="0" w:line="360" w:lineRule="auto"/>
        <w:jc w:val="both"/>
        <w:rPr>
          <w:rFonts w:ascii="Times New Roman" w:hAnsi="Times New Roman"/>
          <w:sz w:val="24"/>
          <w:szCs w:val="24"/>
          <w:lang w:eastAsia="pl-PL"/>
        </w:rPr>
      </w:pPr>
      <w:r w:rsidRPr="00E24274">
        <w:rPr>
          <w:rFonts w:ascii="Times New Roman" w:hAnsi="Times New Roman"/>
          <w:sz w:val="24"/>
          <w:szCs w:val="24"/>
          <w:lang w:eastAsia="pl-PL"/>
        </w:rPr>
        <w:t xml:space="preserve">W przypadku gdy – jak wyjaśniono powyżej – obowiązek ten nie będzie zrealizowany w terminie określonym we wspomnianej decyzji ministra, a do reprezentowania danej kategorii uprawnionych do danego rodzaju utworów lub przedmiotów praw pokrewnych na tym samym polu eksploatacji upoważniona jest więcej niż jedna organizacja, minister będzie mógł – za zgodą nadal działającej organizacji – nałożyć na organizację, której zezwolenie cofnięto, obowiązek przekazania nadal działającej </w:t>
      </w:r>
      <w:r w:rsidRPr="00E24274">
        <w:rPr>
          <w:rFonts w:ascii="Times New Roman" w:hAnsi="Times New Roman"/>
          <w:sz w:val="24"/>
          <w:szCs w:val="24"/>
          <w:lang w:eastAsia="pl-PL"/>
        </w:rPr>
        <w:lastRenderedPageBreak/>
        <w:t xml:space="preserve">organizacji przychodów z praw wraz z dokumentacją potrzebną do wypłaty tych środków uprawnionym w wyznaczonym terminie (ust. 1 pkt 2). Tego rodzaju rozwiązanie umożliwi sprawną wypłatę </w:t>
      </w:r>
      <w:r w:rsidR="00DC207A">
        <w:rPr>
          <w:rFonts w:ascii="Times New Roman" w:hAnsi="Times New Roman"/>
          <w:sz w:val="24"/>
          <w:szCs w:val="24"/>
          <w:lang w:eastAsia="pl-PL"/>
        </w:rPr>
        <w:t>przychodów z praw uprawnionym i </w:t>
      </w:r>
      <w:r w:rsidRPr="00E24274">
        <w:rPr>
          <w:rFonts w:ascii="Times New Roman" w:hAnsi="Times New Roman"/>
          <w:sz w:val="24"/>
          <w:szCs w:val="24"/>
          <w:lang w:eastAsia="pl-PL"/>
        </w:rPr>
        <w:t xml:space="preserve">jednocześnie pozwoli organizacji, której zezwolenie cofnięto, uwolnić się od obowiązków nadal ją obciążających mimo cofnięcia jej zezwolenia (por. ust. 2). Jednocześnie konieczność wyrażenia zgody przez organizację nadal działającą gwarantuje, że obowiązek wypłaty przychodów z praw i wiążąca się z nim odpowiedzialność nie będzie nałożona na taki podmiot wbrew jego woli, np. w sytuacji, gdy nie jest ona w stanie sprawnie takiemu obowiązkowi sprostać. </w:t>
      </w:r>
    </w:p>
    <w:p w:rsidR="00D2655C" w:rsidRPr="00E24274" w:rsidRDefault="00D2655C" w:rsidP="00E24274">
      <w:pPr>
        <w:spacing w:before="120" w:after="0" w:line="360" w:lineRule="auto"/>
        <w:jc w:val="both"/>
        <w:rPr>
          <w:rFonts w:ascii="Times New Roman" w:hAnsi="Times New Roman"/>
          <w:sz w:val="24"/>
          <w:szCs w:val="24"/>
          <w:lang w:eastAsia="pl-PL"/>
        </w:rPr>
      </w:pPr>
      <w:r w:rsidRPr="00E24274">
        <w:rPr>
          <w:rFonts w:ascii="Times New Roman" w:hAnsi="Times New Roman"/>
          <w:sz w:val="24"/>
          <w:szCs w:val="24"/>
          <w:lang w:eastAsia="pl-PL"/>
        </w:rPr>
        <w:t>Kolejnym rozwiązaniem służącym zagwarantowaniu wypłaty przychodów z praw uprawnionym jest możliwość złożenia ich przez organizację do depozytu sądowego (ust. 1 pkt 3). Nałożenie takiego obowiązku jest możliwe wyłącznie w przypadku przychodów z praw, które są podzielone (tj. przypisane do konkretnych uprawnionych), a jednocześnie niemożliwe jest sprawne ustalenie danych umożliwiających dokonanie wypłaty. W tej sytuacji złożenie przychodów z praw przez organizację do depozytu sądowego zwalnia ją z odpowiedzialności wobec uprawnionych, a efektywne wykonanie obowiązków informacyjnych (art. 106 projektu) powinno umożliwić uprawnionym uzyskanie informacji o możliwości</w:t>
      </w:r>
      <w:r w:rsidR="00DC207A">
        <w:rPr>
          <w:rFonts w:ascii="Times New Roman" w:hAnsi="Times New Roman"/>
          <w:sz w:val="24"/>
          <w:szCs w:val="24"/>
          <w:lang w:eastAsia="pl-PL"/>
        </w:rPr>
        <w:t xml:space="preserve"> zaspokojenia swoich roszczeń z</w:t>
      </w:r>
      <w:r w:rsidR="00536F63">
        <w:rPr>
          <w:rFonts w:ascii="Times New Roman" w:hAnsi="Times New Roman"/>
          <w:sz w:val="24"/>
          <w:szCs w:val="24"/>
          <w:lang w:eastAsia="pl-PL"/>
        </w:rPr>
        <w:t>e</w:t>
      </w:r>
      <w:r w:rsidR="00DC207A">
        <w:rPr>
          <w:rFonts w:ascii="Times New Roman" w:hAnsi="Times New Roman"/>
          <w:sz w:val="24"/>
          <w:szCs w:val="24"/>
          <w:lang w:eastAsia="pl-PL"/>
        </w:rPr>
        <w:t> </w:t>
      </w:r>
      <w:r w:rsidRPr="00E24274">
        <w:rPr>
          <w:rFonts w:ascii="Times New Roman" w:hAnsi="Times New Roman"/>
          <w:sz w:val="24"/>
          <w:szCs w:val="24"/>
          <w:lang w:eastAsia="pl-PL"/>
        </w:rPr>
        <w:t>środków złożonych do depozytu.</w:t>
      </w:r>
    </w:p>
    <w:p w:rsidR="00D2655C" w:rsidRPr="00E24274" w:rsidRDefault="00D2655C" w:rsidP="00E24274">
      <w:pPr>
        <w:spacing w:before="120" w:after="0" w:line="360" w:lineRule="auto"/>
        <w:jc w:val="both"/>
        <w:rPr>
          <w:rFonts w:ascii="Times New Roman" w:hAnsi="Times New Roman"/>
          <w:sz w:val="24"/>
          <w:szCs w:val="24"/>
          <w:lang w:eastAsia="pl-PL"/>
        </w:rPr>
      </w:pPr>
      <w:r w:rsidRPr="00E24274">
        <w:rPr>
          <w:rFonts w:ascii="Times New Roman" w:hAnsi="Times New Roman"/>
          <w:sz w:val="24"/>
          <w:szCs w:val="24"/>
          <w:lang w:eastAsia="pl-PL"/>
        </w:rPr>
        <w:t>Wreszcie minister będzie mógł nałożyć na organizację obowiązek przekazania niepodzielonych przychodów z praw na Fundusz Promocji Kultury (ust. 1 pkt 4). W ten sposób przychody te zostaną wykorzystane – podob</w:t>
      </w:r>
      <w:r w:rsidR="00DC207A">
        <w:rPr>
          <w:rFonts w:ascii="Times New Roman" w:hAnsi="Times New Roman"/>
          <w:sz w:val="24"/>
          <w:szCs w:val="24"/>
          <w:lang w:eastAsia="pl-PL"/>
        </w:rPr>
        <w:t>nie jak inne przychody, które w </w:t>
      </w:r>
      <w:r w:rsidRPr="00E24274">
        <w:rPr>
          <w:rFonts w:ascii="Times New Roman" w:hAnsi="Times New Roman"/>
          <w:sz w:val="24"/>
          <w:szCs w:val="24"/>
          <w:lang w:eastAsia="pl-PL"/>
        </w:rPr>
        <w:t>świetle projektu z przyczyn obiektywnych nie podlegają podziałowi – na cele szeroko rozumianej działalności kulturalnej</w:t>
      </w:r>
      <w:r w:rsidR="00536F63">
        <w:rPr>
          <w:rFonts w:ascii="Times New Roman" w:hAnsi="Times New Roman"/>
          <w:sz w:val="24"/>
          <w:szCs w:val="24"/>
          <w:lang w:eastAsia="pl-PL"/>
        </w:rPr>
        <w:t>.</w:t>
      </w:r>
      <w:r w:rsidRPr="00E24274">
        <w:rPr>
          <w:rFonts w:ascii="Times New Roman" w:hAnsi="Times New Roman"/>
          <w:sz w:val="24"/>
          <w:szCs w:val="24"/>
          <w:lang w:eastAsia="pl-PL"/>
        </w:rPr>
        <w:t xml:space="preserve"> </w:t>
      </w:r>
    </w:p>
    <w:p w:rsidR="00D2655C" w:rsidRPr="00E24274" w:rsidRDefault="00D2655C" w:rsidP="00E24274">
      <w:pPr>
        <w:tabs>
          <w:tab w:val="left" w:pos="7615"/>
        </w:tabs>
        <w:spacing w:before="120" w:after="0" w:line="360" w:lineRule="auto"/>
        <w:jc w:val="both"/>
        <w:rPr>
          <w:rFonts w:ascii="Times New Roman" w:hAnsi="Times New Roman"/>
          <w:sz w:val="24"/>
          <w:szCs w:val="24"/>
          <w:lang w:eastAsia="pl-PL"/>
        </w:rPr>
      </w:pPr>
      <w:r w:rsidRPr="00E24274">
        <w:rPr>
          <w:rFonts w:ascii="Times New Roman" w:hAnsi="Times New Roman"/>
          <w:sz w:val="24"/>
          <w:szCs w:val="24"/>
          <w:lang w:eastAsia="pl-PL"/>
        </w:rPr>
        <w:t>3. Projektowany ust. 2 przesądza, że wobec stowarzyszenia, któremu cofnięto zezwolenie na zbiorowe zarządzanie, do czasu wykonania obowiązków, o których mowa w ust. 1, będą miały zastosowanie przepisy art. 34</w:t>
      </w:r>
      <w:r w:rsidR="00B85D46">
        <w:rPr>
          <w:rFonts w:ascii="Times New Roman" w:hAnsi="Times New Roman"/>
          <w:sz w:val="24"/>
          <w:szCs w:val="24"/>
          <w:lang w:eastAsia="pl-PL"/>
        </w:rPr>
        <w:t>–</w:t>
      </w:r>
      <w:r w:rsidRPr="00E24274">
        <w:rPr>
          <w:rFonts w:ascii="Times New Roman" w:hAnsi="Times New Roman"/>
          <w:sz w:val="24"/>
          <w:szCs w:val="24"/>
          <w:lang w:eastAsia="pl-PL"/>
        </w:rPr>
        <w:t>40, art. 56 i art. 84</w:t>
      </w:r>
      <w:r w:rsidR="00B85D46">
        <w:rPr>
          <w:rFonts w:ascii="Times New Roman" w:hAnsi="Times New Roman"/>
          <w:sz w:val="24"/>
          <w:szCs w:val="24"/>
          <w:lang w:eastAsia="pl-PL"/>
        </w:rPr>
        <w:t>–</w:t>
      </w:r>
      <w:r w:rsidRPr="00E24274">
        <w:rPr>
          <w:rFonts w:ascii="Times New Roman" w:hAnsi="Times New Roman"/>
          <w:sz w:val="24"/>
          <w:szCs w:val="24"/>
          <w:lang w:eastAsia="pl-PL"/>
        </w:rPr>
        <w:t xml:space="preserve">103 projektu. Rozwiązanie to ma na celu utrzymanie nadzoru ministra </w:t>
      </w:r>
      <w:r w:rsidRPr="00E24274">
        <w:rPr>
          <w:rFonts w:ascii="Times New Roman" w:hAnsi="Times New Roman"/>
          <w:sz w:val="24"/>
          <w:szCs w:val="24"/>
        </w:rPr>
        <w:t>właściwego do spraw kultury i ochrony dziedzictwa narodowego</w:t>
      </w:r>
      <w:r w:rsidRPr="00E24274">
        <w:rPr>
          <w:rFonts w:ascii="Times New Roman" w:hAnsi="Times New Roman"/>
          <w:sz w:val="24"/>
          <w:szCs w:val="24"/>
          <w:lang w:eastAsia="pl-PL"/>
        </w:rPr>
        <w:t xml:space="preserve"> nad stowarzyszeniami, których zezwolenie zostało cofnięte do czasu wykonywania przez nie ob</w:t>
      </w:r>
      <w:r w:rsidR="00DC207A">
        <w:rPr>
          <w:rFonts w:ascii="Times New Roman" w:hAnsi="Times New Roman"/>
          <w:sz w:val="24"/>
          <w:szCs w:val="24"/>
          <w:lang w:eastAsia="pl-PL"/>
        </w:rPr>
        <w:t>owiązków, o których mowa w ust. </w:t>
      </w:r>
      <w:r w:rsidRPr="00E24274">
        <w:rPr>
          <w:rFonts w:ascii="Times New Roman" w:hAnsi="Times New Roman"/>
          <w:sz w:val="24"/>
          <w:szCs w:val="24"/>
          <w:lang w:eastAsia="pl-PL"/>
        </w:rPr>
        <w:t>1, czyli obowiązków związanych z wypłat</w:t>
      </w:r>
      <w:r w:rsidR="00DC207A">
        <w:rPr>
          <w:rFonts w:ascii="Times New Roman" w:hAnsi="Times New Roman"/>
          <w:sz w:val="24"/>
          <w:szCs w:val="24"/>
          <w:lang w:eastAsia="pl-PL"/>
        </w:rPr>
        <w:t>ą przychodów z praw pobranych w </w:t>
      </w:r>
      <w:r w:rsidRPr="00E24274">
        <w:rPr>
          <w:rFonts w:ascii="Times New Roman" w:hAnsi="Times New Roman"/>
          <w:sz w:val="24"/>
          <w:szCs w:val="24"/>
          <w:lang w:eastAsia="pl-PL"/>
        </w:rPr>
        <w:t xml:space="preserve">okresie, gdy dane stowarzyszenie było organizacją zbiorowego zarządzania. </w:t>
      </w:r>
      <w:r w:rsidRPr="00E24274">
        <w:rPr>
          <w:rFonts w:ascii="Times New Roman" w:hAnsi="Times New Roman"/>
          <w:sz w:val="24"/>
          <w:szCs w:val="24"/>
          <w:lang w:eastAsia="pl-PL"/>
        </w:rPr>
        <w:lastRenderedPageBreak/>
        <w:t>Przesądza ono również, że dokonywanie przez stowarzyszenie obowiązków określonych w ust. 1 w części dotyczącej wypłat na rzecz uprawnionych winno być dokonywane zgodnie z zasadami wiążącymi organizacje zbiorowego zarządzania, mimo utraty tego statusu przez stowarzyszenie po cofnięciu mu zezwolenia przez ministra.</w:t>
      </w:r>
    </w:p>
    <w:p w:rsidR="00D2655C" w:rsidRPr="00E24274" w:rsidRDefault="00D2655C" w:rsidP="00E24274">
      <w:pPr>
        <w:spacing w:before="120" w:after="0" w:line="360" w:lineRule="auto"/>
        <w:jc w:val="both"/>
        <w:rPr>
          <w:rFonts w:ascii="Times New Roman" w:hAnsi="Times New Roman"/>
          <w:sz w:val="24"/>
          <w:szCs w:val="24"/>
          <w:lang w:eastAsia="pl-PL"/>
        </w:rPr>
      </w:pPr>
      <w:r w:rsidRPr="00E24274">
        <w:rPr>
          <w:rFonts w:ascii="Times New Roman" w:hAnsi="Times New Roman"/>
          <w:sz w:val="24"/>
          <w:szCs w:val="24"/>
          <w:lang w:eastAsia="pl-PL"/>
        </w:rPr>
        <w:t>4. Projektowany ust. 3 przesądza, że w przypadku, gdy na stowarzyszenie nałożono obowiązek złożenia podzielonych przychodów z praw do depozytu sądowego, art. 693</w:t>
      </w:r>
      <w:r w:rsidRPr="00E24274">
        <w:rPr>
          <w:rFonts w:ascii="Times New Roman" w:hAnsi="Times New Roman"/>
          <w:sz w:val="24"/>
          <w:szCs w:val="24"/>
          <w:vertAlign w:val="superscript"/>
          <w:lang w:eastAsia="pl-PL"/>
        </w:rPr>
        <w:t>11</w:t>
      </w:r>
      <w:r w:rsidRPr="00E24274">
        <w:rPr>
          <w:rFonts w:ascii="Times New Roman" w:hAnsi="Times New Roman"/>
          <w:sz w:val="24"/>
          <w:szCs w:val="24"/>
          <w:lang w:eastAsia="pl-PL"/>
        </w:rPr>
        <w:t xml:space="preserve"> Kodeksu postępowania cywilnego nie będzie miał zastosowania. Zgodnie z tym ostatnim przepisem: </w:t>
      </w:r>
      <w:r w:rsidR="00E24274">
        <w:rPr>
          <w:rFonts w:ascii="Times New Roman" w:hAnsi="Times New Roman"/>
          <w:sz w:val="24"/>
          <w:szCs w:val="24"/>
          <w:lang w:eastAsia="pl-PL"/>
        </w:rPr>
        <w:t>„</w:t>
      </w:r>
      <w:r w:rsidRPr="00E24274">
        <w:rPr>
          <w:rFonts w:ascii="Times New Roman" w:hAnsi="Times New Roman"/>
          <w:i/>
          <w:sz w:val="24"/>
          <w:szCs w:val="24"/>
          <w:lang w:eastAsia="pl-PL"/>
        </w:rPr>
        <w:t>§ 1. Na żądanie dłużnika sąd zwróci mu depozyt, jeżeli wierzyciel nie zażądał wydania depozytu. § 2. Jeżeli wniosek dłużnika o zwrot depozytu i wniosek wierzyciela o wydanie zostały zgłoszone równocześnie, sąd postanowi wydać depozyt wierzycielowi.</w:t>
      </w:r>
      <w:r w:rsidR="00E24274">
        <w:rPr>
          <w:rFonts w:ascii="Times New Roman" w:hAnsi="Times New Roman"/>
          <w:sz w:val="24"/>
          <w:szCs w:val="24"/>
          <w:lang w:eastAsia="pl-PL"/>
        </w:rPr>
        <w:t>”</w:t>
      </w:r>
      <w:r w:rsidR="00536F63">
        <w:rPr>
          <w:rFonts w:ascii="Times New Roman" w:hAnsi="Times New Roman"/>
          <w:sz w:val="24"/>
          <w:szCs w:val="24"/>
          <w:lang w:eastAsia="pl-PL"/>
        </w:rPr>
        <w:t>.</w:t>
      </w:r>
      <w:r w:rsidRPr="00E24274">
        <w:rPr>
          <w:rFonts w:ascii="Times New Roman" w:hAnsi="Times New Roman"/>
          <w:sz w:val="24"/>
          <w:szCs w:val="24"/>
          <w:lang w:eastAsia="pl-PL"/>
        </w:rPr>
        <w:t xml:space="preserve"> Niewyłączenie stosowania tego przepisu umożliwiałoby w praktyce stowarzyszeniu – już po wykonaniu obowiązku wynikającego ze stosownej decyzji ministra – złożenie skutecznego wniosku o zwrot t</w:t>
      </w:r>
      <w:r w:rsidR="00DC207A">
        <w:rPr>
          <w:rFonts w:ascii="Times New Roman" w:hAnsi="Times New Roman"/>
          <w:sz w:val="24"/>
          <w:szCs w:val="24"/>
          <w:lang w:eastAsia="pl-PL"/>
        </w:rPr>
        <w:t>akiego depozytu, umożliwiając w </w:t>
      </w:r>
      <w:r w:rsidRPr="00E24274">
        <w:rPr>
          <w:rFonts w:ascii="Times New Roman" w:hAnsi="Times New Roman"/>
          <w:sz w:val="24"/>
          <w:szCs w:val="24"/>
          <w:lang w:eastAsia="pl-PL"/>
        </w:rPr>
        <w:t>łatwy sposób obejście proponowanego przepisu ust. 1 pkt 3.</w:t>
      </w:r>
    </w:p>
    <w:p w:rsidR="00D2655C" w:rsidRPr="00E24274" w:rsidRDefault="00D2655C" w:rsidP="00E24274">
      <w:pPr>
        <w:spacing w:before="120" w:after="0" w:line="360" w:lineRule="auto"/>
        <w:jc w:val="both"/>
        <w:rPr>
          <w:rFonts w:ascii="Times New Roman" w:hAnsi="Times New Roman"/>
          <w:b/>
          <w:sz w:val="24"/>
          <w:szCs w:val="24"/>
          <w:lang w:eastAsia="pl-PL"/>
        </w:rPr>
      </w:pPr>
      <w:r w:rsidRPr="00E24274">
        <w:rPr>
          <w:rFonts w:ascii="Times New Roman" w:hAnsi="Times New Roman"/>
          <w:b/>
          <w:sz w:val="24"/>
          <w:szCs w:val="24"/>
          <w:lang w:eastAsia="pl-PL"/>
        </w:rPr>
        <w:t>art. 106</w:t>
      </w:r>
    </w:p>
    <w:p w:rsidR="00D2655C" w:rsidRPr="00E24274" w:rsidRDefault="00D2655C" w:rsidP="00DC207A">
      <w:pPr>
        <w:spacing w:after="0" w:line="360" w:lineRule="auto"/>
        <w:jc w:val="both"/>
        <w:rPr>
          <w:rFonts w:ascii="Times New Roman" w:hAnsi="Times New Roman"/>
          <w:sz w:val="24"/>
          <w:szCs w:val="24"/>
          <w:lang w:eastAsia="pl-PL"/>
        </w:rPr>
      </w:pPr>
      <w:r w:rsidRPr="00E24274">
        <w:rPr>
          <w:rFonts w:ascii="Times New Roman" w:hAnsi="Times New Roman"/>
          <w:sz w:val="24"/>
          <w:szCs w:val="24"/>
          <w:lang w:eastAsia="pl-PL"/>
        </w:rPr>
        <w:t>Projektowany art. 106 nakłada na stowarzyszenie, któremu cofnięto zezwolenie na zbiorowe zarządzanie</w:t>
      </w:r>
      <w:r w:rsidR="00536F63">
        <w:rPr>
          <w:rFonts w:ascii="Times New Roman" w:hAnsi="Times New Roman"/>
          <w:sz w:val="24"/>
          <w:szCs w:val="24"/>
          <w:lang w:eastAsia="pl-PL"/>
        </w:rPr>
        <w:t>,</w:t>
      </w:r>
      <w:r w:rsidRPr="00E24274">
        <w:rPr>
          <w:rFonts w:ascii="Times New Roman" w:hAnsi="Times New Roman"/>
          <w:sz w:val="24"/>
          <w:szCs w:val="24"/>
          <w:lang w:eastAsia="pl-PL"/>
        </w:rPr>
        <w:t xml:space="preserve"> dwa obowiązki. Po pierwsze, zgodnie z pkt 1 będzie ono zobowiązane do poinformowania swoich członków, uprawnionych reprezentowanych na podstawie umowy o zbiorowe zarządzanie, organi</w:t>
      </w:r>
      <w:r w:rsidR="00DC207A">
        <w:rPr>
          <w:rFonts w:ascii="Times New Roman" w:hAnsi="Times New Roman"/>
          <w:sz w:val="24"/>
          <w:szCs w:val="24"/>
          <w:lang w:eastAsia="pl-PL"/>
        </w:rPr>
        <w:t>zacje zbiorowego zarządzania, z </w:t>
      </w:r>
      <w:r w:rsidRPr="00E24274">
        <w:rPr>
          <w:rFonts w:ascii="Times New Roman" w:hAnsi="Times New Roman"/>
          <w:sz w:val="24"/>
          <w:szCs w:val="24"/>
          <w:lang w:eastAsia="pl-PL"/>
        </w:rPr>
        <w:t xml:space="preserve">którymi zawarło umowy o reprezentacji oraz użytkowników, z którymi zawarło umowy o korzystanie z utworów lub przedmiotów praw pokrewnych lub o pobór wynagrodzenia za takie korzystanie, o treści decyzji cofającej zezwolenie ministra na wykonywanie zbiorowego zarządzania, w tym o nałożonych w niej obowiązkach i jej skutkach. Po drugie, zgodnie z pkt 2 stowarzyszenie będzie zobowiązane do </w:t>
      </w:r>
      <w:r w:rsidR="00530476" w:rsidRPr="00E24274">
        <w:rPr>
          <w:rFonts w:ascii="Times New Roman" w:hAnsi="Times New Roman"/>
          <w:sz w:val="24"/>
          <w:szCs w:val="24"/>
          <w:lang w:eastAsia="pl-PL"/>
        </w:rPr>
        <w:t>zamieszczenia</w:t>
      </w:r>
      <w:r w:rsidRPr="00E24274">
        <w:rPr>
          <w:rFonts w:ascii="Times New Roman" w:hAnsi="Times New Roman"/>
          <w:sz w:val="24"/>
          <w:szCs w:val="24"/>
          <w:lang w:eastAsia="pl-PL"/>
        </w:rPr>
        <w:t xml:space="preserve"> informacji o możliwości zgłaszania wobec niego roszczeń o wypłatę przychodów z praw przez uprawnionych</w:t>
      </w:r>
      <w:r w:rsidR="00530476" w:rsidRPr="00E24274">
        <w:rPr>
          <w:rFonts w:ascii="Times New Roman" w:hAnsi="Times New Roman"/>
          <w:sz w:val="24"/>
          <w:szCs w:val="24"/>
          <w:lang w:eastAsia="pl-PL"/>
        </w:rPr>
        <w:t xml:space="preserve"> oraz o</w:t>
      </w:r>
      <w:r w:rsidRPr="00E24274">
        <w:rPr>
          <w:rFonts w:ascii="Times New Roman" w:hAnsi="Times New Roman"/>
          <w:sz w:val="24"/>
          <w:szCs w:val="24"/>
          <w:lang w:eastAsia="pl-PL"/>
        </w:rPr>
        <w:t xml:space="preserve"> treści decyzji, o której mowa w art. 105 ust. 1 projektu, na swojej stronie inter</w:t>
      </w:r>
      <w:r w:rsidR="00DC207A">
        <w:rPr>
          <w:rFonts w:ascii="Times New Roman" w:hAnsi="Times New Roman"/>
          <w:sz w:val="24"/>
          <w:szCs w:val="24"/>
          <w:lang w:eastAsia="pl-PL"/>
        </w:rPr>
        <w:t>netowej. W tym wypadku chodzi o </w:t>
      </w:r>
      <w:r w:rsidRPr="00E24274">
        <w:rPr>
          <w:rFonts w:ascii="Times New Roman" w:hAnsi="Times New Roman"/>
          <w:sz w:val="24"/>
          <w:szCs w:val="24"/>
          <w:lang w:eastAsia="pl-PL"/>
        </w:rPr>
        <w:t xml:space="preserve">poinformowanie przede wszystkim uprawnionych, których organizacja dotychczas nie zidentyfikowała, o możliwości kierowania roszczeń wobec stowarzyszenia, </w:t>
      </w:r>
      <w:r w:rsidR="00536F63">
        <w:rPr>
          <w:rFonts w:ascii="Times New Roman" w:hAnsi="Times New Roman"/>
          <w:sz w:val="24"/>
          <w:szCs w:val="24"/>
          <w:lang w:eastAsia="pl-PL"/>
        </w:rPr>
        <w:t>a</w:t>
      </w:r>
      <w:r w:rsidRPr="00E24274">
        <w:rPr>
          <w:rFonts w:ascii="Times New Roman" w:hAnsi="Times New Roman"/>
          <w:sz w:val="24"/>
          <w:szCs w:val="24"/>
          <w:lang w:eastAsia="pl-PL"/>
        </w:rPr>
        <w:t xml:space="preserve">by ułatwić mu wypłatę przychodów z praw, a tym samym wywiązanie się z obowiązków wynikających z decyzji o cofnięciu zezwolenia na wykonywanie zbiorowego zarządzania. </w:t>
      </w:r>
    </w:p>
    <w:p w:rsidR="00D2655C" w:rsidRPr="00E24274" w:rsidRDefault="00D2655C" w:rsidP="00DC207A">
      <w:pPr>
        <w:spacing w:before="240" w:after="0" w:line="360" w:lineRule="auto"/>
        <w:jc w:val="both"/>
        <w:rPr>
          <w:rFonts w:ascii="Times New Roman" w:hAnsi="Times New Roman"/>
          <w:b/>
          <w:sz w:val="24"/>
          <w:szCs w:val="24"/>
          <w:lang w:eastAsia="pl-PL"/>
        </w:rPr>
      </w:pPr>
      <w:r w:rsidRPr="00E24274">
        <w:rPr>
          <w:rFonts w:ascii="Times New Roman" w:hAnsi="Times New Roman"/>
          <w:b/>
          <w:sz w:val="24"/>
          <w:szCs w:val="24"/>
          <w:lang w:eastAsia="pl-PL"/>
        </w:rPr>
        <w:lastRenderedPageBreak/>
        <w:t>art. 107</w:t>
      </w:r>
    </w:p>
    <w:p w:rsidR="00D2655C" w:rsidRPr="00E24274" w:rsidRDefault="00D2655C" w:rsidP="00DC207A">
      <w:pPr>
        <w:spacing w:after="0" w:line="360" w:lineRule="auto"/>
        <w:jc w:val="both"/>
        <w:rPr>
          <w:rFonts w:ascii="Times New Roman" w:hAnsi="Times New Roman"/>
          <w:sz w:val="24"/>
          <w:szCs w:val="24"/>
          <w:lang w:eastAsia="pl-PL"/>
        </w:rPr>
      </w:pPr>
      <w:r w:rsidRPr="00E24274">
        <w:rPr>
          <w:rFonts w:ascii="Times New Roman" w:hAnsi="Times New Roman"/>
          <w:sz w:val="24"/>
          <w:szCs w:val="24"/>
          <w:lang w:eastAsia="pl-PL"/>
        </w:rPr>
        <w:t>Art. 107 projektu nakłada na członków zarządu stowarzyszenia, któremu cofnięto zezwolenie na zbiorowe zarządzanie, odpowiedzialność solidarną ze stowarzyszeniem za szkodę wyrządzoną działaniem lub zaniechaniem sprzecznym z prawem, statutem organizacji, innymi aktami wewnętrznymi organizacji oraz treścią decyzji, o której mowa w art. 105 ust. 1 projektu. Chodzi przede wszystkim o brak należytej staranności przy rozporządzaniu przychodami z praw, które powinny być wypłacone uprawnionym. Powyższe rozwiązanie służy zdyscyplinowaniu członków zarządów stowarzyszeń do należytego wykonania i nadzoru nad wykonywani</w:t>
      </w:r>
      <w:r w:rsidR="00DC207A">
        <w:rPr>
          <w:rFonts w:ascii="Times New Roman" w:hAnsi="Times New Roman"/>
          <w:sz w:val="24"/>
          <w:szCs w:val="24"/>
          <w:lang w:eastAsia="pl-PL"/>
        </w:rPr>
        <w:t>em obowiązków, o których mowa w </w:t>
      </w:r>
      <w:r w:rsidRPr="00E24274">
        <w:rPr>
          <w:rFonts w:ascii="Times New Roman" w:hAnsi="Times New Roman"/>
          <w:sz w:val="24"/>
          <w:szCs w:val="24"/>
          <w:lang w:eastAsia="pl-PL"/>
        </w:rPr>
        <w:t>art. 105 ust. 1 projektu. Wskazać przy tym należy, że to przede wszystkim od nich – jako osób odpowiedzialnych za bieżące prowadzenie spraw stowarzyszenia i kierowanie jego strukturami organizacyjnymi – zależy w praktyce prawidłowa realizacja tych obowiązków. Wprowadzenie odpowiedzialności solidarnej w tym wypadku jest dodatkowo uzasadnione tym, że obowiązki te będą obciążały stowarzyszenie, wobec którego zastosowano najsurowszą sankcję w związku z nieprawidłowym wykonywaniem zbiorowego zarządzania w postaci odebrania zezwolenia w tym zakresie. Jednocześnie przepis jednoznacznie przesądza, że odpowiedzialność opiera się na zasadzie winy, eliminując ze swego zakresu przedmiotowego przypadki, gdy odpowiedzialność nie powinna być przypisywana członkom zarządu stowarzysz</w:t>
      </w:r>
      <w:r w:rsidR="00536F63">
        <w:rPr>
          <w:rFonts w:ascii="Times New Roman" w:hAnsi="Times New Roman"/>
          <w:sz w:val="24"/>
          <w:szCs w:val="24"/>
          <w:lang w:eastAsia="pl-PL"/>
        </w:rPr>
        <w:t>e</w:t>
      </w:r>
      <w:r w:rsidRPr="00E24274">
        <w:rPr>
          <w:rFonts w:ascii="Times New Roman" w:hAnsi="Times New Roman"/>
          <w:sz w:val="24"/>
          <w:szCs w:val="24"/>
          <w:lang w:eastAsia="pl-PL"/>
        </w:rPr>
        <w:t>nia.</w:t>
      </w:r>
    </w:p>
    <w:p w:rsidR="00D2655C" w:rsidRPr="00E24274" w:rsidRDefault="00D2655C" w:rsidP="00E24274">
      <w:pPr>
        <w:spacing w:before="120" w:after="0" w:line="360" w:lineRule="auto"/>
        <w:jc w:val="both"/>
        <w:rPr>
          <w:rFonts w:ascii="Times New Roman" w:hAnsi="Times New Roman"/>
          <w:b/>
          <w:sz w:val="24"/>
          <w:szCs w:val="24"/>
          <w:lang w:eastAsia="pl-PL"/>
        </w:rPr>
      </w:pPr>
      <w:r w:rsidRPr="00E24274">
        <w:rPr>
          <w:rFonts w:ascii="Times New Roman" w:hAnsi="Times New Roman"/>
          <w:b/>
          <w:sz w:val="24"/>
          <w:szCs w:val="24"/>
          <w:lang w:eastAsia="pl-PL"/>
        </w:rPr>
        <w:t>art. 108</w:t>
      </w:r>
    </w:p>
    <w:p w:rsidR="00D2655C" w:rsidRPr="00E24274" w:rsidRDefault="00D2655C" w:rsidP="00DC207A">
      <w:pPr>
        <w:spacing w:after="0" w:line="360" w:lineRule="auto"/>
        <w:jc w:val="both"/>
        <w:rPr>
          <w:rFonts w:ascii="Times New Roman" w:hAnsi="Times New Roman"/>
          <w:sz w:val="24"/>
          <w:szCs w:val="24"/>
          <w:lang w:eastAsia="pl-PL"/>
        </w:rPr>
      </w:pPr>
      <w:r w:rsidRPr="00E24274">
        <w:rPr>
          <w:rFonts w:ascii="Times New Roman" w:hAnsi="Times New Roman"/>
          <w:sz w:val="24"/>
          <w:szCs w:val="24"/>
          <w:lang w:eastAsia="pl-PL"/>
        </w:rPr>
        <w:t xml:space="preserve">1. Projektowany art. 108 ust. 1 przesądza, że w przypadku rozwiązania stowarzyszenia posiadającego zezwolenie na zbiorowe zarządzania minister z urzędu wszczyna postępowanie o cofnięcie takiemu stowarzyszeniu zezwolenia na zbiorowe zarządzanie. Umożliwi to ministrowi wydanie decyzji, o której mowa w </w:t>
      </w:r>
      <w:r w:rsidR="00DC207A">
        <w:rPr>
          <w:rFonts w:ascii="Times New Roman" w:hAnsi="Times New Roman"/>
          <w:sz w:val="24"/>
          <w:szCs w:val="24"/>
          <w:lang w:eastAsia="pl-PL"/>
        </w:rPr>
        <w:t>art. 105 ust. 1 projektu, w </w:t>
      </w:r>
      <w:r w:rsidRPr="00E24274">
        <w:rPr>
          <w:rFonts w:ascii="Times New Roman" w:hAnsi="Times New Roman"/>
          <w:sz w:val="24"/>
          <w:szCs w:val="24"/>
          <w:lang w:eastAsia="pl-PL"/>
        </w:rPr>
        <w:t xml:space="preserve">której będzie mógł określić obowiązki stowarzyszenia związane z koniecznością wypłaty przychodów z praw uprawnionym. Oczywiście nie wyklucza to możliwości złożenia przez stowarzyszenie wniosku o cofnięcie zezwolenia w takim </w:t>
      </w:r>
      <w:r w:rsidR="00536F63">
        <w:rPr>
          <w:rFonts w:ascii="Times New Roman" w:hAnsi="Times New Roman"/>
          <w:sz w:val="24"/>
          <w:szCs w:val="24"/>
          <w:lang w:eastAsia="pl-PL"/>
        </w:rPr>
        <w:t>prz</w:t>
      </w:r>
      <w:r w:rsidRPr="00E24274">
        <w:rPr>
          <w:rFonts w:ascii="Times New Roman" w:hAnsi="Times New Roman"/>
          <w:sz w:val="24"/>
          <w:szCs w:val="24"/>
          <w:lang w:eastAsia="pl-PL"/>
        </w:rPr>
        <w:t>ypadku.</w:t>
      </w:r>
      <w:r w:rsidR="00E24274">
        <w:rPr>
          <w:rFonts w:ascii="Times New Roman" w:hAnsi="Times New Roman"/>
          <w:sz w:val="24"/>
          <w:szCs w:val="24"/>
          <w:lang w:eastAsia="pl-PL"/>
        </w:rPr>
        <w:t xml:space="preserve"> </w:t>
      </w:r>
      <w:r w:rsidRPr="00E24274">
        <w:rPr>
          <w:rFonts w:ascii="Times New Roman" w:hAnsi="Times New Roman"/>
          <w:sz w:val="24"/>
          <w:szCs w:val="24"/>
          <w:lang w:eastAsia="pl-PL"/>
        </w:rPr>
        <w:t>Brak tego typu regulacji pozwoliłby stowarzyszeniu będącemu organizacją zbiorowego zarządzania rozwiązać się na podstawie np. własnej uchwały, doprowadzając do likwidacji jedynego podmiotu, do którego uprawnieni mogą kierować swoje roszczenia o wypłatę należnych im przychodów z praw, bez ich zaspokojenia. Nie istniałby także podmiot, na którego minister mógłby nałożyć obowiązki związane z wypłatą przychodów z praw. W tej sytuacji przepisy art. 105</w:t>
      </w:r>
      <w:r w:rsidR="00B85D46">
        <w:rPr>
          <w:rFonts w:ascii="Times New Roman" w:hAnsi="Times New Roman"/>
          <w:sz w:val="24"/>
          <w:szCs w:val="24"/>
          <w:lang w:eastAsia="pl-PL"/>
        </w:rPr>
        <w:t>–</w:t>
      </w:r>
      <w:r w:rsidRPr="00E24274">
        <w:rPr>
          <w:rFonts w:ascii="Times New Roman" w:hAnsi="Times New Roman"/>
          <w:sz w:val="24"/>
          <w:szCs w:val="24"/>
          <w:lang w:eastAsia="pl-PL"/>
        </w:rPr>
        <w:t xml:space="preserve">107 projektu byłyby w praktyce </w:t>
      </w:r>
      <w:r w:rsidRPr="00E24274">
        <w:rPr>
          <w:rFonts w:ascii="Times New Roman" w:hAnsi="Times New Roman"/>
          <w:sz w:val="24"/>
          <w:szCs w:val="24"/>
          <w:lang w:eastAsia="pl-PL"/>
        </w:rPr>
        <w:lastRenderedPageBreak/>
        <w:t>łatwe do obejścia, np. przez organizację, w której doszło do poważnych nieprawidłowości i wobec której toczy się postępowanie o cofnięcie jej zezwolenia na wykonywanie zbiorowego zarządzania.</w:t>
      </w:r>
    </w:p>
    <w:p w:rsidR="00D2655C" w:rsidRPr="00E24274" w:rsidRDefault="00D2655C" w:rsidP="00E24274">
      <w:pPr>
        <w:spacing w:before="120" w:after="0" w:line="360" w:lineRule="auto"/>
        <w:jc w:val="both"/>
        <w:rPr>
          <w:rFonts w:ascii="Times New Roman" w:hAnsi="Times New Roman"/>
          <w:sz w:val="24"/>
          <w:szCs w:val="24"/>
          <w:lang w:eastAsia="pl-PL"/>
        </w:rPr>
      </w:pPr>
      <w:r w:rsidRPr="00E24274">
        <w:rPr>
          <w:rFonts w:ascii="Times New Roman" w:hAnsi="Times New Roman"/>
          <w:sz w:val="24"/>
          <w:szCs w:val="24"/>
          <w:lang w:eastAsia="pl-PL"/>
        </w:rPr>
        <w:t xml:space="preserve">2. Natomiast ust. 2 stanowi, że stowarzyszenie, któremu cofnięto zezwolenie na zbiorowe zarządzanie, nie będzie mogło zakończyć skutecznie swojej likwidacji do czasu wykonaniu obowiązków, o których mowa </w:t>
      </w:r>
      <w:r w:rsidR="00536F63">
        <w:rPr>
          <w:rFonts w:ascii="Times New Roman" w:hAnsi="Times New Roman"/>
          <w:sz w:val="24"/>
          <w:szCs w:val="24"/>
          <w:lang w:eastAsia="pl-PL"/>
        </w:rPr>
        <w:t xml:space="preserve">w </w:t>
      </w:r>
      <w:r w:rsidRPr="00E24274">
        <w:rPr>
          <w:rFonts w:ascii="Times New Roman" w:hAnsi="Times New Roman"/>
          <w:sz w:val="24"/>
          <w:szCs w:val="24"/>
          <w:lang w:eastAsia="pl-PL"/>
        </w:rPr>
        <w:t>decyzji wydanej na podstawie projektowanego art. 105 ust. 1 projektu. Przepis ten służy uniknięciu sytuacji zbliżonej do opisanej powyżej i mającej takie same skutki (nieistnienie w sensie prawnym podmiotu odpowiedzialnego za wypłatę przychodów z praw należnych uprawnionym), ale zaistniałej w wyniku zdarzeni</w:t>
      </w:r>
      <w:r w:rsidR="00536F63">
        <w:rPr>
          <w:rFonts w:ascii="Times New Roman" w:hAnsi="Times New Roman"/>
          <w:sz w:val="24"/>
          <w:szCs w:val="24"/>
          <w:lang w:eastAsia="pl-PL"/>
        </w:rPr>
        <w:t>a</w:t>
      </w:r>
      <w:r w:rsidRPr="00E24274">
        <w:rPr>
          <w:rFonts w:ascii="Times New Roman" w:hAnsi="Times New Roman"/>
          <w:sz w:val="24"/>
          <w:szCs w:val="24"/>
          <w:lang w:eastAsia="pl-PL"/>
        </w:rPr>
        <w:t xml:space="preserve"> prawnego późniejszego niż cofnięcie zezwolenia. Zakończenie likwidacji stowarzyszenia przed wyko</w:t>
      </w:r>
      <w:r w:rsidR="00DC207A">
        <w:rPr>
          <w:rFonts w:ascii="Times New Roman" w:hAnsi="Times New Roman"/>
          <w:sz w:val="24"/>
          <w:szCs w:val="24"/>
          <w:lang w:eastAsia="pl-PL"/>
        </w:rPr>
        <w:t>naniem obowiązków określonych w </w:t>
      </w:r>
      <w:r w:rsidRPr="00E24274">
        <w:rPr>
          <w:rFonts w:ascii="Times New Roman" w:hAnsi="Times New Roman"/>
          <w:sz w:val="24"/>
          <w:szCs w:val="24"/>
          <w:lang w:eastAsia="pl-PL"/>
        </w:rPr>
        <w:t>decyzji wydanej na podstawie art. 105 ust. 1 projektu prowadziłoby do zakończenia bytu prawnego przez jedyny podmiot, wobec którego możliwe byłoby egzekwowanie obowiązków związanych z wypłatą przychodów z praw na rzecz uprawnionych.</w:t>
      </w:r>
    </w:p>
    <w:p w:rsidR="00D2655C" w:rsidRPr="00E24274" w:rsidRDefault="00D2655C" w:rsidP="00E24274">
      <w:pPr>
        <w:spacing w:before="120" w:after="0" w:line="360" w:lineRule="auto"/>
        <w:jc w:val="both"/>
        <w:rPr>
          <w:rFonts w:ascii="Times New Roman" w:hAnsi="Times New Roman"/>
          <w:b/>
          <w:sz w:val="24"/>
          <w:szCs w:val="24"/>
          <w:lang w:eastAsia="pl-PL"/>
        </w:rPr>
      </w:pPr>
      <w:r w:rsidRPr="00E24274">
        <w:rPr>
          <w:rFonts w:ascii="Times New Roman" w:hAnsi="Times New Roman"/>
          <w:b/>
          <w:sz w:val="24"/>
          <w:szCs w:val="24"/>
          <w:lang w:eastAsia="pl-PL"/>
        </w:rPr>
        <w:t>II.</w:t>
      </w:r>
      <w:r w:rsidR="00DC207A">
        <w:rPr>
          <w:rFonts w:ascii="Times New Roman" w:hAnsi="Times New Roman"/>
          <w:b/>
          <w:sz w:val="24"/>
          <w:szCs w:val="24"/>
          <w:lang w:eastAsia="pl-PL"/>
        </w:rPr>
        <w:t xml:space="preserve"> </w:t>
      </w:r>
      <w:r w:rsidRPr="00E24274">
        <w:rPr>
          <w:rFonts w:ascii="Times New Roman" w:hAnsi="Times New Roman"/>
          <w:b/>
          <w:sz w:val="24"/>
          <w:szCs w:val="24"/>
          <w:lang w:eastAsia="pl-PL"/>
        </w:rPr>
        <w:t xml:space="preserve">12. Rozdział 12. Niezależne podmioty zarządzające prawami autorskimi </w:t>
      </w:r>
      <w:r w:rsidR="00530476" w:rsidRPr="00E24274">
        <w:rPr>
          <w:rFonts w:ascii="Times New Roman" w:hAnsi="Times New Roman"/>
          <w:b/>
          <w:sz w:val="24"/>
          <w:szCs w:val="24"/>
          <w:lang w:eastAsia="pl-PL"/>
        </w:rPr>
        <w:t>lub</w:t>
      </w:r>
      <w:r w:rsidRPr="00E24274">
        <w:rPr>
          <w:rFonts w:ascii="Times New Roman" w:hAnsi="Times New Roman"/>
          <w:b/>
          <w:sz w:val="24"/>
          <w:szCs w:val="24"/>
          <w:lang w:eastAsia="pl-PL"/>
        </w:rPr>
        <w:t xml:space="preserve"> prawami pokrewnymi</w:t>
      </w:r>
    </w:p>
    <w:p w:rsidR="00D2655C" w:rsidRPr="00E24274" w:rsidRDefault="00D2655C" w:rsidP="00E24274">
      <w:pPr>
        <w:spacing w:before="120" w:after="0" w:line="360" w:lineRule="auto"/>
        <w:jc w:val="both"/>
        <w:rPr>
          <w:rFonts w:ascii="Times New Roman" w:hAnsi="Times New Roman"/>
          <w:sz w:val="24"/>
          <w:szCs w:val="24"/>
          <w:lang w:eastAsia="pl-PL"/>
        </w:rPr>
      </w:pPr>
      <w:r w:rsidRPr="00E24274">
        <w:rPr>
          <w:rFonts w:ascii="Times New Roman" w:hAnsi="Times New Roman"/>
          <w:b/>
          <w:sz w:val="24"/>
          <w:szCs w:val="24"/>
          <w:lang w:eastAsia="pl-PL"/>
        </w:rPr>
        <w:t>art. 109</w:t>
      </w:r>
    </w:p>
    <w:p w:rsidR="00D2655C" w:rsidRPr="00E24274" w:rsidRDefault="00D2655C" w:rsidP="00E24274">
      <w:pPr>
        <w:spacing w:before="120" w:after="0" w:line="360" w:lineRule="auto"/>
        <w:jc w:val="both"/>
        <w:rPr>
          <w:rFonts w:ascii="Times New Roman" w:hAnsi="Times New Roman"/>
          <w:sz w:val="24"/>
          <w:szCs w:val="24"/>
          <w:lang w:eastAsia="pl-PL"/>
        </w:rPr>
      </w:pPr>
      <w:r w:rsidRPr="00E24274">
        <w:rPr>
          <w:rFonts w:ascii="Times New Roman" w:hAnsi="Times New Roman"/>
          <w:sz w:val="24"/>
          <w:szCs w:val="24"/>
          <w:lang w:eastAsia="pl-PL"/>
        </w:rPr>
        <w:t xml:space="preserve">Art. 2 ust. 4 dyrektywy CRM zobowiązuje państwa członkowskie do objęcia częścią wdrażających ją przepisów tzw. niezależnych podmiotów zarządzających mających siedzibę w Unii. Uzasadnienie takiego rozwiązania zawarto w motywie 15 preambuły dyrektywy, w którym wskazano, że w zakresie, w jakim podmioty te prowadzą taką samą działalność jak organizacje zbiorowego zarządzania, powinny one podlegać obowiązkom dyrektywy, a więc w szczególności być </w:t>
      </w:r>
      <w:r w:rsidR="00E24274">
        <w:rPr>
          <w:rFonts w:ascii="Times New Roman" w:hAnsi="Times New Roman"/>
          <w:sz w:val="24"/>
          <w:szCs w:val="24"/>
          <w:lang w:eastAsia="pl-PL"/>
        </w:rPr>
        <w:t>„</w:t>
      </w:r>
      <w:r w:rsidRPr="00E24274">
        <w:rPr>
          <w:rFonts w:ascii="Times New Roman" w:hAnsi="Times New Roman"/>
          <w:sz w:val="24"/>
          <w:szCs w:val="24"/>
          <w:lang w:eastAsia="pl-PL"/>
        </w:rPr>
        <w:t>zobowiązane do udzielania określonych informacji podmiotom uprawnionym, które reprezentują, organizacjom zbiorowego zarządzania, użytkownikom i odbiorcom</w:t>
      </w:r>
      <w:r w:rsidR="00E24274">
        <w:rPr>
          <w:rFonts w:ascii="Times New Roman" w:hAnsi="Times New Roman"/>
          <w:sz w:val="24"/>
          <w:szCs w:val="24"/>
          <w:lang w:eastAsia="pl-PL"/>
        </w:rPr>
        <w:t>”</w:t>
      </w:r>
      <w:r w:rsidRPr="00E24274">
        <w:rPr>
          <w:rFonts w:ascii="Times New Roman" w:hAnsi="Times New Roman"/>
          <w:sz w:val="24"/>
          <w:szCs w:val="24"/>
          <w:lang w:eastAsia="pl-PL"/>
        </w:rPr>
        <w:t>.</w:t>
      </w:r>
    </w:p>
    <w:p w:rsidR="00D2655C" w:rsidRPr="00E24274" w:rsidRDefault="00D2655C" w:rsidP="00E24274">
      <w:pPr>
        <w:spacing w:before="120" w:after="0" w:line="360" w:lineRule="auto"/>
        <w:jc w:val="both"/>
        <w:rPr>
          <w:rFonts w:ascii="Times New Roman" w:hAnsi="Times New Roman"/>
          <w:sz w:val="24"/>
          <w:szCs w:val="24"/>
          <w:lang w:eastAsia="pl-PL"/>
        </w:rPr>
      </w:pPr>
      <w:r w:rsidRPr="00E24274">
        <w:rPr>
          <w:rFonts w:ascii="Times New Roman" w:hAnsi="Times New Roman"/>
          <w:sz w:val="24"/>
          <w:szCs w:val="24"/>
          <w:lang w:eastAsia="pl-PL"/>
        </w:rPr>
        <w:t>Punktem wyjścia przy projektowaniu krajowej regulacji niezależnych podmiotów zarządzających powinno być więc dokonanie oceny, w jakim zakresie działalność podobna do organizacji zbiorowego zarządzania może być wykonywana przez podmioty niemające statusu takich organizacji. Szereg uprawnień w sferze zarządzania prawami autorskimi i prawami pokrewnymi</w:t>
      </w:r>
      <w:r w:rsidR="0097443B">
        <w:rPr>
          <w:rFonts w:ascii="Times New Roman" w:hAnsi="Times New Roman"/>
          <w:sz w:val="24"/>
          <w:szCs w:val="24"/>
          <w:lang w:eastAsia="pl-PL"/>
        </w:rPr>
        <w:t>,</w:t>
      </w:r>
      <w:r w:rsidRPr="00E24274">
        <w:rPr>
          <w:rFonts w:ascii="Times New Roman" w:hAnsi="Times New Roman"/>
          <w:sz w:val="24"/>
          <w:szCs w:val="24"/>
          <w:lang w:eastAsia="pl-PL"/>
        </w:rPr>
        <w:t xml:space="preserve"> zarówno n</w:t>
      </w:r>
      <w:r w:rsidR="00DC207A">
        <w:rPr>
          <w:rFonts w:ascii="Times New Roman" w:hAnsi="Times New Roman"/>
          <w:sz w:val="24"/>
          <w:szCs w:val="24"/>
          <w:lang w:eastAsia="pl-PL"/>
        </w:rPr>
        <w:t>a gruncie dotychczasowych</w:t>
      </w:r>
      <w:r w:rsidR="005267A5">
        <w:rPr>
          <w:rFonts w:ascii="Times New Roman" w:hAnsi="Times New Roman"/>
          <w:sz w:val="24"/>
          <w:szCs w:val="24"/>
          <w:lang w:eastAsia="pl-PL"/>
        </w:rPr>
        <w:t>,</w:t>
      </w:r>
      <w:r w:rsidR="00DC207A">
        <w:rPr>
          <w:rFonts w:ascii="Times New Roman" w:hAnsi="Times New Roman"/>
          <w:sz w:val="24"/>
          <w:szCs w:val="24"/>
          <w:lang w:eastAsia="pl-PL"/>
        </w:rPr>
        <w:t xml:space="preserve"> jak i </w:t>
      </w:r>
      <w:r w:rsidRPr="00E24274">
        <w:rPr>
          <w:rFonts w:ascii="Times New Roman" w:hAnsi="Times New Roman"/>
          <w:sz w:val="24"/>
          <w:szCs w:val="24"/>
          <w:lang w:eastAsia="pl-PL"/>
        </w:rPr>
        <w:t xml:space="preserve">projektowanych przepisów, przysługuje wyłącznie organizacjom zbiorowego zarządzania. Dotyczy to przede wszystkim reprezentowana globalnego repertuaru </w:t>
      </w:r>
      <w:r w:rsidRPr="00E24274">
        <w:rPr>
          <w:rFonts w:ascii="Times New Roman" w:hAnsi="Times New Roman"/>
          <w:sz w:val="24"/>
          <w:szCs w:val="24"/>
          <w:lang w:eastAsia="pl-PL"/>
        </w:rPr>
        <w:lastRenderedPageBreak/>
        <w:t xml:space="preserve">potrzeby masowego licencjonowania utworów i przedmiotów praw pokrewnych na polach eksploatacji takich jak nadawanie w zakresie </w:t>
      </w:r>
      <w:r w:rsidR="00E24274">
        <w:rPr>
          <w:rFonts w:ascii="Times New Roman" w:hAnsi="Times New Roman"/>
          <w:sz w:val="24"/>
          <w:szCs w:val="24"/>
          <w:lang w:eastAsia="pl-PL"/>
        </w:rPr>
        <w:t>„</w:t>
      </w:r>
      <w:r w:rsidRPr="00E24274">
        <w:rPr>
          <w:rFonts w:ascii="Times New Roman" w:hAnsi="Times New Roman"/>
          <w:sz w:val="24"/>
          <w:szCs w:val="24"/>
          <w:lang w:eastAsia="pl-PL"/>
        </w:rPr>
        <w:t>małych praw</w:t>
      </w:r>
      <w:r w:rsidR="00E24274">
        <w:rPr>
          <w:rFonts w:ascii="Times New Roman" w:hAnsi="Times New Roman"/>
          <w:sz w:val="24"/>
          <w:szCs w:val="24"/>
          <w:lang w:eastAsia="pl-PL"/>
        </w:rPr>
        <w:t>”</w:t>
      </w:r>
      <w:r w:rsidRPr="00E24274">
        <w:rPr>
          <w:rFonts w:ascii="Times New Roman" w:hAnsi="Times New Roman"/>
          <w:sz w:val="24"/>
          <w:szCs w:val="24"/>
          <w:lang w:eastAsia="pl-PL"/>
        </w:rPr>
        <w:t xml:space="preserve"> czy reemisja, jak również wykonywania przysługującego uprawnionym prawa do wynagrodzenia. Stąd też duży obszar praw, których wykonywanie zostało zastrzeżone wyłącznie dla organizacji zbiorowego zarządzania poprzez wymóg ich obowiązkowego pośrednictwa.</w:t>
      </w:r>
    </w:p>
    <w:p w:rsidR="00D2655C" w:rsidRPr="00E24274" w:rsidRDefault="00D2655C" w:rsidP="00E24274">
      <w:pPr>
        <w:spacing w:before="120" w:after="0" w:line="360" w:lineRule="auto"/>
        <w:jc w:val="both"/>
        <w:rPr>
          <w:rFonts w:ascii="Times New Roman" w:hAnsi="Times New Roman"/>
          <w:sz w:val="24"/>
          <w:szCs w:val="24"/>
          <w:lang w:eastAsia="pl-PL"/>
        </w:rPr>
      </w:pPr>
      <w:r w:rsidRPr="00E24274">
        <w:rPr>
          <w:rFonts w:ascii="Times New Roman" w:hAnsi="Times New Roman"/>
          <w:sz w:val="24"/>
          <w:szCs w:val="24"/>
          <w:lang w:eastAsia="pl-PL"/>
        </w:rPr>
        <w:t>Z powyższego wynika, że zarządzanie prawami przez podmioty niebędące organizacjami zbiorowego zarządzania</w:t>
      </w:r>
      <w:r w:rsidR="0097443B">
        <w:rPr>
          <w:rFonts w:ascii="Times New Roman" w:hAnsi="Times New Roman"/>
          <w:sz w:val="24"/>
          <w:szCs w:val="24"/>
          <w:lang w:eastAsia="pl-PL"/>
        </w:rPr>
        <w:t>,</w:t>
      </w:r>
      <w:r w:rsidRPr="00E24274">
        <w:rPr>
          <w:rFonts w:ascii="Times New Roman" w:hAnsi="Times New Roman"/>
          <w:sz w:val="24"/>
          <w:szCs w:val="24"/>
          <w:lang w:eastAsia="pl-PL"/>
        </w:rPr>
        <w:t xml:space="preserve"> zarówno z przyczyn pra</w:t>
      </w:r>
      <w:r w:rsidR="00DC207A">
        <w:rPr>
          <w:rFonts w:ascii="Times New Roman" w:hAnsi="Times New Roman"/>
          <w:sz w:val="24"/>
          <w:szCs w:val="24"/>
          <w:lang w:eastAsia="pl-PL"/>
        </w:rPr>
        <w:t>ktycznych</w:t>
      </w:r>
      <w:r w:rsidR="0097443B">
        <w:rPr>
          <w:rFonts w:ascii="Times New Roman" w:hAnsi="Times New Roman"/>
          <w:sz w:val="24"/>
          <w:szCs w:val="24"/>
          <w:lang w:eastAsia="pl-PL"/>
        </w:rPr>
        <w:t>,</w:t>
      </w:r>
      <w:r w:rsidR="00DC207A">
        <w:rPr>
          <w:rFonts w:ascii="Times New Roman" w:hAnsi="Times New Roman"/>
          <w:sz w:val="24"/>
          <w:szCs w:val="24"/>
          <w:lang w:eastAsia="pl-PL"/>
        </w:rPr>
        <w:t xml:space="preserve"> jak i </w:t>
      </w:r>
      <w:r w:rsidRPr="00E24274">
        <w:rPr>
          <w:rFonts w:ascii="Times New Roman" w:hAnsi="Times New Roman"/>
          <w:sz w:val="24"/>
          <w:szCs w:val="24"/>
          <w:lang w:eastAsia="pl-PL"/>
        </w:rPr>
        <w:t xml:space="preserve">prawnych, odbywa się przede wszystkim w zakresie, w jakim nie ma ono charakteru </w:t>
      </w:r>
      <w:r w:rsidR="00E24274">
        <w:rPr>
          <w:rFonts w:ascii="Times New Roman" w:hAnsi="Times New Roman"/>
          <w:sz w:val="24"/>
          <w:szCs w:val="24"/>
          <w:lang w:eastAsia="pl-PL"/>
        </w:rPr>
        <w:t>„</w:t>
      </w:r>
      <w:r w:rsidRPr="00E24274">
        <w:rPr>
          <w:rFonts w:ascii="Times New Roman" w:hAnsi="Times New Roman"/>
          <w:sz w:val="24"/>
          <w:szCs w:val="24"/>
          <w:lang w:eastAsia="pl-PL"/>
        </w:rPr>
        <w:t>zbiorowego</w:t>
      </w:r>
      <w:r w:rsidR="00E24274">
        <w:rPr>
          <w:rFonts w:ascii="Times New Roman" w:hAnsi="Times New Roman"/>
          <w:sz w:val="24"/>
          <w:szCs w:val="24"/>
          <w:lang w:eastAsia="pl-PL"/>
        </w:rPr>
        <w:t>”</w:t>
      </w:r>
      <w:r w:rsidRPr="00E24274">
        <w:rPr>
          <w:rFonts w:ascii="Times New Roman" w:hAnsi="Times New Roman"/>
          <w:sz w:val="24"/>
          <w:szCs w:val="24"/>
          <w:lang w:eastAsia="pl-PL"/>
        </w:rPr>
        <w:t>, ale jest ograniczone do licencjonowania praw do konkretnych utworów lub przedmiotów praw pokrewnych. Zarządz</w:t>
      </w:r>
      <w:r w:rsidR="00DC207A">
        <w:rPr>
          <w:rFonts w:ascii="Times New Roman" w:hAnsi="Times New Roman"/>
          <w:sz w:val="24"/>
          <w:szCs w:val="24"/>
          <w:lang w:eastAsia="pl-PL"/>
        </w:rPr>
        <w:t>anie to – co wynika z motywu 16 </w:t>
      </w:r>
      <w:r w:rsidRPr="00E24274">
        <w:rPr>
          <w:rFonts w:ascii="Times New Roman" w:hAnsi="Times New Roman"/>
          <w:sz w:val="24"/>
          <w:szCs w:val="24"/>
          <w:lang w:eastAsia="pl-PL"/>
        </w:rPr>
        <w:t>preambuły dyrektywy – powinno być rozumiane jako świadczenie usług na rzecz uprawnionych, a nie wykonywanie praw od nich nabytych, w takim przypadku bowiem nabywca praw sam staje się uprawnionym. Dyrektywa w sposób wyraźny przesądza, że niezależnym podmiotem zarządzającym nie jest podmiot wykonujący prawa nabyte od innych uprawnionych, ale działający we własnym interesie (np. wydawca lub producent). Oczywistym jest też, że organizacja zbiorowego zarządzania, w zakresie posiadanego zezwolenia, nie może być równocześnie uznawana za niezależny podmiot zarządzający.</w:t>
      </w:r>
    </w:p>
    <w:p w:rsidR="00D2655C" w:rsidRPr="00E24274" w:rsidRDefault="00D2655C" w:rsidP="00E24274">
      <w:pPr>
        <w:spacing w:before="120" w:after="0" w:line="360" w:lineRule="auto"/>
        <w:jc w:val="both"/>
        <w:rPr>
          <w:rFonts w:ascii="Times New Roman" w:hAnsi="Times New Roman"/>
          <w:sz w:val="24"/>
          <w:szCs w:val="24"/>
          <w:lang w:eastAsia="pl-PL"/>
        </w:rPr>
      </w:pPr>
      <w:r w:rsidRPr="00E24274">
        <w:rPr>
          <w:rFonts w:ascii="Times New Roman" w:hAnsi="Times New Roman"/>
          <w:sz w:val="24"/>
          <w:szCs w:val="24"/>
          <w:lang w:eastAsia="pl-PL"/>
        </w:rPr>
        <w:t xml:space="preserve">Art. 3 lit. b dyrektywy zawiera definicję </w:t>
      </w:r>
      <w:r w:rsidR="00E24274">
        <w:rPr>
          <w:rFonts w:ascii="Times New Roman" w:hAnsi="Times New Roman"/>
          <w:sz w:val="24"/>
          <w:szCs w:val="24"/>
          <w:lang w:eastAsia="pl-PL"/>
        </w:rPr>
        <w:t>„</w:t>
      </w:r>
      <w:r w:rsidRPr="00E24274">
        <w:rPr>
          <w:rFonts w:ascii="Times New Roman" w:hAnsi="Times New Roman"/>
          <w:sz w:val="24"/>
          <w:szCs w:val="24"/>
          <w:lang w:eastAsia="pl-PL"/>
        </w:rPr>
        <w:t>niezależnego podmiotu zarządzającego</w:t>
      </w:r>
      <w:r w:rsidR="00E24274">
        <w:rPr>
          <w:rFonts w:ascii="Times New Roman" w:hAnsi="Times New Roman"/>
          <w:sz w:val="24"/>
          <w:szCs w:val="24"/>
          <w:lang w:eastAsia="pl-PL"/>
        </w:rPr>
        <w:t>”</w:t>
      </w:r>
      <w:r w:rsidRPr="00E24274">
        <w:rPr>
          <w:rFonts w:ascii="Times New Roman" w:hAnsi="Times New Roman"/>
          <w:sz w:val="24"/>
          <w:szCs w:val="24"/>
          <w:lang w:eastAsia="pl-PL"/>
        </w:rPr>
        <w:t>, do którego zastosowanie powinny znaleźć niektóre przepi</w:t>
      </w:r>
      <w:r w:rsidR="00DC207A">
        <w:rPr>
          <w:rFonts w:ascii="Times New Roman" w:hAnsi="Times New Roman"/>
          <w:sz w:val="24"/>
          <w:szCs w:val="24"/>
          <w:lang w:eastAsia="pl-PL"/>
        </w:rPr>
        <w:t>sy dyrektywy, wymienione w art. </w:t>
      </w:r>
      <w:r w:rsidRPr="00E24274">
        <w:rPr>
          <w:rFonts w:ascii="Times New Roman" w:hAnsi="Times New Roman"/>
          <w:sz w:val="24"/>
          <w:szCs w:val="24"/>
          <w:lang w:eastAsia="pl-PL"/>
        </w:rPr>
        <w:t>2 ust. 4. Taka konstrukcja sprawia jednak, że regulacja została ograniczona podmiotowo – a więc obejmuje wszystkie podmioty spełniające przesłanki wymienione w definicji, a nie przedmiotowo – obejmując wszystkie podmioty wykonujące określoną działalność. Niezależnym podmiotem zarządzającym na gruncie dyrektywy jest zatem:</w:t>
      </w:r>
    </w:p>
    <w:p w:rsidR="00D2655C" w:rsidRPr="00E24274" w:rsidRDefault="00E24274" w:rsidP="00DC207A">
      <w:pPr>
        <w:numPr>
          <w:ilvl w:val="0"/>
          <w:numId w:val="37"/>
        </w:numPr>
        <w:spacing w:after="0" w:line="360" w:lineRule="auto"/>
        <w:ind w:left="406" w:hanging="406"/>
        <w:jc w:val="both"/>
        <w:rPr>
          <w:rFonts w:ascii="Times New Roman" w:hAnsi="Times New Roman"/>
          <w:sz w:val="24"/>
          <w:szCs w:val="24"/>
          <w:lang w:eastAsia="pl-PL"/>
        </w:rPr>
      </w:pPr>
      <w:r>
        <w:rPr>
          <w:rFonts w:ascii="Times New Roman" w:hAnsi="Times New Roman"/>
          <w:sz w:val="24"/>
          <w:szCs w:val="24"/>
          <w:lang w:eastAsia="pl-PL"/>
        </w:rPr>
        <w:t>„</w:t>
      </w:r>
      <w:r w:rsidR="00D2655C" w:rsidRPr="00E24274">
        <w:rPr>
          <w:rFonts w:ascii="Times New Roman" w:hAnsi="Times New Roman"/>
          <w:sz w:val="24"/>
          <w:szCs w:val="24"/>
          <w:lang w:eastAsia="pl-PL"/>
        </w:rPr>
        <w:t>organizacja</w:t>
      </w:r>
      <w:r>
        <w:rPr>
          <w:rFonts w:ascii="Times New Roman" w:hAnsi="Times New Roman"/>
          <w:sz w:val="24"/>
          <w:szCs w:val="24"/>
          <w:lang w:eastAsia="pl-PL"/>
        </w:rPr>
        <w:t>”</w:t>
      </w:r>
      <w:r w:rsidR="00D2655C" w:rsidRPr="00E24274">
        <w:rPr>
          <w:rFonts w:ascii="Times New Roman" w:hAnsi="Times New Roman"/>
          <w:sz w:val="24"/>
          <w:szCs w:val="24"/>
          <w:lang w:eastAsia="pl-PL"/>
        </w:rPr>
        <w:t>, a więc wyłączona z tej regulacji jest d</w:t>
      </w:r>
      <w:r w:rsidR="00DC207A">
        <w:rPr>
          <w:rFonts w:ascii="Times New Roman" w:hAnsi="Times New Roman"/>
          <w:sz w:val="24"/>
          <w:szCs w:val="24"/>
          <w:lang w:eastAsia="pl-PL"/>
        </w:rPr>
        <w:t>ziałalność osób fizycznych, np. </w:t>
      </w:r>
      <w:r w:rsidR="00D2655C" w:rsidRPr="00E24274">
        <w:rPr>
          <w:rFonts w:ascii="Times New Roman" w:hAnsi="Times New Roman"/>
          <w:sz w:val="24"/>
          <w:szCs w:val="24"/>
          <w:lang w:eastAsia="pl-PL"/>
        </w:rPr>
        <w:t>działających w charakterze agentów,</w:t>
      </w:r>
    </w:p>
    <w:p w:rsidR="00D2655C" w:rsidRPr="00E24274" w:rsidRDefault="00E24274" w:rsidP="00DC207A">
      <w:pPr>
        <w:numPr>
          <w:ilvl w:val="0"/>
          <w:numId w:val="37"/>
        </w:numPr>
        <w:spacing w:after="0" w:line="360" w:lineRule="auto"/>
        <w:ind w:left="406" w:hanging="406"/>
        <w:jc w:val="both"/>
        <w:rPr>
          <w:rFonts w:ascii="Times New Roman" w:hAnsi="Times New Roman"/>
          <w:sz w:val="24"/>
          <w:szCs w:val="24"/>
          <w:lang w:eastAsia="pl-PL"/>
        </w:rPr>
      </w:pPr>
      <w:r>
        <w:rPr>
          <w:rFonts w:ascii="Times New Roman" w:hAnsi="Times New Roman"/>
          <w:sz w:val="24"/>
          <w:szCs w:val="24"/>
          <w:lang w:eastAsia="pl-PL"/>
        </w:rPr>
        <w:t>„</w:t>
      </w:r>
      <w:r w:rsidR="00D2655C" w:rsidRPr="00E24274">
        <w:rPr>
          <w:rFonts w:ascii="Times New Roman" w:hAnsi="Times New Roman"/>
          <w:sz w:val="24"/>
          <w:szCs w:val="24"/>
          <w:lang w:eastAsia="pl-PL"/>
        </w:rPr>
        <w:t>nastawiona na zysk</w:t>
      </w:r>
      <w:r>
        <w:rPr>
          <w:rFonts w:ascii="Times New Roman" w:hAnsi="Times New Roman"/>
          <w:sz w:val="24"/>
          <w:szCs w:val="24"/>
          <w:lang w:eastAsia="pl-PL"/>
        </w:rPr>
        <w:t>”</w:t>
      </w:r>
      <w:r w:rsidR="00D2655C" w:rsidRPr="00E24274">
        <w:rPr>
          <w:rFonts w:ascii="Times New Roman" w:hAnsi="Times New Roman"/>
          <w:sz w:val="24"/>
          <w:szCs w:val="24"/>
          <w:lang w:eastAsia="pl-PL"/>
        </w:rPr>
        <w:t>, czyli prowadząca działalność gospodarczą,</w:t>
      </w:r>
    </w:p>
    <w:p w:rsidR="00D2655C" w:rsidRPr="00E24274" w:rsidRDefault="00D2655C" w:rsidP="00DC207A">
      <w:pPr>
        <w:numPr>
          <w:ilvl w:val="0"/>
          <w:numId w:val="37"/>
        </w:numPr>
        <w:spacing w:after="0" w:line="360" w:lineRule="auto"/>
        <w:ind w:left="406" w:hanging="406"/>
        <w:jc w:val="both"/>
        <w:rPr>
          <w:rFonts w:ascii="Times New Roman" w:hAnsi="Times New Roman"/>
          <w:sz w:val="24"/>
          <w:szCs w:val="24"/>
          <w:lang w:eastAsia="pl-PL"/>
        </w:rPr>
      </w:pPr>
      <w:r w:rsidRPr="00E24274">
        <w:rPr>
          <w:rFonts w:ascii="Times New Roman" w:hAnsi="Times New Roman"/>
          <w:sz w:val="24"/>
          <w:szCs w:val="24"/>
          <w:lang w:eastAsia="pl-PL"/>
        </w:rPr>
        <w:t xml:space="preserve">która </w:t>
      </w:r>
      <w:r w:rsidR="00E24274">
        <w:rPr>
          <w:rFonts w:ascii="Times New Roman" w:hAnsi="Times New Roman"/>
          <w:sz w:val="24"/>
          <w:szCs w:val="24"/>
          <w:lang w:eastAsia="pl-PL"/>
        </w:rPr>
        <w:t>„</w:t>
      </w:r>
      <w:r w:rsidRPr="00E24274">
        <w:rPr>
          <w:rFonts w:ascii="Times New Roman" w:hAnsi="Times New Roman"/>
          <w:sz w:val="24"/>
          <w:szCs w:val="24"/>
          <w:lang w:eastAsia="pl-PL"/>
        </w:rPr>
        <w:t>nie należy do podmiotów uprawnionych ani nie podlega ich kontroli bezpośrednio lub pośrednio, w całości lub części</w:t>
      </w:r>
      <w:r w:rsidR="00E24274">
        <w:rPr>
          <w:rFonts w:ascii="Times New Roman" w:hAnsi="Times New Roman"/>
          <w:sz w:val="24"/>
          <w:szCs w:val="24"/>
          <w:lang w:eastAsia="pl-PL"/>
        </w:rPr>
        <w:t>”</w:t>
      </w:r>
      <w:r w:rsidRPr="00E24274">
        <w:rPr>
          <w:rFonts w:ascii="Times New Roman" w:hAnsi="Times New Roman"/>
          <w:sz w:val="24"/>
          <w:szCs w:val="24"/>
          <w:lang w:eastAsia="pl-PL"/>
        </w:rPr>
        <w:t>;</w:t>
      </w:r>
    </w:p>
    <w:p w:rsidR="00D2655C" w:rsidRPr="00E24274" w:rsidRDefault="00D2655C" w:rsidP="00DC207A">
      <w:pPr>
        <w:numPr>
          <w:ilvl w:val="0"/>
          <w:numId w:val="37"/>
        </w:numPr>
        <w:spacing w:after="0" w:line="360" w:lineRule="auto"/>
        <w:ind w:left="406" w:hanging="406"/>
        <w:jc w:val="both"/>
        <w:rPr>
          <w:rFonts w:ascii="Times New Roman" w:hAnsi="Times New Roman"/>
          <w:sz w:val="24"/>
          <w:szCs w:val="24"/>
          <w:lang w:eastAsia="pl-PL"/>
        </w:rPr>
      </w:pPr>
      <w:r w:rsidRPr="00E24274">
        <w:rPr>
          <w:rFonts w:ascii="Times New Roman" w:hAnsi="Times New Roman"/>
          <w:sz w:val="24"/>
          <w:szCs w:val="24"/>
          <w:lang w:eastAsia="pl-PL"/>
        </w:rPr>
        <w:t xml:space="preserve">jeśli jedynym lub głównym przedmiotem jej działalności jest </w:t>
      </w:r>
      <w:r w:rsidR="00E24274">
        <w:rPr>
          <w:rFonts w:ascii="Times New Roman" w:hAnsi="Times New Roman"/>
          <w:sz w:val="24"/>
          <w:szCs w:val="24"/>
          <w:lang w:eastAsia="pl-PL"/>
        </w:rPr>
        <w:t>„</w:t>
      </w:r>
      <w:r w:rsidRPr="00E24274">
        <w:rPr>
          <w:rFonts w:ascii="Times New Roman" w:hAnsi="Times New Roman"/>
          <w:sz w:val="24"/>
          <w:szCs w:val="24"/>
          <w:lang w:eastAsia="pl-PL"/>
        </w:rPr>
        <w:t>zarządzanie prawami autorskimi lub prawami pokrewnymi w imieniu więcej niż jednego podmiotu uprawnionego, dla zbiorowej korzyści tych podmiotów uprawnionych</w:t>
      </w:r>
      <w:r w:rsidR="00E24274">
        <w:rPr>
          <w:rFonts w:ascii="Times New Roman" w:hAnsi="Times New Roman"/>
          <w:sz w:val="24"/>
          <w:szCs w:val="24"/>
          <w:lang w:eastAsia="pl-PL"/>
        </w:rPr>
        <w:t>”</w:t>
      </w:r>
      <w:r w:rsidRPr="00E24274">
        <w:rPr>
          <w:rFonts w:ascii="Times New Roman" w:hAnsi="Times New Roman"/>
          <w:sz w:val="24"/>
          <w:szCs w:val="24"/>
          <w:lang w:eastAsia="pl-PL"/>
        </w:rPr>
        <w:t>,</w:t>
      </w:r>
    </w:p>
    <w:p w:rsidR="00D2655C" w:rsidRPr="00E24274" w:rsidRDefault="00D2655C" w:rsidP="00DC207A">
      <w:pPr>
        <w:numPr>
          <w:ilvl w:val="0"/>
          <w:numId w:val="37"/>
        </w:numPr>
        <w:spacing w:after="0" w:line="360" w:lineRule="auto"/>
        <w:ind w:left="406" w:hanging="406"/>
        <w:jc w:val="both"/>
        <w:rPr>
          <w:rFonts w:ascii="Times New Roman" w:hAnsi="Times New Roman"/>
          <w:sz w:val="24"/>
          <w:szCs w:val="24"/>
          <w:lang w:eastAsia="pl-PL"/>
        </w:rPr>
      </w:pPr>
      <w:r w:rsidRPr="00E24274">
        <w:rPr>
          <w:rFonts w:ascii="Times New Roman" w:hAnsi="Times New Roman"/>
          <w:sz w:val="24"/>
          <w:szCs w:val="24"/>
          <w:lang w:eastAsia="pl-PL"/>
        </w:rPr>
        <w:lastRenderedPageBreak/>
        <w:t xml:space="preserve">do czego jest ona upoważniona </w:t>
      </w:r>
      <w:r w:rsidR="00E24274">
        <w:rPr>
          <w:rFonts w:ascii="Times New Roman" w:hAnsi="Times New Roman"/>
          <w:sz w:val="24"/>
          <w:szCs w:val="24"/>
          <w:lang w:eastAsia="pl-PL"/>
        </w:rPr>
        <w:t>„</w:t>
      </w:r>
      <w:r w:rsidRPr="00E24274">
        <w:rPr>
          <w:rFonts w:ascii="Times New Roman" w:hAnsi="Times New Roman"/>
          <w:sz w:val="24"/>
          <w:szCs w:val="24"/>
          <w:lang w:eastAsia="pl-PL"/>
        </w:rPr>
        <w:t>z mocy prawa lub w drodze powierzenia, licencji lub innego uzgodnienia umownego</w:t>
      </w:r>
      <w:r w:rsidR="00E24274">
        <w:rPr>
          <w:rFonts w:ascii="Times New Roman" w:hAnsi="Times New Roman"/>
          <w:sz w:val="24"/>
          <w:szCs w:val="24"/>
          <w:lang w:eastAsia="pl-PL"/>
        </w:rPr>
        <w:t>”</w:t>
      </w:r>
      <w:r w:rsidRPr="00E24274">
        <w:rPr>
          <w:rFonts w:ascii="Times New Roman" w:hAnsi="Times New Roman"/>
          <w:sz w:val="24"/>
          <w:szCs w:val="24"/>
          <w:lang w:eastAsia="pl-PL"/>
        </w:rPr>
        <w:t>, a wię</w:t>
      </w:r>
      <w:r w:rsidR="00DC207A">
        <w:rPr>
          <w:rFonts w:ascii="Times New Roman" w:hAnsi="Times New Roman"/>
          <w:sz w:val="24"/>
          <w:szCs w:val="24"/>
          <w:lang w:eastAsia="pl-PL"/>
        </w:rPr>
        <w:t>c w każdy sposób dopuszczalny w </w:t>
      </w:r>
      <w:r w:rsidRPr="00E24274">
        <w:rPr>
          <w:rFonts w:ascii="Times New Roman" w:hAnsi="Times New Roman"/>
          <w:sz w:val="24"/>
          <w:szCs w:val="24"/>
          <w:lang w:eastAsia="pl-PL"/>
        </w:rPr>
        <w:t>prawie krajowym.</w:t>
      </w:r>
    </w:p>
    <w:p w:rsidR="00D2655C" w:rsidRPr="00E24274" w:rsidRDefault="00D2655C" w:rsidP="00E24274">
      <w:pPr>
        <w:spacing w:before="120" w:after="0" w:line="360" w:lineRule="auto"/>
        <w:jc w:val="both"/>
        <w:rPr>
          <w:rFonts w:ascii="Times New Roman" w:hAnsi="Times New Roman"/>
          <w:sz w:val="24"/>
          <w:szCs w:val="24"/>
          <w:lang w:eastAsia="pl-PL"/>
        </w:rPr>
      </w:pPr>
      <w:r w:rsidRPr="00E24274">
        <w:rPr>
          <w:rFonts w:ascii="Times New Roman" w:hAnsi="Times New Roman"/>
          <w:sz w:val="24"/>
          <w:szCs w:val="24"/>
          <w:lang w:eastAsia="pl-PL"/>
        </w:rPr>
        <w:t xml:space="preserve">Sposób sformułowania powyższych kryteriów – w pewnym sensie przez odwrócenie definicji </w:t>
      </w:r>
      <w:r w:rsidR="00E24274">
        <w:rPr>
          <w:rFonts w:ascii="Times New Roman" w:hAnsi="Times New Roman"/>
          <w:sz w:val="24"/>
          <w:szCs w:val="24"/>
          <w:lang w:eastAsia="pl-PL"/>
        </w:rPr>
        <w:t>„</w:t>
      </w:r>
      <w:r w:rsidRPr="00E24274">
        <w:rPr>
          <w:rFonts w:ascii="Times New Roman" w:hAnsi="Times New Roman"/>
          <w:sz w:val="24"/>
          <w:szCs w:val="24"/>
          <w:lang w:eastAsia="pl-PL"/>
        </w:rPr>
        <w:t>organizacji zbiorowego zarządzania</w:t>
      </w:r>
      <w:r w:rsidR="00E24274">
        <w:rPr>
          <w:rFonts w:ascii="Times New Roman" w:hAnsi="Times New Roman"/>
          <w:sz w:val="24"/>
          <w:szCs w:val="24"/>
          <w:lang w:eastAsia="pl-PL"/>
        </w:rPr>
        <w:t>”</w:t>
      </w:r>
      <w:r w:rsidRPr="00E24274">
        <w:rPr>
          <w:rFonts w:ascii="Times New Roman" w:hAnsi="Times New Roman"/>
          <w:sz w:val="24"/>
          <w:szCs w:val="24"/>
          <w:lang w:eastAsia="pl-PL"/>
        </w:rPr>
        <w:t xml:space="preserve"> – w połączeniu z wymogami dotyczącymi zapewnienia zgodności działania niezależnych podmiotów zarządzających z przepisami wdrażającymi dyrektywę sprawia, że wierne odwzorowanie przepisów dyrektywy byłoby trudne do umiejscowienia w polskim systemie prawnym. Stosowany do tych podmiotów art. 36 dyrektywy wymaga bowiem, aby:</w:t>
      </w:r>
    </w:p>
    <w:p w:rsidR="00D2655C" w:rsidRPr="00E24274" w:rsidRDefault="00D2655C" w:rsidP="00DC207A">
      <w:pPr>
        <w:numPr>
          <w:ilvl w:val="0"/>
          <w:numId w:val="38"/>
        </w:numPr>
        <w:spacing w:after="0" w:line="360" w:lineRule="auto"/>
        <w:ind w:left="392" w:hanging="392"/>
        <w:jc w:val="both"/>
        <w:rPr>
          <w:rFonts w:ascii="Times New Roman" w:hAnsi="Times New Roman"/>
          <w:sz w:val="24"/>
          <w:szCs w:val="24"/>
          <w:lang w:eastAsia="pl-PL"/>
        </w:rPr>
      </w:pPr>
      <w:r w:rsidRPr="00E24274">
        <w:rPr>
          <w:rFonts w:ascii="Times New Roman" w:hAnsi="Times New Roman"/>
          <w:sz w:val="24"/>
          <w:szCs w:val="24"/>
          <w:lang w:eastAsia="pl-PL"/>
        </w:rPr>
        <w:t>właściwe organy wyznaczone do tego celu monitorowały przestrzeganie przez niezależne podmioty zarządzające mające siedzibę na ich terytorium przepisów prawa krajowego przyjętych zgodnie z wymogami ustanowionymi w dyrektywie (art. 2 ust. 4 w zw. z art. 36 ust. 1 dyrektywy);</w:t>
      </w:r>
    </w:p>
    <w:p w:rsidR="00D2655C" w:rsidRPr="00E24274" w:rsidRDefault="00D2655C" w:rsidP="00DC207A">
      <w:pPr>
        <w:numPr>
          <w:ilvl w:val="0"/>
          <w:numId w:val="38"/>
        </w:numPr>
        <w:spacing w:after="0" w:line="360" w:lineRule="auto"/>
        <w:ind w:left="392" w:hanging="392"/>
        <w:jc w:val="both"/>
        <w:rPr>
          <w:rFonts w:ascii="Times New Roman" w:hAnsi="Times New Roman"/>
          <w:sz w:val="24"/>
          <w:szCs w:val="24"/>
          <w:lang w:eastAsia="pl-PL"/>
        </w:rPr>
      </w:pPr>
      <w:r w:rsidRPr="00E24274">
        <w:rPr>
          <w:rFonts w:ascii="Times New Roman" w:hAnsi="Times New Roman"/>
          <w:sz w:val="24"/>
          <w:szCs w:val="24"/>
          <w:lang w:eastAsia="pl-PL"/>
        </w:rPr>
        <w:t>istniały procedury umożliwiające uprawnionym, użytkownikom, organizacjom zbiorowego zarządzania oraz innym` zainteresowanym stronom powiadamianie właściwych organów wyznaczonych do tego celu o</w:t>
      </w:r>
      <w:r w:rsidR="00DC207A">
        <w:rPr>
          <w:rFonts w:ascii="Times New Roman" w:hAnsi="Times New Roman"/>
          <w:sz w:val="24"/>
          <w:szCs w:val="24"/>
          <w:lang w:eastAsia="pl-PL"/>
        </w:rPr>
        <w:t xml:space="preserve"> naruszeniu ww. przepisów (art. </w:t>
      </w:r>
      <w:r w:rsidRPr="00E24274">
        <w:rPr>
          <w:rFonts w:ascii="Times New Roman" w:hAnsi="Times New Roman"/>
          <w:sz w:val="24"/>
          <w:szCs w:val="24"/>
          <w:lang w:eastAsia="pl-PL"/>
        </w:rPr>
        <w:t>2 ust. 4 w zw. z art. 36 ust. 2 dyrektywy);</w:t>
      </w:r>
    </w:p>
    <w:p w:rsidR="00D2655C" w:rsidRPr="00E24274" w:rsidRDefault="00D2655C" w:rsidP="00DC207A">
      <w:pPr>
        <w:numPr>
          <w:ilvl w:val="0"/>
          <w:numId w:val="38"/>
        </w:numPr>
        <w:spacing w:after="0" w:line="360" w:lineRule="auto"/>
        <w:ind w:left="392" w:hanging="392"/>
        <w:jc w:val="both"/>
        <w:rPr>
          <w:rFonts w:ascii="Times New Roman" w:hAnsi="Times New Roman"/>
          <w:sz w:val="24"/>
          <w:szCs w:val="24"/>
          <w:lang w:eastAsia="pl-PL"/>
        </w:rPr>
      </w:pPr>
      <w:r w:rsidRPr="00E24274">
        <w:rPr>
          <w:rFonts w:ascii="Times New Roman" w:hAnsi="Times New Roman"/>
          <w:sz w:val="24"/>
          <w:szCs w:val="24"/>
          <w:lang w:eastAsia="pl-PL"/>
        </w:rPr>
        <w:t>właściwe organy były uprawnione do nakładania stosownych kar lub podejmowania stosownych środków w przypadku nieprzestrzeg</w:t>
      </w:r>
      <w:r w:rsidR="00DC207A">
        <w:rPr>
          <w:rFonts w:ascii="Times New Roman" w:hAnsi="Times New Roman"/>
          <w:sz w:val="24"/>
          <w:szCs w:val="24"/>
          <w:lang w:eastAsia="pl-PL"/>
        </w:rPr>
        <w:t>ania ww. przepisów, a te kary i </w:t>
      </w:r>
      <w:r w:rsidRPr="00E24274">
        <w:rPr>
          <w:rFonts w:ascii="Times New Roman" w:hAnsi="Times New Roman"/>
          <w:sz w:val="24"/>
          <w:szCs w:val="24"/>
          <w:lang w:eastAsia="pl-PL"/>
        </w:rPr>
        <w:t>środki były skuteczne, proporcjonalne i odstraszające (art. 2 ust. 4 w zw. z art. 36 ust. 3 dyrektywy).</w:t>
      </w:r>
    </w:p>
    <w:p w:rsidR="00D2655C" w:rsidRPr="00E24274" w:rsidRDefault="00D2655C" w:rsidP="00E24274">
      <w:pPr>
        <w:spacing w:before="120" w:after="0" w:line="360" w:lineRule="auto"/>
        <w:jc w:val="both"/>
        <w:rPr>
          <w:rFonts w:ascii="Times New Roman" w:hAnsi="Times New Roman"/>
          <w:sz w:val="24"/>
          <w:szCs w:val="24"/>
          <w:lang w:eastAsia="pl-PL"/>
        </w:rPr>
      </w:pPr>
      <w:r w:rsidRPr="00E24274">
        <w:rPr>
          <w:rFonts w:ascii="Times New Roman" w:hAnsi="Times New Roman"/>
          <w:sz w:val="24"/>
          <w:szCs w:val="24"/>
          <w:lang w:eastAsia="pl-PL"/>
        </w:rPr>
        <w:t>Biorąc pod uwagę, że mamy do czynienia z podmiotami prowadzącymi działalność gospodarczą, jedyną formułą nieograniczającą nadmie</w:t>
      </w:r>
      <w:r w:rsidR="00DC207A">
        <w:rPr>
          <w:rFonts w:ascii="Times New Roman" w:hAnsi="Times New Roman"/>
          <w:sz w:val="24"/>
          <w:szCs w:val="24"/>
          <w:lang w:eastAsia="pl-PL"/>
        </w:rPr>
        <w:t>rnie swobody jej prowadzenia, a </w:t>
      </w:r>
      <w:r w:rsidRPr="00E24274">
        <w:rPr>
          <w:rFonts w:ascii="Times New Roman" w:hAnsi="Times New Roman"/>
          <w:sz w:val="24"/>
          <w:szCs w:val="24"/>
          <w:lang w:eastAsia="pl-PL"/>
        </w:rPr>
        <w:t>równocześnie pozwalającą na spełnienie powyższych wymogów, wydaje się być poddanie niezależnych podmiotów zarządzających regułom dotyczącym wykonywania działalności regulowanej</w:t>
      </w:r>
      <w:r w:rsidR="007515B5" w:rsidRPr="00E24274">
        <w:rPr>
          <w:rFonts w:ascii="Times New Roman" w:hAnsi="Times New Roman"/>
          <w:sz w:val="24"/>
          <w:szCs w:val="24"/>
          <w:lang w:eastAsia="pl-PL"/>
        </w:rPr>
        <w:t>, o której mowa</w:t>
      </w:r>
      <w:r w:rsidRPr="00E24274">
        <w:rPr>
          <w:rFonts w:ascii="Times New Roman" w:hAnsi="Times New Roman"/>
          <w:sz w:val="24"/>
          <w:szCs w:val="24"/>
          <w:lang w:eastAsia="pl-PL"/>
        </w:rPr>
        <w:t xml:space="preserve"> w ustaw</w:t>
      </w:r>
      <w:r w:rsidR="007515B5" w:rsidRPr="00E24274">
        <w:rPr>
          <w:rFonts w:ascii="Times New Roman" w:hAnsi="Times New Roman"/>
          <w:sz w:val="24"/>
          <w:szCs w:val="24"/>
          <w:lang w:eastAsia="pl-PL"/>
        </w:rPr>
        <w:t>ie</w:t>
      </w:r>
      <w:r w:rsidRPr="00E24274">
        <w:rPr>
          <w:rFonts w:ascii="Times New Roman" w:hAnsi="Times New Roman"/>
          <w:sz w:val="24"/>
          <w:szCs w:val="24"/>
          <w:lang w:eastAsia="pl-PL"/>
        </w:rPr>
        <w:t xml:space="preserve"> z dnia 2 lipca 2004 r. o swobodzie działalności gospodarczej (dalej jako </w:t>
      </w:r>
      <w:r w:rsidR="00E24274">
        <w:rPr>
          <w:rFonts w:ascii="Times New Roman" w:hAnsi="Times New Roman"/>
          <w:sz w:val="24"/>
          <w:szCs w:val="24"/>
          <w:lang w:eastAsia="pl-PL"/>
        </w:rPr>
        <w:t>„</w:t>
      </w:r>
      <w:r w:rsidRPr="00E24274">
        <w:rPr>
          <w:rFonts w:ascii="Times New Roman" w:hAnsi="Times New Roman"/>
          <w:sz w:val="24"/>
          <w:szCs w:val="24"/>
          <w:lang w:eastAsia="pl-PL"/>
        </w:rPr>
        <w:t>usdg</w:t>
      </w:r>
      <w:r w:rsidR="00E24274">
        <w:rPr>
          <w:rFonts w:ascii="Times New Roman" w:hAnsi="Times New Roman"/>
          <w:sz w:val="24"/>
          <w:szCs w:val="24"/>
          <w:lang w:eastAsia="pl-PL"/>
        </w:rPr>
        <w:t>”</w:t>
      </w:r>
      <w:r w:rsidR="00DC207A">
        <w:rPr>
          <w:rFonts w:ascii="Times New Roman" w:hAnsi="Times New Roman"/>
          <w:sz w:val="24"/>
          <w:szCs w:val="24"/>
          <w:lang w:eastAsia="pl-PL"/>
        </w:rPr>
        <w:t>), a więc najłagodniejszej z </w:t>
      </w:r>
      <w:r w:rsidRPr="00E24274">
        <w:rPr>
          <w:rFonts w:ascii="Times New Roman" w:hAnsi="Times New Roman"/>
          <w:sz w:val="24"/>
          <w:szCs w:val="24"/>
          <w:lang w:eastAsia="pl-PL"/>
        </w:rPr>
        <w:t>obowiązujących w Polsce form reglamentacji działalności gospodarczej. Prowadzona na jej podstawie rejestracja niezależnych podmiotów zarządzających zapewni implementację art. 36 ust. 1 dyrektywy CRM, zobowiązującego państwa członkowskie do monitorowania ich działalności pod kątem zgodności z przepisami.</w:t>
      </w:r>
    </w:p>
    <w:p w:rsidR="00D2655C" w:rsidRPr="00E24274" w:rsidRDefault="00D2655C" w:rsidP="00E24274">
      <w:pPr>
        <w:spacing w:before="120" w:after="0" w:line="360" w:lineRule="auto"/>
        <w:jc w:val="both"/>
        <w:rPr>
          <w:rFonts w:ascii="Times New Roman" w:hAnsi="Times New Roman"/>
          <w:sz w:val="24"/>
          <w:szCs w:val="24"/>
          <w:lang w:eastAsia="pl-PL"/>
        </w:rPr>
      </w:pPr>
      <w:r w:rsidRPr="00E24274">
        <w:rPr>
          <w:rFonts w:ascii="Times New Roman" w:hAnsi="Times New Roman"/>
          <w:sz w:val="24"/>
          <w:szCs w:val="24"/>
          <w:lang w:eastAsia="pl-PL"/>
        </w:rPr>
        <w:lastRenderedPageBreak/>
        <w:t>Formuła ta wymaga jednak określenia zakresu przedmiotowego prowadzonej działalności w sposób zapewniający równe traktowanie wszystkich przedsiębiorców, którzy ją prowadzą.</w:t>
      </w:r>
    </w:p>
    <w:p w:rsidR="00D2655C" w:rsidRPr="00E24274" w:rsidRDefault="00D2655C" w:rsidP="00E24274">
      <w:pPr>
        <w:spacing w:before="120" w:after="0" w:line="360" w:lineRule="auto"/>
        <w:jc w:val="both"/>
        <w:rPr>
          <w:rFonts w:ascii="Times New Roman" w:hAnsi="Times New Roman"/>
          <w:sz w:val="24"/>
          <w:szCs w:val="24"/>
          <w:lang w:eastAsia="pl-PL"/>
        </w:rPr>
      </w:pPr>
      <w:r w:rsidRPr="00E24274">
        <w:rPr>
          <w:rFonts w:ascii="Times New Roman" w:hAnsi="Times New Roman"/>
          <w:sz w:val="24"/>
          <w:szCs w:val="24"/>
          <w:lang w:eastAsia="pl-PL"/>
        </w:rPr>
        <w:t>Dlatego w art. 109 projektu przewidziano, iż działalność regulowaną będzie stanowiło każde świadczenie usług polegających na:</w:t>
      </w:r>
    </w:p>
    <w:p w:rsidR="00D2655C" w:rsidRPr="00E24274" w:rsidRDefault="00D2655C" w:rsidP="00DC207A">
      <w:pPr>
        <w:numPr>
          <w:ilvl w:val="0"/>
          <w:numId w:val="39"/>
        </w:numPr>
        <w:spacing w:after="0" w:line="360" w:lineRule="auto"/>
        <w:ind w:left="406" w:hanging="406"/>
        <w:jc w:val="both"/>
        <w:rPr>
          <w:rFonts w:ascii="Times New Roman" w:hAnsi="Times New Roman"/>
          <w:sz w:val="24"/>
          <w:szCs w:val="24"/>
          <w:lang w:eastAsia="pl-PL"/>
        </w:rPr>
      </w:pPr>
      <w:r w:rsidRPr="00E24274">
        <w:rPr>
          <w:rFonts w:ascii="Times New Roman" w:hAnsi="Times New Roman"/>
          <w:sz w:val="24"/>
          <w:szCs w:val="24"/>
          <w:lang w:eastAsia="pl-PL"/>
        </w:rPr>
        <w:t>zarządzaniu prawami na rzecz uprawnionych na podstawie udzielonego przez nich tytułu prawnego (np. pełnomocnictwa, umowy agencyjnej, licencji itp.; niezależnym podmiotom zarządzającym nie będzie przysługiwać żadne pozaumowne upoważnienie do zarządzania prawami),</w:t>
      </w:r>
    </w:p>
    <w:p w:rsidR="00D2655C" w:rsidRPr="00E24274" w:rsidRDefault="00D2655C" w:rsidP="00DC207A">
      <w:pPr>
        <w:numPr>
          <w:ilvl w:val="0"/>
          <w:numId w:val="39"/>
        </w:numPr>
        <w:spacing w:after="0" w:line="360" w:lineRule="auto"/>
        <w:ind w:left="406" w:hanging="406"/>
        <w:jc w:val="both"/>
        <w:rPr>
          <w:rFonts w:ascii="Times New Roman" w:hAnsi="Times New Roman"/>
          <w:sz w:val="24"/>
          <w:szCs w:val="24"/>
          <w:lang w:eastAsia="pl-PL"/>
        </w:rPr>
      </w:pPr>
      <w:r w:rsidRPr="00E24274">
        <w:rPr>
          <w:rFonts w:ascii="Times New Roman" w:hAnsi="Times New Roman"/>
          <w:sz w:val="24"/>
          <w:szCs w:val="24"/>
          <w:lang w:eastAsia="pl-PL"/>
        </w:rPr>
        <w:t>przez osobę prawną albo jednostkę organizacyjną posiadającą zdolność prawną, niedziałającą w charakterze uprawnionego (a więc nie wykonującą własnych praw) oraz</w:t>
      </w:r>
    </w:p>
    <w:p w:rsidR="00D2655C" w:rsidRPr="00E24274" w:rsidRDefault="00D2655C" w:rsidP="00DC207A">
      <w:pPr>
        <w:numPr>
          <w:ilvl w:val="0"/>
          <w:numId w:val="39"/>
        </w:numPr>
        <w:spacing w:after="0" w:line="360" w:lineRule="auto"/>
        <w:ind w:left="406" w:hanging="406"/>
        <w:jc w:val="both"/>
        <w:rPr>
          <w:rFonts w:ascii="Times New Roman" w:hAnsi="Times New Roman"/>
          <w:sz w:val="24"/>
          <w:szCs w:val="24"/>
          <w:lang w:eastAsia="pl-PL"/>
        </w:rPr>
      </w:pPr>
      <w:r w:rsidRPr="00E24274">
        <w:rPr>
          <w:rFonts w:ascii="Times New Roman" w:hAnsi="Times New Roman"/>
          <w:sz w:val="24"/>
          <w:szCs w:val="24"/>
          <w:lang w:eastAsia="pl-PL"/>
        </w:rPr>
        <w:t>niebędącą organizacją zbiorowego zarządzania (przyjęcie w dyrektywie wykluczających się wzajemnie kryteriów uznania danego podmiotu za organizację zbiorowego zarządzania albo niezależny podmiot zarządzający oznacza, że organizacja zbiorowego zarządzania działająca poza zezwoleniem nie może być traktowana jako niezależny podmiot zarządzający; działanie organizacji poza zezwoleniem powinno być uznane za naruszenie przepisów przewidujących obowiązek posiadania zezwolenia na zbiorowe zarządzanie).</w:t>
      </w:r>
    </w:p>
    <w:p w:rsidR="00D2655C" w:rsidRPr="00E24274" w:rsidRDefault="00D2655C" w:rsidP="00E24274">
      <w:pPr>
        <w:spacing w:before="120" w:after="0" w:line="360" w:lineRule="auto"/>
        <w:jc w:val="both"/>
        <w:rPr>
          <w:rFonts w:ascii="Times New Roman" w:hAnsi="Times New Roman"/>
          <w:sz w:val="24"/>
          <w:szCs w:val="24"/>
          <w:lang w:eastAsia="pl-PL"/>
        </w:rPr>
      </w:pPr>
      <w:r w:rsidRPr="00E24274">
        <w:rPr>
          <w:rFonts w:ascii="Times New Roman" w:hAnsi="Times New Roman"/>
          <w:sz w:val="24"/>
          <w:szCs w:val="24"/>
          <w:lang w:eastAsia="pl-PL"/>
        </w:rPr>
        <w:t>Mając na uwadze równe traktowanie przedsięb</w:t>
      </w:r>
      <w:r w:rsidR="00DC207A">
        <w:rPr>
          <w:rFonts w:ascii="Times New Roman" w:hAnsi="Times New Roman"/>
          <w:sz w:val="24"/>
          <w:szCs w:val="24"/>
          <w:lang w:eastAsia="pl-PL"/>
        </w:rPr>
        <w:t>iorców</w:t>
      </w:r>
      <w:r w:rsidR="005267A5">
        <w:rPr>
          <w:rFonts w:ascii="Times New Roman" w:hAnsi="Times New Roman"/>
          <w:sz w:val="24"/>
          <w:szCs w:val="24"/>
          <w:lang w:eastAsia="pl-PL"/>
        </w:rPr>
        <w:t>,</w:t>
      </w:r>
      <w:r w:rsidR="00DC207A">
        <w:rPr>
          <w:rFonts w:ascii="Times New Roman" w:hAnsi="Times New Roman"/>
          <w:sz w:val="24"/>
          <w:szCs w:val="24"/>
          <w:lang w:eastAsia="pl-PL"/>
        </w:rPr>
        <w:t xml:space="preserve"> zrezygnowano natomiast z </w:t>
      </w:r>
      <w:r w:rsidRPr="00E24274">
        <w:rPr>
          <w:rFonts w:ascii="Times New Roman" w:hAnsi="Times New Roman"/>
          <w:sz w:val="24"/>
          <w:szCs w:val="24"/>
          <w:lang w:eastAsia="pl-PL"/>
        </w:rPr>
        <w:t>zawartych w dyrektywie kryteriów dotyczących:</w:t>
      </w:r>
    </w:p>
    <w:p w:rsidR="00D2655C" w:rsidRPr="00E24274" w:rsidRDefault="00D2655C" w:rsidP="00DC207A">
      <w:pPr>
        <w:numPr>
          <w:ilvl w:val="0"/>
          <w:numId w:val="40"/>
        </w:numPr>
        <w:spacing w:before="120" w:after="0" w:line="360" w:lineRule="auto"/>
        <w:ind w:left="420" w:hanging="406"/>
        <w:jc w:val="both"/>
        <w:rPr>
          <w:rFonts w:ascii="Times New Roman" w:hAnsi="Times New Roman"/>
          <w:sz w:val="24"/>
          <w:szCs w:val="24"/>
          <w:lang w:eastAsia="pl-PL"/>
        </w:rPr>
      </w:pPr>
      <w:r w:rsidRPr="00E24274">
        <w:rPr>
          <w:rFonts w:ascii="Times New Roman" w:hAnsi="Times New Roman"/>
          <w:sz w:val="24"/>
          <w:szCs w:val="24"/>
          <w:lang w:eastAsia="pl-PL"/>
        </w:rPr>
        <w:t xml:space="preserve">własności i kontroli przez uprawnionych, tak aby podmiot zarządzający nie był wyłączony spod regulacji tylko dlatego, że np. wspólnikowi albo akcjonariuszowi spółki przysługują jakiekolwiek prawa autorskie lub pokrewne, czyniące go </w:t>
      </w:r>
      <w:r w:rsidR="00E24274">
        <w:rPr>
          <w:rFonts w:ascii="Times New Roman" w:hAnsi="Times New Roman"/>
          <w:sz w:val="24"/>
          <w:szCs w:val="24"/>
          <w:lang w:eastAsia="pl-PL"/>
        </w:rPr>
        <w:t>„</w:t>
      </w:r>
      <w:r w:rsidRPr="00E24274">
        <w:rPr>
          <w:rFonts w:ascii="Times New Roman" w:hAnsi="Times New Roman"/>
          <w:sz w:val="24"/>
          <w:szCs w:val="24"/>
          <w:lang w:eastAsia="pl-PL"/>
        </w:rPr>
        <w:t>uprawnionym</w:t>
      </w:r>
      <w:r w:rsidR="00E24274">
        <w:rPr>
          <w:rFonts w:ascii="Times New Roman" w:hAnsi="Times New Roman"/>
          <w:sz w:val="24"/>
          <w:szCs w:val="24"/>
          <w:lang w:eastAsia="pl-PL"/>
        </w:rPr>
        <w:t>”</w:t>
      </w:r>
      <w:r w:rsidRPr="00E24274">
        <w:rPr>
          <w:rFonts w:ascii="Times New Roman" w:hAnsi="Times New Roman"/>
          <w:sz w:val="24"/>
          <w:szCs w:val="24"/>
          <w:lang w:eastAsia="pl-PL"/>
        </w:rPr>
        <w:t xml:space="preserve"> w rozumieniu dyrektywy;</w:t>
      </w:r>
    </w:p>
    <w:p w:rsidR="00D2655C" w:rsidRPr="00E24274" w:rsidRDefault="00D2655C" w:rsidP="00DC207A">
      <w:pPr>
        <w:numPr>
          <w:ilvl w:val="0"/>
          <w:numId w:val="40"/>
        </w:numPr>
        <w:spacing w:before="120" w:after="0" w:line="360" w:lineRule="auto"/>
        <w:ind w:left="420" w:hanging="406"/>
        <w:jc w:val="both"/>
        <w:rPr>
          <w:rFonts w:ascii="Times New Roman" w:hAnsi="Times New Roman"/>
          <w:sz w:val="24"/>
          <w:szCs w:val="24"/>
          <w:lang w:eastAsia="pl-PL"/>
        </w:rPr>
      </w:pPr>
      <w:r w:rsidRPr="00E24274">
        <w:rPr>
          <w:rFonts w:ascii="Times New Roman" w:hAnsi="Times New Roman"/>
          <w:sz w:val="24"/>
          <w:szCs w:val="24"/>
          <w:lang w:eastAsia="pl-PL"/>
        </w:rPr>
        <w:t>jedynego albo głównego przedmiotu działalności, tak aby o objęciu regulacją nie przesądzało to, czy dany podmiot wykonuje jakąkolwiek inną działalność gospodarczą.</w:t>
      </w:r>
    </w:p>
    <w:p w:rsidR="00361631" w:rsidRPr="00E24274" w:rsidRDefault="00D2655C" w:rsidP="00E24274">
      <w:pPr>
        <w:spacing w:before="120" w:after="0" w:line="360" w:lineRule="auto"/>
        <w:jc w:val="both"/>
        <w:rPr>
          <w:rFonts w:ascii="Times New Roman" w:hAnsi="Times New Roman"/>
          <w:sz w:val="24"/>
          <w:szCs w:val="24"/>
          <w:lang w:eastAsia="pl-PL"/>
        </w:rPr>
      </w:pPr>
      <w:r w:rsidRPr="00E24274">
        <w:rPr>
          <w:rFonts w:ascii="Times New Roman" w:hAnsi="Times New Roman"/>
          <w:sz w:val="24"/>
          <w:szCs w:val="24"/>
          <w:lang w:eastAsia="pl-PL"/>
        </w:rPr>
        <w:t>W powyższym zakresie regulacja krajowa będzie więc wykraczać ponad minimum wynikające z dyrektywy.</w:t>
      </w:r>
      <w:r w:rsidR="006E5C67" w:rsidRPr="00E24274">
        <w:rPr>
          <w:rFonts w:ascii="Times New Roman" w:hAnsi="Times New Roman"/>
          <w:sz w:val="24"/>
          <w:szCs w:val="24"/>
          <w:lang w:eastAsia="pl-PL"/>
        </w:rPr>
        <w:t xml:space="preserve"> Takie rozwiązanie należy uznać za dopuszczalne. </w:t>
      </w:r>
    </w:p>
    <w:p w:rsidR="00D2655C" w:rsidRPr="00E24274" w:rsidRDefault="006E5C67" w:rsidP="00E24274">
      <w:pPr>
        <w:spacing w:before="120" w:after="0" w:line="360" w:lineRule="auto"/>
        <w:jc w:val="both"/>
        <w:rPr>
          <w:rFonts w:ascii="Times New Roman" w:hAnsi="Times New Roman"/>
          <w:sz w:val="24"/>
          <w:szCs w:val="24"/>
          <w:lang w:eastAsia="pl-PL"/>
        </w:rPr>
      </w:pPr>
      <w:r w:rsidRPr="00E24274">
        <w:rPr>
          <w:rFonts w:ascii="Times New Roman" w:hAnsi="Times New Roman"/>
          <w:sz w:val="24"/>
          <w:szCs w:val="24"/>
          <w:lang w:eastAsia="pl-PL"/>
        </w:rPr>
        <w:lastRenderedPageBreak/>
        <w:t>Celem dyrektywy – zgodnie z jej art. 1 – było bowiem ustanowienie wymogów niezbędnych do zapewnienia prawidłowego funkcjonowania zarządzania prawami autorskimi i prawami pokrewnymi przez organizacje zbiorowego zarządzania, jak również wymogów dotyczących udzielania przez te organizacje licencji wieloterytorialnych. W odniesieniu do tych organizacji Tytuł II dyrektywy stanowi minimalną harmonizację, zaś pozostałe przepisy – harmonizację pełną. Potwierdza to motyw 9 dyrektywy, który zakres harmonizacji określa wyłącznie w odniesieniu do organizacji zbiorowego zarządzania.</w:t>
      </w:r>
    </w:p>
    <w:p w:rsidR="006E5C67" w:rsidRPr="00E24274" w:rsidRDefault="006E5C67" w:rsidP="00E24274">
      <w:pPr>
        <w:spacing w:before="120" w:after="0" w:line="360" w:lineRule="auto"/>
        <w:jc w:val="both"/>
        <w:rPr>
          <w:rFonts w:ascii="Times New Roman" w:hAnsi="Times New Roman"/>
          <w:sz w:val="24"/>
          <w:szCs w:val="24"/>
          <w:lang w:eastAsia="pl-PL"/>
        </w:rPr>
      </w:pPr>
      <w:r w:rsidRPr="00E24274">
        <w:rPr>
          <w:rFonts w:ascii="Times New Roman" w:hAnsi="Times New Roman"/>
          <w:sz w:val="24"/>
          <w:szCs w:val="24"/>
          <w:lang w:eastAsia="pl-PL"/>
        </w:rPr>
        <w:t xml:space="preserve">Takie ukształtowanie przedmiotu dyrektywy wynika z faktu, iż przedstawiony pierwotnie przez Komisję Europejską projekt nie </w:t>
      </w:r>
      <w:r w:rsidR="00121CC9" w:rsidRPr="00E24274">
        <w:rPr>
          <w:rFonts w:ascii="Times New Roman" w:hAnsi="Times New Roman"/>
          <w:sz w:val="24"/>
          <w:szCs w:val="24"/>
          <w:lang w:eastAsia="pl-PL"/>
        </w:rPr>
        <w:t xml:space="preserve">zawierał przepisów dotyczących niezależnych podmiotów zarządzających – zostały one wprowadzone dopiero w toku prac nad projektem w Radzie UE. Ich działalność została w dyrektywie uregulowana wyłącznie w zakresie, w jakim prowadzą taką samą działalność jak organizacje zbiorowego zarządzania (motyw 15), a więc jeśli zarządzanie prawami jest jej podstawowym celem. </w:t>
      </w:r>
      <w:r w:rsidR="00121CC9" w:rsidRPr="00E24274">
        <w:rPr>
          <w:rFonts w:ascii="Times New Roman" w:hAnsi="Times New Roman"/>
          <w:i/>
          <w:sz w:val="24"/>
          <w:szCs w:val="24"/>
          <w:lang w:eastAsia="pl-PL"/>
        </w:rPr>
        <w:t>A contrario</w:t>
      </w:r>
      <w:r w:rsidR="00121CC9" w:rsidRPr="00E24274">
        <w:rPr>
          <w:rFonts w:ascii="Times New Roman" w:hAnsi="Times New Roman"/>
          <w:sz w:val="24"/>
          <w:szCs w:val="24"/>
          <w:lang w:eastAsia="pl-PL"/>
        </w:rPr>
        <w:t xml:space="preserve"> – nie można więc wysnuć wniosku, iż dyrektywa wyczerpująco reguluje wszelką działalność polegającą na zarządzaniu prawami osób trzecich. Podmioty, dla których jest to działalność uboczna</w:t>
      </w:r>
      <w:r w:rsidR="005267A5">
        <w:rPr>
          <w:rFonts w:ascii="Times New Roman" w:hAnsi="Times New Roman"/>
          <w:sz w:val="24"/>
          <w:szCs w:val="24"/>
          <w:lang w:eastAsia="pl-PL"/>
        </w:rPr>
        <w:t>,</w:t>
      </w:r>
      <w:r w:rsidR="00121CC9" w:rsidRPr="00E24274">
        <w:rPr>
          <w:rFonts w:ascii="Times New Roman" w:hAnsi="Times New Roman"/>
          <w:sz w:val="24"/>
          <w:szCs w:val="24"/>
          <w:lang w:eastAsia="pl-PL"/>
        </w:rPr>
        <w:t xml:space="preserve"> nie są w ogóle objęte dyrektywą, a tym samym ich uregulowanie pozostaje w sferze kompetencji państw członkowskich. W razie przyjęcia odmiennej interpretacji powstawałaby luka prawna, w której zarządzający prawami w ramach swojej działalności ubocznej nie musieliby spełniać żadnych standardów. Umożliwiłoby to prowadzenie działalności konkurencyjnej wobec organizacji zbiorowego zarządzania (a także niezależnych podmiotów zarządzających w rozumieniu dyrektywy), bez ponoszenia jakichkolwiek ciężarów związanych z tą działalnością oraz bez zapewnienia jakichkolwiek standardów jej prowadzenia dla użytkowników praw. Innym trudnym do zaakceptowania rozwiązaniem byłaby konieczność znacznego ograniczenia swobody działalności gospodarczej przez wprowadzenie zakazu zarządzania prawami osób trzecich przez inne podmioty niż objęte definicją z art. 3 lit. b dyrektywy.</w:t>
      </w:r>
    </w:p>
    <w:p w:rsidR="00D2655C" w:rsidRPr="00E24274" w:rsidRDefault="00D2655C" w:rsidP="00E24274">
      <w:pPr>
        <w:spacing w:before="120" w:after="0" w:line="360" w:lineRule="auto"/>
        <w:jc w:val="both"/>
        <w:rPr>
          <w:rFonts w:ascii="Times New Roman" w:hAnsi="Times New Roman"/>
          <w:sz w:val="24"/>
          <w:szCs w:val="24"/>
          <w:lang w:eastAsia="pl-PL"/>
        </w:rPr>
      </w:pPr>
      <w:r w:rsidRPr="00E24274">
        <w:rPr>
          <w:rFonts w:ascii="Times New Roman" w:hAnsi="Times New Roman"/>
          <w:sz w:val="24"/>
          <w:szCs w:val="24"/>
          <w:lang w:eastAsia="pl-PL"/>
        </w:rPr>
        <w:t>Przedsiębiorca wykonujący działalność</w:t>
      </w:r>
      <w:r w:rsidR="00121CC9" w:rsidRPr="00E24274">
        <w:rPr>
          <w:rFonts w:ascii="Times New Roman" w:hAnsi="Times New Roman"/>
          <w:sz w:val="24"/>
          <w:szCs w:val="24"/>
          <w:lang w:eastAsia="pl-PL"/>
        </w:rPr>
        <w:t xml:space="preserve"> zdefiniowaną w opisany powyżej sposób</w:t>
      </w:r>
      <w:r w:rsidRPr="00E24274">
        <w:rPr>
          <w:rFonts w:ascii="Times New Roman" w:hAnsi="Times New Roman"/>
          <w:sz w:val="24"/>
          <w:szCs w:val="24"/>
          <w:lang w:eastAsia="pl-PL"/>
        </w:rPr>
        <w:t xml:space="preserve">, określany jako </w:t>
      </w:r>
      <w:r w:rsidR="00E24274">
        <w:rPr>
          <w:rFonts w:ascii="Times New Roman" w:hAnsi="Times New Roman"/>
          <w:sz w:val="24"/>
          <w:szCs w:val="24"/>
          <w:lang w:eastAsia="pl-PL"/>
        </w:rPr>
        <w:t>„</w:t>
      </w:r>
      <w:r w:rsidRPr="00E24274">
        <w:rPr>
          <w:rFonts w:ascii="Times New Roman" w:hAnsi="Times New Roman"/>
          <w:sz w:val="24"/>
          <w:szCs w:val="24"/>
          <w:lang w:eastAsia="pl-PL"/>
        </w:rPr>
        <w:t>niezależny podmiot zarządzający</w:t>
      </w:r>
      <w:r w:rsidR="00E24274">
        <w:rPr>
          <w:rFonts w:ascii="Times New Roman" w:hAnsi="Times New Roman"/>
          <w:sz w:val="24"/>
          <w:szCs w:val="24"/>
          <w:lang w:eastAsia="pl-PL"/>
        </w:rPr>
        <w:t>”</w:t>
      </w:r>
      <w:r w:rsidRPr="00E24274">
        <w:rPr>
          <w:rFonts w:ascii="Times New Roman" w:hAnsi="Times New Roman"/>
          <w:sz w:val="24"/>
          <w:szCs w:val="24"/>
          <w:lang w:eastAsia="pl-PL"/>
        </w:rPr>
        <w:t>, będzie zobowiązany do stosowania przepisów dotyczących działalności regulowanej zawartych w przepisach usdg – jako regulacji ogólnej – oraz przepisach projektowanej ustawy – jako regulacji szczegółowej.</w:t>
      </w:r>
    </w:p>
    <w:p w:rsidR="00D2655C" w:rsidRPr="00E24274" w:rsidRDefault="00D2655C" w:rsidP="00E24274">
      <w:pPr>
        <w:spacing w:before="120" w:after="0" w:line="360" w:lineRule="auto"/>
        <w:jc w:val="both"/>
        <w:rPr>
          <w:rFonts w:ascii="Times New Roman" w:hAnsi="Times New Roman"/>
          <w:sz w:val="24"/>
          <w:szCs w:val="24"/>
          <w:lang w:eastAsia="pl-PL"/>
        </w:rPr>
      </w:pPr>
      <w:r w:rsidRPr="00E24274">
        <w:rPr>
          <w:rFonts w:ascii="Times New Roman" w:hAnsi="Times New Roman"/>
          <w:sz w:val="24"/>
          <w:szCs w:val="24"/>
          <w:lang w:eastAsia="pl-PL"/>
        </w:rPr>
        <w:lastRenderedPageBreak/>
        <w:t>Zgodnie z art. 64 usdg, warunkami wykonywania działalności regulowanej jest spełnienie przez przedsiębiorcę szczególnych warunków określonych w przepisach szczegółowych oraz uzyskanie wpisu w rejestrze działalności regulowanej.</w:t>
      </w:r>
      <w:r w:rsidR="00E24274">
        <w:rPr>
          <w:rFonts w:ascii="Times New Roman" w:hAnsi="Times New Roman"/>
          <w:sz w:val="24"/>
          <w:szCs w:val="24"/>
          <w:lang w:eastAsia="pl-PL"/>
        </w:rPr>
        <w:t xml:space="preserve"> </w:t>
      </w:r>
    </w:p>
    <w:p w:rsidR="00D2655C" w:rsidRPr="00E24274" w:rsidRDefault="00D2655C" w:rsidP="00E24274">
      <w:pPr>
        <w:spacing w:before="120" w:after="0" w:line="360" w:lineRule="auto"/>
        <w:jc w:val="both"/>
        <w:rPr>
          <w:rFonts w:ascii="Times New Roman" w:hAnsi="Times New Roman"/>
          <w:b/>
          <w:sz w:val="24"/>
          <w:szCs w:val="24"/>
          <w:lang w:eastAsia="pl-PL"/>
        </w:rPr>
      </w:pPr>
      <w:r w:rsidRPr="00E24274">
        <w:rPr>
          <w:rFonts w:ascii="Times New Roman" w:hAnsi="Times New Roman"/>
          <w:b/>
          <w:sz w:val="24"/>
          <w:szCs w:val="24"/>
          <w:lang w:eastAsia="pl-PL"/>
        </w:rPr>
        <w:t>art. 110</w:t>
      </w:r>
    </w:p>
    <w:p w:rsidR="00D2655C" w:rsidRPr="00E24274" w:rsidRDefault="00D2655C" w:rsidP="00DC207A">
      <w:pPr>
        <w:spacing w:after="0" w:line="360" w:lineRule="auto"/>
        <w:jc w:val="both"/>
        <w:rPr>
          <w:rFonts w:ascii="Times New Roman" w:hAnsi="Times New Roman"/>
          <w:sz w:val="24"/>
          <w:szCs w:val="24"/>
          <w:lang w:eastAsia="pl-PL"/>
        </w:rPr>
      </w:pPr>
      <w:r w:rsidRPr="00E24274">
        <w:rPr>
          <w:rFonts w:ascii="Times New Roman" w:hAnsi="Times New Roman"/>
          <w:sz w:val="24"/>
          <w:szCs w:val="24"/>
          <w:lang w:eastAsia="pl-PL"/>
        </w:rPr>
        <w:t>Projektowany art. 110 pkt 1 do powyższych warunków zalicza te z wymogów dyrektywy CRM, które zobowiązują do upubliczn</w:t>
      </w:r>
      <w:r w:rsidR="00DC207A">
        <w:rPr>
          <w:rFonts w:ascii="Times New Roman" w:hAnsi="Times New Roman"/>
          <w:sz w:val="24"/>
          <w:szCs w:val="24"/>
          <w:lang w:eastAsia="pl-PL"/>
        </w:rPr>
        <w:t>ienia podstawowych informacji o </w:t>
      </w:r>
      <w:r w:rsidRPr="00E24274">
        <w:rPr>
          <w:rFonts w:ascii="Times New Roman" w:hAnsi="Times New Roman"/>
          <w:sz w:val="24"/>
          <w:szCs w:val="24"/>
          <w:lang w:eastAsia="pl-PL"/>
        </w:rPr>
        <w:t>prowadzonej działalności, takich jak statut (o ile jego posiadanie jest wymagane przepisami prawa, np. w przypadku spółki akcyjnej albo komandytowo-akcyjnej), zasady zawierania i wypowiadania umów z uprawnionymi, wzory standardowych umów licencyjnych, standardowe stawki wynagrodzeń oraz zasady podziału przychodów z praw i dokonywania od nich potrąceń</w:t>
      </w:r>
      <w:r w:rsidR="00DC207A">
        <w:rPr>
          <w:rFonts w:ascii="Times New Roman" w:hAnsi="Times New Roman"/>
          <w:sz w:val="24"/>
          <w:szCs w:val="24"/>
          <w:lang w:eastAsia="pl-PL"/>
        </w:rPr>
        <w:t>, a więc obowiązki wynikające z </w:t>
      </w:r>
      <w:r w:rsidRPr="00E24274">
        <w:rPr>
          <w:rFonts w:ascii="Times New Roman" w:hAnsi="Times New Roman"/>
          <w:sz w:val="24"/>
          <w:szCs w:val="24"/>
          <w:lang w:eastAsia="pl-PL"/>
        </w:rPr>
        <w:t>art. 21 ust. 1 lit. a</w:t>
      </w:r>
      <w:r w:rsidR="00B85D46">
        <w:rPr>
          <w:rFonts w:ascii="Times New Roman" w:hAnsi="Times New Roman"/>
          <w:sz w:val="24"/>
          <w:szCs w:val="24"/>
          <w:lang w:eastAsia="pl-PL"/>
        </w:rPr>
        <w:t>–</w:t>
      </w:r>
      <w:r w:rsidRPr="00E24274">
        <w:rPr>
          <w:rFonts w:ascii="Times New Roman" w:hAnsi="Times New Roman"/>
          <w:sz w:val="24"/>
          <w:szCs w:val="24"/>
          <w:lang w:eastAsia="pl-PL"/>
        </w:rPr>
        <w:t>c i e</w:t>
      </w:r>
      <w:r w:rsidR="00B85D46">
        <w:rPr>
          <w:rFonts w:ascii="Times New Roman" w:hAnsi="Times New Roman"/>
          <w:sz w:val="24"/>
          <w:szCs w:val="24"/>
          <w:lang w:eastAsia="pl-PL"/>
        </w:rPr>
        <w:t>–</w:t>
      </w:r>
      <w:r w:rsidRPr="00E24274">
        <w:rPr>
          <w:rFonts w:ascii="Times New Roman" w:hAnsi="Times New Roman"/>
          <w:sz w:val="24"/>
          <w:szCs w:val="24"/>
          <w:lang w:eastAsia="pl-PL"/>
        </w:rPr>
        <w:t>g dyrektywy. Dodatkowo pkt 2 projektowanego przepisu potwierdzi omówioną wyżej zasadę, zgodnie z którą niezależny podmiot zarządzający może udzielać licencji</w:t>
      </w:r>
      <w:r w:rsidR="007515B5" w:rsidRPr="00E24274">
        <w:rPr>
          <w:rFonts w:ascii="Times New Roman" w:hAnsi="Times New Roman"/>
          <w:sz w:val="24"/>
          <w:szCs w:val="24"/>
          <w:lang w:eastAsia="pl-PL"/>
        </w:rPr>
        <w:t xml:space="preserve"> lub dokonywać poboru wynagrodzenia</w:t>
      </w:r>
      <w:r w:rsidR="00DC207A">
        <w:rPr>
          <w:rFonts w:ascii="Times New Roman" w:hAnsi="Times New Roman"/>
          <w:sz w:val="24"/>
          <w:szCs w:val="24"/>
          <w:lang w:eastAsia="pl-PL"/>
        </w:rPr>
        <w:t xml:space="preserve"> wyłącznie w zakresie, w </w:t>
      </w:r>
      <w:r w:rsidRPr="00E24274">
        <w:rPr>
          <w:rFonts w:ascii="Times New Roman" w:hAnsi="Times New Roman"/>
          <w:sz w:val="24"/>
          <w:szCs w:val="24"/>
          <w:lang w:eastAsia="pl-PL"/>
        </w:rPr>
        <w:t>jakim posiada tytuł prawny do zarządzania prawami udzielony przez uprawnionego. Posiadanie takiego tytułu będzie stanowiło jeden z wymogów prowadzenia działalności regulowanej.</w:t>
      </w:r>
    </w:p>
    <w:p w:rsidR="00D2655C" w:rsidRPr="00E24274" w:rsidRDefault="00D2655C" w:rsidP="00E24274">
      <w:pPr>
        <w:spacing w:before="120" w:after="0" w:line="360" w:lineRule="auto"/>
        <w:jc w:val="both"/>
        <w:rPr>
          <w:rFonts w:ascii="Times New Roman" w:hAnsi="Times New Roman"/>
          <w:b/>
          <w:sz w:val="24"/>
          <w:szCs w:val="24"/>
          <w:lang w:eastAsia="pl-PL"/>
        </w:rPr>
      </w:pPr>
      <w:r w:rsidRPr="00E24274">
        <w:rPr>
          <w:rFonts w:ascii="Times New Roman" w:hAnsi="Times New Roman"/>
          <w:b/>
          <w:sz w:val="24"/>
          <w:szCs w:val="24"/>
          <w:lang w:eastAsia="pl-PL"/>
        </w:rPr>
        <w:t xml:space="preserve">art. 111 i </w:t>
      </w:r>
      <w:r w:rsidR="005267A5">
        <w:rPr>
          <w:rFonts w:ascii="Times New Roman" w:hAnsi="Times New Roman"/>
          <w:b/>
          <w:sz w:val="24"/>
          <w:szCs w:val="24"/>
          <w:lang w:eastAsia="pl-PL"/>
        </w:rPr>
        <w:t xml:space="preserve">art. </w:t>
      </w:r>
      <w:r w:rsidRPr="00E24274">
        <w:rPr>
          <w:rFonts w:ascii="Times New Roman" w:hAnsi="Times New Roman"/>
          <w:b/>
          <w:sz w:val="24"/>
          <w:szCs w:val="24"/>
          <w:lang w:eastAsia="pl-PL"/>
        </w:rPr>
        <w:t>113</w:t>
      </w:r>
    </w:p>
    <w:p w:rsidR="00D2655C" w:rsidRPr="00E24274" w:rsidRDefault="00D2655C" w:rsidP="00DC207A">
      <w:pPr>
        <w:spacing w:after="0" w:line="360" w:lineRule="auto"/>
        <w:jc w:val="both"/>
        <w:rPr>
          <w:rFonts w:ascii="Times New Roman" w:hAnsi="Times New Roman"/>
          <w:sz w:val="24"/>
          <w:szCs w:val="24"/>
          <w:lang w:eastAsia="pl-PL"/>
        </w:rPr>
      </w:pPr>
      <w:r w:rsidRPr="00E24274">
        <w:rPr>
          <w:rFonts w:ascii="Times New Roman" w:hAnsi="Times New Roman"/>
          <w:sz w:val="24"/>
          <w:szCs w:val="24"/>
          <w:lang w:eastAsia="pl-PL"/>
        </w:rPr>
        <w:t>Zgodnie z projektowanym art. 111 ust. 1 organem prowadzącym rejestr będzie minister właściwy do spraw kultury i ochrony dziedzictwa narodowego. Ust. 2 tego artykułu określi informacje, które powinien zawierać wniosek o wpis do rejestru. Poza podstawowymi danymi na temat przedsiębiorcy we wniosku będzie należało wskazać – podobnie jak w przypadku udzielania zezwoleń organizacjom zbiorowego zarządzania – informacje na temat repertuaru, którym będzie zarządzać jako niezależny podmiot zarządzający, obejmującego: rodzaje utworów lub przedmiotów praw pokrewnych, pola eksploatacji oraz kategorie reprezentowanych uprawnionych, a dodatkowo – obszar, na którym będzie wykonywana działalność. Na podstawie ust. 5 informacje te będą zamieszczane w rejestrze.</w:t>
      </w:r>
    </w:p>
    <w:p w:rsidR="00D2655C" w:rsidRPr="00E24274" w:rsidRDefault="00D2655C" w:rsidP="00E24274">
      <w:pPr>
        <w:spacing w:before="120" w:after="0" w:line="360" w:lineRule="auto"/>
        <w:jc w:val="both"/>
        <w:rPr>
          <w:rFonts w:ascii="Times New Roman" w:hAnsi="Times New Roman"/>
          <w:sz w:val="24"/>
          <w:szCs w:val="24"/>
          <w:lang w:eastAsia="pl-PL"/>
        </w:rPr>
      </w:pPr>
      <w:r w:rsidRPr="00E24274">
        <w:rPr>
          <w:rFonts w:ascii="Times New Roman" w:hAnsi="Times New Roman"/>
          <w:sz w:val="24"/>
          <w:szCs w:val="24"/>
          <w:lang w:eastAsia="pl-PL"/>
        </w:rPr>
        <w:t>Przepisy usdg określają procedurę wpisu do rejestru oraz ogólne zasady jego prowadzenia, pozostawiając pewne elementy do uregulowania w przepisach szczegółowych (por. m.in. art. 65 ust. 4 i art. 66 ust. 3 usdg). W przypadku działalności niezależnych podmiotów zarządzających regulacja szczegółowa obejmie:</w:t>
      </w:r>
    </w:p>
    <w:p w:rsidR="00D2655C" w:rsidRPr="00E24274" w:rsidRDefault="00D2655C" w:rsidP="00DC207A">
      <w:pPr>
        <w:numPr>
          <w:ilvl w:val="0"/>
          <w:numId w:val="41"/>
        </w:numPr>
        <w:spacing w:after="0" w:line="360" w:lineRule="auto"/>
        <w:ind w:left="420" w:hanging="406"/>
        <w:jc w:val="both"/>
        <w:rPr>
          <w:rFonts w:ascii="Times New Roman" w:hAnsi="Times New Roman"/>
          <w:sz w:val="24"/>
          <w:szCs w:val="24"/>
          <w:lang w:eastAsia="pl-PL"/>
        </w:rPr>
      </w:pPr>
      <w:r w:rsidRPr="00E24274">
        <w:rPr>
          <w:rFonts w:ascii="Times New Roman" w:hAnsi="Times New Roman"/>
          <w:sz w:val="24"/>
          <w:szCs w:val="24"/>
          <w:lang w:eastAsia="pl-PL"/>
        </w:rPr>
        <w:lastRenderedPageBreak/>
        <w:t>treść oświadczenia o spełnieniu warunków wymaganych do wykonywania działalności regulowanej, które – zgodnie z art. 65 ust. 1 usdg – przedsiębiorca jest zobowiązany złożyć wraz z wnioskiem o wpis do rejestru pod rygorem odpowiedzialności karnej za składanie fałszywych oświadczeń (art. 111 ust. 3 i 4 projektu);</w:t>
      </w:r>
    </w:p>
    <w:p w:rsidR="00D2655C" w:rsidRPr="00E24274" w:rsidRDefault="00D2655C" w:rsidP="00DC207A">
      <w:pPr>
        <w:numPr>
          <w:ilvl w:val="0"/>
          <w:numId w:val="41"/>
        </w:numPr>
        <w:spacing w:after="0" w:line="360" w:lineRule="auto"/>
        <w:ind w:left="420" w:hanging="406"/>
        <w:jc w:val="both"/>
        <w:rPr>
          <w:rFonts w:ascii="Times New Roman" w:hAnsi="Times New Roman"/>
          <w:sz w:val="24"/>
          <w:szCs w:val="24"/>
          <w:lang w:eastAsia="pl-PL"/>
        </w:rPr>
      </w:pPr>
      <w:r w:rsidRPr="00E24274">
        <w:rPr>
          <w:rFonts w:ascii="Times New Roman" w:hAnsi="Times New Roman"/>
          <w:sz w:val="24"/>
          <w:szCs w:val="24"/>
          <w:lang w:eastAsia="pl-PL"/>
        </w:rPr>
        <w:t>sposób prowadzenia rejestru; zostanie ono powierzone ministrowi właściwemu do spraw kultury i ochrony dziedzictwa narodowego (art. 111 ust. 1 projektu); z art. 66 ust. 1 usdg wynika jawny charakter rejestru, natomiast projektowane przepisy dodatkowo potwierdzą możliwość jego prowadzenia w systemie teleinformatycznym (art. 111 ust. 6 projektu);</w:t>
      </w:r>
    </w:p>
    <w:p w:rsidR="00D2655C" w:rsidRPr="00E24274" w:rsidRDefault="00D2655C" w:rsidP="00DC207A">
      <w:pPr>
        <w:numPr>
          <w:ilvl w:val="0"/>
          <w:numId w:val="41"/>
        </w:numPr>
        <w:spacing w:after="0" w:line="360" w:lineRule="auto"/>
        <w:ind w:left="420" w:hanging="406"/>
        <w:jc w:val="both"/>
        <w:rPr>
          <w:rFonts w:ascii="Times New Roman" w:hAnsi="Times New Roman"/>
          <w:sz w:val="24"/>
          <w:szCs w:val="24"/>
          <w:lang w:eastAsia="pl-PL"/>
        </w:rPr>
      </w:pPr>
      <w:r w:rsidRPr="00E24274">
        <w:rPr>
          <w:rFonts w:ascii="Times New Roman" w:hAnsi="Times New Roman"/>
          <w:sz w:val="24"/>
          <w:szCs w:val="24"/>
          <w:lang w:eastAsia="pl-PL"/>
        </w:rPr>
        <w:t xml:space="preserve">przesłanki wykreślenia wpisu </w:t>
      </w:r>
      <w:r w:rsidR="007515B5" w:rsidRPr="00E24274">
        <w:rPr>
          <w:rFonts w:ascii="Times New Roman" w:hAnsi="Times New Roman"/>
          <w:sz w:val="24"/>
          <w:szCs w:val="24"/>
          <w:lang w:eastAsia="pl-PL"/>
        </w:rPr>
        <w:t xml:space="preserve">przedsiębiorcy z </w:t>
      </w:r>
      <w:r w:rsidRPr="00E24274">
        <w:rPr>
          <w:rFonts w:ascii="Times New Roman" w:hAnsi="Times New Roman"/>
          <w:sz w:val="24"/>
          <w:szCs w:val="24"/>
          <w:lang w:eastAsia="pl-PL"/>
        </w:rPr>
        <w:t>rejestru (art. 113 projektu).</w:t>
      </w:r>
    </w:p>
    <w:p w:rsidR="00D2655C" w:rsidRPr="00E24274" w:rsidRDefault="00D2655C" w:rsidP="00E24274">
      <w:pPr>
        <w:spacing w:before="120" w:after="0" w:line="360" w:lineRule="auto"/>
        <w:jc w:val="both"/>
        <w:rPr>
          <w:rFonts w:ascii="Times New Roman" w:hAnsi="Times New Roman"/>
          <w:b/>
          <w:sz w:val="24"/>
          <w:szCs w:val="24"/>
          <w:vertAlign w:val="superscript"/>
          <w:lang w:eastAsia="pl-PL"/>
        </w:rPr>
      </w:pPr>
      <w:r w:rsidRPr="00E24274">
        <w:rPr>
          <w:rFonts w:ascii="Times New Roman" w:hAnsi="Times New Roman"/>
          <w:b/>
          <w:sz w:val="24"/>
          <w:szCs w:val="24"/>
          <w:lang w:eastAsia="pl-PL"/>
        </w:rPr>
        <w:t xml:space="preserve">art. 112 i </w:t>
      </w:r>
      <w:r w:rsidR="005267A5">
        <w:rPr>
          <w:rFonts w:ascii="Times New Roman" w:hAnsi="Times New Roman"/>
          <w:b/>
          <w:sz w:val="24"/>
          <w:szCs w:val="24"/>
          <w:lang w:eastAsia="pl-PL"/>
        </w:rPr>
        <w:t xml:space="preserve">art. </w:t>
      </w:r>
      <w:r w:rsidRPr="00E24274">
        <w:rPr>
          <w:rFonts w:ascii="Times New Roman" w:hAnsi="Times New Roman"/>
          <w:b/>
          <w:sz w:val="24"/>
          <w:szCs w:val="24"/>
          <w:lang w:eastAsia="pl-PL"/>
        </w:rPr>
        <w:t>114</w:t>
      </w:r>
    </w:p>
    <w:p w:rsidR="00D2655C" w:rsidRPr="00E24274" w:rsidRDefault="00D2655C" w:rsidP="00591C91">
      <w:pPr>
        <w:spacing w:after="0" w:line="360" w:lineRule="auto"/>
        <w:jc w:val="both"/>
        <w:rPr>
          <w:rFonts w:ascii="Times New Roman" w:hAnsi="Times New Roman"/>
          <w:sz w:val="24"/>
          <w:szCs w:val="24"/>
          <w:lang w:eastAsia="pl-PL"/>
        </w:rPr>
      </w:pPr>
      <w:r w:rsidRPr="00E24274">
        <w:rPr>
          <w:rFonts w:ascii="Times New Roman" w:hAnsi="Times New Roman"/>
          <w:sz w:val="24"/>
          <w:szCs w:val="24"/>
          <w:lang w:eastAsia="pl-PL"/>
        </w:rPr>
        <w:t>Projektowany art. 112 wskazuje pewne dodatkowe zasady prowadzenia działalności przez niezależne podmioty zarządzające, w znacznej części wynikające z dyrektywy CRM.</w:t>
      </w:r>
    </w:p>
    <w:p w:rsidR="00D2655C" w:rsidRPr="00E24274" w:rsidRDefault="00D2655C" w:rsidP="00E24274">
      <w:pPr>
        <w:spacing w:before="120" w:after="0" w:line="360" w:lineRule="auto"/>
        <w:jc w:val="both"/>
        <w:rPr>
          <w:rFonts w:ascii="Times New Roman" w:hAnsi="Times New Roman"/>
          <w:sz w:val="24"/>
          <w:szCs w:val="24"/>
          <w:lang w:eastAsia="pl-PL"/>
        </w:rPr>
      </w:pPr>
      <w:r w:rsidRPr="00E24274">
        <w:rPr>
          <w:rFonts w:ascii="Times New Roman" w:hAnsi="Times New Roman"/>
          <w:sz w:val="24"/>
          <w:szCs w:val="24"/>
          <w:lang w:eastAsia="pl-PL"/>
        </w:rPr>
        <w:t>Ust. 1 tego artykułu odsyła do pozostałych, nieuwzględnionych powyżej przepisów implementujących dyrektywę, które zgodnie z jej art. 2 ust. 4 powinny znaleźć zastosowanie do niezależnych podmiotów zarządzających.</w:t>
      </w:r>
    </w:p>
    <w:p w:rsidR="00D2655C" w:rsidRPr="00E24274" w:rsidRDefault="00D2655C" w:rsidP="00E24274">
      <w:pPr>
        <w:spacing w:before="120" w:after="0" w:line="360" w:lineRule="auto"/>
        <w:jc w:val="both"/>
        <w:rPr>
          <w:rFonts w:ascii="Times New Roman" w:hAnsi="Times New Roman"/>
          <w:sz w:val="24"/>
          <w:szCs w:val="24"/>
          <w:lang w:eastAsia="pl-PL"/>
        </w:rPr>
      </w:pPr>
      <w:r w:rsidRPr="00E24274">
        <w:rPr>
          <w:rFonts w:ascii="Times New Roman" w:hAnsi="Times New Roman"/>
          <w:sz w:val="24"/>
          <w:szCs w:val="24"/>
          <w:lang w:eastAsia="pl-PL"/>
        </w:rPr>
        <w:t>Stosowanie art. 16 ust. 1 dyrektywy, a więc obowiązek prowadzenia w dobrej wierze negocjacji w sprawie udzielenia licencji oraz wzajemnego przekazywania niezbędnych informacji, zostanie zapewnion</w:t>
      </w:r>
      <w:r w:rsidR="005267A5">
        <w:rPr>
          <w:rFonts w:ascii="Times New Roman" w:hAnsi="Times New Roman"/>
          <w:sz w:val="24"/>
          <w:szCs w:val="24"/>
          <w:lang w:eastAsia="pl-PL"/>
        </w:rPr>
        <w:t>y</w:t>
      </w:r>
      <w:r w:rsidR="001D20B5">
        <w:rPr>
          <w:rFonts w:ascii="Times New Roman" w:hAnsi="Times New Roman"/>
          <w:sz w:val="24"/>
          <w:szCs w:val="24"/>
          <w:lang w:eastAsia="pl-PL"/>
        </w:rPr>
        <w:t xml:space="preserve"> </w:t>
      </w:r>
      <w:r w:rsidRPr="00E24274">
        <w:rPr>
          <w:rFonts w:ascii="Times New Roman" w:hAnsi="Times New Roman"/>
          <w:sz w:val="24"/>
          <w:szCs w:val="24"/>
          <w:lang w:eastAsia="pl-PL"/>
        </w:rPr>
        <w:t>przez odesłanie do art. 42 ust. 3, ust. 4 zdanie pierwsze i ust. 5 projektu, a ponadto do art. 48 ust. 1, który zobowiąże niezależne podmioty zarządzające do informowania użytkownika o wszystkich okolicznościach istotnych z punktu widzenia obowiązywania i wykonywania umowy. Dodatkowo, zgodnie z ust. 2, informacje te powinny obejmować w szczególności listę utworów lub przedmiotów praw pokrewnych, których ma dotyczyć licencja. Takie rozwiązanie pozwoli uniknąć sytuacji, w których niezależny podmiot zarządzający udziela licencji jedynie na ogólnie wskazany, np. rodzajowo, repertuar.</w:t>
      </w:r>
    </w:p>
    <w:p w:rsidR="00D2655C" w:rsidRPr="00E24274" w:rsidRDefault="00D2655C" w:rsidP="00E24274">
      <w:pPr>
        <w:spacing w:before="120" w:after="0" w:line="360" w:lineRule="auto"/>
        <w:jc w:val="both"/>
        <w:rPr>
          <w:rFonts w:ascii="Times New Roman" w:hAnsi="Times New Roman"/>
          <w:sz w:val="24"/>
          <w:szCs w:val="24"/>
          <w:lang w:eastAsia="pl-PL"/>
        </w:rPr>
      </w:pPr>
      <w:r w:rsidRPr="00E24274">
        <w:rPr>
          <w:rFonts w:ascii="Times New Roman" w:hAnsi="Times New Roman"/>
          <w:sz w:val="24"/>
          <w:szCs w:val="24"/>
          <w:lang w:eastAsia="pl-PL"/>
        </w:rPr>
        <w:t xml:space="preserve">Z kolei obowiązki informacyjne określone w art. 18 i </w:t>
      </w:r>
      <w:r w:rsidR="005267A5">
        <w:rPr>
          <w:rFonts w:ascii="Times New Roman" w:hAnsi="Times New Roman"/>
          <w:sz w:val="24"/>
          <w:szCs w:val="24"/>
          <w:lang w:eastAsia="pl-PL"/>
        </w:rPr>
        <w:t xml:space="preserve">art. </w:t>
      </w:r>
      <w:r w:rsidRPr="00E24274">
        <w:rPr>
          <w:rFonts w:ascii="Times New Roman" w:hAnsi="Times New Roman"/>
          <w:sz w:val="24"/>
          <w:szCs w:val="24"/>
          <w:lang w:eastAsia="pl-PL"/>
        </w:rPr>
        <w:t>20 dyrektywy będą nałożone na nie</w:t>
      </w:r>
      <w:r w:rsidR="001D20B5">
        <w:rPr>
          <w:rFonts w:ascii="Times New Roman" w:hAnsi="Times New Roman"/>
          <w:sz w:val="24"/>
          <w:szCs w:val="24"/>
          <w:lang w:eastAsia="pl-PL"/>
        </w:rPr>
        <w:t xml:space="preserve">zależne podmioty zarządzające </w:t>
      </w:r>
      <w:r w:rsidRPr="00E24274">
        <w:rPr>
          <w:rFonts w:ascii="Times New Roman" w:hAnsi="Times New Roman"/>
          <w:sz w:val="24"/>
          <w:szCs w:val="24"/>
          <w:lang w:eastAsia="pl-PL"/>
        </w:rPr>
        <w:t xml:space="preserve">przez odesłanie </w:t>
      </w:r>
      <w:r w:rsidR="00591C91">
        <w:rPr>
          <w:rFonts w:ascii="Times New Roman" w:hAnsi="Times New Roman"/>
          <w:sz w:val="24"/>
          <w:szCs w:val="24"/>
          <w:lang w:eastAsia="pl-PL"/>
        </w:rPr>
        <w:t>do odpowiadających im art. 84 i </w:t>
      </w:r>
      <w:r w:rsidR="005267A5">
        <w:rPr>
          <w:rFonts w:ascii="Times New Roman" w:hAnsi="Times New Roman"/>
          <w:sz w:val="24"/>
          <w:szCs w:val="24"/>
          <w:lang w:eastAsia="pl-PL"/>
        </w:rPr>
        <w:t xml:space="preserve">art. </w:t>
      </w:r>
      <w:r w:rsidRPr="00E24274">
        <w:rPr>
          <w:rFonts w:ascii="Times New Roman" w:hAnsi="Times New Roman"/>
          <w:sz w:val="24"/>
          <w:szCs w:val="24"/>
          <w:lang w:eastAsia="pl-PL"/>
        </w:rPr>
        <w:t>86 projektu.</w:t>
      </w:r>
    </w:p>
    <w:p w:rsidR="00D2655C" w:rsidRPr="00E24274" w:rsidRDefault="00D2655C" w:rsidP="00E24274">
      <w:pPr>
        <w:spacing w:before="120" w:after="0" w:line="360" w:lineRule="auto"/>
        <w:jc w:val="both"/>
        <w:rPr>
          <w:rFonts w:ascii="Times New Roman" w:hAnsi="Times New Roman"/>
          <w:sz w:val="24"/>
          <w:szCs w:val="24"/>
          <w:lang w:eastAsia="pl-PL"/>
        </w:rPr>
      </w:pPr>
      <w:r w:rsidRPr="00E24274">
        <w:rPr>
          <w:rFonts w:ascii="Times New Roman" w:hAnsi="Times New Roman"/>
          <w:sz w:val="24"/>
          <w:szCs w:val="24"/>
          <w:lang w:eastAsia="pl-PL"/>
        </w:rPr>
        <w:lastRenderedPageBreak/>
        <w:t>Implementacja art. 36 dyrektywy w stosunku do niezależnych podmiotów zarządzających – poza wspomnianym wyżej monitorowaniem – wymaga, aby istniała możliwość powiadamiania właściwych organów o przypadkach naruszenia przez nie przepisów oraz zastosowania odpowiednich sankcji. Brak jest jednak uzasadnienia dla wprowadzenia identycznego systemu nadzoru jak w przypadku organizacji zbiorowego zarządzania. Środki nadzoru powinny być bowiem proporcjonalne do zakresu, w jakim niezależne podmioty zarządzające są objęte przepisami dyrektywy</w:t>
      </w:r>
      <w:r w:rsidR="005267A5">
        <w:rPr>
          <w:rFonts w:ascii="Times New Roman" w:hAnsi="Times New Roman"/>
          <w:sz w:val="24"/>
          <w:szCs w:val="24"/>
          <w:lang w:eastAsia="pl-PL"/>
        </w:rPr>
        <w:t>,</w:t>
      </w:r>
      <w:r w:rsidRPr="00E24274">
        <w:rPr>
          <w:rFonts w:ascii="Times New Roman" w:hAnsi="Times New Roman"/>
          <w:sz w:val="24"/>
          <w:szCs w:val="24"/>
          <w:lang w:eastAsia="pl-PL"/>
        </w:rPr>
        <w:t xml:space="preserve"> oraz do posiadanych przez nie uprawnień – dużo mniejszych niż w przypadku organizacji zbiorowego zarządzania, gdyż wywodzonych wyłącznie z umocowania uprawnionych.</w:t>
      </w:r>
    </w:p>
    <w:p w:rsidR="00D2655C" w:rsidRPr="00E24274" w:rsidRDefault="00D2655C" w:rsidP="00E24274">
      <w:pPr>
        <w:spacing w:before="120" w:after="0" w:line="360" w:lineRule="auto"/>
        <w:jc w:val="both"/>
        <w:rPr>
          <w:rFonts w:ascii="Times New Roman" w:hAnsi="Times New Roman"/>
          <w:sz w:val="24"/>
          <w:szCs w:val="24"/>
          <w:lang w:eastAsia="pl-PL"/>
        </w:rPr>
      </w:pPr>
      <w:r w:rsidRPr="00E24274">
        <w:rPr>
          <w:rFonts w:ascii="Times New Roman" w:hAnsi="Times New Roman"/>
          <w:sz w:val="24"/>
          <w:szCs w:val="24"/>
          <w:lang w:eastAsia="pl-PL"/>
        </w:rPr>
        <w:t xml:space="preserve">Dlatego mechanizm zapewnienia zgodności działania niezależnych podmiotów zarządzających z przepisami prawa zostanie wprowadzony dwutorowo. Z jednej strony – podobnie jak w przypadku organizacji zbiorowego </w:t>
      </w:r>
      <w:r w:rsidR="00591C91">
        <w:rPr>
          <w:rFonts w:ascii="Times New Roman" w:hAnsi="Times New Roman"/>
          <w:sz w:val="24"/>
          <w:szCs w:val="24"/>
          <w:lang w:eastAsia="pl-PL"/>
        </w:rPr>
        <w:t>zarządzania – na podstawie art. </w:t>
      </w:r>
      <w:r w:rsidRPr="00E24274">
        <w:rPr>
          <w:rFonts w:ascii="Times New Roman" w:hAnsi="Times New Roman"/>
          <w:sz w:val="24"/>
          <w:szCs w:val="24"/>
          <w:lang w:eastAsia="pl-PL"/>
        </w:rPr>
        <w:t>114 projektu każda zainteresowana osoba będ</w:t>
      </w:r>
      <w:r w:rsidR="00591C91">
        <w:rPr>
          <w:rFonts w:ascii="Times New Roman" w:hAnsi="Times New Roman"/>
          <w:sz w:val="24"/>
          <w:szCs w:val="24"/>
          <w:lang w:eastAsia="pl-PL"/>
        </w:rPr>
        <w:t>zie mogła powiadomić ministra o </w:t>
      </w:r>
      <w:r w:rsidRPr="00E24274">
        <w:rPr>
          <w:rFonts w:ascii="Times New Roman" w:hAnsi="Times New Roman"/>
          <w:sz w:val="24"/>
          <w:szCs w:val="24"/>
          <w:lang w:eastAsia="pl-PL"/>
        </w:rPr>
        <w:t>działaniach lub okolicznościach uzasadniających podjęcie wobec niezależnego podmiotu zarządzającego czynności pozostających w kompetencji tego ministra jako organu prowadzącego rejestr, wynikających z art. 70 usdg. Zgodnie z tym przepisem spełnianie przez przedsiębiorcę warunków wymaganych do wykonywania działalności regulowanej podlega kontroli, w szczególności przez organ prowadzący rejestr danej działalności, prowadzonej na podstawie art. 57 tej ustawy. Kontrola ta obejmuje wstęp na teren wykonywania działalności, możliwość żądania udzielenia wyjaśnień oraz udostępnienia dokumentów lub innych stosownych danych, jak również możliwość wezwania przedsiębiorcy do usunięcia stwierdzonych uchybień. W razie nieusunięcia tych uchybień, a także złożenia niezgodnego ze stanem faktycznym oświadczenia lub stwierdzenia rażącego naruszenia warunków wymaganych do wykonywania działalności regulowanej, minister – działając na podstawie art. 71 usdg – wyda decyzję o zakazie wykonywania przez przedsiębiorcę działalności objętej wpisem oraz wykreśli wpis w rejestrze.</w:t>
      </w:r>
    </w:p>
    <w:p w:rsidR="00D2655C" w:rsidRPr="00E24274" w:rsidRDefault="00D2655C" w:rsidP="00E24274">
      <w:pPr>
        <w:spacing w:before="120" w:after="0" w:line="360" w:lineRule="auto"/>
        <w:jc w:val="both"/>
        <w:rPr>
          <w:rFonts w:ascii="Times New Roman" w:hAnsi="Times New Roman"/>
          <w:sz w:val="24"/>
          <w:szCs w:val="24"/>
          <w:lang w:eastAsia="pl-PL"/>
        </w:rPr>
      </w:pPr>
      <w:r w:rsidRPr="00E24274">
        <w:rPr>
          <w:rFonts w:ascii="Times New Roman" w:hAnsi="Times New Roman"/>
          <w:sz w:val="24"/>
          <w:szCs w:val="24"/>
          <w:lang w:eastAsia="pl-PL"/>
        </w:rPr>
        <w:t>Z drugiej strony uprawniony albo użytkownik powinni mieć możliwość samodzielnego dochodzenia wykonania ustawowych obowiązków przez niezależny podmiot zarządzający. Takie roszczenie będzie im przysługiwać na podstawie art. 112 ust. 3 projektowanej ustawy.</w:t>
      </w:r>
    </w:p>
    <w:p w:rsidR="00D2655C" w:rsidRPr="00E24274" w:rsidRDefault="00D2655C" w:rsidP="00E24274">
      <w:pPr>
        <w:spacing w:before="120" w:after="0" w:line="360" w:lineRule="auto"/>
        <w:jc w:val="both"/>
        <w:rPr>
          <w:rFonts w:ascii="Times New Roman" w:hAnsi="Times New Roman"/>
          <w:sz w:val="24"/>
          <w:szCs w:val="24"/>
          <w:lang w:eastAsia="pl-PL"/>
        </w:rPr>
      </w:pPr>
      <w:r w:rsidRPr="00E24274">
        <w:rPr>
          <w:rFonts w:ascii="Times New Roman" w:hAnsi="Times New Roman"/>
          <w:sz w:val="24"/>
          <w:szCs w:val="24"/>
          <w:lang w:eastAsia="pl-PL"/>
        </w:rPr>
        <w:lastRenderedPageBreak/>
        <w:t>Warto także zaznaczyć, że wykonywanie działalności regulowanej bez wpisu do rejestru będzie stanowiło wykroczenie, o którym mowa w art. 60</w:t>
      </w:r>
      <w:r w:rsidRPr="00E24274">
        <w:rPr>
          <w:rFonts w:ascii="Times New Roman" w:hAnsi="Times New Roman"/>
          <w:sz w:val="24"/>
          <w:szCs w:val="24"/>
          <w:vertAlign w:val="superscript"/>
          <w:lang w:eastAsia="pl-PL"/>
        </w:rPr>
        <w:t>1</w:t>
      </w:r>
      <w:r w:rsidRPr="00E24274">
        <w:rPr>
          <w:rFonts w:ascii="Times New Roman" w:hAnsi="Times New Roman"/>
          <w:sz w:val="24"/>
          <w:szCs w:val="24"/>
          <w:lang w:eastAsia="pl-PL"/>
        </w:rPr>
        <w:t xml:space="preserve"> § 1 Kodeksu wykroczeń.</w:t>
      </w:r>
    </w:p>
    <w:p w:rsidR="00D2655C" w:rsidRPr="00E24274" w:rsidRDefault="00D2655C" w:rsidP="00E24274">
      <w:pPr>
        <w:spacing w:before="120" w:after="0" w:line="360" w:lineRule="auto"/>
        <w:jc w:val="both"/>
        <w:rPr>
          <w:rFonts w:ascii="Times New Roman" w:hAnsi="Times New Roman"/>
          <w:sz w:val="24"/>
          <w:szCs w:val="24"/>
          <w:lang w:eastAsia="pl-PL"/>
        </w:rPr>
      </w:pPr>
      <w:r w:rsidRPr="00E24274">
        <w:rPr>
          <w:rFonts w:ascii="Times New Roman" w:hAnsi="Times New Roman"/>
          <w:sz w:val="24"/>
          <w:szCs w:val="24"/>
          <w:lang w:eastAsia="pl-PL"/>
        </w:rPr>
        <w:t>Ostatnim z przepisów dyrektywy CRM, którego odpowiednie stosowanie do niezależnych podmiotów zarządzających nakazuje art. 2 ust. 4 tej dyrektywy CRM, jest art. 42 dotyczący ochrony danych osobowych. Przepis ten stwierdza, że przetwarzanie danych osobowych prowadzone w ramach dyrektyw</w:t>
      </w:r>
      <w:r w:rsidR="00591C91">
        <w:rPr>
          <w:rFonts w:ascii="Times New Roman" w:hAnsi="Times New Roman"/>
          <w:sz w:val="24"/>
          <w:szCs w:val="24"/>
          <w:lang w:eastAsia="pl-PL"/>
        </w:rPr>
        <w:t>y podlega stosownym przepisom o </w:t>
      </w:r>
      <w:r w:rsidRPr="00E24274">
        <w:rPr>
          <w:rFonts w:ascii="Times New Roman" w:hAnsi="Times New Roman"/>
          <w:sz w:val="24"/>
          <w:szCs w:val="24"/>
          <w:lang w:eastAsia="pl-PL"/>
        </w:rPr>
        <w:t>ochronie danych osobowych, co – w braku przeciwnych postanowień – jest oczywiste i nie wymaga powtarzania na gruncie polskiego prawa. Należy w tym miejscu zauważyć, że skoro niezależne podmioty zarządzające mogą zarządzać prawami wyłącznie na podstawie upoważnienia udzielonego przez uprawnionego, przetwarzanie jego danych może – i powinno – w każdym przypadku odbywać się na podstawie udzielonej przez niego zgody. Nie jest więc w tym zakresie konieczna dodatkowa ustawowa podstawa do przetwarzania danych osobowych (w przeciwieństwie do organizacji zbiorowego zarządzania, których działalność wymaga w niektórych przypadkach przetwarzania danych także bez zgody uprawnionych).</w:t>
      </w:r>
    </w:p>
    <w:p w:rsidR="00D2655C" w:rsidRPr="00E24274" w:rsidRDefault="00D2655C" w:rsidP="00591C91">
      <w:pPr>
        <w:spacing w:before="240" w:after="0" w:line="360" w:lineRule="auto"/>
        <w:jc w:val="both"/>
        <w:rPr>
          <w:rFonts w:ascii="Times New Roman" w:hAnsi="Times New Roman"/>
          <w:b/>
          <w:sz w:val="24"/>
          <w:szCs w:val="24"/>
          <w:lang w:eastAsia="pl-PL"/>
        </w:rPr>
      </w:pPr>
      <w:r w:rsidRPr="00E24274">
        <w:rPr>
          <w:rFonts w:ascii="Times New Roman" w:hAnsi="Times New Roman"/>
          <w:b/>
          <w:sz w:val="24"/>
          <w:szCs w:val="24"/>
          <w:lang w:eastAsia="pl-PL"/>
        </w:rPr>
        <w:t>II.</w:t>
      </w:r>
      <w:r w:rsidR="00591C91">
        <w:rPr>
          <w:rFonts w:ascii="Times New Roman" w:hAnsi="Times New Roman"/>
          <w:b/>
          <w:sz w:val="24"/>
          <w:szCs w:val="24"/>
          <w:lang w:eastAsia="pl-PL"/>
        </w:rPr>
        <w:t xml:space="preserve"> </w:t>
      </w:r>
      <w:r w:rsidRPr="00E24274">
        <w:rPr>
          <w:rFonts w:ascii="Times New Roman" w:hAnsi="Times New Roman"/>
          <w:b/>
          <w:sz w:val="24"/>
          <w:szCs w:val="24"/>
          <w:lang w:eastAsia="pl-PL"/>
        </w:rPr>
        <w:t>13. Rozdział 13. Ochrona danych osobowych (art. 115 projektu)</w:t>
      </w:r>
    </w:p>
    <w:p w:rsidR="00D2655C" w:rsidRPr="00E24274" w:rsidRDefault="00D2655C" w:rsidP="00E24274">
      <w:pPr>
        <w:spacing w:before="120" w:after="0" w:line="360" w:lineRule="auto"/>
        <w:jc w:val="both"/>
        <w:rPr>
          <w:rFonts w:ascii="Times New Roman" w:hAnsi="Times New Roman"/>
          <w:b/>
          <w:sz w:val="24"/>
          <w:szCs w:val="24"/>
          <w:lang w:eastAsia="pl-PL"/>
        </w:rPr>
      </w:pPr>
      <w:r w:rsidRPr="00E24274">
        <w:rPr>
          <w:rFonts w:ascii="Times New Roman" w:hAnsi="Times New Roman"/>
          <w:b/>
          <w:sz w:val="24"/>
          <w:szCs w:val="24"/>
          <w:lang w:eastAsia="pl-PL"/>
        </w:rPr>
        <w:t>art. 115</w:t>
      </w:r>
    </w:p>
    <w:p w:rsidR="00BC7627" w:rsidRPr="00E24274" w:rsidRDefault="00D2655C"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1. Wykonywanie czynności z zakresu zbiorowego zarządzania wymaga przetwarzania przez organizację zbiorowego zarządzania niezbędnych danych osobowych uprawnionych i użytkowników. Podobna sytuacj</w:t>
      </w:r>
      <w:r w:rsidR="00591C91">
        <w:rPr>
          <w:rFonts w:ascii="Times New Roman" w:hAnsi="Times New Roman"/>
          <w:sz w:val="24"/>
          <w:szCs w:val="24"/>
        </w:rPr>
        <w:t>a wielokrotnie zachodzi także w </w:t>
      </w:r>
      <w:r w:rsidRPr="00E24274">
        <w:rPr>
          <w:rFonts w:ascii="Times New Roman" w:hAnsi="Times New Roman"/>
          <w:sz w:val="24"/>
          <w:szCs w:val="24"/>
        </w:rPr>
        <w:t>przypadku przetwarzania danych osobowych przez ministra właściwego</w:t>
      </w:r>
      <w:r w:rsidR="00591C91">
        <w:rPr>
          <w:rFonts w:ascii="Times New Roman" w:hAnsi="Times New Roman"/>
          <w:sz w:val="24"/>
          <w:szCs w:val="24"/>
        </w:rPr>
        <w:t xml:space="preserve"> ds. kultury i </w:t>
      </w:r>
      <w:r w:rsidRPr="00E24274">
        <w:rPr>
          <w:rFonts w:ascii="Times New Roman" w:hAnsi="Times New Roman"/>
          <w:sz w:val="24"/>
          <w:szCs w:val="24"/>
        </w:rPr>
        <w:t>dziedzictwa narodowego w związku z realizacj</w:t>
      </w:r>
      <w:r w:rsidR="005267A5">
        <w:rPr>
          <w:rFonts w:ascii="Times New Roman" w:hAnsi="Times New Roman"/>
          <w:sz w:val="24"/>
          <w:szCs w:val="24"/>
        </w:rPr>
        <w:t>ą</w:t>
      </w:r>
      <w:r w:rsidR="00591C91">
        <w:rPr>
          <w:rFonts w:ascii="Times New Roman" w:hAnsi="Times New Roman"/>
          <w:sz w:val="24"/>
          <w:szCs w:val="24"/>
        </w:rPr>
        <w:t xml:space="preserve"> przez niego zadań związanych z </w:t>
      </w:r>
      <w:r w:rsidRPr="00E24274">
        <w:rPr>
          <w:rFonts w:ascii="Times New Roman" w:hAnsi="Times New Roman"/>
          <w:sz w:val="24"/>
          <w:szCs w:val="24"/>
        </w:rPr>
        <w:t xml:space="preserve">udzieleniem i cofaniem zezwoleń na zbiorowe zarządzanie, nadzorem nad działającymi organizacjami oraz relacjami ministra z niezależnymi podmiotami zarządzającymi. W przypadku organizacji zbiorowego zarządzania wielokrotnie będzie dochodzić do przetwarzania danych bez wyrażonej wprost zgody zainteresowanych osób – np. w przypadku pobrania środków na rzecz uprawnionego niereprezentowanego przez daną organizację czy uprawnionych niezidentyfikowanych w momencie ich reprezentowania przez organizację albo w przypadku czynności w zakresie monitorowania korzystania z utworów lub przedmiotów praw pokrewnych przez użytkowników, którzy nie zawarli umowy licencyjnej z organizacją. Podobna sytuacja </w:t>
      </w:r>
      <w:r w:rsidRPr="00E24274">
        <w:rPr>
          <w:rFonts w:ascii="Times New Roman" w:hAnsi="Times New Roman"/>
          <w:sz w:val="24"/>
          <w:szCs w:val="24"/>
        </w:rPr>
        <w:lastRenderedPageBreak/>
        <w:t>może również mieć miejsce w przypadku prowadz</w:t>
      </w:r>
      <w:r w:rsidR="005267A5">
        <w:rPr>
          <w:rFonts w:ascii="Times New Roman" w:hAnsi="Times New Roman"/>
          <w:sz w:val="24"/>
          <w:szCs w:val="24"/>
        </w:rPr>
        <w:t>e</w:t>
      </w:r>
      <w:r w:rsidRPr="00E24274">
        <w:rPr>
          <w:rFonts w:ascii="Times New Roman" w:hAnsi="Times New Roman"/>
          <w:sz w:val="24"/>
          <w:szCs w:val="24"/>
        </w:rPr>
        <w:t>nia p</w:t>
      </w:r>
      <w:r w:rsidR="00591C91">
        <w:rPr>
          <w:rFonts w:ascii="Times New Roman" w:hAnsi="Times New Roman"/>
          <w:sz w:val="24"/>
          <w:szCs w:val="24"/>
        </w:rPr>
        <w:t>rzez organizację działalności o </w:t>
      </w:r>
      <w:r w:rsidRPr="00E24274">
        <w:rPr>
          <w:rFonts w:ascii="Times New Roman" w:hAnsi="Times New Roman"/>
          <w:sz w:val="24"/>
          <w:szCs w:val="24"/>
        </w:rPr>
        <w:t>charakterze socjalnym, kulturalnym lub edukacyjnym. Z kolei przetwarzanie danych osobowych we wszystkich sytuacjach, także gdy zainteresowani nie byli w stanie wyrazić wprost stosownej zgody, będzie niezbędne do prawidłowego wypełnienia obowiązków nałożonych na organizację przez projektowaną ustawę. Minister właściwy ds. kultury i dziedzictwa narodowego również będzie przetwarzał dane osobowe bez wyrażonej wprost zgody zainteresowanych osób np. w sytuacji, w której w celu dokonania oceny prawidłowości i skuteczności działania organizacji uzyskuje on informacje na temat uprawnionych, na rzecz których zostały podzielone lub wypłacone przychody z praw lub kiedy przedmiotem postępowania nadzorczego są nieprawidłowości w relacjach z konkretnymi użytkownikami. W obecnym stanie prawnym podstawę do takiego przetwarzania stanowi art. 23 ust. 1 pkt 2 ustawy z dnia 29 sierpnia 1997 r. o ochronie danych osobowych</w:t>
      </w:r>
      <w:r w:rsidR="00361631" w:rsidRPr="00E24274">
        <w:rPr>
          <w:rFonts w:ascii="Times New Roman" w:hAnsi="Times New Roman"/>
          <w:sz w:val="24"/>
          <w:szCs w:val="24"/>
        </w:rPr>
        <w:t>, wdrażając</w:t>
      </w:r>
      <w:r w:rsidR="001D20B5">
        <w:rPr>
          <w:rFonts w:ascii="Times New Roman" w:hAnsi="Times New Roman"/>
          <w:sz w:val="24"/>
          <w:szCs w:val="24"/>
        </w:rPr>
        <w:t>ej</w:t>
      </w:r>
      <w:r w:rsidR="00361631" w:rsidRPr="00E24274">
        <w:rPr>
          <w:rFonts w:ascii="Times New Roman" w:hAnsi="Times New Roman"/>
          <w:sz w:val="24"/>
          <w:szCs w:val="24"/>
        </w:rPr>
        <w:t xml:space="preserve"> dyrektywę 95/46/WE Parlamentu Europejskiego i Rady z dnia 24 października 1995 r. w sprawie ochrony osób fizycznych w zakresie przetwarzania danych osobowych i swobodnego przepływu tych danych</w:t>
      </w:r>
      <w:r w:rsidRPr="00E24274">
        <w:rPr>
          <w:rFonts w:ascii="Times New Roman" w:hAnsi="Times New Roman"/>
          <w:sz w:val="24"/>
          <w:szCs w:val="24"/>
        </w:rPr>
        <w:t>.</w:t>
      </w:r>
      <w:r w:rsidR="00361631" w:rsidRPr="00E24274">
        <w:rPr>
          <w:rFonts w:ascii="Times New Roman" w:hAnsi="Times New Roman"/>
          <w:sz w:val="24"/>
          <w:szCs w:val="24"/>
        </w:rPr>
        <w:t xml:space="preserve"> Ustawa ta – jako akt prawny powszechnie obowiązujący – będzie stosowana także przy wykonywaniu postanowień projektowanej ustawy, zarówno przez organizacje zbiorowego zarządzania jak i organ nadzoru. W ten sposób zapewnione zostanie wdrożenie art. 42 dyrektywy, który wymaga, aby przetwarzanie danych osobowych odbywało się zgodnie z dyrektywą 95/46/WE.</w:t>
      </w:r>
      <w:r w:rsidRPr="00E24274">
        <w:rPr>
          <w:rFonts w:ascii="Times New Roman" w:hAnsi="Times New Roman"/>
          <w:sz w:val="24"/>
          <w:szCs w:val="24"/>
        </w:rPr>
        <w:t xml:space="preserve"> </w:t>
      </w:r>
    </w:p>
    <w:p w:rsidR="00D2655C" w:rsidRPr="00E24274" w:rsidRDefault="00D2655C"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Jednak od dnia 25 maja 2018 r. zastosowanie w tym zakresie znajdzie 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Art. 6 ust. 3 w zw. z ust. 1 lit. c tego rozporządzenia wymaga, aby w przypadku, gdy przetwarzanie danych osobowych jest niezbędne do wypełnienia obowiązku prawnego ciążącego na administratorze, podstawa przetwarzania była określona w prawie Unii lub w prawie państwa członkowskiego UE, któremu podlega administrator. W związku z powyższym, dla zapewnienia zgodności działania organu nadzoru z przepisami rozporządzenia o ochronie danych, art. 115 ust. 1 projektu wprowadza podstawę do przetwarzania danych osobowych przez ministra właściwego do spraw kultury i ochrony dziedzictwa na</w:t>
      </w:r>
      <w:r w:rsidR="00591C91">
        <w:rPr>
          <w:rFonts w:ascii="Times New Roman" w:hAnsi="Times New Roman"/>
          <w:sz w:val="24"/>
          <w:szCs w:val="24"/>
        </w:rPr>
        <w:t>rodowego. Art. 6 ust. 3 w zw. Z </w:t>
      </w:r>
      <w:r w:rsidRPr="00E24274">
        <w:rPr>
          <w:rFonts w:ascii="Times New Roman" w:hAnsi="Times New Roman"/>
          <w:sz w:val="24"/>
          <w:szCs w:val="24"/>
        </w:rPr>
        <w:t xml:space="preserve">ust. 1 pkt 5 rozporządzenia wymaga takiej podstawy w przypadku, gdy </w:t>
      </w:r>
      <w:r w:rsidR="00E24274">
        <w:rPr>
          <w:rFonts w:ascii="Times New Roman" w:hAnsi="Times New Roman"/>
          <w:sz w:val="24"/>
          <w:szCs w:val="24"/>
        </w:rPr>
        <w:lastRenderedPageBreak/>
        <w:t>„</w:t>
      </w:r>
      <w:r w:rsidRPr="00E24274">
        <w:rPr>
          <w:rFonts w:ascii="Times New Roman" w:hAnsi="Times New Roman"/>
          <w:i/>
          <w:sz w:val="24"/>
          <w:szCs w:val="24"/>
        </w:rPr>
        <w:t>przetwarzanie jest niezbędne do wykonania zadania realizowanego w interesie publicznym lub w ramach sprawowania władzy publicznej powierzonej administratorowi</w:t>
      </w:r>
      <w:r w:rsidR="00E24274">
        <w:rPr>
          <w:rFonts w:ascii="Times New Roman" w:hAnsi="Times New Roman"/>
          <w:sz w:val="24"/>
          <w:szCs w:val="24"/>
        </w:rPr>
        <w:t>”</w:t>
      </w:r>
      <w:r w:rsidRPr="00E24274">
        <w:rPr>
          <w:rFonts w:ascii="Times New Roman" w:hAnsi="Times New Roman"/>
          <w:sz w:val="24"/>
          <w:szCs w:val="24"/>
        </w:rPr>
        <w:t>. Z kolei w projektowanym ust. 2</w:t>
      </w:r>
      <w:r w:rsidR="00B85D46">
        <w:rPr>
          <w:rFonts w:ascii="Times New Roman" w:hAnsi="Times New Roman"/>
          <w:sz w:val="24"/>
          <w:szCs w:val="24"/>
        </w:rPr>
        <w:t>–</w:t>
      </w:r>
      <w:r w:rsidR="004038B9" w:rsidRPr="00E24274">
        <w:rPr>
          <w:rFonts w:ascii="Times New Roman" w:hAnsi="Times New Roman"/>
          <w:sz w:val="24"/>
          <w:szCs w:val="24"/>
        </w:rPr>
        <w:t>4</w:t>
      </w:r>
      <w:r w:rsidRPr="00E24274">
        <w:rPr>
          <w:rFonts w:ascii="Times New Roman" w:hAnsi="Times New Roman"/>
          <w:sz w:val="24"/>
          <w:szCs w:val="24"/>
        </w:rPr>
        <w:t xml:space="preserve"> zamieszczona zostanie podstawa prawna do przetwarzania danych osobowych</w:t>
      </w:r>
      <w:r w:rsidR="004038B9" w:rsidRPr="00E24274">
        <w:rPr>
          <w:rFonts w:ascii="Times New Roman" w:hAnsi="Times New Roman"/>
          <w:sz w:val="24"/>
          <w:szCs w:val="24"/>
        </w:rPr>
        <w:t xml:space="preserve"> uprawnionych i użytkowników</w:t>
      </w:r>
      <w:r w:rsidRPr="00E24274">
        <w:rPr>
          <w:rFonts w:ascii="Times New Roman" w:hAnsi="Times New Roman"/>
          <w:sz w:val="24"/>
          <w:szCs w:val="24"/>
        </w:rPr>
        <w:t xml:space="preserve"> przez organizacje zbiorowego zarządzania w zakresie, w jakim jest to niezbędne do wykonywania czynności zbiorowego zarządzania. Oczywiście w oparciu o zgodę zainteresowanej osoby (art. 6 ust. 1 lit. a rozporządzenia o ochronie danych) organizacje będą mogły przetwarzać dane osobowe w szerszym zakresie, np. na potrzeby stosunku członkostwa czy wykonywania określonych funkcji w organizacji.</w:t>
      </w:r>
    </w:p>
    <w:p w:rsidR="00D2655C" w:rsidRPr="00E24274" w:rsidRDefault="009A3313" w:rsidP="00E24274">
      <w:pPr>
        <w:spacing w:before="120" w:after="0" w:line="360" w:lineRule="auto"/>
        <w:jc w:val="both"/>
        <w:rPr>
          <w:rFonts w:ascii="Times New Roman" w:hAnsi="Times New Roman"/>
          <w:sz w:val="24"/>
          <w:szCs w:val="24"/>
          <w:lang w:eastAsia="pl-PL"/>
        </w:rPr>
      </w:pPr>
      <w:r w:rsidRPr="00E24274">
        <w:rPr>
          <w:rFonts w:ascii="Times New Roman" w:hAnsi="Times New Roman"/>
          <w:sz w:val="24"/>
          <w:szCs w:val="24"/>
          <w:lang w:eastAsia="pl-PL"/>
        </w:rPr>
        <w:t>2.</w:t>
      </w:r>
      <w:r w:rsidR="00D2655C" w:rsidRPr="00E24274">
        <w:rPr>
          <w:rFonts w:ascii="Times New Roman" w:hAnsi="Times New Roman"/>
          <w:sz w:val="24"/>
          <w:szCs w:val="24"/>
          <w:lang w:eastAsia="pl-PL"/>
        </w:rPr>
        <w:t xml:space="preserve"> Projektowane ust. </w:t>
      </w:r>
      <w:r w:rsidR="004038B9" w:rsidRPr="00E24274">
        <w:rPr>
          <w:rFonts w:ascii="Times New Roman" w:hAnsi="Times New Roman"/>
          <w:sz w:val="24"/>
          <w:szCs w:val="24"/>
          <w:lang w:eastAsia="pl-PL"/>
        </w:rPr>
        <w:t>5</w:t>
      </w:r>
      <w:r w:rsidR="00B85D46">
        <w:rPr>
          <w:rFonts w:ascii="Times New Roman" w:hAnsi="Times New Roman"/>
          <w:sz w:val="24"/>
          <w:szCs w:val="24"/>
          <w:lang w:eastAsia="pl-PL"/>
        </w:rPr>
        <w:t>–</w:t>
      </w:r>
      <w:r w:rsidR="004038B9" w:rsidRPr="00E24274">
        <w:rPr>
          <w:rFonts w:ascii="Times New Roman" w:hAnsi="Times New Roman"/>
          <w:sz w:val="24"/>
          <w:szCs w:val="24"/>
          <w:lang w:eastAsia="pl-PL"/>
        </w:rPr>
        <w:t>8</w:t>
      </w:r>
      <w:r w:rsidR="00D2655C" w:rsidRPr="00E24274">
        <w:rPr>
          <w:rFonts w:ascii="Times New Roman" w:hAnsi="Times New Roman"/>
          <w:sz w:val="24"/>
          <w:szCs w:val="24"/>
          <w:lang w:eastAsia="pl-PL"/>
        </w:rPr>
        <w:t xml:space="preserve"> określają ograniczenia bądź wyłączenia stosowania przepisów rozporządzenia oraz instrumenty prawne służące zabezpieczeniu praw osób zainteresowanych w przypadku zastosowania takich ograniczeń bądź wyłączeń. Projektowana regulacja oparta jest w tym </w:t>
      </w:r>
      <w:r w:rsidR="005267A5">
        <w:rPr>
          <w:rFonts w:ascii="Times New Roman" w:hAnsi="Times New Roman"/>
          <w:sz w:val="24"/>
          <w:szCs w:val="24"/>
          <w:lang w:eastAsia="pl-PL"/>
        </w:rPr>
        <w:t>prz</w:t>
      </w:r>
      <w:r w:rsidR="00D2655C" w:rsidRPr="00E24274">
        <w:rPr>
          <w:rFonts w:ascii="Times New Roman" w:hAnsi="Times New Roman"/>
          <w:sz w:val="24"/>
          <w:szCs w:val="24"/>
          <w:lang w:eastAsia="pl-PL"/>
        </w:rPr>
        <w:t>ypadku na treści art. 23 lit</w:t>
      </w:r>
      <w:r w:rsidRPr="00E24274">
        <w:rPr>
          <w:rFonts w:ascii="Times New Roman" w:hAnsi="Times New Roman"/>
          <w:sz w:val="24"/>
          <w:szCs w:val="24"/>
          <w:lang w:eastAsia="pl-PL"/>
        </w:rPr>
        <w:t>.</w:t>
      </w:r>
      <w:r w:rsidR="00D2655C" w:rsidRPr="00E24274">
        <w:rPr>
          <w:rFonts w:ascii="Times New Roman" w:hAnsi="Times New Roman"/>
          <w:sz w:val="24"/>
          <w:szCs w:val="24"/>
          <w:lang w:eastAsia="pl-PL"/>
        </w:rPr>
        <w:t xml:space="preserve"> g rozporządzenia, który pozwala na wprowadze</w:t>
      </w:r>
      <w:r w:rsidR="00591C91">
        <w:rPr>
          <w:rFonts w:ascii="Times New Roman" w:hAnsi="Times New Roman"/>
          <w:sz w:val="24"/>
          <w:szCs w:val="24"/>
          <w:lang w:eastAsia="pl-PL"/>
        </w:rPr>
        <w:t>nie wskazanych w nim wyłączeń i </w:t>
      </w:r>
      <w:r w:rsidR="00D2655C" w:rsidRPr="00E24274">
        <w:rPr>
          <w:rFonts w:ascii="Times New Roman" w:hAnsi="Times New Roman"/>
          <w:sz w:val="24"/>
          <w:szCs w:val="24"/>
          <w:lang w:eastAsia="pl-PL"/>
        </w:rPr>
        <w:t xml:space="preserve">ograniczeń, m.in. jeżeli służy to – jak ma to miejsce w tym </w:t>
      </w:r>
      <w:r w:rsidR="005267A5">
        <w:rPr>
          <w:rFonts w:ascii="Times New Roman" w:hAnsi="Times New Roman"/>
          <w:sz w:val="24"/>
          <w:szCs w:val="24"/>
          <w:lang w:eastAsia="pl-PL"/>
        </w:rPr>
        <w:t>przy</w:t>
      </w:r>
      <w:r w:rsidR="00D2655C" w:rsidRPr="00E24274">
        <w:rPr>
          <w:rFonts w:ascii="Times New Roman" w:hAnsi="Times New Roman"/>
          <w:sz w:val="24"/>
          <w:szCs w:val="24"/>
          <w:lang w:eastAsia="pl-PL"/>
        </w:rPr>
        <w:t>padku – wykonywani</w:t>
      </w:r>
      <w:r w:rsidR="005267A5">
        <w:rPr>
          <w:rFonts w:ascii="Times New Roman" w:hAnsi="Times New Roman"/>
          <w:sz w:val="24"/>
          <w:szCs w:val="24"/>
          <w:lang w:eastAsia="pl-PL"/>
        </w:rPr>
        <w:t>u</w:t>
      </w:r>
      <w:r w:rsidR="00D2655C" w:rsidRPr="00E24274">
        <w:rPr>
          <w:rFonts w:ascii="Times New Roman" w:hAnsi="Times New Roman"/>
          <w:sz w:val="24"/>
          <w:szCs w:val="24"/>
          <w:lang w:eastAsia="pl-PL"/>
        </w:rPr>
        <w:t xml:space="preserve"> przez organ władzy publicznej funkcji kontrolnych lub regulacyjnych w celu realizacji ważnego interesu gospodarczego państwa członkowskie</w:t>
      </w:r>
      <w:r w:rsidR="005267A5">
        <w:rPr>
          <w:rFonts w:ascii="Times New Roman" w:hAnsi="Times New Roman"/>
          <w:sz w:val="24"/>
          <w:szCs w:val="24"/>
          <w:lang w:eastAsia="pl-PL"/>
        </w:rPr>
        <w:t>go</w:t>
      </w:r>
      <w:r w:rsidR="00D2655C" w:rsidRPr="00E24274">
        <w:rPr>
          <w:rFonts w:ascii="Times New Roman" w:hAnsi="Times New Roman"/>
          <w:sz w:val="24"/>
          <w:szCs w:val="24"/>
          <w:lang w:eastAsia="pl-PL"/>
        </w:rPr>
        <w:t xml:space="preserve"> UE, którym jest prawidłowe funkcjonowanie systemu zbiorowego zarządzania i legalność oraz prawidłowość działania organizacji zbiorowego zarządzania i niezależnych podmiotów zarządzających. Na podstawie art. 23 rozporządzenia 2016/679 proponuje się ograniczenie praw podmiotu danych, o których mowa w art. 12 i 15 rozporządzenia 2016/679, w ten sposób, że korespondencja oraz dostęp do danych byłyby realizowane bezpłatnie raz na 6 miesięcy. Częstsza realizacja wiązałaby się z koniecznością wniesienia opłaty równej kosztom sporządzenia odpowiedzi lub kopii danych. Propozycja jest uzasadniona interesem finansowym państwa: minister właściwy do spraw kultury i dziedzictwa narodowego narażony byłby na poniesienie znacznych kosztów w przypadku realizacji praw przewidzianych w powyższych przepisach bez ograniczeń. Z tego samego powodu proponuje się ograniczenie obowiązku zawiadamiania podmiotu danych o naruszeniu ochrony, na podstawie art. 34 rozporządzeni</w:t>
      </w:r>
      <w:r w:rsidR="005267A5">
        <w:rPr>
          <w:rFonts w:ascii="Times New Roman" w:hAnsi="Times New Roman"/>
          <w:sz w:val="24"/>
          <w:szCs w:val="24"/>
          <w:lang w:eastAsia="pl-PL"/>
        </w:rPr>
        <w:t>a</w:t>
      </w:r>
      <w:r w:rsidR="00D2655C" w:rsidRPr="00E24274">
        <w:rPr>
          <w:rFonts w:ascii="Times New Roman" w:hAnsi="Times New Roman"/>
          <w:sz w:val="24"/>
          <w:szCs w:val="24"/>
          <w:lang w:eastAsia="pl-PL"/>
        </w:rPr>
        <w:t xml:space="preserve"> 2016/679, z jednoczesnym zobowiązaniem do publicznego poinformowania na stronie podmiotowej ministra w Biu</w:t>
      </w:r>
      <w:r w:rsidR="00591C91">
        <w:rPr>
          <w:rFonts w:ascii="Times New Roman" w:hAnsi="Times New Roman"/>
          <w:sz w:val="24"/>
          <w:szCs w:val="24"/>
          <w:lang w:eastAsia="pl-PL"/>
        </w:rPr>
        <w:t>letynie Informacji Publicznej o </w:t>
      </w:r>
      <w:r w:rsidR="00D2655C" w:rsidRPr="00E24274">
        <w:rPr>
          <w:rFonts w:ascii="Times New Roman" w:hAnsi="Times New Roman"/>
          <w:sz w:val="24"/>
          <w:szCs w:val="24"/>
          <w:lang w:eastAsia="pl-PL"/>
        </w:rPr>
        <w:t>naruszeniu ochrony w ciągu 72 godzin od jego st</w:t>
      </w:r>
      <w:r w:rsidR="00591C91">
        <w:rPr>
          <w:rFonts w:ascii="Times New Roman" w:hAnsi="Times New Roman"/>
          <w:sz w:val="24"/>
          <w:szCs w:val="24"/>
          <w:lang w:eastAsia="pl-PL"/>
        </w:rPr>
        <w:t>wierdzenia. Niepoinformowanie o </w:t>
      </w:r>
      <w:r w:rsidR="00D2655C" w:rsidRPr="00E24274">
        <w:rPr>
          <w:rFonts w:ascii="Times New Roman" w:hAnsi="Times New Roman"/>
          <w:sz w:val="24"/>
          <w:szCs w:val="24"/>
          <w:lang w:eastAsia="pl-PL"/>
        </w:rPr>
        <w:t xml:space="preserve">takim zdarzeniu we wskazanym terminie skutkować więc będzie pełnym stosowaniem </w:t>
      </w:r>
      <w:r w:rsidR="00D2655C" w:rsidRPr="00E24274">
        <w:rPr>
          <w:rFonts w:ascii="Times New Roman" w:hAnsi="Times New Roman"/>
          <w:sz w:val="24"/>
          <w:szCs w:val="24"/>
          <w:lang w:eastAsia="pl-PL"/>
        </w:rPr>
        <w:lastRenderedPageBreak/>
        <w:t>obowiązku określonego w art. 34 rozporządz</w:t>
      </w:r>
      <w:r w:rsidR="005267A5">
        <w:rPr>
          <w:rFonts w:ascii="Times New Roman" w:hAnsi="Times New Roman"/>
          <w:sz w:val="24"/>
          <w:szCs w:val="24"/>
          <w:lang w:eastAsia="pl-PL"/>
        </w:rPr>
        <w:t>e</w:t>
      </w:r>
      <w:r w:rsidR="00D2655C" w:rsidRPr="00E24274">
        <w:rPr>
          <w:rFonts w:ascii="Times New Roman" w:hAnsi="Times New Roman"/>
          <w:sz w:val="24"/>
          <w:szCs w:val="24"/>
          <w:lang w:eastAsia="pl-PL"/>
        </w:rPr>
        <w:t>ni</w:t>
      </w:r>
      <w:r w:rsidR="005267A5">
        <w:rPr>
          <w:rFonts w:ascii="Times New Roman" w:hAnsi="Times New Roman"/>
          <w:sz w:val="24"/>
          <w:szCs w:val="24"/>
          <w:lang w:eastAsia="pl-PL"/>
        </w:rPr>
        <w:t>a</w:t>
      </w:r>
      <w:r w:rsidR="00D2655C" w:rsidRPr="00E24274">
        <w:rPr>
          <w:rFonts w:ascii="Times New Roman" w:hAnsi="Times New Roman"/>
          <w:sz w:val="24"/>
          <w:szCs w:val="24"/>
          <w:lang w:eastAsia="pl-PL"/>
        </w:rPr>
        <w:t xml:space="preserve"> 2016</w:t>
      </w:r>
      <w:r w:rsidR="00591C91">
        <w:rPr>
          <w:rFonts w:ascii="Times New Roman" w:hAnsi="Times New Roman"/>
          <w:sz w:val="24"/>
          <w:szCs w:val="24"/>
          <w:lang w:eastAsia="pl-PL"/>
        </w:rPr>
        <w:t>/679. Z kolei prawo określone w </w:t>
      </w:r>
      <w:r w:rsidR="00D2655C" w:rsidRPr="00E24274">
        <w:rPr>
          <w:rFonts w:ascii="Times New Roman" w:hAnsi="Times New Roman"/>
          <w:sz w:val="24"/>
          <w:szCs w:val="24"/>
          <w:lang w:eastAsia="pl-PL"/>
        </w:rPr>
        <w:t>art. 14 rozporządzenia 2016/679 (prawo do informacji) również był</w:t>
      </w:r>
      <w:r w:rsidR="005267A5">
        <w:rPr>
          <w:rFonts w:ascii="Times New Roman" w:hAnsi="Times New Roman"/>
          <w:sz w:val="24"/>
          <w:szCs w:val="24"/>
          <w:lang w:eastAsia="pl-PL"/>
        </w:rPr>
        <w:t>o</w:t>
      </w:r>
      <w:r w:rsidR="00D2655C" w:rsidRPr="00E24274">
        <w:rPr>
          <w:rFonts w:ascii="Times New Roman" w:hAnsi="Times New Roman"/>
          <w:sz w:val="24"/>
          <w:szCs w:val="24"/>
          <w:lang w:eastAsia="pl-PL"/>
        </w:rPr>
        <w:t xml:space="preserve">by ograniczone w takim zakresie, w jakim </w:t>
      </w:r>
      <w:r w:rsidR="005267A5">
        <w:rPr>
          <w:rFonts w:ascii="Times New Roman" w:hAnsi="Times New Roman"/>
          <w:sz w:val="24"/>
          <w:szCs w:val="24"/>
          <w:lang w:eastAsia="pl-PL"/>
        </w:rPr>
        <w:t>jest</w:t>
      </w:r>
      <w:r w:rsidR="005267A5" w:rsidRPr="00E24274">
        <w:rPr>
          <w:rFonts w:ascii="Times New Roman" w:hAnsi="Times New Roman"/>
          <w:sz w:val="24"/>
          <w:szCs w:val="24"/>
          <w:lang w:eastAsia="pl-PL"/>
        </w:rPr>
        <w:t xml:space="preserve"> </w:t>
      </w:r>
      <w:r w:rsidR="00D2655C" w:rsidRPr="00E24274">
        <w:rPr>
          <w:rFonts w:ascii="Times New Roman" w:hAnsi="Times New Roman"/>
          <w:sz w:val="24"/>
          <w:szCs w:val="24"/>
          <w:lang w:eastAsia="pl-PL"/>
        </w:rPr>
        <w:t>niezbędne do realizacji zadań ustawowych administratora danych osobowych. Należy jednak podkreślić, że administrator byłby zobowiązany do publicznego poinformowania o wprowadzonych ww. ograniczeniach przez umieszczenie stosownej informacji na stronie podmiotowej ministra w Biuletynie Informacji Publicznej.</w:t>
      </w:r>
    </w:p>
    <w:p w:rsidR="00D2655C" w:rsidRPr="00E24274" w:rsidRDefault="00D2655C" w:rsidP="00E24274">
      <w:pPr>
        <w:spacing w:before="120" w:after="0" w:line="360" w:lineRule="auto"/>
        <w:jc w:val="both"/>
        <w:rPr>
          <w:rFonts w:ascii="Times New Roman" w:hAnsi="Times New Roman"/>
          <w:sz w:val="24"/>
          <w:szCs w:val="24"/>
        </w:rPr>
      </w:pPr>
      <w:r w:rsidRPr="00E24274">
        <w:rPr>
          <w:rFonts w:ascii="Times New Roman" w:hAnsi="Times New Roman"/>
          <w:sz w:val="24"/>
          <w:szCs w:val="24"/>
          <w:lang w:eastAsia="pl-PL"/>
        </w:rPr>
        <w:t xml:space="preserve">3. Dodatkowym zabezpieczeniem praw osób zainteresowanych jest ust. </w:t>
      </w:r>
      <w:r w:rsidR="004038B9" w:rsidRPr="00E24274">
        <w:rPr>
          <w:rFonts w:ascii="Times New Roman" w:hAnsi="Times New Roman"/>
          <w:sz w:val="24"/>
          <w:szCs w:val="24"/>
          <w:lang w:eastAsia="pl-PL"/>
        </w:rPr>
        <w:t>9</w:t>
      </w:r>
      <w:r w:rsidRPr="00E24274">
        <w:rPr>
          <w:rFonts w:ascii="Times New Roman" w:hAnsi="Times New Roman"/>
          <w:sz w:val="24"/>
          <w:szCs w:val="24"/>
          <w:lang w:eastAsia="pl-PL"/>
        </w:rPr>
        <w:t>, który nakazuje d</w:t>
      </w:r>
      <w:r w:rsidRPr="00E24274">
        <w:rPr>
          <w:rFonts w:ascii="Times New Roman" w:hAnsi="Times New Roman"/>
          <w:sz w:val="24"/>
          <w:szCs w:val="24"/>
        </w:rPr>
        <w:t>ane osobowe ich dotyczące poddać zabezpieczeniom zapobiegającym nadużyciom lub niezgodnemu z prawe</w:t>
      </w:r>
      <w:r w:rsidR="00591C91">
        <w:rPr>
          <w:rFonts w:ascii="Times New Roman" w:hAnsi="Times New Roman"/>
          <w:sz w:val="24"/>
          <w:szCs w:val="24"/>
        </w:rPr>
        <w:t>m dostępowi lub przekazywaniu i </w:t>
      </w:r>
      <w:r w:rsidRPr="00E24274">
        <w:rPr>
          <w:rFonts w:ascii="Times New Roman" w:hAnsi="Times New Roman"/>
          <w:sz w:val="24"/>
          <w:szCs w:val="24"/>
        </w:rPr>
        <w:t>przechowywan</w:t>
      </w:r>
      <w:r w:rsidR="005267A5">
        <w:rPr>
          <w:rFonts w:ascii="Times New Roman" w:hAnsi="Times New Roman"/>
          <w:sz w:val="24"/>
          <w:szCs w:val="24"/>
        </w:rPr>
        <w:t>iu</w:t>
      </w:r>
      <w:r w:rsidRPr="00E24274">
        <w:rPr>
          <w:rFonts w:ascii="Times New Roman" w:hAnsi="Times New Roman"/>
          <w:sz w:val="24"/>
          <w:szCs w:val="24"/>
        </w:rPr>
        <w:t xml:space="preserve"> wyłącznie przez okres niezbędny do realizacji zadań</w:t>
      </w:r>
      <w:r w:rsidR="007515B5" w:rsidRPr="00E24274">
        <w:rPr>
          <w:rFonts w:ascii="Times New Roman" w:hAnsi="Times New Roman"/>
          <w:sz w:val="24"/>
          <w:szCs w:val="24"/>
        </w:rPr>
        <w:t xml:space="preserve"> realizowanych przez ministra jako organu nadzoru oraz czynności zbiorowego zarządzania wykonywanych przez organizacje</w:t>
      </w:r>
      <w:r w:rsidRPr="00E24274">
        <w:rPr>
          <w:rFonts w:ascii="Times New Roman" w:hAnsi="Times New Roman"/>
          <w:sz w:val="24"/>
          <w:szCs w:val="24"/>
        </w:rPr>
        <w:t>.</w:t>
      </w:r>
    </w:p>
    <w:p w:rsidR="007515B5" w:rsidRPr="00E24274" w:rsidRDefault="007515B5" w:rsidP="00591C91">
      <w:pPr>
        <w:spacing w:before="240" w:after="0" w:line="360" w:lineRule="auto"/>
        <w:jc w:val="both"/>
        <w:rPr>
          <w:rFonts w:ascii="Times New Roman" w:hAnsi="Times New Roman"/>
          <w:sz w:val="24"/>
          <w:szCs w:val="24"/>
        </w:rPr>
      </w:pPr>
      <w:r w:rsidRPr="00E24274">
        <w:rPr>
          <w:rFonts w:ascii="Times New Roman" w:hAnsi="Times New Roman"/>
          <w:b/>
          <w:sz w:val="24"/>
          <w:szCs w:val="24"/>
        </w:rPr>
        <w:t>II.</w:t>
      </w:r>
      <w:r w:rsidR="00591C91">
        <w:rPr>
          <w:rFonts w:ascii="Times New Roman" w:hAnsi="Times New Roman"/>
          <w:b/>
          <w:sz w:val="24"/>
          <w:szCs w:val="24"/>
        </w:rPr>
        <w:t xml:space="preserve"> </w:t>
      </w:r>
      <w:r w:rsidRPr="00E24274">
        <w:rPr>
          <w:rFonts w:ascii="Times New Roman" w:hAnsi="Times New Roman"/>
          <w:b/>
          <w:sz w:val="24"/>
          <w:szCs w:val="24"/>
        </w:rPr>
        <w:t>14. Rozdział 14. Przepis karny (art. 116 projektu)</w:t>
      </w:r>
    </w:p>
    <w:p w:rsidR="007515B5" w:rsidRPr="00E24274" w:rsidRDefault="007515B5" w:rsidP="00E24274">
      <w:pPr>
        <w:spacing w:before="120" w:after="0" w:line="360" w:lineRule="auto"/>
        <w:jc w:val="both"/>
        <w:rPr>
          <w:rFonts w:ascii="Times New Roman" w:hAnsi="Times New Roman"/>
          <w:sz w:val="24"/>
          <w:szCs w:val="24"/>
        </w:rPr>
      </w:pPr>
      <w:r w:rsidRPr="00E24274">
        <w:rPr>
          <w:rFonts w:ascii="Times New Roman" w:hAnsi="Times New Roman"/>
          <w:b/>
          <w:sz w:val="24"/>
          <w:szCs w:val="24"/>
        </w:rPr>
        <w:t>art. 116</w:t>
      </w:r>
    </w:p>
    <w:p w:rsidR="007515B5" w:rsidRPr="00E24274" w:rsidRDefault="007515B5" w:rsidP="00591C91">
      <w:pPr>
        <w:spacing w:after="0" w:line="360" w:lineRule="auto"/>
        <w:jc w:val="both"/>
        <w:rPr>
          <w:rFonts w:ascii="Times New Roman" w:hAnsi="Times New Roman"/>
          <w:sz w:val="24"/>
          <w:szCs w:val="24"/>
        </w:rPr>
      </w:pPr>
      <w:r w:rsidRPr="00E24274">
        <w:rPr>
          <w:rFonts w:ascii="Times New Roman" w:hAnsi="Times New Roman"/>
          <w:sz w:val="24"/>
          <w:szCs w:val="24"/>
        </w:rPr>
        <w:t>Projektowany przepis wprowadza sankcję karną za brak dopełnienia obowiązku aktualizacji informacji o konflikcie interesów przez arbitra Komisji Prawa Autorskiego</w:t>
      </w:r>
      <w:r w:rsidR="000415D1" w:rsidRPr="00E24274">
        <w:rPr>
          <w:rFonts w:ascii="Times New Roman" w:hAnsi="Times New Roman"/>
          <w:sz w:val="24"/>
          <w:szCs w:val="24"/>
        </w:rPr>
        <w:t xml:space="preserve"> zgodnie z art. 63 ust. 7 projektu</w:t>
      </w:r>
      <w:r w:rsidRPr="00E24274">
        <w:rPr>
          <w:rFonts w:ascii="Times New Roman" w:hAnsi="Times New Roman"/>
          <w:sz w:val="24"/>
          <w:szCs w:val="24"/>
        </w:rPr>
        <w:t>. Odpowiada ona sankcji za składanie fałszywych oświadczeń określonej w art. 233 § 6 Kodeksu karnego.</w:t>
      </w:r>
    </w:p>
    <w:p w:rsidR="00D2655C" w:rsidRPr="00E24274" w:rsidRDefault="00D2655C" w:rsidP="00E24274">
      <w:pPr>
        <w:spacing w:before="120" w:after="0" w:line="360" w:lineRule="auto"/>
        <w:jc w:val="both"/>
        <w:rPr>
          <w:rFonts w:ascii="Times New Roman" w:hAnsi="Times New Roman"/>
          <w:b/>
          <w:bCs/>
          <w:sz w:val="24"/>
          <w:szCs w:val="24"/>
          <w:lang w:eastAsia="pl-PL"/>
        </w:rPr>
      </w:pPr>
      <w:r w:rsidRPr="00E24274">
        <w:rPr>
          <w:rFonts w:ascii="Times New Roman" w:hAnsi="Times New Roman"/>
          <w:b/>
          <w:sz w:val="24"/>
          <w:szCs w:val="24"/>
          <w:lang w:eastAsia="pl-PL"/>
        </w:rPr>
        <w:t>II.</w:t>
      </w:r>
      <w:r w:rsidR="00591C91">
        <w:rPr>
          <w:rFonts w:ascii="Times New Roman" w:hAnsi="Times New Roman"/>
          <w:b/>
          <w:sz w:val="24"/>
          <w:szCs w:val="24"/>
          <w:lang w:eastAsia="pl-PL"/>
        </w:rPr>
        <w:t xml:space="preserve"> </w:t>
      </w:r>
      <w:r w:rsidRPr="00E24274">
        <w:rPr>
          <w:rFonts w:ascii="Times New Roman" w:hAnsi="Times New Roman"/>
          <w:b/>
          <w:sz w:val="24"/>
          <w:szCs w:val="24"/>
          <w:lang w:eastAsia="pl-PL"/>
        </w:rPr>
        <w:t>1</w:t>
      </w:r>
      <w:r w:rsidR="000415D1" w:rsidRPr="00E24274">
        <w:rPr>
          <w:rFonts w:ascii="Times New Roman" w:hAnsi="Times New Roman"/>
          <w:b/>
          <w:sz w:val="24"/>
          <w:szCs w:val="24"/>
          <w:lang w:eastAsia="pl-PL"/>
        </w:rPr>
        <w:t>5</w:t>
      </w:r>
      <w:r w:rsidRPr="00E24274">
        <w:rPr>
          <w:rFonts w:ascii="Times New Roman" w:hAnsi="Times New Roman"/>
          <w:b/>
          <w:sz w:val="24"/>
          <w:szCs w:val="24"/>
          <w:lang w:eastAsia="pl-PL"/>
        </w:rPr>
        <w:t>. Rozdział 1</w:t>
      </w:r>
      <w:r w:rsidR="000415D1" w:rsidRPr="00E24274">
        <w:rPr>
          <w:rFonts w:ascii="Times New Roman" w:hAnsi="Times New Roman"/>
          <w:b/>
          <w:sz w:val="24"/>
          <w:szCs w:val="24"/>
          <w:lang w:eastAsia="pl-PL"/>
        </w:rPr>
        <w:t>5</w:t>
      </w:r>
      <w:r w:rsidRPr="00E24274">
        <w:rPr>
          <w:rFonts w:ascii="Times New Roman" w:hAnsi="Times New Roman"/>
          <w:b/>
          <w:sz w:val="24"/>
          <w:szCs w:val="24"/>
          <w:lang w:eastAsia="pl-PL"/>
        </w:rPr>
        <w:t xml:space="preserve">. </w:t>
      </w:r>
      <w:r w:rsidRPr="00E24274">
        <w:rPr>
          <w:rFonts w:ascii="Times New Roman" w:hAnsi="Times New Roman"/>
          <w:b/>
          <w:bCs/>
          <w:sz w:val="24"/>
          <w:szCs w:val="24"/>
          <w:lang w:eastAsia="pl-PL"/>
        </w:rPr>
        <w:t>Zmiany w przepisach obowiąz</w:t>
      </w:r>
      <w:r w:rsidR="00591C91">
        <w:rPr>
          <w:rFonts w:ascii="Times New Roman" w:hAnsi="Times New Roman"/>
          <w:b/>
          <w:bCs/>
          <w:sz w:val="24"/>
          <w:szCs w:val="24"/>
          <w:lang w:eastAsia="pl-PL"/>
        </w:rPr>
        <w:t>ujących, przepisy przejściowe i </w:t>
      </w:r>
      <w:r w:rsidRPr="00E24274">
        <w:rPr>
          <w:rFonts w:ascii="Times New Roman" w:hAnsi="Times New Roman"/>
          <w:b/>
          <w:bCs/>
          <w:sz w:val="24"/>
          <w:szCs w:val="24"/>
          <w:lang w:eastAsia="pl-PL"/>
        </w:rPr>
        <w:t>końcowe (art. 11</w:t>
      </w:r>
      <w:r w:rsidR="000415D1" w:rsidRPr="00E24274">
        <w:rPr>
          <w:rFonts w:ascii="Times New Roman" w:hAnsi="Times New Roman"/>
          <w:b/>
          <w:bCs/>
          <w:sz w:val="24"/>
          <w:szCs w:val="24"/>
          <w:lang w:eastAsia="pl-PL"/>
        </w:rPr>
        <w:t>7</w:t>
      </w:r>
      <w:r w:rsidRPr="00E24274">
        <w:rPr>
          <w:rFonts w:ascii="Times New Roman" w:hAnsi="Times New Roman"/>
          <w:b/>
          <w:bCs/>
          <w:sz w:val="24"/>
          <w:szCs w:val="24"/>
          <w:lang w:eastAsia="pl-PL"/>
        </w:rPr>
        <w:t>–13</w:t>
      </w:r>
      <w:r w:rsidR="000415D1" w:rsidRPr="00E24274">
        <w:rPr>
          <w:rFonts w:ascii="Times New Roman" w:hAnsi="Times New Roman"/>
          <w:b/>
          <w:bCs/>
          <w:sz w:val="24"/>
          <w:szCs w:val="24"/>
          <w:lang w:eastAsia="pl-PL"/>
        </w:rPr>
        <w:t>3</w:t>
      </w:r>
      <w:r w:rsidRPr="00E24274">
        <w:rPr>
          <w:rFonts w:ascii="Times New Roman" w:hAnsi="Times New Roman"/>
          <w:b/>
          <w:bCs/>
          <w:sz w:val="24"/>
          <w:szCs w:val="24"/>
          <w:lang w:eastAsia="pl-PL"/>
        </w:rPr>
        <w:t xml:space="preserve"> projektu)</w:t>
      </w:r>
    </w:p>
    <w:p w:rsidR="00D2655C" w:rsidRPr="00E24274" w:rsidRDefault="00D2655C" w:rsidP="00591C91">
      <w:pPr>
        <w:spacing w:before="240" w:after="0" w:line="360" w:lineRule="auto"/>
        <w:jc w:val="both"/>
        <w:rPr>
          <w:rFonts w:ascii="Times New Roman" w:hAnsi="Times New Roman"/>
          <w:b/>
          <w:sz w:val="24"/>
          <w:szCs w:val="24"/>
          <w:lang w:eastAsia="pl-PL"/>
        </w:rPr>
      </w:pPr>
      <w:r w:rsidRPr="00E24274">
        <w:rPr>
          <w:rFonts w:ascii="Times New Roman" w:hAnsi="Times New Roman"/>
          <w:b/>
          <w:sz w:val="24"/>
          <w:szCs w:val="24"/>
          <w:lang w:eastAsia="pl-PL"/>
        </w:rPr>
        <w:t>art. 11</w:t>
      </w:r>
      <w:r w:rsidR="000415D1" w:rsidRPr="00E24274">
        <w:rPr>
          <w:rFonts w:ascii="Times New Roman" w:hAnsi="Times New Roman"/>
          <w:b/>
          <w:sz w:val="24"/>
          <w:szCs w:val="24"/>
          <w:lang w:eastAsia="pl-PL"/>
        </w:rPr>
        <w:t>7</w:t>
      </w:r>
    </w:p>
    <w:p w:rsidR="00D2655C" w:rsidRPr="00E24274" w:rsidRDefault="00D2655C" w:rsidP="00591C91">
      <w:pPr>
        <w:pStyle w:val="Akapitzlist"/>
        <w:numPr>
          <w:ilvl w:val="0"/>
          <w:numId w:val="11"/>
        </w:numPr>
        <w:spacing w:after="0" w:line="360" w:lineRule="auto"/>
        <w:ind w:left="420" w:hanging="406"/>
        <w:contextualSpacing w:val="0"/>
        <w:jc w:val="both"/>
        <w:rPr>
          <w:rFonts w:ascii="Times New Roman" w:hAnsi="Times New Roman"/>
          <w:b/>
          <w:sz w:val="24"/>
          <w:szCs w:val="24"/>
          <w:lang w:eastAsia="pl-PL"/>
        </w:rPr>
      </w:pPr>
      <w:r w:rsidRPr="00E24274">
        <w:rPr>
          <w:rFonts w:ascii="Times New Roman" w:hAnsi="Times New Roman"/>
          <w:b/>
          <w:sz w:val="24"/>
          <w:szCs w:val="24"/>
          <w:lang w:eastAsia="pl-PL"/>
        </w:rPr>
        <w:t>art. 6 pkt 14</w:t>
      </w:r>
      <w:r w:rsidR="00B85D46">
        <w:rPr>
          <w:rFonts w:ascii="Times New Roman" w:hAnsi="Times New Roman"/>
          <w:b/>
          <w:sz w:val="24"/>
          <w:szCs w:val="24"/>
          <w:lang w:eastAsia="pl-PL"/>
        </w:rPr>
        <w:t>–</w:t>
      </w:r>
      <w:r w:rsidRPr="00E24274">
        <w:rPr>
          <w:rFonts w:ascii="Times New Roman" w:hAnsi="Times New Roman"/>
          <w:b/>
          <w:sz w:val="24"/>
          <w:szCs w:val="24"/>
          <w:lang w:eastAsia="pl-PL"/>
        </w:rPr>
        <w:t>1</w:t>
      </w:r>
      <w:r w:rsidR="000415D1" w:rsidRPr="00E24274">
        <w:rPr>
          <w:rFonts w:ascii="Times New Roman" w:hAnsi="Times New Roman"/>
          <w:b/>
          <w:sz w:val="24"/>
          <w:szCs w:val="24"/>
          <w:lang w:eastAsia="pl-PL"/>
        </w:rPr>
        <w:t>7</w:t>
      </w:r>
      <w:r w:rsidRPr="00E24274">
        <w:rPr>
          <w:rFonts w:ascii="Times New Roman" w:hAnsi="Times New Roman"/>
          <w:b/>
          <w:sz w:val="24"/>
          <w:szCs w:val="24"/>
          <w:lang w:eastAsia="pl-PL"/>
        </w:rPr>
        <w:t xml:space="preserve"> pr. aut.</w:t>
      </w:r>
    </w:p>
    <w:p w:rsidR="00D2655C" w:rsidRPr="00E24274" w:rsidRDefault="00D2655C" w:rsidP="00591C91">
      <w:pPr>
        <w:spacing w:after="0" w:line="360" w:lineRule="auto"/>
        <w:jc w:val="both"/>
        <w:rPr>
          <w:rFonts w:ascii="Times New Roman" w:hAnsi="Times New Roman"/>
          <w:sz w:val="24"/>
          <w:szCs w:val="24"/>
          <w:lang w:eastAsia="pl-PL"/>
        </w:rPr>
      </w:pPr>
      <w:r w:rsidRPr="00E24274">
        <w:rPr>
          <w:rFonts w:ascii="Times New Roman" w:hAnsi="Times New Roman"/>
          <w:sz w:val="24"/>
          <w:szCs w:val="24"/>
          <w:lang w:eastAsia="pl-PL"/>
        </w:rPr>
        <w:t>1. Aktualnie definicja organizacji zbiorowego</w:t>
      </w:r>
      <w:r w:rsidR="00591C91">
        <w:rPr>
          <w:rFonts w:ascii="Times New Roman" w:hAnsi="Times New Roman"/>
          <w:sz w:val="24"/>
          <w:szCs w:val="24"/>
          <w:lang w:eastAsia="pl-PL"/>
        </w:rPr>
        <w:t xml:space="preserve"> zarządzania nie jest zawarta w </w:t>
      </w:r>
      <w:r w:rsidRPr="00E24274">
        <w:rPr>
          <w:rFonts w:ascii="Times New Roman" w:hAnsi="Times New Roman"/>
          <w:sz w:val="24"/>
          <w:szCs w:val="24"/>
          <w:lang w:eastAsia="pl-PL"/>
        </w:rPr>
        <w:t xml:space="preserve">ustawowym słowniczku (art. 6 pr. aut.), lecz w art. 104 ust. 1 pr. aut. Pomimo, że projektowana ustawa zastąpi rozdział 12 pr. aut., termin </w:t>
      </w:r>
      <w:r w:rsidR="00E24274">
        <w:rPr>
          <w:rFonts w:ascii="Times New Roman" w:hAnsi="Times New Roman"/>
          <w:sz w:val="24"/>
          <w:szCs w:val="24"/>
          <w:lang w:eastAsia="pl-PL"/>
        </w:rPr>
        <w:t>„</w:t>
      </w:r>
      <w:r w:rsidRPr="00E24274">
        <w:rPr>
          <w:rFonts w:ascii="Times New Roman" w:hAnsi="Times New Roman"/>
          <w:i/>
          <w:sz w:val="24"/>
          <w:szCs w:val="24"/>
          <w:lang w:eastAsia="pl-PL"/>
        </w:rPr>
        <w:t>organizacja zbiorowego zarządzania</w:t>
      </w:r>
      <w:r w:rsidR="00E24274">
        <w:rPr>
          <w:rFonts w:ascii="Times New Roman" w:hAnsi="Times New Roman"/>
          <w:sz w:val="24"/>
          <w:szCs w:val="24"/>
          <w:lang w:eastAsia="pl-PL"/>
        </w:rPr>
        <w:t>”</w:t>
      </w:r>
      <w:r w:rsidRPr="00E24274">
        <w:rPr>
          <w:rFonts w:ascii="Times New Roman" w:hAnsi="Times New Roman"/>
          <w:sz w:val="24"/>
          <w:szCs w:val="24"/>
          <w:lang w:eastAsia="pl-PL"/>
        </w:rPr>
        <w:t xml:space="preserve"> pojawia się w szeregu innych przepisów pr. aut. Dlatego konieczne jest zamieszczenie definicji organizacji w art. 6 pr. aut., przy czym definicja ta sprowadzać się będzie do odesłania do projektowanej ustawy.</w:t>
      </w:r>
    </w:p>
    <w:p w:rsidR="00D2655C" w:rsidRPr="00E24274" w:rsidRDefault="00D2655C"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 xml:space="preserve">2. Dodatkowo w związku z uchyleniem rozdziału 12 pr. aut., konieczne jest zdefiniowanie, która organizacja będzie organizacją właściwą w rozumieniu przepisów </w:t>
      </w:r>
      <w:r w:rsidRPr="00E24274">
        <w:rPr>
          <w:rFonts w:ascii="Times New Roman" w:hAnsi="Times New Roman"/>
          <w:sz w:val="24"/>
          <w:szCs w:val="24"/>
        </w:rPr>
        <w:lastRenderedPageBreak/>
        <w:t>pr. aut., nakazujących zawarcie umowy lub zapłatę wynagrodzenia za pośrednictwem takiej organizacji. Dotychczas zasady w tym zakresie określał art. 107 pr. aut. Po wprowadzeniu nowych przepisów do określania organizacji właściwej zostanie wykorzystana instytucja organizacji reprezentatywnej, o której mowa w art. 10 projektowanej ustawy.</w:t>
      </w:r>
    </w:p>
    <w:p w:rsidR="00D2655C" w:rsidRPr="00E24274" w:rsidRDefault="00D2655C"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Organizacją właściwą będzie organizacja, która zarządza określonymi prawami na podstawie umowy o zbiorowe zarządzanie albo umowy o reprezentacji, a gdy uprawniony nie zawarł umowy z żadną organizacją – organizacja reprezentatywna dla danej kategorii praw i uprawnionych na danym polu eksploatacji. O ile więc cel projektowanego przepisu jest podobny jak w przypadku dotychczasowego art. 107 pr. aut., to wprowadzana w nim zasada obejmie zarówno sytuację istnienia jednej organizacji na danym polu, jak i wielość organizacji. W inny sposób będzie też ustalana właściwość organizacji w stosunku do uprawnionego, który nie zawarł umowy z żadną organizacją. Będzie ona wynikała z reprezentatywności organizacji w odniesieniu do określonej kategorii uprawnionych na danym polu eksploatacji, a nie z wydawanego na wniosek orzeczenia Komisji Prawa Autorskiego rozstrzygającego indywidualnie kwestię wspomnianej właściwości. Rozwiązanie t</w:t>
      </w:r>
      <w:r w:rsidR="00591C91">
        <w:rPr>
          <w:rFonts w:ascii="Times New Roman" w:hAnsi="Times New Roman"/>
          <w:sz w:val="24"/>
          <w:szCs w:val="24"/>
        </w:rPr>
        <w:t>o jest spójne z proponowanymi w </w:t>
      </w:r>
      <w:r w:rsidRPr="00E24274">
        <w:rPr>
          <w:rFonts w:ascii="Times New Roman" w:hAnsi="Times New Roman"/>
          <w:sz w:val="24"/>
          <w:szCs w:val="24"/>
        </w:rPr>
        <w:t>projekcie zmianami w art. 5 ust. 2–4 i art. 10.</w:t>
      </w:r>
    </w:p>
    <w:p w:rsidR="000415D1" w:rsidRPr="00E24274" w:rsidRDefault="000415D1"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 xml:space="preserve">3. Na potrzeby wyżej wymienionej definicji dodane zostaną ponadto definicje </w:t>
      </w:r>
      <w:r w:rsidR="00E24274">
        <w:rPr>
          <w:rFonts w:ascii="Times New Roman" w:hAnsi="Times New Roman"/>
          <w:sz w:val="24"/>
          <w:szCs w:val="24"/>
        </w:rPr>
        <w:t>„</w:t>
      </w:r>
      <w:r w:rsidRPr="00E24274">
        <w:rPr>
          <w:rFonts w:ascii="Times New Roman" w:hAnsi="Times New Roman"/>
          <w:sz w:val="24"/>
          <w:szCs w:val="24"/>
        </w:rPr>
        <w:t>umowy o zbiorowe zarządzanie</w:t>
      </w:r>
      <w:r w:rsidR="00E24274">
        <w:rPr>
          <w:rFonts w:ascii="Times New Roman" w:hAnsi="Times New Roman"/>
          <w:sz w:val="24"/>
          <w:szCs w:val="24"/>
        </w:rPr>
        <w:t>”</w:t>
      </w:r>
      <w:r w:rsidRPr="00E24274">
        <w:rPr>
          <w:rFonts w:ascii="Times New Roman" w:hAnsi="Times New Roman"/>
          <w:sz w:val="24"/>
          <w:szCs w:val="24"/>
        </w:rPr>
        <w:t xml:space="preserve"> oraz </w:t>
      </w:r>
      <w:r w:rsidR="00E24274">
        <w:rPr>
          <w:rFonts w:ascii="Times New Roman" w:hAnsi="Times New Roman"/>
          <w:sz w:val="24"/>
          <w:szCs w:val="24"/>
        </w:rPr>
        <w:t>„</w:t>
      </w:r>
      <w:r w:rsidRPr="00E24274">
        <w:rPr>
          <w:rFonts w:ascii="Times New Roman" w:hAnsi="Times New Roman"/>
          <w:sz w:val="24"/>
          <w:szCs w:val="24"/>
        </w:rPr>
        <w:t>umowy o reprezentacji</w:t>
      </w:r>
      <w:r w:rsidR="00E24274">
        <w:rPr>
          <w:rFonts w:ascii="Times New Roman" w:hAnsi="Times New Roman"/>
          <w:sz w:val="24"/>
          <w:szCs w:val="24"/>
        </w:rPr>
        <w:t>”</w:t>
      </w:r>
      <w:r w:rsidRPr="00E24274">
        <w:rPr>
          <w:rFonts w:ascii="Times New Roman" w:hAnsi="Times New Roman"/>
          <w:sz w:val="24"/>
          <w:szCs w:val="24"/>
        </w:rPr>
        <w:t>, odsyłające do odpowiednich definicji zawartych w ustawie o zbiorowym zarządzaniu prawami autorskimi i prawami pokrewnymi.</w:t>
      </w:r>
    </w:p>
    <w:p w:rsidR="00D2655C" w:rsidRPr="00E24274" w:rsidRDefault="00D2655C" w:rsidP="00591C91">
      <w:pPr>
        <w:pStyle w:val="Akapitzlist"/>
        <w:numPr>
          <w:ilvl w:val="0"/>
          <w:numId w:val="11"/>
        </w:numPr>
        <w:tabs>
          <w:tab w:val="left" w:pos="426"/>
        </w:tabs>
        <w:spacing w:before="120" w:after="0" w:line="360" w:lineRule="auto"/>
        <w:ind w:hanging="720"/>
        <w:jc w:val="both"/>
        <w:rPr>
          <w:rFonts w:ascii="Times New Roman" w:hAnsi="Times New Roman"/>
          <w:b/>
          <w:sz w:val="24"/>
          <w:szCs w:val="24"/>
          <w:lang w:eastAsia="pl-PL"/>
        </w:rPr>
      </w:pPr>
      <w:r w:rsidRPr="00E24274">
        <w:rPr>
          <w:rFonts w:ascii="Times New Roman" w:hAnsi="Times New Roman"/>
          <w:b/>
          <w:sz w:val="24"/>
          <w:szCs w:val="24"/>
          <w:lang w:eastAsia="pl-PL"/>
        </w:rPr>
        <w:t>art. 21</w:t>
      </w:r>
      <w:r w:rsidR="00B85D46">
        <w:rPr>
          <w:rFonts w:ascii="Times New Roman" w:hAnsi="Times New Roman"/>
          <w:b/>
          <w:sz w:val="24"/>
          <w:szCs w:val="24"/>
          <w:lang w:eastAsia="pl-PL"/>
        </w:rPr>
        <w:t>–</w:t>
      </w:r>
      <w:r w:rsidRPr="00E24274">
        <w:rPr>
          <w:rFonts w:ascii="Times New Roman" w:hAnsi="Times New Roman"/>
          <w:b/>
          <w:sz w:val="24"/>
          <w:szCs w:val="24"/>
          <w:lang w:eastAsia="pl-PL"/>
        </w:rPr>
        <w:t>21</w:t>
      </w:r>
      <w:r w:rsidRPr="00E24274">
        <w:rPr>
          <w:rFonts w:ascii="Times New Roman" w:hAnsi="Times New Roman"/>
          <w:b/>
          <w:sz w:val="24"/>
          <w:szCs w:val="24"/>
          <w:vertAlign w:val="superscript"/>
          <w:lang w:eastAsia="pl-PL"/>
        </w:rPr>
        <w:t>3</w:t>
      </w:r>
      <w:r w:rsidRPr="00E24274">
        <w:rPr>
          <w:rFonts w:ascii="Times New Roman" w:hAnsi="Times New Roman"/>
          <w:b/>
          <w:sz w:val="24"/>
          <w:szCs w:val="24"/>
          <w:lang w:eastAsia="pl-PL"/>
        </w:rPr>
        <w:t xml:space="preserve"> pr. aut.</w:t>
      </w:r>
    </w:p>
    <w:p w:rsidR="00D2655C" w:rsidRPr="00E24274" w:rsidRDefault="00D2655C" w:rsidP="00591C91">
      <w:pPr>
        <w:spacing w:after="0" w:line="360" w:lineRule="auto"/>
        <w:jc w:val="both"/>
        <w:rPr>
          <w:rFonts w:ascii="Times New Roman" w:hAnsi="Times New Roman"/>
          <w:sz w:val="24"/>
          <w:szCs w:val="24"/>
          <w:lang w:eastAsia="pl-PL"/>
        </w:rPr>
      </w:pPr>
      <w:r w:rsidRPr="00E24274">
        <w:rPr>
          <w:rFonts w:ascii="Times New Roman" w:hAnsi="Times New Roman"/>
          <w:sz w:val="24"/>
          <w:szCs w:val="24"/>
          <w:lang w:eastAsia="pl-PL"/>
        </w:rPr>
        <w:t>1. Projektowane zmiany zakładają uporządkowanie i poszerzenie regulacji dotyczącej obowiązkowego pośrednictwa organizacji zbiorowego zarządzania przy zawieraniu umów licencyjnych, a więc przypadków, w których możliwość uzyskania zgody na korzystanie z utworu bezpośrednio od uprawnionego (i odwrotnie – możliwość indywidualnego licencjonowania swojej twórczości przez uprawnionych) jest całkowicie albo częściowo wyłączona.</w:t>
      </w:r>
    </w:p>
    <w:p w:rsidR="00D2655C" w:rsidRPr="00E24274" w:rsidRDefault="00D2655C" w:rsidP="00E24274">
      <w:pPr>
        <w:spacing w:before="120" w:after="0" w:line="360" w:lineRule="auto"/>
        <w:jc w:val="both"/>
        <w:rPr>
          <w:rFonts w:ascii="Times New Roman" w:hAnsi="Times New Roman"/>
          <w:sz w:val="24"/>
          <w:szCs w:val="24"/>
          <w:lang w:eastAsia="pl-PL"/>
        </w:rPr>
      </w:pPr>
      <w:r w:rsidRPr="00E24274">
        <w:rPr>
          <w:rFonts w:ascii="Times New Roman" w:hAnsi="Times New Roman"/>
          <w:sz w:val="24"/>
          <w:szCs w:val="24"/>
          <w:lang w:eastAsia="pl-PL"/>
        </w:rPr>
        <w:t>Celem wprowadzenia tego rodzaju obowiązku jest uł</w:t>
      </w:r>
      <w:r w:rsidR="00591C91">
        <w:rPr>
          <w:rFonts w:ascii="Times New Roman" w:hAnsi="Times New Roman"/>
          <w:sz w:val="24"/>
          <w:szCs w:val="24"/>
          <w:lang w:eastAsia="pl-PL"/>
        </w:rPr>
        <w:t>atwienie masowego korzystania z </w:t>
      </w:r>
      <w:r w:rsidRPr="00E24274">
        <w:rPr>
          <w:rFonts w:ascii="Times New Roman" w:hAnsi="Times New Roman"/>
          <w:sz w:val="24"/>
          <w:szCs w:val="24"/>
          <w:lang w:eastAsia="pl-PL"/>
        </w:rPr>
        <w:t xml:space="preserve">utworów, jeśli indywidualne ich licencjonowanie byłoby nieefektywne albo wręcz niemożliwe, co pozwala na lepsze zabezpieczenie interesów użytkownika </w:t>
      </w:r>
      <w:r w:rsidRPr="00E24274">
        <w:rPr>
          <w:rFonts w:ascii="Times New Roman" w:hAnsi="Times New Roman"/>
          <w:sz w:val="24"/>
          <w:szCs w:val="24"/>
          <w:lang w:eastAsia="pl-PL"/>
        </w:rPr>
        <w:lastRenderedPageBreak/>
        <w:t>i</w:t>
      </w:r>
      <w:r w:rsidR="00591C91">
        <w:rPr>
          <w:rFonts w:ascii="Times New Roman" w:hAnsi="Times New Roman"/>
          <w:sz w:val="24"/>
          <w:szCs w:val="24"/>
          <w:lang w:eastAsia="pl-PL"/>
        </w:rPr>
        <w:t> </w:t>
      </w:r>
      <w:r w:rsidRPr="00E24274">
        <w:rPr>
          <w:rFonts w:ascii="Times New Roman" w:hAnsi="Times New Roman"/>
          <w:sz w:val="24"/>
          <w:szCs w:val="24"/>
          <w:lang w:eastAsia="pl-PL"/>
        </w:rPr>
        <w:t>uprawnionego. Przyjmuje się, że na gruncie prawa międzynarodowego tego rodzaju mechanizmy są dopuszczalne w przypadkach, w których Konwencja berneńska zezwala na ustanowienie w prawie krajowym warunków wy</w:t>
      </w:r>
      <w:r w:rsidR="00591C91">
        <w:rPr>
          <w:rFonts w:ascii="Times New Roman" w:hAnsi="Times New Roman"/>
          <w:sz w:val="24"/>
          <w:szCs w:val="24"/>
          <w:lang w:eastAsia="pl-PL"/>
        </w:rPr>
        <w:t>konywania określonych praw (tj. </w:t>
      </w:r>
      <w:r w:rsidRPr="00E24274">
        <w:rPr>
          <w:rFonts w:ascii="Times New Roman" w:hAnsi="Times New Roman"/>
          <w:sz w:val="24"/>
          <w:szCs w:val="24"/>
          <w:lang w:eastAsia="pl-PL"/>
        </w:rPr>
        <w:t>autorskich praw majątkowych na określonych polac</w:t>
      </w:r>
      <w:r w:rsidR="00591C91">
        <w:rPr>
          <w:rFonts w:ascii="Times New Roman" w:hAnsi="Times New Roman"/>
          <w:sz w:val="24"/>
          <w:szCs w:val="24"/>
          <w:lang w:eastAsia="pl-PL"/>
        </w:rPr>
        <w:t>h eksploatacji). Zgodnie z art. </w:t>
      </w:r>
      <w:r w:rsidRPr="00E24274">
        <w:rPr>
          <w:rFonts w:ascii="Times New Roman" w:hAnsi="Times New Roman"/>
          <w:sz w:val="24"/>
          <w:szCs w:val="24"/>
          <w:lang w:eastAsia="pl-PL"/>
        </w:rPr>
        <w:t>11bis ust. 1 i 2 tej konwencji dotyczy to:</w:t>
      </w:r>
    </w:p>
    <w:p w:rsidR="00D2655C" w:rsidRPr="00E24274" w:rsidRDefault="00D2655C" w:rsidP="00591C91">
      <w:pPr>
        <w:numPr>
          <w:ilvl w:val="0"/>
          <w:numId w:val="4"/>
        </w:numPr>
        <w:spacing w:after="0" w:line="360" w:lineRule="auto"/>
        <w:ind w:left="364" w:hanging="364"/>
        <w:jc w:val="both"/>
        <w:rPr>
          <w:rFonts w:ascii="Times New Roman" w:hAnsi="Times New Roman"/>
          <w:sz w:val="24"/>
          <w:szCs w:val="24"/>
          <w:lang w:eastAsia="pl-PL"/>
        </w:rPr>
      </w:pPr>
      <w:r w:rsidRPr="00E24274">
        <w:rPr>
          <w:rFonts w:ascii="Times New Roman" w:hAnsi="Times New Roman"/>
          <w:sz w:val="24"/>
          <w:szCs w:val="24"/>
          <w:lang w:eastAsia="pl-PL"/>
        </w:rPr>
        <w:t>nadawania utworów drogą radiowo-telewizyjną;</w:t>
      </w:r>
    </w:p>
    <w:p w:rsidR="00D2655C" w:rsidRPr="00E24274" w:rsidRDefault="00D2655C" w:rsidP="00591C91">
      <w:pPr>
        <w:numPr>
          <w:ilvl w:val="0"/>
          <w:numId w:val="4"/>
        </w:numPr>
        <w:spacing w:after="0" w:line="360" w:lineRule="auto"/>
        <w:ind w:left="364" w:hanging="364"/>
        <w:jc w:val="both"/>
        <w:rPr>
          <w:rFonts w:ascii="Times New Roman" w:hAnsi="Times New Roman"/>
          <w:sz w:val="24"/>
          <w:szCs w:val="24"/>
          <w:lang w:eastAsia="pl-PL"/>
        </w:rPr>
      </w:pPr>
      <w:r w:rsidRPr="00E24274">
        <w:rPr>
          <w:rFonts w:ascii="Times New Roman" w:hAnsi="Times New Roman"/>
          <w:sz w:val="24"/>
          <w:szCs w:val="24"/>
          <w:lang w:eastAsia="pl-PL"/>
        </w:rPr>
        <w:t>publicznego rozpowszechniania utworów wszelkimi środkami przekazu bezprzewodowego, służącymi do rozpowszechniania znaków, dźwięków lub obrazów;</w:t>
      </w:r>
    </w:p>
    <w:p w:rsidR="00D2655C" w:rsidRPr="00E24274" w:rsidRDefault="00D2655C" w:rsidP="00591C91">
      <w:pPr>
        <w:numPr>
          <w:ilvl w:val="0"/>
          <w:numId w:val="4"/>
        </w:numPr>
        <w:spacing w:after="0" w:line="360" w:lineRule="auto"/>
        <w:ind w:left="364" w:hanging="364"/>
        <w:jc w:val="both"/>
        <w:rPr>
          <w:rFonts w:ascii="Times New Roman" w:hAnsi="Times New Roman"/>
          <w:sz w:val="24"/>
          <w:szCs w:val="24"/>
          <w:lang w:eastAsia="pl-PL"/>
        </w:rPr>
      </w:pPr>
      <w:r w:rsidRPr="00E24274">
        <w:rPr>
          <w:rFonts w:ascii="Times New Roman" w:hAnsi="Times New Roman"/>
          <w:sz w:val="24"/>
          <w:szCs w:val="24"/>
          <w:lang w:eastAsia="pl-PL"/>
        </w:rPr>
        <w:t>wszelkiego publicznego rozpowszechniania za pomocą środków przekazu przewodowego lub bezprzewodowego dzieł nadawanych drogą radiowo</w:t>
      </w:r>
      <w:r w:rsidR="00591C91">
        <w:rPr>
          <w:rFonts w:ascii="Times New Roman" w:hAnsi="Times New Roman"/>
          <w:sz w:val="24"/>
          <w:szCs w:val="24"/>
          <w:lang w:eastAsia="pl-PL"/>
        </w:rPr>
        <w:noBreakHyphen/>
      </w:r>
      <w:r w:rsidRPr="00E24274">
        <w:rPr>
          <w:rFonts w:ascii="Times New Roman" w:hAnsi="Times New Roman"/>
          <w:sz w:val="24"/>
          <w:szCs w:val="24"/>
          <w:lang w:eastAsia="pl-PL"/>
        </w:rPr>
        <w:t>telewizyjną, jeśli to rozpowszechnianie jest dokonywane przez inną organizację niż ta, która je nadała pierwotnie;</w:t>
      </w:r>
    </w:p>
    <w:p w:rsidR="00D2655C" w:rsidRPr="00E24274" w:rsidRDefault="00D2655C" w:rsidP="00591C91">
      <w:pPr>
        <w:numPr>
          <w:ilvl w:val="0"/>
          <w:numId w:val="4"/>
        </w:numPr>
        <w:spacing w:after="0" w:line="360" w:lineRule="auto"/>
        <w:ind w:left="364" w:hanging="364"/>
        <w:jc w:val="both"/>
        <w:rPr>
          <w:rFonts w:ascii="Times New Roman" w:hAnsi="Times New Roman"/>
          <w:sz w:val="24"/>
          <w:szCs w:val="24"/>
          <w:lang w:eastAsia="pl-PL"/>
        </w:rPr>
      </w:pPr>
      <w:r w:rsidRPr="00E24274">
        <w:rPr>
          <w:rFonts w:ascii="Times New Roman" w:hAnsi="Times New Roman"/>
          <w:sz w:val="24"/>
          <w:szCs w:val="24"/>
          <w:lang w:eastAsia="pl-PL"/>
        </w:rPr>
        <w:t>publicznego rozpowszechniania przez głośniki lub inne analogiczne aparaty do przenoszenia znaków, dźwięków lub obrazów dzieł nadawanych drogą radiowo</w:t>
      </w:r>
      <w:r w:rsidR="00591C91">
        <w:rPr>
          <w:rFonts w:ascii="Times New Roman" w:hAnsi="Times New Roman"/>
          <w:sz w:val="24"/>
          <w:szCs w:val="24"/>
          <w:lang w:eastAsia="pl-PL"/>
        </w:rPr>
        <w:noBreakHyphen/>
      </w:r>
      <w:r w:rsidRPr="00E24274">
        <w:rPr>
          <w:rFonts w:ascii="Times New Roman" w:hAnsi="Times New Roman"/>
          <w:sz w:val="24"/>
          <w:szCs w:val="24"/>
          <w:lang w:eastAsia="pl-PL"/>
        </w:rPr>
        <w:t>telewizyjną.</w:t>
      </w:r>
    </w:p>
    <w:p w:rsidR="00D2655C" w:rsidRPr="00E24274" w:rsidRDefault="00D2655C" w:rsidP="00E24274">
      <w:pPr>
        <w:spacing w:before="120" w:after="0" w:line="360" w:lineRule="auto"/>
        <w:jc w:val="both"/>
        <w:rPr>
          <w:rFonts w:ascii="Times New Roman" w:hAnsi="Times New Roman"/>
          <w:sz w:val="24"/>
          <w:szCs w:val="24"/>
          <w:lang w:eastAsia="pl-PL"/>
        </w:rPr>
      </w:pPr>
      <w:r w:rsidRPr="00E24274">
        <w:rPr>
          <w:rFonts w:ascii="Times New Roman" w:hAnsi="Times New Roman"/>
          <w:sz w:val="24"/>
          <w:szCs w:val="24"/>
          <w:lang w:eastAsia="pl-PL"/>
        </w:rPr>
        <w:t>Mieszcząc się w powyższych ramach i realizując cel, jakim jest ułatwienie legalnego dostępu do dóbr kultury przy wykorzystaniu mechanizmów zbiorowego zarządu, po wprowadzeniu proponowanych zmian w pr. aut. obowiązkowe pośrednictwo organizacji będzie obejmować:</w:t>
      </w:r>
    </w:p>
    <w:p w:rsidR="00D2655C" w:rsidRPr="00E24274" w:rsidRDefault="00D2655C" w:rsidP="00591C91">
      <w:pPr>
        <w:numPr>
          <w:ilvl w:val="0"/>
          <w:numId w:val="5"/>
        </w:numPr>
        <w:spacing w:after="0" w:line="360" w:lineRule="auto"/>
        <w:ind w:left="363" w:hanging="352"/>
        <w:jc w:val="both"/>
        <w:rPr>
          <w:rFonts w:ascii="Times New Roman" w:hAnsi="Times New Roman"/>
          <w:sz w:val="24"/>
          <w:szCs w:val="24"/>
          <w:lang w:eastAsia="pl-PL"/>
        </w:rPr>
      </w:pPr>
      <w:r w:rsidRPr="00E24274">
        <w:rPr>
          <w:rFonts w:ascii="Times New Roman" w:hAnsi="Times New Roman"/>
          <w:sz w:val="24"/>
          <w:szCs w:val="24"/>
          <w:lang w:eastAsia="pl-PL"/>
        </w:rPr>
        <w:t xml:space="preserve">nadawanie rozpowszechnionych drobnych utworów muzycznych, słowno-muzycznych i słownych (tzw. </w:t>
      </w:r>
      <w:r w:rsidR="00E24274">
        <w:rPr>
          <w:rFonts w:ascii="Times New Roman" w:hAnsi="Times New Roman"/>
          <w:sz w:val="24"/>
          <w:szCs w:val="24"/>
          <w:lang w:eastAsia="pl-PL"/>
        </w:rPr>
        <w:t>„</w:t>
      </w:r>
      <w:r w:rsidRPr="00E24274">
        <w:rPr>
          <w:rFonts w:ascii="Times New Roman" w:hAnsi="Times New Roman"/>
          <w:sz w:val="24"/>
          <w:szCs w:val="24"/>
          <w:lang w:eastAsia="pl-PL"/>
        </w:rPr>
        <w:t>małe prawa</w:t>
      </w:r>
      <w:r w:rsidR="00E24274">
        <w:rPr>
          <w:rFonts w:ascii="Times New Roman" w:hAnsi="Times New Roman"/>
          <w:sz w:val="24"/>
          <w:szCs w:val="24"/>
          <w:lang w:eastAsia="pl-PL"/>
        </w:rPr>
        <w:t>”</w:t>
      </w:r>
      <w:r w:rsidRPr="00E24274">
        <w:rPr>
          <w:rFonts w:ascii="Times New Roman" w:hAnsi="Times New Roman"/>
          <w:sz w:val="24"/>
          <w:szCs w:val="24"/>
          <w:lang w:eastAsia="pl-PL"/>
        </w:rPr>
        <w:t xml:space="preserve">), chyba że prawo do nadawania utworów zamówionych przez nadawcę przysługuje mu na podstawie odrębnej umowy; twórca będzie mógł w umowie z nadawcą zrzec się pośrednictwa organizacji zbiorowego zarządzania (regulacja ta </w:t>
      </w:r>
      <w:r w:rsidR="00591C91">
        <w:rPr>
          <w:rFonts w:ascii="Times New Roman" w:hAnsi="Times New Roman"/>
          <w:sz w:val="24"/>
          <w:szCs w:val="24"/>
          <w:lang w:eastAsia="pl-PL"/>
        </w:rPr>
        <w:t>jest zbieżna z dotychczasową, a </w:t>
      </w:r>
      <w:r w:rsidRPr="00E24274">
        <w:rPr>
          <w:rFonts w:ascii="Times New Roman" w:hAnsi="Times New Roman"/>
          <w:sz w:val="24"/>
          <w:szCs w:val="24"/>
          <w:lang w:eastAsia="pl-PL"/>
        </w:rPr>
        <w:t xml:space="preserve">proponowana zmiana art. 21 ust. 1 pr. aut. ma charakter terminologiczny; precyzuje ponadto, że umowa powinna być zawarta z organizacją </w:t>
      </w:r>
      <w:r w:rsidR="00E24274">
        <w:rPr>
          <w:rFonts w:ascii="Times New Roman" w:hAnsi="Times New Roman"/>
          <w:sz w:val="24"/>
          <w:szCs w:val="24"/>
          <w:lang w:eastAsia="pl-PL"/>
        </w:rPr>
        <w:t>„</w:t>
      </w:r>
      <w:r w:rsidRPr="00E24274">
        <w:rPr>
          <w:rFonts w:ascii="Times New Roman" w:hAnsi="Times New Roman"/>
          <w:sz w:val="24"/>
          <w:szCs w:val="24"/>
          <w:lang w:eastAsia="pl-PL"/>
        </w:rPr>
        <w:t>właściwą</w:t>
      </w:r>
      <w:r w:rsidR="00E24274">
        <w:rPr>
          <w:rFonts w:ascii="Times New Roman" w:hAnsi="Times New Roman"/>
          <w:sz w:val="24"/>
          <w:szCs w:val="24"/>
          <w:lang w:eastAsia="pl-PL"/>
        </w:rPr>
        <w:t>”</w:t>
      </w:r>
      <w:r w:rsidRPr="00E24274">
        <w:rPr>
          <w:rFonts w:ascii="Times New Roman" w:hAnsi="Times New Roman"/>
          <w:sz w:val="24"/>
          <w:szCs w:val="24"/>
          <w:lang w:eastAsia="pl-PL"/>
        </w:rPr>
        <w:t>);</w:t>
      </w:r>
    </w:p>
    <w:p w:rsidR="00D2655C" w:rsidRPr="00E24274" w:rsidRDefault="00D2655C" w:rsidP="00591C91">
      <w:pPr>
        <w:numPr>
          <w:ilvl w:val="0"/>
          <w:numId w:val="5"/>
        </w:numPr>
        <w:spacing w:after="0" w:line="360" w:lineRule="auto"/>
        <w:ind w:left="363" w:hanging="352"/>
        <w:jc w:val="both"/>
        <w:rPr>
          <w:rFonts w:ascii="Times New Roman" w:hAnsi="Times New Roman"/>
          <w:sz w:val="24"/>
          <w:szCs w:val="24"/>
          <w:lang w:eastAsia="pl-PL"/>
        </w:rPr>
      </w:pPr>
      <w:r w:rsidRPr="00E24274">
        <w:rPr>
          <w:rFonts w:ascii="Times New Roman" w:hAnsi="Times New Roman"/>
          <w:sz w:val="24"/>
          <w:szCs w:val="24"/>
          <w:lang w:eastAsia="pl-PL"/>
        </w:rPr>
        <w:t xml:space="preserve">publiczne udostępnianie ww. rodzajów utworów przez nadawcę </w:t>
      </w:r>
      <w:r w:rsidR="00E24274">
        <w:rPr>
          <w:rFonts w:ascii="Times New Roman" w:hAnsi="Times New Roman"/>
          <w:sz w:val="24"/>
          <w:szCs w:val="24"/>
          <w:lang w:eastAsia="pl-PL"/>
        </w:rPr>
        <w:t>„</w:t>
      </w:r>
      <w:r w:rsidRPr="00E24274">
        <w:rPr>
          <w:rFonts w:ascii="Times New Roman" w:hAnsi="Times New Roman"/>
          <w:sz w:val="24"/>
          <w:szCs w:val="24"/>
          <w:lang w:eastAsia="pl-PL"/>
        </w:rPr>
        <w:t>na żądanie</w:t>
      </w:r>
      <w:r w:rsidR="00E24274">
        <w:rPr>
          <w:rFonts w:ascii="Times New Roman" w:hAnsi="Times New Roman"/>
          <w:sz w:val="24"/>
          <w:szCs w:val="24"/>
          <w:lang w:eastAsia="pl-PL"/>
        </w:rPr>
        <w:t>”</w:t>
      </w:r>
      <w:r w:rsidR="00591C91">
        <w:rPr>
          <w:rFonts w:ascii="Times New Roman" w:hAnsi="Times New Roman"/>
          <w:sz w:val="24"/>
          <w:szCs w:val="24"/>
          <w:lang w:eastAsia="pl-PL"/>
        </w:rPr>
        <w:t>, tj. w </w:t>
      </w:r>
      <w:r w:rsidRPr="00E24274">
        <w:rPr>
          <w:rFonts w:ascii="Times New Roman" w:hAnsi="Times New Roman"/>
          <w:sz w:val="24"/>
          <w:szCs w:val="24"/>
          <w:lang w:eastAsia="pl-PL"/>
        </w:rPr>
        <w:t>taki sposób, aby każdy mógł mieć do nich dostęp w miejscu i czasie przez siebie wybranym (dotychczasowy art. 21 ust. 2 pr. aut. nie ulegnie zmianie);</w:t>
      </w:r>
    </w:p>
    <w:p w:rsidR="00D2655C" w:rsidRPr="00E24274" w:rsidRDefault="00D2655C" w:rsidP="00591C91">
      <w:pPr>
        <w:numPr>
          <w:ilvl w:val="0"/>
          <w:numId w:val="5"/>
        </w:numPr>
        <w:spacing w:after="0" w:line="360" w:lineRule="auto"/>
        <w:ind w:left="363" w:hanging="352"/>
        <w:jc w:val="both"/>
        <w:rPr>
          <w:rFonts w:ascii="Times New Roman" w:hAnsi="Times New Roman"/>
          <w:sz w:val="24"/>
          <w:szCs w:val="24"/>
          <w:lang w:eastAsia="pl-PL"/>
        </w:rPr>
      </w:pPr>
      <w:r w:rsidRPr="00E24274">
        <w:rPr>
          <w:rFonts w:ascii="Times New Roman" w:hAnsi="Times New Roman"/>
          <w:sz w:val="24"/>
          <w:szCs w:val="24"/>
          <w:lang w:eastAsia="pl-PL"/>
        </w:rPr>
        <w:t>reemisję utworów w sieciach kablowych, z wyjątkiem praw, z których nadawca korzysta w odniesieniu do swoich własnych transmisji (dotychczasowa regulacja art. 21</w:t>
      </w:r>
      <w:r w:rsidRPr="00E24274">
        <w:rPr>
          <w:rFonts w:ascii="Times New Roman" w:hAnsi="Times New Roman"/>
          <w:sz w:val="24"/>
          <w:szCs w:val="24"/>
          <w:vertAlign w:val="superscript"/>
          <w:lang w:eastAsia="pl-PL"/>
        </w:rPr>
        <w:t>1</w:t>
      </w:r>
      <w:r w:rsidRPr="00E24274">
        <w:rPr>
          <w:rFonts w:ascii="Times New Roman" w:hAnsi="Times New Roman"/>
          <w:sz w:val="24"/>
          <w:szCs w:val="24"/>
          <w:lang w:eastAsia="pl-PL"/>
        </w:rPr>
        <w:t xml:space="preserve"> ust. 1 i 1</w:t>
      </w:r>
      <w:r w:rsidRPr="00E24274">
        <w:rPr>
          <w:rFonts w:ascii="Times New Roman" w:hAnsi="Times New Roman"/>
          <w:sz w:val="24"/>
          <w:szCs w:val="24"/>
          <w:vertAlign w:val="superscript"/>
          <w:lang w:eastAsia="pl-PL"/>
        </w:rPr>
        <w:t>1</w:t>
      </w:r>
      <w:r w:rsidRPr="00E24274">
        <w:rPr>
          <w:rFonts w:ascii="Times New Roman" w:hAnsi="Times New Roman"/>
          <w:sz w:val="24"/>
          <w:szCs w:val="24"/>
          <w:lang w:eastAsia="pl-PL"/>
        </w:rPr>
        <w:t xml:space="preserve"> pr. aut. nie ulegnie zmianie, natomiast proponowana modyfikacja </w:t>
      </w:r>
      <w:r w:rsidRPr="00E24274">
        <w:rPr>
          <w:rFonts w:ascii="Times New Roman" w:hAnsi="Times New Roman"/>
          <w:sz w:val="24"/>
          <w:szCs w:val="24"/>
          <w:lang w:eastAsia="pl-PL"/>
        </w:rPr>
        <w:lastRenderedPageBreak/>
        <w:t>ust. 2 tego artykułu dotyczy wyłącznie dostosowania zawartego w nim odesłania do nowych przepisów o rozstrzyganiu sporów przez Komisję);</w:t>
      </w:r>
    </w:p>
    <w:p w:rsidR="00D2655C" w:rsidRPr="00E24274" w:rsidRDefault="00D2655C" w:rsidP="00591C91">
      <w:pPr>
        <w:numPr>
          <w:ilvl w:val="0"/>
          <w:numId w:val="5"/>
        </w:numPr>
        <w:spacing w:after="0" w:line="360" w:lineRule="auto"/>
        <w:ind w:left="363" w:hanging="352"/>
        <w:jc w:val="both"/>
        <w:rPr>
          <w:rFonts w:ascii="Times New Roman" w:hAnsi="Times New Roman"/>
          <w:sz w:val="24"/>
          <w:szCs w:val="24"/>
          <w:lang w:eastAsia="pl-PL"/>
        </w:rPr>
      </w:pPr>
      <w:r w:rsidRPr="00E24274">
        <w:rPr>
          <w:rFonts w:ascii="Times New Roman" w:hAnsi="Times New Roman"/>
          <w:sz w:val="24"/>
          <w:szCs w:val="24"/>
          <w:lang w:eastAsia="pl-PL"/>
        </w:rPr>
        <w:t xml:space="preserve">nadawanie, publiczne udostępnianie </w:t>
      </w:r>
      <w:r w:rsidR="00E24274">
        <w:rPr>
          <w:rFonts w:ascii="Times New Roman" w:hAnsi="Times New Roman"/>
          <w:i/>
          <w:sz w:val="24"/>
          <w:szCs w:val="24"/>
          <w:lang w:eastAsia="pl-PL"/>
        </w:rPr>
        <w:t>„</w:t>
      </w:r>
      <w:r w:rsidRPr="00E24274">
        <w:rPr>
          <w:rFonts w:ascii="Times New Roman" w:hAnsi="Times New Roman"/>
          <w:i/>
          <w:sz w:val="24"/>
          <w:szCs w:val="24"/>
          <w:lang w:eastAsia="pl-PL"/>
        </w:rPr>
        <w:t>na żądanie</w:t>
      </w:r>
      <w:r w:rsidR="00E24274">
        <w:rPr>
          <w:rFonts w:ascii="Times New Roman" w:hAnsi="Times New Roman"/>
          <w:i/>
          <w:sz w:val="24"/>
          <w:szCs w:val="24"/>
          <w:lang w:eastAsia="pl-PL"/>
        </w:rPr>
        <w:t>”</w:t>
      </w:r>
      <w:r w:rsidRPr="00E24274">
        <w:rPr>
          <w:rFonts w:ascii="Times New Roman" w:hAnsi="Times New Roman"/>
          <w:sz w:val="24"/>
          <w:szCs w:val="24"/>
          <w:lang w:eastAsia="pl-PL"/>
        </w:rPr>
        <w:t xml:space="preserve"> i zwielokrotnianie przez nadawcę utworów (wszelkich, nie tylko tzw. </w:t>
      </w:r>
      <w:r w:rsidR="00E24274">
        <w:rPr>
          <w:rFonts w:ascii="Times New Roman" w:hAnsi="Times New Roman"/>
          <w:i/>
          <w:sz w:val="24"/>
          <w:szCs w:val="24"/>
          <w:lang w:eastAsia="pl-PL"/>
        </w:rPr>
        <w:t>„</w:t>
      </w:r>
      <w:r w:rsidRPr="00E24274">
        <w:rPr>
          <w:rFonts w:ascii="Times New Roman" w:hAnsi="Times New Roman"/>
          <w:i/>
          <w:sz w:val="24"/>
          <w:szCs w:val="24"/>
          <w:lang w:eastAsia="pl-PL"/>
        </w:rPr>
        <w:t>małych praw</w:t>
      </w:r>
      <w:r w:rsidR="00E24274">
        <w:rPr>
          <w:rFonts w:ascii="Times New Roman" w:hAnsi="Times New Roman"/>
          <w:i/>
          <w:sz w:val="24"/>
          <w:szCs w:val="24"/>
          <w:lang w:eastAsia="pl-PL"/>
        </w:rPr>
        <w:t>”</w:t>
      </w:r>
      <w:r w:rsidRPr="00E24274">
        <w:rPr>
          <w:rFonts w:ascii="Times New Roman" w:hAnsi="Times New Roman"/>
          <w:sz w:val="24"/>
          <w:szCs w:val="24"/>
          <w:lang w:eastAsia="pl-PL"/>
        </w:rPr>
        <w:t>) zawartych w jego własnych audycjach archiwalnych, czyli audycjach wyprodukowanych przed 1 s</w:t>
      </w:r>
      <w:r w:rsidR="00591C91">
        <w:rPr>
          <w:rFonts w:ascii="Times New Roman" w:hAnsi="Times New Roman"/>
          <w:sz w:val="24"/>
          <w:szCs w:val="24"/>
          <w:lang w:eastAsia="pl-PL"/>
        </w:rPr>
        <w:t>tycznia 2003 </w:t>
      </w:r>
      <w:r w:rsidRPr="00E24274">
        <w:rPr>
          <w:rFonts w:ascii="Times New Roman" w:hAnsi="Times New Roman"/>
          <w:sz w:val="24"/>
          <w:szCs w:val="24"/>
          <w:lang w:eastAsia="pl-PL"/>
        </w:rPr>
        <w:t>r.; proponowany art. 21</w:t>
      </w:r>
      <w:r w:rsidRPr="00E24274">
        <w:rPr>
          <w:rFonts w:ascii="Times New Roman" w:hAnsi="Times New Roman"/>
          <w:sz w:val="24"/>
          <w:szCs w:val="24"/>
          <w:vertAlign w:val="superscript"/>
          <w:lang w:eastAsia="pl-PL"/>
        </w:rPr>
        <w:t>2</w:t>
      </w:r>
      <w:r w:rsidRPr="00E24274">
        <w:rPr>
          <w:rFonts w:ascii="Times New Roman" w:hAnsi="Times New Roman"/>
          <w:sz w:val="24"/>
          <w:szCs w:val="24"/>
          <w:lang w:eastAsia="pl-PL"/>
        </w:rPr>
        <w:t xml:space="preserve"> pr. aut. to całkiem nowe rozwiązanie, mające na celu ułatwienie nabywania licencji na korzystanie z utworów wyprodukowanych przez lub na zlecenie nadawców przed wejściem w życie pr. aut., umożliwiając nadawcom legalną eksploatację ich zasobów archiwalnych. Ustawa ta, dokonując retroaktywnego rozszerzenia ochrony utworów i przedmiotów praw pokrewnych, znacząco utrudniła korzystanie przez nadawców z ich własnych produkcji; podobnie jak w przypadku art. 21 pr. aut. obowiązek pośrednictwa nie znajdzie zastosowania w przypadkach, gdy nadawca zawarł umowę bezpośrednio z uprawnionym lub gdy uprawniony zrzekł się pośrednictwa organizacji (projektowany art. 21</w:t>
      </w:r>
      <w:r w:rsidRPr="00E24274">
        <w:rPr>
          <w:rFonts w:ascii="Times New Roman" w:hAnsi="Times New Roman"/>
          <w:sz w:val="24"/>
          <w:szCs w:val="24"/>
          <w:vertAlign w:val="superscript"/>
          <w:lang w:eastAsia="pl-PL"/>
        </w:rPr>
        <w:t>2</w:t>
      </w:r>
      <w:r w:rsidRPr="00E24274">
        <w:rPr>
          <w:rFonts w:ascii="Times New Roman" w:hAnsi="Times New Roman"/>
          <w:sz w:val="24"/>
          <w:szCs w:val="24"/>
          <w:lang w:eastAsia="pl-PL"/>
        </w:rPr>
        <w:t xml:space="preserve"> pr. aut.);</w:t>
      </w:r>
    </w:p>
    <w:p w:rsidR="00D2655C" w:rsidRPr="00E24274" w:rsidRDefault="00D2655C" w:rsidP="00591C91">
      <w:pPr>
        <w:numPr>
          <w:ilvl w:val="0"/>
          <w:numId w:val="5"/>
        </w:numPr>
        <w:spacing w:after="0" w:line="360" w:lineRule="auto"/>
        <w:ind w:left="363" w:hanging="352"/>
        <w:jc w:val="both"/>
        <w:rPr>
          <w:rFonts w:ascii="Times New Roman" w:hAnsi="Times New Roman"/>
          <w:sz w:val="24"/>
          <w:szCs w:val="24"/>
          <w:lang w:eastAsia="pl-PL"/>
        </w:rPr>
      </w:pPr>
      <w:r w:rsidRPr="00E24274">
        <w:rPr>
          <w:rFonts w:ascii="Times New Roman" w:hAnsi="Times New Roman"/>
          <w:sz w:val="24"/>
          <w:szCs w:val="24"/>
          <w:lang w:eastAsia="pl-PL"/>
        </w:rPr>
        <w:t>publiczne odtwarzanie utworów nadawanych w programach radi</w:t>
      </w:r>
      <w:r w:rsidR="00591C91">
        <w:rPr>
          <w:rFonts w:ascii="Times New Roman" w:hAnsi="Times New Roman"/>
          <w:sz w:val="24"/>
          <w:szCs w:val="24"/>
          <w:lang w:eastAsia="pl-PL"/>
        </w:rPr>
        <w:t>owych i </w:t>
      </w:r>
      <w:r w:rsidRPr="00E24274">
        <w:rPr>
          <w:rFonts w:ascii="Times New Roman" w:hAnsi="Times New Roman"/>
          <w:sz w:val="24"/>
          <w:szCs w:val="24"/>
          <w:lang w:eastAsia="pl-PL"/>
        </w:rPr>
        <w:t>telewizyjnych, chyba że ich odtwarzanie</w:t>
      </w:r>
      <w:r w:rsidR="00591C91">
        <w:rPr>
          <w:rFonts w:ascii="Times New Roman" w:hAnsi="Times New Roman"/>
          <w:sz w:val="24"/>
          <w:szCs w:val="24"/>
          <w:lang w:eastAsia="pl-PL"/>
        </w:rPr>
        <w:t xml:space="preserve"> następuje na podstawie umowy z </w:t>
      </w:r>
      <w:r w:rsidRPr="00E24274">
        <w:rPr>
          <w:rFonts w:ascii="Times New Roman" w:hAnsi="Times New Roman"/>
          <w:sz w:val="24"/>
          <w:szCs w:val="24"/>
          <w:lang w:eastAsia="pl-PL"/>
        </w:rPr>
        <w:t>uprawnionym albo na podstawie przepisów o dozw</w:t>
      </w:r>
      <w:r w:rsidR="00591C91">
        <w:rPr>
          <w:rFonts w:ascii="Times New Roman" w:hAnsi="Times New Roman"/>
          <w:sz w:val="24"/>
          <w:szCs w:val="24"/>
          <w:lang w:eastAsia="pl-PL"/>
        </w:rPr>
        <w:t>olonym użytku (np. art. 24 ust. </w:t>
      </w:r>
      <w:r w:rsidRPr="00E24274">
        <w:rPr>
          <w:rFonts w:ascii="Times New Roman" w:hAnsi="Times New Roman"/>
          <w:sz w:val="24"/>
          <w:szCs w:val="24"/>
          <w:lang w:eastAsia="pl-PL"/>
        </w:rPr>
        <w:t>2 pr. aut.). Co prawda proponowany przepis art. 21</w:t>
      </w:r>
      <w:r w:rsidRPr="00E24274">
        <w:rPr>
          <w:rFonts w:ascii="Times New Roman" w:hAnsi="Times New Roman"/>
          <w:sz w:val="24"/>
          <w:szCs w:val="24"/>
          <w:vertAlign w:val="superscript"/>
          <w:lang w:eastAsia="pl-PL"/>
        </w:rPr>
        <w:t>3</w:t>
      </w:r>
      <w:r w:rsidRPr="00E24274">
        <w:rPr>
          <w:rFonts w:ascii="Times New Roman" w:hAnsi="Times New Roman"/>
          <w:sz w:val="24"/>
          <w:szCs w:val="24"/>
          <w:lang w:eastAsia="pl-PL"/>
        </w:rPr>
        <w:t xml:space="preserve"> będzie nowością w pr. aut., to jednak przewidziane w nim rozwiązanie odpowiada dotychczasowej praktyce, zgodnie z którą użytkownik – nie mając kontr</w:t>
      </w:r>
      <w:r w:rsidR="00591C91">
        <w:rPr>
          <w:rFonts w:ascii="Times New Roman" w:hAnsi="Times New Roman"/>
          <w:sz w:val="24"/>
          <w:szCs w:val="24"/>
          <w:lang w:eastAsia="pl-PL"/>
        </w:rPr>
        <w:t>oli nad repertuarem nadawanym w </w:t>
      </w:r>
      <w:r w:rsidRPr="00E24274">
        <w:rPr>
          <w:rFonts w:ascii="Times New Roman" w:hAnsi="Times New Roman"/>
          <w:sz w:val="24"/>
          <w:szCs w:val="24"/>
          <w:lang w:eastAsia="pl-PL"/>
        </w:rPr>
        <w:t xml:space="preserve">radiu lub telewizji – nabywa od organizacji </w:t>
      </w:r>
      <w:r w:rsidR="00E24274">
        <w:rPr>
          <w:rFonts w:ascii="Times New Roman" w:hAnsi="Times New Roman"/>
          <w:sz w:val="24"/>
          <w:szCs w:val="24"/>
          <w:lang w:eastAsia="pl-PL"/>
        </w:rPr>
        <w:t>„</w:t>
      </w:r>
      <w:r w:rsidRPr="00E24274">
        <w:rPr>
          <w:rFonts w:ascii="Times New Roman" w:hAnsi="Times New Roman"/>
          <w:sz w:val="24"/>
          <w:szCs w:val="24"/>
          <w:lang w:eastAsia="pl-PL"/>
        </w:rPr>
        <w:t>blankietową</w:t>
      </w:r>
      <w:r w:rsidR="00E24274">
        <w:rPr>
          <w:rFonts w:ascii="Times New Roman" w:hAnsi="Times New Roman"/>
          <w:sz w:val="24"/>
          <w:szCs w:val="24"/>
          <w:lang w:eastAsia="pl-PL"/>
        </w:rPr>
        <w:t>”</w:t>
      </w:r>
      <w:r w:rsidRPr="00E24274">
        <w:rPr>
          <w:rFonts w:ascii="Times New Roman" w:hAnsi="Times New Roman"/>
          <w:sz w:val="24"/>
          <w:szCs w:val="24"/>
          <w:lang w:eastAsia="pl-PL"/>
        </w:rPr>
        <w:t xml:space="preserve"> (pełną) licencję na odtwarzanie wszystkich utworów; wprowadzenie obowiązkowego zbiorowego zarządu w tym zakresie zwiększy pewność prawną po stronie użytkowników.</w:t>
      </w:r>
    </w:p>
    <w:p w:rsidR="00D2655C" w:rsidRPr="00E24274" w:rsidRDefault="00D2655C" w:rsidP="00E24274">
      <w:pPr>
        <w:spacing w:before="120" w:after="0" w:line="360" w:lineRule="auto"/>
        <w:jc w:val="both"/>
        <w:rPr>
          <w:rFonts w:ascii="Times New Roman" w:hAnsi="Times New Roman"/>
          <w:sz w:val="24"/>
          <w:szCs w:val="24"/>
          <w:lang w:eastAsia="pl-PL"/>
        </w:rPr>
      </w:pPr>
      <w:r w:rsidRPr="00E24274">
        <w:rPr>
          <w:rFonts w:ascii="Times New Roman" w:hAnsi="Times New Roman"/>
          <w:sz w:val="24"/>
          <w:szCs w:val="24"/>
          <w:lang w:eastAsia="pl-PL"/>
        </w:rPr>
        <w:t xml:space="preserve">2. Zgodnie z powyższymi przepisami umowa licencyjna będzie zawierana z organizacją właściwą w rozumieniu art. 6 pkt 15 pr. aut., a więc organizacją reprezentującą określonych uprawnionych na podstawie umów o </w:t>
      </w:r>
      <w:r w:rsidR="00591C91">
        <w:rPr>
          <w:rFonts w:ascii="Times New Roman" w:hAnsi="Times New Roman"/>
          <w:sz w:val="24"/>
          <w:szCs w:val="24"/>
          <w:lang w:eastAsia="pl-PL"/>
        </w:rPr>
        <w:t>zbiorowe zarządzanie lub umów o </w:t>
      </w:r>
      <w:r w:rsidRPr="00E24274">
        <w:rPr>
          <w:rFonts w:ascii="Times New Roman" w:hAnsi="Times New Roman"/>
          <w:sz w:val="24"/>
          <w:szCs w:val="24"/>
          <w:lang w:eastAsia="pl-PL"/>
        </w:rPr>
        <w:t xml:space="preserve">reprezentacji, zaś w odniesieniu do pozostałych uprawnionych – z organizacją mającą status reprezentatywnej. W przypadku konieczności nabycia licencji na repertuar </w:t>
      </w:r>
      <w:r w:rsidR="00E24274">
        <w:rPr>
          <w:rFonts w:ascii="Times New Roman" w:hAnsi="Times New Roman"/>
          <w:i/>
          <w:sz w:val="24"/>
          <w:szCs w:val="24"/>
          <w:lang w:eastAsia="pl-PL"/>
        </w:rPr>
        <w:t>„</w:t>
      </w:r>
      <w:r w:rsidRPr="00E24274">
        <w:rPr>
          <w:rFonts w:ascii="Times New Roman" w:hAnsi="Times New Roman"/>
          <w:i/>
          <w:sz w:val="24"/>
          <w:szCs w:val="24"/>
          <w:lang w:eastAsia="pl-PL"/>
        </w:rPr>
        <w:t>globalny</w:t>
      </w:r>
      <w:r w:rsidR="00E24274">
        <w:rPr>
          <w:rFonts w:ascii="Times New Roman" w:hAnsi="Times New Roman"/>
          <w:i/>
          <w:sz w:val="24"/>
          <w:szCs w:val="24"/>
          <w:lang w:eastAsia="pl-PL"/>
        </w:rPr>
        <w:t>”</w:t>
      </w:r>
      <w:r w:rsidRPr="00E24274">
        <w:rPr>
          <w:rFonts w:ascii="Times New Roman" w:hAnsi="Times New Roman"/>
          <w:i/>
          <w:sz w:val="24"/>
          <w:szCs w:val="24"/>
          <w:lang w:eastAsia="pl-PL"/>
        </w:rPr>
        <w:t>,</w:t>
      </w:r>
      <w:r w:rsidRPr="00E24274">
        <w:rPr>
          <w:rFonts w:ascii="Times New Roman" w:hAnsi="Times New Roman"/>
          <w:sz w:val="24"/>
          <w:szCs w:val="24"/>
          <w:lang w:eastAsia="pl-PL"/>
        </w:rPr>
        <w:t xml:space="preserve"> zawarcie umowy ze wszystkimi organizacjami właściwymi w odniesieniu do danego rodzaju utworów na danym polu eksploatacji zapewni użytkownikowi całkowitą pewność co do legalności ich wykorzystywania i wyeliminuje groźbę roszczeń ze strony uprawnionych niereprezentowanych przez organizacje zbiorowego zarządzania.</w:t>
      </w:r>
    </w:p>
    <w:p w:rsidR="00D2655C" w:rsidRPr="00E24274" w:rsidRDefault="00D2655C" w:rsidP="00E24274">
      <w:pPr>
        <w:spacing w:before="120" w:after="0" w:line="360" w:lineRule="auto"/>
        <w:jc w:val="both"/>
        <w:rPr>
          <w:rFonts w:ascii="Times New Roman" w:hAnsi="Times New Roman"/>
          <w:sz w:val="24"/>
          <w:szCs w:val="24"/>
          <w:lang w:eastAsia="pl-PL"/>
        </w:rPr>
      </w:pPr>
      <w:r w:rsidRPr="00E24274">
        <w:rPr>
          <w:rFonts w:ascii="Times New Roman" w:hAnsi="Times New Roman"/>
          <w:sz w:val="24"/>
          <w:szCs w:val="24"/>
          <w:lang w:eastAsia="pl-PL"/>
        </w:rPr>
        <w:lastRenderedPageBreak/>
        <w:t>3. Zmian nie wymagają natomiast przepisy pr. aut. przewidujące obowiązkowe pośrednictwo właściwej organizacji przy wypłacie niektórych rodzajów wynagrodzeń, czyli art. 25 ust. 4 i art. 70 ust. 3 pr. aut.</w:t>
      </w:r>
    </w:p>
    <w:p w:rsidR="00D2655C" w:rsidRPr="00E24274" w:rsidRDefault="00D2655C" w:rsidP="00591C91">
      <w:pPr>
        <w:pStyle w:val="Akapitzlist"/>
        <w:numPr>
          <w:ilvl w:val="0"/>
          <w:numId w:val="11"/>
        </w:numPr>
        <w:spacing w:before="120" w:after="0" w:line="360" w:lineRule="auto"/>
        <w:ind w:left="426" w:hanging="426"/>
        <w:jc w:val="both"/>
        <w:rPr>
          <w:rFonts w:ascii="Times New Roman" w:hAnsi="Times New Roman"/>
          <w:b/>
          <w:sz w:val="24"/>
          <w:szCs w:val="24"/>
          <w:lang w:eastAsia="pl-PL"/>
        </w:rPr>
      </w:pPr>
      <w:r w:rsidRPr="00E24274">
        <w:rPr>
          <w:rFonts w:ascii="Times New Roman" w:hAnsi="Times New Roman"/>
          <w:b/>
          <w:sz w:val="24"/>
          <w:szCs w:val="24"/>
          <w:lang w:eastAsia="pl-PL"/>
        </w:rPr>
        <w:t>uchylenie rozdziałów 12 i 12</w:t>
      </w:r>
      <w:r w:rsidRPr="00E24274">
        <w:rPr>
          <w:rFonts w:ascii="Times New Roman" w:hAnsi="Times New Roman"/>
          <w:b/>
          <w:sz w:val="24"/>
          <w:szCs w:val="24"/>
          <w:vertAlign w:val="superscript"/>
          <w:lang w:eastAsia="pl-PL"/>
        </w:rPr>
        <w:t>1</w:t>
      </w:r>
      <w:r w:rsidRPr="00E24274">
        <w:rPr>
          <w:rFonts w:ascii="Times New Roman" w:hAnsi="Times New Roman"/>
          <w:b/>
          <w:sz w:val="24"/>
          <w:szCs w:val="24"/>
          <w:lang w:eastAsia="pl-PL"/>
        </w:rPr>
        <w:t xml:space="preserve"> pr. aut.</w:t>
      </w:r>
    </w:p>
    <w:p w:rsidR="00D2655C" w:rsidRPr="00E24274" w:rsidRDefault="00D2655C" w:rsidP="00591C91">
      <w:pPr>
        <w:spacing w:after="0" w:line="360" w:lineRule="auto"/>
        <w:jc w:val="both"/>
        <w:rPr>
          <w:rFonts w:ascii="Times New Roman" w:hAnsi="Times New Roman"/>
          <w:sz w:val="24"/>
          <w:szCs w:val="24"/>
          <w:lang w:eastAsia="pl-PL"/>
        </w:rPr>
      </w:pPr>
      <w:r w:rsidRPr="00E24274">
        <w:rPr>
          <w:rFonts w:ascii="Times New Roman" w:hAnsi="Times New Roman"/>
          <w:sz w:val="24"/>
          <w:szCs w:val="24"/>
          <w:lang w:eastAsia="pl-PL"/>
        </w:rPr>
        <w:t>Ustawa o zbiorowym zarządzaniu zastąpi dotychczasowe przepisy pr. aut. dotyczące organizacji zbiorowego zarządzania i Komisji. Dlatego konieczne jest ich uchylenie.</w:t>
      </w:r>
    </w:p>
    <w:p w:rsidR="00D2655C" w:rsidRPr="00E24274" w:rsidRDefault="00D2655C" w:rsidP="00E24274">
      <w:pPr>
        <w:spacing w:before="120" w:after="0" w:line="360" w:lineRule="auto"/>
        <w:jc w:val="both"/>
        <w:rPr>
          <w:rFonts w:ascii="Times New Roman" w:hAnsi="Times New Roman"/>
          <w:b/>
          <w:sz w:val="24"/>
          <w:szCs w:val="24"/>
          <w:lang w:eastAsia="pl-PL"/>
        </w:rPr>
      </w:pPr>
      <w:r w:rsidRPr="00E24274">
        <w:rPr>
          <w:rFonts w:ascii="Times New Roman" w:hAnsi="Times New Roman"/>
          <w:b/>
          <w:sz w:val="24"/>
          <w:szCs w:val="24"/>
          <w:lang w:eastAsia="pl-PL"/>
        </w:rPr>
        <w:t>art. 11</w:t>
      </w:r>
      <w:r w:rsidR="00482D44" w:rsidRPr="00E24274">
        <w:rPr>
          <w:rFonts w:ascii="Times New Roman" w:hAnsi="Times New Roman"/>
          <w:b/>
          <w:sz w:val="24"/>
          <w:szCs w:val="24"/>
          <w:lang w:eastAsia="pl-PL"/>
        </w:rPr>
        <w:t>8</w:t>
      </w:r>
    </w:p>
    <w:p w:rsidR="00D2655C" w:rsidRPr="00E24274" w:rsidRDefault="00D2655C" w:rsidP="00591C91">
      <w:pPr>
        <w:spacing w:after="0" w:line="360" w:lineRule="auto"/>
        <w:jc w:val="both"/>
        <w:rPr>
          <w:rFonts w:ascii="Times New Roman" w:hAnsi="Times New Roman"/>
          <w:sz w:val="24"/>
          <w:szCs w:val="24"/>
          <w:lang w:eastAsia="pl-PL"/>
        </w:rPr>
      </w:pPr>
      <w:r w:rsidRPr="00E24274">
        <w:rPr>
          <w:rFonts w:ascii="Times New Roman" w:hAnsi="Times New Roman"/>
          <w:sz w:val="24"/>
          <w:szCs w:val="24"/>
          <w:lang w:eastAsia="pl-PL"/>
        </w:rPr>
        <w:t>Obecnie obowiązujący art. 67a ustawy z dnia 28 lipc</w:t>
      </w:r>
      <w:r w:rsidR="00591C91">
        <w:rPr>
          <w:rFonts w:ascii="Times New Roman" w:hAnsi="Times New Roman"/>
          <w:sz w:val="24"/>
          <w:szCs w:val="24"/>
          <w:lang w:eastAsia="pl-PL"/>
        </w:rPr>
        <w:t>a 2005 r. o kosztach sądowych w </w:t>
      </w:r>
      <w:r w:rsidRPr="00E24274">
        <w:rPr>
          <w:rFonts w:ascii="Times New Roman" w:hAnsi="Times New Roman"/>
          <w:sz w:val="24"/>
          <w:szCs w:val="24"/>
          <w:lang w:eastAsia="pl-PL"/>
        </w:rPr>
        <w:t>sprawach cywilnych</w:t>
      </w:r>
      <w:r w:rsidR="00E24274">
        <w:rPr>
          <w:rFonts w:ascii="Times New Roman" w:hAnsi="Times New Roman"/>
          <w:sz w:val="24"/>
          <w:szCs w:val="24"/>
          <w:lang w:eastAsia="pl-PL"/>
        </w:rPr>
        <w:t xml:space="preserve"> </w:t>
      </w:r>
      <w:r w:rsidRPr="00E24274">
        <w:rPr>
          <w:rFonts w:ascii="Times New Roman" w:hAnsi="Times New Roman"/>
          <w:sz w:val="24"/>
          <w:szCs w:val="24"/>
          <w:lang w:eastAsia="pl-PL"/>
        </w:rPr>
        <w:t>określa wysokość opłaty stałe</w:t>
      </w:r>
      <w:r w:rsidR="00591C91">
        <w:rPr>
          <w:rFonts w:ascii="Times New Roman" w:hAnsi="Times New Roman"/>
          <w:sz w:val="24"/>
          <w:szCs w:val="24"/>
          <w:lang w:eastAsia="pl-PL"/>
        </w:rPr>
        <w:t>j w kwocie 1000 zł od wniosku o </w:t>
      </w:r>
      <w:r w:rsidRPr="00E24274">
        <w:rPr>
          <w:rFonts w:ascii="Times New Roman" w:hAnsi="Times New Roman"/>
          <w:sz w:val="24"/>
          <w:szCs w:val="24"/>
          <w:lang w:eastAsia="pl-PL"/>
        </w:rPr>
        <w:t>zatwierdzenie tabeli wynagrodzeń za korzystanie z utworów i przedmiotów praw pokrewnych (ust. 1) oraz opłaty stałej w kwocie 100 zł pobieranej od odwołania od orzeczenia zespołu orzekającego Komisji w sprawie o wskazanie organizacji właściwej w rozumieniu art. 107 pr. aut.</w:t>
      </w:r>
    </w:p>
    <w:p w:rsidR="00D2655C" w:rsidRPr="00E24274" w:rsidRDefault="00D2655C" w:rsidP="00E24274">
      <w:pPr>
        <w:spacing w:before="120" w:after="0" w:line="360" w:lineRule="auto"/>
        <w:jc w:val="both"/>
        <w:rPr>
          <w:rFonts w:ascii="Times New Roman" w:hAnsi="Times New Roman"/>
          <w:sz w:val="24"/>
          <w:szCs w:val="24"/>
          <w:lang w:eastAsia="pl-PL"/>
        </w:rPr>
      </w:pPr>
      <w:r w:rsidRPr="00E24274">
        <w:rPr>
          <w:rFonts w:ascii="Times New Roman" w:hAnsi="Times New Roman"/>
          <w:sz w:val="24"/>
          <w:szCs w:val="24"/>
          <w:lang w:eastAsia="pl-PL"/>
        </w:rPr>
        <w:t>Z uwagi na projektowaną zmianę przepisów postępow</w:t>
      </w:r>
      <w:r w:rsidR="00591C91">
        <w:rPr>
          <w:rFonts w:ascii="Times New Roman" w:hAnsi="Times New Roman"/>
          <w:sz w:val="24"/>
          <w:szCs w:val="24"/>
          <w:lang w:eastAsia="pl-PL"/>
        </w:rPr>
        <w:t>ania przed Komisj</w:t>
      </w:r>
      <w:r w:rsidR="00CE6CDE">
        <w:rPr>
          <w:rFonts w:ascii="Times New Roman" w:hAnsi="Times New Roman"/>
          <w:sz w:val="24"/>
          <w:szCs w:val="24"/>
          <w:lang w:eastAsia="pl-PL"/>
        </w:rPr>
        <w:t>ą</w:t>
      </w:r>
      <w:r w:rsidR="00591C91">
        <w:rPr>
          <w:rFonts w:ascii="Times New Roman" w:hAnsi="Times New Roman"/>
          <w:sz w:val="24"/>
          <w:szCs w:val="24"/>
          <w:lang w:eastAsia="pl-PL"/>
        </w:rPr>
        <w:t xml:space="preserve"> w sprawach o </w:t>
      </w:r>
      <w:r w:rsidRPr="00E24274">
        <w:rPr>
          <w:rFonts w:ascii="Times New Roman" w:hAnsi="Times New Roman"/>
          <w:sz w:val="24"/>
          <w:szCs w:val="24"/>
          <w:lang w:eastAsia="pl-PL"/>
        </w:rPr>
        <w:t xml:space="preserve">zatwierdzenie tabel wynagrodzeń i uregulowanie jej w oparciu o zasady procedury administracyjnej (a więc bez możliwości składania wniosku o zatwierdzenie tabeli wynagrodzeń do sądu cywilnego), a także uchylenie art. 107 pr. aut, a tym samym zlikwidowanie postępowania o wskazanie organizacji właściwej, konieczne jest uchylenie w całości art. 67a ustawy o kosztach sądowych w sprawach cywilnych. </w:t>
      </w:r>
    </w:p>
    <w:p w:rsidR="00D2655C" w:rsidRPr="00E24274" w:rsidRDefault="00D2655C" w:rsidP="00E24274">
      <w:pPr>
        <w:spacing w:before="120" w:after="0" w:line="360" w:lineRule="auto"/>
        <w:jc w:val="both"/>
        <w:rPr>
          <w:rFonts w:ascii="Times New Roman" w:hAnsi="Times New Roman"/>
          <w:b/>
          <w:bCs/>
          <w:sz w:val="24"/>
          <w:szCs w:val="24"/>
          <w:lang w:eastAsia="pl-PL"/>
        </w:rPr>
      </w:pPr>
      <w:r w:rsidRPr="00E24274">
        <w:rPr>
          <w:rFonts w:ascii="Times New Roman" w:hAnsi="Times New Roman"/>
          <w:b/>
          <w:sz w:val="24"/>
          <w:szCs w:val="24"/>
          <w:lang w:eastAsia="pl-PL"/>
        </w:rPr>
        <w:t>art. 11</w:t>
      </w:r>
      <w:r w:rsidR="00482D44" w:rsidRPr="00E24274">
        <w:rPr>
          <w:rFonts w:ascii="Times New Roman" w:hAnsi="Times New Roman"/>
          <w:b/>
          <w:sz w:val="24"/>
          <w:szCs w:val="24"/>
          <w:lang w:eastAsia="pl-PL"/>
        </w:rPr>
        <w:t>9</w:t>
      </w:r>
    </w:p>
    <w:p w:rsidR="00D2655C" w:rsidRPr="00E24274" w:rsidRDefault="00D2655C" w:rsidP="00591C91">
      <w:pPr>
        <w:spacing w:after="0" w:line="360" w:lineRule="auto"/>
        <w:jc w:val="both"/>
        <w:rPr>
          <w:rFonts w:ascii="Times New Roman" w:hAnsi="Times New Roman"/>
          <w:bCs/>
          <w:sz w:val="24"/>
          <w:szCs w:val="24"/>
          <w:lang w:eastAsia="pl-PL"/>
        </w:rPr>
      </w:pPr>
      <w:r w:rsidRPr="00E24274">
        <w:rPr>
          <w:rFonts w:ascii="Times New Roman" w:hAnsi="Times New Roman"/>
          <w:bCs/>
          <w:sz w:val="24"/>
          <w:szCs w:val="24"/>
          <w:lang w:eastAsia="pl-PL"/>
        </w:rPr>
        <w:t>W art. 11</w:t>
      </w:r>
      <w:r w:rsidR="00885076" w:rsidRPr="00E24274">
        <w:rPr>
          <w:rFonts w:ascii="Times New Roman" w:hAnsi="Times New Roman"/>
          <w:bCs/>
          <w:sz w:val="24"/>
          <w:szCs w:val="24"/>
          <w:lang w:eastAsia="pl-PL"/>
        </w:rPr>
        <w:t>9</w:t>
      </w:r>
      <w:r w:rsidRPr="00E24274">
        <w:rPr>
          <w:rFonts w:ascii="Times New Roman" w:hAnsi="Times New Roman"/>
          <w:bCs/>
          <w:sz w:val="24"/>
          <w:szCs w:val="24"/>
          <w:lang w:eastAsia="pl-PL"/>
        </w:rPr>
        <w:t xml:space="preserve"> projektowanej ustawy przewiduje się zmianę ustawy z dnia 16 listopada 2006 r. o opłacie skarbowej</w:t>
      </w:r>
      <w:r w:rsidR="00E24274">
        <w:rPr>
          <w:rFonts w:ascii="Times New Roman" w:hAnsi="Times New Roman"/>
          <w:bCs/>
          <w:sz w:val="24"/>
          <w:szCs w:val="24"/>
          <w:lang w:eastAsia="pl-PL"/>
        </w:rPr>
        <w:t xml:space="preserve"> </w:t>
      </w:r>
      <w:r w:rsidRPr="00E24274">
        <w:rPr>
          <w:rFonts w:ascii="Times New Roman" w:hAnsi="Times New Roman"/>
          <w:bCs/>
          <w:sz w:val="24"/>
          <w:szCs w:val="24"/>
          <w:lang w:eastAsia="pl-PL"/>
        </w:rPr>
        <w:t>przez określenie nowej wys</w:t>
      </w:r>
      <w:r w:rsidR="00591C91">
        <w:rPr>
          <w:rFonts w:ascii="Times New Roman" w:hAnsi="Times New Roman"/>
          <w:bCs/>
          <w:sz w:val="24"/>
          <w:szCs w:val="24"/>
          <w:lang w:eastAsia="pl-PL"/>
        </w:rPr>
        <w:t>okości opłaty od decyzji o </w:t>
      </w:r>
      <w:r w:rsidRPr="00E24274">
        <w:rPr>
          <w:rFonts w:ascii="Times New Roman" w:hAnsi="Times New Roman"/>
          <w:bCs/>
          <w:sz w:val="24"/>
          <w:szCs w:val="24"/>
          <w:lang w:eastAsia="pl-PL"/>
        </w:rPr>
        <w:t xml:space="preserve">udzieleniu zezwolenia na wykonywanie zbiorowego zarządzania prawami autorskimi lub prawami pokrewnymi. W obowiązującym stanie prawnym opłata wynosi 82 zł jak dla wszystkich </w:t>
      </w:r>
      <w:r w:rsidR="00E24274">
        <w:rPr>
          <w:rFonts w:ascii="Times New Roman" w:hAnsi="Times New Roman"/>
          <w:bCs/>
          <w:sz w:val="24"/>
          <w:szCs w:val="24"/>
          <w:lang w:eastAsia="pl-PL"/>
        </w:rPr>
        <w:t>„</w:t>
      </w:r>
      <w:r w:rsidRPr="00E24274">
        <w:rPr>
          <w:rFonts w:ascii="Times New Roman" w:hAnsi="Times New Roman"/>
          <w:bCs/>
          <w:sz w:val="24"/>
          <w:szCs w:val="24"/>
          <w:lang w:eastAsia="pl-PL"/>
        </w:rPr>
        <w:t>pozostałych</w:t>
      </w:r>
      <w:r w:rsidR="00E24274">
        <w:rPr>
          <w:rFonts w:ascii="Times New Roman" w:hAnsi="Times New Roman"/>
          <w:bCs/>
          <w:sz w:val="24"/>
          <w:szCs w:val="24"/>
          <w:lang w:eastAsia="pl-PL"/>
        </w:rPr>
        <w:t>”</w:t>
      </w:r>
      <w:r w:rsidRPr="00E24274">
        <w:rPr>
          <w:rFonts w:ascii="Times New Roman" w:hAnsi="Times New Roman"/>
          <w:bCs/>
          <w:sz w:val="24"/>
          <w:szCs w:val="24"/>
          <w:lang w:eastAsia="pl-PL"/>
        </w:rPr>
        <w:t xml:space="preserve"> zezwoleń, tj. dla których ustawa nie określiła innej wysokości opłaty (załącznik do ww. ustawy cz. III ust.</w:t>
      </w:r>
      <w:r w:rsidR="00591C91">
        <w:rPr>
          <w:rFonts w:ascii="Times New Roman" w:hAnsi="Times New Roman"/>
          <w:bCs/>
          <w:sz w:val="24"/>
          <w:szCs w:val="24"/>
          <w:lang w:eastAsia="pl-PL"/>
        </w:rPr>
        <w:t xml:space="preserve"> 44 pkt 2). W załączniku do ww. </w:t>
      </w:r>
      <w:r w:rsidRPr="00E24274">
        <w:rPr>
          <w:rFonts w:ascii="Times New Roman" w:hAnsi="Times New Roman"/>
          <w:bCs/>
          <w:sz w:val="24"/>
          <w:szCs w:val="24"/>
          <w:lang w:eastAsia="pl-PL"/>
        </w:rPr>
        <w:t>ustawy w cz. III wprowadza się zatem nowy ust. 30a, zgodnie z którym opłata będzie wynosić 10 tys. zł. Tak znaczny wzrost opłaty jest zasadny, gdyż udzielenie zezwolenia na wykonywanie zbiorowego zarządzania prawami autorskimi lub prawami pokrewnymi stanowi w obrocie cywilnoprawnym ogromne wzmocnienie pozycji prawnej podmiotu, który takie zezwolenie uzyskuje.</w:t>
      </w:r>
      <w:r w:rsidR="000D70D7" w:rsidRPr="00E24274">
        <w:rPr>
          <w:rFonts w:ascii="Times New Roman" w:hAnsi="Times New Roman"/>
          <w:bCs/>
          <w:sz w:val="24"/>
          <w:szCs w:val="24"/>
          <w:lang w:eastAsia="pl-PL"/>
        </w:rPr>
        <w:t xml:space="preserve"> W toku postępowania o udzielenie zezwolenia konieczne jest zatem wszechstronne zbadanie kondycji finansowej </w:t>
      </w:r>
      <w:r w:rsidR="000D70D7" w:rsidRPr="00E24274">
        <w:rPr>
          <w:rFonts w:ascii="Times New Roman" w:hAnsi="Times New Roman"/>
          <w:bCs/>
          <w:sz w:val="24"/>
          <w:szCs w:val="24"/>
          <w:lang w:eastAsia="pl-PL"/>
        </w:rPr>
        <w:lastRenderedPageBreak/>
        <w:t>stowarzyszenia wnioskującego o zezwolenie, jego struktury administracyjnej oraz aktów prawa wewnętrznego odnoszących się do zbiorowego zarządzania, a także zamierzonego zakresu i sposobu wykonywania zbiorowego zarządzania. Zakres czynności dokonywanych w takim postępowaniu administracyjnym</w:t>
      </w:r>
      <w:r w:rsidR="00E24274">
        <w:rPr>
          <w:rFonts w:ascii="Times New Roman" w:hAnsi="Times New Roman"/>
          <w:bCs/>
          <w:sz w:val="24"/>
          <w:szCs w:val="24"/>
          <w:lang w:eastAsia="pl-PL"/>
        </w:rPr>
        <w:t xml:space="preserve"> </w:t>
      </w:r>
      <w:r w:rsidR="000D70D7" w:rsidRPr="00E24274">
        <w:rPr>
          <w:rFonts w:ascii="Times New Roman" w:hAnsi="Times New Roman"/>
          <w:bCs/>
          <w:sz w:val="24"/>
          <w:szCs w:val="24"/>
          <w:lang w:eastAsia="pl-PL"/>
        </w:rPr>
        <w:t>uzasadnia zwiększenie opłaty skarbowej. Nowa stawka jest zbliżona do wysokości opłat za udzielanie zezwoleń dla podmiotów sektora finansowego (banki, firmy ubezpieczeniowe).</w:t>
      </w:r>
      <w:r w:rsidRPr="00E24274">
        <w:rPr>
          <w:rFonts w:ascii="Times New Roman" w:hAnsi="Times New Roman"/>
          <w:bCs/>
          <w:sz w:val="24"/>
          <w:szCs w:val="24"/>
          <w:lang w:eastAsia="pl-PL"/>
        </w:rPr>
        <w:t xml:space="preserve"> Stosownie do zasady określonej w cz. III ust. 46 pkt 1 załącznika do ustawy zmiana zezwolenia polegająca na jego rozszer</w:t>
      </w:r>
      <w:r w:rsidR="00591C91">
        <w:rPr>
          <w:rFonts w:ascii="Times New Roman" w:hAnsi="Times New Roman"/>
          <w:bCs/>
          <w:sz w:val="24"/>
          <w:szCs w:val="24"/>
          <w:lang w:eastAsia="pl-PL"/>
        </w:rPr>
        <w:t>zeniu będzie podlegać opłacie w </w:t>
      </w:r>
      <w:r w:rsidRPr="00E24274">
        <w:rPr>
          <w:rFonts w:ascii="Times New Roman" w:hAnsi="Times New Roman"/>
          <w:bCs/>
          <w:sz w:val="24"/>
          <w:szCs w:val="24"/>
          <w:lang w:eastAsia="pl-PL"/>
        </w:rPr>
        <w:t>wysokości 50% stawki określonej od zezwolenia. Ograniczenie zakresu zezwolenia, podobnie jak w obowiązującym stanie prawnym, nie będzie podlegać opłacie.</w:t>
      </w:r>
    </w:p>
    <w:p w:rsidR="00D2655C" w:rsidRPr="00E24274" w:rsidRDefault="00D2655C" w:rsidP="00E24274">
      <w:pPr>
        <w:pStyle w:val="ROZDZODDZOZNoznaczenierozdziauluboddziau"/>
        <w:jc w:val="left"/>
        <w:rPr>
          <w:rFonts w:ascii="Times New Roman" w:hAnsi="Times New Roman" w:cs="Times New Roman"/>
          <w:b/>
        </w:rPr>
      </w:pPr>
      <w:r w:rsidRPr="00E24274">
        <w:rPr>
          <w:rFonts w:ascii="Times New Roman" w:hAnsi="Times New Roman" w:cs="Times New Roman"/>
          <w:b/>
        </w:rPr>
        <w:t>art. 1</w:t>
      </w:r>
      <w:r w:rsidR="00885076" w:rsidRPr="00E24274">
        <w:rPr>
          <w:rFonts w:ascii="Times New Roman" w:hAnsi="Times New Roman" w:cs="Times New Roman"/>
          <w:b/>
        </w:rPr>
        <w:t>20</w:t>
      </w:r>
    </w:p>
    <w:p w:rsidR="00D2655C" w:rsidRPr="00E24274" w:rsidRDefault="00D2655C" w:rsidP="00591C91">
      <w:pPr>
        <w:spacing w:after="0" w:line="360" w:lineRule="auto"/>
        <w:jc w:val="both"/>
        <w:rPr>
          <w:rFonts w:ascii="Times New Roman" w:hAnsi="Times New Roman"/>
          <w:sz w:val="24"/>
          <w:szCs w:val="24"/>
          <w:lang w:eastAsia="pl-PL"/>
        </w:rPr>
      </w:pPr>
      <w:r w:rsidRPr="00E24274">
        <w:rPr>
          <w:rFonts w:ascii="Times New Roman" w:hAnsi="Times New Roman"/>
          <w:sz w:val="24"/>
          <w:szCs w:val="24"/>
          <w:lang w:eastAsia="pl-PL"/>
        </w:rPr>
        <w:t xml:space="preserve">Zgodnie z projektowanym art. </w:t>
      </w:r>
      <w:r w:rsidR="00885076" w:rsidRPr="00E24274">
        <w:rPr>
          <w:rFonts w:ascii="Times New Roman" w:hAnsi="Times New Roman"/>
          <w:sz w:val="24"/>
          <w:szCs w:val="24"/>
          <w:lang w:eastAsia="pl-PL"/>
        </w:rPr>
        <w:t xml:space="preserve">120 </w:t>
      </w:r>
      <w:r w:rsidRPr="00E24274">
        <w:rPr>
          <w:rFonts w:ascii="Times New Roman" w:hAnsi="Times New Roman"/>
          <w:sz w:val="24"/>
          <w:szCs w:val="24"/>
          <w:lang w:eastAsia="pl-PL"/>
        </w:rPr>
        <w:t>postępowania administracyjne o udzielenie, zmianę lub cofnięcie zezwolenia na zbiorowe zarządzanie niezakończone przed dniem wejścia w życie projektowanej ustawy winny zostać umorzone z mocy prawa. Takie rozwiązanie jest niezbędne, z uwagi na zmianę systemu wydawania zezwoleń na zbiorowe zarządzanie prawami autorskimi oraz pokrewnymi przewidzianą w projekcie ustawy, która wiąże się m.in. z doprecyzowaniem kryteriów ich udzielania oraz zmiany (art. 7 ust</w:t>
      </w:r>
      <w:r w:rsidR="00CE6CDE">
        <w:rPr>
          <w:rFonts w:ascii="Times New Roman" w:hAnsi="Times New Roman"/>
          <w:sz w:val="24"/>
          <w:szCs w:val="24"/>
          <w:lang w:eastAsia="pl-PL"/>
        </w:rPr>
        <w:t>.</w:t>
      </w:r>
      <w:r w:rsidRPr="00E24274">
        <w:rPr>
          <w:rFonts w:ascii="Times New Roman" w:hAnsi="Times New Roman"/>
          <w:sz w:val="24"/>
          <w:szCs w:val="24"/>
          <w:lang w:eastAsia="pl-PL"/>
        </w:rPr>
        <w:t xml:space="preserve"> 1 projektu), obowiązków wn</w:t>
      </w:r>
      <w:r w:rsidR="00591C91">
        <w:rPr>
          <w:rFonts w:ascii="Times New Roman" w:hAnsi="Times New Roman"/>
          <w:sz w:val="24"/>
          <w:szCs w:val="24"/>
          <w:lang w:eastAsia="pl-PL"/>
        </w:rPr>
        <w:t>ioskodawców, którzy występują w </w:t>
      </w:r>
      <w:r w:rsidRPr="00E24274">
        <w:rPr>
          <w:rFonts w:ascii="Times New Roman" w:hAnsi="Times New Roman"/>
          <w:sz w:val="24"/>
          <w:szCs w:val="24"/>
          <w:lang w:eastAsia="pl-PL"/>
        </w:rPr>
        <w:t>postępowaniach o udzielenie lub zmianę zezwolenia (art. 6 ust. 2 i 3 projektu) czy też dookreśleniem okoliczności umożliwiających cofnięcie zezwolenia (art. 99 ust. 1 projektu)</w:t>
      </w:r>
      <w:r w:rsidR="00CD220C" w:rsidRPr="00E24274">
        <w:rPr>
          <w:rFonts w:ascii="Times New Roman" w:hAnsi="Times New Roman"/>
          <w:sz w:val="24"/>
          <w:szCs w:val="24"/>
          <w:lang w:eastAsia="pl-PL"/>
        </w:rPr>
        <w:t>.</w:t>
      </w:r>
      <w:r w:rsidRPr="00E24274">
        <w:rPr>
          <w:rFonts w:ascii="Times New Roman" w:hAnsi="Times New Roman"/>
          <w:sz w:val="24"/>
          <w:szCs w:val="24"/>
          <w:lang w:eastAsia="pl-PL"/>
        </w:rPr>
        <w:t xml:space="preserve"> Niektóre ze wspomnianych obow</w:t>
      </w:r>
      <w:r w:rsidR="00591C91">
        <w:rPr>
          <w:rFonts w:ascii="Times New Roman" w:hAnsi="Times New Roman"/>
          <w:sz w:val="24"/>
          <w:szCs w:val="24"/>
          <w:lang w:eastAsia="pl-PL"/>
        </w:rPr>
        <w:t>iązków wiążą się bezpośrednio z </w:t>
      </w:r>
      <w:r w:rsidRPr="00E24274">
        <w:rPr>
          <w:rFonts w:ascii="Times New Roman" w:hAnsi="Times New Roman"/>
          <w:sz w:val="24"/>
          <w:szCs w:val="24"/>
          <w:lang w:eastAsia="pl-PL"/>
        </w:rPr>
        <w:t>koniecznością dostosowania wewnętrznych zasad działania wnioskodawcy do nowych regulacji wynikających z projektu. Umorzenie postępowań dotyczących zezwoleń jest również związane z koniecznością dostosowania dotychczasowych zezwoleń na zbiorowe zarządzanie do działalności faktycznie wykonywanej przez organizacje zbiorowego zarządzania, którą przewiduje art.</w:t>
      </w:r>
      <w:r w:rsidR="00E24274">
        <w:rPr>
          <w:rFonts w:ascii="Times New Roman" w:hAnsi="Times New Roman"/>
          <w:sz w:val="24"/>
          <w:szCs w:val="24"/>
          <w:lang w:eastAsia="pl-PL"/>
        </w:rPr>
        <w:t xml:space="preserve"> </w:t>
      </w:r>
      <w:r w:rsidR="00A1515E" w:rsidRPr="00E24274">
        <w:rPr>
          <w:rFonts w:ascii="Times New Roman" w:hAnsi="Times New Roman"/>
          <w:sz w:val="24"/>
          <w:szCs w:val="24"/>
          <w:lang w:eastAsia="pl-PL"/>
        </w:rPr>
        <w:t xml:space="preserve">122 ust. 1 </w:t>
      </w:r>
      <w:r w:rsidRPr="00E24274">
        <w:rPr>
          <w:rFonts w:ascii="Times New Roman" w:hAnsi="Times New Roman"/>
          <w:sz w:val="24"/>
          <w:szCs w:val="24"/>
          <w:lang w:eastAsia="pl-PL"/>
        </w:rPr>
        <w:t>projektu. Procedurze tej powinny podlegać organizacj</w:t>
      </w:r>
      <w:r w:rsidR="00CE6CDE">
        <w:rPr>
          <w:rFonts w:ascii="Times New Roman" w:hAnsi="Times New Roman"/>
          <w:sz w:val="24"/>
          <w:szCs w:val="24"/>
          <w:lang w:eastAsia="pl-PL"/>
        </w:rPr>
        <w:t>e</w:t>
      </w:r>
      <w:r w:rsidRPr="00E24274">
        <w:rPr>
          <w:rFonts w:ascii="Times New Roman" w:hAnsi="Times New Roman"/>
          <w:sz w:val="24"/>
          <w:szCs w:val="24"/>
          <w:lang w:eastAsia="pl-PL"/>
        </w:rPr>
        <w:t xml:space="preserve"> działające na podstawie dotychczasowych przepisów przez </w:t>
      </w:r>
      <w:r w:rsidRPr="00E24274">
        <w:rPr>
          <w:rFonts w:ascii="Times New Roman" w:hAnsi="Times New Roman"/>
          <w:sz w:val="24"/>
          <w:szCs w:val="24"/>
        </w:rPr>
        <w:t>okres</w:t>
      </w:r>
      <w:r w:rsidRPr="00E24274">
        <w:rPr>
          <w:rFonts w:ascii="Times New Roman" w:hAnsi="Times New Roman"/>
          <w:sz w:val="24"/>
          <w:szCs w:val="24"/>
          <w:lang w:eastAsia="pl-PL"/>
        </w:rPr>
        <w:t>, który pozwala na ocenę ich działalności, a sama procedura powinna być przeprowadzona w jednolity sposób i równolegle wobec wszystkich organizacji, służąc zapewnieniu sprawnego funkcjonowania sys</w:t>
      </w:r>
      <w:r w:rsidR="00591C91">
        <w:rPr>
          <w:rFonts w:ascii="Times New Roman" w:hAnsi="Times New Roman"/>
          <w:sz w:val="24"/>
          <w:szCs w:val="24"/>
          <w:lang w:eastAsia="pl-PL"/>
        </w:rPr>
        <w:t>temu zbiorowego zarządzania w </w:t>
      </w:r>
      <w:r w:rsidRPr="00E24274">
        <w:rPr>
          <w:rFonts w:ascii="Times New Roman" w:hAnsi="Times New Roman"/>
          <w:sz w:val="24"/>
          <w:szCs w:val="24"/>
          <w:lang w:eastAsia="pl-PL"/>
        </w:rPr>
        <w:t>przejściowym wdrażani</w:t>
      </w:r>
      <w:r w:rsidR="00CE6CDE">
        <w:rPr>
          <w:rFonts w:ascii="Times New Roman" w:hAnsi="Times New Roman"/>
          <w:sz w:val="24"/>
          <w:szCs w:val="24"/>
          <w:lang w:eastAsia="pl-PL"/>
        </w:rPr>
        <w:t>u</w:t>
      </w:r>
      <w:r w:rsidRPr="00E24274">
        <w:rPr>
          <w:rFonts w:ascii="Times New Roman" w:hAnsi="Times New Roman"/>
          <w:sz w:val="24"/>
          <w:szCs w:val="24"/>
          <w:lang w:eastAsia="pl-PL"/>
        </w:rPr>
        <w:t xml:space="preserve"> nowych przepisów.</w:t>
      </w:r>
    </w:p>
    <w:p w:rsidR="00ED137A" w:rsidRPr="00E24274" w:rsidRDefault="00591C91" w:rsidP="00591C91">
      <w:pPr>
        <w:keepNext/>
        <w:spacing w:before="120" w:after="0" w:line="360" w:lineRule="auto"/>
        <w:jc w:val="both"/>
        <w:rPr>
          <w:rFonts w:ascii="Times New Roman" w:hAnsi="Times New Roman"/>
          <w:b/>
          <w:sz w:val="24"/>
          <w:szCs w:val="24"/>
          <w:lang w:eastAsia="pl-PL"/>
        </w:rPr>
      </w:pPr>
      <w:r>
        <w:rPr>
          <w:rFonts w:ascii="Times New Roman" w:hAnsi="Times New Roman"/>
          <w:b/>
          <w:sz w:val="24"/>
          <w:szCs w:val="24"/>
          <w:lang w:eastAsia="pl-PL"/>
        </w:rPr>
        <w:lastRenderedPageBreak/>
        <w:t>a</w:t>
      </w:r>
      <w:r w:rsidR="00ED137A" w:rsidRPr="00E24274">
        <w:rPr>
          <w:rFonts w:ascii="Times New Roman" w:hAnsi="Times New Roman"/>
          <w:b/>
          <w:sz w:val="24"/>
          <w:szCs w:val="24"/>
          <w:lang w:eastAsia="pl-PL"/>
        </w:rPr>
        <w:t>rt. 121</w:t>
      </w:r>
    </w:p>
    <w:p w:rsidR="00ED137A" w:rsidRPr="00E24274" w:rsidRDefault="00ED137A" w:rsidP="00591C91">
      <w:pPr>
        <w:keepNext/>
        <w:spacing w:after="0" w:line="360" w:lineRule="auto"/>
        <w:jc w:val="both"/>
        <w:rPr>
          <w:rFonts w:ascii="Times New Roman" w:hAnsi="Times New Roman"/>
          <w:sz w:val="24"/>
          <w:szCs w:val="24"/>
          <w:lang w:eastAsia="pl-PL"/>
        </w:rPr>
      </w:pPr>
      <w:r w:rsidRPr="00E24274">
        <w:rPr>
          <w:rFonts w:ascii="Times New Roman" w:hAnsi="Times New Roman"/>
          <w:sz w:val="24"/>
          <w:szCs w:val="24"/>
          <w:lang w:eastAsia="pl-PL"/>
        </w:rPr>
        <w:t xml:space="preserve">W związku z </w:t>
      </w:r>
      <w:r w:rsidR="00C836DB" w:rsidRPr="00E24274">
        <w:rPr>
          <w:rFonts w:ascii="Times New Roman" w:hAnsi="Times New Roman"/>
          <w:sz w:val="24"/>
          <w:szCs w:val="24"/>
          <w:lang w:eastAsia="pl-PL"/>
        </w:rPr>
        <w:t xml:space="preserve">przewidzianą w projekcie </w:t>
      </w:r>
      <w:r w:rsidRPr="00E24274">
        <w:rPr>
          <w:rFonts w:ascii="Times New Roman" w:hAnsi="Times New Roman"/>
          <w:sz w:val="24"/>
          <w:szCs w:val="24"/>
          <w:lang w:eastAsia="pl-PL"/>
        </w:rPr>
        <w:t xml:space="preserve">nową procedurą udzielania </w:t>
      </w:r>
      <w:r w:rsidR="00C836DB" w:rsidRPr="00E24274">
        <w:rPr>
          <w:rFonts w:ascii="Times New Roman" w:hAnsi="Times New Roman"/>
          <w:sz w:val="24"/>
          <w:szCs w:val="24"/>
          <w:lang w:eastAsia="pl-PL"/>
        </w:rPr>
        <w:t>zezwoleń</w:t>
      </w:r>
      <w:r w:rsidRPr="00E24274">
        <w:rPr>
          <w:rFonts w:ascii="Times New Roman" w:hAnsi="Times New Roman"/>
          <w:sz w:val="24"/>
          <w:szCs w:val="24"/>
          <w:lang w:eastAsia="pl-PL"/>
        </w:rPr>
        <w:t xml:space="preserve"> na zbiorowe </w:t>
      </w:r>
      <w:r w:rsidR="00C836DB" w:rsidRPr="00E24274">
        <w:rPr>
          <w:rFonts w:ascii="Times New Roman" w:hAnsi="Times New Roman"/>
          <w:sz w:val="24"/>
          <w:szCs w:val="24"/>
          <w:lang w:eastAsia="pl-PL"/>
        </w:rPr>
        <w:t>zarządzanie</w:t>
      </w:r>
      <w:r w:rsidRPr="00E24274">
        <w:rPr>
          <w:rFonts w:ascii="Times New Roman" w:hAnsi="Times New Roman"/>
          <w:sz w:val="24"/>
          <w:szCs w:val="24"/>
          <w:lang w:eastAsia="pl-PL"/>
        </w:rPr>
        <w:t xml:space="preserve"> prawami autorskimi i prawami pokrewnymi</w:t>
      </w:r>
      <w:r w:rsidR="00C836DB" w:rsidRPr="00E24274">
        <w:rPr>
          <w:rFonts w:ascii="Times New Roman" w:hAnsi="Times New Roman"/>
          <w:sz w:val="24"/>
          <w:szCs w:val="24"/>
          <w:lang w:eastAsia="pl-PL"/>
        </w:rPr>
        <w:t xml:space="preserve"> oraz nowym reżimem prawnym ich funkcjonowania przes</w:t>
      </w:r>
      <w:r w:rsidR="007E2EB0" w:rsidRPr="00E24274">
        <w:rPr>
          <w:rFonts w:ascii="Times New Roman" w:hAnsi="Times New Roman"/>
          <w:sz w:val="24"/>
          <w:szCs w:val="24"/>
          <w:lang w:eastAsia="pl-PL"/>
        </w:rPr>
        <w:t>ą</w:t>
      </w:r>
      <w:r w:rsidR="00C836DB" w:rsidRPr="00E24274">
        <w:rPr>
          <w:rFonts w:ascii="Times New Roman" w:hAnsi="Times New Roman"/>
          <w:sz w:val="24"/>
          <w:szCs w:val="24"/>
          <w:lang w:eastAsia="pl-PL"/>
        </w:rPr>
        <w:t xml:space="preserve">dza się </w:t>
      </w:r>
      <w:r w:rsidR="00C836DB" w:rsidRPr="00E24274">
        <w:rPr>
          <w:rFonts w:ascii="Times New Roman" w:hAnsi="Times New Roman"/>
          <w:i/>
          <w:sz w:val="24"/>
          <w:szCs w:val="24"/>
          <w:lang w:eastAsia="pl-PL"/>
        </w:rPr>
        <w:t>expressis verbis</w:t>
      </w:r>
      <w:r w:rsidR="00C836DB" w:rsidRPr="00E24274">
        <w:rPr>
          <w:rFonts w:ascii="Times New Roman" w:hAnsi="Times New Roman"/>
          <w:sz w:val="24"/>
          <w:szCs w:val="24"/>
          <w:lang w:eastAsia="pl-PL"/>
        </w:rPr>
        <w:t xml:space="preserve">, że zezwolenia dotychczas udzielone </w:t>
      </w:r>
      <w:r w:rsidR="009A7DF2" w:rsidRPr="00E24274">
        <w:rPr>
          <w:rFonts w:ascii="Times New Roman" w:hAnsi="Times New Roman"/>
          <w:sz w:val="24"/>
          <w:szCs w:val="24"/>
          <w:lang w:eastAsia="pl-PL"/>
        </w:rPr>
        <w:t>organizacjom zbiorowego zarządzania zachowują ważność, a tym samym organizacje te stają się organizacjami zbiorowego zarządzania prawami autorskimi i prawami pokrewnymi</w:t>
      </w:r>
      <w:r w:rsidR="007E2EB0" w:rsidRPr="00E24274">
        <w:rPr>
          <w:rFonts w:ascii="Times New Roman" w:hAnsi="Times New Roman"/>
          <w:sz w:val="24"/>
          <w:szCs w:val="24"/>
          <w:lang w:eastAsia="pl-PL"/>
        </w:rPr>
        <w:t xml:space="preserve"> w rozumieniu </w:t>
      </w:r>
      <w:r w:rsidR="00695A8F" w:rsidRPr="00E24274">
        <w:rPr>
          <w:rFonts w:ascii="Times New Roman" w:hAnsi="Times New Roman"/>
          <w:sz w:val="24"/>
          <w:szCs w:val="24"/>
          <w:lang w:eastAsia="pl-PL"/>
        </w:rPr>
        <w:t>projektowanej ustawy</w:t>
      </w:r>
      <w:r w:rsidR="007E2EB0" w:rsidRPr="00E24274">
        <w:rPr>
          <w:rFonts w:ascii="Times New Roman" w:hAnsi="Times New Roman"/>
          <w:sz w:val="24"/>
          <w:szCs w:val="24"/>
          <w:lang w:eastAsia="pl-PL"/>
        </w:rPr>
        <w:t>.</w:t>
      </w:r>
      <w:r w:rsidR="009A7DF2" w:rsidRPr="00E24274">
        <w:rPr>
          <w:rFonts w:ascii="Times New Roman" w:hAnsi="Times New Roman"/>
          <w:sz w:val="24"/>
          <w:szCs w:val="24"/>
          <w:lang w:eastAsia="pl-PL"/>
        </w:rPr>
        <w:t xml:space="preserve"> </w:t>
      </w:r>
    </w:p>
    <w:p w:rsidR="00D2655C" w:rsidRPr="00E24274" w:rsidRDefault="00D2655C" w:rsidP="00591C91">
      <w:pPr>
        <w:keepNext/>
        <w:spacing w:before="120" w:after="0" w:line="360" w:lineRule="auto"/>
        <w:jc w:val="both"/>
        <w:rPr>
          <w:rFonts w:ascii="Times New Roman" w:hAnsi="Times New Roman"/>
          <w:b/>
          <w:sz w:val="24"/>
          <w:szCs w:val="24"/>
          <w:lang w:eastAsia="pl-PL"/>
        </w:rPr>
      </w:pPr>
      <w:r w:rsidRPr="00E24274">
        <w:rPr>
          <w:rFonts w:ascii="Times New Roman" w:hAnsi="Times New Roman"/>
          <w:b/>
          <w:sz w:val="24"/>
          <w:szCs w:val="24"/>
          <w:lang w:eastAsia="pl-PL"/>
        </w:rPr>
        <w:t>art. 12</w:t>
      </w:r>
      <w:r w:rsidR="007E2EB0" w:rsidRPr="00E24274">
        <w:rPr>
          <w:rFonts w:ascii="Times New Roman" w:hAnsi="Times New Roman"/>
          <w:b/>
          <w:sz w:val="24"/>
          <w:szCs w:val="24"/>
          <w:lang w:eastAsia="pl-PL"/>
        </w:rPr>
        <w:t>2</w:t>
      </w:r>
    </w:p>
    <w:p w:rsidR="00D2655C" w:rsidRPr="00E24274" w:rsidRDefault="00D2655C" w:rsidP="00591C91">
      <w:pPr>
        <w:keepNext/>
        <w:spacing w:after="0" w:line="360" w:lineRule="auto"/>
        <w:jc w:val="both"/>
        <w:rPr>
          <w:rFonts w:ascii="Times New Roman" w:hAnsi="Times New Roman"/>
          <w:sz w:val="24"/>
          <w:szCs w:val="24"/>
          <w:lang w:eastAsia="pl-PL"/>
        </w:rPr>
      </w:pPr>
      <w:r w:rsidRPr="00E24274">
        <w:rPr>
          <w:rFonts w:ascii="Times New Roman" w:hAnsi="Times New Roman"/>
          <w:sz w:val="24"/>
          <w:szCs w:val="24"/>
          <w:lang w:eastAsia="pl-PL"/>
        </w:rPr>
        <w:t>1. Art. 12</w:t>
      </w:r>
      <w:r w:rsidR="007E2EB0" w:rsidRPr="00E24274">
        <w:rPr>
          <w:rFonts w:ascii="Times New Roman" w:hAnsi="Times New Roman"/>
          <w:sz w:val="24"/>
          <w:szCs w:val="24"/>
          <w:lang w:eastAsia="pl-PL"/>
        </w:rPr>
        <w:t>2</w:t>
      </w:r>
      <w:r w:rsidRPr="00E24274">
        <w:rPr>
          <w:rFonts w:ascii="Times New Roman" w:hAnsi="Times New Roman"/>
          <w:sz w:val="24"/>
          <w:szCs w:val="24"/>
          <w:lang w:eastAsia="pl-PL"/>
        </w:rPr>
        <w:t xml:space="preserve"> projektu reguluje kwestię procedury przeglądowej dotychczas istniejących zezwoleń na wykonywanie zbiorowego zarządzania wydanych przez ministra </w:t>
      </w:r>
      <w:r w:rsidRPr="00E24274">
        <w:rPr>
          <w:rFonts w:ascii="Times New Roman" w:hAnsi="Times New Roman"/>
          <w:sz w:val="24"/>
          <w:szCs w:val="24"/>
        </w:rPr>
        <w:t>właściwego ds. kultury i dziedzictwa narodowego</w:t>
      </w:r>
      <w:r w:rsidRPr="00E24274">
        <w:rPr>
          <w:rFonts w:ascii="Times New Roman" w:hAnsi="Times New Roman"/>
          <w:sz w:val="24"/>
          <w:szCs w:val="24"/>
          <w:lang w:eastAsia="pl-PL"/>
        </w:rPr>
        <w:t xml:space="preserve"> w przeważającej części w połowie lat 90. XX wieku. Kształt obecnie funkcjonujących w obiegu prawnym zezwoleń spotyka się od dawna z uzasadnioną krytyką przedstawicieli doktryny prawa autorskiego. Krytyka ta wskazuje na niedostosowanie niektórych zezwoleń do zakresu działalności od wielu lat faktycznie wykonywanej przez część organ</w:t>
      </w:r>
      <w:r w:rsidR="00591C91">
        <w:rPr>
          <w:rFonts w:ascii="Times New Roman" w:hAnsi="Times New Roman"/>
          <w:sz w:val="24"/>
          <w:szCs w:val="24"/>
          <w:lang w:eastAsia="pl-PL"/>
        </w:rPr>
        <w:t>izacji, ukształtowanie części z </w:t>
      </w:r>
      <w:r w:rsidRPr="00E24274">
        <w:rPr>
          <w:rFonts w:ascii="Times New Roman" w:hAnsi="Times New Roman"/>
          <w:sz w:val="24"/>
          <w:szCs w:val="24"/>
          <w:lang w:eastAsia="pl-PL"/>
        </w:rPr>
        <w:t>zawartych w zezwoleniach uprawnień w oderwaniu od realnych możliwości zbiorowego zarządzania określonymi typami utworów lub przedmiotów praw pokrewnych oraz brak spójności terminologicznej między modyfikowanymi w różnym czasie zezwoleniami różnych organizacji zbiorowego zarządzania, co powoduje liczne problemy interpretacyjne. Powyższy problem prowadzi w praktyce m.in. do składania przez organizacje zbiorowego zarządzania</w:t>
      </w:r>
      <w:r w:rsidR="00CE6CDE">
        <w:rPr>
          <w:rFonts w:ascii="Times New Roman" w:hAnsi="Times New Roman"/>
          <w:sz w:val="24"/>
          <w:szCs w:val="24"/>
          <w:lang w:eastAsia="pl-PL"/>
        </w:rPr>
        <w:t>,</w:t>
      </w:r>
      <w:r w:rsidRPr="00E24274">
        <w:rPr>
          <w:rFonts w:ascii="Times New Roman" w:hAnsi="Times New Roman"/>
          <w:sz w:val="24"/>
          <w:szCs w:val="24"/>
          <w:lang w:eastAsia="pl-PL"/>
        </w:rPr>
        <w:t xml:space="preserve"> w trybie art. 113 ust. 2 Kodeksu postępowania administracyjnego</w:t>
      </w:r>
      <w:r w:rsidR="00CE6CDE">
        <w:rPr>
          <w:rFonts w:ascii="Times New Roman" w:hAnsi="Times New Roman"/>
          <w:sz w:val="24"/>
          <w:szCs w:val="24"/>
          <w:lang w:eastAsia="pl-PL"/>
        </w:rPr>
        <w:t>,</w:t>
      </w:r>
      <w:r w:rsidRPr="00E24274">
        <w:rPr>
          <w:rFonts w:ascii="Times New Roman" w:hAnsi="Times New Roman"/>
          <w:sz w:val="24"/>
          <w:szCs w:val="24"/>
          <w:lang w:eastAsia="pl-PL"/>
        </w:rPr>
        <w:t xml:space="preserve"> wniosków o wyjaśnienie wątpliwości co do treści ich zezwoleń. Taki stan rzeczy jest trudny do zaakceptowania ze względu na to, że zezwolenie określa zakres dozwolonej aktywności organi</w:t>
      </w:r>
      <w:r w:rsidR="00842AED">
        <w:rPr>
          <w:rFonts w:ascii="Times New Roman" w:hAnsi="Times New Roman"/>
          <w:sz w:val="24"/>
          <w:szCs w:val="24"/>
          <w:lang w:eastAsia="pl-PL"/>
        </w:rPr>
        <w:t>zacji i przesądza – w myśl art. </w:t>
      </w:r>
      <w:r w:rsidRPr="00E24274">
        <w:rPr>
          <w:rFonts w:ascii="Times New Roman" w:hAnsi="Times New Roman"/>
          <w:sz w:val="24"/>
          <w:szCs w:val="24"/>
          <w:lang w:eastAsia="pl-PL"/>
        </w:rPr>
        <w:t xml:space="preserve">15 ust. </w:t>
      </w:r>
      <w:r w:rsidR="00566C23" w:rsidRPr="00E24274">
        <w:rPr>
          <w:rFonts w:ascii="Times New Roman" w:hAnsi="Times New Roman"/>
          <w:sz w:val="24"/>
          <w:szCs w:val="24"/>
          <w:lang w:eastAsia="pl-PL"/>
        </w:rPr>
        <w:t xml:space="preserve">3 </w:t>
      </w:r>
      <w:r w:rsidRPr="00E24274">
        <w:rPr>
          <w:rFonts w:ascii="Times New Roman" w:hAnsi="Times New Roman"/>
          <w:sz w:val="24"/>
          <w:szCs w:val="24"/>
          <w:lang w:eastAsia="pl-PL"/>
        </w:rPr>
        <w:t xml:space="preserve">projektu – o kręgu uprawnionych do decydowania o </w:t>
      </w:r>
      <w:r w:rsidR="00566C23" w:rsidRPr="00E24274">
        <w:rPr>
          <w:rFonts w:ascii="Times New Roman" w:hAnsi="Times New Roman"/>
          <w:sz w:val="24"/>
          <w:szCs w:val="24"/>
          <w:lang w:eastAsia="pl-PL"/>
        </w:rPr>
        <w:t>zasadniczych kwestiach dotyczących zbiorowego zarządzania (</w:t>
      </w:r>
      <w:r w:rsidR="00715CF7" w:rsidRPr="00E24274">
        <w:rPr>
          <w:rFonts w:ascii="Times New Roman" w:hAnsi="Times New Roman"/>
          <w:sz w:val="24"/>
          <w:szCs w:val="24"/>
          <w:lang w:eastAsia="pl-PL"/>
        </w:rPr>
        <w:t>regulamin repartycji, regulamin inwestycyjny, zasady dokonywania potrąceń na działalność o charakt</w:t>
      </w:r>
      <w:r w:rsidR="00071B32" w:rsidRPr="00E24274">
        <w:rPr>
          <w:rFonts w:ascii="Times New Roman" w:hAnsi="Times New Roman"/>
          <w:sz w:val="24"/>
          <w:szCs w:val="24"/>
          <w:lang w:eastAsia="pl-PL"/>
        </w:rPr>
        <w:t>e</w:t>
      </w:r>
      <w:r w:rsidR="00715CF7" w:rsidRPr="00E24274">
        <w:rPr>
          <w:rFonts w:ascii="Times New Roman" w:hAnsi="Times New Roman"/>
          <w:sz w:val="24"/>
          <w:szCs w:val="24"/>
          <w:lang w:eastAsia="pl-PL"/>
        </w:rPr>
        <w:t>rze socjalnym,</w:t>
      </w:r>
      <w:r w:rsidR="00591C91">
        <w:rPr>
          <w:rFonts w:ascii="Times New Roman" w:hAnsi="Times New Roman"/>
          <w:sz w:val="24"/>
          <w:szCs w:val="24"/>
          <w:lang w:eastAsia="pl-PL"/>
        </w:rPr>
        <w:t xml:space="preserve"> kulturalnym i </w:t>
      </w:r>
      <w:r w:rsidR="00715CF7" w:rsidRPr="00E24274">
        <w:rPr>
          <w:rFonts w:ascii="Times New Roman" w:hAnsi="Times New Roman"/>
          <w:sz w:val="24"/>
          <w:szCs w:val="24"/>
          <w:lang w:eastAsia="pl-PL"/>
        </w:rPr>
        <w:t>edukacyjnym oraz</w:t>
      </w:r>
      <w:r w:rsidR="00071B32" w:rsidRPr="00E24274">
        <w:rPr>
          <w:rFonts w:ascii="Times New Roman" w:hAnsi="Times New Roman"/>
          <w:sz w:val="24"/>
          <w:szCs w:val="24"/>
          <w:lang w:eastAsia="pl-PL"/>
        </w:rPr>
        <w:t xml:space="preserve"> zasady prowadzenia tej działalności).</w:t>
      </w:r>
      <w:r w:rsidR="00E24274">
        <w:rPr>
          <w:rFonts w:ascii="Times New Roman" w:hAnsi="Times New Roman"/>
          <w:sz w:val="24"/>
          <w:szCs w:val="24"/>
          <w:lang w:eastAsia="pl-PL"/>
        </w:rPr>
        <w:t xml:space="preserve"> </w:t>
      </w:r>
      <w:r w:rsidRPr="00E24274">
        <w:rPr>
          <w:rFonts w:ascii="Times New Roman" w:hAnsi="Times New Roman"/>
          <w:sz w:val="24"/>
          <w:szCs w:val="24"/>
          <w:lang w:eastAsia="pl-PL"/>
        </w:rPr>
        <w:t>Dodatkowo zezwolenie ma charakter informacyjny dla uprawnionych i użytkowników, określając czy dane prawa mogą być przedmiotem umowy o zbiorowe zarządz</w:t>
      </w:r>
      <w:r w:rsidR="00591C91">
        <w:rPr>
          <w:rFonts w:ascii="Times New Roman" w:hAnsi="Times New Roman"/>
          <w:sz w:val="24"/>
          <w:szCs w:val="24"/>
          <w:lang w:eastAsia="pl-PL"/>
        </w:rPr>
        <w:t>anie z konkretną organizacją, a </w:t>
      </w:r>
      <w:r w:rsidRPr="00E24274">
        <w:rPr>
          <w:rFonts w:ascii="Times New Roman" w:hAnsi="Times New Roman"/>
          <w:sz w:val="24"/>
          <w:szCs w:val="24"/>
          <w:lang w:eastAsia="pl-PL"/>
        </w:rPr>
        <w:t xml:space="preserve">także czy i w jakim zakresie jest ona uprawniona do udzielania licencji na konkretne typy utworów lub przedmiotów praw pokrewnych. Konieczność zapewnienia pewności prawnej, prawidłowego funkcjonowania polskiego systemu zbiorowego </w:t>
      </w:r>
      <w:r w:rsidRPr="00E24274">
        <w:rPr>
          <w:rFonts w:ascii="Times New Roman" w:hAnsi="Times New Roman"/>
          <w:sz w:val="24"/>
          <w:szCs w:val="24"/>
          <w:lang w:eastAsia="pl-PL"/>
        </w:rPr>
        <w:lastRenderedPageBreak/>
        <w:t xml:space="preserve">zarządzania oraz skutecznego wdrożenia dyrektywy CRM w praktyce wymaga więc uporządkowania kwestii zezwoleń na zbiorowe zarządzanie posiadanych przez organizacje. </w:t>
      </w:r>
    </w:p>
    <w:p w:rsidR="00D2655C" w:rsidRPr="00E24274" w:rsidRDefault="00D2655C" w:rsidP="00E24274">
      <w:pPr>
        <w:spacing w:before="120" w:after="0" w:line="360" w:lineRule="auto"/>
        <w:jc w:val="both"/>
        <w:rPr>
          <w:rFonts w:ascii="Times New Roman" w:hAnsi="Times New Roman"/>
          <w:sz w:val="24"/>
          <w:szCs w:val="24"/>
          <w:lang w:eastAsia="pl-PL"/>
        </w:rPr>
      </w:pPr>
      <w:r w:rsidRPr="00E24274">
        <w:rPr>
          <w:rFonts w:ascii="Times New Roman" w:hAnsi="Times New Roman"/>
          <w:sz w:val="24"/>
          <w:szCs w:val="24"/>
          <w:lang w:eastAsia="pl-PL"/>
        </w:rPr>
        <w:t xml:space="preserve">2. Art. </w:t>
      </w:r>
      <w:r w:rsidR="00071B32" w:rsidRPr="00E24274">
        <w:rPr>
          <w:rFonts w:ascii="Times New Roman" w:hAnsi="Times New Roman"/>
          <w:sz w:val="24"/>
          <w:szCs w:val="24"/>
          <w:lang w:eastAsia="pl-PL"/>
        </w:rPr>
        <w:t xml:space="preserve">122 </w:t>
      </w:r>
      <w:r w:rsidRPr="00E24274">
        <w:rPr>
          <w:rFonts w:ascii="Times New Roman" w:hAnsi="Times New Roman"/>
          <w:sz w:val="24"/>
          <w:szCs w:val="24"/>
          <w:lang w:eastAsia="pl-PL"/>
        </w:rPr>
        <w:t xml:space="preserve">ust. 1 projektu stwarza podstawę prawną dla ministra właściwego ds. kultury i dziedzictwa narodowego do dokonania przeglądu i </w:t>
      </w:r>
      <w:r w:rsidR="00591C91">
        <w:rPr>
          <w:rFonts w:ascii="Times New Roman" w:hAnsi="Times New Roman"/>
          <w:sz w:val="24"/>
          <w:szCs w:val="24"/>
          <w:lang w:eastAsia="pl-PL"/>
        </w:rPr>
        <w:t>wszczęcia z urzędu w terminie 6 </w:t>
      </w:r>
      <w:r w:rsidRPr="00E24274">
        <w:rPr>
          <w:rFonts w:ascii="Times New Roman" w:hAnsi="Times New Roman"/>
          <w:sz w:val="24"/>
          <w:szCs w:val="24"/>
          <w:lang w:eastAsia="pl-PL"/>
        </w:rPr>
        <w:t xml:space="preserve">miesięcy od </w:t>
      </w:r>
      <w:r w:rsidR="00CE6CDE">
        <w:rPr>
          <w:rFonts w:ascii="Times New Roman" w:hAnsi="Times New Roman"/>
          <w:sz w:val="24"/>
          <w:szCs w:val="24"/>
          <w:lang w:eastAsia="pl-PL"/>
        </w:rPr>
        <w:t xml:space="preserve">dnia </w:t>
      </w:r>
      <w:r w:rsidRPr="00E24274">
        <w:rPr>
          <w:rFonts w:ascii="Times New Roman" w:hAnsi="Times New Roman"/>
          <w:sz w:val="24"/>
          <w:szCs w:val="24"/>
          <w:lang w:eastAsia="pl-PL"/>
        </w:rPr>
        <w:t xml:space="preserve">wejścia w życie ustawy postępowania w przedmiocie </w:t>
      </w:r>
      <w:r w:rsidR="00E13F39" w:rsidRPr="00E24274">
        <w:rPr>
          <w:rFonts w:ascii="Times New Roman" w:hAnsi="Times New Roman"/>
          <w:sz w:val="24"/>
          <w:szCs w:val="24"/>
          <w:lang w:eastAsia="pl-PL"/>
        </w:rPr>
        <w:t xml:space="preserve">cofnięcia lub </w:t>
      </w:r>
      <w:r w:rsidRPr="00E24274">
        <w:rPr>
          <w:rFonts w:ascii="Times New Roman" w:hAnsi="Times New Roman"/>
          <w:sz w:val="24"/>
          <w:szCs w:val="24"/>
          <w:lang w:eastAsia="pl-PL"/>
        </w:rPr>
        <w:t xml:space="preserve">zmiany dotychczasowego zezwolenia organizacji. Przepis w sposób jednoznaczny przesądza, jaki będzie </w:t>
      </w:r>
      <w:r w:rsidR="006C56F0" w:rsidRPr="00E24274">
        <w:rPr>
          <w:rFonts w:ascii="Times New Roman" w:hAnsi="Times New Roman"/>
          <w:sz w:val="24"/>
          <w:szCs w:val="24"/>
          <w:lang w:eastAsia="pl-PL"/>
        </w:rPr>
        <w:t xml:space="preserve">możliwy </w:t>
      </w:r>
      <w:r w:rsidRPr="00E24274">
        <w:rPr>
          <w:rFonts w:ascii="Times New Roman" w:hAnsi="Times New Roman"/>
          <w:sz w:val="24"/>
          <w:szCs w:val="24"/>
          <w:lang w:eastAsia="pl-PL"/>
        </w:rPr>
        <w:t>zakres</w:t>
      </w:r>
      <w:r w:rsidR="00E24274">
        <w:rPr>
          <w:rFonts w:ascii="Times New Roman" w:hAnsi="Times New Roman"/>
          <w:sz w:val="24"/>
          <w:szCs w:val="24"/>
          <w:lang w:eastAsia="pl-PL"/>
        </w:rPr>
        <w:t xml:space="preserve"> </w:t>
      </w:r>
      <w:r w:rsidR="00E13F39" w:rsidRPr="00E24274">
        <w:rPr>
          <w:rFonts w:ascii="Times New Roman" w:hAnsi="Times New Roman"/>
          <w:sz w:val="24"/>
          <w:szCs w:val="24"/>
          <w:lang w:eastAsia="pl-PL"/>
        </w:rPr>
        <w:t>cofnięcia lub zmiany</w:t>
      </w:r>
      <w:r w:rsidRPr="00E24274">
        <w:rPr>
          <w:rFonts w:ascii="Times New Roman" w:hAnsi="Times New Roman"/>
          <w:sz w:val="24"/>
          <w:szCs w:val="24"/>
          <w:lang w:eastAsia="pl-PL"/>
        </w:rPr>
        <w:t xml:space="preserve"> dotychczas udzielonych zezwoleń.</w:t>
      </w:r>
      <w:r w:rsidR="00071B32" w:rsidRPr="00E24274">
        <w:rPr>
          <w:rFonts w:ascii="Times New Roman" w:hAnsi="Times New Roman"/>
          <w:sz w:val="24"/>
          <w:szCs w:val="24"/>
          <w:lang w:eastAsia="pl-PL"/>
        </w:rPr>
        <w:t xml:space="preserve"> </w:t>
      </w:r>
      <w:r w:rsidRPr="00E24274">
        <w:rPr>
          <w:rFonts w:ascii="Times New Roman" w:hAnsi="Times New Roman"/>
          <w:sz w:val="24"/>
          <w:szCs w:val="24"/>
          <w:lang w:eastAsia="pl-PL"/>
        </w:rPr>
        <w:t>Postępowanie prowadzone na podstawie ust. 1 może skutkować wyłącznie:</w:t>
      </w:r>
    </w:p>
    <w:p w:rsidR="00D2655C" w:rsidRPr="00E24274" w:rsidRDefault="006C56F0" w:rsidP="00591C91">
      <w:pPr>
        <w:pStyle w:val="Akapitzlist"/>
        <w:numPr>
          <w:ilvl w:val="0"/>
          <w:numId w:val="44"/>
        </w:numPr>
        <w:spacing w:before="120" w:after="0" w:line="360" w:lineRule="auto"/>
        <w:ind w:left="322" w:hanging="308"/>
        <w:jc w:val="both"/>
        <w:rPr>
          <w:rFonts w:ascii="Times New Roman" w:hAnsi="Times New Roman"/>
          <w:sz w:val="24"/>
          <w:szCs w:val="24"/>
          <w:lang w:eastAsia="pl-PL"/>
        </w:rPr>
      </w:pPr>
      <w:r w:rsidRPr="00E24274">
        <w:rPr>
          <w:rFonts w:ascii="Times New Roman" w:hAnsi="Times New Roman"/>
          <w:sz w:val="24"/>
          <w:szCs w:val="24"/>
          <w:lang w:eastAsia="pl-PL"/>
        </w:rPr>
        <w:t xml:space="preserve">cofnięciem </w:t>
      </w:r>
      <w:r w:rsidR="00D2655C" w:rsidRPr="00E24274">
        <w:rPr>
          <w:rFonts w:ascii="Times New Roman" w:hAnsi="Times New Roman"/>
          <w:sz w:val="24"/>
          <w:szCs w:val="24"/>
          <w:lang w:eastAsia="pl-PL"/>
        </w:rPr>
        <w:t>dotychczasowego zezwolenia organizacji w zakresie, w jakim organizacja</w:t>
      </w:r>
      <w:r w:rsidR="00D2655C" w:rsidRPr="00E24274">
        <w:rPr>
          <w:rFonts w:ascii="Times New Roman" w:eastAsiaTheme="minorEastAsia" w:hAnsi="Times New Roman"/>
          <w:sz w:val="24"/>
          <w:szCs w:val="24"/>
          <w:lang w:eastAsia="pl-PL"/>
        </w:rPr>
        <w:t xml:space="preserve"> </w:t>
      </w:r>
      <w:r w:rsidR="00D2655C" w:rsidRPr="00E24274">
        <w:rPr>
          <w:rFonts w:ascii="Times New Roman" w:hAnsi="Times New Roman"/>
          <w:sz w:val="24"/>
          <w:szCs w:val="24"/>
          <w:lang w:eastAsia="pl-PL"/>
        </w:rPr>
        <w:t>w toku dotychczasowej działalności na danym polu eksploatacji nie podjęła zbiorowego zarządzania lub wykonywała je w niewielkiej skali (ust. 1 pkt 1 lit. a);</w:t>
      </w:r>
    </w:p>
    <w:p w:rsidR="00D2655C" w:rsidRPr="00E24274" w:rsidRDefault="006C56F0" w:rsidP="00591C91">
      <w:pPr>
        <w:pStyle w:val="Akapitzlist"/>
        <w:numPr>
          <w:ilvl w:val="0"/>
          <w:numId w:val="44"/>
        </w:numPr>
        <w:spacing w:before="120" w:after="0" w:line="360" w:lineRule="auto"/>
        <w:ind w:left="322" w:hanging="308"/>
        <w:jc w:val="both"/>
        <w:rPr>
          <w:rFonts w:ascii="Times New Roman" w:hAnsi="Times New Roman"/>
          <w:bCs/>
          <w:sz w:val="24"/>
          <w:szCs w:val="24"/>
          <w:lang w:eastAsia="pl-PL"/>
        </w:rPr>
      </w:pPr>
      <w:r w:rsidRPr="00E24274">
        <w:rPr>
          <w:rFonts w:ascii="Times New Roman" w:hAnsi="Times New Roman"/>
          <w:sz w:val="24"/>
          <w:szCs w:val="24"/>
          <w:lang w:eastAsia="pl-PL"/>
        </w:rPr>
        <w:t xml:space="preserve">cofnięciem </w:t>
      </w:r>
      <w:r w:rsidR="00D2655C" w:rsidRPr="00E24274">
        <w:rPr>
          <w:rFonts w:ascii="Times New Roman" w:hAnsi="Times New Roman"/>
          <w:sz w:val="24"/>
          <w:szCs w:val="24"/>
          <w:lang w:eastAsia="pl-PL"/>
        </w:rPr>
        <w:t xml:space="preserve">dotychczasowego zezwolenia w zakresie, w </w:t>
      </w:r>
      <w:r w:rsidR="00D2655C" w:rsidRPr="00E24274">
        <w:rPr>
          <w:rFonts w:ascii="Times New Roman" w:hAnsi="Times New Roman"/>
          <w:bCs/>
          <w:sz w:val="24"/>
          <w:szCs w:val="24"/>
          <w:lang w:eastAsia="pl-PL"/>
        </w:rPr>
        <w:t xml:space="preserve">jakim w odniesieniu do </w:t>
      </w:r>
      <w:r w:rsidR="00934846" w:rsidRPr="00E24274">
        <w:rPr>
          <w:rFonts w:ascii="Times New Roman" w:hAnsi="Times New Roman"/>
          <w:bCs/>
          <w:sz w:val="24"/>
          <w:szCs w:val="24"/>
          <w:lang w:eastAsia="pl-PL"/>
        </w:rPr>
        <w:t>określonego rodzaju</w:t>
      </w:r>
      <w:r w:rsidR="00D2655C" w:rsidRPr="00E24274">
        <w:rPr>
          <w:rFonts w:ascii="Times New Roman" w:hAnsi="Times New Roman"/>
          <w:bCs/>
          <w:sz w:val="24"/>
          <w:szCs w:val="24"/>
          <w:lang w:eastAsia="pl-PL"/>
        </w:rPr>
        <w:t xml:space="preserve"> utworów lub przedmiotów praw pokrewnych nie istnieje potrzeba zbiorowego zarządzania prawami na danym polu eksploatacji (ust. 1 pkt 1 lit. b);</w:t>
      </w:r>
    </w:p>
    <w:p w:rsidR="00D2655C" w:rsidRPr="00E24274" w:rsidRDefault="00D2655C" w:rsidP="00591C91">
      <w:pPr>
        <w:pStyle w:val="Akapitzlist"/>
        <w:numPr>
          <w:ilvl w:val="0"/>
          <w:numId w:val="44"/>
        </w:numPr>
        <w:spacing w:before="120" w:after="0" w:line="360" w:lineRule="auto"/>
        <w:ind w:left="322" w:hanging="308"/>
        <w:jc w:val="both"/>
        <w:rPr>
          <w:rFonts w:ascii="Times New Roman" w:hAnsi="Times New Roman"/>
          <w:sz w:val="24"/>
          <w:szCs w:val="24"/>
          <w:lang w:eastAsia="pl-PL"/>
        </w:rPr>
      </w:pPr>
      <w:r w:rsidRPr="00E24274">
        <w:rPr>
          <w:rFonts w:ascii="Times New Roman" w:hAnsi="Times New Roman"/>
          <w:sz w:val="24"/>
          <w:szCs w:val="24"/>
          <w:lang w:eastAsia="pl-PL"/>
        </w:rPr>
        <w:t>zmianą dotychczas udzielonego zezwolenia w zakresie, w jakim konieczne jest jego dostosowanie do nazw pól eksploatacji, biorąc pod uwagę art. 50 ustawy o pr. aut. (ust. 1 pkt 2).</w:t>
      </w:r>
    </w:p>
    <w:p w:rsidR="00D2655C" w:rsidRPr="00E24274" w:rsidRDefault="00D2655C" w:rsidP="00E24274">
      <w:pPr>
        <w:spacing w:before="120" w:after="0" w:line="360" w:lineRule="auto"/>
        <w:jc w:val="both"/>
        <w:rPr>
          <w:rFonts w:ascii="Times New Roman" w:hAnsi="Times New Roman"/>
          <w:bCs/>
          <w:sz w:val="24"/>
          <w:szCs w:val="24"/>
          <w:lang w:eastAsia="pl-PL"/>
        </w:rPr>
      </w:pPr>
      <w:r w:rsidRPr="00E24274">
        <w:rPr>
          <w:rFonts w:ascii="Times New Roman" w:hAnsi="Times New Roman"/>
          <w:bCs/>
          <w:sz w:val="24"/>
          <w:szCs w:val="24"/>
          <w:lang w:eastAsia="pl-PL"/>
        </w:rPr>
        <w:t xml:space="preserve">Przepis ten opiera się na kryteriach, które są możliwe do zweryfikowania w drodze postepowania dowodowego w toku procedury przeglądowej. Pierwsze z nich odwołuje się do sytuacji, w której organizacja w ogóle nie podjęła zbiorowego zarządzania daną kategorią dóbr lub na danym polu eksploatacji w toku dotychczasowej </w:t>
      </w:r>
      <w:r w:rsidR="00CE6CDE">
        <w:rPr>
          <w:rFonts w:ascii="Times New Roman" w:hAnsi="Times New Roman"/>
          <w:bCs/>
          <w:sz w:val="24"/>
          <w:szCs w:val="24"/>
          <w:lang w:eastAsia="pl-PL"/>
        </w:rPr>
        <w:t xml:space="preserve">działalności </w:t>
      </w:r>
      <w:r w:rsidRPr="00E24274">
        <w:rPr>
          <w:rFonts w:ascii="Times New Roman" w:hAnsi="Times New Roman"/>
          <w:bCs/>
          <w:sz w:val="24"/>
          <w:szCs w:val="24"/>
          <w:lang w:eastAsia="pl-PL"/>
        </w:rPr>
        <w:t>(trwającej przynajmniej kilka, a najczęściej ponad 20 lat) lub działalność taka była prowadzona w tym czasie na niewielką skalę. Ta ostatnia okoliczność będzie musiała być zweryfikowana przez organ nadzoru w toku p</w:t>
      </w:r>
      <w:r w:rsidR="00591C91">
        <w:rPr>
          <w:rFonts w:ascii="Times New Roman" w:hAnsi="Times New Roman"/>
          <w:bCs/>
          <w:sz w:val="24"/>
          <w:szCs w:val="24"/>
          <w:lang w:eastAsia="pl-PL"/>
        </w:rPr>
        <w:t>ostępowania administracyjnego w </w:t>
      </w:r>
      <w:r w:rsidRPr="00E24274">
        <w:rPr>
          <w:rFonts w:ascii="Times New Roman" w:hAnsi="Times New Roman"/>
          <w:bCs/>
          <w:sz w:val="24"/>
          <w:szCs w:val="24"/>
          <w:lang w:eastAsia="pl-PL"/>
        </w:rPr>
        <w:t>zestawieniu z</w:t>
      </w:r>
      <w:r w:rsidR="00CE6CDE">
        <w:rPr>
          <w:rFonts w:ascii="Times New Roman" w:hAnsi="Times New Roman"/>
          <w:bCs/>
          <w:sz w:val="24"/>
          <w:szCs w:val="24"/>
          <w:lang w:eastAsia="pl-PL"/>
        </w:rPr>
        <w:t>e</w:t>
      </w:r>
      <w:r w:rsidRPr="00E24274">
        <w:rPr>
          <w:rFonts w:ascii="Times New Roman" w:hAnsi="Times New Roman"/>
          <w:bCs/>
          <w:sz w:val="24"/>
          <w:szCs w:val="24"/>
          <w:lang w:eastAsia="pl-PL"/>
        </w:rPr>
        <w:t xml:space="preserve"> skalą korzystania z danego rodzaju utworów lub przedmiotów praw pokrewnych na danym polu eksploatacji przez użytkowników działających na polskim rynku oraz skalą licencjonowania i ochrony praw do dóbr tego samego rodzaju wykonywaną przez inne organizacje</w:t>
      </w:r>
      <w:r w:rsidR="00D52D50" w:rsidRPr="00E24274">
        <w:rPr>
          <w:rFonts w:ascii="Times New Roman" w:hAnsi="Times New Roman"/>
          <w:bCs/>
          <w:sz w:val="24"/>
          <w:szCs w:val="24"/>
          <w:lang w:eastAsia="pl-PL"/>
        </w:rPr>
        <w:t>,</w:t>
      </w:r>
      <w:r w:rsidRPr="00E24274">
        <w:rPr>
          <w:rFonts w:ascii="Times New Roman" w:hAnsi="Times New Roman"/>
          <w:bCs/>
          <w:sz w:val="24"/>
          <w:szCs w:val="24"/>
          <w:lang w:eastAsia="pl-PL"/>
        </w:rPr>
        <w:t xml:space="preserve"> efektywniej w toku swojej działalności wykonujące zbiorowe zarządzanie na danym polu eksploatacji. </w:t>
      </w:r>
    </w:p>
    <w:p w:rsidR="00D2655C" w:rsidRPr="00E24274" w:rsidRDefault="00D2655C" w:rsidP="00E24274">
      <w:pPr>
        <w:spacing w:before="120" w:after="0" w:line="360" w:lineRule="auto"/>
        <w:jc w:val="both"/>
        <w:rPr>
          <w:rFonts w:ascii="Times New Roman" w:hAnsi="Times New Roman"/>
          <w:bCs/>
          <w:sz w:val="24"/>
          <w:szCs w:val="24"/>
          <w:highlight w:val="yellow"/>
          <w:lang w:eastAsia="pl-PL"/>
        </w:rPr>
      </w:pPr>
      <w:r w:rsidRPr="00E24274">
        <w:rPr>
          <w:rFonts w:ascii="Times New Roman" w:hAnsi="Times New Roman"/>
          <w:bCs/>
          <w:sz w:val="24"/>
          <w:szCs w:val="24"/>
          <w:lang w:eastAsia="pl-PL"/>
        </w:rPr>
        <w:lastRenderedPageBreak/>
        <w:t>Przepis zmierza do wyeliminowania przypadków, w których dana organizacja nieefektywnie wykonuje zbiorowe zarządzanie na danym polu eksploatacji, nie dysponuje stosownym repertuarem lub nie istnieje rynkowa potrzeba zbiorowego zarządzania określonymi prawami na danym polu eksploatacji. Drugie z kryteriów służy z kolei wyeliminowaniu z treści zezwoleń przypadków, w których nie jest faktycznie możliwe zbiorowe zarządzanie danym typem utworów lub przedmiotów praw pokrewnych na danym polu eksploatacji, np. utworem plastycznym na polu eksploatacji reemisja. Trzecie z kryteriów zmierza do ujednol</w:t>
      </w:r>
      <w:r w:rsidR="00591C91">
        <w:rPr>
          <w:rFonts w:ascii="Times New Roman" w:hAnsi="Times New Roman"/>
          <w:bCs/>
          <w:sz w:val="24"/>
          <w:szCs w:val="24"/>
          <w:lang w:eastAsia="pl-PL"/>
        </w:rPr>
        <w:t>icenia terminologii stosow</w:t>
      </w:r>
      <w:r w:rsidR="00CE6CDE">
        <w:rPr>
          <w:rFonts w:ascii="Times New Roman" w:hAnsi="Times New Roman"/>
          <w:bCs/>
          <w:sz w:val="24"/>
          <w:szCs w:val="24"/>
          <w:lang w:eastAsia="pl-PL"/>
        </w:rPr>
        <w:t>a</w:t>
      </w:r>
      <w:r w:rsidR="00591C91">
        <w:rPr>
          <w:rFonts w:ascii="Times New Roman" w:hAnsi="Times New Roman"/>
          <w:bCs/>
          <w:sz w:val="24"/>
          <w:szCs w:val="24"/>
          <w:lang w:eastAsia="pl-PL"/>
        </w:rPr>
        <w:t>nej w </w:t>
      </w:r>
      <w:r w:rsidRPr="00E24274">
        <w:rPr>
          <w:rFonts w:ascii="Times New Roman" w:hAnsi="Times New Roman"/>
          <w:bCs/>
          <w:sz w:val="24"/>
          <w:szCs w:val="24"/>
          <w:lang w:eastAsia="pl-PL"/>
        </w:rPr>
        <w:t>zezwoleniach i jej dostosowania do</w:t>
      </w:r>
      <w:r w:rsidR="00E24274">
        <w:rPr>
          <w:rFonts w:ascii="Times New Roman" w:hAnsi="Times New Roman"/>
          <w:bCs/>
          <w:sz w:val="24"/>
          <w:szCs w:val="24"/>
          <w:lang w:eastAsia="pl-PL"/>
        </w:rPr>
        <w:t xml:space="preserve"> </w:t>
      </w:r>
      <w:r w:rsidR="00D52D50" w:rsidRPr="00E24274">
        <w:rPr>
          <w:rFonts w:ascii="Times New Roman" w:hAnsi="Times New Roman"/>
          <w:bCs/>
          <w:sz w:val="24"/>
          <w:szCs w:val="24"/>
          <w:lang w:eastAsia="pl-PL"/>
        </w:rPr>
        <w:t>normatywnie określonych nazw</w:t>
      </w:r>
      <w:r w:rsidRPr="00E24274">
        <w:rPr>
          <w:rFonts w:ascii="Times New Roman" w:hAnsi="Times New Roman"/>
          <w:bCs/>
          <w:sz w:val="24"/>
          <w:szCs w:val="24"/>
          <w:lang w:eastAsia="pl-PL"/>
        </w:rPr>
        <w:t xml:space="preserve"> pól eksploatacji. Jest to istotne ze względu na dynamiczne zmiany, jakie miały miejsce w tym względzie w ciągu kilkunastu lat od udzielania większości istniejących zezwoleń na zbiorowe zarządzanie. </w:t>
      </w:r>
    </w:p>
    <w:p w:rsidR="00D2655C" w:rsidRPr="00E24274" w:rsidRDefault="00D2655C" w:rsidP="00E24274">
      <w:pPr>
        <w:spacing w:before="120" w:after="0" w:line="360" w:lineRule="auto"/>
        <w:jc w:val="both"/>
        <w:rPr>
          <w:rFonts w:ascii="Times New Roman" w:hAnsi="Times New Roman"/>
          <w:bCs/>
          <w:sz w:val="24"/>
          <w:szCs w:val="24"/>
          <w:lang w:eastAsia="pl-PL"/>
        </w:rPr>
      </w:pPr>
      <w:r w:rsidRPr="00E24274">
        <w:rPr>
          <w:rFonts w:ascii="Times New Roman" w:hAnsi="Times New Roman"/>
          <w:sz w:val="24"/>
          <w:szCs w:val="24"/>
          <w:lang w:eastAsia="pl-PL"/>
        </w:rPr>
        <w:t xml:space="preserve">3. Art. </w:t>
      </w:r>
      <w:r w:rsidR="00A91545" w:rsidRPr="00E24274">
        <w:rPr>
          <w:rFonts w:ascii="Times New Roman" w:hAnsi="Times New Roman"/>
          <w:sz w:val="24"/>
          <w:szCs w:val="24"/>
          <w:lang w:eastAsia="pl-PL"/>
        </w:rPr>
        <w:t xml:space="preserve">122 </w:t>
      </w:r>
      <w:r w:rsidRPr="00E24274">
        <w:rPr>
          <w:rFonts w:ascii="Times New Roman" w:hAnsi="Times New Roman"/>
          <w:sz w:val="24"/>
          <w:szCs w:val="24"/>
          <w:lang w:eastAsia="pl-PL"/>
        </w:rPr>
        <w:t>ust. 2 projektu stanowi podstawę prawną dla ministra właściwego ds. kultury i dziedzictwa narodowego do wszczęcia z urzędu w t</w:t>
      </w:r>
      <w:r w:rsidR="00591C91">
        <w:rPr>
          <w:rFonts w:ascii="Times New Roman" w:hAnsi="Times New Roman"/>
          <w:sz w:val="24"/>
          <w:szCs w:val="24"/>
          <w:lang w:eastAsia="pl-PL"/>
        </w:rPr>
        <w:t>erminie 6 miesięcy od wejścia w </w:t>
      </w:r>
      <w:r w:rsidRPr="00E24274">
        <w:rPr>
          <w:rFonts w:ascii="Times New Roman" w:hAnsi="Times New Roman"/>
          <w:sz w:val="24"/>
          <w:szCs w:val="24"/>
          <w:lang w:eastAsia="pl-PL"/>
        </w:rPr>
        <w:t xml:space="preserve">życie ustawy postępowania w przedmiocie stwierdzenia </w:t>
      </w:r>
      <w:r w:rsidRPr="00E24274">
        <w:rPr>
          <w:rFonts w:ascii="Times New Roman" w:hAnsi="Times New Roman"/>
          <w:bCs/>
          <w:sz w:val="24"/>
          <w:szCs w:val="24"/>
          <w:lang w:eastAsia="pl-PL"/>
        </w:rPr>
        <w:t>reprezentatywności organizacji w przypadkach, o których mowa w art. 10 ust. 2 projektu, tzn. gdy zezwolenie na zbiorowe zarządzanie prawami danej kategorii uprawnionych do danego rodzaju utworów lub przedmiotów praw pokrewnych na danym polu eksploatacji posiada więcej niż jedna organizacja zbiorowego zarządzania. Tego rodzaju rozwiązanie pozwoli na płynne przejście polskiego systemu zbiorowego zarządzania przez konieczny okres przejściowy związany z implementacją dyrektywy CRM i będzie służyć uporządkowaniu systemu zbiorowego zarządzania w najbardziej konfliktogennym obszarze – sferze działalności kilku organizacji o krzyżujących się zezwoleniach.</w:t>
      </w:r>
    </w:p>
    <w:p w:rsidR="00D2655C" w:rsidRPr="00E24274" w:rsidRDefault="00D2655C" w:rsidP="00E24274">
      <w:pPr>
        <w:spacing w:before="120" w:after="0" w:line="360" w:lineRule="auto"/>
        <w:jc w:val="both"/>
        <w:rPr>
          <w:rFonts w:ascii="Times New Roman" w:hAnsi="Times New Roman"/>
          <w:b/>
          <w:sz w:val="24"/>
          <w:szCs w:val="24"/>
          <w:lang w:eastAsia="pl-PL"/>
        </w:rPr>
      </w:pPr>
      <w:r w:rsidRPr="00E24274">
        <w:rPr>
          <w:rFonts w:ascii="Times New Roman" w:hAnsi="Times New Roman"/>
          <w:b/>
          <w:sz w:val="24"/>
          <w:szCs w:val="24"/>
          <w:lang w:eastAsia="pl-PL"/>
        </w:rPr>
        <w:t>art. 12</w:t>
      </w:r>
      <w:r w:rsidR="004A2B95" w:rsidRPr="00E24274">
        <w:rPr>
          <w:rFonts w:ascii="Times New Roman" w:hAnsi="Times New Roman"/>
          <w:b/>
          <w:sz w:val="24"/>
          <w:szCs w:val="24"/>
          <w:lang w:eastAsia="pl-PL"/>
        </w:rPr>
        <w:t>3</w:t>
      </w:r>
    </w:p>
    <w:p w:rsidR="00D2655C" w:rsidRPr="00E24274" w:rsidRDefault="00D2655C" w:rsidP="00591C91">
      <w:pPr>
        <w:spacing w:after="0" w:line="360" w:lineRule="auto"/>
        <w:jc w:val="both"/>
        <w:rPr>
          <w:rFonts w:ascii="Times New Roman" w:hAnsi="Times New Roman"/>
          <w:bCs/>
          <w:sz w:val="24"/>
          <w:szCs w:val="24"/>
          <w:lang w:eastAsia="pl-PL"/>
        </w:rPr>
      </w:pPr>
      <w:r w:rsidRPr="00E24274">
        <w:rPr>
          <w:rFonts w:ascii="Times New Roman" w:hAnsi="Times New Roman"/>
          <w:bCs/>
          <w:sz w:val="24"/>
          <w:szCs w:val="24"/>
          <w:lang w:eastAsia="pl-PL"/>
        </w:rPr>
        <w:t>1. Zgodnie z art. 12</w:t>
      </w:r>
      <w:r w:rsidR="004A2B95" w:rsidRPr="00E24274">
        <w:rPr>
          <w:rFonts w:ascii="Times New Roman" w:hAnsi="Times New Roman"/>
          <w:bCs/>
          <w:sz w:val="24"/>
          <w:szCs w:val="24"/>
          <w:lang w:eastAsia="pl-PL"/>
        </w:rPr>
        <w:t>3</w:t>
      </w:r>
      <w:r w:rsidRPr="00E24274">
        <w:rPr>
          <w:rFonts w:ascii="Times New Roman" w:hAnsi="Times New Roman"/>
          <w:bCs/>
          <w:sz w:val="24"/>
          <w:szCs w:val="24"/>
          <w:lang w:eastAsia="pl-PL"/>
        </w:rPr>
        <w:t xml:space="preserve"> ust. 1 projektu organizacje zbiorowego zarządzania działające na podstawie przepisów dotychczasowych zostaną zobowiązane do zawiadomienia sądu rejestrowego o zmianie swoich statutów dostosowując</w:t>
      </w:r>
      <w:r w:rsidR="00CE6CDE">
        <w:rPr>
          <w:rFonts w:ascii="Times New Roman" w:hAnsi="Times New Roman"/>
          <w:bCs/>
          <w:sz w:val="24"/>
          <w:szCs w:val="24"/>
          <w:lang w:eastAsia="pl-PL"/>
        </w:rPr>
        <w:t>ych</w:t>
      </w:r>
      <w:r w:rsidRPr="00E24274">
        <w:rPr>
          <w:rFonts w:ascii="Times New Roman" w:hAnsi="Times New Roman"/>
          <w:bCs/>
          <w:sz w:val="24"/>
          <w:szCs w:val="24"/>
          <w:lang w:eastAsia="pl-PL"/>
        </w:rPr>
        <w:t xml:space="preserve"> je do wymagań projektowanej ustawy, w terminie 6 miesięcy od dnia wejścia ustawy w życie. Termin, o którym mowa powyżej</w:t>
      </w:r>
      <w:r w:rsidR="00CE6CDE">
        <w:rPr>
          <w:rFonts w:ascii="Times New Roman" w:hAnsi="Times New Roman"/>
          <w:bCs/>
          <w:sz w:val="24"/>
          <w:szCs w:val="24"/>
          <w:lang w:eastAsia="pl-PL"/>
        </w:rPr>
        <w:t>,</w:t>
      </w:r>
      <w:r w:rsidRPr="00E24274">
        <w:rPr>
          <w:rFonts w:ascii="Times New Roman" w:hAnsi="Times New Roman"/>
          <w:bCs/>
          <w:sz w:val="24"/>
          <w:szCs w:val="24"/>
          <w:lang w:eastAsia="pl-PL"/>
        </w:rPr>
        <w:t xml:space="preserve"> wydaje się racjonalny i konieczny, biorąc pod uwagę fundamentalny charakter zmian, które projektowana ustawa wprowadza w obszarze działania organizacji.</w:t>
      </w:r>
    </w:p>
    <w:p w:rsidR="00D2655C" w:rsidRPr="00E24274" w:rsidRDefault="00D2655C" w:rsidP="00E24274">
      <w:pPr>
        <w:spacing w:before="120" w:after="0" w:line="360" w:lineRule="auto"/>
        <w:jc w:val="both"/>
        <w:rPr>
          <w:rFonts w:ascii="Times New Roman" w:hAnsi="Times New Roman"/>
          <w:sz w:val="24"/>
          <w:szCs w:val="24"/>
          <w:lang w:eastAsia="pl-PL"/>
        </w:rPr>
      </w:pPr>
      <w:r w:rsidRPr="00E24274">
        <w:rPr>
          <w:rFonts w:ascii="Times New Roman" w:hAnsi="Times New Roman"/>
          <w:bCs/>
          <w:sz w:val="24"/>
          <w:szCs w:val="24"/>
          <w:lang w:eastAsia="pl-PL"/>
        </w:rPr>
        <w:lastRenderedPageBreak/>
        <w:t xml:space="preserve">2. Z kolei art. </w:t>
      </w:r>
      <w:r w:rsidR="004A2B95" w:rsidRPr="00E24274">
        <w:rPr>
          <w:rFonts w:ascii="Times New Roman" w:hAnsi="Times New Roman"/>
          <w:bCs/>
          <w:sz w:val="24"/>
          <w:szCs w:val="24"/>
          <w:lang w:eastAsia="pl-PL"/>
        </w:rPr>
        <w:t xml:space="preserve">123 </w:t>
      </w:r>
      <w:r w:rsidRPr="00E24274">
        <w:rPr>
          <w:rFonts w:ascii="Times New Roman" w:hAnsi="Times New Roman"/>
          <w:bCs/>
          <w:sz w:val="24"/>
          <w:szCs w:val="24"/>
          <w:lang w:eastAsia="pl-PL"/>
        </w:rPr>
        <w:t xml:space="preserve">ust. 2 projektu nakłada na </w:t>
      </w:r>
      <w:r w:rsidRPr="00E24274">
        <w:rPr>
          <w:rFonts w:ascii="Times New Roman" w:hAnsi="Times New Roman"/>
          <w:sz w:val="24"/>
          <w:szCs w:val="24"/>
          <w:lang w:eastAsia="pl-PL"/>
        </w:rPr>
        <w:t xml:space="preserve">organizacje zbiorowego zarządzania obowiązek zwołania walnego zebrania członków (lub zebrania delegatów) </w:t>
      </w:r>
      <w:r w:rsidRPr="00E24274">
        <w:rPr>
          <w:rFonts w:ascii="Times New Roman" w:hAnsi="Times New Roman"/>
          <w:bCs/>
          <w:sz w:val="24"/>
          <w:szCs w:val="24"/>
          <w:lang w:eastAsia="pl-PL"/>
        </w:rPr>
        <w:t>w</w:t>
      </w:r>
      <w:r w:rsidR="00591C91">
        <w:rPr>
          <w:rFonts w:ascii="Times New Roman" w:hAnsi="Times New Roman"/>
          <w:sz w:val="24"/>
          <w:szCs w:val="24"/>
          <w:lang w:eastAsia="pl-PL"/>
        </w:rPr>
        <w:t xml:space="preserve"> terminie 6 </w:t>
      </w:r>
      <w:r w:rsidRPr="00E24274">
        <w:rPr>
          <w:rFonts w:ascii="Times New Roman" w:hAnsi="Times New Roman"/>
          <w:sz w:val="24"/>
          <w:szCs w:val="24"/>
          <w:lang w:eastAsia="pl-PL"/>
        </w:rPr>
        <w:t>miesięcy od wydania prawomocnego postanowienia o wpisie zmiany statutu. Celem takiego zebrania, które winno być wybrane i ob</w:t>
      </w:r>
      <w:r w:rsidR="00591C91">
        <w:rPr>
          <w:rFonts w:ascii="Times New Roman" w:hAnsi="Times New Roman"/>
          <w:sz w:val="24"/>
          <w:szCs w:val="24"/>
          <w:lang w:eastAsia="pl-PL"/>
        </w:rPr>
        <w:t>radować według zasad zgodnych z </w:t>
      </w:r>
      <w:r w:rsidRPr="00E24274">
        <w:rPr>
          <w:rFonts w:ascii="Times New Roman" w:hAnsi="Times New Roman"/>
          <w:sz w:val="24"/>
          <w:szCs w:val="24"/>
          <w:lang w:eastAsia="pl-PL"/>
        </w:rPr>
        <w:t>projektowaną ustawą i przyjętym przez organizację nowym statutem, jest powołanie członków zarządu i komisji rewizyjnej oraz przyjęc</w:t>
      </w:r>
      <w:r w:rsidR="00591C91">
        <w:rPr>
          <w:rFonts w:ascii="Times New Roman" w:hAnsi="Times New Roman"/>
          <w:sz w:val="24"/>
          <w:szCs w:val="24"/>
          <w:lang w:eastAsia="pl-PL"/>
        </w:rPr>
        <w:t>ie dokumentów, o których mowa w </w:t>
      </w:r>
      <w:r w:rsidRPr="00E24274">
        <w:rPr>
          <w:rFonts w:ascii="Times New Roman" w:hAnsi="Times New Roman"/>
          <w:sz w:val="24"/>
          <w:szCs w:val="24"/>
          <w:lang w:eastAsia="pl-PL"/>
        </w:rPr>
        <w:t>art. 17 pkt 4</w:t>
      </w:r>
      <w:r w:rsidR="00B85D46">
        <w:rPr>
          <w:rFonts w:ascii="Times New Roman" w:hAnsi="Times New Roman"/>
          <w:sz w:val="24"/>
          <w:szCs w:val="24"/>
          <w:lang w:eastAsia="pl-PL"/>
        </w:rPr>
        <w:t>–</w:t>
      </w:r>
      <w:r w:rsidRPr="00E24274">
        <w:rPr>
          <w:rFonts w:ascii="Times New Roman" w:hAnsi="Times New Roman"/>
          <w:sz w:val="24"/>
          <w:szCs w:val="24"/>
          <w:lang w:eastAsia="pl-PL"/>
        </w:rPr>
        <w:t xml:space="preserve">8 projektu. Dodatkową szczegółową normę w tym względzie formułuje zdanie 2 przywołanego ustępu, które stanowi, że jeżeli w organizacji zbiorowego zarządzania </w:t>
      </w:r>
      <w:r w:rsidRPr="00E24274">
        <w:rPr>
          <w:rFonts w:ascii="Times New Roman" w:hAnsi="Times New Roman"/>
          <w:sz w:val="24"/>
          <w:szCs w:val="24"/>
        </w:rPr>
        <w:t xml:space="preserve">zatwierdzanie strategii zarządzania ryzykiem zostanie powierzone komisji rewizyjnej, winna ona przyjąć taki dokument </w:t>
      </w:r>
      <w:r w:rsidRPr="00E24274">
        <w:rPr>
          <w:rFonts w:ascii="Times New Roman" w:hAnsi="Times New Roman"/>
          <w:sz w:val="24"/>
          <w:szCs w:val="24"/>
          <w:lang w:eastAsia="pl-PL"/>
        </w:rPr>
        <w:t xml:space="preserve">w terminie 3 miesięcy od powołania jej członków. </w:t>
      </w:r>
    </w:p>
    <w:p w:rsidR="00D2655C" w:rsidRPr="00E24274" w:rsidRDefault="00D2655C" w:rsidP="00E24274">
      <w:pPr>
        <w:spacing w:before="120" w:after="0" w:line="360" w:lineRule="auto"/>
        <w:jc w:val="both"/>
        <w:rPr>
          <w:rFonts w:ascii="Times New Roman" w:hAnsi="Times New Roman"/>
          <w:sz w:val="24"/>
          <w:szCs w:val="24"/>
          <w:lang w:eastAsia="pl-PL"/>
        </w:rPr>
      </w:pPr>
      <w:r w:rsidRPr="00E24274">
        <w:rPr>
          <w:rFonts w:ascii="Times New Roman" w:hAnsi="Times New Roman"/>
          <w:sz w:val="24"/>
          <w:szCs w:val="24"/>
          <w:lang w:eastAsia="pl-PL"/>
        </w:rPr>
        <w:t xml:space="preserve">3 Art. </w:t>
      </w:r>
      <w:r w:rsidR="004A2B95" w:rsidRPr="00E24274">
        <w:rPr>
          <w:rFonts w:ascii="Times New Roman" w:hAnsi="Times New Roman"/>
          <w:sz w:val="24"/>
          <w:szCs w:val="24"/>
          <w:lang w:eastAsia="pl-PL"/>
        </w:rPr>
        <w:t xml:space="preserve">123 </w:t>
      </w:r>
      <w:r w:rsidRPr="00E24274">
        <w:rPr>
          <w:rFonts w:ascii="Times New Roman" w:hAnsi="Times New Roman"/>
          <w:sz w:val="24"/>
          <w:szCs w:val="24"/>
          <w:lang w:eastAsia="pl-PL"/>
        </w:rPr>
        <w:t>ust. 2 zd. 3 natomiast określa, że do czasu przyjęcia powyższych dokumentów, do spraw w nich regulowanych organizacja stosuje swoje dotychczasowe akty wewnętrzne w zakresie, w jakim</w:t>
      </w:r>
      <w:r w:rsidRPr="00E24274">
        <w:rPr>
          <w:rFonts w:ascii="Times New Roman" w:eastAsiaTheme="minorEastAsia" w:hAnsi="Times New Roman"/>
          <w:sz w:val="24"/>
          <w:szCs w:val="24"/>
          <w:lang w:eastAsia="pl-PL"/>
        </w:rPr>
        <w:t xml:space="preserve"> </w:t>
      </w:r>
      <w:r w:rsidRPr="00E24274">
        <w:rPr>
          <w:rFonts w:ascii="Times New Roman" w:hAnsi="Times New Roman"/>
          <w:sz w:val="24"/>
          <w:szCs w:val="24"/>
          <w:lang w:eastAsia="pl-PL"/>
        </w:rPr>
        <w:t>nie są one sprzeczne z przepisami ustawy, umożliwiając zapewnienie sprawnego funkcjonowania systemu zbiorowego zarządzania w przejściowym okresie wdrażania nowych przepisów. W przypadku gdyby zaistniała sprzeczność regulacji wewnętrznych organizacji z przepisami powszechnie obowiązującego prawa</w:t>
      </w:r>
      <w:r w:rsidR="00CE6CDE">
        <w:rPr>
          <w:rFonts w:ascii="Times New Roman" w:hAnsi="Times New Roman"/>
          <w:sz w:val="24"/>
          <w:szCs w:val="24"/>
          <w:lang w:eastAsia="pl-PL"/>
        </w:rPr>
        <w:t>,</w:t>
      </w:r>
      <w:r w:rsidRPr="00E24274">
        <w:rPr>
          <w:rFonts w:ascii="Times New Roman" w:hAnsi="Times New Roman"/>
          <w:sz w:val="24"/>
          <w:szCs w:val="24"/>
          <w:lang w:eastAsia="pl-PL"/>
        </w:rPr>
        <w:t xml:space="preserve"> konieczne jest bądź dostosowanie takich dokumentów do przepisów ustawy, które winno być dokonane na podstawie i zasadach wynikających ze statutu organizacji obowiązującego w dacie wejścia ustawy w życie lub bezpośrednie stosowanie ustawy w koniecznym zakresie z pominięciem regulacji wewnętrznych, które są z nią sprzeczne. Celem tego rozwiązania jest zapewnienie zgodności praktyki organizacji z regułami wynikającymi z dyrektywy CRM w najważniejszym jej obszarze – zarządzaniu i wypłacie przychodów z praw n</w:t>
      </w:r>
      <w:r w:rsidR="00591C91">
        <w:rPr>
          <w:rFonts w:ascii="Times New Roman" w:hAnsi="Times New Roman"/>
          <w:sz w:val="24"/>
          <w:szCs w:val="24"/>
          <w:lang w:eastAsia="pl-PL"/>
        </w:rPr>
        <w:t>a rzecz uprawnionych, które – w </w:t>
      </w:r>
      <w:r w:rsidRPr="00E24274">
        <w:rPr>
          <w:rFonts w:ascii="Times New Roman" w:hAnsi="Times New Roman"/>
          <w:sz w:val="24"/>
          <w:szCs w:val="24"/>
          <w:lang w:eastAsia="pl-PL"/>
        </w:rPr>
        <w:t>interesie samych uprawnionych – winno być osiągnięte, zanim zakończy się procedura rejestracji nowych statutów organizacji</w:t>
      </w:r>
      <w:r w:rsidR="00E24274">
        <w:rPr>
          <w:rFonts w:ascii="Times New Roman" w:hAnsi="Times New Roman"/>
          <w:sz w:val="24"/>
          <w:szCs w:val="24"/>
          <w:lang w:eastAsia="pl-PL"/>
        </w:rPr>
        <w:t xml:space="preserve"> </w:t>
      </w:r>
      <w:r w:rsidRPr="00E24274">
        <w:rPr>
          <w:rFonts w:ascii="Times New Roman" w:hAnsi="Times New Roman"/>
          <w:sz w:val="24"/>
          <w:szCs w:val="24"/>
          <w:lang w:eastAsia="pl-PL"/>
        </w:rPr>
        <w:t>i przyjmowania nowych dokumentów wewnętrznych na zasadach określonych w tych statutach.</w:t>
      </w:r>
    </w:p>
    <w:p w:rsidR="00BC7627" w:rsidRPr="00E24274" w:rsidRDefault="00BC7627" w:rsidP="00E24274">
      <w:pPr>
        <w:spacing w:before="120" w:after="0" w:line="360" w:lineRule="auto"/>
        <w:jc w:val="both"/>
        <w:rPr>
          <w:rFonts w:ascii="Times New Roman" w:hAnsi="Times New Roman"/>
          <w:b/>
          <w:sz w:val="24"/>
          <w:szCs w:val="24"/>
          <w:lang w:eastAsia="pl-PL"/>
        </w:rPr>
      </w:pPr>
      <w:r w:rsidRPr="00E24274">
        <w:rPr>
          <w:rFonts w:ascii="Times New Roman" w:hAnsi="Times New Roman"/>
          <w:b/>
          <w:sz w:val="24"/>
          <w:szCs w:val="24"/>
          <w:lang w:eastAsia="pl-PL"/>
        </w:rPr>
        <w:t>art. 12</w:t>
      </w:r>
      <w:r w:rsidR="000006BA" w:rsidRPr="00E24274">
        <w:rPr>
          <w:rFonts w:ascii="Times New Roman" w:hAnsi="Times New Roman"/>
          <w:b/>
          <w:sz w:val="24"/>
          <w:szCs w:val="24"/>
          <w:lang w:eastAsia="pl-PL"/>
        </w:rPr>
        <w:t>4</w:t>
      </w:r>
    </w:p>
    <w:p w:rsidR="00BC7627" w:rsidRPr="00E24274" w:rsidRDefault="00BC7627" w:rsidP="00591C91">
      <w:pPr>
        <w:spacing w:after="0" w:line="360" w:lineRule="auto"/>
        <w:jc w:val="both"/>
        <w:rPr>
          <w:rFonts w:ascii="Times New Roman" w:hAnsi="Times New Roman"/>
          <w:sz w:val="24"/>
          <w:szCs w:val="24"/>
        </w:rPr>
      </w:pPr>
      <w:r w:rsidRPr="00E24274">
        <w:rPr>
          <w:rFonts w:ascii="Times New Roman" w:hAnsi="Times New Roman"/>
          <w:sz w:val="24"/>
          <w:szCs w:val="24"/>
        </w:rPr>
        <w:t>Celem projektowanego art. 12</w:t>
      </w:r>
      <w:r w:rsidR="000006BA" w:rsidRPr="00E24274">
        <w:rPr>
          <w:rFonts w:ascii="Times New Roman" w:hAnsi="Times New Roman"/>
          <w:sz w:val="24"/>
          <w:szCs w:val="24"/>
        </w:rPr>
        <w:t>4</w:t>
      </w:r>
      <w:r w:rsidRPr="00E24274">
        <w:rPr>
          <w:rFonts w:ascii="Times New Roman" w:hAnsi="Times New Roman"/>
          <w:sz w:val="24"/>
          <w:szCs w:val="24"/>
        </w:rPr>
        <w:t xml:space="preserve"> jest określenie sposobu wykonania przez organizacje zbiorowego zarządzania obowiązków</w:t>
      </w:r>
      <w:r w:rsidR="00F423B7" w:rsidRPr="00E24274">
        <w:rPr>
          <w:rFonts w:ascii="Times New Roman" w:hAnsi="Times New Roman"/>
          <w:sz w:val="24"/>
          <w:szCs w:val="24"/>
        </w:rPr>
        <w:t xml:space="preserve"> </w:t>
      </w:r>
      <w:r w:rsidRPr="00E24274">
        <w:rPr>
          <w:rFonts w:ascii="Times New Roman" w:hAnsi="Times New Roman"/>
          <w:sz w:val="24"/>
          <w:szCs w:val="24"/>
        </w:rPr>
        <w:t>dotyczących zwycza</w:t>
      </w:r>
      <w:r w:rsidR="00F423B7" w:rsidRPr="00E24274">
        <w:rPr>
          <w:rFonts w:ascii="Times New Roman" w:hAnsi="Times New Roman"/>
          <w:sz w:val="24"/>
          <w:szCs w:val="24"/>
        </w:rPr>
        <w:t>jnego walnego zebrania członków</w:t>
      </w:r>
      <w:r w:rsidRPr="00E24274">
        <w:rPr>
          <w:rFonts w:ascii="Times New Roman" w:hAnsi="Times New Roman"/>
          <w:sz w:val="24"/>
          <w:szCs w:val="24"/>
        </w:rPr>
        <w:t xml:space="preserve"> związanych z podsumowaniem jej działalności w poprzednim roku </w:t>
      </w:r>
      <w:r w:rsidR="0096366E" w:rsidRPr="00E24274">
        <w:rPr>
          <w:rFonts w:ascii="Times New Roman" w:hAnsi="Times New Roman"/>
          <w:sz w:val="24"/>
          <w:szCs w:val="24"/>
        </w:rPr>
        <w:t>obrotowym</w:t>
      </w:r>
      <w:r w:rsidR="00F423B7" w:rsidRPr="00E24274">
        <w:rPr>
          <w:rFonts w:ascii="Times New Roman" w:hAnsi="Times New Roman"/>
          <w:sz w:val="24"/>
          <w:szCs w:val="24"/>
        </w:rPr>
        <w:t xml:space="preserve"> (art. 18)</w:t>
      </w:r>
      <w:r w:rsidR="00CE6CDE">
        <w:rPr>
          <w:rFonts w:ascii="Times New Roman" w:hAnsi="Times New Roman"/>
          <w:sz w:val="24"/>
          <w:szCs w:val="24"/>
        </w:rPr>
        <w:t>,</w:t>
      </w:r>
      <w:r w:rsidR="00F423B7" w:rsidRPr="00E24274">
        <w:rPr>
          <w:rFonts w:ascii="Times New Roman" w:hAnsi="Times New Roman"/>
          <w:sz w:val="24"/>
          <w:szCs w:val="24"/>
        </w:rPr>
        <w:t xml:space="preserve"> </w:t>
      </w:r>
      <w:r w:rsidR="0096366E" w:rsidRPr="00E24274">
        <w:rPr>
          <w:rFonts w:ascii="Times New Roman" w:hAnsi="Times New Roman"/>
          <w:sz w:val="24"/>
          <w:szCs w:val="24"/>
        </w:rPr>
        <w:t>mając na uwadze, że najprawdopodobniej ustawa wej</w:t>
      </w:r>
      <w:r w:rsidR="00CE6CDE">
        <w:rPr>
          <w:rFonts w:ascii="Times New Roman" w:hAnsi="Times New Roman"/>
          <w:sz w:val="24"/>
          <w:szCs w:val="24"/>
        </w:rPr>
        <w:t>dzie</w:t>
      </w:r>
      <w:r w:rsidR="00F423B7" w:rsidRPr="00E24274">
        <w:rPr>
          <w:rFonts w:ascii="Times New Roman" w:hAnsi="Times New Roman"/>
          <w:sz w:val="24"/>
          <w:szCs w:val="24"/>
        </w:rPr>
        <w:t xml:space="preserve"> w życie w połowie roku obrotowego. Zgodnie z tym przepisem pierwsze walne zebranie </w:t>
      </w:r>
      <w:r w:rsidR="00F423B7" w:rsidRPr="00E24274">
        <w:rPr>
          <w:rFonts w:ascii="Times New Roman" w:hAnsi="Times New Roman"/>
          <w:sz w:val="24"/>
          <w:szCs w:val="24"/>
        </w:rPr>
        <w:lastRenderedPageBreak/>
        <w:t xml:space="preserve">członków na nowych zasadach powinno zostać zwołane w pierwszym pełnym roku obrotowym następującym po roku wejścia w życie ustawy. Przedmiotem tego pierwszego zebrania powinno być więc dokonanie wszystkich czynności </w:t>
      </w:r>
      <w:r w:rsidR="00591C91">
        <w:rPr>
          <w:rFonts w:ascii="Times New Roman" w:hAnsi="Times New Roman"/>
          <w:sz w:val="24"/>
          <w:szCs w:val="24"/>
        </w:rPr>
        <w:t>określonych w </w:t>
      </w:r>
      <w:r w:rsidR="00F423B7" w:rsidRPr="00E24274">
        <w:rPr>
          <w:rFonts w:ascii="Times New Roman" w:hAnsi="Times New Roman"/>
          <w:sz w:val="24"/>
          <w:szCs w:val="24"/>
        </w:rPr>
        <w:t>art. 18 ust. 2 w odniesieniu do</w:t>
      </w:r>
      <w:r w:rsidR="0096366E" w:rsidRPr="00E24274">
        <w:rPr>
          <w:rFonts w:ascii="Times New Roman" w:hAnsi="Times New Roman"/>
          <w:sz w:val="24"/>
          <w:szCs w:val="24"/>
        </w:rPr>
        <w:t xml:space="preserve"> poprzedniego</w:t>
      </w:r>
      <w:r w:rsidR="00F423B7" w:rsidRPr="00E24274">
        <w:rPr>
          <w:rFonts w:ascii="Times New Roman" w:hAnsi="Times New Roman"/>
          <w:sz w:val="24"/>
          <w:szCs w:val="24"/>
        </w:rPr>
        <w:t xml:space="preserve"> roku obrotowego,</w:t>
      </w:r>
      <w:r w:rsidR="0096366E" w:rsidRPr="00E24274">
        <w:rPr>
          <w:rFonts w:ascii="Times New Roman" w:hAnsi="Times New Roman"/>
          <w:sz w:val="24"/>
          <w:szCs w:val="24"/>
        </w:rPr>
        <w:t xml:space="preserve"> czyli roku</w:t>
      </w:r>
      <w:r w:rsidR="00CE6CDE">
        <w:rPr>
          <w:rFonts w:ascii="Times New Roman" w:hAnsi="Times New Roman"/>
          <w:sz w:val="24"/>
          <w:szCs w:val="24"/>
        </w:rPr>
        <w:t>,</w:t>
      </w:r>
      <w:r w:rsidR="00F423B7" w:rsidRPr="00E24274">
        <w:rPr>
          <w:rFonts w:ascii="Times New Roman" w:hAnsi="Times New Roman"/>
          <w:sz w:val="24"/>
          <w:szCs w:val="24"/>
        </w:rPr>
        <w:t xml:space="preserve"> w którym weszły w życie projektowane przepisy.</w:t>
      </w:r>
    </w:p>
    <w:p w:rsidR="00D2655C" w:rsidRPr="00E24274" w:rsidRDefault="00D2655C" w:rsidP="00E24274">
      <w:pPr>
        <w:spacing w:before="120" w:after="0" w:line="360" w:lineRule="auto"/>
        <w:jc w:val="both"/>
        <w:rPr>
          <w:rFonts w:ascii="Times New Roman" w:hAnsi="Times New Roman"/>
          <w:b/>
          <w:sz w:val="24"/>
          <w:szCs w:val="24"/>
          <w:lang w:eastAsia="pl-PL"/>
        </w:rPr>
      </w:pPr>
      <w:r w:rsidRPr="00E24274">
        <w:rPr>
          <w:rFonts w:ascii="Times New Roman" w:hAnsi="Times New Roman"/>
          <w:b/>
          <w:sz w:val="24"/>
          <w:szCs w:val="24"/>
          <w:lang w:eastAsia="pl-PL"/>
        </w:rPr>
        <w:t>art. 12</w:t>
      </w:r>
      <w:r w:rsidR="000006BA" w:rsidRPr="00E24274">
        <w:rPr>
          <w:rFonts w:ascii="Times New Roman" w:hAnsi="Times New Roman"/>
          <w:b/>
          <w:sz w:val="24"/>
          <w:szCs w:val="24"/>
          <w:lang w:eastAsia="pl-PL"/>
        </w:rPr>
        <w:t>5</w:t>
      </w:r>
    </w:p>
    <w:p w:rsidR="00D2655C" w:rsidRPr="00E24274" w:rsidRDefault="00D2655C" w:rsidP="00591C91">
      <w:pPr>
        <w:pStyle w:val="USTustnpkodeksu"/>
        <w:ind w:firstLine="0"/>
        <w:rPr>
          <w:rFonts w:ascii="Times New Roman" w:hAnsi="Times New Roman" w:cs="Times New Roman"/>
          <w:szCs w:val="24"/>
        </w:rPr>
      </w:pPr>
      <w:r w:rsidRPr="00E24274">
        <w:rPr>
          <w:rFonts w:ascii="Times New Roman" w:hAnsi="Times New Roman" w:cs="Times New Roman"/>
          <w:bCs w:val="0"/>
          <w:szCs w:val="24"/>
        </w:rPr>
        <w:t xml:space="preserve">1. Projektowany art. </w:t>
      </w:r>
      <w:r w:rsidR="000006BA" w:rsidRPr="00E24274">
        <w:rPr>
          <w:rFonts w:ascii="Times New Roman" w:hAnsi="Times New Roman" w:cs="Times New Roman"/>
          <w:bCs w:val="0"/>
          <w:szCs w:val="24"/>
        </w:rPr>
        <w:t xml:space="preserve">125 </w:t>
      </w:r>
      <w:r w:rsidRPr="00E24274">
        <w:rPr>
          <w:rFonts w:ascii="Times New Roman" w:hAnsi="Times New Roman" w:cs="Times New Roman"/>
          <w:bCs w:val="0"/>
          <w:szCs w:val="24"/>
        </w:rPr>
        <w:t>ust. 1 zawiera przejściowy termin na dostosowanie przez organizację stosowanych przez siebie warunków z</w:t>
      </w:r>
      <w:r w:rsidR="00591C91">
        <w:rPr>
          <w:rFonts w:ascii="Times New Roman" w:hAnsi="Times New Roman" w:cs="Times New Roman"/>
          <w:bCs w:val="0"/>
          <w:szCs w:val="24"/>
        </w:rPr>
        <w:t>awierania i wypowiadania umów o </w:t>
      </w:r>
      <w:r w:rsidRPr="00E24274">
        <w:rPr>
          <w:rFonts w:ascii="Times New Roman" w:hAnsi="Times New Roman" w:cs="Times New Roman"/>
          <w:bCs w:val="0"/>
          <w:szCs w:val="24"/>
        </w:rPr>
        <w:t>zbiorowe zarządzanie do nowej regulacji. Przepis ten nakłada także na organizacje obowiązek niezwłocznego poinformowania uprawni</w:t>
      </w:r>
      <w:r w:rsidR="00591C91">
        <w:rPr>
          <w:rFonts w:ascii="Times New Roman" w:hAnsi="Times New Roman" w:cs="Times New Roman"/>
          <w:bCs w:val="0"/>
          <w:szCs w:val="24"/>
        </w:rPr>
        <w:t>onych o zmienionych warunkach w </w:t>
      </w:r>
      <w:r w:rsidRPr="00E24274">
        <w:rPr>
          <w:rFonts w:ascii="Times New Roman" w:hAnsi="Times New Roman" w:cs="Times New Roman"/>
          <w:bCs w:val="0"/>
          <w:szCs w:val="24"/>
        </w:rPr>
        <w:t>tym względzie. Służy w ten sposób zapewnieniu w praktyce realizacji uprawnień określonych w art. 5 dyrektywy CRM.</w:t>
      </w:r>
    </w:p>
    <w:p w:rsidR="00D2655C" w:rsidRPr="00E24274" w:rsidRDefault="00D2655C" w:rsidP="00E24274">
      <w:pPr>
        <w:pStyle w:val="USTustnpkodeksu"/>
        <w:spacing w:before="120"/>
        <w:ind w:firstLine="0"/>
        <w:rPr>
          <w:rFonts w:ascii="Times New Roman" w:hAnsi="Times New Roman" w:cs="Times New Roman"/>
          <w:szCs w:val="24"/>
        </w:rPr>
      </w:pPr>
      <w:r w:rsidRPr="00E24274">
        <w:rPr>
          <w:rFonts w:ascii="Times New Roman" w:hAnsi="Times New Roman" w:cs="Times New Roman"/>
          <w:bCs w:val="0"/>
          <w:szCs w:val="24"/>
        </w:rPr>
        <w:t>2. Z kolei ust. 2 nakłada na organizacje zbiorowego zarządzania obowiązek poinformowania o zasadach dokonywania potrąceń z przychodów praw niezwłocznie po przyjęciu regulaminu repartycji, umożliwiaj</w:t>
      </w:r>
      <w:r w:rsidR="00591C91">
        <w:rPr>
          <w:rFonts w:ascii="Times New Roman" w:hAnsi="Times New Roman" w:cs="Times New Roman"/>
          <w:bCs w:val="0"/>
          <w:szCs w:val="24"/>
        </w:rPr>
        <w:t>ąc uprawnionym zapoznanie się z </w:t>
      </w:r>
      <w:r w:rsidRPr="00E24274">
        <w:rPr>
          <w:rFonts w:ascii="Times New Roman" w:hAnsi="Times New Roman" w:cs="Times New Roman"/>
          <w:bCs w:val="0"/>
          <w:szCs w:val="24"/>
        </w:rPr>
        <w:t>zasadami przyjętymi w tym względzie w organizacji, z którą zawarli umowę na zbiorowe zarządzanie.</w:t>
      </w:r>
    </w:p>
    <w:p w:rsidR="00D2655C" w:rsidRPr="00E24274" w:rsidRDefault="00D2655C" w:rsidP="00E24274">
      <w:pPr>
        <w:spacing w:before="120" w:after="0" w:line="360" w:lineRule="auto"/>
        <w:jc w:val="both"/>
        <w:rPr>
          <w:rFonts w:ascii="Times New Roman" w:hAnsi="Times New Roman"/>
          <w:b/>
          <w:sz w:val="24"/>
          <w:szCs w:val="24"/>
          <w:lang w:eastAsia="pl-PL"/>
        </w:rPr>
      </w:pPr>
      <w:r w:rsidRPr="00E24274">
        <w:rPr>
          <w:rFonts w:ascii="Times New Roman" w:hAnsi="Times New Roman"/>
          <w:b/>
          <w:sz w:val="24"/>
          <w:szCs w:val="24"/>
          <w:lang w:eastAsia="pl-PL"/>
        </w:rPr>
        <w:t>art. 12</w:t>
      </w:r>
      <w:r w:rsidR="004D512A" w:rsidRPr="00E24274">
        <w:rPr>
          <w:rFonts w:ascii="Times New Roman" w:hAnsi="Times New Roman"/>
          <w:b/>
          <w:sz w:val="24"/>
          <w:szCs w:val="24"/>
          <w:lang w:eastAsia="pl-PL"/>
        </w:rPr>
        <w:t>6</w:t>
      </w:r>
    </w:p>
    <w:p w:rsidR="00D2655C" w:rsidRPr="00E24274" w:rsidRDefault="00D2655C" w:rsidP="00591C91">
      <w:pPr>
        <w:pStyle w:val="ARTartustawynprozporzdzenia"/>
        <w:spacing w:before="0"/>
        <w:ind w:firstLine="0"/>
        <w:rPr>
          <w:rFonts w:ascii="Times New Roman" w:hAnsi="Times New Roman" w:cs="Times New Roman"/>
        </w:rPr>
      </w:pPr>
      <w:r w:rsidRPr="00E24274">
        <w:rPr>
          <w:rFonts w:ascii="Times New Roman" w:hAnsi="Times New Roman" w:cs="Times New Roman"/>
        </w:rPr>
        <w:t>Art. 12</w:t>
      </w:r>
      <w:r w:rsidR="004D512A" w:rsidRPr="00E24274">
        <w:rPr>
          <w:rFonts w:ascii="Times New Roman" w:hAnsi="Times New Roman" w:cs="Times New Roman"/>
        </w:rPr>
        <w:t>6</w:t>
      </w:r>
      <w:r w:rsidRPr="00E24274">
        <w:rPr>
          <w:rFonts w:ascii="Times New Roman" w:hAnsi="Times New Roman" w:cs="Times New Roman"/>
        </w:rPr>
        <w:t xml:space="preserve"> ust. 1 zawiera przepis przejściowy, zgodnie z którym postępowanie administracyjne, o którym mowa w art. 107</w:t>
      </w:r>
      <w:r w:rsidRPr="00E24274">
        <w:rPr>
          <w:rFonts w:ascii="Times New Roman" w:hAnsi="Times New Roman" w:cs="Times New Roman"/>
          <w:vertAlign w:val="superscript"/>
        </w:rPr>
        <w:t>1</w:t>
      </w:r>
      <w:r w:rsidRPr="00E24274">
        <w:rPr>
          <w:rFonts w:ascii="Times New Roman" w:hAnsi="Times New Roman" w:cs="Times New Roman"/>
        </w:rPr>
        <w:t xml:space="preserve"> ust. 3 pr. aut.</w:t>
      </w:r>
      <w:r w:rsidR="00CE6CDE">
        <w:rPr>
          <w:rFonts w:ascii="Times New Roman" w:hAnsi="Times New Roman" w:cs="Times New Roman"/>
        </w:rPr>
        <w:t>,</w:t>
      </w:r>
      <w:r w:rsidRPr="00E24274">
        <w:rPr>
          <w:rFonts w:ascii="Times New Roman" w:hAnsi="Times New Roman" w:cs="Times New Roman"/>
        </w:rPr>
        <w:t xml:space="preserve"> niezakończone do</w:t>
      </w:r>
      <w:r w:rsidR="004D512A" w:rsidRPr="00E24274">
        <w:rPr>
          <w:rFonts w:ascii="Times New Roman" w:hAnsi="Times New Roman" w:cs="Times New Roman"/>
        </w:rPr>
        <w:t xml:space="preserve"> dnia wejścia w życie projektowanej ustawy</w:t>
      </w:r>
      <w:r w:rsidRPr="00E24274">
        <w:rPr>
          <w:rFonts w:ascii="Times New Roman" w:hAnsi="Times New Roman" w:cs="Times New Roman"/>
        </w:rPr>
        <w:t>, będzie toczyło się na podstawie przepisów dotychczasowych. Przepis przejściowy jest w chwili obecnej niezbędny, ponieważ wspomniane postępowanie, którego celem jest wyznaczenie jednej organizacji zbiorowego zarządzania uprawnionej do poboru wynagrodzeń za eksploatację przedmiotów praw pokrewnych na polu eksploatacji odtwarzanie, nie jest jeszcze zakończone, a art. 107</w:t>
      </w:r>
      <w:r w:rsidRPr="00E24274">
        <w:rPr>
          <w:rFonts w:ascii="Times New Roman" w:hAnsi="Times New Roman" w:cs="Times New Roman"/>
          <w:vertAlign w:val="superscript"/>
        </w:rPr>
        <w:t>1</w:t>
      </w:r>
      <w:r w:rsidRPr="00E24274">
        <w:rPr>
          <w:rFonts w:ascii="Times New Roman" w:hAnsi="Times New Roman" w:cs="Times New Roman"/>
        </w:rPr>
        <w:t xml:space="preserve"> ust. 3 pr. aut. będący podstawą do jego prowadzenia podlega uchyleniu jako część rozdziału 12 pr. aut. Postępowanie, które obecnie jest na etapie rozpoznania wniosków</w:t>
      </w:r>
      <w:r w:rsidR="00CE6CDE">
        <w:rPr>
          <w:rFonts w:ascii="Times New Roman" w:hAnsi="Times New Roman" w:cs="Times New Roman"/>
        </w:rPr>
        <w:t>,</w:t>
      </w:r>
      <w:r w:rsidRPr="00E24274">
        <w:rPr>
          <w:rFonts w:ascii="Times New Roman" w:hAnsi="Times New Roman" w:cs="Times New Roman"/>
        </w:rPr>
        <w:t xml:space="preserve"> o ponowne rozpoznanie sprawy winno być więc zakończone na dotychczasowych zasadach. Jest to tym bardziej uzasadnione, że postępowanie to ma istotne znaczenie dla uproszczenia funkcjonowania kilkudziesięciu tysięcy polskich przedsiębiorców, którzy korzystają z odtwarzania muzyki w toku swojej działalności gospodarczej. Z kolei ust. 2 przesądza, że organizację wyznaczoną na podstawie </w:t>
      </w:r>
      <w:r w:rsidRPr="00E24274">
        <w:rPr>
          <w:rFonts w:ascii="Times New Roman" w:hAnsi="Times New Roman" w:cs="Times New Roman"/>
        </w:rPr>
        <w:lastRenderedPageBreak/>
        <w:t>w</w:t>
      </w:r>
      <w:r w:rsidR="00591C91">
        <w:rPr>
          <w:rFonts w:ascii="Times New Roman" w:hAnsi="Times New Roman" w:cs="Times New Roman"/>
        </w:rPr>
        <w:t> </w:t>
      </w:r>
      <w:r w:rsidRPr="00E24274">
        <w:rPr>
          <w:rFonts w:ascii="Times New Roman" w:hAnsi="Times New Roman" w:cs="Times New Roman"/>
        </w:rPr>
        <w:t>art.</w:t>
      </w:r>
      <w:r w:rsidR="00591C91">
        <w:rPr>
          <w:rFonts w:ascii="Times New Roman" w:hAnsi="Times New Roman" w:cs="Times New Roman"/>
        </w:rPr>
        <w:t> </w:t>
      </w:r>
      <w:r w:rsidRPr="00E24274">
        <w:rPr>
          <w:rFonts w:ascii="Times New Roman" w:hAnsi="Times New Roman" w:cs="Times New Roman"/>
        </w:rPr>
        <w:t>107</w:t>
      </w:r>
      <w:r w:rsidRPr="00E24274">
        <w:rPr>
          <w:rFonts w:ascii="Times New Roman" w:hAnsi="Times New Roman" w:cs="Times New Roman"/>
          <w:vertAlign w:val="superscript"/>
        </w:rPr>
        <w:t>1</w:t>
      </w:r>
      <w:r w:rsidRPr="00E24274">
        <w:rPr>
          <w:rFonts w:ascii="Times New Roman" w:hAnsi="Times New Roman" w:cs="Times New Roman"/>
        </w:rPr>
        <w:t xml:space="preserve"> ust. 3 pr. aut. uważa się za organizację, o której mowa w art. 44 ust. 3 projektowanej ustawy. Przepis ten przesądza, że rozstrzygnięcie podjęte w wyniku postępowania o wyznaczenie organizacji uprawnionej do poboru wynagrodzeń na polu eksploatacji odtwarzanie wkomponuje się harmonijnie </w:t>
      </w:r>
      <w:r w:rsidR="00591C91">
        <w:rPr>
          <w:rFonts w:ascii="Times New Roman" w:hAnsi="Times New Roman" w:cs="Times New Roman"/>
        </w:rPr>
        <w:t>w regulacje prawne wynikające z </w:t>
      </w:r>
      <w:r w:rsidRPr="00E24274">
        <w:rPr>
          <w:rFonts w:ascii="Times New Roman" w:hAnsi="Times New Roman" w:cs="Times New Roman"/>
        </w:rPr>
        <w:t>projektu.</w:t>
      </w:r>
    </w:p>
    <w:p w:rsidR="00D2655C" w:rsidRPr="00E24274" w:rsidRDefault="00D2655C" w:rsidP="00E24274">
      <w:pPr>
        <w:pStyle w:val="ARTartustawynprozporzdzenia"/>
        <w:ind w:firstLine="0"/>
        <w:rPr>
          <w:rFonts w:ascii="Times New Roman" w:hAnsi="Times New Roman" w:cs="Times New Roman"/>
          <w:b/>
        </w:rPr>
      </w:pPr>
      <w:r w:rsidRPr="00E24274">
        <w:rPr>
          <w:rFonts w:ascii="Times New Roman" w:hAnsi="Times New Roman" w:cs="Times New Roman"/>
          <w:b/>
        </w:rPr>
        <w:t>art. 12</w:t>
      </w:r>
      <w:r w:rsidR="00084DB2" w:rsidRPr="00E24274">
        <w:rPr>
          <w:rFonts w:ascii="Times New Roman" w:hAnsi="Times New Roman" w:cs="Times New Roman"/>
          <w:b/>
        </w:rPr>
        <w:t>7</w:t>
      </w:r>
    </w:p>
    <w:p w:rsidR="00D2655C" w:rsidRPr="00E24274" w:rsidRDefault="00D2655C" w:rsidP="00591C91">
      <w:pPr>
        <w:pStyle w:val="ARTartustawynprozporzdzenia"/>
        <w:spacing w:before="0"/>
        <w:ind w:firstLine="0"/>
        <w:rPr>
          <w:rFonts w:ascii="Times New Roman" w:hAnsi="Times New Roman" w:cs="Times New Roman"/>
        </w:rPr>
      </w:pPr>
      <w:r w:rsidRPr="00E24274">
        <w:rPr>
          <w:rFonts w:ascii="Times New Roman" w:hAnsi="Times New Roman" w:cs="Times New Roman"/>
        </w:rPr>
        <w:t xml:space="preserve">Przepis ten przesądza, że wprowadzenie tzw. </w:t>
      </w:r>
      <w:r w:rsidR="00E24274">
        <w:rPr>
          <w:rFonts w:ascii="Times New Roman" w:hAnsi="Times New Roman" w:cs="Times New Roman"/>
        </w:rPr>
        <w:t>„</w:t>
      </w:r>
      <w:r w:rsidRPr="00E24274">
        <w:rPr>
          <w:rFonts w:ascii="Times New Roman" w:hAnsi="Times New Roman" w:cs="Times New Roman"/>
        </w:rPr>
        <w:t>wspólnego kontraktowania</w:t>
      </w:r>
      <w:r w:rsidR="00E24274">
        <w:rPr>
          <w:rFonts w:ascii="Times New Roman" w:hAnsi="Times New Roman" w:cs="Times New Roman"/>
        </w:rPr>
        <w:t>”</w:t>
      </w:r>
      <w:r w:rsidRPr="00E24274">
        <w:rPr>
          <w:rFonts w:ascii="Times New Roman" w:hAnsi="Times New Roman" w:cs="Times New Roman"/>
        </w:rPr>
        <w:t xml:space="preserve"> w zakresie wskazanym w art. 44 ust. 2 i 4 projektu nie stanowi podstawy do wypowiedzenia umowy </w:t>
      </w:r>
      <w:r w:rsidR="00084DB2" w:rsidRPr="00E24274">
        <w:rPr>
          <w:rFonts w:ascii="Times New Roman" w:hAnsi="Times New Roman" w:cs="Times New Roman"/>
        </w:rPr>
        <w:t xml:space="preserve">o </w:t>
      </w:r>
      <w:r w:rsidRPr="00E24274">
        <w:rPr>
          <w:rFonts w:ascii="Times New Roman" w:hAnsi="Times New Roman" w:cs="Times New Roman"/>
        </w:rPr>
        <w:t xml:space="preserve">korzystanie z utworów lub przedmiotów praw pokrewnych lub pobór wynagrodzenia za takie korzystanie zawartej przed dniem wejścia w życie tego przepisu. Rozwiązanie to służy uniknięciu sytuacji, w której wprowadzenie rozwiązań służących bardziej efektywnemu działaniu systemu zbiorowego zarządzania mogłoby być nadużywane przez niektórych użytkowników </w:t>
      </w:r>
      <w:r w:rsidR="00591C91">
        <w:rPr>
          <w:rFonts w:ascii="Times New Roman" w:hAnsi="Times New Roman" w:cs="Times New Roman"/>
        </w:rPr>
        <w:t>do wypowiadania wiążących ich z </w:t>
      </w:r>
      <w:r w:rsidRPr="00E24274">
        <w:rPr>
          <w:rFonts w:ascii="Times New Roman" w:hAnsi="Times New Roman" w:cs="Times New Roman"/>
        </w:rPr>
        <w:t xml:space="preserve">organizacjami umów licencyjnych lub związanych z poborem wynagrodzeń. </w:t>
      </w:r>
    </w:p>
    <w:p w:rsidR="00D2655C" w:rsidRPr="00E24274" w:rsidRDefault="00D2655C" w:rsidP="00E24274">
      <w:pPr>
        <w:spacing w:before="120" w:after="0" w:line="360" w:lineRule="auto"/>
        <w:jc w:val="both"/>
        <w:rPr>
          <w:rFonts w:ascii="Times New Roman" w:hAnsi="Times New Roman"/>
          <w:b/>
          <w:sz w:val="24"/>
          <w:szCs w:val="24"/>
          <w:lang w:eastAsia="pl-PL"/>
        </w:rPr>
      </w:pPr>
      <w:r w:rsidRPr="00E24274">
        <w:rPr>
          <w:rFonts w:ascii="Times New Roman" w:hAnsi="Times New Roman"/>
          <w:b/>
          <w:sz w:val="24"/>
          <w:szCs w:val="24"/>
          <w:lang w:eastAsia="pl-PL"/>
        </w:rPr>
        <w:t>art. 12</w:t>
      </w:r>
      <w:r w:rsidR="00084DB2" w:rsidRPr="00E24274">
        <w:rPr>
          <w:rFonts w:ascii="Times New Roman" w:hAnsi="Times New Roman"/>
          <w:b/>
          <w:sz w:val="24"/>
          <w:szCs w:val="24"/>
          <w:lang w:eastAsia="pl-PL"/>
        </w:rPr>
        <w:t>8</w:t>
      </w:r>
    </w:p>
    <w:p w:rsidR="00D2655C" w:rsidRPr="00E24274" w:rsidRDefault="00D2655C" w:rsidP="00591C91">
      <w:pPr>
        <w:spacing w:after="0" w:line="360" w:lineRule="auto"/>
        <w:jc w:val="both"/>
        <w:rPr>
          <w:rFonts w:ascii="Times New Roman" w:hAnsi="Times New Roman"/>
          <w:sz w:val="24"/>
          <w:szCs w:val="24"/>
          <w:lang w:eastAsia="pl-PL"/>
        </w:rPr>
      </w:pPr>
      <w:r w:rsidRPr="00E24274">
        <w:rPr>
          <w:rFonts w:ascii="Times New Roman" w:hAnsi="Times New Roman"/>
          <w:sz w:val="24"/>
          <w:szCs w:val="24"/>
          <w:lang w:eastAsia="pl-PL"/>
        </w:rPr>
        <w:t>1. Projektowany art. 12</w:t>
      </w:r>
      <w:r w:rsidR="00084DB2" w:rsidRPr="00E24274">
        <w:rPr>
          <w:rFonts w:ascii="Times New Roman" w:hAnsi="Times New Roman"/>
          <w:sz w:val="24"/>
          <w:szCs w:val="24"/>
          <w:lang w:eastAsia="pl-PL"/>
        </w:rPr>
        <w:t>8</w:t>
      </w:r>
      <w:r w:rsidRPr="00E24274">
        <w:rPr>
          <w:rFonts w:ascii="Times New Roman" w:hAnsi="Times New Roman"/>
          <w:sz w:val="24"/>
          <w:szCs w:val="24"/>
          <w:lang w:eastAsia="pl-PL"/>
        </w:rPr>
        <w:t xml:space="preserve"> reguluje kwestię wygaśnięcia kadencji Komisji (ust. 1), rozpoczęcia procedury powoływania arbitrów Ko</w:t>
      </w:r>
      <w:r w:rsidR="00591C91">
        <w:rPr>
          <w:rFonts w:ascii="Times New Roman" w:hAnsi="Times New Roman"/>
          <w:sz w:val="24"/>
          <w:szCs w:val="24"/>
          <w:lang w:eastAsia="pl-PL"/>
        </w:rPr>
        <w:t>misji na zasadach określonych w </w:t>
      </w:r>
      <w:r w:rsidRPr="00E24274">
        <w:rPr>
          <w:rFonts w:ascii="Times New Roman" w:hAnsi="Times New Roman"/>
          <w:sz w:val="24"/>
          <w:szCs w:val="24"/>
          <w:lang w:eastAsia="pl-PL"/>
        </w:rPr>
        <w:t xml:space="preserve">projektowanej ustawie (ust. 2) oraz umorzenia z mocy prawa postępowań toczących się przed Komisją oraz niektórych postępowań w przedmiocie zatwierdzenia tabel wynagrodzeń toczących się przed sądem, które nie zostały zakończone do dnia wejścia w życie projektowanej ustawy (ust. 3). Jego celem jest więc jednoznaczne określenie sytuacji prawnej w tym zakresie i umożliwienie funkcjonowania Komisji we wszystkich koniecznych aspektach w oparciu o nową regulację. </w:t>
      </w:r>
    </w:p>
    <w:p w:rsidR="00D2655C" w:rsidRPr="00E24274" w:rsidRDefault="00D2655C" w:rsidP="00E24274">
      <w:pPr>
        <w:spacing w:before="120" w:after="0" w:line="360" w:lineRule="auto"/>
        <w:jc w:val="both"/>
        <w:rPr>
          <w:rFonts w:ascii="Times New Roman" w:hAnsi="Times New Roman"/>
          <w:bCs/>
          <w:sz w:val="24"/>
          <w:szCs w:val="24"/>
          <w:lang w:eastAsia="pl-PL"/>
        </w:rPr>
      </w:pPr>
      <w:r w:rsidRPr="00E24274">
        <w:rPr>
          <w:rFonts w:ascii="Times New Roman" w:hAnsi="Times New Roman"/>
          <w:sz w:val="24"/>
          <w:szCs w:val="24"/>
          <w:lang w:eastAsia="pl-PL"/>
        </w:rPr>
        <w:t>2. Ust. 1</w:t>
      </w:r>
      <w:r w:rsidR="00B85D46">
        <w:rPr>
          <w:rFonts w:ascii="Times New Roman" w:hAnsi="Times New Roman"/>
          <w:sz w:val="24"/>
          <w:szCs w:val="24"/>
          <w:lang w:eastAsia="pl-PL"/>
        </w:rPr>
        <w:t>–</w:t>
      </w:r>
      <w:r w:rsidRPr="00E24274">
        <w:rPr>
          <w:rFonts w:ascii="Times New Roman" w:hAnsi="Times New Roman"/>
          <w:sz w:val="24"/>
          <w:szCs w:val="24"/>
          <w:lang w:eastAsia="pl-PL"/>
        </w:rPr>
        <w:t xml:space="preserve">2 </w:t>
      </w:r>
      <w:r w:rsidRPr="00E24274">
        <w:rPr>
          <w:rFonts w:ascii="Times New Roman" w:hAnsi="Times New Roman"/>
          <w:bCs/>
          <w:sz w:val="24"/>
          <w:szCs w:val="24"/>
          <w:lang w:eastAsia="pl-PL"/>
        </w:rPr>
        <w:t xml:space="preserve">umożliwią ministrowi </w:t>
      </w:r>
      <w:r w:rsidRPr="00E24274">
        <w:rPr>
          <w:rFonts w:ascii="Times New Roman" w:hAnsi="Times New Roman"/>
          <w:sz w:val="24"/>
          <w:szCs w:val="24"/>
        </w:rPr>
        <w:t>właściwemu do spraw kultury i ochrony dziedzictwa narodowego</w:t>
      </w:r>
      <w:r w:rsidRPr="00E24274">
        <w:rPr>
          <w:rFonts w:ascii="Times New Roman" w:hAnsi="Times New Roman"/>
          <w:bCs/>
          <w:sz w:val="24"/>
          <w:szCs w:val="24"/>
          <w:lang w:eastAsia="pl-PL"/>
        </w:rPr>
        <w:t xml:space="preserve"> rozpoczęcie procedury powoływania arbitrów Komisji na zasadach określonych w projektowanej ustawie (art. 63</w:t>
      </w:r>
      <w:r w:rsidR="00B85D46">
        <w:rPr>
          <w:rFonts w:ascii="Times New Roman" w:hAnsi="Times New Roman"/>
          <w:bCs/>
          <w:sz w:val="24"/>
          <w:szCs w:val="24"/>
          <w:lang w:eastAsia="pl-PL"/>
        </w:rPr>
        <w:t>–</w:t>
      </w:r>
      <w:r w:rsidRPr="00E24274">
        <w:rPr>
          <w:rFonts w:ascii="Times New Roman" w:hAnsi="Times New Roman"/>
          <w:bCs/>
          <w:sz w:val="24"/>
          <w:szCs w:val="24"/>
          <w:lang w:eastAsia="pl-PL"/>
        </w:rPr>
        <w:t>64 projektu).</w:t>
      </w:r>
    </w:p>
    <w:p w:rsidR="00D2655C" w:rsidRPr="00E24274" w:rsidRDefault="00D2655C" w:rsidP="00E24274">
      <w:pPr>
        <w:spacing w:before="120" w:after="0" w:line="360" w:lineRule="auto"/>
        <w:jc w:val="both"/>
        <w:rPr>
          <w:rFonts w:ascii="Times New Roman" w:hAnsi="Times New Roman"/>
          <w:sz w:val="24"/>
          <w:szCs w:val="24"/>
        </w:rPr>
      </w:pPr>
      <w:r w:rsidRPr="00E24274">
        <w:rPr>
          <w:rFonts w:ascii="Times New Roman" w:hAnsi="Times New Roman"/>
          <w:bCs/>
          <w:sz w:val="24"/>
          <w:szCs w:val="24"/>
          <w:lang w:eastAsia="pl-PL"/>
        </w:rPr>
        <w:t xml:space="preserve">3. Projektowana zmiana przepisów </w:t>
      </w:r>
      <w:r w:rsidRPr="00E24274">
        <w:rPr>
          <w:rFonts w:ascii="Times New Roman" w:hAnsi="Times New Roman"/>
          <w:sz w:val="24"/>
          <w:szCs w:val="24"/>
          <w:lang w:eastAsia="pl-PL"/>
        </w:rPr>
        <w:t>dotyczących postępowań toczących się przed Komisją oraz kontroli sądowej jej decyzji, która jest związana z poddaniem jej regułom postępowania administracyjnego</w:t>
      </w:r>
      <w:r w:rsidR="00CE6CDE">
        <w:rPr>
          <w:rFonts w:ascii="Times New Roman" w:hAnsi="Times New Roman"/>
          <w:sz w:val="24"/>
          <w:szCs w:val="24"/>
          <w:lang w:eastAsia="pl-PL"/>
        </w:rPr>
        <w:t>,</w:t>
      </w:r>
      <w:r w:rsidRPr="00E24274">
        <w:rPr>
          <w:rFonts w:ascii="Times New Roman" w:hAnsi="Times New Roman"/>
          <w:sz w:val="24"/>
          <w:szCs w:val="24"/>
          <w:lang w:eastAsia="pl-PL"/>
        </w:rPr>
        <w:t xml:space="preserve"> oraz wnioski płynące z obserwacji dotychczasowego przebiegu i efektu postępowań prowadzonych od 2010 r. prowadzą do wniosku, że umorzenie niezakończonych postępowań dotyczących tabel wynagrodzeń z mocy prawa jest jedynym racjonalnym rozwiązaniem. Równocześnie jednak zasadne jest </w:t>
      </w:r>
      <w:r w:rsidRPr="00E24274">
        <w:rPr>
          <w:rFonts w:ascii="Times New Roman" w:hAnsi="Times New Roman"/>
          <w:sz w:val="24"/>
          <w:szCs w:val="24"/>
          <w:lang w:eastAsia="pl-PL"/>
        </w:rPr>
        <w:lastRenderedPageBreak/>
        <w:t>dokończenie toczących</w:t>
      </w:r>
      <w:r w:rsidR="00CE6CDE">
        <w:rPr>
          <w:rFonts w:ascii="Times New Roman" w:hAnsi="Times New Roman"/>
          <w:sz w:val="24"/>
          <w:szCs w:val="24"/>
          <w:lang w:eastAsia="pl-PL"/>
        </w:rPr>
        <w:t xml:space="preserve"> się</w:t>
      </w:r>
      <w:r w:rsidRPr="00E24274">
        <w:rPr>
          <w:rFonts w:ascii="Times New Roman" w:hAnsi="Times New Roman"/>
          <w:sz w:val="24"/>
          <w:szCs w:val="24"/>
          <w:lang w:eastAsia="pl-PL"/>
        </w:rPr>
        <w:t xml:space="preserve"> przed sądem postępowań w sprawie zatwierdzenia tabel wynagrodzeń na tych polach eksploatacji, w odniesieniu do których projektowane przepisy dotyczą pól eksploatacji, na których istnienie tabel wynagrodzeń ma istotne znaczenie praktyczne, zapewniające bezpieczeńs</w:t>
      </w:r>
      <w:r w:rsidR="00591C91">
        <w:rPr>
          <w:rFonts w:ascii="Times New Roman" w:hAnsi="Times New Roman"/>
          <w:sz w:val="24"/>
          <w:szCs w:val="24"/>
          <w:lang w:eastAsia="pl-PL"/>
        </w:rPr>
        <w:t>two prawne użytkownikom i </w:t>
      </w:r>
      <w:r w:rsidRPr="00E24274">
        <w:rPr>
          <w:rFonts w:ascii="Times New Roman" w:hAnsi="Times New Roman"/>
          <w:sz w:val="24"/>
          <w:szCs w:val="24"/>
          <w:lang w:eastAsia="pl-PL"/>
        </w:rPr>
        <w:t xml:space="preserve">ułatwiające udzielanie licencji. Projektowany ust. 3 dotyczy spraw będących na etapie sądowym, a więc w których zakończono postępowanie przed Komisją Prawa Autorskiego. Taki stopień zaawansowania sprawy uzasadnia dokończenie postępowań w przypadkach, w których istnienie zatwierdzonych tabel wynagrodzeń wynika z pilnej potrzeby uporządkowania rynku. Postępowania te powinny się toczyć na podstawie przepisów dotychczasowych. </w:t>
      </w:r>
    </w:p>
    <w:p w:rsidR="00D2655C" w:rsidRPr="00E24274" w:rsidRDefault="00D2655C" w:rsidP="00E24274">
      <w:pPr>
        <w:spacing w:before="120" w:after="0" w:line="360" w:lineRule="auto"/>
        <w:jc w:val="both"/>
        <w:rPr>
          <w:rFonts w:ascii="Times New Roman" w:hAnsi="Times New Roman"/>
          <w:sz w:val="24"/>
          <w:szCs w:val="24"/>
        </w:rPr>
      </w:pPr>
      <w:r w:rsidRPr="00E24274">
        <w:rPr>
          <w:rFonts w:ascii="Times New Roman" w:hAnsi="Times New Roman"/>
          <w:sz w:val="24"/>
          <w:szCs w:val="24"/>
          <w:lang w:eastAsia="pl-PL"/>
        </w:rPr>
        <w:t xml:space="preserve">4. Ust. 4 wprowadza termin na wykonanie obowiązku </w:t>
      </w:r>
      <w:r w:rsidRPr="00E24274">
        <w:rPr>
          <w:rFonts w:ascii="Times New Roman" w:hAnsi="Times New Roman"/>
          <w:sz w:val="24"/>
          <w:szCs w:val="24"/>
        </w:rPr>
        <w:t>złożenia przez organizację wspólnego wniosku o zatwierdzenie wspólnej tabeli wynagrodzeń na pobór wynagrodzenia, o którym mowa w art. 70 ust. 2</w:t>
      </w:r>
      <w:r w:rsidRPr="00E24274">
        <w:rPr>
          <w:rFonts w:ascii="Times New Roman" w:hAnsi="Times New Roman"/>
          <w:sz w:val="24"/>
          <w:szCs w:val="24"/>
          <w:vertAlign w:val="superscript"/>
        </w:rPr>
        <w:t>1</w:t>
      </w:r>
      <w:r w:rsidRPr="00E24274">
        <w:rPr>
          <w:rFonts w:ascii="Times New Roman" w:hAnsi="Times New Roman"/>
          <w:sz w:val="24"/>
          <w:szCs w:val="24"/>
        </w:rPr>
        <w:t xml:space="preserve"> pk</w:t>
      </w:r>
      <w:r w:rsidR="00591C91">
        <w:rPr>
          <w:rFonts w:ascii="Times New Roman" w:hAnsi="Times New Roman"/>
          <w:sz w:val="24"/>
          <w:szCs w:val="24"/>
        </w:rPr>
        <w:t>t 1 ustawy o prawie autorskim i </w:t>
      </w:r>
      <w:r w:rsidRPr="00E24274">
        <w:rPr>
          <w:rFonts w:ascii="Times New Roman" w:hAnsi="Times New Roman"/>
          <w:sz w:val="24"/>
          <w:szCs w:val="24"/>
        </w:rPr>
        <w:t>prawach pokrewnych. Termin ten określony został na 3 miesiące i liczony jest od dnia powołania arbitrów Komisji na podstawie ust. 2.</w:t>
      </w:r>
    </w:p>
    <w:p w:rsidR="00D2655C" w:rsidRPr="00E24274" w:rsidRDefault="00D2655C" w:rsidP="00E24274">
      <w:pPr>
        <w:spacing w:before="120" w:after="0" w:line="360" w:lineRule="auto"/>
        <w:jc w:val="both"/>
        <w:rPr>
          <w:rFonts w:ascii="Times New Roman" w:hAnsi="Times New Roman"/>
          <w:b/>
          <w:sz w:val="24"/>
          <w:szCs w:val="24"/>
          <w:lang w:eastAsia="pl-PL"/>
        </w:rPr>
      </w:pPr>
      <w:r w:rsidRPr="00E24274">
        <w:rPr>
          <w:rFonts w:ascii="Times New Roman" w:hAnsi="Times New Roman"/>
          <w:b/>
          <w:sz w:val="24"/>
          <w:szCs w:val="24"/>
          <w:lang w:eastAsia="pl-PL"/>
        </w:rPr>
        <w:t>art. 12</w:t>
      </w:r>
      <w:r w:rsidR="008C632B" w:rsidRPr="00E24274">
        <w:rPr>
          <w:rFonts w:ascii="Times New Roman" w:hAnsi="Times New Roman"/>
          <w:b/>
          <w:sz w:val="24"/>
          <w:szCs w:val="24"/>
          <w:lang w:eastAsia="pl-PL"/>
        </w:rPr>
        <w:t>9</w:t>
      </w:r>
    </w:p>
    <w:p w:rsidR="00D2655C" w:rsidRPr="00E24274" w:rsidRDefault="00D2655C" w:rsidP="00591C91">
      <w:pPr>
        <w:spacing w:after="0" w:line="360" w:lineRule="auto"/>
        <w:jc w:val="both"/>
        <w:rPr>
          <w:rFonts w:ascii="Times New Roman" w:hAnsi="Times New Roman"/>
          <w:sz w:val="24"/>
          <w:szCs w:val="24"/>
          <w:lang w:eastAsia="pl-PL"/>
        </w:rPr>
      </w:pPr>
      <w:r w:rsidRPr="00E24274">
        <w:rPr>
          <w:rFonts w:ascii="Times New Roman" w:hAnsi="Times New Roman"/>
          <w:sz w:val="24"/>
          <w:szCs w:val="24"/>
          <w:lang w:eastAsia="pl-PL"/>
        </w:rPr>
        <w:t>Zgodnie z projektowanym art. 12</w:t>
      </w:r>
      <w:r w:rsidR="008C632B" w:rsidRPr="00E24274">
        <w:rPr>
          <w:rFonts w:ascii="Times New Roman" w:hAnsi="Times New Roman"/>
          <w:sz w:val="24"/>
          <w:szCs w:val="24"/>
          <w:lang w:eastAsia="pl-PL"/>
        </w:rPr>
        <w:t>9</w:t>
      </w:r>
      <w:r w:rsidRPr="00E24274">
        <w:rPr>
          <w:rFonts w:ascii="Times New Roman" w:hAnsi="Times New Roman"/>
          <w:sz w:val="24"/>
          <w:szCs w:val="24"/>
          <w:lang w:eastAsia="pl-PL"/>
        </w:rPr>
        <w:t xml:space="preserve"> tabele wynagrodzeń prawomocnie zatwierdzone na podstawie przepisów obowiązujących do dnia 31 sierpnia 2006 r. tracą moc. Uzasadniając powyższy przepis, należy wyjaśnić, że tabele wynagrodzeń, których on dotyczy, były zatwierdzane na podstawie art. 108 ust. 3 pr. aut. w wersji zakwestionowanej przez TK w wyroku z dnia 26 stycznia 2006 r. (sygn. akt SK 40/04). W celu wykonania tego wyroku doszło do uchwalenia ustawy z dni</w:t>
      </w:r>
      <w:r w:rsidR="00591C91">
        <w:rPr>
          <w:rFonts w:ascii="Times New Roman" w:hAnsi="Times New Roman"/>
          <w:sz w:val="24"/>
          <w:szCs w:val="24"/>
          <w:lang w:eastAsia="pl-PL"/>
        </w:rPr>
        <w:t>a 8 lipca 2010 r. o </w:t>
      </w:r>
      <w:r w:rsidRPr="00E24274">
        <w:rPr>
          <w:rFonts w:ascii="Times New Roman" w:hAnsi="Times New Roman"/>
          <w:sz w:val="24"/>
          <w:szCs w:val="24"/>
          <w:lang w:eastAsia="pl-PL"/>
        </w:rPr>
        <w:t>zmianie ustawy o prawie autorskim i prawach pokrewnych oraz ustawy o kosztach sądowych w sprawach cywilnych. Ustawa ta zawierała przepis przejściowy (art. 3 ust. 6 zd. 2), zgodnie z którym – pod pewnymi warunkami – prawomocnie zatwierdzone tabele wynagrodzeń w stanie prawnym obowiązującym przed 31 sierpnia 2006 r. zachowywały moc do czasu prawomocnego rozstrzygnięcia w sprawie zatwierdzenia nowych tabel wynagrodzeń w trybie określonym przez wzmiankowaną ustawę z 2010 r. W konsekwencji – ze względu na różnor</w:t>
      </w:r>
      <w:r w:rsidR="00591C91">
        <w:rPr>
          <w:rFonts w:ascii="Times New Roman" w:hAnsi="Times New Roman"/>
          <w:sz w:val="24"/>
          <w:szCs w:val="24"/>
          <w:lang w:eastAsia="pl-PL"/>
        </w:rPr>
        <w:t>odne rozstrzygnięcia wydawane w </w:t>
      </w:r>
      <w:r w:rsidRPr="00E24274">
        <w:rPr>
          <w:rFonts w:ascii="Times New Roman" w:hAnsi="Times New Roman"/>
          <w:sz w:val="24"/>
          <w:szCs w:val="24"/>
          <w:lang w:eastAsia="pl-PL"/>
        </w:rPr>
        <w:t>obowiązującym stanie prawnym przez Komisję oraz sądy powszechne – część tabel wynagrodzeń zatwierdzonych na podstawie przepisów uznanych przez TK za niezgodne z Konstytucją jest nadal stosowana. Przepis przejściowy zmierza do ostatecznego uregulowania tej kwestii i jednoznacznego określenia sytuacji prawnej w tym zakresie.</w:t>
      </w:r>
    </w:p>
    <w:p w:rsidR="00D2655C" w:rsidRPr="00E24274" w:rsidRDefault="00D2655C" w:rsidP="00E24274">
      <w:pPr>
        <w:spacing w:before="120" w:after="0" w:line="360" w:lineRule="auto"/>
        <w:jc w:val="both"/>
        <w:rPr>
          <w:rFonts w:ascii="Times New Roman" w:hAnsi="Times New Roman"/>
          <w:b/>
          <w:sz w:val="24"/>
          <w:szCs w:val="24"/>
          <w:lang w:eastAsia="pl-PL"/>
        </w:rPr>
      </w:pPr>
      <w:r w:rsidRPr="00E24274">
        <w:rPr>
          <w:rFonts w:ascii="Times New Roman" w:hAnsi="Times New Roman"/>
          <w:b/>
          <w:sz w:val="24"/>
          <w:szCs w:val="24"/>
          <w:lang w:eastAsia="pl-PL"/>
        </w:rPr>
        <w:lastRenderedPageBreak/>
        <w:t>art. 1</w:t>
      </w:r>
      <w:r w:rsidR="008C632B" w:rsidRPr="00E24274">
        <w:rPr>
          <w:rFonts w:ascii="Times New Roman" w:hAnsi="Times New Roman"/>
          <w:b/>
          <w:sz w:val="24"/>
          <w:szCs w:val="24"/>
          <w:lang w:eastAsia="pl-PL"/>
        </w:rPr>
        <w:t>30</w:t>
      </w:r>
    </w:p>
    <w:p w:rsidR="00D2655C" w:rsidRPr="00E24274" w:rsidRDefault="00D2655C" w:rsidP="00591C91">
      <w:pPr>
        <w:spacing w:after="0" w:line="360" w:lineRule="auto"/>
        <w:jc w:val="both"/>
        <w:rPr>
          <w:rFonts w:ascii="Times New Roman" w:hAnsi="Times New Roman"/>
          <w:bCs/>
          <w:sz w:val="24"/>
          <w:szCs w:val="24"/>
          <w:lang w:eastAsia="pl-PL"/>
        </w:rPr>
      </w:pPr>
      <w:r w:rsidRPr="00E24274">
        <w:rPr>
          <w:rFonts w:ascii="Times New Roman" w:hAnsi="Times New Roman"/>
          <w:sz w:val="24"/>
          <w:szCs w:val="24"/>
          <w:lang w:eastAsia="pl-PL"/>
        </w:rPr>
        <w:t>1. Zgodnie z art. 1</w:t>
      </w:r>
      <w:r w:rsidR="008C632B" w:rsidRPr="00E24274">
        <w:rPr>
          <w:rFonts w:ascii="Times New Roman" w:hAnsi="Times New Roman"/>
          <w:sz w:val="24"/>
          <w:szCs w:val="24"/>
          <w:lang w:eastAsia="pl-PL"/>
        </w:rPr>
        <w:t>30</w:t>
      </w:r>
      <w:r w:rsidRPr="00E24274">
        <w:rPr>
          <w:rFonts w:ascii="Times New Roman" w:hAnsi="Times New Roman"/>
          <w:sz w:val="24"/>
          <w:szCs w:val="24"/>
          <w:lang w:eastAsia="pl-PL"/>
        </w:rPr>
        <w:t xml:space="preserve"> ust. 1 projektu tabele wynagrodzeń prawomocnie zatwierdzone na podstawie przepisów obowiązujących do dnia wejścia w życia niniejszej ustawy zachowują moc. Powyższy projekt przepisu dotyczy tabel wynagrodzeń prawomocnie zatwierdzonych na podstawie przepisów wprowadzonych </w:t>
      </w:r>
      <w:r w:rsidRPr="00E24274">
        <w:rPr>
          <w:rFonts w:ascii="Times New Roman" w:hAnsi="Times New Roman"/>
          <w:bCs/>
          <w:sz w:val="24"/>
          <w:szCs w:val="24"/>
          <w:lang w:eastAsia="pl-PL"/>
        </w:rPr>
        <w:t xml:space="preserve">ustawą z dnia 8 lipca 2010 r. o zmianie ustawy o prawie autorskim i prawach pokrewnych oraz ustawy o kosztach sądowych w sprawach cywilnych. Celem powyższego przepisu jest zachowanie dorobku Komisji, czyli przede wszystkim </w:t>
      </w:r>
      <w:r w:rsidR="00E24274">
        <w:rPr>
          <w:rFonts w:ascii="Times New Roman" w:hAnsi="Times New Roman"/>
          <w:bCs/>
          <w:sz w:val="24"/>
          <w:szCs w:val="24"/>
          <w:lang w:eastAsia="pl-PL"/>
        </w:rPr>
        <w:t>„</w:t>
      </w:r>
      <w:r w:rsidRPr="00E24274">
        <w:rPr>
          <w:rFonts w:ascii="Times New Roman" w:hAnsi="Times New Roman"/>
          <w:bCs/>
          <w:sz w:val="24"/>
          <w:szCs w:val="24"/>
          <w:lang w:eastAsia="pl-PL"/>
        </w:rPr>
        <w:t>Tabeli stawek wynagrodzeń za odtwarzanie utworów i przedmiotów praw pokrewnych</w:t>
      </w:r>
      <w:r w:rsidR="00E24274">
        <w:rPr>
          <w:rFonts w:ascii="Times New Roman" w:hAnsi="Times New Roman"/>
          <w:bCs/>
          <w:sz w:val="24"/>
          <w:szCs w:val="24"/>
          <w:lang w:eastAsia="pl-PL"/>
        </w:rPr>
        <w:t>”</w:t>
      </w:r>
      <w:r w:rsidRPr="00E24274">
        <w:rPr>
          <w:rFonts w:ascii="Times New Roman" w:hAnsi="Times New Roman"/>
          <w:bCs/>
          <w:sz w:val="24"/>
          <w:szCs w:val="24"/>
          <w:lang w:eastAsia="pl-PL"/>
        </w:rPr>
        <w:t xml:space="preserve"> zatwierdzonej orzeczeniem Komisji z dnia 10 lipca 2013 r. (sygn. akt sprawy DWIM.PZ-006/1-5/12), które ma istotne znaczenie porządkujące dla podmiotów działających na tym rynku.</w:t>
      </w:r>
    </w:p>
    <w:p w:rsidR="00D2655C" w:rsidRPr="00E24274" w:rsidRDefault="00D2655C" w:rsidP="00E24274">
      <w:pPr>
        <w:spacing w:before="120" w:after="0" w:line="360" w:lineRule="auto"/>
        <w:jc w:val="both"/>
        <w:rPr>
          <w:rFonts w:ascii="Times New Roman" w:hAnsi="Times New Roman"/>
          <w:bCs/>
          <w:sz w:val="24"/>
          <w:szCs w:val="24"/>
          <w:highlight w:val="yellow"/>
          <w:lang w:eastAsia="pl-PL"/>
        </w:rPr>
      </w:pPr>
      <w:r w:rsidRPr="00E24274">
        <w:rPr>
          <w:rFonts w:ascii="Times New Roman" w:hAnsi="Times New Roman"/>
          <w:bCs/>
          <w:sz w:val="24"/>
          <w:szCs w:val="24"/>
          <w:lang w:eastAsia="pl-PL"/>
        </w:rPr>
        <w:t>2. Z kolei zgodnie z projektowanym ust. 2 na przewodniczącego Komisji zostanie nałożony obowiązek wszczęcia z urzędu postępowania w przedmiocie podziału stawki wynagrodzeń pomiędzy poszczególne organ</w:t>
      </w:r>
      <w:r w:rsidR="00591C91">
        <w:rPr>
          <w:rFonts w:ascii="Times New Roman" w:hAnsi="Times New Roman"/>
          <w:bCs/>
          <w:sz w:val="24"/>
          <w:szCs w:val="24"/>
          <w:lang w:eastAsia="pl-PL"/>
        </w:rPr>
        <w:t>izacje zbiorowego zarządzania w </w:t>
      </w:r>
      <w:r w:rsidRPr="00E24274">
        <w:rPr>
          <w:rFonts w:ascii="Times New Roman" w:hAnsi="Times New Roman"/>
          <w:bCs/>
          <w:sz w:val="24"/>
          <w:szCs w:val="24"/>
          <w:lang w:eastAsia="pl-PL"/>
        </w:rPr>
        <w:t xml:space="preserve">odniesieniu do wspólnych tabel wynagrodzeń, które nie spełniają warunku określonego w art. 74 ust. 1 pkt 4 projektu (tzn. nie określają podziału stawek </w:t>
      </w:r>
      <w:r w:rsidRPr="00E24274">
        <w:rPr>
          <w:rFonts w:ascii="Times New Roman" w:hAnsi="Times New Roman"/>
          <w:sz w:val="24"/>
          <w:szCs w:val="24"/>
        </w:rPr>
        <w:t xml:space="preserve">wynagrodzenia przysługującego poszczególnym kategoriom uprawnionych na poszczególne organizacje). </w:t>
      </w:r>
      <w:r w:rsidRPr="00E24274">
        <w:rPr>
          <w:rFonts w:ascii="Times New Roman" w:hAnsi="Times New Roman"/>
          <w:bCs/>
          <w:sz w:val="24"/>
          <w:szCs w:val="24"/>
          <w:lang w:eastAsia="pl-PL"/>
        </w:rPr>
        <w:t xml:space="preserve">Powyższy obowiązek przewodniczący Komisji będzie musiał spełnić w terminie miesiąca od dnia powołania Komisji na zasadach określonych w projekcie. Wskazany problem dotyczy w szczególności podziału stawek wynagrodzeń określonych we wspomnianej </w:t>
      </w:r>
      <w:r w:rsidR="00E24274">
        <w:rPr>
          <w:rFonts w:ascii="Times New Roman" w:hAnsi="Times New Roman"/>
          <w:bCs/>
          <w:sz w:val="24"/>
          <w:szCs w:val="24"/>
          <w:lang w:eastAsia="pl-PL"/>
        </w:rPr>
        <w:t>„</w:t>
      </w:r>
      <w:r w:rsidRPr="00E24274">
        <w:rPr>
          <w:rFonts w:ascii="Times New Roman" w:hAnsi="Times New Roman"/>
          <w:bCs/>
          <w:sz w:val="24"/>
          <w:szCs w:val="24"/>
          <w:lang w:eastAsia="pl-PL"/>
        </w:rPr>
        <w:t>Tabeli stawek wynagrodzeń za odtwarzanie utworów i przedmiotów praw pokrewnych</w:t>
      </w:r>
      <w:r w:rsidR="00E24274">
        <w:rPr>
          <w:rFonts w:ascii="Times New Roman" w:hAnsi="Times New Roman"/>
          <w:bCs/>
          <w:sz w:val="24"/>
          <w:szCs w:val="24"/>
          <w:lang w:eastAsia="pl-PL"/>
        </w:rPr>
        <w:t>”</w:t>
      </w:r>
      <w:r w:rsidRPr="00E24274">
        <w:rPr>
          <w:rFonts w:ascii="Times New Roman" w:hAnsi="Times New Roman"/>
          <w:bCs/>
          <w:sz w:val="24"/>
          <w:szCs w:val="24"/>
          <w:lang w:eastAsia="pl-PL"/>
        </w:rPr>
        <w:t xml:space="preserve">. W tym orzeczeniu Komisja zatwierdziła stawki wynagrodzeń nie dla poszczególnych organizacji zbiorowego zarządzania, lecz wyłącznie dla poszczególnych kategorii uprawnionych, tj. twórców, artystów wykonawców oraz producentów. W konsekwencji z powyższego orzeczenia nie wynika, jaka część zatwierdzonej stawki wynagrodzeń dla danej kategorii uprawnionych należna jest poszczególnym organizacjom zbiorowego zarządzania, których repertuar składał się na daną stawkę. W praktyce podział ten został dokonany na podstawie porozumień zawartych pomiędzy organizacjami zbiorowego zarządzania m.in. przy mediacji </w:t>
      </w:r>
      <w:r w:rsidRPr="00E24274">
        <w:rPr>
          <w:rFonts w:ascii="Times New Roman" w:hAnsi="Times New Roman"/>
          <w:sz w:val="24"/>
          <w:szCs w:val="24"/>
        </w:rPr>
        <w:t>Ministra Kultury i Dziedzictwa Narodowego</w:t>
      </w:r>
      <w:r w:rsidRPr="00E24274">
        <w:rPr>
          <w:rFonts w:ascii="Times New Roman" w:hAnsi="Times New Roman"/>
          <w:bCs/>
          <w:sz w:val="24"/>
          <w:szCs w:val="24"/>
          <w:lang w:eastAsia="pl-PL"/>
        </w:rPr>
        <w:t xml:space="preserve">. Rozwiązanie takie nie jest jednak pożądane w dłuższej perspektywie czasu, gdyż opiera się na porozumieniu organizacji (które – jak każda umowa – może być wypowiedziane), a także nie było dokonane po przeprowadzeniu postępowania przez niezależny organ orzekający. </w:t>
      </w:r>
      <w:r w:rsidRPr="00E24274">
        <w:rPr>
          <w:rFonts w:ascii="Times New Roman" w:hAnsi="Times New Roman"/>
          <w:bCs/>
          <w:sz w:val="24"/>
          <w:szCs w:val="24"/>
          <w:lang w:eastAsia="pl-PL"/>
        </w:rPr>
        <w:lastRenderedPageBreak/>
        <w:t>Wszczęcie postępowania z urzędu w tym zakresie będzie także służyło dostosowaniu treści istniejących tabel wynagrodzeń w koniecznym zakresie do wymogów, jakie – zgodnie z art. 74 ust. 1 projektu – powinny spełnia</w:t>
      </w:r>
      <w:r w:rsidR="00591C91">
        <w:rPr>
          <w:rFonts w:ascii="Times New Roman" w:hAnsi="Times New Roman"/>
          <w:bCs/>
          <w:sz w:val="24"/>
          <w:szCs w:val="24"/>
          <w:lang w:eastAsia="pl-PL"/>
        </w:rPr>
        <w:t>ć tabele zatwierdzone zgodnie z </w:t>
      </w:r>
      <w:r w:rsidRPr="00E24274">
        <w:rPr>
          <w:rFonts w:ascii="Times New Roman" w:hAnsi="Times New Roman"/>
          <w:bCs/>
          <w:sz w:val="24"/>
          <w:szCs w:val="24"/>
          <w:lang w:eastAsia="pl-PL"/>
        </w:rPr>
        <w:t>projektowaną regulacją.</w:t>
      </w:r>
    </w:p>
    <w:p w:rsidR="00D2655C" w:rsidRPr="00E24274" w:rsidRDefault="00D2655C" w:rsidP="00E24274">
      <w:pPr>
        <w:spacing w:before="120" w:after="0" w:line="360" w:lineRule="auto"/>
        <w:jc w:val="both"/>
        <w:rPr>
          <w:rFonts w:ascii="Times New Roman" w:hAnsi="Times New Roman"/>
          <w:bCs/>
          <w:sz w:val="24"/>
          <w:szCs w:val="24"/>
          <w:lang w:eastAsia="pl-PL"/>
        </w:rPr>
      </w:pPr>
      <w:r w:rsidRPr="00E24274">
        <w:rPr>
          <w:rFonts w:ascii="Times New Roman" w:hAnsi="Times New Roman"/>
          <w:bCs/>
          <w:sz w:val="24"/>
          <w:szCs w:val="24"/>
          <w:lang w:eastAsia="pl-PL"/>
        </w:rPr>
        <w:t xml:space="preserve">3. Konsekwencją przewidzianego w projektowanym art. </w:t>
      </w:r>
      <w:r w:rsidR="00E157B6" w:rsidRPr="00E24274">
        <w:rPr>
          <w:rFonts w:ascii="Times New Roman" w:hAnsi="Times New Roman"/>
          <w:bCs/>
          <w:sz w:val="24"/>
          <w:szCs w:val="24"/>
          <w:lang w:eastAsia="pl-PL"/>
        </w:rPr>
        <w:t xml:space="preserve">128 </w:t>
      </w:r>
      <w:r w:rsidRPr="00E24274">
        <w:rPr>
          <w:rFonts w:ascii="Times New Roman" w:hAnsi="Times New Roman"/>
          <w:bCs/>
          <w:sz w:val="24"/>
          <w:szCs w:val="24"/>
          <w:lang w:eastAsia="pl-PL"/>
        </w:rPr>
        <w:t xml:space="preserve">ust. 3 dokończenia toczących się przed sądem postępowań w przedmiocie zatwierdzenia tabel wynagrodzeń jest konieczność określenia statusu tak zatwierdzonych tabel na gruncie nowych przepisów. Zgodnie z </w:t>
      </w:r>
      <w:r w:rsidR="00E157B6" w:rsidRPr="00E24274">
        <w:rPr>
          <w:rFonts w:ascii="Times New Roman" w:hAnsi="Times New Roman"/>
          <w:bCs/>
          <w:sz w:val="24"/>
          <w:szCs w:val="24"/>
          <w:lang w:eastAsia="pl-PL"/>
        </w:rPr>
        <w:t>projektowanym</w:t>
      </w:r>
      <w:r w:rsidRPr="00E24274">
        <w:rPr>
          <w:rFonts w:ascii="Times New Roman" w:hAnsi="Times New Roman"/>
          <w:bCs/>
          <w:sz w:val="24"/>
          <w:szCs w:val="24"/>
          <w:lang w:eastAsia="pl-PL"/>
        </w:rPr>
        <w:t xml:space="preserve"> ust. 3 do </w:t>
      </w:r>
      <w:r w:rsidR="00591C91">
        <w:rPr>
          <w:rFonts w:ascii="Times New Roman" w:hAnsi="Times New Roman"/>
          <w:bCs/>
          <w:sz w:val="24"/>
          <w:szCs w:val="24"/>
          <w:lang w:eastAsia="pl-PL"/>
        </w:rPr>
        <w:t>takich tabel oraz określonych w </w:t>
      </w:r>
      <w:r w:rsidRPr="00E24274">
        <w:rPr>
          <w:rFonts w:ascii="Times New Roman" w:hAnsi="Times New Roman"/>
          <w:bCs/>
          <w:sz w:val="24"/>
          <w:szCs w:val="24"/>
          <w:lang w:eastAsia="pl-PL"/>
        </w:rPr>
        <w:t>nich stawek stosować się będzie przepisy projektowanej ustawy. Zostaną one zatem zrównane z tabelami zatwierdzonymi na podstawie nowych przepisów.</w:t>
      </w:r>
    </w:p>
    <w:p w:rsidR="00D2655C" w:rsidRPr="00E24274" w:rsidRDefault="00D2655C" w:rsidP="00E24274">
      <w:pPr>
        <w:spacing w:before="120" w:after="0" w:line="360" w:lineRule="auto"/>
        <w:jc w:val="both"/>
        <w:rPr>
          <w:rFonts w:ascii="Times New Roman" w:hAnsi="Times New Roman"/>
          <w:b/>
          <w:sz w:val="24"/>
          <w:szCs w:val="24"/>
          <w:lang w:eastAsia="pl-PL"/>
        </w:rPr>
      </w:pPr>
      <w:r w:rsidRPr="00E24274">
        <w:rPr>
          <w:rFonts w:ascii="Times New Roman" w:hAnsi="Times New Roman"/>
          <w:b/>
          <w:sz w:val="24"/>
          <w:szCs w:val="24"/>
          <w:lang w:eastAsia="pl-PL"/>
        </w:rPr>
        <w:t xml:space="preserve">art. </w:t>
      </w:r>
      <w:r w:rsidR="0001161C" w:rsidRPr="00E24274">
        <w:rPr>
          <w:rFonts w:ascii="Times New Roman" w:hAnsi="Times New Roman"/>
          <w:b/>
          <w:sz w:val="24"/>
          <w:szCs w:val="24"/>
          <w:lang w:eastAsia="pl-PL"/>
        </w:rPr>
        <w:t>131</w:t>
      </w:r>
    </w:p>
    <w:p w:rsidR="00D2655C" w:rsidRPr="00E24274" w:rsidRDefault="00D2655C" w:rsidP="00591C91">
      <w:pPr>
        <w:spacing w:after="0" w:line="360" w:lineRule="auto"/>
        <w:jc w:val="both"/>
        <w:rPr>
          <w:rFonts w:ascii="Times New Roman" w:hAnsi="Times New Roman"/>
          <w:bCs/>
          <w:sz w:val="24"/>
          <w:szCs w:val="24"/>
          <w:lang w:eastAsia="pl-PL"/>
        </w:rPr>
      </w:pPr>
      <w:r w:rsidRPr="00E24274">
        <w:rPr>
          <w:rFonts w:ascii="Times New Roman" w:hAnsi="Times New Roman"/>
          <w:sz w:val="24"/>
          <w:szCs w:val="24"/>
          <w:lang w:eastAsia="pl-PL"/>
        </w:rPr>
        <w:t xml:space="preserve">Zgodnie z projektowanym art. </w:t>
      </w:r>
      <w:r w:rsidR="0001161C" w:rsidRPr="00E24274">
        <w:rPr>
          <w:rFonts w:ascii="Times New Roman" w:hAnsi="Times New Roman"/>
          <w:sz w:val="24"/>
          <w:szCs w:val="24"/>
          <w:lang w:eastAsia="pl-PL"/>
        </w:rPr>
        <w:t xml:space="preserve">131 </w:t>
      </w:r>
      <w:r w:rsidRPr="00E24274">
        <w:rPr>
          <w:rFonts w:ascii="Times New Roman" w:hAnsi="Times New Roman"/>
          <w:sz w:val="24"/>
          <w:szCs w:val="24"/>
          <w:lang w:eastAsia="pl-PL"/>
        </w:rPr>
        <w:t>przepisy wykonawcze wydane na podstawie art. 104 ust. 3</w:t>
      </w:r>
      <w:r w:rsidRPr="00E24274">
        <w:rPr>
          <w:rFonts w:ascii="Times New Roman" w:hAnsi="Times New Roman"/>
          <w:sz w:val="24"/>
          <w:szCs w:val="24"/>
          <w:vertAlign w:val="superscript"/>
          <w:lang w:eastAsia="pl-PL"/>
        </w:rPr>
        <w:t>5</w:t>
      </w:r>
      <w:r w:rsidRPr="00E24274">
        <w:rPr>
          <w:rFonts w:ascii="Times New Roman" w:hAnsi="Times New Roman"/>
          <w:sz w:val="24"/>
          <w:szCs w:val="24"/>
          <w:lang w:eastAsia="pl-PL"/>
        </w:rPr>
        <w:t xml:space="preserve"> pr. aut. stosuje się do wykonania obowiązku sprawozdawczego za rok obrotowy poprzedzający rok, w którym weszły w życie przepisy niniejszej ustawy. </w:t>
      </w:r>
      <w:r w:rsidRPr="00E24274">
        <w:rPr>
          <w:rFonts w:ascii="Times New Roman" w:hAnsi="Times New Roman"/>
          <w:bCs/>
          <w:sz w:val="24"/>
          <w:szCs w:val="24"/>
          <w:lang w:eastAsia="pl-PL"/>
        </w:rPr>
        <w:t xml:space="preserve">Celem powyższego przepisu jest umożliwienie organizacjom sprawnego wykonania obowiązku sprawozdawczego w przejściowym okresie dostosowawczym do przepisów nowej regulacji. </w:t>
      </w:r>
    </w:p>
    <w:p w:rsidR="00D2655C" w:rsidRPr="00E24274" w:rsidRDefault="00591C91" w:rsidP="00E24274">
      <w:pPr>
        <w:spacing w:before="120" w:after="0" w:line="360" w:lineRule="auto"/>
        <w:jc w:val="both"/>
        <w:rPr>
          <w:rFonts w:ascii="Times New Roman" w:hAnsi="Times New Roman"/>
          <w:b/>
          <w:bCs/>
          <w:sz w:val="24"/>
          <w:szCs w:val="24"/>
          <w:lang w:eastAsia="pl-PL"/>
        </w:rPr>
      </w:pPr>
      <w:r>
        <w:rPr>
          <w:rFonts w:ascii="Times New Roman" w:hAnsi="Times New Roman"/>
          <w:b/>
          <w:bCs/>
          <w:sz w:val="24"/>
          <w:szCs w:val="24"/>
          <w:lang w:eastAsia="pl-PL"/>
        </w:rPr>
        <w:t>a</w:t>
      </w:r>
      <w:r w:rsidR="00D2655C" w:rsidRPr="00E24274">
        <w:rPr>
          <w:rFonts w:ascii="Times New Roman" w:hAnsi="Times New Roman"/>
          <w:b/>
          <w:bCs/>
          <w:sz w:val="24"/>
          <w:szCs w:val="24"/>
          <w:lang w:eastAsia="pl-PL"/>
        </w:rPr>
        <w:t>rt. 1</w:t>
      </w:r>
      <w:r w:rsidR="0096366E" w:rsidRPr="00E24274">
        <w:rPr>
          <w:rFonts w:ascii="Times New Roman" w:hAnsi="Times New Roman"/>
          <w:b/>
          <w:bCs/>
          <w:sz w:val="24"/>
          <w:szCs w:val="24"/>
          <w:lang w:eastAsia="pl-PL"/>
        </w:rPr>
        <w:t>3</w:t>
      </w:r>
      <w:r w:rsidR="0001161C" w:rsidRPr="00E24274">
        <w:rPr>
          <w:rFonts w:ascii="Times New Roman" w:hAnsi="Times New Roman"/>
          <w:b/>
          <w:bCs/>
          <w:sz w:val="24"/>
          <w:szCs w:val="24"/>
          <w:lang w:eastAsia="pl-PL"/>
        </w:rPr>
        <w:t>2</w:t>
      </w:r>
    </w:p>
    <w:p w:rsidR="00D2655C" w:rsidRPr="00E24274" w:rsidRDefault="00D2655C" w:rsidP="00E24274">
      <w:pPr>
        <w:spacing w:before="120" w:after="0" w:line="360" w:lineRule="auto"/>
        <w:jc w:val="both"/>
        <w:rPr>
          <w:rFonts w:ascii="Times New Roman" w:hAnsi="Times New Roman"/>
          <w:bCs/>
          <w:sz w:val="24"/>
          <w:szCs w:val="24"/>
          <w:lang w:eastAsia="pl-PL"/>
        </w:rPr>
      </w:pPr>
      <w:r w:rsidRPr="00E24274">
        <w:rPr>
          <w:rFonts w:ascii="Times New Roman" w:hAnsi="Times New Roman"/>
          <w:bCs/>
          <w:sz w:val="24"/>
          <w:szCs w:val="24"/>
          <w:lang w:eastAsia="pl-PL"/>
        </w:rPr>
        <w:t>Ustanowienie nowej kategorii działalności regulowanej wymaga wskazania okresu przejściowego, w którym niezależne podmioty zarządzające – dotychczas niepodlegające żadnej szczegółowej regulacji – dokonają rejestracji zgodnie z nowymi przepisami. Proponuje się, aby termin ten wynosił 6 miesięcy.</w:t>
      </w:r>
    </w:p>
    <w:p w:rsidR="00D2655C" w:rsidRPr="00E24274" w:rsidRDefault="00D2655C" w:rsidP="00E24274">
      <w:pPr>
        <w:spacing w:before="120" w:after="0" w:line="360" w:lineRule="auto"/>
        <w:jc w:val="both"/>
        <w:rPr>
          <w:rFonts w:ascii="Times New Roman" w:hAnsi="Times New Roman"/>
          <w:b/>
          <w:sz w:val="24"/>
          <w:szCs w:val="24"/>
          <w:lang w:eastAsia="pl-PL"/>
        </w:rPr>
      </w:pPr>
      <w:r w:rsidRPr="00E24274">
        <w:rPr>
          <w:rFonts w:ascii="Times New Roman" w:hAnsi="Times New Roman"/>
          <w:b/>
          <w:sz w:val="24"/>
          <w:szCs w:val="24"/>
          <w:lang w:eastAsia="pl-PL"/>
        </w:rPr>
        <w:t>art. 13</w:t>
      </w:r>
      <w:r w:rsidR="0001161C" w:rsidRPr="00E24274">
        <w:rPr>
          <w:rFonts w:ascii="Times New Roman" w:hAnsi="Times New Roman"/>
          <w:b/>
          <w:sz w:val="24"/>
          <w:szCs w:val="24"/>
          <w:lang w:eastAsia="pl-PL"/>
        </w:rPr>
        <w:t>3</w:t>
      </w:r>
    </w:p>
    <w:p w:rsidR="00D2655C" w:rsidRPr="00E24274" w:rsidRDefault="00D2655C"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 xml:space="preserve">Proponuje się standardowy 14-dniowy termin </w:t>
      </w:r>
      <w:r w:rsidRPr="00E24274">
        <w:rPr>
          <w:rFonts w:ascii="Times New Roman" w:hAnsi="Times New Roman"/>
          <w:i/>
          <w:sz w:val="24"/>
          <w:szCs w:val="24"/>
        </w:rPr>
        <w:t>vacatio legis</w:t>
      </w:r>
      <w:r w:rsidRPr="00E24274">
        <w:rPr>
          <w:rFonts w:ascii="Times New Roman" w:hAnsi="Times New Roman"/>
          <w:sz w:val="24"/>
          <w:szCs w:val="24"/>
        </w:rPr>
        <w:t xml:space="preserve">, przewidziany w art. 4 ust. 1 ustawy z dnia 20 lipca 2000 r. o ogłaszaniu aktów normatywnych i niektórych innych aktów prawnych. Termin ten wynika z pilnej konieczności wdrożenia dyrektywy CRM. Jednocześnie przepisy przejściowe, które określają obowiązki dostosowawcze organizacji (np. art. </w:t>
      </w:r>
      <w:r w:rsidR="00355866" w:rsidRPr="00E24274">
        <w:rPr>
          <w:rFonts w:ascii="Times New Roman" w:hAnsi="Times New Roman"/>
          <w:sz w:val="24"/>
          <w:szCs w:val="24"/>
        </w:rPr>
        <w:t xml:space="preserve">125 </w:t>
      </w:r>
      <w:r w:rsidRPr="00E24274">
        <w:rPr>
          <w:rFonts w:ascii="Times New Roman" w:hAnsi="Times New Roman"/>
          <w:sz w:val="24"/>
          <w:szCs w:val="24"/>
        </w:rPr>
        <w:t>projektu) i terminy, w jakich powinny być one wykonane, pozwalają na przygotowanie się zainteresowanych podmiotów do stosowania nowej regulacji.</w:t>
      </w:r>
    </w:p>
    <w:p w:rsidR="00D2655C" w:rsidRPr="00E24274" w:rsidRDefault="00BC7627"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lastRenderedPageBreak/>
        <w:t xml:space="preserve">Natomiast </w:t>
      </w:r>
      <w:r w:rsidR="00D2655C" w:rsidRPr="00E24274">
        <w:rPr>
          <w:rFonts w:ascii="Times New Roman" w:hAnsi="Times New Roman"/>
          <w:sz w:val="24"/>
          <w:szCs w:val="24"/>
        </w:rPr>
        <w:t>termin wejścia w życie art. 44 ust</w:t>
      </w:r>
      <w:r w:rsidR="005C0260">
        <w:rPr>
          <w:rFonts w:ascii="Times New Roman" w:hAnsi="Times New Roman"/>
          <w:sz w:val="24"/>
          <w:szCs w:val="24"/>
        </w:rPr>
        <w:t>.</w:t>
      </w:r>
      <w:r w:rsidR="00D2655C" w:rsidRPr="00E24274">
        <w:rPr>
          <w:rFonts w:ascii="Times New Roman" w:hAnsi="Times New Roman"/>
          <w:sz w:val="24"/>
          <w:szCs w:val="24"/>
        </w:rPr>
        <w:t xml:space="preserve"> 2 i 4 projektu</w:t>
      </w:r>
      <w:r w:rsidRPr="00E24274">
        <w:rPr>
          <w:rFonts w:ascii="Times New Roman" w:hAnsi="Times New Roman"/>
          <w:sz w:val="24"/>
          <w:szCs w:val="24"/>
        </w:rPr>
        <w:t>, które nie stanowią implementacji dyrektywy CRM, proponuje się odroczyć o 6 miesięcy</w:t>
      </w:r>
      <w:r w:rsidR="00D2655C" w:rsidRPr="00E24274">
        <w:rPr>
          <w:rFonts w:ascii="Times New Roman" w:hAnsi="Times New Roman"/>
          <w:sz w:val="24"/>
          <w:szCs w:val="24"/>
        </w:rPr>
        <w:t>, dając organizacjom zbiorowego zarządzania czas na przygotowanie się do wspólnego wykonywania wskazanych w tych przepisach obowiązków wobec użytkowników.</w:t>
      </w:r>
    </w:p>
    <w:p w:rsidR="00D2655C" w:rsidRPr="00E24274" w:rsidRDefault="00D2655C"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Odrębny termin wejścia w życie przewiduje się także wobec art. 115</w:t>
      </w:r>
      <w:r w:rsidR="00355866" w:rsidRPr="00E24274">
        <w:rPr>
          <w:rFonts w:ascii="Times New Roman" w:hAnsi="Times New Roman"/>
          <w:sz w:val="24"/>
          <w:szCs w:val="24"/>
        </w:rPr>
        <w:t xml:space="preserve"> ust. 5</w:t>
      </w:r>
      <w:r w:rsidR="00B85D46">
        <w:rPr>
          <w:rFonts w:ascii="Times New Roman" w:hAnsi="Times New Roman"/>
          <w:sz w:val="24"/>
          <w:szCs w:val="24"/>
        </w:rPr>
        <w:t>–</w:t>
      </w:r>
      <w:r w:rsidR="00355866" w:rsidRPr="00E24274">
        <w:rPr>
          <w:rFonts w:ascii="Times New Roman" w:hAnsi="Times New Roman"/>
          <w:sz w:val="24"/>
          <w:szCs w:val="24"/>
        </w:rPr>
        <w:t>8</w:t>
      </w:r>
      <w:r w:rsidRPr="00E24274">
        <w:rPr>
          <w:rFonts w:ascii="Times New Roman" w:hAnsi="Times New Roman"/>
          <w:sz w:val="24"/>
          <w:szCs w:val="24"/>
        </w:rPr>
        <w:t xml:space="preserve"> projektu, dotyczącego przetwarzania danych osobowych. Konieczność wprowadzenia tego przepisu wynika z ogólnego rozporządzenia o ochronie danych. Jego wejście w życie powinno więc zbiegać się z terminem rozpoczęcia obowiązywania rozporządzenia, czyli 25 maja 2018 r. </w:t>
      </w:r>
      <w:r w:rsidR="00BC7627" w:rsidRPr="00E24274">
        <w:rPr>
          <w:rFonts w:ascii="Times New Roman" w:hAnsi="Times New Roman"/>
          <w:sz w:val="24"/>
          <w:szCs w:val="24"/>
        </w:rPr>
        <w:t>Do tej daty przetwarzanie danych osobowych będzie odbywać się zgodnie z ustawą o ochronie danych osobowych.</w:t>
      </w:r>
    </w:p>
    <w:p w:rsidR="00B96C7A" w:rsidRPr="00E24274" w:rsidRDefault="00B96C7A"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Oceniając</w:t>
      </w:r>
      <w:r w:rsidR="001E41B1" w:rsidRPr="00E24274">
        <w:rPr>
          <w:rFonts w:ascii="Times New Roman" w:hAnsi="Times New Roman"/>
          <w:sz w:val="24"/>
          <w:szCs w:val="24"/>
        </w:rPr>
        <w:t xml:space="preserve"> zgodność</w:t>
      </w:r>
      <w:r w:rsidRPr="00E24274">
        <w:rPr>
          <w:rFonts w:ascii="Times New Roman" w:hAnsi="Times New Roman"/>
          <w:sz w:val="24"/>
          <w:szCs w:val="24"/>
        </w:rPr>
        <w:t xml:space="preserve"> terminu wejścia w życie ustawy</w:t>
      </w:r>
      <w:r w:rsidR="00591C91">
        <w:rPr>
          <w:rFonts w:ascii="Times New Roman" w:hAnsi="Times New Roman"/>
          <w:sz w:val="24"/>
          <w:szCs w:val="24"/>
        </w:rPr>
        <w:t xml:space="preserve"> z zaleceniami wynikającymi z </w:t>
      </w:r>
      <w:r w:rsidRPr="00E24274">
        <w:rPr>
          <w:rFonts w:ascii="Times New Roman" w:hAnsi="Times New Roman"/>
          <w:sz w:val="24"/>
          <w:szCs w:val="24"/>
        </w:rPr>
        <w:t>uchwały nr 20 Rady Ministrów z dnia 18 lutego 2014 r. w sprawie zaleceń ujednolicania terminów wejścia w życie niektórych aktów normatywnych</w:t>
      </w:r>
      <w:r w:rsidR="005C0260">
        <w:rPr>
          <w:rFonts w:ascii="Times New Roman" w:hAnsi="Times New Roman"/>
          <w:sz w:val="24"/>
          <w:szCs w:val="24"/>
        </w:rPr>
        <w:t>,</w:t>
      </w:r>
      <w:r w:rsidR="00E24274">
        <w:rPr>
          <w:rFonts w:ascii="Times New Roman" w:hAnsi="Times New Roman"/>
          <w:sz w:val="24"/>
          <w:szCs w:val="24"/>
        </w:rPr>
        <w:t xml:space="preserve"> </w:t>
      </w:r>
      <w:r w:rsidRPr="00E24274">
        <w:rPr>
          <w:rFonts w:ascii="Times New Roman" w:hAnsi="Times New Roman"/>
          <w:sz w:val="24"/>
          <w:szCs w:val="24"/>
        </w:rPr>
        <w:t xml:space="preserve">należy stwierdzić, że 14-dniowy termin </w:t>
      </w:r>
      <w:r w:rsidRPr="00E24274">
        <w:rPr>
          <w:rFonts w:ascii="Times New Roman" w:hAnsi="Times New Roman"/>
          <w:i/>
          <w:sz w:val="24"/>
          <w:szCs w:val="24"/>
        </w:rPr>
        <w:t>vacatio legis</w:t>
      </w:r>
      <w:r w:rsidRPr="00E24274">
        <w:rPr>
          <w:rFonts w:ascii="Times New Roman" w:hAnsi="Times New Roman"/>
          <w:sz w:val="24"/>
          <w:szCs w:val="24"/>
        </w:rPr>
        <w:t xml:space="preserve"> wynika z konieczności pilnej implementacji dyrektywy CRM. Natomiast w zakresie, w jakim projektowana ustawa zawiera przepisy określające warunki wykonywania </w:t>
      </w:r>
      <w:r w:rsidR="00591C91">
        <w:rPr>
          <w:rFonts w:ascii="Times New Roman" w:hAnsi="Times New Roman"/>
          <w:sz w:val="24"/>
          <w:szCs w:val="24"/>
        </w:rPr>
        <w:t>działalności gospodarczej (art. </w:t>
      </w:r>
      <w:r w:rsidRPr="00E24274">
        <w:rPr>
          <w:rFonts w:ascii="Times New Roman" w:hAnsi="Times New Roman"/>
          <w:sz w:val="24"/>
          <w:szCs w:val="24"/>
        </w:rPr>
        <w:t>109</w:t>
      </w:r>
      <w:r w:rsidR="00B85D46">
        <w:rPr>
          <w:rFonts w:ascii="Times New Roman" w:hAnsi="Times New Roman"/>
          <w:sz w:val="24"/>
          <w:szCs w:val="24"/>
        </w:rPr>
        <w:t>–</w:t>
      </w:r>
      <w:r w:rsidRPr="00E24274">
        <w:rPr>
          <w:rFonts w:ascii="Times New Roman" w:hAnsi="Times New Roman"/>
          <w:sz w:val="24"/>
          <w:szCs w:val="24"/>
        </w:rPr>
        <w:t xml:space="preserve">114), art. </w:t>
      </w:r>
      <w:r w:rsidR="000B57FD" w:rsidRPr="00E24274">
        <w:rPr>
          <w:rFonts w:ascii="Times New Roman" w:hAnsi="Times New Roman"/>
          <w:sz w:val="24"/>
          <w:szCs w:val="24"/>
        </w:rPr>
        <w:t xml:space="preserve">133 </w:t>
      </w:r>
      <w:r w:rsidRPr="00E24274">
        <w:rPr>
          <w:rFonts w:ascii="Times New Roman" w:hAnsi="Times New Roman"/>
          <w:sz w:val="24"/>
          <w:szCs w:val="24"/>
        </w:rPr>
        <w:t>projektu przewiduje 6-mie</w:t>
      </w:r>
      <w:r w:rsidR="00591C91">
        <w:rPr>
          <w:rFonts w:ascii="Times New Roman" w:hAnsi="Times New Roman"/>
          <w:sz w:val="24"/>
          <w:szCs w:val="24"/>
        </w:rPr>
        <w:t>sięczny okres dostosowawczy, w </w:t>
      </w:r>
      <w:r w:rsidRPr="00E24274">
        <w:rPr>
          <w:rFonts w:ascii="Times New Roman" w:hAnsi="Times New Roman"/>
          <w:sz w:val="24"/>
          <w:szCs w:val="24"/>
        </w:rPr>
        <w:t>którym niezależne podmioty zarządzające będą zobowiązane złożyć wniosek o wpis do rejestru działalności regulowanej.</w:t>
      </w:r>
    </w:p>
    <w:p w:rsidR="00D2655C" w:rsidRPr="00E24274" w:rsidRDefault="00D2655C" w:rsidP="00E0651A">
      <w:pPr>
        <w:spacing w:before="240" w:after="0" w:line="360" w:lineRule="auto"/>
        <w:jc w:val="both"/>
        <w:rPr>
          <w:rFonts w:ascii="Times New Roman" w:hAnsi="Times New Roman"/>
          <w:b/>
          <w:sz w:val="24"/>
          <w:szCs w:val="24"/>
        </w:rPr>
      </w:pPr>
      <w:r w:rsidRPr="00E24274">
        <w:rPr>
          <w:rFonts w:ascii="Times New Roman" w:hAnsi="Times New Roman"/>
          <w:b/>
          <w:sz w:val="24"/>
          <w:szCs w:val="24"/>
        </w:rPr>
        <w:t>III. Ocena przewidywanego wpływu projektu ustawy na działalność mikroprzedsiębiorców, małych i średnich przedsiębiorców</w:t>
      </w:r>
    </w:p>
    <w:p w:rsidR="00D2655C" w:rsidRPr="00E24274" w:rsidRDefault="00D2655C"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Projektowana ustawa, pomimo regulowania w przeważającej mierze kwestii związanych z organizacjami zbiorowego zarządzania, w określonym stopniu może mieć również wpływ na działalność wszystkich podmi</w:t>
      </w:r>
      <w:r w:rsidR="00591C91">
        <w:rPr>
          <w:rFonts w:ascii="Times New Roman" w:hAnsi="Times New Roman"/>
          <w:sz w:val="24"/>
          <w:szCs w:val="24"/>
        </w:rPr>
        <w:t>otów korzystających z utworów i </w:t>
      </w:r>
      <w:r w:rsidRPr="00E24274">
        <w:rPr>
          <w:rFonts w:ascii="Times New Roman" w:hAnsi="Times New Roman"/>
          <w:sz w:val="24"/>
          <w:szCs w:val="24"/>
        </w:rPr>
        <w:t>przedmiotów praw pokrewnych, w tym również na mikroprzedsiębiorców,</w:t>
      </w:r>
      <w:r w:rsidR="00591C91">
        <w:rPr>
          <w:rFonts w:ascii="Times New Roman" w:hAnsi="Times New Roman"/>
          <w:sz w:val="24"/>
          <w:szCs w:val="24"/>
        </w:rPr>
        <w:t xml:space="preserve"> małych i </w:t>
      </w:r>
      <w:r w:rsidRPr="00E24274">
        <w:rPr>
          <w:rFonts w:ascii="Times New Roman" w:hAnsi="Times New Roman"/>
          <w:sz w:val="24"/>
          <w:szCs w:val="24"/>
        </w:rPr>
        <w:t xml:space="preserve">średnich przedsiębiorców w rozumieniu rozdziału 7 </w:t>
      </w:r>
      <w:r w:rsidR="00591C91">
        <w:rPr>
          <w:rFonts w:ascii="Times New Roman" w:hAnsi="Times New Roman"/>
          <w:sz w:val="24"/>
          <w:szCs w:val="24"/>
        </w:rPr>
        <w:t>ustawy z dnia 2 lipca 2014 r. o </w:t>
      </w:r>
      <w:r w:rsidRPr="00E24274">
        <w:rPr>
          <w:rFonts w:ascii="Times New Roman" w:hAnsi="Times New Roman"/>
          <w:sz w:val="24"/>
          <w:szCs w:val="24"/>
        </w:rPr>
        <w:t>swobodzie działalności gospodarczej.</w:t>
      </w:r>
    </w:p>
    <w:p w:rsidR="00D2655C" w:rsidRPr="00E24274" w:rsidRDefault="00D2655C"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 xml:space="preserve">Dotyczy to tych podmiotów, które będą, po pierwsze, wykorzystywały w ramach wykonywanej przez siebie działalności utwory oraz przedmioty praw pokrewnych lub, po drugie, tych, które będą uznane w świetle projektowanej ustawy za niezależne podmioty zarządzające prawami autorskimi lub pokrewnymi. </w:t>
      </w:r>
    </w:p>
    <w:p w:rsidR="00D2655C" w:rsidRPr="00E24274" w:rsidRDefault="00D2655C"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lastRenderedPageBreak/>
        <w:t>W pierwszym przypadku ustawa określa relacje takich podmiotów z organizacjami zbiorowego zarządzania, w tym zasad zawierania umów licencyjnych i ustalania wysokości należnych wynagrodzeń oraz obowiązków informacyjnych wobec tych organizacji (w tym ostatnim przypadku np. art. 54 ust. 2 projektowanej ustawy nakłada na użytkownika obowiązek zgłaszania w postaci elektronicznej organizacji zbiorowego zarządzania, która udziela licencji wieloterytorialnych, informacji o faktycznym wykorzystaniu każdego z utworów objętych licencją wieloterytorialną).</w:t>
      </w:r>
    </w:p>
    <w:p w:rsidR="00D2655C" w:rsidRPr="00E24274" w:rsidRDefault="00E621F2"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W drugim przypadku art.</w:t>
      </w:r>
      <w:r w:rsidR="00D2655C" w:rsidRPr="00E24274">
        <w:rPr>
          <w:rFonts w:ascii="Times New Roman" w:hAnsi="Times New Roman"/>
          <w:sz w:val="24"/>
          <w:szCs w:val="24"/>
        </w:rPr>
        <w:t xml:space="preserve"> 112 ust. 1 projektowanej ustawy stanowi, że do niezależnych podmiotów zarządzających prawami autorskimi lub prawami pokrewnymi odpowiednie zastosowanie będą miały następujące przepisy:</w:t>
      </w:r>
    </w:p>
    <w:p w:rsidR="003C5B87" w:rsidRPr="00E24274" w:rsidRDefault="003C5B87" w:rsidP="00591C91">
      <w:pPr>
        <w:numPr>
          <w:ilvl w:val="0"/>
          <w:numId w:val="35"/>
        </w:numPr>
        <w:spacing w:after="0" w:line="360" w:lineRule="auto"/>
        <w:ind w:left="364" w:hanging="364"/>
        <w:jc w:val="both"/>
        <w:rPr>
          <w:rFonts w:ascii="Times New Roman" w:hAnsi="Times New Roman"/>
          <w:sz w:val="24"/>
          <w:szCs w:val="24"/>
        </w:rPr>
      </w:pPr>
      <w:r w:rsidRPr="00E24274">
        <w:rPr>
          <w:rFonts w:ascii="Times New Roman" w:hAnsi="Times New Roman"/>
          <w:sz w:val="24"/>
          <w:szCs w:val="24"/>
        </w:rPr>
        <w:t xml:space="preserve">art. 42 ust. 3 (zgodnie z którym: </w:t>
      </w:r>
      <w:r w:rsidR="00E24274">
        <w:rPr>
          <w:rFonts w:ascii="Times New Roman" w:hAnsi="Times New Roman"/>
          <w:sz w:val="24"/>
          <w:szCs w:val="24"/>
        </w:rPr>
        <w:t>„</w:t>
      </w:r>
      <w:r w:rsidRPr="00E24274">
        <w:rPr>
          <w:rFonts w:ascii="Times New Roman" w:hAnsi="Times New Roman"/>
          <w:i/>
          <w:sz w:val="24"/>
          <w:szCs w:val="24"/>
        </w:rPr>
        <w:t>organizacja zbiorowego zarządzania</w:t>
      </w:r>
      <w:r w:rsidR="00E24274">
        <w:rPr>
          <w:rFonts w:ascii="Times New Roman" w:hAnsi="Times New Roman"/>
          <w:i/>
          <w:sz w:val="24"/>
          <w:szCs w:val="24"/>
        </w:rPr>
        <w:t xml:space="preserve"> </w:t>
      </w:r>
      <w:r w:rsidRPr="00E24274">
        <w:rPr>
          <w:rFonts w:ascii="Times New Roman" w:hAnsi="Times New Roman"/>
          <w:i/>
          <w:sz w:val="24"/>
          <w:szCs w:val="24"/>
        </w:rPr>
        <w:t>i użytkownik przekazują sobie wszystkie informacje niezbędne do zawarcia umowy</w:t>
      </w:r>
      <w:r w:rsidR="00E24274">
        <w:rPr>
          <w:rFonts w:ascii="Times New Roman" w:hAnsi="Times New Roman"/>
          <w:sz w:val="24"/>
          <w:szCs w:val="24"/>
        </w:rPr>
        <w:t>”</w:t>
      </w:r>
      <w:r w:rsidRPr="00E24274">
        <w:rPr>
          <w:rFonts w:ascii="Times New Roman" w:hAnsi="Times New Roman"/>
          <w:sz w:val="24"/>
          <w:szCs w:val="24"/>
        </w:rPr>
        <w:t>);</w:t>
      </w:r>
    </w:p>
    <w:p w:rsidR="003C5B87" w:rsidRPr="00E24274" w:rsidRDefault="003C5B87" w:rsidP="00591C91">
      <w:pPr>
        <w:numPr>
          <w:ilvl w:val="0"/>
          <w:numId w:val="35"/>
        </w:numPr>
        <w:spacing w:after="0" w:line="360" w:lineRule="auto"/>
        <w:ind w:left="364" w:hanging="364"/>
        <w:jc w:val="both"/>
        <w:rPr>
          <w:rFonts w:ascii="Times New Roman" w:hAnsi="Times New Roman"/>
          <w:sz w:val="24"/>
          <w:szCs w:val="24"/>
        </w:rPr>
      </w:pPr>
      <w:r w:rsidRPr="00E24274">
        <w:rPr>
          <w:rFonts w:ascii="Times New Roman" w:hAnsi="Times New Roman"/>
          <w:sz w:val="24"/>
          <w:szCs w:val="24"/>
        </w:rPr>
        <w:t>art. 42 ust. 4 zdanie pierwsze (</w:t>
      </w:r>
      <w:r w:rsidRPr="00E24274">
        <w:rPr>
          <w:rFonts w:ascii="Times New Roman" w:hAnsi="Times New Roman"/>
          <w:i/>
          <w:sz w:val="24"/>
          <w:szCs w:val="24"/>
        </w:rPr>
        <w:t xml:space="preserve">zgodnie z którym </w:t>
      </w:r>
      <w:r w:rsidR="00E24274">
        <w:rPr>
          <w:rFonts w:ascii="Times New Roman" w:hAnsi="Times New Roman"/>
          <w:i/>
          <w:sz w:val="24"/>
          <w:szCs w:val="24"/>
        </w:rPr>
        <w:t>„</w:t>
      </w:r>
      <w:r w:rsidRPr="00E24274">
        <w:rPr>
          <w:rFonts w:ascii="Times New Roman" w:hAnsi="Times New Roman"/>
          <w:i/>
          <w:sz w:val="24"/>
          <w:szCs w:val="24"/>
        </w:rPr>
        <w:t>jeżeli nie zachodzą przyczyny uzasadniające odmowę zawarcia umowy o korzystanie z utworów lub przedmiotów praw pokrewnych lub pobór wynagrodzenia za takie korzystanie, a organizacja zbiorowego zarządzania posiada wszystkie informacje niezbędne do jej zawarcia organizacja niezwłocznie składa użytkownikowi ofertę zawarcia umowy</w:t>
      </w:r>
      <w:r w:rsidR="00E24274">
        <w:rPr>
          <w:rFonts w:ascii="Times New Roman" w:hAnsi="Times New Roman"/>
          <w:sz w:val="24"/>
          <w:szCs w:val="24"/>
        </w:rPr>
        <w:t>”</w:t>
      </w:r>
      <w:r w:rsidRPr="00E24274">
        <w:rPr>
          <w:rFonts w:ascii="Times New Roman" w:hAnsi="Times New Roman"/>
          <w:sz w:val="24"/>
          <w:szCs w:val="24"/>
        </w:rPr>
        <w:t>);</w:t>
      </w:r>
    </w:p>
    <w:p w:rsidR="003C5B87" w:rsidRPr="00E24274" w:rsidRDefault="003C5B87" w:rsidP="00591C91">
      <w:pPr>
        <w:numPr>
          <w:ilvl w:val="0"/>
          <w:numId w:val="35"/>
        </w:numPr>
        <w:spacing w:after="0" w:line="360" w:lineRule="auto"/>
        <w:ind w:left="364" w:hanging="364"/>
        <w:jc w:val="both"/>
        <w:rPr>
          <w:rFonts w:ascii="Times New Roman" w:hAnsi="Times New Roman"/>
          <w:sz w:val="24"/>
          <w:szCs w:val="24"/>
        </w:rPr>
      </w:pPr>
      <w:r w:rsidRPr="00E24274">
        <w:rPr>
          <w:rFonts w:ascii="Times New Roman" w:hAnsi="Times New Roman"/>
          <w:sz w:val="24"/>
          <w:szCs w:val="24"/>
        </w:rPr>
        <w:t>art. 42 ust. 5</w:t>
      </w:r>
      <w:r w:rsidR="00E24274">
        <w:rPr>
          <w:rFonts w:ascii="Times New Roman" w:hAnsi="Times New Roman"/>
          <w:sz w:val="24"/>
          <w:szCs w:val="24"/>
        </w:rPr>
        <w:t xml:space="preserve"> </w:t>
      </w:r>
      <w:r w:rsidRPr="00E24274">
        <w:rPr>
          <w:rFonts w:ascii="Times New Roman" w:hAnsi="Times New Roman"/>
          <w:sz w:val="24"/>
          <w:szCs w:val="24"/>
        </w:rPr>
        <w:t xml:space="preserve">(zgodnie z którym: </w:t>
      </w:r>
      <w:r w:rsidR="00E24274">
        <w:rPr>
          <w:rFonts w:ascii="Times New Roman" w:hAnsi="Times New Roman"/>
          <w:sz w:val="24"/>
          <w:szCs w:val="24"/>
        </w:rPr>
        <w:t>„</w:t>
      </w:r>
      <w:r w:rsidRPr="00E24274">
        <w:rPr>
          <w:rFonts w:ascii="Times New Roman" w:hAnsi="Times New Roman"/>
          <w:i/>
          <w:sz w:val="24"/>
          <w:szCs w:val="24"/>
        </w:rPr>
        <w:t>w przypadku nieprzyjęcia oferty, o które</w:t>
      </w:r>
      <w:r w:rsidR="00591C91">
        <w:rPr>
          <w:rFonts w:ascii="Times New Roman" w:hAnsi="Times New Roman"/>
          <w:i/>
          <w:sz w:val="24"/>
          <w:szCs w:val="24"/>
        </w:rPr>
        <w:t>j mowa w </w:t>
      </w:r>
      <w:r w:rsidRPr="00E24274">
        <w:rPr>
          <w:rFonts w:ascii="Times New Roman" w:hAnsi="Times New Roman"/>
          <w:i/>
          <w:sz w:val="24"/>
          <w:szCs w:val="24"/>
        </w:rPr>
        <w:t>ust. 4, przez użytkownika organizacja zbiorowego zarządzania i użytkownik przystępują do negocjacji, które mają obowiązek prowadzić w dobrej wierze</w:t>
      </w:r>
      <w:r w:rsidR="00E24274">
        <w:rPr>
          <w:rFonts w:ascii="Times New Roman" w:hAnsi="Times New Roman"/>
          <w:i/>
          <w:sz w:val="24"/>
          <w:szCs w:val="24"/>
        </w:rPr>
        <w:t>”</w:t>
      </w:r>
      <w:r w:rsidRPr="00E24274">
        <w:rPr>
          <w:rFonts w:ascii="Times New Roman" w:hAnsi="Times New Roman"/>
          <w:i/>
          <w:sz w:val="24"/>
          <w:szCs w:val="24"/>
        </w:rPr>
        <w:t>);</w:t>
      </w:r>
    </w:p>
    <w:p w:rsidR="003C5B87" w:rsidRPr="00E24274" w:rsidRDefault="003C5B87" w:rsidP="00591C91">
      <w:pPr>
        <w:numPr>
          <w:ilvl w:val="0"/>
          <w:numId w:val="35"/>
        </w:numPr>
        <w:spacing w:after="0" w:line="360" w:lineRule="auto"/>
        <w:ind w:left="364" w:hanging="364"/>
        <w:jc w:val="both"/>
        <w:rPr>
          <w:rFonts w:ascii="Times New Roman" w:hAnsi="Times New Roman"/>
          <w:sz w:val="24"/>
          <w:szCs w:val="24"/>
        </w:rPr>
      </w:pPr>
      <w:r w:rsidRPr="00E24274">
        <w:rPr>
          <w:rFonts w:ascii="Times New Roman" w:hAnsi="Times New Roman"/>
          <w:sz w:val="24"/>
          <w:szCs w:val="24"/>
        </w:rPr>
        <w:t xml:space="preserve">art. 48 ust. 1 (zgodnie z którym: </w:t>
      </w:r>
      <w:r w:rsidR="00E24274">
        <w:rPr>
          <w:rFonts w:ascii="Times New Roman" w:hAnsi="Times New Roman"/>
          <w:i/>
          <w:sz w:val="24"/>
          <w:szCs w:val="24"/>
        </w:rPr>
        <w:t>„</w:t>
      </w:r>
      <w:r w:rsidRPr="00E24274">
        <w:rPr>
          <w:rFonts w:ascii="Times New Roman" w:hAnsi="Times New Roman"/>
          <w:i/>
          <w:sz w:val="24"/>
          <w:szCs w:val="24"/>
        </w:rPr>
        <w:t>organizacja zbiorowego zarządzania informuje użytkownika o okolicznościach mającyc</w:t>
      </w:r>
      <w:r w:rsidR="00591C91">
        <w:rPr>
          <w:rFonts w:ascii="Times New Roman" w:hAnsi="Times New Roman"/>
          <w:i/>
          <w:sz w:val="24"/>
          <w:szCs w:val="24"/>
        </w:rPr>
        <w:t>h znaczenie dla obowiązywania i </w:t>
      </w:r>
      <w:r w:rsidRPr="00E24274">
        <w:rPr>
          <w:rFonts w:ascii="Times New Roman" w:hAnsi="Times New Roman"/>
          <w:i/>
          <w:sz w:val="24"/>
          <w:szCs w:val="24"/>
        </w:rPr>
        <w:t>wykonywania zawartej z nim umowy, w szczeg</w:t>
      </w:r>
      <w:r w:rsidR="00591C91">
        <w:rPr>
          <w:rFonts w:ascii="Times New Roman" w:hAnsi="Times New Roman"/>
          <w:i/>
          <w:sz w:val="24"/>
          <w:szCs w:val="24"/>
        </w:rPr>
        <w:t>ólności o wypowiedzeniu umowy o </w:t>
      </w:r>
      <w:r w:rsidRPr="00E24274">
        <w:rPr>
          <w:rFonts w:ascii="Times New Roman" w:hAnsi="Times New Roman"/>
          <w:i/>
          <w:sz w:val="24"/>
          <w:szCs w:val="24"/>
        </w:rPr>
        <w:t>zbiorowe zarządzanie, jego zakresie i terminie jej wygaśnięcia, jeżeli wypowiedzenie takie wpływa na zakres praw objętych zawartą umową</w:t>
      </w:r>
      <w:r w:rsidR="00E24274">
        <w:rPr>
          <w:rFonts w:ascii="Times New Roman" w:hAnsi="Times New Roman"/>
          <w:sz w:val="24"/>
          <w:szCs w:val="24"/>
        </w:rPr>
        <w:t>”</w:t>
      </w:r>
      <w:r w:rsidRPr="00E24274">
        <w:rPr>
          <w:rFonts w:ascii="Times New Roman" w:hAnsi="Times New Roman"/>
          <w:sz w:val="24"/>
          <w:szCs w:val="24"/>
        </w:rPr>
        <w:t>);</w:t>
      </w:r>
    </w:p>
    <w:p w:rsidR="00D2655C" w:rsidRPr="00E24274" w:rsidRDefault="00D2655C" w:rsidP="00591C91">
      <w:pPr>
        <w:numPr>
          <w:ilvl w:val="0"/>
          <w:numId w:val="35"/>
        </w:numPr>
        <w:spacing w:after="0" w:line="360" w:lineRule="auto"/>
        <w:ind w:left="364" w:hanging="364"/>
        <w:jc w:val="both"/>
        <w:rPr>
          <w:rFonts w:ascii="Times New Roman" w:hAnsi="Times New Roman"/>
          <w:sz w:val="24"/>
          <w:szCs w:val="24"/>
        </w:rPr>
      </w:pPr>
      <w:r w:rsidRPr="00E24274">
        <w:rPr>
          <w:rFonts w:ascii="Times New Roman" w:hAnsi="Times New Roman"/>
          <w:sz w:val="24"/>
          <w:szCs w:val="24"/>
        </w:rPr>
        <w:t>art. 84 (dotyczący udostępniania co najmniej raz w roku uprawnionemu, na rzecz którego organizacja zbiorowego zarządzania dokonał</w:t>
      </w:r>
      <w:r w:rsidR="005C0260">
        <w:rPr>
          <w:rFonts w:ascii="Times New Roman" w:hAnsi="Times New Roman"/>
          <w:sz w:val="24"/>
          <w:szCs w:val="24"/>
        </w:rPr>
        <w:t>a</w:t>
      </w:r>
      <w:r w:rsidRPr="00E24274">
        <w:rPr>
          <w:rFonts w:ascii="Times New Roman" w:hAnsi="Times New Roman"/>
          <w:sz w:val="24"/>
          <w:szCs w:val="24"/>
        </w:rPr>
        <w:t xml:space="preserve"> podziału lub wypłaty przychodów z praw, informacji dotyczących wykonywanego zarządu za dany okres, wymienionych w tym przepisie);</w:t>
      </w:r>
    </w:p>
    <w:p w:rsidR="00D2655C" w:rsidRPr="00E24274" w:rsidRDefault="00D2655C" w:rsidP="00591C91">
      <w:pPr>
        <w:numPr>
          <w:ilvl w:val="0"/>
          <w:numId w:val="35"/>
        </w:numPr>
        <w:spacing w:after="0" w:line="360" w:lineRule="auto"/>
        <w:ind w:left="364" w:hanging="364"/>
        <w:jc w:val="both"/>
        <w:rPr>
          <w:rFonts w:ascii="Times New Roman" w:hAnsi="Times New Roman"/>
          <w:sz w:val="24"/>
          <w:szCs w:val="24"/>
        </w:rPr>
      </w:pPr>
      <w:r w:rsidRPr="00E24274">
        <w:rPr>
          <w:rFonts w:ascii="Times New Roman" w:hAnsi="Times New Roman"/>
          <w:sz w:val="24"/>
          <w:szCs w:val="24"/>
        </w:rPr>
        <w:t xml:space="preserve">art. 86 (dotyczący obowiązku udostępniania bez zbędnej zwłoki za pomocą środków komunikacji elektronicznej informacji wymienionych w tym przepisie przez organizację zbiorowego zarządzania, na </w:t>
      </w:r>
      <w:r w:rsidR="003C5B87" w:rsidRPr="00E24274">
        <w:rPr>
          <w:rFonts w:ascii="Times New Roman" w:hAnsi="Times New Roman"/>
          <w:sz w:val="24"/>
          <w:szCs w:val="24"/>
        </w:rPr>
        <w:t xml:space="preserve">należycie </w:t>
      </w:r>
      <w:r w:rsidRPr="00E24274">
        <w:rPr>
          <w:rFonts w:ascii="Times New Roman" w:hAnsi="Times New Roman"/>
          <w:sz w:val="24"/>
          <w:szCs w:val="24"/>
        </w:rPr>
        <w:t xml:space="preserve">uzasadniony wniosek </w:t>
      </w:r>
      <w:r w:rsidRPr="00E24274">
        <w:rPr>
          <w:rFonts w:ascii="Times New Roman" w:hAnsi="Times New Roman"/>
          <w:sz w:val="24"/>
          <w:szCs w:val="24"/>
        </w:rPr>
        <w:lastRenderedPageBreak/>
        <w:t>uprawnionego, użytkownika lub organizacji, której prawami zarządza na p</w:t>
      </w:r>
      <w:r w:rsidR="00E621F2" w:rsidRPr="00E24274">
        <w:rPr>
          <w:rFonts w:ascii="Times New Roman" w:hAnsi="Times New Roman"/>
          <w:sz w:val="24"/>
          <w:szCs w:val="24"/>
        </w:rPr>
        <w:t>odstawie umowy o reprezentacji).</w:t>
      </w:r>
    </w:p>
    <w:p w:rsidR="00D2655C" w:rsidRPr="00E24274" w:rsidRDefault="00D2655C" w:rsidP="00591C91">
      <w:pPr>
        <w:spacing w:before="240" w:after="0" w:line="360" w:lineRule="auto"/>
        <w:jc w:val="both"/>
        <w:rPr>
          <w:rFonts w:ascii="Times New Roman" w:hAnsi="Times New Roman"/>
          <w:b/>
          <w:sz w:val="24"/>
          <w:szCs w:val="24"/>
        </w:rPr>
      </w:pPr>
      <w:r w:rsidRPr="00E24274">
        <w:rPr>
          <w:rFonts w:ascii="Times New Roman" w:hAnsi="Times New Roman"/>
          <w:b/>
          <w:sz w:val="24"/>
          <w:szCs w:val="24"/>
        </w:rPr>
        <w:t>IV. Wyjaśnienia końcowe</w:t>
      </w:r>
    </w:p>
    <w:p w:rsidR="00D2655C" w:rsidRPr="00E24274" w:rsidRDefault="00D2655C"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Projektowana ustawa jest zgodna z prawem Unii Europejskiej.</w:t>
      </w:r>
    </w:p>
    <w:p w:rsidR="00E621F2" w:rsidRDefault="00E621F2"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Zgodnie z art. 36 ust. 3 akapit drugi dyrekt</w:t>
      </w:r>
      <w:r w:rsidR="00591C91">
        <w:rPr>
          <w:rFonts w:ascii="Times New Roman" w:hAnsi="Times New Roman"/>
          <w:sz w:val="24"/>
          <w:szCs w:val="24"/>
        </w:rPr>
        <w:t>ywy CRM, Ministerstwo Kultury i </w:t>
      </w:r>
      <w:r w:rsidRPr="00E24274">
        <w:rPr>
          <w:rFonts w:ascii="Times New Roman" w:hAnsi="Times New Roman"/>
          <w:sz w:val="24"/>
          <w:szCs w:val="24"/>
        </w:rPr>
        <w:t xml:space="preserve">Dziedzictwa Narodowego poinformowało Komisję Europejską o właściwym organie odpowiedzialnym za nadzór nad organizacjami zbiorowego zarządzania mającymi siedzibę na terytorium Polski. Zarówno na gruncie </w:t>
      </w:r>
      <w:r w:rsidR="00591C91">
        <w:rPr>
          <w:rFonts w:ascii="Times New Roman" w:hAnsi="Times New Roman"/>
          <w:sz w:val="24"/>
          <w:szCs w:val="24"/>
        </w:rPr>
        <w:t>przepisów dotychczasowych</w:t>
      </w:r>
      <w:r w:rsidR="005C0260">
        <w:rPr>
          <w:rFonts w:ascii="Times New Roman" w:hAnsi="Times New Roman"/>
          <w:sz w:val="24"/>
          <w:szCs w:val="24"/>
        </w:rPr>
        <w:t>,</w:t>
      </w:r>
      <w:r w:rsidR="00591C91">
        <w:rPr>
          <w:rFonts w:ascii="Times New Roman" w:hAnsi="Times New Roman"/>
          <w:sz w:val="24"/>
          <w:szCs w:val="24"/>
        </w:rPr>
        <w:t xml:space="preserve"> jak i </w:t>
      </w:r>
      <w:r w:rsidRPr="00E24274">
        <w:rPr>
          <w:rFonts w:ascii="Times New Roman" w:hAnsi="Times New Roman"/>
          <w:sz w:val="24"/>
          <w:szCs w:val="24"/>
        </w:rPr>
        <w:t>projektowanych organem</w:t>
      </w:r>
      <w:r w:rsidR="005C0260">
        <w:rPr>
          <w:rFonts w:ascii="Times New Roman" w:hAnsi="Times New Roman"/>
          <w:sz w:val="24"/>
          <w:szCs w:val="24"/>
        </w:rPr>
        <w:t>,</w:t>
      </w:r>
      <w:r w:rsidRPr="00E24274">
        <w:rPr>
          <w:rFonts w:ascii="Times New Roman" w:hAnsi="Times New Roman"/>
          <w:sz w:val="24"/>
          <w:szCs w:val="24"/>
        </w:rPr>
        <w:t xml:space="preserve"> tym jest minister właściwy do spraw kultury i ochrony dziedzictwa narodowego. Ponadto, zgodnie z art. 39 akapit pierwszy dyrektywy CRM, Komisji Europejskiej został przekazany wykaz organizacji zbiorowego zarządzania mających siedzibę na terytorium Polski. Informacje te są dostępne na stronie internetowej Komisji</w:t>
      </w:r>
      <w:r w:rsidRPr="00E24274">
        <w:rPr>
          <w:rStyle w:val="Odwoanieprzypisudolnego"/>
          <w:rFonts w:ascii="Times New Roman" w:hAnsi="Times New Roman"/>
          <w:sz w:val="24"/>
          <w:szCs w:val="24"/>
        </w:rPr>
        <w:footnoteReference w:id="29"/>
      </w:r>
      <w:r w:rsidR="001E6F0B" w:rsidRPr="001E6F0B">
        <w:rPr>
          <w:rFonts w:ascii="Times New Roman" w:hAnsi="Times New Roman"/>
          <w:sz w:val="24"/>
          <w:szCs w:val="24"/>
          <w:vertAlign w:val="superscript"/>
        </w:rPr>
        <w:t>)</w:t>
      </w:r>
      <w:r w:rsidRPr="00E24274">
        <w:rPr>
          <w:rFonts w:ascii="Times New Roman" w:hAnsi="Times New Roman"/>
          <w:sz w:val="24"/>
          <w:szCs w:val="24"/>
        </w:rPr>
        <w:t xml:space="preserve">. </w:t>
      </w:r>
    </w:p>
    <w:p w:rsidR="00E621F2" w:rsidRPr="00E24274" w:rsidRDefault="00E621F2"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Natomiast sprawozdanie dotyczące udzielania licencji wieloterytorialnych, o którym mowa w art. 38 ust. 3 dyrektywy CRM, zostanie sporządzone i przekazane po pełnej implementacji dyrektywy.</w:t>
      </w:r>
    </w:p>
    <w:p w:rsidR="00D2655C" w:rsidRPr="00E24274" w:rsidRDefault="00D2655C"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Regulacje zawarte w projektowanej ustawie nie stanowią przepisów technicznych w</w:t>
      </w:r>
      <w:r w:rsidR="00591C91">
        <w:rPr>
          <w:rFonts w:ascii="Times New Roman" w:hAnsi="Times New Roman"/>
          <w:sz w:val="24"/>
          <w:szCs w:val="24"/>
        </w:rPr>
        <w:t> </w:t>
      </w:r>
      <w:r w:rsidRPr="00E24274">
        <w:rPr>
          <w:rFonts w:ascii="Times New Roman" w:hAnsi="Times New Roman"/>
          <w:sz w:val="24"/>
          <w:szCs w:val="24"/>
        </w:rPr>
        <w:t>rozumieniu rozporządzenia Rady Ministrów z dnia 23 grudnia 2002 r. w sprawie sposobu funkcjonowania krajowego systemu notyfikacji norm i aktów prawnych, zatem nie podlega ona notyfikacji.</w:t>
      </w:r>
    </w:p>
    <w:p w:rsidR="00D2655C" w:rsidRPr="00E24274" w:rsidRDefault="00D2655C"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Projektowana ustawa nie wymaga przedstawienia organom i instytucjom Unii Europejskiej, w tym Europejskiemu Bankowi Centralnemu, w celu uzyskania opinii, dokonania powiadomienia, konsultacji albo uzgodnienia.</w:t>
      </w:r>
    </w:p>
    <w:p w:rsidR="00D2655C" w:rsidRPr="00E24274" w:rsidRDefault="00D2655C" w:rsidP="00E24274">
      <w:pPr>
        <w:spacing w:before="120" w:after="0" w:line="360" w:lineRule="auto"/>
        <w:jc w:val="both"/>
        <w:rPr>
          <w:rFonts w:ascii="Times New Roman" w:hAnsi="Times New Roman"/>
          <w:sz w:val="24"/>
          <w:szCs w:val="24"/>
        </w:rPr>
      </w:pPr>
      <w:r w:rsidRPr="00E24274">
        <w:rPr>
          <w:rFonts w:ascii="Times New Roman" w:hAnsi="Times New Roman"/>
          <w:sz w:val="24"/>
          <w:szCs w:val="24"/>
        </w:rPr>
        <w:t>Zgodnie z art. 5 ustawy z dnia 7 lipca 2005 r. o działalności lobbingowej w procesie stanowienia prawa</w:t>
      </w:r>
      <w:r w:rsidR="00E24274">
        <w:rPr>
          <w:rFonts w:ascii="Times New Roman" w:hAnsi="Times New Roman"/>
          <w:sz w:val="24"/>
          <w:szCs w:val="24"/>
        </w:rPr>
        <w:t xml:space="preserve"> </w:t>
      </w:r>
      <w:r w:rsidRPr="00E24274">
        <w:rPr>
          <w:rFonts w:ascii="Times New Roman" w:hAnsi="Times New Roman"/>
          <w:sz w:val="24"/>
          <w:szCs w:val="24"/>
        </w:rPr>
        <w:t>projektowana ustawa została udostępniona w Biuletynie Informacji Publicznej Rządowego Centrum Legislacji w serwisie Rządowy Proces Legislacyjny oraz w Biuletynie Informacji Publicznej Ministra Kultury i Dziedzictwa Narodowego.</w:t>
      </w:r>
    </w:p>
    <w:p w:rsidR="00EB6412" w:rsidRPr="00EB6412" w:rsidRDefault="00D2655C" w:rsidP="00842AED">
      <w:pPr>
        <w:spacing w:before="120" w:after="0" w:line="360" w:lineRule="auto"/>
        <w:jc w:val="both"/>
        <w:rPr>
          <w:rFonts w:ascii="Times New Roman" w:hAnsi="Times New Roman"/>
          <w:sz w:val="24"/>
          <w:szCs w:val="24"/>
        </w:rPr>
      </w:pPr>
      <w:r w:rsidRPr="00E24274">
        <w:rPr>
          <w:rFonts w:ascii="Times New Roman" w:hAnsi="Times New Roman"/>
          <w:sz w:val="24"/>
          <w:szCs w:val="24"/>
        </w:rPr>
        <w:lastRenderedPageBreak/>
        <w:t>Jednocześnie należy wskazać, że nie ma możliwości podjęcia alternatywnych w</w:t>
      </w:r>
      <w:r w:rsidR="00EB6412">
        <w:rPr>
          <w:rFonts w:ascii="Times New Roman" w:hAnsi="Times New Roman"/>
          <w:sz w:val="24"/>
          <w:szCs w:val="24"/>
        </w:rPr>
        <w:t> </w:t>
      </w:r>
      <w:r w:rsidRPr="00E24274">
        <w:rPr>
          <w:rFonts w:ascii="Times New Roman" w:hAnsi="Times New Roman"/>
          <w:sz w:val="24"/>
          <w:szCs w:val="24"/>
        </w:rPr>
        <w:t>stosunku do projektowanej ustawy środków umożliwiających</w:t>
      </w:r>
      <w:r w:rsidR="00842AED">
        <w:rPr>
          <w:rFonts w:ascii="Times New Roman" w:hAnsi="Times New Roman"/>
          <w:sz w:val="24"/>
          <w:szCs w:val="24"/>
        </w:rPr>
        <w:t xml:space="preserve"> osiągnięcie zamierzonego celu.</w:t>
      </w:r>
    </w:p>
    <w:sectPr w:rsidR="00EB6412" w:rsidRPr="00EB6412" w:rsidSect="005C0260">
      <w:footerReference w:type="default" r:id="rId8"/>
      <w:pgSz w:w="11906" w:h="16838"/>
      <w:pgMar w:top="1588" w:right="1418" w:bottom="1418"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57EF1" w:rsidRDefault="00B57EF1" w:rsidP="007E0AE7">
      <w:pPr>
        <w:spacing w:after="0" w:line="240" w:lineRule="auto"/>
      </w:pPr>
      <w:r>
        <w:separator/>
      </w:r>
    </w:p>
  </w:endnote>
  <w:endnote w:type="continuationSeparator" w:id="0">
    <w:p w:rsidR="00B57EF1" w:rsidRDefault="00B57EF1" w:rsidP="007E0AE7">
      <w:pPr>
        <w:spacing w:after="0" w:line="240" w:lineRule="auto"/>
      </w:pPr>
      <w:r>
        <w:continuationSeparator/>
      </w:r>
    </w:p>
  </w:endnote>
  <w:endnote w:type="continuationNotice" w:id="1">
    <w:p w:rsidR="00B57EF1" w:rsidRDefault="00B57EF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75005409"/>
      <w:docPartObj>
        <w:docPartGallery w:val="Page Numbers (Bottom of Page)"/>
        <w:docPartUnique/>
      </w:docPartObj>
    </w:sdtPr>
    <w:sdtEndPr>
      <w:rPr>
        <w:rFonts w:ascii="Times New Roman" w:hAnsi="Times New Roman"/>
        <w:sz w:val="24"/>
        <w:szCs w:val="24"/>
      </w:rPr>
    </w:sdtEndPr>
    <w:sdtContent>
      <w:p w:rsidR="00B57EF1" w:rsidRPr="00E24274" w:rsidRDefault="00B57EF1">
        <w:pPr>
          <w:pStyle w:val="Stopka"/>
          <w:jc w:val="center"/>
          <w:rPr>
            <w:rFonts w:ascii="Times New Roman" w:hAnsi="Times New Roman"/>
            <w:sz w:val="24"/>
            <w:szCs w:val="24"/>
          </w:rPr>
        </w:pPr>
        <w:r w:rsidRPr="00E24274">
          <w:rPr>
            <w:rFonts w:ascii="Times New Roman" w:hAnsi="Times New Roman"/>
            <w:sz w:val="24"/>
            <w:szCs w:val="24"/>
          </w:rPr>
          <w:fldChar w:fldCharType="begin"/>
        </w:r>
        <w:r w:rsidRPr="00E24274">
          <w:rPr>
            <w:rFonts w:ascii="Times New Roman" w:hAnsi="Times New Roman"/>
            <w:sz w:val="24"/>
            <w:szCs w:val="24"/>
          </w:rPr>
          <w:instrText>PAGE   \* MERGEFORMAT</w:instrText>
        </w:r>
        <w:r w:rsidRPr="00E24274">
          <w:rPr>
            <w:rFonts w:ascii="Times New Roman" w:hAnsi="Times New Roman"/>
            <w:sz w:val="24"/>
            <w:szCs w:val="24"/>
          </w:rPr>
          <w:fldChar w:fldCharType="separate"/>
        </w:r>
        <w:r w:rsidR="00FF3A5F">
          <w:rPr>
            <w:rFonts w:ascii="Times New Roman" w:hAnsi="Times New Roman"/>
            <w:noProof/>
            <w:sz w:val="24"/>
            <w:szCs w:val="24"/>
          </w:rPr>
          <w:t>21</w:t>
        </w:r>
        <w:r w:rsidRPr="00E24274">
          <w:rPr>
            <w:rFonts w:ascii="Times New Roman" w:hAnsi="Times New Roman"/>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57EF1" w:rsidRDefault="00B57EF1" w:rsidP="007E0AE7">
      <w:pPr>
        <w:spacing w:after="0" w:line="240" w:lineRule="auto"/>
      </w:pPr>
      <w:r>
        <w:separator/>
      </w:r>
    </w:p>
  </w:footnote>
  <w:footnote w:type="continuationSeparator" w:id="0">
    <w:p w:rsidR="00B57EF1" w:rsidRDefault="00B57EF1" w:rsidP="007E0AE7">
      <w:pPr>
        <w:spacing w:after="0" w:line="240" w:lineRule="auto"/>
      </w:pPr>
      <w:r>
        <w:continuationSeparator/>
      </w:r>
    </w:p>
  </w:footnote>
  <w:footnote w:type="continuationNotice" w:id="1">
    <w:p w:rsidR="00B57EF1" w:rsidRPr="00E24274" w:rsidRDefault="00B57EF1">
      <w:pPr>
        <w:spacing w:after="0" w:line="240" w:lineRule="auto"/>
        <w:rPr>
          <w:rFonts w:ascii="Times New Roman" w:hAnsi="Times New Roman"/>
          <w:sz w:val="2"/>
          <w:szCs w:val="2"/>
        </w:rPr>
      </w:pPr>
    </w:p>
  </w:footnote>
  <w:footnote w:id="2">
    <w:p w:rsidR="00B57EF1" w:rsidRPr="00E621F2" w:rsidRDefault="00B57EF1" w:rsidP="00B85D46">
      <w:pPr>
        <w:pStyle w:val="Tekstprzypisudolnego"/>
        <w:tabs>
          <w:tab w:val="left" w:pos="284"/>
        </w:tabs>
        <w:jc w:val="both"/>
        <w:rPr>
          <w:rFonts w:ascii="Times New Roman" w:hAnsi="Times New Roman"/>
        </w:rPr>
      </w:pPr>
      <w:r w:rsidRPr="00E621F2">
        <w:rPr>
          <w:rStyle w:val="Odwoanieprzypisudolnego"/>
          <w:rFonts w:ascii="Times New Roman" w:eastAsia="Times New Roman" w:hAnsi="Times New Roman"/>
        </w:rPr>
        <w:footnoteRef/>
      </w:r>
      <w:r>
        <w:rPr>
          <w:rFonts w:ascii="Times New Roman" w:eastAsia="Times New Roman" w:hAnsi="Times New Roman"/>
          <w:vertAlign w:val="superscript"/>
        </w:rPr>
        <w:t>)</w:t>
      </w:r>
      <w:r>
        <w:rPr>
          <w:rFonts w:ascii="Times New Roman" w:eastAsia="Times New Roman" w:hAnsi="Times New Roman"/>
          <w:vertAlign w:val="superscript"/>
        </w:rPr>
        <w:tab/>
      </w:r>
      <w:r w:rsidRPr="00E24274">
        <w:rPr>
          <w:rFonts w:ascii="Times New Roman" w:eastAsia="Times New Roman" w:hAnsi="Times New Roman"/>
        </w:rPr>
        <w:t>http://www.zaiks.org.pl/82,30,dzialalnosc_zaiks-u.html</w:t>
      </w:r>
    </w:p>
  </w:footnote>
  <w:footnote w:id="3">
    <w:p w:rsidR="00B57EF1" w:rsidRPr="00E621F2" w:rsidRDefault="00B57EF1" w:rsidP="00ED0FD9">
      <w:pPr>
        <w:pStyle w:val="Tekstprzypisudolnego"/>
        <w:tabs>
          <w:tab w:val="left" w:pos="238"/>
        </w:tabs>
        <w:ind w:left="238" w:hanging="238"/>
        <w:jc w:val="both"/>
        <w:rPr>
          <w:rFonts w:ascii="Times New Roman" w:hAnsi="Times New Roman"/>
        </w:rPr>
      </w:pPr>
      <w:r w:rsidRPr="00E621F2">
        <w:rPr>
          <w:rStyle w:val="Odwoanieprzypisudolnego"/>
          <w:rFonts w:ascii="Times New Roman" w:eastAsia="Times New Roman" w:hAnsi="Times New Roman"/>
        </w:rPr>
        <w:footnoteRef/>
      </w:r>
      <w:r>
        <w:rPr>
          <w:rFonts w:ascii="Times New Roman" w:eastAsia="Times New Roman" w:hAnsi="Times New Roman"/>
          <w:vertAlign w:val="superscript"/>
        </w:rPr>
        <w:t>)</w:t>
      </w:r>
      <w:r>
        <w:rPr>
          <w:rFonts w:ascii="Times New Roman" w:eastAsia="Times New Roman" w:hAnsi="Times New Roman"/>
          <w:vertAlign w:val="superscript"/>
        </w:rPr>
        <w:tab/>
      </w:r>
      <w:r w:rsidRPr="00E621F2">
        <w:rPr>
          <w:rFonts w:ascii="Times New Roman" w:eastAsia="Times New Roman" w:hAnsi="Times New Roman"/>
        </w:rPr>
        <w:t>W obszarze muzyki np. porozumienie IFPI Simulcasting (zawarte w 2000 r. obowiązujące do dziś), porozumienie z Santiago (również zawarte w 2000 r., ale w 2004 r. zanegowane przez Komisję Europejską) oraz platformy CELAS i PAECOL (umożliwiające nabycie licencji wieloterytorialnej na katalogi EMI i SONY), a także mechanizm OnLineArt dotyczący praw do sztuk wizualnych (utworzony w 2002 r. i działający do dziś).</w:t>
      </w:r>
    </w:p>
  </w:footnote>
  <w:footnote w:id="4">
    <w:p w:rsidR="00B57EF1" w:rsidRPr="00E621F2" w:rsidRDefault="00B57EF1" w:rsidP="00ED0FD9">
      <w:pPr>
        <w:pStyle w:val="Tekstprzypisudolnego"/>
        <w:tabs>
          <w:tab w:val="left" w:pos="284"/>
        </w:tabs>
        <w:ind w:left="284" w:hanging="284"/>
        <w:jc w:val="both"/>
        <w:rPr>
          <w:rFonts w:ascii="Times New Roman" w:hAnsi="Times New Roman"/>
        </w:rPr>
      </w:pPr>
      <w:r w:rsidRPr="00E621F2">
        <w:rPr>
          <w:rStyle w:val="Odwoanieprzypisudolnego"/>
          <w:rFonts w:ascii="Times New Roman" w:eastAsia="Times New Roman" w:hAnsi="Times New Roman"/>
        </w:rPr>
        <w:footnoteRef/>
      </w:r>
      <w:r>
        <w:rPr>
          <w:rFonts w:ascii="Times New Roman" w:eastAsia="Times New Roman" w:hAnsi="Times New Roman"/>
          <w:vertAlign w:val="superscript"/>
          <w:lang w:val="en-US"/>
        </w:rPr>
        <w:t>)</w:t>
      </w:r>
      <w:r>
        <w:rPr>
          <w:rFonts w:ascii="Times New Roman" w:eastAsia="Times New Roman" w:hAnsi="Times New Roman"/>
          <w:vertAlign w:val="superscript"/>
          <w:lang w:val="en-US"/>
        </w:rPr>
        <w:tab/>
      </w:r>
      <w:r w:rsidRPr="00E621F2">
        <w:rPr>
          <w:rFonts w:ascii="Times New Roman" w:eastAsia="Times New Roman" w:hAnsi="Times New Roman"/>
          <w:lang w:val="en-US"/>
        </w:rPr>
        <w:t xml:space="preserve">A. Schierholz [w:] M. M. Walter, S. von. Lewinski (red.), </w:t>
      </w:r>
      <w:r w:rsidRPr="00E621F2">
        <w:rPr>
          <w:rFonts w:ascii="Times New Roman" w:eastAsia="Times New Roman" w:hAnsi="Times New Roman"/>
          <w:i/>
          <w:lang w:val="en-US"/>
        </w:rPr>
        <w:t xml:space="preserve">European Copyright Law. </w:t>
      </w:r>
      <w:r w:rsidRPr="00E621F2">
        <w:rPr>
          <w:rFonts w:ascii="Times New Roman" w:eastAsia="Times New Roman" w:hAnsi="Times New Roman"/>
          <w:i/>
        </w:rPr>
        <w:t>A Commentary</w:t>
      </w:r>
      <w:r w:rsidRPr="00E621F2">
        <w:rPr>
          <w:rFonts w:ascii="Times New Roman" w:eastAsia="Times New Roman" w:hAnsi="Times New Roman"/>
        </w:rPr>
        <w:t>, Oxford 2010, str. 1150.</w:t>
      </w:r>
    </w:p>
  </w:footnote>
  <w:footnote w:id="5">
    <w:p w:rsidR="00B57EF1" w:rsidRPr="00E621F2" w:rsidRDefault="00B57EF1" w:rsidP="00ED0FD9">
      <w:pPr>
        <w:pStyle w:val="Tekstprzypisudolnego"/>
        <w:tabs>
          <w:tab w:val="left" w:pos="284"/>
        </w:tabs>
        <w:ind w:left="284" w:hanging="284"/>
        <w:jc w:val="both"/>
        <w:rPr>
          <w:rFonts w:ascii="Times New Roman" w:hAnsi="Times New Roman"/>
        </w:rPr>
      </w:pPr>
      <w:r w:rsidRPr="00E621F2">
        <w:rPr>
          <w:rStyle w:val="Odwoanieprzypisudolnego"/>
          <w:rFonts w:ascii="Times New Roman" w:hAnsi="Times New Roman"/>
        </w:rPr>
        <w:footnoteRef/>
      </w:r>
      <w:r>
        <w:rPr>
          <w:rFonts w:ascii="Times New Roman" w:hAnsi="Times New Roman"/>
          <w:vertAlign w:val="superscript"/>
        </w:rPr>
        <w:t>)</w:t>
      </w:r>
      <w:r>
        <w:rPr>
          <w:rFonts w:ascii="Times New Roman" w:hAnsi="Times New Roman"/>
          <w:vertAlign w:val="superscript"/>
        </w:rPr>
        <w:tab/>
      </w:r>
      <w:r w:rsidRPr="00E621F2">
        <w:rPr>
          <w:rFonts w:ascii="Times New Roman" w:hAnsi="Times New Roman"/>
        </w:rPr>
        <w:t>We wrześniu 2016 r. Komisja Europejska zaproponowała rozszerzenie tej zasady na inne sposoby reemisji dokonywanej w zamkniętych sieciach (projekt rozporządz</w:t>
      </w:r>
      <w:r>
        <w:rPr>
          <w:rFonts w:ascii="Times New Roman" w:hAnsi="Times New Roman"/>
        </w:rPr>
        <w:t>enia Parlamentu Europejskiego i </w:t>
      </w:r>
      <w:r w:rsidRPr="00E621F2">
        <w:rPr>
          <w:rFonts w:ascii="Times New Roman" w:hAnsi="Times New Roman"/>
        </w:rPr>
        <w:t xml:space="preserve">Rady </w:t>
      </w:r>
      <w:r w:rsidRPr="00E621F2">
        <w:rPr>
          <w:rFonts w:ascii="Times New Roman" w:hAnsi="Times New Roman"/>
          <w:noProof/>
        </w:rPr>
        <w:t xml:space="preserve">ustanawiającego przepisy dotyczące wykonywania praw autorskich i praw pokrewnych mające zastosowanie do niektórych transmisji </w:t>
      </w:r>
      <w:r w:rsidRPr="00E621F2">
        <w:rPr>
          <w:rFonts w:ascii="Times New Roman" w:hAnsi="Times New Roman"/>
          <w:i/>
          <w:noProof/>
        </w:rPr>
        <w:t>online</w:t>
      </w:r>
      <w:r w:rsidRPr="00E621F2">
        <w:rPr>
          <w:rFonts w:ascii="Times New Roman" w:hAnsi="Times New Roman"/>
          <w:noProof/>
        </w:rPr>
        <w:t xml:space="preserve"> prowadzonych przez organizacje radiowe i telewizyjne oraz do retransmisji programów telewizyjnych i radiowych, dokument COM(2016) 594 </w:t>
      </w:r>
      <w:r w:rsidRPr="00E621F2">
        <w:rPr>
          <w:rFonts w:ascii="Times New Roman" w:hAnsi="Times New Roman"/>
          <w:i/>
          <w:noProof/>
        </w:rPr>
        <w:t>final</w:t>
      </w:r>
      <w:r w:rsidRPr="00E621F2">
        <w:rPr>
          <w:rFonts w:ascii="Times New Roman" w:hAnsi="Times New Roman"/>
          <w:noProof/>
        </w:rPr>
        <w:t>).</w:t>
      </w:r>
    </w:p>
  </w:footnote>
  <w:footnote w:id="6">
    <w:p w:rsidR="00B57EF1" w:rsidRPr="00E621F2" w:rsidRDefault="00B57EF1" w:rsidP="00ED0FD9">
      <w:pPr>
        <w:pStyle w:val="Tekstprzypisudolnego"/>
        <w:tabs>
          <w:tab w:val="left" w:pos="284"/>
        </w:tabs>
        <w:jc w:val="both"/>
        <w:rPr>
          <w:rFonts w:ascii="Times New Roman" w:hAnsi="Times New Roman"/>
        </w:rPr>
      </w:pPr>
      <w:r w:rsidRPr="00E621F2">
        <w:rPr>
          <w:rStyle w:val="Odwoanieprzypisudolnego"/>
          <w:rFonts w:ascii="Times New Roman" w:eastAsia="Times New Roman" w:hAnsi="Times New Roman"/>
        </w:rPr>
        <w:footnoteRef/>
      </w:r>
      <w:r>
        <w:rPr>
          <w:rFonts w:ascii="Times New Roman" w:hAnsi="Times New Roman"/>
          <w:vertAlign w:val="superscript"/>
        </w:rPr>
        <w:t>)</w:t>
      </w:r>
      <w:r>
        <w:rPr>
          <w:rFonts w:ascii="Times New Roman" w:hAnsi="Times New Roman"/>
          <w:vertAlign w:val="superscript"/>
        </w:rPr>
        <w:tab/>
      </w:r>
      <w:r w:rsidRPr="00E621F2">
        <w:rPr>
          <w:rFonts w:ascii="Times New Roman" w:eastAsia="Times New Roman" w:hAnsi="Times New Roman"/>
          <w:i/>
        </w:rPr>
        <w:t>European Copyright Law…</w:t>
      </w:r>
      <w:r w:rsidRPr="00E621F2">
        <w:rPr>
          <w:rFonts w:ascii="Times New Roman" w:eastAsia="Times New Roman" w:hAnsi="Times New Roman"/>
        </w:rPr>
        <w:t>, str. 1150</w:t>
      </w:r>
      <w:r>
        <w:rPr>
          <w:rFonts w:ascii="Times New Roman" w:eastAsia="Times New Roman" w:hAnsi="Times New Roman"/>
        </w:rPr>
        <w:t>–</w:t>
      </w:r>
      <w:r w:rsidRPr="00E621F2">
        <w:rPr>
          <w:rFonts w:ascii="Times New Roman" w:eastAsia="Times New Roman" w:hAnsi="Times New Roman"/>
        </w:rPr>
        <w:t>1151.</w:t>
      </w:r>
    </w:p>
  </w:footnote>
  <w:footnote w:id="7">
    <w:p w:rsidR="00B57EF1" w:rsidRPr="00E621F2" w:rsidRDefault="00B57EF1" w:rsidP="00ED0FD9">
      <w:pPr>
        <w:pStyle w:val="Tekstprzypisudolnego"/>
        <w:tabs>
          <w:tab w:val="left" w:pos="280"/>
        </w:tabs>
        <w:ind w:left="280" w:hanging="280"/>
        <w:jc w:val="both"/>
        <w:rPr>
          <w:rFonts w:ascii="Times New Roman" w:hAnsi="Times New Roman"/>
        </w:rPr>
      </w:pPr>
      <w:r w:rsidRPr="00E621F2">
        <w:rPr>
          <w:rStyle w:val="Odwoanieprzypisudolnego"/>
          <w:rFonts w:ascii="Times New Roman" w:hAnsi="Times New Roman"/>
        </w:rPr>
        <w:footnoteRef/>
      </w:r>
      <w:r>
        <w:rPr>
          <w:rFonts w:ascii="Times New Roman" w:hAnsi="Times New Roman"/>
          <w:vertAlign w:val="superscript"/>
        </w:rPr>
        <w:t>)</w:t>
      </w:r>
      <w:r>
        <w:rPr>
          <w:rFonts w:ascii="Times New Roman" w:hAnsi="Times New Roman"/>
          <w:vertAlign w:val="superscript"/>
        </w:rPr>
        <w:tab/>
      </w:r>
      <w:r w:rsidRPr="00E621F2">
        <w:rPr>
          <w:rFonts w:ascii="Times New Roman" w:hAnsi="Times New Roman"/>
        </w:rPr>
        <w:t xml:space="preserve">We wrześniu 2016 r. Komisja Europejska zaproponowała harmonizację zasad udzielania rozszerzonych licencji zbiorowych na korzystanie z utworów niedostępnych w obrocie handlowym (projekt dyrektywy Parlamentu Europejskiego i Rady w sprawie praw autorskich na jednolitym rynku cyfrowym, dokument COM(2016) 593 </w:t>
      </w:r>
      <w:r w:rsidRPr="00E621F2">
        <w:rPr>
          <w:rFonts w:ascii="Times New Roman" w:hAnsi="Times New Roman"/>
          <w:i/>
        </w:rPr>
        <w:t>final</w:t>
      </w:r>
      <w:r w:rsidRPr="00E621F2">
        <w:rPr>
          <w:rFonts w:ascii="Times New Roman" w:hAnsi="Times New Roman"/>
        </w:rPr>
        <w:t>).</w:t>
      </w:r>
    </w:p>
  </w:footnote>
  <w:footnote w:id="8">
    <w:p w:rsidR="00B57EF1" w:rsidRPr="00E621F2" w:rsidRDefault="00B57EF1" w:rsidP="00ED0FD9">
      <w:pPr>
        <w:pStyle w:val="Tekstprzypisudolnego"/>
        <w:tabs>
          <w:tab w:val="left" w:pos="284"/>
        </w:tabs>
        <w:ind w:left="284" w:hanging="284"/>
        <w:jc w:val="both"/>
        <w:rPr>
          <w:rFonts w:ascii="Times New Roman" w:hAnsi="Times New Roman"/>
          <w:lang w:val="en-US"/>
        </w:rPr>
      </w:pPr>
      <w:r w:rsidRPr="00E621F2">
        <w:rPr>
          <w:rStyle w:val="Odwoanieprzypisudolnego"/>
          <w:rFonts w:ascii="Times New Roman" w:eastAsia="Times New Roman" w:hAnsi="Times New Roman"/>
        </w:rPr>
        <w:footnoteRef/>
      </w:r>
      <w:r>
        <w:rPr>
          <w:rFonts w:ascii="Times New Roman" w:hAnsi="Times New Roman"/>
          <w:vertAlign w:val="superscript"/>
        </w:rPr>
        <w:t>)</w:t>
      </w:r>
      <w:r>
        <w:rPr>
          <w:rFonts w:ascii="Times New Roman" w:hAnsi="Times New Roman"/>
          <w:vertAlign w:val="superscript"/>
        </w:rPr>
        <w:tab/>
      </w:r>
      <w:r w:rsidRPr="00E621F2">
        <w:rPr>
          <w:rFonts w:ascii="Times New Roman" w:eastAsia="Times New Roman" w:hAnsi="Times New Roman"/>
        </w:rPr>
        <w:t xml:space="preserve">Przykładowo przed przyjęciem dyrektywy najbardziej rozbudowane regulacje zbiorowego zarządu obowiązywały w Niemczech, Austrii i Portugalii. Z kolei w Wielkiej Brytanii nadzór był ograniczony tylko do ustalania stawek wynagrodzeń, natomiast w Luksemburgu i Estonii organizacje zbiorowego zarządzania nie podlegały żadnemu nadzorowi. </w:t>
      </w:r>
      <w:r w:rsidRPr="00E621F2">
        <w:rPr>
          <w:rFonts w:ascii="Times New Roman" w:eastAsia="Times New Roman" w:hAnsi="Times New Roman"/>
          <w:lang w:val="en-US"/>
        </w:rPr>
        <w:t xml:space="preserve">Por. </w:t>
      </w:r>
      <w:r w:rsidRPr="00E621F2">
        <w:rPr>
          <w:rFonts w:ascii="Times New Roman" w:eastAsia="Times New Roman" w:hAnsi="Times New Roman"/>
          <w:i/>
          <w:lang w:val="en-US"/>
        </w:rPr>
        <w:t>European Copyright Law…</w:t>
      </w:r>
      <w:r w:rsidRPr="00E621F2">
        <w:rPr>
          <w:rFonts w:ascii="Times New Roman" w:eastAsia="Times New Roman" w:hAnsi="Times New Roman"/>
          <w:lang w:val="en-US"/>
        </w:rPr>
        <w:t>, str. 1167.</w:t>
      </w:r>
    </w:p>
  </w:footnote>
  <w:footnote w:id="9">
    <w:p w:rsidR="00B57EF1" w:rsidRPr="00E621F2" w:rsidRDefault="00B57EF1" w:rsidP="00ED0FD9">
      <w:pPr>
        <w:pStyle w:val="Tekstprzypisudolnego"/>
        <w:tabs>
          <w:tab w:val="left" w:pos="284"/>
        </w:tabs>
        <w:ind w:left="284" w:hanging="284"/>
        <w:jc w:val="both"/>
        <w:rPr>
          <w:rFonts w:ascii="Times New Roman" w:hAnsi="Times New Roman"/>
          <w:lang w:val="en-US"/>
        </w:rPr>
      </w:pPr>
      <w:r w:rsidRPr="00E621F2">
        <w:rPr>
          <w:rStyle w:val="Odwoanieprzypisudolnego"/>
          <w:rFonts w:ascii="Times New Roman" w:hAnsi="Times New Roman"/>
        </w:rPr>
        <w:footnoteRef/>
      </w:r>
      <w:r w:rsidRPr="00E24274">
        <w:rPr>
          <w:rFonts w:ascii="Times New Roman" w:hAnsi="Times New Roman"/>
          <w:vertAlign w:val="superscript"/>
          <w:lang w:val="en-US"/>
        </w:rPr>
        <w:t>)</w:t>
      </w:r>
      <w:r>
        <w:rPr>
          <w:rFonts w:ascii="Times New Roman" w:hAnsi="Times New Roman"/>
          <w:vertAlign w:val="superscript"/>
          <w:lang w:val="en-US"/>
        </w:rPr>
        <w:tab/>
      </w:r>
      <w:r w:rsidRPr="00E621F2">
        <w:rPr>
          <w:rFonts w:ascii="Times New Roman" w:hAnsi="Times New Roman"/>
          <w:i/>
          <w:lang w:val="en-US"/>
        </w:rPr>
        <w:t>Commission Staff Working Document,</w:t>
      </w:r>
      <w:r w:rsidRPr="00E621F2">
        <w:rPr>
          <w:rFonts w:ascii="Times New Roman" w:eastAsia="Times New Roman" w:hAnsi="Times New Roman"/>
          <w:lang w:val="en-US"/>
        </w:rPr>
        <w:t xml:space="preserve"> </w:t>
      </w:r>
      <w:r w:rsidRPr="00E621F2">
        <w:rPr>
          <w:rFonts w:ascii="Times New Roman" w:eastAsia="Times New Roman" w:hAnsi="Times New Roman"/>
          <w:i/>
          <w:iCs/>
          <w:lang w:val="en-US"/>
        </w:rPr>
        <w:t>Impact assessment accompany</w:t>
      </w:r>
      <w:r>
        <w:rPr>
          <w:rFonts w:ascii="Times New Roman" w:eastAsia="Times New Roman" w:hAnsi="Times New Roman"/>
          <w:i/>
          <w:iCs/>
          <w:lang w:val="en-US"/>
        </w:rPr>
        <w:t>ing the document Proposal for a </w:t>
      </w:r>
      <w:r w:rsidRPr="00E621F2">
        <w:rPr>
          <w:rFonts w:ascii="Times New Roman" w:eastAsia="Times New Roman" w:hAnsi="Times New Roman"/>
          <w:i/>
          <w:iCs/>
          <w:lang w:val="en-US"/>
        </w:rPr>
        <w:t>Directive of the European Parliament and of the Council on collective management of copyright and related rights and multi-territorial licensing of rights in musical works for online uses in the internal market</w:t>
      </w:r>
      <w:r w:rsidRPr="00E621F2">
        <w:rPr>
          <w:rFonts w:ascii="Times New Roman" w:eastAsia="Times New Roman" w:hAnsi="Times New Roman"/>
          <w:lang w:val="en-US"/>
        </w:rPr>
        <w:t xml:space="preserve">, </w:t>
      </w:r>
      <w:r w:rsidRPr="00C97A71">
        <w:rPr>
          <w:rFonts w:ascii="Times New Roman" w:eastAsia="Times New Roman" w:hAnsi="Times New Roman"/>
          <w:lang w:val="en-US"/>
        </w:rPr>
        <w:t>Bruksela</w:t>
      </w:r>
      <w:r w:rsidRPr="00E621F2">
        <w:rPr>
          <w:rFonts w:ascii="Times New Roman" w:eastAsia="Times New Roman" w:hAnsi="Times New Roman"/>
          <w:lang w:val="en-US"/>
        </w:rPr>
        <w:t xml:space="preserve">, 11 </w:t>
      </w:r>
      <w:r w:rsidRPr="00C97A71">
        <w:rPr>
          <w:rFonts w:ascii="Times New Roman" w:eastAsia="Times New Roman" w:hAnsi="Times New Roman"/>
          <w:lang w:val="en-US"/>
        </w:rPr>
        <w:t>lipca</w:t>
      </w:r>
      <w:r w:rsidRPr="00E621F2">
        <w:rPr>
          <w:rFonts w:ascii="Times New Roman" w:eastAsia="Times New Roman" w:hAnsi="Times New Roman"/>
          <w:lang w:val="en-US"/>
        </w:rPr>
        <w:t xml:space="preserve"> 2012 r., SWD(2012) 204 final, </w:t>
      </w:r>
      <w:r w:rsidRPr="00C97A71">
        <w:rPr>
          <w:rFonts w:ascii="Times New Roman" w:eastAsia="Times New Roman" w:hAnsi="Times New Roman"/>
          <w:lang w:val="en-US"/>
        </w:rPr>
        <w:t>załącznik</w:t>
      </w:r>
      <w:r w:rsidRPr="00E621F2">
        <w:rPr>
          <w:rFonts w:ascii="Times New Roman" w:eastAsia="Times New Roman" w:hAnsi="Times New Roman"/>
          <w:lang w:val="en-US"/>
        </w:rPr>
        <w:t xml:space="preserve"> L.</w:t>
      </w:r>
    </w:p>
  </w:footnote>
  <w:footnote w:id="10">
    <w:p w:rsidR="00B57EF1" w:rsidRPr="00E621F2" w:rsidRDefault="00B57EF1" w:rsidP="00ED0FD9">
      <w:pPr>
        <w:pStyle w:val="Tekstprzypisudolnego"/>
        <w:tabs>
          <w:tab w:val="left" w:pos="284"/>
        </w:tabs>
        <w:ind w:left="284" w:hanging="284"/>
        <w:jc w:val="both"/>
        <w:rPr>
          <w:rFonts w:ascii="Times New Roman" w:eastAsia="Times New Roman" w:hAnsi="Times New Roman"/>
          <w:lang w:val="en-US"/>
        </w:rPr>
      </w:pPr>
      <w:r w:rsidRPr="00E621F2">
        <w:rPr>
          <w:rStyle w:val="Odwoanieprzypisudolnego"/>
          <w:rFonts w:ascii="Times New Roman" w:eastAsia="Times New Roman" w:hAnsi="Times New Roman"/>
        </w:rPr>
        <w:footnoteRef/>
      </w:r>
      <w:r w:rsidRPr="00E24274">
        <w:rPr>
          <w:rFonts w:ascii="Times New Roman" w:hAnsi="Times New Roman"/>
          <w:vertAlign w:val="superscript"/>
          <w:lang w:val="en-US"/>
        </w:rPr>
        <w:t>)</w:t>
      </w:r>
      <w:r w:rsidRPr="00E24274">
        <w:rPr>
          <w:rFonts w:ascii="Times New Roman" w:hAnsi="Times New Roman"/>
          <w:vertAlign w:val="superscript"/>
          <w:lang w:val="en-US"/>
        </w:rPr>
        <w:tab/>
      </w:r>
      <w:r w:rsidRPr="00E621F2">
        <w:rPr>
          <w:rFonts w:ascii="Times New Roman" w:eastAsia="Times New Roman" w:hAnsi="Times New Roman"/>
          <w:lang w:val="en-US"/>
        </w:rPr>
        <w:t xml:space="preserve">Por. </w:t>
      </w:r>
      <w:r w:rsidRPr="00C97A71">
        <w:rPr>
          <w:rFonts w:ascii="Times New Roman" w:eastAsia="Times New Roman" w:hAnsi="Times New Roman"/>
          <w:lang w:val="en-US"/>
        </w:rPr>
        <w:t>Komisja Europejska</w:t>
      </w:r>
      <w:r w:rsidRPr="00E621F2">
        <w:rPr>
          <w:rFonts w:ascii="Times New Roman" w:eastAsia="Times New Roman" w:hAnsi="Times New Roman"/>
          <w:lang w:val="en-US"/>
        </w:rPr>
        <w:t xml:space="preserve">, </w:t>
      </w:r>
      <w:r w:rsidRPr="00E621F2">
        <w:rPr>
          <w:rFonts w:ascii="Times New Roman" w:hAnsi="Times New Roman"/>
          <w:i/>
          <w:lang w:val="en-US"/>
        </w:rPr>
        <w:t>Green Paper on Copyright and Related Rights in the Information Society</w:t>
      </w:r>
      <w:r w:rsidRPr="00E621F2">
        <w:rPr>
          <w:rFonts w:ascii="Times New Roman" w:eastAsia="Times New Roman" w:hAnsi="Times New Roman"/>
          <w:lang w:val="en-US"/>
        </w:rPr>
        <w:t xml:space="preserve">, </w:t>
      </w:r>
      <w:r w:rsidRPr="00C97A71">
        <w:rPr>
          <w:rFonts w:ascii="Times New Roman" w:eastAsia="Times New Roman" w:hAnsi="Times New Roman"/>
          <w:lang w:val="en-US"/>
        </w:rPr>
        <w:t>Bruksela</w:t>
      </w:r>
      <w:r w:rsidRPr="00E621F2">
        <w:rPr>
          <w:rFonts w:ascii="Times New Roman" w:eastAsia="Times New Roman" w:hAnsi="Times New Roman"/>
          <w:lang w:val="en-US"/>
        </w:rPr>
        <w:t xml:space="preserve">, 19 </w:t>
      </w:r>
      <w:r w:rsidRPr="00C97A71">
        <w:rPr>
          <w:rFonts w:ascii="Times New Roman" w:eastAsia="Times New Roman" w:hAnsi="Times New Roman"/>
          <w:lang w:val="en-US"/>
        </w:rPr>
        <w:t>lipca</w:t>
      </w:r>
      <w:r w:rsidRPr="00E621F2">
        <w:rPr>
          <w:rFonts w:ascii="Times New Roman" w:eastAsia="Times New Roman" w:hAnsi="Times New Roman"/>
          <w:lang w:val="en-US"/>
        </w:rPr>
        <w:t xml:space="preserve"> 1995 r., COM(95) 382 final; </w:t>
      </w:r>
      <w:r w:rsidRPr="00C97A71">
        <w:rPr>
          <w:rFonts w:ascii="Times New Roman" w:eastAsia="Times New Roman" w:hAnsi="Times New Roman"/>
          <w:lang w:val="en-US"/>
        </w:rPr>
        <w:t xml:space="preserve">rezolucja Parlamentu Europejskiego </w:t>
      </w:r>
      <w:r w:rsidRPr="00E621F2">
        <w:rPr>
          <w:rFonts w:ascii="Times New Roman" w:eastAsia="Times New Roman" w:hAnsi="Times New Roman"/>
          <w:lang w:val="en-US"/>
        </w:rPr>
        <w:t xml:space="preserve">z 23 </w:t>
      </w:r>
      <w:r w:rsidRPr="00C97A71">
        <w:rPr>
          <w:rFonts w:ascii="Times New Roman" w:eastAsia="Times New Roman" w:hAnsi="Times New Roman"/>
          <w:lang w:val="en-US"/>
        </w:rPr>
        <w:t>października</w:t>
      </w:r>
      <w:r w:rsidRPr="00E621F2">
        <w:rPr>
          <w:rFonts w:ascii="Times New Roman" w:eastAsia="Times New Roman" w:hAnsi="Times New Roman"/>
          <w:lang w:val="en-US"/>
        </w:rPr>
        <w:t xml:space="preserve"> 1997 r., A4-0297/07.</w:t>
      </w:r>
    </w:p>
  </w:footnote>
  <w:footnote w:id="11">
    <w:p w:rsidR="00B57EF1" w:rsidRPr="00E621F2" w:rsidRDefault="00B57EF1" w:rsidP="00ED0FD9">
      <w:pPr>
        <w:tabs>
          <w:tab w:val="left" w:pos="284"/>
        </w:tabs>
        <w:spacing w:after="0" w:line="240" w:lineRule="auto"/>
        <w:ind w:left="284" w:hanging="284"/>
        <w:jc w:val="both"/>
        <w:rPr>
          <w:rFonts w:ascii="Times New Roman" w:hAnsi="Times New Roman"/>
          <w:lang w:val="en-US"/>
        </w:rPr>
      </w:pPr>
      <w:r w:rsidRPr="00E621F2">
        <w:rPr>
          <w:rStyle w:val="Odwoanieprzypisudolnego"/>
          <w:rFonts w:ascii="Times New Roman" w:eastAsia="Times New Roman" w:hAnsi="Times New Roman"/>
          <w:sz w:val="20"/>
          <w:szCs w:val="20"/>
        </w:rPr>
        <w:footnoteRef/>
      </w:r>
      <w:r w:rsidRPr="00E24274">
        <w:rPr>
          <w:rFonts w:ascii="Times New Roman" w:hAnsi="Times New Roman"/>
          <w:vertAlign w:val="superscript"/>
          <w:lang w:val="en-US"/>
        </w:rPr>
        <w:t>)</w:t>
      </w:r>
      <w:r w:rsidRPr="00E24274">
        <w:rPr>
          <w:rFonts w:ascii="Times New Roman" w:hAnsi="Times New Roman"/>
          <w:vertAlign w:val="superscript"/>
          <w:lang w:val="en-US"/>
        </w:rPr>
        <w:tab/>
      </w:r>
      <w:r w:rsidRPr="00E621F2">
        <w:rPr>
          <w:rFonts w:ascii="Times New Roman" w:hAnsi="Times New Roman"/>
          <w:i/>
          <w:sz w:val="20"/>
          <w:lang w:val="en-US"/>
        </w:rPr>
        <w:t xml:space="preserve">Communication from the Commission to the Council, the European Parliament and the European Economic and Social Committee </w:t>
      </w:r>
      <w:r>
        <w:rPr>
          <w:rFonts w:ascii="Times New Roman" w:hAnsi="Times New Roman"/>
          <w:i/>
          <w:sz w:val="20"/>
          <w:lang w:val="en-US"/>
        </w:rPr>
        <w:t>„</w:t>
      </w:r>
      <w:r w:rsidRPr="00E621F2">
        <w:rPr>
          <w:rFonts w:ascii="Times New Roman" w:hAnsi="Times New Roman"/>
          <w:i/>
          <w:sz w:val="20"/>
          <w:lang w:val="en-US"/>
        </w:rPr>
        <w:t>The Management of Copyright and Related Rights in the Internal Market</w:t>
      </w:r>
      <w:r>
        <w:rPr>
          <w:rFonts w:ascii="Times New Roman" w:hAnsi="Times New Roman"/>
          <w:i/>
          <w:sz w:val="20"/>
          <w:lang w:val="en-US"/>
        </w:rPr>
        <w:t>”</w:t>
      </w:r>
      <w:r w:rsidRPr="00E621F2">
        <w:rPr>
          <w:rFonts w:ascii="Times New Roman" w:hAnsi="Times New Roman"/>
          <w:i/>
          <w:sz w:val="20"/>
          <w:lang w:val="en-US"/>
        </w:rPr>
        <w:t>,</w:t>
      </w:r>
      <w:r w:rsidRPr="00E621F2">
        <w:rPr>
          <w:rFonts w:ascii="Times New Roman" w:eastAsia="Times New Roman" w:hAnsi="Times New Roman"/>
          <w:sz w:val="20"/>
          <w:szCs w:val="20"/>
          <w:lang w:val="en-US"/>
        </w:rPr>
        <w:t xml:space="preserve"> </w:t>
      </w:r>
      <w:r w:rsidRPr="00C97A71">
        <w:rPr>
          <w:rFonts w:ascii="Times New Roman" w:eastAsia="Times New Roman" w:hAnsi="Times New Roman"/>
          <w:sz w:val="20"/>
          <w:szCs w:val="20"/>
          <w:lang w:val="en-US"/>
        </w:rPr>
        <w:t>Bruksela</w:t>
      </w:r>
      <w:r w:rsidRPr="00E621F2">
        <w:rPr>
          <w:rFonts w:ascii="Times New Roman" w:eastAsia="Times New Roman" w:hAnsi="Times New Roman"/>
          <w:sz w:val="20"/>
          <w:szCs w:val="20"/>
          <w:lang w:val="en-US"/>
        </w:rPr>
        <w:t xml:space="preserve">, 16 </w:t>
      </w:r>
      <w:r w:rsidRPr="00C97A71">
        <w:rPr>
          <w:rFonts w:ascii="Times New Roman" w:eastAsia="Times New Roman" w:hAnsi="Times New Roman"/>
          <w:sz w:val="20"/>
          <w:szCs w:val="20"/>
          <w:lang w:val="en-US"/>
        </w:rPr>
        <w:t>kwietnia</w:t>
      </w:r>
      <w:r w:rsidRPr="00E621F2">
        <w:rPr>
          <w:rFonts w:ascii="Times New Roman" w:eastAsia="Times New Roman" w:hAnsi="Times New Roman"/>
          <w:sz w:val="20"/>
          <w:szCs w:val="20"/>
          <w:lang w:val="en-US"/>
        </w:rPr>
        <w:t xml:space="preserve"> 2004 r., COM(2004) 261 final.</w:t>
      </w:r>
    </w:p>
  </w:footnote>
  <w:footnote w:id="12">
    <w:p w:rsidR="00B57EF1" w:rsidRPr="00DE4E2F" w:rsidRDefault="00B57EF1" w:rsidP="00B07310">
      <w:pPr>
        <w:tabs>
          <w:tab w:val="left" w:pos="284"/>
        </w:tabs>
        <w:spacing w:after="0" w:line="240" w:lineRule="auto"/>
        <w:ind w:left="284" w:hanging="284"/>
        <w:jc w:val="both"/>
        <w:rPr>
          <w:rFonts w:ascii="Times New Roman" w:hAnsi="Times New Roman"/>
          <w:lang w:val="en-US"/>
        </w:rPr>
      </w:pPr>
      <w:r w:rsidRPr="00E621F2">
        <w:rPr>
          <w:rStyle w:val="Odwoanieprzypisudolnego"/>
          <w:rFonts w:ascii="Times New Roman" w:eastAsia="Times New Roman" w:hAnsi="Times New Roman"/>
        </w:rPr>
        <w:footnoteRef/>
      </w:r>
      <w:r w:rsidRPr="00DE4E2F">
        <w:rPr>
          <w:rFonts w:ascii="Times New Roman" w:hAnsi="Times New Roman"/>
          <w:vertAlign w:val="superscript"/>
          <w:lang w:val="en-US"/>
        </w:rPr>
        <w:t>)</w:t>
      </w:r>
      <w:r w:rsidRPr="00DE4E2F">
        <w:rPr>
          <w:rFonts w:ascii="Times New Roman" w:hAnsi="Times New Roman"/>
          <w:vertAlign w:val="superscript"/>
          <w:lang w:val="en-US"/>
        </w:rPr>
        <w:tab/>
      </w:r>
      <w:r w:rsidRPr="00DE4E2F">
        <w:rPr>
          <w:rFonts w:ascii="Times New Roman" w:eastAsia="Times New Roman" w:hAnsi="Times New Roman"/>
          <w:lang w:val="en-US"/>
        </w:rPr>
        <w:t xml:space="preserve">Por. motyw 6 preambuły dyrektywy oraz </w:t>
      </w:r>
      <w:r w:rsidRPr="00DE4E2F">
        <w:rPr>
          <w:rFonts w:ascii="Times New Roman" w:eastAsia="Times New Roman" w:hAnsi="Times New Roman"/>
          <w:i/>
          <w:lang w:val="en-US"/>
        </w:rPr>
        <w:t>Impact Assessment…</w:t>
      </w:r>
      <w:r w:rsidRPr="00DE4E2F">
        <w:rPr>
          <w:rFonts w:ascii="Times New Roman" w:eastAsia="Times New Roman" w:hAnsi="Times New Roman"/>
          <w:lang w:val="en-US"/>
        </w:rPr>
        <w:t>, str. 30.</w:t>
      </w:r>
    </w:p>
  </w:footnote>
  <w:footnote w:id="13">
    <w:p w:rsidR="00B57EF1" w:rsidRPr="00DE4E2F" w:rsidRDefault="00B57EF1" w:rsidP="00ED0FD9">
      <w:pPr>
        <w:pStyle w:val="Tekstprzypisudolnego"/>
        <w:tabs>
          <w:tab w:val="left" w:pos="284"/>
        </w:tabs>
        <w:jc w:val="both"/>
        <w:rPr>
          <w:rFonts w:ascii="Times New Roman" w:hAnsi="Times New Roman"/>
          <w:lang w:val="en-US"/>
        </w:rPr>
      </w:pPr>
      <w:r w:rsidRPr="00E621F2">
        <w:rPr>
          <w:rStyle w:val="Odwoanieprzypisudolnego"/>
          <w:rFonts w:ascii="Times New Roman" w:eastAsia="Times New Roman" w:hAnsi="Times New Roman"/>
        </w:rPr>
        <w:footnoteRef/>
      </w:r>
      <w:r w:rsidRPr="00DE4E2F">
        <w:rPr>
          <w:rFonts w:ascii="Times New Roman" w:hAnsi="Times New Roman"/>
          <w:vertAlign w:val="superscript"/>
          <w:lang w:val="en-US"/>
        </w:rPr>
        <w:t>)</w:t>
      </w:r>
      <w:r w:rsidRPr="00DE4E2F">
        <w:rPr>
          <w:rFonts w:ascii="Times New Roman" w:hAnsi="Times New Roman"/>
          <w:vertAlign w:val="superscript"/>
          <w:lang w:val="en-US"/>
        </w:rPr>
        <w:tab/>
      </w:r>
      <w:r w:rsidRPr="00DE4E2F">
        <w:rPr>
          <w:rFonts w:ascii="Times New Roman" w:eastAsia="Times New Roman" w:hAnsi="Times New Roman"/>
          <w:i/>
          <w:lang w:val="en-US"/>
        </w:rPr>
        <w:t xml:space="preserve">Impact Assessment…, </w:t>
      </w:r>
      <w:r w:rsidRPr="00DE4E2F">
        <w:rPr>
          <w:rFonts w:ascii="Times New Roman" w:eastAsia="Times New Roman" w:hAnsi="Times New Roman"/>
          <w:lang w:val="en-US"/>
        </w:rPr>
        <w:t>str. 12–14.</w:t>
      </w:r>
    </w:p>
  </w:footnote>
  <w:footnote w:id="14">
    <w:p w:rsidR="00B57EF1" w:rsidRPr="00E621F2" w:rsidRDefault="00B57EF1" w:rsidP="00ED0FD9">
      <w:pPr>
        <w:pStyle w:val="Tekstprzypisudolnego"/>
        <w:tabs>
          <w:tab w:val="left" w:pos="284"/>
        </w:tabs>
        <w:ind w:left="284" w:hanging="284"/>
        <w:jc w:val="both"/>
        <w:rPr>
          <w:rFonts w:ascii="Times New Roman" w:hAnsi="Times New Roman"/>
        </w:rPr>
      </w:pPr>
      <w:r w:rsidRPr="00E621F2">
        <w:rPr>
          <w:rStyle w:val="Odwoanieprzypisudolnego"/>
          <w:rFonts w:ascii="Times New Roman" w:eastAsia="Times New Roman" w:hAnsi="Times New Roman"/>
        </w:rPr>
        <w:footnoteRef/>
      </w:r>
      <w:r>
        <w:rPr>
          <w:rFonts w:ascii="Times New Roman" w:hAnsi="Times New Roman"/>
          <w:vertAlign w:val="superscript"/>
        </w:rPr>
        <w:t>)</w:t>
      </w:r>
      <w:r>
        <w:rPr>
          <w:rFonts w:ascii="Times New Roman" w:hAnsi="Times New Roman"/>
          <w:vertAlign w:val="superscript"/>
        </w:rPr>
        <w:tab/>
      </w:r>
      <w:r w:rsidRPr="00E621F2">
        <w:rPr>
          <w:rFonts w:ascii="Times New Roman" w:eastAsia="Times New Roman" w:hAnsi="Times New Roman"/>
        </w:rPr>
        <w:t>Ustawa z dnia 8 lipca 2010 r. o zmianie ustawy o prawie autorskim i prawach pokrewnych oraz ustawy o kosztach sądowych w sprawach cywilnych.</w:t>
      </w:r>
    </w:p>
  </w:footnote>
  <w:footnote w:id="15">
    <w:p w:rsidR="00B57EF1" w:rsidRPr="00E621F2" w:rsidRDefault="00B57EF1" w:rsidP="00ED0FD9">
      <w:pPr>
        <w:pStyle w:val="Tekstprzypisudolnego"/>
        <w:tabs>
          <w:tab w:val="left" w:pos="284"/>
        </w:tabs>
        <w:ind w:left="284" w:hanging="284"/>
        <w:jc w:val="both"/>
        <w:rPr>
          <w:rFonts w:ascii="Times New Roman" w:hAnsi="Times New Roman"/>
        </w:rPr>
      </w:pPr>
      <w:r w:rsidRPr="00E621F2">
        <w:rPr>
          <w:rStyle w:val="Odwoanieprzypisudolnego"/>
          <w:rFonts w:ascii="Times New Roman" w:eastAsia="Times New Roman" w:hAnsi="Times New Roman"/>
        </w:rPr>
        <w:footnoteRef/>
      </w:r>
      <w:r>
        <w:rPr>
          <w:rFonts w:ascii="Times New Roman" w:hAnsi="Times New Roman"/>
          <w:vertAlign w:val="superscript"/>
        </w:rPr>
        <w:t>)</w:t>
      </w:r>
      <w:r>
        <w:rPr>
          <w:rFonts w:ascii="Times New Roman" w:hAnsi="Times New Roman"/>
          <w:vertAlign w:val="superscript"/>
        </w:rPr>
        <w:tab/>
      </w:r>
      <w:r w:rsidRPr="00E621F2">
        <w:rPr>
          <w:rFonts w:ascii="Times New Roman" w:eastAsia="Times New Roman" w:hAnsi="Times New Roman"/>
        </w:rPr>
        <w:t>Rozporządzenie Ministra Kultury i Dziedzictwa Narodowego z dnia 17 lipca 2014 r. w sprawie szczegółowego zakresu rocznego sprawozdania z działalności organizacji zbiorowego zarządzania prawami autorskimi lub prawami pokrewnymi.</w:t>
      </w:r>
    </w:p>
  </w:footnote>
  <w:footnote w:id="16">
    <w:p w:rsidR="00B57EF1" w:rsidRPr="00E621F2" w:rsidRDefault="00B57EF1" w:rsidP="00ED0FD9">
      <w:pPr>
        <w:pStyle w:val="Tekstprzypisudolnego"/>
        <w:tabs>
          <w:tab w:val="left" w:pos="284"/>
        </w:tabs>
        <w:ind w:left="284" w:hanging="284"/>
        <w:jc w:val="both"/>
        <w:rPr>
          <w:rFonts w:ascii="Times New Roman" w:hAnsi="Times New Roman"/>
        </w:rPr>
      </w:pPr>
      <w:r w:rsidRPr="00E621F2">
        <w:rPr>
          <w:rStyle w:val="Odwoanieprzypisudolnego"/>
          <w:rFonts w:ascii="Times New Roman" w:hAnsi="Times New Roman"/>
        </w:rPr>
        <w:footnoteRef/>
      </w:r>
      <w:r>
        <w:rPr>
          <w:rFonts w:ascii="Times New Roman" w:hAnsi="Times New Roman"/>
          <w:vertAlign w:val="superscript"/>
        </w:rPr>
        <w:t>)</w:t>
      </w:r>
      <w:r>
        <w:rPr>
          <w:rFonts w:ascii="Times New Roman" w:hAnsi="Times New Roman"/>
          <w:vertAlign w:val="superscript"/>
        </w:rPr>
        <w:tab/>
      </w:r>
      <w:r w:rsidRPr="00E621F2">
        <w:rPr>
          <w:rFonts w:ascii="Times New Roman" w:hAnsi="Times New Roman"/>
        </w:rPr>
        <w:t xml:space="preserve">Por. wyrok Sądu Najwyższego z dnia 17 listopada 2011 r., sygn. akt III CSK 30/11: </w:t>
      </w:r>
      <w:r>
        <w:rPr>
          <w:rFonts w:ascii="Times New Roman" w:hAnsi="Times New Roman"/>
        </w:rPr>
        <w:t>„</w:t>
      </w:r>
      <w:r w:rsidRPr="00E621F2">
        <w:rPr>
          <w:rFonts w:ascii="Times New Roman" w:hAnsi="Times New Roman"/>
          <w:i/>
        </w:rPr>
        <w:t>Zarządzanie to obejmuje prawa majątkowe, a osobiste jedynie w odniesieniu do dzieł rozpowszechnianych bez ujawnienia autora (art. 8 ust. 3 p.a.p.p.), zbiorowe pobieranie wynagrodzeń w wypadkach ustawowo określonego uprawnienia (art. 20 ust. 3, art. 21 ust. 1 i 4, art. 70 ust. 3 p.a.p.p.), obowiązkowe udzielanie zgody na korzystanie z utworów (art. 106 ust. 2 p.a.p.p.), opracowywanie i przedstawianie do zatwierdzenia tabel wynagrodzeń oraz określanie zasad rozdziału uzyskanych środków między reprezentowane osoby. Ochrona powierzonych organizacji praw dotyczy obowiązku stworzenia struktur zezwalających na ustalenie rzeczywistego zakresu eksploatacji praw oraz podejmowanie działań zmierzających do dochodzenia wynagrodzenia, w razie stwierdzenia bezprawnego korzystania z praw autorskich lub pokrewnych. Można przyjąć, że zadania związane z ochroną tych praw mieszczą się w szeroko pojętym zarządzaniu tymi prawami.</w:t>
      </w:r>
      <w:r>
        <w:rPr>
          <w:rFonts w:ascii="Times New Roman" w:hAnsi="Times New Roman"/>
        </w:rPr>
        <w:t>”</w:t>
      </w:r>
    </w:p>
  </w:footnote>
  <w:footnote w:id="17">
    <w:p w:rsidR="00B57EF1" w:rsidRPr="00E621F2" w:rsidRDefault="00B57EF1" w:rsidP="00ED0FD9">
      <w:pPr>
        <w:pStyle w:val="Tekstprzypisudolnego"/>
        <w:tabs>
          <w:tab w:val="left" w:pos="284"/>
        </w:tabs>
        <w:ind w:left="284" w:hanging="284"/>
        <w:jc w:val="both"/>
        <w:rPr>
          <w:rFonts w:ascii="Times New Roman" w:hAnsi="Times New Roman"/>
        </w:rPr>
      </w:pPr>
      <w:r w:rsidRPr="00E621F2">
        <w:rPr>
          <w:rStyle w:val="Odwoanieprzypisudolnego"/>
          <w:rFonts w:ascii="Times New Roman" w:hAnsi="Times New Roman"/>
        </w:rPr>
        <w:footnoteRef/>
      </w:r>
      <w:r>
        <w:rPr>
          <w:rFonts w:ascii="Times New Roman" w:hAnsi="Times New Roman"/>
          <w:vertAlign w:val="superscript"/>
        </w:rPr>
        <w:t>)</w:t>
      </w:r>
      <w:r>
        <w:rPr>
          <w:rFonts w:ascii="Times New Roman" w:hAnsi="Times New Roman"/>
          <w:vertAlign w:val="superscript"/>
        </w:rPr>
        <w:tab/>
      </w:r>
      <w:r w:rsidRPr="00E621F2">
        <w:rPr>
          <w:rFonts w:ascii="Times New Roman" w:hAnsi="Times New Roman"/>
        </w:rPr>
        <w:t xml:space="preserve">Por. E. Traple [w:] J. Barta, R. Markiewicz (red.), </w:t>
      </w:r>
      <w:r w:rsidRPr="00E621F2">
        <w:rPr>
          <w:rFonts w:ascii="Times New Roman" w:hAnsi="Times New Roman"/>
          <w:i/>
        </w:rPr>
        <w:t>Prawo autorskie i prawa pokrewne. Komentarz</w:t>
      </w:r>
      <w:r w:rsidRPr="00E621F2">
        <w:rPr>
          <w:rFonts w:ascii="Times New Roman" w:hAnsi="Times New Roman"/>
        </w:rPr>
        <w:t>, Warszawa 2011, str. 612</w:t>
      </w:r>
      <w:r>
        <w:rPr>
          <w:rFonts w:ascii="Times New Roman" w:hAnsi="Times New Roman"/>
        </w:rPr>
        <w:t>–</w:t>
      </w:r>
      <w:r w:rsidRPr="00E621F2">
        <w:rPr>
          <w:rFonts w:ascii="Times New Roman" w:hAnsi="Times New Roman"/>
        </w:rPr>
        <w:t xml:space="preserve">624; M. Kępiński, B. Kleban [w:] J. Barta (red.), </w:t>
      </w:r>
      <w:r w:rsidRPr="00E621F2">
        <w:rPr>
          <w:rFonts w:ascii="Times New Roman" w:hAnsi="Times New Roman"/>
          <w:i/>
        </w:rPr>
        <w:t>System Prawa Prywatnego. Prawo autorskie</w:t>
      </w:r>
      <w:r w:rsidRPr="00E621F2">
        <w:rPr>
          <w:rFonts w:ascii="Times New Roman" w:hAnsi="Times New Roman"/>
        </w:rPr>
        <w:t>, Warszawa 2013, str. 737</w:t>
      </w:r>
      <w:r>
        <w:rPr>
          <w:rFonts w:ascii="Times New Roman" w:hAnsi="Times New Roman"/>
        </w:rPr>
        <w:t>–</w:t>
      </w:r>
      <w:r w:rsidRPr="00E621F2">
        <w:rPr>
          <w:rFonts w:ascii="Times New Roman" w:hAnsi="Times New Roman"/>
        </w:rPr>
        <w:t xml:space="preserve">738; M. Bukowski [w:] D. Flisak (red.), </w:t>
      </w:r>
      <w:r w:rsidRPr="00E621F2">
        <w:rPr>
          <w:rFonts w:ascii="Times New Roman" w:hAnsi="Times New Roman"/>
          <w:i/>
        </w:rPr>
        <w:t>Prawo autorskie i prawa pokrewne. Komentarz LEX</w:t>
      </w:r>
      <w:r w:rsidRPr="00E621F2">
        <w:rPr>
          <w:rFonts w:ascii="Times New Roman" w:hAnsi="Times New Roman"/>
        </w:rPr>
        <w:t>, Warszawa 2015, str. 1284.</w:t>
      </w:r>
    </w:p>
  </w:footnote>
  <w:footnote w:id="18">
    <w:p w:rsidR="00B57EF1" w:rsidRPr="00E621F2" w:rsidRDefault="00B57EF1" w:rsidP="00144B0B">
      <w:pPr>
        <w:pStyle w:val="Tekstprzypisudolnego"/>
        <w:tabs>
          <w:tab w:val="left" w:pos="284"/>
        </w:tabs>
        <w:ind w:left="284" w:hanging="284"/>
        <w:jc w:val="both"/>
        <w:rPr>
          <w:rFonts w:ascii="Times New Roman" w:hAnsi="Times New Roman"/>
        </w:rPr>
      </w:pPr>
      <w:r w:rsidRPr="00E621F2">
        <w:rPr>
          <w:rStyle w:val="Odwoanieprzypisudolnego"/>
          <w:rFonts w:ascii="Times New Roman" w:hAnsi="Times New Roman"/>
        </w:rPr>
        <w:footnoteRef/>
      </w:r>
      <w:r>
        <w:rPr>
          <w:rFonts w:ascii="Times New Roman" w:hAnsi="Times New Roman"/>
          <w:vertAlign w:val="superscript"/>
        </w:rPr>
        <w:t>)</w:t>
      </w:r>
      <w:r>
        <w:rPr>
          <w:rFonts w:ascii="Times New Roman" w:hAnsi="Times New Roman"/>
          <w:vertAlign w:val="superscript"/>
        </w:rPr>
        <w:tab/>
      </w:r>
      <w:r w:rsidRPr="00E621F2">
        <w:rPr>
          <w:rFonts w:ascii="Times New Roman" w:hAnsi="Times New Roman"/>
        </w:rPr>
        <w:t xml:space="preserve">Powoływany przepis definiuje treści cyfrowe jako </w:t>
      </w:r>
      <w:r>
        <w:rPr>
          <w:rFonts w:ascii="Times New Roman" w:hAnsi="Times New Roman"/>
        </w:rPr>
        <w:t>„</w:t>
      </w:r>
      <w:r w:rsidRPr="00E621F2">
        <w:rPr>
          <w:rFonts w:ascii="Times New Roman" w:hAnsi="Times New Roman"/>
          <w:i/>
        </w:rPr>
        <w:t>dane wytwarzane i dostarczane w postaci cyfrowej</w:t>
      </w:r>
      <w:r>
        <w:rPr>
          <w:rFonts w:ascii="Times New Roman" w:hAnsi="Times New Roman"/>
        </w:rPr>
        <w:t>”</w:t>
      </w:r>
      <w:r w:rsidRPr="00E621F2">
        <w:rPr>
          <w:rFonts w:ascii="Times New Roman" w:hAnsi="Times New Roman"/>
        </w:rPr>
        <w:t>.</w:t>
      </w:r>
    </w:p>
  </w:footnote>
  <w:footnote w:id="19">
    <w:p w:rsidR="00B57EF1" w:rsidRPr="00E621F2" w:rsidRDefault="00B57EF1" w:rsidP="00144B0B">
      <w:pPr>
        <w:pStyle w:val="Tekstprzypisudolnego"/>
        <w:tabs>
          <w:tab w:val="left" w:pos="284"/>
        </w:tabs>
        <w:ind w:left="284" w:hanging="284"/>
        <w:jc w:val="both"/>
        <w:rPr>
          <w:rFonts w:ascii="Times New Roman" w:hAnsi="Times New Roman"/>
        </w:rPr>
      </w:pPr>
      <w:r w:rsidRPr="00E621F2">
        <w:rPr>
          <w:rStyle w:val="Odwoanieprzypisudolnego"/>
          <w:rFonts w:ascii="Times New Roman" w:hAnsi="Times New Roman"/>
        </w:rPr>
        <w:footnoteRef/>
      </w:r>
      <w:r>
        <w:rPr>
          <w:rFonts w:ascii="Times New Roman" w:hAnsi="Times New Roman"/>
          <w:vertAlign w:val="superscript"/>
        </w:rPr>
        <w:t>)</w:t>
      </w:r>
      <w:r>
        <w:rPr>
          <w:rFonts w:ascii="Times New Roman" w:hAnsi="Times New Roman"/>
          <w:vertAlign w:val="superscript"/>
        </w:rPr>
        <w:tab/>
      </w:r>
      <w:r w:rsidRPr="00E621F2">
        <w:rPr>
          <w:rFonts w:ascii="Times New Roman" w:hAnsi="Times New Roman"/>
        </w:rPr>
        <w:t xml:space="preserve">Powoływany przepis definiuje świadczenie usług drogą elektroniczną jako </w:t>
      </w:r>
      <w:r>
        <w:rPr>
          <w:rFonts w:ascii="Times New Roman" w:hAnsi="Times New Roman"/>
        </w:rPr>
        <w:t>„</w:t>
      </w:r>
      <w:r w:rsidRPr="00E621F2">
        <w:rPr>
          <w:rFonts w:ascii="Times New Roman" w:hAnsi="Times New Roman"/>
          <w:i/>
        </w:rPr>
        <w:t>wykonanie usługi świadczonej bez jednoczesnej obecności stron (na odległość), poprzez przekaz danych na indywidualne żądanie usługobiorcy, przesyłanej i otrzymywanej za pomocą urządzeń do elektronicznego przetwarzania, włącznie z kompresją cyfrową, i prze</w:t>
      </w:r>
      <w:r>
        <w:rPr>
          <w:rFonts w:ascii="Times New Roman" w:hAnsi="Times New Roman"/>
          <w:i/>
        </w:rPr>
        <w:t>chowywania danych, która jest w </w:t>
      </w:r>
      <w:r w:rsidRPr="00E621F2">
        <w:rPr>
          <w:rFonts w:ascii="Times New Roman" w:hAnsi="Times New Roman"/>
          <w:i/>
        </w:rPr>
        <w:t xml:space="preserve">całości nadawana, odbierana lub transmitowana za pomocą sieci telekomunikacyjnej w rozumieniu ustawy z dnia 16 lipca 2004 r. </w:t>
      </w:r>
      <w:r>
        <w:rPr>
          <w:rFonts w:ascii="Times New Roman" w:hAnsi="Times New Roman"/>
          <w:i/>
        </w:rPr>
        <w:t>–</w:t>
      </w:r>
      <w:r w:rsidRPr="00E621F2">
        <w:rPr>
          <w:rFonts w:ascii="Times New Roman" w:hAnsi="Times New Roman"/>
          <w:i/>
        </w:rPr>
        <w:t xml:space="preserve"> Prawo telekomunikacyjne</w:t>
      </w:r>
      <w:r>
        <w:rPr>
          <w:rFonts w:ascii="Times New Roman" w:hAnsi="Times New Roman"/>
        </w:rPr>
        <w:t>”</w:t>
      </w:r>
      <w:r w:rsidRPr="00E621F2">
        <w:rPr>
          <w:rFonts w:ascii="Times New Roman" w:hAnsi="Times New Roman"/>
        </w:rPr>
        <w:t>.</w:t>
      </w:r>
    </w:p>
  </w:footnote>
  <w:footnote w:id="20">
    <w:p w:rsidR="00B57EF1" w:rsidRPr="00E621F2" w:rsidRDefault="00B57EF1" w:rsidP="00144B0B">
      <w:pPr>
        <w:pStyle w:val="Tekstprzypisudolnego"/>
        <w:tabs>
          <w:tab w:val="left" w:pos="284"/>
        </w:tabs>
        <w:ind w:left="284" w:hanging="284"/>
        <w:jc w:val="both"/>
        <w:rPr>
          <w:rFonts w:ascii="Times New Roman" w:hAnsi="Times New Roman"/>
        </w:rPr>
      </w:pPr>
      <w:r w:rsidRPr="00E621F2">
        <w:rPr>
          <w:rStyle w:val="Odwoanieprzypisudolnego"/>
          <w:rFonts w:ascii="Times New Roman" w:hAnsi="Times New Roman"/>
        </w:rPr>
        <w:footnoteRef/>
      </w:r>
      <w:r>
        <w:rPr>
          <w:rFonts w:ascii="Times New Roman" w:hAnsi="Times New Roman"/>
          <w:vertAlign w:val="superscript"/>
        </w:rPr>
        <w:t>)</w:t>
      </w:r>
      <w:r>
        <w:rPr>
          <w:rFonts w:ascii="Times New Roman" w:hAnsi="Times New Roman"/>
          <w:vertAlign w:val="superscript"/>
        </w:rPr>
        <w:tab/>
      </w:r>
      <w:r w:rsidRPr="00E621F2">
        <w:rPr>
          <w:rFonts w:ascii="Times New Roman" w:hAnsi="Times New Roman"/>
        </w:rPr>
        <w:t xml:space="preserve">M. Czajkowska-Dąbrowska, </w:t>
      </w:r>
      <w:r w:rsidRPr="00E621F2">
        <w:rPr>
          <w:rFonts w:ascii="Times New Roman" w:hAnsi="Times New Roman"/>
          <w:i/>
        </w:rPr>
        <w:t>Rozszerzony zarząd zbiorowy prawami autor</w:t>
      </w:r>
      <w:r>
        <w:rPr>
          <w:rFonts w:ascii="Times New Roman" w:hAnsi="Times New Roman"/>
          <w:i/>
        </w:rPr>
        <w:t>skimi i pokrewnymi w </w:t>
      </w:r>
      <w:r w:rsidRPr="00E621F2">
        <w:rPr>
          <w:rFonts w:ascii="Times New Roman" w:hAnsi="Times New Roman"/>
          <w:i/>
        </w:rPr>
        <w:t>świetle orzecznictwa sądów polskich na tle prawa europejskiego,</w:t>
      </w:r>
      <w:r w:rsidRPr="00E621F2">
        <w:rPr>
          <w:rFonts w:ascii="Times New Roman" w:hAnsi="Times New Roman"/>
        </w:rPr>
        <w:t xml:space="preserve"> Instytut Wymiaru Sprawiedliwości, Warszawa 2014, str. 12.</w:t>
      </w:r>
    </w:p>
  </w:footnote>
  <w:footnote w:id="21">
    <w:p w:rsidR="00B57EF1" w:rsidRPr="00E621F2" w:rsidRDefault="00B57EF1" w:rsidP="00144B0B">
      <w:pPr>
        <w:pStyle w:val="Tekstprzypisudolnego"/>
        <w:tabs>
          <w:tab w:val="left" w:pos="284"/>
        </w:tabs>
        <w:ind w:left="284" w:hanging="284"/>
        <w:jc w:val="both"/>
        <w:rPr>
          <w:rFonts w:ascii="Times New Roman" w:hAnsi="Times New Roman"/>
        </w:rPr>
      </w:pPr>
      <w:r w:rsidRPr="00E621F2">
        <w:rPr>
          <w:rStyle w:val="Odwoanieprzypisudolnego"/>
          <w:rFonts w:ascii="Times New Roman" w:hAnsi="Times New Roman"/>
        </w:rPr>
        <w:footnoteRef/>
      </w:r>
      <w:r>
        <w:rPr>
          <w:rFonts w:ascii="Times New Roman" w:hAnsi="Times New Roman"/>
          <w:vertAlign w:val="superscript"/>
        </w:rPr>
        <w:t>)</w:t>
      </w:r>
      <w:r>
        <w:rPr>
          <w:rFonts w:ascii="Times New Roman" w:hAnsi="Times New Roman"/>
          <w:vertAlign w:val="superscript"/>
        </w:rPr>
        <w:tab/>
      </w:r>
      <w:r w:rsidRPr="00E621F2">
        <w:rPr>
          <w:rFonts w:ascii="Times New Roman" w:hAnsi="Times New Roman"/>
        </w:rPr>
        <w:t xml:space="preserve">Na niespójność orzecznictwa w tym zakresie zwraca </w:t>
      </w:r>
      <w:r>
        <w:rPr>
          <w:rFonts w:ascii="Times New Roman" w:hAnsi="Times New Roman"/>
        </w:rPr>
        <w:t>uwagę M. Czajkowska-Dąbrowska w </w:t>
      </w:r>
      <w:r w:rsidRPr="00E621F2">
        <w:rPr>
          <w:rFonts w:ascii="Times New Roman" w:hAnsi="Times New Roman"/>
          <w:i/>
        </w:rPr>
        <w:t>Rozszerzony zarząd zbiorowy…</w:t>
      </w:r>
      <w:r w:rsidRPr="00E621F2">
        <w:rPr>
          <w:rFonts w:ascii="Times New Roman" w:hAnsi="Times New Roman"/>
        </w:rPr>
        <w:t>, str. 30</w:t>
      </w:r>
      <w:r>
        <w:rPr>
          <w:rFonts w:ascii="Times New Roman" w:hAnsi="Times New Roman"/>
        </w:rPr>
        <w:t>–</w:t>
      </w:r>
      <w:r w:rsidRPr="00E621F2">
        <w:rPr>
          <w:rFonts w:ascii="Times New Roman" w:hAnsi="Times New Roman"/>
        </w:rPr>
        <w:t>81.</w:t>
      </w:r>
    </w:p>
  </w:footnote>
  <w:footnote w:id="22">
    <w:p w:rsidR="00B57EF1" w:rsidRPr="00E621F2" w:rsidRDefault="00B57EF1" w:rsidP="00144B0B">
      <w:pPr>
        <w:pStyle w:val="Tekstprzypisudolnego"/>
        <w:tabs>
          <w:tab w:val="left" w:pos="280"/>
        </w:tabs>
        <w:jc w:val="both"/>
        <w:rPr>
          <w:rFonts w:ascii="Times New Roman" w:hAnsi="Times New Roman"/>
        </w:rPr>
      </w:pPr>
      <w:r w:rsidRPr="00E621F2">
        <w:rPr>
          <w:rStyle w:val="Odwoanieprzypisudolnego"/>
          <w:rFonts w:ascii="Times New Roman" w:hAnsi="Times New Roman"/>
        </w:rPr>
        <w:footnoteRef/>
      </w:r>
      <w:r>
        <w:rPr>
          <w:rFonts w:ascii="Times New Roman" w:hAnsi="Times New Roman"/>
          <w:vertAlign w:val="superscript"/>
        </w:rPr>
        <w:t>)</w:t>
      </w:r>
      <w:r>
        <w:rPr>
          <w:rFonts w:ascii="Times New Roman" w:hAnsi="Times New Roman"/>
          <w:vertAlign w:val="superscript"/>
        </w:rPr>
        <w:tab/>
      </w:r>
      <w:r w:rsidRPr="00E621F2">
        <w:rPr>
          <w:rFonts w:ascii="Times New Roman" w:hAnsi="Times New Roman"/>
        </w:rPr>
        <w:t xml:space="preserve">M. Czajkowska-Dąbrowska, </w:t>
      </w:r>
      <w:r w:rsidRPr="00E621F2">
        <w:rPr>
          <w:rFonts w:ascii="Times New Roman" w:hAnsi="Times New Roman"/>
          <w:i/>
        </w:rPr>
        <w:t>Rozszerzony zarząd zbiorowy…</w:t>
      </w:r>
      <w:r w:rsidRPr="00E621F2">
        <w:rPr>
          <w:rFonts w:ascii="Times New Roman" w:hAnsi="Times New Roman"/>
        </w:rPr>
        <w:t>, str. 52.</w:t>
      </w:r>
    </w:p>
  </w:footnote>
  <w:footnote w:id="23">
    <w:p w:rsidR="00B57EF1" w:rsidRPr="00E621F2" w:rsidRDefault="00B57EF1" w:rsidP="00144B0B">
      <w:pPr>
        <w:pStyle w:val="Tekstprzypisudolnego"/>
        <w:tabs>
          <w:tab w:val="left" w:pos="284"/>
        </w:tabs>
        <w:ind w:left="284" w:hanging="284"/>
        <w:jc w:val="both"/>
        <w:rPr>
          <w:rFonts w:ascii="Times New Roman" w:hAnsi="Times New Roman"/>
          <w:lang w:val="en-US"/>
        </w:rPr>
      </w:pPr>
      <w:r w:rsidRPr="00E621F2">
        <w:rPr>
          <w:rStyle w:val="Odwoanieprzypisudolnego"/>
          <w:rFonts w:ascii="Times New Roman" w:hAnsi="Times New Roman"/>
        </w:rPr>
        <w:footnoteRef/>
      </w:r>
      <w:r w:rsidRPr="001E6F0B">
        <w:rPr>
          <w:rFonts w:ascii="Times New Roman" w:hAnsi="Times New Roman"/>
          <w:vertAlign w:val="superscript"/>
          <w:lang w:val="en-US"/>
        </w:rPr>
        <w:t>)</w:t>
      </w:r>
      <w:r w:rsidRPr="001E6F0B">
        <w:rPr>
          <w:rFonts w:ascii="Times New Roman" w:hAnsi="Times New Roman"/>
          <w:vertAlign w:val="superscript"/>
          <w:lang w:val="en-US"/>
        </w:rPr>
        <w:tab/>
      </w:r>
      <w:r w:rsidRPr="00E621F2">
        <w:rPr>
          <w:rFonts w:ascii="Times New Roman" w:hAnsi="Times New Roman"/>
          <w:lang w:val="en-US"/>
        </w:rPr>
        <w:t xml:space="preserve">J. Axhamn, L. Guibault, </w:t>
      </w:r>
      <w:r w:rsidRPr="00E621F2">
        <w:rPr>
          <w:rFonts w:ascii="Times New Roman" w:hAnsi="Times New Roman"/>
          <w:i/>
          <w:lang w:val="en-US"/>
        </w:rPr>
        <w:t>Cross-border extended collective licensing: a solution to online dissemination of Europe’s cultural heritage</w:t>
      </w:r>
      <w:r w:rsidRPr="00E621F2">
        <w:rPr>
          <w:rFonts w:ascii="Times New Roman" w:hAnsi="Times New Roman"/>
          <w:lang w:val="en-US"/>
        </w:rPr>
        <w:t>, Amsterdam 2011, str. 30</w:t>
      </w:r>
      <w:r>
        <w:rPr>
          <w:rFonts w:ascii="Times New Roman" w:hAnsi="Times New Roman"/>
          <w:lang w:val="en-US"/>
        </w:rPr>
        <w:t>–</w:t>
      </w:r>
      <w:r w:rsidRPr="00E621F2">
        <w:rPr>
          <w:rFonts w:ascii="Times New Roman" w:hAnsi="Times New Roman"/>
          <w:lang w:val="en-US"/>
        </w:rPr>
        <w:t>42.</w:t>
      </w:r>
    </w:p>
  </w:footnote>
  <w:footnote w:id="24">
    <w:p w:rsidR="00B57EF1" w:rsidRPr="00E621F2" w:rsidRDefault="00B57EF1" w:rsidP="00144B0B">
      <w:pPr>
        <w:pStyle w:val="Tekstprzypisudolnego"/>
        <w:tabs>
          <w:tab w:val="left" w:pos="284"/>
        </w:tabs>
        <w:ind w:left="284" w:hanging="284"/>
        <w:jc w:val="both"/>
        <w:rPr>
          <w:rFonts w:ascii="Times New Roman" w:hAnsi="Times New Roman"/>
        </w:rPr>
      </w:pPr>
      <w:r w:rsidRPr="00E621F2">
        <w:rPr>
          <w:rStyle w:val="Odwoanieprzypisudolnego"/>
          <w:rFonts w:ascii="Times New Roman" w:hAnsi="Times New Roman"/>
        </w:rPr>
        <w:footnoteRef/>
      </w:r>
      <w:r>
        <w:rPr>
          <w:rFonts w:ascii="Times New Roman" w:hAnsi="Times New Roman"/>
          <w:vertAlign w:val="superscript"/>
        </w:rPr>
        <w:t>)</w:t>
      </w:r>
      <w:r>
        <w:rPr>
          <w:rFonts w:ascii="Times New Roman" w:hAnsi="Times New Roman"/>
          <w:vertAlign w:val="superscript"/>
        </w:rPr>
        <w:tab/>
      </w:r>
      <w:r w:rsidRPr="00E621F2">
        <w:rPr>
          <w:rFonts w:ascii="Times New Roman" w:hAnsi="Times New Roman"/>
        </w:rPr>
        <w:t xml:space="preserve">Pkt 50 preambuły dyrektywy CRM wskazuje, że: </w:t>
      </w:r>
      <w:r>
        <w:rPr>
          <w:rFonts w:ascii="Times New Roman" w:hAnsi="Times New Roman"/>
        </w:rPr>
        <w:t>„</w:t>
      </w:r>
      <w:r w:rsidRPr="00E621F2">
        <w:rPr>
          <w:rFonts w:ascii="Times New Roman" w:hAnsi="Times New Roman"/>
        </w:rPr>
        <w:t>…</w:t>
      </w:r>
      <w:r w:rsidRPr="00E621F2">
        <w:rPr>
          <w:rFonts w:ascii="Times New Roman" w:hAnsi="Times New Roman"/>
          <w:i/>
        </w:rPr>
        <w:t>niniejsza dyrektywa powinna pozostać neutralna w kwestii systemów uprzednich zezwoleń i nadzoru w państwach członkowskich (…)</w:t>
      </w:r>
      <w:r>
        <w:rPr>
          <w:rFonts w:ascii="Times New Roman" w:hAnsi="Times New Roman"/>
          <w:i/>
        </w:rPr>
        <w:t>”</w:t>
      </w:r>
      <w:r w:rsidRPr="00E621F2">
        <w:rPr>
          <w:rFonts w:ascii="Times New Roman" w:hAnsi="Times New Roman"/>
          <w:i/>
        </w:rPr>
        <w:t>.</w:t>
      </w:r>
    </w:p>
  </w:footnote>
  <w:footnote w:id="25">
    <w:p w:rsidR="00B57EF1" w:rsidRPr="00E621F2" w:rsidRDefault="00B57EF1" w:rsidP="00C34122">
      <w:pPr>
        <w:pStyle w:val="Tekstprzypisudolnego"/>
        <w:tabs>
          <w:tab w:val="left" w:pos="426"/>
        </w:tabs>
        <w:ind w:left="426" w:hanging="426"/>
        <w:jc w:val="both"/>
        <w:rPr>
          <w:rFonts w:ascii="Times New Roman" w:hAnsi="Times New Roman"/>
        </w:rPr>
      </w:pPr>
      <w:r w:rsidRPr="00E621F2">
        <w:rPr>
          <w:rStyle w:val="Odwoanieprzypisudolnego"/>
          <w:rFonts w:ascii="Times New Roman" w:hAnsi="Times New Roman"/>
        </w:rPr>
        <w:footnoteRef/>
      </w:r>
      <w:r>
        <w:rPr>
          <w:rFonts w:ascii="Times New Roman" w:hAnsi="Times New Roman"/>
          <w:vertAlign w:val="superscript"/>
        </w:rPr>
        <w:t>)</w:t>
      </w:r>
      <w:r>
        <w:rPr>
          <w:rFonts w:ascii="Times New Roman" w:hAnsi="Times New Roman"/>
          <w:vertAlign w:val="superscript"/>
        </w:rPr>
        <w:tab/>
      </w:r>
      <w:r w:rsidRPr="00E621F2">
        <w:rPr>
          <w:rFonts w:ascii="Times New Roman" w:hAnsi="Times New Roman"/>
        </w:rPr>
        <w:t>Najstarsze z nich (SACD) powstało w 1777 roku, z kolei pierwszym podmiotem pełniącym rolę organizacji zbiorowego zarządzania jest francuski SACEM, założony w 1850 roku.</w:t>
      </w:r>
    </w:p>
  </w:footnote>
  <w:footnote w:id="26">
    <w:p w:rsidR="00B57EF1" w:rsidRPr="00E621F2" w:rsidRDefault="00B57EF1" w:rsidP="00144B0B">
      <w:pPr>
        <w:pStyle w:val="Tekstprzypisudolnego"/>
        <w:tabs>
          <w:tab w:val="left" w:pos="284"/>
        </w:tabs>
        <w:jc w:val="both"/>
        <w:rPr>
          <w:rFonts w:ascii="Times New Roman" w:hAnsi="Times New Roman"/>
        </w:rPr>
      </w:pPr>
      <w:r w:rsidRPr="00E621F2">
        <w:rPr>
          <w:rStyle w:val="Odwoanieprzypisudolnego"/>
          <w:rFonts w:ascii="Times New Roman" w:hAnsi="Times New Roman"/>
        </w:rPr>
        <w:footnoteRef/>
      </w:r>
      <w:r>
        <w:rPr>
          <w:rFonts w:ascii="Times New Roman" w:hAnsi="Times New Roman"/>
          <w:vertAlign w:val="superscript"/>
        </w:rPr>
        <w:t>)</w:t>
      </w:r>
      <w:r>
        <w:rPr>
          <w:rFonts w:ascii="Times New Roman" w:hAnsi="Times New Roman"/>
          <w:vertAlign w:val="superscript"/>
        </w:rPr>
        <w:tab/>
      </w:r>
      <w:r w:rsidRPr="00E621F2">
        <w:rPr>
          <w:rFonts w:ascii="Times New Roman" w:hAnsi="Times New Roman"/>
        </w:rPr>
        <w:t xml:space="preserve">Por. wyrok Sądu Apelacyjnego w Poznaniu z dnia 21 listopada 2007 r. (I ACa 906/07). </w:t>
      </w:r>
    </w:p>
  </w:footnote>
  <w:footnote w:id="27">
    <w:p w:rsidR="00B57EF1" w:rsidRPr="00E621F2" w:rsidRDefault="00B57EF1" w:rsidP="003B0BF7">
      <w:pPr>
        <w:pStyle w:val="Tekstprzypisudolnego"/>
        <w:tabs>
          <w:tab w:val="left" w:pos="284"/>
        </w:tabs>
        <w:ind w:left="284" w:hanging="284"/>
        <w:jc w:val="both"/>
        <w:rPr>
          <w:rFonts w:ascii="Times New Roman" w:hAnsi="Times New Roman"/>
        </w:rPr>
      </w:pPr>
      <w:r w:rsidRPr="00E621F2">
        <w:rPr>
          <w:rStyle w:val="Odwoanieprzypisudolnego"/>
          <w:rFonts w:ascii="Times New Roman" w:hAnsi="Times New Roman"/>
        </w:rPr>
        <w:footnoteRef/>
      </w:r>
      <w:r>
        <w:rPr>
          <w:rFonts w:ascii="Times New Roman" w:hAnsi="Times New Roman"/>
          <w:vertAlign w:val="superscript"/>
        </w:rPr>
        <w:t>)</w:t>
      </w:r>
      <w:r>
        <w:rPr>
          <w:rFonts w:ascii="Times New Roman" w:hAnsi="Times New Roman"/>
          <w:vertAlign w:val="superscript"/>
        </w:rPr>
        <w:tab/>
      </w:r>
      <w:r w:rsidRPr="00E621F2">
        <w:rPr>
          <w:rFonts w:ascii="Times New Roman" w:hAnsi="Times New Roman"/>
        </w:rPr>
        <w:t xml:space="preserve">Np. zgodnie z art. 9 ust. 2 tej ustawy zakazane jest nadużywanie przez przedsiębiorcę pozycji dominującej, co może polegać m.in. na </w:t>
      </w:r>
      <w:r>
        <w:rPr>
          <w:rFonts w:ascii="Times New Roman" w:hAnsi="Times New Roman"/>
        </w:rPr>
        <w:t>„</w:t>
      </w:r>
      <w:r w:rsidRPr="00E621F2">
        <w:rPr>
          <w:rFonts w:ascii="Times New Roman" w:hAnsi="Times New Roman"/>
          <w:i/>
          <w:color w:val="000000"/>
        </w:rPr>
        <w:t>stosowaniu w podobnych umowach z osobami trzecimi uciążliwych lub niejednolitych warunków umów, stwarzających tym osobom zróżnicowane warunki konkurencji</w:t>
      </w:r>
      <w:r>
        <w:rPr>
          <w:rFonts w:ascii="Times New Roman" w:hAnsi="Times New Roman"/>
          <w:color w:val="000000"/>
        </w:rPr>
        <w:t>”</w:t>
      </w:r>
      <w:r w:rsidRPr="00E621F2">
        <w:rPr>
          <w:rFonts w:ascii="Times New Roman" w:hAnsi="Times New Roman"/>
          <w:color w:val="000000"/>
        </w:rPr>
        <w:t>. Stosowanie się tej ustawy do działalności organizacji zbiorowego zarządzania zostało przesądzone w orzecznictwie Prezesa UOKiK oraz sądów powszechnych (zob. np. wyrok Sądu Najwyższego z dnia 8 listopada 2016 r., III CSK 36/16).</w:t>
      </w:r>
      <w:r>
        <w:rPr>
          <w:rFonts w:ascii="Times New Roman" w:hAnsi="Times New Roman"/>
          <w:color w:val="000000"/>
        </w:rPr>
        <w:t xml:space="preserve"> </w:t>
      </w:r>
    </w:p>
  </w:footnote>
  <w:footnote w:id="28">
    <w:p w:rsidR="00B57EF1" w:rsidRPr="00E621F2" w:rsidRDefault="00B57EF1" w:rsidP="00B07584">
      <w:pPr>
        <w:pStyle w:val="Tekstprzypisudolnego"/>
        <w:tabs>
          <w:tab w:val="left" w:pos="426"/>
        </w:tabs>
        <w:ind w:left="426" w:hanging="426"/>
        <w:jc w:val="both"/>
        <w:rPr>
          <w:rFonts w:ascii="Times New Roman" w:hAnsi="Times New Roman"/>
        </w:rPr>
      </w:pPr>
      <w:r w:rsidRPr="00E621F2">
        <w:rPr>
          <w:rStyle w:val="Odwoanieprzypisudolnego"/>
          <w:rFonts w:ascii="Times New Roman" w:hAnsi="Times New Roman"/>
        </w:rPr>
        <w:footnoteRef/>
      </w:r>
      <w:r>
        <w:rPr>
          <w:rFonts w:ascii="Times New Roman" w:hAnsi="Times New Roman"/>
          <w:vertAlign w:val="superscript"/>
        </w:rPr>
        <w:t>)</w:t>
      </w:r>
      <w:r>
        <w:rPr>
          <w:rFonts w:ascii="Times New Roman" w:hAnsi="Times New Roman"/>
          <w:vertAlign w:val="superscript"/>
        </w:rPr>
        <w:tab/>
      </w:r>
      <w:r w:rsidRPr="00E621F2">
        <w:rPr>
          <w:rFonts w:ascii="Times New Roman" w:hAnsi="Times New Roman"/>
        </w:rPr>
        <w:t>Prawomocną tabelę wynagrodzeń posiada Stowarzyszen</w:t>
      </w:r>
      <w:r>
        <w:rPr>
          <w:rFonts w:ascii="Times New Roman" w:hAnsi="Times New Roman"/>
        </w:rPr>
        <w:t>ie Wydawców REPROPOL – chodzi o </w:t>
      </w:r>
      <w:r w:rsidRPr="00E621F2">
        <w:rPr>
          <w:rFonts w:ascii="Times New Roman" w:hAnsi="Times New Roman"/>
        </w:rPr>
        <w:t>tabelę z tytułu korzystania z publikacji periodycznych oraz mających samodzielne znaczenie utworów składających się na zawartość publikacji periodycznych, w związku z usługami monitorowania mediów (sygn. akt DWIM.PZ-006/1-2/13). W przypadku wspólnej tabeli stawek wynagrodzeń za odtwarzanie utworów i przedmiotów praw pokrewnych Stowarzyszenia Artystów Wykonawców Utworów Muzycznych i Słowno-Muzycznych SAWP, Związku Artystów Scen Polskich ZASP, Stowarzyszenia Autorów ZAiKS, Stowarzyszenia Twórców Ludowych, Związku Producentów Audio-Video ZPAV, Stowarzyszenia Filmowców Polskich, Związku Artystów Wykonawców STOART oraz</w:t>
      </w:r>
      <w:r>
        <w:rPr>
          <w:rFonts w:ascii="Times New Roman" w:hAnsi="Times New Roman"/>
        </w:rPr>
        <w:t xml:space="preserve"> </w:t>
      </w:r>
      <w:r w:rsidRPr="00E621F2">
        <w:rPr>
          <w:rFonts w:ascii="Times New Roman" w:hAnsi="Times New Roman"/>
        </w:rPr>
        <w:t>Stowarzyszenia Aktorów Filmowych i Telewizyjnych SAFT tabela jest prawomocna poza odtwarzaniem w części odnoszącej się do hoteli (sygn. akt sprawy DWIM.PZ-006/1-5/12). Cztery postępowania o zatwierdzenie tabel wynagrodzeń zostały zainicjowane w grudniu 2016 r. i nadal się toczą.</w:t>
      </w:r>
    </w:p>
  </w:footnote>
  <w:footnote w:id="29">
    <w:p w:rsidR="00B57EF1" w:rsidRPr="00E621F2" w:rsidRDefault="00B57EF1" w:rsidP="00591C91">
      <w:pPr>
        <w:pStyle w:val="Tekstprzypisudolnego"/>
        <w:tabs>
          <w:tab w:val="left" w:pos="284"/>
        </w:tabs>
        <w:jc w:val="both"/>
        <w:rPr>
          <w:rFonts w:ascii="Times New Roman" w:hAnsi="Times New Roman"/>
        </w:rPr>
      </w:pPr>
      <w:r w:rsidRPr="00E621F2">
        <w:rPr>
          <w:rStyle w:val="Odwoanieprzypisudolnego"/>
          <w:rFonts w:ascii="Times New Roman" w:hAnsi="Times New Roman"/>
        </w:rPr>
        <w:footnoteRef/>
      </w:r>
      <w:r>
        <w:rPr>
          <w:rFonts w:ascii="Times New Roman" w:hAnsi="Times New Roman"/>
          <w:vertAlign w:val="superscript"/>
        </w:rPr>
        <w:t>)</w:t>
      </w:r>
      <w:r>
        <w:rPr>
          <w:rFonts w:ascii="Times New Roman" w:hAnsi="Times New Roman"/>
          <w:vertAlign w:val="superscript"/>
        </w:rPr>
        <w:tab/>
      </w:r>
      <w:r w:rsidRPr="00591C91">
        <w:rPr>
          <w:rFonts w:ascii="Times New Roman" w:hAnsi="Times New Roman"/>
        </w:rPr>
        <w:t>https://ec.europa.eu/digital-single-market/en/news/publication-collective-management-organisations-competent%20authorities-collective-rights-management-directive</w:t>
      </w:r>
      <w:r w:rsidRPr="00E621F2">
        <w:rPr>
          <w:rFonts w:ascii="Times New Roman" w:hAnsi="Times New Roman"/>
        </w:rP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3"/>
    <w:multiLevelType w:val="singleLevel"/>
    <w:tmpl w:val="5440A87A"/>
    <w:lvl w:ilvl="0">
      <w:start w:val="1"/>
      <w:numFmt w:val="bullet"/>
      <w:pStyle w:val="Listapunktowana2"/>
      <w:lvlText w:val=""/>
      <w:lvlJc w:val="left"/>
      <w:pPr>
        <w:tabs>
          <w:tab w:val="num" w:pos="643"/>
        </w:tabs>
        <w:ind w:left="643" w:hanging="360"/>
      </w:pPr>
      <w:rPr>
        <w:rFonts w:ascii="Symbol" w:hAnsi="Symbol" w:hint="default"/>
      </w:rPr>
    </w:lvl>
  </w:abstractNum>
  <w:abstractNum w:abstractNumId="1" w15:restartNumberingAfterBreak="0">
    <w:nsid w:val="02CE4B13"/>
    <w:multiLevelType w:val="hybridMultilevel"/>
    <w:tmpl w:val="A37AF634"/>
    <w:lvl w:ilvl="0" w:tplc="81340A1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45677A1"/>
    <w:multiLevelType w:val="hybridMultilevel"/>
    <w:tmpl w:val="7ACA045E"/>
    <w:lvl w:ilvl="0" w:tplc="CDA61162">
      <w:start w:val="1"/>
      <w:numFmt w:val="bullet"/>
      <w:lvlText w:val=""/>
      <w:lvlJc w:val="left"/>
      <w:pPr>
        <w:tabs>
          <w:tab w:val="num" w:pos="720"/>
        </w:tabs>
        <w:ind w:left="720" w:hanging="360"/>
      </w:pPr>
      <w:rPr>
        <w:rFonts w:ascii="Wingdings" w:hAnsi="Wingdings" w:hint="default"/>
      </w:rPr>
    </w:lvl>
    <w:lvl w:ilvl="1" w:tplc="4ADC2772">
      <w:start w:val="1"/>
      <w:numFmt w:val="bullet"/>
      <w:lvlText w:val=""/>
      <w:lvlJc w:val="left"/>
      <w:pPr>
        <w:tabs>
          <w:tab w:val="num" w:pos="1440"/>
        </w:tabs>
        <w:ind w:left="1440" w:hanging="360"/>
      </w:pPr>
      <w:rPr>
        <w:rFonts w:ascii="Wingdings" w:hAnsi="Wingdings" w:hint="default"/>
      </w:rPr>
    </w:lvl>
    <w:lvl w:ilvl="2" w:tplc="CD5258DE" w:tentative="1">
      <w:start w:val="1"/>
      <w:numFmt w:val="bullet"/>
      <w:lvlText w:val=""/>
      <w:lvlJc w:val="left"/>
      <w:pPr>
        <w:tabs>
          <w:tab w:val="num" w:pos="2160"/>
        </w:tabs>
        <w:ind w:left="2160" w:hanging="360"/>
      </w:pPr>
      <w:rPr>
        <w:rFonts w:ascii="Wingdings" w:hAnsi="Wingdings" w:hint="default"/>
      </w:rPr>
    </w:lvl>
    <w:lvl w:ilvl="3" w:tplc="CC7C632C" w:tentative="1">
      <w:start w:val="1"/>
      <w:numFmt w:val="bullet"/>
      <w:lvlText w:val=""/>
      <w:lvlJc w:val="left"/>
      <w:pPr>
        <w:tabs>
          <w:tab w:val="num" w:pos="2880"/>
        </w:tabs>
        <w:ind w:left="2880" w:hanging="360"/>
      </w:pPr>
      <w:rPr>
        <w:rFonts w:ascii="Wingdings" w:hAnsi="Wingdings" w:hint="default"/>
      </w:rPr>
    </w:lvl>
    <w:lvl w:ilvl="4" w:tplc="14ECEC42" w:tentative="1">
      <w:start w:val="1"/>
      <w:numFmt w:val="bullet"/>
      <w:lvlText w:val=""/>
      <w:lvlJc w:val="left"/>
      <w:pPr>
        <w:tabs>
          <w:tab w:val="num" w:pos="3600"/>
        </w:tabs>
        <w:ind w:left="3600" w:hanging="360"/>
      </w:pPr>
      <w:rPr>
        <w:rFonts w:ascii="Wingdings" w:hAnsi="Wingdings" w:hint="default"/>
      </w:rPr>
    </w:lvl>
    <w:lvl w:ilvl="5" w:tplc="1F846DDC" w:tentative="1">
      <w:start w:val="1"/>
      <w:numFmt w:val="bullet"/>
      <w:lvlText w:val=""/>
      <w:lvlJc w:val="left"/>
      <w:pPr>
        <w:tabs>
          <w:tab w:val="num" w:pos="4320"/>
        </w:tabs>
        <w:ind w:left="4320" w:hanging="360"/>
      </w:pPr>
      <w:rPr>
        <w:rFonts w:ascii="Wingdings" w:hAnsi="Wingdings" w:hint="default"/>
      </w:rPr>
    </w:lvl>
    <w:lvl w:ilvl="6" w:tplc="00809D1E" w:tentative="1">
      <w:start w:val="1"/>
      <w:numFmt w:val="bullet"/>
      <w:lvlText w:val=""/>
      <w:lvlJc w:val="left"/>
      <w:pPr>
        <w:tabs>
          <w:tab w:val="num" w:pos="5040"/>
        </w:tabs>
        <w:ind w:left="5040" w:hanging="360"/>
      </w:pPr>
      <w:rPr>
        <w:rFonts w:ascii="Wingdings" w:hAnsi="Wingdings" w:hint="default"/>
      </w:rPr>
    </w:lvl>
    <w:lvl w:ilvl="7" w:tplc="FCD28EBC" w:tentative="1">
      <w:start w:val="1"/>
      <w:numFmt w:val="bullet"/>
      <w:lvlText w:val=""/>
      <w:lvlJc w:val="left"/>
      <w:pPr>
        <w:tabs>
          <w:tab w:val="num" w:pos="5760"/>
        </w:tabs>
        <w:ind w:left="5760" w:hanging="360"/>
      </w:pPr>
      <w:rPr>
        <w:rFonts w:ascii="Wingdings" w:hAnsi="Wingdings" w:hint="default"/>
      </w:rPr>
    </w:lvl>
    <w:lvl w:ilvl="8" w:tplc="6534F0E6"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6372996"/>
    <w:multiLevelType w:val="hybridMultilevel"/>
    <w:tmpl w:val="26B677A0"/>
    <w:lvl w:ilvl="0" w:tplc="81340A1A">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99B2E7F"/>
    <w:multiLevelType w:val="hybridMultilevel"/>
    <w:tmpl w:val="EBC232E6"/>
    <w:lvl w:ilvl="0" w:tplc="81340A1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0B5B518B"/>
    <w:multiLevelType w:val="hybridMultilevel"/>
    <w:tmpl w:val="EE945E7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C3E62A9"/>
    <w:multiLevelType w:val="hybridMultilevel"/>
    <w:tmpl w:val="0374B98C"/>
    <w:lvl w:ilvl="0" w:tplc="81340A1A">
      <w:start w:val="1"/>
      <w:numFmt w:val="bullet"/>
      <w:lvlText w:val=""/>
      <w:lvlJc w:val="left"/>
      <w:pPr>
        <w:ind w:left="720" w:hanging="360"/>
      </w:pPr>
      <w:rPr>
        <w:rFonts w:ascii="Symbol" w:hAnsi="Symbol" w:hint="default"/>
      </w:rPr>
    </w:lvl>
    <w:lvl w:ilvl="1" w:tplc="04150017">
      <w:start w:val="1"/>
      <w:numFmt w:val="lowerLetter"/>
      <w:lvlText w:val="%2)"/>
      <w:lvlJc w:val="left"/>
      <w:pPr>
        <w:ind w:left="1440" w:hanging="360"/>
      </w:pPr>
      <w:rPr>
        <w:rFonts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0C6C4B54"/>
    <w:multiLevelType w:val="hybridMultilevel"/>
    <w:tmpl w:val="22F6A86A"/>
    <w:lvl w:ilvl="0" w:tplc="806C3756">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4FB126E"/>
    <w:multiLevelType w:val="hybridMultilevel"/>
    <w:tmpl w:val="62583BF0"/>
    <w:lvl w:ilvl="0" w:tplc="81340A1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15D8269E"/>
    <w:multiLevelType w:val="hybridMultilevel"/>
    <w:tmpl w:val="79B465E4"/>
    <w:lvl w:ilvl="0" w:tplc="806C375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1B4D0662"/>
    <w:multiLevelType w:val="hybridMultilevel"/>
    <w:tmpl w:val="2BAA91C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D7E3370"/>
    <w:multiLevelType w:val="hybridMultilevel"/>
    <w:tmpl w:val="16E0FABC"/>
    <w:lvl w:ilvl="0" w:tplc="81340A1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20366DD9"/>
    <w:multiLevelType w:val="hybridMultilevel"/>
    <w:tmpl w:val="BA587518"/>
    <w:lvl w:ilvl="0" w:tplc="81340A1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20C13367"/>
    <w:multiLevelType w:val="hybridMultilevel"/>
    <w:tmpl w:val="48A2D2B6"/>
    <w:lvl w:ilvl="0" w:tplc="806C375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22641D6E"/>
    <w:multiLevelType w:val="hybridMultilevel"/>
    <w:tmpl w:val="A108268C"/>
    <w:lvl w:ilvl="0" w:tplc="04150011">
      <w:start w:val="1"/>
      <w:numFmt w:val="decimal"/>
      <w:lvlText w:val="%1)"/>
      <w:lvlJc w:val="left"/>
      <w:pPr>
        <w:ind w:left="777"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3745257"/>
    <w:multiLevelType w:val="hybridMultilevel"/>
    <w:tmpl w:val="212E2966"/>
    <w:lvl w:ilvl="0" w:tplc="806C375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23A245F9"/>
    <w:multiLevelType w:val="hybridMultilevel"/>
    <w:tmpl w:val="D30E7DC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BCF684D"/>
    <w:multiLevelType w:val="hybridMultilevel"/>
    <w:tmpl w:val="47F6072A"/>
    <w:lvl w:ilvl="0" w:tplc="81340A1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2DF53FFB"/>
    <w:multiLevelType w:val="hybridMultilevel"/>
    <w:tmpl w:val="87F2F53C"/>
    <w:lvl w:ilvl="0" w:tplc="81340A1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338C50CF"/>
    <w:multiLevelType w:val="hybridMultilevel"/>
    <w:tmpl w:val="D6C2705A"/>
    <w:lvl w:ilvl="0" w:tplc="81340A1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37E5058F"/>
    <w:multiLevelType w:val="hybridMultilevel"/>
    <w:tmpl w:val="1C1A650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7E9187A"/>
    <w:multiLevelType w:val="hybridMultilevel"/>
    <w:tmpl w:val="66122B78"/>
    <w:lvl w:ilvl="0" w:tplc="81340A1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3EB312A6"/>
    <w:multiLevelType w:val="hybridMultilevel"/>
    <w:tmpl w:val="19BCC4EA"/>
    <w:lvl w:ilvl="0" w:tplc="806C3756">
      <w:start w:val="1"/>
      <w:numFmt w:val="bullet"/>
      <w:lvlText w:val=""/>
      <w:lvlJc w:val="left"/>
      <w:pPr>
        <w:ind w:left="785" w:hanging="360"/>
      </w:pPr>
      <w:rPr>
        <w:rFonts w:ascii="Symbol" w:hAnsi="Symbol" w:hint="default"/>
      </w:rPr>
    </w:lvl>
    <w:lvl w:ilvl="1" w:tplc="04150003" w:tentative="1">
      <w:start w:val="1"/>
      <w:numFmt w:val="bullet"/>
      <w:lvlText w:val="o"/>
      <w:lvlJc w:val="left"/>
      <w:pPr>
        <w:ind w:left="1505" w:hanging="360"/>
      </w:pPr>
      <w:rPr>
        <w:rFonts w:ascii="Courier New" w:hAnsi="Courier New" w:cs="Courier New" w:hint="default"/>
      </w:rPr>
    </w:lvl>
    <w:lvl w:ilvl="2" w:tplc="04150005" w:tentative="1">
      <w:start w:val="1"/>
      <w:numFmt w:val="bullet"/>
      <w:lvlText w:val=""/>
      <w:lvlJc w:val="left"/>
      <w:pPr>
        <w:ind w:left="2225" w:hanging="360"/>
      </w:pPr>
      <w:rPr>
        <w:rFonts w:ascii="Wingdings" w:hAnsi="Wingdings" w:hint="default"/>
      </w:rPr>
    </w:lvl>
    <w:lvl w:ilvl="3" w:tplc="04150001" w:tentative="1">
      <w:start w:val="1"/>
      <w:numFmt w:val="bullet"/>
      <w:lvlText w:val=""/>
      <w:lvlJc w:val="left"/>
      <w:pPr>
        <w:ind w:left="2945" w:hanging="360"/>
      </w:pPr>
      <w:rPr>
        <w:rFonts w:ascii="Symbol" w:hAnsi="Symbol" w:hint="default"/>
      </w:rPr>
    </w:lvl>
    <w:lvl w:ilvl="4" w:tplc="04150003" w:tentative="1">
      <w:start w:val="1"/>
      <w:numFmt w:val="bullet"/>
      <w:lvlText w:val="o"/>
      <w:lvlJc w:val="left"/>
      <w:pPr>
        <w:ind w:left="3665" w:hanging="360"/>
      </w:pPr>
      <w:rPr>
        <w:rFonts w:ascii="Courier New" w:hAnsi="Courier New" w:cs="Courier New" w:hint="default"/>
      </w:rPr>
    </w:lvl>
    <w:lvl w:ilvl="5" w:tplc="04150005" w:tentative="1">
      <w:start w:val="1"/>
      <w:numFmt w:val="bullet"/>
      <w:lvlText w:val=""/>
      <w:lvlJc w:val="left"/>
      <w:pPr>
        <w:ind w:left="4385" w:hanging="360"/>
      </w:pPr>
      <w:rPr>
        <w:rFonts w:ascii="Wingdings" w:hAnsi="Wingdings" w:hint="default"/>
      </w:rPr>
    </w:lvl>
    <w:lvl w:ilvl="6" w:tplc="04150001" w:tentative="1">
      <w:start w:val="1"/>
      <w:numFmt w:val="bullet"/>
      <w:lvlText w:val=""/>
      <w:lvlJc w:val="left"/>
      <w:pPr>
        <w:ind w:left="5105" w:hanging="360"/>
      </w:pPr>
      <w:rPr>
        <w:rFonts w:ascii="Symbol" w:hAnsi="Symbol" w:hint="default"/>
      </w:rPr>
    </w:lvl>
    <w:lvl w:ilvl="7" w:tplc="04150003" w:tentative="1">
      <w:start w:val="1"/>
      <w:numFmt w:val="bullet"/>
      <w:lvlText w:val="o"/>
      <w:lvlJc w:val="left"/>
      <w:pPr>
        <w:ind w:left="5825" w:hanging="360"/>
      </w:pPr>
      <w:rPr>
        <w:rFonts w:ascii="Courier New" w:hAnsi="Courier New" w:cs="Courier New" w:hint="default"/>
      </w:rPr>
    </w:lvl>
    <w:lvl w:ilvl="8" w:tplc="04150005" w:tentative="1">
      <w:start w:val="1"/>
      <w:numFmt w:val="bullet"/>
      <w:lvlText w:val=""/>
      <w:lvlJc w:val="left"/>
      <w:pPr>
        <w:ind w:left="6545" w:hanging="360"/>
      </w:pPr>
      <w:rPr>
        <w:rFonts w:ascii="Wingdings" w:hAnsi="Wingdings" w:hint="default"/>
      </w:rPr>
    </w:lvl>
  </w:abstractNum>
  <w:abstractNum w:abstractNumId="23" w15:restartNumberingAfterBreak="0">
    <w:nsid w:val="3FE91D2B"/>
    <w:multiLevelType w:val="hybridMultilevel"/>
    <w:tmpl w:val="5FC8D91E"/>
    <w:lvl w:ilvl="0" w:tplc="81340A1A">
      <w:start w:val="1"/>
      <w:numFmt w:val="bullet"/>
      <w:lvlText w:val=""/>
      <w:lvlJc w:val="left"/>
      <w:pPr>
        <w:ind w:left="928" w:hanging="360"/>
      </w:pPr>
      <w:rPr>
        <w:rFonts w:ascii="Symbol" w:hAnsi="Symbol" w:hint="default"/>
      </w:rPr>
    </w:lvl>
    <w:lvl w:ilvl="1" w:tplc="04150003" w:tentative="1">
      <w:start w:val="1"/>
      <w:numFmt w:val="bullet"/>
      <w:lvlText w:val="o"/>
      <w:lvlJc w:val="left"/>
      <w:pPr>
        <w:ind w:left="1648" w:hanging="360"/>
      </w:pPr>
      <w:rPr>
        <w:rFonts w:ascii="Courier New" w:hAnsi="Courier New" w:cs="Courier New" w:hint="default"/>
      </w:rPr>
    </w:lvl>
    <w:lvl w:ilvl="2" w:tplc="04150005" w:tentative="1">
      <w:start w:val="1"/>
      <w:numFmt w:val="bullet"/>
      <w:lvlText w:val=""/>
      <w:lvlJc w:val="left"/>
      <w:pPr>
        <w:ind w:left="2368" w:hanging="360"/>
      </w:pPr>
      <w:rPr>
        <w:rFonts w:ascii="Wingdings" w:hAnsi="Wingdings" w:hint="default"/>
      </w:rPr>
    </w:lvl>
    <w:lvl w:ilvl="3" w:tplc="04150001" w:tentative="1">
      <w:start w:val="1"/>
      <w:numFmt w:val="bullet"/>
      <w:lvlText w:val=""/>
      <w:lvlJc w:val="left"/>
      <w:pPr>
        <w:ind w:left="3088" w:hanging="360"/>
      </w:pPr>
      <w:rPr>
        <w:rFonts w:ascii="Symbol" w:hAnsi="Symbol" w:hint="default"/>
      </w:rPr>
    </w:lvl>
    <w:lvl w:ilvl="4" w:tplc="04150003" w:tentative="1">
      <w:start w:val="1"/>
      <w:numFmt w:val="bullet"/>
      <w:lvlText w:val="o"/>
      <w:lvlJc w:val="left"/>
      <w:pPr>
        <w:ind w:left="3808" w:hanging="360"/>
      </w:pPr>
      <w:rPr>
        <w:rFonts w:ascii="Courier New" w:hAnsi="Courier New" w:cs="Courier New" w:hint="default"/>
      </w:rPr>
    </w:lvl>
    <w:lvl w:ilvl="5" w:tplc="04150005" w:tentative="1">
      <w:start w:val="1"/>
      <w:numFmt w:val="bullet"/>
      <w:lvlText w:val=""/>
      <w:lvlJc w:val="left"/>
      <w:pPr>
        <w:ind w:left="4528" w:hanging="360"/>
      </w:pPr>
      <w:rPr>
        <w:rFonts w:ascii="Wingdings" w:hAnsi="Wingdings" w:hint="default"/>
      </w:rPr>
    </w:lvl>
    <w:lvl w:ilvl="6" w:tplc="04150001" w:tentative="1">
      <w:start w:val="1"/>
      <w:numFmt w:val="bullet"/>
      <w:lvlText w:val=""/>
      <w:lvlJc w:val="left"/>
      <w:pPr>
        <w:ind w:left="5248" w:hanging="360"/>
      </w:pPr>
      <w:rPr>
        <w:rFonts w:ascii="Symbol" w:hAnsi="Symbol" w:hint="default"/>
      </w:rPr>
    </w:lvl>
    <w:lvl w:ilvl="7" w:tplc="04150003" w:tentative="1">
      <w:start w:val="1"/>
      <w:numFmt w:val="bullet"/>
      <w:lvlText w:val="o"/>
      <w:lvlJc w:val="left"/>
      <w:pPr>
        <w:ind w:left="5968" w:hanging="360"/>
      </w:pPr>
      <w:rPr>
        <w:rFonts w:ascii="Courier New" w:hAnsi="Courier New" w:cs="Courier New" w:hint="default"/>
      </w:rPr>
    </w:lvl>
    <w:lvl w:ilvl="8" w:tplc="04150005" w:tentative="1">
      <w:start w:val="1"/>
      <w:numFmt w:val="bullet"/>
      <w:lvlText w:val=""/>
      <w:lvlJc w:val="left"/>
      <w:pPr>
        <w:ind w:left="6688" w:hanging="360"/>
      </w:pPr>
      <w:rPr>
        <w:rFonts w:ascii="Wingdings" w:hAnsi="Wingdings" w:hint="default"/>
      </w:rPr>
    </w:lvl>
  </w:abstractNum>
  <w:abstractNum w:abstractNumId="24" w15:restartNumberingAfterBreak="0">
    <w:nsid w:val="45F9379E"/>
    <w:multiLevelType w:val="hybridMultilevel"/>
    <w:tmpl w:val="D340B82C"/>
    <w:lvl w:ilvl="0" w:tplc="171E4CB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47287C29"/>
    <w:multiLevelType w:val="hybridMultilevel"/>
    <w:tmpl w:val="05445A58"/>
    <w:lvl w:ilvl="0" w:tplc="78084BC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485E7EAF"/>
    <w:multiLevelType w:val="hybridMultilevel"/>
    <w:tmpl w:val="C9D0A962"/>
    <w:lvl w:ilvl="0" w:tplc="C6DEF0B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49A466F0"/>
    <w:multiLevelType w:val="hybridMultilevel"/>
    <w:tmpl w:val="B756E054"/>
    <w:lvl w:ilvl="0" w:tplc="81340A1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4BCD3338"/>
    <w:multiLevelType w:val="hybridMultilevel"/>
    <w:tmpl w:val="39723292"/>
    <w:lvl w:ilvl="0" w:tplc="806C375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4DC25EA4"/>
    <w:multiLevelType w:val="hybridMultilevel"/>
    <w:tmpl w:val="FBA80240"/>
    <w:lvl w:ilvl="0" w:tplc="81340A1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523505B5"/>
    <w:multiLevelType w:val="hybridMultilevel"/>
    <w:tmpl w:val="29BC9442"/>
    <w:lvl w:ilvl="0" w:tplc="81340A1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634B6D18"/>
    <w:multiLevelType w:val="hybridMultilevel"/>
    <w:tmpl w:val="21D440F4"/>
    <w:lvl w:ilvl="0" w:tplc="81340A1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67574966"/>
    <w:multiLevelType w:val="hybridMultilevel"/>
    <w:tmpl w:val="128E24A8"/>
    <w:lvl w:ilvl="0" w:tplc="81340A1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68E85404"/>
    <w:multiLevelType w:val="hybridMultilevel"/>
    <w:tmpl w:val="E14A6DD4"/>
    <w:lvl w:ilvl="0" w:tplc="81340A1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6ADD5C79"/>
    <w:multiLevelType w:val="hybridMultilevel"/>
    <w:tmpl w:val="A068214C"/>
    <w:lvl w:ilvl="0" w:tplc="171E4CB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6B946BA3"/>
    <w:multiLevelType w:val="hybridMultilevel"/>
    <w:tmpl w:val="8484646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6FBF4726"/>
    <w:multiLevelType w:val="hybridMultilevel"/>
    <w:tmpl w:val="94B8CEFA"/>
    <w:lvl w:ilvl="0" w:tplc="81340A1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6FFC63F0"/>
    <w:multiLevelType w:val="hybridMultilevel"/>
    <w:tmpl w:val="72E08B18"/>
    <w:lvl w:ilvl="0" w:tplc="806C375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71B75A6F"/>
    <w:multiLevelType w:val="hybridMultilevel"/>
    <w:tmpl w:val="40E4E1B6"/>
    <w:lvl w:ilvl="0" w:tplc="81340A1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726565AB"/>
    <w:multiLevelType w:val="hybridMultilevel"/>
    <w:tmpl w:val="390609A2"/>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748B4213"/>
    <w:multiLevelType w:val="hybridMultilevel"/>
    <w:tmpl w:val="3918CBAA"/>
    <w:lvl w:ilvl="0" w:tplc="81340A1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7721753B"/>
    <w:multiLevelType w:val="hybridMultilevel"/>
    <w:tmpl w:val="2D3CD90A"/>
    <w:lvl w:ilvl="0" w:tplc="81340A1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78D84AD6"/>
    <w:multiLevelType w:val="hybridMultilevel"/>
    <w:tmpl w:val="7A64B41A"/>
    <w:lvl w:ilvl="0" w:tplc="04150011">
      <w:start w:val="1"/>
      <w:numFmt w:val="decimal"/>
      <w:lvlText w:val="%1)"/>
      <w:lvlJc w:val="left"/>
      <w:pPr>
        <w:ind w:left="777" w:hanging="360"/>
      </w:pPr>
    </w:lvl>
    <w:lvl w:ilvl="1" w:tplc="04150019" w:tentative="1">
      <w:start w:val="1"/>
      <w:numFmt w:val="lowerLetter"/>
      <w:lvlText w:val="%2."/>
      <w:lvlJc w:val="left"/>
      <w:pPr>
        <w:ind w:left="1497" w:hanging="360"/>
      </w:pPr>
    </w:lvl>
    <w:lvl w:ilvl="2" w:tplc="0415001B" w:tentative="1">
      <w:start w:val="1"/>
      <w:numFmt w:val="lowerRoman"/>
      <w:lvlText w:val="%3."/>
      <w:lvlJc w:val="right"/>
      <w:pPr>
        <w:ind w:left="2217" w:hanging="180"/>
      </w:pPr>
    </w:lvl>
    <w:lvl w:ilvl="3" w:tplc="0415000F" w:tentative="1">
      <w:start w:val="1"/>
      <w:numFmt w:val="decimal"/>
      <w:lvlText w:val="%4."/>
      <w:lvlJc w:val="left"/>
      <w:pPr>
        <w:ind w:left="2937" w:hanging="360"/>
      </w:pPr>
    </w:lvl>
    <w:lvl w:ilvl="4" w:tplc="04150019" w:tentative="1">
      <w:start w:val="1"/>
      <w:numFmt w:val="lowerLetter"/>
      <w:lvlText w:val="%5."/>
      <w:lvlJc w:val="left"/>
      <w:pPr>
        <w:ind w:left="3657" w:hanging="360"/>
      </w:pPr>
    </w:lvl>
    <w:lvl w:ilvl="5" w:tplc="0415001B" w:tentative="1">
      <w:start w:val="1"/>
      <w:numFmt w:val="lowerRoman"/>
      <w:lvlText w:val="%6."/>
      <w:lvlJc w:val="right"/>
      <w:pPr>
        <w:ind w:left="4377" w:hanging="180"/>
      </w:pPr>
    </w:lvl>
    <w:lvl w:ilvl="6" w:tplc="0415000F" w:tentative="1">
      <w:start w:val="1"/>
      <w:numFmt w:val="decimal"/>
      <w:lvlText w:val="%7."/>
      <w:lvlJc w:val="left"/>
      <w:pPr>
        <w:ind w:left="5097" w:hanging="360"/>
      </w:pPr>
    </w:lvl>
    <w:lvl w:ilvl="7" w:tplc="04150019" w:tentative="1">
      <w:start w:val="1"/>
      <w:numFmt w:val="lowerLetter"/>
      <w:lvlText w:val="%8."/>
      <w:lvlJc w:val="left"/>
      <w:pPr>
        <w:ind w:left="5817" w:hanging="360"/>
      </w:pPr>
    </w:lvl>
    <w:lvl w:ilvl="8" w:tplc="0415001B" w:tentative="1">
      <w:start w:val="1"/>
      <w:numFmt w:val="lowerRoman"/>
      <w:lvlText w:val="%9."/>
      <w:lvlJc w:val="right"/>
      <w:pPr>
        <w:ind w:left="6537" w:hanging="180"/>
      </w:pPr>
    </w:lvl>
  </w:abstractNum>
  <w:num w:numId="1">
    <w:abstractNumId w:val="24"/>
  </w:num>
  <w:num w:numId="2">
    <w:abstractNumId w:val="34"/>
  </w:num>
  <w:num w:numId="3">
    <w:abstractNumId w:val="25"/>
  </w:num>
  <w:num w:numId="4">
    <w:abstractNumId w:val="36"/>
  </w:num>
  <w:num w:numId="5">
    <w:abstractNumId w:val="17"/>
  </w:num>
  <w:num w:numId="6">
    <w:abstractNumId w:val="5"/>
  </w:num>
  <w:num w:numId="7">
    <w:abstractNumId w:val="42"/>
  </w:num>
  <w:num w:numId="8">
    <w:abstractNumId w:val="14"/>
  </w:num>
  <w:num w:numId="9">
    <w:abstractNumId w:val="4"/>
  </w:num>
  <w:num w:numId="10">
    <w:abstractNumId w:val="20"/>
  </w:num>
  <w:num w:numId="11">
    <w:abstractNumId w:val="35"/>
  </w:num>
  <w:num w:numId="12">
    <w:abstractNumId w:val="40"/>
  </w:num>
  <w:num w:numId="13">
    <w:abstractNumId w:val="33"/>
  </w:num>
  <w:num w:numId="14">
    <w:abstractNumId w:val="8"/>
  </w:num>
  <w:num w:numId="15">
    <w:abstractNumId w:val="30"/>
  </w:num>
  <w:num w:numId="16">
    <w:abstractNumId w:val="41"/>
  </w:num>
  <w:num w:numId="17">
    <w:abstractNumId w:val="11"/>
  </w:num>
  <w:num w:numId="18">
    <w:abstractNumId w:val="27"/>
  </w:num>
  <w:num w:numId="19">
    <w:abstractNumId w:val="31"/>
  </w:num>
  <w:num w:numId="20">
    <w:abstractNumId w:val="19"/>
  </w:num>
  <w:num w:numId="21">
    <w:abstractNumId w:val="18"/>
  </w:num>
  <w:num w:numId="22">
    <w:abstractNumId w:val="6"/>
  </w:num>
  <w:num w:numId="23">
    <w:abstractNumId w:val="12"/>
  </w:num>
  <w:num w:numId="24">
    <w:abstractNumId w:val="28"/>
  </w:num>
  <w:num w:numId="25">
    <w:abstractNumId w:val="7"/>
  </w:num>
  <w:num w:numId="26">
    <w:abstractNumId w:val="0"/>
  </w:num>
  <w:num w:numId="27">
    <w:abstractNumId w:val="38"/>
  </w:num>
  <w:num w:numId="28">
    <w:abstractNumId w:val="1"/>
  </w:num>
  <w:num w:numId="29">
    <w:abstractNumId w:val="23"/>
  </w:num>
  <w:num w:numId="30">
    <w:abstractNumId w:val="29"/>
  </w:num>
  <w:num w:numId="31">
    <w:abstractNumId w:val="10"/>
  </w:num>
  <w:num w:numId="32">
    <w:abstractNumId w:val="3"/>
  </w:num>
  <w:num w:numId="33">
    <w:abstractNumId w:val="21"/>
  </w:num>
  <w:num w:numId="34">
    <w:abstractNumId w:val="13"/>
  </w:num>
  <w:num w:numId="35">
    <w:abstractNumId w:val="26"/>
  </w:num>
  <w:num w:numId="36">
    <w:abstractNumId w:val="2"/>
  </w:num>
  <w:num w:numId="37">
    <w:abstractNumId w:val="39"/>
  </w:num>
  <w:num w:numId="38">
    <w:abstractNumId w:val="9"/>
  </w:num>
  <w:num w:numId="39">
    <w:abstractNumId w:val="22"/>
  </w:num>
  <w:num w:numId="40">
    <w:abstractNumId w:val="37"/>
  </w:num>
  <w:num w:numId="41">
    <w:abstractNumId w:val="15"/>
  </w:num>
  <w:num w:numId="42">
    <w:abstractNumId w:val="21"/>
  </w:num>
  <w:num w:numId="43">
    <w:abstractNumId w:val="16"/>
  </w:num>
  <w:num w:numId="44">
    <w:abstractNumId w:val="32"/>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182D"/>
    <w:rsid w:val="000003BC"/>
    <w:rsid w:val="000006BA"/>
    <w:rsid w:val="00002257"/>
    <w:rsid w:val="00004140"/>
    <w:rsid w:val="00004828"/>
    <w:rsid w:val="00004D08"/>
    <w:rsid w:val="000055F0"/>
    <w:rsid w:val="000058F4"/>
    <w:rsid w:val="00006C4F"/>
    <w:rsid w:val="0000774C"/>
    <w:rsid w:val="00007D15"/>
    <w:rsid w:val="000111D7"/>
    <w:rsid w:val="0001161C"/>
    <w:rsid w:val="000117EF"/>
    <w:rsid w:val="0001203A"/>
    <w:rsid w:val="00012B2E"/>
    <w:rsid w:val="00012FCC"/>
    <w:rsid w:val="00013103"/>
    <w:rsid w:val="000132FE"/>
    <w:rsid w:val="000136FF"/>
    <w:rsid w:val="0001390B"/>
    <w:rsid w:val="0001569D"/>
    <w:rsid w:val="000160DB"/>
    <w:rsid w:val="00016668"/>
    <w:rsid w:val="00020170"/>
    <w:rsid w:val="0002061F"/>
    <w:rsid w:val="00020EF4"/>
    <w:rsid w:val="00021283"/>
    <w:rsid w:val="00021350"/>
    <w:rsid w:val="000220D6"/>
    <w:rsid w:val="000221B5"/>
    <w:rsid w:val="000225E2"/>
    <w:rsid w:val="00023501"/>
    <w:rsid w:val="00024F18"/>
    <w:rsid w:val="00025B43"/>
    <w:rsid w:val="00026EDD"/>
    <w:rsid w:val="00030294"/>
    <w:rsid w:val="0003062F"/>
    <w:rsid w:val="00030B0B"/>
    <w:rsid w:val="0003380F"/>
    <w:rsid w:val="00033D4D"/>
    <w:rsid w:val="00033FD4"/>
    <w:rsid w:val="00034B57"/>
    <w:rsid w:val="00034FC4"/>
    <w:rsid w:val="00035371"/>
    <w:rsid w:val="00035783"/>
    <w:rsid w:val="00037286"/>
    <w:rsid w:val="000375D8"/>
    <w:rsid w:val="000379F4"/>
    <w:rsid w:val="00037B7A"/>
    <w:rsid w:val="00040A48"/>
    <w:rsid w:val="00040DA8"/>
    <w:rsid w:val="000415D1"/>
    <w:rsid w:val="00041AF2"/>
    <w:rsid w:val="00042EF1"/>
    <w:rsid w:val="00043B8F"/>
    <w:rsid w:val="00044037"/>
    <w:rsid w:val="000459E7"/>
    <w:rsid w:val="0004725C"/>
    <w:rsid w:val="00047F33"/>
    <w:rsid w:val="0005057E"/>
    <w:rsid w:val="00050759"/>
    <w:rsid w:val="000508FB"/>
    <w:rsid w:val="00051150"/>
    <w:rsid w:val="00051901"/>
    <w:rsid w:val="00052B24"/>
    <w:rsid w:val="00052E6C"/>
    <w:rsid w:val="000534AB"/>
    <w:rsid w:val="00053F01"/>
    <w:rsid w:val="00054D9C"/>
    <w:rsid w:val="000554D9"/>
    <w:rsid w:val="00057902"/>
    <w:rsid w:val="000600DE"/>
    <w:rsid w:val="0006075F"/>
    <w:rsid w:val="00061BEB"/>
    <w:rsid w:val="00062437"/>
    <w:rsid w:val="00062C47"/>
    <w:rsid w:val="00062D94"/>
    <w:rsid w:val="00063AAC"/>
    <w:rsid w:val="00063D6A"/>
    <w:rsid w:val="0006419B"/>
    <w:rsid w:val="00064BED"/>
    <w:rsid w:val="00064CA7"/>
    <w:rsid w:val="00065B71"/>
    <w:rsid w:val="00066809"/>
    <w:rsid w:val="00066AFD"/>
    <w:rsid w:val="000709EF"/>
    <w:rsid w:val="00071483"/>
    <w:rsid w:val="00071B32"/>
    <w:rsid w:val="00074AE8"/>
    <w:rsid w:val="000803C5"/>
    <w:rsid w:val="000811AE"/>
    <w:rsid w:val="0008288C"/>
    <w:rsid w:val="00083261"/>
    <w:rsid w:val="00083E50"/>
    <w:rsid w:val="00083F74"/>
    <w:rsid w:val="00084DB2"/>
    <w:rsid w:val="000854D6"/>
    <w:rsid w:val="000855F1"/>
    <w:rsid w:val="00085DD4"/>
    <w:rsid w:val="00086182"/>
    <w:rsid w:val="00086784"/>
    <w:rsid w:val="00091A54"/>
    <w:rsid w:val="00092E10"/>
    <w:rsid w:val="000934FD"/>
    <w:rsid w:val="00093545"/>
    <w:rsid w:val="000935C0"/>
    <w:rsid w:val="00095D3E"/>
    <w:rsid w:val="00096992"/>
    <w:rsid w:val="00096D8A"/>
    <w:rsid w:val="000A0FDF"/>
    <w:rsid w:val="000A1CAE"/>
    <w:rsid w:val="000A1DE3"/>
    <w:rsid w:val="000A2C92"/>
    <w:rsid w:val="000A3A65"/>
    <w:rsid w:val="000A44E2"/>
    <w:rsid w:val="000A4ADE"/>
    <w:rsid w:val="000A703E"/>
    <w:rsid w:val="000A717F"/>
    <w:rsid w:val="000A7C0F"/>
    <w:rsid w:val="000B0120"/>
    <w:rsid w:val="000B167A"/>
    <w:rsid w:val="000B1FA5"/>
    <w:rsid w:val="000B2E2E"/>
    <w:rsid w:val="000B4499"/>
    <w:rsid w:val="000B51B5"/>
    <w:rsid w:val="000B57FD"/>
    <w:rsid w:val="000B580D"/>
    <w:rsid w:val="000B5D80"/>
    <w:rsid w:val="000B62CB"/>
    <w:rsid w:val="000B68F3"/>
    <w:rsid w:val="000B7367"/>
    <w:rsid w:val="000B769D"/>
    <w:rsid w:val="000B7B53"/>
    <w:rsid w:val="000C06D2"/>
    <w:rsid w:val="000C2F1F"/>
    <w:rsid w:val="000C4C9B"/>
    <w:rsid w:val="000C54D8"/>
    <w:rsid w:val="000C7161"/>
    <w:rsid w:val="000D0A19"/>
    <w:rsid w:val="000D0FB3"/>
    <w:rsid w:val="000D120C"/>
    <w:rsid w:val="000D1D74"/>
    <w:rsid w:val="000D4340"/>
    <w:rsid w:val="000D5080"/>
    <w:rsid w:val="000D623C"/>
    <w:rsid w:val="000D70D7"/>
    <w:rsid w:val="000E1848"/>
    <w:rsid w:val="000E33FE"/>
    <w:rsid w:val="000E3568"/>
    <w:rsid w:val="000E45BA"/>
    <w:rsid w:val="000E47C3"/>
    <w:rsid w:val="000E54AC"/>
    <w:rsid w:val="000E57CC"/>
    <w:rsid w:val="000E5EC6"/>
    <w:rsid w:val="000E6E46"/>
    <w:rsid w:val="000F0AB0"/>
    <w:rsid w:val="000F3592"/>
    <w:rsid w:val="000F379A"/>
    <w:rsid w:val="000F3A27"/>
    <w:rsid w:val="000F3FC2"/>
    <w:rsid w:val="000F4A4B"/>
    <w:rsid w:val="000F5DA1"/>
    <w:rsid w:val="000F621E"/>
    <w:rsid w:val="00100723"/>
    <w:rsid w:val="00100E93"/>
    <w:rsid w:val="00103CF2"/>
    <w:rsid w:val="001044F8"/>
    <w:rsid w:val="00104861"/>
    <w:rsid w:val="00105137"/>
    <w:rsid w:val="00105566"/>
    <w:rsid w:val="001062AB"/>
    <w:rsid w:val="0010700D"/>
    <w:rsid w:val="00107D43"/>
    <w:rsid w:val="00110DB6"/>
    <w:rsid w:val="001115DE"/>
    <w:rsid w:val="0011320E"/>
    <w:rsid w:val="00113BDB"/>
    <w:rsid w:val="00114779"/>
    <w:rsid w:val="00115078"/>
    <w:rsid w:val="00115A7C"/>
    <w:rsid w:val="00117588"/>
    <w:rsid w:val="00120B03"/>
    <w:rsid w:val="00120E7C"/>
    <w:rsid w:val="00121A68"/>
    <w:rsid w:val="00121CC9"/>
    <w:rsid w:val="00122654"/>
    <w:rsid w:val="00124497"/>
    <w:rsid w:val="0012454D"/>
    <w:rsid w:val="00125368"/>
    <w:rsid w:val="001264DF"/>
    <w:rsid w:val="00132CB9"/>
    <w:rsid w:val="00133A1C"/>
    <w:rsid w:val="00137918"/>
    <w:rsid w:val="001406BC"/>
    <w:rsid w:val="00141C93"/>
    <w:rsid w:val="001425EB"/>
    <w:rsid w:val="001427A3"/>
    <w:rsid w:val="001442F6"/>
    <w:rsid w:val="00144B0B"/>
    <w:rsid w:val="00144F8B"/>
    <w:rsid w:val="00146A11"/>
    <w:rsid w:val="0015262A"/>
    <w:rsid w:val="0015341A"/>
    <w:rsid w:val="0015400D"/>
    <w:rsid w:val="001541CF"/>
    <w:rsid w:val="001542D2"/>
    <w:rsid w:val="001551F5"/>
    <w:rsid w:val="00156D6F"/>
    <w:rsid w:val="001576F5"/>
    <w:rsid w:val="00160342"/>
    <w:rsid w:val="001629D6"/>
    <w:rsid w:val="00163548"/>
    <w:rsid w:val="00163BA2"/>
    <w:rsid w:val="00163FC0"/>
    <w:rsid w:val="001649DF"/>
    <w:rsid w:val="00165446"/>
    <w:rsid w:val="001665DF"/>
    <w:rsid w:val="0016664B"/>
    <w:rsid w:val="00167829"/>
    <w:rsid w:val="00167C49"/>
    <w:rsid w:val="00171DF9"/>
    <w:rsid w:val="0017278A"/>
    <w:rsid w:val="001728C5"/>
    <w:rsid w:val="00173382"/>
    <w:rsid w:val="0017372E"/>
    <w:rsid w:val="0017528E"/>
    <w:rsid w:val="00180D27"/>
    <w:rsid w:val="00180EB0"/>
    <w:rsid w:val="001812FF"/>
    <w:rsid w:val="00181E92"/>
    <w:rsid w:val="00182625"/>
    <w:rsid w:val="00183413"/>
    <w:rsid w:val="00184E8F"/>
    <w:rsid w:val="00184F16"/>
    <w:rsid w:val="00184F24"/>
    <w:rsid w:val="001867EC"/>
    <w:rsid w:val="00186E3A"/>
    <w:rsid w:val="00187AC3"/>
    <w:rsid w:val="001915C6"/>
    <w:rsid w:val="00191BD5"/>
    <w:rsid w:val="001924AB"/>
    <w:rsid w:val="00192588"/>
    <w:rsid w:val="00193D27"/>
    <w:rsid w:val="00194593"/>
    <w:rsid w:val="00194672"/>
    <w:rsid w:val="00194A3F"/>
    <w:rsid w:val="00194C8E"/>
    <w:rsid w:val="00195E26"/>
    <w:rsid w:val="001960C3"/>
    <w:rsid w:val="00196886"/>
    <w:rsid w:val="00196AEF"/>
    <w:rsid w:val="00196BED"/>
    <w:rsid w:val="001976AC"/>
    <w:rsid w:val="00197885"/>
    <w:rsid w:val="001A0047"/>
    <w:rsid w:val="001A265E"/>
    <w:rsid w:val="001A2902"/>
    <w:rsid w:val="001A4746"/>
    <w:rsid w:val="001A4B60"/>
    <w:rsid w:val="001A5CC3"/>
    <w:rsid w:val="001B0062"/>
    <w:rsid w:val="001B04A9"/>
    <w:rsid w:val="001B0B1B"/>
    <w:rsid w:val="001B0B34"/>
    <w:rsid w:val="001B16B1"/>
    <w:rsid w:val="001B5775"/>
    <w:rsid w:val="001B5BDF"/>
    <w:rsid w:val="001B5FF6"/>
    <w:rsid w:val="001B738C"/>
    <w:rsid w:val="001C1371"/>
    <w:rsid w:val="001C1395"/>
    <w:rsid w:val="001C26BE"/>
    <w:rsid w:val="001C2769"/>
    <w:rsid w:val="001C29AA"/>
    <w:rsid w:val="001C2FC2"/>
    <w:rsid w:val="001C32F3"/>
    <w:rsid w:val="001C43C3"/>
    <w:rsid w:val="001C508A"/>
    <w:rsid w:val="001C6252"/>
    <w:rsid w:val="001C7A6F"/>
    <w:rsid w:val="001D1968"/>
    <w:rsid w:val="001D1ADF"/>
    <w:rsid w:val="001D20B5"/>
    <w:rsid w:val="001D250D"/>
    <w:rsid w:val="001D3B22"/>
    <w:rsid w:val="001D44E8"/>
    <w:rsid w:val="001D45E6"/>
    <w:rsid w:val="001D46C2"/>
    <w:rsid w:val="001D674B"/>
    <w:rsid w:val="001D6E0D"/>
    <w:rsid w:val="001D7D3E"/>
    <w:rsid w:val="001E01DE"/>
    <w:rsid w:val="001E1322"/>
    <w:rsid w:val="001E1372"/>
    <w:rsid w:val="001E1788"/>
    <w:rsid w:val="001E1D38"/>
    <w:rsid w:val="001E2EFF"/>
    <w:rsid w:val="001E3752"/>
    <w:rsid w:val="001E41B1"/>
    <w:rsid w:val="001E4755"/>
    <w:rsid w:val="001E5AEA"/>
    <w:rsid w:val="001E6F0B"/>
    <w:rsid w:val="001E7213"/>
    <w:rsid w:val="001E7EAE"/>
    <w:rsid w:val="001F0B65"/>
    <w:rsid w:val="001F189E"/>
    <w:rsid w:val="001F2C2F"/>
    <w:rsid w:val="001F2E36"/>
    <w:rsid w:val="001F3301"/>
    <w:rsid w:val="001F50BD"/>
    <w:rsid w:val="001F50F5"/>
    <w:rsid w:val="001F50F9"/>
    <w:rsid w:val="001F5337"/>
    <w:rsid w:val="001F613E"/>
    <w:rsid w:val="001F75A6"/>
    <w:rsid w:val="00200051"/>
    <w:rsid w:val="0020096C"/>
    <w:rsid w:val="00201AD9"/>
    <w:rsid w:val="002023AD"/>
    <w:rsid w:val="0020305C"/>
    <w:rsid w:val="002046B0"/>
    <w:rsid w:val="002058FF"/>
    <w:rsid w:val="0020608F"/>
    <w:rsid w:val="002070D7"/>
    <w:rsid w:val="00207110"/>
    <w:rsid w:val="00207E11"/>
    <w:rsid w:val="00210DF8"/>
    <w:rsid w:val="0021160B"/>
    <w:rsid w:val="00212711"/>
    <w:rsid w:val="00213C1A"/>
    <w:rsid w:val="002153E7"/>
    <w:rsid w:val="002154AD"/>
    <w:rsid w:val="00216747"/>
    <w:rsid w:val="00217094"/>
    <w:rsid w:val="00217925"/>
    <w:rsid w:val="002205CB"/>
    <w:rsid w:val="002205EA"/>
    <w:rsid w:val="002207AA"/>
    <w:rsid w:val="00220A41"/>
    <w:rsid w:val="00222D4F"/>
    <w:rsid w:val="002231F6"/>
    <w:rsid w:val="002248B6"/>
    <w:rsid w:val="00225373"/>
    <w:rsid w:val="00225589"/>
    <w:rsid w:val="002279FE"/>
    <w:rsid w:val="00227F93"/>
    <w:rsid w:val="002302D3"/>
    <w:rsid w:val="00231464"/>
    <w:rsid w:val="002318DD"/>
    <w:rsid w:val="0023241A"/>
    <w:rsid w:val="002325E4"/>
    <w:rsid w:val="002339CC"/>
    <w:rsid w:val="00234AF0"/>
    <w:rsid w:val="00234FC0"/>
    <w:rsid w:val="00235088"/>
    <w:rsid w:val="002351DE"/>
    <w:rsid w:val="00236B7F"/>
    <w:rsid w:val="00237C02"/>
    <w:rsid w:val="00237D97"/>
    <w:rsid w:val="00240878"/>
    <w:rsid w:val="00240A37"/>
    <w:rsid w:val="00240E1B"/>
    <w:rsid w:val="002410C6"/>
    <w:rsid w:val="002424D4"/>
    <w:rsid w:val="00242F7C"/>
    <w:rsid w:val="002453D4"/>
    <w:rsid w:val="00245809"/>
    <w:rsid w:val="0024724F"/>
    <w:rsid w:val="002522C8"/>
    <w:rsid w:val="00252477"/>
    <w:rsid w:val="002525A1"/>
    <w:rsid w:val="00252F6A"/>
    <w:rsid w:val="00254478"/>
    <w:rsid w:val="0025681C"/>
    <w:rsid w:val="002611F3"/>
    <w:rsid w:val="00261490"/>
    <w:rsid w:val="00261A8A"/>
    <w:rsid w:val="00263763"/>
    <w:rsid w:val="00263A10"/>
    <w:rsid w:val="00264B31"/>
    <w:rsid w:val="00265050"/>
    <w:rsid w:val="00265E53"/>
    <w:rsid w:val="00265F96"/>
    <w:rsid w:val="00266BE1"/>
    <w:rsid w:val="0027057D"/>
    <w:rsid w:val="00273D3B"/>
    <w:rsid w:val="00274C28"/>
    <w:rsid w:val="0027695B"/>
    <w:rsid w:val="00280283"/>
    <w:rsid w:val="0028053F"/>
    <w:rsid w:val="00280A50"/>
    <w:rsid w:val="00280E5E"/>
    <w:rsid w:val="002810DD"/>
    <w:rsid w:val="00281320"/>
    <w:rsid w:val="002820BC"/>
    <w:rsid w:val="00290749"/>
    <w:rsid w:val="00290F8D"/>
    <w:rsid w:val="00291FD7"/>
    <w:rsid w:val="00293E20"/>
    <w:rsid w:val="002944C9"/>
    <w:rsid w:val="002946A2"/>
    <w:rsid w:val="00295211"/>
    <w:rsid w:val="00295CC4"/>
    <w:rsid w:val="00295D65"/>
    <w:rsid w:val="00296355"/>
    <w:rsid w:val="0029720F"/>
    <w:rsid w:val="002A1048"/>
    <w:rsid w:val="002A1D0E"/>
    <w:rsid w:val="002A2051"/>
    <w:rsid w:val="002A2268"/>
    <w:rsid w:val="002A243B"/>
    <w:rsid w:val="002A343F"/>
    <w:rsid w:val="002A58BB"/>
    <w:rsid w:val="002A7F13"/>
    <w:rsid w:val="002B0575"/>
    <w:rsid w:val="002B09AA"/>
    <w:rsid w:val="002B0B9D"/>
    <w:rsid w:val="002B1213"/>
    <w:rsid w:val="002B235D"/>
    <w:rsid w:val="002B2473"/>
    <w:rsid w:val="002B3391"/>
    <w:rsid w:val="002B4617"/>
    <w:rsid w:val="002B4ADB"/>
    <w:rsid w:val="002B753C"/>
    <w:rsid w:val="002B7581"/>
    <w:rsid w:val="002C0231"/>
    <w:rsid w:val="002C1A17"/>
    <w:rsid w:val="002C40AD"/>
    <w:rsid w:val="002C474C"/>
    <w:rsid w:val="002C4871"/>
    <w:rsid w:val="002C5B3F"/>
    <w:rsid w:val="002C5C1D"/>
    <w:rsid w:val="002C6BB7"/>
    <w:rsid w:val="002C7BCB"/>
    <w:rsid w:val="002D0271"/>
    <w:rsid w:val="002D042B"/>
    <w:rsid w:val="002D0783"/>
    <w:rsid w:val="002D0799"/>
    <w:rsid w:val="002D19FB"/>
    <w:rsid w:val="002D1B28"/>
    <w:rsid w:val="002D353D"/>
    <w:rsid w:val="002D3ED3"/>
    <w:rsid w:val="002D4292"/>
    <w:rsid w:val="002D54E8"/>
    <w:rsid w:val="002D7778"/>
    <w:rsid w:val="002E005E"/>
    <w:rsid w:val="002E0427"/>
    <w:rsid w:val="002E04ED"/>
    <w:rsid w:val="002E075C"/>
    <w:rsid w:val="002E2882"/>
    <w:rsid w:val="002E33BC"/>
    <w:rsid w:val="002E3D80"/>
    <w:rsid w:val="002E3F28"/>
    <w:rsid w:val="002E550C"/>
    <w:rsid w:val="002E5C2C"/>
    <w:rsid w:val="002E6664"/>
    <w:rsid w:val="002E6A76"/>
    <w:rsid w:val="002E78D9"/>
    <w:rsid w:val="002F0C2A"/>
    <w:rsid w:val="002F14A6"/>
    <w:rsid w:val="002F269E"/>
    <w:rsid w:val="002F3559"/>
    <w:rsid w:val="002F67EC"/>
    <w:rsid w:val="00300348"/>
    <w:rsid w:val="00301834"/>
    <w:rsid w:val="00301AC4"/>
    <w:rsid w:val="0030236A"/>
    <w:rsid w:val="00302854"/>
    <w:rsid w:val="00302929"/>
    <w:rsid w:val="003039E8"/>
    <w:rsid w:val="00304B71"/>
    <w:rsid w:val="00307C44"/>
    <w:rsid w:val="00310103"/>
    <w:rsid w:val="00310B7D"/>
    <w:rsid w:val="00310F67"/>
    <w:rsid w:val="003117CF"/>
    <w:rsid w:val="003119F5"/>
    <w:rsid w:val="00311CDF"/>
    <w:rsid w:val="003120FB"/>
    <w:rsid w:val="003125D5"/>
    <w:rsid w:val="00312CC4"/>
    <w:rsid w:val="00313735"/>
    <w:rsid w:val="00314398"/>
    <w:rsid w:val="0031552C"/>
    <w:rsid w:val="00315DA0"/>
    <w:rsid w:val="003163ED"/>
    <w:rsid w:val="003164A1"/>
    <w:rsid w:val="0031738E"/>
    <w:rsid w:val="003175E0"/>
    <w:rsid w:val="00320427"/>
    <w:rsid w:val="00322594"/>
    <w:rsid w:val="00322B53"/>
    <w:rsid w:val="00323515"/>
    <w:rsid w:val="003236DD"/>
    <w:rsid w:val="00324F48"/>
    <w:rsid w:val="00326208"/>
    <w:rsid w:val="003269E4"/>
    <w:rsid w:val="003276EE"/>
    <w:rsid w:val="003278D4"/>
    <w:rsid w:val="00330499"/>
    <w:rsid w:val="00332955"/>
    <w:rsid w:val="003337C7"/>
    <w:rsid w:val="003338B1"/>
    <w:rsid w:val="003341BE"/>
    <w:rsid w:val="003350F0"/>
    <w:rsid w:val="003351A0"/>
    <w:rsid w:val="0033593B"/>
    <w:rsid w:val="00336A2E"/>
    <w:rsid w:val="00337274"/>
    <w:rsid w:val="0034270B"/>
    <w:rsid w:val="003435F8"/>
    <w:rsid w:val="00343683"/>
    <w:rsid w:val="003444FC"/>
    <w:rsid w:val="003446CC"/>
    <w:rsid w:val="003463DF"/>
    <w:rsid w:val="003473C4"/>
    <w:rsid w:val="00350587"/>
    <w:rsid w:val="00350B9F"/>
    <w:rsid w:val="00350E8D"/>
    <w:rsid w:val="00351A0F"/>
    <w:rsid w:val="00351A1F"/>
    <w:rsid w:val="0035362D"/>
    <w:rsid w:val="00353D1D"/>
    <w:rsid w:val="00354A35"/>
    <w:rsid w:val="00355866"/>
    <w:rsid w:val="00357992"/>
    <w:rsid w:val="0036010D"/>
    <w:rsid w:val="00360A93"/>
    <w:rsid w:val="00360F99"/>
    <w:rsid w:val="00361098"/>
    <w:rsid w:val="00361631"/>
    <w:rsid w:val="00361C8E"/>
    <w:rsid w:val="00361EB7"/>
    <w:rsid w:val="003629AA"/>
    <w:rsid w:val="0036411C"/>
    <w:rsid w:val="003645B2"/>
    <w:rsid w:val="00364B1D"/>
    <w:rsid w:val="0036578A"/>
    <w:rsid w:val="0036614C"/>
    <w:rsid w:val="00366389"/>
    <w:rsid w:val="00366B69"/>
    <w:rsid w:val="00366C81"/>
    <w:rsid w:val="0036743C"/>
    <w:rsid w:val="00367C79"/>
    <w:rsid w:val="0037010F"/>
    <w:rsid w:val="00371CD9"/>
    <w:rsid w:val="003723CB"/>
    <w:rsid w:val="00372708"/>
    <w:rsid w:val="00372CE6"/>
    <w:rsid w:val="003732D9"/>
    <w:rsid w:val="00373676"/>
    <w:rsid w:val="00374B73"/>
    <w:rsid w:val="00375F3F"/>
    <w:rsid w:val="003769CD"/>
    <w:rsid w:val="00376A03"/>
    <w:rsid w:val="00376C18"/>
    <w:rsid w:val="003772F7"/>
    <w:rsid w:val="00381582"/>
    <w:rsid w:val="00383426"/>
    <w:rsid w:val="00383982"/>
    <w:rsid w:val="00383A13"/>
    <w:rsid w:val="00384CB9"/>
    <w:rsid w:val="00386431"/>
    <w:rsid w:val="003871FB"/>
    <w:rsid w:val="00387C73"/>
    <w:rsid w:val="00390454"/>
    <w:rsid w:val="00390852"/>
    <w:rsid w:val="00391F41"/>
    <w:rsid w:val="00395DBD"/>
    <w:rsid w:val="003A33FA"/>
    <w:rsid w:val="003A3A56"/>
    <w:rsid w:val="003A3D02"/>
    <w:rsid w:val="003A3D9E"/>
    <w:rsid w:val="003A42D2"/>
    <w:rsid w:val="003A5355"/>
    <w:rsid w:val="003A5908"/>
    <w:rsid w:val="003A5DC6"/>
    <w:rsid w:val="003A73F6"/>
    <w:rsid w:val="003A7692"/>
    <w:rsid w:val="003B01DB"/>
    <w:rsid w:val="003B0BF7"/>
    <w:rsid w:val="003B4DEB"/>
    <w:rsid w:val="003B7539"/>
    <w:rsid w:val="003B7CDA"/>
    <w:rsid w:val="003C0086"/>
    <w:rsid w:val="003C1A9E"/>
    <w:rsid w:val="003C2837"/>
    <w:rsid w:val="003C28AA"/>
    <w:rsid w:val="003C3276"/>
    <w:rsid w:val="003C4C86"/>
    <w:rsid w:val="003C5B87"/>
    <w:rsid w:val="003D09EB"/>
    <w:rsid w:val="003D1A48"/>
    <w:rsid w:val="003D396A"/>
    <w:rsid w:val="003D6C75"/>
    <w:rsid w:val="003E14C3"/>
    <w:rsid w:val="003E1C7D"/>
    <w:rsid w:val="003E3002"/>
    <w:rsid w:val="003E40EF"/>
    <w:rsid w:val="003E4F9D"/>
    <w:rsid w:val="003E4FAA"/>
    <w:rsid w:val="003E55A6"/>
    <w:rsid w:val="003E5F36"/>
    <w:rsid w:val="003E7D67"/>
    <w:rsid w:val="003F0479"/>
    <w:rsid w:val="003F05FE"/>
    <w:rsid w:val="003F0A8A"/>
    <w:rsid w:val="003F126B"/>
    <w:rsid w:val="003F14B1"/>
    <w:rsid w:val="003F3638"/>
    <w:rsid w:val="003F414A"/>
    <w:rsid w:val="003F5B25"/>
    <w:rsid w:val="003F7884"/>
    <w:rsid w:val="00400F71"/>
    <w:rsid w:val="004015F5"/>
    <w:rsid w:val="0040219E"/>
    <w:rsid w:val="004024BB"/>
    <w:rsid w:val="00402A65"/>
    <w:rsid w:val="0040347C"/>
    <w:rsid w:val="004038B9"/>
    <w:rsid w:val="00403932"/>
    <w:rsid w:val="00403933"/>
    <w:rsid w:val="00404C7F"/>
    <w:rsid w:val="00405276"/>
    <w:rsid w:val="00405C3D"/>
    <w:rsid w:val="00407686"/>
    <w:rsid w:val="00410FE4"/>
    <w:rsid w:val="00411A21"/>
    <w:rsid w:val="004125FB"/>
    <w:rsid w:val="00412923"/>
    <w:rsid w:val="00413AB3"/>
    <w:rsid w:val="00413EC8"/>
    <w:rsid w:val="004201BF"/>
    <w:rsid w:val="0042233F"/>
    <w:rsid w:val="00422D58"/>
    <w:rsid w:val="00424D40"/>
    <w:rsid w:val="0042617B"/>
    <w:rsid w:val="004262E6"/>
    <w:rsid w:val="0043028B"/>
    <w:rsid w:val="00431A61"/>
    <w:rsid w:val="004321DD"/>
    <w:rsid w:val="0043223A"/>
    <w:rsid w:val="004323C6"/>
    <w:rsid w:val="004327C9"/>
    <w:rsid w:val="004333C6"/>
    <w:rsid w:val="00434650"/>
    <w:rsid w:val="00435FF6"/>
    <w:rsid w:val="004413D9"/>
    <w:rsid w:val="00441A5B"/>
    <w:rsid w:val="00441B2A"/>
    <w:rsid w:val="004425F6"/>
    <w:rsid w:val="00443927"/>
    <w:rsid w:val="00443D49"/>
    <w:rsid w:val="004443DA"/>
    <w:rsid w:val="00444D77"/>
    <w:rsid w:val="004453D9"/>
    <w:rsid w:val="004510D7"/>
    <w:rsid w:val="0045204E"/>
    <w:rsid w:val="00452E8B"/>
    <w:rsid w:val="00453696"/>
    <w:rsid w:val="00456614"/>
    <w:rsid w:val="00456A36"/>
    <w:rsid w:val="00456FCC"/>
    <w:rsid w:val="00457217"/>
    <w:rsid w:val="004611CB"/>
    <w:rsid w:val="00462F07"/>
    <w:rsid w:val="00464095"/>
    <w:rsid w:val="00466076"/>
    <w:rsid w:val="00466A3E"/>
    <w:rsid w:val="0046781D"/>
    <w:rsid w:val="0047117E"/>
    <w:rsid w:val="00471D9E"/>
    <w:rsid w:val="00472615"/>
    <w:rsid w:val="00476D4E"/>
    <w:rsid w:val="00482294"/>
    <w:rsid w:val="00482D44"/>
    <w:rsid w:val="004833EB"/>
    <w:rsid w:val="00483498"/>
    <w:rsid w:val="00483C80"/>
    <w:rsid w:val="00485BEA"/>
    <w:rsid w:val="0048675F"/>
    <w:rsid w:val="004868DD"/>
    <w:rsid w:val="00486C58"/>
    <w:rsid w:val="004927C3"/>
    <w:rsid w:val="004928E9"/>
    <w:rsid w:val="00493571"/>
    <w:rsid w:val="0049601D"/>
    <w:rsid w:val="00496E9B"/>
    <w:rsid w:val="00497082"/>
    <w:rsid w:val="00497203"/>
    <w:rsid w:val="00497601"/>
    <w:rsid w:val="004A0C38"/>
    <w:rsid w:val="004A2B95"/>
    <w:rsid w:val="004A330B"/>
    <w:rsid w:val="004A4C13"/>
    <w:rsid w:val="004A6119"/>
    <w:rsid w:val="004A74DF"/>
    <w:rsid w:val="004B008D"/>
    <w:rsid w:val="004B0247"/>
    <w:rsid w:val="004B33BA"/>
    <w:rsid w:val="004B3D2C"/>
    <w:rsid w:val="004B51E5"/>
    <w:rsid w:val="004B7076"/>
    <w:rsid w:val="004C07A5"/>
    <w:rsid w:val="004C175E"/>
    <w:rsid w:val="004C186C"/>
    <w:rsid w:val="004C2721"/>
    <w:rsid w:val="004C29E7"/>
    <w:rsid w:val="004C61A6"/>
    <w:rsid w:val="004C799E"/>
    <w:rsid w:val="004C79C6"/>
    <w:rsid w:val="004D01D4"/>
    <w:rsid w:val="004D053A"/>
    <w:rsid w:val="004D18E0"/>
    <w:rsid w:val="004D1D6F"/>
    <w:rsid w:val="004D452B"/>
    <w:rsid w:val="004D4DD0"/>
    <w:rsid w:val="004D512A"/>
    <w:rsid w:val="004D5D9C"/>
    <w:rsid w:val="004D600D"/>
    <w:rsid w:val="004D61B3"/>
    <w:rsid w:val="004D61B9"/>
    <w:rsid w:val="004E31A1"/>
    <w:rsid w:val="004E4077"/>
    <w:rsid w:val="004E54D7"/>
    <w:rsid w:val="004E5A68"/>
    <w:rsid w:val="004E6973"/>
    <w:rsid w:val="004E6B3E"/>
    <w:rsid w:val="004F0B1C"/>
    <w:rsid w:val="004F0B8B"/>
    <w:rsid w:val="004F0DD2"/>
    <w:rsid w:val="004F251F"/>
    <w:rsid w:val="004F3AF5"/>
    <w:rsid w:val="004F4525"/>
    <w:rsid w:val="004F47EF"/>
    <w:rsid w:val="004F4CFE"/>
    <w:rsid w:val="004F4FF5"/>
    <w:rsid w:val="004F5AE5"/>
    <w:rsid w:val="004F6E63"/>
    <w:rsid w:val="004F769E"/>
    <w:rsid w:val="004F7C27"/>
    <w:rsid w:val="0050131E"/>
    <w:rsid w:val="00501E70"/>
    <w:rsid w:val="00502614"/>
    <w:rsid w:val="0050296F"/>
    <w:rsid w:val="00502976"/>
    <w:rsid w:val="00502A03"/>
    <w:rsid w:val="00502B42"/>
    <w:rsid w:val="005052E3"/>
    <w:rsid w:val="0050628E"/>
    <w:rsid w:val="005070E9"/>
    <w:rsid w:val="00510062"/>
    <w:rsid w:val="00511093"/>
    <w:rsid w:val="00511F8B"/>
    <w:rsid w:val="00513121"/>
    <w:rsid w:val="00513AD7"/>
    <w:rsid w:val="00515ADF"/>
    <w:rsid w:val="00515C92"/>
    <w:rsid w:val="0052370B"/>
    <w:rsid w:val="00523FF6"/>
    <w:rsid w:val="0052470F"/>
    <w:rsid w:val="005253FD"/>
    <w:rsid w:val="0052586C"/>
    <w:rsid w:val="00525D07"/>
    <w:rsid w:val="00526671"/>
    <w:rsid w:val="005267A5"/>
    <w:rsid w:val="00526A85"/>
    <w:rsid w:val="00530476"/>
    <w:rsid w:val="00530847"/>
    <w:rsid w:val="00531BCB"/>
    <w:rsid w:val="00533301"/>
    <w:rsid w:val="00535CF3"/>
    <w:rsid w:val="00535D5B"/>
    <w:rsid w:val="005361EE"/>
    <w:rsid w:val="005366A0"/>
    <w:rsid w:val="00536F63"/>
    <w:rsid w:val="00545537"/>
    <w:rsid w:val="00547244"/>
    <w:rsid w:val="0055000F"/>
    <w:rsid w:val="005509F4"/>
    <w:rsid w:val="005524F9"/>
    <w:rsid w:val="005537AE"/>
    <w:rsid w:val="00554544"/>
    <w:rsid w:val="00554CC1"/>
    <w:rsid w:val="00555138"/>
    <w:rsid w:val="0055539E"/>
    <w:rsid w:val="00555565"/>
    <w:rsid w:val="005559EE"/>
    <w:rsid w:val="005560E8"/>
    <w:rsid w:val="0055750A"/>
    <w:rsid w:val="005576EE"/>
    <w:rsid w:val="00561287"/>
    <w:rsid w:val="00562B63"/>
    <w:rsid w:val="00562DD0"/>
    <w:rsid w:val="00563817"/>
    <w:rsid w:val="00563CED"/>
    <w:rsid w:val="0056499D"/>
    <w:rsid w:val="005650DD"/>
    <w:rsid w:val="00566C23"/>
    <w:rsid w:val="00567A0F"/>
    <w:rsid w:val="00567FE0"/>
    <w:rsid w:val="00570474"/>
    <w:rsid w:val="0057136A"/>
    <w:rsid w:val="00571998"/>
    <w:rsid w:val="00572899"/>
    <w:rsid w:val="00572BC9"/>
    <w:rsid w:val="0057371D"/>
    <w:rsid w:val="0057426F"/>
    <w:rsid w:val="005755B3"/>
    <w:rsid w:val="00577AC4"/>
    <w:rsid w:val="0058130E"/>
    <w:rsid w:val="00581E37"/>
    <w:rsid w:val="005820DA"/>
    <w:rsid w:val="00582B25"/>
    <w:rsid w:val="00582CE5"/>
    <w:rsid w:val="00583071"/>
    <w:rsid w:val="0058503A"/>
    <w:rsid w:val="00585BBF"/>
    <w:rsid w:val="00587B68"/>
    <w:rsid w:val="00591C09"/>
    <w:rsid w:val="00591C91"/>
    <w:rsid w:val="00592450"/>
    <w:rsid w:val="005926D9"/>
    <w:rsid w:val="0059496C"/>
    <w:rsid w:val="00596A08"/>
    <w:rsid w:val="005A059C"/>
    <w:rsid w:val="005A1AD3"/>
    <w:rsid w:val="005A436E"/>
    <w:rsid w:val="005A46F5"/>
    <w:rsid w:val="005A60ED"/>
    <w:rsid w:val="005A6A8A"/>
    <w:rsid w:val="005A74BA"/>
    <w:rsid w:val="005B0AE3"/>
    <w:rsid w:val="005B15CF"/>
    <w:rsid w:val="005B1914"/>
    <w:rsid w:val="005B2351"/>
    <w:rsid w:val="005B28D6"/>
    <w:rsid w:val="005B43AC"/>
    <w:rsid w:val="005B4B9B"/>
    <w:rsid w:val="005B5CB1"/>
    <w:rsid w:val="005B6976"/>
    <w:rsid w:val="005B6D6A"/>
    <w:rsid w:val="005B75C9"/>
    <w:rsid w:val="005B7CB2"/>
    <w:rsid w:val="005C0087"/>
    <w:rsid w:val="005C0260"/>
    <w:rsid w:val="005C03EF"/>
    <w:rsid w:val="005C0714"/>
    <w:rsid w:val="005C0D7D"/>
    <w:rsid w:val="005C1E91"/>
    <w:rsid w:val="005C3A3D"/>
    <w:rsid w:val="005C4398"/>
    <w:rsid w:val="005C5D4E"/>
    <w:rsid w:val="005C675D"/>
    <w:rsid w:val="005C6774"/>
    <w:rsid w:val="005C7F36"/>
    <w:rsid w:val="005D0622"/>
    <w:rsid w:val="005D1475"/>
    <w:rsid w:val="005D1A0A"/>
    <w:rsid w:val="005D21F9"/>
    <w:rsid w:val="005D254F"/>
    <w:rsid w:val="005D3985"/>
    <w:rsid w:val="005D3B0B"/>
    <w:rsid w:val="005D7BAF"/>
    <w:rsid w:val="005E0B3E"/>
    <w:rsid w:val="005E1CBF"/>
    <w:rsid w:val="005E1CCA"/>
    <w:rsid w:val="005E27F3"/>
    <w:rsid w:val="005E27FB"/>
    <w:rsid w:val="005E2CA3"/>
    <w:rsid w:val="005E2EB6"/>
    <w:rsid w:val="005E47B0"/>
    <w:rsid w:val="005E584E"/>
    <w:rsid w:val="005E5DF2"/>
    <w:rsid w:val="005E67C6"/>
    <w:rsid w:val="005E7D21"/>
    <w:rsid w:val="005F25A7"/>
    <w:rsid w:val="005F2ECA"/>
    <w:rsid w:val="005F2FB7"/>
    <w:rsid w:val="005F32EA"/>
    <w:rsid w:val="005F3653"/>
    <w:rsid w:val="005F3DE5"/>
    <w:rsid w:val="005F587E"/>
    <w:rsid w:val="005F768F"/>
    <w:rsid w:val="005F7ADE"/>
    <w:rsid w:val="005F7F65"/>
    <w:rsid w:val="00600D0D"/>
    <w:rsid w:val="00602154"/>
    <w:rsid w:val="00602646"/>
    <w:rsid w:val="0060268C"/>
    <w:rsid w:val="00604FD7"/>
    <w:rsid w:val="00607634"/>
    <w:rsid w:val="006100FC"/>
    <w:rsid w:val="00612658"/>
    <w:rsid w:val="00613C4D"/>
    <w:rsid w:val="006164E2"/>
    <w:rsid w:val="00620C17"/>
    <w:rsid w:val="006231C2"/>
    <w:rsid w:val="00625056"/>
    <w:rsid w:val="00626A04"/>
    <w:rsid w:val="00626A9B"/>
    <w:rsid w:val="00626C58"/>
    <w:rsid w:val="00627C43"/>
    <w:rsid w:val="00631207"/>
    <w:rsid w:val="00631339"/>
    <w:rsid w:val="00631ABD"/>
    <w:rsid w:val="00634EDB"/>
    <w:rsid w:val="0063519A"/>
    <w:rsid w:val="00635293"/>
    <w:rsid w:val="006359BF"/>
    <w:rsid w:val="00635CEA"/>
    <w:rsid w:val="006362E8"/>
    <w:rsid w:val="006401D6"/>
    <w:rsid w:val="006405C2"/>
    <w:rsid w:val="006405D3"/>
    <w:rsid w:val="00641937"/>
    <w:rsid w:val="006421A4"/>
    <w:rsid w:val="006449B1"/>
    <w:rsid w:val="00645610"/>
    <w:rsid w:val="00646B89"/>
    <w:rsid w:val="00647096"/>
    <w:rsid w:val="00647342"/>
    <w:rsid w:val="00650243"/>
    <w:rsid w:val="00650E46"/>
    <w:rsid w:val="00651FB1"/>
    <w:rsid w:val="00651FC0"/>
    <w:rsid w:val="00653749"/>
    <w:rsid w:val="00653BD6"/>
    <w:rsid w:val="006545DB"/>
    <w:rsid w:val="00654E3C"/>
    <w:rsid w:val="00655674"/>
    <w:rsid w:val="00655F77"/>
    <w:rsid w:val="00655FFF"/>
    <w:rsid w:val="00657454"/>
    <w:rsid w:val="006574CE"/>
    <w:rsid w:val="006575C1"/>
    <w:rsid w:val="00660B0F"/>
    <w:rsid w:val="00660B13"/>
    <w:rsid w:val="00660DC0"/>
    <w:rsid w:val="00661DF0"/>
    <w:rsid w:val="006624B2"/>
    <w:rsid w:val="00662D0F"/>
    <w:rsid w:val="00664221"/>
    <w:rsid w:val="0066667A"/>
    <w:rsid w:val="00666AB7"/>
    <w:rsid w:val="0066791B"/>
    <w:rsid w:val="00670FF2"/>
    <w:rsid w:val="0067102A"/>
    <w:rsid w:val="006714F6"/>
    <w:rsid w:val="006717A0"/>
    <w:rsid w:val="0067331F"/>
    <w:rsid w:val="00673540"/>
    <w:rsid w:val="00674EDF"/>
    <w:rsid w:val="00676D32"/>
    <w:rsid w:val="00676E8F"/>
    <w:rsid w:val="006779F5"/>
    <w:rsid w:val="00677A6D"/>
    <w:rsid w:val="00677CD3"/>
    <w:rsid w:val="00677D2E"/>
    <w:rsid w:val="00680065"/>
    <w:rsid w:val="00681C13"/>
    <w:rsid w:val="00683FC5"/>
    <w:rsid w:val="00684D89"/>
    <w:rsid w:val="0068618B"/>
    <w:rsid w:val="00687B24"/>
    <w:rsid w:val="006911B7"/>
    <w:rsid w:val="00691D07"/>
    <w:rsid w:val="006920BB"/>
    <w:rsid w:val="006935D2"/>
    <w:rsid w:val="006947B8"/>
    <w:rsid w:val="00695A8F"/>
    <w:rsid w:val="00695E0F"/>
    <w:rsid w:val="00695EEA"/>
    <w:rsid w:val="00696338"/>
    <w:rsid w:val="0069787E"/>
    <w:rsid w:val="006A00D1"/>
    <w:rsid w:val="006A0BF1"/>
    <w:rsid w:val="006A2D79"/>
    <w:rsid w:val="006A348E"/>
    <w:rsid w:val="006A407F"/>
    <w:rsid w:val="006A49EE"/>
    <w:rsid w:val="006A5E6F"/>
    <w:rsid w:val="006A60AE"/>
    <w:rsid w:val="006A7CB4"/>
    <w:rsid w:val="006B0FDF"/>
    <w:rsid w:val="006B4120"/>
    <w:rsid w:val="006B4916"/>
    <w:rsid w:val="006B507C"/>
    <w:rsid w:val="006B5201"/>
    <w:rsid w:val="006B603C"/>
    <w:rsid w:val="006B68DC"/>
    <w:rsid w:val="006B7537"/>
    <w:rsid w:val="006C03AA"/>
    <w:rsid w:val="006C126B"/>
    <w:rsid w:val="006C2A45"/>
    <w:rsid w:val="006C3E99"/>
    <w:rsid w:val="006C3EDC"/>
    <w:rsid w:val="006C49CC"/>
    <w:rsid w:val="006C4B8F"/>
    <w:rsid w:val="006C5365"/>
    <w:rsid w:val="006C56F0"/>
    <w:rsid w:val="006C57F5"/>
    <w:rsid w:val="006C6133"/>
    <w:rsid w:val="006C6620"/>
    <w:rsid w:val="006C73EF"/>
    <w:rsid w:val="006D07C4"/>
    <w:rsid w:val="006D2790"/>
    <w:rsid w:val="006D3C8D"/>
    <w:rsid w:val="006D44A5"/>
    <w:rsid w:val="006D5CC8"/>
    <w:rsid w:val="006D7CF6"/>
    <w:rsid w:val="006D7E79"/>
    <w:rsid w:val="006D7E9E"/>
    <w:rsid w:val="006E09E7"/>
    <w:rsid w:val="006E2195"/>
    <w:rsid w:val="006E430C"/>
    <w:rsid w:val="006E4C92"/>
    <w:rsid w:val="006E4D8B"/>
    <w:rsid w:val="006E521B"/>
    <w:rsid w:val="006E5294"/>
    <w:rsid w:val="006E5575"/>
    <w:rsid w:val="006E5C67"/>
    <w:rsid w:val="006E74D3"/>
    <w:rsid w:val="006E7CC4"/>
    <w:rsid w:val="006E7FFA"/>
    <w:rsid w:val="006F00A5"/>
    <w:rsid w:val="006F034E"/>
    <w:rsid w:val="006F0FC7"/>
    <w:rsid w:val="006F19F2"/>
    <w:rsid w:val="006F1BBC"/>
    <w:rsid w:val="006F2BC0"/>
    <w:rsid w:val="006F30B7"/>
    <w:rsid w:val="006F3279"/>
    <w:rsid w:val="006F59B1"/>
    <w:rsid w:val="006F5D48"/>
    <w:rsid w:val="006F60A2"/>
    <w:rsid w:val="006F61E8"/>
    <w:rsid w:val="006F714E"/>
    <w:rsid w:val="006F7E0C"/>
    <w:rsid w:val="00700014"/>
    <w:rsid w:val="00700332"/>
    <w:rsid w:val="0070313C"/>
    <w:rsid w:val="00706675"/>
    <w:rsid w:val="007071B3"/>
    <w:rsid w:val="00707979"/>
    <w:rsid w:val="00707E85"/>
    <w:rsid w:val="00715CF7"/>
    <w:rsid w:val="00717075"/>
    <w:rsid w:val="00717197"/>
    <w:rsid w:val="00720A78"/>
    <w:rsid w:val="00721E10"/>
    <w:rsid w:val="00722320"/>
    <w:rsid w:val="0072366B"/>
    <w:rsid w:val="0072545B"/>
    <w:rsid w:val="00725D56"/>
    <w:rsid w:val="00725DCB"/>
    <w:rsid w:val="007265C5"/>
    <w:rsid w:val="00726956"/>
    <w:rsid w:val="007272CD"/>
    <w:rsid w:val="00730197"/>
    <w:rsid w:val="007301A6"/>
    <w:rsid w:val="007307F2"/>
    <w:rsid w:val="00730D6E"/>
    <w:rsid w:val="00731129"/>
    <w:rsid w:val="00732360"/>
    <w:rsid w:val="00732ABF"/>
    <w:rsid w:val="007360AD"/>
    <w:rsid w:val="0073655B"/>
    <w:rsid w:val="007377CA"/>
    <w:rsid w:val="00740FBB"/>
    <w:rsid w:val="007416F6"/>
    <w:rsid w:val="007437CA"/>
    <w:rsid w:val="00743B04"/>
    <w:rsid w:val="00744A74"/>
    <w:rsid w:val="00745C85"/>
    <w:rsid w:val="007462FD"/>
    <w:rsid w:val="00746C19"/>
    <w:rsid w:val="00747DB9"/>
    <w:rsid w:val="007507EF"/>
    <w:rsid w:val="007515B5"/>
    <w:rsid w:val="0075171A"/>
    <w:rsid w:val="007547D3"/>
    <w:rsid w:val="007557B6"/>
    <w:rsid w:val="00757998"/>
    <w:rsid w:val="00757C7A"/>
    <w:rsid w:val="007605BF"/>
    <w:rsid w:val="007608F2"/>
    <w:rsid w:val="007617E0"/>
    <w:rsid w:val="0076182D"/>
    <w:rsid w:val="00762048"/>
    <w:rsid w:val="0076253E"/>
    <w:rsid w:val="00763040"/>
    <w:rsid w:val="007631F0"/>
    <w:rsid w:val="00764A5F"/>
    <w:rsid w:val="00764BB3"/>
    <w:rsid w:val="0076527E"/>
    <w:rsid w:val="007658BD"/>
    <w:rsid w:val="00765DB5"/>
    <w:rsid w:val="00765F0D"/>
    <w:rsid w:val="007664F7"/>
    <w:rsid w:val="00766A37"/>
    <w:rsid w:val="00770A9D"/>
    <w:rsid w:val="00772631"/>
    <w:rsid w:val="0077294F"/>
    <w:rsid w:val="00773252"/>
    <w:rsid w:val="00774254"/>
    <w:rsid w:val="0077452E"/>
    <w:rsid w:val="00774E40"/>
    <w:rsid w:val="007751B4"/>
    <w:rsid w:val="0077539F"/>
    <w:rsid w:val="00776D14"/>
    <w:rsid w:val="00777783"/>
    <w:rsid w:val="00780206"/>
    <w:rsid w:val="0078065F"/>
    <w:rsid w:val="00780C2E"/>
    <w:rsid w:val="00781574"/>
    <w:rsid w:val="00782008"/>
    <w:rsid w:val="007821A7"/>
    <w:rsid w:val="007822A9"/>
    <w:rsid w:val="007824D6"/>
    <w:rsid w:val="00782ADC"/>
    <w:rsid w:val="00783FE2"/>
    <w:rsid w:val="0078715F"/>
    <w:rsid w:val="00787630"/>
    <w:rsid w:val="00787B9F"/>
    <w:rsid w:val="00790A4D"/>
    <w:rsid w:val="00790ABF"/>
    <w:rsid w:val="00790C2E"/>
    <w:rsid w:val="00790E14"/>
    <w:rsid w:val="00792194"/>
    <w:rsid w:val="00792655"/>
    <w:rsid w:val="00792BC3"/>
    <w:rsid w:val="00792FC9"/>
    <w:rsid w:val="007938B7"/>
    <w:rsid w:val="00793D39"/>
    <w:rsid w:val="00793FC7"/>
    <w:rsid w:val="007943B5"/>
    <w:rsid w:val="00794474"/>
    <w:rsid w:val="00794664"/>
    <w:rsid w:val="00794FA4"/>
    <w:rsid w:val="007956CA"/>
    <w:rsid w:val="0079696A"/>
    <w:rsid w:val="007970B3"/>
    <w:rsid w:val="007A29EB"/>
    <w:rsid w:val="007A2DD6"/>
    <w:rsid w:val="007A4C15"/>
    <w:rsid w:val="007A5169"/>
    <w:rsid w:val="007A5F5D"/>
    <w:rsid w:val="007A678B"/>
    <w:rsid w:val="007A7903"/>
    <w:rsid w:val="007A7C72"/>
    <w:rsid w:val="007B009A"/>
    <w:rsid w:val="007B19DC"/>
    <w:rsid w:val="007B3A64"/>
    <w:rsid w:val="007B4BC6"/>
    <w:rsid w:val="007B674A"/>
    <w:rsid w:val="007B7CA0"/>
    <w:rsid w:val="007C07BE"/>
    <w:rsid w:val="007C0BB8"/>
    <w:rsid w:val="007C17DE"/>
    <w:rsid w:val="007C19CB"/>
    <w:rsid w:val="007C1ABF"/>
    <w:rsid w:val="007C2C33"/>
    <w:rsid w:val="007C3837"/>
    <w:rsid w:val="007C3EF4"/>
    <w:rsid w:val="007C402D"/>
    <w:rsid w:val="007C4255"/>
    <w:rsid w:val="007C5C65"/>
    <w:rsid w:val="007C6187"/>
    <w:rsid w:val="007C7903"/>
    <w:rsid w:val="007C7DCE"/>
    <w:rsid w:val="007D1DC0"/>
    <w:rsid w:val="007D67D4"/>
    <w:rsid w:val="007D6922"/>
    <w:rsid w:val="007D6CB9"/>
    <w:rsid w:val="007D739E"/>
    <w:rsid w:val="007D76B8"/>
    <w:rsid w:val="007E067E"/>
    <w:rsid w:val="007E0AE7"/>
    <w:rsid w:val="007E0B77"/>
    <w:rsid w:val="007E1967"/>
    <w:rsid w:val="007E1D95"/>
    <w:rsid w:val="007E1ED0"/>
    <w:rsid w:val="007E2EB0"/>
    <w:rsid w:val="007E4178"/>
    <w:rsid w:val="007E4938"/>
    <w:rsid w:val="007F1398"/>
    <w:rsid w:val="007F19E7"/>
    <w:rsid w:val="007F22D4"/>
    <w:rsid w:val="007F2319"/>
    <w:rsid w:val="007F31AC"/>
    <w:rsid w:val="007F40DD"/>
    <w:rsid w:val="007F53D2"/>
    <w:rsid w:val="007F695E"/>
    <w:rsid w:val="00800415"/>
    <w:rsid w:val="0080176D"/>
    <w:rsid w:val="00801809"/>
    <w:rsid w:val="00801A20"/>
    <w:rsid w:val="00802DF5"/>
    <w:rsid w:val="0080390C"/>
    <w:rsid w:val="00803B4F"/>
    <w:rsid w:val="00804463"/>
    <w:rsid w:val="00804EC8"/>
    <w:rsid w:val="00805A88"/>
    <w:rsid w:val="00805CC9"/>
    <w:rsid w:val="00810717"/>
    <w:rsid w:val="00810B18"/>
    <w:rsid w:val="008114F3"/>
    <w:rsid w:val="008123C7"/>
    <w:rsid w:val="00812ABF"/>
    <w:rsid w:val="008142C2"/>
    <w:rsid w:val="00814D7E"/>
    <w:rsid w:val="00814FA5"/>
    <w:rsid w:val="008170A1"/>
    <w:rsid w:val="0081761F"/>
    <w:rsid w:val="0082004A"/>
    <w:rsid w:val="00820929"/>
    <w:rsid w:val="00821253"/>
    <w:rsid w:val="008223A9"/>
    <w:rsid w:val="00823D85"/>
    <w:rsid w:val="0082455C"/>
    <w:rsid w:val="00824B54"/>
    <w:rsid w:val="00824FFE"/>
    <w:rsid w:val="00825E3D"/>
    <w:rsid w:val="008263B7"/>
    <w:rsid w:val="008270B9"/>
    <w:rsid w:val="0082761A"/>
    <w:rsid w:val="00827BF8"/>
    <w:rsid w:val="00832C04"/>
    <w:rsid w:val="00836357"/>
    <w:rsid w:val="0083773E"/>
    <w:rsid w:val="00837C35"/>
    <w:rsid w:val="00842AED"/>
    <w:rsid w:val="008437BD"/>
    <w:rsid w:val="008444FE"/>
    <w:rsid w:val="008447EA"/>
    <w:rsid w:val="00844E39"/>
    <w:rsid w:val="00845021"/>
    <w:rsid w:val="0084584B"/>
    <w:rsid w:val="0084619C"/>
    <w:rsid w:val="00847156"/>
    <w:rsid w:val="00850534"/>
    <w:rsid w:val="00850767"/>
    <w:rsid w:val="008518C5"/>
    <w:rsid w:val="00853F40"/>
    <w:rsid w:val="00855E71"/>
    <w:rsid w:val="0085604A"/>
    <w:rsid w:val="00856078"/>
    <w:rsid w:val="00856B86"/>
    <w:rsid w:val="00860958"/>
    <w:rsid w:val="00865A74"/>
    <w:rsid w:val="00866003"/>
    <w:rsid w:val="00866D8C"/>
    <w:rsid w:val="00867306"/>
    <w:rsid w:val="00867315"/>
    <w:rsid w:val="00867EE9"/>
    <w:rsid w:val="0087014D"/>
    <w:rsid w:val="00870190"/>
    <w:rsid w:val="008701FE"/>
    <w:rsid w:val="008722B8"/>
    <w:rsid w:val="00873038"/>
    <w:rsid w:val="00874870"/>
    <w:rsid w:val="008827E3"/>
    <w:rsid w:val="00883ADE"/>
    <w:rsid w:val="008843A3"/>
    <w:rsid w:val="008845F2"/>
    <w:rsid w:val="00885076"/>
    <w:rsid w:val="008862B8"/>
    <w:rsid w:val="008868B7"/>
    <w:rsid w:val="008872CD"/>
    <w:rsid w:val="00887FFB"/>
    <w:rsid w:val="00892E3A"/>
    <w:rsid w:val="00895989"/>
    <w:rsid w:val="00895D30"/>
    <w:rsid w:val="008A1AF0"/>
    <w:rsid w:val="008A206F"/>
    <w:rsid w:val="008A3997"/>
    <w:rsid w:val="008A4028"/>
    <w:rsid w:val="008A5CFE"/>
    <w:rsid w:val="008A7220"/>
    <w:rsid w:val="008A74C9"/>
    <w:rsid w:val="008B045E"/>
    <w:rsid w:val="008B06C5"/>
    <w:rsid w:val="008B06CE"/>
    <w:rsid w:val="008B1438"/>
    <w:rsid w:val="008B2C89"/>
    <w:rsid w:val="008B4067"/>
    <w:rsid w:val="008B58E5"/>
    <w:rsid w:val="008B6B57"/>
    <w:rsid w:val="008B7548"/>
    <w:rsid w:val="008C079D"/>
    <w:rsid w:val="008C0CC6"/>
    <w:rsid w:val="008C13C8"/>
    <w:rsid w:val="008C1D59"/>
    <w:rsid w:val="008C228C"/>
    <w:rsid w:val="008C2A71"/>
    <w:rsid w:val="008C2CE3"/>
    <w:rsid w:val="008C2DCB"/>
    <w:rsid w:val="008C4EE3"/>
    <w:rsid w:val="008C632B"/>
    <w:rsid w:val="008D04D1"/>
    <w:rsid w:val="008D0A00"/>
    <w:rsid w:val="008D25F6"/>
    <w:rsid w:val="008D48D6"/>
    <w:rsid w:val="008D493F"/>
    <w:rsid w:val="008D4978"/>
    <w:rsid w:val="008D4A5E"/>
    <w:rsid w:val="008D5B8A"/>
    <w:rsid w:val="008D60CC"/>
    <w:rsid w:val="008D691F"/>
    <w:rsid w:val="008D772F"/>
    <w:rsid w:val="008E0CED"/>
    <w:rsid w:val="008E0F1A"/>
    <w:rsid w:val="008E332A"/>
    <w:rsid w:val="008E4B29"/>
    <w:rsid w:val="008E6187"/>
    <w:rsid w:val="008E6C10"/>
    <w:rsid w:val="008F1932"/>
    <w:rsid w:val="008F33A9"/>
    <w:rsid w:val="008F62A0"/>
    <w:rsid w:val="008F7D61"/>
    <w:rsid w:val="0090030A"/>
    <w:rsid w:val="00900C10"/>
    <w:rsid w:val="00900E54"/>
    <w:rsid w:val="009013E6"/>
    <w:rsid w:val="009014F3"/>
    <w:rsid w:val="00901BA8"/>
    <w:rsid w:val="0090272A"/>
    <w:rsid w:val="00904867"/>
    <w:rsid w:val="00905069"/>
    <w:rsid w:val="00905A7E"/>
    <w:rsid w:val="00905CE5"/>
    <w:rsid w:val="00906E73"/>
    <w:rsid w:val="00907BD9"/>
    <w:rsid w:val="0091036D"/>
    <w:rsid w:val="00914775"/>
    <w:rsid w:val="00917221"/>
    <w:rsid w:val="0091768E"/>
    <w:rsid w:val="00917956"/>
    <w:rsid w:val="0092053B"/>
    <w:rsid w:val="00921F84"/>
    <w:rsid w:val="00922771"/>
    <w:rsid w:val="0092303B"/>
    <w:rsid w:val="009240F9"/>
    <w:rsid w:val="0092411E"/>
    <w:rsid w:val="009258BE"/>
    <w:rsid w:val="00926641"/>
    <w:rsid w:val="00926B9E"/>
    <w:rsid w:val="00926D55"/>
    <w:rsid w:val="009277F9"/>
    <w:rsid w:val="009317A7"/>
    <w:rsid w:val="00931BD7"/>
    <w:rsid w:val="00931D96"/>
    <w:rsid w:val="00933398"/>
    <w:rsid w:val="00933C57"/>
    <w:rsid w:val="00933CC0"/>
    <w:rsid w:val="00934846"/>
    <w:rsid w:val="00935045"/>
    <w:rsid w:val="0093527F"/>
    <w:rsid w:val="0093554C"/>
    <w:rsid w:val="009357FB"/>
    <w:rsid w:val="00935CC6"/>
    <w:rsid w:val="00935E1F"/>
    <w:rsid w:val="00936552"/>
    <w:rsid w:val="00936762"/>
    <w:rsid w:val="009377F3"/>
    <w:rsid w:val="009406AB"/>
    <w:rsid w:val="00940C59"/>
    <w:rsid w:val="00942950"/>
    <w:rsid w:val="00942AF9"/>
    <w:rsid w:val="009447FF"/>
    <w:rsid w:val="00944B05"/>
    <w:rsid w:val="00944F5A"/>
    <w:rsid w:val="00945FAC"/>
    <w:rsid w:val="00951816"/>
    <w:rsid w:val="0095182E"/>
    <w:rsid w:val="00951C43"/>
    <w:rsid w:val="009538AB"/>
    <w:rsid w:val="00953C60"/>
    <w:rsid w:val="00954119"/>
    <w:rsid w:val="009547EE"/>
    <w:rsid w:val="009549F8"/>
    <w:rsid w:val="00955517"/>
    <w:rsid w:val="0095661B"/>
    <w:rsid w:val="00956790"/>
    <w:rsid w:val="00957B2F"/>
    <w:rsid w:val="009609F3"/>
    <w:rsid w:val="009621B3"/>
    <w:rsid w:val="0096220E"/>
    <w:rsid w:val="00962500"/>
    <w:rsid w:val="009625A2"/>
    <w:rsid w:val="0096348C"/>
    <w:rsid w:val="0096366E"/>
    <w:rsid w:val="00964A00"/>
    <w:rsid w:val="009670E3"/>
    <w:rsid w:val="00967300"/>
    <w:rsid w:val="00967939"/>
    <w:rsid w:val="00967E26"/>
    <w:rsid w:val="00971601"/>
    <w:rsid w:val="0097443B"/>
    <w:rsid w:val="00974976"/>
    <w:rsid w:val="00975230"/>
    <w:rsid w:val="00975456"/>
    <w:rsid w:val="009766B2"/>
    <w:rsid w:val="0097708A"/>
    <w:rsid w:val="009809B2"/>
    <w:rsid w:val="009835DE"/>
    <w:rsid w:val="0098426D"/>
    <w:rsid w:val="00986B24"/>
    <w:rsid w:val="00986D90"/>
    <w:rsid w:val="00987748"/>
    <w:rsid w:val="0099038B"/>
    <w:rsid w:val="00990530"/>
    <w:rsid w:val="00990A45"/>
    <w:rsid w:val="00990CDC"/>
    <w:rsid w:val="00992958"/>
    <w:rsid w:val="00992965"/>
    <w:rsid w:val="00992F41"/>
    <w:rsid w:val="00993075"/>
    <w:rsid w:val="00995591"/>
    <w:rsid w:val="00995D39"/>
    <w:rsid w:val="009972BB"/>
    <w:rsid w:val="00997F40"/>
    <w:rsid w:val="009A006D"/>
    <w:rsid w:val="009A0A3B"/>
    <w:rsid w:val="009A0CCC"/>
    <w:rsid w:val="009A1EFA"/>
    <w:rsid w:val="009A30D4"/>
    <w:rsid w:val="009A3313"/>
    <w:rsid w:val="009A36A3"/>
    <w:rsid w:val="009A5056"/>
    <w:rsid w:val="009A5194"/>
    <w:rsid w:val="009A5479"/>
    <w:rsid w:val="009A54B8"/>
    <w:rsid w:val="009A65A2"/>
    <w:rsid w:val="009A679A"/>
    <w:rsid w:val="009A6853"/>
    <w:rsid w:val="009A6B39"/>
    <w:rsid w:val="009A7DF2"/>
    <w:rsid w:val="009B041A"/>
    <w:rsid w:val="009B0663"/>
    <w:rsid w:val="009B0AA4"/>
    <w:rsid w:val="009B0C0C"/>
    <w:rsid w:val="009B0EA0"/>
    <w:rsid w:val="009B10F8"/>
    <w:rsid w:val="009B1B69"/>
    <w:rsid w:val="009B1C18"/>
    <w:rsid w:val="009B1E13"/>
    <w:rsid w:val="009B2774"/>
    <w:rsid w:val="009B2FE1"/>
    <w:rsid w:val="009B4547"/>
    <w:rsid w:val="009B52B6"/>
    <w:rsid w:val="009B71C1"/>
    <w:rsid w:val="009B777E"/>
    <w:rsid w:val="009B7CA4"/>
    <w:rsid w:val="009B7E2E"/>
    <w:rsid w:val="009C0E32"/>
    <w:rsid w:val="009C1008"/>
    <w:rsid w:val="009C4B03"/>
    <w:rsid w:val="009C5F95"/>
    <w:rsid w:val="009C7A2B"/>
    <w:rsid w:val="009C7E6E"/>
    <w:rsid w:val="009D05B9"/>
    <w:rsid w:val="009D0908"/>
    <w:rsid w:val="009D0DEB"/>
    <w:rsid w:val="009D119C"/>
    <w:rsid w:val="009D2960"/>
    <w:rsid w:val="009D2E88"/>
    <w:rsid w:val="009D404A"/>
    <w:rsid w:val="009D4EEF"/>
    <w:rsid w:val="009D5355"/>
    <w:rsid w:val="009D624F"/>
    <w:rsid w:val="009D7911"/>
    <w:rsid w:val="009E0C8F"/>
    <w:rsid w:val="009E0E0D"/>
    <w:rsid w:val="009E1B9B"/>
    <w:rsid w:val="009E297E"/>
    <w:rsid w:val="009E2BE3"/>
    <w:rsid w:val="009E308B"/>
    <w:rsid w:val="009E3C94"/>
    <w:rsid w:val="009E5642"/>
    <w:rsid w:val="009E5BD2"/>
    <w:rsid w:val="009E6107"/>
    <w:rsid w:val="009E6650"/>
    <w:rsid w:val="009E6E22"/>
    <w:rsid w:val="009F1193"/>
    <w:rsid w:val="009F187C"/>
    <w:rsid w:val="009F1C30"/>
    <w:rsid w:val="009F2066"/>
    <w:rsid w:val="009F25BA"/>
    <w:rsid w:val="009F445D"/>
    <w:rsid w:val="009F48B8"/>
    <w:rsid w:val="009F57AF"/>
    <w:rsid w:val="009F627E"/>
    <w:rsid w:val="009F775D"/>
    <w:rsid w:val="00A04679"/>
    <w:rsid w:val="00A04BD3"/>
    <w:rsid w:val="00A05FD5"/>
    <w:rsid w:val="00A06277"/>
    <w:rsid w:val="00A065D1"/>
    <w:rsid w:val="00A06F1B"/>
    <w:rsid w:val="00A1045F"/>
    <w:rsid w:val="00A106A2"/>
    <w:rsid w:val="00A10AD5"/>
    <w:rsid w:val="00A11C28"/>
    <w:rsid w:val="00A11E7A"/>
    <w:rsid w:val="00A145DD"/>
    <w:rsid w:val="00A14ED7"/>
    <w:rsid w:val="00A1515E"/>
    <w:rsid w:val="00A1568E"/>
    <w:rsid w:val="00A172A4"/>
    <w:rsid w:val="00A17736"/>
    <w:rsid w:val="00A2133A"/>
    <w:rsid w:val="00A2271D"/>
    <w:rsid w:val="00A227AE"/>
    <w:rsid w:val="00A23AA5"/>
    <w:rsid w:val="00A243F1"/>
    <w:rsid w:val="00A24AE9"/>
    <w:rsid w:val="00A25700"/>
    <w:rsid w:val="00A25DCA"/>
    <w:rsid w:val="00A2691D"/>
    <w:rsid w:val="00A26D13"/>
    <w:rsid w:val="00A273F1"/>
    <w:rsid w:val="00A304C0"/>
    <w:rsid w:val="00A311F1"/>
    <w:rsid w:val="00A311F9"/>
    <w:rsid w:val="00A32C1E"/>
    <w:rsid w:val="00A32DCA"/>
    <w:rsid w:val="00A33005"/>
    <w:rsid w:val="00A3422B"/>
    <w:rsid w:val="00A34452"/>
    <w:rsid w:val="00A35C0C"/>
    <w:rsid w:val="00A362A4"/>
    <w:rsid w:val="00A37B91"/>
    <w:rsid w:val="00A40EFE"/>
    <w:rsid w:val="00A417E2"/>
    <w:rsid w:val="00A428C3"/>
    <w:rsid w:val="00A42BEE"/>
    <w:rsid w:val="00A43AAB"/>
    <w:rsid w:val="00A4523C"/>
    <w:rsid w:val="00A47834"/>
    <w:rsid w:val="00A50A24"/>
    <w:rsid w:val="00A50EDC"/>
    <w:rsid w:val="00A510C6"/>
    <w:rsid w:val="00A5482C"/>
    <w:rsid w:val="00A55427"/>
    <w:rsid w:val="00A57032"/>
    <w:rsid w:val="00A5727C"/>
    <w:rsid w:val="00A60BE5"/>
    <w:rsid w:val="00A61F17"/>
    <w:rsid w:val="00A6240B"/>
    <w:rsid w:val="00A62467"/>
    <w:rsid w:val="00A636FB"/>
    <w:rsid w:val="00A6443D"/>
    <w:rsid w:val="00A6548F"/>
    <w:rsid w:val="00A66D94"/>
    <w:rsid w:val="00A674DF"/>
    <w:rsid w:val="00A71425"/>
    <w:rsid w:val="00A716C9"/>
    <w:rsid w:val="00A719C4"/>
    <w:rsid w:val="00A7379D"/>
    <w:rsid w:val="00A73F3B"/>
    <w:rsid w:val="00A744D1"/>
    <w:rsid w:val="00A74925"/>
    <w:rsid w:val="00A75544"/>
    <w:rsid w:val="00A7554C"/>
    <w:rsid w:val="00A75D34"/>
    <w:rsid w:val="00A76397"/>
    <w:rsid w:val="00A77732"/>
    <w:rsid w:val="00A77814"/>
    <w:rsid w:val="00A80DA1"/>
    <w:rsid w:val="00A816D0"/>
    <w:rsid w:val="00A8290D"/>
    <w:rsid w:val="00A8330C"/>
    <w:rsid w:val="00A833CD"/>
    <w:rsid w:val="00A84018"/>
    <w:rsid w:val="00A84B6E"/>
    <w:rsid w:val="00A84BA3"/>
    <w:rsid w:val="00A84EB5"/>
    <w:rsid w:val="00A86722"/>
    <w:rsid w:val="00A9005E"/>
    <w:rsid w:val="00A904FD"/>
    <w:rsid w:val="00A91545"/>
    <w:rsid w:val="00A91905"/>
    <w:rsid w:val="00A933C8"/>
    <w:rsid w:val="00A93991"/>
    <w:rsid w:val="00A9469E"/>
    <w:rsid w:val="00A94A0F"/>
    <w:rsid w:val="00A972FD"/>
    <w:rsid w:val="00A9795D"/>
    <w:rsid w:val="00AA2B2A"/>
    <w:rsid w:val="00AA2E0A"/>
    <w:rsid w:val="00AA3657"/>
    <w:rsid w:val="00AA3D3A"/>
    <w:rsid w:val="00AA5B7F"/>
    <w:rsid w:val="00AA6F90"/>
    <w:rsid w:val="00AA7555"/>
    <w:rsid w:val="00AB0DE5"/>
    <w:rsid w:val="00AB0F92"/>
    <w:rsid w:val="00AB1AC2"/>
    <w:rsid w:val="00AB2EFF"/>
    <w:rsid w:val="00AB344D"/>
    <w:rsid w:val="00AB39FA"/>
    <w:rsid w:val="00AB3DE1"/>
    <w:rsid w:val="00AB6839"/>
    <w:rsid w:val="00AB72C4"/>
    <w:rsid w:val="00AC0D33"/>
    <w:rsid w:val="00AC1591"/>
    <w:rsid w:val="00AC1A64"/>
    <w:rsid w:val="00AC1D28"/>
    <w:rsid w:val="00AC1E53"/>
    <w:rsid w:val="00AC2007"/>
    <w:rsid w:val="00AC27EF"/>
    <w:rsid w:val="00AC2E49"/>
    <w:rsid w:val="00AC35C0"/>
    <w:rsid w:val="00AC6E2B"/>
    <w:rsid w:val="00AC6FC1"/>
    <w:rsid w:val="00AC7230"/>
    <w:rsid w:val="00AC7AA8"/>
    <w:rsid w:val="00AD166E"/>
    <w:rsid w:val="00AD1706"/>
    <w:rsid w:val="00AD1FC5"/>
    <w:rsid w:val="00AD2110"/>
    <w:rsid w:val="00AD323C"/>
    <w:rsid w:val="00AD3AF8"/>
    <w:rsid w:val="00AD4E3F"/>
    <w:rsid w:val="00AD5BB1"/>
    <w:rsid w:val="00AE0045"/>
    <w:rsid w:val="00AE0854"/>
    <w:rsid w:val="00AE2007"/>
    <w:rsid w:val="00AE21C5"/>
    <w:rsid w:val="00AE296B"/>
    <w:rsid w:val="00AE2A60"/>
    <w:rsid w:val="00AE306B"/>
    <w:rsid w:val="00AE398B"/>
    <w:rsid w:val="00AE470B"/>
    <w:rsid w:val="00AE549E"/>
    <w:rsid w:val="00AE54F6"/>
    <w:rsid w:val="00AE56D4"/>
    <w:rsid w:val="00AE7E32"/>
    <w:rsid w:val="00AF1472"/>
    <w:rsid w:val="00AF197B"/>
    <w:rsid w:val="00AF2DAB"/>
    <w:rsid w:val="00AF5DDA"/>
    <w:rsid w:val="00AF6EF5"/>
    <w:rsid w:val="00AF7319"/>
    <w:rsid w:val="00AF7D3A"/>
    <w:rsid w:val="00B00824"/>
    <w:rsid w:val="00B01A41"/>
    <w:rsid w:val="00B02619"/>
    <w:rsid w:val="00B027FF"/>
    <w:rsid w:val="00B0344D"/>
    <w:rsid w:val="00B0540F"/>
    <w:rsid w:val="00B056D3"/>
    <w:rsid w:val="00B065CB"/>
    <w:rsid w:val="00B0674B"/>
    <w:rsid w:val="00B0686E"/>
    <w:rsid w:val="00B071E1"/>
    <w:rsid w:val="00B07310"/>
    <w:rsid w:val="00B07584"/>
    <w:rsid w:val="00B11258"/>
    <w:rsid w:val="00B121E1"/>
    <w:rsid w:val="00B12725"/>
    <w:rsid w:val="00B12914"/>
    <w:rsid w:val="00B12CA2"/>
    <w:rsid w:val="00B13B2C"/>
    <w:rsid w:val="00B147AE"/>
    <w:rsid w:val="00B17583"/>
    <w:rsid w:val="00B211F9"/>
    <w:rsid w:val="00B22430"/>
    <w:rsid w:val="00B23AD9"/>
    <w:rsid w:val="00B23D05"/>
    <w:rsid w:val="00B2402C"/>
    <w:rsid w:val="00B24A09"/>
    <w:rsid w:val="00B25ACE"/>
    <w:rsid w:val="00B266C1"/>
    <w:rsid w:val="00B27BA0"/>
    <w:rsid w:val="00B312DC"/>
    <w:rsid w:val="00B31CAD"/>
    <w:rsid w:val="00B32922"/>
    <w:rsid w:val="00B32959"/>
    <w:rsid w:val="00B33475"/>
    <w:rsid w:val="00B33620"/>
    <w:rsid w:val="00B336BE"/>
    <w:rsid w:val="00B34317"/>
    <w:rsid w:val="00B3435E"/>
    <w:rsid w:val="00B35082"/>
    <w:rsid w:val="00B3674B"/>
    <w:rsid w:val="00B37E57"/>
    <w:rsid w:val="00B40025"/>
    <w:rsid w:val="00B4019D"/>
    <w:rsid w:val="00B41147"/>
    <w:rsid w:val="00B418FC"/>
    <w:rsid w:val="00B4346F"/>
    <w:rsid w:val="00B43E05"/>
    <w:rsid w:val="00B43E63"/>
    <w:rsid w:val="00B43EB2"/>
    <w:rsid w:val="00B44864"/>
    <w:rsid w:val="00B44948"/>
    <w:rsid w:val="00B46AA5"/>
    <w:rsid w:val="00B46C17"/>
    <w:rsid w:val="00B479BB"/>
    <w:rsid w:val="00B55CFD"/>
    <w:rsid w:val="00B56610"/>
    <w:rsid w:val="00B57EF1"/>
    <w:rsid w:val="00B60E01"/>
    <w:rsid w:val="00B61B7E"/>
    <w:rsid w:val="00B6246E"/>
    <w:rsid w:val="00B6276D"/>
    <w:rsid w:val="00B62BFE"/>
    <w:rsid w:val="00B63372"/>
    <w:rsid w:val="00B6412A"/>
    <w:rsid w:val="00B66E7E"/>
    <w:rsid w:val="00B6717D"/>
    <w:rsid w:val="00B70728"/>
    <w:rsid w:val="00B716AB"/>
    <w:rsid w:val="00B73283"/>
    <w:rsid w:val="00B736E6"/>
    <w:rsid w:val="00B74673"/>
    <w:rsid w:val="00B74858"/>
    <w:rsid w:val="00B74A8E"/>
    <w:rsid w:val="00B75F70"/>
    <w:rsid w:val="00B7656C"/>
    <w:rsid w:val="00B77AB6"/>
    <w:rsid w:val="00B80AB3"/>
    <w:rsid w:val="00B816C0"/>
    <w:rsid w:val="00B82F66"/>
    <w:rsid w:val="00B830EB"/>
    <w:rsid w:val="00B8366C"/>
    <w:rsid w:val="00B8381F"/>
    <w:rsid w:val="00B84783"/>
    <w:rsid w:val="00B855D7"/>
    <w:rsid w:val="00B85D46"/>
    <w:rsid w:val="00B87C43"/>
    <w:rsid w:val="00B910C8"/>
    <w:rsid w:val="00B94AC0"/>
    <w:rsid w:val="00B95B94"/>
    <w:rsid w:val="00B96C7A"/>
    <w:rsid w:val="00B96CE0"/>
    <w:rsid w:val="00B96E71"/>
    <w:rsid w:val="00B97E8E"/>
    <w:rsid w:val="00BA0065"/>
    <w:rsid w:val="00BA1167"/>
    <w:rsid w:val="00BA27D8"/>
    <w:rsid w:val="00BA2A8F"/>
    <w:rsid w:val="00BA3042"/>
    <w:rsid w:val="00BA3A14"/>
    <w:rsid w:val="00BA3BA5"/>
    <w:rsid w:val="00BA3DE1"/>
    <w:rsid w:val="00BA4518"/>
    <w:rsid w:val="00BA4E0D"/>
    <w:rsid w:val="00BA5C86"/>
    <w:rsid w:val="00BA5F4D"/>
    <w:rsid w:val="00BA61E6"/>
    <w:rsid w:val="00BB07D2"/>
    <w:rsid w:val="00BB1244"/>
    <w:rsid w:val="00BB17BE"/>
    <w:rsid w:val="00BB2307"/>
    <w:rsid w:val="00BB2E64"/>
    <w:rsid w:val="00BB2F69"/>
    <w:rsid w:val="00BB316A"/>
    <w:rsid w:val="00BB3FC0"/>
    <w:rsid w:val="00BB5C5D"/>
    <w:rsid w:val="00BB6A4B"/>
    <w:rsid w:val="00BB797A"/>
    <w:rsid w:val="00BB7D03"/>
    <w:rsid w:val="00BC00A4"/>
    <w:rsid w:val="00BC02B5"/>
    <w:rsid w:val="00BC05D4"/>
    <w:rsid w:val="00BC0915"/>
    <w:rsid w:val="00BC11F0"/>
    <w:rsid w:val="00BC26DD"/>
    <w:rsid w:val="00BC2DE1"/>
    <w:rsid w:val="00BC3022"/>
    <w:rsid w:val="00BC3751"/>
    <w:rsid w:val="00BC4224"/>
    <w:rsid w:val="00BC54F9"/>
    <w:rsid w:val="00BC625E"/>
    <w:rsid w:val="00BC64AD"/>
    <w:rsid w:val="00BC7627"/>
    <w:rsid w:val="00BD4650"/>
    <w:rsid w:val="00BD4BFF"/>
    <w:rsid w:val="00BD6247"/>
    <w:rsid w:val="00BD6827"/>
    <w:rsid w:val="00BE0590"/>
    <w:rsid w:val="00BE0B1C"/>
    <w:rsid w:val="00BE162A"/>
    <w:rsid w:val="00BE1BEF"/>
    <w:rsid w:val="00BE1DD5"/>
    <w:rsid w:val="00BE2514"/>
    <w:rsid w:val="00BE3B76"/>
    <w:rsid w:val="00BE4B49"/>
    <w:rsid w:val="00BE54F9"/>
    <w:rsid w:val="00BE58F0"/>
    <w:rsid w:val="00BE5CB2"/>
    <w:rsid w:val="00BE625C"/>
    <w:rsid w:val="00BE63EB"/>
    <w:rsid w:val="00BE6A5F"/>
    <w:rsid w:val="00BF093A"/>
    <w:rsid w:val="00BF0A12"/>
    <w:rsid w:val="00BF0EE4"/>
    <w:rsid w:val="00BF132F"/>
    <w:rsid w:val="00BF16B8"/>
    <w:rsid w:val="00BF28C3"/>
    <w:rsid w:val="00BF337B"/>
    <w:rsid w:val="00BF5497"/>
    <w:rsid w:val="00BF72AA"/>
    <w:rsid w:val="00BF7763"/>
    <w:rsid w:val="00BF7C6A"/>
    <w:rsid w:val="00C0006C"/>
    <w:rsid w:val="00C009F5"/>
    <w:rsid w:val="00C00D34"/>
    <w:rsid w:val="00C03FA9"/>
    <w:rsid w:val="00C04030"/>
    <w:rsid w:val="00C046F1"/>
    <w:rsid w:val="00C048E6"/>
    <w:rsid w:val="00C060E1"/>
    <w:rsid w:val="00C06A2A"/>
    <w:rsid w:val="00C0729E"/>
    <w:rsid w:val="00C074F6"/>
    <w:rsid w:val="00C07AC5"/>
    <w:rsid w:val="00C1094B"/>
    <w:rsid w:val="00C11D14"/>
    <w:rsid w:val="00C121D1"/>
    <w:rsid w:val="00C122E9"/>
    <w:rsid w:val="00C1257B"/>
    <w:rsid w:val="00C12B04"/>
    <w:rsid w:val="00C13DCF"/>
    <w:rsid w:val="00C149A5"/>
    <w:rsid w:val="00C14A04"/>
    <w:rsid w:val="00C156BE"/>
    <w:rsid w:val="00C157A5"/>
    <w:rsid w:val="00C16479"/>
    <w:rsid w:val="00C1653B"/>
    <w:rsid w:val="00C2069A"/>
    <w:rsid w:val="00C229A7"/>
    <w:rsid w:val="00C23103"/>
    <w:rsid w:val="00C2332B"/>
    <w:rsid w:val="00C23565"/>
    <w:rsid w:val="00C24853"/>
    <w:rsid w:val="00C24D9B"/>
    <w:rsid w:val="00C24E36"/>
    <w:rsid w:val="00C24E9A"/>
    <w:rsid w:val="00C25248"/>
    <w:rsid w:val="00C25413"/>
    <w:rsid w:val="00C25C28"/>
    <w:rsid w:val="00C2667A"/>
    <w:rsid w:val="00C2751C"/>
    <w:rsid w:val="00C27AB1"/>
    <w:rsid w:val="00C27AD0"/>
    <w:rsid w:val="00C27D0D"/>
    <w:rsid w:val="00C305A1"/>
    <w:rsid w:val="00C30B54"/>
    <w:rsid w:val="00C30EAA"/>
    <w:rsid w:val="00C322A2"/>
    <w:rsid w:val="00C33086"/>
    <w:rsid w:val="00C33DDB"/>
    <w:rsid w:val="00C33FC1"/>
    <w:rsid w:val="00C34122"/>
    <w:rsid w:val="00C3439D"/>
    <w:rsid w:val="00C3543F"/>
    <w:rsid w:val="00C35B37"/>
    <w:rsid w:val="00C36497"/>
    <w:rsid w:val="00C4097A"/>
    <w:rsid w:val="00C42217"/>
    <w:rsid w:val="00C424FA"/>
    <w:rsid w:val="00C43DF4"/>
    <w:rsid w:val="00C43EEE"/>
    <w:rsid w:val="00C44DC2"/>
    <w:rsid w:val="00C46563"/>
    <w:rsid w:val="00C46FE4"/>
    <w:rsid w:val="00C47976"/>
    <w:rsid w:val="00C50FC9"/>
    <w:rsid w:val="00C5347B"/>
    <w:rsid w:val="00C53669"/>
    <w:rsid w:val="00C5740B"/>
    <w:rsid w:val="00C57AEC"/>
    <w:rsid w:val="00C61618"/>
    <w:rsid w:val="00C61CEC"/>
    <w:rsid w:val="00C64282"/>
    <w:rsid w:val="00C64518"/>
    <w:rsid w:val="00C65070"/>
    <w:rsid w:val="00C66B3B"/>
    <w:rsid w:val="00C70364"/>
    <w:rsid w:val="00C70910"/>
    <w:rsid w:val="00C71CF0"/>
    <w:rsid w:val="00C72AC8"/>
    <w:rsid w:val="00C74045"/>
    <w:rsid w:val="00C74F39"/>
    <w:rsid w:val="00C750A8"/>
    <w:rsid w:val="00C753C2"/>
    <w:rsid w:val="00C75736"/>
    <w:rsid w:val="00C75A6A"/>
    <w:rsid w:val="00C75D12"/>
    <w:rsid w:val="00C75DB9"/>
    <w:rsid w:val="00C811C3"/>
    <w:rsid w:val="00C82A54"/>
    <w:rsid w:val="00C830CA"/>
    <w:rsid w:val="00C836DB"/>
    <w:rsid w:val="00C83A9E"/>
    <w:rsid w:val="00C84188"/>
    <w:rsid w:val="00C842D7"/>
    <w:rsid w:val="00C84620"/>
    <w:rsid w:val="00C85B61"/>
    <w:rsid w:val="00C85BD6"/>
    <w:rsid w:val="00C8745C"/>
    <w:rsid w:val="00C87972"/>
    <w:rsid w:val="00C87B09"/>
    <w:rsid w:val="00C90282"/>
    <w:rsid w:val="00C90D34"/>
    <w:rsid w:val="00C91975"/>
    <w:rsid w:val="00C93BDD"/>
    <w:rsid w:val="00C94FE3"/>
    <w:rsid w:val="00C95C15"/>
    <w:rsid w:val="00C96048"/>
    <w:rsid w:val="00C96A81"/>
    <w:rsid w:val="00C96CAC"/>
    <w:rsid w:val="00C97934"/>
    <w:rsid w:val="00C97A71"/>
    <w:rsid w:val="00CA088D"/>
    <w:rsid w:val="00CA0C80"/>
    <w:rsid w:val="00CA22F3"/>
    <w:rsid w:val="00CA2F9B"/>
    <w:rsid w:val="00CA5DCB"/>
    <w:rsid w:val="00CA6D1B"/>
    <w:rsid w:val="00CA7032"/>
    <w:rsid w:val="00CA7137"/>
    <w:rsid w:val="00CA7533"/>
    <w:rsid w:val="00CB1CF8"/>
    <w:rsid w:val="00CB20B1"/>
    <w:rsid w:val="00CB2570"/>
    <w:rsid w:val="00CB59F5"/>
    <w:rsid w:val="00CB608D"/>
    <w:rsid w:val="00CB723B"/>
    <w:rsid w:val="00CB7765"/>
    <w:rsid w:val="00CC21C0"/>
    <w:rsid w:val="00CC25E9"/>
    <w:rsid w:val="00CC2A21"/>
    <w:rsid w:val="00CC2B7E"/>
    <w:rsid w:val="00CC2EBD"/>
    <w:rsid w:val="00CC3253"/>
    <w:rsid w:val="00CC5D4E"/>
    <w:rsid w:val="00CC6617"/>
    <w:rsid w:val="00CC66E7"/>
    <w:rsid w:val="00CC7104"/>
    <w:rsid w:val="00CD0938"/>
    <w:rsid w:val="00CD0A99"/>
    <w:rsid w:val="00CD0BAD"/>
    <w:rsid w:val="00CD220C"/>
    <w:rsid w:val="00CD2DD2"/>
    <w:rsid w:val="00CD3600"/>
    <w:rsid w:val="00CD48FC"/>
    <w:rsid w:val="00CD5890"/>
    <w:rsid w:val="00CD64A0"/>
    <w:rsid w:val="00CD6AF7"/>
    <w:rsid w:val="00CD6FA2"/>
    <w:rsid w:val="00CD73FC"/>
    <w:rsid w:val="00CD7A80"/>
    <w:rsid w:val="00CD7DB6"/>
    <w:rsid w:val="00CE0B44"/>
    <w:rsid w:val="00CE1E04"/>
    <w:rsid w:val="00CE3C64"/>
    <w:rsid w:val="00CE4A54"/>
    <w:rsid w:val="00CE6290"/>
    <w:rsid w:val="00CE6CDE"/>
    <w:rsid w:val="00CE7198"/>
    <w:rsid w:val="00CE7C01"/>
    <w:rsid w:val="00CF1477"/>
    <w:rsid w:val="00CF25EB"/>
    <w:rsid w:val="00CF2651"/>
    <w:rsid w:val="00CF4205"/>
    <w:rsid w:val="00CF4E42"/>
    <w:rsid w:val="00CF55D1"/>
    <w:rsid w:val="00CF628B"/>
    <w:rsid w:val="00D00850"/>
    <w:rsid w:val="00D01D3F"/>
    <w:rsid w:val="00D01E13"/>
    <w:rsid w:val="00D01E59"/>
    <w:rsid w:val="00D034C5"/>
    <w:rsid w:val="00D03EBE"/>
    <w:rsid w:val="00D04546"/>
    <w:rsid w:val="00D06BCF"/>
    <w:rsid w:val="00D10AC2"/>
    <w:rsid w:val="00D10D4B"/>
    <w:rsid w:val="00D10D86"/>
    <w:rsid w:val="00D11766"/>
    <w:rsid w:val="00D12A80"/>
    <w:rsid w:val="00D12C8B"/>
    <w:rsid w:val="00D1461D"/>
    <w:rsid w:val="00D15571"/>
    <w:rsid w:val="00D1615B"/>
    <w:rsid w:val="00D16315"/>
    <w:rsid w:val="00D17F11"/>
    <w:rsid w:val="00D2022B"/>
    <w:rsid w:val="00D22008"/>
    <w:rsid w:val="00D22385"/>
    <w:rsid w:val="00D22D07"/>
    <w:rsid w:val="00D25962"/>
    <w:rsid w:val="00D2655C"/>
    <w:rsid w:val="00D3088B"/>
    <w:rsid w:val="00D30B01"/>
    <w:rsid w:val="00D30CFE"/>
    <w:rsid w:val="00D30E0B"/>
    <w:rsid w:val="00D31E81"/>
    <w:rsid w:val="00D3222E"/>
    <w:rsid w:val="00D325DD"/>
    <w:rsid w:val="00D32794"/>
    <w:rsid w:val="00D32A67"/>
    <w:rsid w:val="00D33186"/>
    <w:rsid w:val="00D33990"/>
    <w:rsid w:val="00D34429"/>
    <w:rsid w:val="00D3499E"/>
    <w:rsid w:val="00D4102F"/>
    <w:rsid w:val="00D4126E"/>
    <w:rsid w:val="00D420ED"/>
    <w:rsid w:val="00D43F8A"/>
    <w:rsid w:val="00D440E5"/>
    <w:rsid w:val="00D44B6E"/>
    <w:rsid w:val="00D4695C"/>
    <w:rsid w:val="00D46A3B"/>
    <w:rsid w:val="00D46A7C"/>
    <w:rsid w:val="00D51ECB"/>
    <w:rsid w:val="00D52D50"/>
    <w:rsid w:val="00D54D02"/>
    <w:rsid w:val="00D56877"/>
    <w:rsid w:val="00D5742A"/>
    <w:rsid w:val="00D60AAC"/>
    <w:rsid w:val="00D60C4D"/>
    <w:rsid w:val="00D61C4D"/>
    <w:rsid w:val="00D62133"/>
    <w:rsid w:val="00D63401"/>
    <w:rsid w:val="00D63FE5"/>
    <w:rsid w:val="00D647BD"/>
    <w:rsid w:val="00D64B9A"/>
    <w:rsid w:val="00D67351"/>
    <w:rsid w:val="00D676C0"/>
    <w:rsid w:val="00D716AF"/>
    <w:rsid w:val="00D71AC2"/>
    <w:rsid w:val="00D72D15"/>
    <w:rsid w:val="00D73973"/>
    <w:rsid w:val="00D75042"/>
    <w:rsid w:val="00D7536C"/>
    <w:rsid w:val="00D7695D"/>
    <w:rsid w:val="00D80EB3"/>
    <w:rsid w:val="00D81822"/>
    <w:rsid w:val="00D8246A"/>
    <w:rsid w:val="00D82CC8"/>
    <w:rsid w:val="00D8302B"/>
    <w:rsid w:val="00D83C49"/>
    <w:rsid w:val="00D83DCB"/>
    <w:rsid w:val="00D84FC6"/>
    <w:rsid w:val="00D85088"/>
    <w:rsid w:val="00D87200"/>
    <w:rsid w:val="00D87F1B"/>
    <w:rsid w:val="00D906BF"/>
    <w:rsid w:val="00D93044"/>
    <w:rsid w:val="00D93553"/>
    <w:rsid w:val="00D936C6"/>
    <w:rsid w:val="00D9416D"/>
    <w:rsid w:val="00D951E7"/>
    <w:rsid w:val="00D95EE1"/>
    <w:rsid w:val="00D96956"/>
    <w:rsid w:val="00D97663"/>
    <w:rsid w:val="00D97C26"/>
    <w:rsid w:val="00D97DA4"/>
    <w:rsid w:val="00DA0EFF"/>
    <w:rsid w:val="00DA16DE"/>
    <w:rsid w:val="00DA3C38"/>
    <w:rsid w:val="00DA4371"/>
    <w:rsid w:val="00DA4F15"/>
    <w:rsid w:val="00DA4F3D"/>
    <w:rsid w:val="00DA5B14"/>
    <w:rsid w:val="00DA74DF"/>
    <w:rsid w:val="00DA779E"/>
    <w:rsid w:val="00DB0BA0"/>
    <w:rsid w:val="00DB0C32"/>
    <w:rsid w:val="00DB0C9E"/>
    <w:rsid w:val="00DB1380"/>
    <w:rsid w:val="00DB23BD"/>
    <w:rsid w:val="00DB2C7B"/>
    <w:rsid w:val="00DB375F"/>
    <w:rsid w:val="00DB4966"/>
    <w:rsid w:val="00DB54A6"/>
    <w:rsid w:val="00DB6058"/>
    <w:rsid w:val="00DB60DF"/>
    <w:rsid w:val="00DB61FC"/>
    <w:rsid w:val="00DC03BE"/>
    <w:rsid w:val="00DC0DC8"/>
    <w:rsid w:val="00DC1410"/>
    <w:rsid w:val="00DC18B0"/>
    <w:rsid w:val="00DC207A"/>
    <w:rsid w:val="00DC2DB0"/>
    <w:rsid w:val="00DC2EB6"/>
    <w:rsid w:val="00DC4E09"/>
    <w:rsid w:val="00DC6B63"/>
    <w:rsid w:val="00DD2E32"/>
    <w:rsid w:val="00DD4730"/>
    <w:rsid w:val="00DD4FAF"/>
    <w:rsid w:val="00DD5068"/>
    <w:rsid w:val="00DD55CB"/>
    <w:rsid w:val="00DD5CCC"/>
    <w:rsid w:val="00DE0A64"/>
    <w:rsid w:val="00DE0C7B"/>
    <w:rsid w:val="00DE0E26"/>
    <w:rsid w:val="00DE0F41"/>
    <w:rsid w:val="00DE22B1"/>
    <w:rsid w:val="00DE396E"/>
    <w:rsid w:val="00DE41B4"/>
    <w:rsid w:val="00DE4A22"/>
    <w:rsid w:val="00DE4E2F"/>
    <w:rsid w:val="00DE4E45"/>
    <w:rsid w:val="00DE7029"/>
    <w:rsid w:val="00DE7B41"/>
    <w:rsid w:val="00DE7CA2"/>
    <w:rsid w:val="00DF005D"/>
    <w:rsid w:val="00DF03F8"/>
    <w:rsid w:val="00DF1113"/>
    <w:rsid w:val="00DF269E"/>
    <w:rsid w:val="00DF276E"/>
    <w:rsid w:val="00DF3E06"/>
    <w:rsid w:val="00DF5B0D"/>
    <w:rsid w:val="00DF6105"/>
    <w:rsid w:val="00DF66A7"/>
    <w:rsid w:val="00DF7B7B"/>
    <w:rsid w:val="00E00C61"/>
    <w:rsid w:val="00E02717"/>
    <w:rsid w:val="00E03901"/>
    <w:rsid w:val="00E03E7F"/>
    <w:rsid w:val="00E0651A"/>
    <w:rsid w:val="00E0775B"/>
    <w:rsid w:val="00E07DDB"/>
    <w:rsid w:val="00E1124A"/>
    <w:rsid w:val="00E113ED"/>
    <w:rsid w:val="00E11C48"/>
    <w:rsid w:val="00E13207"/>
    <w:rsid w:val="00E13F39"/>
    <w:rsid w:val="00E1458B"/>
    <w:rsid w:val="00E147FE"/>
    <w:rsid w:val="00E14818"/>
    <w:rsid w:val="00E14A42"/>
    <w:rsid w:val="00E14D47"/>
    <w:rsid w:val="00E1572C"/>
    <w:rsid w:val="00E157B6"/>
    <w:rsid w:val="00E160EB"/>
    <w:rsid w:val="00E16FAA"/>
    <w:rsid w:val="00E21AFF"/>
    <w:rsid w:val="00E21B29"/>
    <w:rsid w:val="00E23BBA"/>
    <w:rsid w:val="00E24274"/>
    <w:rsid w:val="00E25A4F"/>
    <w:rsid w:val="00E25EE8"/>
    <w:rsid w:val="00E27109"/>
    <w:rsid w:val="00E276A7"/>
    <w:rsid w:val="00E277BA"/>
    <w:rsid w:val="00E27E02"/>
    <w:rsid w:val="00E31BB4"/>
    <w:rsid w:val="00E329E4"/>
    <w:rsid w:val="00E32BF0"/>
    <w:rsid w:val="00E336FB"/>
    <w:rsid w:val="00E350EC"/>
    <w:rsid w:val="00E35B5E"/>
    <w:rsid w:val="00E36D62"/>
    <w:rsid w:val="00E36E7C"/>
    <w:rsid w:val="00E3773B"/>
    <w:rsid w:val="00E4156D"/>
    <w:rsid w:val="00E41947"/>
    <w:rsid w:val="00E423FC"/>
    <w:rsid w:val="00E43C75"/>
    <w:rsid w:val="00E43C8F"/>
    <w:rsid w:val="00E44441"/>
    <w:rsid w:val="00E44CDA"/>
    <w:rsid w:val="00E4586A"/>
    <w:rsid w:val="00E465E5"/>
    <w:rsid w:val="00E465F2"/>
    <w:rsid w:val="00E4680F"/>
    <w:rsid w:val="00E47622"/>
    <w:rsid w:val="00E50251"/>
    <w:rsid w:val="00E50288"/>
    <w:rsid w:val="00E50AEC"/>
    <w:rsid w:val="00E51B71"/>
    <w:rsid w:val="00E51CEF"/>
    <w:rsid w:val="00E52075"/>
    <w:rsid w:val="00E52464"/>
    <w:rsid w:val="00E52961"/>
    <w:rsid w:val="00E52C02"/>
    <w:rsid w:val="00E532F4"/>
    <w:rsid w:val="00E53CEB"/>
    <w:rsid w:val="00E55099"/>
    <w:rsid w:val="00E55A62"/>
    <w:rsid w:val="00E55CA1"/>
    <w:rsid w:val="00E56121"/>
    <w:rsid w:val="00E604E8"/>
    <w:rsid w:val="00E60CFE"/>
    <w:rsid w:val="00E621F2"/>
    <w:rsid w:val="00E62AE8"/>
    <w:rsid w:val="00E6416F"/>
    <w:rsid w:val="00E64EB2"/>
    <w:rsid w:val="00E65D92"/>
    <w:rsid w:val="00E65DF0"/>
    <w:rsid w:val="00E665E4"/>
    <w:rsid w:val="00E66BEA"/>
    <w:rsid w:val="00E670F2"/>
    <w:rsid w:val="00E715ED"/>
    <w:rsid w:val="00E71C70"/>
    <w:rsid w:val="00E72812"/>
    <w:rsid w:val="00E72913"/>
    <w:rsid w:val="00E72A7F"/>
    <w:rsid w:val="00E72B2D"/>
    <w:rsid w:val="00E74294"/>
    <w:rsid w:val="00E744F2"/>
    <w:rsid w:val="00E74B16"/>
    <w:rsid w:val="00E74C08"/>
    <w:rsid w:val="00E74EC9"/>
    <w:rsid w:val="00E76C9F"/>
    <w:rsid w:val="00E77482"/>
    <w:rsid w:val="00E800FB"/>
    <w:rsid w:val="00E81EBC"/>
    <w:rsid w:val="00E82229"/>
    <w:rsid w:val="00E826ED"/>
    <w:rsid w:val="00E82D2A"/>
    <w:rsid w:val="00E8362A"/>
    <w:rsid w:val="00E84590"/>
    <w:rsid w:val="00E85814"/>
    <w:rsid w:val="00E87FB8"/>
    <w:rsid w:val="00E91C4A"/>
    <w:rsid w:val="00E94539"/>
    <w:rsid w:val="00E9474D"/>
    <w:rsid w:val="00E96ED2"/>
    <w:rsid w:val="00E971FC"/>
    <w:rsid w:val="00E9726C"/>
    <w:rsid w:val="00E976AC"/>
    <w:rsid w:val="00EA10D1"/>
    <w:rsid w:val="00EA119D"/>
    <w:rsid w:val="00EA11FD"/>
    <w:rsid w:val="00EA1908"/>
    <w:rsid w:val="00EA1A13"/>
    <w:rsid w:val="00EA2029"/>
    <w:rsid w:val="00EA2CA4"/>
    <w:rsid w:val="00EA61DB"/>
    <w:rsid w:val="00EA621A"/>
    <w:rsid w:val="00EA72D0"/>
    <w:rsid w:val="00EA7B28"/>
    <w:rsid w:val="00EB01A9"/>
    <w:rsid w:val="00EB21DA"/>
    <w:rsid w:val="00EB2CCC"/>
    <w:rsid w:val="00EB4F3E"/>
    <w:rsid w:val="00EB5DF7"/>
    <w:rsid w:val="00EB6412"/>
    <w:rsid w:val="00EB6C87"/>
    <w:rsid w:val="00EB6EBD"/>
    <w:rsid w:val="00EB7235"/>
    <w:rsid w:val="00EB7A6C"/>
    <w:rsid w:val="00EC1593"/>
    <w:rsid w:val="00EC21DC"/>
    <w:rsid w:val="00EC226A"/>
    <w:rsid w:val="00EC22C3"/>
    <w:rsid w:val="00EC22F8"/>
    <w:rsid w:val="00EC2839"/>
    <w:rsid w:val="00EC3C04"/>
    <w:rsid w:val="00EC549D"/>
    <w:rsid w:val="00EC56A5"/>
    <w:rsid w:val="00EC6E1D"/>
    <w:rsid w:val="00ED0FD9"/>
    <w:rsid w:val="00ED137A"/>
    <w:rsid w:val="00ED15EB"/>
    <w:rsid w:val="00ED394B"/>
    <w:rsid w:val="00ED3C57"/>
    <w:rsid w:val="00ED43A7"/>
    <w:rsid w:val="00ED472E"/>
    <w:rsid w:val="00ED5521"/>
    <w:rsid w:val="00ED5BFE"/>
    <w:rsid w:val="00ED7E1A"/>
    <w:rsid w:val="00EE0324"/>
    <w:rsid w:val="00EE163A"/>
    <w:rsid w:val="00EE1ECB"/>
    <w:rsid w:val="00EE45F0"/>
    <w:rsid w:val="00EE4E88"/>
    <w:rsid w:val="00EE4FF6"/>
    <w:rsid w:val="00EE5413"/>
    <w:rsid w:val="00EE6364"/>
    <w:rsid w:val="00EE65F0"/>
    <w:rsid w:val="00EE6791"/>
    <w:rsid w:val="00EE6A52"/>
    <w:rsid w:val="00EE7A29"/>
    <w:rsid w:val="00EF08EB"/>
    <w:rsid w:val="00EF1A5D"/>
    <w:rsid w:val="00EF1E92"/>
    <w:rsid w:val="00EF2328"/>
    <w:rsid w:val="00EF334B"/>
    <w:rsid w:val="00EF34C2"/>
    <w:rsid w:val="00EF3BEC"/>
    <w:rsid w:val="00EF6693"/>
    <w:rsid w:val="00EF676B"/>
    <w:rsid w:val="00F01097"/>
    <w:rsid w:val="00F01F44"/>
    <w:rsid w:val="00F038B1"/>
    <w:rsid w:val="00F04746"/>
    <w:rsid w:val="00F0548D"/>
    <w:rsid w:val="00F06174"/>
    <w:rsid w:val="00F06F70"/>
    <w:rsid w:val="00F10D74"/>
    <w:rsid w:val="00F11683"/>
    <w:rsid w:val="00F11726"/>
    <w:rsid w:val="00F11778"/>
    <w:rsid w:val="00F12CA2"/>
    <w:rsid w:val="00F13A83"/>
    <w:rsid w:val="00F15B58"/>
    <w:rsid w:val="00F15CE9"/>
    <w:rsid w:val="00F16316"/>
    <w:rsid w:val="00F16555"/>
    <w:rsid w:val="00F16AB6"/>
    <w:rsid w:val="00F17A20"/>
    <w:rsid w:val="00F21709"/>
    <w:rsid w:val="00F2432E"/>
    <w:rsid w:val="00F24363"/>
    <w:rsid w:val="00F25979"/>
    <w:rsid w:val="00F3196A"/>
    <w:rsid w:val="00F324E8"/>
    <w:rsid w:val="00F33E83"/>
    <w:rsid w:val="00F35A55"/>
    <w:rsid w:val="00F35EC4"/>
    <w:rsid w:val="00F35FFE"/>
    <w:rsid w:val="00F360FF"/>
    <w:rsid w:val="00F36826"/>
    <w:rsid w:val="00F36A4B"/>
    <w:rsid w:val="00F40132"/>
    <w:rsid w:val="00F4014A"/>
    <w:rsid w:val="00F4225A"/>
    <w:rsid w:val="00F423B7"/>
    <w:rsid w:val="00F42447"/>
    <w:rsid w:val="00F428CE"/>
    <w:rsid w:val="00F44BCE"/>
    <w:rsid w:val="00F45E0E"/>
    <w:rsid w:val="00F468A5"/>
    <w:rsid w:val="00F46D13"/>
    <w:rsid w:val="00F471C3"/>
    <w:rsid w:val="00F51231"/>
    <w:rsid w:val="00F5327D"/>
    <w:rsid w:val="00F56E09"/>
    <w:rsid w:val="00F60E58"/>
    <w:rsid w:val="00F63013"/>
    <w:rsid w:val="00F63805"/>
    <w:rsid w:val="00F63DCC"/>
    <w:rsid w:val="00F64358"/>
    <w:rsid w:val="00F64B80"/>
    <w:rsid w:val="00F65785"/>
    <w:rsid w:val="00F65DAB"/>
    <w:rsid w:val="00F65E18"/>
    <w:rsid w:val="00F668FF"/>
    <w:rsid w:val="00F66C5F"/>
    <w:rsid w:val="00F67378"/>
    <w:rsid w:val="00F67EE7"/>
    <w:rsid w:val="00F7262F"/>
    <w:rsid w:val="00F73EF9"/>
    <w:rsid w:val="00F773B4"/>
    <w:rsid w:val="00F802B9"/>
    <w:rsid w:val="00F833B1"/>
    <w:rsid w:val="00F83615"/>
    <w:rsid w:val="00F84752"/>
    <w:rsid w:val="00F84841"/>
    <w:rsid w:val="00F8684E"/>
    <w:rsid w:val="00F87122"/>
    <w:rsid w:val="00F8788A"/>
    <w:rsid w:val="00F87FEC"/>
    <w:rsid w:val="00F921B3"/>
    <w:rsid w:val="00F94C88"/>
    <w:rsid w:val="00F97883"/>
    <w:rsid w:val="00FA0919"/>
    <w:rsid w:val="00FA09C0"/>
    <w:rsid w:val="00FA32D1"/>
    <w:rsid w:val="00FA34C4"/>
    <w:rsid w:val="00FA40D8"/>
    <w:rsid w:val="00FA5AF4"/>
    <w:rsid w:val="00FA5BE8"/>
    <w:rsid w:val="00FA5CBE"/>
    <w:rsid w:val="00FA7077"/>
    <w:rsid w:val="00FA7E60"/>
    <w:rsid w:val="00FA7F7C"/>
    <w:rsid w:val="00FB16FE"/>
    <w:rsid w:val="00FB1CD4"/>
    <w:rsid w:val="00FB382B"/>
    <w:rsid w:val="00FB3982"/>
    <w:rsid w:val="00FB3DCE"/>
    <w:rsid w:val="00FB515F"/>
    <w:rsid w:val="00FC37B3"/>
    <w:rsid w:val="00FC37D8"/>
    <w:rsid w:val="00FC42D8"/>
    <w:rsid w:val="00FC45F2"/>
    <w:rsid w:val="00FC4CFA"/>
    <w:rsid w:val="00FC5294"/>
    <w:rsid w:val="00FC563F"/>
    <w:rsid w:val="00FC6990"/>
    <w:rsid w:val="00FD0370"/>
    <w:rsid w:val="00FD3183"/>
    <w:rsid w:val="00FD38B9"/>
    <w:rsid w:val="00FD568C"/>
    <w:rsid w:val="00FD5918"/>
    <w:rsid w:val="00FD5A42"/>
    <w:rsid w:val="00FE1C3C"/>
    <w:rsid w:val="00FE2B64"/>
    <w:rsid w:val="00FE2CDA"/>
    <w:rsid w:val="00FE433A"/>
    <w:rsid w:val="00FE4C87"/>
    <w:rsid w:val="00FE4DA7"/>
    <w:rsid w:val="00FE5CD9"/>
    <w:rsid w:val="00FE71E7"/>
    <w:rsid w:val="00FE7CB6"/>
    <w:rsid w:val="00FE7FD9"/>
    <w:rsid w:val="00FF0911"/>
    <w:rsid w:val="00FF145F"/>
    <w:rsid w:val="00FF2995"/>
    <w:rsid w:val="00FF2C72"/>
    <w:rsid w:val="00FF2F05"/>
    <w:rsid w:val="00FF3958"/>
    <w:rsid w:val="00FF3A5F"/>
    <w:rsid w:val="00FF42D6"/>
    <w:rsid w:val="00FF670D"/>
    <w:rsid w:val="00FF6B7D"/>
    <w:rsid w:val="00FF70F6"/>
    <w:rsid w:val="00FF79E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FF8372AB-E0C5-4DBF-862D-073A245D4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4"/>
        <w:szCs w:val="24"/>
        <w:lang w:val="pl-PL" w:eastAsia="pl-P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4E54D7"/>
    <w:pPr>
      <w:spacing w:after="200" w:line="276" w:lineRule="auto"/>
    </w:pPr>
    <w:rPr>
      <w:sz w:val="22"/>
      <w:szCs w:val="22"/>
      <w:lang w:eastAsia="en-US"/>
    </w:rPr>
  </w:style>
  <w:style w:type="paragraph" w:styleId="Nagwek1">
    <w:name w:val="heading 1"/>
    <w:basedOn w:val="Normalny"/>
    <w:next w:val="Normalny"/>
    <w:link w:val="Nagwek1Znak"/>
    <w:uiPriority w:val="9"/>
    <w:qFormat/>
    <w:rsid w:val="0015341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Nagwek3">
    <w:name w:val="heading 3"/>
    <w:basedOn w:val="Normalny"/>
    <w:next w:val="Normalny"/>
    <w:link w:val="Nagwek3Znak"/>
    <w:qFormat/>
    <w:rsid w:val="0082004A"/>
    <w:pPr>
      <w:keepNext/>
      <w:keepLines/>
      <w:spacing w:before="200" w:after="0"/>
      <w:outlineLvl w:val="2"/>
    </w:pPr>
    <w:rPr>
      <w:rFonts w:ascii="Cambria" w:hAnsi="Cambria"/>
      <w:b/>
      <w:bCs/>
      <w:color w:val="4F81BD"/>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basedOn w:val="Normalny"/>
    <w:link w:val="TekstprzypisudolnegoZnak"/>
    <w:uiPriority w:val="99"/>
    <w:semiHidden/>
    <w:rsid w:val="007E0AE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7E0AE7"/>
    <w:rPr>
      <w:rFonts w:cs="Times New Roman"/>
      <w:sz w:val="20"/>
      <w:szCs w:val="20"/>
    </w:rPr>
  </w:style>
  <w:style w:type="character" w:styleId="Odwoanieprzypisudolnego">
    <w:name w:val="footnote reference"/>
    <w:basedOn w:val="Domylnaczcionkaakapitu"/>
    <w:uiPriority w:val="99"/>
    <w:semiHidden/>
    <w:rsid w:val="007E0AE7"/>
    <w:rPr>
      <w:rFonts w:cs="Times New Roman"/>
      <w:vertAlign w:val="superscript"/>
    </w:rPr>
  </w:style>
  <w:style w:type="character" w:styleId="Hipercze">
    <w:name w:val="Hyperlink"/>
    <w:basedOn w:val="Domylnaczcionkaakapitu"/>
    <w:rsid w:val="007E0AE7"/>
    <w:rPr>
      <w:rFonts w:cs="Times New Roman"/>
      <w:color w:val="0000FF"/>
      <w:u w:val="single"/>
    </w:rPr>
  </w:style>
  <w:style w:type="character" w:styleId="Odwoaniedokomentarza">
    <w:name w:val="annotation reference"/>
    <w:basedOn w:val="Domylnaczcionkaakapitu"/>
    <w:uiPriority w:val="99"/>
    <w:semiHidden/>
    <w:rsid w:val="00E74EC9"/>
    <w:rPr>
      <w:rFonts w:cs="Times New Roman"/>
      <w:sz w:val="16"/>
      <w:szCs w:val="16"/>
    </w:rPr>
  </w:style>
  <w:style w:type="paragraph" w:styleId="Tekstkomentarza">
    <w:name w:val="annotation text"/>
    <w:basedOn w:val="Normalny"/>
    <w:link w:val="TekstkomentarzaZnak"/>
    <w:uiPriority w:val="99"/>
    <w:semiHidden/>
    <w:rsid w:val="00E74EC9"/>
    <w:pPr>
      <w:spacing w:after="160" w:line="240" w:lineRule="auto"/>
    </w:pPr>
    <w:rPr>
      <w:sz w:val="20"/>
      <w:szCs w:val="20"/>
    </w:rPr>
  </w:style>
  <w:style w:type="character" w:customStyle="1" w:styleId="TekstkomentarzaZnak">
    <w:name w:val="Tekst komentarza Znak"/>
    <w:basedOn w:val="Domylnaczcionkaakapitu"/>
    <w:link w:val="Tekstkomentarza"/>
    <w:uiPriority w:val="99"/>
    <w:semiHidden/>
    <w:rsid w:val="00E74EC9"/>
    <w:rPr>
      <w:rFonts w:cs="Times New Roman"/>
      <w:sz w:val="20"/>
      <w:szCs w:val="20"/>
    </w:rPr>
  </w:style>
  <w:style w:type="paragraph" w:styleId="Tekstdymka">
    <w:name w:val="Balloon Text"/>
    <w:basedOn w:val="Normalny"/>
    <w:link w:val="TekstdymkaZnak"/>
    <w:semiHidden/>
    <w:rsid w:val="00E74EC9"/>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semiHidden/>
    <w:rsid w:val="00E74EC9"/>
    <w:rPr>
      <w:rFonts w:ascii="Tahoma" w:hAnsi="Tahoma" w:cs="Tahoma"/>
      <w:sz w:val="16"/>
      <w:szCs w:val="16"/>
    </w:rPr>
  </w:style>
  <w:style w:type="paragraph" w:styleId="Nagwek">
    <w:name w:val="header"/>
    <w:basedOn w:val="Normalny"/>
    <w:link w:val="NagwekZnak"/>
    <w:rsid w:val="00BC05D4"/>
    <w:pPr>
      <w:tabs>
        <w:tab w:val="center" w:pos="4536"/>
        <w:tab w:val="right" w:pos="9072"/>
      </w:tabs>
      <w:spacing w:after="0" w:line="240" w:lineRule="auto"/>
    </w:pPr>
  </w:style>
  <w:style w:type="character" w:customStyle="1" w:styleId="NagwekZnak">
    <w:name w:val="Nagłówek Znak"/>
    <w:basedOn w:val="Domylnaczcionkaakapitu"/>
    <w:link w:val="Nagwek"/>
    <w:rsid w:val="00BC05D4"/>
    <w:rPr>
      <w:rFonts w:cs="Times New Roman"/>
    </w:rPr>
  </w:style>
  <w:style w:type="paragraph" w:styleId="Stopka">
    <w:name w:val="footer"/>
    <w:basedOn w:val="Normalny"/>
    <w:link w:val="StopkaZnak"/>
    <w:uiPriority w:val="99"/>
    <w:rsid w:val="00BC05D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BC05D4"/>
    <w:rPr>
      <w:rFonts w:cs="Times New Roman"/>
    </w:rPr>
  </w:style>
  <w:style w:type="paragraph" w:styleId="Tekstprzypisukocowego">
    <w:name w:val="endnote text"/>
    <w:basedOn w:val="Normalny"/>
    <w:link w:val="TekstprzypisukocowegoZnak"/>
    <w:semiHidden/>
    <w:rsid w:val="00E44CDA"/>
    <w:pPr>
      <w:spacing w:after="0" w:line="240" w:lineRule="auto"/>
    </w:pPr>
    <w:rPr>
      <w:sz w:val="20"/>
      <w:szCs w:val="20"/>
    </w:rPr>
  </w:style>
  <w:style w:type="character" w:customStyle="1" w:styleId="TekstprzypisukocowegoZnak">
    <w:name w:val="Tekst przypisu końcowego Znak"/>
    <w:basedOn w:val="Domylnaczcionkaakapitu"/>
    <w:link w:val="Tekstprzypisukocowego"/>
    <w:semiHidden/>
    <w:rsid w:val="00E44CDA"/>
    <w:rPr>
      <w:rFonts w:cs="Times New Roman"/>
      <w:sz w:val="20"/>
      <w:szCs w:val="20"/>
    </w:rPr>
  </w:style>
  <w:style w:type="character" w:styleId="Odwoanieprzypisukocowego">
    <w:name w:val="endnote reference"/>
    <w:basedOn w:val="Domylnaczcionkaakapitu"/>
    <w:semiHidden/>
    <w:rsid w:val="00E44CDA"/>
    <w:rPr>
      <w:rFonts w:cs="Times New Roman"/>
      <w:vertAlign w:val="superscript"/>
    </w:rPr>
  </w:style>
  <w:style w:type="paragraph" w:styleId="NormalnyWeb">
    <w:name w:val="Normal (Web)"/>
    <w:basedOn w:val="Normalny"/>
    <w:semiHidden/>
    <w:rsid w:val="00E44CDA"/>
    <w:rPr>
      <w:rFonts w:ascii="Times New Roman" w:hAnsi="Times New Roman"/>
      <w:sz w:val="24"/>
      <w:szCs w:val="24"/>
    </w:rPr>
  </w:style>
  <w:style w:type="paragraph" w:styleId="Tematkomentarza">
    <w:name w:val="annotation subject"/>
    <w:basedOn w:val="Tekstkomentarza"/>
    <w:next w:val="Tekstkomentarza"/>
    <w:link w:val="TematkomentarzaZnak"/>
    <w:semiHidden/>
    <w:rsid w:val="00217925"/>
    <w:pPr>
      <w:spacing w:after="200"/>
    </w:pPr>
    <w:rPr>
      <w:b/>
      <w:bCs/>
    </w:rPr>
  </w:style>
  <w:style w:type="character" w:customStyle="1" w:styleId="TematkomentarzaZnak">
    <w:name w:val="Temat komentarza Znak"/>
    <w:basedOn w:val="TekstkomentarzaZnak"/>
    <w:link w:val="Tematkomentarza"/>
    <w:semiHidden/>
    <w:rsid w:val="00217925"/>
    <w:rPr>
      <w:rFonts w:cs="Times New Roman"/>
      <w:b/>
      <w:bCs/>
      <w:sz w:val="20"/>
      <w:szCs w:val="20"/>
    </w:rPr>
  </w:style>
  <w:style w:type="paragraph" w:customStyle="1" w:styleId="Akapitzlist1">
    <w:name w:val="Akapit z listą1"/>
    <w:basedOn w:val="Normalny"/>
    <w:rsid w:val="007605BF"/>
    <w:pPr>
      <w:ind w:left="720"/>
      <w:contextualSpacing/>
    </w:pPr>
  </w:style>
  <w:style w:type="paragraph" w:customStyle="1" w:styleId="Poprawka1">
    <w:name w:val="Poprawka1"/>
    <w:hidden/>
    <w:semiHidden/>
    <w:rsid w:val="00051150"/>
    <w:rPr>
      <w:sz w:val="22"/>
      <w:szCs w:val="22"/>
      <w:lang w:eastAsia="en-US"/>
    </w:rPr>
  </w:style>
  <w:style w:type="paragraph" w:customStyle="1" w:styleId="Akapitzlist2">
    <w:name w:val="Akapit z listą2"/>
    <w:basedOn w:val="Normalny"/>
    <w:rsid w:val="006D3C8D"/>
    <w:pPr>
      <w:ind w:left="720"/>
      <w:contextualSpacing/>
    </w:pPr>
  </w:style>
  <w:style w:type="character" w:customStyle="1" w:styleId="Nagwek3Znak">
    <w:name w:val="Nagłówek 3 Znak"/>
    <w:basedOn w:val="Domylnaczcionkaakapitu"/>
    <w:link w:val="Nagwek3"/>
    <w:semiHidden/>
    <w:rsid w:val="0082004A"/>
    <w:rPr>
      <w:rFonts w:ascii="Cambria" w:hAnsi="Cambria" w:cs="Times New Roman"/>
      <w:b/>
      <w:bCs/>
      <w:color w:val="4F81BD"/>
      <w:sz w:val="22"/>
      <w:szCs w:val="22"/>
      <w:lang w:eastAsia="en-US"/>
    </w:rPr>
  </w:style>
  <w:style w:type="character" w:customStyle="1" w:styleId="Znak1">
    <w:name w:val="Znak1"/>
    <w:basedOn w:val="Domylnaczcionkaakapitu"/>
    <w:rsid w:val="00661DF0"/>
    <w:rPr>
      <w:rFonts w:ascii="Times New Roman" w:eastAsia="MS Mincho" w:hAnsi="Times New Roman" w:cs="Times New Roman"/>
      <w:sz w:val="20"/>
      <w:szCs w:val="20"/>
      <w:lang w:eastAsia="pl-PL"/>
    </w:rPr>
  </w:style>
  <w:style w:type="character" w:styleId="UyteHipercze">
    <w:name w:val="FollowedHyperlink"/>
    <w:basedOn w:val="Domylnaczcionkaakapitu"/>
    <w:uiPriority w:val="99"/>
    <w:semiHidden/>
    <w:unhideWhenUsed/>
    <w:rsid w:val="00FB1CD4"/>
    <w:rPr>
      <w:color w:val="800080" w:themeColor="followedHyperlink"/>
      <w:u w:val="single"/>
    </w:rPr>
  </w:style>
  <w:style w:type="paragraph" w:styleId="Akapitzlist">
    <w:name w:val="List Paragraph"/>
    <w:basedOn w:val="Normalny"/>
    <w:uiPriority w:val="34"/>
    <w:qFormat/>
    <w:rsid w:val="002E33BC"/>
    <w:pPr>
      <w:ind w:left="720"/>
      <w:contextualSpacing/>
    </w:pPr>
  </w:style>
  <w:style w:type="character" w:styleId="Uwydatnienie">
    <w:name w:val="Emphasis"/>
    <w:basedOn w:val="Domylnaczcionkaakapitu"/>
    <w:uiPriority w:val="20"/>
    <w:qFormat/>
    <w:rsid w:val="009766B2"/>
    <w:rPr>
      <w:i/>
      <w:iCs/>
    </w:rPr>
  </w:style>
  <w:style w:type="paragraph" w:customStyle="1" w:styleId="Default">
    <w:name w:val="Default"/>
    <w:rsid w:val="00DB0C9E"/>
    <w:pPr>
      <w:autoSpaceDE w:val="0"/>
      <w:autoSpaceDN w:val="0"/>
      <w:adjustRightInd w:val="0"/>
    </w:pPr>
    <w:rPr>
      <w:rFonts w:ascii="Times New Roman" w:hAnsi="Times New Roman"/>
      <w:color w:val="000000"/>
    </w:rPr>
  </w:style>
  <w:style w:type="character" w:customStyle="1" w:styleId="luchili">
    <w:name w:val="luc_hili"/>
    <w:basedOn w:val="Domylnaczcionkaakapitu"/>
    <w:rsid w:val="008123C7"/>
  </w:style>
  <w:style w:type="character" w:customStyle="1" w:styleId="Nagwek1Znak">
    <w:name w:val="Nagłówek 1 Znak"/>
    <w:basedOn w:val="Domylnaczcionkaakapitu"/>
    <w:link w:val="Nagwek1"/>
    <w:uiPriority w:val="9"/>
    <w:rsid w:val="0015341A"/>
    <w:rPr>
      <w:rFonts w:asciiTheme="majorHAnsi" w:eastAsiaTheme="majorEastAsia" w:hAnsiTheme="majorHAnsi" w:cstheme="majorBidi"/>
      <w:color w:val="365F91" w:themeColor="accent1" w:themeShade="BF"/>
      <w:sz w:val="32"/>
      <w:szCs w:val="32"/>
      <w:lang w:eastAsia="en-US"/>
    </w:rPr>
  </w:style>
  <w:style w:type="paragraph" w:customStyle="1" w:styleId="ROZDZODDZPRZEDMprzedmiotregulacjirozdziauluboddziau">
    <w:name w:val="ROZDZ(ODDZ)_PRZEDM – przedmiot regulacji rozdziału lub oddziału"/>
    <w:next w:val="Normalny"/>
    <w:uiPriority w:val="10"/>
    <w:qFormat/>
    <w:rsid w:val="002453D4"/>
    <w:pPr>
      <w:keepNext/>
      <w:suppressAutoHyphens/>
      <w:spacing w:before="120" w:line="360" w:lineRule="auto"/>
      <w:jc w:val="center"/>
    </w:pPr>
    <w:rPr>
      <w:rFonts w:ascii="Times" w:eastAsiaTheme="minorEastAsia" w:hAnsi="Times"/>
      <w:b/>
      <w:bCs/>
    </w:rPr>
  </w:style>
  <w:style w:type="paragraph" w:customStyle="1" w:styleId="ROZDZODDZOZNoznaczenierozdziauluboddziau">
    <w:name w:val="ROZDZ(ODDZ)_OZN – oznaczenie rozdziału lub oddziału"/>
    <w:next w:val="Normalny"/>
    <w:uiPriority w:val="10"/>
    <w:qFormat/>
    <w:rsid w:val="002453D4"/>
    <w:pPr>
      <w:keepNext/>
      <w:suppressAutoHyphens/>
      <w:spacing w:before="120" w:line="360" w:lineRule="auto"/>
      <w:jc w:val="center"/>
    </w:pPr>
    <w:rPr>
      <w:rFonts w:ascii="Times" w:eastAsiaTheme="minorEastAsia" w:hAnsi="Times" w:cs="Arial"/>
      <w:bCs/>
      <w:kern w:val="24"/>
    </w:rPr>
  </w:style>
  <w:style w:type="paragraph" w:customStyle="1" w:styleId="USTustnpkodeksu">
    <w:name w:val="UST(§) – ust. (§ np. kodeksu)"/>
    <w:basedOn w:val="Normalny"/>
    <w:uiPriority w:val="12"/>
    <w:qFormat/>
    <w:rsid w:val="00547244"/>
    <w:pPr>
      <w:suppressAutoHyphens/>
      <w:autoSpaceDE w:val="0"/>
      <w:autoSpaceDN w:val="0"/>
      <w:adjustRightInd w:val="0"/>
      <w:spacing w:after="0" w:line="360" w:lineRule="auto"/>
      <w:ind w:firstLine="510"/>
      <w:jc w:val="both"/>
    </w:pPr>
    <w:rPr>
      <w:rFonts w:ascii="Times" w:eastAsiaTheme="minorEastAsia" w:hAnsi="Times" w:cs="Arial"/>
      <w:bCs/>
      <w:sz w:val="24"/>
      <w:szCs w:val="20"/>
      <w:lang w:eastAsia="pl-PL"/>
    </w:rPr>
  </w:style>
  <w:style w:type="paragraph" w:customStyle="1" w:styleId="ARTartustawynprozporzdzenia">
    <w:name w:val="ART(§) – art. ustawy (§ np. rozporządzenia)"/>
    <w:uiPriority w:val="11"/>
    <w:qFormat/>
    <w:rsid w:val="00547244"/>
    <w:pPr>
      <w:suppressAutoHyphens/>
      <w:autoSpaceDE w:val="0"/>
      <w:autoSpaceDN w:val="0"/>
      <w:adjustRightInd w:val="0"/>
      <w:spacing w:before="120" w:line="360" w:lineRule="auto"/>
      <w:ind w:firstLine="510"/>
      <w:jc w:val="both"/>
    </w:pPr>
    <w:rPr>
      <w:rFonts w:ascii="Times" w:eastAsiaTheme="minorEastAsia" w:hAnsi="Times" w:cs="Arial"/>
    </w:rPr>
  </w:style>
  <w:style w:type="character" w:customStyle="1" w:styleId="IGindeksgrny">
    <w:name w:val="_IG_ – indeks górny"/>
    <w:basedOn w:val="Domylnaczcionkaakapitu"/>
    <w:uiPriority w:val="2"/>
    <w:qFormat/>
    <w:rsid w:val="00E13207"/>
    <w:rPr>
      <w:b w:val="0"/>
      <w:bCs w:val="0"/>
      <w:i w:val="0"/>
      <w:iCs w:val="0"/>
      <w:vanish w:val="0"/>
      <w:webHidden w:val="0"/>
      <w:spacing w:val="0"/>
      <w:vertAlign w:val="superscript"/>
      <w:specVanish w:val="0"/>
    </w:rPr>
  </w:style>
  <w:style w:type="paragraph" w:customStyle="1" w:styleId="PKTpunkt">
    <w:name w:val="PKT – punkt"/>
    <w:uiPriority w:val="13"/>
    <w:qFormat/>
    <w:rsid w:val="0036743C"/>
    <w:pPr>
      <w:spacing w:line="360" w:lineRule="auto"/>
      <w:ind w:left="510" w:hanging="510"/>
      <w:jc w:val="both"/>
    </w:pPr>
    <w:rPr>
      <w:rFonts w:ascii="Times" w:eastAsiaTheme="minorEastAsia" w:hAnsi="Times" w:cs="Arial"/>
      <w:bCs/>
    </w:rPr>
  </w:style>
  <w:style w:type="paragraph" w:styleId="Lista">
    <w:name w:val="List"/>
    <w:basedOn w:val="Normalny"/>
    <w:uiPriority w:val="99"/>
    <w:unhideWhenUsed/>
    <w:rsid w:val="00D3499E"/>
    <w:pPr>
      <w:ind w:left="283" w:hanging="283"/>
      <w:contextualSpacing/>
    </w:pPr>
  </w:style>
  <w:style w:type="paragraph" w:styleId="Lista2">
    <w:name w:val="List 2"/>
    <w:basedOn w:val="Normalny"/>
    <w:uiPriority w:val="99"/>
    <w:unhideWhenUsed/>
    <w:rsid w:val="00D3499E"/>
    <w:pPr>
      <w:ind w:left="566" w:hanging="283"/>
      <w:contextualSpacing/>
    </w:pPr>
  </w:style>
  <w:style w:type="paragraph" w:styleId="Lista3">
    <w:name w:val="List 3"/>
    <w:basedOn w:val="Normalny"/>
    <w:uiPriority w:val="99"/>
    <w:unhideWhenUsed/>
    <w:rsid w:val="00D3499E"/>
    <w:pPr>
      <w:ind w:left="849" w:hanging="283"/>
      <w:contextualSpacing/>
    </w:pPr>
  </w:style>
  <w:style w:type="paragraph" w:styleId="Lista4">
    <w:name w:val="List 4"/>
    <w:basedOn w:val="Normalny"/>
    <w:uiPriority w:val="99"/>
    <w:unhideWhenUsed/>
    <w:rsid w:val="00D3499E"/>
    <w:pPr>
      <w:ind w:left="1132" w:hanging="283"/>
      <w:contextualSpacing/>
    </w:pPr>
  </w:style>
  <w:style w:type="paragraph" w:styleId="Lista5">
    <w:name w:val="List 5"/>
    <w:basedOn w:val="Normalny"/>
    <w:uiPriority w:val="99"/>
    <w:unhideWhenUsed/>
    <w:rsid w:val="00D3499E"/>
    <w:pPr>
      <w:ind w:left="1415" w:hanging="283"/>
      <w:contextualSpacing/>
    </w:pPr>
  </w:style>
  <w:style w:type="paragraph" w:styleId="Listapunktowana2">
    <w:name w:val="List Bullet 2"/>
    <w:basedOn w:val="Normalny"/>
    <w:uiPriority w:val="99"/>
    <w:unhideWhenUsed/>
    <w:rsid w:val="00D3499E"/>
    <w:pPr>
      <w:numPr>
        <w:numId w:val="26"/>
      </w:numPr>
      <w:contextualSpacing/>
    </w:pPr>
  </w:style>
  <w:style w:type="paragraph" w:styleId="Lista-kontynuacja">
    <w:name w:val="List Continue"/>
    <w:basedOn w:val="Normalny"/>
    <w:uiPriority w:val="99"/>
    <w:unhideWhenUsed/>
    <w:rsid w:val="00D3499E"/>
    <w:pPr>
      <w:spacing w:after="120"/>
      <w:ind w:left="283"/>
      <w:contextualSpacing/>
    </w:pPr>
  </w:style>
  <w:style w:type="paragraph" w:styleId="Lista-kontynuacja2">
    <w:name w:val="List Continue 2"/>
    <w:basedOn w:val="Normalny"/>
    <w:uiPriority w:val="99"/>
    <w:unhideWhenUsed/>
    <w:rsid w:val="00D3499E"/>
    <w:pPr>
      <w:spacing w:after="120"/>
      <w:ind w:left="566"/>
      <w:contextualSpacing/>
    </w:pPr>
  </w:style>
  <w:style w:type="paragraph" w:styleId="Lista-kontynuacja3">
    <w:name w:val="List Continue 3"/>
    <w:basedOn w:val="Normalny"/>
    <w:uiPriority w:val="99"/>
    <w:unhideWhenUsed/>
    <w:rsid w:val="00D3499E"/>
    <w:pPr>
      <w:spacing w:after="120"/>
      <w:ind w:left="849"/>
      <w:contextualSpacing/>
    </w:pPr>
  </w:style>
  <w:style w:type="paragraph" w:styleId="Lista-kontynuacja4">
    <w:name w:val="List Continue 4"/>
    <w:basedOn w:val="Normalny"/>
    <w:uiPriority w:val="99"/>
    <w:unhideWhenUsed/>
    <w:rsid w:val="00D3499E"/>
    <w:pPr>
      <w:spacing w:after="120"/>
      <w:ind w:left="1132"/>
      <w:contextualSpacing/>
    </w:pPr>
  </w:style>
  <w:style w:type="paragraph" w:styleId="Lista-kontynuacja5">
    <w:name w:val="List Continue 5"/>
    <w:basedOn w:val="Normalny"/>
    <w:uiPriority w:val="99"/>
    <w:unhideWhenUsed/>
    <w:rsid w:val="00D3499E"/>
    <w:pPr>
      <w:spacing w:after="120"/>
      <w:ind w:left="1415"/>
      <w:contextualSpacing/>
    </w:pPr>
  </w:style>
  <w:style w:type="paragraph" w:styleId="Legenda">
    <w:name w:val="caption"/>
    <w:basedOn w:val="Normalny"/>
    <w:next w:val="Normalny"/>
    <w:uiPriority w:val="35"/>
    <w:unhideWhenUsed/>
    <w:qFormat/>
    <w:rsid w:val="00D3499E"/>
    <w:pPr>
      <w:spacing w:line="240" w:lineRule="auto"/>
    </w:pPr>
    <w:rPr>
      <w:b/>
      <w:bCs/>
      <w:color w:val="4F81BD" w:themeColor="accent1"/>
      <w:sz w:val="18"/>
      <w:szCs w:val="18"/>
    </w:rPr>
  </w:style>
  <w:style w:type="paragraph" w:styleId="Tytu">
    <w:name w:val="Title"/>
    <w:basedOn w:val="Normalny"/>
    <w:next w:val="Normalny"/>
    <w:link w:val="TytuZnak"/>
    <w:uiPriority w:val="10"/>
    <w:qFormat/>
    <w:rsid w:val="00D3499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ytuZnak">
    <w:name w:val="Tytuł Znak"/>
    <w:basedOn w:val="Domylnaczcionkaakapitu"/>
    <w:link w:val="Tytu"/>
    <w:uiPriority w:val="10"/>
    <w:rsid w:val="00D3499E"/>
    <w:rPr>
      <w:rFonts w:asciiTheme="majorHAnsi" w:eastAsiaTheme="majorEastAsia" w:hAnsiTheme="majorHAnsi" w:cstheme="majorBidi"/>
      <w:color w:val="17365D" w:themeColor="text2" w:themeShade="BF"/>
      <w:spacing w:val="5"/>
      <w:kern w:val="28"/>
      <w:sz w:val="52"/>
      <w:szCs w:val="52"/>
      <w:lang w:eastAsia="en-US"/>
    </w:rPr>
  </w:style>
  <w:style w:type="paragraph" w:styleId="Tekstpodstawowy">
    <w:name w:val="Body Text"/>
    <w:basedOn w:val="Normalny"/>
    <w:link w:val="TekstpodstawowyZnak"/>
    <w:uiPriority w:val="99"/>
    <w:unhideWhenUsed/>
    <w:rsid w:val="00D3499E"/>
    <w:pPr>
      <w:spacing w:after="120"/>
    </w:pPr>
  </w:style>
  <w:style w:type="character" w:customStyle="1" w:styleId="TekstpodstawowyZnak">
    <w:name w:val="Tekst podstawowy Znak"/>
    <w:basedOn w:val="Domylnaczcionkaakapitu"/>
    <w:link w:val="Tekstpodstawowy"/>
    <w:uiPriority w:val="99"/>
    <w:rsid w:val="00D3499E"/>
    <w:rPr>
      <w:sz w:val="22"/>
      <w:szCs w:val="22"/>
      <w:lang w:eastAsia="en-US"/>
    </w:rPr>
  </w:style>
  <w:style w:type="paragraph" w:styleId="Poprawka">
    <w:name w:val="Revision"/>
    <w:hidden/>
    <w:uiPriority w:val="99"/>
    <w:semiHidden/>
    <w:rsid w:val="003E14C3"/>
    <w:rPr>
      <w:sz w:val="22"/>
      <w:szCs w:val="22"/>
      <w:lang w:eastAsia="en-US"/>
    </w:rPr>
  </w:style>
  <w:style w:type="character" w:styleId="Numerstrony">
    <w:name w:val="page number"/>
    <w:basedOn w:val="Domylnaczcionkaakapitu"/>
    <w:uiPriority w:val="99"/>
    <w:semiHidden/>
    <w:unhideWhenUsed/>
    <w:rsid w:val="003E55A6"/>
  </w:style>
  <w:style w:type="character" w:customStyle="1" w:styleId="Ppogrubienie">
    <w:name w:val="_P_ – pogrubienie"/>
    <w:basedOn w:val="Domylnaczcionkaakapitu"/>
    <w:uiPriority w:val="1"/>
    <w:qFormat/>
    <w:rsid w:val="000C2F1F"/>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
      </w:divsChild>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
    <w:div w:id="211039242">
      <w:bodyDiv w:val="1"/>
      <w:marLeft w:val="0"/>
      <w:marRight w:val="0"/>
      <w:marTop w:val="0"/>
      <w:marBottom w:val="0"/>
      <w:divBdr>
        <w:top w:val="none" w:sz="0" w:space="0" w:color="auto"/>
        <w:left w:val="none" w:sz="0" w:space="0" w:color="auto"/>
        <w:bottom w:val="none" w:sz="0" w:space="0" w:color="auto"/>
        <w:right w:val="none" w:sz="0" w:space="0" w:color="auto"/>
      </w:divBdr>
      <w:divsChild>
        <w:div w:id="322777675">
          <w:marLeft w:val="0"/>
          <w:marRight w:val="0"/>
          <w:marTop w:val="0"/>
          <w:marBottom w:val="0"/>
          <w:divBdr>
            <w:top w:val="none" w:sz="0" w:space="0" w:color="auto"/>
            <w:left w:val="none" w:sz="0" w:space="0" w:color="auto"/>
            <w:bottom w:val="none" w:sz="0" w:space="0" w:color="auto"/>
            <w:right w:val="none" w:sz="0" w:space="0" w:color="auto"/>
          </w:divBdr>
        </w:div>
      </w:divsChild>
    </w:div>
    <w:div w:id="295065162">
      <w:bodyDiv w:val="1"/>
      <w:marLeft w:val="0"/>
      <w:marRight w:val="0"/>
      <w:marTop w:val="0"/>
      <w:marBottom w:val="0"/>
      <w:divBdr>
        <w:top w:val="none" w:sz="0" w:space="0" w:color="auto"/>
        <w:left w:val="none" w:sz="0" w:space="0" w:color="auto"/>
        <w:bottom w:val="none" w:sz="0" w:space="0" w:color="auto"/>
        <w:right w:val="none" w:sz="0" w:space="0" w:color="auto"/>
      </w:divBdr>
    </w:div>
    <w:div w:id="375858984">
      <w:bodyDiv w:val="1"/>
      <w:marLeft w:val="0"/>
      <w:marRight w:val="0"/>
      <w:marTop w:val="0"/>
      <w:marBottom w:val="0"/>
      <w:divBdr>
        <w:top w:val="none" w:sz="0" w:space="0" w:color="auto"/>
        <w:left w:val="none" w:sz="0" w:space="0" w:color="auto"/>
        <w:bottom w:val="none" w:sz="0" w:space="0" w:color="auto"/>
        <w:right w:val="none" w:sz="0" w:space="0" w:color="auto"/>
      </w:divBdr>
    </w:div>
    <w:div w:id="393091467">
      <w:bodyDiv w:val="1"/>
      <w:marLeft w:val="0"/>
      <w:marRight w:val="0"/>
      <w:marTop w:val="0"/>
      <w:marBottom w:val="0"/>
      <w:divBdr>
        <w:top w:val="none" w:sz="0" w:space="0" w:color="auto"/>
        <w:left w:val="none" w:sz="0" w:space="0" w:color="auto"/>
        <w:bottom w:val="none" w:sz="0" w:space="0" w:color="auto"/>
        <w:right w:val="none" w:sz="0" w:space="0" w:color="auto"/>
      </w:divBdr>
    </w:div>
    <w:div w:id="417870000">
      <w:bodyDiv w:val="1"/>
      <w:marLeft w:val="0"/>
      <w:marRight w:val="0"/>
      <w:marTop w:val="0"/>
      <w:marBottom w:val="0"/>
      <w:divBdr>
        <w:top w:val="none" w:sz="0" w:space="0" w:color="auto"/>
        <w:left w:val="none" w:sz="0" w:space="0" w:color="auto"/>
        <w:bottom w:val="none" w:sz="0" w:space="0" w:color="auto"/>
        <w:right w:val="none" w:sz="0" w:space="0" w:color="auto"/>
      </w:divBdr>
      <w:divsChild>
        <w:div w:id="2059546418">
          <w:marLeft w:val="0"/>
          <w:marRight w:val="0"/>
          <w:marTop w:val="0"/>
          <w:marBottom w:val="0"/>
          <w:divBdr>
            <w:top w:val="none" w:sz="0" w:space="0" w:color="auto"/>
            <w:left w:val="none" w:sz="0" w:space="0" w:color="auto"/>
            <w:bottom w:val="none" w:sz="0" w:space="0" w:color="auto"/>
            <w:right w:val="none" w:sz="0" w:space="0" w:color="auto"/>
          </w:divBdr>
        </w:div>
      </w:divsChild>
    </w:div>
    <w:div w:id="592477473">
      <w:bodyDiv w:val="1"/>
      <w:marLeft w:val="0"/>
      <w:marRight w:val="0"/>
      <w:marTop w:val="0"/>
      <w:marBottom w:val="0"/>
      <w:divBdr>
        <w:top w:val="none" w:sz="0" w:space="0" w:color="auto"/>
        <w:left w:val="none" w:sz="0" w:space="0" w:color="auto"/>
        <w:bottom w:val="none" w:sz="0" w:space="0" w:color="auto"/>
        <w:right w:val="none" w:sz="0" w:space="0" w:color="auto"/>
      </w:divBdr>
      <w:divsChild>
        <w:div w:id="1425295963">
          <w:marLeft w:val="0"/>
          <w:marRight w:val="0"/>
          <w:marTop w:val="0"/>
          <w:marBottom w:val="0"/>
          <w:divBdr>
            <w:top w:val="none" w:sz="0" w:space="0" w:color="auto"/>
            <w:left w:val="none" w:sz="0" w:space="0" w:color="auto"/>
            <w:bottom w:val="none" w:sz="0" w:space="0" w:color="auto"/>
            <w:right w:val="none" w:sz="0" w:space="0" w:color="auto"/>
          </w:divBdr>
        </w:div>
      </w:divsChild>
    </w:div>
    <w:div w:id="726689232">
      <w:bodyDiv w:val="1"/>
      <w:marLeft w:val="0"/>
      <w:marRight w:val="0"/>
      <w:marTop w:val="0"/>
      <w:marBottom w:val="0"/>
      <w:divBdr>
        <w:top w:val="none" w:sz="0" w:space="0" w:color="auto"/>
        <w:left w:val="none" w:sz="0" w:space="0" w:color="auto"/>
        <w:bottom w:val="none" w:sz="0" w:space="0" w:color="auto"/>
        <w:right w:val="none" w:sz="0" w:space="0" w:color="auto"/>
      </w:divBdr>
      <w:divsChild>
        <w:div w:id="724644772">
          <w:marLeft w:val="0"/>
          <w:marRight w:val="0"/>
          <w:marTop w:val="0"/>
          <w:marBottom w:val="0"/>
          <w:divBdr>
            <w:top w:val="none" w:sz="0" w:space="0" w:color="auto"/>
            <w:left w:val="none" w:sz="0" w:space="0" w:color="auto"/>
            <w:bottom w:val="none" w:sz="0" w:space="0" w:color="auto"/>
            <w:right w:val="none" w:sz="0" w:space="0" w:color="auto"/>
          </w:divBdr>
        </w:div>
      </w:divsChild>
    </w:div>
    <w:div w:id="763497795">
      <w:bodyDiv w:val="1"/>
      <w:marLeft w:val="0"/>
      <w:marRight w:val="0"/>
      <w:marTop w:val="0"/>
      <w:marBottom w:val="0"/>
      <w:divBdr>
        <w:top w:val="none" w:sz="0" w:space="0" w:color="auto"/>
        <w:left w:val="none" w:sz="0" w:space="0" w:color="auto"/>
        <w:bottom w:val="none" w:sz="0" w:space="0" w:color="auto"/>
        <w:right w:val="none" w:sz="0" w:space="0" w:color="auto"/>
      </w:divBdr>
      <w:divsChild>
        <w:div w:id="1881434140">
          <w:marLeft w:val="0"/>
          <w:marRight w:val="0"/>
          <w:marTop w:val="0"/>
          <w:marBottom w:val="0"/>
          <w:divBdr>
            <w:top w:val="none" w:sz="0" w:space="0" w:color="auto"/>
            <w:left w:val="none" w:sz="0" w:space="0" w:color="auto"/>
            <w:bottom w:val="none" w:sz="0" w:space="0" w:color="auto"/>
            <w:right w:val="none" w:sz="0" w:space="0" w:color="auto"/>
          </w:divBdr>
        </w:div>
      </w:divsChild>
    </w:div>
    <w:div w:id="816217105">
      <w:bodyDiv w:val="1"/>
      <w:marLeft w:val="0"/>
      <w:marRight w:val="0"/>
      <w:marTop w:val="0"/>
      <w:marBottom w:val="0"/>
      <w:divBdr>
        <w:top w:val="none" w:sz="0" w:space="0" w:color="auto"/>
        <w:left w:val="none" w:sz="0" w:space="0" w:color="auto"/>
        <w:bottom w:val="none" w:sz="0" w:space="0" w:color="auto"/>
        <w:right w:val="none" w:sz="0" w:space="0" w:color="auto"/>
      </w:divBdr>
      <w:divsChild>
        <w:div w:id="1242444031">
          <w:marLeft w:val="0"/>
          <w:marRight w:val="0"/>
          <w:marTop w:val="0"/>
          <w:marBottom w:val="0"/>
          <w:divBdr>
            <w:top w:val="none" w:sz="0" w:space="0" w:color="auto"/>
            <w:left w:val="none" w:sz="0" w:space="0" w:color="auto"/>
            <w:bottom w:val="none" w:sz="0" w:space="0" w:color="auto"/>
            <w:right w:val="none" w:sz="0" w:space="0" w:color="auto"/>
          </w:divBdr>
        </w:div>
      </w:divsChild>
    </w:div>
    <w:div w:id="866913211">
      <w:bodyDiv w:val="1"/>
      <w:marLeft w:val="0"/>
      <w:marRight w:val="0"/>
      <w:marTop w:val="0"/>
      <w:marBottom w:val="0"/>
      <w:divBdr>
        <w:top w:val="none" w:sz="0" w:space="0" w:color="auto"/>
        <w:left w:val="none" w:sz="0" w:space="0" w:color="auto"/>
        <w:bottom w:val="none" w:sz="0" w:space="0" w:color="auto"/>
        <w:right w:val="none" w:sz="0" w:space="0" w:color="auto"/>
      </w:divBdr>
      <w:divsChild>
        <w:div w:id="1369531444">
          <w:marLeft w:val="0"/>
          <w:marRight w:val="0"/>
          <w:marTop w:val="0"/>
          <w:marBottom w:val="0"/>
          <w:divBdr>
            <w:top w:val="none" w:sz="0" w:space="0" w:color="auto"/>
            <w:left w:val="none" w:sz="0" w:space="0" w:color="auto"/>
            <w:bottom w:val="none" w:sz="0" w:space="0" w:color="auto"/>
            <w:right w:val="none" w:sz="0" w:space="0" w:color="auto"/>
          </w:divBdr>
        </w:div>
      </w:divsChild>
    </w:div>
    <w:div w:id="965433684">
      <w:bodyDiv w:val="1"/>
      <w:marLeft w:val="0"/>
      <w:marRight w:val="0"/>
      <w:marTop w:val="0"/>
      <w:marBottom w:val="0"/>
      <w:divBdr>
        <w:top w:val="none" w:sz="0" w:space="0" w:color="auto"/>
        <w:left w:val="none" w:sz="0" w:space="0" w:color="auto"/>
        <w:bottom w:val="none" w:sz="0" w:space="0" w:color="auto"/>
        <w:right w:val="none" w:sz="0" w:space="0" w:color="auto"/>
      </w:divBdr>
      <w:divsChild>
        <w:div w:id="859199215">
          <w:marLeft w:val="1166"/>
          <w:marRight w:val="0"/>
          <w:marTop w:val="96"/>
          <w:marBottom w:val="0"/>
          <w:divBdr>
            <w:top w:val="none" w:sz="0" w:space="0" w:color="auto"/>
            <w:left w:val="none" w:sz="0" w:space="0" w:color="auto"/>
            <w:bottom w:val="none" w:sz="0" w:space="0" w:color="auto"/>
            <w:right w:val="none" w:sz="0" w:space="0" w:color="auto"/>
          </w:divBdr>
        </w:div>
      </w:divsChild>
    </w:div>
    <w:div w:id="1203787438">
      <w:bodyDiv w:val="1"/>
      <w:marLeft w:val="0"/>
      <w:marRight w:val="0"/>
      <w:marTop w:val="0"/>
      <w:marBottom w:val="0"/>
      <w:divBdr>
        <w:top w:val="none" w:sz="0" w:space="0" w:color="auto"/>
        <w:left w:val="none" w:sz="0" w:space="0" w:color="auto"/>
        <w:bottom w:val="none" w:sz="0" w:space="0" w:color="auto"/>
        <w:right w:val="none" w:sz="0" w:space="0" w:color="auto"/>
      </w:divBdr>
      <w:divsChild>
        <w:div w:id="848833271">
          <w:marLeft w:val="0"/>
          <w:marRight w:val="0"/>
          <w:marTop w:val="0"/>
          <w:marBottom w:val="0"/>
          <w:divBdr>
            <w:top w:val="none" w:sz="0" w:space="0" w:color="auto"/>
            <w:left w:val="none" w:sz="0" w:space="0" w:color="auto"/>
            <w:bottom w:val="none" w:sz="0" w:space="0" w:color="auto"/>
            <w:right w:val="none" w:sz="0" w:space="0" w:color="auto"/>
          </w:divBdr>
        </w:div>
      </w:divsChild>
    </w:div>
    <w:div w:id="1443451055">
      <w:bodyDiv w:val="1"/>
      <w:marLeft w:val="0"/>
      <w:marRight w:val="0"/>
      <w:marTop w:val="0"/>
      <w:marBottom w:val="0"/>
      <w:divBdr>
        <w:top w:val="none" w:sz="0" w:space="0" w:color="auto"/>
        <w:left w:val="none" w:sz="0" w:space="0" w:color="auto"/>
        <w:bottom w:val="none" w:sz="0" w:space="0" w:color="auto"/>
        <w:right w:val="none" w:sz="0" w:space="0" w:color="auto"/>
      </w:divBdr>
    </w:div>
    <w:div w:id="1509564390">
      <w:bodyDiv w:val="1"/>
      <w:marLeft w:val="0"/>
      <w:marRight w:val="0"/>
      <w:marTop w:val="0"/>
      <w:marBottom w:val="0"/>
      <w:divBdr>
        <w:top w:val="none" w:sz="0" w:space="0" w:color="auto"/>
        <w:left w:val="none" w:sz="0" w:space="0" w:color="auto"/>
        <w:bottom w:val="none" w:sz="0" w:space="0" w:color="auto"/>
        <w:right w:val="none" w:sz="0" w:space="0" w:color="auto"/>
      </w:divBdr>
      <w:divsChild>
        <w:div w:id="443773372">
          <w:marLeft w:val="0"/>
          <w:marRight w:val="0"/>
          <w:marTop w:val="0"/>
          <w:marBottom w:val="0"/>
          <w:divBdr>
            <w:top w:val="none" w:sz="0" w:space="0" w:color="auto"/>
            <w:left w:val="none" w:sz="0" w:space="0" w:color="auto"/>
            <w:bottom w:val="none" w:sz="0" w:space="0" w:color="auto"/>
            <w:right w:val="none" w:sz="0" w:space="0" w:color="auto"/>
          </w:divBdr>
        </w:div>
      </w:divsChild>
    </w:div>
    <w:div w:id="1559589421">
      <w:bodyDiv w:val="1"/>
      <w:marLeft w:val="0"/>
      <w:marRight w:val="0"/>
      <w:marTop w:val="0"/>
      <w:marBottom w:val="0"/>
      <w:divBdr>
        <w:top w:val="none" w:sz="0" w:space="0" w:color="auto"/>
        <w:left w:val="none" w:sz="0" w:space="0" w:color="auto"/>
        <w:bottom w:val="none" w:sz="0" w:space="0" w:color="auto"/>
        <w:right w:val="none" w:sz="0" w:space="0" w:color="auto"/>
      </w:divBdr>
      <w:divsChild>
        <w:div w:id="681933448">
          <w:marLeft w:val="0"/>
          <w:marRight w:val="0"/>
          <w:marTop w:val="0"/>
          <w:marBottom w:val="0"/>
          <w:divBdr>
            <w:top w:val="none" w:sz="0" w:space="0" w:color="auto"/>
            <w:left w:val="none" w:sz="0" w:space="0" w:color="auto"/>
            <w:bottom w:val="none" w:sz="0" w:space="0" w:color="auto"/>
            <w:right w:val="none" w:sz="0" w:space="0" w:color="auto"/>
          </w:divBdr>
        </w:div>
      </w:divsChild>
    </w:div>
    <w:div w:id="1590038807">
      <w:bodyDiv w:val="1"/>
      <w:marLeft w:val="0"/>
      <w:marRight w:val="0"/>
      <w:marTop w:val="0"/>
      <w:marBottom w:val="0"/>
      <w:divBdr>
        <w:top w:val="none" w:sz="0" w:space="0" w:color="auto"/>
        <w:left w:val="none" w:sz="0" w:space="0" w:color="auto"/>
        <w:bottom w:val="none" w:sz="0" w:space="0" w:color="auto"/>
        <w:right w:val="none" w:sz="0" w:space="0" w:color="auto"/>
      </w:divBdr>
    </w:div>
    <w:div w:id="1630436113">
      <w:bodyDiv w:val="1"/>
      <w:marLeft w:val="0"/>
      <w:marRight w:val="0"/>
      <w:marTop w:val="0"/>
      <w:marBottom w:val="0"/>
      <w:divBdr>
        <w:top w:val="none" w:sz="0" w:space="0" w:color="auto"/>
        <w:left w:val="none" w:sz="0" w:space="0" w:color="auto"/>
        <w:bottom w:val="none" w:sz="0" w:space="0" w:color="auto"/>
        <w:right w:val="none" w:sz="0" w:space="0" w:color="auto"/>
      </w:divBdr>
    </w:div>
    <w:div w:id="1662543542">
      <w:bodyDiv w:val="1"/>
      <w:marLeft w:val="0"/>
      <w:marRight w:val="0"/>
      <w:marTop w:val="0"/>
      <w:marBottom w:val="0"/>
      <w:divBdr>
        <w:top w:val="none" w:sz="0" w:space="0" w:color="auto"/>
        <w:left w:val="none" w:sz="0" w:space="0" w:color="auto"/>
        <w:bottom w:val="none" w:sz="0" w:space="0" w:color="auto"/>
        <w:right w:val="none" w:sz="0" w:space="0" w:color="auto"/>
      </w:divBdr>
    </w:div>
    <w:div w:id="1682775631">
      <w:bodyDiv w:val="1"/>
      <w:marLeft w:val="0"/>
      <w:marRight w:val="0"/>
      <w:marTop w:val="0"/>
      <w:marBottom w:val="0"/>
      <w:divBdr>
        <w:top w:val="none" w:sz="0" w:space="0" w:color="auto"/>
        <w:left w:val="none" w:sz="0" w:space="0" w:color="auto"/>
        <w:bottom w:val="none" w:sz="0" w:space="0" w:color="auto"/>
        <w:right w:val="none" w:sz="0" w:space="0" w:color="auto"/>
      </w:divBdr>
      <w:divsChild>
        <w:div w:id="289895221">
          <w:marLeft w:val="0"/>
          <w:marRight w:val="0"/>
          <w:marTop w:val="0"/>
          <w:marBottom w:val="0"/>
          <w:divBdr>
            <w:top w:val="none" w:sz="0" w:space="0" w:color="auto"/>
            <w:left w:val="none" w:sz="0" w:space="0" w:color="auto"/>
            <w:bottom w:val="none" w:sz="0" w:space="0" w:color="auto"/>
            <w:right w:val="none" w:sz="0" w:space="0" w:color="auto"/>
          </w:divBdr>
        </w:div>
      </w:divsChild>
    </w:div>
    <w:div w:id="1790393151">
      <w:bodyDiv w:val="1"/>
      <w:marLeft w:val="0"/>
      <w:marRight w:val="0"/>
      <w:marTop w:val="0"/>
      <w:marBottom w:val="0"/>
      <w:divBdr>
        <w:top w:val="none" w:sz="0" w:space="0" w:color="auto"/>
        <w:left w:val="none" w:sz="0" w:space="0" w:color="auto"/>
        <w:bottom w:val="none" w:sz="0" w:space="0" w:color="auto"/>
        <w:right w:val="none" w:sz="0" w:space="0" w:color="auto"/>
      </w:divBdr>
    </w:div>
    <w:div w:id="1791506343">
      <w:bodyDiv w:val="1"/>
      <w:marLeft w:val="0"/>
      <w:marRight w:val="0"/>
      <w:marTop w:val="0"/>
      <w:marBottom w:val="0"/>
      <w:divBdr>
        <w:top w:val="none" w:sz="0" w:space="0" w:color="auto"/>
        <w:left w:val="none" w:sz="0" w:space="0" w:color="auto"/>
        <w:bottom w:val="none" w:sz="0" w:space="0" w:color="auto"/>
        <w:right w:val="none" w:sz="0" w:space="0" w:color="auto"/>
      </w:divBdr>
      <w:divsChild>
        <w:div w:id="1122501347">
          <w:marLeft w:val="0"/>
          <w:marRight w:val="0"/>
          <w:marTop w:val="120"/>
          <w:marBottom w:val="0"/>
          <w:divBdr>
            <w:top w:val="none" w:sz="0" w:space="0" w:color="auto"/>
            <w:left w:val="none" w:sz="0" w:space="0" w:color="auto"/>
            <w:bottom w:val="none" w:sz="0" w:space="0" w:color="auto"/>
            <w:right w:val="none" w:sz="0" w:space="0" w:color="auto"/>
          </w:divBdr>
        </w:div>
        <w:div w:id="1476530523">
          <w:marLeft w:val="0"/>
          <w:marRight w:val="0"/>
          <w:marTop w:val="120"/>
          <w:marBottom w:val="0"/>
          <w:divBdr>
            <w:top w:val="none" w:sz="0" w:space="0" w:color="auto"/>
            <w:left w:val="none" w:sz="0" w:space="0" w:color="auto"/>
            <w:bottom w:val="none" w:sz="0" w:space="0" w:color="auto"/>
            <w:right w:val="none" w:sz="0" w:space="0" w:color="auto"/>
          </w:divBdr>
        </w:div>
      </w:divsChild>
    </w:div>
    <w:div w:id="1795100923">
      <w:bodyDiv w:val="1"/>
      <w:marLeft w:val="0"/>
      <w:marRight w:val="0"/>
      <w:marTop w:val="0"/>
      <w:marBottom w:val="0"/>
      <w:divBdr>
        <w:top w:val="none" w:sz="0" w:space="0" w:color="auto"/>
        <w:left w:val="none" w:sz="0" w:space="0" w:color="auto"/>
        <w:bottom w:val="none" w:sz="0" w:space="0" w:color="auto"/>
        <w:right w:val="none" w:sz="0" w:space="0" w:color="auto"/>
      </w:divBdr>
      <w:divsChild>
        <w:div w:id="1954097594">
          <w:marLeft w:val="0"/>
          <w:marRight w:val="0"/>
          <w:marTop w:val="0"/>
          <w:marBottom w:val="0"/>
          <w:divBdr>
            <w:top w:val="none" w:sz="0" w:space="0" w:color="auto"/>
            <w:left w:val="none" w:sz="0" w:space="0" w:color="auto"/>
            <w:bottom w:val="none" w:sz="0" w:space="0" w:color="auto"/>
            <w:right w:val="none" w:sz="0" w:space="0" w:color="auto"/>
          </w:divBdr>
        </w:div>
      </w:divsChild>
    </w:div>
    <w:div w:id="1991668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27FE67-4CB5-4912-9A1A-720C1F7C74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163</Pages>
  <Words>53694</Words>
  <Characters>322169</Characters>
  <Application>Microsoft Office Word</Application>
  <DocSecurity>0</DocSecurity>
  <Lines>2684</Lines>
  <Paragraphs>750</Paragraphs>
  <ScaleCrop>false</ScaleCrop>
  <HeadingPairs>
    <vt:vector size="2" baseType="variant">
      <vt:variant>
        <vt:lpstr>Tytuł</vt:lpstr>
      </vt:variant>
      <vt:variant>
        <vt:i4>1</vt:i4>
      </vt:variant>
    </vt:vector>
  </HeadingPairs>
  <TitlesOfParts>
    <vt:vector size="1" baseType="lpstr">
      <vt:lpstr>UZASADNIENIE</vt:lpstr>
    </vt:vector>
  </TitlesOfParts>
  <Company>Microsoft</Company>
  <LinksUpToDate>false</LinksUpToDate>
  <CharactersWithSpaces>375113</CharactersWithSpaces>
  <SharedDoc>false</SharedDoc>
  <HLinks>
    <vt:vector size="174" baseType="variant">
      <vt:variant>
        <vt:i4>6750315</vt:i4>
      </vt:variant>
      <vt:variant>
        <vt:i4>0</vt:i4>
      </vt:variant>
      <vt:variant>
        <vt:i4>0</vt:i4>
      </vt:variant>
      <vt:variant>
        <vt:i4>5</vt:i4>
      </vt:variant>
      <vt:variant>
        <vt:lpwstr>http://prawo.legeo.pl/prawo/akt-paryski-konwencji-bernenskiej-o-ochronie-dziel-literackich-i-artystycznych-sporzadzony-w-paryzu-dnia-24-lipca-1971-r/?on=04.08.2014</vt:lpwstr>
      </vt:variant>
      <vt:variant>
        <vt:lpwstr/>
      </vt:variant>
      <vt:variant>
        <vt:i4>1704052</vt:i4>
      </vt:variant>
      <vt:variant>
        <vt:i4>81</vt:i4>
      </vt:variant>
      <vt:variant>
        <vt:i4>0</vt:i4>
      </vt:variant>
      <vt:variant>
        <vt:i4>5</vt:i4>
      </vt:variant>
      <vt:variant>
        <vt:lpwstr>http://www.prawoautorskie.gov.pl/media/KSE_2014-03-05_-_Odp__Rzadu_RP_na_konsultacje_KE_-_przeglad_prawa_autorskiego.pdf</vt:lpwstr>
      </vt:variant>
      <vt:variant>
        <vt:lpwstr/>
      </vt:variant>
      <vt:variant>
        <vt:i4>5505149</vt:i4>
      </vt:variant>
      <vt:variant>
        <vt:i4>78</vt:i4>
      </vt:variant>
      <vt:variant>
        <vt:i4>0</vt:i4>
      </vt:variant>
      <vt:variant>
        <vt:i4>5</vt:i4>
      </vt:variant>
      <vt:variant>
        <vt:lpwstr>http://www.legifrance.gouv.fr/affichTexte.do;jsessionid=254A39437ABC5C8C26B5330FEA0ADBE8.tpdjo05v_1?cidTexte=JORFTEXT000025422700&amp;categorieLien=id</vt:lpwstr>
      </vt:variant>
      <vt:variant>
        <vt:lpwstr/>
      </vt:variant>
      <vt:variant>
        <vt:i4>6225940</vt:i4>
      </vt:variant>
      <vt:variant>
        <vt:i4>75</vt:i4>
      </vt:variant>
      <vt:variant>
        <vt:i4>0</vt:i4>
      </vt:variant>
      <vt:variant>
        <vt:i4>5</vt:i4>
      </vt:variant>
      <vt:variant>
        <vt:lpwstr>http://ec.europa.eu/internal_market/copyright/docs/copyright-infso/20110920-mou_en.pdf</vt:lpwstr>
      </vt:variant>
      <vt:variant>
        <vt:lpwstr/>
      </vt:variant>
      <vt:variant>
        <vt:i4>7077933</vt:i4>
      </vt:variant>
      <vt:variant>
        <vt:i4>72</vt:i4>
      </vt:variant>
      <vt:variant>
        <vt:i4>0</vt:i4>
      </vt:variant>
      <vt:variant>
        <vt:i4>5</vt:i4>
      </vt:variant>
      <vt:variant>
        <vt:lpwstr>http://ec.europa.eu/internal_market/copyright/docs/orphan-works/impact-assessment_en.pdf</vt:lpwstr>
      </vt:variant>
      <vt:variant>
        <vt:lpwstr/>
      </vt:variant>
      <vt:variant>
        <vt:i4>5767255</vt:i4>
      </vt:variant>
      <vt:variant>
        <vt:i4>69</vt:i4>
      </vt:variant>
      <vt:variant>
        <vt:i4>0</vt:i4>
      </vt:variant>
      <vt:variant>
        <vt:i4>5</vt:i4>
      </vt:variant>
      <vt:variant>
        <vt:lpwstr>http://www.plrinternational.com/</vt:lpwstr>
      </vt:variant>
      <vt:variant>
        <vt:lpwstr/>
      </vt:variant>
      <vt:variant>
        <vt:i4>6684723</vt:i4>
      </vt:variant>
      <vt:variant>
        <vt:i4>66</vt:i4>
      </vt:variant>
      <vt:variant>
        <vt:i4>0</vt:i4>
      </vt:variant>
      <vt:variant>
        <vt:i4>5</vt:i4>
      </vt:variant>
      <vt:variant>
        <vt:lpwstr>http://www.prawoautorskie.gov.pl/media/trzecie_forum/wyniki_konsultacji_/Stanowisko_koncowe_organizacji_bibliotekarskich.pdf</vt:lpwstr>
      </vt:variant>
      <vt:variant>
        <vt:lpwstr/>
      </vt:variant>
      <vt:variant>
        <vt:i4>2162717</vt:i4>
      </vt:variant>
      <vt:variant>
        <vt:i4>63</vt:i4>
      </vt:variant>
      <vt:variant>
        <vt:i4>0</vt:i4>
      </vt:variant>
      <vt:variant>
        <vt:i4>5</vt:i4>
      </vt:variant>
      <vt:variant>
        <vt:lpwstr>http://www.ifrro.org/sites/default/files/plr_around_the_world_feb_2012.pdf</vt:lpwstr>
      </vt:variant>
      <vt:variant>
        <vt:lpwstr/>
      </vt:variant>
      <vt:variant>
        <vt:i4>2162717</vt:i4>
      </vt:variant>
      <vt:variant>
        <vt:i4>60</vt:i4>
      </vt:variant>
      <vt:variant>
        <vt:i4>0</vt:i4>
      </vt:variant>
      <vt:variant>
        <vt:i4>5</vt:i4>
      </vt:variant>
      <vt:variant>
        <vt:lpwstr>http://www.ifrro.org/sites/default/files/plr_around_the_world_feb_2012.pdf</vt:lpwstr>
      </vt:variant>
      <vt:variant>
        <vt:lpwstr/>
      </vt:variant>
      <vt:variant>
        <vt:i4>5767255</vt:i4>
      </vt:variant>
      <vt:variant>
        <vt:i4>57</vt:i4>
      </vt:variant>
      <vt:variant>
        <vt:i4>0</vt:i4>
      </vt:variant>
      <vt:variant>
        <vt:i4>5</vt:i4>
      </vt:variant>
      <vt:variant>
        <vt:lpwstr>http://www.plrinternational.com/</vt:lpwstr>
      </vt:variant>
      <vt:variant>
        <vt:lpwstr/>
      </vt:variant>
      <vt:variant>
        <vt:i4>7143449</vt:i4>
      </vt:variant>
      <vt:variant>
        <vt:i4>54</vt:i4>
      </vt:variant>
      <vt:variant>
        <vt:i4>0</vt:i4>
      </vt:variant>
      <vt:variant>
        <vt:i4>5</vt:i4>
      </vt:variant>
      <vt:variant>
        <vt:lpwstr>http://www.mkidn.gov.pl/media/docs/2013/20131220_NPRCZ.pdf</vt:lpwstr>
      </vt:variant>
      <vt:variant>
        <vt:lpwstr/>
      </vt:variant>
      <vt:variant>
        <vt:i4>3735664</vt:i4>
      </vt:variant>
      <vt:variant>
        <vt:i4>51</vt:i4>
      </vt:variant>
      <vt:variant>
        <vt:i4>0</vt:i4>
      </vt:variant>
      <vt:variant>
        <vt:i4>5</vt:i4>
      </vt:variant>
      <vt:variant>
        <vt:lpwstr>http://www.bn.org.pl/zasoby-cyfrowe-i-linki/elektroniczne-publikacje-bn/biblioteki-publiczne-w-liczbach</vt:lpwstr>
      </vt:variant>
      <vt:variant>
        <vt:lpwstr/>
      </vt:variant>
      <vt:variant>
        <vt:i4>5767255</vt:i4>
      </vt:variant>
      <vt:variant>
        <vt:i4>48</vt:i4>
      </vt:variant>
      <vt:variant>
        <vt:i4>0</vt:i4>
      </vt:variant>
      <vt:variant>
        <vt:i4>5</vt:i4>
      </vt:variant>
      <vt:variant>
        <vt:lpwstr>http://www.plrinternational.com/</vt:lpwstr>
      </vt:variant>
      <vt:variant>
        <vt:lpwstr/>
      </vt:variant>
      <vt:variant>
        <vt:i4>1769558</vt:i4>
      </vt:variant>
      <vt:variant>
        <vt:i4>45</vt:i4>
      </vt:variant>
      <vt:variant>
        <vt:i4>0</vt:i4>
      </vt:variant>
      <vt:variant>
        <vt:i4>5</vt:i4>
      </vt:variant>
      <vt:variant>
        <vt:lpwstr>http://www.mkidn.gov.pl/media/docs/2013/20131220__NPRCZ.pdf</vt:lpwstr>
      </vt:variant>
      <vt:variant>
        <vt:lpwstr/>
      </vt:variant>
      <vt:variant>
        <vt:i4>8323118</vt:i4>
      </vt:variant>
      <vt:variant>
        <vt:i4>42</vt:i4>
      </vt:variant>
      <vt:variant>
        <vt:i4>0</vt:i4>
      </vt:variant>
      <vt:variant>
        <vt:i4>5</vt:i4>
      </vt:variant>
      <vt:variant>
        <vt:lpwstr>http://portal.unesco.org/en/ev.php-URL_ID=13068&amp;URL_DO=DO_TOPIC&amp;URL_SECTION=201.html</vt:lpwstr>
      </vt:variant>
      <vt:variant>
        <vt:lpwstr/>
      </vt:variant>
      <vt:variant>
        <vt:i4>2031626</vt:i4>
      </vt:variant>
      <vt:variant>
        <vt:i4>39</vt:i4>
      </vt:variant>
      <vt:variant>
        <vt:i4>0</vt:i4>
      </vt:variant>
      <vt:variant>
        <vt:i4>5</vt:i4>
      </vt:variant>
      <vt:variant>
        <vt:lpwstr>http://www.bn.org.pl/download/document/1395236740.pdf</vt:lpwstr>
      </vt:variant>
      <vt:variant>
        <vt:lpwstr/>
      </vt:variant>
      <vt:variant>
        <vt:i4>5767255</vt:i4>
      </vt:variant>
      <vt:variant>
        <vt:i4>36</vt:i4>
      </vt:variant>
      <vt:variant>
        <vt:i4>0</vt:i4>
      </vt:variant>
      <vt:variant>
        <vt:i4>5</vt:i4>
      </vt:variant>
      <vt:variant>
        <vt:lpwstr>http://www.plrinternational.com/</vt:lpwstr>
      </vt:variant>
      <vt:variant>
        <vt:lpwstr/>
      </vt:variant>
      <vt:variant>
        <vt:i4>2031626</vt:i4>
      </vt:variant>
      <vt:variant>
        <vt:i4>33</vt:i4>
      </vt:variant>
      <vt:variant>
        <vt:i4>0</vt:i4>
      </vt:variant>
      <vt:variant>
        <vt:i4>5</vt:i4>
      </vt:variant>
      <vt:variant>
        <vt:lpwstr>http://www.bn.org.pl/download/document/1395236740.pdf</vt:lpwstr>
      </vt:variant>
      <vt:variant>
        <vt:lpwstr/>
      </vt:variant>
      <vt:variant>
        <vt:i4>5767255</vt:i4>
      </vt:variant>
      <vt:variant>
        <vt:i4>30</vt:i4>
      </vt:variant>
      <vt:variant>
        <vt:i4>0</vt:i4>
      </vt:variant>
      <vt:variant>
        <vt:i4>5</vt:i4>
      </vt:variant>
      <vt:variant>
        <vt:lpwstr>http://www.plrinternational.com/</vt:lpwstr>
      </vt:variant>
      <vt:variant>
        <vt:lpwstr/>
      </vt:variant>
      <vt:variant>
        <vt:i4>3735664</vt:i4>
      </vt:variant>
      <vt:variant>
        <vt:i4>27</vt:i4>
      </vt:variant>
      <vt:variant>
        <vt:i4>0</vt:i4>
      </vt:variant>
      <vt:variant>
        <vt:i4>5</vt:i4>
      </vt:variant>
      <vt:variant>
        <vt:lpwstr>http://www.bn.org.pl/zasoby-cyfrowe-i-linki/elektroniczne-publikacje-bn/biblioteki-publiczne-w-liczbach</vt:lpwstr>
      </vt:variant>
      <vt:variant>
        <vt:lpwstr/>
      </vt:variant>
      <vt:variant>
        <vt:i4>5767255</vt:i4>
      </vt:variant>
      <vt:variant>
        <vt:i4>24</vt:i4>
      </vt:variant>
      <vt:variant>
        <vt:i4>0</vt:i4>
      </vt:variant>
      <vt:variant>
        <vt:i4>5</vt:i4>
      </vt:variant>
      <vt:variant>
        <vt:lpwstr>http://www.plrinternational.com/</vt:lpwstr>
      </vt:variant>
      <vt:variant>
        <vt:lpwstr/>
      </vt:variant>
      <vt:variant>
        <vt:i4>6619170</vt:i4>
      </vt:variant>
      <vt:variant>
        <vt:i4>21</vt:i4>
      </vt:variant>
      <vt:variant>
        <vt:i4>0</vt:i4>
      </vt:variant>
      <vt:variant>
        <vt:i4>5</vt:i4>
      </vt:variant>
      <vt:variant>
        <vt:lpwstr>http://www.ivir.nl/publications/guibault/InfoSoc_Study_2007.pdf</vt:lpwstr>
      </vt:variant>
      <vt:variant>
        <vt:lpwstr/>
      </vt:variant>
      <vt:variant>
        <vt:i4>393281</vt:i4>
      </vt:variant>
      <vt:variant>
        <vt:i4>18</vt:i4>
      </vt:variant>
      <vt:variant>
        <vt:i4>0</vt:i4>
      </vt:variant>
      <vt:variant>
        <vt:i4>5</vt:i4>
      </vt:variant>
      <vt:variant>
        <vt:lpwstr>http://www.prawoautorskie.gov.pl/media/warsztaty_/traple_(1).pdf</vt:lpwstr>
      </vt:variant>
      <vt:variant>
        <vt:lpwstr/>
      </vt:variant>
      <vt:variant>
        <vt:i4>786457</vt:i4>
      </vt:variant>
      <vt:variant>
        <vt:i4>15</vt:i4>
      </vt:variant>
      <vt:variant>
        <vt:i4>0</vt:i4>
      </vt:variant>
      <vt:variant>
        <vt:i4>5</vt:i4>
      </vt:variant>
      <vt:variant>
        <vt:lpwstr>http://www.prawoautorskie.gov.pl/pages/posts/rozpoczely-sie-konsultacje-dotyczace-dozwolonego-uzytku-publicznego-210.php</vt:lpwstr>
      </vt:variant>
      <vt:variant>
        <vt:lpwstr/>
      </vt:variant>
      <vt:variant>
        <vt:i4>4390981</vt:i4>
      </vt:variant>
      <vt:variant>
        <vt:i4>12</vt:i4>
      </vt:variant>
      <vt:variant>
        <vt:i4>0</vt:i4>
      </vt:variant>
      <vt:variant>
        <vt:i4>5</vt:i4>
      </vt:variant>
      <vt:variant>
        <vt:lpwstr>http://www.admin.ch/opc/fr/classified-compilation/19920251/201101010000/231.1.pdf</vt:lpwstr>
      </vt:variant>
      <vt:variant>
        <vt:lpwstr/>
      </vt:variant>
      <vt:variant>
        <vt:i4>5570655</vt:i4>
      </vt:variant>
      <vt:variant>
        <vt:i4>9</vt:i4>
      </vt:variant>
      <vt:variant>
        <vt:i4>0</vt:i4>
      </vt:variant>
      <vt:variant>
        <vt:i4>5</vt:i4>
      </vt:variant>
      <vt:variant>
        <vt:lpwstr>http://www.europarl.europa.eu/sides/getDoc.do?pubRef=-//EP//TEXT+TA+P7-TA-2010-0438+0+DOC+XML+V0//PL</vt:lpwstr>
      </vt:variant>
      <vt:variant>
        <vt:lpwstr/>
      </vt:variant>
      <vt:variant>
        <vt:i4>2752622</vt:i4>
      </vt:variant>
      <vt:variant>
        <vt:i4>6</vt:i4>
      </vt:variant>
      <vt:variant>
        <vt:i4>0</vt:i4>
      </vt:variant>
      <vt:variant>
        <vt:i4>5</vt:i4>
      </vt:variant>
      <vt:variant>
        <vt:lpwstr>https://wcd.coe.int/ViewDoc.jsp?id=418885&amp;Site=CM&amp;BackColorInternet=9999CC&amp;BackColorIntranet=FFBB55&amp;BackColorLogged=FFAC75</vt:lpwstr>
      </vt:variant>
      <vt:variant>
        <vt:lpwstr/>
      </vt:variant>
      <vt:variant>
        <vt:i4>1704052</vt:i4>
      </vt:variant>
      <vt:variant>
        <vt:i4>3</vt:i4>
      </vt:variant>
      <vt:variant>
        <vt:i4>0</vt:i4>
      </vt:variant>
      <vt:variant>
        <vt:i4>5</vt:i4>
      </vt:variant>
      <vt:variant>
        <vt:lpwstr>http://www.prawoautorskie.gov.pl/media/KSE_2014-03-05_-_Odp__Rzadu_RP_na_konsultacje_KE_-_przeglad_prawa_autorskiego.pdf</vt:lpwstr>
      </vt:variant>
      <vt:variant>
        <vt:lpwstr/>
      </vt:variant>
      <vt:variant>
        <vt:i4>7929886</vt:i4>
      </vt:variant>
      <vt:variant>
        <vt:i4>0</vt:i4>
      </vt:variant>
      <vt:variant>
        <vt:i4>0</vt:i4>
      </vt:variant>
      <vt:variant>
        <vt:i4>5</vt:i4>
      </vt:variant>
      <vt:variant>
        <vt:lpwstr>http://www.prawoautorskie.gov.pl/media/Realizacja_ustawy_o_prawie_autorskim_2013.pdf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UZASADNIENIE</dc:title>
  <dc:creator>kkoscinski</dc:creator>
  <cp:lastModifiedBy>Grażyna D. Grabowska</cp:lastModifiedBy>
  <cp:revision>2</cp:revision>
  <cp:lastPrinted>2018-01-17T15:27:00Z</cp:lastPrinted>
  <dcterms:created xsi:type="dcterms:W3CDTF">2018-02-02T12:50:00Z</dcterms:created>
  <dcterms:modified xsi:type="dcterms:W3CDTF">2018-02-02T12:50:00Z</dcterms:modified>
</cp:coreProperties>
</file>