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F84" w:rsidRPr="00ED1CDB" w:rsidRDefault="00E00B80" w:rsidP="00ED1CDB">
      <w:pPr>
        <w:autoSpaceDE w:val="0"/>
        <w:autoSpaceDN w:val="0"/>
        <w:adjustRightInd w:val="0"/>
        <w:spacing w:after="0" w:line="240" w:lineRule="exact"/>
        <w:jc w:val="right"/>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 </w:t>
      </w:r>
    </w:p>
    <w:p w:rsidR="00B12F84" w:rsidRPr="00B12F84" w:rsidRDefault="00B12F84" w:rsidP="00B12F84">
      <w:pPr>
        <w:autoSpaceDE w:val="0"/>
        <w:autoSpaceDN w:val="0"/>
        <w:adjustRightInd w:val="0"/>
        <w:spacing w:after="0" w:line="240" w:lineRule="exact"/>
        <w:jc w:val="center"/>
        <w:rPr>
          <w:rFonts w:ascii="Garamond" w:eastAsia="Times New Roman" w:hAnsi="Garamond" w:cs="Times New Roman"/>
          <w:sz w:val="28"/>
          <w:szCs w:val="28"/>
          <w:lang w:eastAsia="pl-PL"/>
        </w:rPr>
      </w:pPr>
    </w:p>
    <w:p w:rsidR="00B12F84" w:rsidRPr="00B80A22" w:rsidRDefault="00B12F84" w:rsidP="00550A12">
      <w:pPr>
        <w:autoSpaceDE w:val="0"/>
        <w:autoSpaceDN w:val="0"/>
        <w:adjustRightInd w:val="0"/>
        <w:spacing w:after="0" w:line="240" w:lineRule="auto"/>
        <w:jc w:val="center"/>
        <w:rPr>
          <w:rFonts w:ascii="Times New Roman" w:eastAsia="Times New Roman" w:hAnsi="Times New Roman" w:cs="Times New Roman"/>
          <w:b/>
          <w:bCs/>
          <w:sz w:val="24"/>
          <w:szCs w:val="24"/>
          <w:lang w:eastAsia="pl-PL"/>
        </w:rPr>
      </w:pPr>
      <w:r w:rsidRPr="00B80A22">
        <w:rPr>
          <w:rFonts w:ascii="Times New Roman" w:eastAsia="Times New Roman" w:hAnsi="Times New Roman" w:cs="Times New Roman"/>
          <w:b/>
          <w:bCs/>
          <w:sz w:val="24"/>
          <w:szCs w:val="24"/>
          <w:lang w:eastAsia="pl-PL"/>
        </w:rPr>
        <w:t>Stanowisko Rządu</w:t>
      </w:r>
    </w:p>
    <w:p w:rsidR="00550A12" w:rsidRDefault="00B12F84" w:rsidP="00550A12">
      <w:pPr>
        <w:autoSpaceDE w:val="0"/>
        <w:autoSpaceDN w:val="0"/>
        <w:adjustRightInd w:val="0"/>
        <w:spacing w:after="0" w:line="240" w:lineRule="auto"/>
        <w:jc w:val="center"/>
        <w:rPr>
          <w:rFonts w:ascii="Times New Roman" w:eastAsia="Times New Roman" w:hAnsi="Times New Roman" w:cs="Times New Roman"/>
          <w:b/>
          <w:bCs/>
          <w:sz w:val="24"/>
          <w:szCs w:val="24"/>
          <w:lang w:eastAsia="pl-PL"/>
        </w:rPr>
      </w:pPr>
      <w:r w:rsidRPr="00B80A22">
        <w:rPr>
          <w:rFonts w:ascii="Times New Roman" w:eastAsia="Times New Roman" w:hAnsi="Times New Roman" w:cs="Times New Roman"/>
          <w:b/>
          <w:bCs/>
          <w:sz w:val="24"/>
          <w:szCs w:val="24"/>
          <w:lang w:eastAsia="pl-PL"/>
        </w:rPr>
        <w:t>w sprawie poselskiego pr</w:t>
      </w:r>
      <w:r w:rsidR="001B6600">
        <w:rPr>
          <w:rFonts w:ascii="Times New Roman" w:eastAsia="Times New Roman" w:hAnsi="Times New Roman" w:cs="Times New Roman"/>
          <w:b/>
          <w:bCs/>
          <w:sz w:val="24"/>
          <w:szCs w:val="24"/>
          <w:lang w:eastAsia="pl-PL"/>
        </w:rPr>
        <w:t xml:space="preserve">ojektu ustawy o zmianie ustawy </w:t>
      </w:r>
      <w:r w:rsidR="0019584E">
        <w:rPr>
          <w:rFonts w:ascii="Times New Roman" w:eastAsia="Times New Roman" w:hAnsi="Times New Roman" w:cs="Times New Roman"/>
          <w:b/>
          <w:bCs/>
          <w:sz w:val="24"/>
          <w:szCs w:val="24"/>
          <w:lang w:eastAsia="pl-PL"/>
        </w:rPr>
        <w:t>–</w:t>
      </w:r>
      <w:r w:rsidRPr="00B80A22">
        <w:rPr>
          <w:rFonts w:ascii="Times New Roman" w:eastAsia="Times New Roman" w:hAnsi="Times New Roman" w:cs="Times New Roman"/>
          <w:b/>
          <w:bCs/>
          <w:sz w:val="24"/>
          <w:szCs w:val="24"/>
          <w:lang w:eastAsia="pl-PL"/>
        </w:rPr>
        <w:t xml:space="preserve"> Kodeks karny oraz ustawy – Prawo o stowarzyszeniach (druk sejmowy nr 2251)</w:t>
      </w:r>
      <w:r w:rsidR="00E4627A">
        <w:rPr>
          <w:rFonts w:ascii="Times New Roman" w:eastAsia="Times New Roman" w:hAnsi="Times New Roman" w:cs="Times New Roman"/>
          <w:b/>
          <w:bCs/>
          <w:sz w:val="24"/>
          <w:szCs w:val="24"/>
          <w:lang w:eastAsia="pl-PL"/>
        </w:rPr>
        <w:t>,</w:t>
      </w:r>
      <w:r w:rsidR="00E00B80" w:rsidRPr="00B80A22">
        <w:rPr>
          <w:rFonts w:ascii="Times New Roman" w:eastAsia="Times New Roman" w:hAnsi="Times New Roman" w:cs="Times New Roman"/>
          <w:b/>
          <w:bCs/>
          <w:sz w:val="24"/>
          <w:szCs w:val="24"/>
          <w:lang w:eastAsia="pl-PL"/>
        </w:rPr>
        <w:t xml:space="preserve"> </w:t>
      </w:r>
      <w:r w:rsidRPr="00B80A22">
        <w:rPr>
          <w:rFonts w:ascii="Times New Roman" w:eastAsia="Times New Roman" w:hAnsi="Times New Roman" w:cs="Times New Roman"/>
          <w:b/>
          <w:bCs/>
          <w:sz w:val="24"/>
          <w:szCs w:val="24"/>
          <w:lang w:eastAsia="pl-PL"/>
        </w:rPr>
        <w:t xml:space="preserve">po autopoprawce </w:t>
      </w:r>
    </w:p>
    <w:p w:rsidR="00B12F84" w:rsidRPr="00B80A22" w:rsidRDefault="00B12F84" w:rsidP="00550A12">
      <w:pPr>
        <w:autoSpaceDE w:val="0"/>
        <w:autoSpaceDN w:val="0"/>
        <w:adjustRightInd w:val="0"/>
        <w:spacing w:after="0" w:line="240" w:lineRule="auto"/>
        <w:jc w:val="center"/>
        <w:rPr>
          <w:rFonts w:ascii="Times New Roman" w:eastAsia="Times New Roman" w:hAnsi="Times New Roman" w:cs="Times New Roman"/>
          <w:b/>
          <w:bCs/>
          <w:sz w:val="24"/>
          <w:szCs w:val="24"/>
          <w:lang w:eastAsia="pl-PL"/>
        </w:rPr>
      </w:pPr>
      <w:r w:rsidRPr="00B80A22">
        <w:rPr>
          <w:rFonts w:ascii="Times New Roman" w:eastAsia="Times New Roman" w:hAnsi="Times New Roman" w:cs="Times New Roman"/>
          <w:b/>
          <w:bCs/>
          <w:sz w:val="24"/>
          <w:szCs w:val="24"/>
          <w:lang w:eastAsia="pl-PL"/>
        </w:rPr>
        <w:t>(druk sejmowy</w:t>
      </w:r>
      <w:r w:rsidR="002F3720">
        <w:rPr>
          <w:rFonts w:ascii="Times New Roman" w:eastAsia="Times New Roman" w:hAnsi="Times New Roman" w:cs="Times New Roman"/>
          <w:b/>
          <w:bCs/>
          <w:sz w:val="24"/>
          <w:szCs w:val="24"/>
          <w:lang w:eastAsia="pl-PL"/>
        </w:rPr>
        <w:t xml:space="preserve"> nr</w:t>
      </w:r>
      <w:r w:rsidRPr="00B80A22">
        <w:rPr>
          <w:rFonts w:ascii="Times New Roman" w:eastAsia="Times New Roman" w:hAnsi="Times New Roman" w:cs="Times New Roman"/>
          <w:b/>
          <w:bCs/>
          <w:sz w:val="24"/>
          <w:szCs w:val="24"/>
          <w:lang w:eastAsia="pl-PL"/>
        </w:rPr>
        <w:t xml:space="preserve"> 2251A)</w:t>
      </w:r>
    </w:p>
    <w:p w:rsidR="00B12F84" w:rsidRPr="00B80A22" w:rsidRDefault="00B12F84" w:rsidP="00550A12">
      <w:pPr>
        <w:autoSpaceDE w:val="0"/>
        <w:autoSpaceDN w:val="0"/>
        <w:adjustRightInd w:val="0"/>
        <w:spacing w:after="0" w:line="240" w:lineRule="exact"/>
        <w:ind w:firstLine="684"/>
        <w:jc w:val="center"/>
        <w:rPr>
          <w:rFonts w:ascii="Times New Roman" w:eastAsia="Times New Roman" w:hAnsi="Times New Roman" w:cs="Times New Roman"/>
          <w:sz w:val="24"/>
          <w:szCs w:val="24"/>
          <w:lang w:eastAsia="pl-PL"/>
        </w:rPr>
      </w:pPr>
    </w:p>
    <w:p w:rsidR="00B12F84" w:rsidRPr="00B80A22" w:rsidRDefault="00B12F84" w:rsidP="00550A12">
      <w:pPr>
        <w:autoSpaceDE w:val="0"/>
        <w:autoSpaceDN w:val="0"/>
        <w:adjustRightInd w:val="0"/>
        <w:spacing w:before="149" w:after="0" w:line="482" w:lineRule="exact"/>
        <w:ind w:firstLine="684"/>
        <w:jc w:val="center"/>
        <w:rPr>
          <w:rFonts w:ascii="Times New Roman" w:eastAsia="Times New Roman" w:hAnsi="Times New Roman" w:cs="Times New Roman"/>
          <w:sz w:val="24"/>
          <w:szCs w:val="24"/>
          <w:lang w:eastAsia="pl-PL"/>
        </w:rPr>
      </w:pPr>
    </w:p>
    <w:p w:rsidR="00B12F84" w:rsidRPr="00B80A22" w:rsidRDefault="00B12F84" w:rsidP="00B12F84">
      <w:pPr>
        <w:autoSpaceDE w:val="0"/>
        <w:autoSpaceDN w:val="0"/>
        <w:adjustRightInd w:val="0"/>
        <w:spacing w:before="149" w:after="0" w:line="360" w:lineRule="auto"/>
        <w:ind w:firstLine="686"/>
        <w:jc w:val="both"/>
        <w:rPr>
          <w:rFonts w:ascii="Times New Roman" w:eastAsia="Times New Roman" w:hAnsi="Times New Roman" w:cs="Times New Roman"/>
          <w:bCs/>
          <w:sz w:val="24"/>
          <w:szCs w:val="24"/>
          <w:lang w:eastAsia="pl-PL"/>
        </w:rPr>
      </w:pPr>
      <w:r w:rsidRPr="00B80A22">
        <w:rPr>
          <w:rFonts w:ascii="Times New Roman" w:eastAsia="Times New Roman" w:hAnsi="Times New Roman" w:cs="Times New Roman"/>
          <w:sz w:val="24"/>
          <w:szCs w:val="24"/>
          <w:lang w:eastAsia="pl-PL"/>
        </w:rPr>
        <w:t xml:space="preserve">Poselski </w:t>
      </w:r>
      <w:r w:rsidRPr="00B80A22">
        <w:rPr>
          <w:rFonts w:ascii="Times New Roman" w:eastAsia="Times New Roman" w:hAnsi="Times New Roman" w:cs="Times New Roman"/>
          <w:i/>
          <w:sz w:val="24"/>
          <w:szCs w:val="24"/>
          <w:lang w:eastAsia="pl-PL"/>
        </w:rPr>
        <w:t>projekt ustawy o zmianie ustawy</w:t>
      </w:r>
      <w:r w:rsidR="0019584E">
        <w:rPr>
          <w:rFonts w:ascii="Times New Roman" w:eastAsia="Times New Roman" w:hAnsi="Times New Roman" w:cs="Times New Roman"/>
          <w:i/>
          <w:sz w:val="24"/>
          <w:szCs w:val="24"/>
          <w:lang w:eastAsia="pl-PL"/>
        </w:rPr>
        <w:t xml:space="preserve"> –</w:t>
      </w:r>
      <w:r w:rsidR="001403CA">
        <w:rPr>
          <w:rFonts w:ascii="Times New Roman" w:eastAsia="Times New Roman" w:hAnsi="Times New Roman" w:cs="Times New Roman"/>
          <w:i/>
          <w:sz w:val="24"/>
          <w:szCs w:val="24"/>
          <w:lang w:eastAsia="pl-PL"/>
        </w:rPr>
        <w:t xml:space="preserve"> </w:t>
      </w:r>
      <w:r w:rsidR="00297A8B" w:rsidRPr="00B80A22">
        <w:rPr>
          <w:rFonts w:ascii="Times New Roman" w:eastAsia="Times New Roman" w:hAnsi="Times New Roman" w:cs="Times New Roman"/>
          <w:bCs/>
          <w:i/>
          <w:sz w:val="24"/>
          <w:szCs w:val="24"/>
          <w:lang w:eastAsia="pl-PL"/>
        </w:rPr>
        <w:t xml:space="preserve">Kodeks karny </w:t>
      </w:r>
      <w:r w:rsidR="00CE3C43" w:rsidRPr="00B80A22">
        <w:rPr>
          <w:rFonts w:ascii="Times New Roman" w:eastAsia="Times New Roman" w:hAnsi="Times New Roman" w:cs="Times New Roman"/>
          <w:bCs/>
          <w:i/>
          <w:sz w:val="24"/>
          <w:szCs w:val="24"/>
          <w:lang w:eastAsia="pl-PL"/>
        </w:rPr>
        <w:t>oraz ustawy – Prawo o </w:t>
      </w:r>
      <w:r w:rsidRPr="00B80A22">
        <w:rPr>
          <w:rFonts w:ascii="Times New Roman" w:eastAsia="Times New Roman" w:hAnsi="Times New Roman" w:cs="Times New Roman"/>
          <w:bCs/>
          <w:i/>
          <w:sz w:val="24"/>
          <w:szCs w:val="24"/>
          <w:lang w:eastAsia="pl-PL"/>
        </w:rPr>
        <w:t xml:space="preserve">stowarzyszeniach </w:t>
      </w:r>
      <w:r w:rsidRPr="00B80A22">
        <w:rPr>
          <w:rFonts w:ascii="Times New Roman" w:eastAsia="Times New Roman" w:hAnsi="Times New Roman" w:cs="Times New Roman"/>
          <w:bCs/>
          <w:sz w:val="24"/>
          <w:szCs w:val="24"/>
          <w:lang w:eastAsia="pl-PL"/>
        </w:rPr>
        <w:t xml:space="preserve">wprowadza rozszerzenie zakresu penalizacji </w:t>
      </w:r>
      <w:proofErr w:type="spellStart"/>
      <w:r w:rsidRPr="00B80A22">
        <w:rPr>
          <w:rFonts w:ascii="Times New Roman" w:eastAsia="Times New Roman" w:hAnsi="Times New Roman" w:cs="Times New Roman"/>
          <w:bCs/>
          <w:sz w:val="24"/>
          <w:szCs w:val="24"/>
          <w:lang w:eastAsia="pl-PL"/>
        </w:rPr>
        <w:t>zachowań</w:t>
      </w:r>
      <w:proofErr w:type="spellEnd"/>
      <w:r w:rsidRPr="00B80A22">
        <w:rPr>
          <w:rFonts w:ascii="Times New Roman" w:eastAsia="Times New Roman" w:hAnsi="Times New Roman" w:cs="Times New Roman"/>
          <w:bCs/>
          <w:sz w:val="24"/>
          <w:szCs w:val="24"/>
          <w:lang w:eastAsia="pl-PL"/>
        </w:rPr>
        <w:t xml:space="preserve"> polegających na propagowaniu ustrojów totalitarnych</w:t>
      </w:r>
      <w:r w:rsidR="00297A8B" w:rsidRPr="00B80A22">
        <w:rPr>
          <w:rFonts w:ascii="Times New Roman" w:eastAsia="Times New Roman" w:hAnsi="Times New Roman" w:cs="Times New Roman"/>
          <w:bCs/>
          <w:sz w:val="24"/>
          <w:szCs w:val="24"/>
          <w:lang w:eastAsia="pl-PL"/>
        </w:rPr>
        <w:t>,</w:t>
      </w:r>
      <w:r w:rsidRPr="00B80A22">
        <w:rPr>
          <w:rFonts w:ascii="Times New Roman" w:eastAsia="Times New Roman" w:hAnsi="Times New Roman" w:cs="Times New Roman"/>
          <w:bCs/>
          <w:sz w:val="24"/>
          <w:szCs w:val="24"/>
          <w:lang w:eastAsia="pl-PL"/>
        </w:rPr>
        <w:t xml:space="preserve"> jak również uzupełnia przesłanki rozwiązania działających stowarzyszeń. </w:t>
      </w:r>
    </w:p>
    <w:p w:rsidR="00B12F84" w:rsidRPr="00B80A22" w:rsidRDefault="00B12F84" w:rsidP="00B12F84">
      <w:pPr>
        <w:autoSpaceDE w:val="0"/>
        <w:autoSpaceDN w:val="0"/>
        <w:adjustRightInd w:val="0"/>
        <w:spacing w:before="149" w:after="0" w:line="360" w:lineRule="auto"/>
        <w:ind w:firstLine="686"/>
        <w:jc w:val="both"/>
        <w:rPr>
          <w:rFonts w:ascii="Times New Roman" w:eastAsia="Times New Roman" w:hAnsi="Times New Roman" w:cs="Times New Roman"/>
          <w:bCs/>
          <w:sz w:val="24"/>
          <w:szCs w:val="24"/>
          <w:lang w:eastAsia="pl-PL"/>
        </w:rPr>
      </w:pPr>
      <w:r w:rsidRPr="00B80A22">
        <w:rPr>
          <w:rFonts w:ascii="Times New Roman" w:eastAsia="Times New Roman" w:hAnsi="Times New Roman" w:cs="Times New Roman"/>
          <w:bCs/>
          <w:sz w:val="24"/>
          <w:szCs w:val="24"/>
          <w:lang w:eastAsia="pl-PL"/>
        </w:rPr>
        <w:t>W szczególności zaś projekt rozszerza zakres</w:t>
      </w:r>
      <w:r w:rsidR="00CE3C43" w:rsidRPr="00B80A22">
        <w:rPr>
          <w:rFonts w:ascii="Times New Roman" w:eastAsia="Times New Roman" w:hAnsi="Times New Roman" w:cs="Times New Roman"/>
          <w:bCs/>
          <w:sz w:val="24"/>
          <w:szCs w:val="24"/>
          <w:lang w:eastAsia="pl-PL"/>
        </w:rPr>
        <w:t xml:space="preserve"> normowania przepisu art. 256 § </w:t>
      </w:r>
      <w:r w:rsidRPr="00B80A22">
        <w:rPr>
          <w:rFonts w:ascii="Times New Roman" w:eastAsia="Times New Roman" w:hAnsi="Times New Roman" w:cs="Times New Roman"/>
          <w:bCs/>
          <w:sz w:val="24"/>
          <w:szCs w:val="24"/>
          <w:lang w:eastAsia="pl-PL"/>
        </w:rPr>
        <w:t>1 k.k., wprowadzając odpowiedzialność karną nie tylko w przypadku publicznego propagowania faszystowskiego lub innego total</w:t>
      </w:r>
      <w:r w:rsidR="00297A8B" w:rsidRPr="00B80A22">
        <w:rPr>
          <w:rFonts w:ascii="Times New Roman" w:eastAsia="Times New Roman" w:hAnsi="Times New Roman" w:cs="Times New Roman"/>
          <w:bCs/>
          <w:sz w:val="24"/>
          <w:szCs w:val="24"/>
          <w:lang w:eastAsia="pl-PL"/>
        </w:rPr>
        <w:t>itarnego ustroju, ale również w </w:t>
      </w:r>
      <w:r w:rsidRPr="00B80A22">
        <w:rPr>
          <w:rFonts w:ascii="Times New Roman" w:eastAsia="Times New Roman" w:hAnsi="Times New Roman" w:cs="Times New Roman"/>
          <w:bCs/>
          <w:sz w:val="24"/>
          <w:szCs w:val="24"/>
          <w:lang w:eastAsia="pl-PL"/>
        </w:rPr>
        <w:t>realiach organizowanych spotkań lub wydarzeń. Kryminalizacji podlegałyby, zgodnie z intencją projektodawców</w:t>
      </w:r>
      <w:r w:rsidR="00297A8B" w:rsidRPr="00B80A22">
        <w:rPr>
          <w:rFonts w:ascii="Times New Roman" w:eastAsia="Times New Roman" w:hAnsi="Times New Roman" w:cs="Times New Roman"/>
          <w:bCs/>
          <w:sz w:val="24"/>
          <w:szCs w:val="24"/>
          <w:lang w:eastAsia="pl-PL"/>
        </w:rPr>
        <w:t>,</w:t>
      </w:r>
      <w:r w:rsidRPr="00B80A22">
        <w:rPr>
          <w:rFonts w:ascii="Times New Roman" w:eastAsia="Times New Roman" w:hAnsi="Times New Roman" w:cs="Times New Roman"/>
          <w:bCs/>
          <w:sz w:val="24"/>
          <w:szCs w:val="24"/>
          <w:lang w:eastAsia="pl-PL"/>
        </w:rPr>
        <w:t xml:space="preserve"> także w/w działania, w których sprawca posługiwałby się środkami komunikacji elektronicznej. Projektodawcy uzupełnili nadto znamiona strony przedmiotowej, uznając za społecznie szkodliwe zachowania polegające na wyrażaniu aprobaty dla faszystowskiego lub innego ustroju totalitarnego, jak również eksponowaniu symboli, z którymi w przeszłości lub obecnie ustrój faszystowski lub inny</w:t>
      </w:r>
      <w:r w:rsidR="00044A44">
        <w:rPr>
          <w:rFonts w:ascii="Times New Roman" w:eastAsia="Times New Roman" w:hAnsi="Times New Roman" w:cs="Times New Roman"/>
          <w:bCs/>
          <w:sz w:val="24"/>
          <w:szCs w:val="24"/>
          <w:lang w:eastAsia="pl-PL"/>
        </w:rPr>
        <w:t xml:space="preserve"> ustrój</w:t>
      </w:r>
      <w:r w:rsidRPr="00B80A22">
        <w:rPr>
          <w:rFonts w:ascii="Times New Roman" w:eastAsia="Times New Roman" w:hAnsi="Times New Roman" w:cs="Times New Roman"/>
          <w:bCs/>
          <w:sz w:val="24"/>
          <w:szCs w:val="24"/>
          <w:lang w:eastAsia="pl-PL"/>
        </w:rPr>
        <w:t xml:space="preserve"> totalitarny był utożsamiany. </w:t>
      </w:r>
    </w:p>
    <w:p w:rsidR="00B12F84" w:rsidRPr="00B80A22" w:rsidRDefault="00B12F84" w:rsidP="00B12F84">
      <w:pPr>
        <w:autoSpaceDE w:val="0"/>
        <w:autoSpaceDN w:val="0"/>
        <w:adjustRightInd w:val="0"/>
        <w:spacing w:before="149" w:after="0" w:line="360" w:lineRule="auto"/>
        <w:ind w:firstLine="686"/>
        <w:jc w:val="both"/>
        <w:rPr>
          <w:rFonts w:ascii="Times New Roman" w:eastAsia="Times New Roman" w:hAnsi="Times New Roman" w:cs="Times New Roman"/>
          <w:bCs/>
          <w:sz w:val="24"/>
          <w:szCs w:val="24"/>
          <w:lang w:eastAsia="pl-PL"/>
        </w:rPr>
      </w:pPr>
      <w:r w:rsidRPr="00B80A22">
        <w:rPr>
          <w:rFonts w:ascii="Times New Roman" w:eastAsia="Times New Roman" w:hAnsi="Times New Roman" w:cs="Times New Roman"/>
          <w:bCs/>
          <w:sz w:val="24"/>
          <w:szCs w:val="24"/>
          <w:lang w:eastAsia="pl-PL"/>
        </w:rPr>
        <w:t>W art. 256 § 2 k.k. projektodawcy proponują rezygnację ze wskazania celu działania sprawcy, uznaj</w:t>
      </w:r>
      <w:r w:rsidR="00044A44">
        <w:rPr>
          <w:rFonts w:ascii="Times New Roman" w:eastAsia="Times New Roman" w:hAnsi="Times New Roman" w:cs="Times New Roman"/>
          <w:bCs/>
          <w:sz w:val="24"/>
          <w:szCs w:val="24"/>
          <w:lang w:eastAsia="pl-PL"/>
        </w:rPr>
        <w:t xml:space="preserve">ąc, że udowodnienie, </w:t>
      </w:r>
      <w:r w:rsidRPr="00B80A22">
        <w:rPr>
          <w:rFonts w:ascii="Times New Roman" w:eastAsia="Times New Roman" w:hAnsi="Times New Roman" w:cs="Times New Roman"/>
          <w:bCs/>
          <w:sz w:val="24"/>
          <w:szCs w:val="24"/>
          <w:lang w:eastAsia="pl-PL"/>
        </w:rPr>
        <w:t>ż</w:t>
      </w:r>
      <w:r w:rsidR="00044A44">
        <w:rPr>
          <w:rFonts w:ascii="Times New Roman" w:eastAsia="Times New Roman" w:hAnsi="Times New Roman" w:cs="Times New Roman"/>
          <w:bCs/>
          <w:sz w:val="24"/>
          <w:szCs w:val="24"/>
          <w:lang w:eastAsia="pl-PL"/>
        </w:rPr>
        <w:t>e</w:t>
      </w:r>
      <w:r w:rsidRPr="00B80A22">
        <w:rPr>
          <w:rFonts w:ascii="Times New Roman" w:eastAsia="Times New Roman" w:hAnsi="Times New Roman" w:cs="Times New Roman"/>
          <w:bCs/>
          <w:sz w:val="24"/>
          <w:szCs w:val="24"/>
          <w:lang w:eastAsia="pl-PL"/>
        </w:rPr>
        <w:t xml:space="preserve"> sprawca działał w celu rozpowszechniania, utrudnia ściganie osób, które gromadzą materiały i treści związane z ideologiami totalitarnymi na potrzeby nieformalnych lub zarejestrowanych organizacji. </w:t>
      </w:r>
    </w:p>
    <w:p w:rsidR="00B12F84" w:rsidRPr="00B80A22" w:rsidRDefault="00B12F84" w:rsidP="00B12F84">
      <w:pPr>
        <w:autoSpaceDE w:val="0"/>
        <w:autoSpaceDN w:val="0"/>
        <w:adjustRightInd w:val="0"/>
        <w:spacing w:before="149" w:after="0" w:line="360" w:lineRule="auto"/>
        <w:ind w:firstLine="686"/>
        <w:jc w:val="both"/>
        <w:rPr>
          <w:rFonts w:ascii="Times New Roman" w:hAnsi="Times New Roman" w:cs="Times New Roman"/>
          <w:bCs/>
          <w:color w:val="000000"/>
          <w:sz w:val="24"/>
          <w:szCs w:val="24"/>
        </w:rPr>
      </w:pPr>
      <w:r w:rsidRPr="00B80A22">
        <w:rPr>
          <w:rFonts w:ascii="Times New Roman" w:eastAsia="Times New Roman" w:hAnsi="Times New Roman" w:cs="Times New Roman"/>
          <w:bCs/>
          <w:sz w:val="24"/>
          <w:szCs w:val="24"/>
          <w:lang w:eastAsia="pl-PL"/>
        </w:rPr>
        <w:t xml:space="preserve">Nadto w ramach projektu znalazły się zmiany w zakresie </w:t>
      </w:r>
      <w:r w:rsidRPr="00B80A22">
        <w:rPr>
          <w:rFonts w:ascii="Times New Roman" w:eastAsia="Times New Roman" w:hAnsi="Times New Roman" w:cs="Times New Roman"/>
          <w:bCs/>
          <w:i/>
          <w:sz w:val="24"/>
          <w:szCs w:val="24"/>
          <w:lang w:eastAsia="pl-PL"/>
        </w:rPr>
        <w:t xml:space="preserve">ustawy z dnia </w:t>
      </w:r>
      <w:r w:rsidRPr="00B80A22">
        <w:rPr>
          <w:rFonts w:ascii="Times New Roman" w:eastAsia="Times New Roman" w:hAnsi="Times New Roman" w:cs="Times New Roman"/>
          <w:i/>
          <w:color w:val="000000"/>
          <w:sz w:val="24"/>
          <w:szCs w:val="24"/>
          <w:lang w:eastAsia="pl-PL"/>
        </w:rPr>
        <w:t>7 kwietnia 1989 r.</w:t>
      </w:r>
      <w:r w:rsidRPr="00B80A22">
        <w:rPr>
          <w:rFonts w:ascii="Times New Roman" w:hAnsi="Times New Roman" w:cs="Times New Roman"/>
          <w:bCs/>
          <w:i/>
          <w:color w:val="000000"/>
          <w:sz w:val="24"/>
          <w:szCs w:val="24"/>
        </w:rPr>
        <w:t xml:space="preserve"> </w:t>
      </w:r>
      <w:r w:rsidR="0019584E">
        <w:rPr>
          <w:rFonts w:ascii="Times New Roman" w:hAnsi="Times New Roman" w:cs="Times New Roman"/>
          <w:bCs/>
          <w:i/>
          <w:color w:val="000000"/>
          <w:sz w:val="24"/>
          <w:szCs w:val="24"/>
        </w:rPr>
        <w:t>–</w:t>
      </w:r>
      <w:r w:rsidRPr="00B80A22">
        <w:rPr>
          <w:rFonts w:ascii="Times New Roman" w:hAnsi="Times New Roman" w:cs="Times New Roman"/>
          <w:bCs/>
          <w:i/>
          <w:color w:val="000000"/>
          <w:sz w:val="24"/>
          <w:szCs w:val="24"/>
        </w:rPr>
        <w:t xml:space="preserve"> </w:t>
      </w:r>
      <w:r w:rsidRPr="00B80A22">
        <w:rPr>
          <w:rFonts w:ascii="Times New Roman" w:eastAsia="Times New Roman" w:hAnsi="Times New Roman" w:cs="Times New Roman"/>
          <w:bCs/>
          <w:i/>
          <w:color w:val="000000"/>
          <w:sz w:val="24"/>
          <w:szCs w:val="24"/>
          <w:lang w:eastAsia="pl-PL"/>
        </w:rPr>
        <w:t>Prawo o stowarzyszeniach</w:t>
      </w:r>
      <w:r w:rsidRPr="00B80A22">
        <w:rPr>
          <w:rFonts w:ascii="Times New Roman" w:eastAsia="Times New Roman" w:hAnsi="Times New Roman" w:cs="Times New Roman"/>
          <w:bCs/>
          <w:i/>
          <w:sz w:val="24"/>
          <w:szCs w:val="24"/>
          <w:lang w:eastAsia="pl-PL"/>
        </w:rPr>
        <w:t xml:space="preserve"> (</w:t>
      </w:r>
      <w:r w:rsidRPr="00B80A22">
        <w:rPr>
          <w:rFonts w:ascii="Times New Roman" w:hAnsi="Times New Roman" w:cs="Times New Roman"/>
          <w:bCs/>
          <w:i/>
          <w:color w:val="000000"/>
          <w:sz w:val="24"/>
          <w:szCs w:val="24"/>
        </w:rPr>
        <w:t xml:space="preserve">Dz.U. z 2017 r., poz. 210, z </w:t>
      </w:r>
      <w:proofErr w:type="spellStart"/>
      <w:r w:rsidRPr="00B80A22">
        <w:rPr>
          <w:rFonts w:ascii="Times New Roman" w:hAnsi="Times New Roman" w:cs="Times New Roman"/>
          <w:bCs/>
          <w:i/>
          <w:color w:val="000000"/>
          <w:sz w:val="24"/>
          <w:szCs w:val="24"/>
        </w:rPr>
        <w:t>późn</w:t>
      </w:r>
      <w:proofErr w:type="spellEnd"/>
      <w:r w:rsidRPr="00B80A22">
        <w:rPr>
          <w:rFonts w:ascii="Times New Roman" w:hAnsi="Times New Roman" w:cs="Times New Roman"/>
          <w:bCs/>
          <w:i/>
          <w:color w:val="000000"/>
          <w:sz w:val="24"/>
          <w:szCs w:val="24"/>
        </w:rPr>
        <w:t xml:space="preserve">. zm.) </w:t>
      </w:r>
      <w:r w:rsidRPr="00B80A22">
        <w:rPr>
          <w:rFonts w:ascii="Times New Roman" w:hAnsi="Times New Roman" w:cs="Times New Roman"/>
          <w:bCs/>
          <w:color w:val="000000"/>
          <w:sz w:val="24"/>
          <w:szCs w:val="24"/>
        </w:rPr>
        <w:t>dotyczące przesłanek rozwiązania stowarzyszenia. Projektodawcy zaproponowali</w:t>
      </w:r>
      <w:r w:rsidR="00044A44">
        <w:rPr>
          <w:rFonts w:ascii="Times New Roman" w:hAnsi="Times New Roman" w:cs="Times New Roman"/>
          <w:bCs/>
          <w:color w:val="000000"/>
          <w:sz w:val="24"/>
          <w:szCs w:val="24"/>
        </w:rPr>
        <w:t>,</w:t>
      </w:r>
      <w:r w:rsidRPr="00B80A22">
        <w:rPr>
          <w:rFonts w:ascii="Times New Roman" w:hAnsi="Times New Roman" w:cs="Times New Roman"/>
          <w:bCs/>
          <w:color w:val="000000"/>
          <w:sz w:val="24"/>
          <w:szCs w:val="24"/>
        </w:rPr>
        <w:t xml:space="preserve"> by tego rodzaju przesłanką było naruszenie art. 13 Konsty</w:t>
      </w:r>
      <w:r w:rsidR="00044A44">
        <w:rPr>
          <w:rFonts w:ascii="Times New Roman" w:hAnsi="Times New Roman" w:cs="Times New Roman"/>
          <w:bCs/>
          <w:color w:val="000000"/>
          <w:sz w:val="24"/>
          <w:szCs w:val="24"/>
        </w:rPr>
        <w:t>tucji Rzeczypospolitej Polskiej</w:t>
      </w:r>
      <w:r w:rsidRPr="00B80A22">
        <w:rPr>
          <w:rFonts w:ascii="Times New Roman" w:hAnsi="Times New Roman" w:cs="Times New Roman"/>
          <w:bCs/>
          <w:color w:val="000000"/>
          <w:sz w:val="24"/>
          <w:szCs w:val="24"/>
        </w:rPr>
        <w:t xml:space="preserve"> w działalności stowarzyszenia. </w:t>
      </w:r>
    </w:p>
    <w:p w:rsidR="00B12F84" w:rsidRPr="00B80A22" w:rsidRDefault="00B12F84" w:rsidP="00B12F84">
      <w:pPr>
        <w:autoSpaceDE w:val="0"/>
        <w:autoSpaceDN w:val="0"/>
        <w:adjustRightInd w:val="0"/>
        <w:spacing w:before="149" w:after="0" w:line="360" w:lineRule="auto"/>
        <w:ind w:firstLine="686"/>
        <w:jc w:val="both"/>
        <w:rPr>
          <w:rFonts w:ascii="Times New Roman" w:hAnsi="Times New Roman" w:cs="Times New Roman"/>
          <w:bCs/>
          <w:color w:val="000000"/>
          <w:sz w:val="24"/>
          <w:szCs w:val="24"/>
        </w:rPr>
      </w:pPr>
      <w:r w:rsidRPr="00B80A22">
        <w:rPr>
          <w:rFonts w:ascii="Times New Roman" w:hAnsi="Times New Roman" w:cs="Times New Roman"/>
          <w:bCs/>
          <w:color w:val="000000"/>
          <w:sz w:val="24"/>
          <w:szCs w:val="24"/>
        </w:rPr>
        <w:t>Nie kwestionując intencji projektodawców, których celem jest niewątpliwie wzmocnienie ochrony prawnokarnej w zakresie tzw</w:t>
      </w:r>
      <w:r w:rsidR="00297A8B" w:rsidRPr="00B80A22">
        <w:rPr>
          <w:rFonts w:ascii="Times New Roman" w:hAnsi="Times New Roman" w:cs="Times New Roman"/>
          <w:bCs/>
          <w:color w:val="000000"/>
          <w:sz w:val="24"/>
          <w:szCs w:val="24"/>
        </w:rPr>
        <w:t>. przestępstw z nienawiści, nie </w:t>
      </w:r>
      <w:r w:rsidRPr="00B80A22">
        <w:rPr>
          <w:rFonts w:ascii="Times New Roman" w:hAnsi="Times New Roman" w:cs="Times New Roman"/>
          <w:bCs/>
          <w:color w:val="000000"/>
          <w:sz w:val="24"/>
          <w:szCs w:val="24"/>
        </w:rPr>
        <w:t xml:space="preserve">można </w:t>
      </w:r>
      <w:r w:rsidR="00044A44">
        <w:rPr>
          <w:rFonts w:ascii="Times New Roman" w:hAnsi="Times New Roman" w:cs="Times New Roman"/>
          <w:bCs/>
          <w:color w:val="000000"/>
          <w:sz w:val="24"/>
          <w:szCs w:val="24"/>
        </w:rPr>
        <w:t xml:space="preserve">tracić jednak z pola widzenia, </w:t>
      </w:r>
      <w:r w:rsidRPr="00B80A22">
        <w:rPr>
          <w:rFonts w:ascii="Times New Roman" w:hAnsi="Times New Roman" w:cs="Times New Roman"/>
          <w:bCs/>
          <w:color w:val="000000"/>
          <w:sz w:val="24"/>
          <w:szCs w:val="24"/>
        </w:rPr>
        <w:t>ż</w:t>
      </w:r>
      <w:r w:rsidR="00044A44">
        <w:rPr>
          <w:rFonts w:ascii="Times New Roman" w:hAnsi="Times New Roman" w:cs="Times New Roman"/>
          <w:bCs/>
          <w:color w:val="000000"/>
          <w:sz w:val="24"/>
          <w:szCs w:val="24"/>
        </w:rPr>
        <w:t>e</w:t>
      </w:r>
      <w:r w:rsidRPr="00B80A22">
        <w:rPr>
          <w:rFonts w:ascii="Times New Roman" w:hAnsi="Times New Roman" w:cs="Times New Roman"/>
          <w:bCs/>
          <w:color w:val="000000"/>
          <w:sz w:val="24"/>
          <w:szCs w:val="24"/>
        </w:rPr>
        <w:t xml:space="preserve"> konstrukcje zaproponowanych przepisów karnych mogą </w:t>
      </w:r>
      <w:r w:rsidRPr="00B80A22">
        <w:rPr>
          <w:rFonts w:ascii="Times New Roman" w:hAnsi="Times New Roman" w:cs="Times New Roman"/>
          <w:bCs/>
          <w:color w:val="000000"/>
          <w:sz w:val="24"/>
          <w:szCs w:val="24"/>
        </w:rPr>
        <w:lastRenderedPageBreak/>
        <w:t xml:space="preserve">wywoływać wątpliwości co do zakresu ich normowania, a </w:t>
      </w:r>
      <w:r w:rsidR="00297A8B" w:rsidRPr="00B80A22">
        <w:rPr>
          <w:rFonts w:ascii="Times New Roman" w:hAnsi="Times New Roman" w:cs="Times New Roman"/>
          <w:bCs/>
          <w:color w:val="000000"/>
          <w:sz w:val="24"/>
          <w:szCs w:val="24"/>
        </w:rPr>
        <w:t> </w:t>
      </w:r>
      <w:r w:rsidRPr="00B80A22">
        <w:rPr>
          <w:rFonts w:ascii="Times New Roman" w:hAnsi="Times New Roman" w:cs="Times New Roman"/>
          <w:bCs/>
          <w:color w:val="000000"/>
          <w:sz w:val="24"/>
          <w:szCs w:val="24"/>
        </w:rPr>
        <w:t xml:space="preserve">tym samym utrudnić ich stosowanie w praktyce. </w:t>
      </w:r>
    </w:p>
    <w:p w:rsidR="00B12F84" w:rsidRPr="00B80A22" w:rsidRDefault="00B12F84" w:rsidP="00B12F84">
      <w:pPr>
        <w:spacing w:line="360" w:lineRule="auto"/>
        <w:ind w:firstLine="686"/>
        <w:jc w:val="both"/>
        <w:rPr>
          <w:rFonts w:ascii="Times New Roman" w:hAnsi="Times New Roman" w:cs="Times New Roman"/>
          <w:bCs/>
          <w:color w:val="000000"/>
          <w:sz w:val="24"/>
          <w:szCs w:val="24"/>
        </w:rPr>
      </w:pPr>
      <w:r w:rsidRPr="00B80A22">
        <w:rPr>
          <w:rFonts w:ascii="Times New Roman" w:hAnsi="Times New Roman" w:cs="Times New Roman"/>
          <w:bCs/>
          <w:color w:val="000000"/>
          <w:sz w:val="24"/>
          <w:szCs w:val="24"/>
        </w:rPr>
        <w:t>Zaproponowane brzmienie przepisu z art. 256 § 1 k.k. będzie rodziło wątpliwości interpretacyjne, z uwagi na posłużenie się przez projektodawców pojęciami nie tylko nieznanymi polskiej kodyfikacji karnej, ale również na tyle nieprecyzyjnymi</w:t>
      </w:r>
      <w:r w:rsidR="00297A8B" w:rsidRPr="00B80A22">
        <w:rPr>
          <w:rFonts w:ascii="Times New Roman" w:hAnsi="Times New Roman" w:cs="Times New Roman"/>
          <w:bCs/>
          <w:color w:val="000000"/>
          <w:sz w:val="24"/>
          <w:szCs w:val="24"/>
        </w:rPr>
        <w:t>,</w:t>
      </w:r>
      <w:r w:rsidRPr="00B80A22">
        <w:rPr>
          <w:rFonts w:ascii="Times New Roman" w:hAnsi="Times New Roman" w:cs="Times New Roman"/>
          <w:bCs/>
          <w:color w:val="000000"/>
          <w:sz w:val="24"/>
          <w:szCs w:val="24"/>
        </w:rPr>
        <w:t xml:space="preserve"> by można było jednoznacznie stwierdzić jakiego rodzaju zachowania będą rodzić odpowiedzialność karną.</w:t>
      </w:r>
      <w:r w:rsidR="002F3720">
        <w:rPr>
          <w:rFonts w:ascii="Times New Roman" w:hAnsi="Times New Roman" w:cs="Times New Roman"/>
          <w:bCs/>
          <w:color w:val="000000"/>
          <w:sz w:val="24"/>
          <w:szCs w:val="24"/>
        </w:rPr>
        <w:t xml:space="preserve"> Tytułem przykładu można przywołać</w:t>
      </w:r>
      <w:r w:rsidRPr="00B80A22">
        <w:rPr>
          <w:rFonts w:ascii="Times New Roman" w:hAnsi="Times New Roman" w:cs="Times New Roman"/>
          <w:bCs/>
          <w:color w:val="000000"/>
          <w:sz w:val="24"/>
          <w:szCs w:val="24"/>
        </w:rPr>
        <w:t xml:space="preserve"> chociażby określenie znamienia czasownikowego „wy</w:t>
      </w:r>
      <w:r w:rsidR="00297A8B" w:rsidRPr="00B80A22">
        <w:rPr>
          <w:rFonts w:ascii="Times New Roman" w:hAnsi="Times New Roman" w:cs="Times New Roman"/>
          <w:bCs/>
          <w:color w:val="000000"/>
          <w:sz w:val="24"/>
          <w:szCs w:val="24"/>
        </w:rPr>
        <w:t>raża aprobatę”. W </w:t>
      </w:r>
      <w:r w:rsidRPr="00B80A22">
        <w:rPr>
          <w:rFonts w:ascii="Times New Roman" w:hAnsi="Times New Roman" w:cs="Times New Roman"/>
          <w:bCs/>
          <w:color w:val="000000"/>
          <w:sz w:val="24"/>
          <w:szCs w:val="24"/>
        </w:rPr>
        <w:t>tym kontekście można zastanawiać się</w:t>
      </w:r>
      <w:r w:rsidR="00044A44">
        <w:rPr>
          <w:rFonts w:ascii="Times New Roman" w:hAnsi="Times New Roman" w:cs="Times New Roman"/>
          <w:bCs/>
          <w:color w:val="000000"/>
          <w:sz w:val="24"/>
          <w:szCs w:val="24"/>
        </w:rPr>
        <w:t>,</w:t>
      </w:r>
      <w:r w:rsidRPr="00B80A22">
        <w:rPr>
          <w:rFonts w:ascii="Times New Roman" w:hAnsi="Times New Roman" w:cs="Times New Roman"/>
          <w:bCs/>
          <w:color w:val="000000"/>
          <w:sz w:val="24"/>
          <w:szCs w:val="24"/>
        </w:rPr>
        <w:t xml:space="preserve"> czy projektodawcom chodziło wyłącznie o aktywne zachowania sprawcy, polegające na wyrażeniu wprost akceptacji dla ustroju faszystowskiego lub innego totalitarnego, czy też za wyrażenie aprobaty będzie można uznawać także niekwestionowanie działań afirmatywnych innych osób, dokonywanych w</w:t>
      </w:r>
      <w:r w:rsidR="00B80A22">
        <w:rPr>
          <w:rFonts w:ascii="Times New Roman" w:hAnsi="Times New Roman" w:cs="Times New Roman"/>
          <w:bCs/>
          <w:color w:val="000000"/>
          <w:sz w:val="24"/>
          <w:szCs w:val="24"/>
        </w:rPr>
        <w:t> </w:t>
      </w:r>
      <w:r w:rsidRPr="00B80A22">
        <w:rPr>
          <w:rFonts w:ascii="Times New Roman" w:hAnsi="Times New Roman" w:cs="Times New Roman"/>
          <w:bCs/>
          <w:color w:val="000000"/>
          <w:sz w:val="24"/>
          <w:szCs w:val="24"/>
        </w:rPr>
        <w:t xml:space="preserve">obecności potencjalnego sprawcy. </w:t>
      </w:r>
    </w:p>
    <w:p w:rsidR="00B12F84" w:rsidRPr="00B80A22" w:rsidRDefault="00B12F84" w:rsidP="00B12F84">
      <w:pPr>
        <w:spacing w:line="360" w:lineRule="auto"/>
        <w:ind w:firstLine="686"/>
        <w:jc w:val="both"/>
        <w:rPr>
          <w:rFonts w:ascii="Times New Roman" w:eastAsia="Times New Roman" w:hAnsi="Times New Roman" w:cs="Times New Roman"/>
          <w:bCs/>
          <w:color w:val="000000"/>
          <w:sz w:val="24"/>
          <w:szCs w:val="24"/>
          <w:lang w:eastAsia="pl-PL"/>
        </w:rPr>
      </w:pPr>
      <w:r w:rsidRPr="00B80A22">
        <w:rPr>
          <w:rFonts w:ascii="Times New Roman" w:hAnsi="Times New Roman" w:cs="Times New Roman"/>
          <w:bCs/>
          <w:color w:val="000000"/>
          <w:sz w:val="24"/>
          <w:szCs w:val="24"/>
        </w:rPr>
        <w:t xml:space="preserve">Wątpliwości w tym zakresie nie rozstrzyga uzasadnienie projektu, a </w:t>
      </w:r>
      <w:r w:rsidR="000B4844">
        <w:rPr>
          <w:rFonts w:ascii="Times New Roman" w:hAnsi="Times New Roman" w:cs="Times New Roman"/>
          <w:bCs/>
          <w:color w:val="000000"/>
          <w:sz w:val="24"/>
          <w:szCs w:val="24"/>
        </w:rPr>
        <w:t xml:space="preserve">mogą </w:t>
      </w:r>
      <w:r w:rsidR="00044A44">
        <w:rPr>
          <w:rFonts w:ascii="Times New Roman" w:hAnsi="Times New Roman" w:cs="Times New Roman"/>
          <w:bCs/>
          <w:color w:val="000000"/>
          <w:sz w:val="24"/>
          <w:szCs w:val="24"/>
        </w:rPr>
        <w:t>być</w:t>
      </w:r>
      <w:r w:rsidR="000B4844">
        <w:rPr>
          <w:rFonts w:ascii="Times New Roman" w:hAnsi="Times New Roman" w:cs="Times New Roman"/>
          <w:bCs/>
          <w:color w:val="000000"/>
          <w:sz w:val="24"/>
          <w:szCs w:val="24"/>
        </w:rPr>
        <w:t xml:space="preserve"> one</w:t>
      </w:r>
      <w:r w:rsidR="00044A44">
        <w:rPr>
          <w:rFonts w:ascii="Times New Roman" w:hAnsi="Times New Roman" w:cs="Times New Roman"/>
          <w:bCs/>
          <w:color w:val="000000"/>
          <w:sz w:val="24"/>
          <w:szCs w:val="24"/>
        </w:rPr>
        <w:t xml:space="preserve"> tym większe, że</w:t>
      </w:r>
      <w:r w:rsidRPr="00B80A22">
        <w:rPr>
          <w:rFonts w:ascii="Times New Roman" w:hAnsi="Times New Roman" w:cs="Times New Roman"/>
          <w:bCs/>
          <w:color w:val="000000"/>
          <w:sz w:val="24"/>
          <w:szCs w:val="24"/>
        </w:rPr>
        <w:t xml:space="preserve"> w</w:t>
      </w:r>
      <w:r w:rsidR="00044A44">
        <w:rPr>
          <w:rFonts w:ascii="Times New Roman" w:hAnsi="Times New Roman" w:cs="Times New Roman"/>
          <w:bCs/>
          <w:color w:val="000000"/>
          <w:sz w:val="24"/>
          <w:szCs w:val="24"/>
        </w:rPr>
        <w:t xml:space="preserve"> orzecznictwie Sądu Najwyższego</w:t>
      </w:r>
      <w:r w:rsidRPr="00B80A22">
        <w:rPr>
          <w:rFonts w:ascii="Times New Roman" w:hAnsi="Times New Roman" w:cs="Times New Roman"/>
          <w:bCs/>
          <w:color w:val="000000"/>
          <w:sz w:val="24"/>
          <w:szCs w:val="24"/>
        </w:rPr>
        <w:t xml:space="preserve"> można znaleźć pogląd wskazujący, że </w:t>
      </w:r>
      <w:r w:rsidRPr="00B80A22">
        <w:rPr>
          <w:rFonts w:ascii="Times New Roman" w:hAnsi="Times New Roman" w:cs="Times New Roman"/>
          <w:i/>
          <w:color w:val="000000"/>
          <w:sz w:val="24"/>
          <w:szCs w:val="24"/>
        </w:rPr>
        <w:t xml:space="preserve">"propagowanie", w rozumieniu przepisu art. 256 k.k., to szerzenie wiedzy o totalitarnym ustroju państwa i popieranie go, zachęcanie do wprowadzenia tego właśnie ustroju, podkreślanie jego zalet i przemilczanie wad (A. Zoll: Kodeks karny. Część szczególna, t. 2, Kraków 1999, s. 915; zob. też: O. </w:t>
      </w:r>
      <w:proofErr w:type="spellStart"/>
      <w:r w:rsidRPr="00B80A22">
        <w:rPr>
          <w:rFonts w:ascii="Times New Roman" w:hAnsi="Times New Roman" w:cs="Times New Roman"/>
          <w:i/>
          <w:color w:val="000000"/>
          <w:sz w:val="24"/>
          <w:szCs w:val="24"/>
        </w:rPr>
        <w:t>Górniok</w:t>
      </w:r>
      <w:proofErr w:type="spellEnd"/>
      <w:r w:rsidRPr="00B80A22">
        <w:rPr>
          <w:rFonts w:ascii="Times New Roman" w:hAnsi="Times New Roman" w:cs="Times New Roman"/>
          <w:i/>
          <w:color w:val="000000"/>
          <w:sz w:val="24"/>
          <w:szCs w:val="24"/>
        </w:rPr>
        <w:t xml:space="preserve"> w: O. </w:t>
      </w:r>
      <w:proofErr w:type="spellStart"/>
      <w:r w:rsidRPr="00B80A22">
        <w:rPr>
          <w:rFonts w:ascii="Times New Roman" w:hAnsi="Times New Roman" w:cs="Times New Roman"/>
          <w:i/>
          <w:color w:val="000000"/>
          <w:sz w:val="24"/>
          <w:szCs w:val="24"/>
        </w:rPr>
        <w:t>Górniok</w:t>
      </w:r>
      <w:proofErr w:type="spellEnd"/>
      <w:r w:rsidRPr="00B80A22">
        <w:rPr>
          <w:rFonts w:ascii="Times New Roman" w:hAnsi="Times New Roman" w:cs="Times New Roman"/>
          <w:i/>
          <w:color w:val="000000"/>
          <w:sz w:val="24"/>
          <w:szCs w:val="24"/>
        </w:rPr>
        <w:t xml:space="preserve">, St. Hoc, St. M. </w:t>
      </w:r>
      <w:proofErr w:type="spellStart"/>
      <w:r w:rsidRPr="00B80A22">
        <w:rPr>
          <w:rFonts w:ascii="Times New Roman" w:hAnsi="Times New Roman" w:cs="Times New Roman"/>
          <w:i/>
          <w:color w:val="000000"/>
          <w:sz w:val="24"/>
          <w:szCs w:val="24"/>
        </w:rPr>
        <w:t>Przyjemski</w:t>
      </w:r>
      <w:proofErr w:type="spellEnd"/>
      <w:r w:rsidRPr="00B80A22">
        <w:rPr>
          <w:rFonts w:ascii="Times New Roman" w:hAnsi="Times New Roman" w:cs="Times New Roman"/>
          <w:i/>
          <w:color w:val="000000"/>
          <w:sz w:val="24"/>
          <w:szCs w:val="24"/>
        </w:rPr>
        <w:t xml:space="preserve">: Kodeks karny. Komentarz. t. III, Gdańsk 1999, s. 301; M. Flemming, W. </w:t>
      </w:r>
      <w:proofErr w:type="spellStart"/>
      <w:r w:rsidRPr="00B80A22">
        <w:rPr>
          <w:rFonts w:ascii="Times New Roman" w:hAnsi="Times New Roman" w:cs="Times New Roman"/>
          <w:i/>
          <w:color w:val="000000"/>
          <w:sz w:val="24"/>
          <w:szCs w:val="24"/>
        </w:rPr>
        <w:t>Kutzmann</w:t>
      </w:r>
      <w:proofErr w:type="spellEnd"/>
      <w:r w:rsidRPr="00B80A22">
        <w:rPr>
          <w:rFonts w:ascii="Times New Roman" w:hAnsi="Times New Roman" w:cs="Times New Roman"/>
          <w:i/>
          <w:color w:val="000000"/>
          <w:sz w:val="24"/>
          <w:szCs w:val="24"/>
        </w:rPr>
        <w:t xml:space="preserve">: </w:t>
      </w:r>
      <w:proofErr w:type="spellStart"/>
      <w:r w:rsidRPr="00B80A22">
        <w:rPr>
          <w:rFonts w:ascii="Times New Roman" w:hAnsi="Times New Roman" w:cs="Times New Roman"/>
          <w:i/>
          <w:color w:val="000000"/>
          <w:sz w:val="24"/>
          <w:szCs w:val="24"/>
        </w:rPr>
        <w:t>op.cit</w:t>
      </w:r>
      <w:proofErr w:type="spellEnd"/>
      <w:r w:rsidRPr="00B80A22">
        <w:rPr>
          <w:rFonts w:ascii="Times New Roman" w:hAnsi="Times New Roman" w:cs="Times New Roman"/>
          <w:i/>
          <w:color w:val="000000"/>
          <w:sz w:val="24"/>
          <w:szCs w:val="24"/>
        </w:rPr>
        <w:t>., s. 66; J.</w:t>
      </w:r>
      <w:r w:rsidR="00EC5DA8">
        <w:rPr>
          <w:rFonts w:ascii="Times New Roman" w:hAnsi="Times New Roman" w:cs="Times New Roman"/>
          <w:i/>
          <w:color w:val="000000"/>
          <w:sz w:val="24"/>
          <w:szCs w:val="24"/>
        </w:rPr>
        <w:t> </w:t>
      </w:r>
      <w:r w:rsidRPr="00B80A22">
        <w:rPr>
          <w:rFonts w:ascii="Times New Roman" w:hAnsi="Times New Roman" w:cs="Times New Roman"/>
          <w:i/>
          <w:color w:val="000000"/>
          <w:sz w:val="24"/>
          <w:szCs w:val="24"/>
        </w:rPr>
        <w:t>Wojciechowski: Kodeks karny. Komentarz. Orzecznictwo, Warszawa 2000, s. 487; R.</w:t>
      </w:r>
      <w:r w:rsidR="00EC5DA8">
        <w:rPr>
          <w:rFonts w:ascii="Times New Roman" w:hAnsi="Times New Roman" w:cs="Times New Roman"/>
          <w:i/>
          <w:color w:val="000000"/>
          <w:sz w:val="24"/>
          <w:szCs w:val="24"/>
        </w:rPr>
        <w:t> </w:t>
      </w:r>
      <w:r w:rsidRPr="00B80A22">
        <w:rPr>
          <w:rFonts w:ascii="Times New Roman" w:hAnsi="Times New Roman" w:cs="Times New Roman"/>
          <w:i/>
          <w:color w:val="000000"/>
          <w:sz w:val="24"/>
          <w:szCs w:val="24"/>
        </w:rPr>
        <w:t xml:space="preserve">Góral: </w:t>
      </w:r>
      <w:proofErr w:type="spellStart"/>
      <w:r w:rsidRPr="00B80A22">
        <w:rPr>
          <w:rFonts w:ascii="Times New Roman" w:hAnsi="Times New Roman" w:cs="Times New Roman"/>
          <w:i/>
          <w:color w:val="000000"/>
          <w:sz w:val="24"/>
          <w:szCs w:val="24"/>
        </w:rPr>
        <w:t>op.cit</w:t>
      </w:r>
      <w:proofErr w:type="spellEnd"/>
      <w:r w:rsidRPr="00B80A22">
        <w:rPr>
          <w:rFonts w:ascii="Times New Roman" w:hAnsi="Times New Roman" w:cs="Times New Roman"/>
          <w:i/>
          <w:color w:val="000000"/>
          <w:sz w:val="24"/>
          <w:szCs w:val="24"/>
        </w:rPr>
        <w:t xml:space="preserve">., s. 336; A. Marek: Prawo karne, Warszawa 2001, s. 659; L. Gardocki: Prawo karne, Warszawa 2001, s. 287). Słusznie przy tym akcentuje się, że nie stanowi propagowania, w rozumieniu tego przepisu, samo prezentowanie zasad takiego ustroju, pozbawione angażowania się po jego stronie (J. Wojciechowski: </w:t>
      </w:r>
      <w:proofErr w:type="spellStart"/>
      <w:r w:rsidRPr="00B80A22">
        <w:rPr>
          <w:rFonts w:ascii="Times New Roman" w:hAnsi="Times New Roman" w:cs="Times New Roman"/>
          <w:i/>
          <w:color w:val="000000"/>
          <w:sz w:val="24"/>
          <w:szCs w:val="24"/>
        </w:rPr>
        <w:t>op.cit</w:t>
      </w:r>
      <w:proofErr w:type="spellEnd"/>
      <w:r w:rsidRPr="00B80A22">
        <w:rPr>
          <w:rFonts w:ascii="Times New Roman" w:hAnsi="Times New Roman" w:cs="Times New Roman"/>
          <w:i/>
          <w:color w:val="000000"/>
          <w:sz w:val="24"/>
          <w:szCs w:val="24"/>
        </w:rPr>
        <w:t>., s. 487), cytow</w:t>
      </w:r>
      <w:r w:rsidR="00297A8B" w:rsidRPr="00B80A22">
        <w:rPr>
          <w:rFonts w:ascii="Times New Roman" w:hAnsi="Times New Roman" w:cs="Times New Roman"/>
          <w:i/>
          <w:color w:val="000000"/>
          <w:sz w:val="24"/>
          <w:szCs w:val="24"/>
        </w:rPr>
        <w:t>anie i</w:t>
      </w:r>
      <w:r w:rsidR="00EC5DA8">
        <w:rPr>
          <w:rFonts w:ascii="Times New Roman" w:hAnsi="Times New Roman" w:cs="Times New Roman"/>
          <w:i/>
          <w:color w:val="000000"/>
          <w:sz w:val="24"/>
          <w:szCs w:val="24"/>
        </w:rPr>
        <w:t> </w:t>
      </w:r>
      <w:r w:rsidR="00297A8B" w:rsidRPr="00B80A22">
        <w:rPr>
          <w:rFonts w:ascii="Times New Roman" w:hAnsi="Times New Roman" w:cs="Times New Roman"/>
          <w:i/>
          <w:color w:val="000000"/>
          <w:sz w:val="24"/>
          <w:szCs w:val="24"/>
        </w:rPr>
        <w:t>publikowanie artykułów i </w:t>
      </w:r>
      <w:r w:rsidRPr="00B80A22">
        <w:rPr>
          <w:rFonts w:ascii="Times New Roman" w:hAnsi="Times New Roman" w:cs="Times New Roman"/>
          <w:i/>
          <w:color w:val="000000"/>
          <w:sz w:val="24"/>
          <w:szCs w:val="24"/>
        </w:rPr>
        <w:t>książek autorów gloryfikujących lub propagujących taki ustrój, jeżeli ich publikacja miała inne cele niż jego propagowanie (</w:t>
      </w:r>
      <w:r w:rsidR="00EC5DA8">
        <w:rPr>
          <w:rFonts w:ascii="Times New Roman" w:hAnsi="Times New Roman" w:cs="Times New Roman"/>
          <w:i/>
          <w:color w:val="000000"/>
          <w:sz w:val="24"/>
          <w:szCs w:val="24"/>
        </w:rPr>
        <w:t xml:space="preserve">L. Gardocki: </w:t>
      </w:r>
      <w:proofErr w:type="spellStart"/>
      <w:r w:rsidR="00EC5DA8">
        <w:rPr>
          <w:rFonts w:ascii="Times New Roman" w:hAnsi="Times New Roman" w:cs="Times New Roman"/>
          <w:i/>
          <w:color w:val="000000"/>
          <w:sz w:val="24"/>
          <w:szCs w:val="24"/>
        </w:rPr>
        <w:t>op.cit</w:t>
      </w:r>
      <w:proofErr w:type="spellEnd"/>
      <w:r w:rsidR="0019584E">
        <w:rPr>
          <w:rFonts w:ascii="Times New Roman" w:hAnsi="Times New Roman" w:cs="Times New Roman"/>
          <w:i/>
          <w:color w:val="000000"/>
          <w:sz w:val="24"/>
          <w:szCs w:val="24"/>
        </w:rPr>
        <w:t>., s. 287) –</w:t>
      </w:r>
      <w:r w:rsidR="00EC5DA8">
        <w:rPr>
          <w:rFonts w:ascii="Times New Roman" w:hAnsi="Times New Roman" w:cs="Times New Roman"/>
          <w:i/>
          <w:color w:val="000000"/>
          <w:sz w:val="24"/>
          <w:szCs w:val="24"/>
        </w:rPr>
        <w:t xml:space="preserve"> </w:t>
      </w:r>
      <w:r w:rsidRPr="00B80A22">
        <w:rPr>
          <w:rFonts w:ascii="Times New Roman" w:hAnsi="Times New Roman" w:cs="Times New Roman"/>
          <w:i/>
          <w:color w:val="000000"/>
          <w:sz w:val="24"/>
          <w:szCs w:val="24"/>
        </w:rPr>
        <w:t xml:space="preserve">tym bardziej, gdy jest to połączone z </w:t>
      </w:r>
      <w:r w:rsidR="00297A8B" w:rsidRPr="00B80A22">
        <w:rPr>
          <w:rFonts w:ascii="Times New Roman" w:hAnsi="Times New Roman" w:cs="Times New Roman"/>
          <w:i/>
          <w:color w:val="000000"/>
          <w:sz w:val="24"/>
          <w:szCs w:val="24"/>
        </w:rPr>
        <w:t> </w:t>
      </w:r>
      <w:r w:rsidRPr="00B80A22">
        <w:rPr>
          <w:rFonts w:ascii="Times New Roman" w:hAnsi="Times New Roman" w:cs="Times New Roman"/>
          <w:i/>
          <w:color w:val="000000"/>
          <w:sz w:val="24"/>
          <w:szCs w:val="24"/>
        </w:rPr>
        <w:t>krytycznym komentarzem, a także, gdy prezentowanie takiego ustroju ma służyć jedynie manifestacji osobistych poglądów, a nie przekonywaniu kogokolwiek (M.</w:t>
      </w:r>
      <w:r w:rsidR="00EC5DA8">
        <w:rPr>
          <w:rFonts w:ascii="Times New Roman" w:hAnsi="Times New Roman" w:cs="Times New Roman"/>
          <w:i/>
          <w:color w:val="000000"/>
          <w:sz w:val="24"/>
          <w:szCs w:val="24"/>
        </w:rPr>
        <w:t> </w:t>
      </w:r>
      <w:r w:rsidRPr="00B80A22">
        <w:rPr>
          <w:rFonts w:ascii="Times New Roman" w:hAnsi="Times New Roman" w:cs="Times New Roman"/>
          <w:i/>
          <w:color w:val="000000"/>
          <w:sz w:val="24"/>
          <w:szCs w:val="24"/>
        </w:rPr>
        <w:t xml:space="preserve">Flemming, W. </w:t>
      </w:r>
      <w:r w:rsidR="00297A8B" w:rsidRPr="00B80A22">
        <w:rPr>
          <w:rFonts w:ascii="Times New Roman" w:hAnsi="Times New Roman" w:cs="Times New Roman"/>
          <w:i/>
          <w:color w:val="000000"/>
          <w:sz w:val="24"/>
          <w:szCs w:val="24"/>
        </w:rPr>
        <w:t> </w:t>
      </w:r>
      <w:proofErr w:type="spellStart"/>
      <w:r w:rsidRPr="00B80A22">
        <w:rPr>
          <w:rFonts w:ascii="Times New Roman" w:hAnsi="Times New Roman" w:cs="Times New Roman"/>
          <w:i/>
          <w:color w:val="000000"/>
          <w:sz w:val="24"/>
          <w:szCs w:val="24"/>
        </w:rPr>
        <w:t>Kutzmann</w:t>
      </w:r>
      <w:proofErr w:type="spellEnd"/>
      <w:r w:rsidRPr="00B80A22">
        <w:rPr>
          <w:rFonts w:ascii="Times New Roman" w:hAnsi="Times New Roman" w:cs="Times New Roman"/>
          <w:i/>
          <w:color w:val="000000"/>
          <w:sz w:val="24"/>
          <w:szCs w:val="24"/>
        </w:rPr>
        <w:t xml:space="preserve">: </w:t>
      </w:r>
      <w:proofErr w:type="spellStart"/>
      <w:r w:rsidRPr="00B80A22">
        <w:rPr>
          <w:rFonts w:ascii="Times New Roman" w:hAnsi="Times New Roman" w:cs="Times New Roman"/>
          <w:i/>
          <w:color w:val="000000"/>
          <w:sz w:val="24"/>
          <w:szCs w:val="24"/>
        </w:rPr>
        <w:t>op.cit</w:t>
      </w:r>
      <w:proofErr w:type="spellEnd"/>
      <w:r w:rsidRPr="00B80A22">
        <w:rPr>
          <w:rFonts w:ascii="Times New Roman" w:hAnsi="Times New Roman" w:cs="Times New Roman"/>
          <w:i/>
          <w:color w:val="000000"/>
          <w:sz w:val="24"/>
          <w:szCs w:val="24"/>
        </w:rPr>
        <w:t xml:space="preserve">., s. 66). […]. Propagowanie oznacza prezentowanie tego rodzaju ustroju, co może mieć postać każdego zachowania, którego treścią jest rozpowszechnianie wiedzy dotyczącej ustroju państwa totalitarnego, a więc także wystawienie na widok publiczny symboli takiego państwa czy też wykonywanie określonych gestów identyfikowanych z takim ustrojem. Wszystko jednak zależy od niepowtarzalnych </w:t>
      </w:r>
      <w:r w:rsidRPr="00B80A22">
        <w:rPr>
          <w:rFonts w:ascii="Times New Roman" w:hAnsi="Times New Roman" w:cs="Times New Roman"/>
          <w:i/>
          <w:color w:val="000000"/>
          <w:sz w:val="24"/>
          <w:szCs w:val="24"/>
        </w:rPr>
        <w:lastRenderedPageBreak/>
        <w:t xml:space="preserve">okoliczności konkretnego zdarzenia, które, jak w tej sprawie, zdecydują o tym, czy określone zachowanie stanowi publiczne prezentowanie tego ustroju i </w:t>
      </w:r>
      <w:r w:rsidR="00297A8B" w:rsidRPr="00B80A22">
        <w:rPr>
          <w:rFonts w:ascii="Times New Roman" w:hAnsi="Times New Roman" w:cs="Times New Roman"/>
          <w:i/>
          <w:color w:val="000000"/>
          <w:sz w:val="24"/>
          <w:szCs w:val="24"/>
        </w:rPr>
        <w:t> </w:t>
      </w:r>
      <w:r w:rsidRPr="00B80A22">
        <w:rPr>
          <w:rFonts w:ascii="Times New Roman" w:hAnsi="Times New Roman" w:cs="Times New Roman"/>
          <w:i/>
          <w:color w:val="000000"/>
          <w:sz w:val="24"/>
          <w:szCs w:val="24"/>
        </w:rPr>
        <w:t xml:space="preserve">to </w:t>
      </w:r>
      <w:r w:rsidR="00297A8B" w:rsidRPr="00B80A22">
        <w:rPr>
          <w:rFonts w:ascii="Times New Roman" w:hAnsi="Times New Roman" w:cs="Times New Roman"/>
          <w:i/>
          <w:color w:val="000000"/>
          <w:sz w:val="24"/>
          <w:szCs w:val="24"/>
        </w:rPr>
        <w:t> </w:t>
      </w:r>
      <w:r w:rsidRPr="00B80A22">
        <w:rPr>
          <w:rFonts w:ascii="Times New Roman" w:hAnsi="Times New Roman" w:cs="Times New Roman"/>
          <w:i/>
          <w:color w:val="000000"/>
          <w:sz w:val="24"/>
          <w:szCs w:val="24"/>
        </w:rPr>
        <w:t>podjęte z zamiarem bezpośrednim przekonywania do tego ustroju. Trafnie przy tym akcentuje się, że przestępstwo to może być popełnione tylko ze szczególnie zabarwionym zamiarem wyrażenia aprobaty dla takiego ustroju (L. Gardocki: op. cit., s. 287).</w:t>
      </w:r>
      <w:r w:rsidRPr="00B80A22">
        <w:rPr>
          <w:rFonts w:ascii="Times New Roman" w:hAnsi="Times New Roman" w:cs="Times New Roman"/>
          <w:color w:val="000000"/>
          <w:sz w:val="24"/>
          <w:szCs w:val="24"/>
        </w:rPr>
        <w:t xml:space="preserve"> Zob. uchwała </w:t>
      </w:r>
      <w:r w:rsidRPr="00B80A22">
        <w:rPr>
          <w:rFonts w:ascii="Times New Roman" w:eastAsia="Times New Roman" w:hAnsi="Times New Roman" w:cs="Times New Roman"/>
          <w:color w:val="000000"/>
          <w:sz w:val="24"/>
          <w:szCs w:val="24"/>
          <w:lang w:eastAsia="pl-PL"/>
        </w:rPr>
        <w:t>Sądu Najwyższego z dnia 28</w:t>
      </w:r>
      <w:r w:rsidR="007329B3">
        <w:rPr>
          <w:rFonts w:ascii="Times New Roman" w:eastAsia="Times New Roman" w:hAnsi="Times New Roman" w:cs="Times New Roman"/>
          <w:color w:val="000000"/>
          <w:sz w:val="24"/>
          <w:szCs w:val="24"/>
          <w:lang w:eastAsia="pl-PL"/>
        </w:rPr>
        <w:t> </w:t>
      </w:r>
      <w:r w:rsidRPr="00B80A22">
        <w:rPr>
          <w:rFonts w:ascii="Times New Roman" w:eastAsia="Times New Roman" w:hAnsi="Times New Roman" w:cs="Times New Roman"/>
          <w:color w:val="000000"/>
          <w:sz w:val="24"/>
          <w:szCs w:val="24"/>
          <w:lang w:eastAsia="pl-PL"/>
        </w:rPr>
        <w:t xml:space="preserve">marca 2002 r. w sprawie </w:t>
      </w:r>
      <w:r w:rsidRPr="00B80A22">
        <w:rPr>
          <w:rFonts w:ascii="Times New Roman" w:eastAsia="Times New Roman" w:hAnsi="Times New Roman" w:cs="Times New Roman"/>
          <w:bCs/>
          <w:color w:val="000000"/>
          <w:sz w:val="24"/>
          <w:szCs w:val="24"/>
          <w:lang w:eastAsia="pl-PL"/>
        </w:rPr>
        <w:t xml:space="preserve">I KZP 5/02, LEX 2018. Z </w:t>
      </w:r>
      <w:r w:rsidR="00297A8B" w:rsidRPr="00B80A22">
        <w:rPr>
          <w:rFonts w:ascii="Times New Roman" w:eastAsia="Times New Roman" w:hAnsi="Times New Roman" w:cs="Times New Roman"/>
          <w:bCs/>
          <w:color w:val="000000"/>
          <w:sz w:val="24"/>
          <w:szCs w:val="24"/>
          <w:lang w:eastAsia="pl-PL"/>
        </w:rPr>
        <w:t> </w:t>
      </w:r>
      <w:r w:rsidRPr="00B80A22">
        <w:rPr>
          <w:rFonts w:ascii="Times New Roman" w:eastAsia="Times New Roman" w:hAnsi="Times New Roman" w:cs="Times New Roman"/>
          <w:bCs/>
          <w:color w:val="000000"/>
          <w:sz w:val="24"/>
          <w:szCs w:val="24"/>
          <w:lang w:eastAsia="pl-PL"/>
        </w:rPr>
        <w:t xml:space="preserve">w/w </w:t>
      </w:r>
      <w:r w:rsidR="00297A8B" w:rsidRPr="00B80A22">
        <w:rPr>
          <w:rFonts w:ascii="Times New Roman" w:eastAsia="Times New Roman" w:hAnsi="Times New Roman" w:cs="Times New Roman"/>
          <w:bCs/>
          <w:color w:val="000000"/>
          <w:sz w:val="24"/>
          <w:szCs w:val="24"/>
          <w:lang w:eastAsia="pl-PL"/>
        </w:rPr>
        <w:t> </w:t>
      </w:r>
      <w:r w:rsidR="00044A44">
        <w:rPr>
          <w:rFonts w:ascii="Times New Roman" w:eastAsia="Times New Roman" w:hAnsi="Times New Roman" w:cs="Times New Roman"/>
          <w:bCs/>
          <w:color w:val="000000"/>
          <w:sz w:val="24"/>
          <w:szCs w:val="24"/>
          <w:lang w:eastAsia="pl-PL"/>
        </w:rPr>
        <w:t xml:space="preserve">uchwały wynika zatem, </w:t>
      </w:r>
      <w:r w:rsidRPr="00B80A22">
        <w:rPr>
          <w:rFonts w:ascii="Times New Roman" w:eastAsia="Times New Roman" w:hAnsi="Times New Roman" w:cs="Times New Roman"/>
          <w:bCs/>
          <w:color w:val="000000"/>
          <w:sz w:val="24"/>
          <w:szCs w:val="24"/>
          <w:lang w:eastAsia="pl-PL"/>
        </w:rPr>
        <w:t>ż</w:t>
      </w:r>
      <w:r w:rsidR="00044A44">
        <w:rPr>
          <w:rFonts w:ascii="Times New Roman" w:eastAsia="Times New Roman" w:hAnsi="Times New Roman" w:cs="Times New Roman"/>
          <w:bCs/>
          <w:color w:val="000000"/>
          <w:sz w:val="24"/>
          <w:szCs w:val="24"/>
          <w:lang w:eastAsia="pl-PL"/>
        </w:rPr>
        <w:t>e</w:t>
      </w:r>
      <w:r w:rsidRPr="00B80A22">
        <w:rPr>
          <w:rFonts w:ascii="Times New Roman" w:eastAsia="Times New Roman" w:hAnsi="Times New Roman" w:cs="Times New Roman"/>
          <w:bCs/>
          <w:color w:val="000000"/>
          <w:sz w:val="24"/>
          <w:szCs w:val="24"/>
          <w:lang w:eastAsia="pl-PL"/>
        </w:rPr>
        <w:t xml:space="preserve"> w</w:t>
      </w:r>
      <w:r w:rsidR="007329B3">
        <w:rPr>
          <w:rFonts w:ascii="Times New Roman" w:eastAsia="Times New Roman" w:hAnsi="Times New Roman" w:cs="Times New Roman"/>
          <w:bCs/>
          <w:color w:val="000000"/>
          <w:sz w:val="24"/>
          <w:szCs w:val="24"/>
          <w:lang w:eastAsia="pl-PL"/>
        </w:rPr>
        <w:t> </w:t>
      </w:r>
      <w:bookmarkStart w:id="0" w:name="_GoBack"/>
      <w:bookmarkEnd w:id="0"/>
      <w:r w:rsidRPr="00B80A22">
        <w:rPr>
          <w:rFonts w:ascii="Times New Roman" w:eastAsia="Times New Roman" w:hAnsi="Times New Roman" w:cs="Times New Roman"/>
          <w:bCs/>
          <w:color w:val="000000"/>
          <w:sz w:val="24"/>
          <w:szCs w:val="24"/>
          <w:lang w:eastAsia="pl-PL"/>
        </w:rPr>
        <w:t xml:space="preserve">pojęciu propagowania może mieścić się wyrażanie aprobaty, jak również eksponowanie symbolu państwa totalitarnego, o </w:t>
      </w:r>
      <w:r w:rsidR="00297A8B" w:rsidRPr="00B80A22">
        <w:rPr>
          <w:rFonts w:ascii="Times New Roman" w:eastAsia="Times New Roman" w:hAnsi="Times New Roman" w:cs="Times New Roman"/>
          <w:bCs/>
          <w:color w:val="000000"/>
          <w:sz w:val="24"/>
          <w:szCs w:val="24"/>
          <w:lang w:eastAsia="pl-PL"/>
        </w:rPr>
        <w:t> </w:t>
      </w:r>
      <w:r w:rsidRPr="00B80A22">
        <w:rPr>
          <w:rFonts w:ascii="Times New Roman" w:eastAsia="Times New Roman" w:hAnsi="Times New Roman" w:cs="Times New Roman"/>
          <w:bCs/>
          <w:color w:val="000000"/>
          <w:sz w:val="24"/>
          <w:szCs w:val="24"/>
          <w:lang w:eastAsia="pl-PL"/>
        </w:rPr>
        <w:t xml:space="preserve">ile </w:t>
      </w:r>
      <w:r w:rsidR="00297A8B" w:rsidRPr="00B80A22">
        <w:rPr>
          <w:rFonts w:ascii="Times New Roman" w:eastAsia="Times New Roman" w:hAnsi="Times New Roman" w:cs="Times New Roman"/>
          <w:bCs/>
          <w:color w:val="000000"/>
          <w:sz w:val="24"/>
          <w:szCs w:val="24"/>
          <w:lang w:eastAsia="pl-PL"/>
        </w:rPr>
        <w:t> </w:t>
      </w:r>
      <w:r w:rsidRPr="00B80A22">
        <w:rPr>
          <w:rFonts w:ascii="Times New Roman" w:eastAsia="Times New Roman" w:hAnsi="Times New Roman" w:cs="Times New Roman"/>
          <w:bCs/>
          <w:color w:val="000000"/>
          <w:sz w:val="24"/>
          <w:szCs w:val="24"/>
          <w:lang w:eastAsia="pl-PL"/>
        </w:rPr>
        <w:t xml:space="preserve">sprawca działa w takim zamiarze. </w:t>
      </w:r>
    </w:p>
    <w:p w:rsidR="00B12F84" w:rsidRPr="00B80A22" w:rsidRDefault="00B12F84" w:rsidP="00B12F84">
      <w:pPr>
        <w:spacing w:line="360" w:lineRule="auto"/>
        <w:ind w:firstLine="686"/>
        <w:jc w:val="both"/>
        <w:rPr>
          <w:rFonts w:ascii="Times New Roman" w:eastAsia="Times New Roman" w:hAnsi="Times New Roman" w:cs="Times New Roman"/>
          <w:color w:val="000000"/>
          <w:sz w:val="24"/>
          <w:szCs w:val="24"/>
          <w:lang w:eastAsia="pl-PL"/>
        </w:rPr>
      </w:pPr>
      <w:r w:rsidRPr="00B80A22">
        <w:rPr>
          <w:rFonts w:ascii="Times New Roman" w:eastAsia="Times New Roman" w:hAnsi="Times New Roman" w:cs="Times New Roman"/>
          <w:bCs/>
          <w:color w:val="000000"/>
          <w:sz w:val="24"/>
          <w:szCs w:val="24"/>
          <w:lang w:eastAsia="pl-PL"/>
        </w:rPr>
        <w:t xml:space="preserve">Podobne wątpliwości mogą budzić pojęcia: „organizowane spotkania” lub „wydarzenia”, nie jest bowiem jasne, czy do realizacji znamion projektowanego przestępstwa niezbędnym będzie istnienie ram organizacyjnych dla danego spotkania lub wydarzenia (afisz, zaproszenie, lista zaproszonych gości i informacja o tym, kto jest organizatorem), czy też wystarczającym będzie uznanie, że chodzi również o codzienne spotkania o charakterze towarzyskim, poprzedzone jakimikolwiek działaniami organizacyjnymi. </w:t>
      </w:r>
    </w:p>
    <w:p w:rsidR="00B12F84" w:rsidRPr="00B80A22" w:rsidRDefault="00B12F84" w:rsidP="00B12F84">
      <w:pPr>
        <w:spacing w:after="0" w:line="360" w:lineRule="auto"/>
        <w:jc w:val="both"/>
        <w:rPr>
          <w:rFonts w:ascii="Times New Roman" w:eastAsia="Times New Roman" w:hAnsi="Times New Roman" w:cs="Times New Roman"/>
          <w:sz w:val="24"/>
          <w:szCs w:val="24"/>
          <w:lang w:eastAsia="pl-PL"/>
        </w:rPr>
      </w:pPr>
    </w:p>
    <w:p w:rsidR="00B12F84" w:rsidRPr="00B80A22" w:rsidRDefault="00B12F84" w:rsidP="00B12F84">
      <w:pPr>
        <w:spacing w:after="0" w:line="360" w:lineRule="auto"/>
        <w:ind w:firstLine="660"/>
        <w:jc w:val="both"/>
        <w:rPr>
          <w:rFonts w:ascii="Times New Roman" w:eastAsia="Times New Roman" w:hAnsi="Times New Roman" w:cs="Times New Roman"/>
          <w:sz w:val="24"/>
          <w:szCs w:val="24"/>
          <w:lang w:eastAsia="pl-PL"/>
        </w:rPr>
      </w:pPr>
      <w:r w:rsidRPr="00B80A22">
        <w:rPr>
          <w:rFonts w:ascii="Times New Roman" w:eastAsiaTheme="minorEastAsia" w:hAnsi="Times New Roman" w:cs="Times New Roman"/>
          <w:sz w:val="24"/>
          <w:szCs w:val="24"/>
          <w:lang w:eastAsia="pl-PL"/>
        </w:rPr>
        <w:t xml:space="preserve">Zgodnie z utrwalonym orzecznictwem Trybunału Konstytucyjnego, </w:t>
      </w:r>
      <w:r w:rsidRPr="00B80A22">
        <w:rPr>
          <w:rFonts w:ascii="Times New Roman" w:eastAsia="Times New Roman" w:hAnsi="Times New Roman" w:cs="Times New Roman"/>
          <w:i/>
          <w:sz w:val="24"/>
          <w:szCs w:val="24"/>
          <w:lang w:eastAsia="pl-PL"/>
        </w:rPr>
        <w:t>każda regulacja prawna, nawet o charakterze ustawowym, dająca organowi państwowemu uprawnienie do wkraczania w sferę praw i wolności obywatelskich, musi spełniać warunek dostatecznej określoności. Należy przez to rozumieć precyzyjne wyznaczenie dopuszczalnego zakresu ingerencji oraz trybu, w jakim podmiot ograniczony w swoich prawach i wolnościach może bronić się przed</w:t>
      </w:r>
      <w:r w:rsidRPr="00B80A22">
        <w:rPr>
          <w:rFonts w:ascii="Times New Roman" w:eastAsia="Times New Roman" w:hAnsi="Times New Roman" w:cs="Times New Roman"/>
          <w:i/>
          <w:color w:val="FF0000"/>
          <w:sz w:val="24"/>
          <w:szCs w:val="24"/>
          <w:lang w:eastAsia="pl-PL"/>
        </w:rPr>
        <w:t xml:space="preserve"> </w:t>
      </w:r>
      <w:r w:rsidRPr="00B80A22">
        <w:rPr>
          <w:rFonts w:ascii="Times New Roman" w:eastAsia="Times New Roman" w:hAnsi="Times New Roman" w:cs="Times New Roman"/>
          <w:i/>
          <w:sz w:val="24"/>
          <w:szCs w:val="24"/>
          <w:lang w:eastAsia="pl-PL"/>
        </w:rPr>
        <w:t xml:space="preserve">nieuzasadnionym naruszeniem jego dóbr osobistych. </w:t>
      </w:r>
      <w:r w:rsidRPr="00B80A22">
        <w:rPr>
          <w:rFonts w:ascii="Times New Roman" w:eastAsia="Times New Roman" w:hAnsi="Times New Roman" w:cs="Times New Roman"/>
          <w:sz w:val="24"/>
          <w:szCs w:val="24"/>
          <w:lang w:eastAsia="pl-PL"/>
        </w:rPr>
        <w:t>(zob. postanowienie z</w:t>
      </w:r>
      <w:r w:rsidR="00B80A22">
        <w:rPr>
          <w:rFonts w:ascii="Times New Roman" w:eastAsia="Times New Roman" w:hAnsi="Times New Roman" w:cs="Times New Roman"/>
          <w:sz w:val="24"/>
          <w:szCs w:val="24"/>
          <w:lang w:eastAsia="pl-PL"/>
        </w:rPr>
        <w:t> </w:t>
      </w:r>
      <w:r w:rsidRPr="00B80A22">
        <w:rPr>
          <w:rFonts w:ascii="Times New Roman" w:eastAsia="Times New Roman" w:hAnsi="Times New Roman" w:cs="Times New Roman"/>
          <w:sz w:val="24"/>
          <w:szCs w:val="24"/>
          <w:lang w:eastAsia="pl-PL"/>
        </w:rPr>
        <w:t>13 czerwca 1994 r. sygn. S 1/94 (</w:t>
      </w:r>
      <w:r w:rsidRPr="00B80A22">
        <w:rPr>
          <w:rFonts w:ascii="Times New Roman" w:eastAsia="Times New Roman" w:hAnsi="Times New Roman" w:cs="Times New Roman"/>
          <w:iCs/>
          <w:sz w:val="24"/>
          <w:szCs w:val="24"/>
          <w:lang w:eastAsia="pl-PL"/>
        </w:rPr>
        <w:t>OTK ZU w</w:t>
      </w:r>
      <w:r w:rsidRPr="00B80A22">
        <w:rPr>
          <w:rFonts w:ascii="Times New Roman" w:eastAsia="Times New Roman" w:hAnsi="Times New Roman" w:cs="Times New Roman"/>
          <w:color w:val="FF0000"/>
          <w:sz w:val="24"/>
          <w:szCs w:val="24"/>
          <w:lang w:eastAsia="pl-PL"/>
        </w:rPr>
        <w:t xml:space="preserve"> </w:t>
      </w:r>
      <w:r w:rsidRPr="00B80A22">
        <w:rPr>
          <w:rFonts w:ascii="Times New Roman" w:eastAsia="Times New Roman" w:hAnsi="Times New Roman" w:cs="Times New Roman"/>
          <w:sz w:val="24"/>
          <w:szCs w:val="24"/>
          <w:lang w:eastAsia="pl-PL"/>
        </w:rPr>
        <w:t>1994</w:t>
      </w:r>
      <w:r w:rsidRPr="00B80A22">
        <w:rPr>
          <w:rFonts w:ascii="Times New Roman" w:eastAsia="Times New Roman" w:hAnsi="Times New Roman" w:cs="Times New Roman"/>
          <w:color w:val="FF0000"/>
          <w:sz w:val="24"/>
          <w:szCs w:val="24"/>
          <w:lang w:eastAsia="pl-PL"/>
        </w:rPr>
        <w:t xml:space="preserve"> </w:t>
      </w:r>
      <w:r w:rsidRPr="00B80A22">
        <w:rPr>
          <w:rFonts w:ascii="Times New Roman" w:eastAsia="Times New Roman" w:hAnsi="Times New Roman" w:cs="Times New Roman"/>
          <w:sz w:val="24"/>
          <w:szCs w:val="24"/>
          <w:lang w:eastAsia="pl-PL"/>
        </w:rPr>
        <w:t xml:space="preserve">r., poz. 28)). </w:t>
      </w:r>
    </w:p>
    <w:p w:rsidR="00B12F84" w:rsidRPr="00B80A22" w:rsidRDefault="00B12F84" w:rsidP="00B12F84">
      <w:pPr>
        <w:spacing w:after="0" w:line="360" w:lineRule="auto"/>
        <w:ind w:firstLine="660"/>
        <w:jc w:val="both"/>
        <w:rPr>
          <w:rFonts w:ascii="Times New Roman" w:eastAsia="Times New Roman" w:hAnsi="Times New Roman" w:cs="Times New Roman"/>
          <w:sz w:val="24"/>
          <w:szCs w:val="24"/>
          <w:lang w:eastAsia="pl-PL"/>
        </w:rPr>
      </w:pPr>
      <w:r w:rsidRPr="00B80A22">
        <w:rPr>
          <w:rFonts w:ascii="Times New Roman" w:eastAsia="Times New Roman" w:hAnsi="Times New Roman" w:cs="Times New Roman"/>
          <w:sz w:val="24"/>
          <w:szCs w:val="24"/>
          <w:lang w:eastAsia="pl-PL"/>
        </w:rPr>
        <w:t>Z kolei w wyroku z 26 listopada 2003 r. w sprawie SK 22/02 (OTK ZU nr</w:t>
      </w:r>
      <w:r w:rsidR="00297A8B" w:rsidRPr="00B80A22">
        <w:rPr>
          <w:rFonts w:ascii="Times New Roman" w:eastAsia="Times New Roman" w:hAnsi="Times New Roman" w:cs="Times New Roman"/>
          <w:color w:val="FF0000"/>
          <w:sz w:val="24"/>
          <w:szCs w:val="24"/>
          <w:lang w:eastAsia="pl-PL"/>
        </w:rPr>
        <w:t> </w:t>
      </w:r>
      <w:r w:rsidRPr="00B80A22">
        <w:rPr>
          <w:rFonts w:ascii="Times New Roman" w:eastAsia="Times New Roman" w:hAnsi="Times New Roman" w:cs="Times New Roman"/>
          <w:sz w:val="24"/>
          <w:szCs w:val="24"/>
          <w:lang w:eastAsia="pl-PL"/>
        </w:rPr>
        <w:t>9/A</w:t>
      </w:r>
      <w:r w:rsidR="00B23901">
        <w:rPr>
          <w:rFonts w:ascii="Times New Roman" w:eastAsia="Times New Roman" w:hAnsi="Times New Roman" w:cs="Times New Roman"/>
          <w:sz w:val="24"/>
          <w:szCs w:val="24"/>
          <w:lang w:eastAsia="pl-PL"/>
        </w:rPr>
        <w:t>/2003, poz. 97, pkt 4) Trybunał</w:t>
      </w:r>
      <w:r w:rsidRPr="00B80A22">
        <w:rPr>
          <w:rFonts w:ascii="Times New Roman" w:eastAsia="Times New Roman" w:hAnsi="Times New Roman" w:cs="Times New Roman"/>
          <w:sz w:val="24"/>
          <w:szCs w:val="24"/>
          <w:lang w:eastAsia="pl-PL"/>
        </w:rPr>
        <w:t xml:space="preserve"> zaznaczył, że: „</w:t>
      </w:r>
      <w:r w:rsidRPr="00B80A22">
        <w:rPr>
          <w:rFonts w:ascii="Times New Roman" w:eastAsia="Times New Roman" w:hAnsi="Times New Roman" w:cs="Times New Roman"/>
          <w:i/>
          <w:sz w:val="24"/>
          <w:szCs w:val="24"/>
          <w:lang w:eastAsia="pl-PL"/>
        </w:rPr>
        <w:t>Reguła określoności wskazana w art. 42 Konstytucji wyznacza zatem dopuszczalność i zakres stosowania norm prawa karnego o charakterze blankietowym. Nakazuje ona ustawodawcy takie wskazanie czynu zabronionego (jego znamion), aby zarówno dla adresata normy prawnokarnej, jak i organów stosujących prawo i</w:t>
      </w:r>
      <w:r w:rsidR="00B80A22">
        <w:rPr>
          <w:rFonts w:ascii="Times New Roman" w:eastAsia="Times New Roman" w:hAnsi="Times New Roman" w:cs="Times New Roman"/>
          <w:i/>
          <w:sz w:val="24"/>
          <w:szCs w:val="24"/>
          <w:lang w:eastAsia="pl-PL"/>
        </w:rPr>
        <w:t> </w:t>
      </w:r>
      <w:r w:rsidRPr="00B80A22">
        <w:rPr>
          <w:rFonts w:ascii="Times New Roman" w:eastAsia="Times New Roman" w:hAnsi="Times New Roman" w:cs="Times New Roman"/>
          <w:i/>
          <w:sz w:val="24"/>
          <w:szCs w:val="24"/>
          <w:lang w:eastAsia="pl-PL"/>
        </w:rPr>
        <w:t>dokonujących «odkodowania» treści regulacji w drodze wykładni normy prawa karnego nie budziło wątpliwości to, czy określone zachowanie in concreto wypełnia te znamiona. Skoro bowiem ustawa wprowa</w:t>
      </w:r>
      <w:r w:rsidR="00EC5DA8">
        <w:rPr>
          <w:rFonts w:ascii="Times New Roman" w:eastAsia="Times New Roman" w:hAnsi="Times New Roman" w:cs="Times New Roman"/>
          <w:i/>
          <w:sz w:val="24"/>
          <w:szCs w:val="24"/>
          <w:lang w:eastAsia="pl-PL"/>
        </w:rPr>
        <w:t xml:space="preserve">dza sankcję w przypadku </w:t>
      </w:r>
      <w:proofErr w:type="spellStart"/>
      <w:r w:rsidR="00EC5DA8">
        <w:rPr>
          <w:rFonts w:ascii="Times New Roman" w:eastAsia="Times New Roman" w:hAnsi="Times New Roman" w:cs="Times New Roman"/>
          <w:i/>
          <w:sz w:val="24"/>
          <w:szCs w:val="24"/>
          <w:lang w:eastAsia="pl-PL"/>
        </w:rPr>
        <w:t>zachowań</w:t>
      </w:r>
      <w:proofErr w:type="spellEnd"/>
      <w:r w:rsidRPr="00B80A22">
        <w:rPr>
          <w:rFonts w:ascii="Times New Roman" w:eastAsia="Times New Roman" w:hAnsi="Times New Roman" w:cs="Times New Roman"/>
          <w:i/>
          <w:sz w:val="24"/>
          <w:szCs w:val="24"/>
          <w:lang w:eastAsia="pl-PL"/>
        </w:rPr>
        <w:t xml:space="preserve"> zabronionych, nie może pozostawiać jednostki w</w:t>
      </w:r>
      <w:r w:rsidRPr="00B80A22">
        <w:rPr>
          <w:rFonts w:ascii="Times New Roman" w:eastAsia="Times New Roman" w:hAnsi="Times New Roman" w:cs="Times New Roman"/>
          <w:i/>
          <w:color w:val="FF0000"/>
          <w:sz w:val="24"/>
          <w:szCs w:val="24"/>
          <w:lang w:eastAsia="pl-PL"/>
        </w:rPr>
        <w:t xml:space="preserve"> </w:t>
      </w:r>
      <w:r w:rsidRPr="00B80A22">
        <w:rPr>
          <w:rFonts w:ascii="Times New Roman" w:eastAsia="Times New Roman" w:hAnsi="Times New Roman" w:cs="Times New Roman"/>
          <w:i/>
          <w:sz w:val="24"/>
          <w:szCs w:val="24"/>
          <w:lang w:eastAsia="pl-PL"/>
        </w:rPr>
        <w:t>nieświadomości czy nawet niepewności co do tego, czy pewne zachowanie stanowi czyn zabroniony pod groźbą takiej sankcji.”</w:t>
      </w:r>
    </w:p>
    <w:p w:rsidR="00B12F84" w:rsidRPr="00B80A22" w:rsidRDefault="00B12F84" w:rsidP="00B12F84">
      <w:pPr>
        <w:spacing w:after="0" w:line="360" w:lineRule="auto"/>
        <w:ind w:firstLine="660"/>
        <w:jc w:val="both"/>
        <w:rPr>
          <w:rFonts w:ascii="Times New Roman" w:eastAsia="Times New Roman" w:hAnsi="Times New Roman" w:cs="Times New Roman"/>
          <w:sz w:val="24"/>
          <w:szCs w:val="24"/>
          <w:lang w:eastAsia="pl-PL"/>
        </w:rPr>
      </w:pPr>
      <w:r w:rsidRPr="00B80A22">
        <w:rPr>
          <w:rFonts w:ascii="Times New Roman" w:eastAsia="Times New Roman" w:hAnsi="Times New Roman" w:cs="Times New Roman"/>
          <w:sz w:val="24"/>
          <w:szCs w:val="24"/>
          <w:lang w:eastAsia="pl-PL"/>
        </w:rPr>
        <w:lastRenderedPageBreak/>
        <w:t>W tym kontekście</w:t>
      </w:r>
      <w:r w:rsidR="00044A44">
        <w:rPr>
          <w:rFonts w:ascii="Times New Roman" w:eastAsia="Times New Roman" w:hAnsi="Times New Roman" w:cs="Times New Roman"/>
          <w:sz w:val="24"/>
          <w:szCs w:val="24"/>
          <w:lang w:eastAsia="pl-PL"/>
        </w:rPr>
        <w:t xml:space="preserve">, analizując </w:t>
      </w:r>
      <w:r w:rsidRPr="00B80A22">
        <w:rPr>
          <w:rFonts w:ascii="Times New Roman" w:eastAsia="Times New Roman" w:hAnsi="Times New Roman" w:cs="Times New Roman"/>
          <w:sz w:val="24"/>
          <w:szCs w:val="24"/>
          <w:lang w:eastAsia="pl-PL"/>
        </w:rPr>
        <w:t xml:space="preserve">kształt propozycji przedstawionych w </w:t>
      </w:r>
      <w:r w:rsidR="00297A8B" w:rsidRPr="00B80A22">
        <w:rPr>
          <w:rFonts w:ascii="Times New Roman" w:eastAsia="Times New Roman" w:hAnsi="Times New Roman" w:cs="Times New Roman"/>
          <w:sz w:val="24"/>
          <w:szCs w:val="24"/>
          <w:lang w:eastAsia="pl-PL"/>
        </w:rPr>
        <w:t> </w:t>
      </w:r>
      <w:r w:rsidRPr="00B80A22">
        <w:rPr>
          <w:rFonts w:ascii="Times New Roman" w:eastAsia="Times New Roman" w:hAnsi="Times New Roman" w:cs="Times New Roman"/>
          <w:sz w:val="24"/>
          <w:szCs w:val="24"/>
          <w:lang w:eastAsia="pl-PL"/>
        </w:rPr>
        <w:t>projekcie</w:t>
      </w:r>
      <w:r w:rsidR="00044A44">
        <w:rPr>
          <w:rFonts w:ascii="Times New Roman" w:eastAsia="Times New Roman" w:hAnsi="Times New Roman" w:cs="Times New Roman"/>
          <w:sz w:val="24"/>
          <w:szCs w:val="24"/>
          <w:lang w:eastAsia="pl-PL"/>
        </w:rPr>
        <w:t>,</w:t>
      </w:r>
      <w:r w:rsidRPr="00B80A22">
        <w:rPr>
          <w:rFonts w:ascii="Times New Roman" w:eastAsia="Times New Roman" w:hAnsi="Times New Roman" w:cs="Times New Roman"/>
          <w:sz w:val="24"/>
          <w:szCs w:val="24"/>
          <w:lang w:eastAsia="pl-PL"/>
        </w:rPr>
        <w:t xml:space="preserve"> nie można uznać</w:t>
      </w:r>
      <w:r w:rsidR="00297A8B" w:rsidRPr="00B80A22">
        <w:rPr>
          <w:rFonts w:ascii="Times New Roman" w:eastAsia="Times New Roman" w:hAnsi="Times New Roman" w:cs="Times New Roman"/>
          <w:sz w:val="24"/>
          <w:szCs w:val="24"/>
          <w:lang w:eastAsia="pl-PL"/>
        </w:rPr>
        <w:t>, by były</w:t>
      </w:r>
      <w:r w:rsidRPr="00B80A22">
        <w:rPr>
          <w:rFonts w:ascii="Times New Roman" w:eastAsia="Times New Roman" w:hAnsi="Times New Roman" w:cs="Times New Roman"/>
          <w:sz w:val="24"/>
          <w:szCs w:val="24"/>
          <w:lang w:eastAsia="pl-PL"/>
        </w:rPr>
        <w:t xml:space="preserve"> one </w:t>
      </w:r>
      <w:r w:rsidR="00297A8B" w:rsidRPr="00B80A22">
        <w:rPr>
          <w:rFonts w:ascii="Times New Roman" w:eastAsia="Times New Roman" w:hAnsi="Times New Roman" w:cs="Times New Roman"/>
          <w:sz w:val="24"/>
          <w:szCs w:val="24"/>
          <w:lang w:eastAsia="pl-PL"/>
        </w:rPr>
        <w:t>zgodne z zasadą</w:t>
      </w:r>
      <w:r w:rsidRPr="00B80A22">
        <w:rPr>
          <w:rFonts w:ascii="Times New Roman" w:eastAsia="Times New Roman" w:hAnsi="Times New Roman" w:cs="Times New Roman"/>
          <w:sz w:val="24"/>
          <w:szCs w:val="24"/>
          <w:lang w:eastAsia="pl-PL"/>
        </w:rPr>
        <w:t xml:space="preserve"> </w:t>
      </w:r>
      <w:proofErr w:type="spellStart"/>
      <w:r w:rsidRPr="00B80A22">
        <w:rPr>
          <w:rFonts w:ascii="Times New Roman" w:eastAsia="Times New Roman" w:hAnsi="Times New Roman" w:cs="Times New Roman"/>
          <w:i/>
          <w:sz w:val="24"/>
          <w:szCs w:val="24"/>
          <w:lang w:eastAsia="pl-PL"/>
        </w:rPr>
        <w:t>nulla</w:t>
      </w:r>
      <w:proofErr w:type="spellEnd"/>
      <w:r w:rsidRPr="00B80A22">
        <w:rPr>
          <w:rFonts w:ascii="Times New Roman" w:eastAsia="Times New Roman" w:hAnsi="Times New Roman" w:cs="Times New Roman"/>
          <w:i/>
          <w:sz w:val="24"/>
          <w:szCs w:val="24"/>
          <w:lang w:eastAsia="pl-PL"/>
        </w:rPr>
        <w:t xml:space="preserve"> poena sine lege certa</w:t>
      </w:r>
      <w:r w:rsidRPr="00B80A22">
        <w:rPr>
          <w:rFonts w:ascii="Times New Roman" w:eastAsia="Times New Roman" w:hAnsi="Times New Roman" w:cs="Times New Roman"/>
          <w:sz w:val="24"/>
          <w:szCs w:val="24"/>
          <w:lang w:eastAsia="pl-PL"/>
        </w:rPr>
        <w:t xml:space="preserve">. </w:t>
      </w:r>
    </w:p>
    <w:p w:rsidR="00B12F84" w:rsidRPr="00B80A22" w:rsidRDefault="00B12F84" w:rsidP="00B12F84">
      <w:pPr>
        <w:autoSpaceDE w:val="0"/>
        <w:autoSpaceDN w:val="0"/>
        <w:adjustRightInd w:val="0"/>
        <w:spacing w:after="0" w:line="360" w:lineRule="auto"/>
        <w:ind w:firstLine="701"/>
        <w:jc w:val="both"/>
        <w:rPr>
          <w:rFonts w:ascii="Times New Roman" w:eastAsiaTheme="minorEastAsia" w:hAnsi="Times New Roman" w:cs="Times New Roman"/>
          <w:sz w:val="24"/>
          <w:szCs w:val="24"/>
          <w:lang w:eastAsia="pl-PL"/>
        </w:rPr>
      </w:pPr>
      <w:r w:rsidRPr="00B80A22">
        <w:rPr>
          <w:rFonts w:ascii="Times New Roman" w:eastAsiaTheme="minorEastAsia" w:hAnsi="Times New Roman" w:cs="Times New Roman"/>
          <w:sz w:val="24"/>
          <w:szCs w:val="24"/>
          <w:lang w:eastAsia="pl-PL"/>
        </w:rPr>
        <w:t>Odnośnie do zmiany § 2 art. 256 k.k. należy podkreślić konieczność zachowania ostrożności przy takiej formule zmiany, szczególnie wobec przedmiotu ochrony art. 256 k.k. Dobrem chronionym przez normę wyrażoną w art. 256 k.k. jest prawidłowe, zgodne z</w:t>
      </w:r>
      <w:r w:rsidR="00B80A22">
        <w:rPr>
          <w:rFonts w:ascii="Times New Roman" w:eastAsiaTheme="minorEastAsia" w:hAnsi="Times New Roman" w:cs="Times New Roman"/>
          <w:sz w:val="24"/>
          <w:szCs w:val="24"/>
          <w:lang w:eastAsia="pl-PL"/>
        </w:rPr>
        <w:t> </w:t>
      </w:r>
      <w:r w:rsidRPr="00B80A22">
        <w:rPr>
          <w:rFonts w:ascii="Times New Roman" w:eastAsiaTheme="minorEastAsia" w:hAnsi="Times New Roman" w:cs="Times New Roman"/>
          <w:sz w:val="24"/>
          <w:szCs w:val="24"/>
          <w:lang w:eastAsia="pl-PL"/>
        </w:rPr>
        <w:t>zasadami demokratyc</w:t>
      </w:r>
      <w:r w:rsidR="003B2298" w:rsidRPr="00B80A22">
        <w:rPr>
          <w:rFonts w:ascii="Times New Roman" w:eastAsiaTheme="minorEastAsia" w:hAnsi="Times New Roman" w:cs="Times New Roman"/>
          <w:sz w:val="24"/>
          <w:szCs w:val="24"/>
          <w:lang w:eastAsia="pl-PL"/>
        </w:rPr>
        <w:t>znymi funkcjonowanie państwa</w:t>
      </w:r>
      <w:r w:rsidRPr="00B80A22">
        <w:rPr>
          <w:rFonts w:ascii="Times New Roman" w:eastAsiaTheme="minorEastAsia" w:hAnsi="Times New Roman" w:cs="Times New Roman"/>
          <w:sz w:val="24"/>
          <w:szCs w:val="24"/>
          <w:lang w:eastAsia="pl-PL"/>
        </w:rPr>
        <w:t xml:space="preserve">, pokój społeczny oraz prawo do równego korzystania z praw i wolności przez wszystkie osoby, niezależnie od dzielących je różnic, ochrona porządku publicznego, rodzajowy i </w:t>
      </w:r>
      <w:r w:rsidR="00297A8B" w:rsidRPr="00B80A22">
        <w:rPr>
          <w:rFonts w:ascii="Times New Roman" w:eastAsiaTheme="minorEastAsia" w:hAnsi="Times New Roman" w:cs="Times New Roman"/>
          <w:sz w:val="24"/>
          <w:szCs w:val="24"/>
          <w:lang w:eastAsia="pl-PL"/>
        </w:rPr>
        <w:t> </w:t>
      </w:r>
      <w:r w:rsidRPr="00B80A22">
        <w:rPr>
          <w:rFonts w:ascii="Times New Roman" w:eastAsiaTheme="minorEastAsia" w:hAnsi="Times New Roman" w:cs="Times New Roman"/>
          <w:sz w:val="24"/>
          <w:szCs w:val="24"/>
          <w:lang w:eastAsia="pl-PL"/>
        </w:rPr>
        <w:t xml:space="preserve">indywidualny przedmiot ochrony stanowi porządek publiczny, w tym istniejący ład prawny i polityczny (System Informacji Prawnej </w:t>
      </w:r>
      <w:proofErr w:type="spellStart"/>
      <w:r w:rsidRPr="00B80A22">
        <w:rPr>
          <w:rFonts w:ascii="Times New Roman" w:eastAsiaTheme="minorEastAsia" w:hAnsi="Times New Roman" w:cs="Times New Roman"/>
          <w:sz w:val="24"/>
          <w:szCs w:val="24"/>
          <w:lang w:eastAsia="pl-PL"/>
        </w:rPr>
        <w:t>Legalis</w:t>
      </w:r>
      <w:proofErr w:type="spellEnd"/>
      <w:r w:rsidRPr="00B80A22">
        <w:rPr>
          <w:rFonts w:ascii="Times New Roman" w:eastAsiaTheme="minorEastAsia" w:hAnsi="Times New Roman" w:cs="Times New Roman"/>
          <w:sz w:val="24"/>
          <w:szCs w:val="24"/>
          <w:lang w:eastAsia="pl-PL"/>
        </w:rPr>
        <w:t xml:space="preserve">, Kodeks karny. Komentarz, red. prof. dr hab. Alicja Grześkowiak, prof. dr hab. Krzysztof Wiak, 2018; Kodeks karny. Część szczególna. Tom II. Komentarz do artykułów 222-316, red. prof. dr hab. Michał Królikowski, prof. dr hab. Robert </w:t>
      </w:r>
      <w:proofErr w:type="spellStart"/>
      <w:r w:rsidRPr="00B80A22">
        <w:rPr>
          <w:rFonts w:ascii="Times New Roman" w:eastAsiaTheme="minorEastAsia" w:hAnsi="Times New Roman" w:cs="Times New Roman"/>
          <w:sz w:val="24"/>
          <w:szCs w:val="24"/>
          <w:lang w:eastAsia="pl-PL"/>
        </w:rPr>
        <w:t>Zawłocki</w:t>
      </w:r>
      <w:proofErr w:type="spellEnd"/>
      <w:r w:rsidRPr="00B80A22">
        <w:rPr>
          <w:rFonts w:ascii="Times New Roman" w:eastAsiaTheme="minorEastAsia" w:hAnsi="Times New Roman" w:cs="Times New Roman"/>
          <w:sz w:val="24"/>
          <w:szCs w:val="24"/>
          <w:lang w:eastAsia="pl-PL"/>
        </w:rPr>
        <w:t xml:space="preserve">, 2017). W </w:t>
      </w:r>
      <w:r w:rsidR="00297A8B" w:rsidRPr="00B80A22">
        <w:rPr>
          <w:rFonts w:ascii="Times New Roman" w:eastAsiaTheme="minorEastAsia" w:hAnsi="Times New Roman" w:cs="Times New Roman"/>
          <w:sz w:val="24"/>
          <w:szCs w:val="24"/>
          <w:lang w:eastAsia="pl-PL"/>
        </w:rPr>
        <w:t> </w:t>
      </w:r>
      <w:r w:rsidRPr="00B80A22">
        <w:rPr>
          <w:rFonts w:ascii="Times New Roman" w:eastAsiaTheme="minorEastAsia" w:hAnsi="Times New Roman" w:cs="Times New Roman"/>
          <w:sz w:val="24"/>
          <w:szCs w:val="24"/>
          <w:lang w:eastAsia="pl-PL"/>
        </w:rPr>
        <w:t>kontekście ochrony ww. dóbr bez znaczenia jawi się produkcja, utrwalanie lub sprowadzanie, nabywanie, przechowywanie, posiadanie, prezentowanie, przewożenie lub przesyłanie druków, nagrań lub innych przedmiotów, nawet zawierających treści propagujące faszystowski lub inny totalitarny ustrój państwa, jeśli nie odbywa się to z zamiarem rozpowszechniania ich. Wyeliminowanie okoliczności określając</w:t>
      </w:r>
      <w:r w:rsidR="00044A44">
        <w:rPr>
          <w:rFonts w:ascii="Times New Roman" w:eastAsiaTheme="minorEastAsia" w:hAnsi="Times New Roman" w:cs="Times New Roman"/>
          <w:sz w:val="24"/>
          <w:szCs w:val="24"/>
          <w:lang w:eastAsia="pl-PL"/>
        </w:rPr>
        <w:t>ej cel przestępczego zachowania</w:t>
      </w:r>
      <w:r w:rsidRPr="00B80A22">
        <w:rPr>
          <w:rFonts w:ascii="Times New Roman" w:eastAsiaTheme="minorEastAsia" w:hAnsi="Times New Roman" w:cs="Times New Roman"/>
          <w:sz w:val="24"/>
          <w:szCs w:val="24"/>
          <w:lang w:eastAsia="pl-PL"/>
        </w:rPr>
        <w:t xml:space="preserve"> może doprowadzić do niechcianych i niezamierzonych efektów sprowadzających się do sytuacji, kiedy znamiona przestępstwa zrealizuje os</w:t>
      </w:r>
      <w:r w:rsidR="003B2298" w:rsidRPr="00B80A22">
        <w:rPr>
          <w:rFonts w:ascii="Times New Roman" w:eastAsiaTheme="minorEastAsia" w:hAnsi="Times New Roman" w:cs="Times New Roman"/>
          <w:sz w:val="24"/>
          <w:szCs w:val="24"/>
          <w:lang w:eastAsia="pl-PL"/>
        </w:rPr>
        <w:t>oba nie będąca kolekcjonerem, a </w:t>
      </w:r>
      <w:r w:rsidRPr="00B80A22">
        <w:rPr>
          <w:rFonts w:ascii="Times New Roman" w:eastAsiaTheme="minorEastAsia" w:hAnsi="Times New Roman" w:cs="Times New Roman"/>
          <w:sz w:val="24"/>
          <w:szCs w:val="24"/>
          <w:lang w:eastAsia="pl-PL"/>
        </w:rPr>
        <w:t>posiadająca przedmiot lub przedmioty o treściach jak w paragrafie 1 art. 256 k.k.</w:t>
      </w:r>
    </w:p>
    <w:p w:rsidR="00B12F84" w:rsidRPr="00B80A22" w:rsidRDefault="00B12F84" w:rsidP="00B12F84">
      <w:pPr>
        <w:autoSpaceDE w:val="0"/>
        <w:autoSpaceDN w:val="0"/>
        <w:adjustRightInd w:val="0"/>
        <w:spacing w:after="0" w:line="360" w:lineRule="auto"/>
        <w:ind w:firstLine="701"/>
        <w:jc w:val="both"/>
        <w:rPr>
          <w:rFonts w:ascii="Times New Roman" w:eastAsiaTheme="minorEastAsia" w:hAnsi="Times New Roman" w:cs="Times New Roman"/>
          <w:color w:val="000000"/>
          <w:sz w:val="24"/>
          <w:szCs w:val="24"/>
          <w:lang w:eastAsia="pl-PL"/>
        </w:rPr>
      </w:pPr>
      <w:r w:rsidRPr="00B80A22">
        <w:rPr>
          <w:rFonts w:ascii="Times New Roman" w:eastAsiaTheme="minorEastAsia" w:hAnsi="Times New Roman" w:cs="Times New Roman"/>
          <w:sz w:val="24"/>
          <w:szCs w:val="24"/>
          <w:lang w:eastAsia="pl-PL"/>
        </w:rPr>
        <w:t>W zakresie zmiany us</w:t>
      </w:r>
      <w:r w:rsidR="0019584E">
        <w:rPr>
          <w:rFonts w:ascii="Times New Roman" w:eastAsiaTheme="minorEastAsia" w:hAnsi="Times New Roman" w:cs="Times New Roman"/>
          <w:sz w:val="24"/>
          <w:szCs w:val="24"/>
          <w:lang w:eastAsia="pl-PL"/>
        </w:rPr>
        <w:t xml:space="preserve">tawy </w:t>
      </w:r>
      <w:r w:rsidR="00053770">
        <w:rPr>
          <w:rFonts w:ascii="Times New Roman" w:eastAsiaTheme="minorEastAsia" w:hAnsi="Times New Roman" w:cs="Times New Roman"/>
          <w:sz w:val="24"/>
          <w:szCs w:val="24"/>
          <w:lang w:eastAsia="pl-PL"/>
        </w:rPr>
        <w:t>–</w:t>
      </w:r>
      <w:r w:rsidR="00044A44">
        <w:rPr>
          <w:rFonts w:ascii="Times New Roman" w:eastAsiaTheme="minorEastAsia" w:hAnsi="Times New Roman" w:cs="Times New Roman"/>
          <w:sz w:val="24"/>
          <w:szCs w:val="24"/>
          <w:lang w:eastAsia="pl-PL"/>
        </w:rPr>
        <w:t xml:space="preserve"> Prawo o stowarzyszeniach</w:t>
      </w:r>
      <w:r w:rsidRPr="00B80A22">
        <w:rPr>
          <w:rFonts w:ascii="Times New Roman" w:eastAsiaTheme="minorEastAsia" w:hAnsi="Times New Roman" w:cs="Times New Roman"/>
          <w:sz w:val="24"/>
          <w:szCs w:val="24"/>
          <w:lang w:eastAsia="pl-PL"/>
        </w:rPr>
        <w:t xml:space="preserve"> proponowane brzmienie przepisu stanowi swoiste </w:t>
      </w:r>
      <w:proofErr w:type="spellStart"/>
      <w:r w:rsidRPr="00B80A22">
        <w:rPr>
          <w:rFonts w:ascii="Times New Roman" w:eastAsiaTheme="minorEastAsia" w:hAnsi="Times New Roman" w:cs="Times New Roman"/>
          <w:i/>
          <w:sz w:val="24"/>
          <w:szCs w:val="24"/>
          <w:lang w:eastAsia="pl-PL"/>
        </w:rPr>
        <w:t>superfluum</w:t>
      </w:r>
      <w:proofErr w:type="spellEnd"/>
      <w:r w:rsidRPr="00B80A22">
        <w:rPr>
          <w:rFonts w:ascii="Times New Roman" w:eastAsiaTheme="minorEastAsia" w:hAnsi="Times New Roman" w:cs="Times New Roman"/>
          <w:i/>
          <w:sz w:val="24"/>
          <w:szCs w:val="24"/>
          <w:lang w:eastAsia="pl-PL"/>
        </w:rPr>
        <w:t xml:space="preserve"> </w:t>
      </w:r>
      <w:r w:rsidRPr="00B80A22">
        <w:rPr>
          <w:rFonts w:ascii="Times New Roman" w:eastAsiaTheme="minorEastAsia" w:hAnsi="Times New Roman" w:cs="Times New Roman"/>
          <w:sz w:val="24"/>
          <w:szCs w:val="24"/>
          <w:lang w:eastAsia="pl-PL"/>
        </w:rPr>
        <w:t xml:space="preserve">ustawowe, bowiem odwołuje się do przepisu ustawy zasadniczej, który </w:t>
      </w:r>
      <w:r w:rsidRPr="00B80A22">
        <w:rPr>
          <w:rFonts w:ascii="Times New Roman" w:eastAsiaTheme="minorEastAsia" w:hAnsi="Times New Roman" w:cs="Times New Roman"/>
          <w:color w:val="000000"/>
          <w:sz w:val="24"/>
          <w:szCs w:val="24"/>
          <w:lang w:eastAsia="pl-PL"/>
        </w:rPr>
        <w:t>zakazuje istnienia partii politycznych i innych organizacji odwołujących się w swoich programach do totalitarnych metod i praktyk działania nazizmu, faszyzmu i</w:t>
      </w:r>
      <w:r w:rsidR="00B80A22">
        <w:rPr>
          <w:rFonts w:ascii="Times New Roman" w:eastAsiaTheme="minorEastAsia" w:hAnsi="Times New Roman" w:cs="Times New Roman"/>
          <w:color w:val="000000"/>
          <w:sz w:val="24"/>
          <w:szCs w:val="24"/>
          <w:lang w:eastAsia="pl-PL"/>
        </w:rPr>
        <w:t> </w:t>
      </w:r>
      <w:r w:rsidRPr="00B80A22">
        <w:rPr>
          <w:rFonts w:ascii="Times New Roman" w:eastAsiaTheme="minorEastAsia" w:hAnsi="Times New Roman" w:cs="Times New Roman"/>
          <w:color w:val="000000"/>
          <w:sz w:val="24"/>
          <w:szCs w:val="24"/>
          <w:lang w:eastAsia="pl-PL"/>
        </w:rPr>
        <w:t>komunizmu, a także tych, których program lub działalność zakłada lub dopuszcza nienawiść rasową i narodowościową, stosowanie przemocy w celu zdobycia władzy lub wpływu na politykę państwa albo przewiduje utajnienie struktur lub członkostwa. Z tej perspektywy projektowany przepis stanowi zbędne powtórzenie wymogów konstytucyj</w:t>
      </w:r>
      <w:r w:rsidR="00044A44">
        <w:rPr>
          <w:rFonts w:ascii="Times New Roman" w:eastAsiaTheme="minorEastAsia" w:hAnsi="Times New Roman" w:cs="Times New Roman"/>
          <w:color w:val="000000"/>
          <w:sz w:val="24"/>
          <w:szCs w:val="24"/>
          <w:lang w:eastAsia="pl-PL"/>
        </w:rPr>
        <w:t>nych, których złamanie niesie ze</w:t>
      </w:r>
      <w:r w:rsidRPr="00B80A22">
        <w:rPr>
          <w:rFonts w:ascii="Times New Roman" w:eastAsiaTheme="minorEastAsia" w:hAnsi="Times New Roman" w:cs="Times New Roman"/>
          <w:color w:val="000000"/>
          <w:sz w:val="24"/>
          <w:szCs w:val="24"/>
          <w:lang w:eastAsia="pl-PL"/>
        </w:rPr>
        <w:t xml:space="preserve"> sobą już opisane w art. 29 ust. 1 </w:t>
      </w:r>
      <w:r w:rsidR="0019584E">
        <w:rPr>
          <w:rFonts w:ascii="Times New Roman" w:eastAsiaTheme="minorEastAsia" w:hAnsi="Times New Roman" w:cs="Times New Roman"/>
          <w:color w:val="000000"/>
          <w:sz w:val="24"/>
          <w:szCs w:val="24"/>
          <w:lang w:eastAsia="pl-PL"/>
        </w:rPr>
        <w:t>pkt 3 Prawa o stowarzyszeniach –</w:t>
      </w:r>
      <w:r w:rsidRPr="00B80A22">
        <w:rPr>
          <w:rFonts w:ascii="Times New Roman" w:eastAsiaTheme="minorEastAsia" w:hAnsi="Times New Roman" w:cs="Times New Roman"/>
          <w:color w:val="000000"/>
          <w:sz w:val="24"/>
          <w:szCs w:val="24"/>
          <w:lang w:eastAsia="pl-PL"/>
        </w:rPr>
        <w:t xml:space="preserve"> rażące naruszenie </w:t>
      </w:r>
      <w:r w:rsidR="00297A8B" w:rsidRPr="00B80A22">
        <w:rPr>
          <w:rFonts w:ascii="Times New Roman" w:eastAsiaTheme="minorEastAsia" w:hAnsi="Times New Roman" w:cs="Times New Roman"/>
          <w:color w:val="000000"/>
          <w:sz w:val="24"/>
          <w:szCs w:val="24"/>
          <w:lang w:eastAsia="pl-PL"/>
        </w:rPr>
        <w:t>prawa i w konsekwencji możliwość</w:t>
      </w:r>
      <w:r w:rsidRPr="00B80A22">
        <w:rPr>
          <w:rFonts w:ascii="Times New Roman" w:eastAsiaTheme="minorEastAsia" w:hAnsi="Times New Roman" w:cs="Times New Roman"/>
          <w:color w:val="000000"/>
          <w:sz w:val="24"/>
          <w:szCs w:val="24"/>
          <w:lang w:eastAsia="pl-PL"/>
        </w:rPr>
        <w:t xml:space="preserve"> rozwiązania tego rodzaju organizacji. </w:t>
      </w:r>
    </w:p>
    <w:p w:rsidR="00B6640E" w:rsidRPr="00B80A22" w:rsidRDefault="003B2298" w:rsidP="00B6640E">
      <w:pPr>
        <w:pStyle w:val="Style4"/>
        <w:widowControl/>
        <w:spacing w:before="7"/>
        <w:jc w:val="both"/>
        <w:rPr>
          <w:rFonts w:ascii="Times New Roman" w:hAnsi="Times New Roman" w:cs="Times New Roman"/>
        </w:rPr>
      </w:pPr>
      <w:r w:rsidRPr="00B80A22">
        <w:rPr>
          <w:rFonts w:ascii="Times New Roman" w:hAnsi="Times New Roman" w:cs="Times New Roman"/>
          <w:color w:val="000000"/>
        </w:rPr>
        <w:t>Niezależnie od</w:t>
      </w:r>
      <w:r w:rsidR="00044A44">
        <w:rPr>
          <w:rFonts w:ascii="Times New Roman" w:hAnsi="Times New Roman" w:cs="Times New Roman"/>
          <w:color w:val="000000"/>
        </w:rPr>
        <w:t xml:space="preserve"> powyższych uwag należy zaznaczyć</w:t>
      </w:r>
      <w:r w:rsidRPr="00B80A22">
        <w:rPr>
          <w:rFonts w:ascii="Times New Roman" w:hAnsi="Times New Roman" w:cs="Times New Roman"/>
          <w:color w:val="000000"/>
        </w:rPr>
        <w:t xml:space="preserve">, że </w:t>
      </w:r>
      <w:r w:rsidRPr="00B80A22">
        <w:rPr>
          <w:rFonts w:ascii="Times New Roman" w:hAnsi="Times New Roman" w:cs="Times New Roman"/>
        </w:rPr>
        <w:t>przepis budzi wątpliwości także z punktu widzenia zasad prawidłowego tworzenia prawa. Zastosowane w</w:t>
      </w:r>
      <w:r w:rsidR="00B80A22">
        <w:rPr>
          <w:rFonts w:ascii="Times New Roman" w:hAnsi="Times New Roman" w:cs="Times New Roman"/>
        </w:rPr>
        <w:t> </w:t>
      </w:r>
      <w:r w:rsidRPr="00B80A22">
        <w:rPr>
          <w:rFonts w:ascii="Times New Roman" w:hAnsi="Times New Roman" w:cs="Times New Roman"/>
        </w:rPr>
        <w:t xml:space="preserve">projektowanym art. 29 ust. 1 pkt 4 Prawa o stowarzyszeniach odwołanie do art. 13 </w:t>
      </w:r>
      <w:r w:rsidRPr="00B80A22">
        <w:rPr>
          <w:rFonts w:ascii="Times New Roman" w:hAnsi="Times New Roman" w:cs="Times New Roman"/>
        </w:rPr>
        <w:lastRenderedPageBreak/>
        <w:t>Konstytucji RP utrudnia adresatowi przepisu ustalenie przedmiotu naruszenia. Tymczasem, jak wskazuje się w literaturze, Konstytucja zawiera jedynie normy podstawowe, a te wymagają uzupełnienia i konkretyzacji. Organy prawotwórcze mają zatem obowiązek wydawania aktów prawnych rozwijających postanowienia Konstytucji, i to nie tylko wtedy, gdy Konstytucja wprost tak stanowi, ale zawsze, gdy okazuje się to konieczne dla realizacji jej norm (B. Banaszak, </w:t>
      </w:r>
      <w:r w:rsidRPr="00B80A22">
        <w:rPr>
          <w:rFonts w:ascii="Times New Roman" w:hAnsi="Times New Roman" w:cs="Times New Roman"/>
          <w:i/>
          <w:iCs/>
        </w:rPr>
        <w:t>Konstytucja Rzeczypospolitej Polskiej. Komentarz</w:t>
      </w:r>
      <w:r w:rsidRPr="00B80A22">
        <w:rPr>
          <w:rFonts w:ascii="Times New Roman" w:hAnsi="Times New Roman" w:cs="Times New Roman"/>
        </w:rPr>
        <w:t>, Warszawa 2009, s.</w:t>
      </w:r>
      <w:r w:rsidR="00B80A22">
        <w:rPr>
          <w:rFonts w:ascii="Times New Roman" w:hAnsi="Times New Roman" w:cs="Times New Roman"/>
        </w:rPr>
        <w:t> </w:t>
      </w:r>
      <w:r w:rsidRPr="00B80A22">
        <w:rPr>
          <w:rFonts w:ascii="Times New Roman" w:hAnsi="Times New Roman" w:cs="Times New Roman"/>
        </w:rPr>
        <w:t>60).</w:t>
      </w:r>
      <w:r w:rsidR="00B6640E" w:rsidRPr="00B80A22">
        <w:rPr>
          <w:rFonts w:ascii="Times New Roman" w:hAnsi="Times New Roman" w:cs="Times New Roman"/>
        </w:rPr>
        <w:t xml:space="preserve"> </w:t>
      </w:r>
    </w:p>
    <w:p w:rsidR="003B2298" w:rsidRPr="00B80A22" w:rsidRDefault="00044A44" w:rsidP="00B6640E">
      <w:pPr>
        <w:pStyle w:val="Style4"/>
        <w:widowControl/>
        <w:spacing w:before="7"/>
        <w:jc w:val="both"/>
        <w:rPr>
          <w:rFonts w:ascii="Times New Roman" w:hAnsi="Times New Roman" w:cs="Times New Roman"/>
        </w:rPr>
      </w:pPr>
      <w:r>
        <w:rPr>
          <w:rFonts w:ascii="Times New Roman" w:hAnsi="Times New Roman" w:cs="Times New Roman"/>
        </w:rPr>
        <w:t>W</w:t>
      </w:r>
      <w:r w:rsidR="00B6640E" w:rsidRPr="00B80A22">
        <w:rPr>
          <w:rFonts w:ascii="Times New Roman" w:hAnsi="Times New Roman" w:cs="Times New Roman"/>
        </w:rPr>
        <w:t xml:space="preserve"> tym kontekście należy</w:t>
      </w:r>
      <w:r>
        <w:rPr>
          <w:rFonts w:ascii="Times New Roman" w:hAnsi="Times New Roman" w:cs="Times New Roman"/>
        </w:rPr>
        <w:t xml:space="preserve"> zatem</w:t>
      </w:r>
      <w:r w:rsidR="00B6640E" w:rsidRPr="00B80A22">
        <w:rPr>
          <w:rFonts w:ascii="Times New Roman" w:hAnsi="Times New Roman" w:cs="Times New Roman"/>
        </w:rPr>
        <w:t xml:space="preserve"> zauważyć, że zaproponowana przez posłów nowelizacja ze względu na swoje wady legislacyjne, w praktyce mogłaby okazać się bezskuteczna i nieefektywna w zakresie ścigania tzw. przestępstw z nienawiści. </w:t>
      </w:r>
    </w:p>
    <w:p w:rsidR="00CB089B" w:rsidRPr="00B80A22" w:rsidRDefault="00B6640E" w:rsidP="007C4F0B">
      <w:pPr>
        <w:pStyle w:val="Style12"/>
        <w:widowControl/>
        <w:tabs>
          <w:tab w:val="left" w:pos="130"/>
        </w:tabs>
        <w:spacing w:line="425" w:lineRule="exact"/>
        <w:ind w:right="7"/>
        <w:rPr>
          <w:rStyle w:val="FontStyle50"/>
        </w:rPr>
      </w:pPr>
      <w:r w:rsidRPr="00B80A22">
        <w:rPr>
          <w:rFonts w:ascii="Times New Roman" w:hAnsi="Times New Roman" w:cs="Times New Roman"/>
        </w:rPr>
        <w:t>Jednocześn</w:t>
      </w:r>
      <w:r w:rsidR="00044A44">
        <w:rPr>
          <w:rFonts w:ascii="Times New Roman" w:hAnsi="Times New Roman" w:cs="Times New Roman"/>
        </w:rPr>
        <w:t xml:space="preserve">ie należy wskazać, </w:t>
      </w:r>
      <w:r w:rsidRPr="00B80A22">
        <w:rPr>
          <w:rFonts w:ascii="Times New Roman" w:hAnsi="Times New Roman" w:cs="Times New Roman"/>
        </w:rPr>
        <w:t>ż</w:t>
      </w:r>
      <w:r w:rsidR="00044A44">
        <w:rPr>
          <w:rFonts w:ascii="Times New Roman" w:hAnsi="Times New Roman" w:cs="Times New Roman"/>
        </w:rPr>
        <w:t>e</w:t>
      </w:r>
      <w:r w:rsidRPr="00B80A22">
        <w:rPr>
          <w:rFonts w:ascii="Times New Roman" w:hAnsi="Times New Roman" w:cs="Times New Roman"/>
        </w:rPr>
        <w:t xml:space="preserve"> Rada Ministrów podjęła szereg działań mających na celu przeciwdziałanie tego rodzaju zjawiskom. W szczególności zaś wzmiankować należy o</w:t>
      </w:r>
      <w:r w:rsidR="00B80A22">
        <w:rPr>
          <w:rFonts w:ascii="Times New Roman" w:hAnsi="Times New Roman" w:cs="Times New Roman"/>
        </w:rPr>
        <w:t> </w:t>
      </w:r>
      <w:r w:rsidRPr="00B80A22">
        <w:rPr>
          <w:rFonts w:ascii="Times New Roman" w:hAnsi="Times New Roman" w:cs="Times New Roman"/>
        </w:rPr>
        <w:t xml:space="preserve">pracach </w:t>
      </w:r>
      <w:r w:rsidRPr="00B80A22">
        <w:rPr>
          <w:rStyle w:val="FontStyle50"/>
        </w:rPr>
        <w:t>Międzyresortowego Zespołu do spraw przeciwdziałania propagowaniu faszyzmu i</w:t>
      </w:r>
      <w:r w:rsidR="00B80A22">
        <w:rPr>
          <w:rStyle w:val="FontStyle50"/>
        </w:rPr>
        <w:t> </w:t>
      </w:r>
      <w:r w:rsidRPr="00B80A22">
        <w:rPr>
          <w:rStyle w:val="FontStyle50"/>
        </w:rPr>
        <w:t>innych ustrojów totalitarnych oraz przestępstwom nawoływania do nienawiści na tle różnic narodowościowych, etnicznych, rasowych, wyznaniowych albo ze względu na bezwyznaniowość</w:t>
      </w:r>
      <w:r w:rsidR="00EC5DA8">
        <w:rPr>
          <w:rStyle w:val="FontStyle50"/>
        </w:rPr>
        <w:t>, któ</w:t>
      </w:r>
      <w:r w:rsidR="00044A44">
        <w:rPr>
          <w:rStyle w:val="FontStyle50"/>
        </w:rPr>
        <w:t>ry</w:t>
      </w:r>
      <w:r w:rsidRPr="00B80A22">
        <w:rPr>
          <w:rStyle w:val="FontStyle50"/>
        </w:rPr>
        <w:t xml:space="preserve"> został powołany na mocy Zarządzenia nr 24 Prezesa Rady Ministrów z</w:t>
      </w:r>
      <w:r w:rsidR="00B80A22">
        <w:rPr>
          <w:rStyle w:val="FontStyle50"/>
        </w:rPr>
        <w:t> </w:t>
      </w:r>
      <w:r w:rsidRPr="00B80A22">
        <w:rPr>
          <w:rStyle w:val="FontStyle50"/>
        </w:rPr>
        <w:t xml:space="preserve">dnia 20 lutego 2018 r. </w:t>
      </w:r>
      <w:r w:rsidR="007E15B8">
        <w:rPr>
          <w:rStyle w:val="FontStyle50"/>
        </w:rPr>
        <w:t>W dniu 28 czerwca 2018 r. Zespół</w:t>
      </w:r>
      <w:r w:rsidRPr="00B80A22">
        <w:rPr>
          <w:rStyle w:val="FontStyle50"/>
        </w:rPr>
        <w:t xml:space="preserve"> przyjął ostateczne sprawozdanie</w:t>
      </w:r>
      <w:r w:rsidR="00CB089B" w:rsidRPr="00B80A22">
        <w:rPr>
          <w:rStyle w:val="FontStyle50"/>
        </w:rPr>
        <w:t>, w </w:t>
      </w:r>
      <w:r w:rsidRPr="00B80A22">
        <w:rPr>
          <w:rStyle w:val="FontStyle50"/>
        </w:rPr>
        <w:t>którym zawarte zostały rekomendacje dalszych działań</w:t>
      </w:r>
      <w:r w:rsidR="0025718C" w:rsidRPr="00B80A22">
        <w:rPr>
          <w:rStyle w:val="FontStyle50"/>
        </w:rPr>
        <w:t>,</w:t>
      </w:r>
      <w:r w:rsidRPr="00B80A22">
        <w:rPr>
          <w:rStyle w:val="FontStyle50"/>
        </w:rPr>
        <w:t xml:space="preserve"> w tym działań </w:t>
      </w:r>
      <w:r w:rsidR="0025718C" w:rsidRPr="00B80A22">
        <w:rPr>
          <w:rStyle w:val="FontStyle50"/>
        </w:rPr>
        <w:t>legislacyjnych. R</w:t>
      </w:r>
      <w:r w:rsidRPr="00B80A22">
        <w:rPr>
          <w:rStyle w:val="FontStyle50"/>
        </w:rPr>
        <w:t>ekomendacje te w zakresie przestępstw z nienawiści są analizowane w</w:t>
      </w:r>
      <w:r w:rsidR="00EC5DA8">
        <w:rPr>
          <w:rStyle w:val="FontStyle50"/>
        </w:rPr>
        <w:t> </w:t>
      </w:r>
      <w:r w:rsidRPr="00B80A22">
        <w:rPr>
          <w:rStyle w:val="FontStyle50"/>
        </w:rPr>
        <w:t xml:space="preserve">ramach prac poszczególnych resortów. </w:t>
      </w:r>
    </w:p>
    <w:p w:rsidR="00B6640E" w:rsidRPr="00B80A22" w:rsidRDefault="00CB089B" w:rsidP="00CB089B">
      <w:pPr>
        <w:pStyle w:val="Style12"/>
        <w:widowControl/>
        <w:tabs>
          <w:tab w:val="left" w:pos="130"/>
        </w:tabs>
        <w:spacing w:line="425" w:lineRule="exact"/>
        <w:ind w:right="7"/>
        <w:rPr>
          <w:rStyle w:val="FontStyle50"/>
          <w:lang w:val="en-US"/>
        </w:rPr>
      </w:pPr>
      <w:r w:rsidRPr="00B80A22">
        <w:rPr>
          <w:rFonts w:ascii="Times New Roman" w:eastAsia="Times New Roman" w:hAnsi="Times New Roman" w:cs="Times New Roman"/>
        </w:rPr>
        <w:tab/>
      </w:r>
      <w:r w:rsidRPr="00B80A22">
        <w:rPr>
          <w:rFonts w:ascii="Times New Roman" w:eastAsia="Times New Roman" w:hAnsi="Times New Roman" w:cs="Times New Roman"/>
        </w:rPr>
        <w:tab/>
        <w:t>Podejmowane są również działania na gruncie międzynarodowym, chociażby w</w:t>
      </w:r>
      <w:r w:rsidR="00B80A22">
        <w:rPr>
          <w:rFonts w:ascii="Times New Roman" w:eastAsia="Times New Roman" w:hAnsi="Times New Roman" w:cs="Times New Roman"/>
        </w:rPr>
        <w:t> </w:t>
      </w:r>
      <w:r w:rsidRPr="00B80A22">
        <w:rPr>
          <w:rFonts w:ascii="Times New Roman" w:eastAsia="Times New Roman" w:hAnsi="Times New Roman" w:cs="Times New Roman"/>
        </w:rPr>
        <w:t xml:space="preserve">zakresie </w:t>
      </w:r>
      <w:r w:rsidRPr="00B80A22">
        <w:rPr>
          <w:rStyle w:val="FontStyle30"/>
          <w:rFonts w:ascii="Times New Roman" w:hAnsi="Times New Roman" w:cs="Times New Roman"/>
        </w:rPr>
        <w:t>uczestnictwa w opracowaniu i przyjęciu w grudniu 2018 r. deklaracji Rady UE w</w:t>
      </w:r>
      <w:r w:rsidR="00B80A22">
        <w:rPr>
          <w:rStyle w:val="FontStyle30"/>
          <w:rFonts w:ascii="Times New Roman" w:hAnsi="Times New Roman" w:cs="Times New Roman"/>
        </w:rPr>
        <w:t> </w:t>
      </w:r>
      <w:r w:rsidRPr="00B80A22">
        <w:rPr>
          <w:rStyle w:val="FontStyle30"/>
          <w:rFonts w:ascii="Times New Roman" w:hAnsi="Times New Roman" w:cs="Times New Roman"/>
        </w:rPr>
        <w:t>sprawie walki z antysemityzmem pt.</w:t>
      </w:r>
      <w:r w:rsidRPr="00B80A22">
        <w:rPr>
          <w:rStyle w:val="FontStyle30"/>
          <w:rFonts w:ascii="Times New Roman" w:hAnsi="Times New Roman" w:cs="Times New Roman"/>
          <w:lang w:val="fr-FR"/>
        </w:rPr>
        <w:t xml:space="preserve"> </w:t>
      </w:r>
      <w:r w:rsidRPr="00B80A22">
        <w:rPr>
          <w:rStyle w:val="FontStyle31"/>
          <w:rFonts w:ascii="Times New Roman" w:hAnsi="Times New Roman" w:cs="Times New Roman"/>
          <w:lang w:val="fr-FR"/>
        </w:rPr>
        <w:t>Déclaration</w:t>
      </w:r>
      <w:r w:rsidRPr="00B80A22">
        <w:rPr>
          <w:rStyle w:val="FontStyle31"/>
          <w:rFonts w:ascii="Times New Roman" w:hAnsi="Times New Roman" w:cs="Times New Roman"/>
          <w:lang w:val="en-US"/>
        </w:rPr>
        <w:t xml:space="preserve"> on the fight against antisemitism and the</w:t>
      </w:r>
      <w:r w:rsidRPr="00B80A22">
        <w:rPr>
          <w:rStyle w:val="FontStyle31"/>
          <w:rFonts w:ascii="Times New Roman" w:hAnsi="Times New Roman" w:cs="Times New Roman"/>
          <w:lang w:val="fr-FR"/>
        </w:rPr>
        <w:t xml:space="preserve"> development</w:t>
      </w:r>
      <w:r w:rsidRPr="00B80A22">
        <w:rPr>
          <w:rStyle w:val="FontStyle31"/>
          <w:rFonts w:ascii="Times New Roman" w:hAnsi="Times New Roman" w:cs="Times New Roman"/>
          <w:lang w:val="en-US"/>
        </w:rPr>
        <w:t xml:space="preserve"> of a common security approach to better protect Jewish communities and</w:t>
      </w:r>
      <w:r w:rsidRPr="00B80A22">
        <w:rPr>
          <w:rStyle w:val="FontStyle31"/>
          <w:rFonts w:ascii="Times New Roman" w:hAnsi="Times New Roman" w:cs="Times New Roman"/>
          <w:lang w:val="fr-FR"/>
        </w:rPr>
        <w:t xml:space="preserve"> institutions in Europe.</w:t>
      </w:r>
    </w:p>
    <w:p w:rsidR="0025718C" w:rsidRPr="00B80A22" w:rsidRDefault="00B6640E" w:rsidP="007C4F0B">
      <w:pPr>
        <w:pStyle w:val="Style4"/>
        <w:widowControl/>
        <w:spacing w:before="7"/>
        <w:jc w:val="both"/>
        <w:rPr>
          <w:rStyle w:val="FontStyle50"/>
        </w:rPr>
      </w:pPr>
      <w:r w:rsidRPr="00B80A22">
        <w:rPr>
          <w:rStyle w:val="FontStyle50"/>
        </w:rPr>
        <w:t xml:space="preserve">W tym kontekście nie można pominąć również działań podejmowanych przez </w:t>
      </w:r>
      <w:r w:rsidR="00FA3ADF" w:rsidRPr="00B80A22">
        <w:rPr>
          <w:rStyle w:val="FontStyle50"/>
        </w:rPr>
        <w:t xml:space="preserve">Prokuratora Generalnego, który na bieżąco monitoruje skalę przestępstw z pobudek rasistowskich, </w:t>
      </w:r>
      <w:r w:rsidR="00FA3ADF" w:rsidRPr="00B80A22">
        <w:rPr>
          <w:rFonts w:ascii="Times New Roman" w:hAnsi="Times New Roman" w:cs="Times New Roman"/>
        </w:rPr>
        <w:t xml:space="preserve">antysemickich lub </w:t>
      </w:r>
      <w:r w:rsidR="00FA3ADF" w:rsidRPr="00B80A22">
        <w:rPr>
          <w:rStyle w:val="FontStyle50"/>
        </w:rPr>
        <w:t>ksenofobicznych w corocznych sprawozdaniach. W</w:t>
      </w:r>
      <w:r w:rsidR="00B80A22">
        <w:rPr>
          <w:rStyle w:val="FontStyle50"/>
        </w:rPr>
        <w:t> </w:t>
      </w:r>
      <w:r w:rsidR="00FA3ADF" w:rsidRPr="00B80A22">
        <w:rPr>
          <w:rStyle w:val="FontStyle50"/>
        </w:rPr>
        <w:t>powszechnych jednostkach organizacyjnych prokuratury wyselekcjonowano również grupę pr</w:t>
      </w:r>
      <w:r w:rsidR="00044A44">
        <w:rPr>
          <w:rStyle w:val="FontStyle50"/>
        </w:rPr>
        <w:t>okuratorów, którzy specjalizują się przede wszystkim w prowadzeniu</w:t>
      </w:r>
      <w:r w:rsidR="00FA3ADF" w:rsidRPr="00B80A22">
        <w:rPr>
          <w:rStyle w:val="FontStyle50"/>
        </w:rPr>
        <w:t xml:space="preserve"> tzw. przestępstw z nienawiści. </w:t>
      </w:r>
    </w:p>
    <w:p w:rsidR="007C4F0B" w:rsidRPr="00B80A22" w:rsidRDefault="007C4F0B" w:rsidP="007C4F0B">
      <w:pPr>
        <w:pStyle w:val="Style4"/>
        <w:widowControl/>
        <w:spacing w:before="7"/>
        <w:jc w:val="both"/>
        <w:rPr>
          <w:rStyle w:val="FontStyle30"/>
          <w:rFonts w:ascii="Times New Roman" w:hAnsi="Times New Roman" w:cs="Times New Roman"/>
        </w:rPr>
      </w:pPr>
    </w:p>
    <w:p w:rsidR="00B12F84" w:rsidRPr="00B80A22" w:rsidRDefault="00B12F84" w:rsidP="00B12F84">
      <w:pPr>
        <w:spacing w:after="0" w:line="360" w:lineRule="auto"/>
        <w:jc w:val="both"/>
        <w:rPr>
          <w:rFonts w:ascii="Times New Roman" w:eastAsia="Times New Roman" w:hAnsi="Times New Roman" w:cs="Times New Roman"/>
          <w:sz w:val="24"/>
          <w:szCs w:val="24"/>
          <w:lang w:eastAsia="pl-PL"/>
        </w:rPr>
      </w:pPr>
      <w:r w:rsidRPr="00B80A22">
        <w:rPr>
          <w:rFonts w:ascii="Times New Roman" w:eastAsia="Times New Roman" w:hAnsi="Times New Roman" w:cs="Times New Roman"/>
          <w:sz w:val="24"/>
          <w:szCs w:val="24"/>
          <w:lang w:eastAsia="pl-PL"/>
        </w:rPr>
        <w:lastRenderedPageBreak/>
        <w:tab/>
      </w:r>
      <w:r w:rsidR="00CB089B" w:rsidRPr="00B80A22">
        <w:rPr>
          <w:rFonts w:ascii="Times New Roman" w:eastAsia="Times New Roman" w:hAnsi="Times New Roman" w:cs="Times New Roman"/>
          <w:sz w:val="24"/>
          <w:szCs w:val="24"/>
          <w:lang w:eastAsia="pl-PL"/>
        </w:rPr>
        <w:t xml:space="preserve">W związku z </w:t>
      </w:r>
      <w:r w:rsidR="00044A44">
        <w:rPr>
          <w:rFonts w:ascii="Times New Roman" w:eastAsia="Times New Roman" w:hAnsi="Times New Roman" w:cs="Times New Roman"/>
          <w:sz w:val="24"/>
          <w:szCs w:val="24"/>
          <w:lang w:eastAsia="pl-PL"/>
        </w:rPr>
        <w:t xml:space="preserve">powyższym </w:t>
      </w:r>
      <w:r w:rsidRPr="00B80A22">
        <w:rPr>
          <w:rFonts w:ascii="Times New Roman" w:eastAsia="Times New Roman" w:hAnsi="Times New Roman" w:cs="Times New Roman"/>
          <w:sz w:val="24"/>
          <w:szCs w:val="24"/>
          <w:lang w:eastAsia="pl-PL"/>
        </w:rPr>
        <w:t xml:space="preserve">wobec istotnych wątpliwości co do zakresu normowania </w:t>
      </w:r>
      <w:r w:rsidR="00CB089B" w:rsidRPr="00B80A22">
        <w:rPr>
          <w:rFonts w:ascii="Times New Roman" w:eastAsia="Times New Roman" w:hAnsi="Times New Roman" w:cs="Times New Roman"/>
          <w:sz w:val="24"/>
          <w:szCs w:val="24"/>
          <w:lang w:eastAsia="pl-PL"/>
        </w:rPr>
        <w:t xml:space="preserve">oraz wad legislacyjnych </w:t>
      </w:r>
      <w:r w:rsidRPr="00B80A22">
        <w:rPr>
          <w:rFonts w:ascii="Times New Roman" w:eastAsia="Times New Roman" w:hAnsi="Times New Roman" w:cs="Times New Roman"/>
          <w:sz w:val="24"/>
          <w:szCs w:val="24"/>
          <w:lang w:eastAsia="pl-PL"/>
        </w:rPr>
        <w:t>projektowany</w:t>
      </w:r>
      <w:r w:rsidR="00B6640E" w:rsidRPr="00B80A22">
        <w:rPr>
          <w:rFonts w:ascii="Times New Roman" w:eastAsia="Times New Roman" w:hAnsi="Times New Roman" w:cs="Times New Roman"/>
          <w:sz w:val="24"/>
          <w:szCs w:val="24"/>
          <w:lang w:eastAsia="pl-PL"/>
        </w:rPr>
        <w:t>ch przepisów Rada Ministrów nie</w:t>
      </w:r>
      <w:r w:rsidRPr="00B80A22">
        <w:rPr>
          <w:rFonts w:ascii="Times New Roman" w:eastAsia="Times New Roman" w:hAnsi="Times New Roman" w:cs="Times New Roman"/>
          <w:sz w:val="24"/>
          <w:szCs w:val="24"/>
          <w:lang w:eastAsia="pl-PL"/>
        </w:rPr>
        <w:t xml:space="preserve"> popiera tej poselskiej inicjatywy legislacyjnej. </w:t>
      </w:r>
    </w:p>
    <w:p w:rsidR="005A3F38" w:rsidRPr="00B80A22" w:rsidRDefault="005A3F38">
      <w:pPr>
        <w:rPr>
          <w:rFonts w:ascii="Times New Roman" w:hAnsi="Times New Roman" w:cs="Times New Roman"/>
          <w:sz w:val="24"/>
          <w:szCs w:val="24"/>
        </w:rPr>
      </w:pPr>
    </w:p>
    <w:sectPr w:rsidR="005A3F38" w:rsidRPr="00B80A22" w:rsidSect="008A236F">
      <w:headerReference w:type="even" r:id="rId8"/>
      <w:headerReference w:type="default"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294" w:rsidRDefault="000F6294">
      <w:pPr>
        <w:spacing w:after="0" w:line="240" w:lineRule="auto"/>
      </w:pPr>
      <w:r>
        <w:separator/>
      </w:r>
    </w:p>
  </w:endnote>
  <w:endnote w:type="continuationSeparator" w:id="0">
    <w:p w:rsidR="000F6294" w:rsidRDefault="000F6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A22" w:rsidRDefault="00B80A2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294" w:rsidRDefault="000F6294">
      <w:pPr>
        <w:spacing w:after="0" w:line="240" w:lineRule="auto"/>
      </w:pPr>
      <w:r>
        <w:separator/>
      </w:r>
    </w:p>
  </w:footnote>
  <w:footnote w:type="continuationSeparator" w:id="0">
    <w:p w:rsidR="000F6294" w:rsidRDefault="000F62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36F" w:rsidRDefault="009E6DC2" w:rsidP="008A236F">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8A236F" w:rsidRDefault="007329B3" w:rsidP="008A236F">
    <w:pPr>
      <w:pStyle w:val="Nagwek"/>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36F" w:rsidRDefault="009E6DC2" w:rsidP="008A236F">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7329B3">
      <w:rPr>
        <w:rStyle w:val="Numerstrony"/>
        <w:noProof/>
      </w:rPr>
      <w:t>3</w:t>
    </w:r>
    <w:r>
      <w:rPr>
        <w:rStyle w:val="Numerstrony"/>
      </w:rPr>
      <w:fldChar w:fldCharType="end"/>
    </w:r>
  </w:p>
  <w:p w:rsidR="008A236F" w:rsidRDefault="007329B3" w:rsidP="008A236F">
    <w:pPr>
      <w:pStyle w:val="Nagwek"/>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D98A4198"/>
    <w:lvl w:ilvl="0">
      <w:numFmt w:val="bullet"/>
      <w:lvlText w:val="*"/>
      <w:lvlJc w:val="left"/>
    </w:lvl>
  </w:abstractNum>
  <w:num w:numId="1">
    <w:abstractNumId w:val="0"/>
    <w:lvlOverride w:ilvl="0">
      <w:lvl w:ilvl="0">
        <w:start w:val="65535"/>
        <w:numFmt w:val="bullet"/>
        <w:lvlText w:val="-"/>
        <w:legacy w:legacy="1" w:legacySpace="0" w:legacyIndent="130"/>
        <w:lvlJc w:val="left"/>
        <w:rPr>
          <w:rFonts w:ascii="Calibri" w:hAnsi="Calibri"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F84"/>
    <w:rsid w:val="00044A44"/>
    <w:rsid w:val="00053770"/>
    <w:rsid w:val="000B4844"/>
    <w:rsid w:val="000D6A0F"/>
    <w:rsid w:val="000F6294"/>
    <w:rsid w:val="001403CA"/>
    <w:rsid w:val="0019584E"/>
    <w:rsid w:val="001B6600"/>
    <w:rsid w:val="0025718C"/>
    <w:rsid w:val="00297A8B"/>
    <w:rsid w:val="002F3720"/>
    <w:rsid w:val="003B2298"/>
    <w:rsid w:val="00421495"/>
    <w:rsid w:val="00550A12"/>
    <w:rsid w:val="005A3F38"/>
    <w:rsid w:val="00606C88"/>
    <w:rsid w:val="007329B3"/>
    <w:rsid w:val="007C4F0B"/>
    <w:rsid w:val="007E15B8"/>
    <w:rsid w:val="009E6DC2"/>
    <w:rsid w:val="00A804DD"/>
    <w:rsid w:val="00B05AFD"/>
    <w:rsid w:val="00B10FA7"/>
    <w:rsid w:val="00B12F84"/>
    <w:rsid w:val="00B16526"/>
    <w:rsid w:val="00B23901"/>
    <w:rsid w:val="00B32AE6"/>
    <w:rsid w:val="00B65EBC"/>
    <w:rsid w:val="00B6640E"/>
    <w:rsid w:val="00B80A22"/>
    <w:rsid w:val="00CB089B"/>
    <w:rsid w:val="00CE3C43"/>
    <w:rsid w:val="00D55CEC"/>
    <w:rsid w:val="00DC11AC"/>
    <w:rsid w:val="00E00B80"/>
    <w:rsid w:val="00E4627A"/>
    <w:rsid w:val="00EC5DA8"/>
    <w:rsid w:val="00ED1CDB"/>
    <w:rsid w:val="00F04849"/>
    <w:rsid w:val="00FA3ADF"/>
    <w:rsid w:val="00FD32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12F8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12F84"/>
  </w:style>
  <w:style w:type="character" w:styleId="Numerstrony">
    <w:name w:val="page number"/>
    <w:basedOn w:val="Domylnaczcionkaakapitu"/>
    <w:rsid w:val="00B12F84"/>
  </w:style>
  <w:style w:type="paragraph" w:customStyle="1" w:styleId="Style4">
    <w:name w:val="Style4"/>
    <w:basedOn w:val="Normalny"/>
    <w:uiPriority w:val="99"/>
    <w:rsid w:val="00B6640E"/>
    <w:pPr>
      <w:widowControl w:val="0"/>
      <w:autoSpaceDE w:val="0"/>
      <w:autoSpaceDN w:val="0"/>
      <w:adjustRightInd w:val="0"/>
      <w:spacing w:after="0" w:line="425" w:lineRule="exact"/>
      <w:ind w:firstLine="691"/>
    </w:pPr>
    <w:rPr>
      <w:rFonts w:ascii="Calibri" w:eastAsiaTheme="minorEastAsia" w:hAnsi="Calibri"/>
      <w:sz w:val="24"/>
      <w:szCs w:val="24"/>
      <w:lang w:eastAsia="pl-PL"/>
    </w:rPr>
  </w:style>
  <w:style w:type="character" w:customStyle="1" w:styleId="FontStyle50">
    <w:name w:val="Font Style50"/>
    <w:basedOn w:val="Domylnaczcionkaakapitu"/>
    <w:uiPriority w:val="99"/>
    <w:rsid w:val="00B6640E"/>
    <w:rPr>
      <w:rFonts w:ascii="Times New Roman" w:hAnsi="Times New Roman" w:cs="Times New Roman" w:hint="default"/>
    </w:rPr>
  </w:style>
  <w:style w:type="paragraph" w:customStyle="1" w:styleId="Style1">
    <w:name w:val="Style1"/>
    <w:basedOn w:val="Normalny"/>
    <w:uiPriority w:val="99"/>
    <w:rsid w:val="00FA3ADF"/>
    <w:pPr>
      <w:widowControl w:val="0"/>
      <w:autoSpaceDE w:val="0"/>
      <w:autoSpaceDN w:val="0"/>
      <w:adjustRightInd w:val="0"/>
      <w:spacing w:after="0" w:line="425" w:lineRule="exact"/>
      <w:jc w:val="both"/>
    </w:pPr>
    <w:rPr>
      <w:rFonts w:ascii="Calibri" w:eastAsiaTheme="minorEastAsia" w:hAnsi="Calibri"/>
      <w:sz w:val="24"/>
      <w:szCs w:val="24"/>
      <w:lang w:eastAsia="pl-PL"/>
    </w:rPr>
  </w:style>
  <w:style w:type="paragraph" w:customStyle="1" w:styleId="Style12">
    <w:name w:val="Style12"/>
    <w:basedOn w:val="Normalny"/>
    <w:uiPriority w:val="99"/>
    <w:rsid w:val="00FA3ADF"/>
    <w:pPr>
      <w:widowControl w:val="0"/>
      <w:autoSpaceDE w:val="0"/>
      <w:autoSpaceDN w:val="0"/>
      <w:adjustRightInd w:val="0"/>
      <w:spacing w:after="0" w:line="427" w:lineRule="exact"/>
      <w:jc w:val="both"/>
    </w:pPr>
    <w:rPr>
      <w:rFonts w:ascii="Calibri" w:eastAsiaTheme="minorEastAsia" w:hAnsi="Calibri"/>
      <w:sz w:val="24"/>
      <w:szCs w:val="24"/>
      <w:lang w:eastAsia="pl-PL"/>
    </w:rPr>
  </w:style>
  <w:style w:type="character" w:customStyle="1" w:styleId="FontStyle30">
    <w:name w:val="Font Style30"/>
    <w:basedOn w:val="Domylnaczcionkaakapitu"/>
    <w:uiPriority w:val="99"/>
    <w:rsid w:val="00FA3ADF"/>
    <w:rPr>
      <w:rFonts w:ascii="Calibri" w:hAnsi="Calibri" w:cs="Calibri"/>
      <w:sz w:val="24"/>
      <w:szCs w:val="24"/>
    </w:rPr>
  </w:style>
  <w:style w:type="character" w:customStyle="1" w:styleId="FontStyle31">
    <w:name w:val="Font Style31"/>
    <w:basedOn w:val="Domylnaczcionkaakapitu"/>
    <w:uiPriority w:val="99"/>
    <w:rsid w:val="00FA3ADF"/>
    <w:rPr>
      <w:rFonts w:ascii="Calibri" w:hAnsi="Calibri" w:cs="Calibri"/>
      <w:i/>
      <w:iCs/>
      <w:sz w:val="24"/>
      <w:szCs w:val="24"/>
    </w:rPr>
  </w:style>
  <w:style w:type="paragraph" w:styleId="Tekstdymka">
    <w:name w:val="Balloon Text"/>
    <w:basedOn w:val="Normalny"/>
    <w:link w:val="TekstdymkaZnak"/>
    <w:uiPriority w:val="99"/>
    <w:semiHidden/>
    <w:unhideWhenUsed/>
    <w:rsid w:val="00B80A2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80A22"/>
    <w:rPr>
      <w:rFonts w:ascii="Tahoma" w:hAnsi="Tahoma" w:cs="Tahoma"/>
      <w:sz w:val="16"/>
      <w:szCs w:val="16"/>
    </w:rPr>
  </w:style>
  <w:style w:type="paragraph" w:styleId="Stopka">
    <w:name w:val="footer"/>
    <w:basedOn w:val="Normalny"/>
    <w:link w:val="StopkaZnak"/>
    <w:uiPriority w:val="99"/>
    <w:unhideWhenUsed/>
    <w:rsid w:val="00B80A2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80A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12F8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12F84"/>
  </w:style>
  <w:style w:type="character" w:styleId="Numerstrony">
    <w:name w:val="page number"/>
    <w:basedOn w:val="Domylnaczcionkaakapitu"/>
    <w:rsid w:val="00B12F84"/>
  </w:style>
  <w:style w:type="paragraph" w:customStyle="1" w:styleId="Style4">
    <w:name w:val="Style4"/>
    <w:basedOn w:val="Normalny"/>
    <w:uiPriority w:val="99"/>
    <w:rsid w:val="00B6640E"/>
    <w:pPr>
      <w:widowControl w:val="0"/>
      <w:autoSpaceDE w:val="0"/>
      <w:autoSpaceDN w:val="0"/>
      <w:adjustRightInd w:val="0"/>
      <w:spacing w:after="0" w:line="425" w:lineRule="exact"/>
      <w:ind w:firstLine="691"/>
    </w:pPr>
    <w:rPr>
      <w:rFonts w:ascii="Calibri" w:eastAsiaTheme="minorEastAsia" w:hAnsi="Calibri"/>
      <w:sz w:val="24"/>
      <w:szCs w:val="24"/>
      <w:lang w:eastAsia="pl-PL"/>
    </w:rPr>
  </w:style>
  <w:style w:type="character" w:customStyle="1" w:styleId="FontStyle50">
    <w:name w:val="Font Style50"/>
    <w:basedOn w:val="Domylnaczcionkaakapitu"/>
    <w:uiPriority w:val="99"/>
    <w:rsid w:val="00B6640E"/>
    <w:rPr>
      <w:rFonts w:ascii="Times New Roman" w:hAnsi="Times New Roman" w:cs="Times New Roman" w:hint="default"/>
    </w:rPr>
  </w:style>
  <w:style w:type="paragraph" w:customStyle="1" w:styleId="Style1">
    <w:name w:val="Style1"/>
    <w:basedOn w:val="Normalny"/>
    <w:uiPriority w:val="99"/>
    <w:rsid w:val="00FA3ADF"/>
    <w:pPr>
      <w:widowControl w:val="0"/>
      <w:autoSpaceDE w:val="0"/>
      <w:autoSpaceDN w:val="0"/>
      <w:adjustRightInd w:val="0"/>
      <w:spacing w:after="0" w:line="425" w:lineRule="exact"/>
      <w:jc w:val="both"/>
    </w:pPr>
    <w:rPr>
      <w:rFonts w:ascii="Calibri" w:eastAsiaTheme="minorEastAsia" w:hAnsi="Calibri"/>
      <w:sz w:val="24"/>
      <w:szCs w:val="24"/>
      <w:lang w:eastAsia="pl-PL"/>
    </w:rPr>
  </w:style>
  <w:style w:type="paragraph" w:customStyle="1" w:styleId="Style12">
    <w:name w:val="Style12"/>
    <w:basedOn w:val="Normalny"/>
    <w:uiPriority w:val="99"/>
    <w:rsid w:val="00FA3ADF"/>
    <w:pPr>
      <w:widowControl w:val="0"/>
      <w:autoSpaceDE w:val="0"/>
      <w:autoSpaceDN w:val="0"/>
      <w:adjustRightInd w:val="0"/>
      <w:spacing w:after="0" w:line="427" w:lineRule="exact"/>
      <w:jc w:val="both"/>
    </w:pPr>
    <w:rPr>
      <w:rFonts w:ascii="Calibri" w:eastAsiaTheme="minorEastAsia" w:hAnsi="Calibri"/>
      <w:sz w:val="24"/>
      <w:szCs w:val="24"/>
      <w:lang w:eastAsia="pl-PL"/>
    </w:rPr>
  </w:style>
  <w:style w:type="character" w:customStyle="1" w:styleId="FontStyle30">
    <w:name w:val="Font Style30"/>
    <w:basedOn w:val="Domylnaczcionkaakapitu"/>
    <w:uiPriority w:val="99"/>
    <w:rsid w:val="00FA3ADF"/>
    <w:rPr>
      <w:rFonts w:ascii="Calibri" w:hAnsi="Calibri" w:cs="Calibri"/>
      <w:sz w:val="24"/>
      <w:szCs w:val="24"/>
    </w:rPr>
  </w:style>
  <w:style w:type="character" w:customStyle="1" w:styleId="FontStyle31">
    <w:name w:val="Font Style31"/>
    <w:basedOn w:val="Domylnaczcionkaakapitu"/>
    <w:uiPriority w:val="99"/>
    <w:rsid w:val="00FA3ADF"/>
    <w:rPr>
      <w:rFonts w:ascii="Calibri" w:hAnsi="Calibri" w:cs="Calibri"/>
      <w:i/>
      <w:iCs/>
      <w:sz w:val="24"/>
      <w:szCs w:val="24"/>
    </w:rPr>
  </w:style>
  <w:style w:type="paragraph" w:styleId="Tekstdymka">
    <w:name w:val="Balloon Text"/>
    <w:basedOn w:val="Normalny"/>
    <w:link w:val="TekstdymkaZnak"/>
    <w:uiPriority w:val="99"/>
    <w:semiHidden/>
    <w:unhideWhenUsed/>
    <w:rsid w:val="00B80A2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80A22"/>
    <w:rPr>
      <w:rFonts w:ascii="Tahoma" w:hAnsi="Tahoma" w:cs="Tahoma"/>
      <w:sz w:val="16"/>
      <w:szCs w:val="16"/>
    </w:rPr>
  </w:style>
  <w:style w:type="paragraph" w:styleId="Stopka">
    <w:name w:val="footer"/>
    <w:basedOn w:val="Normalny"/>
    <w:link w:val="StopkaZnak"/>
    <w:uiPriority w:val="99"/>
    <w:unhideWhenUsed/>
    <w:rsid w:val="00B80A2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80A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6</Pages>
  <Words>1820</Words>
  <Characters>10921</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Wiraszka-Bereza</dc:creator>
  <cp:lastModifiedBy>Sabiniewicz Marcin</cp:lastModifiedBy>
  <cp:revision>19</cp:revision>
  <cp:lastPrinted>2019-03-01T13:05:00Z</cp:lastPrinted>
  <dcterms:created xsi:type="dcterms:W3CDTF">2019-01-23T11:46:00Z</dcterms:created>
  <dcterms:modified xsi:type="dcterms:W3CDTF">2019-03-01T13:38:00Z</dcterms:modified>
</cp:coreProperties>
</file>