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B71" w:rsidRPr="00A45B71" w:rsidRDefault="00A45B71" w:rsidP="00A45B71">
      <w:pPr>
        <w:suppressAutoHyphens/>
        <w:autoSpaceDE w:val="0"/>
        <w:autoSpaceDN w:val="0"/>
        <w:adjustRightInd w:val="0"/>
        <w:spacing w:before="120" w:after="0" w:line="360" w:lineRule="auto"/>
        <w:jc w:val="center"/>
        <w:rPr>
          <w:rFonts w:ascii="Times" w:eastAsia="Times New Roman" w:hAnsi="Times" w:cs="Arial"/>
          <w:sz w:val="24"/>
          <w:szCs w:val="20"/>
          <w:lang w:eastAsia="pl-PL"/>
        </w:rPr>
      </w:pPr>
      <w:bookmarkStart w:id="0" w:name="_GoBack"/>
      <w:bookmarkEnd w:id="0"/>
      <w:r w:rsidRPr="00A45B71">
        <w:rPr>
          <w:rFonts w:ascii="Times" w:eastAsia="Times New Roman" w:hAnsi="Times" w:cs="Arial"/>
          <w:sz w:val="24"/>
          <w:szCs w:val="20"/>
          <w:lang w:eastAsia="pl-PL"/>
        </w:rPr>
        <w:t>UZASADNIENIE</w:t>
      </w:r>
    </w:p>
    <w:p w:rsidR="00A45B71" w:rsidRPr="00A45B71" w:rsidRDefault="00A45B71" w:rsidP="00A45B71">
      <w:pPr>
        <w:suppressAutoHyphens/>
        <w:autoSpaceDE w:val="0"/>
        <w:autoSpaceDN w:val="0"/>
        <w:adjustRightInd w:val="0"/>
        <w:spacing w:before="24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Celem niniejszego projektu ustawy o zmianie niektórych ustaw w związku z</w:t>
      </w:r>
      <w:r>
        <w:rPr>
          <w:rFonts w:ascii="Times" w:eastAsia="Times New Roman" w:hAnsi="Times" w:cs="Arial"/>
          <w:sz w:val="24"/>
          <w:szCs w:val="20"/>
          <w:lang w:eastAsia="pl-PL"/>
        </w:rPr>
        <w:t> </w:t>
      </w:r>
      <w:r w:rsidRPr="00A45B71">
        <w:rPr>
          <w:rFonts w:ascii="Times" w:eastAsia="Times New Roman" w:hAnsi="Times" w:cs="Arial"/>
          <w:sz w:val="24"/>
          <w:szCs w:val="20"/>
          <w:lang w:eastAsia="pl-PL"/>
        </w:rPr>
        <w:t xml:space="preserve">wprowadzeniem e-recepty, zwanego dalej „ustawą nowelizującą”, jest zmiana </w:t>
      </w:r>
      <w:r w:rsidR="007813A5">
        <w:rPr>
          <w:rFonts w:ascii="Times" w:eastAsia="Times New Roman" w:hAnsi="Times" w:cs="Arial"/>
          <w:sz w:val="24"/>
          <w:szCs w:val="20"/>
          <w:lang w:eastAsia="pl-PL"/>
        </w:rPr>
        <w:t xml:space="preserve">ośmiu </w:t>
      </w:r>
      <w:r w:rsidRPr="00A45B71">
        <w:rPr>
          <w:rFonts w:ascii="Times" w:eastAsia="Times New Roman" w:hAnsi="Times" w:cs="Arial"/>
          <w:sz w:val="24"/>
          <w:szCs w:val="20"/>
          <w:lang w:eastAsia="pl-PL"/>
        </w:rPr>
        <w:t>ustaw, w tym ustawy z dnia 6 września 2001 r. – Prawo farmaceutyczne (Dz. U. z</w:t>
      </w:r>
      <w:r>
        <w:rPr>
          <w:rFonts w:ascii="Times" w:eastAsia="Times New Roman" w:hAnsi="Times" w:cs="Arial"/>
          <w:sz w:val="24"/>
          <w:szCs w:val="20"/>
          <w:lang w:eastAsia="pl-PL"/>
        </w:rPr>
        <w:t> </w:t>
      </w:r>
      <w:r w:rsidRPr="00A45B71">
        <w:rPr>
          <w:rFonts w:ascii="Times" w:eastAsia="Times New Roman" w:hAnsi="Times" w:cs="Arial"/>
          <w:sz w:val="24"/>
          <w:szCs w:val="20"/>
          <w:lang w:eastAsia="pl-PL"/>
        </w:rPr>
        <w:t>2017</w:t>
      </w:r>
      <w:r>
        <w:rPr>
          <w:rFonts w:ascii="Times" w:eastAsia="Times New Roman" w:hAnsi="Times" w:cs="Arial"/>
          <w:sz w:val="24"/>
          <w:szCs w:val="20"/>
          <w:lang w:eastAsia="pl-PL"/>
        </w:rPr>
        <w:t> </w:t>
      </w:r>
      <w:r w:rsidRPr="00A45B71">
        <w:rPr>
          <w:rFonts w:ascii="Times" w:eastAsia="Times New Roman" w:hAnsi="Times" w:cs="Arial"/>
          <w:sz w:val="24"/>
          <w:szCs w:val="20"/>
          <w:lang w:eastAsia="pl-PL"/>
        </w:rPr>
        <w:t>r. poz. 2211), zwanej dalej „ustawą nowelizowaną”, w następującym przedmiocie:</w:t>
      </w:r>
    </w:p>
    <w:p w:rsidR="00A45B71" w:rsidRPr="00A45B71" w:rsidRDefault="00A45B71" w:rsidP="00A45B71">
      <w:pPr>
        <w:suppressAutoHyphens/>
        <w:autoSpaceDE w:val="0"/>
        <w:autoSpaceDN w:val="0"/>
        <w:adjustRightInd w:val="0"/>
        <w:spacing w:after="0" w:line="360" w:lineRule="auto"/>
        <w:ind w:left="425" w:hanging="425"/>
        <w:jc w:val="both"/>
        <w:rPr>
          <w:rFonts w:ascii="Times" w:eastAsia="Times New Roman" w:hAnsi="Times" w:cs="Arial"/>
          <w:sz w:val="24"/>
          <w:szCs w:val="20"/>
          <w:lang w:eastAsia="pl-PL"/>
        </w:rPr>
      </w:pPr>
      <w:r>
        <w:rPr>
          <w:rFonts w:ascii="Times" w:eastAsia="Times New Roman" w:hAnsi="Times" w:cs="Arial"/>
          <w:sz w:val="24"/>
          <w:szCs w:val="20"/>
          <w:lang w:eastAsia="pl-PL"/>
        </w:rPr>
        <w:t>1)</w:t>
      </w:r>
      <w:r>
        <w:rPr>
          <w:rFonts w:ascii="Times" w:eastAsia="Times New Roman" w:hAnsi="Times" w:cs="Arial"/>
          <w:sz w:val="24"/>
          <w:szCs w:val="20"/>
          <w:lang w:eastAsia="pl-PL"/>
        </w:rPr>
        <w:tab/>
      </w:r>
      <w:r w:rsidRPr="00A45B71">
        <w:rPr>
          <w:rFonts w:ascii="Times" w:eastAsia="Times New Roman" w:hAnsi="Times" w:cs="Arial"/>
          <w:sz w:val="24"/>
          <w:szCs w:val="20"/>
          <w:lang w:eastAsia="pl-PL"/>
        </w:rPr>
        <w:t>modyfikacji niektórych przepisów regulujących kwestie związane z wystawianiem zapotrzebowań przez podmioty wykonujące działalność leczniczą na produkty lecznicze, środki spożywcze specjalnego przeznaczenia żywieniowego i wyroby medyczne;</w:t>
      </w:r>
    </w:p>
    <w:p w:rsidR="00A45B71" w:rsidRPr="00A45B71" w:rsidRDefault="00A45B71" w:rsidP="00A45B71">
      <w:pPr>
        <w:suppressAutoHyphens/>
        <w:autoSpaceDE w:val="0"/>
        <w:autoSpaceDN w:val="0"/>
        <w:adjustRightInd w:val="0"/>
        <w:spacing w:after="0" w:line="360" w:lineRule="auto"/>
        <w:ind w:left="425" w:hanging="425"/>
        <w:jc w:val="both"/>
        <w:rPr>
          <w:rFonts w:ascii="Times" w:eastAsia="Times New Roman" w:hAnsi="Times" w:cs="Arial"/>
          <w:sz w:val="24"/>
          <w:szCs w:val="20"/>
          <w:lang w:eastAsia="pl-PL"/>
        </w:rPr>
      </w:pPr>
      <w:r>
        <w:rPr>
          <w:rFonts w:ascii="Times" w:eastAsia="Times New Roman" w:hAnsi="Times" w:cs="Arial"/>
          <w:sz w:val="24"/>
          <w:szCs w:val="20"/>
          <w:lang w:eastAsia="pl-PL"/>
        </w:rPr>
        <w:t>2)</w:t>
      </w:r>
      <w:r>
        <w:rPr>
          <w:rFonts w:ascii="Times" w:eastAsia="Times New Roman" w:hAnsi="Times" w:cs="Arial"/>
          <w:sz w:val="24"/>
          <w:szCs w:val="20"/>
          <w:lang w:eastAsia="pl-PL"/>
        </w:rPr>
        <w:tab/>
      </w:r>
      <w:r w:rsidRPr="00A45B71">
        <w:rPr>
          <w:rFonts w:ascii="Times" w:eastAsia="Times New Roman" w:hAnsi="Times" w:cs="Arial"/>
          <w:sz w:val="24"/>
          <w:szCs w:val="20"/>
          <w:lang w:eastAsia="pl-PL"/>
        </w:rPr>
        <w:t>modyfikacji albo dodania przepisów regulujących kwestie związane z</w:t>
      </w:r>
      <w:r>
        <w:rPr>
          <w:rFonts w:ascii="Times" w:eastAsia="Times New Roman" w:hAnsi="Times" w:cs="Arial"/>
          <w:sz w:val="24"/>
          <w:szCs w:val="20"/>
          <w:lang w:eastAsia="pl-PL"/>
        </w:rPr>
        <w:t> </w:t>
      </w:r>
      <w:r w:rsidRPr="00A45B71">
        <w:rPr>
          <w:rFonts w:ascii="Times" w:eastAsia="Times New Roman" w:hAnsi="Times" w:cs="Arial"/>
          <w:sz w:val="24"/>
          <w:szCs w:val="20"/>
          <w:lang w:eastAsia="pl-PL"/>
        </w:rPr>
        <w:t>wystawianiem, realizacją i kontrolą recept (w tym tych wystawianych w postaci elektronicznej) oraz sprawozdawczości aptek do Narodowego Funduszu Zdrowia;</w:t>
      </w:r>
    </w:p>
    <w:p w:rsidR="00A45B71" w:rsidRPr="00A45B71" w:rsidRDefault="00A45B71" w:rsidP="00A45B71">
      <w:pPr>
        <w:suppressAutoHyphens/>
        <w:autoSpaceDE w:val="0"/>
        <w:autoSpaceDN w:val="0"/>
        <w:adjustRightInd w:val="0"/>
        <w:spacing w:after="0" w:line="360" w:lineRule="auto"/>
        <w:ind w:left="425" w:hanging="425"/>
        <w:jc w:val="both"/>
        <w:rPr>
          <w:rFonts w:ascii="Times" w:eastAsia="Times New Roman" w:hAnsi="Times" w:cs="Arial"/>
          <w:sz w:val="24"/>
          <w:szCs w:val="20"/>
          <w:lang w:eastAsia="pl-PL"/>
        </w:rPr>
      </w:pPr>
      <w:r>
        <w:rPr>
          <w:rFonts w:ascii="Times" w:eastAsia="Times New Roman" w:hAnsi="Times" w:cs="Arial"/>
          <w:sz w:val="24"/>
          <w:szCs w:val="20"/>
          <w:lang w:eastAsia="pl-PL"/>
        </w:rPr>
        <w:t>3)</w:t>
      </w:r>
      <w:r>
        <w:rPr>
          <w:rFonts w:ascii="Times" w:eastAsia="Times New Roman" w:hAnsi="Times" w:cs="Arial"/>
          <w:sz w:val="24"/>
          <w:szCs w:val="20"/>
          <w:lang w:eastAsia="pl-PL"/>
        </w:rPr>
        <w:tab/>
      </w:r>
      <w:r w:rsidRPr="00A45B71">
        <w:rPr>
          <w:rFonts w:ascii="Times" w:eastAsia="Times New Roman" w:hAnsi="Times" w:cs="Arial"/>
          <w:sz w:val="24"/>
          <w:szCs w:val="20"/>
          <w:lang w:eastAsia="pl-PL"/>
        </w:rPr>
        <w:t>umożliwienia wystawiania recepty bez osobistego kontaktu osoby wystawiającej receptę z pacjentem;</w:t>
      </w:r>
    </w:p>
    <w:p w:rsidR="00A45B71" w:rsidRPr="00A45B71" w:rsidRDefault="00A45B71" w:rsidP="00A45B71">
      <w:pPr>
        <w:suppressAutoHyphens/>
        <w:autoSpaceDE w:val="0"/>
        <w:autoSpaceDN w:val="0"/>
        <w:adjustRightInd w:val="0"/>
        <w:spacing w:after="0" w:line="360" w:lineRule="auto"/>
        <w:ind w:left="425" w:hanging="425"/>
        <w:jc w:val="both"/>
        <w:rPr>
          <w:rFonts w:ascii="Times" w:eastAsia="Times New Roman" w:hAnsi="Times" w:cs="Arial"/>
          <w:sz w:val="24"/>
          <w:szCs w:val="20"/>
          <w:lang w:eastAsia="pl-PL"/>
        </w:rPr>
      </w:pPr>
      <w:r>
        <w:rPr>
          <w:rFonts w:ascii="Times" w:eastAsia="Times New Roman" w:hAnsi="Times" w:cs="Arial"/>
          <w:sz w:val="24"/>
          <w:szCs w:val="20"/>
          <w:lang w:eastAsia="pl-PL"/>
        </w:rPr>
        <w:t>4)</w:t>
      </w:r>
      <w:r>
        <w:rPr>
          <w:rFonts w:ascii="Times" w:eastAsia="Times New Roman" w:hAnsi="Times" w:cs="Arial"/>
          <w:sz w:val="24"/>
          <w:szCs w:val="20"/>
          <w:lang w:eastAsia="pl-PL"/>
        </w:rPr>
        <w:tab/>
      </w:r>
      <w:r w:rsidRPr="00A45B71">
        <w:rPr>
          <w:rFonts w:ascii="Times" w:eastAsia="Times New Roman" w:hAnsi="Times" w:cs="Arial"/>
          <w:sz w:val="24"/>
          <w:szCs w:val="20"/>
          <w:lang w:eastAsia="pl-PL"/>
        </w:rPr>
        <w:t>zmian w zakresie sposobu podpisywania elektronicznej dokumentacji medycznej.</w:t>
      </w:r>
    </w:p>
    <w:p w:rsidR="00A45B71" w:rsidRPr="00A45B71" w:rsidRDefault="00A45B71" w:rsidP="00A45B71">
      <w:pPr>
        <w:suppressAutoHyphens/>
        <w:autoSpaceDE w:val="0"/>
        <w:autoSpaceDN w:val="0"/>
        <w:adjustRightInd w:val="0"/>
        <w:spacing w:before="24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ZMIANY W PRZEPISACH DOTYCZĄCYCH ZAPOTRZEBOWAŃ PO</w:t>
      </w:r>
      <w:r w:rsidR="00F8415C">
        <w:rPr>
          <w:rFonts w:ascii="Times" w:eastAsia="Times New Roman" w:hAnsi="Times" w:cs="Arial"/>
          <w:sz w:val="24"/>
          <w:szCs w:val="20"/>
          <w:lang w:eastAsia="pl-PL"/>
        </w:rPr>
        <w:t xml:space="preserve">DMIOTÓW WYKONUJĄCYCH DZIAŁALNOŚĆ </w:t>
      </w:r>
      <w:r w:rsidRPr="00A45B71">
        <w:rPr>
          <w:rFonts w:ascii="Times" w:eastAsia="Times New Roman" w:hAnsi="Times" w:cs="Arial"/>
          <w:sz w:val="24"/>
          <w:szCs w:val="20"/>
          <w:lang w:eastAsia="pl-PL"/>
        </w:rPr>
        <w:t>LECZNICZĄ</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zmienianym art. 96 ustawy nowelizowanej proponuje się dodać dodatkowe ustępy odnoszące się do zapotrzebowań, o których mowa w ust. 1 pkt 3 omawianego artykułu. W przepisach tych określono katalog danych koniecznych do zawarcia w</w:t>
      </w:r>
      <w:r>
        <w:rPr>
          <w:rFonts w:ascii="Times" w:eastAsia="Times New Roman" w:hAnsi="Times" w:cs="Arial"/>
          <w:sz w:val="24"/>
          <w:szCs w:val="20"/>
          <w:lang w:eastAsia="pl-PL"/>
        </w:rPr>
        <w:t> </w:t>
      </w:r>
      <w:r w:rsidRPr="00A45B71">
        <w:rPr>
          <w:rFonts w:ascii="Times" w:eastAsia="Times New Roman" w:hAnsi="Times" w:cs="Arial"/>
          <w:sz w:val="24"/>
          <w:szCs w:val="20"/>
          <w:lang w:eastAsia="pl-PL"/>
        </w:rPr>
        <w:t>zapotrzebowaniu i w tym względzie zastąpiono dotychczasowy przepis art. 96a ust.</w:t>
      </w:r>
      <w:r>
        <w:rPr>
          <w:rFonts w:ascii="Times" w:eastAsia="Times New Roman" w:hAnsi="Times" w:cs="Arial"/>
          <w:sz w:val="24"/>
          <w:szCs w:val="20"/>
          <w:lang w:eastAsia="pl-PL"/>
        </w:rPr>
        <w:t> </w:t>
      </w:r>
      <w:r w:rsidRPr="00A45B71">
        <w:rPr>
          <w:rFonts w:ascii="Times" w:eastAsia="Times New Roman" w:hAnsi="Times" w:cs="Arial"/>
          <w:sz w:val="24"/>
          <w:szCs w:val="20"/>
          <w:lang w:eastAsia="pl-PL"/>
        </w:rPr>
        <w:t>10 ustawy nowelizowanej.</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związku z tym, iż ww. zapotrzebowania są wykorzystywane do pozyskiwania z</w:t>
      </w:r>
      <w:r>
        <w:rPr>
          <w:rFonts w:ascii="Times" w:eastAsia="Times New Roman" w:hAnsi="Times" w:cs="Arial"/>
          <w:sz w:val="24"/>
          <w:szCs w:val="20"/>
          <w:lang w:eastAsia="pl-PL"/>
        </w:rPr>
        <w:t> </w:t>
      </w:r>
      <w:r w:rsidRPr="00A45B71">
        <w:rPr>
          <w:rFonts w:ascii="Times" w:eastAsia="Times New Roman" w:hAnsi="Times" w:cs="Arial"/>
          <w:sz w:val="24"/>
          <w:szCs w:val="20"/>
          <w:lang w:eastAsia="pl-PL"/>
        </w:rPr>
        <w:t xml:space="preserve">aptek deficytowych produktów leczniczych, które są następnie wywożone poza granice Rzeczypospolitej Polskiej, należało doprecyzować, co powinno zawierać zapotrzebowanie, tak aby spełniało swój cel, jakim jest zaopatrzenie podmiotów wykonujących działalność leczniczą na potrzeby pacjentów. Nowa treść zapotrzebowania ma określać m.in. informację o kolejnym numerze zapotrzebowania wystawionego przez dany podmiot wykonujący działalność leczniczą. Informacja ta pozwoli farmaceucie ocenić, jaką ilość zapotrzebowań wystawił podmiot leczniczy, </w:t>
      </w:r>
      <w:r w:rsidRPr="00A45B71">
        <w:rPr>
          <w:rFonts w:ascii="Times" w:eastAsia="Times New Roman" w:hAnsi="Times" w:cs="Arial"/>
          <w:sz w:val="24"/>
          <w:szCs w:val="20"/>
          <w:lang w:eastAsia="pl-PL"/>
        </w:rPr>
        <w:lastRenderedPageBreak/>
        <w:t>a</w:t>
      </w:r>
      <w:r>
        <w:rPr>
          <w:rFonts w:ascii="Times" w:eastAsia="Times New Roman" w:hAnsi="Times" w:cs="Arial"/>
          <w:sz w:val="24"/>
          <w:szCs w:val="20"/>
          <w:lang w:eastAsia="pl-PL"/>
        </w:rPr>
        <w:t> </w:t>
      </w:r>
      <w:r w:rsidRPr="00A45B71">
        <w:rPr>
          <w:rFonts w:ascii="Times" w:eastAsia="Times New Roman" w:hAnsi="Times" w:cs="Arial"/>
          <w:sz w:val="24"/>
          <w:szCs w:val="20"/>
          <w:lang w:eastAsia="pl-PL"/>
        </w:rPr>
        <w:t xml:space="preserve">ich duża ilość może wskazywać na zamiar wykorzystania ich w celach pozamedycznych. Ponadto zapotrzebowanie będzie zawierać szczegółowe dane dotyczące zarówno podmiotu leczniczego, w którym zapotrzebowanie zostało wystawione, kierownika tego podmiotu, jak i lekarza, który zapotrzebowanie podpisał. </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Ponadto zaproponowano przepis, zgodnie z którym zapotrzebowanie ma zawierać pisemne potwierdzenie osoby uprawnionej do wystawiania recept w zakresie prowadzonej działalności. Zapotrzebowanie musi zawierać informację o </w:t>
      </w:r>
      <w:r w:rsidR="00F8415C">
        <w:rPr>
          <w:rFonts w:ascii="Times" w:eastAsia="Times New Roman" w:hAnsi="Times" w:cs="Arial"/>
          <w:sz w:val="24"/>
          <w:szCs w:val="20"/>
          <w:lang w:eastAsia="pl-PL"/>
        </w:rPr>
        <w:t>liczbie</w:t>
      </w:r>
      <w:r w:rsidR="00F8415C" w:rsidRPr="00A45B71">
        <w:rPr>
          <w:rFonts w:ascii="Times" w:eastAsia="Times New Roman" w:hAnsi="Times" w:cs="Arial"/>
          <w:sz w:val="24"/>
          <w:szCs w:val="20"/>
          <w:lang w:eastAsia="pl-PL"/>
        </w:rPr>
        <w:t xml:space="preserve"> </w:t>
      </w:r>
      <w:r w:rsidRPr="00A45B71">
        <w:rPr>
          <w:rFonts w:ascii="Times" w:eastAsia="Times New Roman" w:hAnsi="Times" w:cs="Arial"/>
          <w:sz w:val="24"/>
          <w:szCs w:val="20"/>
          <w:lang w:eastAsia="pl-PL"/>
        </w:rPr>
        <w:t>pacjentów, którym zostały podane ujęte w zapotrzebowaniu produkty lecznicze, środki spożywcze specjalnego przeznaczenia żywieniowego lub wyroby medyczne nabyte na podstawie poprzedniego zapotrzebowania, jak również stosowne oświadczenia, że asortyment ujęty w zapotrzebowaniu zostanie spożytkowany wyłącznie w celu udzielenia pacjentowi świadczenia opieki zdrowotnej w zakresie wykonywanej działalności leczniczej oraz że ten sam asortyment nabyty na podstawie poprzednich zapotrzebowań został wykorzystany wyłącznie w ramach wykonywanej działalności leczniczej i na rzecz pacjenta. Jeżeli okaże się (np. w wyniku kontroli), że mimo wystawienia zapotrzebowania z deklarowanym celem realizacji potrzeb pacjentów (i</w:t>
      </w:r>
      <w:r>
        <w:rPr>
          <w:rFonts w:ascii="Times" w:eastAsia="Times New Roman" w:hAnsi="Times" w:cs="Arial"/>
          <w:sz w:val="24"/>
          <w:szCs w:val="20"/>
          <w:lang w:eastAsia="pl-PL"/>
        </w:rPr>
        <w:t> </w:t>
      </w:r>
      <w:r w:rsidRPr="00A45B71">
        <w:rPr>
          <w:rFonts w:ascii="Times" w:eastAsia="Times New Roman" w:hAnsi="Times" w:cs="Arial"/>
          <w:sz w:val="24"/>
          <w:szCs w:val="20"/>
          <w:lang w:eastAsia="pl-PL"/>
        </w:rPr>
        <w:t>złożenia w tym względzie stosownego oświadczenia) zapotrzebowanie zostało wykorzystane w innym celu, a zatem że cel wynikający z oświadczenia był fikcyjny, fakt złożenia fałszywego oświadczenia będzie mógł stać się przyczynkiem do wyciągnięcia konsekwencji wobec winnych takiego nadużycia.</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Składający omawiane oświadczenie ma </w:t>
      </w:r>
      <w:r w:rsidR="00F8415C">
        <w:rPr>
          <w:rFonts w:ascii="Times" w:eastAsia="Times New Roman" w:hAnsi="Times" w:cs="Arial"/>
          <w:sz w:val="24"/>
          <w:szCs w:val="20"/>
          <w:lang w:eastAsia="pl-PL"/>
        </w:rPr>
        <w:t>po</w:t>
      </w:r>
      <w:r w:rsidRPr="00A45B71">
        <w:rPr>
          <w:rFonts w:ascii="Times" w:eastAsia="Times New Roman" w:hAnsi="Times" w:cs="Arial"/>
          <w:sz w:val="24"/>
          <w:szCs w:val="20"/>
          <w:lang w:eastAsia="pl-PL"/>
        </w:rPr>
        <w:t xml:space="preserve">nadto zawrzeć tam informację, że ilość tego, co ujęto na zapotrzebowaniu, odpowiada maksymalnie jednomiesięcznemu zapasowi. </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Oświadczenie to, zgodnie z dodawanym do art. 96 ust. 2a ustawy nowelizowanej, będzie składane pod rygorem odpowiedzialności karnej za składanie fałszywych oświadczeń.</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zmienianym art. 96 ust. 2c ustawy nowelizowanej przesądzono, że termin ważności zapotrzebowania wynosi 14 dni od dnia jego wystawienia. Przepis ten znajdował się dotychczas w innym miejscu ustawy nowelizowanej (tj. w art. 96a ust. 11), z którego jest przedmiotowym projektem usuwany.</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Z kolei w art. 96 ust. 2b ustawy nowelizowanej proponuje się uregulować, że zapotrzebowania są realizowane za pełną odpłatnością. Jak wskazuje praktyka, pojawiały się sygnały o próbach realizowania zapotrzebowań na zasadach </w:t>
      </w:r>
      <w:r w:rsidRPr="00A45B71">
        <w:rPr>
          <w:rFonts w:ascii="Times" w:eastAsia="Times New Roman" w:hAnsi="Times" w:cs="Arial"/>
          <w:sz w:val="24"/>
          <w:szCs w:val="20"/>
          <w:lang w:eastAsia="pl-PL"/>
        </w:rPr>
        <w:lastRenderedPageBreak/>
        <w:t>analogicznych</w:t>
      </w:r>
      <w:r w:rsidR="007813A5">
        <w:rPr>
          <w:rFonts w:ascii="Times" w:eastAsia="Times New Roman" w:hAnsi="Times" w:cs="Arial"/>
          <w:sz w:val="24"/>
          <w:szCs w:val="20"/>
          <w:lang w:eastAsia="pl-PL"/>
        </w:rPr>
        <w:t>,</w:t>
      </w:r>
      <w:r w:rsidRPr="00A45B71">
        <w:rPr>
          <w:rFonts w:ascii="Times" w:eastAsia="Times New Roman" w:hAnsi="Times" w:cs="Arial"/>
          <w:sz w:val="24"/>
          <w:szCs w:val="20"/>
          <w:lang w:eastAsia="pl-PL"/>
        </w:rPr>
        <w:t xml:space="preserve"> jak wynikające z ustawy z dnia 12 maja 2001 r. o refundacji leków, środków spożywczych specjalnego przeznaczenia żywieniowego oraz wyrobów medycznych (Dz. U. z 2017 r. poz. 1844) w zakresie odpłatności za leki przepisywane na receptach. Mimo że nie ma żadnych podstaw, aby w drodze takiej analogii rozszerzać uprawnienia do refundacji na leki ujmowane w omawianych zapotrzebowaniach, w szczególności uprawnienie to nie wynika ani z przywołanej wyżej ustawy</w:t>
      </w:r>
      <w:r w:rsidR="00F8415C">
        <w:rPr>
          <w:rFonts w:ascii="Times" w:eastAsia="Times New Roman" w:hAnsi="Times" w:cs="Arial"/>
          <w:sz w:val="24"/>
          <w:szCs w:val="20"/>
          <w:lang w:eastAsia="pl-PL"/>
        </w:rPr>
        <w:t>,</w:t>
      </w:r>
      <w:r w:rsidRPr="00A45B71">
        <w:rPr>
          <w:rFonts w:ascii="Times" w:eastAsia="Times New Roman" w:hAnsi="Times" w:cs="Arial"/>
          <w:sz w:val="24"/>
          <w:szCs w:val="20"/>
          <w:lang w:eastAsia="pl-PL"/>
        </w:rPr>
        <w:t xml:space="preserve"> ani z ustawy nowelizowanej, </w:t>
      </w:r>
      <w:r>
        <w:rPr>
          <w:rFonts w:ascii="Times" w:eastAsia="Times New Roman" w:hAnsi="Times" w:cs="Arial"/>
          <w:sz w:val="24"/>
          <w:szCs w:val="20"/>
          <w:lang w:eastAsia="pl-PL"/>
        </w:rPr>
        <w:t>w ocenie projektodawcy należy w </w:t>
      </w:r>
      <w:r w:rsidRPr="00A45B71">
        <w:rPr>
          <w:rFonts w:ascii="Times" w:eastAsia="Times New Roman" w:hAnsi="Times" w:cs="Arial"/>
          <w:sz w:val="24"/>
          <w:szCs w:val="20"/>
          <w:lang w:eastAsia="pl-PL"/>
        </w:rPr>
        <w:t>przepisach ustawy nowelizowanej wyraźnie zapisać, że zapotrzebowania są realizowane wyłącznie pełnopłatnie.</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Do art. 96 ustawy nowelizowanej wprowadza się </w:t>
      </w:r>
      <w:r w:rsidR="00F8415C">
        <w:rPr>
          <w:rFonts w:ascii="Times" w:eastAsia="Times New Roman" w:hAnsi="Times" w:cs="Arial"/>
          <w:sz w:val="24"/>
          <w:szCs w:val="20"/>
          <w:lang w:eastAsia="pl-PL"/>
        </w:rPr>
        <w:t>po</w:t>
      </w:r>
      <w:r w:rsidRPr="00A45B71">
        <w:rPr>
          <w:rFonts w:ascii="Times" w:eastAsia="Times New Roman" w:hAnsi="Times" w:cs="Arial"/>
          <w:sz w:val="24"/>
          <w:szCs w:val="20"/>
          <w:lang w:eastAsia="pl-PL"/>
        </w:rPr>
        <w:t>nadto w dodawanych ust. 2d i 2e obowiązek prowadzenia przez podmiot wykonujący działalność leczniczą, który wystawia zapotrzebowania, ewidencji tych zapotrzebowań</w:t>
      </w:r>
      <w:r w:rsidR="00F8415C">
        <w:rPr>
          <w:rFonts w:ascii="Times" w:eastAsia="Times New Roman" w:hAnsi="Times" w:cs="Arial"/>
          <w:sz w:val="24"/>
          <w:szCs w:val="20"/>
          <w:lang w:eastAsia="pl-PL"/>
        </w:rPr>
        <w:t xml:space="preserve"> oraz przepis nakazujący ww. </w:t>
      </w:r>
      <w:r w:rsidRPr="00A45B71">
        <w:rPr>
          <w:rFonts w:ascii="Times" w:eastAsia="Times New Roman" w:hAnsi="Times" w:cs="Arial"/>
          <w:sz w:val="24"/>
          <w:szCs w:val="20"/>
          <w:lang w:eastAsia="pl-PL"/>
        </w:rPr>
        <w:t>podmiotom umożliwienie organom Państwowej Inspekcji Farmaceutycznej wgląd do prowadzonych ewidencji oraz przekazywanie tym organom kopii wystawionych zapotrzebowań. Przez wpisanie przedmiotowych obowiązków do ustawy nowelizowanej umożliwia się kontrolę prawidłowości wystawiania zapotrzebowań pod kątem identyfikacji potencjalnych nadużyć, w tym</w:t>
      </w:r>
      <w:r>
        <w:rPr>
          <w:rFonts w:ascii="Times" w:eastAsia="Times New Roman" w:hAnsi="Times" w:cs="Arial"/>
          <w:sz w:val="24"/>
          <w:szCs w:val="20"/>
          <w:lang w:eastAsia="pl-PL"/>
        </w:rPr>
        <w:t xml:space="preserve"> przede wszystkim co do celu, w </w:t>
      </w:r>
      <w:r w:rsidRPr="00A45B71">
        <w:rPr>
          <w:rFonts w:ascii="Times" w:eastAsia="Times New Roman" w:hAnsi="Times" w:cs="Arial"/>
          <w:sz w:val="24"/>
          <w:szCs w:val="20"/>
          <w:lang w:eastAsia="pl-PL"/>
        </w:rPr>
        <w:t>jakim zapotrzebowania zostały następczo wykorzystane.</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W dodawanych do art. </w:t>
      </w:r>
      <w:r w:rsidR="00D37851">
        <w:rPr>
          <w:rFonts w:ascii="Times" w:eastAsia="Times New Roman" w:hAnsi="Times" w:cs="Arial"/>
          <w:sz w:val="24"/>
          <w:szCs w:val="20"/>
          <w:lang w:eastAsia="pl-PL"/>
        </w:rPr>
        <w:t>96 ustawy nowelizowanej ust. 2f–</w:t>
      </w:r>
      <w:r w:rsidRPr="00A45B71">
        <w:rPr>
          <w:rFonts w:ascii="Times" w:eastAsia="Times New Roman" w:hAnsi="Times" w:cs="Arial"/>
          <w:sz w:val="24"/>
          <w:szCs w:val="20"/>
          <w:lang w:eastAsia="pl-PL"/>
        </w:rPr>
        <w:t>2i zawarto szereg przepisów odnoszących się do zapotrzebowań funkcjonujących w podmiotach leczniczych utworzonych przez Ministra Obrony Narodowej alb</w:t>
      </w:r>
      <w:r>
        <w:rPr>
          <w:rFonts w:ascii="Times" w:eastAsia="Times New Roman" w:hAnsi="Times" w:cs="Arial"/>
          <w:sz w:val="24"/>
          <w:szCs w:val="20"/>
          <w:lang w:eastAsia="pl-PL"/>
        </w:rPr>
        <w:t>o Ministra Sprawiedliwości, tj. </w:t>
      </w:r>
      <w:r w:rsidRPr="00A45B71">
        <w:rPr>
          <w:rFonts w:ascii="Times" w:eastAsia="Times New Roman" w:hAnsi="Times" w:cs="Arial"/>
          <w:sz w:val="24"/>
          <w:szCs w:val="20"/>
          <w:lang w:eastAsia="pl-PL"/>
        </w:rPr>
        <w:t>zapotrzebowań zbiorczych i imiennych. Przepisy odnoszące się do tych zapotrzebowań znajdowały się dotychczas wyłącznie w przepisach stosownych rozporządzeń ww. ministrów, nie znajdując przy tym umocowania w przepisach ustawy nowelizowanej. Ten stan rzeczy, wobec potrzeby ur</w:t>
      </w:r>
      <w:r>
        <w:rPr>
          <w:rFonts w:ascii="Times" w:eastAsia="Times New Roman" w:hAnsi="Times" w:cs="Arial"/>
          <w:sz w:val="24"/>
          <w:szCs w:val="20"/>
          <w:lang w:eastAsia="pl-PL"/>
        </w:rPr>
        <w:t>egulowania kwestii związanych z </w:t>
      </w:r>
      <w:r w:rsidRPr="00A45B71">
        <w:rPr>
          <w:rFonts w:ascii="Times" w:eastAsia="Times New Roman" w:hAnsi="Times" w:cs="Arial"/>
          <w:sz w:val="24"/>
          <w:szCs w:val="20"/>
          <w:lang w:eastAsia="pl-PL"/>
        </w:rPr>
        <w:t>ww. rodzajami zapotrzebowań, w tym ich wyraźnego odróżnienia od wcześniej omówionych zapotrzebowań realizowanych w aptekach ogólnodostępnych, wymagał ingerencji legislacyjnej w obrębie ustawy nowelizowanej.</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ramach ww. przepisów opisano w szczególności, jakie dane mają zawierać zapotrzebowania zbiorcze i imienne, jak również przewidziano normę dotyczącą ich ewidencjonowania (w tym czasu przechowywania).</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lastRenderedPageBreak/>
        <w:t>W art. 96 w ust. 9</w:t>
      </w:r>
      <w:r>
        <w:rPr>
          <w:rFonts w:ascii="Times" w:eastAsia="Times New Roman" w:hAnsi="Times" w:cs="Arial"/>
          <w:sz w:val="24"/>
          <w:szCs w:val="20"/>
          <w:lang w:eastAsia="pl-PL"/>
        </w:rPr>
        <w:t>–</w:t>
      </w:r>
      <w:r w:rsidRPr="00A45B71">
        <w:rPr>
          <w:rFonts w:ascii="Times" w:eastAsia="Times New Roman" w:hAnsi="Times" w:cs="Arial"/>
          <w:sz w:val="24"/>
          <w:szCs w:val="20"/>
          <w:lang w:eastAsia="pl-PL"/>
        </w:rPr>
        <w:t>11 umiejscowiono upoważnienia ustawowe dla – odpowiednio – Ministra Zdrowia, Ministra Sprawiedliwości i Ministra Obrony Narodowej – do wydania stosownych rozporządzeń, wydawanych dotychczas na podstawie art. 96 ust. 9 i 10 ustawy nowelizowanej. Dokonano tym samym rozdziału upoważnienia ustawowego dla Ministra Zdrowia i Ministra Obrony Narodowej zawartego dotychczas w ust. 9 omawianego artykułu oraz indywidualnie sformułowano ich zakresy przedmiotowe i wytyczne do wydania tych rozporządzeń. W ustawie zaproponowano, aby Minister Zdrowia wydawał rozporządzenie na podstawie zmodyfikowanego ust. 9, Minister Sprawiedliwości – tak jak dotychczas – na podstawie ust. 10, zaś Minister Obrony Narodowej – na podstawie dodawanego do ar</w:t>
      </w:r>
      <w:r>
        <w:rPr>
          <w:rFonts w:ascii="Times" w:eastAsia="Times New Roman" w:hAnsi="Times" w:cs="Arial"/>
          <w:sz w:val="24"/>
          <w:szCs w:val="20"/>
          <w:lang w:eastAsia="pl-PL"/>
        </w:rPr>
        <w:t>t. 96 ustawy nowelizowanej ust. </w:t>
      </w:r>
      <w:r w:rsidRPr="00A45B71">
        <w:rPr>
          <w:rFonts w:ascii="Times" w:eastAsia="Times New Roman" w:hAnsi="Times" w:cs="Arial"/>
          <w:sz w:val="24"/>
          <w:szCs w:val="20"/>
          <w:lang w:eastAsia="pl-PL"/>
        </w:rPr>
        <w:t xml:space="preserve">11. </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Odrębne potraktowanie upoważnienia ustawowego dla Ministra Zdrowia i Ministra Obrony Narodowej wynika z odmiennej specyfiki aptek ogólnodostępnych i szpitalnych oraz aptek zakładowych w podmiotach leczniczych podległych Ministrowi Obrony Narodowej. Ponadto nadanie nowego brzmienia ust. 11 wynikło z wcześniej omówionego zaproponowanego przeniesienia do ustawy nowelizowanej części przepisów z aktu rangi wykonawczej (dotyczy m.in. zapotrzebowań zbior</w:t>
      </w:r>
      <w:r>
        <w:rPr>
          <w:rFonts w:ascii="Times" w:eastAsia="Times New Roman" w:hAnsi="Times" w:cs="Arial"/>
          <w:sz w:val="24"/>
          <w:szCs w:val="20"/>
          <w:lang w:eastAsia="pl-PL"/>
        </w:rPr>
        <w:t>czych i </w:t>
      </w:r>
      <w:r w:rsidRPr="00A45B71">
        <w:rPr>
          <w:rFonts w:ascii="Times" w:eastAsia="Times New Roman" w:hAnsi="Times" w:cs="Arial"/>
          <w:sz w:val="24"/>
          <w:szCs w:val="20"/>
          <w:lang w:eastAsia="pl-PL"/>
        </w:rPr>
        <w:t xml:space="preserve">imiennych). </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związku z wprowadzeniem regulacji dotyczą</w:t>
      </w:r>
      <w:r>
        <w:rPr>
          <w:rFonts w:ascii="Times" w:eastAsia="Times New Roman" w:hAnsi="Times" w:cs="Arial"/>
          <w:sz w:val="24"/>
          <w:szCs w:val="20"/>
          <w:lang w:eastAsia="pl-PL"/>
        </w:rPr>
        <w:t>cych zapotrzebowań zbiorczych i </w:t>
      </w:r>
      <w:r w:rsidRPr="00A45B71">
        <w:rPr>
          <w:rFonts w:ascii="Times" w:eastAsia="Times New Roman" w:hAnsi="Times" w:cs="Arial"/>
          <w:sz w:val="24"/>
          <w:szCs w:val="20"/>
          <w:lang w:eastAsia="pl-PL"/>
        </w:rPr>
        <w:t>imiennych zmianie uległo także brzmienie upoważnienia dla Ministra Sprawiedliwości zawartego w nowelizowanym art. 96 ust. 10.</w:t>
      </w:r>
    </w:p>
    <w:p w:rsidR="00A45B71" w:rsidRPr="00A45B71" w:rsidRDefault="00A45B71" w:rsidP="00A45B71">
      <w:pPr>
        <w:suppressAutoHyphens/>
        <w:autoSpaceDE w:val="0"/>
        <w:autoSpaceDN w:val="0"/>
        <w:adjustRightInd w:val="0"/>
        <w:spacing w:before="24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ZMIANY ODNOSZĄCE SIĘ DO WYSTAWIANIA I REALIZACJI RECEPT ORAZ SPRAWOZDAWCZOŚCI APTEK DO NARODOWEGO FUN</w:t>
      </w:r>
      <w:r w:rsidR="00940A11">
        <w:rPr>
          <w:rFonts w:ascii="Times" w:eastAsia="Times New Roman" w:hAnsi="Times" w:cs="Arial"/>
          <w:sz w:val="24"/>
          <w:szCs w:val="20"/>
          <w:lang w:eastAsia="pl-PL"/>
        </w:rPr>
        <w:t>D</w:t>
      </w:r>
      <w:r w:rsidRPr="00A45B71">
        <w:rPr>
          <w:rFonts w:ascii="Times" w:eastAsia="Times New Roman" w:hAnsi="Times" w:cs="Arial"/>
          <w:sz w:val="24"/>
          <w:szCs w:val="20"/>
          <w:lang w:eastAsia="pl-PL"/>
        </w:rPr>
        <w:t>USZU ZDROWIA</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ustawie nowelizującej zawarto szereg przepisó</w:t>
      </w:r>
      <w:r>
        <w:rPr>
          <w:rFonts w:ascii="Times" w:eastAsia="Times New Roman" w:hAnsi="Times" w:cs="Arial"/>
          <w:sz w:val="24"/>
          <w:szCs w:val="20"/>
          <w:lang w:eastAsia="pl-PL"/>
        </w:rPr>
        <w:t>w znajdujących się dotychczas w </w:t>
      </w:r>
      <w:r w:rsidRPr="00A45B71">
        <w:rPr>
          <w:rFonts w:ascii="Times" w:eastAsia="Times New Roman" w:hAnsi="Times" w:cs="Arial"/>
          <w:sz w:val="24"/>
          <w:szCs w:val="20"/>
          <w:lang w:eastAsia="pl-PL"/>
        </w:rPr>
        <w:t>rozporządzeniu Ministra Zdrowia z dnia 8 marca 2012 r w sprawie recept lekarskich (Dz. U. z 2017 r. poz. 1570). Wynika to z faktu, że znaczna część przepisów ww. rozporządzenia w wersji dotychczas obowiązującej stanowiła w istocie materię ustawową. Z tego względu regulacje te należało przen</w:t>
      </w:r>
      <w:r>
        <w:rPr>
          <w:rFonts w:ascii="Times" w:eastAsia="Times New Roman" w:hAnsi="Times" w:cs="Arial"/>
          <w:sz w:val="24"/>
          <w:szCs w:val="20"/>
          <w:lang w:eastAsia="pl-PL"/>
        </w:rPr>
        <w:t>ieść do ustawy nowelizowanej. W </w:t>
      </w:r>
      <w:r w:rsidRPr="00A45B71">
        <w:rPr>
          <w:rFonts w:ascii="Times" w:eastAsia="Times New Roman" w:hAnsi="Times" w:cs="Arial"/>
          <w:sz w:val="24"/>
          <w:szCs w:val="20"/>
          <w:lang w:eastAsia="pl-PL"/>
        </w:rPr>
        <w:t>rozporządzeniu wykonawczym pozostawiono tylk</w:t>
      </w:r>
      <w:r>
        <w:rPr>
          <w:rFonts w:ascii="Times" w:eastAsia="Times New Roman" w:hAnsi="Times" w:cs="Arial"/>
          <w:sz w:val="24"/>
          <w:szCs w:val="20"/>
          <w:lang w:eastAsia="pl-PL"/>
        </w:rPr>
        <w:t>o kwestie techniczne związane z </w:t>
      </w:r>
      <w:r w:rsidRPr="00A45B71">
        <w:rPr>
          <w:rFonts w:ascii="Times" w:eastAsia="Times New Roman" w:hAnsi="Times" w:cs="Arial"/>
          <w:sz w:val="24"/>
          <w:szCs w:val="20"/>
          <w:lang w:eastAsia="pl-PL"/>
        </w:rPr>
        <w:t>prawidłowym wypełnieniem recepty i jej realizacją. W ten sposób wyraźnie rozdzielono przepisy nakładające obowiązki czy nadające uprawnienia, które powinny znaleźć się w ustawie, od pozostałych regulacji.</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lastRenderedPageBreak/>
        <w:t>Przeniesienie na grunt ustawy nowelizowanej objęło przepisy dotyczące:</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1)</w:t>
      </w:r>
      <w:r>
        <w:rPr>
          <w:rFonts w:ascii="Times" w:eastAsia="Times New Roman" w:hAnsi="Times" w:cs="Arial"/>
          <w:sz w:val="24"/>
          <w:szCs w:val="20"/>
          <w:lang w:eastAsia="pl-PL"/>
        </w:rPr>
        <w:tab/>
      </w:r>
      <w:r w:rsidRPr="00A45B71">
        <w:rPr>
          <w:rFonts w:ascii="Times" w:eastAsia="Times New Roman" w:hAnsi="Times" w:cs="Arial"/>
          <w:sz w:val="24"/>
          <w:szCs w:val="20"/>
          <w:lang w:eastAsia="pl-PL"/>
        </w:rPr>
        <w:t>warunków przechowywania przydzielonych świadczeniodawcy przez dyrektora oddziału wojewódzkiego Narodowego Funduszu Zdrowia druków recept posiadających unikalne numery identyfikujące, jak i samych numerów (przydzielonych zakresów numerycznych) – uregulowano to w dodawanym do ustawy nowelizowanej art. 95aa ust. 1, przy czym w ramach przenoszonego na grunt ustawowy bloku przepisów odnoszących się do postępowania z ww. drukami, umiejscowionych dotychczas w rozporządzeniu Ministra Zdrowia z dnia 8 marca 2012 r. w sprawie recept lekarskich</w:t>
      </w:r>
      <w:r w:rsidR="00A743F4">
        <w:rPr>
          <w:rFonts w:ascii="Times" w:eastAsia="Times New Roman" w:hAnsi="Times" w:cs="Arial"/>
          <w:sz w:val="24"/>
          <w:szCs w:val="20"/>
          <w:lang w:eastAsia="pl-PL"/>
        </w:rPr>
        <w:t>,</w:t>
      </w:r>
      <w:r w:rsidRPr="00A45B71">
        <w:rPr>
          <w:rFonts w:ascii="Times" w:eastAsia="Times New Roman" w:hAnsi="Times" w:cs="Arial"/>
          <w:sz w:val="24"/>
          <w:szCs w:val="20"/>
          <w:lang w:eastAsia="pl-PL"/>
        </w:rPr>
        <w:t xml:space="preserve"> doprecyzowano te przepisy o przypadek, którego nie dotyczył żaden z dotychczasowych przepisów przywołanego rozporządzenia Ministra Zdrowia, tj. przypadek zakończenia okresu zatrudnienia albo śmierci osoby uprawnionej wykonującej zawód u danego świadczeniodawcy; wolą projektodawcy jest, aby w tej konkretn</w:t>
      </w:r>
      <w:r>
        <w:rPr>
          <w:rFonts w:ascii="Times" w:eastAsia="Times New Roman" w:hAnsi="Times" w:cs="Arial"/>
          <w:sz w:val="24"/>
          <w:szCs w:val="20"/>
          <w:lang w:eastAsia="pl-PL"/>
        </w:rPr>
        <w:t>ej sytuacji (podobnie jak np. w </w:t>
      </w:r>
      <w:r w:rsidRPr="00A45B71">
        <w:rPr>
          <w:rFonts w:ascii="Times" w:eastAsia="Times New Roman" w:hAnsi="Times" w:cs="Arial"/>
          <w:sz w:val="24"/>
          <w:szCs w:val="20"/>
          <w:lang w:eastAsia="pl-PL"/>
        </w:rPr>
        <w:t>przypadku, utraty, kradzieży czy nieuprawnionego pozyskania druków recept posiadających unikalne numery identyfikujące) informacja o tych numerach, które nie zostały wykorzystane przed zakończeniem okresu zatrudnienia albo śmiercią, przydzielonych osobie uprawnionej, która zmarła, albo osobie uprawnionej, która zakończyła zatrudnienie u danego świadczeniodawcy, była zgłaszana do właściwego oddziału wojewódzkiego N</w:t>
      </w:r>
      <w:r w:rsidR="00A743F4">
        <w:rPr>
          <w:rFonts w:ascii="Times" w:eastAsia="Times New Roman" w:hAnsi="Times" w:cs="Arial"/>
          <w:sz w:val="24"/>
          <w:szCs w:val="20"/>
          <w:lang w:eastAsia="pl-PL"/>
        </w:rPr>
        <w:t>arodowego Funduszu Zdrowia, a w </w:t>
      </w:r>
      <w:r w:rsidRPr="00A45B71">
        <w:rPr>
          <w:rFonts w:ascii="Times" w:eastAsia="Times New Roman" w:hAnsi="Times" w:cs="Arial"/>
          <w:sz w:val="24"/>
          <w:szCs w:val="20"/>
          <w:lang w:eastAsia="pl-PL"/>
        </w:rPr>
        <w:t>następstwie takiego zgłoszenia r</w:t>
      </w:r>
      <w:r>
        <w:rPr>
          <w:rFonts w:ascii="Times" w:eastAsia="Times New Roman" w:hAnsi="Times" w:cs="Arial"/>
          <w:sz w:val="24"/>
          <w:szCs w:val="20"/>
          <w:lang w:eastAsia="pl-PL"/>
        </w:rPr>
        <w:t>zeczone numery były blokowane w </w:t>
      </w:r>
      <w:r w:rsidRPr="00A45B71">
        <w:rPr>
          <w:rFonts w:ascii="Times" w:eastAsia="Times New Roman" w:hAnsi="Times" w:cs="Arial"/>
          <w:sz w:val="24"/>
          <w:szCs w:val="20"/>
          <w:lang w:eastAsia="pl-PL"/>
        </w:rPr>
        <w:t xml:space="preserve">stosownej bazie danych w celu uniknięcia potencjalnych nadużyć; </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2)</w:t>
      </w:r>
      <w:r>
        <w:rPr>
          <w:rFonts w:ascii="Times" w:eastAsia="Times New Roman" w:hAnsi="Times" w:cs="Arial"/>
          <w:sz w:val="24"/>
          <w:szCs w:val="20"/>
          <w:lang w:eastAsia="pl-PL"/>
        </w:rPr>
        <w:tab/>
      </w:r>
      <w:r w:rsidRPr="00A45B71">
        <w:rPr>
          <w:rFonts w:ascii="Times" w:eastAsia="Times New Roman" w:hAnsi="Times" w:cs="Arial"/>
          <w:sz w:val="24"/>
          <w:szCs w:val="20"/>
          <w:lang w:eastAsia="pl-PL"/>
        </w:rPr>
        <w:t>zasad postępowania w przypadku zniszczenia, utraty lub kradzieży ww. druków recept lub numerów, z doprecyzowaniem – w stosunku do pierwotnego zapisu zawartego w przywołanym rozporządzeniu Ministra Zdrowia – że zasady te obejmują także przypadki nieuprawnionego p</w:t>
      </w:r>
      <w:r>
        <w:rPr>
          <w:rFonts w:ascii="Times" w:eastAsia="Times New Roman" w:hAnsi="Times" w:cs="Arial"/>
          <w:sz w:val="24"/>
          <w:szCs w:val="20"/>
          <w:lang w:eastAsia="pl-PL"/>
        </w:rPr>
        <w:t>ozyskania numerów recept (np. </w:t>
      </w:r>
      <w:r w:rsidRPr="00A45B71">
        <w:rPr>
          <w:rFonts w:ascii="Times" w:eastAsia="Times New Roman" w:hAnsi="Times" w:cs="Arial"/>
          <w:sz w:val="24"/>
          <w:szCs w:val="20"/>
          <w:lang w:eastAsia="pl-PL"/>
        </w:rPr>
        <w:t>skopiowania, które nie spełnia definicj</w:t>
      </w:r>
      <w:r>
        <w:rPr>
          <w:rFonts w:ascii="Times" w:eastAsia="Times New Roman" w:hAnsi="Times" w:cs="Arial"/>
          <w:sz w:val="24"/>
          <w:szCs w:val="20"/>
          <w:lang w:eastAsia="pl-PL"/>
        </w:rPr>
        <w:t>i kradzieży) – uregulowano to w </w:t>
      </w:r>
      <w:r w:rsidRPr="00A45B71">
        <w:rPr>
          <w:rFonts w:ascii="Times" w:eastAsia="Times New Roman" w:hAnsi="Times" w:cs="Arial"/>
          <w:sz w:val="24"/>
          <w:szCs w:val="20"/>
          <w:lang w:eastAsia="pl-PL"/>
        </w:rPr>
        <w:t>dodawanym do ustawy nowelizowanej art. 95aa ust. 3;</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3) obowiązku blokowania przez dyrektora oddziału wojewódzkiego Narodowego Funduszu Zdrowia – w określonych w projekcie przypadkach – numerów identyfikujących receptę i zamieszczenia in</w:t>
      </w:r>
      <w:r>
        <w:rPr>
          <w:rFonts w:ascii="Times" w:eastAsia="Times New Roman" w:hAnsi="Times" w:cs="Arial"/>
          <w:sz w:val="24"/>
          <w:szCs w:val="20"/>
          <w:lang w:eastAsia="pl-PL"/>
        </w:rPr>
        <w:t>formacji o takim zablokowaniu w </w:t>
      </w:r>
      <w:r w:rsidRPr="00A45B71">
        <w:rPr>
          <w:rFonts w:ascii="Times" w:eastAsia="Times New Roman" w:hAnsi="Times" w:cs="Arial"/>
          <w:sz w:val="24"/>
          <w:szCs w:val="20"/>
          <w:lang w:eastAsia="pl-PL"/>
        </w:rPr>
        <w:t>stosownej bazie danych – uregulowano to w dodawanym do ustawy nowelizowanej art. 95aa ust. 4;</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lastRenderedPageBreak/>
        <w:t>4)</w:t>
      </w:r>
      <w:r>
        <w:rPr>
          <w:rFonts w:ascii="Times" w:eastAsia="Times New Roman" w:hAnsi="Times" w:cs="Arial"/>
          <w:sz w:val="24"/>
          <w:szCs w:val="20"/>
          <w:lang w:eastAsia="pl-PL"/>
        </w:rPr>
        <w:tab/>
      </w:r>
      <w:r w:rsidRPr="00A45B71">
        <w:rPr>
          <w:rFonts w:ascii="Times" w:eastAsia="Times New Roman" w:hAnsi="Times" w:cs="Arial"/>
          <w:sz w:val="24"/>
          <w:szCs w:val="20"/>
          <w:lang w:eastAsia="pl-PL"/>
        </w:rPr>
        <w:t xml:space="preserve">wskazania, że recepta w postaci papierowej, na której przepisano wyłącznie produkty lecznicze niepodlegające refundacji posiadające kategorię dostępności „Rp” lub „Rpz”, nie musi odpowiadać wzorowi recepty, który ma zostać określony w przepisach wykonawczych wydanych na podstawie art. 96a ust. 12 ustawy nowelizowanej w brzmieniu nadanym ustawą </w:t>
      </w:r>
      <w:r>
        <w:rPr>
          <w:rFonts w:ascii="Times" w:eastAsia="Times New Roman" w:hAnsi="Times" w:cs="Arial"/>
          <w:sz w:val="24"/>
          <w:szCs w:val="20"/>
          <w:lang w:eastAsia="pl-PL"/>
        </w:rPr>
        <w:t>nowelizującą – uregulowano to w </w:t>
      </w:r>
      <w:r w:rsidRPr="00A45B71">
        <w:rPr>
          <w:rFonts w:ascii="Times" w:eastAsia="Times New Roman" w:hAnsi="Times" w:cs="Arial"/>
          <w:sz w:val="24"/>
          <w:szCs w:val="20"/>
          <w:lang w:eastAsia="pl-PL"/>
        </w:rPr>
        <w:t>dodawanym do ustawy nowelizowanej art. 95c;</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5)</w:t>
      </w:r>
      <w:r>
        <w:rPr>
          <w:rFonts w:ascii="Times" w:eastAsia="Times New Roman" w:hAnsi="Times" w:cs="Arial"/>
          <w:sz w:val="24"/>
          <w:szCs w:val="20"/>
          <w:lang w:eastAsia="pl-PL"/>
        </w:rPr>
        <w:tab/>
      </w:r>
      <w:r w:rsidRPr="00A45B71">
        <w:rPr>
          <w:rFonts w:ascii="Times" w:eastAsia="Times New Roman" w:hAnsi="Times" w:cs="Arial"/>
          <w:sz w:val="24"/>
          <w:szCs w:val="20"/>
          <w:lang w:eastAsia="pl-PL"/>
        </w:rPr>
        <w:t>obowiązku zatrzymania recepty przez osobę ją realizującą w przypadku powzięcia przez tę osobę uzasadnionego podejrzenia co do autentyczności recepty, przy czym dokonano rozszerzenia tego przepisu o zap</w:t>
      </w:r>
      <w:r>
        <w:rPr>
          <w:rFonts w:ascii="Times" w:eastAsia="Times New Roman" w:hAnsi="Times" w:cs="Arial"/>
          <w:sz w:val="24"/>
          <w:szCs w:val="20"/>
          <w:lang w:eastAsia="pl-PL"/>
        </w:rPr>
        <w:t>otrzebowania – uregulowano to w </w:t>
      </w:r>
      <w:r w:rsidRPr="00A45B71">
        <w:rPr>
          <w:rFonts w:ascii="Times" w:eastAsia="Times New Roman" w:hAnsi="Times" w:cs="Arial"/>
          <w:sz w:val="24"/>
          <w:szCs w:val="20"/>
          <w:lang w:eastAsia="pl-PL"/>
        </w:rPr>
        <w:t>dodawanym do art. 96 ustawy nowelizowanej ust. 5a;</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6)</w:t>
      </w:r>
      <w:r>
        <w:rPr>
          <w:rFonts w:ascii="Times" w:eastAsia="Times New Roman" w:hAnsi="Times" w:cs="Arial"/>
          <w:sz w:val="24"/>
          <w:szCs w:val="20"/>
          <w:lang w:eastAsia="pl-PL"/>
        </w:rPr>
        <w:tab/>
      </w:r>
      <w:r w:rsidRPr="00A45B71">
        <w:rPr>
          <w:rFonts w:ascii="Times" w:eastAsia="Times New Roman" w:hAnsi="Times" w:cs="Arial"/>
          <w:sz w:val="24"/>
          <w:szCs w:val="20"/>
          <w:lang w:eastAsia="pl-PL"/>
        </w:rPr>
        <w:t>konieczności zamieszczenia na recepcie numeru identyfikującego receptę, przy czym doprecyzowano, która recepta (w jakiej postaci wystawiana oraz na jakie specyficzne produkty lecznicze) musi te numery zawierać;</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7)</w:t>
      </w:r>
      <w:r>
        <w:rPr>
          <w:rFonts w:ascii="Times" w:eastAsia="Times New Roman" w:hAnsi="Times" w:cs="Arial"/>
          <w:sz w:val="24"/>
          <w:szCs w:val="20"/>
          <w:lang w:eastAsia="pl-PL"/>
        </w:rPr>
        <w:tab/>
      </w:r>
      <w:r w:rsidRPr="00A45B71">
        <w:rPr>
          <w:rFonts w:ascii="Times" w:eastAsia="Times New Roman" w:hAnsi="Times" w:cs="Arial"/>
          <w:sz w:val="24"/>
          <w:szCs w:val="20"/>
          <w:lang w:eastAsia="pl-PL"/>
        </w:rPr>
        <w:t>zawartości recepty transgranicznej – wymagania t</w:t>
      </w:r>
      <w:r>
        <w:rPr>
          <w:rFonts w:ascii="Times" w:eastAsia="Times New Roman" w:hAnsi="Times" w:cs="Arial"/>
          <w:sz w:val="24"/>
          <w:szCs w:val="20"/>
          <w:lang w:eastAsia="pl-PL"/>
        </w:rPr>
        <w:t>e określono w dodawanym do art. </w:t>
      </w:r>
      <w:r w:rsidRPr="00A45B71">
        <w:rPr>
          <w:rFonts w:ascii="Times" w:eastAsia="Times New Roman" w:hAnsi="Times" w:cs="Arial"/>
          <w:sz w:val="24"/>
          <w:szCs w:val="20"/>
          <w:lang w:eastAsia="pl-PL"/>
        </w:rPr>
        <w:t>96a ustawy nowelizowanej ust. 1a;</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8)</w:t>
      </w:r>
      <w:r>
        <w:rPr>
          <w:rFonts w:ascii="Times" w:eastAsia="Times New Roman" w:hAnsi="Times" w:cs="Arial"/>
          <w:sz w:val="24"/>
          <w:szCs w:val="20"/>
          <w:lang w:eastAsia="pl-PL"/>
        </w:rPr>
        <w:tab/>
      </w:r>
      <w:r w:rsidRPr="00A45B71">
        <w:rPr>
          <w:rFonts w:ascii="Times" w:eastAsia="Times New Roman" w:hAnsi="Times" w:cs="Arial"/>
          <w:sz w:val="24"/>
          <w:szCs w:val="20"/>
          <w:lang w:eastAsia="pl-PL"/>
        </w:rPr>
        <w:t>wyłączenia możliwości wypisania na recepcie transgranicznej produktu leczniczego o kategorii dostępności „Rpw” – przewidziano to w dodawanym do art. 96a ustawy nowelizowanej ust. 1b;</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9)</w:t>
      </w:r>
      <w:r>
        <w:rPr>
          <w:rFonts w:ascii="Times" w:eastAsia="Times New Roman" w:hAnsi="Times" w:cs="Arial"/>
          <w:sz w:val="24"/>
          <w:szCs w:val="20"/>
          <w:lang w:eastAsia="pl-PL"/>
        </w:rPr>
        <w:tab/>
      </w:r>
      <w:r w:rsidRPr="00A45B71">
        <w:rPr>
          <w:rFonts w:ascii="Times" w:eastAsia="Times New Roman" w:hAnsi="Times" w:cs="Arial"/>
          <w:sz w:val="24"/>
          <w:szCs w:val="20"/>
          <w:lang w:eastAsia="pl-PL"/>
        </w:rPr>
        <w:t>zakazu umieszczenia na recepcie informacji niezwi</w:t>
      </w:r>
      <w:r>
        <w:rPr>
          <w:rFonts w:ascii="Times" w:eastAsia="Times New Roman" w:hAnsi="Times" w:cs="Arial"/>
          <w:sz w:val="24"/>
          <w:szCs w:val="20"/>
          <w:lang w:eastAsia="pl-PL"/>
        </w:rPr>
        <w:t>ązanych z jej przeznaczeniem, w </w:t>
      </w:r>
      <w:r w:rsidRPr="00A45B71">
        <w:rPr>
          <w:rFonts w:ascii="Times" w:eastAsia="Times New Roman" w:hAnsi="Times" w:cs="Arial"/>
          <w:sz w:val="24"/>
          <w:szCs w:val="20"/>
          <w:lang w:eastAsia="pl-PL"/>
        </w:rPr>
        <w:t>tym reklam – uregulowano to w dodawanym do art. 96a ustawy nowelizowanej ust. 1c;</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10)</w:t>
      </w:r>
      <w:r>
        <w:rPr>
          <w:rFonts w:ascii="Times" w:eastAsia="Times New Roman" w:hAnsi="Times" w:cs="Arial"/>
          <w:sz w:val="24"/>
          <w:szCs w:val="20"/>
          <w:lang w:eastAsia="pl-PL"/>
        </w:rPr>
        <w:tab/>
      </w:r>
      <w:r w:rsidRPr="00A45B71">
        <w:rPr>
          <w:rFonts w:ascii="Times" w:eastAsia="Times New Roman" w:hAnsi="Times" w:cs="Arial"/>
          <w:sz w:val="24"/>
          <w:szCs w:val="20"/>
          <w:lang w:eastAsia="pl-PL"/>
        </w:rPr>
        <w:t>możliwości zastrzeżenia na recepcie konieczności pilnej jej realizacji lub zastrzeżenia wyłączającego możliwość dokonania w aptece zamiany przepisanego produktu leczniczego – przewidziano to w dodawanym do art. 96a ustawy nowelizowanej ust. 1d;</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11)</w:t>
      </w:r>
      <w:r>
        <w:rPr>
          <w:rFonts w:ascii="Times" w:eastAsia="Times New Roman" w:hAnsi="Times" w:cs="Arial"/>
          <w:sz w:val="24"/>
          <w:szCs w:val="20"/>
          <w:lang w:eastAsia="pl-PL"/>
        </w:rPr>
        <w:tab/>
      </w:r>
      <w:r w:rsidRPr="00A45B71">
        <w:rPr>
          <w:rFonts w:ascii="Times" w:eastAsia="Times New Roman" w:hAnsi="Times" w:cs="Arial"/>
          <w:sz w:val="24"/>
          <w:szCs w:val="20"/>
          <w:lang w:eastAsia="pl-PL"/>
        </w:rPr>
        <w:t>nanoszenia na recepcie danych podmiotu ją</w:t>
      </w:r>
      <w:r>
        <w:rPr>
          <w:rFonts w:ascii="Times" w:eastAsia="Times New Roman" w:hAnsi="Times" w:cs="Arial"/>
          <w:sz w:val="24"/>
          <w:szCs w:val="20"/>
          <w:lang w:eastAsia="pl-PL"/>
        </w:rPr>
        <w:t xml:space="preserve"> drukującego – uregulowano to w </w:t>
      </w:r>
      <w:r w:rsidRPr="00A45B71">
        <w:rPr>
          <w:rFonts w:ascii="Times" w:eastAsia="Times New Roman" w:hAnsi="Times" w:cs="Arial"/>
          <w:sz w:val="24"/>
          <w:szCs w:val="20"/>
          <w:lang w:eastAsia="pl-PL"/>
        </w:rPr>
        <w:t>dodawanym do art. 96a ustawy nowelizowanej ust. 1e;</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12)</w:t>
      </w:r>
      <w:r>
        <w:rPr>
          <w:rFonts w:ascii="Times" w:eastAsia="Times New Roman" w:hAnsi="Times" w:cs="Arial"/>
          <w:sz w:val="24"/>
          <w:szCs w:val="20"/>
          <w:lang w:eastAsia="pl-PL"/>
        </w:rPr>
        <w:tab/>
      </w:r>
      <w:r w:rsidRPr="00A45B71">
        <w:rPr>
          <w:rFonts w:ascii="Times" w:eastAsia="Times New Roman" w:hAnsi="Times" w:cs="Arial"/>
          <w:sz w:val="24"/>
          <w:szCs w:val="20"/>
          <w:lang w:eastAsia="pl-PL"/>
        </w:rPr>
        <w:t>wskazania, że jeżeli na recepcie osoba ją wystawiająca przepisuje produkt leczniczy niepodlegający refundacji zawierający w swoim składzie niektóre środki odurzające lub niektóre substancje psychotropowe, na recepcie należy – ze względów ostrożnościowych – dodatkowo zamieścić dane, o których mowa w ust. 1 pkt 1 lit. c ustawy nowelizowanej – uregulowano to w dodawanym do art. 96a ustawy nowelizowanej ust. 8a;</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lastRenderedPageBreak/>
        <w:t>13)</w:t>
      </w:r>
      <w:r>
        <w:rPr>
          <w:rFonts w:ascii="Times" w:eastAsia="Times New Roman" w:hAnsi="Times" w:cs="Arial"/>
          <w:sz w:val="24"/>
          <w:szCs w:val="20"/>
          <w:lang w:eastAsia="pl-PL"/>
        </w:rPr>
        <w:tab/>
      </w:r>
      <w:r w:rsidRPr="00A45B71">
        <w:rPr>
          <w:rFonts w:ascii="Times" w:eastAsia="Times New Roman" w:hAnsi="Times" w:cs="Arial"/>
          <w:sz w:val="24"/>
          <w:szCs w:val="20"/>
          <w:lang w:eastAsia="pl-PL"/>
        </w:rPr>
        <w:t>dokonywania poprawek na receptach wystawianych w postaci papierowej – uregulowano to w dodawanym do art. 96a ustawy nowelizowanej ust. 9c;</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14)</w:t>
      </w:r>
      <w:r>
        <w:rPr>
          <w:rFonts w:ascii="Times" w:eastAsia="Times New Roman" w:hAnsi="Times" w:cs="Arial"/>
          <w:sz w:val="24"/>
          <w:szCs w:val="20"/>
          <w:lang w:eastAsia="pl-PL"/>
        </w:rPr>
        <w:tab/>
      </w:r>
      <w:r w:rsidRPr="00A45B71">
        <w:rPr>
          <w:rFonts w:ascii="Times" w:eastAsia="Times New Roman" w:hAnsi="Times" w:cs="Arial"/>
          <w:sz w:val="24"/>
          <w:szCs w:val="20"/>
          <w:lang w:eastAsia="pl-PL"/>
        </w:rPr>
        <w:t>okresu przechowywania zrealizowanych recept, w tym e-recept, z określeniem zdarzeń będących początkiem tego okresu – ure</w:t>
      </w:r>
      <w:r>
        <w:rPr>
          <w:rFonts w:ascii="Times" w:eastAsia="Times New Roman" w:hAnsi="Times" w:cs="Arial"/>
          <w:sz w:val="24"/>
          <w:szCs w:val="20"/>
          <w:lang w:eastAsia="pl-PL"/>
        </w:rPr>
        <w:t>gulowano to w dodawanym do art. </w:t>
      </w:r>
      <w:r w:rsidRPr="00A45B71">
        <w:rPr>
          <w:rFonts w:ascii="Times" w:eastAsia="Times New Roman" w:hAnsi="Times" w:cs="Arial"/>
          <w:sz w:val="24"/>
          <w:szCs w:val="20"/>
          <w:lang w:eastAsia="pl-PL"/>
        </w:rPr>
        <w:t>96a ustawy nowelizowanej ust. 9d i 9e;</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15)</w:t>
      </w:r>
      <w:r>
        <w:rPr>
          <w:rFonts w:ascii="Times" w:eastAsia="Times New Roman" w:hAnsi="Times" w:cs="Arial"/>
          <w:sz w:val="24"/>
          <w:szCs w:val="20"/>
          <w:lang w:eastAsia="pl-PL"/>
        </w:rPr>
        <w:tab/>
      </w:r>
      <w:r w:rsidRPr="00A45B71">
        <w:rPr>
          <w:rFonts w:ascii="Times" w:eastAsia="Times New Roman" w:hAnsi="Times" w:cs="Arial"/>
          <w:sz w:val="24"/>
          <w:szCs w:val="20"/>
          <w:lang w:eastAsia="pl-PL"/>
        </w:rPr>
        <w:t>obowiązków informacyjnych odnośnie lokalizacji recept wystawionych w postaci papierowej – w przypadku cofnięcia zezwolenia na prowadzenie apteki ogólnodostępnej, jego wygaśnięcia, uchylenia albo stwierdzenia nieważności – uregulowano to w dodawanym do ustawy nowelizowanej art. 96aa.</w:t>
      </w:r>
    </w:p>
    <w:p w:rsidR="00A45B71" w:rsidRPr="00A45B71" w:rsidRDefault="00A45B71" w:rsidP="00A45B71">
      <w:pPr>
        <w:suppressAutoHyphens/>
        <w:autoSpaceDE w:val="0"/>
        <w:autoSpaceDN w:val="0"/>
        <w:adjustRightInd w:val="0"/>
        <w:spacing w:after="0" w:line="360" w:lineRule="auto"/>
        <w:ind w:left="406" w:hanging="406"/>
        <w:jc w:val="both"/>
        <w:rPr>
          <w:rFonts w:ascii="Times" w:eastAsia="Times New Roman" w:hAnsi="Times" w:cs="Arial"/>
          <w:sz w:val="24"/>
          <w:szCs w:val="20"/>
          <w:lang w:eastAsia="pl-PL"/>
        </w:rPr>
      </w:pPr>
      <w:r>
        <w:rPr>
          <w:rFonts w:ascii="Times" w:eastAsia="Times New Roman" w:hAnsi="Times" w:cs="Arial"/>
          <w:sz w:val="24"/>
          <w:szCs w:val="20"/>
          <w:lang w:eastAsia="pl-PL"/>
        </w:rPr>
        <w:t>16)</w:t>
      </w:r>
      <w:r>
        <w:rPr>
          <w:rFonts w:ascii="Times" w:eastAsia="Times New Roman" w:hAnsi="Times" w:cs="Arial"/>
          <w:sz w:val="24"/>
          <w:szCs w:val="20"/>
          <w:lang w:eastAsia="pl-PL"/>
        </w:rPr>
        <w:tab/>
      </w:r>
      <w:r w:rsidRPr="00A45B71">
        <w:rPr>
          <w:rFonts w:ascii="Times" w:eastAsia="Times New Roman" w:hAnsi="Times" w:cs="Arial"/>
          <w:sz w:val="24"/>
          <w:szCs w:val="20"/>
          <w:lang w:eastAsia="pl-PL"/>
        </w:rPr>
        <w:t>kontroli wystawiania i realizacji recept – uregulowano to w dodawanym do ustawy nowelizowanej art. 96d.</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Poza ww. zmianami do ustawy nowelizowanej wprowadzono szereg nowych poniżej opisanych przepisów.</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Do art. 95b ust. 2 ustawy nowelizowanej, zawierającego wykaz przypadków, w których receptę wystawia się w postaci papierowej, projektodawca proponuje dodać punkt odnoszący się do recepty na lek nieposiadający pozwolenia na dopuszczenie do obrotu na terytorium Rzeczypospolitej Polskiej i sprowadza</w:t>
      </w:r>
      <w:r>
        <w:rPr>
          <w:rFonts w:ascii="Times" w:eastAsia="Times New Roman" w:hAnsi="Times" w:cs="Arial"/>
          <w:sz w:val="24"/>
          <w:szCs w:val="20"/>
          <w:lang w:eastAsia="pl-PL"/>
        </w:rPr>
        <w:t>ny z zagranicy na warunkach i w </w:t>
      </w:r>
      <w:r w:rsidRPr="00A45B71">
        <w:rPr>
          <w:rFonts w:ascii="Times" w:eastAsia="Times New Roman" w:hAnsi="Times" w:cs="Arial"/>
          <w:sz w:val="24"/>
          <w:szCs w:val="20"/>
          <w:lang w:eastAsia="pl-PL"/>
        </w:rPr>
        <w:t>trybie określony</w:t>
      </w:r>
      <w:r w:rsidR="00B27B60">
        <w:rPr>
          <w:rFonts w:ascii="Times" w:eastAsia="Times New Roman" w:hAnsi="Times" w:cs="Arial"/>
          <w:sz w:val="24"/>
          <w:szCs w:val="20"/>
          <w:lang w:eastAsia="pl-PL"/>
        </w:rPr>
        <w:t>ch</w:t>
      </w:r>
      <w:r w:rsidRPr="00A45B71">
        <w:rPr>
          <w:rFonts w:ascii="Times" w:eastAsia="Times New Roman" w:hAnsi="Times" w:cs="Arial"/>
          <w:sz w:val="24"/>
          <w:szCs w:val="20"/>
          <w:lang w:eastAsia="pl-PL"/>
        </w:rPr>
        <w:t xml:space="preserve"> w art. 4 ustawy nowelizowanej. Ponadto w tym samym wyliczeniu, obejmującym dotychczas także receptę transgraniczną, dokonano zmiany polegającej na wdrożeniu dyrektywy Parlamentu Eu</w:t>
      </w:r>
      <w:r>
        <w:rPr>
          <w:rFonts w:ascii="Times" w:eastAsia="Times New Roman" w:hAnsi="Times" w:cs="Arial"/>
          <w:sz w:val="24"/>
          <w:szCs w:val="20"/>
          <w:lang w:eastAsia="pl-PL"/>
        </w:rPr>
        <w:t>ropejskiego i Rady 2011/24/UE z </w:t>
      </w:r>
      <w:r w:rsidRPr="00A45B71">
        <w:rPr>
          <w:rFonts w:ascii="Times" w:eastAsia="Times New Roman" w:hAnsi="Times" w:cs="Arial"/>
          <w:sz w:val="24"/>
          <w:szCs w:val="20"/>
          <w:lang w:eastAsia="pl-PL"/>
        </w:rPr>
        <w:t>dnia 9 marca 2011 r. w sprawie stosowania praw pacjentów w transgranicznej opiece zdrowotnej (Dz. Urz. UE L 88 z 04.04.2011, s</w:t>
      </w:r>
      <w:r>
        <w:rPr>
          <w:rFonts w:ascii="Times" w:eastAsia="Times New Roman" w:hAnsi="Times" w:cs="Arial"/>
          <w:sz w:val="24"/>
          <w:szCs w:val="20"/>
          <w:lang w:eastAsia="pl-PL"/>
        </w:rPr>
        <w:t>tr. 45 oraz Dz. Urz. UE L 353 z </w:t>
      </w:r>
      <w:r w:rsidRPr="00A45B71">
        <w:rPr>
          <w:rFonts w:ascii="Times" w:eastAsia="Times New Roman" w:hAnsi="Times" w:cs="Arial"/>
          <w:sz w:val="24"/>
          <w:szCs w:val="20"/>
          <w:lang w:eastAsia="pl-PL"/>
        </w:rPr>
        <w:t>28.12.2013, str. 8) przez sformułowanie definicji recepty transgranicznej, która uwzględnia krajowe uwarunkowania i specyfikę ochrony zdrowia w Polsce. Wprowadzenia definicji dokonano w miejsce dotychczasowego rozwiązania polegającego na odesłaniu do stosownego przepisu ww. dyrektywy, w którym ustawodawca unijny zawarł definicję recepty transgranicznej. W ocenie projektodawcy taki pierwotnie zastosowany zabieg obarczony był wadą, gdyż nie realizował postulatu wdrożenia prawa unijnego w zakresie recepty transgranicznej co do pierwotnego celu jego ustanowienia.</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Wprowadzenie tego wyjątku wynika ze zmian dokonanych w zakresie i harmonogramie realizacji projektu „Elektroniczna Platforma Gromadzenia, Analizy i Udostępniania </w:t>
      </w:r>
      <w:r w:rsidRPr="00A45B71">
        <w:rPr>
          <w:rFonts w:ascii="Times" w:eastAsia="Times New Roman" w:hAnsi="Times" w:cs="Arial"/>
          <w:sz w:val="24"/>
          <w:szCs w:val="20"/>
          <w:lang w:eastAsia="pl-PL"/>
        </w:rPr>
        <w:lastRenderedPageBreak/>
        <w:t>zasobów cyfrowych o Zdarzeniach Medycznych” (P1), który realizowany jest przy wsparciu Centrum Systemów Informacyjnych Ochrony Zdrowia. Projekt ten ma docelowo polegać na wdrożeniu systemów informatycznych, które pozwolą na usprawnienie procesów związanych z planowaniem i realizacją świadczeń zdrowotnych, monitorowaniem i sprawozdawczością z ich realizacji, dostępem do informacji o udzielanych świadczeniach oraz publikowaniem informacji w obszarze ochrony zdrowia. Stopniowe uruchamianie kolejnych usług publicznych w ramach projektu P1 stanowi realizację długofalowej wizji rozszerzania dostępu do usług publicznych świadczonych drogą elektroniczną.</w:t>
      </w:r>
      <w:r>
        <w:rPr>
          <w:rFonts w:ascii="Times" w:eastAsia="Times New Roman" w:hAnsi="Times" w:cs="Arial"/>
          <w:sz w:val="24"/>
          <w:szCs w:val="20"/>
          <w:lang w:eastAsia="pl-PL"/>
        </w:rPr>
        <w:t xml:space="preserve"> </w:t>
      </w:r>
      <w:r w:rsidRPr="00A45B71">
        <w:rPr>
          <w:rFonts w:ascii="Times" w:eastAsia="Times New Roman" w:hAnsi="Times" w:cs="Arial"/>
          <w:sz w:val="24"/>
          <w:szCs w:val="20"/>
          <w:lang w:eastAsia="pl-PL"/>
        </w:rPr>
        <w:t>Jedną z kluczowych e-usług planowanych do wdrożenia w ramach trwającego procesu informatyzacji sektora ochrony zdrowia w Polsce, co ma nastąpić w ramach omawianego projektu, ma być usługa „e-recepty”.</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wyniku zmiany strategii wdrażania omawianego projektu podjęto decyzję o jego tzw. „fazowaniu” (czyli podzieleniu go na oddzielne etapy), a jednym z etapów ma być właśnie opracowanie i wdrożenie ww. e-recepty. Wystawienie recepty w postaci elektronicznej na produkt leczniczy nieposiadający pozwolenia na dopuszczenie do obrotu na terytorium Rzeczypospolitej Polskiej i sprowadzany z zagranicy zostało zakwalifikowane do wyłączenia z zakresu fazy II projektu P1 (w fazie tej ma zostać wdrożona funkcjonalność m.in. właśnie e-recepty) z uwagi na brak w Urzędowym Rejestrze Produktów Leczniczych Dopuszczonych do Obrotu na Terytorium Rzeczypospolitej Polskiej produktów leczniczych sprowadzanych w ramach przedmiotowego importu oraz złożoności procesu uzyskania zgody na sprowadzenie produktu.</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Do nowych regulacji należy także przepis dodawanego do art. 96 ustawy nowelizowanej ust. 4a nakazujący aptece prowadzenie ewidencji zrealizowanych recept farmaceutycznych oraz zrealizowanych zapotrzebowań. Brak uregulowania dotychczas tej kwestii w ustawie nowelizowanej był ewidentny, ponieważ dotychczasowy art. 96 ust. 9 ustawy nowelizowanej zawierał upoważnienie ustawowe dla Ministra Zdrowia do określenia wzoru ewidencji recept farmaceutycznych (a wydane na tej podstawie rozporządzenie wzór ten określiło) przy braku odrębnego przepisu formułującego wyraźnie w ustawie nowelizowanej obowiązku prowadzenia takiej ewidencji. Tym samym ten oczywisty brak jest ustawą nowelizowaną usuwany, przy czym ustawa nowelizowana jest także uzupełniana o kwestię prowadzenia ewidencji zapotrzebowań, </w:t>
      </w:r>
      <w:r w:rsidRPr="00A45B71">
        <w:rPr>
          <w:rFonts w:ascii="Times" w:eastAsia="Times New Roman" w:hAnsi="Times" w:cs="Arial"/>
          <w:sz w:val="24"/>
          <w:szCs w:val="20"/>
          <w:lang w:eastAsia="pl-PL"/>
        </w:rPr>
        <w:lastRenderedPageBreak/>
        <w:t>łącznie z doprecyzowaniem, że chodzi o zrealizowane zapotrzebowania (bowiem tylko w odniesieniu do takich zapotrzebowań istnieje obiektywna potrzeba ich ewidencjonowania w aptekach).</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Do nowych regulacji należy również przepis dodawanego do art. 96 ustawy nowelizowanej ust. 5b, który nakłada na osobę realizującą receptę obowiązek odmowy realizacji recepty, w odniesieniu do której nastąpiło zablokowanie unikalnych numerów ją identyfikujących. Dotychczas w wyliczeniu przypadków, kiedy osoba realizująca może odmówić realizacji recepty, powyższej okoliczno</w:t>
      </w:r>
      <w:r>
        <w:rPr>
          <w:rFonts w:ascii="Times" w:eastAsia="Times New Roman" w:hAnsi="Times" w:cs="Arial"/>
          <w:sz w:val="24"/>
          <w:szCs w:val="20"/>
          <w:lang w:eastAsia="pl-PL"/>
        </w:rPr>
        <w:t>ści nie przewidziano, mimo iż w </w:t>
      </w:r>
      <w:r w:rsidRPr="00A45B71">
        <w:rPr>
          <w:rFonts w:ascii="Times" w:eastAsia="Times New Roman" w:hAnsi="Times" w:cs="Arial"/>
          <w:sz w:val="24"/>
          <w:szCs w:val="20"/>
          <w:lang w:eastAsia="pl-PL"/>
        </w:rPr>
        <w:t>przypadku realizacji recepty, w stosunku do której zostały zablokowane unikalne numery ją identyfikujące, zachodzi duże prawdopodobieństwo naruszenia prawa. Stąd wydaje się być oczywistym, że w tego typu przypadkach powinna nastąpić odmowa realizacji recepty.</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art. 96a ust. 2 ustawy nowelizowanej uchyla się pkt 2, który określał obostrzenia dotyczące okresu, na jaki mogą zostać przepisane środki antykoncepcyjne, co z kolej determinowało ograniczenie ilości takiego środka, jaki mógł być jednorazowo przepisany na pojedynczej recepcie. W świetle</w:t>
      </w:r>
      <w:r>
        <w:rPr>
          <w:rFonts w:ascii="Times" w:eastAsia="Times New Roman" w:hAnsi="Times" w:cs="Arial"/>
          <w:sz w:val="24"/>
          <w:szCs w:val="20"/>
          <w:lang w:eastAsia="pl-PL"/>
        </w:rPr>
        <w:t xml:space="preserve"> normy regulującej te kwestie w </w:t>
      </w:r>
      <w:r w:rsidRPr="00A45B71">
        <w:rPr>
          <w:rFonts w:ascii="Times" w:eastAsia="Times New Roman" w:hAnsi="Times" w:cs="Arial"/>
          <w:sz w:val="24"/>
          <w:szCs w:val="20"/>
          <w:lang w:eastAsia="pl-PL"/>
        </w:rPr>
        <w:t>odniesieniu do wszystkich innych gotowych produktów leczniczych w sposób mniej restrykcyjny, jak również wobec braku jakichkolwiek racjonalnych argumentów merytorycznych, w tym medycznych, zdecydowano, że nie ma podstaw do różnicowania ilości (implikowanej maksymalnym czasem stosowania) środków antykoncepcyjnych i innych produktów leczniczych możliwej do przepisania na pojedynczej recepcie.</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W przepisie określonym w art. 96a ust. 1 pkt 1 lit. e ustawy nowelizowanej zaproponowano wymóg umieszczania na recepcie kodu uprawnień dodatkowych, jeżeli pacjent takie uprawnienia posiada. W analizowanym przepisie, zawierającym wskazanie danych, jakie w odniesieniu do świadczeniobiorcy należy podać na recepcie, ta dana nie była dotychczas ujęta, mimo że zgodnie z obowiązującym dotychczas wzorem recepty dana ta była konieczna do podania na recepcie, aby mogła być ona zrealizowana na preferencyjnych warunkach z uwagi na posiadanie przez świadczeniobiorcę uprawnienia dodatkowego. Zmiana ta usuwa tym samym stan oczywistej luki prawnej oraz stan, w którym obowiązek umieszczania tej danej na recepcie wywodzono z treści </w:t>
      </w:r>
      <w:r w:rsidRPr="00A45B71">
        <w:rPr>
          <w:rFonts w:ascii="Times" w:eastAsia="Times New Roman" w:hAnsi="Times" w:cs="Arial"/>
          <w:sz w:val="24"/>
          <w:szCs w:val="20"/>
          <w:lang w:eastAsia="pl-PL"/>
        </w:rPr>
        <w:lastRenderedPageBreak/>
        <w:t>rozporządzenia Ministra Zdrowia z dnia 8 marca 2012 r. w sprawie recept lekarskich, nie zaś z ustawy nowelizowanej – co powinno mieć miejsce.</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dodawanym do art. 96a ust. 1 ustawy nowelizowanej pkt 6 zaproponowano przepis nakładający obowiązek zamieszczania na każdej recepcie numeru identyfikującego receptę, który to wymóg był dotychczas – w ocenie proj</w:t>
      </w:r>
      <w:r>
        <w:rPr>
          <w:rFonts w:ascii="Times" w:eastAsia="Times New Roman" w:hAnsi="Times" w:cs="Arial"/>
          <w:sz w:val="24"/>
          <w:szCs w:val="20"/>
          <w:lang w:eastAsia="pl-PL"/>
        </w:rPr>
        <w:t>ektodawcy – źle usytuowany (tj. </w:t>
      </w:r>
      <w:r w:rsidRPr="00A45B71">
        <w:rPr>
          <w:rFonts w:ascii="Times" w:eastAsia="Times New Roman" w:hAnsi="Times" w:cs="Arial"/>
          <w:sz w:val="24"/>
          <w:szCs w:val="20"/>
          <w:lang w:eastAsia="pl-PL"/>
        </w:rPr>
        <w:t>w art. 96a w ust. 8 ustawy nowelizowanej, który określa wyłącznie dodatkowe wymagania dla recept, na których przepisywany jest asortyment refundowany). Nie tylko bowiem recepty na leki, środki spożywcze specjalnego przeznaczenia żywieniowego, wyroby medyczne muszą posiadać omawiane numery (co mogło być dyskusyjne w kontekście takiego, a nie innego dotychczasowego usytuowania przenoszonego przepisu), bowiem także recepty na produkty lecznicze o kategorii dostępności „Rpw” muszą i musiały dotychczas takie numery posiadać. Co więcej produkty lecznicze, których dotyczą takie recepty, nie podlegają refundacji (są one pełnopłatne), stąd w żadnym względzie dotychczasowe umiejscowienie przenoszonego przepisu nie znajdowało uzasadnienia i proponowana zmiana usuwa stan tej nieprawidłowości.</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W dodawanym do art. 96a ust. 1 ustawy nowelizowanej pkt 7 zawarto wymóg, zgodnie z którym recepty </w:t>
      </w:r>
      <w:r w:rsidRPr="007813A5">
        <w:rPr>
          <w:rFonts w:ascii="Times" w:eastAsia="Times New Roman" w:hAnsi="Times" w:cs="Arial"/>
          <w:i/>
          <w:sz w:val="24"/>
          <w:szCs w:val="20"/>
          <w:lang w:eastAsia="pl-PL"/>
        </w:rPr>
        <w:t>pro auctore</w:t>
      </w:r>
      <w:r w:rsidRPr="00A45B71">
        <w:rPr>
          <w:rFonts w:ascii="Times" w:eastAsia="Times New Roman" w:hAnsi="Times" w:cs="Arial"/>
          <w:sz w:val="24"/>
          <w:szCs w:val="20"/>
          <w:lang w:eastAsia="pl-PL"/>
        </w:rPr>
        <w:t xml:space="preserve"> i </w:t>
      </w:r>
      <w:r w:rsidRPr="007813A5">
        <w:rPr>
          <w:rFonts w:ascii="Times" w:eastAsia="Times New Roman" w:hAnsi="Times" w:cs="Arial"/>
          <w:i/>
          <w:sz w:val="24"/>
          <w:szCs w:val="20"/>
          <w:lang w:eastAsia="pl-PL"/>
        </w:rPr>
        <w:t>pro familiae</w:t>
      </w:r>
      <w:r w:rsidRPr="00A45B71">
        <w:rPr>
          <w:rFonts w:ascii="Times" w:eastAsia="Times New Roman" w:hAnsi="Times" w:cs="Arial"/>
          <w:sz w:val="24"/>
          <w:szCs w:val="20"/>
          <w:lang w:eastAsia="pl-PL"/>
        </w:rPr>
        <w:t xml:space="preserve"> mają posiadać stosowne oznaczenie „</w:t>
      </w:r>
      <w:r w:rsidRPr="007813A5">
        <w:rPr>
          <w:rFonts w:ascii="Times" w:eastAsia="Times New Roman" w:hAnsi="Times" w:cs="Arial"/>
          <w:i/>
          <w:sz w:val="24"/>
          <w:szCs w:val="20"/>
          <w:lang w:eastAsia="pl-PL"/>
        </w:rPr>
        <w:t>pro auctore</w:t>
      </w:r>
      <w:r w:rsidRPr="00A45B71">
        <w:rPr>
          <w:rFonts w:ascii="Times" w:eastAsia="Times New Roman" w:hAnsi="Times" w:cs="Arial"/>
          <w:sz w:val="24"/>
          <w:szCs w:val="20"/>
          <w:lang w:eastAsia="pl-PL"/>
        </w:rPr>
        <w:t>”, „</w:t>
      </w:r>
      <w:r w:rsidRPr="007813A5">
        <w:rPr>
          <w:rFonts w:ascii="Times" w:eastAsia="Times New Roman" w:hAnsi="Times" w:cs="Arial"/>
          <w:i/>
          <w:sz w:val="24"/>
          <w:szCs w:val="20"/>
          <w:lang w:eastAsia="pl-PL"/>
        </w:rPr>
        <w:t>pro familiae</w:t>
      </w:r>
      <w:r w:rsidRPr="00A45B71">
        <w:rPr>
          <w:rFonts w:ascii="Times" w:eastAsia="Times New Roman" w:hAnsi="Times" w:cs="Arial"/>
          <w:sz w:val="24"/>
          <w:szCs w:val="20"/>
          <w:lang w:eastAsia="pl-PL"/>
        </w:rPr>
        <w:t>” lub inne równoważne (np. „dla lekarza”, „dla rodziny”) wskazujące, że jest to ten rodzaj recepty. Dotychczas taki wymóg był określony w akcie wykonawczym i przypisany receptom na asortyment refundowany, co wyw</w:t>
      </w:r>
      <w:r>
        <w:rPr>
          <w:rFonts w:ascii="Times" w:eastAsia="Times New Roman" w:hAnsi="Times" w:cs="Arial"/>
          <w:sz w:val="24"/>
          <w:szCs w:val="20"/>
          <w:lang w:eastAsia="pl-PL"/>
        </w:rPr>
        <w:t>oływało u </w:t>
      </w:r>
      <w:r w:rsidRPr="00A45B71">
        <w:rPr>
          <w:rFonts w:ascii="Times" w:eastAsia="Times New Roman" w:hAnsi="Times" w:cs="Arial"/>
          <w:sz w:val="24"/>
          <w:szCs w:val="20"/>
          <w:lang w:eastAsia="pl-PL"/>
        </w:rPr>
        <w:t>części lekarzy błędne przekonanie, że recepta zawierająca jedno z omawianych oznaczeń musi być refundowana (z racji jedynie takiego jej oznaczenia). Oznaczenie takie może posiadać każda recepta i w żadnym razie nie determinuje ono kwestii związanych z refundacją.</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art. 96a ust. 8 pkt 4 ustawy nowelizowanej proponuje się dodać identyfikator IN – dla pacjenta innego niż ubezpieczony, posiadającego uprawnienia do bezpłatnych świadczeń opieki zdrowotnej zgodnie z przepisami wymienionymi w art. 12 u</w:t>
      </w:r>
      <w:r>
        <w:rPr>
          <w:rFonts w:ascii="Times" w:eastAsia="Times New Roman" w:hAnsi="Times" w:cs="Arial"/>
          <w:sz w:val="24"/>
          <w:szCs w:val="20"/>
          <w:lang w:eastAsia="pl-PL"/>
        </w:rPr>
        <w:t>stawy z </w:t>
      </w:r>
      <w:r w:rsidRPr="00A45B71">
        <w:rPr>
          <w:rFonts w:ascii="Times" w:eastAsia="Times New Roman" w:hAnsi="Times" w:cs="Arial"/>
          <w:sz w:val="24"/>
          <w:szCs w:val="20"/>
          <w:lang w:eastAsia="pl-PL"/>
        </w:rPr>
        <w:t>dnia 27 sierpnia 2004 r. o świadczeniach opieki zdrowotnej finansowanych ze środków publicznych (Dz. U. z 2017 r. poz. 1938, z późn. zm.). Dotychczas identyfikator ten nie był przewidziany w usta</w:t>
      </w:r>
      <w:r>
        <w:rPr>
          <w:rFonts w:ascii="Times" w:eastAsia="Times New Roman" w:hAnsi="Times" w:cs="Arial"/>
          <w:sz w:val="24"/>
          <w:szCs w:val="20"/>
          <w:lang w:eastAsia="pl-PL"/>
        </w:rPr>
        <w:t>wie, mimo że był przewidziany w </w:t>
      </w:r>
      <w:r w:rsidRPr="00A45B71">
        <w:rPr>
          <w:rFonts w:ascii="Times" w:eastAsia="Times New Roman" w:hAnsi="Times" w:cs="Arial"/>
          <w:sz w:val="24"/>
          <w:szCs w:val="20"/>
          <w:lang w:eastAsia="pl-PL"/>
        </w:rPr>
        <w:t>załączniku nr 1 do rozporządzenia Ministra Z</w:t>
      </w:r>
      <w:r>
        <w:rPr>
          <w:rFonts w:ascii="Times" w:eastAsia="Times New Roman" w:hAnsi="Times" w:cs="Arial"/>
          <w:sz w:val="24"/>
          <w:szCs w:val="20"/>
          <w:lang w:eastAsia="pl-PL"/>
        </w:rPr>
        <w:t xml:space="preserve">drowia z dnia 8 marca 2012 r. </w:t>
      </w:r>
      <w:r>
        <w:rPr>
          <w:rFonts w:ascii="Times" w:eastAsia="Times New Roman" w:hAnsi="Times" w:cs="Arial"/>
          <w:sz w:val="24"/>
          <w:szCs w:val="20"/>
          <w:lang w:eastAsia="pl-PL"/>
        </w:rPr>
        <w:lastRenderedPageBreak/>
        <w:t>w </w:t>
      </w:r>
      <w:r w:rsidRPr="00A45B71">
        <w:rPr>
          <w:rFonts w:ascii="Times" w:eastAsia="Times New Roman" w:hAnsi="Times" w:cs="Arial"/>
          <w:sz w:val="24"/>
          <w:szCs w:val="20"/>
          <w:lang w:eastAsia="pl-PL"/>
        </w:rPr>
        <w:t xml:space="preserve">sprawie recept lekarskich, a także </w:t>
      </w:r>
      <w:r w:rsidR="00CF7A75">
        <w:rPr>
          <w:rFonts w:ascii="Times" w:eastAsia="Times New Roman" w:hAnsi="Times" w:cs="Arial"/>
          <w:sz w:val="24"/>
          <w:szCs w:val="20"/>
          <w:lang w:eastAsia="pl-PL"/>
        </w:rPr>
        <w:t xml:space="preserve">w </w:t>
      </w:r>
      <w:r w:rsidRPr="00A45B71">
        <w:rPr>
          <w:rFonts w:ascii="Times" w:eastAsia="Times New Roman" w:hAnsi="Times" w:cs="Arial"/>
          <w:sz w:val="24"/>
          <w:szCs w:val="20"/>
          <w:lang w:eastAsia="pl-PL"/>
        </w:rPr>
        <w:t>załączniku nr 1 do rozporządzenia Ministra Zdrowia z dnia 28 października 2015 r. w sprawie recept wystawianych przez pielęgniarki i położne (Dz. U. z 2017 r. poz. 1589). W tym zakresie omawiany przepis ustawy nowelizowanej był niekompletny, a zatem wymagał uzupełnienia.</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art. 96a ustawy nowelizowanej dodaje się ust. 9a i 9b regulujące wyłącznie kwestie związane z receptami wystawianymi w postaci elektronicznej. W przywołanych ustępach zawarto normy regulujące kwestie zapisu i zmian treści takiej recepty, które będą możliwe wyłącznie w Systemie Informacji Medycznej. W dotychczasowym stanie prawnym kwestie dotyczące wystawiania recept w postaci elektronicznej nie były uregulowane. Wprowadzenie proponowanych regulacji stanowi więc uzupełnienie istniejącej luki prawnej w tym zakresie.</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Ponadto w kontekście całokształtu zmian wprowadzo</w:t>
      </w:r>
      <w:r>
        <w:rPr>
          <w:rFonts w:ascii="Times" w:eastAsia="Times New Roman" w:hAnsi="Times" w:cs="Arial"/>
          <w:sz w:val="24"/>
          <w:szCs w:val="20"/>
          <w:lang w:eastAsia="pl-PL"/>
        </w:rPr>
        <w:t>nych do ustawy nowelizowanej, w </w:t>
      </w:r>
      <w:r w:rsidRPr="00A45B71">
        <w:rPr>
          <w:rFonts w:ascii="Times" w:eastAsia="Times New Roman" w:hAnsi="Times" w:cs="Arial"/>
          <w:sz w:val="24"/>
          <w:szCs w:val="20"/>
          <w:lang w:eastAsia="pl-PL"/>
        </w:rPr>
        <w:t>tym tych wynikających z omówionej wcześniej konieczności przeniesienia dużej części przepisów z poziomu wykonawczego do ustawy nowelizowanej, zaszła konieczność modyfikacji upoważnienia ustawowego zawartego w art. 96a ust. 12 ustawy nowelizowanej. Zdecydowano się na takie działanie, ponieważ w kontekście całego, szerokiego spektrum spraw, jakie w rozporządzeniu wydawanym na podstawie omawianego przepisu, powinny zostać uregulowane, do</w:t>
      </w:r>
      <w:r w:rsidR="00CF7A75">
        <w:rPr>
          <w:rFonts w:ascii="Times" w:eastAsia="Times New Roman" w:hAnsi="Times" w:cs="Arial"/>
          <w:sz w:val="24"/>
          <w:szCs w:val="20"/>
          <w:lang w:eastAsia="pl-PL"/>
        </w:rPr>
        <w:t>tych</w:t>
      </w:r>
      <w:r w:rsidRPr="00A45B71">
        <w:rPr>
          <w:rFonts w:ascii="Times" w:eastAsia="Times New Roman" w:hAnsi="Times" w:cs="Arial"/>
          <w:sz w:val="24"/>
          <w:szCs w:val="20"/>
          <w:lang w:eastAsia="pl-PL"/>
        </w:rPr>
        <w:t>czasową treść upoważnienia uznano za niewystarczającą (niekompletną). Z drug</w:t>
      </w:r>
      <w:r>
        <w:rPr>
          <w:rFonts w:ascii="Times" w:eastAsia="Times New Roman" w:hAnsi="Times" w:cs="Arial"/>
          <w:sz w:val="24"/>
          <w:szCs w:val="20"/>
          <w:lang w:eastAsia="pl-PL"/>
        </w:rPr>
        <w:t>iej strony dokonano usunięcia z </w:t>
      </w:r>
      <w:r w:rsidRPr="00A45B71">
        <w:rPr>
          <w:rFonts w:ascii="Times" w:eastAsia="Times New Roman" w:hAnsi="Times" w:cs="Arial"/>
          <w:sz w:val="24"/>
          <w:szCs w:val="20"/>
          <w:lang w:eastAsia="pl-PL"/>
        </w:rPr>
        <w:t xml:space="preserve">treści upoważnienia ustawowego zagadnień przeniesionych na grunt ustawy nowelizowanej. </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W art. 96b ust. 1 pkt 10 ustawy nowelizowanej proponuje się doprecyzować zakres danych w informacji o wystawionej recepcie, którą pacjent otrzymuje od osoby wystawiającej receptę w przypadku wystawienia recepty w postaci elektronicznej. Informacja ta zawiera m.in. informacje o leku, który </w:t>
      </w:r>
      <w:r>
        <w:rPr>
          <w:rFonts w:ascii="Times" w:eastAsia="Times New Roman" w:hAnsi="Times" w:cs="Arial"/>
          <w:sz w:val="24"/>
          <w:szCs w:val="20"/>
          <w:lang w:eastAsia="pl-PL"/>
        </w:rPr>
        <w:t>został wystawiony na recepcie w </w:t>
      </w:r>
      <w:r w:rsidRPr="00A45B71">
        <w:rPr>
          <w:rFonts w:ascii="Times" w:eastAsia="Times New Roman" w:hAnsi="Times" w:cs="Arial"/>
          <w:sz w:val="24"/>
          <w:szCs w:val="20"/>
          <w:lang w:eastAsia="pl-PL"/>
        </w:rPr>
        <w:t xml:space="preserve">postaci elektronicznej. W związku z powyższym proponuje się uregulowanie także informacji dotyczących składu leku recepturowego lub aptecznego. Z kolei w art. 96b ust. 2 pkt 2 ustawy nowelizowanej proponuje się wskazać na fakultatywny charakter numeru telefonu przez dodanie wyrazów: „jeżeli pacjent podał ten numer”. </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Zmiany w przepisach karnych i odnoszących się do administracyjnych kar pieniężnych:</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Do ustawy nowelizowanej dodaje się art. 127ca.</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lastRenderedPageBreak/>
        <w:t>Zmiana ta wynika z omówionego wcześniej wprowadzenia do ustawy nowelizowanej przepisu obligującego wystawiających zapotrzebowania</w:t>
      </w:r>
      <w:r>
        <w:rPr>
          <w:rFonts w:ascii="Times" w:eastAsia="Times New Roman" w:hAnsi="Times" w:cs="Arial"/>
          <w:sz w:val="24"/>
          <w:szCs w:val="20"/>
          <w:lang w:eastAsia="pl-PL"/>
        </w:rPr>
        <w:t>, o których mowa w art. 96 ust. </w:t>
      </w:r>
      <w:r w:rsidRPr="00A45B71">
        <w:rPr>
          <w:rFonts w:ascii="Times" w:eastAsia="Times New Roman" w:hAnsi="Times" w:cs="Arial"/>
          <w:sz w:val="24"/>
          <w:szCs w:val="20"/>
          <w:lang w:eastAsia="pl-PL"/>
        </w:rPr>
        <w:t>1 pkt 3 ustawy nowelizowanej, do ich ewidencjonowania, jak również nakazując</w:t>
      </w:r>
      <w:r w:rsidR="00CF7A75">
        <w:rPr>
          <w:rFonts w:ascii="Times" w:eastAsia="Times New Roman" w:hAnsi="Times" w:cs="Arial"/>
          <w:sz w:val="24"/>
          <w:szCs w:val="20"/>
          <w:lang w:eastAsia="pl-PL"/>
        </w:rPr>
        <w:t>ego</w:t>
      </w:r>
      <w:r w:rsidRPr="00A45B71">
        <w:rPr>
          <w:rFonts w:ascii="Times" w:eastAsia="Times New Roman" w:hAnsi="Times" w:cs="Arial"/>
          <w:sz w:val="24"/>
          <w:szCs w:val="20"/>
          <w:lang w:eastAsia="pl-PL"/>
        </w:rPr>
        <w:t xml:space="preserve"> umożliwianie inspektorom Państwowej Inspekcji Farmaceutycznej wgląd</w:t>
      </w:r>
      <w:r w:rsidR="00CF7A75">
        <w:rPr>
          <w:rFonts w:ascii="Times" w:eastAsia="Times New Roman" w:hAnsi="Times" w:cs="Arial"/>
          <w:sz w:val="24"/>
          <w:szCs w:val="20"/>
          <w:lang w:eastAsia="pl-PL"/>
        </w:rPr>
        <w:t>u</w:t>
      </w:r>
      <w:r w:rsidRPr="00A45B71">
        <w:rPr>
          <w:rFonts w:ascii="Times" w:eastAsia="Times New Roman" w:hAnsi="Times" w:cs="Arial"/>
          <w:sz w:val="24"/>
          <w:szCs w:val="20"/>
          <w:lang w:eastAsia="pl-PL"/>
        </w:rPr>
        <w:t xml:space="preserve"> do prowadzonych ewidencji oraz przekazywania im kopii zapotrzebowań.</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celu urealnienia funkcjonowania powyższych przepisów proponuje się przewidzieć karę w wysokości do 10000 zł. Maksymalna wysoko</w:t>
      </w:r>
      <w:r>
        <w:rPr>
          <w:rFonts w:ascii="Times" w:eastAsia="Times New Roman" w:hAnsi="Times" w:cs="Arial"/>
          <w:sz w:val="24"/>
          <w:szCs w:val="20"/>
          <w:lang w:eastAsia="pl-PL"/>
        </w:rPr>
        <w:t>ść ww. kary jest ujednolicona z </w:t>
      </w:r>
      <w:r w:rsidRPr="00A45B71">
        <w:rPr>
          <w:rFonts w:ascii="Times" w:eastAsia="Times New Roman" w:hAnsi="Times" w:cs="Arial"/>
          <w:sz w:val="24"/>
          <w:szCs w:val="20"/>
          <w:lang w:eastAsia="pl-PL"/>
        </w:rPr>
        <w:t xml:space="preserve">karą określoną w art. 127b ust. 3 ustawy nowelizowanej, bowiem brak poinformowania GIF o dokonanym wywozie lub zbyciu, wbrew przepisom art. 78a ustawy nowelizowanej, ma takie same skutki jak brak prowadzenia ewidencji zapotrzebowań, o których mowa w art. 96 ust. 1 pkt 3 ustawy nowelizowanej. Podkreślić należy, że oba naruszenia w swej istocie tuszują tego samego rodzaju zachowania polegające na ukrywaniu niezgodnego z przepisami prawa farmaceutycznego obrotu produktami leczniczymi. </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Wprowadzenie sankcji w postaci kary pieniężnej ma wymóc przestrzeganie przez podmioty nałożonych na nich obowiązków. Z uwagi na fakt, że dotychczas nie przewidywano sankcji za niedopełnienie omówionych wyżej obowiązków, zaproponowana w dodawanym przepisie wysokość san</w:t>
      </w:r>
      <w:r w:rsidR="00CF7A75">
        <w:rPr>
          <w:rFonts w:ascii="Times" w:eastAsia="Times New Roman" w:hAnsi="Times" w:cs="Arial"/>
          <w:sz w:val="24"/>
          <w:szCs w:val="20"/>
          <w:lang w:eastAsia="pl-PL"/>
        </w:rPr>
        <w:t>kcji ma zniechęcić do udziału w </w:t>
      </w:r>
      <w:r w:rsidRPr="00A45B71">
        <w:rPr>
          <w:rFonts w:ascii="Times" w:eastAsia="Times New Roman" w:hAnsi="Times" w:cs="Arial"/>
          <w:sz w:val="24"/>
          <w:szCs w:val="20"/>
          <w:lang w:eastAsia="pl-PL"/>
        </w:rPr>
        <w:t>tzw. „odwróconym łańcuchu obrotu”.</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Nowelizacji podlegać ma także art. 127d ustawy nowelizowanej.</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Zmiana ta jest konsekwencją dodania do ustawy nowelizowanej art. 127ca. Zamiarem projektodawcy jest, aby uregulowanie art. 127d ustawy nowelizowanej odnosiło się również do nowo</w:t>
      </w:r>
      <w:r w:rsidR="00E571F6">
        <w:rPr>
          <w:rFonts w:ascii="Times" w:eastAsia="Times New Roman" w:hAnsi="Times" w:cs="Arial"/>
          <w:sz w:val="24"/>
          <w:szCs w:val="20"/>
          <w:lang w:eastAsia="pl-PL"/>
        </w:rPr>
        <w:t xml:space="preserve"> </w:t>
      </w:r>
      <w:r w:rsidRPr="00A45B71">
        <w:rPr>
          <w:rFonts w:ascii="Times" w:eastAsia="Times New Roman" w:hAnsi="Times" w:cs="Arial"/>
          <w:sz w:val="24"/>
          <w:szCs w:val="20"/>
          <w:lang w:eastAsia="pl-PL"/>
        </w:rPr>
        <w:t>dodawanego art. 127ca ustawy nowelizowanej.</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Dodawany jest art. 127da, który sankcjonuje niedochowanie wymagań dodawanego przepisu art. 96aa. Wysokość kary dostosowano do możliwości finansowych podmiotów prowadzących apteki i punkty apteczne. Przesądzono, że dla podmiotu, któremu cofnięto zezwolenie lub którego zezwoleni</w:t>
      </w:r>
      <w:r w:rsidR="00E571F6">
        <w:rPr>
          <w:rFonts w:ascii="Times" w:eastAsia="Times New Roman" w:hAnsi="Times" w:cs="Arial"/>
          <w:sz w:val="24"/>
          <w:szCs w:val="20"/>
          <w:lang w:eastAsia="pl-PL"/>
        </w:rPr>
        <w:t>e</w:t>
      </w:r>
      <w:r w:rsidRPr="00A45B71">
        <w:rPr>
          <w:rFonts w:ascii="Times" w:eastAsia="Times New Roman" w:hAnsi="Times" w:cs="Arial"/>
          <w:sz w:val="24"/>
          <w:szCs w:val="20"/>
          <w:lang w:eastAsia="pl-PL"/>
        </w:rPr>
        <w:t xml:space="preserve"> zostało uchylone, wygasło albo jest nieważne</w:t>
      </w:r>
      <w:r w:rsidR="00E571F6">
        <w:rPr>
          <w:rFonts w:ascii="Times" w:eastAsia="Times New Roman" w:hAnsi="Times" w:cs="Arial"/>
          <w:sz w:val="24"/>
          <w:szCs w:val="20"/>
          <w:lang w:eastAsia="pl-PL"/>
        </w:rPr>
        <w:t>,</w:t>
      </w:r>
      <w:r w:rsidRPr="00A45B71">
        <w:rPr>
          <w:rFonts w:ascii="Times" w:eastAsia="Times New Roman" w:hAnsi="Times" w:cs="Arial"/>
          <w:sz w:val="24"/>
          <w:szCs w:val="20"/>
          <w:lang w:eastAsia="pl-PL"/>
        </w:rPr>
        <w:t xml:space="preserve"> kara w wysokości do 2000 zł zadziała prewencyjnie. Zakłada się, że odstraszająca maksymalna wysokość sankcji zapewni oddziałom wojewódzkim Narodowego Funduszu Zdrowia oraz wojewódzkiemu inspektorowi farmaceutycznemu informacje o miejscu przechowywania recept i wydanych na ich podstawie odpisów. </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lastRenderedPageBreak/>
        <w:t xml:space="preserve">Związane z tematyką recept są również przepisy zaproponowane w art. </w:t>
      </w:r>
      <w:r w:rsidR="007813A5">
        <w:rPr>
          <w:rFonts w:ascii="Times" w:eastAsia="Times New Roman" w:hAnsi="Times" w:cs="Arial"/>
          <w:sz w:val="24"/>
          <w:szCs w:val="20"/>
          <w:lang w:eastAsia="pl-PL"/>
        </w:rPr>
        <w:t>7</w:t>
      </w:r>
      <w:r w:rsidRPr="00A45B71">
        <w:rPr>
          <w:rFonts w:ascii="Times" w:eastAsia="Times New Roman" w:hAnsi="Times" w:cs="Arial"/>
          <w:sz w:val="24"/>
          <w:szCs w:val="20"/>
          <w:lang w:eastAsia="pl-PL"/>
        </w:rPr>
        <w:t xml:space="preserve"> ustawy nowelizującej, dotyczące informacji gromadzonych przez apteki i przekazywanych do Narodowego Funduszu Zdrowia. W omawianym przepisie ustawy nowelizującej proponuje się dodać do ustawy z dnia 12 maja 2011 r</w:t>
      </w:r>
      <w:r w:rsidR="00AF7E8D">
        <w:rPr>
          <w:rFonts w:ascii="Times" w:eastAsia="Times New Roman" w:hAnsi="Times" w:cs="Arial"/>
          <w:sz w:val="24"/>
          <w:szCs w:val="20"/>
          <w:lang w:eastAsia="pl-PL"/>
        </w:rPr>
        <w:t>.</w:t>
      </w:r>
      <w:r w:rsidRPr="00A45B71">
        <w:rPr>
          <w:rFonts w:ascii="Times" w:eastAsia="Times New Roman" w:hAnsi="Times" w:cs="Arial"/>
          <w:sz w:val="24"/>
          <w:szCs w:val="20"/>
          <w:lang w:eastAsia="pl-PL"/>
        </w:rPr>
        <w:t xml:space="preserve"> o refundacji leków, środków spożywczych specjalnego przeznaczenia żywieniowe</w:t>
      </w:r>
      <w:r>
        <w:rPr>
          <w:rFonts w:ascii="Times" w:eastAsia="Times New Roman" w:hAnsi="Times" w:cs="Arial"/>
          <w:sz w:val="24"/>
          <w:szCs w:val="20"/>
          <w:lang w:eastAsia="pl-PL"/>
        </w:rPr>
        <w:t>go oraz wyrobów medycznych art. </w:t>
      </w:r>
      <w:r w:rsidRPr="00A45B71">
        <w:rPr>
          <w:rFonts w:ascii="Times" w:eastAsia="Times New Roman" w:hAnsi="Times" w:cs="Arial"/>
          <w:sz w:val="24"/>
          <w:szCs w:val="20"/>
          <w:lang w:eastAsia="pl-PL"/>
        </w:rPr>
        <w:t>45a i art. 45b, do których została przeniesiona część przepisów z dotychczas obowiązującego rozporządzenia Ministra Zdrowia z dnia 23 grudnia 2011 r. w sprawie informacji gromadzonych przez apteki oraz informacji przekazywanych Narodowemu Funduszowi Zdrowia (Dz. U. z 2017 r. poz. 547 i 1058). W ocenie projektodawcy przepisy te mogą funkcjonować w ramach ustawy, do której są przenoszone, co jednocześnie powoduje uchylenie upoważnienia usta</w:t>
      </w:r>
      <w:r>
        <w:rPr>
          <w:rFonts w:ascii="Times" w:eastAsia="Times New Roman" w:hAnsi="Times" w:cs="Arial"/>
          <w:sz w:val="24"/>
          <w:szCs w:val="20"/>
          <w:lang w:eastAsia="pl-PL"/>
        </w:rPr>
        <w:t>wowego zawartego w art. 45 ust. </w:t>
      </w:r>
      <w:r w:rsidRPr="00A45B71">
        <w:rPr>
          <w:rFonts w:ascii="Times" w:eastAsia="Times New Roman" w:hAnsi="Times" w:cs="Arial"/>
          <w:sz w:val="24"/>
          <w:szCs w:val="20"/>
          <w:lang w:eastAsia="pl-PL"/>
        </w:rPr>
        <w:t>14 ustawy z dnia 12 maja 2011 r</w:t>
      </w:r>
      <w:r w:rsidR="00AF7E8D">
        <w:rPr>
          <w:rFonts w:ascii="Times" w:eastAsia="Times New Roman" w:hAnsi="Times" w:cs="Arial"/>
          <w:sz w:val="24"/>
          <w:szCs w:val="20"/>
          <w:lang w:eastAsia="pl-PL"/>
        </w:rPr>
        <w:t>.</w:t>
      </w:r>
      <w:r w:rsidRPr="00A45B71">
        <w:rPr>
          <w:rFonts w:ascii="Times" w:eastAsia="Times New Roman" w:hAnsi="Times" w:cs="Arial"/>
          <w:sz w:val="24"/>
          <w:szCs w:val="20"/>
          <w:lang w:eastAsia="pl-PL"/>
        </w:rPr>
        <w:t xml:space="preserve"> o refundacji leków, środków spożywczych specjalnego przeznaczenia żywieniowego oraz wyrobów med</w:t>
      </w:r>
      <w:r>
        <w:rPr>
          <w:rFonts w:ascii="Times" w:eastAsia="Times New Roman" w:hAnsi="Times" w:cs="Arial"/>
          <w:sz w:val="24"/>
          <w:szCs w:val="20"/>
          <w:lang w:eastAsia="pl-PL"/>
        </w:rPr>
        <w:t>ycznych. W związku z </w:t>
      </w:r>
      <w:r w:rsidRPr="00A45B71">
        <w:rPr>
          <w:rFonts w:ascii="Times" w:eastAsia="Times New Roman" w:hAnsi="Times" w:cs="Arial"/>
          <w:sz w:val="24"/>
          <w:szCs w:val="20"/>
          <w:lang w:eastAsia="pl-PL"/>
        </w:rPr>
        <w:t xml:space="preserve">tymi zmianami w ustawie nowelizującej zawarto art. </w:t>
      </w:r>
      <w:r w:rsidR="007813A5">
        <w:rPr>
          <w:rFonts w:ascii="Times" w:eastAsia="Times New Roman" w:hAnsi="Times" w:cs="Arial"/>
          <w:sz w:val="24"/>
          <w:szCs w:val="20"/>
          <w:lang w:eastAsia="pl-PL"/>
        </w:rPr>
        <w:t>10</w:t>
      </w:r>
      <w:r w:rsidRPr="00A45B71">
        <w:rPr>
          <w:rFonts w:ascii="Times" w:eastAsia="Times New Roman" w:hAnsi="Times" w:cs="Arial"/>
          <w:sz w:val="24"/>
          <w:szCs w:val="20"/>
          <w:lang w:eastAsia="pl-PL"/>
        </w:rPr>
        <w:t xml:space="preserve"> stanowiący regulację przejściową, zgodnie z którą dopuszcza się przekazywanie informacji gromadzonych przez apteki do oddziałów wojewódzkich Narodowego Funduszu Zdrowia na dotychczasowych zasadach do 31 grudnia 2018 r., zaś możliwość przekazywania informacji według nowych zasad będzie istniała od pierwszego dnia miesiąca następującego po miesiącu wejścia w życie niniejszej ustawy.</w:t>
      </w:r>
    </w:p>
    <w:p w:rsidR="00A45B71" w:rsidRPr="00A45B71" w:rsidRDefault="00A45B71" w:rsidP="00A45B71">
      <w:pPr>
        <w:suppressAutoHyphens/>
        <w:autoSpaceDE w:val="0"/>
        <w:autoSpaceDN w:val="0"/>
        <w:adjustRightInd w:val="0"/>
        <w:spacing w:before="24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UMOŻLIWIENIE WYSTAWIANIA RECEPTY BEZ OSOBISTEGO KONTAKTU OSOBY WYSTAWIAJĄCEJ RECEPTĘ Z PACJENTEM</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art. 42 ustawy z dnia 5 grudnia 1996 r. o zawodach lekarza i lekarza dentysty (Dz. U. z 2017 r. poz. 125, z późn</w:t>
      </w:r>
      <w:r w:rsidR="00AF7E8D">
        <w:rPr>
          <w:rFonts w:ascii="Times" w:eastAsia="Times New Roman" w:hAnsi="Times" w:cs="Arial"/>
          <w:sz w:val="24"/>
          <w:szCs w:val="20"/>
          <w:lang w:eastAsia="pl-PL"/>
        </w:rPr>
        <w:t>.</w:t>
      </w:r>
      <w:r w:rsidRPr="00A45B71">
        <w:rPr>
          <w:rFonts w:ascii="Times" w:eastAsia="Times New Roman" w:hAnsi="Times" w:cs="Arial"/>
          <w:sz w:val="24"/>
          <w:szCs w:val="20"/>
          <w:lang w:eastAsia="pl-PL"/>
        </w:rPr>
        <w:t xml:space="preserve"> zm.) proponuje się zmianę brzmienia ust. 2 przez usunięcie wyrazu „osobistego” (w odniesieniu do „badania”), co umożliwi wystawienie recepty niezbędnej do kontynuacji leczenia nie tylko po osobistym zbadaniu pacjenta, ale również po zbadaniu pacjenta za pośrednictwem systemów teleinformatycznych lub systemów łączności. Należy zauważyć, że telemedycyna nie zacznie się dynamiczniej rozwijać, jeżeli nie będzie istniała możliwość wystawienia recepty bez osobistego kontaktu osoby wystawiającej receptę z pacjentem. W konsekwencji w art. 1 ustawy nowelizującej proponuje się także dokonać zmiany w us</w:t>
      </w:r>
      <w:r w:rsidR="00950448">
        <w:rPr>
          <w:rFonts w:ascii="Times" w:eastAsia="Times New Roman" w:hAnsi="Times" w:cs="Arial"/>
          <w:sz w:val="24"/>
          <w:szCs w:val="20"/>
          <w:lang w:eastAsia="pl-PL"/>
        </w:rPr>
        <w:t>tawie z dnia 20 lipca 1950 r. o </w:t>
      </w:r>
      <w:r w:rsidRPr="00A45B71">
        <w:rPr>
          <w:rFonts w:ascii="Times" w:eastAsia="Times New Roman" w:hAnsi="Times" w:cs="Arial"/>
          <w:sz w:val="24"/>
          <w:szCs w:val="20"/>
          <w:lang w:eastAsia="pl-PL"/>
        </w:rPr>
        <w:t>zawodzie felczera (Dz. U. z 2016 r. poz. 16</w:t>
      </w:r>
      <w:r w:rsidR="00AF7E8D">
        <w:rPr>
          <w:rFonts w:ascii="Times" w:eastAsia="Times New Roman" w:hAnsi="Times" w:cs="Arial"/>
          <w:sz w:val="24"/>
          <w:szCs w:val="20"/>
          <w:lang w:eastAsia="pl-PL"/>
        </w:rPr>
        <w:t>18</w:t>
      </w:r>
      <w:r w:rsidRPr="00A45B71">
        <w:rPr>
          <w:rFonts w:ascii="Times" w:eastAsia="Times New Roman" w:hAnsi="Times" w:cs="Arial"/>
          <w:sz w:val="24"/>
          <w:szCs w:val="20"/>
          <w:lang w:eastAsia="pl-PL"/>
        </w:rPr>
        <w:t>) w zakresie zmiany art. 4 ust. 1a tej ustawy.</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lastRenderedPageBreak/>
        <w:t xml:space="preserve">ZMIANY W ZAKRESIE PODPISYWANIA DOKUMENTÓW </w:t>
      </w:r>
    </w:p>
    <w:p w:rsid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Dodatkowo proponuje się zmiany w zakresie sposobu podpisywania elektronicznej dokumentacji medycznej (EDM) przez umożliwienie wykorzystania sposobu potwierdzania pochodzenia oraz integralności danych dostępnego w systemie teleinformatycznym udostępnionym bezpłatnie przez Zakład Ubezpieczeń Społecznych (ZUS), o którym mowa w art. 55 ust. 1 ust</w:t>
      </w:r>
      <w:r w:rsidR="00950448">
        <w:rPr>
          <w:rFonts w:ascii="Times" w:eastAsia="Times New Roman" w:hAnsi="Times" w:cs="Arial"/>
          <w:sz w:val="24"/>
          <w:szCs w:val="20"/>
          <w:lang w:eastAsia="pl-PL"/>
        </w:rPr>
        <w:t>awy z dnia 25 czerwca 1999 r. o </w:t>
      </w:r>
      <w:r w:rsidRPr="00A45B71">
        <w:rPr>
          <w:rFonts w:ascii="Times" w:eastAsia="Times New Roman" w:hAnsi="Times" w:cs="Arial"/>
          <w:sz w:val="24"/>
          <w:szCs w:val="20"/>
          <w:lang w:eastAsia="pl-PL"/>
        </w:rPr>
        <w:t>świadczeniach pieniężnych z ubezpieczeni</w:t>
      </w:r>
      <w:r w:rsidR="00950448">
        <w:rPr>
          <w:rFonts w:ascii="Times" w:eastAsia="Times New Roman" w:hAnsi="Times" w:cs="Arial"/>
          <w:sz w:val="24"/>
          <w:szCs w:val="20"/>
          <w:lang w:eastAsia="pl-PL"/>
        </w:rPr>
        <w:t>a społecznego w razie choroby i </w:t>
      </w:r>
      <w:r w:rsidRPr="00A45B71">
        <w:rPr>
          <w:rFonts w:ascii="Times" w:eastAsia="Times New Roman" w:hAnsi="Times" w:cs="Arial"/>
          <w:sz w:val="24"/>
          <w:szCs w:val="20"/>
          <w:lang w:eastAsia="pl-PL"/>
        </w:rPr>
        <w:t>macierzyństwa (Dz. U. z 2017 r. poz. 1368), tj. narzędzia wytworzonego na potrzeby podpisywania elektronicznych zwolnień lekarskich. Ww. narzędzie b</w:t>
      </w:r>
      <w:r w:rsidR="00950448">
        <w:rPr>
          <w:rFonts w:ascii="Times" w:eastAsia="Times New Roman" w:hAnsi="Times" w:cs="Arial"/>
          <w:sz w:val="24"/>
          <w:szCs w:val="20"/>
          <w:lang w:eastAsia="pl-PL"/>
        </w:rPr>
        <w:t>ędzie dodatkowym –</w:t>
      </w:r>
      <w:r w:rsidRPr="00A45B71">
        <w:rPr>
          <w:rFonts w:ascii="Times" w:eastAsia="Times New Roman" w:hAnsi="Times" w:cs="Arial"/>
          <w:sz w:val="24"/>
          <w:szCs w:val="20"/>
          <w:lang w:eastAsia="pl-PL"/>
        </w:rPr>
        <w:t xml:space="preserve"> obok obecnie przewidzianego podpisu kwalifikowalnego oraz profilu zaufanego ePUAP – dopuszczalnym sposobem podpisywania EDM. Powyższa zmiana ma istotne znaczenie dla dynamizacji procesu przechodzenia na elektroniczny sposób prowadzenia dokumentacji medycznej (większość lekarzy p</w:t>
      </w:r>
      <w:r w:rsidR="00950448">
        <w:rPr>
          <w:rFonts w:ascii="Times" w:eastAsia="Times New Roman" w:hAnsi="Times" w:cs="Arial"/>
          <w:sz w:val="24"/>
          <w:szCs w:val="20"/>
          <w:lang w:eastAsia="pl-PL"/>
        </w:rPr>
        <w:t>osiada już ww. narzędzie ZUS, a </w:t>
      </w:r>
      <w:r w:rsidRPr="00A45B71">
        <w:rPr>
          <w:rFonts w:ascii="Times" w:eastAsia="Times New Roman" w:hAnsi="Times" w:cs="Arial"/>
          <w:sz w:val="24"/>
          <w:szCs w:val="20"/>
          <w:lang w:eastAsia="pl-PL"/>
        </w:rPr>
        <w:t xml:space="preserve">dodatkowo możliwość wykorzystywania tego samego narzędzia do podpisywania różnego rodzaju dokumentów elektronicznych zapewnia odpowiednią ergonomię pracy ww. specjalistów). Powyższe zmiany są zawarte w art. </w:t>
      </w:r>
      <w:r w:rsidR="007813A5">
        <w:rPr>
          <w:rFonts w:ascii="Times" w:eastAsia="Times New Roman" w:hAnsi="Times" w:cs="Arial"/>
          <w:sz w:val="24"/>
          <w:szCs w:val="20"/>
          <w:lang w:eastAsia="pl-PL"/>
        </w:rPr>
        <w:t>6</w:t>
      </w:r>
      <w:r w:rsidRPr="00A45B71">
        <w:rPr>
          <w:rFonts w:ascii="Times" w:eastAsia="Times New Roman" w:hAnsi="Times" w:cs="Arial"/>
          <w:sz w:val="24"/>
          <w:szCs w:val="20"/>
          <w:lang w:eastAsia="pl-PL"/>
        </w:rPr>
        <w:t xml:space="preserve"> ustawy nowelizującej. </w:t>
      </w:r>
    </w:p>
    <w:p w:rsidR="007813A5" w:rsidRPr="00A45B71" w:rsidRDefault="007813A5"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Pr>
          <w:rFonts w:ascii="Times" w:eastAsia="Times New Roman" w:hAnsi="Times" w:cs="Arial"/>
          <w:sz w:val="24"/>
          <w:szCs w:val="20"/>
          <w:lang w:eastAsia="pl-PL"/>
        </w:rPr>
        <w:t>W konsekwencji dokonuje się również zmiany ustawy z</w:t>
      </w:r>
      <w:r w:rsidR="00374CD5">
        <w:rPr>
          <w:rFonts w:ascii="Times" w:eastAsia="Times New Roman" w:hAnsi="Times" w:cs="Arial"/>
          <w:sz w:val="24"/>
          <w:szCs w:val="20"/>
          <w:lang w:eastAsia="pl-PL"/>
        </w:rPr>
        <w:t xml:space="preserve"> dnia 13 października 1998 r. o </w:t>
      </w:r>
      <w:r>
        <w:rPr>
          <w:rFonts w:ascii="Times" w:eastAsia="Times New Roman" w:hAnsi="Times" w:cs="Arial"/>
          <w:sz w:val="24"/>
          <w:szCs w:val="20"/>
          <w:lang w:eastAsia="pl-PL"/>
        </w:rPr>
        <w:t xml:space="preserve">systemie ubezpieczeń społecznych </w:t>
      </w:r>
      <w:r w:rsidR="00374CD5">
        <w:rPr>
          <w:rFonts w:ascii="Times" w:eastAsia="Times New Roman" w:hAnsi="Times" w:cs="Arial"/>
          <w:sz w:val="24"/>
          <w:szCs w:val="20"/>
          <w:lang w:eastAsia="pl-PL"/>
        </w:rPr>
        <w:t>(</w:t>
      </w:r>
      <w:r>
        <w:rPr>
          <w:rFonts w:ascii="Times" w:eastAsia="Times New Roman" w:hAnsi="Times" w:cs="Arial"/>
          <w:sz w:val="24"/>
          <w:szCs w:val="20"/>
          <w:lang w:eastAsia="pl-PL"/>
        </w:rPr>
        <w:t>Dz. U. z 2017 r. poz. 1778, z późn. zm.) polegającej na wyraźnym przesądzeniu, że Zak</w:t>
      </w:r>
      <w:r w:rsidR="00374CD5">
        <w:rPr>
          <w:rFonts w:ascii="Times" w:eastAsia="Times New Roman" w:hAnsi="Times" w:cs="Arial"/>
          <w:sz w:val="24"/>
          <w:szCs w:val="20"/>
          <w:lang w:eastAsia="pl-PL"/>
        </w:rPr>
        <w:t>ład Ubezpieczeń Społecznych (ZUS</w:t>
      </w:r>
      <w:r>
        <w:rPr>
          <w:rFonts w:ascii="Times" w:eastAsia="Times New Roman" w:hAnsi="Times" w:cs="Arial"/>
          <w:sz w:val="24"/>
          <w:szCs w:val="20"/>
          <w:lang w:eastAsia="pl-PL"/>
        </w:rPr>
        <w:t>) udostępnia ww. narzędzie ZUS jedynie lekarzom upoważnionym przez ZUS do wystawiania zwolnień lekarskich, zaś o</w:t>
      </w:r>
      <w:r w:rsidR="00374CD5">
        <w:rPr>
          <w:rFonts w:ascii="Times" w:eastAsia="Times New Roman" w:hAnsi="Times" w:cs="Arial"/>
          <w:sz w:val="24"/>
          <w:szCs w:val="20"/>
          <w:lang w:eastAsia="pl-PL"/>
        </w:rPr>
        <w:t>dpowiedzialność ZUS w związku z </w:t>
      </w:r>
      <w:r>
        <w:rPr>
          <w:rFonts w:ascii="Times" w:eastAsia="Times New Roman" w:hAnsi="Times" w:cs="Arial"/>
          <w:sz w:val="24"/>
          <w:szCs w:val="20"/>
          <w:lang w:eastAsia="pl-PL"/>
        </w:rPr>
        <w:t xml:space="preserve">wykorzystaniem certyfikatów ogranicza się do podpisywania zwolnień lekarskich. </w:t>
      </w:r>
    </w:p>
    <w:p w:rsidR="00A45B71" w:rsidRPr="00A45B71" w:rsidRDefault="00A45B71" w:rsidP="00A45B71">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Zmiany w przepisach innych ustaw oraz przepi</w:t>
      </w:r>
      <w:r w:rsidR="00950448">
        <w:rPr>
          <w:rFonts w:ascii="Times" w:eastAsia="Times New Roman" w:hAnsi="Times" w:cs="Arial"/>
          <w:sz w:val="24"/>
          <w:szCs w:val="20"/>
          <w:lang w:eastAsia="pl-PL"/>
        </w:rPr>
        <w:t>sy przejściowe, dostosowujące i </w:t>
      </w:r>
      <w:r w:rsidRPr="00A45B71">
        <w:rPr>
          <w:rFonts w:ascii="Times" w:eastAsia="Times New Roman" w:hAnsi="Times" w:cs="Arial"/>
          <w:sz w:val="24"/>
          <w:szCs w:val="20"/>
          <w:lang w:eastAsia="pl-PL"/>
        </w:rPr>
        <w:t>końcowe</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W art. </w:t>
      </w:r>
      <w:r w:rsidR="007813A5">
        <w:rPr>
          <w:rFonts w:ascii="Times" w:eastAsia="Times New Roman" w:hAnsi="Times" w:cs="Arial"/>
          <w:sz w:val="24"/>
          <w:szCs w:val="20"/>
          <w:lang w:eastAsia="pl-PL"/>
        </w:rPr>
        <w:t>5</w:t>
      </w:r>
      <w:r w:rsidRPr="00A45B71">
        <w:rPr>
          <w:rFonts w:ascii="Times" w:eastAsia="Times New Roman" w:hAnsi="Times" w:cs="Arial"/>
          <w:sz w:val="24"/>
          <w:szCs w:val="20"/>
          <w:lang w:eastAsia="pl-PL"/>
        </w:rPr>
        <w:t xml:space="preserve"> ustawy nowelizującej zawarto zmia</w:t>
      </w:r>
      <w:r w:rsidR="00950448">
        <w:rPr>
          <w:rFonts w:ascii="Times" w:eastAsia="Times New Roman" w:hAnsi="Times" w:cs="Arial"/>
          <w:sz w:val="24"/>
          <w:szCs w:val="20"/>
          <w:lang w:eastAsia="pl-PL"/>
        </w:rPr>
        <w:t xml:space="preserve">nę </w:t>
      </w:r>
      <w:r w:rsidR="00A20DE9">
        <w:rPr>
          <w:rFonts w:ascii="Times" w:eastAsia="Times New Roman" w:hAnsi="Times" w:cs="Arial"/>
          <w:sz w:val="24"/>
          <w:szCs w:val="20"/>
          <w:lang w:eastAsia="pl-PL"/>
        </w:rPr>
        <w:t xml:space="preserve">ustawy </w:t>
      </w:r>
      <w:r w:rsidR="00950448">
        <w:rPr>
          <w:rFonts w:ascii="Times" w:eastAsia="Times New Roman" w:hAnsi="Times" w:cs="Arial"/>
          <w:sz w:val="24"/>
          <w:szCs w:val="20"/>
          <w:lang w:eastAsia="pl-PL"/>
        </w:rPr>
        <w:t>z dnia 27 sierpnia 2004 r. o </w:t>
      </w:r>
      <w:r w:rsidRPr="00A45B71">
        <w:rPr>
          <w:rFonts w:ascii="Times" w:eastAsia="Times New Roman" w:hAnsi="Times" w:cs="Arial"/>
          <w:sz w:val="24"/>
          <w:szCs w:val="20"/>
          <w:lang w:eastAsia="pl-PL"/>
        </w:rPr>
        <w:t xml:space="preserve">świadczeniach opieki zdrowotnej finansowanych ze środków publicznych, która jest konsekwencją przeniesienia regulacji dotyczącej recepty transgranicznej do przepisów zmienianych w art. 1 ustawy nowelizującej. </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W art. </w:t>
      </w:r>
      <w:r w:rsidR="0099486F">
        <w:rPr>
          <w:rFonts w:ascii="Times" w:eastAsia="Times New Roman" w:hAnsi="Times" w:cs="Arial"/>
          <w:sz w:val="24"/>
          <w:szCs w:val="20"/>
          <w:lang w:eastAsia="pl-PL"/>
        </w:rPr>
        <w:t>8</w:t>
      </w:r>
      <w:r w:rsidRPr="00A45B71">
        <w:rPr>
          <w:rFonts w:ascii="Times" w:eastAsia="Times New Roman" w:hAnsi="Times" w:cs="Arial"/>
          <w:sz w:val="24"/>
          <w:szCs w:val="20"/>
          <w:lang w:eastAsia="pl-PL"/>
        </w:rPr>
        <w:t xml:space="preserve"> ustawy nowelizującej proponuje się także do</w:t>
      </w:r>
      <w:r w:rsidR="00950448">
        <w:rPr>
          <w:rFonts w:ascii="Times" w:eastAsia="Times New Roman" w:hAnsi="Times" w:cs="Arial"/>
          <w:sz w:val="24"/>
          <w:szCs w:val="20"/>
          <w:lang w:eastAsia="pl-PL"/>
        </w:rPr>
        <w:t>konać zmiany w ustawie z dnia 9 </w:t>
      </w:r>
      <w:r w:rsidRPr="00A45B71">
        <w:rPr>
          <w:rFonts w:ascii="Times" w:eastAsia="Times New Roman" w:hAnsi="Times" w:cs="Arial"/>
          <w:sz w:val="24"/>
          <w:szCs w:val="20"/>
          <w:lang w:eastAsia="pl-PL"/>
        </w:rPr>
        <w:t xml:space="preserve">października 2015 r. o zmianie ustawy o systemie informacji w ochronie zdrowia oraz niektórych innych ustaw (Dz. U. poz. 1991, z późn. zm.). Jest to zmiana wynikowa związana z nadaniem nowego brzmienia przepisowi art. 95b ust. 2 pkt 2 ustawy </w:t>
      </w:r>
      <w:r w:rsidRPr="00A45B71">
        <w:rPr>
          <w:rFonts w:ascii="Times" w:eastAsia="Times New Roman" w:hAnsi="Times" w:cs="Arial"/>
          <w:sz w:val="24"/>
          <w:szCs w:val="20"/>
          <w:lang w:eastAsia="pl-PL"/>
        </w:rPr>
        <w:lastRenderedPageBreak/>
        <w:t>nowelizowanej. W konsekwencji powyższego w ustawie nowelizującej przewidziano uchylenie art. 51 ustawy z dnia 9 października 2015 r. o zmianie ustawy o systemie informacji w ochronie zdrowia oraz niektóryc</w:t>
      </w:r>
      <w:r w:rsidR="0099486F">
        <w:rPr>
          <w:rFonts w:ascii="Times" w:eastAsia="Times New Roman" w:hAnsi="Times" w:cs="Arial"/>
          <w:sz w:val="24"/>
          <w:szCs w:val="20"/>
          <w:lang w:eastAsia="pl-PL"/>
        </w:rPr>
        <w:t>h innych ustaw i dodanie art. 11</w:t>
      </w:r>
      <w:r w:rsidRPr="00A45B71">
        <w:rPr>
          <w:rFonts w:ascii="Times" w:eastAsia="Times New Roman" w:hAnsi="Times" w:cs="Arial"/>
          <w:sz w:val="24"/>
          <w:szCs w:val="20"/>
          <w:lang w:eastAsia="pl-PL"/>
        </w:rPr>
        <w:t xml:space="preserve"> ustawy nowelizującej stanowiący przeniesienie przepisu art. 51 z ustawy z dnia 9 października 2015 r. o zmianie ustawy o systemie informacji w ochronie zdrowia oraz niektórych innych ustaw.</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W art. </w:t>
      </w:r>
      <w:r w:rsidR="0099486F">
        <w:rPr>
          <w:rFonts w:ascii="Times" w:eastAsia="Times New Roman" w:hAnsi="Times" w:cs="Arial"/>
          <w:sz w:val="24"/>
          <w:szCs w:val="20"/>
          <w:lang w:eastAsia="pl-PL"/>
        </w:rPr>
        <w:t>9</w:t>
      </w:r>
      <w:r w:rsidRPr="00A45B71">
        <w:rPr>
          <w:rFonts w:ascii="Times" w:eastAsia="Times New Roman" w:hAnsi="Times" w:cs="Arial"/>
          <w:sz w:val="24"/>
          <w:szCs w:val="20"/>
          <w:lang w:eastAsia="pl-PL"/>
        </w:rPr>
        <w:t xml:space="preserve"> ustawy nowelizującej proponuje się, aby za</w:t>
      </w:r>
      <w:r w:rsidR="00950448">
        <w:rPr>
          <w:rFonts w:ascii="Times" w:eastAsia="Times New Roman" w:hAnsi="Times" w:cs="Arial"/>
          <w:sz w:val="24"/>
          <w:szCs w:val="20"/>
          <w:lang w:eastAsia="pl-PL"/>
        </w:rPr>
        <w:t>potrzebowania, o których mowa w </w:t>
      </w:r>
      <w:r w:rsidRPr="00A45B71">
        <w:rPr>
          <w:rFonts w:ascii="Times" w:eastAsia="Times New Roman" w:hAnsi="Times" w:cs="Arial"/>
          <w:sz w:val="24"/>
          <w:szCs w:val="20"/>
          <w:lang w:eastAsia="pl-PL"/>
        </w:rPr>
        <w:t xml:space="preserve">art. 96 ust. 1 pkt 3 ustawy nowelizowanej, oraz zapotrzebowania zbiorcze i imienne, o których mowa </w:t>
      </w:r>
      <w:r w:rsidR="00A20DE9">
        <w:rPr>
          <w:rFonts w:ascii="Times" w:eastAsia="Times New Roman" w:hAnsi="Times" w:cs="Arial"/>
          <w:sz w:val="24"/>
          <w:szCs w:val="20"/>
          <w:lang w:eastAsia="pl-PL"/>
        </w:rPr>
        <w:t xml:space="preserve">w </w:t>
      </w:r>
      <w:r w:rsidRPr="00A45B71">
        <w:rPr>
          <w:rFonts w:ascii="Times" w:eastAsia="Times New Roman" w:hAnsi="Times" w:cs="Arial"/>
          <w:sz w:val="24"/>
          <w:szCs w:val="20"/>
          <w:lang w:eastAsia="pl-PL"/>
        </w:rPr>
        <w:t xml:space="preserve">art. 96 ust. 2f ustawy nowelizowanej, wystawione i niezrealizowane przed dniem wejścia w życie ustawy nowelizującej mogły być realizowane. </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Projektowana regulacja przejściowa przewiduje, że zapotrzebowania zbiorcze i imienne wystawione przed dniem wejścia w życie ustawy nowelizującej mogą być realizowane.</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Zgodnie z art. 1</w:t>
      </w:r>
      <w:r w:rsidR="0099486F">
        <w:rPr>
          <w:rFonts w:ascii="Times" w:eastAsia="Times New Roman" w:hAnsi="Times" w:cs="Arial"/>
          <w:sz w:val="24"/>
          <w:szCs w:val="20"/>
          <w:lang w:eastAsia="pl-PL"/>
        </w:rPr>
        <w:t>1</w:t>
      </w:r>
      <w:r w:rsidRPr="00A45B71">
        <w:rPr>
          <w:rFonts w:ascii="Times" w:eastAsia="Times New Roman" w:hAnsi="Times" w:cs="Arial"/>
          <w:sz w:val="24"/>
          <w:szCs w:val="20"/>
          <w:lang w:eastAsia="pl-PL"/>
        </w:rPr>
        <w:t xml:space="preserve"> ustawy nowelizującej z dniem 31 grudnia 2025 r. przestanie obowiązywać projektowany przepis art. 95b ust. 2 pk</w:t>
      </w:r>
      <w:r w:rsidR="00950448">
        <w:rPr>
          <w:rFonts w:ascii="Times" w:eastAsia="Times New Roman" w:hAnsi="Times" w:cs="Arial"/>
          <w:sz w:val="24"/>
          <w:szCs w:val="20"/>
          <w:lang w:eastAsia="pl-PL"/>
        </w:rPr>
        <w:t>t 2 umożliwiający wystawianie w </w:t>
      </w:r>
      <w:r w:rsidRPr="00A45B71">
        <w:rPr>
          <w:rFonts w:ascii="Times" w:eastAsia="Times New Roman" w:hAnsi="Times" w:cs="Arial"/>
          <w:sz w:val="24"/>
          <w:szCs w:val="20"/>
          <w:lang w:eastAsia="pl-PL"/>
        </w:rPr>
        <w:t>postaci papierowej recept dla osoby wystawiającej – „</w:t>
      </w:r>
      <w:r w:rsidRPr="0099486F">
        <w:rPr>
          <w:rFonts w:ascii="Times" w:eastAsia="Times New Roman" w:hAnsi="Times" w:cs="Arial"/>
          <w:i/>
          <w:sz w:val="24"/>
          <w:szCs w:val="20"/>
          <w:lang w:eastAsia="pl-PL"/>
        </w:rPr>
        <w:t>pro auctore</w:t>
      </w:r>
      <w:r w:rsidRPr="00A45B71">
        <w:rPr>
          <w:rFonts w:ascii="Times" w:eastAsia="Times New Roman" w:hAnsi="Times" w:cs="Arial"/>
          <w:sz w:val="24"/>
          <w:szCs w:val="20"/>
          <w:lang w:eastAsia="pl-PL"/>
        </w:rPr>
        <w:t>” oraz dla małżonka, wstępnego, zstępnego lub rodzeństwa osoby wystawiającej – „</w:t>
      </w:r>
      <w:r w:rsidRPr="0099486F">
        <w:rPr>
          <w:rFonts w:ascii="Times" w:eastAsia="Times New Roman" w:hAnsi="Times" w:cs="Arial"/>
          <w:i/>
          <w:sz w:val="24"/>
          <w:szCs w:val="20"/>
          <w:lang w:eastAsia="pl-PL"/>
        </w:rPr>
        <w:t>pro familiae</w:t>
      </w:r>
      <w:r w:rsidRPr="00A45B71">
        <w:rPr>
          <w:rFonts w:ascii="Times" w:eastAsia="Times New Roman" w:hAnsi="Times" w:cs="Arial"/>
          <w:sz w:val="24"/>
          <w:szCs w:val="20"/>
          <w:lang w:eastAsia="pl-PL"/>
        </w:rPr>
        <w:t xml:space="preserve">”. Po tej dacie wystawianie wskazanych recept będzie możliwe wyłącznie w postaci elektronicznej. </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W art. 1</w:t>
      </w:r>
      <w:r w:rsidR="0099486F">
        <w:rPr>
          <w:rFonts w:ascii="Times" w:eastAsia="Times New Roman" w:hAnsi="Times" w:cs="Arial"/>
          <w:sz w:val="24"/>
          <w:szCs w:val="20"/>
          <w:lang w:eastAsia="pl-PL"/>
        </w:rPr>
        <w:t>2</w:t>
      </w:r>
      <w:r w:rsidRPr="00A45B71">
        <w:rPr>
          <w:rFonts w:ascii="Times" w:eastAsia="Times New Roman" w:hAnsi="Times" w:cs="Arial"/>
          <w:sz w:val="24"/>
          <w:szCs w:val="20"/>
          <w:lang w:eastAsia="pl-PL"/>
        </w:rPr>
        <w:t xml:space="preserve"> ustawy nowelizującej zakłada się, że projektowana ustawa wejdzie w życie po upływie 7</w:t>
      </w:r>
      <w:r>
        <w:rPr>
          <w:rFonts w:ascii="Times" w:eastAsia="Times New Roman" w:hAnsi="Times" w:cs="Arial"/>
          <w:sz w:val="24"/>
          <w:szCs w:val="20"/>
          <w:lang w:eastAsia="pl-PL"/>
        </w:rPr>
        <w:t xml:space="preserve"> </w:t>
      </w:r>
      <w:r w:rsidRPr="00A45B71">
        <w:rPr>
          <w:rFonts w:ascii="Times" w:eastAsia="Times New Roman" w:hAnsi="Times" w:cs="Arial"/>
          <w:sz w:val="24"/>
          <w:szCs w:val="20"/>
          <w:lang w:eastAsia="pl-PL"/>
        </w:rPr>
        <w:t>dni od dnia ogłoszenia, z uwagi na to, że projekt e-recepty na charakter bardzo pilny.</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Projektowane przepisy w całym swym zakresie mogą oddziaływać na mikroprzedsiębiorców, małych i średnich przedsiębiorców w zakresie nałożenia na nich nowych bądź wykonywania dotychczasowych obowiązków. </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Projektowana ustawa nie powoduje dodatkowych kosztów po stronie budżetu państwa. </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Projektowana regulacja nie podlega procedurze notyfikacji w rozumieniu przepisów rozporządzenia Rady Ministrów z dnia 23 grudnia 2002 r. w sprawie sposobu funkcjonowania krajowego systemu notyfikacji nor</w:t>
      </w:r>
      <w:r w:rsidR="00950448">
        <w:rPr>
          <w:rFonts w:ascii="Times" w:eastAsia="Times New Roman" w:hAnsi="Times" w:cs="Arial"/>
          <w:sz w:val="24"/>
          <w:szCs w:val="20"/>
          <w:lang w:eastAsia="pl-PL"/>
        </w:rPr>
        <w:t>m i aktów prawnych (Dz. U. poz. </w:t>
      </w:r>
      <w:r w:rsidR="00405573">
        <w:rPr>
          <w:rFonts w:ascii="Times" w:eastAsia="Times New Roman" w:hAnsi="Times" w:cs="Arial"/>
          <w:sz w:val="24"/>
          <w:szCs w:val="20"/>
          <w:lang w:eastAsia="pl-PL"/>
        </w:rPr>
        <w:t>2039 oraz z 2004 r. poz. 5</w:t>
      </w:r>
      <w:r w:rsidR="007F2232">
        <w:rPr>
          <w:rFonts w:ascii="Times" w:eastAsia="Times New Roman" w:hAnsi="Times" w:cs="Arial"/>
          <w:sz w:val="24"/>
          <w:szCs w:val="20"/>
          <w:lang w:eastAsia="pl-PL"/>
        </w:rPr>
        <w:t>9</w:t>
      </w:r>
      <w:r w:rsidRPr="00A45B71">
        <w:rPr>
          <w:rFonts w:ascii="Times" w:eastAsia="Times New Roman" w:hAnsi="Times" w:cs="Arial"/>
          <w:sz w:val="24"/>
          <w:szCs w:val="20"/>
          <w:lang w:eastAsia="pl-PL"/>
        </w:rPr>
        <w:t>7).</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Nie ma możliwości podjęcia alternatywnych w stosunku do uchwalenia projektowanej ustawy środków umożliwiających osiągnięcie zamierzonego celu.</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lastRenderedPageBreak/>
        <w:t xml:space="preserve">Projekt ustawy nie </w:t>
      </w:r>
      <w:r w:rsidR="0099486F">
        <w:rPr>
          <w:rFonts w:ascii="Times" w:eastAsia="Times New Roman" w:hAnsi="Times" w:cs="Arial"/>
          <w:sz w:val="24"/>
          <w:szCs w:val="20"/>
          <w:lang w:eastAsia="pl-PL"/>
        </w:rPr>
        <w:t xml:space="preserve">transponuje do prawa krajowego prawa </w:t>
      </w:r>
      <w:r w:rsidRPr="00A45B71">
        <w:rPr>
          <w:rFonts w:ascii="Times" w:eastAsia="Times New Roman" w:hAnsi="Times" w:cs="Arial"/>
          <w:sz w:val="24"/>
          <w:szCs w:val="20"/>
          <w:lang w:eastAsia="pl-PL"/>
        </w:rPr>
        <w:t>Unii Europejskiej.</w:t>
      </w:r>
    </w:p>
    <w:p w:rsidR="00A45B71" w:rsidRPr="00A45B71" w:rsidRDefault="00A45B71" w:rsidP="0095044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45B71">
        <w:rPr>
          <w:rFonts w:ascii="Times" w:eastAsia="Times New Roman" w:hAnsi="Times" w:cs="Arial"/>
          <w:sz w:val="24"/>
          <w:szCs w:val="20"/>
          <w:lang w:eastAsia="pl-PL"/>
        </w:rPr>
        <w:t xml:space="preserve">Projekt nie wymaga przedstawienia organom i instytucjom Unii Europejskiej, w tym Europejskiemu Bankowi Centralnemu, w celu uzyskania opinii, dokonania powiadomienia, konsultacji albo uzgodnienia. </w:t>
      </w:r>
      <w:bookmarkStart w:id="1" w:name="Wybór1"/>
      <w:bookmarkStart w:id="2" w:name="__Fieldmark__7734_2115938147"/>
      <w:bookmarkStart w:id="3" w:name="__Fieldmark__153046_1473798720"/>
      <w:bookmarkStart w:id="4" w:name="__Fieldmark__7725_2115938147"/>
      <w:bookmarkStart w:id="5" w:name="__Fieldmark__153045_1473798720"/>
      <w:bookmarkStart w:id="6" w:name="__Fieldmark__7716_2115938147"/>
      <w:bookmarkStart w:id="7" w:name="__Fieldmark__153044_1473798720"/>
      <w:bookmarkStart w:id="8" w:name="__Fieldmark__7694_2115938147"/>
      <w:bookmarkStart w:id="9" w:name="__Fieldmark__153042_1473798720"/>
      <w:bookmarkStart w:id="10" w:name="__Fieldmark__7684_2115938147"/>
      <w:bookmarkStart w:id="11" w:name="__Fieldmark__153041_1473798720"/>
      <w:bookmarkStart w:id="12" w:name="__Fieldmark__7674_2115938147"/>
      <w:bookmarkStart w:id="13" w:name="__Fieldmark__153040_1473798720"/>
      <w:bookmarkStart w:id="14" w:name="__Fieldmark__7664_2115938147"/>
      <w:bookmarkStart w:id="15" w:name="__Fieldmark__153039_1473798720"/>
      <w:bookmarkStart w:id="16" w:name="__Fieldmark__7643_2115938147"/>
      <w:bookmarkStart w:id="17" w:name="__Fieldmark__153037_1473798720"/>
      <w:bookmarkStart w:id="18" w:name="__Fieldmark__7633_2115938147"/>
      <w:bookmarkStart w:id="19" w:name="__Fieldmark__153036_1473798720"/>
      <w:bookmarkStart w:id="20" w:name="__Fieldmark__7623_2115938147"/>
      <w:bookmarkStart w:id="21" w:name="__Fieldmark__153035_1473798720"/>
      <w:bookmarkStart w:id="22" w:name="__Fieldmark__7613_2115938147"/>
      <w:bookmarkStart w:id="23" w:name="__Fieldmark__153034_147379872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sectPr w:rsidR="00A45B71" w:rsidRPr="00A45B71" w:rsidSect="00A45B71">
      <w:footerReference w:type="default" r:id="rId7"/>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B71" w:rsidRDefault="00A45B71" w:rsidP="00A45B71">
      <w:pPr>
        <w:spacing w:after="0" w:line="240" w:lineRule="auto"/>
      </w:pPr>
      <w:r>
        <w:separator/>
      </w:r>
    </w:p>
  </w:endnote>
  <w:endnote w:type="continuationSeparator" w:id="0">
    <w:p w:rsidR="00A45B71" w:rsidRDefault="00A45B71" w:rsidP="00A45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56275790"/>
      <w:docPartObj>
        <w:docPartGallery w:val="Page Numbers (Bottom of Page)"/>
        <w:docPartUnique/>
      </w:docPartObj>
    </w:sdtPr>
    <w:sdtEndPr/>
    <w:sdtContent>
      <w:p w:rsidR="00A45B71" w:rsidRPr="00A45B71" w:rsidRDefault="00A45B71" w:rsidP="00A45B71">
        <w:pPr>
          <w:pStyle w:val="Stopka"/>
          <w:jc w:val="center"/>
          <w:rPr>
            <w:rFonts w:ascii="Times New Roman" w:hAnsi="Times New Roman" w:cs="Times New Roman"/>
            <w:sz w:val="24"/>
            <w:szCs w:val="24"/>
          </w:rPr>
        </w:pPr>
        <w:r w:rsidRPr="00A45B71">
          <w:rPr>
            <w:rFonts w:ascii="Times New Roman" w:hAnsi="Times New Roman" w:cs="Times New Roman"/>
            <w:sz w:val="24"/>
            <w:szCs w:val="24"/>
          </w:rPr>
          <w:fldChar w:fldCharType="begin"/>
        </w:r>
        <w:r w:rsidRPr="00A45B71">
          <w:rPr>
            <w:rFonts w:ascii="Times New Roman" w:hAnsi="Times New Roman" w:cs="Times New Roman"/>
            <w:sz w:val="24"/>
            <w:szCs w:val="24"/>
          </w:rPr>
          <w:instrText>PAGE   \* MERGEFORMAT</w:instrText>
        </w:r>
        <w:r w:rsidRPr="00A45B71">
          <w:rPr>
            <w:rFonts w:ascii="Times New Roman" w:hAnsi="Times New Roman" w:cs="Times New Roman"/>
            <w:sz w:val="24"/>
            <w:szCs w:val="24"/>
          </w:rPr>
          <w:fldChar w:fldCharType="separate"/>
        </w:r>
        <w:r w:rsidR="00C47AE7">
          <w:rPr>
            <w:rFonts w:ascii="Times New Roman" w:hAnsi="Times New Roman" w:cs="Times New Roman"/>
            <w:noProof/>
            <w:sz w:val="24"/>
            <w:szCs w:val="24"/>
          </w:rPr>
          <w:t>16</w:t>
        </w:r>
        <w:r w:rsidRPr="00A45B7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B71" w:rsidRDefault="00A45B71" w:rsidP="00A45B71">
      <w:pPr>
        <w:spacing w:after="0" w:line="240" w:lineRule="auto"/>
      </w:pPr>
      <w:r>
        <w:separator/>
      </w:r>
    </w:p>
  </w:footnote>
  <w:footnote w:type="continuationSeparator" w:id="0">
    <w:p w:rsidR="00A45B71" w:rsidRDefault="00A45B71" w:rsidP="00A45B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B71"/>
    <w:rsid w:val="00374CD5"/>
    <w:rsid w:val="00405573"/>
    <w:rsid w:val="007813A5"/>
    <w:rsid w:val="007F2232"/>
    <w:rsid w:val="00940A11"/>
    <w:rsid w:val="00950448"/>
    <w:rsid w:val="0099486F"/>
    <w:rsid w:val="009C3DFE"/>
    <w:rsid w:val="00A20DE9"/>
    <w:rsid w:val="00A45B71"/>
    <w:rsid w:val="00A743F4"/>
    <w:rsid w:val="00AA03E8"/>
    <w:rsid w:val="00AF7E8D"/>
    <w:rsid w:val="00B27B60"/>
    <w:rsid w:val="00C47AE7"/>
    <w:rsid w:val="00CF7A75"/>
    <w:rsid w:val="00D37851"/>
    <w:rsid w:val="00E571F6"/>
    <w:rsid w:val="00E869CE"/>
    <w:rsid w:val="00F841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45B7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45B71"/>
  </w:style>
  <w:style w:type="paragraph" w:styleId="Stopka">
    <w:name w:val="footer"/>
    <w:basedOn w:val="Normalny"/>
    <w:link w:val="StopkaZnak"/>
    <w:uiPriority w:val="99"/>
    <w:unhideWhenUsed/>
    <w:rsid w:val="00A45B7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45B71"/>
  </w:style>
  <w:style w:type="paragraph" w:styleId="Tekstdymka">
    <w:name w:val="Balloon Text"/>
    <w:basedOn w:val="Normalny"/>
    <w:link w:val="TekstdymkaZnak"/>
    <w:uiPriority w:val="99"/>
    <w:semiHidden/>
    <w:unhideWhenUsed/>
    <w:rsid w:val="00F8415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841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45B7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45B71"/>
  </w:style>
  <w:style w:type="paragraph" w:styleId="Stopka">
    <w:name w:val="footer"/>
    <w:basedOn w:val="Normalny"/>
    <w:link w:val="StopkaZnak"/>
    <w:uiPriority w:val="99"/>
    <w:unhideWhenUsed/>
    <w:rsid w:val="00A45B7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45B71"/>
  </w:style>
  <w:style w:type="paragraph" w:styleId="Tekstdymka">
    <w:name w:val="Balloon Text"/>
    <w:basedOn w:val="Normalny"/>
    <w:link w:val="TekstdymkaZnak"/>
    <w:uiPriority w:val="99"/>
    <w:semiHidden/>
    <w:unhideWhenUsed/>
    <w:rsid w:val="00F8415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841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34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4940</Words>
  <Characters>29642</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34513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Chmielewska Róża</dc:creator>
  <cp:lastModifiedBy>Ewa A. Genert</cp:lastModifiedBy>
  <cp:revision>2</cp:revision>
  <dcterms:created xsi:type="dcterms:W3CDTF">2018-02-21T14:21:00Z</dcterms:created>
  <dcterms:modified xsi:type="dcterms:W3CDTF">2018-02-21T14:21:00Z</dcterms:modified>
</cp:coreProperties>
</file>