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AE9" w:rsidRDefault="002C0AE9" w:rsidP="00DF5F5A">
      <w:pPr>
        <w:spacing w:after="240" w:line="360" w:lineRule="auto"/>
        <w:ind w:firstLine="567"/>
        <w:jc w:val="center"/>
        <w:rPr>
          <w:rFonts w:ascii="Times New Roman" w:hAnsi="Times New Roman" w:cs="Times New Roman"/>
          <w:sz w:val="24"/>
          <w:szCs w:val="24"/>
        </w:rPr>
      </w:pPr>
      <w:bookmarkStart w:id="0" w:name="_GoBack"/>
      <w:bookmarkEnd w:id="0"/>
    </w:p>
    <w:p w:rsidR="002C0AE9" w:rsidRDefault="002C0AE9" w:rsidP="002C0AE9">
      <w:pPr>
        <w:pStyle w:val="OZNPROJEKTUwskazaniedatylubwersjiprojektu"/>
      </w:pPr>
      <w:r>
        <w:t>Projekt</w:t>
      </w:r>
    </w:p>
    <w:p w:rsidR="002C0AE9" w:rsidRDefault="002C0AE9" w:rsidP="002C0AE9">
      <w:pPr>
        <w:pStyle w:val="OZNRODZAKTUtznustawalubrozporzdzenieiorganwydajcy"/>
      </w:pPr>
      <w:r>
        <w:t>Ustawa</w:t>
      </w:r>
    </w:p>
    <w:p w:rsidR="002C0AE9" w:rsidRDefault="002C0AE9" w:rsidP="002C0AE9">
      <w:pPr>
        <w:pStyle w:val="DATAAKTUdatauchwalenialubwydaniaaktu"/>
      </w:pPr>
      <w:r>
        <w:t xml:space="preserve">z dnia </w:t>
      </w:r>
    </w:p>
    <w:p w:rsidR="002C0AE9" w:rsidRDefault="002C0AE9" w:rsidP="002C0AE9">
      <w:pPr>
        <w:pStyle w:val="TYTUAKTUprzedmiotregulacjiustawylubrozporzdzenia"/>
      </w:pPr>
      <w:r>
        <w:t>o wypowiedzeniu Umowy między Rzecząpospolitą Polską a Republiką Cypru w sprawie popierania i wzajemnej ochrony inwestycji, sporządzonej w Warszawie dnia 4 czerwca 1992 r.</w:t>
      </w:r>
    </w:p>
    <w:p w:rsidR="002C0AE9" w:rsidRDefault="002C0AE9" w:rsidP="002C0AE9">
      <w:pPr>
        <w:pStyle w:val="ARTartustawynprozporzdzenia"/>
      </w:pPr>
      <w:r>
        <w:rPr>
          <w:rStyle w:val="Ppogrubienie"/>
        </w:rPr>
        <w:t>Art. 1.</w:t>
      </w:r>
      <w:r>
        <w:t> Wyraża się zgodę na dokonanie przez Prezydenta Rzeczypospolitej Polskiej wypowiedzenia Umowy między Rzecząpospolitą Polską a Republiką Cypru w sprawie popierania i wzajemnej ochrony inwestycji, sporządzonej w Warszawie dnia 4 czerwca 1992 r.</w:t>
      </w:r>
    </w:p>
    <w:p w:rsidR="002C0AE9" w:rsidRDefault="002C0AE9" w:rsidP="002C0AE9">
      <w:pPr>
        <w:pStyle w:val="ARTartustawynprozporzdzenia"/>
      </w:pPr>
      <w:r>
        <w:rPr>
          <w:rStyle w:val="Ppogrubienie"/>
        </w:rPr>
        <w:t>Art. 2.</w:t>
      </w:r>
      <w:r>
        <w:t> Ustawa wchodzi w życie po upływie 14 dni od dnia ogłoszenia.</w:t>
      </w:r>
    </w:p>
    <w:p w:rsidR="002C0AE9" w:rsidRDefault="002C0AE9" w:rsidP="00DF5F5A">
      <w:pPr>
        <w:spacing w:after="240" w:line="360" w:lineRule="auto"/>
        <w:ind w:firstLine="567"/>
        <w:jc w:val="center"/>
        <w:rPr>
          <w:rFonts w:ascii="Times New Roman" w:hAnsi="Times New Roman" w:cs="Times New Roman"/>
          <w:sz w:val="24"/>
          <w:szCs w:val="24"/>
        </w:rPr>
      </w:pPr>
    </w:p>
    <w:p w:rsidR="002C0AE9" w:rsidRDefault="002C0AE9" w:rsidP="00DF5F5A">
      <w:pPr>
        <w:spacing w:after="240" w:line="360" w:lineRule="auto"/>
        <w:ind w:firstLine="567"/>
        <w:jc w:val="center"/>
        <w:rPr>
          <w:rFonts w:ascii="Times New Roman" w:hAnsi="Times New Roman" w:cs="Times New Roman"/>
          <w:sz w:val="24"/>
          <w:szCs w:val="24"/>
        </w:rPr>
      </w:pPr>
    </w:p>
    <w:p w:rsidR="002C0AE9" w:rsidRDefault="002C0AE9" w:rsidP="00DF5F5A">
      <w:pPr>
        <w:spacing w:after="240" w:line="360" w:lineRule="auto"/>
        <w:ind w:firstLine="567"/>
        <w:jc w:val="center"/>
        <w:rPr>
          <w:rFonts w:ascii="Times New Roman" w:hAnsi="Times New Roman" w:cs="Times New Roman"/>
          <w:sz w:val="24"/>
          <w:szCs w:val="24"/>
        </w:rPr>
      </w:pPr>
    </w:p>
    <w:p w:rsidR="002C0AE9" w:rsidRDefault="002C0AE9" w:rsidP="00DF5F5A">
      <w:pPr>
        <w:spacing w:after="240" w:line="360" w:lineRule="auto"/>
        <w:ind w:firstLine="567"/>
        <w:jc w:val="center"/>
        <w:rPr>
          <w:rFonts w:ascii="Times New Roman" w:hAnsi="Times New Roman" w:cs="Times New Roman"/>
          <w:sz w:val="24"/>
          <w:szCs w:val="24"/>
        </w:rPr>
      </w:pPr>
    </w:p>
    <w:p w:rsidR="002C0AE9" w:rsidRDefault="002C0AE9" w:rsidP="00DF5F5A">
      <w:pPr>
        <w:spacing w:after="240" w:line="360" w:lineRule="auto"/>
        <w:ind w:firstLine="567"/>
        <w:jc w:val="center"/>
        <w:rPr>
          <w:rFonts w:ascii="Times New Roman" w:hAnsi="Times New Roman" w:cs="Times New Roman"/>
          <w:sz w:val="24"/>
          <w:szCs w:val="24"/>
        </w:rPr>
      </w:pPr>
    </w:p>
    <w:p w:rsidR="002C0AE9" w:rsidRDefault="002C0AE9" w:rsidP="00DF5F5A">
      <w:pPr>
        <w:spacing w:after="240" w:line="360" w:lineRule="auto"/>
        <w:ind w:firstLine="567"/>
        <w:jc w:val="center"/>
        <w:rPr>
          <w:rFonts w:ascii="Times New Roman" w:hAnsi="Times New Roman" w:cs="Times New Roman"/>
          <w:sz w:val="24"/>
          <w:szCs w:val="24"/>
        </w:rPr>
      </w:pPr>
    </w:p>
    <w:p w:rsidR="002C0AE9" w:rsidRDefault="002C0AE9" w:rsidP="00DF5F5A">
      <w:pPr>
        <w:spacing w:after="240" w:line="360" w:lineRule="auto"/>
        <w:ind w:firstLine="567"/>
        <w:jc w:val="center"/>
        <w:rPr>
          <w:rFonts w:ascii="Times New Roman" w:hAnsi="Times New Roman" w:cs="Times New Roman"/>
          <w:sz w:val="24"/>
          <w:szCs w:val="24"/>
        </w:rPr>
      </w:pPr>
    </w:p>
    <w:p w:rsidR="002C0AE9" w:rsidRDefault="002C0AE9" w:rsidP="00DF5F5A">
      <w:pPr>
        <w:spacing w:after="240" w:line="360" w:lineRule="auto"/>
        <w:ind w:firstLine="567"/>
        <w:jc w:val="center"/>
        <w:rPr>
          <w:rFonts w:ascii="Times New Roman" w:hAnsi="Times New Roman" w:cs="Times New Roman"/>
          <w:sz w:val="24"/>
          <w:szCs w:val="24"/>
        </w:rPr>
      </w:pPr>
    </w:p>
    <w:p w:rsidR="002C0AE9" w:rsidRDefault="002C0AE9" w:rsidP="00DF5F5A">
      <w:pPr>
        <w:spacing w:after="240" w:line="360" w:lineRule="auto"/>
        <w:ind w:firstLine="567"/>
        <w:jc w:val="center"/>
        <w:rPr>
          <w:rFonts w:ascii="Times New Roman" w:hAnsi="Times New Roman" w:cs="Times New Roman"/>
          <w:sz w:val="24"/>
          <w:szCs w:val="24"/>
        </w:rPr>
      </w:pPr>
    </w:p>
    <w:p w:rsidR="00BF23DE" w:rsidRDefault="00BF23DE" w:rsidP="00DF5F5A">
      <w:pPr>
        <w:spacing w:after="240" w:line="360" w:lineRule="auto"/>
        <w:ind w:firstLine="567"/>
        <w:jc w:val="center"/>
        <w:rPr>
          <w:rFonts w:ascii="Times New Roman" w:hAnsi="Times New Roman" w:cs="Times New Roman"/>
          <w:sz w:val="24"/>
          <w:szCs w:val="24"/>
        </w:rPr>
      </w:pPr>
    </w:p>
    <w:p w:rsidR="002C0AE9" w:rsidRDefault="002C0AE9" w:rsidP="00DF5F5A">
      <w:pPr>
        <w:spacing w:after="240" w:line="360" w:lineRule="auto"/>
        <w:ind w:firstLine="567"/>
        <w:jc w:val="center"/>
        <w:rPr>
          <w:rFonts w:ascii="Times New Roman" w:hAnsi="Times New Roman" w:cs="Times New Roman"/>
          <w:sz w:val="24"/>
          <w:szCs w:val="24"/>
        </w:rPr>
      </w:pPr>
    </w:p>
    <w:p w:rsidR="002C0AE9" w:rsidRDefault="002C0AE9" w:rsidP="00DF5F5A">
      <w:pPr>
        <w:spacing w:after="240" w:line="360" w:lineRule="auto"/>
        <w:ind w:firstLine="567"/>
        <w:jc w:val="center"/>
        <w:rPr>
          <w:rFonts w:ascii="Times New Roman" w:hAnsi="Times New Roman" w:cs="Times New Roman"/>
          <w:sz w:val="24"/>
          <w:szCs w:val="24"/>
        </w:rPr>
      </w:pPr>
    </w:p>
    <w:p w:rsidR="002C0AE9" w:rsidRDefault="002C0AE9" w:rsidP="00DF5F5A">
      <w:pPr>
        <w:spacing w:after="240" w:line="360" w:lineRule="auto"/>
        <w:ind w:firstLine="567"/>
        <w:jc w:val="center"/>
        <w:rPr>
          <w:rFonts w:ascii="Times New Roman" w:hAnsi="Times New Roman" w:cs="Times New Roman"/>
          <w:sz w:val="24"/>
          <w:szCs w:val="24"/>
        </w:rPr>
      </w:pPr>
    </w:p>
    <w:p w:rsidR="006466AC" w:rsidRDefault="007E26CA" w:rsidP="00DF5F5A">
      <w:pPr>
        <w:spacing w:after="240" w:line="360" w:lineRule="auto"/>
        <w:ind w:firstLine="567"/>
        <w:jc w:val="center"/>
        <w:rPr>
          <w:rFonts w:ascii="Times New Roman" w:hAnsi="Times New Roman" w:cs="Times New Roman"/>
          <w:sz w:val="24"/>
          <w:szCs w:val="24"/>
        </w:rPr>
      </w:pPr>
      <w:r>
        <w:rPr>
          <w:rFonts w:ascii="Times New Roman" w:hAnsi="Times New Roman" w:cs="Times New Roman"/>
          <w:sz w:val="24"/>
          <w:szCs w:val="24"/>
        </w:rPr>
        <w:t>UZASADNIENIE</w:t>
      </w:r>
    </w:p>
    <w:p w:rsidR="003F7E2F" w:rsidRPr="003F7E2F" w:rsidRDefault="003F7E2F" w:rsidP="003F7E2F">
      <w:pPr>
        <w:spacing w:after="120" w:line="360" w:lineRule="auto"/>
        <w:jc w:val="both"/>
        <w:rPr>
          <w:rFonts w:ascii="Times New Roman" w:hAnsi="Times New Roman" w:cs="Times New Roman"/>
          <w:sz w:val="24"/>
          <w:szCs w:val="24"/>
        </w:rPr>
      </w:pPr>
      <w:r w:rsidRPr="003F7E2F">
        <w:rPr>
          <w:rFonts w:ascii="Times New Roman" w:hAnsi="Times New Roman" w:cs="Times New Roman"/>
          <w:sz w:val="24"/>
          <w:szCs w:val="24"/>
        </w:rPr>
        <w:t>1. Potr</w:t>
      </w:r>
      <w:r>
        <w:rPr>
          <w:rFonts w:ascii="Times New Roman" w:hAnsi="Times New Roman" w:cs="Times New Roman"/>
          <w:sz w:val="24"/>
          <w:szCs w:val="24"/>
        </w:rPr>
        <w:t>zeba i cel wypowiedzenia Umowy</w:t>
      </w:r>
    </w:p>
    <w:p w:rsidR="003F7E2F" w:rsidRPr="003F7E2F"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 xml:space="preserve">Obowiązywanie Umowy między Rzecząpospolitą Polską a Republiką Cypru w sprawie popierania i wzajemnej ochrony inwestycji, sporządzonej </w:t>
      </w:r>
      <w:r>
        <w:rPr>
          <w:rFonts w:ascii="Times New Roman" w:hAnsi="Times New Roman" w:cs="Times New Roman"/>
          <w:sz w:val="24"/>
          <w:szCs w:val="24"/>
        </w:rPr>
        <w:t>w Warszawie dnia 4 czerwca 1992 </w:t>
      </w:r>
      <w:r w:rsidRPr="003F7E2F">
        <w:rPr>
          <w:rFonts w:ascii="Times New Roman" w:hAnsi="Times New Roman" w:cs="Times New Roman"/>
          <w:sz w:val="24"/>
          <w:szCs w:val="24"/>
        </w:rPr>
        <w:t xml:space="preserve">r. (Dz. U. z 1993 r. poz. 521), dalej jako „Umowa”, jest kwestionowane przez Komisję Europejską z uwagi na niezgodność Umowy z prawem UE, podobnie jak kwestionowane jest obowiązywanie wszystkich pozostałych umów o popieraniu i wzajemnej ochronie inwestycji zawartych pomiędzy państwami członkowskimi UE (dalej jako „umowy intra-EU BIT”). </w:t>
      </w:r>
    </w:p>
    <w:p w:rsidR="003F7E2F" w:rsidRPr="003F7E2F"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W odniesieniu do RP Komisja Europejska zakończyła w listopadzie 2016 r. nieformalne postępowanie (tzw. EU Pilot) rozpoczęte w czerwcu 2015 r. i rozważa wszczęcie formalnego postępowania ws. niezgodności m.in. tej Umowy z prawem UE. Takie formalne postępowania Komisji Europejskiej toczą się już przeciwko Austrii, Holandii, Słowacji, Szwecji i Rumunii.</w:t>
      </w:r>
    </w:p>
    <w:p w:rsidR="003F7E2F" w:rsidRPr="003F7E2F"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RP jest obecnie stroną umów intra-EU BIT zawartych z prawie wszystkimi państwami członkowskimi UE, z wyjątkiem Irlandii i Malty, z którymi RP nigdy nie zawarła tego typu umów, oraz Włoch, z którymi umowa wygasła w dniu 9 stycznia 2013 r. na skutek wypowiedzenia przez Włochy. Ponadto RP wypowiedziała, z uwagi na prawo UE, umowę intra-EU BIT zawartą z Portugalią (umowa wygaśnie w dniu 3 sierpnia 2019 r.).</w:t>
      </w:r>
    </w:p>
    <w:p w:rsidR="003F7E2F" w:rsidRPr="003F7E2F"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 xml:space="preserve">Stanowisko RP wobec umów intra-EU BIT zostało przyjęte przez Komitet do Spraw Europejskich w dniu 3 czerwca 2011 r. Zgodnie z nim umowy intra-EU BIT powinny zostać wypowiedziane przez wszystkie państwa członkowskie UE, a najlepszym rozwiązaniem dla RP byłoby, aby wszystkie państwa członkowskie UE podjęły jednocześnie wspólną decyzję </w:t>
      </w:r>
      <w:r>
        <w:rPr>
          <w:rFonts w:ascii="Times New Roman" w:hAnsi="Times New Roman" w:cs="Times New Roman"/>
          <w:sz w:val="24"/>
          <w:szCs w:val="24"/>
        </w:rPr>
        <w:t>o </w:t>
      </w:r>
      <w:r w:rsidRPr="003F7E2F">
        <w:rPr>
          <w:rFonts w:ascii="Times New Roman" w:hAnsi="Times New Roman" w:cs="Times New Roman"/>
          <w:sz w:val="24"/>
          <w:szCs w:val="24"/>
        </w:rPr>
        <w:t xml:space="preserve">rozwiązaniu umów intra-EU BIT za obopólną zgodą na mocy Konwencji wiedeńskiej </w:t>
      </w:r>
      <w:r w:rsidR="006E1677">
        <w:rPr>
          <w:rFonts w:ascii="Times New Roman" w:hAnsi="Times New Roman" w:cs="Times New Roman"/>
          <w:sz w:val="24"/>
          <w:szCs w:val="24"/>
        </w:rPr>
        <w:t>o </w:t>
      </w:r>
      <w:r w:rsidRPr="003F7E2F">
        <w:rPr>
          <w:rFonts w:ascii="Times New Roman" w:hAnsi="Times New Roman" w:cs="Times New Roman"/>
          <w:sz w:val="24"/>
          <w:szCs w:val="24"/>
        </w:rPr>
        <w:t>prawie traktatów, sporządzonej w Wiedniu dnia 23 maja</w:t>
      </w:r>
      <w:r>
        <w:rPr>
          <w:rFonts w:ascii="Times New Roman" w:hAnsi="Times New Roman" w:cs="Times New Roman"/>
          <w:sz w:val="24"/>
          <w:szCs w:val="24"/>
        </w:rPr>
        <w:t xml:space="preserve"> 1969 r. (Dz. U. z 1990 r. poz. </w:t>
      </w:r>
      <w:r w:rsidRPr="003F7E2F">
        <w:rPr>
          <w:rFonts w:ascii="Times New Roman" w:hAnsi="Times New Roman" w:cs="Times New Roman"/>
          <w:sz w:val="24"/>
          <w:szCs w:val="24"/>
        </w:rPr>
        <w:t xml:space="preserve">439). Alternatywnie, w przypadku braku możliwości osiągnięcia wśród państw członkowskich UE takiej jednomyślności RP, zgodnie z powyższym stanowiskiem, miała rozwiązać umowy intra-EU BIT zawarte z innymi państwami członkowskimi UE albo poprzez ich wypowiedzenie na warunkach określonych w tych umowach albo na podstawie porozumienia stron. </w:t>
      </w:r>
    </w:p>
    <w:p w:rsidR="003F7E2F" w:rsidRPr="003F7E2F"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 xml:space="preserve">W odpowiedzi RP skierowanej do Komisji Europejskiej we wrześniu 2015 r. w ramach ww. postępowania EU Pilot, RP podtrzymała gotowość do zakończenia obowiązywania </w:t>
      </w:r>
      <w:r w:rsidRPr="003F7E2F">
        <w:rPr>
          <w:rFonts w:ascii="Times New Roman" w:hAnsi="Times New Roman" w:cs="Times New Roman"/>
          <w:sz w:val="24"/>
          <w:szCs w:val="24"/>
        </w:rPr>
        <w:lastRenderedPageBreak/>
        <w:t>umów intra-EU BIT zawartych przez RP z innymi państwami członkowskimi UE. Wskazała, że spośród dostępnych i analizowanych przez RP metod osiągnięcia powyższego celu jednostronne wypowiedzenie umów intra-EU BIT przez RP byłoby najmniej pożądanym rozwiązaniem. Po pierwsze, umowy intra-EU BIT zawarte przez RP nie przewidują możliwości wypowiedzenia ich w każdym czasie, ponieważ obowiązują roczne lub półroczne okresy wypowiedzenia lub wypowiedzenie może nastąpić jedynie w okresie poprzedzającym okres zakończenia ich cyklu obowiązywania. Po drugie, nawet skuteczne jednostronne wypowiedzenie umowy nie powoduje zakończenia obowiązywania jej postanowień na skutek specyficznych przepisów końcowych tych umów pozwalających na ochronę inwestycji w</w:t>
      </w:r>
      <w:r>
        <w:rPr>
          <w:rFonts w:ascii="Times New Roman" w:hAnsi="Times New Roman" w:cs="Times New Roman"/>
          <w:sz w:val="24"/>
          <w:szCs w:val="24"/>
        </w:rPr>
        <w:t> </w:t>
      </w:r>
      <w:r w:rsidRPr="003F7E2F">
        <w:rPr>
          <w:rFonts w:ascii="Times New Roman" w:hAnsi="Times New Roman" w:cs="Times New Roman"/>
          <w:sz w:val="24"/>
          <w:szCs w:val="24"/>
        </w:rPr>
        <w:t>ciągu kolejnych lat po wypowiedzeniu umowy (tzw. klauzula przedłużonego obowiązywania umowy, sunset clause). O wiele lepszym sposobem, jak Polska wskazała, byłoby rozwiązanie umów intra-EU BIT na podstawie porozumień dwustronnych, które przewidywałyby rezygnację z klauzuli przedłużonego obowiązywania umowy. RP podkreśliła w odpowiedzi do Komisji Europejskiej, że z uwagi na liczbę zawartych przez RP umów, jak również biorąc pod uwagę wielość umów zawartych przez państwa członkowskie UE, wydaje się, że najszybszym i najskuteczniejszym rozwiązaniem na obecnym etapie byłoby jednoczesne podjęcie przez państwa członkowskie UE wspólnej decyzji o rozwiązaniu umów intra-EU BIT bez konieczności zachowania klauzul przedłużonego obowiązywania umowy, w</w:t>
      </w:r>
      <w:r>
        <w:rPr>
          <w:rFonts w:ascii="Times New Roman" w:hAnsi="Times New Roman" w:cs="Times New Roman"/>
          <w:sz w:val="24"/>
          <w:szCs w:val="24"/>
        </w:rPr>
        <w:t> </w:t>
      </w:r>
      <w:r w:rsidRPr="003F7E2F">
        <w:rPr>
          <w:rFonts w:ascii="Times New Roman" w:hAnsi="Times New Roman" w:cs="Times New Roman"/>
          <w:sz w:val="24"/>
          <w:szCs w:val="24"/>
        </w:rPr>
        <w:t>oparciu o porozumienie wielostronne, zawarte zgodnie z Konwencją wiedeńską o prawie traktatów, sporządzoną w Wiedniu dnia 23 maja 1969 r.</w:t>
      </w:r>
    </w:p>
    <w:p w:rsidR="003F7E2F" w:rsidRPr="003F7E2F"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 xml:space="preserve">Obecnie jednak z uwagi na brak konsensusu państw członkowskich UE co do celowości i sposobu rozwiązania umów intra-EU BIT zasadne jest przystąpienie RP do realizacji opcji rozwiązania tych umów na podstawie porozumień dwustronnych, które przewidywałyby rezygnację z klauzul przedłużonego obowiązywania umowy. Republika Cypryjska nie jest obecnie zainteresowana rozwiązaniem z RP ww. Umowy, łącznie z klauzulą przedłużonego obowiązywania umowy. Zgodnie z art. 13 ust. 2 Umowa może być wypowiedziana w każdym czasie przez każdą z Umawiających się Stron z zachowaniem sześciomiesięcznego okresu wypowiedzenia po upływie początkowego okresu dziesięciu lat, który upłynął w dniu 6 lipca 2003 r. Na podstawie art. 13 ust. 3 inwestycje dokonane przed wejściem w życie wypowiedzenia Umowy będą chronione na mocy tej Umowy przez dziesięć lat od czasu wygaśnięcia Umowy. Jednocześnie RP będzie kontynuowała konsultacje z Republiką Cypryjską mające na celu doprowadzenie do rozwiązania Umowy, łącznie z klauzulą przedłużonego obowiązywania umowy. W przypadku uzyskania takiej zgody przed wejściem </w:t>
      </w:r>
      <w:r w:rsidRPr="003F7E2F">
        <w:rPr>
          <w:rFonts w:ascii="Times New Roman" w:hAnsi="Times New Roman" w:cs="Times New Roman"/>
          <w:sz w:val="24"/>
          <w:szCs w:val="24"/>
        </w:rPr>
        <w:lastRenderedPageBreak/>
        <w:t xml:space="preserve">w życie wypowiedzenia Umowy, RP podejmie działania mające na celu zakończenie obowiązywania Umowy, łącznie z ww. klauzulą. </w:t>
      </w:r>
    </w:p>
    <w:p w:rsidR="003F7E2F" w:rsidRPr="003F7E2F" w:rsidRDefault="003F7E2F" w:rsidP="003F7E2F">
      <w:pPr>
        <w:spacing w:after="120" w:line="360" w:lineRule="auto"/>
        <w:jc w:val="both"/>
        <w:rPr>
          <w:rFonts w:ascii="Times New Roman" w:hAnsi="Times New Roman" w:cs="Times New Roman"/>
          <w:sz w:val="24"/>
          <w:szCs w:val="24"/>
        </w:rPr>
      </w:pPr>
      <w:r w:rsidRPr="003F7E2F">
        <w:rPr>
          <w:rFonts w:ascii="Times New Roman" w:hAnsi="Times New Roman" w:cs="Times New Roman"/>
          <w:sz w:val="24"/>
          <w:szCs w:val="24"/>
        </w:rPr>
        <w:t>2. Dotychczasowy a projektowany stan prawny</w:t>
      </w:r>
    </w:p>
    <w:p w:rsidR="003F7E2F" w:rsidRPr="003F7E2F"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W polsko</w:t>
      </w:r>
      <w:r>
        <w:rPr>
          <w:rFonts w:ascii="Times New Roman" w:hAnsi="Times New Roman" w:cs="Times New Roman"/>
          <w:sz w:val="24"/>
          <w:szCs w:val="24"/>
        </w:rPr>
        <w:t>-</w:t>
      </w:r>
      <w:r w:rsidRPr="003F7E2F">
        <w:rPr>
          <w:rFonts w:ascii="Times New Roman" w:hAnsi="Times New Roman" w:cs="Times New Roman"/>
          <w:sz w:val="24"/>
          <w:szCs w:val="24"/>
        </w:rPr>
        <w:t xml:space="preserve">cypryjskich stosunkach prawno-traktatowych w zakresie współpracy gospodarczej obowiązuje m.in. ww. Umowa między Rzecząpospolitą Polską a Republiką Cypru w sprawie popierania i wzajemnej ochrony inwestycji, sporządzona w Warszawie dnia 4 czerwca 1992 r. Zapewnia ona inwestorowi i jego inwestycjom z państwa – Strony Umowy na terytorium państwa – drugiej Strony Umowy pełną ochronę oraz możliwość dochodzenia roszczeń przed międzynarodowym trybunałem inwestycyjnym (arbitrażowym). Komisja Europejska ma poważne obawy, że umowy intra-EU BIT jako takie, w tym ww. Umowa, </w:t>
      </w:r>
      <w:r>
        <w:rPr>
          <w:rFonts w:ascii="Times New Roman" w:hAnsi="Times New Roman" w:cs="Times New Roman"/>
          <w:sz w:val="24"/>
          <w:szCs w:val="24"/>
        </w:rPr>
        <w:t>a </w:t>
      </w:r>
      <w:r w:rsidRPr="003F7E2F">
        <w:rPr>
          <w:rFonts w:ascii="Times New Roman" w:hAnsi="Times New Roman" w:cs="Times New Roman"/>
          <w:sz w:val="24"/>
          <w:szCs w:val="24"/>
        </w:rPr>
        <w:t xml:space="preserve">także ich poszczególne postanowienia pokrywają się z postanowieniami Traktatu </w:t>
      </w:r>
      <w:r>
        <w:rPr>
          <w:rFonts w:ascii="Times New Roman" w:hAnsi="Times New Roman" w:cs="Times New Roman"/>
          <w:sz w:val="24"/>
          <w:szCs w:val="24"/>
        </w:rPr>
        <w:t>o </w:t>
      </w:r>
      <w:r w:rsidRPr="003F7E2F">
        <w:rPr>
          <w:rFonts w:ascii="Times New Roman" w:hAnsi="Times New Roman" w:cs="Times New Roman"/>
          <w:sz w:val="24"/>
          <w:szCs w:val="24"/>
        </w:rPr>
        <w:t xml:space="preserve">funkcjonowaniu Unii Europejskiej lub mogą być z nimi sprzeczne, w szczególności </w:t>
      </w:r>
      <w:r>
        <w:rPr>
          <w:rFonts w:ascii="Times New Roman" w:hAnsi="Times New Roman" w:cs="Times New Roman"/>
          <w:sz w:val="24"/>
          <w:szCs w:val="24"/>
        </w:rPr>
        <w:t>z </w:t>
      </w:r>
      <w:r w:rsidRPr="003F7E2F">
        <w:rPr>
          <w:rFonts w:ascii="Times New Roman" w:hAnsi="Times New Roman" w:cs="Times New Roman"/>
          <w:sz w:val="24"/>
          <w:szCs w:val="24"/>
        </w:rPr>
        <w:t>zasadami swobody przepływu kapitału, swobody przedsiębiorczości i swobody świadczenia usług oraz z podstawowymi zasadami prawa UE takimi jak: zasada nadrzędności, jedności, skuteczności i pewności prawa UE. Komisja Europejska ma również zastrzeżenia dotyczące kwestii rozstrzygania sporów inwestycyjnych uregulowanej w dwustronnych umowach inwestycyjnych, w tym w ww. Umowie, co, zdaniem Komisji Europejskiej, „wydaje się być sprzeczne z wyłączną kompetencją sądów UE</w:t>
      </w:r>
      <w:r>
        <w:rPr>
          <w:rFonts w:ascii="Times New Roman" w:hAnsi="Times New Roman" w:cs="Times New Roman"/>
          <w:sz w:val="24"/>
          <w:szCs w:val="24"/>
        </w:rPr>
        <w:t>”</w:t>
      </w:r>
      <w:r w:rsidRPr="003F7E2F">
        <w:rPr>
          <w:rFonts w:ascii="Times New Roman" w:hAnsi="Times New Roman" w:cs="Times New Roman"/>
          <w:sz w:val="24"/>
          <w:szCs w:val="24"/>
        </w:rPr>
        <w:t>. Wypowiedzenie Umowy pozwoli doprowadzić do zgodności z prawem UE stosunki polsko</w:t>
      </w:r>
      <w:r>
        <w:rPr>
          <w:rFonts w:ascii="Times New Roman" w:hAnsi="Times New Roman" w:cs="Times New Roman"/>
          <w:sz w:val="24"/>
          <w:szCs w:val="24"/>
        </w:rPr>
        <w:t>-</w:t>
      </w:r>
      <w:r w:rsidRPr="003F7E2F">
        <w:rPr>
          <w:rFonts w:ascii="Times New Roman" w:hAnsi="Times New Roman" w:cs="Times New Roman"/>
          <w:sz w:val="24"/>
          <w:szCs w:val="24"/>
        </w:rPr>
        <w:t xml:space="preserve">cypryjskie w zakresie współpracy gospodarczej. </w:t>
      </w:r>
    </w:p>
    <w:p w:rsidR="003F7E2F" w:rsidRPr="003F7E2F"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Należy też zaznaczyć, że jednocześnie przed Trybunałem Sprawiedliwości UE toczy się postępowanie z wniosku sądu niemieckiego o wydanie orzeczenia w trybie prejudycjalnym, sformułowanego w toku postępowania ze skargi Republiki Słowackiej o uchylenie wyroku sądu arbitrażowego wydanego na podstawie umowy intra-EU BIT zawartej pomiędzy Czechosłowacją i Królestwem Niderlandów w 1991 r.</w:t>
      </w:r>
      <w:r>
        <w:rPr>
          <w:rFonts w:ascii="Times New Roman" w:hAnsi="Times New Roman" w:cs="Times New Roman"/>
          <w:sz w:val="24"/>
          <w:szCs w:val="24"/>
        </w:rPr>
        <w:t>,</w:t>
      </w:r>
      <w:r w:rsidRPr="003F7E2F">
        <w:rPr>
          <w:rFonts w:ascii="Times New Roman" w:hAnsi="Times New Roman" w:cs="Times New Roman"/>
          <w:sz w:val="24"/>
          <w:szCs w:val="24"/>
        </w:rPr>
        <w:t xml:space="preserve"> z powództwa Achmea B.V. przeciwko Republice Słowacji (postępowanie PCA Case No. 2008-13). W tej sprawie sąd niemiecki zwrócił się do TSUE z pytaniem prejudycjalnym dotyczącym tego, czy wykonanie wyroku wydanego na podstawie tej umowy nie naruszałoby postanowień Traktatów dotyczących: zakazu dyskryminacji z art. 18 TFUE (poprzez uprzywilejowanie inwestora z państwa – Strony tej umowy względem inwestora z państwa członkowskiego UE niebędącego stroną tej umowy), wyłącznej jurysdykcji TSUE w sporach objętych zakresem prawa UE (art. 344 TFUE) oraz konieczności ukształtowania postępowania w sposób umożliwiający zadanie przez orzekający sąd pytania prejudycjalnego (art. 267 TFUE). RP przystąpiła do </w:t>
      </w:r>
      <w:r w:rsidRPr="003F7E2F">
        <w:rPr>
          <w:rFonts w:ascii="Times New Roman" w:hAnsi="Times New Roman" w:cs="Times New Roman"/>
          <w:sz w:val="24"/>
          <w:szCs w:val="24"/>
        </w:rPr>
        <w:lastRenderedPageBreak/>
        <w:t>postępowania, przedstawiając stanowisko wskazujące na sprzeczność umów intra-EU BIT z</w:t>
      </w:r>
      <w:r>
        <w:rPr>
          <w:rFonts w:ascii="Times New Roman" w:hAnsi="Times New Roman" w:cs="Times New Roman"/>
          <w:sz w:val="24"/>
          <w:szCs w:val="24"/>
        </w:rPr>
        <w:t> </w:t>
      </w:r>
      <w:r w:rsidRPr="003F7E2F">
        <w:rPr>
          <w:rFonts w:ascii="Times New Roman" w:hAnsi="Times New Roman" w:cs="Times New Roman"/>
          <w:sz w:val="24"/>
          <w:szCs w:val="24"/>
        </w:rPr>
        <w:t>prawem unijnym. Stanowisko zbliżone do RP zajęła Komisja Europejska i wiele państw regionu. Niezależnie od tego należy podkreślić, że RP, podobnie jak wiele innych państw członkowskich UE, w postępowaniach arbitrażowych toczących się przed trybunałami arbitrażowymi konsekwentnie podnosi, że umowy intra-EU BIT uważa się za sprzeczne z</w:t>
      </w:r>
      <w:r>
        <w:rPr>
          <w:rFonts w:ascii="Times New Roman" w:hAnsi="Times New Roman" w:cs="Times New Roman"/>
          <w:sz w:val="24"/>
          <w:szCs w:val="24"/>
        </w:rPr>
        <w:t> </w:t>
      </w:r>
      <w:r w:rsidRPr="003F7E2F">
        <w:rPr>
          <w:rFonts w:ascii="Times New Roman" w:hAnsi="Times New Roman" w:cs="Times New Roman"/>
          <w:sz w:val="24"/>
          <w:szCs w:val="24"/>
        </w:rPr>
        <w:t>prawem UE. Podnoszona jest także kwestia możliwego wygaśnięcia tych umów na podstawie art. 59 Konwencji wiedeńskiej o prawie traktatów, sporządzonej w Wiedniu dnia 23 maja 1969 r. w związku z zawarciem przez RP Traktatu</w:t>
      </w:r>
      <w:r>
        <w:rPr>
          <w:rFonts w:ascii="Times New Roman" w:hAnsi="Times New Roman" w:cs="Times New Roman"/>
          <w:sz w:val="24"/>
          <w:szCs w:val="24"/>
        </w:rPr>
        <w:t xml:space="preserve"> Akcesyjnego do UE w zakresie, </w:t>
      </w:r>
      <w:r w:rsidRPr="003F7E2F">
        <w:rPr>
          <w:rFonts w:ascii="Times New Roman" w:hAnsi="Times New Roman" w:cs="Times New Roman"/>
          <w:sz w:val="24"/>
          <w:szCs w:val="24"/>
        </w:rPr>
        <w:t>w</w:t>
      </w:r>
      <w:r>
        <w:rPr>
          <w:rFonts w:ascii="Times New Roman" w:hAnsi="Times New Roman" w:cs="Times New Roman"/>
          <w:sz w:val="24"/>
          <w:szCs w:val="24"/>
        </w:rPr>
        <w:t> </w:t>
      </w:r>
      <w:r w:rsidRPr="003F7E2F">
        <w:rPr>
          <w:rFonts w:ascii="Times New Roman" w:hAnsi="Times New Roman" w:cs="Times New Roman"/>
          <w:sz w:val="24"/>
          <w:szCs w:val="24"/>
        </w:rPr>
        <w:t>którym umowy te są niezgodne z prawem UE.</w:t>
      </w:r>
    </w:p>
    <w:p w:rsidR="003F7E2F" w:rsidRPr="003F7E2F" w:rsidRDefault="003F7E2F" w:rsidP="003F7E2F">
      <w:pPr>
        <w:spacing w:after="120" w:line="360" w:lineRule="auto"/>
        <w:jc w:val="both"/>
        <w:rPr>
          <w:rFonts w:ascii="Times New Roman" w:hAnsi="Times New Roman" w:cs="Times New Roman"/>
          <w:sz w:val="24"/>
          <w:szCs w:val="24"/>
        </w:rPr>
      </w:pPr>
      <w:r w:rsidRPr="003F7E2F">
        <w:rPr>
          <w:rFonts w:ascii="Times New Roman" w:hAnsi="Times New Roman" w:cs="Times New Roman"/>
          <w:sz w:val="24"/>
          <w:szCs w:val="24"/>
        </w:rPr>
        <w:t>3. Przewidywane skutki społeczne, gospodarcze, finansowe, polityczne i prawne</w:t>
      </w:r>
    </w:p>
    <w:p w:rsidR="003F7E2F" w:rsidRPr="003F7E2F"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 xml:space="preserve">Wypowiedzenie Umowy nie powinno mieć konsekwencji politycznych. Państwa członkowskie UE, w tym RP, jak i Republika Cypryjska, zostały wezwane przez Komisję Europejską do zakończenia obowiązywania umów intra-EU BIT. </w:t>
      </w:r>
    </w:p>
    <w:p w:rsidR="003F7E2F" w:rsidRPr="003F7E2F"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 xml:space="preserve">Wypowiedzenie Umowy nie będzie miało negatywnych skutków społecznych, wręcz przeciwnie, należy oczekiwać, że zostanie ono życzliwie przyjęte z uwagi na publiczną krytykę w Polsce umów intra-EU BIT i międzynarodowego arbitrażu inwestycyjnego. </w:t>
      </w:r>
    </w:p>
    <w:p w:rsidR="003F7E2F" w:rsidRPr="003F7E2F"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Wypowiedzenie Umowy nie powinno wpłynąć na stosunki gospodarcze między RP a</w:t>
      </w:r>
      <w:r>
        <w:rPr>
          <w:rFonts w:ascii="Times New Roman" w:hAnsi="Times New Roman" w:cs="Times New Roman"/>
          <w:sz w:val="24"/>
          <w:szCs w:val="24"/>
        </w:rPr>
        <w:t> </w:t>
      </w:r>
      <w:r w:rsidRPr="003F7E2F">
        <w:rPr>
          <w:rFonts w:ascii="Times New Roman" w:hAnsi="Times New Roman" w:cs="Times New Roman"/>
          <w:sz w:val="24"/>
          <w:szCs w:val="24"/>
        </w:rPr>
        <w:t>Republiką Cypryjską. Umowę zawarto w czasie, kiedy ani RP</w:t>
      </w:r>
      <w:r w:rsidR="00742442">
        <w:rPr>
          <w:rFonts w:ascii="Times New Roman" w:hAnsi="Times New Roman" w:cs="Times New Roman"/>
          <w:sz w:val="24"/>
          <w:szCs w:val="24"/>
        </w:rPr>
        <w:t>,</w:t>
      </w:r>
      <w:r w:rsidRPr="003F7E2F">
        <w:rPr>
          <w:rFonts w:ascii="Times New Roman" w:hAnsi="Times New Roman" w:cs="Times New Roman"/>
          <w:sz w:val="24"/>
          <w:szCs w:val="24"/>
        </w:rPr>
        <w:t xml:space="preserve"> ani Republika Cypryjska nie były członkami UE. Obecnie, w obu państwach, poziom prawodawstwa oraz dostęp do powszechnego sądownictwa dają inwestorom zagranicznym gwarancję ochrony inwestycji </w:t>
      </w:r>
      <w:r>
        <w:rPr>
          <w:rFonts w:ascii="Times New Roman" w:hAnsi="Times New Roman" w:cs="Times New Roman"/>
          <w:sz w:val="24"/>
          <w:szCs w:val="24"/>
        </w:rPr>
        <w:t>z </w:t>
      </w:r>
      <w:r w:rsidRPr="003F7E2F">
        <w:rPr>
          <w:rFonts w:ascii="Times New Roman" w:hAnsi="Times New Roman" w:cs="Times New Roman"/>
          <w:sz w:val="24"/>
          <w:szCs w:val="24"/>
        </w:rPr>
        <w:t xml:space="preserve">możliwością dochodzenia swoich praw na drodze sądowej. </w:t>
      </w:r>
    </w:p>
    <w:p w:rsidR="003F7E2F" w:rsidRPr="003F7E2F"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Według danych NBP zobowiązania z tytułu cypryjskich inwestycji bezpośrednich w RP wyniosły na koniec 2016 r. 5,9 mld EUR (w 2015 r.: 6,1 mld EUR, w 2014 r.: 7,9 mld EUR, w 2013 r.: 6,2 mld EUR, w 2012 r.: 5,9 mld EUR, w 2011 r.: 4,2 mld EUR).</w:t>
      </w:r>
    </w:p>
    <w:p w:rsidR="003F7E2F" w:rsidRPr="003F7E2F"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Skumulowana wartość polskich inwestycji zagranicznych w Republice Cypryjskiej wyniosła według NBP na koniec 2016 r. 3,4 mld EUR (w 2015 r.: 8,4 mld EUR, w 2014 r.: 7,8 mld EUR, w 2013 r.: 5,1 mld EUR, w 2012 r.: 4,4 mld EUR, w 2011 r.: 3,3 mld EUR). Wycofywanie polskiego kapitału z Republiki Cypryjskiej związane jest z wprowadzonymi w</w:t>
      </w:r>
      <w:r>
        <w:rPr>
          <w:rFonts w:ascii="Times New Roman" w:hAnsi="Times New Roman" w:cs="Times New Roman"/>
          <w:sz w:val="24"/>
          <w:szCs w:val="24"/>
        </w:rPr>
        <w:t> </w:t>
      </w:r>
      <w:r w:rsidRPr="003F7E2F">
        <w:rPr>
          <w:rFonts w:ascii="Times New Roman" w:hAnsi="Times New Roman" w:cs="Times New Roman"/>
          <w:sz w:val="24"/>
          <w:szCs w:val="24"/>
        </w:rPr>
        <w:t xml:space="preserve">2015 r. przez polski rząd zmianami podatkowymi dla spółek kontrolowanych (tzw. </w:t>
      </w:r>
      <w:r w:rsidRPr="00742442">
        <w:rPr>
          <w:rFonts w:ascii="Times New Roman" w:hAnsi="Times New Roman" w:cs="Times New Roman"/>
          <w:i/>
          <w:sz w:val="24"/>
          <w:szCs w:val="24"/>
        </w:rPr>
        <w:t>Controlled Foreign Companies</w:t>
      </w:r>
      <w:r w:rsidRPr="003F7E2F">
        <w:rPr>
          <w:rFonts w:ascii="Times New Roman" w:hAnsi="Times New Roman" w:cs="Times New Roman"/>
          <w:sz w:val="24"/>
          <w:szCs w:val="24"/>
        </w:rPr>
        <w:t xml:space="preserve"> </w:t>
      </w:r>
      <w:r w:rsidR="006C4DEF">
        <w:rPr>
          <w:rFonts w:ascii="Times New Roman" w:hAnsi="Times New Roman" w:cs="Times New Roman"/>
          <w:sz w:val="24"/>
          <w:szCs w:val="24"/>
        </w:rPr>
        <w:t>–</w:t>
      </w:r>
      <w:r w:rsidRPr="003F7E2F">
        <w:rPr>
          <w:rFonts w:ascii="Times New Roman" w:hAnsi="Times New Roman" w:cs="Times New Roman"/>
          <w:sz w:val="24"/>
          <w:szCs w:val="24"/>
        </w:rPr>
        <w:t xml:space="preserve"> CFC). Według różnych szacunków w Republice Cypryjskiej jest zarejestrowanych 5 tys. polskich spółek (z których jedynie kilkadziesiąt prowadzi tam rzeczywistą działalność). Są to m.in.: AGD i RTV – Avans; Perła Browary </w:t>
      </w:r>
      <w:r w:rsidRPr="003F7E2F">
        <w:rPr>
          <w:rFonts w:ascii="Times New Roman" w:hAnsi="Times New Roman" w:cs="Times New Roman"/>
          <w:sz w:val="24"/>
          <w:szCs w:val="24"/>
        </w:rPr>
        <w:lastRenderedPageBreak/>
        <w:t xml:space="preserve">Lubelskie; Impel; Zakłady Tłuszczowe Kruszwica; klub piłkarski Ruch Chorzów; Multimedia Polska; HAWE; Komputronik; J.W. Construction; grupa budowlana PBG. </w:t>
      </w:r>
    </w:p>
    <w:p w:rsidR="003F7E2F" w:rsidRPr="003F7E2F"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Wysokie miejsce Republiki Cypryjskiej w rankingu krajów najczęściej wybieranych przez polskich inwestorów na miejsce lokalizacji inwestycji wynikało do tej po</w:t>
      </w:r>
      <w:r>
        <w:rPr>
          <w:rFonts w:ascii="Times New Roman" w:hAnsi="Times New Roman" w:cs="Times New Roman"/>
          <w:sz w:val="24"/>
          <w:szCs w:val="24"/>
        </w:rPr>
        <w:t>ry z </w:t>
      </w:r>
      <w:r w:rsidRPr="003F7E2F">
        <w:rPr>
          <w:rFonts w:ascii="Times New Roman" w:hAnsi="Times New Roman" w:cs="Times New Roman"/>
          <w:sz w:val="24"/>
          <w:szCs w:val="24"/>
        </w:rPr>
        <w:t>korzystnych warunków prowadzenia działalności</w:t>
      </w:r>
      <w:r w:rsidR="00742442">
        <w:rPr>
          <w:rFonts w:ascii="Times New Roman" w:hAnsi="Times New Roman" w:cs="Times New Roman"/>
          <w:sz w:val="24"/>
          <w:szCs w:val="24"/>
        </w:rPr>
        <w:t>,</w:t>
      </w:r>
      <w:r w:rsidRPr="003F7E2F">
        <w:rPr>
          <w:rFonts w:ascii="Times New Roman" w:hAnsi="Times New Roman" w:cs="Times New Roman"/>
          <w:sz w:val="24"/>
          <w:szCs w:val="24"/>
        </w:rPr>
        <w:t xml:space="preserve"> jakie ten kraj oferował zagranicznym inwestorom, głównie w postaci preferencji podatkowych. W związku z tym zagraniczne podmioty dokonujące inwestycji w Republice Cypryjskiej często lokowały tam siedziby spółek pełniących rolę spółek holdingowych.</w:t>
      </w:r>
    </w:p>
    <w:p w:rsidR="003F7E2F" w:rsidRPr="003F7E2F"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Ówczesne Ministerstwo Rozwoju poinformowało samorządy gospodarcze (Konfederacja Lewiatan, Pracodawcy RP, Krajowa Izba Gospodarcza, Polska Rada Biznesu, Business Centre Club) o planach rozwiązania Umowy i zwróciło się do nich o przekazanie odpo</w:t>
      </w:r>
      <w:r>
        <w:rPr>
          <w:rFonts w:ascii="Times New Roman" w:hAnsi="Times New Roman" w:cs="Times New Roman"/>
          <w:sz w:val="24"/>
          <w:szCs w:val="24"/>
        </w:rPr>
        <w:t xml:space="preserve">wiedzi na następujące pytania: </w:t>
      </w:r>
    </w:p>
    <w:p w:rsidR="003F7E2F" w:rsidRPr="003F7E2F" w:rsidRDefault="003F7E2F" w:rsidP="003F7E2F">
      <w:pPr>
        <w:pStyle w:val="Akapitzlist"/>
        <w:numPr>
          <w:ilvl w:val="0"/>
          <w:numId w:val="33"/>
        </w:numPr>
        <w:spacing w:after="120" w:line="360" w:lineRule="auto"/>
        <w:ind w:left="426" w:hanging="426"/>
        <w:jc w:val="both"/>
        <w:rPr>
          <w:rFonts w:ascii="Times New Roman" w:hAnsi="Times New Roman"/>
          <w:sz w:val="24"/>
          <w:szCs w:val="24"/>
        </w:rPr>
      </w:pPr>
      <w:r w:rsidRPr="003F7E2F">
        <w:rPr>
          <w:rFonts w:ascii="Times New Roman" w:hAnsi="Times New Roman"/>
          <w:sz w:val="24"/>
          <w:szCs w:val="24"/>
        </w:rPr>
        <w:t xml:space="preserve">czy inwestorzy polscy na rynku cypryjskim w przypadku ewentualnych działań dyskryminujących ich inwestycje korzystali lub rozważali możliwość wniesienia sporu przeciwko Republice Cypryjskiej? Czy w takim wypadku korzystali/korzystaliby </w:t>
      </w:r>
      <w:r>
        <w:rPr>
          <w:rFonts w:ascii="Times New Roman" w:hAnsi="Times New Roman"/>
          <w:sz w:val="24"/>
          <w:szCs w:val="24"/>
        </w:rPr>
        <w:t>z </w:t>
      </w:r>
      <w:r w:rsidRPr="003F7E2F">
        <w:rPr>
          <w:rFonts w:ascii="Times New Roman" w:hAnsi="Times New Roman"/>
          <w:sz w:val="24"/>
          <w:szCs w:val="24"/>
        </w:rPr>
        <w:t>postępowania przed sądem powszechnym czy też przed międzynarodowym arbitrażem inwestycyjnym?</w:t>
      </w:r>
    </w:p>
    <w:p w:rsidR="003F7E2F" w:rsidRPr="003F7E2F" w:rsidRDefault="003F7E2F" w:rsidP="003F7E2F">
      <w:pPr>
        <w:pStyle w:val="Akapitzlist"/>
        <w:numPr>
          <w:ilvl w:val="0"/>
          <w:numId w:val="33"/>
        </w:numPr>
        <w:spacing w:after="120" w:line="360" w:lineRule="auto"/>
        <w:ind w:left="426" w:hanging="426"/>
        <w:jc w:val="both"/>
        <w:rPr>
          <w:rFonts w:ascii="Times New Roman" w:hAnsi="Times New Roman"/>
          <w:sz w:val="24"/>
          <w:szCs w:val="24"/>
        </w:rPr>
      </w:pPr>
      <w:r w:rsidRPr="003F7E2F">
        <w:rPr>
          <w:rFonts w:ascii="Times New Roman" w:hAnsi="Times New Roman"/>
          <w:sz w:val="24"/>
          <w:szCs w:val="24"/>
        </w:rPr>
        <w:t>czy zdaniem polskich inwestorów ochrona ich inwestycji w regulacjach Republiki Cypryjskiej oraz w prawie UE jest niewystarczająca? Jeżeli tak, to w jakim zakresie?</w:t>
      </w:r>
    </w:p>
    <w:p w:rsidR="003F7E2F" w:rsidRPr="003F7E2F" w:rsidRDefault="003F7E2F" w:rsidP="003F7E2F">
      <w:pPr>
        <w:pStyle w:val="Akapitzlist"/>
        <w:numPr>
          <w:ilvl w:val="0"/>
          <w:numId w:val="33"/>
        </w:numPr>
        <w:spacing w:after="120" w:line="360" w:lineRule="auto"/>
        <w:ind w:left="426" w:hanging="426"/>
        <w:jc w:val="both"/>
        <w:rPr>
          <w:rFonts w:ascii="Times New Roman" w:hAnsi="Times New Roman"/>
          <w:sz w:val="24"/>
          <w:szCs w:val="24"/>
        </w:rPr>
      </w:pPr>
      <w:r w:rsidRPr="003F7E2F">
        <w:rPr>
          <w:rFonts w:ascii="Times New Roman" w:hAnsi="Times New Roman"/>
          <w:sz w:val="24"/>
          <w:szCs w:val="24"/>
        </w:rPr>
        <w:t xml:space="preserve">czy wygaśnięcie Umowy pogorszyłoby warunki prowadzenia działalności gospodarczej w Republice Cypryjskiej i ochrony praw inwestorów? Jeżeli tak, to w jaki sposób </w:t>
      </w:r>
      <w:r>
        <w:rPr>
          <w:rFonts w:ascii="Times New Roman" w:hAnsi="Times New Roman"/>
          <w:sz w:val="24"/>
          <w:szCs w:val="24"/>
        </w:rPr>
        <w:t>i w </w:t>
      </w:r>
      <w:r w:rsidRPr="003F7E2F">
        <w:rPr>
          <w:rFonts w:ascii="Times New Roman" w:hAnsi="Times New Roman"/>
          <w:sz w:val="24"/>
          <w:szCs w:val="24"/>
        </w:rPr>
        <w:t>jakim stopniu?</w:t>
      </w:r>
    </w:p>
    <w:p w:rsidR="003F7E2F" w:rsidRPr="003F7E2F"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 xml:space="preserve">Samorządy gospodarcze udzieliły ogólnej odpowiedzi, iż mimo że inwestorzy nie korzystają z ochrony przewidzianej umowami intra-EU BIT (pozywają państwa przed sądami powszechnymi), powołują się na ich obowiązywanie w dyskusjach z organami danego kraju przy zaistnieniu sporu. Jeżeli musieliby aktywnie dochodzić swoich roszczeń, powołując się na umowy intra-EU BIT, wybraliby procedurę arbitrażu na podstawie umowy intra-EU BIT (szczególnie fundusze inwestycyjne lokujące aktywa w instrumenty udziałowe polskich przedsiębiorstw inwestujących w państwach członkowskich UE, dla których rozwiązanie umów mogłoby mieć bezpośredni wpływ na ocenę ryzyka związaną z inwestowaniem). Główną barierą w korzystaniu z arbitrażu są jego wysokie koszty. Prawo materialne </w:t>
      </w:r>
      <w:r>
        <w:rPr>
          <w:rFonts w:ascii="Times New Roman" w:hAnsi="Times New Roman" w:cs="Times New Roman"/>
          <w:sz w:val="24"/>
          <w:szCs w:val="24"/>
        </w:rPr>
        <w:t>w </w:t>
      </w:r>
      <w:r w:rsidRPr="003F7E2F">
        <w:rPr>
          <w:rFonts w:ascii="Times New Roman" w:hAnsi="Times New Roman" w:cs="Times New Roman"/>
          <w:sz w:val="24"/>
          <w:szCs w:val="24"/>
        </w:rPr>
        <w:t xml:space="preserve">państwach członkowskich UE oraz na poziomie UE zawiera niezbędne standardy </w:t>
      </w:r>
      <w:r w:rsidRPr="003F7E2F">
        <w:rPr>
          <w:rFonts w:ascii="Times New Roman" w:hAnsi="Times New Roman" w:cs="Times New Roman"/>
          <w:sz w:val="24"/>
          <w:szCs w:val="24"/>
        </w:rPr>
        <w:lastRenderedPageBreak/>
        <w:t xml:space="preserve">gwarantujące zagranicznym inwestorom równe i sprawiedliwe traktowanie, natomiast problemem jest egzekwowanie tego prawa. Wskazywano na czasochłonność procedur, brak profesjonalizmu i obiektywizmu w podejmowaniu decyzji przez właściwe organy. Zdaniem polskich inwestorów międzynarodowy arbitraż inwestycyjny pozwala prowadzić postępowanie w sposób odformalizowany, elastyczny i neutralny. Generalnie zdaniem samorządów gospodarczych i polskich przedsiębiorców dla ich bezpieczeństwa i ekspansji umowy intra-EU BIT są pożądane. Tym niemniej samorządy gospodarcze odnotowują stanowisko Komisji Europejskiej wobec umów intra-EU BIT i wszczęte przez nią postępowania. </w:t>
      </w:r>
    </w:p>
    <w:p w:rsidR="003F7E2F" w:rsidRPr="003F7E2F"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Z informacji posiadanych przez Ministerstwo Przedsiębiorczości i Technologii wynika, że polscy inwestorzy skierowali jeden spór przeciwko Republice Cypryjskiej na podstawie Umowy (zakończony przegraną inwestorów), natomiast przeciwko RP toczyło się jedno postępowanie wniesione z powództwa inwestora cypryjskiego (zakończone wygraną RP), a</w:t>
      </w:r>
      <w:r>
        <w:rPr>
          <w:rFonts w:ascii="Times New Roman" w:hAnsi="Times New Roman" w:cs="Times New Roman"/>
          <w:sz w:val="24"/>
          <w:szCs w:val="24"/>
        </w:rPr>
        <w:t> </w:t>
      </w:r>
      <w:r w:rsidRPr="003F7E2F">
        <w:rPr>
          <w:rFonts w:ascii="Times New Roman" w:hAnsi="Times New Roman" w:cs="Times New Roman"/>
          <w:sz w:val="24"/>
          <w:szCs w:val="24"/>
        </w:rPr>
        <w:t>dwa spory przeciwko RP są w toku. Generalnie odnotowano tylko trzy przypadki skorzystania przez polskich inwestorów z ochrony przewidzianej umowami intra-EU BIT przed międzynarodowymi trybunałami arbitrażowymi (na podstawie umów intra-EU BIT z</w:t>
      </w:r>
      <w:r>
        <w:rPr>
          <w:rFonts w:ascii="Times New Roman" w:hAnsi="Times New Roman" w:cs="Times New Roman"/>
          <w:sz w:val="24"/>
          <w:szCs w:val="24"/>
        </w:rPr>
        <w:t> </w:t>
      </w:r>
      <w:r w:rsidRPr="003F7E2F">
        <w:rPr>
          <w:rFonts w:ascii="Times New Roman" w:hAnsi="Times New Roman" w:cs="Times New Roman"/>
          <w:sz w:val="24"/>
          <w:szCs w:val="24"/>
        </w:rPr>
        <w:t>Rumunią – przed przystąpieniem Rumunii do UE, Słowacją i Cyprem). Zgodnie z</w:t>
      </w:r>
      <w:r>
        <w:rPr>
          <w:rFonts w:ascii="Times New Roman" w:hAnsi="Times New Roman" w:cs="Times New Roman"/>
          <w:sz w:val="24"/>
          <w:szCs w:val="24"/>
        </w:rPr>
        <w:t> </w:t>
      </w:r>
      <w:r w:rsidRPr="003F7E2F">
        <w:rPr>
          <w:rFonts w:ascii="Times New Roman" w:hAnsi="Times New Roman" w:cs="Times New Roman"/>
          <w:sz w:val="24"/>
          <w:szCs w:val="24"/>
        </w:rPr>
        <w:t>informacjami</w:t>
      </w:r>
      <w:r w:rsidR="00742442">
        <w:rPr>
          <w:rFonts w:ascii="Times New Roman" w:hAnsi="Times New Roman" w:cs="Times New Roman"/>
          <w:sz w:val="24"/>
          <w:szCs w:val="24"/>
        </w:rPr>
        <w:t xml:space="preserve"> przekazanymi przez Prokuratorię</w:t>
      </w:r>
      <w:r w:rsidRPr="003F7E2F">
        <w:rPr>
          <w:rFonts w:ascii="Times New Roman" w:hAnsi="Times New Roman" w:cs="Times New Roman"/>
          <w:sz w:val="24"/>
          <w:szCs w:val="24"/>
        </w:rPr>
        <w:t xml:space="preserve"> Generaln</w:t>
      </w:r>
      <w:r w:rsidR="00742442">
        <w:rPr>
          <w:rFonts w:ascii="Times New Roman" w:hAnsi="Times New Roman" w:cs="Times New Roman"/>
          <w:sz w:val="24"/>
          <w:szCs w:val="24"/>
        </w:rPr>
        <w:t>ą</w:t>
      </w:r>
      <w:r w:rsidRPr="003F7E2F">
        <w:rPr>
          <w:rFonts w:ascii="Times New Roman" w:hAnsi="Times New Roman" w:cs="Times New Roman"/>
          <w:sz w:val="24"/>
          <w:szCs w:val="24"/>
        </w:rPr>
        <w:t xml:space="preserve"> RP na dwadzieścia sześć postępowań arbitrażowych, w których Prokuratoria Generalna RP od 2006 r. wykonywała lub wykonuje zastępstwo procesowe RP, szesnaście dotyczyło lub dotyczy sporów wniesionych przez inwestorów zagranicznych na podstawie umów intra-EU BIT (zawartych z Austrią, Francją, Niemcami, Cyprem, Holandią, Belgią i Luksemburgiem, Republiką Czeską, Wielką Brytanią). Mimo dużego odsetka wygrywanych spraw (w tym ugody) Polska ponosi wysokie koszty postępowań arbitrażowych: zaliczki na koszty postępowania (w tym wynagrodzenie arbitrów), opinie biegłych, zorganizowanie rozpraw, tłumaczenia, udział świadków oraz koszty zastępstwa procesowego. Zgodnie z informacjami byłego Ministerstwa Skarbu Państwa, RP w związku z postępowaniami arbitrażowymi poniosła od 2006 r. koszty w</w:t>
      </w:r>
      <w:r>
        <w:rPr>
          <w:rFonts w:ascii="Times New Roman" w:hAnsi="Times New Roman" w:cs="Times New Roman"/>
          <w:sz w:val="24"/>
          <w:szCs w:val="24"/>
        </w:rPr>
        <w:t> </w:t>
      </w:r>
      <w:r w:rsidRPr="003F7E2F">
        <w:rPr>
          <w:rFonts w:ascii="Times New Roman" w:hAnsi="Times New Roman" w:cs="Times New Roman"/>
          <w:sz w:val="24"/>
          <w:szCs w:val="24"/>
        </w:rPr>
        <w:t xml:space="preserve">wysokości ok. 53 mln PLN. Wypowiedzenie Umowy może więc potencjalnie istotnie zmniejszyć obciążenie państwa pod względem finansowym, ponieważ nie będzie zachodzić konieczność ponoszenia znaczących kosztów, o których mowa w zdaniu poprzedzającym. </w:t>
      </w:r>
    </w:p>
    <w:p w:rsidR="003F7E2F" w:rsidRPr="003F7E2F"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Wypowiedzenie Umowy nie naruszy polskiego porządku prawnego i doprowadzi do usunięcia niezgodności Umowy z prawem UE po dziesięciu latach od daty wejści</w:t>
      </w:r>
      <w:r>
        <w:rPr>
          <w:rFonts w:ascii="Times New Roman" w:hAnsi="Times New Roman" w:cs="Times New Roman"/>
          <w:sz w:val="24"/>
          <w:szCs w:val="24"/>
        </w:rPr>
        <w:t>a w życie wypowiedzenia Umowy.</w:t>
      </w:r>
    </w:p>
    <w:p w:rsidR="003F7E2F" w:rsidRPr="003F7E2F" w:rsidRDefault="003F7E2F" w:rsidP="003F7E2F">
      <w:pPr>
        <w:spacing w:after="120" w:line="360" w:lineRule="auto"/>
        <w:jc w:val="both"/>
        <w:rPr>
          <w:rFonts w:ascii="Times New Roman" w:hAnsi="Times New Roman" w:cs="Times New Roman"/>
          <w:sz w:val="24"/>
          <w:szCs w:val="24"/>
        </w:rPr>
      </w:pPr>
      <w:r w:rsidRPr="003F7E2F">
        <w:rPr>
          <w:rFonts w:ascii="Times New Roman" w:hAnsi="Times New Roman" w:cs="Times New Roman"/>
          <w:sz w:val="24"/>
          <w:szCs w:val="24"/>
        </w:rPr>
        <w:lastRenderedPageBreak/>
        <w:t xml:space="preserve">4. Tryb wypowiedzenia Umowy </w:t>
      </w:r>
    </w:p>
    <w:p w:rsidR="00236955" w:rsidRDefault="003F7E2F" w:rsidP="003F7E2F">
      <w:pPr>
        <w:spacing w:after="120" w:line="360" w:lineRule="auto"/>
        <w:ind w:firstLine="567"/>
        <w:jc w:val="both"/>
        <w:rPr>
          <w:rFonts w:ascii="Times New Roman" w:hAnsi="Times New Roman" w:cs="Times New Roman"/>
          <w:sz w:val="24"/>
          <w:szCs w:val="24"/>
        </w:rPr>
      </w:pPr>
      <w:r w:rsidRPr="003F7E2F">
        <w:rPr>
          <w:rFonts w:ascii="Times New Roman" w:hAnsi="Times New Roman" w:cs="Times New Roman"/>
          <w:sz w:val="24"/>
          <w:szCs w:val="24"/>
        </w:rPr>
        <w:t>Wypowiadana Umowa ma rangę umowy międzypaństwowej. Wypowiadana Umowa jest traktowana w polskim porządku prawnym jako umowa ratyfikowana za uprzednią zgodą wyrażoną w ustawie, stosownie do art. 241 ust. 1 us</w:t>
      </w:r>
      <w:r>
        <w:rPr>
          <w:rFonts w:ascii="Times New Roman" w:hAnsi="Times New Roman" w:cs="Times New Roman"/>
          <w:sz w:val="24"/>
          <w:szCs w:val="24"/>
        </w:rPr>
        <w:t>tawy z dnia 2 kwietnia 1997 r. –</w:t>
      </w:r>
      <w:r w:rsidRPr="003F7E2F">
        <w:rPr>
          <w:rFonts w:ascii="Times New Roman" w:hAnsi="Times New Roman" w:cs="Times New Roman"/>
          <w:sz w:val="24"/>
          <w:szCs w:val="24"/>
        </w:rPr>
        <w:t xml:space="preserve"> Konstytucja Rzeczypospolitej Polskiej (Dz. U. poz. 483, z późn. zm.). Dlatego też wypowiedzenie Umowy nastąpi również za uprzednią zgodą wyrażoną w ustawie, tym bardziej</w:t>
      </w:r>
      <w:r w:rsidR="00742442">
        <w:rPr>
          <w:rFonts w:ascii="Times New Roman" w:hAnsi="Times New Roman" w:cs="Times New Roman"/>
          <w:sz w:val="24"/>
          <w:szCs w:val="24"/>
        </w:rPr>
        <w:t>,</w:t>
      </w:r>
      <w:r w:rsidRPr="003F7E2F">
        <w:rPr>
          <w:rFonts w:ascii="Times New Roman" w:hAnsi="Times New Roman" w:cs="Times New Roman"/>
          <w:sz w:val="24"/>
          <w:szCs w:val="24"/>
        </w:rPr>
        <w:t xml:space="preserve"> że Umowa dotyczy wolności, praw i obowiązków obywatelskich (w zakresie wygaszania prawa do kierowania skargi do międzynarodowego arbitrażu inwestycyjnego), spraw uregulowanych w ustawie lub w których Konstytucja RP wymaga ustawy (zasady prowadzenia działalności gospodarczej, ochrona prawa własności, kwestia wywłaszczenia oraz odszkodowania w tym zakresie), a więc spraw, o których mowa w art. 89 ust. 1 pkt 2 i 5 Konstytucji RP.</w:t>
      </w:r>
    </w:p>
    <w:sectPr w:rsidR="00236955" w:rsidSect="00727934">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8F2" w:rsidRDefault="00CF08F2" w:rsidP="009D78F9">
      <w:pPr>
        <w:spacing w:after="0" w:line="240" w:lineRule="auto"/>
      </w:pPr>
      <w:r>
        <w:separator/>
      </w:r>
    </w:p>
  </w:endnote>
  <w:endnote w:type="continuationSeparator" w:id="0">
    <w:p w:rsidR="00CF08F2" w:rsidRDefault="00CF08F2" w:rsidP="009D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9441108"/>
      <w:docPartObj>
        <w:docPartGallery w:val="Page Numbers (Bottom of Page)"/>
        <w:docPartUnique/>
      </w:docPartObj>
    </w:sdtPr>
    <w:sdtEndPr>
      <w:rPr>
        <w:rFonts w:ascii="Times New Roman" w:hAnsi="Times New Roman" w:cs="Times New Roman"/>
        <w:sz w:val="24"/>
        <w:szCs w:val="24"/>
      </w:rPr>
    </w:sdtEndPr>
    <w:sdtContent>
      <w:p w:rsidR="00392C21" w:rsidRPr="00392C21" w:rsidRDefault="00392C21" w:rsidP="00392C21">
        <w:pPr>
          <w:pStyle w:val="Stopka"/>
          <w:jc w:val="center"/>
          <w:rPr>
            <w:rFonts w:ascii="Times New Roman" w:hAnsi="Times New Roman" w:cs="Times New Roman"/>
            <w:sz w:val="24"/>
            <w:szCs w:val="24"/>
          </w:rPr>
        </w:pPr>
        <w:r w:rsidRPr="00392C21">
          <w:rPr>
            <w:rFonts w:ascii="Times New Roman" w:hAnsi="Times New Roman" w:cs="Times New Roman"/>
            <w:sz w:val="24"/>
            <w:szCs w:val="24"/>
          </w:rPr>
          <w:fldChar w:fldCharType="begin"/>
        </w:r>
        <w:r w:rsidRPr="00392C21">
          <w:rPr>
            <w:rFonts w:ascii="Times New Roman" w:hAnsi="Times New Roman" w:cs="Times New Roman"/>
            <w:sz w:val="24"/>
            <w:szCs w:val="24"/>
          </w:rPr>
          <w:instrText>PAGE   \* MERGEFORMAT</w:instrText>
        </w:r>
        <w:r w:rsidRPr="00392C21">
          <w:rPr>
            <w:rFonts w:ascii="Times New Roman" w:hAnsi="Times New Roman" w:cs="Times New Roman"/>
            <w:sz w:val="24"/>
            <w:szCs w:val="24"/>
          </w:rPr>
          <w:fldChar w:fldCharType="separate"/>
        </w:r>
        <w:r w:rsidR="007812BA">
          <w:rPr>
            <w:rFonts w:ascii="Times New Roman" w:hAnsi="Times New Roman" w:cs="Times New Roman"/>
            <w:noProof/>
            <w:sz w:val="24"/>
            <w:szCs w:val="24"/>
          </w:rPr>
          <w:t>8</w:t>
        </w:r>
        <w:r w:rsidRPr="00392C2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8F2" w:rsidRDefault="00CF08F2" w:rsidP="009D78F9">
      <w:pPr>
        <w:spacing w:after="0" w:line="240" w:lineRule="auto"/>
      </w:pPr>
      <w:r>
        <w:separator/>
      </w:r>
    </w:p>
  </w:footnote>
  <w:footnote w:type="continuationSeparator" w:id="0">
    <w:p w:rsidR="00CF08F2" w:rsidRDefault="00CF08F2" w:rsidP="009D78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F46254F"/>
    <w:multiLevelType w:val="hybridMultilevel"/>
    <w:tmpl w:val="20CA3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17869C6"/>
    <w:multiLevelType w:val="hybridMultilevel"/>
    <w:tmpl w:val="4E9AD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6">
    <w:nsid w:val="1E3D318B"/>
    <w:multiLevelType w:val="hybridMultilevel"/>
    <w:tmpl w:val="0D7E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1">
    <w:nsid w:val="245A51BA"/>
    <w:multiLevelType w:val="hybridMultilevel"/>
    <w:tmpl w:val="4970AB0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9C23FD6"/>
    <w:multiLevelType w:val="hybridMultilevel"/>
    <w:tmpl w:val="8048DF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6">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7">
    <w:nsid w:val="3D1E731A"/>
    <w:multiLevelType w:val="hybridMultilevel"/>
    <w:tmpl w:val="F7808C5A"/>
    <w:lvl w:ilvl="0" w:tplc="7D1E65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3F4C0EBE"/>
    <w:multiLevelType w:val="multilevel"/>
    <w:tmpl w:val="7C6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2B5719"/>
    <w:multiLevelType w:val="hybridMultilevel"/>
    <w:tmpl w:val="5CD61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2">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3">
    <w:nsid w:val="57D5579E"/>
    <w:multiLevelType w:val="hybridMultilevel"/>
    <w:tmpl w:val="0AD26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5">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6">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7">
    <w:nsid w:val="605729A9"/>
    <w:multiLevelType w:val="hybridMultilevel"/>
    <w:tmpl w:val="E06E7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3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1">
    <w:nsid w:val="70CF7D78"/>
    <w:multiLevelType w:val="hybridMultilevel"/>
    <w:tmpl w:val="EC5C0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23"/>
  </w:num>
  <w:num w:numId="2">
    <w:abstractNumId w:val="14"/>
  </w:num>
  <w:num w:numId="3">
    <w:abstractNumId w:val="7"/>
  </w:num>
  <w:num w:numId="4">
    <w:abstractNumId w:val="1"/>
  </w:num>
  <w:num w:numId="5">
    <w:abstractNumId w:val="28"/>
  </w:num>
  <w:num w:numId="6">
    <w:abstractNumId w:val="2"/>
  </w:num>
  <w:num w:numId="7">
    <w:abstractNumId w:val="12"/>
  </w:num>
  <w:num w:numId="8">
    <w:abstractNumId w:val="20"/>
  </w:num>
  <w:num w:numId="9">
    <w:abstractNumId w:val="8"/>
  </w:num>
  <w:num w:numId="10">
    <w:abstractNumId w:val="22"/>
  </w:num>
  <w:num w:numId="11">
    <w:abstractNumId w:val="16"/>
  </w:num>
  <w:num w:numId="12">
    <w:abstractNumId w:val="21"/>
  </w:num>
  <w:num w:numId="13">
    <w:abstractNumId w:val="5"/>
  </w:num>
  <w:num w:numId="14">
    <w:abstractNumId w:val="15"/>
  </w:num>
  <w:num w:numId="15">
    <w:abstractNumId w:val="29"/>
  </w:num>
  <w:num w:numId="16">
    <w:abstractNumId w:val="24"/>
  </w:num>
  <w:num w:numId="17">
    <w:abstractNumId w:val="26"/>
  </w:num>
  <w:num w:numId="18">
    <w:abstractNumId w:val="9"/>
  </w:num>
  <w:num w:numId="19">
    <w:abstractNumId w:val="30"/>
  </w:num>
  <w:num w:numId="20">
    <w:abstractNumId w:val="32"/>
  </w:num>
  <w:num w:numId="21">
    <w:abstractNumId w:val="25"/>
  </w:num>
  <w:num w:numId="22">
    <w:abstractNumId w:val="10"/>
  </w:num>
  <w:num w:numId="23">
    <w:abstractNumId w:val="18"/>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3"/>
  </w:num>
  <w:num w:numId="27">
    <w:abstractNumId w:val="11"/>
  </w:num>
  <w:num w:numId="28">
    <w:abstractNumId w:val="27"/>
  </w:num>
  <w:num w:numId="29">
    <w:abstractNumId w:val="4"/>
  </w:num>
  <w:num w:numId="30">
    <w:abstractNumId w:val="6"/>
  </w:num>
  <w:num w:numId="31">
    <w:abstractNumId w:val="31"/>
  </w:num>
  <w:num w:numId="32">
    <w:abstractNumId w:val="3"/>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895"/>
    <w:rsid w:val="00056E79"/>
    <w:rsid w:val="00236955"/>
    <w:rsid w:val="002C0AE9"/>
    <w:rsid w:val="002D3299"/>
    <w:rsid w:val="00392C21"/>
    <w:rsid w:val="003938F7"/>
    <w:rsid w:val="003F6C95"/>
    <w:rsid w:val="003F7E2F"/>
    <w:rsid w:val="00451F5B"/>
    <w:rsid w:val="00453BA3"/>
    <w:rsid w:val="004A37A6"/>
    <w:rsid w:val="004E0A95"/>
    <w:rsid w:val="004F3862"/>
    <w:rsid w:val="005D72CC"/>
    <w:rsid w:val="005F249D"/>
    <w:rsid w:val="005F4005"/>
    <w:rsid w:val="006466AC"/>
    <w:rsid w:val="006C4DEF"/>
    <w:rsid w:val="006E1677"/>
    <w:rsid w:val="00725B90"/>
    <w:rsid w:val="00726F0A"/>
    <w:rsid w:val="00727934"/>
    <w:rsid w:val="00742442"/>
    <w:rsid w:val="007455B5"/>
    <w:rsid w:val="007812BA"/>
    <w:rsid w:val="007E26CA"/>
    <w:rsid w:val="00874676"/>
    <w:rsid w:val="00882207"/>
    <w:rsid w:val="008D1573"/>
    <w:rsid w:val="008F6235"/>
    <w:rsid w:val="009D78F9"/>
    <w:rsid w:val="009E788D"/>
    <w:rsid w:val="009F03C5"/>
    <w:rsid w:val="00AB053F"/>
    <w:rsid w:val="00BF23DE"/>
    <w:rsid w:val="00CF08F2"/>
    <w:rsid w:val="00D033A0"/>
    <w:rsid w:val="00D03895"/>
    <w:rsid w:val="00DF4048"/>
    <w:rsid w:val="00DF5F5A"/>
    <w:rsid w:val="00F736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paragraph" w:customStyle="1" w:styleId="TYTUAKTUprzedmiotregulacjiustawylubrozporzdzenia">
    <w:name w:val="TYTUŁ_AKTU – przedmiot regulacji ustawy lub rozporządzenia"/>
    <w:next w:val="ARTartustawynprozporzdzenia"/>
    <w:uiPriority w:val="6"/>
    <w:qFormat/>
    <w:rsid w:val="002C0AE9"/>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DATAAKTUdatauchwalenialubwydaniaaktu">
    <w:name w:val="DATA_AKTU – data uchwalenia lub wydania aktu"/>
    <w:next w:val="TYTUAKTUprzedmiotregulacjiustawylubrozporzdzenia"/>
    <w:uiPriority w:val="6"/>
    <w:qFormat/>
    <w:rsid w:val="002C0AE9"/>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2C0AE9"/>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OZNPROJEKTUwskazaniedatylubwersjiprojektu">
    <w:name w:val="OZN_PROJEKTU – wskazanie daty lub wersji projektu"/>
    <w:next w:val="OZNRODZAKTUtznustawalubrozporzdzenieiorganwydajcy"/>
    <w:uiPriority w:val="5"/>
    <w:qFormat/>
    <w:rsid w:val="002C0AE9"/>
    <w:pPr>
      <w:spacing w:after="0" w:line="360" w:lineRule="auto"/>
      <w:jc w:val="right"/>
    </w:pPr>
    <w:rPr>
      <w:rFonts w:ascii="Times New Roman" w:eastAsiaTheme="minorEastAsia" w:hAnsi="Times New Roman" w:cs="Arial"/>
      <w:sz w:val="24"/>
      <w:szCs w:val="20"/>
      <w:u w:val="single"/>
      <w:lang w:eastAsia="pl-PL"/>
    </w:rPr>
  </w:style>
  <w:style w:type="character" w:customStyle="1" w:styleId="Ppogrubienie">
    <w:name w:val="_P_ – pogrubienie"/>
    <w:basedOn w:val="Domylnaczcionkaakapitu"/>
    <w:uiPriority w:val="1"/>
    <w:qFormat/>
    <w:rsid w:val="002C0AE9"/>
    <w:rPr>
      <w:b/>
      <w:b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paragraph" w:customStyle="1" w:styleId="TYTUAKTUprzedmiotregulacjiustawylubrozporzdzenia">
    <w:name w:val="TYTUŁ_AKTU – przedmiot regulacji ustawy lub rozporządzenia"/>
    <w:next w:val="ARTartustawynprozporzdzenia"/>
    <w:uiPriority w:val="6"/>
    <w:qFormat/>
    <w:rsid w:val="002C0AE9"/>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DATAAKTUdatauchwalenialubwydaniaaktu">
    <w:name w:val="DATA_AKTU – data uchwalenia lub wydania aktu"/>
    <w:next w:val="TYTUAKTUprzedmiotregulacjiustawylubrozporzdzenia"/>
    <w:uiPriority w:val="6"/>
    <w:qFormat/>
    <w:rsid w:val="002C0AE9"/>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2C0AE9"/>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OZNPROJEKTUwskazaniedatylubwersjiprojektu">
    <w:name w:val="OZN_PROJEKTU – wskazanie daty lub wersji projektu"/>
    <w:next w:val="OZNRODZAKTUtznustawalubrozporzdzenieiorganwydajcy"/>
    <w:uiPriority w:val="5"/>
    <w:qFormat/>
    <w:rsid w:val="002C0AE9"/>
    <w:pPr>
      <w:spacing w:after="0" w:line="360" w:lineRule="auto"/>
      <w:jc w:val="right"/>
    </w:pPr>
    <w:rPr>
      <w:rFonts w:ascii="Times New Roman" w:eastAsiaTheme="minorEastAsia" w:hAnsi="Times New Roman" w:cs="Arial"/>
      <w:sz w:val="24"/>
      <w:szCs w:val="20"/>
      <w:u w:val="single"/>
      <w:lang w:eastAsia="pl-PL"/>
    </w:rPr>
  </w:style>
  <w:style w:type="character" w:customStyle="1" w:styleId="Ppogrubienie">
    <w:name w:val="_P_ – pogrubienie"/>
    <w:basedOn w:val="Domylnaczcionkaakapitu"/>
    <w:uiPriority w:val="1"/>
    <w:qFormat/>
    <w:rsid w:val="002C0AE9"/>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22438">
      <w:bodyDiv w:val="1"/>
      <w:marLeft w:val="0"/>
      <w:marRight w:val="0"/>
      <w:marTop w:val="0"/>
      <w:marBottom w:val="0"/>
      <w:divBdr>
        <w:top w:val="none" w:sz="0" w:space="0" w:color="auto"/>
        <w:left w:val="none" w:sz="0" w:space="0" w:color="auto"/>
        <w:bottom w:val="none" w:sz="0" w:space="0" w:color="auto"/>
        <w:right w:val="none" w:sz="0" w:space="0" w:color="auto"/>
      </w:divBdr>
    </w:div>
    <w:div w:id="612126561">
      <w:bodyDiv w:val="1"/>
      <w:marLeft w:val="0"/>
      <w:marRight w:val="0"/>
      <w:marTop w:val="0"/>
      <w:marBottom w:val="0"/>
      <w:divBdr>
        <w:top w:val="none" w:sz="0" w:space="0" w:color="auto"/>
        <w:left w:val="none" w:sz="0" w:space="0" w:color="auto"/>
        <w:bottom w:val="none" w:sz="0" w:space="0" w:color="auto"/>
        <w:right w:val="none" w:sz="0" w:space="0" w:color="auto"/>
      </w:divBdr>
    </w:div>
    <w:div w:id="1318149722">
      <w:bodyDiv w:val="1"/>
      <w:marLeft w:val="0"/>
      <w:marRight w:val="0"/>
      <w:marTop w:val="0"/>
      <w:marBottom w:val="0"/>
      <w:divBdr>
        <w:top w:val="none" w:sz="0" w:space="0" w:color="auto"/>
        <w:left w:val="none" w:sz="0" w:space="0" w:color="auto"/>
        <w:bottom w:val="none" w:sz="0" w:space="0" w:color="auto"/>
        <w:right w:val="none" w:sz="0" w:space="0" w:color="auto"/>
      </w:divBdr>
    </w:div>
    <w:div w:id="135013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2367</Words>
  <Characters>14203</Characters>
  <Application>Microsoft Office Word</Application>
  <DocSecurity>0</DocSecurity>
  <Lines>118</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Ewa A. Genert</cp:lastModifiedBy>
  <cp:revision>2</cp:revision>
  <cp:lastPrinted>2018-02-20T13:16:00Z</cp:lastPrinted>
  <dcterms:created xsi:type="dcterms:W3CDTF">2018-02-27T18:02:00Z</dcterms:created>
  <dcterms:modified xsi:type="dcterms:W3CDTF">2018-02-27T18:02:00Z</dcterms:modified>
</cp:coreProperties>
</file>