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07" w:rsidRPr="00A22D68" w:rsidRDefault="00271D07" w:rsidP="00475ADF">
      <w:pPr>
        <w:jc w:val="center"/>
      </w:pPr>
      <w:bookmarkStart w:id="0" w:name="_GoBack"/>
      <w:bookmarkEnd w:id="0"/>
      <w:r w:rsidRPr="00A22D68">
        <w:t>UZASADNIENIE</w:t>
      </w:r>
    </w:p>
    <w:p w:rsidR="00271D07" w:rsidRPr="00475ADF" w:rsidRDefault="00271D07" w:rsidP="00475ADF">
      <w:pPr>
        <w:jc w:val="center"/>
        <w:rPr>
          <w:b/>
        </w:rPr>
      </w:pPr>
    </w:p>
    <w:p w:rsidR="00271D07" w:rsidRPr="00475ADF" w:rsidRDefault="00A22D68" w:rsidP="00A22D68">
      <w:pPr>
        <w:tabs>
          <w:tab w:val="left" w:pos="336"/>
        </w:tabs>
        <w:spacing w:before="120" w:line="360" w:lineRule="auto"/>
        <w:jc w:val="both"/>
        <w:rPr>
          <w:b/>
        </w:rPr>
      </w:pPr>
      <w:r>
        <w:rPr>
          <w:b/>
        </w:rPr>
        <w:t>1.</w:t>
      </w:r>
      <w:r>
        <w:rPr>
          <w:b/>
        </w:rPr>
        <w:tab/>
      </w:r>
      <w:r w:rsidR="00271D07" w:rsidRPr="00475ADF">
        <w:rPr>
          <w:b/>
        </w:rPr>
        <w:t xml:space="preserve">Potrzeba i cel </w:t>
      </w:r>
      <w:r w:rsidR="00F75C89">
        <w:rPr>
          <w:b/>
        </w:rPr>
        <w:t>wypowiedzenia Umowy</w:t>
      </w:r>
      <w:r>
        <w:rPr>
          <w:b/>
        </w:rPr>
        <w:t xml:space="preserve"> </w:t>
      </w:r>
    </w:p>
    <w:p w:rsidR="00475ADF" w:rsidRPr="00475ADF" w:rsidRDefault="00475ADF" w:rsidP="00A22D68">
      <w:pPr>
        <w:pStyle w:val="Tekstpodstawowywcity3"/>
        <w:spacing w:before="120" w:after="0" w:line="360" w:lineRule="auto"/>
        <w:ind w:left="0"/>
        <w:jc w:val="both"/>
        <w:rPr>
          <w:sz w:val="24"/>
          <w:szCs w:val="24"/>
        </w:rPr>
      </w:pPr>
      <w:r w:rsidRPr="00475ADF">
        <w:rPr>
          <w:sz w:val="24"/>
          <w:szCs w:val="24"/>
        </w:rPr>
        <w:t xml:space="preserve">Obowiązywanie </w:t>
      </w:r>
      <w:r w:rsidRPr="00577B81">
        <w:rPr>
          <w:sz w:val="24"/>
          <w:szCs w:val="24"/>
        </w:rPr>
        <w:t xml:space="preserve">Umowy </w:t>
      </w:r>
      <w:r w:rsidR="00E53309" w:rsidRPr="00577B81">
        <w:rPr>
          <w:sz w:val="24"/>
          <w:szCs w:val="24"/>
        </w:rPr>
        <w:t>między Rzecząpospolitą Polską i Królestwem Holandii o</w:t>
      </w:r>
      <w:r w:rsidR="00A22D68" w:rsidRPr="00577B81">
        <w:rPr>
          <w:sz w:val="24"/>
          <w:szCs w:val="24"/>
        </w:rPr>
        <w:t> </w:t>
      </w:r>
      <w:r w:rsidR="00E53309" w:rsidRPr="00577B81">
        <w:rPr>
          <w:sz w:val="24"/>
          <w:szCs w:val="24"/>
        </w:rPr>
        <w:t>popieraniu i wzajemnej ochronie inwestycji, sporządzonej w Warszawie dnia 7</w:t>
      </w:r>
      <w:r w:rsidR="00A22D68" w:rsidRPr="00577B81">
        <w:rPr>
          <w:sz w:val="24"/>
          <w:szCs w:val="24"/>
        </w:rPr>
        <w:t> </w:t>
      </w:r>
      <w:r w:rsidR="00E53309" w:rsidRPr="00577B81">
        <w:rPr>
          <w:sz w:val="24"/>
          <w:szCs w:val="24"/>
        </w:rPr>
        <w:t>września 1992 r.</w:t>
      </w:r>
      <w:r w:rsidR="00E53309" w:rsidRPr="00E53309">
        <w:rPr>
          <w:i/>
          <w:sz w:val="24"/>
          <w:szCs w:val="24"/>
        </w:rPr>
        <w:t xml:space="preserve"> </w:t>
      </w:r>
      <w:r w:rsidR="00E53309" w:rsidRPr="00E53309">
        <w:rPr>
          <w:sz w:val="24"/>
          <w:szCs w:val="24"/>
        </w:rPr>
        <w:t xml:space="preserve">(Dz. U. z 1994 r. poz. 235), dalej jako „Umowa”, </w:t>
      </w:r>
      <w:r w:rsidRPr="00E53309">
        <w:rPr>
          <w:sz w:val="24"/>
          <w:szCs w:val="24"/>
        </w:rPr>
        <w:t>jest kwestionowane przez Komisję Europ</w:t>
      </w:r>
      <w:r w:rsidRPr="00475ADF">
        <w:rPr>
          <w:sz w:val="24"/>
          <w:szCs w:val="24"/>
        </w:rPr>
        <w:t>ejską z uwagi na niezgodność Umowy z prawem UE, podobnie jak kwestionowane jest obowiązywanie wszystkich pozostałych umów o</w:t>
      </w:r>
      <w:r w:rsidR="00A22D68">
        <w:rPr>
          <w:sz w:val="24"/>
          <w:szCs w:val="24"/>
        </w:rPr>
        <w:t> </w:t>
      </w:r>
      <w:r w:rsidRPr="00475ADF">
        <w:rPr>
          <w:sz w:val="24"/>
          <w:szCs w:val="24"/>
        </w:rPr>
        <w:t>popieraniu i 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ws.</w:t>
      </w:r>
      <w:r w:rsidR="00A22D68">
        <w:rPr>
          <w:sz w:val="24"/>
          <w:szCs w:val="24"/>
        </w:rPr>
        <w:t> </w:t>
      </w:r>
      <w:r w:rsidRPr="00475ADF">
        <w:rPr>
          <w:sz w:val="24"/>
          <w:szCs w:val="24"/>
        </w:rPr>
        <w:t>niezgodności m.in. tej Umowy z prawem UE. Takie formalne postępowania Komisji Europejskiej toczą się już przeciwko Austrii, Holandii, Słowacji, Szwecji i</w:t>
      </w:r>
      <w:r w:rsidR="00A22D68">
        <w:rPr>
          <w:sz w:val="24"/>
          <w:szCs w:val="24"/>
        </w:rPr>
        <w:t> </w:t>
      </w:r>
      <w:r w:rsidRPr="00475ADF">
        <w:rPr>
          <w:sz w:val="24"/>
          <w:szCs w:val="24"/>
        </w:rPr>
        <w:t xml:space="preserve">Rumunii. </w:t>
      </w:r>
    </w:p>
    <w:p w:rsidR="00475ADF" w:rsidRPr="00A22D68" w:rsidRDefault="00475ADF" w:rsidP="00A22D68">
      <w:pPr>
        <w:spacing w:before="120" w:line="360" w:lineRule="auto"/>
        <w:jc w:val="both"/>
        <w:rPr>
          <w:color w:val="000000"/>
        </w:rPr>
      </w:pPr>
      <w:r w:rsidRPr="00475ADF">
        <w:t>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w:t>
      </w:r>
      <w:r w:rsidR="00E53309">
        <w:t xml:space="preserve">. </w:t>
      </w:r>
      <w:r w:rsidR="00DB2114">
        <w:t xml:space="preserve">Ponadto </w:t>
      </w:r>
      <w:r w:rsidR="00E53309" w:rsidRPr="002329FE">
        <w:rPr>
          <w:color w:val="000000"/>
        </w:rPr>
        <w:t>RP wypowiedziała</w:t>
      </w:r>
      <w:r w:rsidR="00F84DB2">
        <w:rPr>
          <w:color w:val="000000"/>
        </w:rPr>
        <w:t>, z uwagi na prawo UE,</w:t>
      </w:r>
      <w:r w:rsidR="00E53309" w:rsidRPr="002329FE">
        <w:rPr>
          <w:color w:val="000000"/>
        </w:rPr>
        <w:t xml:space="preserve"> umowę intra-EU BIT zawartą z Portugalią</w:t>
      </w:r>
      <w:r w:rsidR="00E53309">
        <w:rPr>
          <w:color w:val="000000"/>
        </w:rPr>
        <w:t xml:space="preserve"> (umow</w:t>
      </w:r>
      <w:r w:rsidR="00D34A4C">
        <w:rPr>
          <w:color w:val="000000"/>
        </w:rPr>
        <w:t xml:space="preserve">a wygaśnie </w:t>
      </w:r>
      <w:r w:rsidR="00E53309">
        <w:rPr>
          <w:color w:val="000000"/>
        </w:rPr>
        <w:t xml:space="preserve">w dniu </w:t>
      </w:r>
      <w:r w:rsidR="00D34A4C">
        <w:rPr>
          <w:color w:val="000000"/>
        </w:rPr>
        <w:t>3</w:t>
      </w:r>
      <w:r w:rsidR="00E53309">
        <w:rPr>
          <w:color w:val="000000"/>
        </w:rPr>
        <w:t xml:space="preserve"> sierpnia 2019 r.). </w:t>
      </w:r>
    </w:p>
    <w:p w:rsidR="00475ADF" w:rsidRPr="00475ADF" w:rsidRDefault="00475ADF" w:rsidP="00A22D68">
      <w:pPr>
        <w:pStyle w:val="Tekstpodstawowywcity3"/>
        <w:spacing w:before="120" w:after="0" w:line="360" w:lineRule="auto"/>
        <w:ind w:left="0"/>
        <w:jc w:val="both"/>
        <w:rPr>
          <w:sz w:val="24"/>
          <w:szCs w:val="24"/>
        </w:rPr>
      </w:pPr>
      <w:r w:rsidRPr="00475ADF">
        <w:rPr>
          <w:sz w:val="24"/>
          <w:szCs w:val="24"/>
        </w:rPr>
        <w:t>Stanowisko RP wobec umów intra-EU BIT zostało przyjęte przez Komitet do Spraw Europejskich w dniu 3 czerwca 2011 r. Zgodnie z nim umowy intra-EU BIT powinny zostać wypowiedziane przez wszystkie państwa członkowskie UE</w:t>
      </w:r>
      <w:r w:rsidR="00F75C89">
        <w:rPr>
          <w:sz w:val="24"/>
          <w:szCs w:val="24"/>
        </w:rPr>
        <w:t>,</w:t>
      </w:r>
      <w:r w:rsidRPr="00475ADF">
        <w:rPr>
          <w:sz w:val="24"/>
          <w:szCs w:val="24"/>
        </w:rPr>
        <w:t xml:space="preserve"> a najlepszym rozwiązaniem dla RP byłoby, aby wszystkie państwa członkowskie UE podjęły jednocześnie wspólną decyzję</w:t>
      </w:r>
      <w:r>
        <w:rPr>
          <w:sz w:val="24"/>
          <w:szCs w:val="24"/>
        </w:rPr>
        <w:t xml:space="preserve"> </w:t>
      </w:r>
      <w:r w:rsidRPr="00475ADF">
        <w:rPr>
          <w:sz w:val="24"/>
          <w:szCs w:val="24"/>
        </w:rPr>
        <w:t xml:space="preserve">o rozwiązaniu umów intra-EU BIT za obopólną zgodą na mocy </w:t>
      </w:r>
      <w:r w:rsidRPr="00577B81">
        <w:rPr>
          <w:sz w:val="24"/>
          <w:szCs w:val="24"/>
        </w:rPr>
        <w:t>Konwencji wiedeńskiej o prawie traktatów</w:t>
      </w:r>
      <w:r w:rsidR="00F75C89" w:rsidRPr="00577B81">
        <w:rPr>
          <w:sz w:val="24"/>
          <w:szCs w:val="24"/>
        </w:rPr>
        <w:t>,</w:t>
      </w:r>
      <w:r w:rsidRPr="00577B81">
        <w:rPr>
          <w:sz w:val="24"/>
          <w:szCs w:val="24"/>
        </w:rPr>
        <w:t xml:space="preserve"> sporządzonej w Wiedniu dnia 23</w:t>
      </w:r>
      <w:r w:rsidR="00022FFA">
        <w:rPr>
          <w:sz w:val="24"/>
          <w:szCs w:val="24"/>
        </w:rPr>
        <w:t> </w:t>
      </w:r>
      <w:r w:rsidRPr="00577B81">
        <w:rPr>
          <w:sz w:val="24"/>
          <w:szCs w:val="24"/>
        </w:rPr>
        <w:t>maja 1969 r.</w:t>
      </w:r>
      <w:r w:rsidRPr="00475ADF">
        <w:rPr>
          <w:i/>
          <w:sz w:val="24"/>
          <w:szCs w:val="24"/>
        </w:rPr>
        <w:t xml:space="preserve"> </w:t>
      </w:r>
      <w:r w:rsidRPr="00475ADF">
        <w:rPr>
          <w:sz w:val="24"/>
          <w:szCs w:val="24"/>
        </w:rPr>
        <w:t>(Dz. U. z 1990 r.</w:t>
      </w:r>
      <w:r w:rsidR="00801F11">
        <w:rPr>
          <w:sz w:val="24"/>
          <w:szCs w:val="24"/>
        </w:rPr>
        <w:t xml:space="preserve"> poz. 439</w:t>
      </w:r>
      <w:r w:rsidRPr="00475ADF">
        <w:rPr>
          <w:sz w:val="24"/>
          <w:szCs w:val="24"/>
        </w:rPr>
        <w:t>). Alternatywnie, w przypadku braku możliwości osiągnięcia wśród państw członkowskich UE takiej jednomyślności</w:t>
      </w:r>
      <w:r w:rsidR="00022FFA">
        <w:rPr>
          <w:sz w:val="24"/>
          <w:szCs w:val="24"/>
        </w:rPr>
        <w:t>,</w:t>
      </w:r>
      <w:r w:rsidRPr="00475ADF">
        <w:rPr>
          <w:sz w:val="24"/>
          <w:szCs w:val="24"/>
        </w:rPr>
        <w:t xml:space="preserve"> RP, zgodnie z</w:t>
      </w:r>
      <w:r w:rsidR="00A22D68">
        <w:rPr>
          <w:sz w:val="24"/>
          <w:szCs w:val="24"/>
        </w:rPr>
        <w:t> </w:t>
      </w:r>
      <w:r w:rsidRPr="00475ADF">
        <w:rPr>
          <w:sz w:val="24"/>
          <w:szCs w:val="24"/>
        </w:rPr>
        <w:t>powyższym stanowiskiem, miała rozwiązać umowy intra-EU BIT zawarte z</w:t>
      </w:r>
      <w:r w:rsidR="00022FFA">
        <w:rPr>
          <w:sz w:val="24"/>
          <w:szCs w:val="24"/>
        </w:rPr>
        <w:t> </w:t>
      </w:r>
      <w:r w:rsidRPr="00475ADF">
        <w:rPr>
          <w:sz w:val="24"/>
          <w:szCs w:val="24"/>
        </w:rPr>
        <w:t>innymi państwami członkowskimi UE albo poprzez ich wypowiedzenie na warunkach określonych w tych umowach</w:t>
      </w:r>
      <w:r w:rsidR="00F75C89">
        <w:rPr>
          <w:sz w:val="24"/>
          <w:szCs w:val="24"/>
        </w:rPr>
        <w:t>,</w:t>
      </w:r>
      <w:r w:rsidRPr="00475ADF">
        <w:rPr>
          <w:sz w:val="24"/>
          <w:szCs w:val="24"/>
        </w:rPr>
        <w:t xml:space="preserve"> albo na podstawie porozumienia stron. </w:t>
      </w:r>
    </w:p>
    <w:p w:rsidR="00475ADF" w:rsidRPr="00A22D68" w:rsidRDefault="00475ADF" w:rsidP="00A22D68">
      <w:pPr>
        <w:pStyle w:val="Tekstpodstawowywcity3"/>
        <w:spacing w:before="120" w:after="0" w:line="360" w:lineRule="auto"/>
        <w:ind w:left="0"/>
        <w:jc w:val="both"/>
        <w:rPr>
          <w:i/>
          <w:sz w:val="24"/>
          <w:szCs w:val="24"/>
        </w:rPr>
      </w:pPr>
      <w:r w:rsidRPr="00475ADF">
        <w:rPr>
          <w:sz w:val="24"/>
          <w:szCs w:val="24"/>
        </w:rPr>
        <w:lastRenderedPageBreak/>
        <w:t xml:space="preserve">W odpowiedzi RP skierowanej do Komisji Europejskiej we wrześniu 2015 r. w ramach ww. postępowania EU Pilot RP podtrzymała gotowość do zakończenia obowiązywania 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801F11">
        <w:rPr>
          <w:sz w:val="24"/>
          <w:szCs w:val="24"/>
        </w:rPr>
        <w:t xml:space="preserve">klauzula </w:t>
      </w:r>
      <w:r w:rsidR="00E53309">
        <w:rPr>
          <w:sz w:val="24"/>
          <w:szCs w:val="24"/>
        </w:rPr>
        <w:t xml:space="preserve">przedłużonego obowiązywania umowy, </w:t>
      </w:r>
      <w:r w:rsidRPr="00475ADF">
        <w:rPr>
          <w:i/>
          <w:sz w:val="24"/>
          <w:szCs w:val="24"/>
        </w:rPr>
        <w:t>sunset clause</w:t>
      </w:r>
      <w:r w:rsidRPr="00475ADF">
        <w:rPr>
          <w:sz w:val="24"/>
          <w:szCs w:val="24"/>
        </w:rPr>
        <w:t xml:space="preserve">). O wiele lepszym sposobem, jak Polska wskazała, byłoby rozwiązanie umów intra-EU BIT na podstawie porozumień dwustronnych, które przewidywałyby rezygnację </w:t>
      </w:r>
      <w:r w:rsidR="00801F11" w:rsidRPr="00475ADF">
        <w:rPr>
          <w:sz w:val="24"/>
          <w:szCs w:val="24"/>
        </w:rPr>
        <w:t xml:space="preserve">z </w:t>
      </w:r>
      <w:r w:rsidR="00801F11">
        <w:rPr>
          <w:sz w:val="24"/>
          <w:szCs w:val="24"/>
        </w:rPr>
        <w:t xml:space="preserve">klauzuli </w:t>
      </w:r>
      <w:r w:rsidR="00E53309">
        <w:rPr>
          <w:sz w:val="24"/>
          <w:szCs w:val="24"/>
        </w:rPr>
        <w:t xml:space="preserve">przedłużonego obowiązywania umowy. </w:t>
      </w:r>
      <w:r w:rsidRPr="00475ADF">
        <w:rPr>
          <w:sz w:val="24"/>
          <w:szCs w:val="24"/>
        </w:rP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801F11">
        <w:rPr>
          <w:sz w:val="24"/>
          <w:szCs w:val="24"/>
        </w:rPr>
        <w:t>klauzul</w:t>
      </w:r>
      <w:r w:rsidR="00E53309">
        <w:rPr>
          <w:sz w:val="24"/>
          <w:szCs w:val="24"/>
        </w:rPr>
        <w:t xml:space="preserve"> przedłużonego obowiązywania umowy w </w:t>
      </w:r>
      <w:r w:rsidRPr="00475ADF">
        <w:rPr>
          <w:sz w:val="24"/>
          <w:szCs w:val="24"/>
        </w:rPr>
        <w:t xml:space="preserve">oparciu o porozumienie wielostronne, zawarte zgodnie z </w:t>
      </w:r>
      <w:r w:rsidRPr="00577B81">
        <w:rPr>
          <w:sz w:val="24"/>
          <w:szCs w:val="24"/>
        </w:rPr>
        <w:t>Konwencją wiedeńską o prawie traktatów</w:t>
      </w:r>
      <w:r w:rsidR="00F75C89" w:rsidRPr="00577B81">
        <w:rPr>
          <w:sz w:val="24"/>
          <w:szCs w:val="24"/>
        </w:rPr>
        <w:t>,</w:t>
      </w:r>
      <w:r w:rsidRPr="00577B81">
        <w:rPr>
          <w:sz w:val="24"/>
          <w:szCs w:val="24"/>
        </w:rPr>
        <w:t xml:space="preserve"> sporządzoną w Wiedniu dnia 23</w:t>
      </w:r>
      <w:r w:rsidR="00A22D68" w:rsidRPr="00577B81">
        <w:rPr>
          <w:sz w:val="24"/>
          <w:szCs w:val="24"/>
        </w:rPr>
        <w:t> </w:t>
      </w:r>
      <w:r w:rsidRPr="00577B81">
        <w:rPr>
          <w:sz w:val="24"/>
          <w:szCs w:val="24"/>
        </w:rPr>
        <w:t>maja 1969 r.</w:t>
      </w:r>
    </w:p>
    <w:p w:rsidR="00475ADF" w:rsidRPr="00475ADF" w:rsidRDefault="00F75C89" w:rsidP="00A22D68">
      <w:pPr>
        <w:spacing w:before="120" w:line="360" w:lineRule="auto"/>
        <w:contextualSpacing/>
        <w:jc w:val="both"/>
      </w:pPr>
      <w:r>
        <w:rPr>
          <w:rFonts w:eastAsia="Calibri"/>
        </w:rPr>
        <w:t>Obecnie jednak z</w:t>
      </w:r>
      <w:r w:rsidRPr="00966894">
        <w:rPr>
          <w:rFonts w:eastAsia="Calibri"/>
        </w:rPr>
        <w:t xml:space="preserve"> uwagi na brak </w:t>
      </w:r>
      <w:r w:rsidR="00E53309">
        <w:rPr>
          <w:rFonts w:eastAsia="Calibri"/>
        </w:rPr>
        <w:t xml:space="preserve">konsensusu </w:t>
      </w:r>
      <w:r w:rsidRPr="00966894">
        <w:rPr>
          <w:rFonts w:eastAsia="Calibri"/>
        </w:rPr>
        <w:t xml:space="preserve">państw członkowskich UE co do celowości i sposobu rozwiązania umów intra-EU BIT </w:t>
      </w:r>
      <w:r w:rsidR="00577B81" w:rsidRPr="00966894">
        <w:rPr>
          <w:rFonts w:eastAsia="Calibri"/>
        </w:rPr>
        <w:t xml:space="preserve">jest </w:t>
      </w:r>
      <w:r w:rsidRPr="00966894">
        <w:rPr>
          <w:rFonts w:eastAsia="Calibri"/>
        </w:rPr>
        <w:t xml:space="preserve">zasadne przystąpienie RP do realizacji opcji </w:t>
      </w:r>
      <w:r w:rsidRPr="00966894">
        <w:t xml:space="preserve">rozwiązania tych umów na podstawie porozumień dwustronnych, które przewidywałyby rezygnację z </w:t>
      </w:r>
      <w:r>
        <w:t xml:space="preserve">klauzul </w:t>
      </w:r>
      <w:r w:rsidR="00E53309">
        <w:t xml:space="preserve">przedłużonego obowiązywania umowy. </w:t>
      </w:r>
      <w:r>
        <w:t>Królestwo Niderlandów n</w:t>
      </w:r>
      <w:r w:rsidRPr="00966894">
        <w:t>ie jest obecnie zainteresowan</w:t>
      </w:r>
      <w:r>
        <w:t>e</w:t>
      </w:r>
      <w:r w:rsidRPr="00966894">
        <w:t xml:space="preserve"> rozwiązaniem z RP ww. Umowy</w:t>
      </w:r>
      <w:r>
        <w:t xml:space="preserve">, </w:t>
      </w:r>
      <w:r w:rsidRPr="00966894">
        <w:t xml:space="preserve">łącznie z </w:t>
      </w:r>
      <w:r>
        <w:t xml:space="preserve">klauzulą </w:t>
      </w:r>
      <w:r w:rsidR="00E53309">
        <w:t xml:space="preserve">przedłużonego obowiązywania umowy. </w:t>
      </w:r>
      <w:r w:rsidRPr="00966894">
        <w:t xml:space="preserve">W ocenie RP, biorąc pod uwagę, że </w:t>
      </w:r>
      <w:r>
        <w:t xml:space="preserve">na podstawie </w:t>
      </w:r>
      <w:r w:rsidRPr="00966894">
        <w:t>art. 1</w:t>
      </w:r>
      <w:r>
        <w:t>3</w:t>
      </w:r>
      <w:r w:rsidRPr="00966894">
        <w:t xml:space="preserve"> ust. 2 Umowy jej wypowiedzenie może nastąpić jedynie w okresie poprzedzającym zakończenie jej </w:t>
      </w:r>
      <w:r>
        <w:t xml:space="preserve">dziesięcioletniego </w:t>
      </w:r>
      <w:r w:rsidRPr="00966894">
        <w:t xml:space="preserve">cyklu obowiązywania (oświadczenie o wypowiedzeniu Umowy należy złożyć najpóźniej dnia </w:t>
      </w:r>
      <w:r>
        <w:lastRenderedPageBreak/>
        <w:t xml:space="preserve">1 </w:t>
      </w:r>
      <w:r w:rsidR="006E6E77">
        <w:t xml:space="preserve">sierpnia </w:t>
      </w:r>
      <w:r>
        <w:t xml:space="preserve">2018 r., </w:t>
      </w:r>
      <w:r w:rsidR="00DB498D">
        <w:t xml:space="preserve">a </w:t>
      </w:r>
      <w:r>
        <w:t xml:space="preserve">po tym terminie dopiero </w:t>
      </w:r>
      <w:r w:rsidR="00DB498D">
        <w:t>dnia 1 sierpnia 2028 r.)</w:t>
      </w:r>
      <w:r w:rsidRPr="00966894">
        <w:t xml:space="preserve">, </w:t>
      </w:r>
      <w:r w:rsidR="00577B81" w:rsidRPr="00966894">
        <w:t xml:space="preserve">jest </w:t>
      </w:r>
      <w:r w:rsidRPr="00966894">
        <w:t xml:space="preserve">zasadne wypowiedzenie Umowy. </w:t>
      </w:r>
      <w:r>
        <w:t xml:space="preserve">Na podstawie </w:t>
      </w:r>
      <w:r w:rsidRPr="00966894">
        <w:t>art. 1</w:t>
      </w:r>
      <w:r>
        <w:t>3</w:t>
      </w:r>
      <w:r w:rsidRPr="00966894">
        <w:t xml:space="preserve"> ust. 3</w:t>
      </w:r>
      <w:r>
        <w:t xml:space="preserve"> inwestycje dokonane przed wejściem w życie wypowiedzenia Umowy będą chronione na mocy tej Umowy przez piętnaście lat</w:t>
      </w:r>
      <w:r w:rsidR="00CA0F73">
        <w:t xml:space="preserve"> </w:t>
      </w:r>
      <w:r w:rsidR="00CA0F73" w:rsidRPr="00CA0F73">
        <w:t>od czasu wygaśnięcia Umowy</w:t>
      </w:r>
      <w:r>
        <w:t xml:space="preserve">. Jednocześnie RP będzie kontynuowała konsultacje z Królestwem Niderlandów mające na celu doprowadzenie do rozwiązania Umowy, łącznie z klauzulą </w:t>
      </w:r>
      <w:r w:rsidR="00E53309">
        <w:t xml:space="preserve">przedłużonego obowiązywania umowy. </w:t>
      </w:r>
      <w:r w:rsidRPr="004431FA">
        <w:t xml:space="preserve">W </w:t>
      </w:r>
      <w:r>
        <w:t xml:space="preserve">przypadku uzyskania takiej zgody przed wejściem w życie wypowiedzenia Umowy, RP podejmie działania mające na celu zakończenie obowiązywania Umowy, łącznie z </w:t>
      </w:r>
      <w:r w:rsidR="00E53309">
        <w:t xml:space="preserve">ww. </w:t>
      </w:r>
      <w:r>
        <w:t xml:space="preserve">klauzulą. </w:t>
      </w:r>
    </w:p>
    <w:p w:rsidR="00271D07" w:rsidRPr="00475ADF" w:rsidRDefault="00A22D68" w:rsidP="00A22D68">
      <w:pPr>
        <w:tabs>
          <w:tab w:val="left" w:pos="336"/>
        </w:tabs>
        <w:spacing w:before="120" w:line="360" w:lineRule="auto"/>
        <w:jc w:val="both"/>
        <w:rPr>
          <w:b/>
          <w:color w:val="000000"/>
        </w:rPr>
      </w:pPr>
      <w:r>
        <w:rPr>
          <w:b/>
          <w:color w:val="000000"/>
        </w:rPr>
        <w:t>2.</w:t>
      </w:r>
      <w:r>
        <w:rPr>
          <w:b/>
          <w:color w:val="000000"/>
        </w:rPr>
        <w:tab/>
      </w:r>
      <w:r w:rsidR="00271D07" w:rsidRPr="00475ADF">
        <w:rPr>
          <w:b/>
          <w:color w:val="000000"/>
        </w:rPr>
        <w:t>Dotychczasowy a projektowany stan prawny</w:t>
      </w:r>
    </w:p>
    <w:p w:rsidR="00475ADF" w:rsidRPr="00475ADF" w:rsidRDefault="00A22D68" w:rsidP="00A22D68">
      <w:pPr>
        <w:tabs>
          <w:tab w:val="left" w:pos="540"/>
        </w:tabs>
        <w:spacing w:before="120" w:line="360" w:lineRule="auto"/>
        <w:jc w:val="both"/>
      </w:pPr>
      <w:r>
        <w:t>W polsko-</w:t>
      </w:r>
      <w:r w:rsidR="00BD684F" w:rsidRPr="00475ADF">
        <w:t xml:space="preserve">niderlandzkich </w:t>
      </w:r>
      <w:r w:rsidR="00322249" w:rsidRPr="00475ADF">
        <w:t>stosunkach prawno</w:t>
      </w:r>
      <w:r>
        <w:t>-</w:t>
      </w:r>
      <w:r w:rsidR="00322249" w:rsidRPr="00475ADF">
        <w:t xml:space="preserve">traktatowych w zakresie współpracy gospodarczej obowiązuje </w:t>
      </w:r>
      <w:r w:rsidR="00801F11">
        <w:t xml:space="preserve">m.in. </w:t>
      </w:r>
      <w:r w:rsidR="00FC0C80" w:rsidRPr="00475ADF">
        <w:t xml:space="preserve">ww. </w:t>
      </w:r>
      <w:r w:rsidR="00524263" w:rsidRPr="00577B81">
        <w:t>Umowa między Rzecząpospolitą Polską i</w:t>
      </w:r>
      <w:r w:rsidRPr="00577B81">
        <w:t> </w:t>
      </w:r>
      <w:r w:rsidR="00524263" w:rsidRPr="00577B81">
        <w:t>Królestwem Holandii o popieraniu i wzajemnej ochron</w:t>
      </w:r>
      <w:r w:rsidR="00370B74" w:rsidRPr="00577B81">
        <w:t>ie</w:t>
      </w:r>
      <w:r w:rsidR="00524263" w:rsidRPr="00577B81">
        <w:t xml:space="preserve"> inwestycji, sporządzona w</w:t>
      </w:r>
      <w:r w:rsidRPr="00577B81">
        <w:t> </w:t>
      </w:r>
      <w:r w:rsidR="00524263" w:rsidRPr="00577B81">
        <w:t xml:space="preserve">Warszawie dnia 7 września 1992 r. </w:t>
      </w:r>
      <w:r w:rsidR="00C60C98" w:rsidRPr="00475ADF">
        <w:t xml:space="preserve">Zapewnia ona inwestorowi i jego inwestycjom </w:t>
      </w:r>
      <w:r w:rsidR="004053DE" w:rsidRPr="00475ADF">
        <w:t>z</w:t>
      </w:r>
      <w:r>
        <w:t> </w:t>
      </w:r>
      <w:r w:rsidR="004053DE" w:rsidRPr="00475ADF">
        <w:t xml:space="preserve">państwa – </w:t>
      </w:r>
      <w:r w:rsidR="00475ADF" w:rsidRPr="00475ADF">
        <w:t>S</w:t>
      </w:r>
      <w:r w:rsidR="004053DE" w:rsidRPr="00475ADF">
        <w:t xml:space="preserve">trony </w:t>
      </w:r>
      <w:r w:rsidR="00175C36" w:rsidRPr="00475ADF">
        <w:t>U</w:t>
      </w:r>
      <w:r w:rsidR="004053DE" w:rsidRPr="00475ADF">
        <w:t xml:space="preserve">mowy na terytorium państwa – drugiej </w:t>
      </w:r>
      <w:r w:rsidR="00475ADF" w:rsidRPr="00475ADF">
        <w:t>S</w:t>
      </w:r>
      <w:r w:rsidR="004053DE" w:rsidRPr="00475ADF">
        <w:t xml:space="preserve">trony </w:t>
      </w:r>
      <w:r w:rsidR="00175C36" w:rsidRPr="00475ADF">
        <w:t xml:space="preserve">Umowy </w:t>
      </w:r>
      <w:r w:rsidR="00FC4D37" w:rsidRPr="00475ADF">
        <w:t xml:space="preserve">pełną ochronę </w:t>
      </w:r>
      <w:r w:rsidR="009456A4" w:rsidRPr="00475ADF">
        <w:t xml:space="preserve">oraz możliwość dochodzenia roszczeń przed międzynarodowym trybunałem inwestycyjnym. Komisja Europejska </w:t>
      </w:r>
      <w:r w:rsidR="00C60C98" w:rsidRPr="00475ADF">
        <w:t xml:space="preserve">ma poważne obawy, że </w:t>
      </w:r>
      <w:r w:rsidR="00FC4D37" w:rsidRPr="00475ADF">
        <w:t xml:space="preserve">umowy intra-EU BIT jako takie, w tym </w:t>
      </w:r>
      <w:r w:rsidR="00FC0C80" w:rsidRPr="00475ADF">
        <w:t xml:space="preserve">ww. </w:t>
      </w:r>
      <w:r w:rsidR="00FC4D37" w:rsidRPr="00475ADF">
        <w:t>Umowa</w:t>
      </w:r>
      <w:r w:rsidR="00FC0C80" w:rsidRPr="00475ADF">
        <w:t>,</w:t>
      </w:r>
      <w:r w:rsidR="00FC4D37" w:rsidRPr="00475ADF">
        <w:t xml:space="preserve"> </w:t>
      </w:r>
      <w:r w:rsidR="00C60C98" w:rsidRPr="00475ADF">
        <w:t>a także ich poszczególne postanowienia</w:t>
      </w:r>
      <w:r w:rsidR="00FC4D37" w:rsidRPr="00475ADF">
        <w:t xml:space="preserve"> </w:t>
      </w:r>
      <w:r w:rsidR="00C60C98" w:rsidRPr="00475ADF">
        <w:t>pokrywają się z</w:t>
      </w:r>
      <w:r>
        <w:t> </w:t>
      </w:r>
      <w:r w:rsidR="00C60C98" w:rsidRPr="00475ADF">
        <w:t xml:space="preserve">postanowieniami Traktatu o funkcjonowaniu Unii Europejskiej </w:t>
      </w:r>
      <w:r w:rsidR="00801F11">
        <w:t>lub</w:t>
      </w:r>
      <w:r w:rsidR="00801F11" w:rsidRPr="00475ADF">
        <w:t xml:space="preserve"> </w:t>
      </w:r>
      <w:r w:rsidR="00C60C98" w:rsidRPr="00475ADF">
        <w:t>mogą być z nimi sprzeczne, w szczególności z zasadami swobody przepływu kapitału, swobody przedsiębiorczości i swobody świadczenia usług oraz z podstawowymi zasadami prawa U</w:t>
      </w:r>
      <w:r w:rsidR="00FC4D37" w:rsidRPr="00475ADF">
        <w:t>E</w:t>
      </w:r>
      <w:r w:rsidR="00577B81">
        <w:t>,</w:t>
      </w:r>
      <w:r w:rsidR="00FC4D37" w:rsidRPr="00475ADF">
        <w:t xml:space="preserve"> </w:t>
      </w:r>
      <w:r w:rsidR="00C60C98" w:rsidRPr="00475ADF">
        <w:t>takimi jak</w:t>
      </w:r>
      <w:r w:rsidR="0059545F" w:rsidRPr="00475ADF">
        <w:t>:</w:t>
      </w:r>
      <w:r w:rsidR="00C60C98" w:rsidRPr="00475ADF">
        <w:t xml:space="preserve"> zasad</w:t>
      </w:r>
      <w:r w:rsidR="0059545F" w:rsidRPr="00475ADF">
        <w:t>a</w:t>
      </w:r>
      <w:r w:rsidR="00C60C98" w:rsidRPr="00475ADF">
        <w:t xml:space="preserve"> nadrzędności, jedności</w:t>
      </w:r>
      <w:r w:rsidR="0059545F" w:rsidRPr="00475ADF">
        <w:t xml:space="preserve">, </w:t>
      </w:r>
      <w:r w:rsidR="00C60C98" w:rsidRPr="00475ADF">
        <w:t xml:space="preserve">skuteczności </w:t>
      </w:r>
      <w:r w:rsidR="0059545F" w:rsidRPr="00475ADF">
        <w:t xml:space="preserve">i pewności </w:t>
      </w:r>
      <w:r w:rsidR="00C60C98" w:rsidRPr="00475ADF">
        <w:t>prawa U</w:t>
      </w:r>
      <w:r w:rsidR="00FC4D37" w:rsidRPr="00475ADF">
        <w:t>E</w:t>
      </w:r>
      <w:r w:rsidR="0059545F" w:rsidRPr="00475ADF">
        <w:t xml:space="preserve">. </w:t>
      </w:r>
      <w:r w:rsidR="00801F11" w:rsidRPr="00475ADF">
        <w:t>Komisj</w:t>
      </w:r>
      <w:r w:rsidR="00801F11">
        <w:t>a</w:t>
      </w:r>
      <w:r w:rsidR="00801F11" w:rsidRPr="00475ADF">
        <w:t xml:space="preserve"> </w:t>
      </w:r>
      <w:r w:rsidR="00FC4D37" w:rsidRPr="00475ADF">
        <w:t>Europejsk</w:t>
      </w:r>
      <w:r w:rsidR="00801F11">
        <w:t>a</w:t>
      </w:r>
      <w:r w:rsidR="00FC4D37" w:rsidRPr="00475ADF">
        <w:t xml:space="preserve"> </w:t>
      </w:r>
      <w:r w:rsidR="00801F11">
        <w:t xml:space="preserve">ma </w:t>
      </w:r>
      <w:r w:rsidR="00C60C98" w:rsidRPr="00475ADF">
        <w:t xml:space="preserve">również </w:t>
      </w:r>
      <w:r w:rsidR="00801F11">
        <w:t>z</w:t>
      </w:r>
      <w:r w:rsidR="00801F11" w:rsidRPr="00475ADF">
        <w:t xml:space="preserve">astrzeżenia </w:t>
      </w:r>
      <w:r w:rsidR="00801F11">
        <w:t xml:space="preserve">dotyczące </w:t>
      </w:r>
      <w:r w:rsidR="00C60C98" w:rsidRPr="00475ADF">
        <w:t xml:space="preserve">kwestii rozstrzygania sporów inwestycyjnych uregulowanej w dwustronnych umowach inwestycyjnych, </w:t>
      </w:r>
      <w:r w:rsidR="0059545F" w:rsidRPr="00475ADF">
        <w:t>w tym w</w:t>
      </w:r>
      <w:r>
        <w:t> </w:t>
      </w:r>
      <w:r w:rsidR="0059545F" w:rsidRPr="00475ADF">
        <w:t xml:space="preserve">ww. Umowie, </w:t>
      </w:r>
      <w:r w:rsidR="00C60C98" w:rsidRPr="00475ADF">
        <w:t>co</w:t>
      </w:r>
      <w:r w:rsidR="00801F11">
        <w:t>, zdaniem Komisji Europejskiej, „</w:t>
      </w:r>
      <w:r w:rsidR="00C60C98" w:rsidRPr="00475ADF">
        <w:t>wydaje się być sprzeczne z</w:t>
      </w:r>
      <w:r>
        <w:t> </w:t>
      </w:r>
      <w:r w:rsidR="00C60C98" w:rsidRPr="00475ADF">
        <w:t>wyłączną kompetencją sądów UE</w:t>
      </w:r>
      <w:r w:rsidR="00801F11">
        <w:t>”</w:t>
      </w:r>
      <w:r w:rsidR="00C60C98" w:rsidRPr="00475ADF">
        <w:t>.</w:t>
      </w:r>
      <w:r w:rsidR="00FC4D37" w:rsidRPr="00475ADF">
        <w:t xml:space="preserve"> </w:t>
      </w:r>
      <w:r w:rsidR="00E53309">
        <w:t>Wypowiedzenie Umowy</w:t>
      </w:r>
      <w:r w:rsidR="00FC4D37" w:rsidRPr="00475ADF">
        <w:t xml:space="preserve"> pozwoli doprowadzić do zgodnośc</w:t>
      </w:r>
      <w:r>
        <w:t>i z prawem UE stosunki polsko-</w:t>
      </w:r>
      <w:r w:rsidR="005A6FA0" w:rsidRPr="00475ADF">
        <w:t xml:space="preserve">niderlandzkie </w:t>
      </w:r>
      <w:r w:rsidR="00FC4D37" w:rsidRPr="00475ADF">
        <w:t xml:space="preserve">w zakresie współpracy gospodarczej. </w:t>
      </w:r>
    </w:p>
    <w:p w:rsidR="00475ADF" w:rsidRPr="00475ADF" w:rsidRDefault="00475ADF" w:rsidP="00A22D68">
      <w:pPr>
        <w:widowControl w:val="0"/>
        <w:autoSpaceDE w:val="0"/>
        <w:autoSpaceDN w:val="0"/>
        <w:adjustRightInd w:val="0"/>
        <w:spacing w:before="120" w:line="360" w:lineRule="auto"/>
        <w:jc w:val="both"/>
      </w:pPr>
      <w:r w:rsidRPr="00475ADF">
        <w:t>Należy też zaznaczyć, że jednocześnie przed Trybunałem Sprawiedliwości UE toczy się postępowanie z wniosku sądu niemieckiego o wydanie orzeczenia w trybie prejudycjalnym, sformułowan</w:t>
      </w:r>
      <w:r w:rsidR="00A0787C">
        <w:t>ego</w:t>
      </w:r>
      <w:r w:rsidRPr="00475ADF">
        <w:t xml:space="preserve"> w toku postępowania ze skargi Republiki Słowackiej o uchylenie wyroku sądu arbitrażowego wydanego na podstawie umowy intra-EU BIT zawartej pomiędzy Czechosłowacją i Królestwem Niderlandów w 1991 r.</w:t>
      </w:r>
      <w:r w:rsidR="004A10E8">
        <w:t>,</w:t>
      </w:r>
      <w:r w:rsidRPr="00475ADF">
        <w:t xml:space="preserve"> z powództwa </w:t>
      </w:r>
      <w:r w:rsidRPr="00475ADF">
        <w:lastRenderedPageBreak/>
        <w:t>Achmea B.V. przeciwko Republice Słowacji (postępowanie PCA Case No. 2008</w:t>
      </w:r>
      <w:r w:rsidR="004A10E8">
        <w:t>–</w:t>
      </w:r>
      <w:r w:rsidRPr="00475ADF">
        <w:t>13). W tej sprawie sąd niemiecki zwrócił się do TSUE z pytaniem prejudycjalnym dotyczącym tego, czy wykonanie wyroku wydanego na podstawie tej umowy nie naruszałoby postanowień Traktatów dotyczących: zakazu dyskryminacji z art. 18 TFUE (poprzez uprzywilejowanie inwestora z państwa – 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w:t>
      </w:r>
      <w:r w:rsidR="007E5765">
        <w:t>jska i wiele państw regionu</w:t>
      </w:r>
      <w:r w:rsidR="007E5765" w:rsidRPr="000A4C68">
        <w:t xml:space="preserve">. </w:t>
      </w:r>
      <w:r w:rsidR="0096531D" w:rsidRPr="000A4C68">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w:t>
      </w:r>
      <w:r w:rsidR="002D60AD">
        <w:t xml:space="preserve">Podnoszona jest także kwestia możliwego wygaśnięcia tych umów na podstawie art. 59 </w:t>
      </w:r>
      <w:r w:rsidR="002D60AD" w:rsidRPr="004A10E8">
        <w:rPr>
          <w:color w:val="000000"/>
        </w:rPr>
        <w:t>Konwencji wiedeńskiej o prawie traktatów, sporządzonej w Wiedniu dnia 23 maja 1969 r.</w:t>
      </w:r>
      <w:r w:rsidR="004A10E8">
        <w:rPr>
          <w:color w:val="000000"/>
        </w:rPr>
        <w:t>,</w:t>
      </w:r>
      <w:r w:rsidR="002D60AD">
        <w:rPr>
          <w:i/>
          <w:color w:val="000000"/>
        </w:rPr>
        <w:t xml:space="preserve"> </w:t>
      </w:r>
      <w:r w:rsidR="002D60AD">
        <w:t>w związku z zawarciem przez RP Traktatu Akcesyjnego do UE w zakresie, w którym umowy te są niezgodne z</w:t>
      </w:r>
      <w:r w:rsidR="00A22D68">
        <w:t> </w:t>
      </w:r>
      <w:r w:rsidR="002D60AD">
        <w:t>prawem UE.</w:t>
      </w:r>
    </w:p>
    <w:p w:rsidR="00271D07" w:rsidRPr="00475ADF" w:rsidRDefault="00A22D68" w:rsidP="00A22D68">
      <w:pPr>
        <w:tabs>
          <w:tab w:val="left" w:pos="336"/>
        </w:tabs>
        <w:spacing w:before="120" w:line="360" w:lineRule="auto"/>
        <w:jc w:val="both"/>
        <w:rPr>
          <w:b/>
        </w:rPr>
      </w:pPr>
      <w:r>
        <w:rPr>
          <w:b/>
        </w:rPr>
        <w:t>3.</w:t>
      </w:r>
      <w:r>
        <w:rPr>
          <w:b/>
        </w:rPr>
        <w:tab/>
      </w:r>
      <w:r w:rsidR="00271D07" w:rsidRPr="00475ADF">
        <w:rPr>
          <w:b/>
        </w:rPr>
        <w:t>Przewidywane skutki społeczne, gospodarcze, finansowe, polityczne i prawne</w:t>
      </w:r>
    </w:p>
    <w:p w:rsidR="00FC4D37" w:rsidRPr="00A22D68" w:rsidRDefault="00F75C89" w:rsidP="00A22D68">
      <w:pPr>
        <w:spacing w:before="120" w:line="360" w:lineRule="auto"/>
        <w:jc w:val="both"/>
        <w:rPr>
          <w:b/>
        </w:rPr>
      </w:pPr>
      <w:r>
        <w:t xml:space="preserve">Wypowiedzenie Umowy </w:t>
      </w:r>
      <w:r w:rsidR="00FC75DE" w:rsidRPr="00475ADF">
        <w:t xml:space="preserve">nie powinno mieć konsekwencji politycznych. Państwa członkowskie UE, w tym </w:t>
      </w:r>
      <w:r w:rsidR="002F1633">
        <w:t xml:space="preserve">zarówno </w:t>
      </w:r>
      <w:r w:rsidR="00FC75DE" w:rsidRPr="00475ADF">
        <w:t>RP</w:t>
      </w:r>
      <w:r>
        <w:t>,</w:t>
      </w:r>
      <w:r w:rsidR="00FC75DE" w:rsidRPr="00475ADF">
        <w:t xml:space="preserve"> jak i Królestwo Niderlandów, zostały wezwane przez Komisję Europejską do </w:t>
      </w:r>
      <w:r w:rsidR="00FB35F9" w:rsidRPr="00475ADF">
        <w:t xml:space="preserve">zakończenia obowiązywania </w:t>
      </w:r>
      <w:r w:rsidR="00FC75DE" w:rsidRPr="00475ADF">
        <w:t xml:space="preserve">umów intra-EU BIT. </w:t>
      </w:r>
    </w:p>
    <w:p w:rsidR="00FD249B" w:rsidRPr="00475ADF" w:rsidRDefault="00F75C89" w:rsidP="00A22D68">
      <w:pPr>
        <w:pStyle w:val="Tekstpodstawowy"/>
        <w:spacing w:before="120" w:after="0" w:line="360" w:lineRule="auto"/>
        <w:jc w:val="both"/>
      </w:pPr>
      <w:r>
        <w:t xml:space="preserve">Wypowiedzenie </w:t>
      </w:r>
      <w:r w:rsidR="00E53309">
        <w:t>U</w:t>
      </w:r>
      <w:r>
        <w:t xml:space="preserve">mowy </w:t>
      </w:r>
      <w:r w:rsidR="00366190" w:rsidRPr="00475ADF">
        <w:t xml:space="preserve">nie będzie miało </w:t>
      </w:r>
      <w:r w:rsidR="00FC4D37" w:rsidRPr="00475ADF">
        <w:t xml:space="preserve">negatywnych </w:t>
      </w:r>
      <w:r w:rsidR="00366190" w:rsidRPr="00475ADF">
        <w:t xml:space="preserve">skutków </w:t>
      </w:r>
      <w:r w:rsidR="00271D07" w:rsidRPr="00475ADF">
        <w:t>społecznych</w:t>
      </w:r>
      <w:r w:rsidR="00FC4D37" w:rsidRPr="00475ADF">
        <w:t>, wręcz przeciwnie</w:t>
      </w:r>
      <w:r w:rsidR="00FC0C80" w:rsidRPr="00475ADF">
        <w:t>,</w:t>
      </w:r>
      <w:r w:rsidR="00FC4D37" w:rsidRPr="00475ADF">
        <w:t xml:space="preserve"> należy oczekiwać, że zostanie ono życzliwie przyjęte z uwagi na publiczną krytykę w Polsce umów intra-EU BIT i międzynarodowego arbitrażu inwestycyjnego. </w:t>
      </w:r>
    </w:p>
    <w:p w:rsidR="00FC0C80" w:rsidRDefault="00F75C89" w:rsidP="00A22D68">
      <w:pPr>
        <w:tabs>
          <w:tab w:val="left" w:pos="720"/>
        </w:tabs>
        <w:autoSpaceDE w:val="0"/>
        <w:autoSpaceDN w:val="0"/>
        <w:adjustRightInd w:val="0"/>
        <w:spacing w:before="120" w:line="360" w:lineRule="auto"/>
        <w:jc w:val="both"/>
      </w:pPr>
      <w:r>
        <w:t xml:space="preserve">Wypowiedzenie Umowy </w:t>
      </w:r>
      <w:r w:rsidR="000643E1" w:rsidRPr="00475ADF">
        <w:t xml:space="preserve">nie </w:t>
      </w:r>
      <w:r w:rsidR="007B5F79" w:rsidRPr="00475ADF">
        <w:t xml:space="preserve">powinno </w:t>
      </w:r>
      <w:r w:rsidR="000643E1" w:rsidRPr="00475ADF">
        <w:t>wpłyn</w:t>
      </w:r>
      <w:r w:rsidR="007B5F79" w:rsidRPr="00475ADF">
        <w:t xml:space="preserve">ąć </w:t>
      </w:r>
      <w:r w:rsidR="000643E1" w:rsidRPr="00475ADF">
        <w:t xml:space="preserve">na stosunki gospodarcze między </w:t>
      </w:r>
      <w:r w:rsidR="00FC4D37" w:rsidRPr="00475ADF">
        <w:t xml:space="preserve">RP </w:t>
      </w:r>
      <w:r w:rsidR="000643E1" w:rsidRPr="00475ADF">
        <w:t>a</w:t>
      </w:r>
      <w:r w:rsidR="00A22D68">
        <w:t> </w:t>
      </w:r>
      <w:r w:rsidR="001E2D56" w:rsidRPr="00475ADF">
        <w:t xml:space="preserve">Królestwem </w:t>
      </w:r>
      <w:r w:rsidR="006F1F6B" w:rsidRPr="00475ADF">
        <w:t>Niderlandów</w:t>
      </w:r>
      <w:r w:rsidR="00E77E1D" w:rsidRPr="00475ADF">
        <w:t xml:space="preserve">. </w:t>
      </w:r>
      <w:r w:rsidR="007B5F79" w:rsidRPr="00475ADF">
        <w:t xml:space="preserve">Umowę zawarto w </w:t>
      </w:r>
      <w:r w:rsidR="00E77E1D" w:rsidRPr="00475ADF">
        <w:t>czasie, kiedy RP nie był</w:t>
      </w:r>
      <w:r w:rsidR="001E2D56" w:rsidRPr="00475ADF">
        <w:t>a</w:t>
      </w:r>
      <w:r w:rsidR="00E77E1D" w:rsidRPr="00475ADF">
        <w:t xml:space="preserve"> c</w:t>
      </w:r>
      <w:r w:rsidR="00361C8D" w:rsidRPr="00475ADF">
        <w:t>złonk</w:t>
      </w:r>
      <w:r w:rsidR="001E2D56" w:rsidRPr="00475ADF">
        <w:t>iem</w:t>
      </w:r>
      <w:r w:rsidR="00E77E1D" w:rsidRPr="00475ADF">
        <w:t xml:space="preserve"> </w:t>
      </w:r>
      <w:r w:rsidR="00361C8D" w:rsidRPr="00475ADF">
        <w:t>UE</w:t>
      </w:r>
      <w:r w:rsidR="001E2D56" w:rsidRPr="00475ADF">
        <w:t>, a ww. Umowa miała na celu przyciągnięcie inwestycji holenderskich do Polski</w:t>
      </w:r>
      <w:r w:rsidR="00361C8D" w:rsidRPr="00475ADF">
        <w:t>. Obecnie</w:t>
      </w:r>
      <w:r w:rsidR="001E2D56" w:rsidRPr="00475ADF">
        <w:t xml:space="preserve"> </w:t>
      </w:r>
      <w:r w:rsidR="00361C8D" w:rsidRPr="00475ADF">
        <w:t>poziom prawodawstwa oraz dostęp do powszechnego sądownictwa</w:t>
      </w:r>
      <w:r w:rsidR="001E2D56" w:rsidRPr="00475ADF">
        <w:t xml:space="preserve"> w RP</w:t>
      </w:r>
      <w:r w:rsidR="00597C2C" w:rsidRPr="00475ADF">
        <w:t xml:space="preserve"> </w:t>
      </w:r>
      <w:r w:rsidR="00EA689B">
        <w:t xml:space="preserve">dają </w:t>
      </w:r>
      <w:r w:rsidR="00361C8D" w:rsidRPr="00475ADF">
        <w:t xml:space="preserve">inwestorom zagranicznym gwarancję ochrony inwestycji z możliwością dochodzenia </w:t>
      </w:r>
      <w:r w:rsidR="0037701E" w:rsidRPr="00475ADF">
        <w:t xml:space="preserve">swoich praw na drodze sądowej. </w:t>
      </w:r>
    </w:p>
    <w:p w:rsidR="007E5765" w:rsidRDefault="007E5765" w:rsidP="00A22D68">
      <w:pPr>
        <w:tabs>
          <w:tab w:val="left" w:pos="720"/>
        </w:tabs>
        <w:autoSpaceDE w:val="0"/>
        <w:autoSpaceDN w:val="0"/>
        <w:adjustRightInd w:val="0"/>
        <w:spacing w:before="120" w:line="360" w:lineRule="auto"/>
        <w:jc w:val="both"/>
      </w:pPr>
      <w:r w:rsidRPr="00600078">
        <w:lastRenderedPageBreak/>
        <w:t xml:space="preserve">Na koniec 2016 r. skumulowana wartość inwestycji niderlandzkich w </w:t>
      </w:r>
      <w:r w:rsidR="006C2FAB" w:rsidRPr="00600078">
        <w:t>R</w:t>
      </w:r>
      <w:r w:rsidRPr="00600078">
        <w:t>P</w:t>
      </w:r>
      <w:r w:rsidR="006C2FAB" w:rsidRPr="00600078">
        <w:t xml:space="preserve"> </w:t>
      </w:r>
      <w:r w:rsidRPr="00600078">
        <w:t>wyniosła 33,</w:t>
      </w:r>
      <w:r w:rsidR="00DA0840" w:rsidRPr="00600078">
        <w:t>9</w:t>
      </w:r>
      <w:r w:rsidR="00A22D68">
        <w:t> </w:t>
      </w:r>
      <w:r w:rsidRPr="00600078">
        <w:t xml:space="preserve">mld </w:t>
      </w:r>
      <w:r w:rsidR="007B597B">
        <w:t>euro</w:t>
      </w:r>
      <w:r w:rsidR="007B597B" w:rsidRPr="00600078">
        <w:t xml:space="preserve"> </w:t>
      </w:r>
      <w:r w:rsidRPr="00600078">
        <w:t xml:space="preserve">(w 2015 r.: 31,6 mld </w:t>
      </w:r>
      <w:r w:rsidR="007B597B">
        <w:t>euro</w:t>
      </w:r>
      <w:r w:rsidRPr="00600078">
        <w:t xml:space="preserve">), co dawało Królestwu Niderlandów pierwsze miejsce na liście inwestorów zagranicznych w </w:t>
      </w:r>
      <w:r w:rsidR="005817DC" w:rsidRPr="00600078">
        <w:t xml:space="preserve">RP. </w:t>
      </w:r>
      <w:r w:rsidRPr="00600078">
        <w:t xml:space="preserve">W samym 2016 r. do RP napłynęło 4,6 mld </w:t>
      </w:r>
      <w:r w:rsidR="007B597B">
        <w:t>euro</w:t>
      </w:r>
      <w:r w:rsidRPr="00600078">
        <w:t xml:space="preserve"> </w:t>
      </w:r>
      <w:r w:rsidR="00DA0840" w:rsidRPr="00600078">
        <w:t xml:space="preserve">bezpośrednich inwestycji zagranicznych </w:t>
      </w:r>
      <w:r w:rsidRPr="00600078">
        <w:t>z Królestwa Niderlandów. Holendrzy lokują głównie w sektor mediów, system bankowy i ubezpieczeniowy, przetwórstwo spożywcze, przemysł browarniczy, transport i logistykę, przemysł elektroniczny oraz maszynowy. Do największych inwestorów należą: Grupa ING – bankowość i finanse, nieruchomości</w:t>
      </w:r>
      <w:r w:rsidR="006C2FAB" w:rsidRPr="00600078">
        <w:t xml:space="preserve">, </w:t>
      </w:r>
      <w:r w:rsidRPr="00600078">
        <w:t>Heineken International B.V. – browary Heineken Sp. z o.o.</w:t>
      </w:r>
      <w:r w:rsidR="006C2FAB" w:rsidRPr="00600078">
        <w:t xml:space="preserve">, </w:t>
      </w:r>
      <w:r w:rsidRPr="00600078">
        <w:t>CBR Baltic B.V. – produkcja cementu i gipsu</w:t>
      </w:r>
      <w:r w:rsidR="006C2FAB" w:rsidRPr="00600078">
        <w:t xml:space="preserve">, </w:t>
      </w:r>
      <w:r w:rsidRPr="00600078">
        <w:t>Royal Philips Electronics N.V. – sprzęt oświetleniowy</w:t>
      </w:r>
      <w:r w:rsidR="006C2FAB" w:rsidRPr="00600078">
        <w:t xml:space="preserve">, </w:t>
      </w:r>
      <w:r w:rsidRPr="00600078">
        <w:t>Philip Morris Holland B.V. – wyroby tytoniowe</w:t>
      </w:r>
      <w:r w:rsidR="006C2FAB" w:rsidRPr="00600078">
        <w:t xml:space="preserve">, </w:t>
      </w:r>
      <w:r w:rsidRPr="00600078">
        <w:t>ITI Media Group B.V. – spółka medialna (telewizja TVN, produkcje filmowe, usługi internetowe itp.)</w:t>
      </w:r>
      <w:r w:rsidR="006C2FAB" w:rsidRPr="00600078">
        <w:t xml:space="preserve">, </w:t>
      </w:r>
      <w:r w:rsidRPr="00600078">
        <w:t>Harbin B.V. – browarnictwo (właściciel akcji Grupy Żywiec S.A.)</w:t>
      </w:r>
      <w:r w:rsidR="006C2FAB" w:rsidRPr="00600078">
        <w:t xml:space="preserve">, </w:t>
      </w:r>
      <w:r w:rsidRPr="00600078">
        <w:t>Damen Shipyards Group – budowa statków i łodzi. Kapitał niderlandzki uczestniczy również w inwestycjach dużych koncernów międzynarodowych i grup kapitałowych inwestujących w RP, takich jak: BP, Unilever, Procter&amp;Gamble. Jednocześnie należy zwrócić uwagę na fakt, że przy przyjęciu kryterium siedziby podmiotu dominującego (a</w:t>
      </w:r>
      <w:r w:rsidR="00A22D68">
        <w:t> </w:t>
      </w:r>
      <w:r w:rsidRPr="00600078">
        <w:t>nie siedziby bezpośredniego inwestora) znacznie spada rola Królestwa Niderlandów jako kluczowego inwestora bezpośrednich inwestycji w RP.</w:t>
      </w:r>
      <w:r>
        <w:t xml:space="preserve"> </w:t>
      </w:r>
    </w:p>
    <w:p w:rsidR="000229C7" w:rsidRDefault="007E5765" w:rsidP="00A22D68">
      <w:pPr>
        <w:tabs>
          <w:tab w:val="left" w:pos="720"/>
        </w:tabs>
        <w:autoSpaceDE w:val="0"/>
        <w:autoSpaceDN w:val="0"/>
        <w:adjustRightInd w:val="0"/>
        <w:spacing w:before="120" w:line="360" w:lineRule="auto"/>
        <w:jc w:val="both"/>
      </w:pPr>
      <w:r w:rsidRPr="00A42E9D">
        <w:t xml:space="preserve">Królestwo Niderlandów jest czwartym największym odbiorcą polskich </w:t>
      </w:r>
      <w:r w:rsidR="00DA0840" w:rsidRPr="00A42E9D">
        <w:t xml:space="preserve">bezpośrednich inwestycji zagranicznych. </w:t>
      </w:r>
      <w:r w:rsidRPr="00A42E9D">
        <w:t xml:space="preserve">Według danych NBP na koniec 2016 r. wartość polskich BIZ w Królestwie Niderlandów wyniosła 1,8 mld </w:t>
      </w:r>
      <w:r w:rsidR="00ED06B3">
        <w:t>euro</w:t>
      </w:r>
      <w:r w:rsidRPr="00A42E9D">
        <w:t xml:space="preserve"> (w 2015 r.: 2,0 mld </w:t>
      </w:r>
      <w:r w:rsidR="00ED06B3">
        <w:t>euro</w:t>
      </w:r>
      <w:r w:rsidRPr="00A42E9D">
        <w:t xml:space="preserve">). </w:t>
      </w:r>
      <w:r w:rsidR="006C2FAB" w:rsidRPr="00A42E9D">
        <w:t>P</w:t>
      </w:r>
      <w:r w:rsidRPr="00A42E9D">
        <w:t xml:space="preserve">olskie inwestycje w Królestwie Niderlandów mają </w:t>
      </w:r>
      <w:r w:rsidR="006C2FAB" w:rsidRPr="00A42E9D">
        <w:t xml:space="preserve">często </w:t>
      </w:r>
      <w:r w:rsidRPr="00A42E9D">
        <w:t>charakter przepływów finansowych</w:t>
      </w:r>
      <w:r w:rsidR="00ED06B3">
        <w:t>,</w:t>
      </w:r>
      <w:r w:rsidRPr="00A42E9D">
        <w:t xml:space="preserve"> np. rejestrowania firm w celu optymalizacji podatkowej lub tworzeni</w:t>
      </w:r>
      <w:r w:rsidR="00A42E9D" w:rsidRPr="00A42E9D">
        <w:t>a</w:t>
      </w:r>
      <w:r w:rsidRPr="00A42E9D">
        <w:t xml:space="preserve"> spółek</w:t>
      </w:r>
      <w:r w:rsidR="006A3182">
        <w:t xml:space="preserve"> </w:t>
      </w:r>
      <w:r w:rsidRPr="00A42E9D">
        <w:t xml:space="preserve">córek, które inwestują następnie w krajach trzecich. Według </w:t>
      </w:r>
      <w:r w:rsidR="00A42E9D" w:rsidRPr="00A42E9D">
        <w:t xml:space="preserve">zestawienia polskich spółek zależnych działających w Królestwie Niderlandów, przygotowanego przez </w:t>
      </w:r>
      <w:r w:rsidR="006C2FAB" w:rsidRPr="00A42E9D">
        <w:t>był</w:t>
      </w:r>
      <w:r w:rsidR="00A42E9D" w:rsidRPr="00A42E9D">
        <w:t>y</w:t>
      </w:r>
      <w:r w:rsidR="006C2FAB" w:rsidRPr="00A42E9D">
        <w:t xml:space="preserve"> </w:t>
      </w:r>
      <w:r w:rsidRPr="00A42E9D">
        <w:t>W</w:t>
      </w:r>
      <w:r w:rsidR="00A42E9D" w:rsidRPr="00A42E9D">
        <w:t xml:space="preserve">ydział </w:t>
      </w:r>
      <w:r w:rsidRPr="00A42E9D">
        <w:t>P</w:t>
      </w:r>
      <w:r w:rsidR="00A42E9D" w:rsidRPr="00A42E9D">
        <w:t>romocji i</w:t>
      </w:r>
      <w:r w:rsidR="00A42E9D">
        <w:t xml:space="preserve"> Handlu Inwestycji Ambasady RP </w:t>
      </w:r>
      <w:r>
        <w:t xml:space="preserve">w Hadze, prawie </w:t>
      </w:r>
      <w:r w:rsidR="00A42E9D">
        <w:t xml:space="preserve">połowa </w:t>
      </w:r>
      <w:r w:rsidR="00CC100E">
        <w:t xml:space="preserve">z tych spółek </w:t>
      </w:r>
      <w:r>
        <w:t xml:space="preserve">zajmuje się działalnością holdingową; inne obszary aktywności to: handel (wyroby farmaceutyczne, metalowe, warzywa, owoce i kwiaty), usługi transportowe, informatyczne i inne. Ponadto na rynku niderlandzkim istnieje duża grupa podmiotów jednoosobowych zarejestrowanych w </w:t>
      </w:r>
      <w:r w:rsidR="00A42E9D">
        <w:t xml:space="preserve">Królestwie </w:t>
      </w:r>
      <w:r>
        <w:t>Niderland</w:t>
      </w:r>
      <w:r w:rsidR="00A42E9D">
        <w:t xml:space="preserve">ów </w:t>
      </w:r>
      <w:r>
        <w:t xml:space="preserve">przez obywateli polskich. Według danych niderlandzkiej Izby Handlowo-Przemysłowej (KvK) obywatele polscy zarejestrowali w </w:t>
      </w:r>
      <w:r w:rsidR="00A42E9D">
        <w:t xml:space="preserve">Królestwie </w:t>
      </w:r>
      <w:r>
        <w:t>Niderland</w:t>
      </w:r>
      <w:r w:rsidR="00A42E9D">
        <w:t xml:space="preserve">ów </w:t>
      </w:r>
      <w:r>
        <w:t xml:space="preserve">ok. 9 tysięcy firm. Najwięcej z nich działa w szeroko pojętej branży budowlanej. Inną ważną dziedziną są </w:t>
      </w:r>
      <w:r>
        <w:lastRenderedPageBreak/>
        <w:t>usługi dla firm i osób prywatnych (biura pośrednictwa pracy, firmy sprzątające, transportowe, salony piękności itp.) oraz rolnictwo i handel. Zauważalny jest również wzrost liczby polskich firm prowadzących działalność w zakresie świadczenia usług finansowych, jak również polskich sklepów, restauracji, firm prawniczych i doradczych.</w:t>
      </w:r>
    </w:p>
    <w:p w:rsidR="0037701E" w:rsidRPr="00475ADF" w:rsidRDefault="00CA23B3" w:rsidP="00A22D68">
      <w:pPr>
        <w:pStyle w:val="Tekstpodstawowy"/>
        <w:spacing w:before="120" w:after="0" w:line="360" w:lineRule="auto"/>
        <w:jc w:val="both"/>
      </w:pPr>
      <w:r>
        <w:t xml:space="preserve">Ówczesne </w:t>
      </w:r>
      <w:r w:rsidR="0037701E" w:rsidRPr="00475ADF">
        <w:t xml:space="preserve">Ministerstwo Rozwoju poinformowało samorządy gospodarcze (Konfederacja Lewiatan, Pracodawcy RP, Krajowa </w:t>
      </w:r>
      <w:r w:rsidR="00801F11" w:rsidRPr="00475ADF">
        <w:t>Izb</w:t>
      </w:r>
      <w:r w:rsidR="00801F11">
        <w:t>a</w:t>
      </w:r>
      <w:r w:rsidR="00801F11" w:rsidRPr="00475ADF">
        <w:t xml:space="preserve"> </w:t>
      </w:r>
      <w:r w:rsidR="0037701E" w:rsidRPr="00475ADF">
        <w:t>Gospodarcza, Polska Rada Bi</w:t>
      </w:r>
      <w:r w:rsidR="00FC0C80" w:rsidRPr="00475ADF">
        <w:t>znesu, Business Centr</w:t>
      </w:r>
      <w:r w:rsidR="00F75C89">
        <w:t>e</w:t>
      </w:r>
      <w:r w:rsidR="00FC0C80" w:rsidRPr="00475ADF">
        <w:t xml:space="preserve"> Club) o </w:t>
      </w:r>
      <w:r w:rsidR="005761D9" w:rsidRPr="00475ADF">
        <w:t xml:space="preserve">planach </w:t>
      </w:r>
      <w:r w:rsidR="00FC0C80" w:rsidRPr="00475ADF">
        <w:t>ro</w:t>
      </w:r>
      <w:r w:rsidR="0037701E" w:rsidRPr="00475ADF">
        <w:t>związani</w:t>
      </w:r>
      <w:r w:rsidR="00FC0C80" w:rsidRPr="00475ADF">
        <w:t xml:space="preserve">a Umowy </w:t>
      </w:r>
      <w:r w:rsidR="0037701E" w:rsidRPr="00475ADF">
        <w:t>i zwrócił</w:t>
      </w:r>
      <w:r w:rsidR="000473AE" w:rsidRPr="00475ADF">
        <w:t>o</w:t>
      </w:r>
      <w:r w:rsidR="0037701E" w:rsidRPr="00475ADF">
        <w:t xml:space="preserve"> się do nich o</w:t>
      </w:r>
      <w:r w:rsidR="00A22D68">
        <w:t> </w:t>
      </w:r>
      <w:r w:rsidR="0037701E" w:rsidRPr="00475ADF">
        <w:t>przekazanie odpowiedzi na następujące pytania:</w:t>
      </w:r>
      <w:r w:rsidR="00A22D68">
        <w:t xml:space="preserve"> </w:t>
      </w:r>
    </w:p>
    <w:p w:rsidR="0037701E" w:rsidRPr="00475ADF" w:rsidRDefault="00A22D68" w:rsidP="00A22D68">
      <w:pPr>
        <w:pStyle w:val="Tekstpodstawowy"/>
        <w:spacing w:after="0" w:line="360" w:lineRule="auto"/>
        <w:ind w:left="294" w:hanging="294"/>
        <w:jc w:val="both"/>
        <w:rPr>
          <w:spacing w:val="4"/>
        </w:rPr>
      </w:pPr>
      <w:r>
        <w:rPr>
          <w:spacing w:val="4"/>
        </w:rPr>
        <w:t>–</w:t>
      </w:r>
      <w:r>
        <w:rPr>
          <w:spacing w:val="4"/>
        </w:rPr>
        <w:tab/>
      </w:r>
      <w:r w:rsidR="0037701E" w:rsidRPr="00475ADF">
        <w:rPr>
          <w:spacing w:val="4"/>
        </w:rPr>
        <w:t xml:space="preserve">czy inwestorzy polscy na rynku </w:t>
      </w:r>
      <w:r w:rsidR="005A6FA0" w:rsidRPr="00475ADF">
        <w:rPr>
          <w:spacing w:val="4"/>
        </w:rPr>
        <w:t>niderlandzkim</w:t>
      </w:r>
      <w:r w:rsidR="001E2D56" w:rsidRPr="00475ADF">
        <w:rPr>
          <w:spacing w:val="4"/>
        </w:rPr>
        <w:t xml:space="preserve">, </w:t>
      </w:r>
      <w:r w:rsidR="0037701E" w:rsidRPr="00475ADF">
        <w:rPr>
          <w:spacing w:val="4"/>
        </w:rPr>
        <w:t>w przypadku ewentualnych działań dyskryminujących ich inwestycje</w:t>
      </w:r>
      <w:r w:rsidR="001E2D56" w:rsidRPr="00475ADF">
        <w:rPr>
          <w:spacing w:val="4"/>
        </w:rPr>
        <w:t>,</w:t>
      </w:r>
      <w:r w:rsidR="0037701E" w:rsidRPr="00475ADF">
        <w:rPr>
          <w:spacing w:val="4"/>
        </w:rPr>
        <w:t xml:space="preserve"> korzystali lub rozważali możliwość wniesienia sporu przeciwko państwu ich goszczącemu? Czy w takim </w:t>
      </w:r>
      <w:r w:rsidR="00D2401E">
        <w:rPr>
          <w:spacing w:val="4"/>
        </w:rPr>
        <w:t>prz</w:t>
      </w:r>
      <w:r w:rsidR="0037701E" w:rsidRPr="00475ADF">
        <w:rPr>
          <w:spacing w:val="4"/>
        </w:rPr>
        <w:t>ypadku korzystali/korzystaliby z postępowania przed sądem powszechnym czy też przed międzynarodowym arbitrażem inwestycyjnym?</w:t>
      </w:r>
    </w:p>
    <w:p w:rsidR="0037701E" w:rsidRPr="00475ADF" w:rsidRDefault="00A22D68" w:rsidP="00A22D68">
      <w:pPr>
        <w:pStyle w:val="Tekstpodstawowy"/>
        <w:spacing w:after="0" w:line="360" w:lineRule="auto"/>
        <w:ind w:left="294" w:hanging="294"/>
        <w:jc w:val="both"/>
        <w:rPr>
          <w:spacing w:val="4"/>
        </w:rPr>
      </w:pPr>
      <w:r>
        <w:rPr>
          <w:spacing w:val="4"/>
        </w:rPr>
        <w:t>–</w:t>
      </w:r>
      <w:r>
        <w:rPr>
          <w:spacing w:val="4"/>
        </w:rPr>
        <w:tab/>
      </w:r>
      <w:r w:rsidR="0037701E" w:rsidRPr="00475ADF">
        <w:rPr>
          <w:spacing w:val="4"/>
        </w:rPr>
        <w:t xml:space="preserve">czy zdaniem polskich inwestorów ochrona ich inwestycji w regulacjach </w:t>
      </w:r>
      <w:r w:rsidR="001E2D56" w:rsidRPr="00475ADF">
        <w:rPr>
          <w:spacing w:val="4"/>
        </w:rPr>
        <w:t xml:space="preserve">Królestwa </w:t>
      </w:r>
      <w:r w:rsidR="005A6FA0" w:rsidRPr="00475ADF">
        <w:rPr>
          <w:spacing w:val="4"/>
        </w:rPr>
        <w:t xml:space="preserve">Niderlandów </w:t>
      </w:r>
      <w:r w:rsidR="0037701E" w:rsidRPr="00475ADF">
        <w:rPr>
          <w:spacing w:val="4"/>
        </w:rPr>
        <w:t>oraz w prawie UE jest nie</w:t>
      </w:r>
      <w:r>
        <w:rPr>
          <w:spacing w:val="4"/>
        </w:rPr>
        <w:t>wystarczająca? Jeżeli tak, to w </w:t>
      </w:r>
      <w:r w:rsidR="0037701E" w:rsidRPr="00475ADF">
        <w:rPr>
          <w:spacing w:val="4"/>
        </w:rPr>
        <w:t>jakim zakresie?</w:t>
      </w:r>
    </w:p>
    <w:p w:rsidR="00D10788" w:rsidRPr="00475ADF" w:rsidRDefault="00A22D68" w:rsidP="00A22D68">
      <w:pPr>
        <w:pStyle w:val="Tekstpodstawowy"/>
        <w:spacing w:after="0" w:line="360" w:lineRule="auto"/>
        <w:ind w:left="294" w:hanging="294"/>
        <w:jc w:val="both"/>
        <w:rPr>
          <w:spacing w:val="4"/>
        </w:rPr>
      </w:pPr>
      <w:r>
        <w:rPr>
          <w:spacing w:val="4"/>
        </w:rPr>
        <w:t>–</w:t>
      </w:r>
      <w:r>
        <w:rPr>
          <w:spacing w:val="4"/>
        </w:rPr>
        <w:tab/>
      </w:r>
      <w:r w:rsidR="0037701E" w:rsidRPr="00475ADF">
        <w:rPr>
          <w:spacing w:val="4"/>
        </w:rPr>
        <w:t xml:space="preserve">czy wygaśnięcie umów pogorszyłoby warunki prowadzenia działalności gospodarczej </w:t>
      </w:r>
      <w:r w:rsidR="0020279C" w:rsidRPr="00475ADF">
        <w:rPr>
          <w:spacing w:val="4"/>
        </w:rPr>
        <w:t xml:space="preserve">w </w:t>
      </w:r>
      <w:r w:rsidR="001E2D56" w:rsidRPr="00475ADF">
        <w:rPr>
          <w:spacing w:val="4"/>
        </w:rPr>
        <w:t xml:space="preserve">Królestwie </w:t>
      </w:r>
      <w:r w:rsidR="005A6FA0" w:rsidRPr="00475ADF">
        <w:rPr>
          <w:spacing w:val="4"/>
        </w:rPr>
        <w:t xml:space="preserve">Niderlandów </w:t>
      </w:r>
      <w:r w:rsidR="0037701E" w:rsidRPr="00475ADF">
        <w:rPr>
          <w:spacing w:val="4"/>
        </w:rPr>
        <w:t>i ochrony praw inwestorów? Jeżeli tak, to w jaki sposób i w jakim stopniu?</w:t>
      </w:r>
    </w:p>
    <w:p w:rsidR="000473AE" w:rsidRPr="00A22D68" w:rsidRDefault="001E2D56" w:rsidP="00A22D68">
      <w:pPr>
        <w:autoSpaceDE w:val="0"/>
        <w:autoSpaceDN w:val="0"/>
        <w:adjustRightInd w:val="0"/>
        <w:spacing w:before="120" w:line="360" w:lineRule="auto"/>
        <w:jc w:val="both"/>
        <w:rPr>
          <w:color w:val="000000"/>
        </w:rPr>
      </w:pPr>
      <w:r w:rsidRPr="00475ADF">
        <w:t xml:space="preserve">Samorządy gospodarcze udzieliły </w:t>
      </w:r>
      <w:r w:rsidR="007F3CB8" w:rsidRPr="00475ADF">
        <w:t xml:space="preserve">ogólnej </w:t>
      </w:r>
      <w:r w:rsidR="00FF43E9" w:rsidRPr="00475ADF">
        <w:t xml:space="preserve">odpowiedzi, iż </w:t>
      </w:r>
      <w:r w:rsidR="00FF43E9" w:rsidRPr="00475ADF">
        <w:rPr>
          <w:color w:val="000000"/>
        </w:rPr>
        <w:t xml:space="preserve">mimo że inwestorzy </w:t>
      </w:r>
      <w:r w:rsidRPr="00475ADF">
        <w:rPr>
          <w:color w:val="000000"/>
        </w:rPr>
        <w:t xml:space="preserve">polscy </w:t>
      </w:r>
      <w:r w:rsidR="00170FC8" w:rsidRPr="00475ADF">
        <w:rPr>
          <w:color w:val="000000"/>
        </w:rPr>
        <w:t xml:space="preserve">generalnie </w:t>
      </w:r>
      <w:r w:rsidR="00FF43E9" w:rsidRPr="00475ADF">
        <w:rPr>
          <w:color w:val="000000"/>
        </w:rPr>
        <w:t xml:space="preserve">nie korzystają z ochrony </w:t>
      </w:r>
      <w:r w:rsidR="007F3CB8" w:rsidRPr="00475ADF">
        <w:rPr>
          <w:color w:val="000000"/>
        </w:rPr>
        <w:t xml:space="preserve">przewidzianej </w:t>
      </w:r>
      <w:r w:rsidR="00FF43E9" w:rsidRPr="00475ADF">
        <w:rPr>
          <w:color w:val="000000"/>
        </w:rPr>
        <w:t>um</w:t>
      </w:r>
      <w:r w:rsidR="007F3CB8" w:rsidRPr="00475ADF">
        <w:rPr>
          <w:color w:val="000000"/>
        </w:rPr>
        <w:t xml:space="preserve">owami </w:t>
      </w:r>
      <w:r w:rsidR="00FF43E9" w:rsidRPr="00475ADF">
        <w:rPr>
          <w:color w:val="000000"/>
        </w:rPr>
        <w:t>intra-EU BIT (pozywają państwa przed sądami powszechnymi)</w:t>
      </w:r>
      <w:r w:rsidR="005108B0" w:rsidRPr="00475ADF">
        <w:rPr>
          <w:color w:val="000000"/>
        </w:rPr>
        <w:t>,</w:t>
      </w:r>
      <w:r w:rsidR="00FF43E9" w:rsidRPr="00475ADF">
        <w:rPr>
          <w:color w:val="000000"/>
        </w:rPr>
        <w:t xml:space="preserve"> powołują się na ich </w:t>
      </w:r>
      <w:r w:rsidR="005108B0" w:rsidRPr="00475ADF">
        <w:rPr>
          <w:color w:val="000000"/>
        </w:rPr>
        <w:t xml:space="preserve">obowiązywanie </w:t>
      </w:r>
      <w:r w:rsidR="00A22D68">
        <w:rPr>
          <w:color w:val="000000"/>
        </w:rPr>
        <w:t>w </w:t>
      </w:r>
      <w:r w:rsidR="00FF43E9" w:rsidRPr="00475ADF">
        <w:rPr>
          <w:color w:val="000000"/>
        </w:rPr>
        <w:t>dyskusjach z organami danego kraju przy zaistnieniu sporu. Jeżeli musieliby aktywnie dochodzić swoich roszczeń</w:t>
      </w:r>
      <w:r w:rsidR="00F75C89">
        <w:rPr>
          <w:color w:val="000000"/>
        </w:rPr>
        <w:t>,</w:t>
      </w:r>
      <w:r w:rsidR="00801F11">
        <w:rPr>
          <w:color w:val="000000"/>
        </w:rPr>
        <w:t xml:space="preserve"> powołując się na umowy intra-EU BIT</w:t>
      </w:r>
      <w:r w:rsidR="00FF43E9" w:rsidRPr="00475ADF">
        <w:rPr>
          <w:color w:val="000000"/>
        </w:rPr>
        <w:t xml:space="preserve">, wybraliby procedurę arbitrażu </w:t>
      </w:r>
      <w:r w:rsidR="00884296" w:rsidRPr="00475ADF">
        <w:rPr>
          <w:color w:val="000000"/>
        </w:rPr>
        <w:t xml:space="preserve">na podstawie </w:t>
      </w:r>
      <w:r w:rsidR="00FF43E9" w:rsidRPr="00475ADF">
        <w:rPr>
          <w:color w:val="000000"/>
        </w:rPr>
        <w:t>umowy intra-EU BIT</w:t>
      </w:r>
      <w:r w:rsidR="00884296" w:rsidRPr="00475ADF">
        <w:rPr>
          <w:color w:val="000000"/>
        </w:rPr>
        <w:t xml:space="preserve"> (</w:t>
      </w:r>
      <w:r w:rsidR="00FF43E9" w:rsidRPr="00475ADF">
        <w:rPr>
          <w:color w:val="000000"/>
        </w:rPr>
        <w:t xml:space="preserve">szczególnie </w:t>
      </w:r>
      <w:r w:rsidR="00C908C3" w:rsidRPr="00475ADF">
        <w:rPr>
          <w:color w:val="000000"/>
        </w:rPr>
        <w:t xml:space="preserve">fundusze inwestycyjne lokujące aktywa </w:t>
      </w:r>
      <w:r w:rsidR="00FF43E9" w:rsidRPr="00475ADF">
        <w:rPr>
          <w:color w:val="000000"/>
        </w:rPr>
        <w:t>w instrumenty udziałowe polskich przedsiębiorstw inwestujących w państwa</w:t>
      </w:r>
      <w:r w:rsidR="005070F1" w:rsidRPr="00475ADF">
        <w:rPr>
          <w:color w:val="000000"/>
        </w:rPr>
        <w:t>ch</w:t>
      </w:r>
      <w:r w:rsidR="00FF43E9" w:rsidRPr="00475ADF">
        <w:rPr>
          <w:color w:val="000000"/>
        </w:rPr>
        <w:t xml:space="preserve"> członkowskich UE</w:t>
      </w:r>
      <w:r w:rsidR="00864D7E" w:rsidRPr="00475ADF">
        <w:rPr>
          <w:color w:val="000000"/>
        </w:rPr>
        <w:t>,</w:t>
      </w:r>
      <w:r w:rsidR="00884296" w:rsidRPr="00475ADF">
        <w:rPr>
          <w:color w:val="000000"/>
        </w:rPr>
        <w:t xml:space="preserve"> dla których r</w:t>
      </w:r>
      <w:r w:rsidR="00FF43E9" w:rsidRPr="00475ADF">
        <w:rPr>
          <w:color w:val="000000"/>
        </w:rPr>
        <w:t xml:space="preserve">ozwiązanie umów mogłoby mieć bezpośredni wpływ na ocenę ryzyka związaną </w:t>
      </w:r>
      <w:r w:rsidR="00A22D68">
        <w:rPr>
          <w:color w:val="000000"/>
        </w:rPr>
        <w:t>z </w:t>
      </w:r>
      <w:r w:rsidR="00FF43E9" w:rsidRPr="00475ADF">
        <w:rPr>
          <w:color w:val="000000"/>
        </w:rPr>
        <w:t xml:space="preserve">inwestowaniem). </w:t>
      </w:r>
      <w:r w:rsidR="00FB30CC" w:rsidRPr="00475ADF">
        <w:rPr>
          <w:color w:val="000000"/>
        </w:rPr>
        <w:t>Główną b</w:t>
      </w:r>
      <w:r w:rsidR="00FF43E9" w:rsidRPr="00475ADF">
        <w:rPr>
          <w:color w:val="000000"/>
        </w:rPr>
        <w:t>arierą w korzystaniu z arbitrażu są jego wysokie koszty</w:t>
      </w:r>
      <w:r w:rsidR="00FB30CC" w:rsidRPr="00475ADF">
        <w:rPr>
          <w:color w:val="000000"/>
        </w:rPr>
        <w:t xml:space="preserve">. </w:t>
      </w:r>
      <w:r w:rsidR="00FF43E9" w:rsidRPr="00475ADF">
        <w:rPr>
          <w:color w:val="000000"/>
        </w:rPr>
        <w:t xml:space="preserve">Prawo materialne w </w:t>
      </w:r>
      <w:r w:rsidR="00A873F2" w:rsidRPr="00475ADF">
        <w:rPr>
          <w:color w:val="000000"/>
        </w:rPr>
        <w:t>państwach członkowskich UE o</w:t>
      </w:r>
      <w:r w:rsidR="00FF43E9" w:rsidRPr="00475ADF">
        <w:rPr>
          <w:color w:val="000000"/>
        </w:rPr>
        <w:t xml:space="preserve">raz na poziomie UE zawiera niezbędne standardy gwarantujące zagranicznym inwestorom równe i sprawiedliwe traktowanie, </w:t>
      </w:r>
      <w:r w:rsidR="00A873F2" w:rsidRPr="00475ADF">
        <w:rPr>
          <w:color w:val="000000"/>
        </w:rPr>
        <w:t xml:space="preserve">natomiast </w:t>
      </w:r>
      <w:r w:rsidR="00FF43E9" w:rsidRPr="00475ADF">
        <w:rPr>
          <w:color w:val="000000"/>
        </w:rPr>
        <w:t xml:space="preserve">problemem jest egzekwowanie tego prawa. Wskazywano na czasochłonność procedur, brak profesjonalizmu i obiektywizmu w podejmowaniu </w:t>
      </w:r>
      <w:r w:rsidR="00FF43E9" w:rsidRPr="00475ADF">
        <w:rPr>
          <w:color w:val="000000"/>
        </w:rPr>
        <w:lastRenderedPageBreak/>
        <w:t>decyzji przez właściwe organy</w:t>
      </w:r>
      <w:r w:rsidR="00A873F2" w:rsidRPr="00475ADF">
        <w:rPr>
          <w:color w:val="000000"/>
        </w:rPr>
        <w:t xml:space="preserve">. </w:t>
      </w:r>
      <w:r w:rsidR="00FF43E9" w:rsidRPr="00475ADF">
        <w:rPr>
          <w:color w:val="000000"/>
        </w:rPr>
        <w:t>Zdaniem polskich inwestorów międzyn</w:t>
      </w:r>
      <w:r w:rsidR="00A873F2" w:rsidRPr="00475ADF">
        <w:rPr>
          <w:color w:val="000000"/>
        </w:rPr>
        <w:t>a</w:t>
      </w:r>
      <w:r w:rsidR="00FF43E9" w:rsidRPr="00475ADF">
        <w:rPr>
          <w:color w:val="000000"/>
        </w:rPr>
        <w:t>rod</w:t>
      </w:r>
      <w:r w:rsidR="00A873F2" w:rsidRPr="00475ADF">
        <w:rPr>
          <w:color w:val="000000"/>
        </w:rPr>
        <w:t>o</w:t>
      </w:r>
      <w:r w:rsidR="00FF43E9" w:rsidRPr="00475ADF">
        <w:rPr>
          <w:color w:val="000000"/>
        </w:rPr>
        <w:t xml:space="preserve">wy arbitraż inwestycyjny pozwala prowadzić </w:t>
      </w:r>
      <w:r w:rsidR="00A873F2" w:rsidRPr="00475ADF">
        <w:rPr>
          <w:color w:val="000000"/>
        </w:rPr>
        <w:t>postępowanie</w:t>
      </w:r>
      <w:r w:rsidR="00FF43E9" w:rsidRPr="00475ADF">
        <w:rPr>
          <w:color w:val="000000"/>
        </w:rPr>
        <w:t xml:space="preserve"> w sposób odformalizowany, elasty</w:t>
      </w:r>
      <w:r w:rsidR="00C908C3" w:rsidRPr="00475ADF">
        <w:rPr>
          <w:color w:val="000000"/>
        </w:rPr>
        <w:t>czny i neutralny</w:t>
      </w:r>
      <w:r w:rsidR="00A873F2" w:rsidRPr="00475ADF">
        <w:rPr>
          <w:color w:val="000000"/>
        </w:rPr>
        <w:t xml:space="preserve">. </w:t>
      </w:r>
      <w:r w:rsidR="00FF43E9" w:rsidRPr="00475ADF">
        <w:rPr>
          <w:color w:val="000000"/>
        </w:rPr>
        <w:t xml:space="preserve">Generalnie zdaniem </w:t>
      </w:r>
      <w:r w:rsidR="00864D7E" w:rsidRPr="00475ADF">
        <w:rPr>
          <w:color w:val="000000"/>
        </w:rPr>
        <w:t xml:space="preserve">samorządów gospodarczych i </w:t>
      </w:r>
      <w:r w:rsidR="00FF43E9" w:rsidRPr="00475ADF">
        <w:rPr>
          <w:color w:val="000000"/>
        </w:rPr>
        <w:t>polskich przedsiębiorców</w:t>
      </w:r>
      <w:r w:rsidR="00170FC8" w:rsidRPr="00475ADF">
        <w:rPr>
          <w:color w:val="000000"/>
        </w:rPr>
        <w:t>,</w:t>
      </w:r>
      <w:r w:rsidR="00FF43E9" w:rsidRPr="00475ADF">
        <w:rPr>
          <w:color w:val="000000"/>
        </w:rPr>
        <w:t xml:space="preserve"> dla ich bezpieczeństwa i ekspansji umowy intra-EU </w:t>
      </w:r>
      <w:r w:rsidR="005364C5">
        <w:rPr>
          <w:color w:val="000000"/>
        </w:rPr>
        <w:t xml:space="preserve">BIT </w:t>
      </w:r>
      <w:r w:rsidR="00FF43E9" w:rsidRPr="00475ADF">
        <w:rPr>
          <w:color w:val="000000"/>
        </w:rPr>
        <w:t xml:space="preserve">są </w:t>
      </w:r>
      <w:r w:rsidR="00F13BB2" w:rsidRPr="00475ADF">
        <w:rPr>
          <w:color w:val="000000"/>
        </w:rPr>
        <w:t xml:space="preserve">pożądane. </w:t>
      </w:r>
      <w:r w:rsidR="00864D7E" w:rsidRPr="00475ADF">
        <w:rPr>
          <w:color w:val="000000"/>
        </w:rPr>
        <w:t xml:space="preserve">Tym niemniej </w:t>
      </w:r>
      <w:r w:rsidR="00FB30CC" w:rsidRPr="00475ADF">
        <w:rPr>
          <w:color w:val="000000"/>
        </w:rPr>
        <w:t xml:space="preserve">samorządy gospodarcze </w:t>
      </w:r>
      <w:r w:rsidR="00F13BB2" w:rsidRPr="00475ADF">
        <w:rPr>
          <w:color w:val="000000"/>
        </w:rPr>
        <w:t>odnotowują stanowisko K</w:t>
      </w:r>
      <w:r w:rsidR="00801F11">
        <w:rPr>
          <w:color w:val="000000"/>
        </w:rPr>
        <w:t xml:space="preserve">omisji </w:t>
      </w:r>
      <w:r w:rsidR="00F13BB2" w:rsidRPr="00475ADF">
        <w:rPr>
          <w:color w:val="000000"/>
        </w:rPr>
        <w:t>E</w:t>
      </w:r>
      <w:r w:rsidR="00801F11">
        <w:rPr>
          <w:color w:val="000000"/>
        </w:rPr>
        <w:t>uropejskiej</w:t>
      </w:r>
      <w:r w:rsidR="00F13BB2" w:rsidRPr="00475ADF">
        <w:rPr>
          <w:color w:val="000000"/>
        </w:rPr>
        <w:t xml:space="preserve"> wobec umów intra-EU BIT i ws</w:t>
      </w:r>
      <w:r w:rsidR="00CA23B3">
        <w:rPr>
          <w:color w:val="000000"/>
        </w:rPr>
        <w:t xml:space="preserve">zczęte przez nią postępowania. </w:t>
      </w:r>
    </w:p>
    <w:p w:rsidR="00475ADF" w:rsidRPr="00475ADF" w:rsidRDefault="00F13BB2" w:rsidP="00A22D68">
      <w:pPr>
        <w:spacing w:before="120" w:line="360" w:lineRule="auto"/>
        <w:jc w:val="both"/>
        <w:rPr>
          <w:spacing w:val="4"/>
        </w:rPr>
      </w:pPr>
      <w:r w:rsidRPr="00475ADF">
        <w:t xml:space="preserve">Z informacji posiadanych przez Ministerstwo </w:t>
      </w:r>
      <w:r w:rsidR="00CA23B3">
        <w:t>Przedsiębiorczości i Technologii</w:t>
      </w:r>
      <w:r w:rsidRPr="00475ADF">
        <w:t xml:space="preserve"> wynika, że polscy inwestorzy nie kierowali </w:t>
      </w:r>
      <w:r w:rsidR="00475ADF" w:rsidRPr="00475ADF">
        <w:t xml:space="preserve">do międzynarodowych trybunałów arbitrażowych </w:t>
      </w:r>
      <w:r w:rsidRPr="00475ADF">
        <w:t xml:space="preserve">sporów przeciwko </w:t>
      </w:r>
      <w:r w:rsidR="001E2D56" w:rsidRPr="00475ADF">
        <w:t xml:space="preserve">Królestwu </w:t>
      </w:r>
      <w:r w:rsidR="00E53309">
        <w:t>Niderlandów</w:t>
      </w:r>
      <w:r w:rsidR="00DD7F21">
        <w:t xml:space="preserve"> </w:t>
      </w:r>
      <w:r w:rsidR="0024478F" w:rsidRPr="00475ADF">
        <w:t xml:space="preserve">na podstawie ww. Umowy, natomiast przeciwko RP toczyły się </w:t>
      </w:r>
      <w:r w:rsidR="00FC75DE" w:rsidRPr="00475ADF">
        <w:t>trzy p</w:t>
      </w:r>
      <w:r w:rsidR="0024478F" w:rsidRPr="00475ADF">
        <w:t xml:space="preserve">ostępowania wniesione z powództwa inwestora </w:t>
      </w:r>
      <w:r w:rsidR="00A22D68">
        <w:t>z </w:t>
      </w:r>
      <w:r w:rsidR="004D2122">
        <w:t xml:space="preserve">Królestwa Niderlandów </w:t>
      </w:r>
      <w:r w:rsidR="0024478F" w:rsidRPr="00475ADF">
        <w:t>(jedn</w:t>
      </w:r>
      <w:r w:rsidR="00D2401E">
        <w:t>o</w:t>
      </w:r>
      <w:r w:rsidR="0024478F" w:rsidRPr="00475ADF">
        <w:t xml:space="preserve"> zakończon</w:t>
      </w:r>
      <w:r w:rsidR="00D2401E">
        <w:t>e</w:t>
      </w:r>
      <w:r w:rsidR="0024478F" w:rsidRPr="00475ADF">
        <w:t xml:space="preserve"> ugodą, </w:t>
      </w:r>
      <w:r w:rsidR="00FC75DE" w:rsidRPr="00475ADF">
        <w:t xml:space="preserve">jedna </w:t>
      </w:r>
      <w:r w:rsidR="0024478F" w:rsidRPr="00475ADF">
        <w:t xml:space="preserve">wygrana </w:t>
      </w:r>
      <w:r w:rsidR="00FC75DE" w:rsidRPr="00475ADF">
        <w:t xml:space="preserve">przez </w:t>
      </w:r>
      <w:r w:rsidR="0024478F" w:rsidRPr="00475ADF">
        <w:t>RP</w:t>
      </w:r>
      <w:r w:rsidR="00FC75DE" w:rsidRPr="00475ADF">
        <w:t xml:space="preserve">, jedna </w:t>
      </w:r>
      <w:r w:rsidR="00DC4B2C">
        <w:t xml:space="preserve">częściowo </w:t>
      </w:r>
      <w:r w:rsidR="00FC75DE" w:rsidRPr="00475ADF">
        <w:t xml:space="preserve">wygrana przez </w:t>
      </w:r>
      <w:r w:rsidR="00B21610">
        <w:t>RP</w:t>
      </w:r>
      <w:r w:rsidR="00DC4B2C">
        <w:t>)</w:t>
      </w:r>
      <w:r w:rsidR="00B21610">
        <w:t xml:space="preserve"> i </w:t>
      </w:r>
      <w:r w:rsidR="00CA23B3">
        <w:t>tocz</w:t>
      </w:r>
      <w:r w:rsidR="00B21610">
        <w:t xml:space="preserve">y się jedno </w:t>
      </w:r>
      <w:r w:rsidR="00CA23B3">
        <w:t>postępowani</w:t>
      </w:r>
      <w:r w:rsidR="00B21610">
        <w:t>e</w:t>
      </w:r>
      <w:r w:rsidR="00FC75DE" w:rsidRPr="00475ADF">
        <w:t xml:space="preserve"> </w:t>
      </w:r>
      <w:r w:rsidR="00B21610">
        <w:t xml:space="preserve">z powództwa inwestora </w:t>
      </w:r>
      <w:r w:rsidR="004D2122">
        <w:t xml:space="preserve">niderlandzkiego. </w:t>
      </w:r>
      <w:r w:rsidR="0024478F" w:rsidRPr="00475ADF">
        <w:t>Generalnie o</w:t>
      </w:r>
      <w:r w:rsidRPr="00475ADF">
        <w:t xml:space="preserve">dnotowano tylko </w:t>
      </w:r>
      <w:r w:rsidR="00170FC8" w:rsidRPr="00475ADF">
        <w:t>trzy</w:t>
      </w:r>
      <w:r w:rsidRPr="00475ADF">
        <w:t xml:space="preserve"> przypadki skorzystania </w:t>
      </w:r>
      <w:r w:rsidR="00864D7E" w:rsidRPr="00475ADF">
        <w:t xml:space="preserve">w ogóle </w:t>
      </w:r>
      <w:r w:rsidRPr="00475ADF">
        <w:t>przez polskich inwestorów z ochrony przewidzianej umowami intra-EU BIT</w:t>
      </w:r>
      <w:r w:rsidR="0077398D" w:rsidRPr="00475ADF">
        <w:t xml:space="preserve"> </w:t>
      </w:r>
      <w:r w:rsidR="00475ADF" w:rsidRPr="00475ADF">
        <w:t xml:space="preserve">przed międzynarodowymi trybunałami arbitrażowymi </w:t>
      </w:r>
      <w:r w:rsidR="0077398D" w:rsidRPr="00475ADF">
        <w:t>(</w:t>
      </w:r>
      <w:r w:rsidR="00170FC8" w:rsidRPr="00475ADF">
        <w:t>n</w:t>
      </w:r>
      <w:r w:rsidR="00A22D68">
        <w:t>a podstawie umów intra-EU BIT z </w:t>
      </w:r>
      <w:r w:rsidR="0077398D" w:rsidRPr="00475ADF">
        <w:t>Rumuni</w:t>
      </w:r>
      <w:r w:rsidR="00170FC8" w:rsidRPr="00475ADF">
        <w:t>ą</w:t>
      </w:r>
      <w:r w:rsidR="00FC75DE" w:rsidRPr="00475ADF">
        <w:t xml:space="preserve"> – przed przystąpieniem tego państwa do UE</w:t>
      </w:r>
      <w:r w:rsidR="00170FC8" w:rsidRPr="00475ADF">
        <w:t xml:space="preserve">, Słowacją i Cyprem). </w:t>
      </w:r>
      <w:r w:rsidR="00A22D68">
        <w:rPr>
          <w:color w:val="000000"/>
        </w:rPr>
        <w:t>Zgodnie z </w:t>
      </w:r>
      <w:r w:rsidR="0077398D" w:rsidRPr="00475ADF">
        <w:rPr>
          <w:color w:val="000000"/>
        </w:rPr>
        <w:t>informacjami przekazanymi przez P</w:t>
      </w:r>
      <w:r w:rsidR="00CA23B3">
        <w:rPr>
          <w:color w:val="000000"/>
        </w:rPr>
        <w:t xml:space="preserve">rokuratorię </w:t>
      </w:r>
      <w:r w:rsidR="0077398D" w:rsidRPr="00475ADF">
        <w:rPr>
          <w:color w:val="000000"/>
        </w:rPr>
        <w:t>G</w:t>
      </w:r>
      <w:r w:rsidR="00CA23B3">
        <w:rPr>
          <w:color w:val="000000"/>
        </w:rPr>
        <w:t xml:space="preserve">eneralną </w:t>
      </w:r>
      <w:r w:rsidR="0077398D" w:rsidRPr="00475ADF">
        <w:rPr>
          <w:color w:val="000000"/>
        </w:rPr>
        <w:t xml:space="preserve">RP na dwadzieścia </w:t>
      </w:r>
      <w:r w:rsidR="00CA23B3">
        <w:rPr>
          <w:color w:val="000000"/>
        </w:rPr>
        <w:t>sześć</w:t>
      </w:r>
      <w:r w:rsidR="0077398D" w:rsidRPr="00475ADF">
        <w:rPr>
          <w:color w:val="000000"/>
        </w:rPr>
        <w:t xml:space="preserve"> </w:t>
      </w:r>
      <w:r w:rsidR="0077398D" w:rsidRPr="00475ADF">
        <w:t>postępowa</w:t>
      </w:r>
      <w:r w:rsidR="00CA23B3">
        <w:t xml:space="preserve">ń </w:t>
      </w:r>
      <w:r w:rsidR="0077398D" w:rsidRPr="00475ADF">
        <w:t>arbitrażow</w:t>
      </w:r>
      <w:r w:rsidR="00CA23B3">
        <w:t>ych</w:t>
      </w:r>
      <w:r w:rsidR="0077398D" w:rsidRPr="00475ADF">
        <w:t>, w których P</w:t>
      </w:r>
      <w:r w:rsidR="00CA23B3">
        <w:t xml:space="preserve">rokuratoria </w:t>
      </w:r>
      <w:r w:rsidR="0077398D" w:rsidRPr="00475ADF">
        <w:t>G</w:t>
      </w:r>
      <w:r w:rsidR="00CA23B3">
        <w:t xml:space="preserve">eneralna </w:t>
      </w:r>
      <w:r w:rsidR="0077398D" w:rsidRPr="00475ADF">
        <w:t xml:space="preserve">RP </w:t>
      </w:r>
      <w:r w:rsidR="00C34B45" w:rsidRPr="00475ADF">
        <w:t xml:space="preserve">od 2006 r. </w:t>
      </w:r>
      <w:r w:rsidR="0077398D" w:rsidRPr="00475ADF">
        <w:t xml:space="preserve">wykonywała lub wykonuje zastępstwo procesowe RP, </w:t>
      </w:r>
      <w:r w:rsidR="00CA23B3">
        <w:t>szes</w:t>
      </w:r>
      <w:r w:rsidR="0077398D" w:rsidRPr="00475ADF">
        <w:t>naście dotyczyło lub dotyczy sporów wniesionych przez inwestorów zagranicznych na podstawie umów intra-EU BIT (zawartych z Austrią, Francją, Niemc</w:t>
      </w:r>
      <w:r w:rsidR="00A22D68">
        <w:t>ami, Cyprem, Holandią, Belgią i </w:t>
      </w:r>
      <w:r w:rsidR="0077398D" w:rsidRPr="00475ADF">
        <w:t>Luksemburgiem, Republiką Czeską</w:t>
      </w:r>
      <w:r w:rsidR="002D65FB">
        <w:t>, Wielką Brytanią</w:t>
      </w:r>
      <w:r w:rsidR="0077398D" w:rsidRPr="00475ADF">
        <w:t>). Mimo dużego odsetka wygrywanych spraw (w tym ugody) P</w:t>
      </w:r>
      <w:r w:rsidR="00DD7F21">
        <w:t>olska</w:t>
      </w:r>
      <w:r w:rsidR="0077398D" w:rsidRPr="00475ADF">
        <w:t xml:space="preserve"> ponosi </w:t>
      </w:r>
      <w:r w:rsidR="00C34B45" w:rsidRPr="00475ADF">
        <w:t xml:space="preserve">wysokie </w:t>
      </w:r>
      <w:r w:rsidR="0077398D" w:rsidRPr="00475ADF">
        <w:t>koszty postępowań arbitrażowych</w:t>
      </w:r>
      <w:r w:rsidR="00864D7E" w:rsidRPr="00475ADF">
        <w:t xml:space="preserve">: </w:t>
      </w:r>
      <w:r w:rsidR="00864D7E" w:rsidRPr="00475ADF">
        <w:rPr>
          <w:spacing w:val="4"/>
        </w:rPr>
        <w:t xml:space="preserve">zaliczki na koszty postępowania (w tym wynagrodzenie arbitrów), opinie biegłych, zorganizowanie rozpraw, tłumaczenia, udział świadków oraz koszty zastępstwa procesowego. </w:t>
      </w:r>
      <w:r w:rsidR="00475ADF" w:rsidRPr="00475ADF">
        <w:rPr>
          <w:spacing w:val="4"/>
        </w:rPr>
        <w:t>Zgodnie z informacjami byłego M</w:t>
      </w:r>
      <w:r w:rsidR="00CA23B3">
        <w:rPr>
          <w:spacing w:val="4"/>
        </w:rPr>
        <w:t xml:space="preserve">inisterstwa </w:t>
      </w:r>
      <w:r w:rsidR="00475ADF" w:rsidRPr="00475ADF">
        <w:rPr>
          <w:spacing w:val="4"/>
        </w:rPr>
        <w:t>S</w:t>
      </w:r>
      <w:r w:rsidR="00CA23B3">
        <w:rPr>
          <w:spacing w:val="4"/>
        </w:rPr>
        <w:t xml:space="preserve">karbu </w:t>
      </w:r>
      <w:r w:rsidR="00475ADF" w:rsidRPr="00475ADF">
        <w:rPr>
          <w:spacing w:val="4"/>
        </w:rPr>
        <w:t>P</w:t>
      </w:r>
      <w:r w:rsidR="00CA23B3">
        <w:rPr>
          <w:spacing w:val="4"/>
        </w:rPr>
        <w:t>aństwa</w:t>
      </w:r>
      <w:r w:rsidR="00475ADF" w:rsidRPr="00475ADF">
        <w:rPr>
          <w:spacing w:val="4"/>
        </w:rPr>
        <w:t xml:space="preserve">, RP w związku z postępowaniami arbitrażowymi poniosła od 2006 r. koszty w wysokości ok. 53 mln </w:t>
      </w:r>
      <w:r w:rsidR="00D2401E">
        <w:rPr>
          <w:spacing w:val="4"/>
        </w:rPr>
        <w:t>zł</w:t>
      </w:r>
      <w:r w:rsidR="00475ADF" w:rsidRPr="00475ADF">
        <w:rPr>
          <w:spacing w:val="4"/>
        </w:rPr>
        <w:t xml:space="preserve">. </w:t>
      </w:r>
      <w:r w:rsidR="00F75C89">
        <w:rPr>
          <w:spacing w:val="4"/>
        </w:rPr>
        <w:t xml:space="preserve">Wypowiedzenie Umowy </w:t>
      </w:r>
      <w:r w:rsidR="00475ADF" w:rsidRPr="00475ADF">
        <w:rPr>
          <w:spacing w:val="4"/>
        </w:rPr>
        <w:t xml:space="preserve">z Królestwem </w:t>
      </w:r>
      <w:r w:rsidR="00D10788" w:rsidRPr="00475ADF">
        <w:rPr>
          <w:spacing w:val="4"/>
        </w:rPr>
        <w:t>Niderlandów</w:t>
      </w:r>
      <w:r w:rsidR="00475ADF" w:rsidRPr="00475ADF">
        <w:rPr>
          <w:spacing w:val="4"/>
        </w:rPr>
        <w:t xml:space="preserve"> może </w:t>
      </w:r>
      <w:r w:rsidR="00801F11">
        <w:rPr>
          <w:spacing w:val="4"/>
        </w:rPr>
        <w:t xml:space="preserve">więc </w:t>
      </w:r>
      <w:r w:rsidR="00475ADF" w:rsidRPr="00475ADF">
        <w:rPr>
          <w:spacing w:val="4"/>
        </w:rPr>
        <w:t xml:space="preserve">potencjalnie istotnie zmniejszyć obciążenie państwa pod względem finansowym, ponieważ </w:t>
      </w:r>
      <w:r w:rsidR="00801F11">
        <w:rPr>
          <w:spacing w:val="4"/>
        </w:rPr>
        <w:t xml:space="preserve">nie będzie zachodzić konieczność ponoszenia znaczących kosztów, o których mowa w zdaniu poprzedzającym. </w:t>
      </w:r>
    </w:p>
    <w:p w:rsidR="00271D07" w:rsidRPr="00A22D68" w:rsidRDefault="00F75C89" w:rsidP="00A22D68">
      <w:pPr>
        <w:spacing w:before="120" w:line="360" w:lineRule="auto"/>
        <w:jc w:val="both"/>
        <w:rPr>
          <w:spacing w:val="4"/>
        </w:rPr>
      </w:pPr>
      <w:r>
        <w:rPr>
          <w:spacing w:val="4"/>
        </w:rPr>
        <w:lastRenderedPageBreak/>
        <w:t>Wypowiedzenie Umowy n</w:t>
      </w:r>
      <w:r w:rsidR="00475ADF" w:rsidRPr="00475ADF">
        <w:rPr>
          <w:spacing w:val="4"/>
        </w:rPr>
        <w:t>ie naruszy polskiego porządku prawnego i doprowadzi do usunięcia niezgodności Umowy z prawem UE</w:t>
      </w:r>
      <w:r>
        <w:rPr>
          <w:spacing w:val="4"/>
        </w:rPr>
        <w:t xml:space="preserve"> </w:t>
      </w:r>
      <w:r w:rsidR="002916D6" w:rsidRPr="002916D6">
        <w:rPr>
          <w:spacing w:val="4"/>
        </w:rPr>
        <w:t xml:space="preserve">po </w:t>
      </w:r>
      <w:r w:rsidR="002916D6">
        <w:rPr>
          <w:spacing w:val="4"/>
        </w:rPr>
        <w:t xml:space="preserve">piętnastu </w:t>
      </w:r>
      <w:r w:rsidR="00A22D68">
        <w:rPr>
          <w:spacing w:val="4"/>
        </w:rPr>
        <w:t>latach od d</w:t>
      </w:r>
      <w:r w:rsidR="00D2401E">
        <w:rPr>
          <w:spacing w:val="4"/>
        </w:rPr>
        <w:t>nia</w:t>
      </w:r>
      <w:r w:rsidR="00A22D68">
        <w:rPr>
          <w:spacing w:val="4"/>
        </w:rPr>
        <w:t xml:space="preserve"> wejścia w </w:t>
      </w:r>
      <w:r w:rsidR="002916D6" w:rsidRPr="002916D6">
        <w:rPr>
          <w:spacing w:val="4"/>
        </w:rPr>
        <w:t xml:space="preserve">życie wypowiedzenia Umowy. </w:t>
      </w:r>
    </w:p>
    <w:p w:rsidR="00271D07" w:rsidRPr="00475ADF" w:rsidRDefault="00A22D68" w:rsidP="00A22D68">
      <w:pPr>
        <w:tabs>
          <w:tab w:val="left" w:pos="336"/>
        </w:tabs>
        <w:spacing w:before="120" w:line="360" w:lineRule="auto"/>
        <w:jc w:val="both"/>
        <w:rPr>
          <w:b/>
        </w:rPr>
      </w:pPr>
      <w:r>
        <w:rPr>
          <w:b/>
        </w:rPr>
        <w:t>4.</w:t>
      </w:r>
      <w:r>
        <w:rPr>
          <w:b/>
        </w:rPr>
        <w:tab/>
      </w:r>
      <w:r w:rsidR="00271D07" w:rsidRPr="00475ADF">
        <w:rPr>
          <w:b/>
        </w:rPr>
        <w:t xml:space="preserve">Tryb </w:t>
      </w:r>
      <w:r w:rsidR="002916D6">
        <w:rPr>
          <w:b/>
        </w:rPr>
        <w:t xml:space="preserve">wypowiedzenia Umowy </w:t>
      </w:r>
    </w:p>
    <w:p w:rsidR="004774BA" w:rsidRDefault="002916D6" w:rsidP="00A22D68">
      <w:pPr>
        <w:spacing w:before="120" w:line="360" w:lineRule="auto"/>
        <w:jc w:val="both"/>
      </w:pPr>
      <w:r>
        <w:t xml:space="preserve">Wypowiadana Umowa </w:t>
      </w:r>
      <w:r w:rsidR="00475ADF" w:rsidRPr="00475ADF">
        <w:t xml:space="preserve">ma rangę umowy międzypaństwowej. </w:t>
      </w:r>
      <w:r>
        <w:t xml:space="preserve">Wypowiadana </w:t>
      </w:r>
      <w:r w:rsidR="00475ADF" w:rsidRPr="00475ADF">
        <w:t>Umowa jest traktowana w polskim porządku prawnym jako umowa ratyfikowana za uprzednią zgodą wyrażoną w ustawie, stosownie do art. 241 ust. 1 ustawy</w:t>
      </w:r>
      <w:r w:rsidR="00A22D68">
        <w:t xml:space="preserve"> z dnia 2 kwietnia 1997 r. –</w:t>
      </w:r>
      <w:r w:rsidR="00475ADF" w:rsidRPr="00475ADF">
        <w:t xml:space="preserve"> Konstytucja Rzeczypospolitej Polskiej (Dz. U. poz. 483, z późn. zm.). </w:t>
      </w:r>
      <w:r w:rsidR="004774BA" w:rsidRPr="004774BA">
        <w:t xml:space="preserve">Dlatego też </w:t>
      </w:r>
      <w:r>
        <w:t xml:space="preserve">wypowiedzenie Umowy </w:t>
      </w:r>
      <w:r w:rsidR="004774BA" w:rsidRPr="004774BA">
        <w:t xml:space="preserve">nastąpi również za uprzednią zgodą wyrażoną w ustawie, tym bardziej że </w:t>
      </w:r>
      <w:r>
        <w:t xml:space="preserve">Umowa </w:t>
      </w:r>
      <w:r w:rsidR="004774BA" w:rsidRPr="004774BA">
        <w:t>dotyczy wolności, praw i obowiązków obywatelskic</w:t>
      </w:r>
      <w:r w:rsidR="00A22D68">
        <w:t>h (w </w:t>
      </w:r>
      <w:r w:rsidR="004774BA" w:rsidRPr="004774BA">
        <w:t xml:space="preserve">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837D4F">
        <w:t xml:space="preserve">1 </w:t>
      </w:r>
      <w:r w:rsidR="004774BA" w:rsidRPr="004774BA">
        <w:t>pkt 2 i 5 Konstytucji RP.</w:t>
      </w:r>
    </w:p>
    <w:p w:rsidR="00A22D68" w:rsidRDefault="00A22D68" w:rsidP="00A22D68">
      <w:pPr>
        <w:spacing w:before="120" w:line="360" w:lineRule="auto"/>
        <w:jc w:val="both"/>
        <w:rPr>
          <w:sz w:val="20"/>
          <w:szCs w:val="20"/>
        </w:rPr>
      </w:pPr>
    </w:p>
    <w:p w:rsidR="00A22D68" w:rsidRPr="00A22D68" w:rsidRDefault="00A22D68" w:rsidP="00A22D68">
      <w:pPr>
        <w:spacing w:before="120" w:line="360" w:lineRule="auto"/>
        <w:jc w:val="both"/>
        <w:rPr>
          <w:sz w:val="20"/>
          <w:szCs w:val="20"/>
        </w:rPr>
      </w:pPr>
    </w:p>
    <w:sectPr w:rsidR="00A22D68" w:rsidRPr="00A22D68" w:rsidSect="00A22D68">
      <w:footerReference w:type="even" r:id="rId9"/>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048" w:rsidRDefault="00786048">
      <w:r>
        <w:separator/>
      </w:r>
    </w:p>
  </w:endnote>
  <w:endnote w:type="continuationSeparator" w:id="0">
    <w:p w:rsidR="00786048" w:rsidRDefault="0078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FC8" w:rsidRDefault="00170FC8"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170FC8" w:rsidRDefault="00170FC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710981"/>
      <w:docPartObj>
        <w:docPartGallery w:val="Page Numbers (Bottom of Page)"/>
        <w:docPartUnique/>
      </w:docPartObj>
    </w:sdtPr>
    <w:sdtEndPr/>
    <w:sdtContent>
      <w:p w:rsidR="00170FC8" w:rsidRDefault="00A22D68" w:rsidP="00A22D68">
        <w:pPr>
          <w:pStyle w:val="Stopka"/>
          <w:jc w:val="center"/>
        </w:pPr>
        <w:r>
          <w:fldChar w:fldCharType="begin"/>
        </w:r>
        <w:r>
          <w:instrText>PAGE   \* MERGEFORMAT</w:instrText>
        </w:r>
        <w:r>
          <w:fldChar w:fldCharType="separate"/>
        </w:r>
        <w:r w:rsidR="00A65573">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048" w:rsidRDefault="00786048">
      <w:r>
        <w:separator/>
      </w:r>
    </w:p>
  </w:footnote>
  <w:footnote w:type="continuationSeparator" w:id="0">
    <w:p w:rsidR="00786048" w:rsidRDefault="007860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27257748"/>
    <w:multiLevelType w:val="hybridMultilevel"/>
    <w:tmpl w:val="91F27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10C00"/>
    <w:rsid w:val="00012A9C"/>
    <w:rsid w:val="00015AE9"/>
    <w:rsid w:val="00017829"/>
    <w:rsid w:val="00017AE9"/>
    <w:rsid w:val="000229C7"/>
    <w:rsid w:val="00022FFA"/>
    <w:rsid w:val="00036B27"/>
    <w:rsid w:val="00037C3F"/>
    <w:rsid w:val="0004502C"/>
    <w:rsid w:val="00045606"/>
    <w:rsid w:val="000473AE"/>
    <w:rsid w:val="00050884"/>
    <w:rsid w:val="00060C35"/>
    <w:rsid w:val="000643E1"/>
    <w:rsid w:val="00082329"/>
    <w:rsid w:val="00082D2F"/>
    <w:rsid w:val="00086877"/>
    <w:rsid w:val="000954BF"/>
    <w:rsid w:val="00095796"/>
    <w:rsid w:val="000A4C68"/>
    <w:rsid w:val="000B1110"/>
    <w:rsid w:val="000B331A"/>
    <w:rsid w:val="000B3836"/>
    <w:rsid w:val="000D6D91"/>
    <w:rsid w:val="000D7C4E"/>
    <w:rsid w:val="000E683B"/>
    <w:rsid w:val="00100A5B"/>
    <w:rsid w:val="0011060B"/>
    <w:rsid w:val="001172A9"/>
    <w:rsid w:val="001232CC"/>
    <w:rsid w:val="001248C7"/>
    <w:rsid w:val="00125D7C"/>
    <w:rsid w:val="00127C02"/>
    <w:rsid w:val="00140622"/>
    <w:rsid w:val="00140F10"/>
    <w:rsid w:val="00140F6C"/>
    <w:rsid w:val="00141B1A"/>
    <w:rsid w:val="00152821"/>
    <w:rsid w:val="00152837"/>
    <w:rsid w:val="00156DEB"/>
    <w:rsid w:val="00162E74"/>
    <w:rsid w:val="00164CC3"/>
    <w:rsid w:val="00170FC8"/>
    <w:rsid w:val="00172177"/>
    <w:rsid w:val="00175C36"/>
    <w:rsid w:val="00185A98"/>
    <w:rsid w:val="001860AE"/>
    <w:rsid w:val="001864BC"/>
    <w:rsid w:val="00191981"/>
    <w:rsid w:val="00192B92"/>
    <w:rsid w:val="0019797D"/>
    <w:rsid w:val="00197DC1"/>
    <w:rsid w:val="001A3DB2"/>
    <w:rsid w:val="001A4A2E"/>
    <w:rsid w:val="001C767B"/>
    <w:rsid w:val="001D13D7"/>
    <w:rsid w:val="001D5910"/>
    <w:rsid w:val="001E0BD4"/>
    <w:rsid w:val="001E2D56"/>
    <w:rsid w:val="001E33B5"/>
    <w:rsid w:val="001E7CFC"/>
    <w:rsid w:val="001F7B0A"/>
    <w:rsid w:val="002004B3"/>
    <w:rsid w:val="00200589"/>
    <w:rsid w:val="00200CA1"/>
    <w:rsid w:val="0020279C"/>
    <w:rsid w:val="00221E1A"/>
    <w:rsid w:val="002247DC"/>
    <w:rsid w:val="00234DB2"/>
    <w:rsid w:val="0024478F"/>
    <w:rsid w:val="00245F53"/>
    <w:rsid w:val="002628A8"/>
    <w:rsid w:val="002641D0"/>
    <w:rsid w:val="00271D07"/>
    <w:rsid w:val="002722FD"/>
    <w:rsid w:val="0027483C"/>
    <w:rsid w:val="00277B9A"/>
    <w:rsid w:val="0028025F"/>
    <w:rsid w:val="0028233E"/>
    <w:rsid w:val="00291494"/>
    <w:rsid w:val="0029159A"/>
    <w:rsid w:val="002916D6"/>
    <w:rsid w:val="00295963"/>
    <w:rsid w:val="00296719"/>
    <w:rsid w:val="002A3914"/>
    <w:rsid w:val="002A6C35"/>
    <w:rsid w:val="002A7BF3"/>
    <w:rsid w:val="002B05BD"/>
    <w:rsid w:val="002B310C"/>
    <w:rsid w:val="002D358F"/>
    <w:rsid w:val="002D60AD"/>
    <w:rsid w:val="002D65FB"/>
    <w:rsid w:val="002E753C"/>
    <w:rsid w:val="002F1633"/>
    <w:rsid w:val="002F2650"/>
    <w:rsid w:val="002F3FD9"/>
    <w:rsid w:val="002F47BD"/>
    <w:rsid w:val="002F7EE1"/>
    <w:rsid w:val="003022A2"/>
    <w:rsid w:val="00307171"/>
    <w:rsid w:val="003103A7"/>
    <w:rsid w:val="0031504F"/>
    <w:rsid w:val="0032053C"/>
    <w:rsid w:val="00322249"/>
    <w:rsid w:val="00324A89"/>
    <w:rsid w:val="00332A17"/>
    <w:rsid w:val="003369CC"/>
    <w:rsid w:val="00342BCE"/>
    <w:rsid w:val="00350180"/>
    <w:rsid w:val="00350D1D"/>
    <w:rsid w:val="00361C8D"/>
    <w:rsid w:val="00365AD7"/>
    <w:rsid w:val="00366190"/>
    <w:rsid w:val="00367DA4"/>
    <w:rsid w:val="003706D6"/>
    <w:rsid w:val="00370B74"/>
    <w:rsid w:val="0037701E"/>
    <w:rsid w:val="003855D6"/>
    <w:rsid w:val="0039157D"/>
    <w:rsid w:val="0039229C"/>
    <w:rsid w:val="003943A9"/>
    <w:rsid w:val="00395821"/>
    <w:rsid w:val="0039744C"/>
    <w:rsid w:val="003A085C"/>
    <w:rsid w:val="003A46CE"/>
    <w:rsid w:val="003B1FE1"/>
    <w:rsid w:val="003B4027"/>
    <w:rsid w:val="003B5232"/>
    <w:rsid w:val="003B5D85"/>
    <w:rsid w:val="003C6A68"/>
    <w:rsid w:val="003C7275"/>
    <w:rsid w:val="003D2583"/>
    <w:rsid w:val="003F3394"/>
    <w:rsid w:val="004009BB"/>
    <w:rsid w:val="00403B11"/>
    <w:rsid w:val="004053DE"/>
    <w:rsid w:val="0041042E"/>
    <w:rsid w:val="00413517"/>
    <w:rsid w:val="00417C92"/>
    <w:rsid w:val="004200BB"/>
    <w:rsid w:val="004219CB"/>
    <w:rsid w:val="0042575A"/>
    <w:rsid w:val="00430FDB"/>
    <w:rsid w:val="00431BEE"/>
    <w:rsid w:val="00435ED0"/>
    <w:rsid w:val="004364A1"/>
    <w:rsid w:val="0044180C"/>
    <w:rsid w:val="004457AA"/>
    <w:rsid w:val="004459F2"/>
    <w:rsid w:val="00454D41"/>
    <w:rsid w:val="00455354"/>
    <w:rsid w:val="00457DDC"/>
    <w:rsid w:val="004652D2"/>
    <w:rsid w:val="00472716"/>
    <w:rsid w:val="004737DF"/>
    <w:rsid w:val="00475ADF"/>
    <w:rsid w:val="004774BA"/>
    <w:rsid w:val="00491953"/>
    <w:rsid w:val="00491C31"/>
    <w:rsid w:val="004A10E8"/>
    <w:rsid w:val="004A3ACE"/>
    <w:rsid w:val="004A46E9"/>
    <w:rsid w:val="004B1473"/>
    <w:rsid w:val="004B1AD2"/>
    <w:rsid w:val="004B5876"/>
    <w:rsid w:val="004C4BF4"/>
    <w:rsid w:val="004D142E"/>
    <w:rsid w:val="004D2122"/>
    <w:rsid w:val="004D387B"/>
    <w:rsid w:val="004E04F1"/>
    <w:rsid w:val="004E6BFB"/>
    <w:rsid w:val="004F1171"/>
    <w:rsid w:val="004F17DC"/>
    <w:rsid w:val="004F21D7"/>
    <w:rsid w:val="004F5FFB"/>
    <w:rsid w:val="0050575C"/>
    <w:rsid w:val="005070F1"/>
    <w:rsid w:val="005108B0"/>
    <w:rsid w:val="005118FA"/>
    <w:rsid w:val="00524263"/>
    <w:rsid w:val="005364C5"/>
    <w:rsid w:val="00540BDD"/>
    <w:rsid w:val="005548A7"/>
    <w:rsid w:val="0057230B"/>
    <w:rsid w:val="005761D9"/>
    <w:rsid w:val="00577B81"/>
    <w:rsid w:val="005812AD"/>
    <w:rsid w:val="005817DC"/>
    <w:rsid w:val="005837FF"/>
    <w:rsid w:val="0058433A"/>
    <w:rsid w:val="005911AE"/>
    <w:rsid w:val="00594B77"/>
    <w:rsid w:val="005950FC"/>
    <w:rsid w:val="0059545F"/>
    <w:rsid w:val="00597C2C"/>
    <w:rsid w:val="005A1AA5"/>
    <w:rsid w:val="005A1C73"/>
    <w:rsid w:val="005A6884"/>
    <w:rsid w:val="005A6FA0"/>
    <w:rsid w:val="005B0268"/>
    <w:rsid w:val="005B5132"/>
    <w:rsid w:val="005C5469"/>
    <w:rsid w:val="005C6697"/>
    <w:rsid w:val="005D043F"/>
    <w:rsid w:val="005D564E"/>
    <w:rsid w:val="005D7459"/>
    <w:rsid w:val="005E6ED8"/>
    <w:rsid w:val="005F20E6"/>
    <w:rsid w:val="005F2461"/>
    <w:rsid w:val="005F545D"/>
    <w:rsid w:val="00600078"/>
    <w:rsid w:val="00603909"/>
    <w:rsid w:val="00604312"/>
    <w:rsid w:val="0061225C"/>
    <w:rsid w:val="006220DE"/>
    <w:rsid w:val="00632BA3"/>
    <w:rsid w:val="00635D6D"/>
    <w:rsid w:val="0064455F"/>
    <w:rsid w:val="00653A6D"/>
    <w:rsid w:val="00654D95"/>
    <w:rsid w:val="0066101C"/>
    <w:rsid w:val="00661205"/>
    <w:rsid w:val="00663ABB"/>
    <w:rsid w:val="00663BB6"/>
    <w:rsid w:val="00664038"/>
    <w:rsid w:val="00664306"/>
    <w:rsid w:val="00666FCF"/>
    <w:rsid w:val="00671EEC"/>
    <w:rsid w:val="0067288C"/>
    <w:rsid w:val="00677391"/>
    <w:rsid w:val="00682922"/>
    <w:rsid w:val="006965A4"/>
    <w:rsid w:val="00697FBB"/>
    <w:rsid w:val="006A3182"/>
    <w:rsid w:val="006B0124"/>
    <w:rsid w:val="006C2CA7"/>
    <w:rsid w:val="006C2FAB"/>
    <w:rsid w:val="006C3FC7"/>
    <w:rsid w:val="006D72B8"/>
    <w:rsid w:val="006E19B4"/>
    <w:rsid w:val="006E2DC4"/>
    <w:rsid w:val="006E6E77"/>
    <w:rsid w:val="006E7253"/>
    <w:rsid w:val="006E7CDB"/>
    <w:rsid w:val="006F1F6B"/>
    <w:rsid w:val="006F4FFD"/>
    <w:rsid w:val="007102BD"/>
    <w:rsid w:val="007170C6"/>
    <w:rsid w:val="007273C9"/>
    <w:rsid w:val="0074436B"/>
    <w:rsid w:val="007462CE"/>
    <w:rsid w:val="00756C22"/>
    <w:rsid w:val="007574FB"/>
    <w:rsid w:val="0076674E"/>
    <w:rsid w:val="0076785E"/>
    <w:rsid w:val="007718D6"/>
    <w:rsid w:val="0077398D"/>
    <w:rsid w:val="00777023"/>
    <w:rsid w:val="00777D28"/>
    <w:rsid w:val="00786048"/>
    <w:rsid w:val="0079113D"/>
    <w:rsid w:val="007915AE"/>
    <w:rsid w:val="00791F45"/>
    <w:rsid w:val="007B3E1D"/>
    <w:rsid w:val="007B597B"/>
    <w:rsid w:val="007B5F79"/>
    <w:rsid w:val="007C0B25"/>
    <w:rsid w:val="007E5765"/>
    <w:rsid w:val="007F1AE0"/>
    <w:rsid w:val="007F1C28"/>
    <w:rsid w:val="007F3CB8"/>
    <w:rsid w:val="007F7B7E"/>
    <w:rsid w:val="00801F11"/>
    <w:rsid w:val="00802798"/>
    <w:rsid w:val="00802E31"/>
    <w:rsid w:val="00810FB5"/>
    <w:rsid w:val="00810FE4"/>
    <w:rsid w:val="008221F9"/>
    <w:rsid w:val="00822E61"/>
    <w:rsid w:val="0082564B"/>
    <w:rsid w:val="00831142"/>
    <w:rsid w:val="0083213A"/>
    <w:rsid w:val="00837D4F"/>
    <w:rsid w:val="00837D67"/>
    <w:rsid w:val="0084281A"/>
    <w:rsid w:val="00844670"/>
    <w:rsid w:val="0084502C"/>
    <w:rsid w:val="00856D33"/>
    <w:rsid w:val="00862C14"/>
    <w:rsid w:val="00864D7E"/>
    <w:rsid w:val="00877749"/>
    <w:rsid w:val="00884296"/>
    <w:rsid w:val="008855DE"/>
    <w:rsid w:val="00894C26"/>
    <w:rsid w:val="008951C4"/>
    <w:rsid w:val="008A15E4"/>
    <w:rsid w:val="008A247C"/>
    <w:rsid w:val="008B20EC"/>
    <w:rsid w:val="008B3131"/>
    <w:rsid w:val="008B4F25"/>
    <w:rsid w:val="008B67FC"/>
    <w:rsid w:val="008C0AF9"/>
    <w:rsid w:val="008E1E21"/>
    <w:rsid w:val="008F4354"/>
    <w:rsid w:val="008F588C"/>
    <w:rsid w:val="008F763F"/>
    <w:rsid w:val="0090032A"/>
    <w:rsid w:val="0090353A"/>
    <w:rsid w:val="00904194"/>
    <w:rsid w:val="0091022A"/>
    <w:rsid w:val="00911447"/>
    <w:rsid w:val="00911E1D"/>
    <w:rsid w:val="00915A04"/>
    <w:rsid w:val="00915DFD"/>
    <w:rsid w:val="00921002"/>
    <w:rsid w:val="00926540"/>
    <w:rsid w:val="0093709B"/>
    <w:rsid w:val="009456A4"/>
    <w:rsid w:val="00947D1E"/>
    <w:rsid w:val="00950522"/>
    <w:rsid w:val="00953B27"/>
    <w:rsid w:val="009577A3"/>
    <w:rsid w:val="00960ECB"/>
    <w:rsid w:val="009643F7"/>
    <w:rsid w:val="00964F2F"/>
    <w:rsid w:val="0096531D"/>
    <w:rsid w:val="009729EA"/>
    <w:rsid w:val="009741AF"/>
    <w:rsid w:val="00976FBE"/>
    <w:rsid w:val="00990454"/>
    <w:rsid w:val="00990970"/>
    <w:rsid w:val="0099616C"/>
    <w:rsid w:val="009A28FC"/>
    <w:rsid w:val="009A7878"/>
    <w:rsid w:val="009C0881"/>
    <w:rsid w:val="009C6392"/>
    <w:rsid w:val="009C6661"/>
    <w:rsid w:val="009D6AC4"/>
    <w:rsid w:val="009E0C2A"/>
    <w:rsid w:val="009E27A0"/>
    <w:rsid w:val="009E7528"/>
    <w:rsid w:val="00A024DE"/>
    <w:rsid w:val="00A04BFB"/>
    <w:rsid w:val="00A0577F"/>
    <w:rsid w:val="00A0787C"/>
    <w:rsid w:val="00A17675"/>
    <w:rsid w:val="00A22D68"/>
    <w:rsid w:val="00A312DD"/>
    <w:rsid w:val="00A32BC4"/>
    <w:rsid w:val="00A42E9D"/>
    <w:rsid w:val="00A431F1"/>
    <w:rsid w:val="00A438D4"/>
    <w:rsid w:val="00A50440"/>
    <w:rsid w:val="00A53DC4"/>
    <w:rsid w:val="00A65573"/>
    <w:rsid w:val="00A873F2"/>
    <w:rsid w:val="00A90415"/>
    <w:rsid w:val="00AA00DA"/>
    <w:rsid w:val="00AA4CAC"/>
    <w:rsid w:val="00AB1E2F"/>
    <w:rsid w:val="00AB33E1"/>
    <w:rsid w:val="00AB3A52"/>
    <w:rsid w:val="00AB5BC7"/>
    <w:rsid w:val="00AC1F7E"/>
    <w:rsid w:val="00AC5E84"/>
    <w:rsid w:val="00AD292D"/>
    <w:rsid w:val="00AD679B"/>
    <w:rsid w:val="00AE5314"/>
    <w:rsid w:val="00AE592E"/>
    <w:rsid w:val="00AE7350"/>
    <w:rsid w:val="00AE7C3A"/>
    <w:rsid w:val="00AF62DE"/>
    <w:rsid w:val="00AF6749"/>
    <w:rsid w:val="00B00549"/>
    <w:rsid w:val="00B01E8F"/>
    <w:rsid w:val="00B02C6C"/>
    <w:rsid w:val="00B0446E"/>
    <w:rsid w:val="00B04B71"/>
    <w:rsid w:val="00B140BC"/>
    <w:rsid w:val="00B15A16"/>
    <w:rsid w:val="00B1740F"/>
    <w:rsid w:val="00B21610"/>
    <w:rsid w:val="00B3672D"/>
    <w:rsid w:val="00B402AE"/>
    <w:rsid w:val="00B40635"/>
    <w:rsid w:val="00B430FB"/>
    <w:rsid w:val="00B45550"/>
    <w:rsid w:val="00B609F3"/>
    <w:rsid w:val="00B60DAF"/>
    <w:rsid w:val="00B65B3E"/>
    <w:rsid w:val="00B728D6"/>
    <w:rsid w:val="00B72BE9"/>
    <w:rsid w:val="00B74BBF"/>
    <w:rsid w:val="00B83CB0"/>
    <w:rsid w:val="00B8715E"/>
    <w:rsid w:val="00B952EA"/>
    <w:rsid w:val="00BA379E"/>
    <w:rsid w:val="00BB0D8D"/>
    <w:rsid w:val="00BC05C6"/>
    <w:rsid w:val="00BC09E1"/>
    <w:rsid w:val="00BC17AA"/>
    <w:rsid w:val="00BC2A26"/>
    <w:rsid w:val="00BC6D3E"/>
    <w:rsid w:val="00BD13E6"/>
    <w:rsid w:val="00BD2EA8"/>
    <w:rsid w:val="00BD684F"/>
    <w:rsid w:val="00BE2F1C"/>
    <w:rsid w:val="00BE3FCC"/>
    <w:rsid w:val="00BE7A6B"/>
    <w:rsid w:val="00BF1BF6"/>
    <w:rsid w:val="00BF6F8F"/>
    <w:rsid w:val="00C04BA9"/>
    <w:rsid w:val="00C10954"/>
    <w:rsid w:val="00C11D05"/>
    <w:rsid w:val="00C12D4B"/>
    <w:rsid w:val="00C14506"/>
    <w:rsid w:val="00C1457C"/>
    <w:rsid w:val="00C1597B"/>
    <w:rsid w:val="00C17CF4"/>
    <w:rsid w:val="00C2411A"/>
    <w:rsid w:val="00C34B45"/>
    <w:rsid w:val="00C35684"/>
    <w:rsid w:val="00C502BD"/>
    <w:rsid w:val="00C5059E"/>
    <w:rsid w:val="00C526F9"/>
    <w:rsid w:val="00C528D5"/>
    <w:rsid w:val="00C53967"/>
    <w:rsid w:val="00C60C98"/>
    <w:rsid w:val="00C72B6B"/>
    <w:rsid w:val="00C87054"/>
    <w:rsid w:val="00C908C3"/>
    <w:rsid w:val="00C90FB4"/>
    <w:rsid w:val="00C940D0"/>
    <w:rsid w:val="00CA0F73"/>
    <w:rsid w:val="00CA23B3"/>
    <w:rsid w:val="00CB1AB7"/>
    <w:rsid w:val="00CB67DB"/>
    <w:rsid w:val="00CC0377"/>
    <w:rsid w:val="00CC100E"/>
    <w:rsid w:val="00CC5FB2"/>
    <w:rsid w:val="00CD6110"/>
    <w:rsid w:val="00CF02F6"/>
    <w:rsid w:val="00CF3806"/>
    <w:rsid w:val="00D01DAD"/>
    <w:rsid w:val="00D03F11"/>
    <w:rsid w:val="00D10788"/>
    <w:rsid w:val="00D167DC"/>
    <w:rsid w:val="00D20D79"/>
    <w:rsid w:val="00D2401E"/>
    <w:rsid w:val="00D25CA6"/>
    <w:rsid w:val="00D30782"/>
    <w:rsid w:val="00D33F74"/>
    <w:rsid w:val="00D34A4C"/>
    <w:rsid w:val="00D362B2"/>
    <w:rsid w:val="00D367A6"/>
    <w:rsid w:val="00D37398"/>
    <w:rsid w:val="00D40295"/>
    <w:rsid w:val="00D6335F"/>
    <w:rsid w:val="00D700F6"/>
    <w:rsid w:val="00D717E0"/>
    <w:rsid w:val="00D7403C"/>
    <w:rsid w:val="00D819AB"/>
    <w:rsid w:val="00D86B25"/>
    <w:rsid w:val="00D86BEF"/>
    <w:rsid w:val="00D871E6"/>
    <w:rsid w:val="00D9534A"/>
    <w:rsid w:val="00DA061A"/>
    <w:rsid w:val="00DA0840"/>
    <w:rsid w:val="00DB2114"/>
    <w:rsid w:val="00DB498D"/>
    <w:rsid w:val="00DB5BDF"/>
    <w:rsid w:val="00DC4B2C"/>
    <w:rsid w:val="00DC732E"/>
    <w:rsid w:val="00DD4BA7"/>
    <w:rsid w:val="00DD7F21"/>
    <w:rsid w:val="00DE18EC"/>
    <w:rsid w:val="00DE3979"/>
    <w:rsid w:val="00DF117C"/>
    <w:rsid w:val="00E00360"/>
    <w:rsid w:val="00E04A89"/>
    <w:rsid w:val="00E05D11"/>
    <w:rsid w:val="00E20DB8"/>
    <w:rsid w:val="00E24BAA"/>
    <w:rsid w:val="00E26487"/>
    <w:rsid w:val="00E31A60"/>
    <w:rsid w:val="00E31B81"/>
    <w:rsid w:val="00E36964"/>
    <w:rsid w:val="00E40D04"/>
    <w:rsid w:val="00E4316E"/>
    <w:rsid w:val="00E44188"/>
    <w:rsid w:val="00E45387"/>
    <w:rsid w:val="00E53309"/>
    <w:rsid w:val="00E54E7E"/>
    <w:rsid w:val="00E63FAA"/>
    <w:rsid w:val="00E67832"/>
    <w:rsid w:val="00E77E1D"/>
    <w:rsid w:val="00E80B7E"/>
    <w:rsid w:val="00E81D40"/>
    <w:rsid w:val="00E826F3"/>
    <w:rsid w:val="00E8604C"/>
    <w:rsid w:val="00E86EB6"/>
    <w:rsid w:val="00E91614"/>
    <w:rsid w:val="00E9264A"/>
    <w:rsid w:val="00E96856"/>
    <w:rsid w:val="00EA2B48"/>
    <w:rsid w:val="00EA689B"/>
    <w:rsid w:val="00EB32C0"/>
    <w:rsid w:val="00EC0928"/>
    <w:rsid w:val="00EC14A0"/>
    <w:rsid w:val="00EC2408"/>
    <w:rsid w:val="00EC5427"/>
    <w:rsid w:val="00EC63DA"/>
    <w:rsid w:val="00ED06B3"/>
    <w:rsid w:val="00ED40C1"/>
    <w:rsid w:val="00EF3B60"/>
    <w:rsid w:val="00EF3C2F"/>
    <w:rsid w:val="00F13BB2"/>
    <w:rsid w:val="00F16513"/>
    <w:rsid w:val="00F22C5F"/>
    <w:rsid w:val="00F24A78"/>
    <w:rsid w:val="00F2564C"/>
    <w:rsid w:val="00F25736"/>
    <w:rsid w:val="00F34C25"/>
    <w:rsid w:val="00F3747A"/>
    <w:rsid w:val="00F60096"/>
    <w:rsid w:val="00F60815"/>
    <w:rsid w:val="00F61A42"/>
    <w:rsid w:val="00F65D05"/>
    <w:rsid w:val="00F66E79"/>
    <w:rsid w:val="00F75C89"/>
    <w:rsid w:val="00F83E30"/>
    <w:rsid w:val="00F84DB2"/>
    <w:rsid w:val="00F84F55"/>
    <w:rsid w:val="00F854EF"/>
    <w:rsid w:val="00F9242E"/>
    <w:rsid w:val="00F92DBE"/>
    <w:rsid w:val="00F968A6"/>
    <w:rsid w:val="00FB30CC"/>
    <w:rsid w:val="00FB35F9"/>
    <w:rsid w:val="00FB5122"/>
    <w:rsid w:val="00FC0C80"/>
    <w:rsid w:val="00FC1E97"/>
    <w:rsid w:val="00FC1FA6"/>
    <w:rsid w:val="00FC3B63"/>
    <w:rsid w:val="00FC4D37"/>
    <w:rsid w:val="00FC75DE"/>
    <w:rsid w:val="00FD1C80"/>
    <w:rsid w:val="00FD249B"/>
    <w:rsid w:val="00FD30AB"/>
    <w:rsid w:val="00FD48BA"/>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Default">
    <w:name w:val="Default"/>
    <w:rsid w:val="001E2D56"/>
    <w:pPr>
      <w:autoSpaceDE w:val="0"/>
      <w:autoSpaceDN w:val="0"/>
      <w:adjustRightInd w:val="0"/>
    </w:pPr>
    <w:rPr>
      <w:color w:val="000000"/>
      <w:sz w:val="24"/>
      <w:szCs w:val="24"/>
      <w:lang w:eastAsia="en-US"/>
    </w:rPr>
  </w:style>
  <w:style w:type="paragraph" w:styleId="NormalnyWeb">
    <w:name w:val="Normal (Web)"/>
    <w:aliases w:val="webb, webb,Char Char Char Char Char Char Znak Znak Znak"/>
    <w:basedOn w:val="Normalny"/>
    <w:link w:val="NormalnyWebZnak"/>
    <w:rsid w:val="005817DC"/>
    <w:pPr>
      <w:spacing w:before="100" w:beforeAutospacing="1" w:after="100" w:afterAutospacing="1"/>
    </w:pPr>
  </w:style>
  <w:style w:type="character" w:customStyle="1" w:styleId="NormalnyWebZnak">
    <w:name w:val="Normalny (Web) Znak"/>
    <w:aliases w:val="webb Znak, webb Znak,Char Char Char Char Char Char Znak Znak Znak Znak"/>
    <w:link w:val="NormalnyWeb"/>
    <w:rsid w:val="005817DC"/>
    <w:rPr>
      <w:sz w:val="24"/>
      <w:szCs w:val="24"/>
    </w:rPr>
  </w:style>
  <w:style w:type="paragraph" w:styleId="Nagwek">
    <w:name w:val="header"/>
    <w:basedOn w:val="Normalny"/>
    <w:link w:val="NagwekZnak"/>
    <w:rsid w:val="00A22D68"/>
    <w:pPr>
      <w:tabs>
        <w:tab w:val="center" w:pos="4536"/>
        <w:tab w:val="right" w:pos="9072"/>
      </w:tabs>
    </w:pPr>
  </w:style>
  <w:style w:type="character" w:customStyle="1" w:styleId="NagwekZnak">
    <w:name w:val="Nagłówek Znak"/>
    <w:basedOn w:val="Domylnaczcionkaakapitu"/>
    <w:link w:val="Nagwek"/>
    <w:rsid w:val="00A22D68"/>
    <w:rPr>
      <w:sz w:val="24"/>
      <w:szCs w:val="24"/>
    </w:rPr>
  </w:style>
  <w:style w:type="character" w:customStyle="1" w:styleId="StopkaZnak">
    <w:name w:val="Stopka Znak"/>
    <w:basedOn w:val="Domylnaczcionkaakapitu"/>
    <w:link w:val="Stopka"/>
    <w:uiPriority w:val="99"/>
    <w:rsid w:val="00A22D68"/>
    <w:rPr>
      <w:sz w:val="24"/>
      <w:szCs w:val="24"/>
    </w:rPr>
  </w:style>
  <w:style w:type="character" w:styleId="Odwoaniedokomentarza">
    <w:name w:val="annotation reference"/>
    <w:basedOn w:val="Domylnaczcionkaakapitu"/>
    <w:rsid w:val="00577B81"/>
    <w:rPr>
      <w:sz w:val="16"/>
      <w:szCs w:val="16"/>
    </w:rPr>
  </w:style>
  <w:style w:type="paragraph" w:styleId="Tekstkomentarza">
    <w:name w:val="annotation text"/>
    <w:basedOn w:val="Normalny"/>
    <w:link w:val="TekstkomentarzaZnak"/>
    <w:rsid w:val="00577B81"/>
    <w:rPr>
      <w:sz w:val="20"/>
      <w:szCs w:val="20"/>
    </w:rPr>
  </w:style>
  <w:style w:type="character" w:customStyle="1" w:styleId="TekstkomentarzaZnak">
    <w:name w:val="Tekst komentarza Znak"/>
    <w:basedOn w:val="Domylnaczcionkaakapitu"/>
    <w:link w:val="Tekstkomentarza"/>
    <w:rsid w:val="00577B81"/>
  </w:style>
  <w:style w:type="paragraph" w:styleId="Tematkomentarza">
    <w:name w:val="annotation subject"/>
    <w:basedOn w:val="Tekstkomentarza"/>
    <w:next w:val="Tekstkomentarza"/>
    <w:link w:val="TematkomentarzaZnak"/>
    <w:rsid w:val="00577B81"/>
    <w:rPr>
      <w:b/>
      <w:bCs/>
    </w:rPr>
  </w:style>
  <w:style w:type="character" w:customStyle="1" w:styleId="TematkomentarzaZnak">
    <w:name w:val="Temat komentarza Znak"/>
    <w:basedOn w:val="TekstkomentarzaZnak"/>
    <w:link w:val="Tematkomentarza"/>
    <w:rsid w:val="00577B8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Default">
    <w:name w:val="Default"/>
    <w:rsid w:val="001E2D56"/>
    <w:pPr>
      <w:autoSpaceDE w:val="0"/>
      <w:autoSpaceDN w:val="0"/>
      <w:adjustRightInd w:val="0"/>
    </w:pPr>
    <w:rPr>
      <w:color w:val="000000"/>
      <w:sz w:val="24"/>
      <w:szCs w:val="24"/>
      <w:lang w:eastAsia="en-US"/>
    </w:rPr>
  </w:style>
  <w:style w:type="paragraph" w:styleId="NormalnyWeb">
    <w:name w:val="Normal (Web)"/>
    <w:aliases w:val="webb, webb,Char Char Char Char Char Char Znak Znak Znak"/>
    <w:basedOn w:val="Normalny"/>
    <w:link w:val="NormalnyWebZnak"/>
    <w:rsid w:val="005817DC"/>
    <w:pPr>
      <w:spacing w:before="100" w:beforeAutospacing="1" w:after="100" w:afterAutospacing="1"/>
    </w:pPr>
  </w:style>
  <w:style w:type="character" w:customStyle="1" w:styleId="NormalnyWebZnak">
    <w:name w:val="Normalny (Web) Znak"/>
    <w:aliases w:val="webb Znak, webb Znak,Char Char Char Char Char Char Znak Znak Znak Znak"/>
    <w:link w:val="NormalnyWeb"/>
    <w:rsid w:val="005817DC"/>
    <w:rPr>
      <w:sz w:val="24"/>
      <w:szCs w:val="24"/>
    </w:rPr>
  </w:style>
  <w:style w:type="paragraph" w:styleId="Nagwek">
    <w:name w:val="header"/>
    <w:basedOn w:val="Normalny"/>
    <w:link w:val="NagwekZnak"/>
    <w:rsid w:val="00A22D68"/>
    <w:pPr>
      <w:tabs>
        <w:tab w:val="center" w:pos="4536"/>
        <w:tab w:val="right" w:pos="9072"/>
      </w:tabs>
    </w:pPr>
  </w:style>
  <w:style w:type="character" w:customStyle="1" w:styleId="NagwekZnak">
    <w:name w:val="Nagłówek Znak"/>
    <w:basedOn w:val="Domylnaczcionkaakapitu"/>
    <w:link w:val="Nagwek"/>
    <w:rsid w:val="00A22D68"/>
    <w:rPr>
      <w:sz w:val="24"/>
      <w:szCs w:val="24"/>
    </w:rPr>
  </w:style>
  <w:style w:type="character" w:customStyle="1" w:styleId="StopkaZnak">
    <w:name w:val="Stopka Znak"/>
    <w:basedOn w:val="Domylnaczcionkaakapitu"/>
    <w:link w:val="Stopka"/>
    <w:uiPriority w:val="99"/>
    <w:rsid w:val="00A22D68"/>
    <w:rPr>
      <w:sz w:val="24"/>
      <w:szCs w:val="24"/>
    </w:rPr>
  </w:style>
  <w:style w:type="character" w:styleId="Odwoaniedokomentarza">
    <w:name w:val="annotation reference"/>
    <w:basedOn w:val="Domylnaczcionkaakapitu"/>
    <w:rsid w:val="00577B81"/>
    <w:rPr>
      <w:sz w:val="16"/>
      <w:szCs w:val="16"/>
    </w:rPr>
  </w:style>
  <w:style w:type="paragraph" w:styleId="Tekstkomentarza">
    <w:name w:val="annotation text"/>
    <w:basedOn w:val="Normalny"/>
    <w:link w:val="TekstkomentarzaZnak"/>
    <w:rsid w:val="00577B81"/>
    <w:rPr>
      <w:sz w:val="20"/>
      <w:szCs w:val="20"/>
    </w:rPr>
  </w:style>
  <w:style w:type="character" w:customStyle="1" w:styleId="TekstkomentarzaZnak">
    <w:name w:val="Tekst komentarza Znak"/>
    <w:basedOn w:val="Domylnaczcionkaakapitu"/>
    <w:link w:val="Tekstkomentarza"/>
    <w:rsid w:val="00577B81"/>
  </w:style>
  <w:style w:type="paragraph" w:styleId="Tematkomentarza">
    <w:name w:val="annotation subject"/>
    <w:basedOn w:val="Tekstkomentarza"/>
    <w:next w:val="Tekstkomentarza"/>
    <w:link w:val="TematkomentarzaZnak"/>
    <w:rsid w:val="00577B81"/>
    <w:rPr>
      <w:b/>
      <w:bCs/>
    </w:rPr>
  </w:style>
  <w:style w:type="character" w:customStyle="1" w:styleId="TematkomentarzaZnak">
    <w:name w:val="Temat komentarza Znak"/>
    <w:basedOn w:val="TekstkomentarzaZnak"/>
    <w:link w:val="Tematkomentarza"/>
    <w:rsid w:val="00577B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064500">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BD397-34F6-4FD4-A675-3F653FD1F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2358</Words>
  <Characters>15465</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2018-01-29T13:41:00Z</cp:lastPrinted>
  <dcterms:created xsi:type="dcterms:W3CDTF">2018-02-27T18:07:00Z</dcterms:created>
  <dcterms:modified xsi:type="dcterms:W3CDTF">2018-02-27T18:07:00Z</dcterms:modified>
</cp:coreProperties>
</file>