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67E" w:rsidRPr="00C1367E" w:rsidRDefault="00C1367E" w:rsidP="00C1367E">
      <w:pPr>
        <w:suppressAutoHyphens/>
        <w:autoSpaceDE w:val="0"/>
        <w:autoSpaceDN w:val="0"/>
        <w:adjustRightInd w:val="0"/>
        <w:spacing w:before="120" w:after="0" w:line="360" w:lineRule="auto"/>
        <w:jc w:val="center"/>
        <w:rPr>
          <w:rFonts w:ascii="Times" w:eastAsia="Times New Roman" w:hAnsi="Times" w:cs="Arial"/>
          <w:bCs/>
          <w:sz w:val="24"/>
          <w:szCs w:val="20"/>
          <w:lang w:eastAsia="pl-PL"/>
        </w:rPr>
      </w:pPr>
      <w:bookmarkStart w:id="0" w:name="_GoBack"/>
      <w:bookmarkEnd w:id="0"/>
      <w:r w:rsidRPr="00C1367E">
        <w:rPr>
          <w:rFonts w:ascii="Times" w:eastAsia="Times New Roman" w:hAnsi="Times" w:cs="Arial"/>
          <w:bCs/>
          <w:sz w:val="24"/>
          <w:szCs w:val="20"/>
          <w:lang w:eastAsia="pl-PL"/>
        </w:rPr>
        <w:t>UZASADNIENIE</w:t>
      </w:r>
    </w:p>
    <w:p w:rsidR="00C1367E" w:rsidRPr="00C1367E" w:rsidRDefault="00C1367E" w:rsidP="005F2E30">
      <w:pPr>
        <w:suppressAutoHyphens/>
        <w:autoSpaceDE w:val="0"/>
        <w:autoSpaceDN w:val="0"/>
        <w:adjustRightInd w:val="0"/>
        <w:spacing w:before="24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Przygotowana nowelizacja ustawy o Służbie Więziennej ma na celu szerokie umożliwienie tej formacji wykonywania zadań związanych z odbywaniem kary w</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 xml:space="preserve">Systemie Dozoru Elektronicznego (dalej SDE). Obecnie Służba Więzienna wykonuje jedynie zadania ustawowe wskazane przez Ministra Sprawiedliwości, a dotyczące prowadzenia centrali monitorowania w SDE. Wieloletnia praktyka funkcjonowania SDE wskazuje jednak na potrzebę poszerzenia kompetencji Służby Więziennej również o prawo do realizacji innych zadań immanentnie związanych z wykonywaniem kary pozbawienia wolności i kary ograniczenia wolności w SDE. Dotychczas zadania te zostały kompleksowo zdefiniowane w Kodeksie karnym wykonawczym (art. 43t), przez wskazanie działań do realizacji wyłącznie przez upoważniony podmiot dozorujący. </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Zamierzeniem projektodawcy jest zmiana tego stanu rzeczy przez ustawowe umocowanie Ministra Sprawiedliwości do fakultatywnego powierzania wykonania zadań, o których mowa w art. 43t Kodeksu karnego wykonawczego, podległej sobie formacji mundurowej jaką jest Służba Więzienna. W ten sposób zostanie zagwarantowana pełna spójność w zakresie nieprzerwanego i sprawnego wykonywania kar w SDE. Nawet w</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przypadku wystąpienia poważnych zdarzeń krytycznych, kiedy to upoważniony podmiot dozorujący (podmiot prywatny wyłaniany w drodze przetargu publicznego) zaprzestanie wykonywania kar w SDE, nowa regulacja ustawowa umożliwi sprawne i</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pilne przejęcie realizacji jego zadań przez Służbę Więzienną. Także w przypadku modyfikacji funkcjonowania SDE w przyszłości, przewidzianej nowelizacją art. 43a §</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1</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 xml:space="preserve">k.k.w. (np. poszerzenia zakresu stosowania SDE o środki zapobiegawcze) proponowana regulacja pozwoli na elastyczne zarządzanie tym systemem. Dla przykładu: wprowadzenie nowej funkcjonalności systemu już w trakcie obowiązywania umowy z danym upoważnionym podmiotem dozorującym nie będzie wymagało aneksowania i uzgadniania nowych zapisów umownych, albowiem będzie mogło być realizowane właśnie przez Służbę Więzienną. </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W tym kontekście potencjalne wyposażenie Służby Więziennej w nowe kompetencje ustawowe do wykonywania zadań w ramach SDE, wskazanych fakultatywnie przez Ministra Sprawiedliwości, jawi się jako w pełni uzasadnione i</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potrzebne, przede wszystkim ze względu na funkcje gwarancyjne dla bezpiecznego i</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skutecznego wykonania kar oraz środków karnych i zabezpieczających w SDE.</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i/>
          <w:sz w:val="24"/>
          <w:szCs w:val="20"/>
          <w:lang w:eastAsia="pl-PL"/>
        </w:rPr>
      </w:pPr>
      <w:r w:rsidRPr="00C1367E">
        <w:rPr>
          <w:rFonts w:ascii="Times" w:eastAsia="Times New Roman" w:hAnsi="Times" w:cs="Arial"/>
          <w:bCs/>
          <w:sz w:val="24"/>
          <w:szCs w:val="20"/>
          <w:lang w:eastAsia="pl-PL"/>
        </w:rPr>
        <w:lastRenderedPageBreak/>
        <w:t>Z tych względów znowelizowanie art. 2 ust. 2 ustawy o Służbie Więziennej w</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proponowanym brzmieniu jawi się jako w pełni zasadne.</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Uchylenie ust. 2a w art. 2 ustawy o Służbie Więziennej jest zmianą wynikową – treść dotychczasowego przepisu będzie zawierać się bowiem w dodawanym pkt 9 w</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ust.</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2 art. 2.</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Jednocześnie wskazać należy, że miejsce ingerencji legislacyjnej (ust. 2, a nie ust.</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2a) wydaje się prawidłowe ze względu na fakt, że to przede wszystkim właśnie ust.</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2 art. 2 nowelizowanej ustawy traktuje o zadaniach realizowanych przez Służbę Więzienną w związku z wykonywaniem wszelkiego rodzaju kar i środków skutkujących pozbawieniem wolności.</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C1367E">
        <w:rPr>
          <w:rFonts w:ascii="Times" w:eastAsia="Times New Roman" w:hAnsi="Times" w:cs="Arial"/>
          <w:sz w:val="24"/>
          <w:szCs w:val="20"/>
          <w:lang w:eastAsia="pl-PL"/>
        </w:rPr>
        <w:t>Zamierzeniem projektodawcy jest zmiana tego stanu rzeczy przez ustawowe umocowanie Ministra Sprawiedliwości do fakultatywnego powierzania wykonania zadań, o których mowa w art. 43t Kodeksu karnego wykonawczego, formacji podległej sobie lub przez niego nadzorowanej.</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C1367E">
        <w:rPr>
          <w:rFonts w:ascii="Times" w:eastAsia="Times New Roman" w:hAnsi="Times" w:cs="Arial"/>
          <w:sz w:val="24"/>
          <w:szCs w:val="20"/>
          <w:lang w:eastAsia="pl-PL"/>
        </w:rPr>
        <w:t xml:space="preserve"> Z uwagi na cel projektu jest konieczna ponadto nowelizacja Kodeksu karnego wykonawczego w zakresie tożsamym ze znowelizowaną ustawą o Służbie Więziennej, tj. w zakresie wyposażenia Służby Więziennej w nowe ustawowe kompetencje do wykonywania zadań w ramach SDE. Z tych względów proponuje się w art. 43g §</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3</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k.k.w. usankcjonować nową kompetencję Służby Więziennej przyznaną jej przez nowelizację ustawy o Służbie Więziennej przez wskazanie, że jednostka organizacyjna podległa Ministrowi Sprawiedliwości lub przez niego nadzorowana może przy wykonywaniu dozoru elektronicznego realizować zadania nie tylko podmiotu prowadzącego centralę monitorowania, ale także podmiotu dozorującego. Co oczywiste, scedowanie przez Ministra Sprawiedliwości zadań podmiotu dozorującego na Służbę Więzienną, tj. jednostkę organizacyjną mu podległą, nie będzie się odbywać w trybie określonym w ustawie z dnia 29 stycznia 2004 r. – Prawo zamówień publicznych (Dz.</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 xml:space="preserve">U. z 2017 r. poz. 1579 i 2018) – art. 43g § 3 i 4 projektu. </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C1367E">
        <w:rPr>
          <w:rFonts w:ascii="Times" w:eastAsia="Times New Roman" w:hAnsi="Times" w:cs="Arial"/>
          <w:sz w:val="24"/>
          <w:szCs w:val="20"/>
          <w:lang w:eastAsia="pl-PL"/>
        </w:rPr>
        <w:t>W przypadku powierzania zadań podmiotu dozorującego bez zastosowania ustawy – Prawo zamówień publicznych jednostce organizacyjnej podległej Ministrowi Sprawiedliwości lub przez niego nadzorowanej innej niż Służba Więzienna, jednostka taka będzie spełniać przesłanki udzielenia zamówienia in-house, o których mowa w</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art.</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 xml:space="preserve">12 ust. 1 dyrektywy Parlamentu Europejskiego i Rady 2014/24/UE z dnia </w:t>
      </w:r>
      <w:r w:rsidRPr="00C1367E">
        <w:rPr>
          <w:rFonts w:ascii="Times" w:eastAsia="Times New Roman" w:hAnsi="Times" w:cs="Arial"/>
          <w:sz w:val="24"/>
          <w:szCs w:val="20"/>
          <w:lang w:eastAsia="pl-PL"/>
        </w:rPr>
        <w:lastRenderedPageBreak/>
        <w:t>26</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lutego 2014 r. w sprawie zamówień publicznych, uchylającej dyrektywę 2004/18/WE, w szczególności zaś przesłankę wykonywania ponad 80% działalności w</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ramach wykonywania zadań powierzonych jej przez instytucję zamawiającą sprawującą kontrolę (art. 12 ust. 1 lit. b dyrektywy).</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C1367E">
        <w:rPr>
          <w:rFonts w:ascii="Times" w:eastAsia="Times New Roman" w:hAnsi="Times" w:cs="Arial"/>
          <w:sz w:val="24"/>
          <w:szCs w:val="20"/>
          <w:lang w:eastAsia="pl-PL"/>
        </w:rPr>
        <w:t xml:space="preserve">Nowelizacja art. 43n jest związana z poprawą funkcjonalności urządzeń związanych z dozorem mobilnym. Do tej pory skazany w dozorze mobilnym był wyposażony jedynie w nadajnik GPS montowany na kończynie, który, z uwagi na jego konstrukcję techniczną, nie pozwalał na nawiązanie kontaktu telefonicznego </w:t>
      </w:r>
      <w:r w:rsidR="00E108D3">
        <w:rPr>
          <w:rFonts w:ascii="Times" w:eastAsia="Times New Roman" w:hAnsi="Times" w:cs="Arial"/>
          <w:sz w:val="24"/>
          <w:szCs w:val="20"/>
          <w:lang w:eastAsia="pl-PL"/>
        </w:rPr>
        <w:t>po</w:t>
      </w:r>
      <w:r w:rsidRPr="00C1367E">
        <w:rPr>
          <w:rFonts w:ascii="Times" w:eastAsia="Times New Roman" w:hAnsi="Times" w:cs="Arial"/>
          <w:sz w:val="24"/>
          <w:szCs w:val="20"/>
          <w:lang w:eastAsia="pl-PL"/>
        </w:rPr>
        <w:t>między organami dozorującymi a skazanym.</w:t>
      </w:r>
      <w:r w:rsidR="005F2E30">
        <w:rPr>
          <w:rFonts w:ascii="Times" w:eastAsia="Times New Roman" w:hAnsi="Times" w:cs="Arial"/>
          <w:sz w:val="24"/>
          <w:szCs w:val="20"/>
          <w:lang w:eastAsia="pl-PL"/>
        </w:rPr>
        <w:t xml:space="preserve"> </w:t>
      </w:r>
      <w:r w:rsidRPr="00C1367E">
        <w:rPr>
          <w:rFonts w:ascii="Times" w:eastAsia="Times New Roman" w:hAnsi="Times" w:cs="Arial"/>
          <w:sz w:val="24"/>
          <w:szCs w:val="20"/>
          <w:lang w:eastAsia="pl-PL"/>
        </w:rPr>
        <w:t>Wyposażenie skazanego w rejestrator przenośny umożliwi mu na taki kontakt. Co więcej, pozwoli na kontrolę miejsca pobytu skazanego w czasie rzeczywistym nawet w przypadku wyczerpania się źródła zasilania w</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podstawowym urządzeniu telefonicznym jakim jest nadajnik GPS montowany na kończynie (a które wymaga ładowania przez czas od 4 do 5 h na dobę). Zmiany w</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zakresie art. 43n i art. 43t k.k.w. są podyktowane także koniecznością ustawowego unormowania obowiązku skazanego do odbierania połączeń, wykonywania poleceń i</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udzielania osobom upoważnionym wyjaśnień, również przy użyciu urządzenia mobilnego. Nałożenie takich obowiązków na skazanego w zakresie dozoru mobilnego lub zbliżeniowego, zbieżnych z już istniejącymi obowiązkami nałożonymi na skazanego przy dozorze stacjonarnym jest nie tylko celowe, ale wypełnia również niezasadną lukę w obu regulacjach. Dodać należy, że potrzeba stosowania rejestratora przenośnego co do skazanego, wobec którego jest stosowany dozór mobilny, wynika także z konieczności zapewnienia większej kontroli nad jego zachowaniem w trakcie wykonywania tego rodzaju środka.</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C1367E">
        <w:rPr>
          <w:rFonts w:ascii="Times" w:eastAsia="Times New Roman" w:hAnsi="Times" w:cs="Arial"/>
          <w:sz w:val="24"/>
          <w:szCs w:val="20"/>
          <w:lang w:eastAsia="pl-PL"/>
        </w:rPr>
        <w:t xml:space="preserve">Nowelizacja art. 43a § 1 k.k.w. rozszerzająca </w:t>
      </w:r>
      <w:r w:rsidRPr="00C1367E">
        <w:rPr>
          <w:rFonts w:ascii="Times" w:eastAsia="Times New Roman" w:hAnsi="Times" w:cs="Arial"/>
          <w:i/>
          <w:sz w:val="24"/>
          <w:szCs w:val="20"/>
          <w:lang w:eastAsia="pl-PL"/>
        </w:rPr>
        <w:t>de lege ferenda</w:t>
      </w:r>
      <w:r w:rsidRPr="00C1367E">
        <w:rPr>
          <w:rFonts w:ascii="Times" w:eastAsia="Times New Roman" w:hAnsi="Times" w:cs="Arial"/>
          <w:sz w:val="24"/>
          <w:szCs w:val="20"/>
          <w:lang w:eastAsia="pl-PL"/>
        </w:rPr>
        <w:t xml:space="preserve"> zakres zastosowania dozoru elektronicznego również na środki inne niż środki karne i środki zabezpieczające jest związana z potrzebą zagwarantowania na przyszłość pełnej funkcjonalności SDE w przypadku decyzji o zasadności powiększenia spektrum środków, których wykonanie łączyłoby się z zastosowaniem dozoru elektronicznego. W</w:t>
      </w:r>
      <w:r w:rsidR="005F2E30">
        <w:rPr>
          <w:rFonts w:ascii="Times" w:eastAsia="Times New Roman" w:hAnsi="Times" w:cs="Arial"/>
          <w:sz w:val="24"/>
          <w:szCs w:val="20"/>
          <w:lang w:eastAsia="pl-PL"/>
        </w:rPr>
        <w:t> </w:t>
      </w:r>
      <w:r w:rsidRPr="00C1367E">
        <w:rPr>
          <w:rFonts w:ascii="Times" w:eastAsia="Times New Roman" w:hAnsi="Times" w:cs="Arial"/>
          <w:sz w:val="24"/>
          <w:szCs w:val="20"/>
          <w:lang w:eastAsia="pl-PL"/>
        </w:rPr>
        <w:t>tym znaczeniu nowelizowany przepis będzie stanowił normatywną podstawę ustawową dla dalszych ewentualnych zmian w zakresie możliwego zastosowania dozoru elektronicznego.</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lastRenderedPageBreak/>
        <w:t>Projekt niniejszej nowelizacji powoduje skutki dla budżetu państwa. Skutki te wystąpią jednak wyłącznie w przypadku skorzystania przez Ministra Sprawiedliwości z</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kompetencji ustawowej i powierzenia Służbie Więziennej realizacji wskazanych zadań w ramach SDE.</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Zakres projektu nie jest objęty prawem Unii Europejskiej.</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C1367E">
        <w:rPr>
          <w:rFonts w:ascii="Times" w:eastAsia="Times New Roman" w:hAnsi="Times" w:cs="Arial"/>
          <w:sz w:val="24"/>
          <w:szCs w:val="20"/>
          <w:lang w:eastAsia="pl-PL"/>
        </w:rPr>
        <w:t>Zakres projektu nie wymaga przedstawienia go</w:t>
      </w:r>
      <w:r w:rsidR="005F2E30">
        <w:rPr>
          <w:rFonts w:ascii="Times" w:eastAsia="Times New Roman" w:hAnsi="Times" w:cs="Arial"/>
          <w:sz w:val="24"/>
          <w:szCs w:val="20"/>
          <w:lang w:eastAsia="pl-PL"/>
        </w:rPr>
        <w:t xml:space="preserve"> </w:t>
      </w:r>
      <w:r w:rsidRPr="00C1367E">
        <w:rPr>
          <w:rFonts w:ascii="Times" w:eastAsia="Times New Roman" w:hAnsi="Times" w:cs="Arial"/>
          <w:sz w:val="24"/>
          <w:szCs w:val="20"/>
          <w:lang w:eastAsia="pl-PL"/>
        </w:rPr>
        <w:t>właściwym organom i instytucjom Unii Europejskiej, w tym Europejskiemu Bankowi Centralnemu.</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Projekt nie zawiera przepisów technicznych, a zatem nie podlega notyfikacji zgodnie z trybem przewidzianym w rozporządzeniu Rady Ministrów z dnia 23 grudnia 2002 r. w sprawie sposobu funkcjonowania krajowego systemu notyfikacji norm i</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aktów prawnych (Dz. U. poz. 2039, z późn. zm.).</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Projekt wpływa na działalność mikroprzedsiębiorców oraz małych i średnich przedsiębiorców.</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Projekt ustawy został zamieszczony na stronie internetowej Biuletynu Informacji Publicznej Ministerstwa Sprawiedliwości zgodnie z ustawą z dnia 7 lipca 2005 r. o</w:t>
      </w:r>
      <w:r w:rsidR="005F2E30">
        <w:rPr>
          <w:rFonts w:ascii="Times" w:eastAsia="Times New Roman" w:hAnsi="Times" w:cs="Arial"/>
          <w:bCs/>
          <w:sz w:val="24"/>
          <w:szCs w:val="20"/>
          <w:lang w:eastAsia="pl-PL"/>
        </w:rPr>
        <w:t> </w:t>
      </w:r>
      <w:r w:rsidRPr="00C1367E">
        <w:rPr>
          <w:rFonts w:ascii="Times" w:eastAsia="Times New Roman" w:hAnsi="Times" w:cs="Arial"/>
          <w:bCs/>
          <w:sz w:val="24"/>
          <w:szCs w:val="20"/>
          <w:lang w:eastAsia="pl-PL"/>
        </w:rPr>
        <w:t>działalności lobbingowej w procesie stanowienia prawa (Dz. U. z 2017 r. poz. 248) oraz w Biuletynie Informacji Publicznej Rządowego Centrum Legislacji.</w:t>
      </w:r>
    </w:p>
    <w:p w:rsidR="00C1367E" w:rsidRPr="00C1367E" w:rsidRDefault="00C1367E" w:rsidP="00C1367E">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C1367E">
        <w:rPr>
          <w:rFonts w:ascii="Times" w:eastAsia="Times New Roman" w:hAnsi="Times" w:cs="Arial"/>
          <w:bCs/>
          <w:sz w:val="24"/>
          <w:szCs w:val="20"/>
          <w:lang w:eastAsia="pl-PL"/>
        </w:rPr>
        <w:t>Żaden z podmiotów wykonujących zawodową działalność lobbingową nie zgłosił zainteresowania pracami nad projektem.</w:t>
      </w:r>
    </w:p>
    <w:sectPr w:rsidR="00C1367E" w:rsidRPr="00C1367E" w:rsidSect="005F2E30">
      <w:footerReference w:type="default" r:id="rId7"/>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E30" w:rsidRDefault="005F2E30" w:rsidP="005F2E30">
      <w:pPr>
        <w:spacing w:after="0" w:line="240" w:lineRule="auto"/>
      </w:pPr>
      <w:r>
        <w:separator/>
      </w:r>
    </w:p>
  </w:endnote>
  <w:endnote w:type="continuationSeparator" w:id="0">
    <w:p w:rsidR="005F2E30" w:rsidRDefault="005F2E30" w:rsidP="005F2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100252"/>
      <w:docPartObj>
        <w:docPartGallery w:val="Page Numbers (Bottom of Page)"/>
        <w:docPartUnique/>
      </w:docPartObj>
    </w:sdtPr>
    <w:sdtEndPr>
      <w:rPr>
        <w:rFonts w:ascii="Times New Roman" w:hAnsi="Times New Roman" w:cs="Times New Roman"/>
        <w:sz w:val="24"/>
        <w:szCs w:val="24"/>
      </w:rPr>
    </w:sdtEndPr>
    <w:sdtContent>
      <w:p w:rsidR="005F2E30" w:rsidRPr="005F2E30" w:rsidRDefault="005F2E30" w:rsidP="005F2E30">
        <w:pPr>
          <w:pStyle w:val="Stopka"/>
          <w:jc w:val="center"/>
          <w:rPr>
            <w:rFonts w:ascii="Times New Roman" w:hAnsi="Times New Roman" w:cs="Times New Roman"/>
            <w:sz w:val="24"/>
            <w:szCs w:val="24"/>
          </w:rPr>
        </w:pPr>
        <w:r w:rsidRPr="005F2E30">
          <w:rPr>
            <w:rFonts w:ascii="Times New Roman" w:hAnsi="Times New Roman" w:cs="Times New Roman"/>
            <w:sz w:val="24"/>
            <w:szCs w:val="24"/>
          </w:rPr>
          <w:fldChar w:fldCharType="begin"/>
        </w:r>
        <w:r w:rsidRPr="005F2E30">
          <w:rPr>
            <w:rFonts w:ascii="Times New Roman" w:hAnsi="Times New Roman" w:cs="Times New Roman"/>
            <w:sz w:val="24"/>
            <w:szCs w:val="24"/>
          </w:rPr>
          <w:instrText>PAGE   \* MERGEFORMAT</w:instrText>
        </w:r>
        <w:r w:rsidRPr="005F2E30">
          <w:rPr>
            <w:rFonts w:ascii="Times New Roman" w:hAnsi="Times New Roman" w:cs="Times New Roman"/>
            <w:sz w:val="24"/>
            <w:szCs w:val="24"/>
          </w:rPr>
          <w:fldChar w:fldCharType="separate"/>
        </w:r>
        <w:r w:rsidR="005B217B">
          <w:rPr>
            <w:rFonts w:ascii="Times New Roman" w:hAnsi="Times New Roman" w:cs="Times New Roman"/>
            <w:noProof/>
            <w:sz w:val="24"/>
            <w:szCs w:val="24"/>
          </w:rPr>
          <w:t>4</w:t>
        </w:r>
        <w:r w:rsidRPr="005F2E3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E30" w:rsidRDefault="005F2E30" w:rsidP="005F2E30">
      <w:pPr>
        <w:spacing w:after="0" w:line="240" w:lineRule="auto"/>
      </w:pPr>
      <w:r>
        <w:separator/>
      </w:r>
    </w:p>
  </w:footnote>
  <w:footnote w:type="continuationSeparator" w:id="0">
    <w:p w:rsidR="005F2E30" w:rsidRDefault="005F2E30" w:rsidP="005F2E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67E"/>
    <w:rsid w:val="00154A77"/>
    <w:rsid w:val="001B1917"/>
    <w:rsid w:val="005B217B"/>
    <w:rsid w:val="005F2E30"/>
    <w:rsid w:val="009C3DFE"/>
    <w:rsid w:val="00C1367E"/>
    <w:rsid w:val="00E108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2E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2E30"/>
  </w:style>
  <w:style w:type="paragraph" w:styleId="Stopka">
    <w:name w:val="footer"/>
    <w:basedOn w:val="Normalny"/>
    <w:link w:val="StopkaZnak"/>
    <w:uiPriority w:val="99"/>
    <w:unhideWhenUsed/>
    <w:rsid w:val="005F2E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2E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2E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2E30"/>
  </w:style>
  <w:style w:type="paragraph" w:styleId="Stopka">
    <w:name w:val="footer"/>
    <w:basedOn w:val="Normalny"/>
    <w:link w:val="StopkaZnak"/>
    <w:uiPriority w:val="99"/>
    <w:unhideWhenUsed/>
    <w:rsid w:val="005F2E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2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71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1175</Words>
  <Characters>7056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Ewa A. Genert</cp:lastModifiedBy>
  <cp:revision>2</cp:revision>
  <dcterms:created xsi:type="dcterms:W3CDTF">2018-02-27T15:52:00Z</dcterms:created>
  <dcterms:modified xsi:type="dcterms:W3CDTF">2018-02-27T15:52:00Z</dcterms:modified>
</cp:coreProperties>
</file>