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A9" w:rsidRPr="008B50A3" w:rsidRDefault="00F41122" w:rsidP="00ED2B71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8B50A3">
        <w:rPr>
          <w:rFonts w:ascii="Times New Roman" w:hAnsi="Times New Roman" w:cs="Times New Roman"/>
          <w:b/>
          <w:i/>
          <w:sz w:val="24"/>
          <w:szCs w:val="24"/>
        </w:rPr>
        <w:t>Projekt</w:t>
      </w:r>
    </w:p>
    <w:p w:rsidR="00F41122" w:rsidRPr="008B50A3" w:rsidRDefault="00F41122" w:rsidP="00ED2B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DD9" w:rsidRPr="008B50A3" w:rsidRDefault="00F41122" w:rsidP="00ED2B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0A3">
        <w:rPr>
          <w:rFonts w:ascii="Times New Roman" w:hAnsi="Times New Roman" w:cs="Times New Roman"/>
          <w:b/>
          <w:sz w:val="24"/>
          <w:szCs w:val="24"/>
        </w:rPr>
        <w:t>Ustawa</w:t>
      </w:r>
    </w:p>
    <w:p w:rsidR="00F41122" w:rsidRPr="008B50A3" w:rsidRDefault="00F41122" w:rsidP="00ED2B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0A3">
        <w:rPr>
          <w:rFonts w:ascii="Times New Roman" w:hAnsi="Times New Roman" w:cs="Times New Roman"/>
          <w:b/>
          <w:sz w:val="24"/>
          <w:szCs w:val="24"/>
        </w:rPr>
        <w:t>z dnia …………………… 2018 r.</w:t>
      </w:r>
    </w:p>
    <w:p w:rsidR="00F41122" w:rsidRPr="008B50A3" w:rsidRDefault="00F41122" w:rsidP="00ED2B71">
      <w:pPr>
        <w:pStyle w:val="Default"/>
        <w:spacing w:line="360" w:lineRule="auto"/>
        <w:jc w:val="center"/>
        <w:rPr>
          <w:b/>
          <w:bCs/>
          <w:color w:val="auto"/>
        </w:rPr>
      </w:pPr>
      <w:r w:rsidRPr="008B50A3">
        <w:rPr>
          <w:b/>
          <w:color w:val="auto"/>
        </w:rPr>
        <w:t xml:space="preserve">o zmianie ustawy o  </w:t>
      </w:r>
      <w:r w:rsidRPr="008B50A3">
        <w:rPr>
          <w:b/>
          <w:bCs/>
          <w:color w:val="auto"/>
        </w:rPr>
        <w:t>promocji zatrudnienia i instytucjach rynku pracy</w:t>
      </w:r>
    </w:p>
    <w:p w:rsidR="00F41122" w:rsidRPr="008B50A3" w:rsidRDefault="00F41122" w:rsidP="00ED2B71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F41122" w:rsidRPr="008B50A3" w:rsidRDefault="00F41122" w:rsidP="00ED2B71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F41122" w:rsidRPr="008B50A3" w:rsidRDefault="00F41122" w:rsidP="00ED2B71">
      <w:pPr>
        <w:pStyle w:val="Default"/>
        <w:spacing w:line="360" w:lineRule="auto"/>
        <w:jc w:val="both"/>
        <w:rPr>
          <w:color w:val="auto"/>
        </w:rPr>
      </w:pPr>
    </w:p>
    <w:p w:rsidR="00ED2B71" w:rsidRPr="008B50A3" w:rsidRDefault="00ED2B71" w:rsidP="00FC3572">
      <w:pPr>
        <w:pStyle w:val="Default"/>
        <w:spacing w:line="360" w:lineRule="auto"/>
        <w:jc w:val="center"/>
        <w:rPr>
          <w:b/>
          <w:bCs/>
          <w:color w:val="auto"/>
        </w:rPr>
      </w:pPr>
      <w:r w:rsidRPr="008B50A3">
        <w:rPr>
          <w:b/>
          <w:bCs/>
          <w:color w:val="auto"/>
        </w:rPr>
        <w:t>Art. 1</w:t>
      </w:r>
    </w:p>
    <w:p w:rsidR="00F41122" w:rsidRPr="008B50A3" w:rsidRDefault="00F41122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 xml:space="preserve">W ustawie z dnia 20 kwietnia 2004 r. o promocji zatrudnienia i instytucjach rynku pracy (Dz. U. z 2015 r. poz. 149, z późn. zm.) wprowadza się następujące zmiany: </w:t>
      </w:r>
    </w:p>
    <w:p w:rsidR="00ED2B71" w:rsidRPr="008B50A3" w:rsidRDefault="00ED2B71" w:rsidP="00ED2B71">
      <w:pPr>
        <w:pStyle w:val="Default"/>
        <w:spacing w:line="360" w:lineRule="auto"/>
        <w:jc w:val="both"/>
        <w:rPr>
          <w:color w:val="auto"/>
        </w:rPr>
      </w:pPr>
    </w:p>
    <w:p w:rsidR="00F41122" w:rsidRPr="008B50A3" w:rsidRDefault="00F41122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 xml:space="preserve">1) w art. 108 ust. 1j otrzymuje brzmienie: </w:t>
      </w:r>
    </w:p>
    <w:p w:rsidR="00F41122" w:rsidRPr="008B50A3" w:rsidRDefault="00F41122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„1j. Ze środków Funduszu Pracy w latach 2018–2019 są finansowane koszty, o których mowa w art. 150f i art. 150g.”;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</w:p>
    <w:p w:rsidR="00E85DD9" w:rsidRPr="008B50A3" w:rsidRDefault="00E85DD9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 xml:space="preserve">2) </w:t>
      </w:r>
      <w:r w:rsidR="00D85AC8" w:rsidRPr="008B50A3">
        <w:rPr>
          <w:color w:val="auto"/>
        </w:rPr>
        <w:t>w a</w:t>
      </w:r>
      <w:r w:rsidRPr="008B50A3">
        <w:rPr>
          <w:color w:val="auto"/>
        </w:rPr>
        <w:t xml:space="preserve">rt. 150g </w:t>
      </w:r>
      <w:r w:rsidR="00D85AC8" w:rsidRPr="008B50A3">
        <w:rPr>
          <w:color w:val="auto"/>
        </w:rPr>
        <w:t xml:space="preserve">ust. 1-11 </w:t>
      </w:r>
      <w:r w:rsidRPr="008B50A3">
        <w:rPr>
          <w:color w:val="auto"/>
        </w:rPr>
        <w:t>otrzymuj</w:t>
      </w:r>
      <w:r w:rsidR="00D85AC8" w:rsidRPr="008B50A3">
        <w:rPr>
          <w:color w:val="auto"/>
        </w:rPr>
        <w:t>ą</w:t>
      </w:r>
      <w:r w:rsidRPr="008B50A3">
        <w:rPr>
          <w:color w:val="auto"/>
        </w:rPr>
        <w:t xml:space="preserve"> brzmienie:</w:t>
      </w:r>
    </w:p>
    <w:p w:rsidR="00E85DD9" w:rsidRPr="008B50A3" w:rsidRDefault="00ED2B71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„</w:t>
      </w:r>
      <w:r w:rsidR="00E85DD9" w:rsidRPr="008B50A3">
        <w:rPr>
          <w:color w:val="auto"/>
        </w:rPr>
        <w:t>1. Umowy, o których mowa w art. 150f, mogą być zawierane w okresie od dnia 1 stycznia 2018 r. do dnia 31 grudnia 2019 r.</w:t>
      </w:r>
    </w:p>
    <w:p w:rsidR="00E85DD9" w:rsidRPr="008B50A3" w:rsidRDefault="00E85DD9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 xml:space="preserve">2. Koszty wynikające z zawartych umów, o których mowa w ust. 1, są finansowane przez starostę w ramach Funduszu Pracy w latach 2018–2020. </w:t>
      </w:r>
    </w:p>
    <w:p w:rsidR="00E85DD9" w:rsidRPr="008B50A3" w:rsidRDefault="00E85DD9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3. Na finansowanie zadania, o którym mowa w art. 150f, przeznacza się kwotę 2.800</w:t>
      </w:r>
      <w:r w:rsidR="00F64391" w:rsidRPr="008B50A3">
        <w:rPr>
          <w:color w:val="auto"/>
        </w:rPr>
        <w:t xml:space="preserve"> mln zł, z czego w roku 2018 – 8</w:t>
      </w:r>
      <w:r w:rsidRPr="008B50A3">
        <w:rPr>
          <w:color w:val="auto"/>
        </w:rPr>
        <w:t>00 mln zł i po 1.0</w:t>
      </w:r>
      <w:r w:rsidR="00F64391" w:rsidRPr="008B50A3">
        <w:rPr>
          <w:color w:val="auto"/>
        </w:rPr>
        <w:t>0</w:t>
      </w:r>
      <w:r w:rsidRPr="008B50A3">
        <w:rPr>
          <w:color w:val="auto"/>
        </w:rPr>
        <w:t>0 mln zł odpowiednio w roku 2019 i 2020.</w:t>
      </w:r>
    </w:p>
    <w:p w:rsidR="00E85DD9" w:rsidRPr="008B50A3" w:rsidRDefault="00E85DD9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4. Kwoty kosztów realizacji zadania, o którym mowa w art. 150f, ujęte zostają w planach finansowych Funduszu Pracy na rok 2018, 2019 i 2020, zwiększając pozycję „Aktywne formy przeciwdziałania bezrobociu” w stosunku do kwoty kosztów w tej pozycji w planie finansowym Funduszu Pracy na 2017 rok.</w:t>
      </w:r>
    </w:p>
    <w:p w:rsidR="00E85DD9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5. Marszałek województwa, w terminie do 7. dnia miesiąca następującego po upływie każdego kwartału, informuje ministra właściwego do spraw pracy o wysokości zobowiązań w województwie wynikających z zawartych umów, o których mowa w ust. 1, i kwotach przewidzianych na finansowanie zadania, o którym mowa w art. 150f, w danym roku budżetowym.</w:t>
      </w:r>
    </w:p>
    <w:p w:rsidR="00E85DD9" w:rsidRPr="008B50A3" w:rsidRDefault="00E85DD9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 xml:space="preserve">6. Jeżeli kwota środków przewidzianych w planie finansowym Funduszu Pracy na rok 2018, 2019 lub 2020 nie pokrywa kwot na finansowanie zadania, o którym mowa w art. 150f, </w:t>
      </w:r>
      <w:r w:rsidRPr="008B50A3">
        <w:rPr>
          <w:color w:val="auto"/>
        </w:rPr>
        <w:lastRenderedPageBreak/>
        <w:t xml:space="preserve">minister właściwy do spraw pracy dokonuje odpowiedniej zmiany w planie finansowym Funduszu Pracy, polegającej na zwiększeniu kwoty na finansowanie zadania i odpowiednim zmniejszeniu stanu Funduszu Pracy na koniec danego roku budżetowego, z zastrzeżeniem ust. 3, zgodnie z art. 29 ust. 12 ustawy z dnia 27 sierpnia 2009 r. o finansach publicznych. </w:t>
      </w:r>
    </w:p>
    <w:p w:rsidR="00E85DD9" w:rsidRPr="008B50A3" w:rsidRDefault="00E85DD9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7. Podziału środków, o których mowa w ust. 3, dla województw, na rok 2018, 2019 i 2020, dokonuje, w terminie miesiąca od dnia wejścia w życie ustawy, minister właściwy do spraw pracy według następującego algorytmu:</w:t>
      </w:r>
    </w:p>
    <w:p w:rsidR="00E85DD9" w:rsidRPr="008B50A3" w:rsidRDefault="00E85DD9" w:rsidP="00ED2B71">
      <w:pPr>
        <w:pStyle w:val="Default"/>
        <w:spacing w:line="360" w:lineRule="auto"/>
        <w:jc w:val="both"/>
        <w:rPr>
          <w:b/>
          <w:color w:val="auto"/>
        </w:rPr>
      </w:pPr>
    </w:p>
    <w:p w:rsidR="00D85AC8" w:rsidRPr="008B50A3" w:rsidRDefault="00E85DD9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rFonts w:ascii="Cambria Math" w:hAnsi="Cambria Math" w:cs="Cambria Math"/>
          <w:color w:val="auto"/>
        </w:rPr>
        <w:t>𝐿𝑤𝑗𝑛</w:t>
      </w:r>
      <w:r w:rsidRPr="008B50A3">
        <w:rPr>
          <w:color w:val="auto"/>
        </w:rPr>
        <w:t>=</w:t>
      </w:r>
      <w:r w:rsidRPr="008B50A3">
        <w:rPr>
          <w:rFonts w:ascii="Cambria Math" w:hAnsi="Cambria Math" w:cs="Cambria Math"/>
          <w:color w:val="auto"/>
        </w:rPr>
        <w:t>𝐿𝑘𝑗</w:t>
      </w:r>
      <w:r w:rsidRPr="008B50A3">
        <w:rPr>
          <w:color w:val="auto"/>
        </w:rPr>
        <w:t>×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</w:rPr>
              <m:t>Bwn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auto"/>
              </w:rPr>
              <m:t>Bk</m:t>
            </m:r>
          </m:den>
        </m:f>
      </m:oMath>
    </w:p>
    <w:p w:rsidR="00E85DD9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gdzie znaczenie poszczególnych symboli jest następujące: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rFonts w:ascii="Cambria Math" w:hAnsi="Cambria Math" w:cs="Cambria Math"/>
          <w:color w:val="auto"/>
        </w:rPr>
        <w:t>𝐿𝑤𝑗𝑛</w:t>
      </w:r>
      <w:r w:rsidRPr="008B50A3">
        <w:rPr>
          <w:color w:val="auto"/>
        </w:rPr>
        <w:t xml:space="preserve">− kwota kosztów (limit wydatków), jaka może być poniesiona w </w:t>
      </w:r>
      <w:r w:rsidRPr="008B50A3">
        <w:rPr>
          <w:i/>
          <w:iCs/>
          <w:color w:val="auto"/>
        </w:rPr>
        <w:t>j</w:t>
      </w:r>
      <w:r w:rsidRPr="008B50A3">
        <w:rPr>
          <w:color w:val="auto"/>
        </w:rPr>
        <w:t xml:space="preserve">-tym roku budżetowym w </w:t>
      </w:r>
      <w:r w:rsidRPr="008B50A3">
        <w:rPr>
          <w:i/>
          <w:iCs/>
          <w:color w:val="auto"/>
        </w:rPr>
        <w:t>n</w:t>
      </w:r>
      <w:r w:rsidRPr="008B50A3">
        <w:rPr>
          <w:color w:val="auto"/>
        </w:rPr>
        <w:t>-tym województwie na finansowanie zadania, o którym mowa w art. 150f,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rFonts w:ascii="Cambria Math" w:hAnsi="Cambria Math" w:cs="Cambria Math"/>
          <w:color w:val="auto"/>
        </w:rPr>
        <w:t>𝐿𝑘𝑗</w:t>
      </w:r>
      <w:r w:rsidRPr="008B50A3">
        <w:rPr>
          <w:color w:val="auto"/>
        </w:rPr>
        <w:t xml:space="preserve">− kwota kosztów (limit wydatków) Funduszu Pracy, o której mowa w ust. 3, w </w:t>
      </w:r>
      <w:r w:rsidRPr="008B50A3">
        <w:rPr>
          <w:i/>
          <w:iCs/>
          <w:color w:val="auto"/>
        </w:rPr>
        <w:t>j</w:t>
      </w:r>
      <w:r w:rsidRPr="008B50A3">
        <w:rPr>
          <w:color w:val="auto"/>
        </w:rPr>
        <w:t>-tym roku budżetowym,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rFonts w:ascii="Cambria Math" w:hAnsi="Cambria Math" w:cs="Cambria Math"/>
          <w:color w:val="auto"/>
        </w:rPr>
        <w:t>𝐵𝑤𝑛</w:t>
      </w:r>
      <w:r w:rsidRPr="008B50A3">
        <w:rPr>
          <w:color w:val="auto"/>
        </w:rPr>
        <w:t>− średnia miesięczna liczba bezrobotnych do 30 roku życia, według stanu na koniec miesiąca, zarejestrowanych w danym województwie w okresie 9 miesięcy poprzedzających dzień 1 października 2017 r.,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rFonts w:ascii="Cambria Math" w:hAnsi="Cambria Math" w:cs="Cambria Math"/>
          <w:color w:val="auto"/>
        </w:rPr>
        <w:t>𝐵𝑘</w:t>
      </w:r>
      <w:r w:rsidRPr="008B50A3">
        <w:rPr>
          <w:color w:val="auto"/>
        </w:rPr>
        <w:t>− średnia miesięczna liczba bezrobotnych do 30 roku życia, według stanu na koniec miesiąca, zarejestrowanych w kraju w okresie 9 miesięcy poprzedzających dzień 1 października 2017 r.,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rFonts w:ascii="Cambria Math" w:hAnsi="Cambria Math" w:cs="Cambria Math"/>
          <w:color w:val="auto"/>
        </w:rPr>
        <w:t>𝑗</w:t>
      </w:r>
      <w:r w:rsidRPr="008B50A3">
        <w:rPr>
          <w:color w:val="auto"/>
        </w:rPr>
        <w:t>− dany rok budżetowy,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rFonts w:ascii="Cambria Math" w:hAnsi="Cambria Math" w:cs="Cambria Math"/>
          <w:color w:val="auto"/>
        </w:rPr>
        <w:t>𝑛</w:t>
      </w:r>
      <w:r w:rsidRPr="008B50A3">
        <w:rPr>
          <w:color w:val="auto"/>
        </w:rPr>
        <w:t>− dane województwo.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8. Minister właściwy do spraw pracy zawiadamia marszałków województw o kwocie limitów, o których mowa w ust. 7, na realizację w województwie zadania, o którym mowa w art. 150f.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 xml:space="preserve">9. Kwoty środków Funduszu Pracy na finansowanie w powiecie zadania, o którym mowa w art. 150f, są ustalane przez zarząd województwa w terminie miesiąca od dnia zawiadomienia, o którym mowa w ust. 8, w oparciu o następujące kryteria dotyczące roku 2017: 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 xml:space="preserve">1) średnią miesięczną liczbę bezrobotnych do 30 roku życia, według stanu na koniec miesiąca, zarejestrowanych w powiecie w okresie 9 miesięcy poprzedzających dzień 1 października 2017 r.; 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 xml:space="preserve">2) stopę bezrobocia w powiecie; 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lastRenderedPageBreak/>
        <w:t xml:space="preserve">3) strukturę bezrobocia w powiecie; 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4) kwoty środków Funduszu Pracy przeznaczone w powiecie na realizację projektów współfinansowanych ze środków Europejskiego Funduszu Społecznego.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 xml:space="preserve">10. Marszałek województwa informuje ministra właściwego do spraw pracy o kwocie środków przeznaczonych na realizację przez samorządy powiatów zadania, o którym mowa w art. 150f. 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11. Na podstawie informacji, o której mowa w ust. 10, minister właściwy do spraw pracy ustala limity środków dla samorządów powiatów, na rok 2018, 2019 i 2020, na realizację zadania,</w:t>
      </w:r>
      <w:r w:rsidR="00ED2B71" w:rsidRPr="008B50A3">
        <w:rPr>
          <w:color w:val="auto"/>
        </w:rPr>
        <w:br/>
      </w:r>
      <w:r w:rsidRPr="008B50A3">
        <w:rPr>
          <w:color w:val="auto"/>
        </w:rPr>
        <w:t>o którym mowa w art. 150f.</w:t>
      </w:r>
      <w:r w:rsidR="00ED2B71" w:rsidRPr="008B50A3">
        <w:rPr>
          <w:color w:val="auto"/>
        </w:rPr>
        <w:t>”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b/>
          <w:color w:val="auto"/>
        </w:rPr>
      </w:pP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3) w art. 150g ust. 15 i 16 otrzymują brzmienie: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„15. Zobowiązania wynikające z umów, o których mowa w ust. 1, przechodzą</w:t>
      </w:r>
      <w:r w:rsidR="00ED2B71" w:rsidRPr="008B50A3">
        <w:rPr>
          <w:color w:val="auto"/>
        </w:rPr>
        <w:t>ce na rok 2019</w:t>
      </w:r>
      <w:r w:rsidR="00ED2B71" w:rsidRPr="008B50A3">
        <w:rPr>
          <w:color w:val="auto"/>
        </w:rPr>
        <w:br/>
        <w:t>i 2020</w:t>
      </w:r>
      <w:r w:rsidRPr="008B50A3">
        <w:rPr>
          <w:color w:val="auto"/>
        </w:rPr>
        <w:t xml:space="preserve">, są finansowane w ramach limitów, o których mowa odpowiednio w ust. 11, 13 i 14. 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16. Kwoty z tytułu zwrotu uzyskanej pomocy, o której mowa w art. 150f, dokonywane</w:t>
      </w:r>
      <w:r w:rsidR="00ED2B71" w:rsidRPr="008B50A3">
        <w:rPr>
          <w:color w:val="auto"/>
        </w:rPr>
        <w:t>go przez pracodawców od roku 2020</w:t>
      </w:r>
      <w:r w:rsidRPr="008B50A3">
        <w:rPr>
          <w:color w:val="auto"/>
        </w:rPr>
        <w:t xml:space="preserve"> powiększają przychody Funduszu Pracy.</w:t>
      </w:r>
      <w:r w:rsidR="00ED2B71" w:rsidRPr="008B50A3">
        <w:rPr>
          <w:color w:val="auto"/>
        </w:rPr>
        <w:t>”</w:t>
      </w:r>
    </w:p>
    <w:p w:rsidR="00D85AC8" w:rsidRPr="008B50A3" w:rsidRDefault="00D85AC8" w:rsidP="00ED2B71">
      <w:pPr>
        <w:pStyle w:val="Default"/>
        <w:spacing w:line="360" w:lineRule="auto"/>
        <w:jc w:val="both"/>
        <w:rPr>
          <w:b/>
          <w:color w:val="auto"/>
        </w:rPr>
      </w:pPr>
    </w:p>
    <w:p w:rsidR="00ED2B71" w:rsidRPr="008B50A3" w:rsidRDefault="00ED2B71" w:rsidP="00FC3572">
      <w:pPr>
        <w:pStyle w:val="Default"/>
        <w:spacing w:line="360" w:lineRule="auto"/>
        <w:jc w:val="center"/>
        <w:rPr>
          <w:b/>
          <w:color w:val="auto"/>
        </w:rPr>
      </w:pPr>
      <w:r w:rsidRPr="008B50A3">
        <w:rPr>
          <w:b/>
          <w:color w:val="auto"/>
        </w:rPr>
        <w:t>Art. 2</w:t>
      </w:r>
    </w:p>
    <w:p w:rsidR="00ED2B71" w:rsidRDefault="00ED2B71" w:rsidP="00ED2B71">
      <w:pPr>
        <w:pStyle w:val="Default"/>
        <w:spacing w:line="360" w:lineRule="auto"/>
        <w:jc w:val="both"/>
        <w:rPr>
          <w:color w:val="auto"/>
        </w:rPr>
      </w:pPr>
      <w:r w:rsidRPr="008B50A3">
        <w:rPr>
          <w:color w:val="auto"/>
        </w:rPr>
        <w:t>Ustawa wchodzi w życie z dniem ogłoszenia.</w:t>
      </w: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Default="00FF7552" w:rsidP="00ED2B71">
      <w:pPr>
        <w:pStyle w:val="Default"/>
        <w:spacing w:line="360" w:lineRule="auto"/>
        <w:jc w:val="both"/>
        <w:rPr>
          <w:color w:val="auto"/>
        </w:rPr>
      </w:pPr>
    </w:p>
    <w:p w:rsidR="00FF7552" w:rsidRPr="00FF7552" w:rsidRDefault="00FF7552" w:rsidP="00EA4276">
      <w:pPr>
        <w:pStyle w:val="Default"/>
        <w:spacing w:line="360" w:lineRule="auto"/>
        <w:jc w:val="center"/>
        <w:rPr>
          <w:b/>
          <w:color w:val="auto"/>
          <w:sz w:val="26"/>
          <w:szCs w:val="26"/>
        </w:rPr>
      </w:pPr>
      <w:r w:rsidRPr="00FF7552">
        <w:rPr>
          <w:b/>
          <w:color w:val="auto"/>
          <w:sz w:val="26"/>
          <w:szCs w:val="26"/>
        </w:rPr>
        <w:t>Uzasadnienie</w:t>
      </w:r>
    </w:p>
    <w:p w:rsidR="00FF7552" w:rsidRPr="00FF7552" w:rsidRDefault="00FF7552" w:rsidP="00FF7552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</w:p>
    <w:p w:rsidR="00FF7552" w:rsidRPr="00FF7552" w:rsidRDefault="00FF7552" w:rsidP="00FF7552">
      <w:pPr>
        <w:pStyle w:val="Default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FF7552">
        <w:rPr>
          <w:color w:val="auto"/>
          <w:sz w:val="26"/>
          <w:szCs w:val="26"/>
        </w:rPr>
        <w:t>Uruchomiony program „Praca dla Młodych” cieszył się ogromną popularnością wśród osób młodych, które rozpoczynają swoją karierę zawodową. Rozwiązania uchwalone w trakcie VII kadencji Sejmu, stanowiły pomoc zarówno dla przedsiębiorców, jak i osób poszukujących pracy, wprowadzając refundowanie kosztów ponoszonych przez przedsiębiorcę, prz</w:t>
      </w:r>
      <w:r w:rsidR="00EA4276">
        <w:rPr>
          <w:color w:val="auto"/>
          <w:sz w:val="26"/>
          <w:szCs w:val="26"/>
        </w:rPr>
        <w:t>y tworzeniu nowych miejsc pracy</w:t>
      </w:r>
      <w:r w:rsidRPr="00FF7552">
        <w:rPr>
          <w:color w:val="auto"/>
          <w:sz w:val="26"/>
          <w:szCs w:val="26"/>
        </w:rPr>
        <w:t xml:space="preserve"> przeznaczonych na aktywizację zawodową. </w:t>
      </w:r>
    </w:p>
    <w:p w:rsidR="00FF7552" w:rsidRPr="00FF7552" w:rsidRDefault="00FF7552" w:rsidP="00FF7552">
      <w:pPr>
        <w:pStyle w:val="Default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FF7552">
        <w:rPr>
          <w:color w:val="auto"/>
          <w:sz w:val="26"/>
          <w:szCs w:val="26"/>
        </w:rPr>
        <w:t xml:space="preserve">Pozytywne skutki programu zostały jednak </w:t>
      </w:r>
      <w:r w:rsidR="00EA4276">
        <w:rPr>
          <w:color w:val="auto"/>
          <w:sz w:val="26"/>
          <w:szCs w:val="26"/>
        </w:rPr>
        <w:t xml:space="preserve">drastycznie </w:t>
      </w:r>
      <w:r w:rsidRPr="00FF7552">
        <w:rPr>
          <w:color w:val="auto"/>
          <w:sz w:val="26"/>
          <w:szCs w:val="26"/>
        </w:rPr>
        <w:t>ograniczone z dniem</w:t>
      </w:r>
      <w:r w:rsidR="00EA4276">
        <w:rPr>
          <w:color w:val="auto"/>
          <w:sz w:val="26"/>
          <w:szCs w:val="26"/>
        </w:rPr>
        <w:br/>
      </w:r>
      <w:r w:rsidRPr="00FF7552">
        <w:rPr>
          <w:color w:val="auto"/>
          <w:sz w:val="26"/>
          <w:szCs w:val="26"/>
        </w:rPr>
        <w:t xml:space="preserve">31 grudnia 2017 r., kiedy to program został wygaszony. Przedmiotowy projekt ustawy wychodzi naprzeciw oczekiwaniu zarówno przedsiębiorców jak i osób młodych. Wciąż utrzymująca się trudna sytuacja osób młodych na rynku pracy powoduje, że zadaniem koniecznym i uzasadnionym jest podejmowanie nowych inicjatyw oraz kontynuowanie już istniejących programów. </w:t>
      </w:r>
    </w:p>
    <w:p w:rsidR="00FF7552" w:rsidRPr="00FF7552" w:rsidRDefault="00FF7552" w:rsidP="00FF7552">
      <w:pPr>
        <w:pStyle w:val="Default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FF7552">
        <w:rPr>
          <w:color w:val="auto"/>
          <w:sz w:val="26"/>
          <w:szCs w:val="26"/>
        </w:rPr>
        <w:t>Mimo systematycznego spadku poziomu bezrobocia wciąż są województwa,</w:t>
      </w:r>
      <w:r>
        <w:rPr>
          <w:color w:val="auto"/>
          <w:sz w:val="26"/>
          <w:szCs w:val="26"/>
        </w:rPr>
        <w:br/>
      </w:r>
      <w:r w:rsidRPr="00FF7552">
        <w:rPr>
          <w:color w:val="auto"/>
          <w:sz w:val="26"/>
          <w:szCs w:val="26"/>
        </w:rPr>
        <w:t xml:space="preserve">w których utrzymuje się dwucyfrowy wskaźnik, niepokojące są też wskaźniki dotyczące skali tego zjawiska wśród osób poniżej 25 roku życia. Według Głównego Urzędu Statystycznego stopa bezrobocia Polaków w wieku 15–25 lata wynosiła w II kwartale 2017 roku 14,6%. Największym problemem osób młodych jest rozpoczęcie kariery zawodowej. </w:t>
      </w:r>
      <w:r w:rsidR="00EA4276">
        <w:rPr>
          <w:color w:val="auto"/>
          <w:sz w:val="26"/>
          <w:szCs w:val="26"/>
        </w:rPr>
        <w:t>Wychodząc im naprzeciw n</w:t>
      </w:r>
      <w:r w:rsidRPr="00FF7552">
        <w:rPr>
          <w:color w:val="auto"/>
          <w:sz w:val="26"/>
          <w:szCs w:val="26"/>
        </w:rPr>
        <w:t xml:space="preserve">ależy uruchomić program wsparcia, który pomoże rozpocząć karierę zawodową. Osoby młode </w:t>
      </w:r>
      <w:r w:rsidR="00EA4276">
        <w:rPr>
          <w:color w:val="auto"/>
          <w:sz w:val="26"/>
          <w:szCs w:val="26"/>
        </w:rPr>
        <w:t xml:space="preserve">będą miały </w:t>
      </w:r>
      <w:r w:rsidRPr="00FF7552">
        <w:rPr>
          <w:color w:val="auto"/>
          <w:sz w:val="26"/>
          <w:szCs w:val="26"/>
        </w:rPr>
        <w:t xml:space="preserve">mają szansę łatwiejszego wejścia na rynek pracy, </w:t>
      </w:r>
      <w:r w:rsidR="00EA4276">
        <w:rPr>
          <w:color w:val="auto"/>
          <w:sz w:val="26"/>
          <w:szCs w:val="26"/>
        </w:rPr>
        <w:t xml:space="preserve">mimo iż </w:t>
      </w:r>
      <w:r w:rsidRPr="00FF7552">
        <w:rPr>
          <w:color w:val="auto"/>
          <w:sz w:val="26"/>
          <w:szCs w:val="26"/>
        </w:rPr>
        <w:t xml:space="preserve">nie mają jeszcze wystarczających kwalifikacji i doświadczenia. Dzięki dofinansowaniu do ich wynagrodzeń, pracodawcy będą mieli czas, żeby  przygotować pracownika do wykonywania zleconych zadań.  </w:t>
      </w:r>
    </w:p>
    <w:p w:rsidR="00FF7552" w:rsidRPr="00FF7552" w:rsidRDefault="00FF7552" w:rsidP="00FF7552">
      <w:pPr>
        <w:pStyle w:val="Default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FF7552">
        <w:rPr>
          <w:color w:val="auto"/>
          <w:sz w:val="26"/>
          <w:szCs w:val="26"/>
        </w:rPr>
        <w:t>Zgodnie z projektem pracodawca będzie mógł otrzymać refundację wynagrodzenia pracownika przez 12 miesięcy, co miesiąc otrzymując środki</w:t>
      </w:r>
      <w:r w:rsidR="00EA4276">
        <w:rPr>
          <w:color w:val="auto"/>
          <w:sz w:val="26"/>
          <w:szCs w:val="26"/>
        </w:rPr>
        <w:br/>
      </w:r>
      <w:r w:rsidRPr="00FF7552">
        <w:rPr>
          <w:color w:val="auto"/>
          <w:sz w:val="26"/>
          <w:szCs w:val="26"/>
        </w:rPr>
        <w:t xml:space="preserve">w wysokości najniższego wynagrodzenia. Powiatowy urząd pracy może zawrzeć umowę z przedsiębiorcą, który chce zatrudnić osoby przed trzydziestym rokiem życia. </w:t>
      </w:r>
      <w:r w:rsidRPr="00FF7552">
        <w:rPr>
          <w:color w:val="auto"/>
          <w:sz w:val="26"/>
          <w:szCs w:val="26"/>
        </w:rPr>
        <w:lastRenderedPageBreak/>
        <w:t>Refundacja będzie możliwa, pod warunkiem że pracodawca zatrudni taką osobę na pełny etat, który utrzyma też przez kolejne dwanaście miesięcy. W trakcie programu pracownik będzie miał gwarantowaną pensję na poziomie płacy minimalnej.</w:t>
      </w:r>
    </w:p>
    <w:p w:rsidR="00FF7552" w:rsidRDefault="00FF7552" w:rsidP="00FF7552">
      <w:pPr>
        <w:pStyle w:val="Default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FF7552">
        <w:rPr>
          <w:color w:val="auto"/>
          <w:sz w:val="26"/>
          <w:szCs w:val="26"/>
        </w:rPr>
        <w:t>Z refundacji będą mogli skorzystać tylko ci pracodawcy, którzy przez 6 miesięcy przed złożeniem wniosku nie zmniejszyli zatrudnienia z przyczyn dotyczących zakładu pracy.</w:t>
      </w:r>
      <w:r>
        <w:rPr>
          <w:color w:val="auto"/>
          <w:sz w:val="26"/>
          <w:szCs w:val="26"/>
        </w:rPr>
        <w:t xml:space="preserve"> </w:t>
      </w:r>
      <w:r w:rsidRPr="00FF7552">
        <w:rPr>
          <w:color w:val="auto"/>
          <w:sz w:val="26"/>
          <w:szCs w:val="26"/>
        </w:rPr>
        <w:t>Z programu mogą skorzystać absolwenci szkół zawodowych, ponadgimnazjalnych i wyższych, którzy nie ukończyli 30 lat. W pierwszej kolejności będę brani pod uwagę absolwenci dopiero wchodzący na rynek pracy. Zyskają także pracodawcy, którzy w zamian za zatrudnienie młodej osoby otrzymają dofinansowanie do wynagrodzenia w wysokości płacy minimalnej wraz ze wszystkimi składkami. Zgodnie z projektem osoba młoda otrzyma gwarancję zatrudnienia przez 24 miesiące.</w:t>
      </w:r>
    </w:p>
    <w:p w:rsidR="00FF7552" w:rsidRPr="00FF7552" w:rsidRDefault="00FF7552" w:rsidP="00FF7552">
      <w:pPr>
        <w:pStyle w:val="Default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FF7552">
        <w:rPr>
          <w:color w:val="auto"/>
          <w:sz w:val="26"/>
          <w:szCs w:val="26"/>
        </w:rPr>
        <w:t>Ponadto celem Programu jest zmniejszenie liczby poza-pracowniczych form zatrudnienia i ułatwienie przechodzenia do zatrudnienia w ramach umowy o pracę,</w:t>
      </w:r>
      <w:r>
        <w:rPr>
          <w:color w:val="auto"/>
          <w:sz w:val="26"/>
          <w:szCs w:val="26"/>
        </w:rPr>
        <w:br/>
      </w:r>
      <w:r w:rsidRPr="00FF7552">
        <w:rPr>
          <w:color w:val="auto"/>
          <w:sz w:val="26"/>
          <w:szCs w:val="26"/>
        </w:rPr>
        <w:t>w tym w dalszej perspektywie również na umowy o pracę na czas nieokreślony.</w:t>
      </w:r>
    </w:p>
    <w:p w:rsidR="00FF7552" w:rsidRPr="00FF7552" w:rsidRDefault="00FF7552" w:rsidP="00FF7552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</w:p>
    <w:p w:rsidR="00FF7552" w:rsidRPr="00FF7552" w:rsidRDefault="00FF7552" w:rsidP="00EA4276">
      <w:pPr>
        <w:pStyle w:val="Default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FF7552">
        <w:rPr>
          <w:color w:val="auto"/>
          <w:sz w:val="26"/>
          <w:szCs w:val="26"/>
        </w:rPr>
        <w:t xml:space="preserve">Projekt będzie miał pozytywny wpływ na rynek pracy.  </w:t>
      </w:r>
    </w:p>
    <w:p w:rsidR="00FF7552" w:rsidRPr="00FF7552" w:rsidRDefault="00FF7552" w:rsidP="00FF7552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</w:p>
    <w:p w:rsidR="00FF7552" w:rsidRPr="00FF7552" w:rsidRDefault="00FF7552" w:rsidP="00EA4276">
      <w:pPr>
        <w:pStyle w:val="Default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FF7552">
        <w:rPr>
          <w:color w:val="auto"/>
          <w:sz w:val="26"/>
          <w:szCs w:val="26"/>
        </w:rPr>
        <w:t>Na realizację ustawy zostaną zabezpieczone środki Funduszu Pracy w kwocie 2.800 mln zł określone w planie finansowym Funduszu Pracy.</w:t>
      </w:r>
    </w:p>
    <w:p w:rsidR="00FF7552" w:rsidRPr="00FF7552" w:rsidRDefault="00FF7552" w:rsidP="00FF7552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</w:p>
    <w:p w:rsidR="00FF7552" w:rsidRPr="00FF7552" w:rsidRDefault="00FF7552" w:rsidP="00EA4276">
      <w:pPr>
        <w:pStyle w:val="Default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FF7552">
        <w:rPr>
          <w:color w:val="auto"/>
          <w:sz w:val="26"/>
          <w:szCs w:val="26"/>
        </w:rPr>
        <w:t xml:space="preserve">Projekt nie powoduje negatywnych skutków finansowych po stronie jednostek samorządu terytorialnego.  </w:t>
      </w:r>
    </w:p>
    <w:p w:rsidR="00FF7552" w:rsidRPr="00FF7552" w:rsidRDefault="00FF7552" w:rsidP="00FF7552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</w:p>
    <w:p w:rsidR="00FF7552" w:rsidRPr="00FF7552" w:rsidRDefault="00FF7552" w:rsidP="00EA4276">
      <w:pPr>
        <w:pStyle w:val="Default"/>
        <w:spacing w:line="360" w:lineRule="auto"/>
        <w:ind w:firstLine="708"/>
        <w:jc w:val="both"/>
        <w:rPr>
          <w:color w:val="auto"/>
          <w:sz w:val="26"/>
          <w:szCs w:val="26"/>
        </w:rPr>
      </w:pPr>
      <w:r w:rsidRPr="00FF7552">
        <w:rPr>
          <w:color w:val="auto"/>
          <w:sz w:val="26"/>
          <w:szCs w:val="26"/>
        </w:rPr>
        <w:t>Projekt ustawy jest zgodny z prawem Unii Europejskiej</w:t>
      </w:r>
    </w:p>
    <w:p w:rsidR="00FF7552" w:rsidRPr="00FF7552" w:rsidRDefault="00FF7552" w:rsidP="00FF7552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</w:p>
    <w:sectPr w:rsidR="00FF7552" w:rsidRPr="00FF7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B0" w:rsidRDefault="000B03B0" w:rsidP="00F64391">
      <w:pPr>
        <w:spacing w:after="0" w:line="240" w:lineRule="auto"/>
      </w:pPr>
      <w:r>
        <w:separator/>
      </w:r>
    </w:p>
  </w:endnote>
  <w:endnote w:type="continuationSeparator" w:id="0">
    <w:p w:rsidR="000B03B0" w:rsidRDefault="000B03B0" w:rsidP="00F6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B0" w:rsidRDefault="000B03B0" w:rsidP="00F64391">
      <w:pPr>
        <w:spacing w:after="0" w:line="240" w:lineRule="auto"/>
      </w:pPr>
      <w:r>
        <w:separator/>
      </w:r>
    </w:p>
  </w:footnote>
  <w:footnote w:type="continuationSeparator" w:id="0">
    <w:p w:rsidR="000B03B0" w:rsidRDefault="000B03B0" w:rsidP="00F64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22"/>
    <w:rsid w:val="000A3B3D"/>
    <w:rsid w:val="000B03B0"/>
    <w:rsid w:val="002700A9"/>
    <w:rsid w:val="002B52EF"/>
    <w:rsid w:val="004B3EEE"/>
    <w:rsid w:val="00733B74"/>
    <w:rsid w:val="008B50A3"/>
    <w:rsid w:val="008D421D"/>
    <w:rsid w:val="00C035F0"/>
    <w:rsid w:val="00D66930"/>
    <w:rsid w:val="00D85AC8"/>
    <w:rsid w:val="00E85DD9"/>
    <w:rsid w:val="00EA4276"/>
    <w:rsid w:val="00EC66B9"/>
    <w:rsid w:val="00ED2B71"/>
    <w:rsid w:val="00F41122"/>
    <w:rsid w:val="00F64391"/>
    <w:rsid w:val="00FC3572"/>
    <w:rsid w:val="00FE7101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1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F64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F6439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E FNZ,-E Fußnotenzeichen,Footnote#,Footnote symbol,Footnote,Times 10 Point,Exposant 3 Point,Ref,de nota al pie,Footnote reference number,note TESI,SUPERS,EN Footnote Reference"/>
    <w:rsid w:val="00F6439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6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43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0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1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F64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F6439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E FNZ,-E Fußnotenzeichen,Footnote#,Footnote symbol,Footnote,Times 10 Point,Exposant 3 Point,Ref,de nota al pie,Footnote reference number,note TESI,SUPERS,EN Footnote Reference"/>
    <w:rsid w:val="00F6439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6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43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Pawlak</dc:creator>
  <cp:lastModifiedBy>Ewa A. Genert</cp:lastModifiedBy>
  <cp:revision>2</cp:revision>
  <cp:lastPrinted>2018-01-19T07:51:00Z</cp:lastPrinted>
  <dcterms:created xsi:type="dcterms:W3CDTF">2018-02-27T10:36:00Z</dcterms:created>
  <dcterms:modified xsi:type="dcterms:W3CDTF">2018-02-27T10:36:00Z</dcterms:modified>
</cp:coreProperties>
</file>