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807" w:rsidRDefault="000F7807" w:rsidP="00EF3F24">
      <w:pPr>
        <w:spacing w:line="360" w:lineRule="auto"/>
        <w:jc w:val="center"/>
        <w:rPr>
          <w:b/>
        </w:rPr>
      </w:pPr>
      <w:bookmarkStart w:id="0" w:name="_GoBack"/>
      <w:bookmarkEnd w:id="0"/>
    </w:p>
    <w:p w:rsidR="00367C2A" w:rsidRPr="00EF3F24" w:rsidRDefault="00367C2A" w:rsidP="00EF3F24">
      <w:pPr>
        <w:spacing w:line="360" w:lineRule="auto"/>
        <w:jc w:val="center"/>
        <w:rPr>
          <w:b/>
        </w:rPr>
      </w:pPr>
      <w:r w:rsidRPr="00EF3F24">
        <w:rPr>
          <w:b/>
        </w:rPr>
        <w:t>Stanowisko Rządu</w:t>
      </w:r>
    </w:p>
    <w:p w:rsidR="00EF3F24" w:rsidRDefault="00483400" w:rsidP="00EF3F24">
      <w:pPr>
        <w:spacing w:line="360" w:lineRule="auto"/>
        <w:jc w:val="center"/>
        <w:rPr>
          <w:b/>
        </w:rPr>
      </w:pPr>
      <w:r w:rsidRPr="00EF3F24">
        <w:rPr>
          <w:b/>
        </w:rPr>
        <w:t>d</w:t>
      </w:r>
      <w:r w:rsidR="00367C2A" w:rsidRPr="00EF3F24">
        <w:rPr>
          <w:b/>
        </w:rPr>
        <w:t xml:space="preserve">o </w:t>
      </w:r>
      <w:r w:rsidRPr="00EF3F24">
        <w:rPr>
          <w:b/>
        </w:rPr>
        <w:t>p</w:t>
      </w:r>
      <w:r w:rsidR="00367C2A" w:rsidRPr="00EF3F24">
        <w:rPr>
          <w:b/>
        </w:rPr>
        <w:t>oselski</w:t>
      </w:r>
      <w:r w:rsidRPr="00EF3F24">
        <w:rPr>
          <w:b/>
        </w:rPr>
        <w:t>ego</w:t>
      </w:r>
      <w:r w:rsidR="00367C2A" w:rsidRPr="00EF3F24">
        <w:rPr>
          <w:b/>
        </w:rPr>
        <w:t xml:space="preserve"> projekt ustawy o uznaniu za nieważne orzeczeń wydanych wobec byłych posłów na Sejm Rzeczypospolitej Polskiej skazanych w procesie brzeskim za działalność na rzecz demokratycznego Państwa Polskiego (druk nr 232)</w:t>
      </w:r>
    </w:p>
    <w:p w:rsidR="00EF3F24" w:rsidRPr="00EF3F24" w:rsidRDefault="00EF3F24" w:rsidP="00EF3F24">
      <w:pPr>
        <w:spacing w:line="360" w:lineRule="auto"/>
        <w:jc w:val="both"/>
        <w:rPr>
          <w:b/>
        </w:rPr>
      </w:pPr>
      <w:r>
        <w:rPr>
          <w:szCs w:val="24"/>
        </w:rPr>
        <w:tab/>
      </w:r>
      <w:r w:rsidRPr="00EF3F24">
        <w:rPr>
          <w:szCs w:val="24"/>
        </w:rPr>
        <w:t xml:space="preserve">Poselski projekt ustawy zawarty w druku sejmowym nr </w:t>
      </w:r>
      <w:r w:rsidR="009A520E">
        <w:rPr>
          <w:szCs w:val="24"/>
        </w:rPr>
        <w:t>232</w:t>
      </w:r>
      <w:r w:rsidRPr="00EF3F24">
        <w:rPr>
          <w:szCs w:val="24"/>
        </w:rPr>
        <w:t xml:space="preserve">, jak wynika </w:t>
      </w:r>
      <w:r w:rsidRPr="00EF3F24">
        <w:rPr>
          <w:szCs w:val="24"/>
        </w:rPr>
        <w:br/>
        <w:t xml:space="preserve">z jego uzasadnienia, ma na celu pełne przywrócenie czci i godności </w:t>
      </w:r>
      <w:r w:rsidR="00AE751C">
        <w:rPr>
          <w:szCs w:val="24"/>
        </w:rPr>
        <w:t xml:space="preserve">ludzkiej i obywatelskiej </w:t>
      </w:r>
      <w:r w:rsidRPr="00EF3F24">
        <w:rPr>
          <w:szCs w:val="24"/>
        </w:rPr>
        <w:t xml:space="preserve">posłom na Sejm II Rzeczypospolitej, represjonowanym za działalność na rzecz </w:t>
      </w:r>
      <w:r w:rsidR="00AE751C">
        <w:rPr>
          <w:szCs w:val="24"/>
        </w:rPr>
        <w:t xml:space="preserve">obrony </w:t>
      </w:r>
      <w:r w:rsidRPr="00EF3F24">
        <w:rPr>
          <w:szCs w:val="24"/>
        </w:rPr>
        <w:t>demokra</w:t>
      </w:r>
      <w:r w:rsidR="005C0370">
        <w:rPr>
          <w:szCs w:val="24"/>
        </w:rPr>
        <w:t>cji w Polsce</w:t>
      </w:r>
      <w:r w:rsidRPr="00EF3F24">
        <w:rPr>
          <w:szCs w:val="24"/>
        </w:rPr>
        <w:t xml:space="preserve"> przez obóz sanacyjny. </w:t>
      </w:r>
    </w:p>
    <w:p w:rsidR="00E31349" w:rsidRDefault="00EF3F24" w:rsidP="00D62E26">
      <w:pPr>
        <w:spacing w:line="360" w:lineRule="auto"/>
        <w:jc w:val="both"/>
        <w:rPr>
          <w:bCs/>
          <w:szCs w:val="24"/>
        </w:rPr>
      </w:pPr>
      <w:r w:rsidRPr="00EF3F24">
        <w:rPr>
          <w:bCs/>
          <w:szCs w:val="24"/>
        </w:rPr>
        <w:tab/>
        <w:t xml:space="preserve">Projektodawcy przewidują uznanie </w:t>
      </w:r>
      <w:r w:rsidR="00076A64">
        <w:rPr>
          <w:bCs/>
          <w:szCs w:val="24"/>
        </w:rPr>
        <w:t xml:space="preserve">za nieważne orzeczenia </w:t>
      </w:r>
      <w:r w:rsidRPr="00EF3F24">
        <w:rPr>
          <w:bCs/>
          <w:szCs w:val="24"/>
        </w:rPr>
        <w:t>wydan</w:t>
      </w:r>
      <w:r w:rsidR="00076A64">
        <w:rPr>
          <w:bCs/>
          <w:szCs w:val="24"/>
        </w:rPr>
        <w:t>ego</w:t>
      </w:r>
      <w:r w:rsidRPr="00EF3F24">
        <w:rPr>
          <w:bCs/>
          <w:szCs w:val="24"/>
        </w:rPr>
        <w:t xml:space="preserve"> przez polskie organy wymiaru sprawiedliwości wobec byłych posłów na Sejm Rzeczypospolitej Polskiej </w:t>
      </w:r>
      <w:r w:rsidR="00D62E26">
        <w:rPr>
          <w:bCs/>
          <w:szCs w:val="24"/>
        </w:rPr>
        <w:br/>
      </w:r>
      <w:r w:rsidRPr="00EF3F24">
        <w:rPr>
          <w:bCs/>
          <w:szCs w:val="24"/>
        </w:rPr>
        <w:t>w procesie brzeskim w okresie od dnia 26 października 1931 r. do dnia 13 stycznia 1932 r., jeżeli czyn zarzucony lub przypisany był związany z działalnością na rzecz demokratycznego Państwa Polskiego, w szczególności z wykonywaniem demokratycznie uzyskanego mandatu poselskiego. Projekt określa tryb stwierdzenia nieważności orzeczeń, skutki prawne stwierdzenia nieważności oraz sposób zaskarżenia postanowienia w tym przedmiocie.</w:t>
      </w:r>
      <w:r w:rsidR="00A002AA">
        <w:rPr>
          <w:bCs/>
          <w:szCs w:val="24"/>
        </w:rPr>
        <w:t xml:space="preserve"> </w:t>
      </w:r>
    </w:p>
    <w:p w:rsidR="006341D1" w:rsidRDefault="00E31349" w:rsidP="006341D1">
      <w:pPr>
        <w:spacing w:line="360" w:lineRule="auto"/>
        <w:jc w:val="both"/>
      </w:pPr>
      <w:r>
        <w:rPr>
          <w:bCs/>
          <w:szCs w:val="24"/>
        </w:rPr>
        <w:tab/>
      </w:r>
      <w:r w:rsidR="00D62E26">
        <w:t>Na wstępie n</w:t>
      </w:r>
      <w:r w:rsidR="00D62E26" w:rsidRPr="00EF3F24">
        <w:t xml:space="preserve">ależy zwrócić uwagę, iż projekt ustawy w wyżej wskazanym zakresie był już kilkukrotnie </w:t>
      </w:r>
      <w:r w:rsidR="008724D2">
        <w:t>wnoszony</w:t>
      </w:r>
      <w:r w:rsidR="00D62E26" w:rsidRPr="00EF3F24">
        <w:t xml:space="preserve"> </w:t>
      </w:r>
      <w:r w:rsidR="00514136">
        <w:t xml:space="preserve">przez posłów na Sejm VI i VII kadencji </w:t>
      </w:r>
      <w:r w:rsidR="00D62E26" w:rsidRPr="00EF3F24">
        <w:t>(</w:t>
      </w:r>
      <w:r w:rsidR="008724D2">
        <w:t>ostatnio</w:t>
      </w:r>
      <w:r w:rsidR="00D62E26" w:rsidRPr="00EF3F24">
        <w:t xml:space="preserve"> druk nr 363</w:t>
      </w:r>
      <w:r w:rsidR="008724D2">
        <w:t xml:space="preserve"> Sejmu VII kadencji</w:t>
      </w:r>
      <w:r w:rsidR="00D62E26" w:rsidRPr="00EF3F24">
        <w:t xml:space="preserve">). </w:t>
      </w:r>
      <w:r w:rsidR="008724D2">
        <w:t>Aktualna t</w:t>
      </w:r>
      <w:r w:rsidR="00D62E26" w:rsidRPr="00EF3F24">
        <w:t xml:space="preserve">reść projektu jest tożsama z treścią </w:t>
      </w:r>
      <w:r w:rsidR="003E40D8">
        <w:t xml:space="preserve">projektu ostatnio </w:t>
      </w:r>
      <w:r w:rsidR="00635313">
        <w:t>procedowanego przez</w:t>
      </w:r>
      <w:r w:rsidR="00C8749B">
        <w:t xml:space="preserve"> Sejmu</w:t>
      </w:r>
      <w:r w:rsidR="00AB2A5C">
        <w:t xml:space="preserve"> VII kadencji. Wówczas opiniujące podmioty</w:t>
      </w:r>
      <w:r w:rsidR="00D62E26" w:rsidRPr="00EF3F24">
        <w:t xml:space="preserve"> wyrażały wątpliwości natury konstytucyjnej wobec regulacji zawartych w projekcie, głównie </w:t>
      </w:r>
      <w:r w:rsidR="00582C6D">
        <w:br/>
      </w:r>
      <w:r w:rsidR="00D62E26" w:rsidRPr="00EF3F24">
        <w:t xml:space="preserve">w kontekście indywidualizacji regulacji w nich </w:t>
      </w:r>
      <w:r w:rsidR="000F7807">
        <w:t>zawartych (regulujących sytuację</w:t>
      </w:r>
      <w:r w:rsidR="00D62E26" w:rsidRPr="00EF3F24">
        <w:t xml:space="preserve"> prawną </w:t>
      </w:r>
      <w:r w:rsidR="00582C6D">
        <w:br/>
      </w:r>
      <w:r w:rsidR="00D62E26" w:rsidRPr="00EF3F24">
        <w:t>i postępowanie konkretnie określonych osób</w:t>
      </w:r>
      <w:r w:rsidR="00582C6D">
        <w:t xml:space="preserve"> </w:t>
      </w:r>
      <w:r w:rsidR="00F13B20">
        <w:t xml:space="preserve">i </w:t>
      </w:r>
      <w:r w:rsidR="00D62E26" w:rsidRPr="00EF3F24">
        <w:t>skonsumowan</w:t>
      </w:r>
      <w:r w:rsidR="000F7807">
        <w:t>ych</w:t>
      </w:r>
      <w:r w:rsidR="00D62E26" w:rsidRPr="00EF3F24">
        <w:t xml:space="preserve"> przez jednorazowe zastosowanie). Zwracano również uwagę, iż projekt odnosi się do zdarzeń o charakterze historycznym, które powinny być przedmiotem zainteresowania historyków, a nie ustawodawcy.</w:t>
      </w:r>
    </w:p>
    <w:p w:rsidR="006341D1" w:rsidRDefault="006341D1" w:rsidP="006341D1">
      <w:pPr>
        <w:spacing w:line="360" w:lineRule="auto"/>
        <w:jc w:val="both"/>
        <w:rPr>
          <w:szCs w:val="24"/>
        </w:rPr>
      </w:pPr>
      <w:r>
        <w:tab/>
      </w:r>
      <w:r w:rsidR="00EF3F24" w:rsidRPr="00EF3F24">
        <w:rPr>
          <w:szCs w:val="24"/>
        </w:rPr>
        <w:t xml:space="preserve">Rozumiejąc intencje projektodawców w dążeniu do pełnego przywrócenia czci </w:t>
      </w:r>
      <w:r>
        <w:rPr>
          <w:szCs w:val="24"/>
        </w:rPr>
        <w:br/>
      </w:r>
      <w:r w:rsidR="00EF3F24" w:rsidRPr="00EF3F24">
        <w:rPr>
          <w:szCs w:val="24"/>
        </w:rPr>
        <w:t xml:space="preserve">i godności </w:t>
      </w:r>
      <w:r w:rsidR="00CD39E9">
        <w:rPr>
          <w:szCs w:val="24"/>
        </w:rPr>
        <w:t xml:space="preserve">byłym </w:t>
      </w:r>
      <w:r w:rsidR="00EF3F24" w:rsidRPr="00EF3F24">
        <w:rPr>
          <w:szCs w:val="24"/>
        </w:rPr>
        <w:t xml:space="preserve">posłom na Sejm II Rzeczypospolitej, konieczne jest jednak </w:t>
      </w:r>
      <w:r>
        <w:rPr>
          <w:szCs w:val="24"/>
        </w:rPr>
        <w:t xml:space="preserve">ponowne </w:t>
      </w:r>
      <w:r w:rsidR="00EF3F24" w:rsidRPr="00EF3F24">
        <w:rPr>
          <w:szCs w:val="24"/>
        </w:rPr>
        <w:t xml:space="preserve">zwrócenie uwagi na niżej opisane wątpliwości i zastrzeżenia, w tym zwłaszcza </w:t>
      </w:r>
      <w:r w:rsidR="00CD39E9">
        <w:rPr>
          <w:szCs w:val="24"/>
        </w:rPr>
        <w:br/>
      </w:r>
      <w:r w:rsidR="00EF3F24" w:rsidRPr="00EF3F24">
        <w:rPr>
          <w:szCs w:val="24"/>
        </w:rPr>
        <w:t>te o charakterze konstytucyjnym.</w:t>
      </w:r>
    </w:p>
    <w:p w:rsidR="00EF3F24" w:rsidRPr="00EF3F24" w:rsidRDefault="006341D1" w:rsidP="006341D1">
      <w:pPr>
        <w:spacing w:line="360" w:lineRule="auto"/>
        <w:jc w:val="both"/>
        <w:rPr>
          <w:szCs w:val="24"/>
        </w:rPr>
      </w:pPr>
      <w:r>
        <w:rPr>
          <w:szCs w:val="24"/>
        </w:rPr>
        <w:lastRenderedPageBreak/>
        <w:tab/>
      </w:r>
      <w:r w:rsidR="00EF3F24" w:rsidRPr="00EF3F24">
        <w:rPr>
          <w:szCs w:val="24"/>
        </w:rPr>
        <w:t>Z treści projektowanego art. 1 wynika, iż zakres orzeczeń objętych nieważnością jest ograniczony do wyroków zapadłych w oznaczonym postępowaniu karnym, które zostały wydane we wskazanym okresie czasu, wobec określonych osób (dziesięciu byłych posłów). Uzasadnienie projektu jednoznacznie wskazuje, że jego celem jest usunięcie z obrotu prawnego konkretnych wyroków sądowych.</w:t>
      </w:r>
    </w:p>
    <w:p w:rsidR="00EF3F24" w:rsidRPr="00EF3F24" w:rsidRDefault="00EF3F24" w:rsidP="00EF3F24">
      <w:pPr>
        <w:spacing w:line="360" w:lineRule="auto"/>
        <w:ind w:firstLine="708"/>
        <w:jc w:val="both"/>
        <w:rPr>
          <w:szCs w:val="24"/>
        </w:rPr>
      </w:pPr>
      <w:r w:rsidRPr="00EF3F24">
        <w:rPr>
          <w:szCs w:val="24"/>
        </w:rPr>
        <w:t xml:space="preserve">Rozwiązanie to może rodzić wątpliwości w zakresie jego zgodności z art. 10 </w:t>
      </w:r>
      <w:r w:rsidRPr="00EF3F24">
        <w:rPr>
          <w:szCs w:val="24"/>
        </w:rPr>
        <w:br/>
        <w:t>w zw. z art. 173 oraz art. 175 ust. 1 Konstytucji (</w:t>
      </w:r>
      <w:r w:rsidR="00092351">
        <w:rPr>
          <w:szCs w:val="24"/>
        </w:rPr>
        <w:t xml:space="preserve">zob. </w:t>
      </w:r>
      <w:r w:rsidRPr="00EF3F24">
        <w:rPr>
          <w:szCs w:val="24"/>
        </w:rPr>
        <w:t xml:space="preserve">wyroki Trybunału Konstytucyjnego </w:t>
      </w:r>
      <w:r w:rsidRPr="00EF3F24">
        <w:rPr>
          <w:szCs w:val="24"/>
        </w:rPr>
        <w:br/>
        <w:t xml:space="preserve">z dnia 19 lipca 2005 r., sygn. K 28/04, z dnia 19 listopada 1993 r., sygn. </w:t>
      </w:r>
      <w:r w:rsidRPr="00EF3F24">
        <w:rPr>
          <w:szCs w:val="24"/>
        </w:rPr>
        <w:br/>
        <w:t>K 11/9</w:t>
      </w:r>
      <w:r w:rsidR="00E34E38">
        <w:rPr>
          <w:szCs w:val="24"/>
        </w:rPr>
        <w:t>3 oraz postanowienie Trybunału K</w:t>
      </w:r>
      <w:r w:rsidRPr="00EF3F24">
        <w:rPr>
          <w:szCs w:val="24"/>
        </w:rPr>
        <w:t>onstytucyjnego z dnia 6 grudnia 1994 r., U 5/94, OTK 1994 nr 2, poz. 41).</w:t>
      </w:r>
    </w:p>
    <w:p w:rsidR="00EF3F24" w:rsidRPr="00EF3F24" w:rsidRDefault="00EF3F24" w:rsidP="00EF3F24">
      <w:pPr>
        <w:spacing w:line="360" w:lineRule="auto"/>
        <w:ind w:firstLine="708"/>
        <w:jc w:val="both"/>
        <w:rPr>
          <w:szCs w:val="24"/>
        </w:rPr>
      </w:pPr>
      <w:r w:rsidRPr="00EF3F24">
        <w:rPr>
          <w:szCs w:val="24"/>
        </w:rPr>
        <w:t xml:space="preserve">Art. 10 Konstytucji przewiduje, że ustrój Rzeczypospolitej Polskiej opiera się </w:t>
      </w:r>
      <w:r w:rsidR="00123A8A">
        <w:rPr>
          <w:szCs w:val="24"/>
        </w:rPr>
        <w:br/>
      </w:r>
      <w:r w:rsidRPr="00EF3F24">
        <w:rPr>
          <w:szCs w:val="24"/>
        </w:rPr>
        <w:t xml:space="preserve">na zasadzie trójpodziału i równowagi władz: ustawodawczej, wykonawczej </w:t>
      </w:r>
      <w:r w:rsidRPr="00EF3F24">
        <w:rPr>
          <w:szCs w:val="24"/>
        </w:rPr>
        <w:br/>
        <w:t xml:space="preserve">i sądowniczej. W art. 173 Konstytucji podkreślono odrębność organizacyjną </w:t>
      </w:r>
      <w:r w:rsidRPr="00EF3F24">
        <w:rPr>
          <w:szCs w:val="24"/>
        </w:rPr>
        <w:br/>
        <w:t>i niezależność sądów, zaś w art. 175 ust. 1 Konstytucji wskazano, że wymiar sprawiedliwości w Rzeczypospolitej Polskiej sprawują Sąd Najwyższy, sądy powszechne, sądy administracyjne i sądy wojskowe.</w:t>
      </w:r>
    </w:p>
    <w:p w:rsidR="00EF3F24" w:rsidRPr="00EF3F24" w:rsidRDefault="00EF3F24" w:rsidP="00EF3F24">
      <w:pPr>
        <w:spacing w:line="360" w:lineRule="auto"/>
        <w:ind w:firstLine="708"/>
        <w:jc w:val="both"/>
        <w:rPr>
          <w:szCs w:val="24"/>
        </w:rPr>
      </w:pPr>
      <w:r w:rsidRPr="00EF3F24">
        <w:rPr>
          <w:szCs w:val="24"/>
        </w:rPr>
        <w:t>Wśród organów władzy ustawodawc</w:t>
      </w:r>
      <w:r w:rsidR="00BC26D0">
        <w:rPr>
          <w:szCs w:val="24"/>
        </w:rPr>
        <w:t xml:space="preserve">zej, wykonawczej i sądowniczej </w:t>
      </w:r>
      <w:r w:rsidRPr="00BC26D0">
        <w:rPr>
          <w:i/>
          <w:szCs w:val="24"/>
        </w:rPr>
        <w:t>ma zatem miejsce szczególny podział zadań i kompetencji; organy te nie mogą się wz</w:t>
      </w:r>
      <w:r w:rsidR="00BC26D0">
        <w:rPr>
          <w:i/>
          <w:szCs w:val="24"/>
        </w:rPr>
        <w:t>ajemnie zastępować lub wyręczać</w:t>
      </w:r>
      <w:r w:rsidRPr="00EF3F24">
        <w:rPr>
          <w:szCs w:val="24"/>
        </w:rPr>
        <w:t xml:space="preserve"> (</w:t>
      </w:r>
      <w:r w:rsidR="00BC26D0">
        <w:rPr>
          <w:szCs w:val="24"/>
        </w:rPr>
        <w:t>P. Winczorek</w:t>
      </w:r>
      <w:r w:rsidRPr="00EF3F24">
        <w:rPr>
          <w:szCs w:val="24"/>
        </w:rPr>
        <w:t>, Komentarz do Konstytucji Rzeczypospolitej Polskiej z 1997 r., Warszawa 2000).</w:t>
      </w:r>
    </w:p>
    <w:p w:rsidR="00EF3F24" w:rsidRPr="00EF3F24" w:rsidRDefault="00EF3F24" w:rsidP="00EF3F24">
      <w:pPr>
        <w:spacing w:line="360" w:lineRule="auto"/>
        <w:ind w:firstLine="708"/>
        <w:jc w:val="both"/>
        <w:rPr>
          <w:szCs w:val="24"/>
        </w:rPr>
      </w:pPr>
      <w:r w:rsidRPr="00EF3F24">
        <w:rPr>
          <w:szCs w:val="24"/>
        </w:rPr>
        <w:t>Z powołanych przepisów wynika, iż wyłączność na sprawowanie wymiaru sprawiedliwości posiadają organy władzy sądowniczej (sądy), a powierzenie tej funkcji organom innych władz jest wykluczone.</w:t>
      </w:r>
    </w:p>
    <w:p w:rsidR="00EF3F24" w:rsidRPr="00EF3F24" w:rsidRDefault="00EF3F24" w:rsidP="00EF3F24">
      <w:pPr>
        <w:spacing w:line="360" w:lineRule="auto"/>
        <w:ind w:firstLine="708"/>
        <w:jc w:val="both"/>
        <w:rPr>
          <w:szCs w:val="24"/>
        </w:rPr>
      </w:pPr>
      <w:r w:rsidRPr="00EF3F24">
        <w:rPr>
          <w:szCs w:val="24"/>
        </w:rPr>
        <w:t>Z zasady podziału władz wynika</w:t>
      </w:r>
      <w:r w:rsidR="00522E24">
        <w:rPr>
          <w:szCs w:val="24"/>
        </w:rPr>
        <w:t xml:space="preserve"> również </w:t>
      </w:r>
      <w:r w:rsidRPr="00EF3F24">
        <w:rPr>
          <w:szCs w:val="24"/>
        </w:rPr>
        <w:t xml:space="preserve"> kierowany do władzy ustawodawczej, zakaz wydawania aktów normatywnych (ustaw) o charakterze konkretnym i indywidualnym. </w:t>
      </w:r>
      <w:r w:rsidR="00522E24">
        <w:rPr>
          <w:szCs w:val="24"/>
        </w:rPr>
        <w:br/>
      </w:r>
      <w:r w:rsidRPr="00EF3F24">
        <w:rPr>
          <w:szCs w:val="24"/>
        </w:rPr>
        <w:t xml:space="preserve">W doktrynie prawa wielokrotnie podkreślano, że ustawa ma być aktem ogólnym, czyli ustanawiającym normy prawne o charakterze generalnym, a więc kierowanym do ogółu społeczeństwa lub określonej grupy adresatów wyróżnionych ze względu na jakąś wspólną cechę. Ponadto normy prawne zawarte w ustawie mają mieć charakter abstrakcyjny, czyli odnosić się do powtarzających się stanów faktycznych, przez co możliwe jest jej wielokrotne </w:t>
      </w:r>
      <w:r w:rsidRPr="00EF3F24">
        <w:rPr>
          <w:szCs w:val="24"/>
        </w:rPr>
        <w:lastRenderedPageBreak/>
        <w:t>zastosowanie. Tymczasem projektowana ustawa jawi się jako akt o charakterze indywidualno</w:t>
      </w:r>
      <w:r w:rsidR="00522E24">
        <w:rPr>
          <w:szCs w:val="24"/>
        </w:rPr>
        <w:t>-</w:t>
      </w:r>
      <w:r w:rsidRPr="00EF3F24">
        <w:rPr>
          <w:szCs w:val="24"/>
        </w:rPr>
        <w:t>konkretnym.</w:t>
      </w:r>
    </w:p>
    <w:p w:rsidR="00EF3F24" w:rsidRPr="00EF3F24" w:rsidRDefault="00EF3F24" w:rsidP="00EF3F24">
      <w:pPr>
        <w:spacing w:line="360" w:lineRule="auto"/>
        <w:ind w:firstLine="708"/>
        <w:jc w:val="both"/>
        <w:rPr>
          <w:color w:val="000000"/>
          <w:szCs w:val="24"/>
        </w:rPr>
      </w:pPr>
      <w:r w:rsidRPr="00EF3F24">
        <w:rPr>
          <w:szCs w:val="24"/>
        </w:rPr>
        <w:t xml:space="preserve">Wprawdzie w uzasadnieniu projektu projektodawcy powołują się na precedens </w:t>
      </w:r>
      <w:r w:rsidRPr="00EF3F24">
        <w:rPr>
          <w:color w:val="000000"/>
          <w:szCs w:val="24"/>
        </w:rPr>
        <w:t xml:space="preserve">ustawy z dnia 23 lutego 1991 r. </w:t>
      </w:r>
      <w:r w:rsidRPr="00114008">
        <w:rPr>
          <w:color w:val="000000"/>
          <w:szCs w:val="24"/>
        </w:rPr>
        <w:t>o uznaniu za nieważne orzeczeń wydanych wobec osób represjonowanych za działalność na rzecz niepodległego bytu Państwa Polskiego</w:t>
      </w:r>
      <w:r w:rsidRPr="00EF3F24">
        <w:rPr>
          <w:color w:val="000000"/>
          <w:szCs w:val="24"/>
        </w:rPr>
        <w:t xml:space="preserve"> (Dz. U. </w:t>
      </w:r>
      <w:r w:rsidR="00AF760E">
        <w:rPr>
          <w:color w:val="000000"/>
          <w:szCs w:val="24"/>
        </w:rPr>
        <w:br/>
        <w:t>z 2015 r. poz. 1583</w:t>
      </w:r>
      <w:r w:rsidRPr="00EF3F24">
        <w:rPr>
          <w:color w:val="000000"/>
          <w:szCs w:val="24"/>
        </w:rPr>
        <w:t>), jednak w tym zakresie podkreślić należy, że ustawa ta nie przewiduje nieważności konkretnych wyroków, ale wskazuje wyłącznie przyczyny nieważności orzeczeń wydanych w określonym przedziale czasu, a decyzję w tym przedmiocie pozostawia kompetencji sądu.</w:t>
      </w:r>
    </w:p>
    <w:p w:rsidR="00EF3F24" w:rsidRPr="00EF3F24" w:rsidRDefault="00EF3F24" w:rsidP="00EF3F24">
      <w:pPr>
        <w:spacing w:line="360" w:lineRule="auto"/>
        <w:ind w:firstLine="708"/>
        <w:jc w:val="both"/>
        <w:rPr>
          <w:szCs w:val="24"/>
        </w:rPr>
      </w:pPr>
      <w:r w:rsidRPr="00EF3F24">
        <w:rPr>
          <w:szCs w:val="24"/>
        </w:rPr>
        <w:t>W związku z powyższy</w:t>
      </w:r>
      <w:r w:rsidR="00AF4786">
        <w:rPr>
          <w:szCs w:val="24"/>
        </w:rPr>
        <w:t xml:space="preserve">m należy stwierdzić, że projekt, pomimo nie wskazania tego wprost, </w:t>
      </w:r>
      <w:r w:rsidRPr="00EF3F24">
        <w:rPr>
          <w:szCs w:val="24"/>
        </w:rPr>
        <w:t xml:space="preserve">wprowadza </w:t>
      </w:r>
      <w:r w:rsidRPr="00EF3F24">
        <w:rPr>
          <w:i/>
          <w:szCs w:val="24"/>
        </w:rPr>
        <w:t xml:space="preserve">de facto </w:t>
      </w:r>
      <w:r w:rsidRPr="00EF3F24">
        <w:rPr>
          <w:szCs w:val="24"/>
        </w:rPr>
        <w:t xml:space="preserve">nieważność konkretnie oznaczonych wyroków sądowych, </w:t>
      </w:r>
      <w:r w:rsidR="00D04432">
        <w:rPr>
          <w:szCs w:val="24"/>
        </w:rPr>
        <w:br/>
      </w:r>
      <w:r w:rsidR="00AF4786">
        <w:rPr>
          <w:szCs w:val="24"/>
        </w:rPr>
        <w:t xml:space="preserve">co może </w:t>
      </w:r>
      <w:r w:rsidR="001E44CF">
        <w:rPr>
          <w:szCs w:val="24"/>
        </w:rPr>
        <w:t>rodzi</w:t>
      </w:r>
      <w:r w:rsidR="00AF4786">
        <w:rPr>
          <w:szCs w:val="24"/>
        </w:rPr>
        <w:t>ć</w:t>
      </w:r>
      <w:r w:rsidR="001E44CF">
        <w:rPr>
          <w:szCs w:val="24"/>
        </w:rPr>
        <w:t xml:space="preserve"> wątpliwości naruszenia</w:t>
      </w:r>
      <w:r w:rsidRPr="00EF3F24">
        <w:rPr>
          <w:szCs w:val="24"/>
        </w:rPr>
        <w:t xml:space="preserve"> art. 10 w zw. z art. 173 oraz art. 175 ust. 1 Konstytucji.</w:t>
      </w:r>
    </w:p>
    <w:p w:rsidR="00E97AC7" w:rsidRDefault="0027227F" w:rsidP="004D3878">
      <w:pPr>
        <w:spacing w:line="360" w:lineRule="auto"/>
        <w:jc w:val="both"/>
        <w:rPr>
          <w:szCs w:val="24"/>
        </w:rPr>
      </w:pPr>
      <w:r>
        <w:rPr>
          <w:color w:val="000000"/>
          <w:szCs w:val="24"/>
        </w:rPr>
        <w:tab/>
      </w:r>
      <w:r w:rsidR="00EF3F24" w:rsidRPr="00EF3F24">
        <w:rPr>
          <w:color w:val="000000"/>
          <w:szCs w:val="24"/>
        </w:rPr>
        <w:t xml:space="preserve">Wątpliwości </w:t>
      </w:r>
      <w:r w:rsidR="00881818">
        <w:rPr>
          <w:color w:val="000000"/>
          <w:szCs w:val="24"/>
        </w:rPr>
        <w:t xml:space="preserve">tej </w:t>
      </w:r>
      <w:r w:rsidR="00EF3F24" w:rsidRPr="00EF3F24">
        <w:rPr>
          <w:color w:val="000000"/>
          <w:szCs w:val="24"/>
        </w:rPr>
        <w:t xml:space="preserve">natury nasuwają także szczegółowe rozwiązania projektu. Dotyczy </w:t>
      </w:r>
      <w:r w:rsidR="00D04432">
        <w:rPr>
          <w:color w:val="000000"/>
          <w:szCs w:val="24"/>
        </w:rPr>
        <w:br/>
      </w:r>
      <w:r w:rsidR="00EF3F24" w:rsidRPr="00EF3F24">
        <w:rPr>
          <w:color w:val="000000"/>
          <w:szCs w:val="24"/>
        </w:rPr>
        <w:t>to zwłaszcza art. 2 ust. 3, który przewiduje wyłączenie obowiązku odszkodowawczego Skarbu Państwa w razie stwi</w:t>
      </w:r>
      <w:r w:rsidR="00A65350">
        <w:rPr>
          <w:color w:val="000000"/>
          <w:szCs w:val="24"/>
        </w:rPr>
        <w:t>erdzenia nieważności orzeczenia, pomimo tego, iż z</w:t>
      </w:r>
      <w:r w:rsidR="00EF3F24" w:rsidRPr="00EF3F24">
        <w:rPr>
          <w:color w:val="000000"/>
          <w:szCs w:val="24"/>
        </w:rPr>
        <w:t>godni</w:t>
      </w:r>
      <w:r w:rsidR="00881818">
        <w:rPr>
          <w:color w:val="000000"/>
          <w:szCs w:val="24"/>
        </w:rPr>
        <w:t xml:space="preserve">e </w:t>
      </w:r>
      <w:r w:rsidR="00D04432">
        <w:rPr>
          <w:color w:val="000000"/>
          <w:szCs w:val="24"/>
        </w:rPr>
        <w:br/>
      </w:r>
      <w:r w:rsidR="00881818">
        <w:rPr>
          <w:color w:val="000000"/>
          <w:szCs w:val="24"/>
        </w:rPr>
        <w:t xml:space="preserve">z art. 41 ust. 5 Konstytucji: </w:t>
      </w:r>
      <w:r w:rsidR="00EF3F24" w:rsidRPr="00881818">
        <w:rPr>
          <w:i/>
          <w:color w:val="000000"/>
          <w:szCs w:val="24"/>
        </w:rPr>
        <w:t>Każdy bezprawnie pozbawiony woln</w:t>
      </w:r>
      <w:r w:rsidR="00881818" w:rsidRPr="00881818">
        <w:rPr>
          <w:i/>
          <w:color w:val="000000"/>
          <w:szCs w:val="24"/>
        </w:rPr>
        <w:t xml:space="preserve">ości ma prawo </w:t>
      </w:r>
      <w:r w:rsidR="00D04432">
        <w:rPr>
          <w:i/>
          <w:color w:val="000000"/>
          <w:szCs w:val="24"/>
        </w:rPr>
        <w:br/>
      </w:r>
      <w:r w:rsidR="00881818" w:rsidRPr="00881818">
        <w:rPr>
          <w:i/>
          <w:color w:val="000000"/>
          <w:szCs w:val="24"/>
        </w:rPr>
        <w:t>do odszkodowania</w:t>
      </w:r>
      <w:r w:rsidR="00EF3F24" w:rsidRPr="00881818">
        <w:rPr>
          <w:i/>
          <w:color w:val="000000"/>
          <w:szCs w:val="24"/>
        </w:rPr>
        <w:t>.</w:t>
      </w:r>
      <w:r w:rsidR="00EF3F24" w:rsidRPr="00EF3F24">
        <w:rPr>
          <w:color w:val="000000"/>
          <w:szCs w:val="24"/>
        </w:rPr>
        <w:t xml:space="preserve"> </w:t>
      </w:r>
      <w:r w:rsidR="000968DB">
        <w:rPr>
          <w:szCs w:val="24"/>
        </w:rPr>
        <w:t xml:space="preserve">W </w:t>
      </w:r>
      <w:r w:rsidR="00EF3F24" w:rsidRPr="00EF3F24">
        <w:rPr>
          <w:szCs w:val="24"/>
        </w:rPr>
        <w:t>uzasadnieniu projektu nie wyjaśniono dlaczego projektodawca zrezygnował z tego rodzaju obowiązku.</w:t>
      </w:r>
    </w:p>
    <w:p w:rsidR="00EF3F24" w:rsidRPr="00EF3F24" w:rsidRDefault="00EF3F24" w:rsidP="004D3878">
      <w:pPr>
        <w:spacing w:line="360" w:lineRule="auto"/>
        <w:ind w:firstLine="708"/>
        <w:jc w:val="both"/>
        <w:rPr>
          <w:color w:val="000000"/>
          <w:szCs w:val="24"/>
        </w:rPr>
      </w:pPr>
      <w:r w:rsidRPr="00EF3F24">
        <w:rPr>
          <w:color w:val="000000"/>
          <w:szCs w:val="24"/>
        </w:rPr>
        <w:t>Jak wskazano powyżej</w:t>
      </w:r>
      <w:r w:rsidR="00E97AC7">
        <w:rPr>
          <w:color w:val="000000"/>
          <w:szCs w:val="24"/>
        </w:rPr>
        <w:t>,</w:t>
      </w:r>
      <w:r w:rsidRPr="00EF3F24">
        <w:rPr>
          <w:color w:val="000000"/>
          <w:szCs w:val="24"/>
        </w:rPr>
        <w:t xml:space="preserve"> w uzasadnieniu podni</w:t>
      </w:r>
      <w:r w:rsidR="004D3878">
        <w:rPr>
          <w:color w:val="000000"/>
          <w:szCs w:val="24"/>
        </w:rPr>
        <w:t xml:space="preserve">esiono, że projektowana ustawa </w:t>
      </w:r>
      <w:r w:rsidRPr="00EF3F24">
        <w:rPr>
          <w:color w:val="000000"/>
          <w:szCs w:val="24"/>
        </w:rPr>
        <w:t xml:space="preserve">nie jest precedensem w najnowszej historii Rzeczypospolitej Polskiej, gdyż poprzedziła ją </w:t>
      </w:r>
      <w:r w:rsidRPr="004D3878">
        <w:rPr>
          <w:color w:val="000000"/>
          <w:szCs w:val="24"/>
        </w:rPr>
        <w:t xml:space="preserve">ustawa </w:t>
      </w:r>
      <w:r w:rsidR="00A21479">
        <w:rPr>
          <w:color w:val="000000"/>
          <w:szCs w:val="24"/>
        </w:rPr>
        <w:br/>
      </w:r>
      <w:r w:rsidRPr="004D3878">
        <w:rPr>
          <w:color w:val="000000"/>
          <w:szCs w:val="24"/>
        </w:rPr>
        <w:t>o uznaniu za nieważne orzeczeń wydanych wobec osób represjonowanych za działalność na rzecz niepodległego bytu Państwa Polskiego</w:t>
      </w:r>
      <w:r w:rsidR="004D3878">
        <w:rPr>
          <w:color w:val="000000"/>
          <w:szCs w:val="24"/>
        </w:rPr>
        <w:t xml:space="preserve"> oraz, że ustawa ta </w:t>
      </w:r>
      <w:r w:rsidRPr="00EF3F24">
        <w:rPr>
          <w:color w:val="000000"/>
          <w:szCs w:val="24"/>
        </w:rPr>
        <w:t>jest niejako pierwowzorem dla projektowanej ustawy</w:t>
      </w:r>
      <w:r w:rsidR="004D3878">
        <w:rPr>
          <w:color w:val="000000"/>
          <w:szCs w:val="24"/>
        </w:rPr>
        <w:t>, gdyż reguluje podobną materię</w:t>
      </w:r>
      <w:r w:rsidRPr="00EF3F24">
        <w:rPr>
          <w:color w:val="000000"/>
          <w:szCs w:val="24"/>
        </w:rPr>
        <w:t>.</w:t>
      </w:r>
      <w:r w:rsidR="004D3878">
        <w:rPr>
          <w:color w:val="000000"/>
          <w:szCs w:val="24"/>
        </w:rPr>
        <w:t xml:space="preserve"> </w:t>
      </w:r>
      <w:r w:rsidRPr="00EF3F24">
        <w:rPr>
          <w:color w:val="000000"/>
          <w:szCs w:val="24"/>
        </w:rPr>
        <w:t>Przy tego rodzaju odwołaniu niezbędne jest zatem przypomnienie, że we wskazanej ustawie przewidziano, iż:</w:t>
      </w:r>
    </w:p>
    <w:p w:rsidR="00EF3F24" w:rsidRPr="004D3878" w:rsidRDefault="00EF3F24" w:rsidP="002222E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color w:val="000000"/>
          <w:szCs w:val="24"/>
        </w:rPr>
      </w:pPr>
      <w:r w:rsidRPr="004D3878">
        <w:rPr>
          <w:color w:val="000000"/>
          <w:szCs w:val="24"/>
        </w:rPr>
        <w:t xml:space="preserve">osobie, wobec której stwierdzono nieważność orzeczenia albo wydano decyzję </w:t>
      </w:r>
      <w:r w:rsidR="00A21479">
        <w:rPr>
          <w:color w:val="000000"/>
          <w:szCs w:val="24"/>
        </w:rPr>
        <w:br/>
      </w:r>
      <w:r w:rsidRPr="004D3878">
        <w:rPr>
          <w:color w:val="000000"/>
          <w:szCs w:val="24"/>
        </w:rPr>
        <w:t xml:space="preserve">o internowaniu w związku z wprowadzeniem 13 grudnia 1981 r. w Polsce stanu wojennego, przysługuje od Skarbu Państwa odszkodowanie za poniesioną szkodę </w:t>
      </w:r>
      <w:r w:rsidR="00A21479">
        <w:rPr>
          <w:color w:val="000000"/>
          <w:szCs w:val="24"/>
        </w:rPr>
        <w:br/>
      </w:r>
      <w:r w:rsidRPr="004D3878">
        <w:rPr>
          <w:color w:val="000000"/>
          <w:szCs w:val="24"/>
        </w:rPr>
        <w:t xml:space="preserve">i zadośćuczynienie za doznaną krzywdę wynikłe z wykonania orzeczenia albo decyzji </w:t>
      </w:r>
      <w:r w:rsidR="00A21479">
        <w:rPr>
          <w:color w:val="000000"/>
          <w:szCs w:val="24"/>
        </w:rPr>
        <w:br/>
      </w:r>
      <w:r w:rsidRPr="004D3878">
        <w:rPr>
          <w:color w:val="000000"/>
          <w:szCs w:val="24"/>
        </w:rPr>
        <w:t>(w razie śmierci tej osoby uprawnienie to przechodzi na małżonka, dzieci i rodziców)</w:t>
      </w:r>
      <w:r w:rsidR="004D1604">
        <w:rPr>
          <w:color w:val="000000"/>
          <w:szCs w:val="24"/>
        </w:rPr>
        <w:br/>
        <w:t>– art. 8 ust. 1 ustawy</w:t>
      </w:r>
      <w:r w:rsidRPr="004D3878">
        <w:rPr>
          <w:color w:val="000000"/>
          <w:szCs w:val="24"/>
        </w:rPr>
        <w:t>,</w:t>
      </w:r>
    </w:p>
    <w:p w:rsidR="00EF3F24" w:rsidRPr="002222E3" w:rsidRDefault="00EF3F24" w:rsidP="002222E3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color w:val="000000"/>
          <w:szCs w:val="24"/>
        </w:rPr>
      </w:pPr>
      <w:r w:rsidRPr="002222E3">
        <w:rPr>
          <w:color w:val="000000"/>
          <w:szCs w:val="24"/>
        </w:rPr>
        <w:lastRenderedPageBreak/>
        <w:t xml:space="preserve">w przypadku stwierdzenia nieważności orzeczenia osobie uprawnionej zwraca się mienie, którego przepadek lub konfiskatę orzeczono na rzecz Skarbu Państwa oraz przedmioty zatrzymane w toku postępowania </w:t>
      </w:r>
      <w:r w:rsidR="004D1604">
        <w:rPr>
          <w:color w:val="000000"/>
          <w:szCs w:val="24"/>
        </w:rPr>
        <w:t xml:space="preserve">– </w:t>
      </w:r>
      <w:r w:rsidRPr="002222E3">
        <w:rPr>
          <w:color w:val="000000"/>
          <w:szCs w:val="24"/>
        </w:rPr>
        <w:t xml:space="preserve">z wyjątkiem przedmiotów, których posiadanie jest zakazane lub wymaga zezwolenia </w:t>
      </w:r>
      <w:r w:rsidR="004D1604">
        <w:rPr>
          <w:color w:val="000000"/>
          <w:szCs w:val="24"/>
        </w:rPr>
        <w:t>–</w:t>
      </w:r>
      <w:r w:rsidRPr="002222E3">
        <w:rPr>
          <w:color w:val="000000"/>
          <w:szCs w:val="24"/>
        </w:rPr>
        <w:t xml:space="preserve"> jeżeli znajdują się one w posiadaniu państwowej jednostki organizacyjnej, a w razie niemożności zwrotu </w:t>
      </w:r>
      <w:r w:rsidR="004D1604">
        <w:rPr>
          <w:color w:val="000000"/>
          <w:szCs w:val="24"/>
        </w:rPr>
        <w:t>–</w:t>
      </w:r>
      <w:r w:rsidRPr="002222E3">
        <w:rPr>
          <w:color w:val="000000"/>
          <w:szCs w:val="24"/>
        </w:rPr>
        <w:t xml:space="preserve"> wypłaca się ich równowartość </w:t>
      </w:r>
      <w:r w:rsidR="004D1604">
        <w:rPr>
          <w:color w:val="000000"/>
          <w:szCs w:val="24"/>
        </w:rPr>
        <w:br/>
      </w:r>
      <w:r w:rsidRPr="002222E3">
        <w:rPr>
          <w:color w:val="000000"/>
          <w:szCs w:val="24"/>
        </w:rPr>
        <w:t>ze ś</w:t>
      </w:r>
      <w:r w:rsidR="004D1604">
        <w:rPr>
          <w:color w:val="000000"/>
          <w:szCs w:val="24"/>
        </w:rPr>
        <w:t>rodków Funduszu Reprywatyzacji – art. 10 ust. 1 ustawy</w:t>
      </w:r>
      <w:r w:rsidRPr="002222E3">
        <w:rPr>
          <w:color w:val="000000"/>
          <w:szCs w:val="24"/>
        </w:rPr>
        <w:t>.</w:t>
      </w:r>
    </w:p>
    <w:p w:rsidR="00EF3F24" w:rsidRPr="00EF3F24" w:rsidRDefault="00EF3F24" w:rsidP="00EF3F24">
      <w:pPr>
        <w:spacing w:line="360" w:lineRule="auto"/>
        <w:ind w:firstLine="708"/>
        <w:jc w:val="both"/>
        <w:rPr>
          <w:szCs w:val="24"/>
        </w:rPr>
      </w:pPr>
      <w:r w:rsidRPr="00EF3F24">
        <w:rPr>
          <w:szCs w:val="24"/>
        </w:rPr>
        <w:t xml:space="preserve">Wątpliwość natury praktycznej budzi z kolei regulacja zawarta w art. 3 ust. 2 projektu. Zgodnie z tym przepisem sąd orzeka na posiedzeniu na podstawie akt postępowania organu wymiaru sprawiedliwości, który wydał orzeczenie, a w miarę potrzeby przeprowadza dalsze postępowanie dowodowe. Zauważyć </w:t>
      </w:r>
      <w:r w:rsidR="00CD2417">
        <w:rPr>
          <w:szCs w:val="24"/>
        </w:rPr>
        <w:t xml:space="preserve">jednak </w:t>
      </w:r>
      <w:r w:rsidRPr="00EF3F24">
        <w:rPr>
          <w:szCs w:val="24"/>
        </w:rPr>
        <w:t xml:space="preserve">należy, że sprawa akt postępowania z procesu brzeskiego była badana przez Biuro Postępowania Sądowego </w:t>
      </w:r>
      <w:r w:rsidR="003836F6">
        <w:rPr>
          <w:szCs w:val="24"/>
        </w:rPr>
        <w:t xml:space="preserve">byłej </w:t>
      </w:r>
      <w:r w:rsidRPr="00EF3F24">
        <w:rPr>
          <w:szCs w:val="24"/>
        </w:rPr>
        <w:t xml:space="preserve">Prokuratury Krajowej. </w:t>
      </w:r>
      <w:r w:rsidR="003836F6">
        <w:rPr>
          <w:szCs w:val="24"/>
        </w:rPr>
        <w:br/>
      </w:r>
      <w:r w:rsidRPr="00EF3F24">
        <w:rPr>
          <w:szCs w:val="24"/>
        </w:rPr>
        <w:t>W efekcie podjętych czynności ustalono, że akta sprawy sygn. L.VII.I.K 421/31 Sądu Okręgowego w Warszawie nie zachowały się. W Archiwum Akt Nowych w Warszawie odnalezion</w:t>
      </w:r>
      <w:r w:rsidR="00CD2417">
        <w:rPr>
          <w:szCs w:val="24"/>
        </w:rPr>
        <w:t xml:space="preserve">o jedynie zbiór dokumentów pn. </w:t>
      </w:r>
      <w:r w:rsidRPr="00CD2417">
        <w:rPr>
          <w:i/>
          <w:szCs w:val="24"/>
        </w:rPr>
        <w:t>Proces brzeski</w:t>
      </w:r>
      <w:r w:rsidRPr="00EF3F24">
        <w:rPr>
          <w:szCs w:val="24"/>
        </w:rPr>
        <w:t xml:space="preserve">, na który składają się kopie części akt sądowych, w tym protokołów rozpraw oraz wyroków sądów I </w:t>
      </w:r>
      <w:proofErr w:type="spellStart"/>
      <w:r w:rsidRPr="00EF3F24">
        <w:rPr>
          <w:szCs w:val="24"/>
        </w:rPr>
        <w:t>i</w:t>
      </w:r>
      <w:proofErr w:type="spellEnd"/>
      <w:r w:rsidRPr="00EF3F24">
        <w:rPr>
          <w:szCs w:val="24"/>
        </w:rPr>
        <w:t xml:space="preserve"> II instancji. Brak jest natomiast akt zawierających materiał dowodowy sprawy.</w:t>
      </w:r>
      <w:r w:rsidR="00584B9E">
        <w:rPr>
          <w:szCs w:val="24"/>
        </w:rPr>
        <w:t xml:space="preserve"> Powyższe stało się </w:t>
      </w:r>
      <w:r w:rsidR="00812073">
        <w:rPr>
          <w:szCs w:val="24"/>
        </w:rPr>
        <w:t xml:space="preserve">podstawą </w:t>
      </w:r>
      <w:r w:rsidR="000C0DE2">
        <w:rPr>
          <w:szCs w:val="24"/>
        </w:rPr>
        <w:br/>
      </w:r>
      <w:r w:rsidR="00812073">
        <w:rPr>
          <w:szCs w:val="24"/>
        </w:rPr>
        <w:t>do uznania</w:t>
      </w:r>
      <w:r w:rsidR="002D5AA5">
        <w:rPr>
          <w:szCs w:val="24"/>
        </w:rPr>
        <w:t xml:space="preserve"> przez</w:t>
      </w:r>
      <w:r w:rsidR="005F22EA">
        <w:rPr>
          <w:szCs w:val="24"/>
        </w:rPr>
        <w:t xml:space="preserve"> </w:t>
      </w:r>
      <w:r w:rsidR="0043737E">
        <w:rPr>
          <w:szCs w:val="24"/>
        </w:rPr>
        <w:t>prokuratorów badających sprawę</w:t>
      </w:r>
      <w:r w:rsidR="00812073">
        <w:rPr>
          <w:szCs w:val="24"/>
        </w:rPr>
        <w:t>, iż zachow</w:t>
      </w:r>
      <w:r w:rsidR="00122055">
        <w:rPr>
          <w:szCs w:val="24"/>
        </w:rPr>
        <w:t xml:space="preserve">any materiał procesowy nie </w:t>
      </w:r>
      <w:r w:rsidR="002D5AA5">
        <w:rPr>
          <w:szCs w:val="24"/>
        </w:rPr>
        <w:t>pozwala na stwierdzenie, czy w toku procesu brzeskiego</w:t>
      </w:r>
      <w:r w:rsidR="00323AE6">
        <w:rPr>
          <w:szCs w:val="24"/>
        </w:rPr>
        <w:t xml:space="preserve"> zaistniały przesłanki pozwalające </w:t>
      </w:r>
      <w:r w:rsidR="00AF760E">
        <w:rPr>
          <w:szCs w:val="24"/>
        </w:rPr>
        <w:br/>
      </w:r>
      <w:r w:rsidR="00323AE6">
        <w:rPr>
          <w:szCs w:val="24"/>
        </w:rPr>
        <w:t>na wniesienie w tej sprawie kasacji.</w:t>
      </w:r>
    </w:p>
    <w:p w:rsidR="00EF3F24" w:rsidRPr="00EF3F24" w:rsidRDefault="00EF3F24" w:rsidP="00EF3F24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4"/>
        </w:rPr>
      </w:pPr>
      <w:r w:rsidRPr="00EF3F24">
        <w:rPr>
          <w:szCs w:val="24"/>
        </w:rPr>
        <w:t xml:space="preserve">Reasumując powyższe Rada Ministrów wnosi o rozważenie zgłoszonych zastrzeżeń </w:t>
      </w:r>
      <w:r w:rsidR="000C0DE2">
        <w:rPr>
          <w:szCs w:val="24"/>
        </w:rPr>
        <w:br/>
      </w:r>
      <w:r w:rsidRPr="00EF3F24">
        <w:rPr>
          <w:szCs w:val="24"/>
        </w:rPr>
        <w:t xml:space="preserve">i wątpliwości podczas dalszych prac nad projektem ustawy. </w:t>
      </w:r>
    </w:p>
    <w:p w:rsidR="00EC5182" w:rsidRPr="00EF3F24" w:rsidRDefault="00EC5182" w:rsidP="00EF3F24">
      <w:pPr>
        <w:spacing w:line="360" w:lineRule="auto"/>
        <w:jc w:val="both"/>
      </w:pPr>
    </w:p>
    <w:sectPr w:rsidR="00EC5182" w:rsidRPr="00EF3F24" w:rsidSect="00E34E38">
      <w:headerReference w:type="defaul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307" w:rsidRDefault="00251307" w:rsidP="00E34E38">
      <w:pPr>
        <w:spacing w:after="0" w:line="240" w:lineRule="auto"/>
      </w:pPr>
      <w:r>
        <w:separator/>
      </w:r>
    </w:p>
  </w:endnote>
  <w:endnote w:type="continuationSeparator" w:id="0">
    <w:p w:rsidR="00251307" w:rsidRDefault="00251307" w:rsidP="00E3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307" w:rsidRDefault="00251307" w:rsidP="00E34E38">
      <w:pPr>
        <w:spacing w:after="0" w:line="240" w:lineRule="auto"/>
      </w:pPr>
      <w:r>
        <w:separator/>
      </w:r>
    </w:p>
  </w:footnote>
  <w:footnote w:type="continuationSeparator" w:id="0">
    <w:p w:rsidR="00251307" w:rsidRDefault="00251307" w:rsidP="00E34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0062667"/>
      <w:docPartObj>
        <w:docPartGallery w:val="Page Numbers (Top of Page)"/>
        <w:docPartUnique/>
      </w:docPartObj>
    </w:sdtPr>
    <w:sdtEndPr/>
    <w:sdtContent>
      <w:p w:rsidR="00E34E38" w:rsidRDefault="00E34E38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A9B">
          <w:rPr>
            <w:noProof/>
          </w:rPr>
          <w:t>4</w:t>
        </w:r>
        <w:r>
          <w:fldChar w:fldCharType="end"/>
        </w:r>
      </w:p>
    </w:sdtContent>
  </w:sdt>
  <w:p w:rsidR="00E34E38" w:rsidRDefault="00E34E3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526893"/>
    <w:multiLevelType w:val="hybridMultilevel"/>
    <w:tmpl w:val="34A4DF64"/>
    <w:lvl w:ilvl="0" w:tplc="E104F7CE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63701AA3"/>
    <w:multiLevelType w:val="hybridMultilevel"/>
    <w:tmpl w:val="343E88EE"/>
    <w:lvl w:ilvl="0" w:tplc="E104F7CE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8FD"/>
    <w:rsid w:val="00061A5D"/>
    <w:rsid w:val="00076A64"/>
    <w:rsid w:val="00092351"/>
    <w:rsid w:val="000968DB"/>
    <w:rsid w:val="000C0DE2"/>
    <w:rsid w:val="000E5A9E"/>
    <w:rsid w:val="000F7807"/>
    <w:rsid w:val="00114008"/>
    <w:rsid w:val="00122055"/>
    <w:rsid w:val="00123A8A"/>
    <w:rsid w:val="001325A8"/>
    <w:rsid w:val="00162CFA"/>
    <w:rsid w:val="001B1532"/>
    <w:rsid w:val="001E44CF"/>
    <w:rsid w:val="001F2DC7"/>
    <w:rsid w:val="001F4B3C"/>
    <w:rsid w:val="002222E3"/>
    <w:rsid w:val="00251307"/>
    <w:rsid w:val="0027227F"/>
    <w:rsid w:val="002A16A1"/>
    <w:rsid w:val="002D5AA5"/>
    <w:rsid w:val="00323AE6"/>
    <w:rsid w:val="00364AA8"/>
    <w:rsid w:val="00367C2A"/>
    <w:rsid w:val="003836F6"/>
    <w:rsid w:val="00386E13"/>
    <w:rsid w:val="003A3601"/>
    <w:rsid w:val="003E40D8"/>
    <w:rsid w:val="0041316D"/>
    <w:rsid w:val="0043737E"/>
    <w:rsid w:val="00483400"/>
    <w:rsid w:val="004904EE"/>
    <w:rsid w:val="004D1604"/>
    <w:rsid w:val="004D3878"/>
    <w:rsid w:val="005038D0"/>
    <w:rsid w:val="00514136"/>
    <w:rsid w:val="00522E24"/>
    <w:rsid w:val="00582C6D"/>
    <w:rsid w:val="00584B9E"/>
    <w:rsid w:val="005C0370"/>
    <w:rsid w:val="005F22EA"/>
    <w:rsid w:val="006341D1"/>
    <w:rsid w:val="00635313"/>
    <w:rsid w:val="006376EE"/>
    <w:rsid w:val="006A093C"/>
    <w:rsid w:val="00734B19"/>
    <w:rsid w:val="00741B9F"/>
    <w:rsid w:val="00762ADF"/>
    <w:rsid w:val="00763E0F"/>
    <w:rsid w:val="007872CD"/>
    <w:rsid w:val="007A74F8"/>
    <w:rsid w:val="007E6E63"/>
    <w:rsid w:val="007F3EAE"/>
    <w:rsid w:val="00812073"/>
    <w:rsid w:val="008724D2"/>
    <w:rsid w:val="008727F3"/>
    <w:rsid w:val="00873520"/>
    <w:rsid w:val="008761ED"/>
    <w:rsid w:val="00881818"/>
    <w:rsid w:val="009674A6"/>
    <w:rsid w:val="00977F17"/>
    <w:rsid w:val="009A520E"/>
    <w:rsid w:val="00A002AA"/>
    <w:rsid w:val="00A21479"/>
    <w:rsid w:val="00A255FD"/>
    <w:rsid w:val="00A65350"/>
    <w:rsid w:val="00A802D6"/>
    <w:rsid w:val="00AB2A5C"/>
    <w:rsid w:val="00AE751C"/>
    <w:rsid w:val="00AF4786"/>
    <w:rsid w:val="00AF760E"/>
    <w:rsid w:val="00B13DFE"/>
    <w:rsid w:val="00B736FE"/>
    <w:rsid w:val="00B76B90"/>
    <w:rsid w:val="00B87BE0"/>
    <w:rsid w:val="00BC26D0"/>
    <w:rsid w:val="00C75BEF"/>
    <w:rsid w:val="00C8749B"/>
    <w:rsid w:val="00CD2417"/>
    <w:rsid w:val="00CD39E9"/>
    <w:rsid w:val="00D04432"/>
    <w:rsid w:val="00D25A9B"/>
    <w:rsid w:val="00D47773"/>
    <w:rsid w:val="00D62E26"/>
    <w:rsid w:val="00D76D8B"/>
    <w:rsid w:val="00E00692"/>
    <w:rsid w:val="00E20A04"/>
    <w:rsid w:val="00E31349"/>
    <w:rsid w:val="00E34E38"/>
    <w:rsid w:val="00E51935"/>
    <w:rsid w:val="00E57D53"/>
    <w:rsid w:val="00E630DE"/>
    <w:rsid w:val="00E97AC7"/>
    <w:rsid w:val="00EC5182"/>
    <w:rsid w:val="00EF3F24"/>
    <w:rsid w:val="00F13B20"/>
    <w:rsid w:val="00F64CE3"/>
    <w:rsid w:val="00F748FD"/>
    <w:rsid w:val="00FC1E00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E38"/>
  </w:style>
  <w:style w:type="paragraph" w:styleId="Stopka">
    <w:name w:val="footer"/>
    <w:basedOn w:val="Normalny"/>
    <w:link w:val="StopkaZnak"/>
    <w:uiPriority w:val="99"/>
    <w:unhideWhenUsed/>
    <w:rsid w:val="00E34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E38"/>
  </w:style>
  <w:style w:type="paragraph" w:styleId="Akapitzlist">
    <w:name w:val="List Paragraph"/>
    <w:basedOn w:val="Normalny"/>
    <w:uiPriority w:val="34"/>
    <w:qFormat/>
    <w:rsid w:val="004D38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51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E38"/>
  </w:style>
  <w:style w:type="paragraph" w:styleId="Stopka">
    <w:name w:val="footer"/>
    <w:basedOn w:val="Normalny"/>
    <w:link w:val="StopkaZnak"/>
    <w:uiPriority w:val="99"/>
    <w:unhideWhenUsed/>
    <w:rsid w:val="00E34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E38"/>
  </w:style>
  <w:style w:type="paragraph" w:styleId="Akapitzlist">
    <w:name w:val="List Paragraph"/>
    <w:basedOn w:val="Normalny"/>
    <w:uiPriority w:val="34"/>
    <w:qFormat/>
    <w:rsid w:val="004D38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51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9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5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1023</Words>
  <Characters>7271</Characters>
  <Application>Microsoft Office Word</Application>
  <DocSecurity>0</DocSecurity>
  <Lines>519</Lines>
  <Paragraphs>218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 Adam</dc:creator>
  <cp:lastModifiedBy>Grażyna D. Grabowska</cp:lastModifiedBy>
  <cp:revision>2</cp:revision>
  <cp:lastPrinted>2016-04-19T13:28:00Z</cp:lastPrinted>
  <dcterms:created xsi:type="dcterms:W3CDTF">2016-04-28T07:58:00Z</dcterms:created>
  <dcterms:modified xsi:type="dcterms:W3CDTF">2016-04-28T07:58:00Z</dcterms:modified>
</cp:coreProperties>
</file>